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2C" w:rsidRDefault="00273C2C" w:rsidP="005D0AE8">
      <w:pPr>
        <w:jc w:val="center"/>
        <w:rPr>
          <w:rFonts w:cs="Times New Roman"/>
          <w:b/>
          <w:sz w:val="28"/>
          <w:szCs w:val="28"/>
        </w:rPr>
      </w:pPr>
    </w:p>
    <w:p w:rsidR="00273C2C" w:rsidRDefault="00273C2C" w:rsidP="005D0AE8">
      <w:pPr>
        <w:jc w:val="center"/>
        <w:rPr>
          <w:rFonts w:cs="Times New Roman"/>
          <w:b/>
          <w:sz w:val="28"/>
          <w:szCs w:val="28"/>
        </w:rPr>
      </w:pPr>
    </w:p>
    <w:p w:rsidR="00273C2C" w:rsidRDefault="00273C2C" w:rsidP="005D0AE8">
      <w:pPr>
        <w:jc w:val="center"/>
        <w:rPr>
          <w:rFonts w:cs="Times New Roman"/>
          <w:b/>
          <w:sz w:val="28"/>
          <w:szCs w:val="28"/>
        </w:rPr>
      </w:pPr>
    </w:p>
    <w:p w:rsidR="005D0AE8" w:rsidRPr="00273C2C" w:rsidRDefault="00273C2C" w:rsidP="005D0AE8">
      <w:pPr>
        <w:jc w:val="center"/>
        <w:rPr>
          <w:rFonts w:cs="Times New Roman"/>
          <w:b/>
          <w:sz w:val="28"/>
          <w:szCs w:val="28"/>
        </w:rPr>
      </w:pPr>
      <w:r>
        <w:rPr>
          <w:rFonts w:cs="Times New Roman"/>
          <w:b/>
          <w:sz w:val="28"/>
          <w:szCs w:val="28"/>
        </w:rPr>
        <w:t>Single-</w:t>
      </w:r>
      <w:r w:rsidR="005D0AE8" w:rsidRPr="00273C2C">
        <w:rPr>
          <w:rFonts w:cs="Times New Roman"/>
          <w:b/>
          <w:sz w:val="28"/>
          <w:szCs w:val="28"/>
        </w:rPr>
        <w:t>Dimension Senatorial Scorecards:</w:t>
      </w:r>
    </w:p>
    <w:p w:rsidR="005D0AE8" w:rsidRDefault="005D0AE8" w:rsidP="00A13DA4">
      <w:pPr>
        <w:jc w:val="center"/>
        <w:rPr>
          <w:rFonts w:cs="Times New Roman"/>
          <w:b/>
          <w:sz w:val="28"/>
          <w:szCs w:val="28"/>
        </w:rPr>
      </w:pPr>
      <w:r w:rsidRPr="00273C2C">
        <w:rPr>
          <w:rFonts w:cs="Times New Roman"/>
          <w:b/>
          <w:sz w:val="28"/>
          <w:szCs w:val="28"/>
        </w:rPr>
        <w:t>A Statistical Approach to the 110</w:t>
      </w:r>
      <w:r w:rsidRPr="00273C2C">
        <w:rPr>
          <w:rFonts w:cs="Times New Roman"/>
          <w:b/>
          <w:sz w:val="28"/>
          <w:szCs w:val="28"/>
          <w:vertAlign w:val="superscript"/>
        </w:rPr>
        <w:t>th</w:t>
      </w:r>
      <w:r w:rsidR="00027916">
        <w:rPr>
          <w:rFonts w:cs="Times New Roman"/>
          <w:b/>
          <w:sz w:val="28"/>
          <w:szCs w:val="28"/>
        </w:rPr>
        <w:t>-</w:t>
      </w:r>
      <w:r w:rsidRPr="00273C2C">
        <w:rPr>
          <w:rFonts w:cs="Times New Roman"/>
          <w:b/>
          <w:sz w:val="28"/>
          <w:szCs w:val="28"/>
        </w:rPr>
        <w:t>112</w:t>
      </w:r>
      <w:r w:rsidRPr="00273C2C">
        <w:rPr>
          <w:rFonts w:cs="Times New Roman"/>
          <w:b/>
          <w:sz w:val="28"/>
          <w:szCs w:val="28"/>
          <w:vertAlign w:val="superscript"/>
        </w:rPr>
        <w:t>th</w:t>
      </w:r>
      <w:r w:rsidR="00A13DA4" w:rsidRPr="00273C2C">
        <w:rPr>
          <w:rFonts w:cs="Times New Roman"/>
          <w:b/>
          <w:sz w:val="28"/>
          <w:szCs w:val="28"/>
        </w:rPr>
        <w:t xml:space="preserve"> Senate</w:t>
      </w:r>
    </w:p>
    <w:p w:rsidR="00541918" w:rsidRPr="00273C2C" w:rsidRDefault="00541918" w:rsidP="00A13DA4">
      <w:pPr>
        <w:jc w:val="center"/>
        <w:rPr>
          <w:rFonts w:cs="Times New Roman"/>
          <w:b/>
          <w:sz w:val="28"/>
          <w:szCs w:val="28"/>
        </w:rPr>
      </w:pPr>
    </w:p>
    <w:p w:rsidR="005D0AE8" w:rsidRDefault="005D0AE8" w:rsidP="00122850">
      <w:pPr>
        <w:spacing w:line="240" w:lineRule="auto"/>
        <w:contextualSpacing/>
        <w:jc w:val="center"/>
        <w:rPr>
          <w:rFonts w:cs="Times New Roman"/>
          <w:szCs w:val="24"/>
        </w:rPr>
      </w:pPr>
      <w:r>
        <w:rPr>
          <w:rFonts w:cs="Times New Roman"/>
          <w:szCs w:val="24"/>
        </w:rPr>
        <w:t>Kelan John Farre</w:t>
      </w:r>
      <w:r w:rsidR="009608E5">
        <w:rPr>
          <w:rFonts w:cs="Times New Roman"/>
          <w:szCs w:val="24"/>
        </w:rPr>
        <w:t>l</w:t>
      </w:r>
      <w:r w:rsidR="00273C2C">
        <w:rPr>
          <w:rFonts w:cs="Times New Roman"/>
          <w:szCs w:val="24"/>
        </w:rPr>
        <w:t xml:space="preserve">l </w:t>
      </w:r>
      <w:r>
        <w:rPr>
          <w:rFonts w:cs="Times New Roman"/>
          <w:szCs w:val="24"/>
        </w:rPr>
        <w:t>Smith</w:t>
      </w:r>
    </w:p>
    <w:p w:rsidR="00122850" w:rsidRPr="00273C2C" w:rsidRDefault="00122850" w:rsidP="00122850">
      <w:pPr>
        <w:spacing w:line="240" w:lineRule="auto"/>
        <w:contextualSpacing/>
        <w:jc w:val="center"/>
        <w:rPr>
          <w:rFonts w:cs="Times New Roman"/>
          <w:i/>
          <w:szCs w:val="24"/>
        </w:rPr>
      </w:pPr>
      <w:r w:rsidRPr="00273C2C">
        <w:rPr>
          <w:rFonts w:cs="Times New Roman"/>
          <w:i/>
          <w:szCs w:val="24"/>
        </w:rPr>
        <w:t>Claremont Graduate University</w:t>
      </w:r>
    </w:p>
    <w:p w:rsidR="00122850" w:rsidRDefault="00122850" w:rsidP="00122850">
      <w:pPr>
        <w:spacing w:line="240" w:lineRule="auto"/>
        <w:contextualSpacing/>
        <w:jc w:val="center"/>
        <w:rPr>
          <w:rFonts w:cs="Times New Roman"/>
          <w:szCs w:val="24"/>
        </w:rPr>
      </w:pPr>
    </w:p>
    <w:p w:rsidR="00122850" w:rsidRDefault="005D0AE8" w:rsidP="00122850">
      <w:pPr>
        <w:spacing w:line="240" w:lineRule="auto"/>
        <w:contextualSpacing/>
        <w:jc w:val="center"/>
        <w:rPr>
          <w:rFonts w:cs="Times New Roman"/>
          <w:szCs w:val="24"/>
        </w:rPr>
      </w:pPr>
      <w:r>
        <w:rPr>
          <w:rFonts w:cs="Times New Roman"/>
          <w:szCs w:val="24"/>
        </w:rPr>
        <w:t>Aldo Yanez Ruiz</w:t>
      </w:r>
    </w:p>
    <w:p w:rsidR="00122850" w:rsidRPr="00273C2C" w:rsidRDefault="00122850" w:rsidP="00122850">
      <w:pPr>
        <w:spacing w:line="240" w:lineRule="auto"/>
        <w:contextualSpacing/>
        <w:jc w:val="center"/>
        <w:rPr>
          <w:rFonts w:cs="Times New Roman"/>
          <w:i/>
          <w:szCs w:val="24"/>
        </w:rPr>
      </w:pPr>
      <w:r w:rsidRPr="00273C2C">
        <w:rPr>
          <w:rFonts w:cs="Times New Roman"/>
          <w:i/>
          <w:szCs w:val="24"/>
        </w:rPr>
        <w:t>Claremont Graduate University</w:t>
      </w: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122850" w:rsidRDefault="00122850" w:rsidP="00122850">
      <w:pPr>
        <w:spacing w:line="240" w:lineRule="auto"/>
        <w:contextualSpacing/>
        <w:jc w:val="center"/>
        <w:rPr>
          <w:rFonts w:cs="Times New Roman"/>
          <w:szCs w:val="24"/>
        </w:rPr>
      </w:pPr>
    </w:p>
    <w:p w:rsidR="00273C2C" w:rsidRDefault="00122850" w:rsidP="00A13DA4">
      <w:pPr>
        <w:spacing w:line="240" w:lineRule="auto"/>
        <w:contextualSpacing/>
        <w:jc w:val="center"/>
        <w:rPr>
          <w:rFonts w:cs="Times New Roman"/>
          <w:szCs w:val="24"/>
        </w:rPr>
      </w:pPr>
      <w:r>
        <w:rPr>
          <w:rFonts w:cs="Times New Roman"/>
          <w:szCs w:val="24"/>
        </w:rPr>
        <w:t>Paper prepared for</w:t>
      </w:r>
      <w:r w:rsidR="00A13DA4">
        <w:rPr>
          <w:rFonts w:cs="Times New Roman"/>
          <w:szCs w:val="24"/>
        </w:rPr>
        <w:t xml:space="preserve"> presentation at</w:t>
      </w:r>
      <w:r>
        <w:rPr>
          <w:rFonts w:cs="Times New Roman"/>
          <w:szCs w:val="24"/>
        </w:rPr>
        <w:t xml:space="preserve"> the Western Political Science Association annual </w:t>
      </w:r>
      <w:r w:rsidR="00273C2C">
        <w:rPr>
          <w:rFonts w:cs="Times New Roman"/>
          <w:szCs w:val="24"/>
        </w:rPr>
        <w:t>conference Las Vegas, Nevada</w:t>
      </w:r>
    </w:p>
    <w:p w:rsidR="0077671B" w:rsidRPr="00360619" w:rsidRDefault="00122850" w:rsidP="00360619">
      <w:pPr>
        <w:spacing w:line="240" w:lineRule="auto"/>
        <w:contextualSpacing/>
        <w:jc w:val="center"/>
        <w:rPr>
          <w:rFonts w:cs="Times New Roman"/>
          <w:szCs w:val="24"/>
        </w:rPr>
      </w:pPr>
      <w:r>
        <w:rPr>
          <w:rFonts w:cs="Times New Roman"/>
          <w:szCs w:val="24"/>
        </w:rPr>
        <w:t xml:space="preserve"> April 2, 2015</w:t>
      </w:r>
    </w:p>
    <w:p w:rsidR="0077671B" w:rsidRDefault="0077671B" w:rsidP="0077671B">
      <w:pPr>
        <w:contextualSpacing/>
        <w:jc w:val="both"/>
        <w:rPr>
          <w:rFonts w:cs="Times New Roman"/>
          <w:b/>
          <w:i/>
          <w:szCs w:val="24"/>
        </w:rPr>
      </w:pPr>
      <w:r w:rsidRPr="0077671B">
        <w:rPr>
          <w:rFonts w:cs="Times New Roman"/>
          <w:b/>
          <w:i/>
          <w:szCs w:val="24"/>
        </w:rPr>
        <w:lastRenderedPageBreak/>
        <w:t>Abstract</w:t>
      </w:r>
    </w:p>
    <w:p w:rsidR="00273C2C" w:rsidRPr="0077671B" w:rsidRDefault="00273C2C" w:rsidP="0077671B">
      <w:pPr>
        <w:contextualSpacing/>
        <w:jc w:val="both"/>
        <w:rPr>
          <w:rFonts w:cs="Times New Roman"/>
          <w:b/>
          <w:i/>
          <w:szCs w:val="24"/>
        </w:rPr>
      </w:pPr>
    </w:p>
    <w:p w:rsidR="0077671B" w:rsidRDefault="00363231" w:rsidP="0077671B">
      <w:pPr>
        <w:contextualSpacing/>
        <w:jc w:val="both"/>
        <w:rPr>
          <w:rFonts w:cs="Times New Roman"/>
          <w:i/>
          <w:sz w:val="20"/>
          <w:szCs w:val="20"/>
        </w:rPr>
      </w:pPr>
      <w:r>
        <w:rPr>
          <w:rFonts w:cs="Times New Roman"/>
          <w:i/>
          <w:sz w:val="20"/>
          <w:szCs w:val="20"/>
        </w:rPr>
        <w:t>Political s</w:t>
      </w:r>
      <w:r w:rsidR="0077671B" w:rsidRPr="0077671B">
        <w:rPr>
          <w:rFonts w:cs="Times New Roman"/>
          <w:i/>
          <w:sz w:val="20"/>
          <w:szCs w:val="20"/>
        </w:rPr>
        <w:t>cientists have argued that</w:t>
      </w:r>
      <w:r w:rsidR="0077671B">
        <w:rPr>
          <w:rFonts w:cs="Times New Roman"/>
          <w:i/>
          <w:sz w:val="20"/>
          <w:szCs w:val="20"/>
        </w:rPr>
        <w:t xml:space="preserve"> interest group ratings of roll </w:t>
      </w:r>
      <w:r w:rsidR="0077671B" w:rsidRPr="0077671B">
        <w:rPr>
          <w:rFonts w:cs="Times New Roman"/>
          <w:i/>
          <w:sz w:val="20"/>
          <w:szCs w:val="20"/>
        </w:rPr>
        <w:t xml:space="preserve">call data are misleading in that they overstate the ideological </w:t>
      </w:r>
      <w:r>
        <w:rPr>
          <w:rFonts w:cs="Times New Roman"/>
          <w:i/>
          <w:sz w:val="20"/>
          <w:szCs w:val="20"/>
        </w:rPr>
        <w:t>radicalism and bipolarity of</w:t>
      </w:r>
      <w:r w:rsidR="0077671B" w:rsidRPr="0077671B">
        <w:rPr>
          <w:rFonts w:cs="Times New Roman"/>
          <w:i/>
          <w:sz w:val="20"/>
          <w:szCs w:val="20"/>
        </w:rPr>
        <w:t xml:space="preserve"> Congress (Snyder 1992; Poole &amp; Rosenthal 1998). Furthermore, some sc</w:t>
      </w:r>
      <w:r w:rsidR="0077671B">
        <w:rPr>
          <w:rFonts w:cs="Times New Roman"/>
          <w:i/>
          <w:sz w:val="20"/>
          <w:szCs w:val="20"/>
        </w:rPr>
        <w:t xml:space="preserve">holars have suggested that roll </w:t>
      </w:r>
      <w:r w:rsidR="0077671B" w:rsidRPr="0077671B">
        <w:rPr>
          <w:rFonts w:cs="Times New Roman"/>
          <w:i/>
          <w:sz w:val="20"/>
          <w:szCs w:val="20"/>
        </w:rPr>
        <w:t>call voting in Congress is multi</w:t>
      </w:r>
      <w:r w:rsidR="002144EF">
        <w:rPr>
          <w:rFonts w:cs="Times New Roman"/>
          <w:i/>
          <w:sz w:val="20"/>
          <w:szCs w:val="20"/>
        </w:rPr>
        <w:t>-</w:t>
      </w:r>
      <w:r w:rsidR="0077671B" w:rsidRPr="0077671B">
        <w:rPr>
          <w:rFonts w:cs="Times New Roman"/>
          <w:i/>
          <w:sz w:val="20"/>
          <w:szCs w:val="20"/>
        </w:rPr>
        <w:t xml:space="preserve">dimensional (Wilcox &amp; Clausen 1991; Jackson &amp; Kingdon 1992) while others have claimed that a single liberal-conservative dimension accounts for most </w:t>
      </w:r>
      <w:r w:rsidR="00273C2C">
        <w:rPr>
          <w:rFonts w:cs="Times New Roman"/>
          <w:i/>
          <w:sz w:val="20"/>
          <w:szCs w:val="20"/>
        </w:rPr>
        <w:t xml:space="preserve">of the </w:t>
      </w:r>
      <w:r w:rsidR="0077671B" w:rsidRPr="0077671B">
        <w:rPr>
          <w:rFonts w:cs="Times New Roman"/>
          <w:i/>
          <w:sz w:val="20"/>
          <w:szCs w:val="20"/>
        </w:rPr>
        <w:t>variation in voting behavior and interest group scores (Poole 1981; Poole &amp; Rosenthal 1998</w:t>
      </w:r>
      <w:r w:rsidR="00FC306C">
        <w:rPr>
          <w:rFonts w:cs="Times New Roman"/>
          <w:i/>
          <w:sz w:val="20"/>
          <w:szCs w:val="20"/>
        </w:rPr>
        <w:t>,</w:t>
      </w:r>
      <w:r w:rsidR="00273C2C">
        <w:rPr>
          <w:rFonts w:cs="Times New Roman"/>
          <w:i/>
          <w:sz w:val="20"/>
          <w:szCs w:val="20"/>
        </w:rPr>
        <w:t xml:space="preserve"> 2007). Ratings for s</w:t>
      </w:r>
      <w:r w:rsidR="0077671B" w:rsidRPr="0077671B">
        <w:rPr>
          <w:rFonts w:cs="Times New Roman"/>
          <w:i/>
          <w:sz w:val="20"/>
          <w:szCs w:val="20"/>
        </w:rPr>
        <w:t xml:space="preserve">enators were collected from nine major interest groups, as well as </w:t>
      </w:r>
      <w:r w:rsidR="00273C2C">
        <w:rPr>
          <w:rFonts w:cs="Times New Roman"/>
          <w:i/>
          <w:sz w:val="20"/>
          <w:szCs w:val="20"/>
        </w:rPr>
        <w:t xml:space="preserve">were </w:t>
      </w:r>
      <w:r w:rsidR="0077671B" w:rsidRPr="0077671B">
        <w:rPr>
          <w:rFonts w:cs="Times New Roman"/>
          <w:i/>
          <w:sz w:val="20"/>
          <w:szCs w:val="20"/>
        </w:rPr>
        <w:t>National Journal and DW-NOMINATE scores, for the 110</w:t>
      </w:r>
      <w:r w:rsidR="0077671B" w:rsidRPr="00027916">
        <w:rPr>
          <w:rFonts w:cs="Times New Roman"/>
          <w:i/>
          <w:sz w:val="20"/>
          <w:szCs w:val="20"/>
          <w:vertAlign w:val="superscript"/>
        </w:rPr>
        <w:t>th</w:t>
      </w:r>
      <w:r w:rsidR="0077671B" w:rsidRPr="0077671B">
        <w:rPr>
          <w:rFonts w:cs="Times New Roman"/>
          <w:i/>
          <w:sz w:val="20"/>
          <w:szCs w:val="20"/>
        </w:rPr>
        <w:t>-112</w:t>
      </w:r>
      <w:r w:rsidR="0077671B" w:rsidRPr="00027916">
        <w:rPr>
          <w:rFonts w:cs="Times New Roman"/>
          <w:i/>
          <w:sz w:val="20"/>
          <w:szCs w:val="20"/>
          <w:vertAlign w:val="superscript"/>
        </w:rPr>
        <w:t>th</w:t>
      </w:r>
      <w:r w:rsidR="00027916">
        <w:rPr>
          <w:rFonts w:cs="Times New Roman"/>
          <w:i/>
          <w:sz w:val="20"/>
          <w:szCs w:val="20"/>
        </w:rPr>
        <w:t xml:space="preserve"> </w:t>
      </w:r>
      <w:r w:rsidR="0077671B" w:rsidRPr="0077671B">
        <w:rPr>
          <w:rFonts w:cs="Times New Roman"/>
          <w:i/>
          <w:sz w:val="20"/>
          <w:szCs w:val="20"/>
        </w:rPr>
        <w:t>sessions of C</w:t>
      </w:r>
      <w:r w:rsidR="00273C2C">
        <w:rPr>
          <w:rFonts w:cs="Times New Roman"/>
          <w:i/>
          <w:sz w:val="20"/>
          <w:szCs w:val="20"/>
        </w:rPr>
        <w:t>ongress. Factor analysis revealed</w:t>
      </w:r>
      <w:r w:rsidR="0077671B" w:rsidRPr="0077671B">
        <w:rPr>
          <w:rFonts w:cs="Times New Roman"/>
          <w:i/>
          <w:sz w:val="20"/>
          <w:szCs w:val="20"/>
        </w:rPr>
        <w:t xml:space="preserve"> that interest group scores are not only highly correlated with each other, but also with more moderate rating</w:t>
      </w:r>
      <w:r w:rsidR="002144EF">
        <w:rPr>
          <w:rFonts w:cs="Times New Roman"/>
          <w:i/>
          <w:sz w:val="20"/>
          <w:szCs w:val="20"/>
        </w:rPr>
        <w:t>s</w:t>
      </w:r>
      <w:r w:rsidR="0077671B" w:rsidRPr="0077671B">
        <w:rPr>
          <w:rFonts w:cs="Times New Roman"/>
          <w:i/>
          <w:sz w:val="20"/>
          <w:szCs w:val="20"/>
        </w:rPr>
        <w:t xml:space="preserve"> systems. Additionally, all </w:t>
      </w:r>
      <w:r w:rsidR="00273C2C">
        <w:rPr>
          <w:rFonts w:cs="Times New Roman"/>
          <w:i/>
          <w:sz w:val="20"/>
          <w:szCs w:val="20"/>
        </w:rPr>
        <w:t xml:space="preserve">of </w:t>
      </w:r>
      <w:r w:rsidR="0077671B" w:rsidRPr="0077671B">
        <w:rPr>
          <w:rFonts w:cs="Times New Roman"/>
          <w:i/>
          <w:sz w:val="20"/>
          <w:szCs w:val="20"/>
        </w:rPr>
        <w:t>t</w:t>
      </w:r>
      <w:r w:rsidR="00376FAD">
        <w:rPr>
          <w:rFonts w:cs="Times New Roman"/>
          <w:i/>
          <w:sz w:val="20"/>
          <w:szCs w:val="20"/>
        </w:rPr>
        <w:t>he ratings loaded onto a single extracted</w:t>
      </w:r>
      <w:r w:rsidR="000D143E">
        <w:rPr>
          <w:rFonts w:cs="Times New Roman"/>
          <w:i/>
          <w:sz w:val="20"/>
          <w:szCs w:val="20"/>
        </w:rPr>
        <w:t xml:space="preserve"> </w:t>
      </w:r>
      <w:r w:rsidR="00273C2C">
        <w:rPr>
          <w:rFonts w:cs="Times New Roman"/>
          <w:i/>
          <w:sz w:val="20"/>
          <w:szCs w:val="20"/>
        </w:rPr>
        <w:t>factor. Finally, ANOVA revealed</w:t>
      </w:r>
      <w:r w:rsidR="0077671B" w:rsidRPr="0077671B">
        <w:rPr>
          <w:rFonts w:cs="Times New Roman"/>
          <w:i/>
          <w:sz w:val="20"/>
          <w:szCs w:val="20"/>
        </w:rPr>
        <w:t xml:space="preserve"> that partisanship accounts for </w:t>
      </w:r>
      <w:r w:rsidR="00273C2C">
        <w:rPr>
          <w:rFonts w:cs="Times New Roman"/>
          <w:i/>
          <w:sz w:val="20"/>
          <w:szCs w:val="20"/>
        </w:rPr>
        <w:t>almost all of the variation in s</w:t>
      </w:r>
      <w:r w:rsidR="0077671B" w:rsidRPr="0077671B">
        <w:rPr>
          <w:rFonts w:cs="Times New Roman"/>
          <w:i/>
          <w:sz w:val="20"/>
          <w:szCs w:val="20"/>
        </w:rPr>
        <w:t>enators’ ratings, regardless of the source. The</w:t>
      </w:r>
      <w:r w:rsidR="00273C2C">
        <w:rPr>
          <w:rFonts w:cs="Times New Roman"/>
          <w:i/>
          <w:sz w:val="20"/>
          <w:szCs w:val="20"/>
        </w:rPr>
        <w:t>se</w:t>
      </w:r>
      <w:r w:rsidR="0077671B" w:rsidRPr="0077671B">
        <w:rPr>
          <w:rFonts w:cs="Times New Roman"/>
          <w:i/>
          <w:sz w:val="20"/>
          <w:szCs w:val="20"/>
        </w:rPr>
        <w:t xml:space="preserve"> analyses suggest that interest group ratings are not as extreme as commonly believed</w:t>
      </w:r>
      <w:r w:rsidR="00273C2C">
        <w:rPr>
          <w:rFonts w:cs="Times New Roman"/>
          <w:i/>
          <w:sz w:val="20"/>
          <w:szCs w:val="20"/>
        </w:rPr>
        <w:t>,</w:t>
      </w:r>
      <w:r w:rsidR="0077671B" w:rsidRPr="0077671B">
        <w:rPr>
          <w:rFonts w:cs="Times New Roman"/>
          <w:i/>
          <w:sz w:val="20"/>
          <w:szCs w:val="20"/>
        </w:rPr>
        <w:t xml:space="preserve"> and that Congress is indeed polarized along a partisan dimension.</w:t>
      </w:r>
    </w:p>
    <w:p w:rsidR="0067303A" w:rsidRPr="0077671B" w:rsidRDefault="004B58F0" w:rsidP="0077671B">
      <w:pPr>
        <w:contextualSpacing/>
        <w:jc w:val="both"/>
        <w:rPr>
          <w:rFonts w:cs="Times New Roman"/>
          <w:i/>
          <w:sz w:val="20"/>
          <w:szCs w:val="20"/>
        </w:rPr>
      </w:pPr>
      <w:r>
        <w:rPr>
          <w:rFonts w:cs="Times New Roman"/>
          <w:i/>
          <w:noProof/>
          <w:sz w:val="20"/>
          <w:szCs w:val="20"/>
        </w:rPr>
        <mc:AlternateContent>
          <mc:Choice Requires="wps">
            <w:drawing>
              <wp:anchor distT="0" distB="0" distL="114300" distR="114300" simplePos="0" relativeHeight="251659264" behindDoc="0" locked="0" layoutInCell="1" allowOverlap="1">
                <wp:simplePos x="0" y="0"/>
                <wp:positionH relativeFrom="column">
                  <wp:posOffset>9524</wp:posOffset>
                </wp:positionH>
                <wp:positionV relativeFrom="paragraph">
                  <wp:posOffset>64135</wp:posOffset>
                </wp:positionV>
                <wp:extent cx="59721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9721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F26F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5.05pt" to="47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" strokecolor="black [3200]" strokeweight=".5pt">
                <v:stroke joinstyle="miter"/>
              </v:line>
            </w:pict>
          </mc:Fallback>
        </mc:AlternateContent>
      </w:r>
    </w:p>
    <w:p w:rsidR="00273C2C" w:rsidRDefault="00273C2C" w:rsidP="00C9229F">
      <w:pPr>
        <w:spacing w:line="480" w:lineRule="auto"/>
        <w:contextualSpacing/>
        <w:jc w:val="both"/>
        <w:rPr>
          <w:rFonts w:cs="Times New Roman"/>
          <w:b/>
          <w:i/>
          <w:szCs w:val="24"/>
        </w:rPr>
      </w:pPr>
    </w:p>
    <w:p w:rsidR="00A411ED" w:rsidRDefault="00B46761" w:rsidP="00C9229F">
      <w:pPr>
        <w:spacing w:line="480" w:lineRule="auto"/>
        <w:contextualSpacing/>
        <w:jc w:val="both"/>
        <w:rPr>
          <w:rFonts w:cs="Times New Roman"/>
          <w:szCs w:val="24"/>
        </w:rPr>
      </w:pPr>
      <w:r>
        <w:rPr>
          <w:rFonts w:cs="Times New Roman"/>
          <w:b/>
          <w:i/>
          <w:szCs w:val="24"/>
        </w:rPr>
        <w:t>Introduction</w:t>
      </w:r>
    </w:p>
    <w:p w:rsidR="00D868F7" w:rsidRDefault="00D868F7" w:rsidP="004B58F0">
      <w:pPr>
        <w:spacing w:line="480" w:lineRule="auto"/>
        <w:ind w:firstLine="720"/>
        <w:jc w:val="both"/>
      </w:pPr>
      <w:r>
        <w:t>Interest group</w:t>
      </w:r>
      <w:r w:rsidR="009946C7">
        <w:t>s</w:t>
      </w:r>
      <w:r>
        <w:t xml:space="preserve"> exert a profound influence on American politics. </w:t>
      </w:r>
      <w:r w:rsidR="00515648">
        <w:t>The First Amendment to the Constitution guarantees the right to free speech, the freedom to organize and assemble, and the right</w:t>
      </w:r>
      <w:r w:rsidR="00A03730">
        <w:t xml:space="preserve"> to</w:t>
      </w:r>
      <w:r w:rsidR="00515648">
        <w:t xml:space="preserve"> petition </w:t>
      </w:r>
      <w:r w:rsidR="00A03730">
        <w:t xml:space="preserve">the </w:t>
      </w:r>
      <w:r w:rsidR="00515648">
        <w:t xml:space="preserve">government. </w:t>
      </w:r>
      <w:r w:rsidR="00365354">
        <w:t>Organized interests</w:t>
      </w:r>
      <w:r w:rsidR="00515648">
        <w:t xml:space="preserve"> have increasingly exercised these rights to affect </w:t>
      </w:r>
      <w:r w:rsidR="00A03730">
        <w:t xml:space="preserve">local, state, and </w:t>
      </w:r>
      <w:r w:rsidR="0075489F">
        <w:t>federal government</w:t>
      </w:r>
      <w:r w:rsidR="00273C2C">
        <w:t>s</w:t>
      </w:r>
      <w:r w:rsidR="00515648">
        <w:t xml:space="preserve">. </w:t>
      </w:r>
      <w:r w:rsidR="009946C7">
        <w:t xml:space="preserve">Environmental groups such as the League of Conservation Voters (LCV), public unions such as the AFL-CIO, </w:t>
      </w:r>
      <w:r w:rsidR="00A03730">
        <w:t>business interest</w:t>
      </w:r>
      <w:r w:rsidR="00273C2C">
        <w:t xml:space="preserve"> groups</w:t>
      </w:r>
      <w:r w:rsidR="00A03730">
        <w:t xml:space="preserve"> such as the National Taxpayers Union (NTU), </w:t>
      </w:r>
      <w:r w:rsidR="00273C2C">
        <w:t xml:space="preserve">and </w:t>
      </w:r>
      <w:r w:rsidR="009946C7">
        <w:t xml:space="preserve">religious organizations </w:t>
      </w:r>
      <w:r w:rsidR="00A03730">
        <w:t xml:space="preserve">like the Family Research Council (FRC) attempt to impact the decisions of elected officials. </w:t>
      </w:r>
      <w:r w:rsidR="00515648">
        <w:t xml:space="preserve">One way interest groups accomplish this is through campaign financing. </w:t>
      </w:r>
      <w:r>
        <w:t xml:space="preserve">In the 2010 congressional midterm elections, interest groups spent approximately $700 million to influence </w:t>
      </w:r>
      <w:r w:rsidR="00515648">
        <w:t>voters’ choices</w:t>
      </w:r>
      <w:r>
        <w:t xml:space="preserve"> (Herrnson 2013). </w:t>
      </w:r>
      <w:r w:rsidR="00A03730">
        <w:t xml:space="preserve">The Supreme Court’s decision in </w:t>
      </w:r>
      <w:r w:rsidR="00A03730">
        <w:rPr>
          <w:i/>
        </w:rPr>
        <w:t xml:space="preserve">Citizens United v. Federal Election Commission </w:t>
      </w:r>
      <w:r w:rsidR="00A03730">
        <w:t xml:space="preserve">(2010) to overturn elements of the Bipartisan Campaign Reform Act (2002) </w:t>
      </w:r>
      <w:r w:rsidR="00273C2C">
        <w:t>should</w:t>
      </w:r>
      <w:r w:rsidR="0075489F">
        <w:t xml:space="preserve"> undoubtedly lead these organizations to increase their</w:t>
      </w:r>
      <w:r w:rsidR="00A03730">
        <w:t xml:space="preserve"> campaign spending. </w:t>
      </w:r>
      <w:r w:rsidR="00B508C3">
        <w:t xml:space="preserve">Super PACs can now donate money to political candidates without revealing the identities of their financial supporters. </w:t>
      </w:r>
      <w:r w:rsidR="00273C2C">
        <w:t xml:space="preserve">Moreover, interest groups </w:t>
      </w:r>
      <w:r w:rsidR="00515648">
        <w:t xml:space="preserve">lobby legislators and </w:t>
      </w:r>
      <w:r w:rsidR="00A03730">
        <w:t>rule-makers</w:t>
      </w:r>
      <w:r w:rsidR="00273C2C">
        <w:t>, attempting</w:t>
      </w:r>
      <w:r w:rsidR="00515648">
        <w:t xml:space="preserve"> to craft favorable laws and regulations. For example, </w:t>
      </w:r>
      <w:r w:rsidR="00515648">
        <w:lastRenderedPageBreak/>
        <w:t xml:space="preserve">the Chamber of Commerce </w:t>
      </w:r>
      <w:r>
        <w:t>spent $132</w:t>
      </w:r>
      <w:r w:rsidR="00515648">
        <w:t xml:space="preserve"> million in 2010 on efforts to a</w:t>
      </w:r>
      <w:r>
        <w:t xml:space="preserve">ffect </w:t>
      </w:r>
      <w:r w:rsidR="00515648">
        <w:t xml:space="preserve">congressional </w:t>
      </w:r>
      <w:r>
        <w:t xml:space="preserve">legislation (Boatright 2013). </w:t>
      </w:r>
    </w:p>
    <w:p w:rsidR="000D685F" w:rsidRDefault="0075489F" w:rsidP="004B58F0">
      <w:pPr>
        <w:spacing w:line="480" w:lineRule="auto"/>
        <w:ind w:firstLine="720"/>
        <w:contextualSpacing/>
        <w:jc w:val="both"/>
        <w:rPr>
          <w:rFonts w:cs="Times New Roman"/>
          <w:szCs w:val="24"/>
        </w:rPr>
      </w:pPr>
      <w:r>
        <w:rPr>
          <w:rFonts w:cs="Times New Roman"/>
          <w:szCs w:val="24"/>
        </w:rPr>
        <w:t>Organized interests</w:t>
      </w:r>
      <w:r w:rsidR="00273C2C">
        <w:rPr>
          <w:rFonts w:cs="Times New Roman"/>
          <w:szCs w:val="24"/>
        </w:rPr>
        <w:t xml:space="preserve"> </w:t>
      </w:r>
      <w:r w:rsidR="00515648">
        <w:rPr>
          <w:rFonts w:cs="Times New Roman"/>
          <w:szCs w:val="24"/>
        </w:rPr>
        <w:t xml:space="preserve">seek to make their mark on </w:t>
      </w:r>
      <w:r w:rsidR="00273C2C">
        <w:rPr>
          <w:rFonts w:cs="Times New Roman"/>
          <w:szCs w:val="24"/>
        </w:rPr>
        <w:t xml:space="preserve">the </w:t>
      </w:r>
      <w:r w:rsidR="00515648">
        <w:rPr>
          <w:rFonts w:cs="Times New Roman"/>
          <w:szCs w:val="24"/>
        </w:rPr>
        <w:t xml:space="preserve">American government by providing </w:t>
      </w:r>
      <w:r w:rsidR="00A03730">
        <w:rPr>
          <w:rFonts w:cs="Times New Roman"/>
          <w:szCs w:val="24"/>
        </w:rPr>
        <w:t>information concerning th</w:t>
      </w:r>
      <w:r w:rsidR="00FA02F6">
        <w:rPr>
          <w:rFonts w:cs="Times New Roman"/>
          <w:szCs w:val="24"/>
        </w:rPr>
        <w:t>e activities of elected</w:t>
      </w:r>
      <w:r w:rsidR="00A03730">
        <w:rPr>
          <w:rFonts w:cs="Times New Roman"/>
          <w:szCs w:val="24"/>
        </w:rPr>
        <w:t xml:space="preserve"> officials to the general public</w:t>
      </w:r>
      <w:r w:rsidR="00FF22A1">
        <w:rPr>
          <w:rFonts w:cs="Times New Roman"/>
          <w:szCs w:val="24"/>
        </w:rPr>
        <w:t xml:space="preserve"> as well</w:t>
      </w:r>
      <w:r w:rsidR="00A03730">
        <w:rPr>
          <w:rFonts w:cs="Times New Roman"/>
          <w:szCs w:val="24"/>
        </w:rPr>
        <w:t xml:space="preserve">. Numerous interest groups generate annual or biennial </w:t>
      </w:r>
      <w:r w:rsidR="00515648">
        <w:rPr>
          <w:rFonts w:cs="Times New Roman"/>
          <w:szCs w:val="24"/>
        </w:rPr>
        <w:t xml:space="preserve">ratings of congressional representatives’ roll call </w:t>
      </w:r>
      <w:r w:rsidR="00A03730">
        <w:rPr>
          <w:rFonts w:cs="Times New Roman"/>
          <w:szCs w:val="24"/>
        </w:rPr>
        <w:t>voting records</w:t>
      </w:r>
      <w:r w:rsidR="002962E1">
        <w:rPr>
          <w:rFonts w:cs="Times New Roman"/>
          <w:szCs w:val="24"/>
        </w:rPr>
        <w:t>. Interest groups select a number of roll call votes to support or oppose</w:t>
      </w:r>
      <w:r w:rsidR="00273C2C">
        <w:rPr>
          <w:rFonts w:cs="Times New Roman"/>
          <w:szCs w:val="24"/>
        </w:rPr>
        <w:t>,</w:t>
      </w:r>
      <w:r w:rsidR="002962E1">
        <w:rPr>
          <w:rFonts w:cs="Times New Roman"/>
          <w:szCs w:val="24"/>
        </w:rPr>
        <w:t xml:space="preserve"> and </w:t>
      </w:r>
      <w:r w:rsidR="00273C2C">
        <w:rPr>
          <w:rFonts w:cs="Times New Roman"/>
          <w:szCs w:val="24"/>
        </w:rPr>
        <w:t xml:space="preserve">they then </w:t>
      </w:r>
      <w:r w:rsidR="002962E1">
        <w:rPr>
          <w:rFonts w:cs="Times New Roman"/>
          <w:szCs w:val="24"/>
        </w:rPr>
        <w:t>provide scores of congressional representatives, generally ranging from 0 to 100</w:t>
      </w:r>
      <w:r w:rsidR="00A03730">
        <w:rPr>
          <w:rFonts w:cs="Times New Roman"/>
          <w:szCs w:val="24"/>
        </w:rPr>
        <w:t>.</w:t>
      </w:r>
      <w:r w:rsidR="00FA02F6">
        <w:rPr>
          <w:rFonts w:cs="Times New Roman"/>
          <w:szCs w:val="24"/>
        </w:rPr>
        <w:t xml:space="preserve"> </w:t>
      </w:r>
      <w:r w:rsidR="003B35D1">
        <w:rPr>
          <w:rFonts w:cs="Times New Roman"/>
          <w:szCs w:val="24"/>
        </w:rPr>
        <w:t>The ratings</w:t>
      </w:r>
      <w:r w:rsidR="00273C2C">
        <w:rPr>
          <w:rFonts w:cs="Times New Roman"/>
          <w:szCs w:val="24"/>
        </w:rPr>
        <w:t>, for the most part,</w:t>
      </w:r>
      <w:r w:rsidR="003B35D1">
        <w:rPr>
          <w:rFonts w:cs="Times New Roman"/>
          <w:szCs w:val="24"/>
        </w:rPr>
        <w:t xml:space="preserve"> </w:t>
      </w:r>
      <w:r w:rsidR="00265243">
        <w:rPr>
          <w:rFonts w:cs="Times New Roman"/>
          <w:szCs w:val="24"/>
        </w:rPr>
        <w:t xml:space="preserve">represent the percentage of </w:t>
      </w:r>
      <w:r w:rsidR="003B35D1">
        <w:rPr>
          <w:rFonts w:cs="Times New Roman"/>
          <w:szCs w:val="24"/>
        </w:rPr>
        <w:t>time members of</w:t>
      </w:r>
      <w:r w:rsidR="00195846">
        <w:rPr>
          <w:rFonts w:cs="Times New Roman"/>
          <w:szCs w:val="24"/>
        </w:rPr>
        <w:t xml:space="preserve"> Congress vote in line with each </w:t>
      </w:r>
      <w:r w:rsidR="003B35D1">
        <w:rPr>
          <w:rFonts w:cs="Times New Roman"/>
          <w:szCs w:val="24"/>
        </w:rPr>
        <w:t xml:space="preserve">group’s objectives. </w:t>
      </w:r>
      <w:r w:rsidR="00FA02F6">
        <w:rPr>
          <w:rFonts w:cs="Times New Roman"/>
          <w:szCs w:val="24"/>
        </w:rPr>
        <w:t>For example, the American Civil Liberties Union (ACLU) rated senators from the 112</w:t>
      </w:r>
      <w:r w:rsidR="00FA02F6" w:rsidRPr="00FA02F6">
        <w:rPr>
          <w:rFonts w:cs="Times New Roman"/>
          <w:szCs w:val="24"/>
          <w:vertAlign w:val="superscript"/>
        </w:rPr>
        <w:t>th</w:t>
      </w:r>
      <w:r w:rsidR="000719D1">
        <w:rPr>
          <w:rFonts w:cs="Times New Roman"/>
          <w:szCs w:val="24"/>
        </w:rPr>
        <w:t xml:space="preserve"> Congress on five votes, including</w:t>
      </w:r>
      <w:r w:rsidR="00FA02F6">
        <w:rPr>
          <w:rFonts w:cs="Times New Roman"/>
          <w:szCs w:val="24"/>
        </w:rPr>
        <w:t xml:space="preserve"> the Paycheck Fairness Act, which would have required employers to demonstrate that wage differences for employees holding the same positions was due to factors other than gender.</w:t>
      </w:r>
      <w:r w:rsidR="00FD2FD2">
        <w:rPr>
          <w:rFonts w:cs="Times New Roman"/>
          <w:szCs w:val="24"/>
        </w:rPr>
        <w:t xml:space="preserve"> Senators who voted in favor of the bill </w:t>
      </w:r>
      <w:r w:rsidR="00190528">
        <w:rPr>
          <w:rFonts w:cs="Times New Roman"/>
          <w:szCs w:val="24"/>
        </w:rPr>
        <w:t>received 20 points on their ACLU scorecard whereas those who voted against the bill received a score of 0.</w:t>
      </w:r>
      <w:r w:rsidR="00E616F7">
        <w:rPr>
          <w:rFonts w:cs="Times New Roman"/>
          <w:szCs w:val="24"/>
        </w:rPr>
        <w:t xml:space="preserve"> Senators who voted in line wi</w:t>
      </w:r>
      <w:r w:rsidR="00195846">
        <w:rPr>
          <w:rFonts w:cs="Times New Roman"/>
          <w:szCs w:val="24"/>
        </w:rPr>
        <w:t xml:space="preserve">th the ACLU on all 5 votes </w:t>
      </w:r>
      <w:r w:rsidR="00E616F7">
        <w:rPr>
          <w:rFonts w:cs="Times New Roman"/>
          <w:szCs w:val="24"/>
        </w:rPr>
        <w:t>considered in their scorecards received an overall score of 100</w:t>
      </w:r>
      <w:r w:rsidR="00195846">
        <w:rPr>
          <w:rFonts w:cs="Times New Roman"/>
          <w:szCs w:val="24"/>
        </w:rPr>
        <w:t>,</w:t>
      </w:r>
      <w:r w:rsidR="00E616F7">
        <w:rPr>
          <w:rFonts w:cs="Times New Roman"/>
          <w:szCs w:val="24"/>
        </w:rPr>
        <w:t xml:space="preserve"> whereas those who opposed all of the group’s position</w:t>
      </w:r>
      <w:r w:rsidR="00195846">
        <w:rPr>
          <w:rFonts w:cs="Times New Roman"/>
          <w:szCs w:val="24"/>
        </w:rPr>
        <w:t>s</w:t>
      </w:r>
      <w:r w:rsidR="00E616F7">
        <w:rPr>
          <w:rFonts w:cs="Times New Roman"/>
          <w:szCs w:val="24"/>
        </w:rPr>
        <w:t xml:space="preserve"> receiv</w:t>
      </w:r>
      <w:r w:rsidR="00195846">
        <w:rPr>
          <w:rFonts w:cs="Times New Roman"/>
          <w:szCs w:val="24"/>
        </w:rPr>
        <w:t>ed a rating of 0;</w:t>
      </w:r>
      <w:r w:rsidR="00C75DB6">
        <w:rPr>
          <w:rFonts w:cs="Times New Roman"/>
          <w:szCs w:val="24"/>
        </w:rPr>
        <w:t xml:space="preserve"> all other representatives</w:t>
      </w:r>
      <w:r w:rsidR="00E616F7">
        <w:rPr>
          <w:rFonts w:cs="Times New Roman"/>
          <w:szCs w:val="24"/>
        </w:rPr>
        <w:t xml:space="preserve"> fell somewhere in between.</w:t>
      </w:r>
      <w:r w:rsidR="00900854">
        <w:rPr>
          <w:rFonts w:cs="Times New Roman"/>
          <w:szCs w:val="24"/>
        </w:rPr>
        <w:t xml:space="preserve"> Interest groups produce these ratings in hopes that they act as a </w:t>
      </w:r>
      <w:r w:rsidR="00265243">
        <w:rPr>
          <w:rFonts w:cs="Times New Roman"/>
          <w:szCs w:val="24"/>
        </w:rPr>
        <w:t xml:space="preserve">decision-making </w:t>
      </w:r>
      <w:r w:rsidR="00900854">
        <w:rPr>
          <w:rFonts w:cs="Times New Roman"/>
          <w:szCs w:val="24"/>
        </w:rPr>
        <w:t>heuristic shortcut for voters during elections.</w:t>
      </w:r>
    </w:p>
    <w:p w:rsidR="00195846" w:rsidRDefault="00FB6F62" w:rsidP="003F5CC2">
      <w:pPr>
        <w:spacing w:line="480" w:lineRule="auto"/>
        <w:ind w:firstLine="720"/>
        <w:contextualSpacing/>
        <w:jc w:val="both"/>
        <w:rPr>
          <w:rFonts w:cs="Times New Roman"/>
          <w:szCs w:val="24"/>
        </w:rPr>
      </w:pPr>
      <w:r>
        <w:rPr>
          <w:rFonts w:cs="Times New Roman"/>
          <w:szCs w:val="24"/>
        </w:rPr>
        <w:t>The purpose of this study is to determine whether interest group scorecards can be used to discover underlying roll call vo</w:t>
      </w:r>
      <w:r w:rsidR="00FD2FD2">
        <w:rPr>
          <w:rFonts w:cs="Times New Roman"/>
          <w:szCs w:val="24"/>
        </w:rPr>
        <w:t>ting patterns of United States s</w:t>
      </w:r>
      <w:r>
        <w:rPr>
          <w:rFonts w:cs="Times New Roman"/>
          <w:szCs w:val="24"/>
        </w:rPr>
        <w:t xml:space="preserve">enators. Specifically, we are interested in seeing if ratings generated by organized groups </w:t>
      </w:r>
      <w:r w:rsidR="00C75DB6">
        <w:rPr>
          <w:rFonts w:cs="Times New Roman"/>
          <w:szCs w:val="24"/>
        </w:rPr>
        <w:t xml:space="preserve">reveal partisan voting </w:t>
      </w:r>
      <w:r w:rsidR="00C75DB6" w:rsidRPr="00265243">
        <w:rPr>
          <w:rFonts w:cs="Times New Roman"/>
          <w:i/>
          <w:szCs w:val="24"/>
        </w:rPr>
        <w:t>or</w:t>
      </w:r>
      <w:r w:rsidR="00C75DB6">
        <w:rPr>
          <w:rFonts w:cs="Times New Roman"/>
          <w:szCs w:val="24"/>
        </w:rPr>
        <w:t xml:space="preserve"> issue-</w:t>
      </w:r>
      <w:r w:rsidR="00FD2FD2">
        <w:rPr>
          <w:rFonts w:cs="Times New Roman"/>
          <w:szCs w:val="24"/>
        </w:rPr>
        <w:t xml:space="preserve">oriented </w:t>
      </w:r>
      <w:r>
        <w:rPr>
          <w:rFonts w:cs="Times New Roman"/>
          <w:szCs w:val="24"/>
        </w:rPr>
        <w:t xml:space="preserve">voting in the Senate. </w:t>
      </w:r>
      <w:r w:rsidR="00C75DB6">
        <w:rPr>
          <w:rFonts w:cs="Times New Roman"/>
          <w:szCs w:val="24"/>
        </w:rPr>
        <w:t>Several</w:t>
      </w:r>
      <w:r w:rsidR="00C75DB6" w:rsidRPr="00C75DB6">
        <w:rPr>
          <w:rFonts w:cs="Times New Roman"/>
          <w:szCs w:val="24"/>
        </w:rPr>
        <w:t xml:space="preserve"> scholars have suggested that roll call voting in Congress is multi</w:t>
      </w:r>
      <w:r w:rsidR="00195846">
        <w:rPr>
          <w:rFonts w:cs="Times New Roman"/>
          <w:szCs w:val="24"/>
        </w:rPr>
        <w:t>-</w:t>
      </w:r>
      <w:r w:rsidR="00C75DB6" w:rsidRPr="00C75DB6">
        <w:rPr>
          <w:rFonts w:cs="Times New Roman"/>
          <w:szCs w:val="24"/>
        </w:rPr>
        <w:t>dimensional (Wilcox &amp; Clausen 1991; Jack</w:t>
      </w:r>
      <w:r w:rsidR="00195846">
        <w:rPr>
          <w:rFonts w:cs="Times New Roman"/>
          <w:szCs w:val="24"/>
        </w:rPr>
        <w:t xml:space="preserve">son &amp; Kingdon 1992) while other scholars </w:t>
      </w:r>
      <w:r w:rsidR="00C75DB6" w:rsidRPr="00C75DB6">
        <w:rPr>
          <w:rFonts w:cs="Times New Roman"/>
          <w:szCs w:val="24"/>
        </w:rPr>
        <w:t xml:space="preserve"> have claimed that a single liberal-conservative dimension accounts for most </w:t>
      </w:r>
      <w:r w:rsidR="00195846">
        <w:rPr>
          <w:rFonts w:cs="Times New Roman"/>
          <w:szCs w:val="24"/>
        </w:rPr>
        <w:t xml:space="preserve">of the </w:t>
      </w:r>
      <w:r w:rsidR="00C75DB6" w:rsidRPr="00C75DB6">
        <w:rPr>
          <w:rFonts w:cs="Times New Roman"/>
          <w:szCs w:val="24"/>
        </w:rPr>
        <w:t xml:space="preserve">variation in voting </w:t>
      </w:r>
      <w:r w:rsidR="00C75DB6" w:rsidRPr="00C75DB6">
        <w:rPr>
          <w:rFonts w:cs="Times New Roman"/>
          <w:szCs w:val="24"/>
        </w:rPr>
        <w:lastRenderedPageBreak/>
        <w:t>behavior and interest group scores (Poole 1981; Poole &amp; Rosenthal 1998</w:t>
      </w:r>
      <w:r w:rsidR="0015564E">
        <w:rPr>
          <w:rFonts w:cs="Times New Roman"/>
          <w:szCs w:val="24"/>
        </w:rPr>
        <w:t>,</w:t>
      </w:r>
      <w:r w:rsidR="00C75DB6" w:rsidRPr="00C75DB6">
        <w:rPr>
          <w:rFonts w:cs="Times New Roman"/>
          <w:szCs w:val="24"/>
        </w:rPr>
        <w:t xml:space="preserve"> 2007). </w:t>
      </w:r>
      <w:r w:rsidR="00195846">
        <w:rPr>
          <w:rFonts w:cs="Times New Roman"/>
          <w:szCs w:val="24"/>
        </w:rPr>
        <w:t>For the 110</w:t>
      </w:r>
      <w:r w:rsidR="00195846" w:rsidRPr="00195846">
        <w:rPr>
          <w:rFonts w:cs="Times New Roman"/>
          <w:szCs w:val="24"/>
          <w:vertAlign w:val="superscript"/>
        </w:rPr>
        <w:t>th</w:t>
      </w:r>
      <w:r w:rsidR="00195846">
        <w:rPr>
          <w:rFonts w:cs="Times New Roman"/>
          <w:szCs w:val="24"/>
        </w:rPr>
        <w:t xml:space="preserve"> through </w:t>
      </w:r>
      <w:r w:rsidR="00027916">
        <w:rPr>
          <w:rFonts w:cs="Times New Roman"/>
          <w:szCs w:val="24"/>
        </w:rPr>
        <w:t xml:space="preserve">the </w:t>
      </w:r>
      <w:r w:rsidR="00195846">
        <w:rPr>
          <w:rFonts w:cs="Times New Roman"/>
          <w:szCs w:val="24"/>
        </w:rPr>
        <w:t>112</w:t>
      </w:r>
      <w:r w:rsidR="00195846" w:rsidRPr="00195846">
        <w:rPr>
          <w:rFonts w:cs="Times New Roman"/>
          <w:szCs w:val="24"/>
          <w:vertAlign w:val="superscript"/>
        </w:rPr>
        <w:t>th</w:t>
      </w:r>
      <w:r w:rsidR="00195846">
        <w:rPr>
          <w:rFonts w:cs="Times New Roman"/>
          <w:szCs w:val="24"/>
        </w:rPr>
        <w:t xml:space="preserve"> sessions of Congress, using s</w:t>
      </w:r>
      <w:r>
        <w:rPr>
          <w:rFonts w:cs="Times New Roman"/>
          <w:szCs w:val="24"/>
        </w:rPr>
        <w:t>enators’ scorecard data from nine major interest groups, as well as National Journal and DW-Nominate scores, we find that o</w:t>
      </w:r>
      <w:r w:rsidR="00297536">
        <w:rPr>
          <w:rFonts w:cs="Times New Roman"/>
          <w:szCs w:val="24"/>
        </w:rPr>
        <w:t>ne sin</w:t>
      </w:r>
      <w:r w:rsidR="00195846">
        <w:rPr>
          <w:rFonts w:cs="Times New Roman"/>
          <w:szCs w:val="24"/>
        </w:rPr>
        <w:t>gle extracted</w:t>
      </w:r>
      <w:r w:rsidR="00297536">
        <w:rPr>
          <w:rFonts w:cs="Times New Roman"/>
          <w:szCs w:val="24"/>
        </w:rPr>
        <w:t xml:space="preserve"> factor</w:t>
      </w:r>
      <w:r>
        <w:rPr>
          <w:rFonts w:cs="Times New Roman"/>
          <w:szCs w:val="24"/>
        </w:rPr>
        <w:t xml:space="preserve"> accounts for vi</w:t>
      </w:r>
      <w:r w:rsidR="00195846">
        <w:rPr>
          <w:rFonts w:cs="Times New Roman"/>
          <w:szCs w:val="24"/>
        </w:rPr>
        <w:t>rtually all of the variance in s</w:t>
      </w:r>
      <w:r>
        <w:rPr>
          <w:rFonts w:cs="Times New Roman"/>
          <w:szCs w:val="24"/>
        </w:rPr>
        <w:t>enators’</w:t>
      </w:r>
      <w:r w:rsidR="00C75DB6">
        <w:rPr>
          <w:rFonts w:cs="Times New Roman"/>
          <w:szCs w:val="24"/>
        </w:rPr>
        <w:t xml:space="preserve"> </w:t>
      </w:r>
      <w:r w:rsidR="00297536">
        <w:rPr>
          <w:rFonts w:cs="Times New Roman"/>
          <w:szCs w:val="24"/>
        </w:rPr>
        <w:t xml:space="preserve">interest group </w:t>
      </w:r>
      <w:r w:rsidR="00C75DB6">
        <w:rPr>
          <w:rFonts w:cs="Times New Roman"/>
          <w:szCs w:val="24"/>
        </w:rPr>
        <w:t>ratings. Further</w:t>
      </w:r>
      <w:r w:rsidR="00A55C3E">
        <w:rPr>
          <w:rFonts w:cs="Times New Roman"/>
          <w:szCs w:val="24"/>
        </w:rPr>
        <w:t xml:space="preserve"> analysis indicates</w:t>
      </w:r>
      <w:r w:rsidR="00C75DB6">
        <w:rPr>
          <w:rFonts w:cs="Times New Roman"/>
          <w:szCs w:val="24"/>
        </w:rPr>
        <w:t xml:space="preserve"> that this underlying factor</w:t>
      </w:r>
      <w:r>
        <w:rPr>
          <w:rFonts w:cs="Times New Roman"/>
          <w:szCs w:val="24"/>
        </w:rPr>
        <w:t xml:space="preserve"> is pa</w:t>
      </w:r>
      <w:r w:rsidR="009C28D5">
        <w:rPr>
          <w:rFonts w:cs="Times New Roman"/>
          <w:szCs w:val="24"/>
        </w:rPr>
        <w:t>rtisan in nature and that it is not</w:t>
      </w:r>
      <w:r w:rsidR="00C75DB6">
        <w:rPr>
          <w:rFonts w:cs="Times New Roman"/>
          <w:szCs w:val="24"/>
        </w:rPr>
        <w:t xml:space="preserve"> only</w:t>
      </w:r>
      <w:r w:rsidR="00195846">
        <w:rPr>
          <w:rFonts w:cs="Times New Roman"/>
          <w:szCs w:val="24"/>
        </w:rPr>
        <w:t xml:space="preserve"> interest groups</w:t>
      </w:r>
      <w:r w:rsidR="009C28D5">
        <w:rPr>
          <w:rFonts w:cs="Times New Roman"/>
          <w:szCs w:val="24"/>
        </w:rPr>
        <w:t xml:space="preserve"> but </w:t>
      </w:r>
      <w:r w:rsidR="00027916">
        <w:rPr>
          <w:rFonts w:cs="Times New Roman"/>
          <w:szCs w:val="24"/>
        </w:rPr>
        <w:t xml:space="preserve">that </w:t>
      </w:r>
      <w:r w:rsidR="009C28D5">
        <w:rPr>
          <w:rFonts w:cs="Times New Roman"/>
          <w:szCs w:val="24"/>
        </w:rPr>
        <w:t>the Senate itself tha</w:t>
      </w:r>
      <w:r w:rsidR="00C75DB6">
        <w:rPr>
          <w:rFonts w:cs="Times New Roman"/>
          <w:szCs w:val="24"/>
        </w:rPr>
        <w:t xml:space="preserve">t is polarized along this </w:t>
      </w:r>
      <w:r w:rsidR="00F0530B">
        <w:rPr>
          <w:rFonts w:cs="Times New Roman"/>
          <w:szCs w:val="24"/>
        </w:rPr>
        <w:t>dimension</w:t>
      </w:r>
      <w:r w:rsidR="009C28D5">
        <w:rPr>
          <w:rFonts w:cs="Times New Roman"/>
          <w:szCs w:val="24"/>
        </w:rPr>
        <w:t>.</w:t>
      </w:r>
      <w:r w:rsidR="00FD2FD2">
        <w:rPr>
          <w:rFonts w:cs="Times New Roman"/>
          <w:szCs w:val="24"/>
        </w:rPr>
        <w:t xml:space="preserve"> The consequence of this extreme polarization in the contemporary </w:t>
      </w:r>
      <w:r w:rsidR="00C75DB6">
        <w:rPr>
          <w:rFonts w:cs="Times New Roman"/>
          <w:szCs w:val="24"/>
        </w:rPr>
        <w:t>Senate is l</w:t>
      </w:r>
      <w:r w:rsidR="00297536">
        <w:rPr>
          <w:rFonts w:cs="Times New Roman"/>
          <w:szCs w:val="24"/>
        </w:rPr>
        <w:t>egislative gridlock as evidenced</w:t>
      </w:r>
      <w:r w:rsidR="00C75DB6">
        <w:rPr>
          <w:rFonts w:cs="Times New Roman"/>
          <w:szCs w:val="24"/>
        </w:rPr>
        <w:t xml:space="preserve"> by the lack of productivity by recent sessions of the United States Congress.</w:t>
      </w:r>
    </w:p>
    <w:p w:rsidR="003F5CC2" w:rsidRPr="003F5CC2" w:rsidRDefault="003F5CC2" w:rsidP="003F5CC2">
      <w:pPr>
        <w:spacing w:line="480" w:lineRule="auto"/>
        <w:ind w:firstLine="720"/>
        <w:contextualSpacing/>
        <w:jc w:val="both"/>
        <w:rPr>
          <w:rFonts w:cs="Times New Roman"/>
          <w:szCs w:val="24"/>
        </w:rPr>
      </w:pPr>
    </w:p>
    <w:p w:rsidR="00B46761" w:rsidRDefault="00B46761" w:rsidP="00EC7545">
      <w:pPr>
        <w:spacing w:line="240" w:lineRule="auto"/>
        <w:contextualSpacing/>
        <w:jc w:val="both"/>
        <w:rPr>
          <w:rFonts w:cs="Times New Roman"/>
          <w:b/>
          <w:i/>
          <w:szCs w:val="24"/>
        </w:rPr>
      </w:pPr>
      <w:r>
        <w:rPr>
          <w:rFonts w:cs="Times New Roman"/>
          <w:b/>
          <w:i/>
          <w:szCs w:val="24"/>
        </w:rPr>
        <w:t>Literature Review</w:t>
      </w:r>
    </w:p>
    <w:p w:rsidR="0031420C" w:rsidRDefault="0031420C" w:rsidP="00EC7545">
      <w:pPr>
        <w:spacing w:line="240" w:lineRule="auto"/>
        <w:contextualSpacing/>
        <w:jc w:val="both"/>
        <w:rPr>
          <w:rFonts w:cs="Times New Roman"/>
          <w:b/>
          <w:i/>
          <w:szCs w:val="24"/>
        </w:rPr>
      </w:pPr>
    </w:p>
    <w:p w:rsidR="00806FFB" w:rsidRPr="00297536" w:rsidRDefault="00806FFB" w:rsidP="00297536">
      <w:pPr>
        <w:spacing w:line="480" w:lineRule="auto"/>
        <w:ind w:firstLine="720"/>
        <w:contextualSpacing/>
        <w:jc w:val="both"/>
        <w:rPr>
          <w:rFonts w:cs="Times New Roman"/>
          <w:szCs w:val="24"/>
        </w:rPr>
      </w:pPr>
      <w:r>
        <w:rPr>
          <w:rFonts w:cs="Times New Roman"/>
          <w:szCs w:val="24"/>
        </w:rPr>
        <w:t>Numerous studies have examined the relationship between ideology and interest group scorecards of members of Congress. Several scholars argue that interest group evaluations of congressional representatives exaggerate the influence of personal ideology on roll call voting and overstate the polarization existing between the two major parties (Jackson &amp; Kingdon 1992; Snyder 1992</w:t>
      </w:r>
      <w:r w:rsidR="00F16CEE">
        <w:rPr>
          <w:rFonts w:cs="Times New Roman"/>
          <w:szCs w:val="24"/>
        </w:rPr>
        <w:t>; Poole &amp; Rosenthal 1998, 2007</w:t>
      </w:r>
      <w:r>
        <w:rPr>
          <w:rFonts w:cs="Times New Roman"/>
          <w:szCs w:val="24"/>
        </w:rPr>
        <w:t>). However, Krehbiel (1994) suggests that the bias in interest group scorecards is minimal</w:t>
      </w:r>
      <w:r w:rsidR="00195846">
        <w:rPr>
          <w:rFonts w:cs="Times New Roman"/>
          <w:szCs w:val="24"/>
        </w:rPr>
        <w:t>,</w:t>
      </w:r>
      <w:r>
        <w:rPr>
          <w:rFonts w:cs="Times New Roman"/>
          <w:szCs w:val="24"/>
        </w:rPr>
        <w:t xml:space="preserve"> and </w:t>
      </w:r>
      <w:r w:rsidR="00195846">
        <w:rPr>
          <w:rFonts w:cs="Times New Roman"/>
          <w:szCs w:val="24"/>
        </w:rPr>
        <w:t xml:space="preserve">is </w:t>
      </w:r>
      <w:r>
        <w:rPr>
          <w:rFonts w:cs="Times New Roman"/>
          <w:szCs w:val="24"/>
        </w:rPr>
        <w:t>unlikely to lead to faulty inferences</w:t>
      </w:r>
      <w:r w:rsidR="00DA6A6C">
        <w:rPr>
          <w:rFonts w:cs="Times New Roman"/>
          <w:szCs w:val="24"/>
        </w:rPr>
        <w:t xml:space="preserve"> when using these data to evaluate roll call votes</w:t>
      </w:r>
      <w:r>
        <w:rPr>
          <w:rFonts w:cs="Times New Roman"/>
          <w:szCs w:val="24"/>
        </w:rPr>
        <w:t xml:space="preserve">. In other words, interest group ratings are not as extreme as commonly believed. </w:t>
      </w:r>
      <w:r w:rsidR="00DA6A6C">
        <w:rPr>
          <w:rFonts w:cs="Times New Roman"/>
          <w:szCs w:val="24"/>
        </w:rPr>
        <w:t xml:space="preserve">Brunell et al. (1999) argue that interest group scorecards are more useful in identifying partisan allies who deviate from the groups’ desired voting patterns than they are at distinguishing amongst their political enemies. </w:t>
      </w:r>
      <w:r w:rsidR="00297536">
        <w:rPr>
          <w:rFonts w:cs="Times New Roman"/>
          <w:szCs w:val="24"/>
        </w:rPr>
        <w:t>They find that interest groups cluster their opponents near the bottom of their ratings</w:t>
      </w:r>
      <w:r w:rsidR="00195846">
        <w:rPr>
          <w:rFonts w:cs="Times New Roman"/>
          <w:szCs w:val="24"/>
        </w:rPr>
        <w:t>,</w:t>
      </w:r>
      <w:r w:rsidR="00297536">
        <w:rPr>
          <w:rFonts w:cs="Times New Roman"/>
          <w:szCs w:val="24"/>
        </w:rPr>
        <w:t xml:space="preserve"> whereas they tend to make more refined distinctions among their friends in Congress. </w:t>
      </w:r>
      <w:r w:rsidR="00DA6A6C">
        <w:rPr>
          <w:rFonts w:cs="Times New Roman"/>
          <w:szCs w:val="24"/>
        </w:rPr>
        <w:t xml:space="preserve">Scholars </w:t>
      </w:r>
      <w:r>
        <w:rPr>
          <w:rFonts w:cs="Times New Roman"/>
          <w:szCs w:val="24"/>
        </w:rPr>
        <w:t xml:space="preserve">have </w:t>
      </w:r>
      <w:r w:rsidR="00DA6A6C">
        <w:rPr>
          <w:rFonts w:cs="Times New Roman"/>
          <w:szCs w:val="24"/>
        </w:rPr>
        <w:t xml:space="preserve">also </w:t>
      </w:r>
      <w:r>
        <w:rPr>
          <w:rFonts w:cs="Times New Roman"/>
          <w:szCs w:val="24"/>
        </w:rPr>
        <w:t xml:space="preserve">shown that </w:t>
      </w:r>
      <w:r w:rsidR="00DA6A6C">
        <w:rPr>
          <w:rFonts w:cs="Times New Roman"/>
          <w:szCs w:val="24"/>
        </w:rPr>
        <w:t xml:space="preserve">interest group scorecards are highly correlated with each other and academic measures of congressional roll call voting (Burden </w:t>
      </w:r>
      <w:r w:rsidR="00DA6A6C">
        <w:rPr>
          <w:rFonts w:cs="Times New Roman"/>
          <w:szCs w:val="24"/>
        </w:rPr>
        <w:lastRenderedPageBreak/>
        <w:t xml:space="preserve">et al. 2000; Poole &amp; Rosenthal 2007). </w:t>
      </w:r>
      <w:r w:rsidR="00924F5A">
        <w:rPr>
          <w:rFonts w:cs="Times New Roman"/>
          <w:szCs w:val="24"/>
        </w:rPr>
        <w:t xml:space="preserve">Poole and Rosenthal (1998) argue that an </w:t>
      </w:r>
      <w:r w:rsidR="00505826">
        <w:rPr>
          <w:rFonts w:cs="Times New Roman"/>
          <w:szCs w:val="24"/>
        </w:rPr>
        <w:t>“</w:t>
      </w:r>
      <w:r w:rsidR="00924F5A">
        <w:rPr>
          <w:rFonts w:cs="Times New Roman"/>
          <w:szCs w:val="24"/>
        </w:rPr>
        <w:t>economic</w:t>
      </w:r>
      <w:r w:rsidR="00505826">
        <w:rPr>
          <w:rFonts w:cs="Times New Roman"/>
          <w:szCs w:val="24"/>
        </w:rPr>
        <w:t>”</w:t>
      </w:r>
      <w:r w:rsidR="00924F5A">
        <w:rPr>
          <w:rFonts w:cs="Times New Roman"/>
          <w:szCs w:val="24"/>
        </w:rPr>
        <w:t xml:space="preserve"> dimension accounts</w:t>
      </w:r>
      <w:r w:rsidR="00DA6A6C">
        <w:rPr>
          <w:rFonts w:cs="Times New Roman"/>
          <w:szCs w:val="24"/>
        </w:rPr>
        <w:t xml:space="preserve"> for 75% of the variance </w:t>
      </w:r>
      <w:r w:rsidR="00924F5A">
        <w:rPr>
          <w:rFonts w:cs="Times New Roman"/>
          <w:szCs w:val="24"/>
        </w:rPr>
        <w:t>in interest group evaluations</w:t>
      </w:r>
      <w:r w:rsidR="00195846">
        <w:rPr>
          <w:rFonts w:cs="Times New Roman"/>
          <w:szCs w:val="24"/>
        </w:rPr>
        <w:t>,</w:t>
      </w:r>
      <w:r w:rsidR="00924F5A">
        <w:rPr>
          <w:rFonts w:cs="Times New Roman"/>
          <w:szCs w:val="24"/>
        </w:rPr>
        <w:t xml:space="preserve"> </w:t>
      </w:r>
      <w:r w:rsidR="00DA6A6C">
        <w:rPr>
          <w:rFonts w:cs="Times New Roman"/>
          <w:szCs w:val="24"/>
        </w:rPr>
        <w:t xml:space="preserve">whereas a </w:t>
      </w:r>
      <w:r w:rsidR="00505826">
        <w:rPr>
          <w:rFonts w:cs="Times New Roman"/>
          <w:szCs w:val="24"/>
        </w:rPr>
        <w:t>“</w:t>
      </w:r>
      <w:r w:rsidR="00DA6A6C">
        <w:rPr>
          <w:rFonts w:cs="Times New Roman"/>
          <w:szCs w:val="24"/>
        </w:rPr>
        <w:t>social issues</w:t>
      </w:r>
      <w:r w:rsidR="00505826">
        <w:rPr>
          <w:rFonts w:cs="Times New Roman"/>
          <w:szCs w:val="24"/>
        </w:rPr>
        <w:t>”</w:t>
      </w:r>
      <w:r w:rsidR="00DA6A6C">
        <w:rPr>
          <w:rFonts w:cs="Times New Roman"/>
          <w:szCs w:val="24"/>
        </w:rPr>
        <w:t xml:space="preserve"> </w:t>
      </w:r>
      <w:r w:rsidR="00924F5A">
        <w:rPr>
          <w:rFonts w:cs="Times New Roman"/>
          <w:szCs w:val="24"/>
        </w:rPr>
        <w:t>component accounts</w:t>
      </w:r>
      <w:r w:rsidR="00DA6A6C">
        <w:rPr>
          <w:rFonts w:cs="Times New Roman"/>
          <w:szCs w:val="24"/>
        </w:rPr>
        <w:t xml:space="preserve"> for 5% of the </w:t>
      </w:r>
      <w:r w:rsidR="00924F5A">
        <w:rPr>
          <w:rFonts w:cs="Times New Roman"/>
          <w:szCs w:val="24"/>
        </w:rPr>
        <w:t>difference in scorecard ratings. However, Poole (1981) contends</w:t>
      </w:r>
      <w:r w:rsidR="00DA6A6C">
        <w:rPr>
          <w:rFonts w:cs="Times New Roman"/>
          <w:szCs w:val="24"/>
        </w:rPr>
        <w:t xml:space="preserve"> that a single </w:t>
      </w:r>
      <w:r w:rsidR="00297536">
        <w:rPr>
          <w:rFonts w:cs="Times New Roman"/>
          <w:szCs w:val="24"/>
        </w:rPr>
        <w:t xml:space="preserve">liberal-conservative </w:t>
      </w:r>
      <w:r w:rsidR="00DA6A6C">
        <w:rPr>
          <w:rFonts w:cs="Times New Roman"/>
          <w:szCs w:val="24"/>
        </w:rPr>
        <w:t xml:space="preserve">ideological dimension accounts for 80% of the variance in </w:t>
      </w:r>
      <w:r w:rsidR="00924F5A">
        <w:rPr>
          <w:rFonts w:cs="Times New Roman"/>
          <w:szCs w:val="24"/>
        </w:rPr>
        <w:t>interest group ratings of members of Congress</w:t>
      </w:r>
      <w:r w:rsidR="00DA6A6C">
        <w:rPr>
          <w:rFonts w:cs="Times New Roman"/>
          <w:szCs w:val="24"/>
        </w:rPr>
        <w:t>.</w:t>
      </w:r>
    </w:p>
    <w:p w:rsidR="00B46761" w:rsidRPr="00910BBA" w:rsidRDefault="00B46761" w:rsidP="00297536">
      <w:pPr>
        <w:spacing w:line="480" w:lineRule="auto"/>
        <w:contextualSpacing/>
        <w:jc w:val="both"/>
        <w:rPr>
          <w:rFonts w:cs="Times New Roman"/>
          <w:szCs w:val="24"/>
        </w:rPr>
      </w:pPr>
      <w:r w:rsidRPr="00910BBA">
        <w:rPr>
          <w:rFonts w:cs="Times New Roman"/>
          <w:szCs w:val="24"/>
        </w:rPr>
        <w:tab/>
        <w:t>Existing scholarship on the effects of party affiliation in Congress is primarily focused on the House of Representatives. Cooper and Brady (1981) laid the foundations for the current research on the role parties play in Congress when they argued that higher levels of party unity resulted in broader grants of powers to party leaders, as was the case with Speakers Reed and Cannon (See also Brady et al. 1979). Rohde and Aldrich built on this framework and developed the theory of Conditional Party Government (Rohde 1991; Aldrich 2011; Aldrich &amp; Rohde 1997-1998, 2009). CPG holds that party effects increase when with</w:t>
      </w:r>
      <w:r w:rsidR="00363231">
        <w:rPr>
          <w:rFonts w:cs="Times New Roman"/>
          <w:szCs w:val="24"/>
        </w:rPr>
        <w:t>in-</w:t>
      </w:r>
      <w:r w:rsidRPr="00910BBA">
        <w:rPr>
          <w:rFonts w:cs="Times New Roman"/>
          <w:szCs w:val="24"/>
        </w:rPr>
        <w:t xml:space="preserve">party homogeneity </w:t>
      </w:r>
      <w:r w:rsidRPr="00910BBA">
        <w:rPr>
          <w:rFonts w:cs="Times New Roman"/>
          <w:i/>
          <w:szCs w:val="24"/>
        </w:rPr>
        <w:t>and</w:t>
      </w:r>
      <w:r w:rsidRPr="00910BBA">
        <w:rPr>
          <w:rFonts w:cs="Times New Roman"/>
          <w:szCs w:val="24"/>
        </w:rPr>
        <w:t xml:space="preserve"> between</w:t>
      </w:r>
      <w:r w:rsidR="009004D6">
        <w:rPr>
          <w:rFonts w:cs="Times New Roman"/>
          <w:szCs w:val="24"/>
        </w:rPr>
        <w:t>-</w:t>
      </w:r>
      <w:r w:rsidRPr="00910BBA">
        <w:rPr>
          <w:rFonts w:cs="Times New Roman"/>
          <w:szCs w:val="24"/>
        </w:rPr>
        <w:t xml:space="preserve">party heterogeneity increase. In other words, polarization is a necessary condition of strong party leadership. </w:t>
      </w:r>
      <w:r w:rsidR="0049715E">
        <w:rPr>
          <w:rFonts w:cs="Times New Roman"/>
          <w:szCs w:val="24"/>
        </w:rPr>
        <w:t xml:space="preserve">Furthermore, </w:t>
      </w:r>
      <w:r w:rsidRPr="00910BBA">
        <w:rPr>
          <w:rFonts w:cs="Times New Roman"/>
          <w:szCs w:val="24"/>
        </w:rPr>
        <w:t xml:space="preserve">Cox and McCubbins (1993, 2005) have argued that parties act as procedural coalitions that control the legislative agenda through the adoption of formal and informal rules (See also Binder 1997; Finocchiaro and Rohde 2008). </w:t>
      </w:r>
    </w:p>
    <w:p w:rsidR="00B46761" w:rsidRPr="00910BBA" w:rsidRDefault="00CE31FD" w:rsidP="00C9229F">
      <w:pPr>
        <w:spacing w:line="480" w:lineRule="auto"/>
        <w:ind w:firstLine="720"/>
        <w:contextualSpacing/>
        <w:jc w:val="both"/>
        <w:rPr>
          <w:rFonts w:cs="Times New Roman"/>
          <w:szCs w:val="24"/>
        </w:rPr>
      </w:pPr>
      <w:r>
        <w:rPr>
          <w:rFonts w:cs="Times New Roman"/>
          <w:szCs w:val="24"/>
        </w:rPr>
        <w:t>Several academics</w:t>
      </w:r>
      <w:r w:rsidR="00B46761" w:rsidRPr="00910BBA">
        <w:rPr>
          <w:rFonts w:cs="Times New Roman"/>
          <w:szCs w:val="24"/>
        </w:rPr>
        <w:t xml:space="preserve"> have specifically examined the effects of partisanship on congressional roll call voting. One group argues that roll call voting</w:t>
      </w:r>
      <w:r w:rsidR="009004D6">
        <w:rPr>
          <w:rFonts w:cs="Times New Roman"/>
          <w:szCs w:val="24"/>
        </w:rPr>
        <w:t xml:space="preserve"> occurs along a single liberal-conservative dimension</w:t>
      </w:r>
      <w:r w:rsidR="00B46761" w:rsidRPr="00910BBA">
        <w:rPr>
          <w:rFonts w:cs="Times New Roman"/>
          <w:szCs w:val="24"/>
        </w:rPr>
        <w:t xml:space="preserve"> (Cox and Poole 2002; Levitt 1996; Poole and Daniels 1985; Poole and Rosenthal 2007; Smith 1981). These researchers assert that ideology accounts for most of the variance in rep</w:t>
      </w:r>
      <w:r>
        <w:rPr>
          <w:rFonts w:cs="Times New Roman"/>
          <w:szCs w:val="24"/>
        </w:rPr>
        <w:t>resentatives’ voting patterns. By</w:t>
      </w:r>
      <w:r w:rsidR="00B46761" w:rsidRPr="00910BBA">
        <w:rPr>
          <w:rFonts w:cs="Times New Roman"/>
          <w:szCs w:val="24"/>
        </w:rPr>
        <w:t xml:space="preserve"> contrast, others contend that roll call voting is multi-dimensional (Koford 1989; Wilcox and Clausen 1991; Jackson and Kingdon 1992). These scholars </w:t>
      </w:r>
      <w:r w:rsidR="00B46761">
        <w:rPr>
          <w:rFonts w:cs="Times New Roman"/>
          <w:szCs w:val="24"/>
        </w:rPr>
        <w:t>argue</w:t>
      </w:r>
      <w:r w:rsidR="00B46761" w:rsidRPr="00910BBA">
        <w:rPr>
          <w:rFonts w:cs="Times New Roman"/>
          <w:szCs w:val="24"/>
        </w:rPr>
        <w:t xml:space="preserve"> that congressional representatives vote distinctly on different issues and that factors </w:t>
      </w:r>
      <w:r w:rsidR="00B46761" w:rsidRPr="00CE31FD">
        <w:rPr>
          <w:rFonts w:cs="Times New Roman"/>
          <w:i/>
          <w:szCs w:val="24"/>
        </w:rPr>
        <w:t xml:space="preserve">other </w:t>
      </w:r>
      <w:r w:rsidR="00B46761" w:rsidRPr="00CE31FD">
        <w:rPr>
          <w:rFonts w:cs="Times New Roman"/>
          <w:i/>
          <w:szCs w:val="24"/>
        </w:rPr>
        <w:lastRenderedPageBreak/>
        <w:t xml:space="preserve">than party </w:t>
      </w:r>
      <w:r w:rsidR="00B46761" w:rsidRPr="00910BBA">
        <w:rPr>
          <w:rFonts w:cs="Times New Roman"/>
          <w:szCs w:val="24"/>
        </w:rPr>
        <w:t>impact roll call voting. Snyder and Groseclose (2000) have found that the effect of party affiliation on roll call voting varies from issue to issue. For example, they show that partisanship strongly influences votes on tax policy and social welfare issues</w:t>
      </w:r>
      <w:r w:rsidR="00157556">
        <w:rPr>
          <w:rFonts w:cs="Times New Roman"/>
          <w:szCs w:val="24"/>
        </w:rPr>
        <w:t>,</w:t>
      </w:r>
      <w:r w:rsidR="00B46761" w:rsidRPr="00910BBA">
        <w:rPr>
          <w:rFonts w:cs="Times New Roman"/>
          <w:szCs w:val="24"/>
        </w:rPr>
        <w:t xml:space="preserve"> but is </w:t>
      </w:r>
      <w:r>
        <w:rPr>
          <w:rFonts w:cs="Times New Roman"/>
          <w:szCs w:val="24"/>
        </w:rPr>
        <w:t xml:space="preserve">virtually </w:t>
      </w:r>
      <w:r w:rsidR="00B46761" w:rsidRPr="00910BBA">
        <w:rPr>
          <w:rFonts w:cs="Times New Roman"/>
          <w:szCs w:val="24"/>
        </w:rPr>
        <w:t xml:space="preserve">non-existent on gun control. </w:t>
      </w:r>
    </w:p>
    <w:p w:rsidR="00CB2897" w:rsidRDefault="00B46761" w:rsidP="003F5CC2">
      <w:pPr>
        <w:spacing w:line="480" w:lineRule="auto"/>
        <w:contextualSpacing/>
        <w:jc w:val="both"/>
        <w:rPr>
          <w:rFonts w:cs="Times New Roman"/>
          <w:szCs w:val="24"/>
        </w:rPr>
      </w:pPr>
      <w:r w:rsidRPr="00910BBA">
        <w:rPr>
          <w:rFonts w:cs="Times New Roman"/>
          <w:szCs w:val="24"/>
        </w:rPr>
        <w:tab/>
        <w:t xml:space="preserve">There are significantly fewer studies examining party effects in the Senate. Indeed, conventional wisdom holds that the influence of parties is weaker in the Senate than in the House because the Senate’s structure and rules emphasize individualism over party government (Aldrich and Rohde 2009; Smith and Gamm 2009). Senators’ ability to filibuster is often cited as an example of the inability of parties to push through their policy agendas in the face of </w:t>
      </w:r>
      <w:r w:rsidR="00CE31FD">
        <w:rPr>
          <w:rFonts w:cs="Times New Roman"/>
          <w:szCs w:val="24"/>
        </w:rPr>
        <w:t xml:space="preserve">individual </w:t>
      </w:r>
      <w:r w:rsidRPr="00910BBA">
        <w:rPr>
          <w:rFonts w:cs="Times New Roman"/>
          <w:szCs w:val="24"/>
        </w:rPr>
        <w:t>opposition (Koger 2008). However, Levitt (1996) and Smith (1981) argue that senators tend to vote along ideological lines</w:t>
      </w:r>
      <w:r w:rsidR="00BD02A5">
        <w:rPr>
          <w:rFonts w:cs="Times New Roman"/>
          <w:szCs w:val="24"/>
        </w:rPr>
        <w:t>,</w:t>
      </w:r>
      <w:r w:rsidRPr="00910BBA">
        <w:rPr>
          <w:rFonts w:cs="Times New Roman"/>
          <w:szCs w:val="24"/>
        </w:rPr>
        <w:t xml:space="preserve"> and Sinclair (2009) has shown that despite its individualistic nature, the contemporary Senate has become increasingly partisan and polarized.</w:t>
      </w:r>
      <w:r w:rsidR="00046F93">
        <w:rPr>
          <w:rFonts w:cs="Times New Roman"/>
          <w:szCs w:val="24"/>
        </w:rPr>
        <w:t xml:space="preserve"> </w:t>
      </w:r>
      <w:r w:rsidR="00BD02A5">
        <w:rPr>
          <w:rFonts w:cs="Times New Roman"/>
          <w:szCs w:val="24"/>
        </w:rPr>
        <w:t xml:space="preserve">Monroe et al. (2008) </w:t>
      </w:r>
      <w:r w:rsidRPr="00910BBA">
        <w:rPr>
          <w:rFonts w:cs="Times New Roman"/>
          <w:szCs w:val="24"/>
        </w:rPr>
        <w:t xml:space="preserve">made a substantial contribution to the literature with their edited volume </w:t>
      </w:r>
      <w:r w:rsidRPr="00910BBA">
        <w:rPr>
          <w:rFonts w:cs="Times New Roman"/>
          <w:i/>
          <w:szCs w:val="24"/>
        </w:rPr>
        <w:t>Why Not Parties? Party Effects in the United States Senate</w:t>
      </w:r>
      <w:r w:rsidRPr="00910BBA">
        <w:rPr>
          <w:rFonts w:cs="Times New Roman"/>
          <w:szCs w:val="24"/>
        </w:rPr>
        <w:t>. Carson (2008) and Pearson (2008) show that party unity scores have steadily risen in the Senate since the 1980s, indicating higher levels of polarization (See also Aldrich 2011). Carson adds that senators who vote along party lines are often “rewarded when voters go to the poll” (</w:t>
      </w:r>
      <w:r w:rsidR="00C36026">
        <w:rPr>
          <w:rFonts w:cs="Times New Roman"/>
          <w:szCs w:val="24"/>
        </w:rPr>
        <w:t>2008,</w:t>
      </w:r>
      <w:r w:rsidR="002A5C15">
        <w:rPr>
          <w:rFonts w:cs="Times New Roman"/>
          <w:szCs w:val="24"/>
        </w:rPr>
        <w:t xml:space="preserve"> </w:t>
      </w:r>
      <w:r w:rsidR="00016494">
        <w:rPr>
          <w:rFonts w:cs="Times New Roman"/>
          <w:szCs w:val="24"/>
        </w:rPr>
        <w:t xml:space="preserve">pg. </w:t>
      </w:r>
      <w:r w:rsidRPr="00910BBA">
        <w:rPr>
          <w:rFonts w:cs="Times New Roman"/>
          <w:szCs w:val="24"/>
        </w:rPr>
        <w:t xml:space="preserve">33). In other words, party loyalty is positively correlated with electoral vote share. Roberts and Bell argue (2008) that majority party leaders in the Senate rarely lose in their attempts to enforce party discipline on key roll call votes. Pearson (2008) </w:t>
      </w:r>
      <w:r w:rsidR="00BD02A5">
        <w:rPr>
          <w:rFonts w:cs="Times New Roman"/>
          <w:szCs w:val="24"/>
        </w:rPr>
        <w:t xml:space="preserve">contends that senators </w:t>
      </w:r>
      <w:r w:rsidRPr="00910BBA">
        <w:rPr>
          <w:rFonts w:cs="Times New Roman"/>
          <w:szCs w:val="24"/>
        </w:rPr>
        <w:t>exhibit party loyalty by fundraising for fellow party colleagues</w:t>
      </w:r>
      <w:r w:rsidR="00BD02A5">
        <w:rPr>
          <w:rFonts w:cs="Times New Roman"/>
          <w:szCs w:val="24"/>
        </w:rPr>
        <w:t>,</w:t>
      </w:r>
      <w:r w:rsidRPr="00910BBA">
        <w:rPr>
          <w:rFonts w:cs="Times New Roman"/>
          <w:szCs w:val="24"/>
        </w:rPr>
        <w:t xml:space="preserve"> and that party leaders use committee assignments to discipline senators who do not share in a “team-sport mentality” (</w:t>
      </w:r>
      <w:r w:rsidR="00157556">
        <w:rPr>
          <w:rFonts w:cs="Times New Roman"/>
          <w:szCs w:val="24"/>
        </w:rPr>
        <w:t xml:space="preserve">pg. </w:t>
      </w:r>
      <w:r w:rsidRPr="00910BBA">
        <w:rPr>
          <w:rFonts w:cs="Times New Roman"/>
          <w:szCs w:val="24"/>
        </w:rPr>
        <w:t xml:space="preserve">119). </w:t>
      </w:r>
      <w:r w:rsidR="00F917DF">
        <w:rPr>
          <w:rFonts w:cs="Times New Roman"/>
          <w:szCs w:val="24"/>
        </w:rPr>
        <w:t xml:space="preserve">Additionally, </w:t>
      </w:r>
      <w:r w:rsidRPr="00910BBA">
        <w:rPr>
          <w:rFonts w:cs="Times New Roman"/>
          <w:szCs w:val="24"/>
        </w:rPr>
        <w:t>Aldrich et al. (2008) show</w:t>
      </w:r>
      <w:r w:rsidR="00BD02A5">
        <w:rPr>
          <w:rFonts w:cs="Times New Roman"/>
          <w:szCs w:val="24"/>
        </w:rPr>
        <w:t>ed</w:t>
      </w:r>
      <w:r w:rsidRPr="00910BBA">
        <w:rPr>
          <w:rFonts w:cs="Times New Roman"/>
          <w:szCs w:val="24"/>
        </w:rPr>
        <w:t xml:space="preserve"> that, as expected, senators’ DW-Nominate scores are strongly associated with their party identification.</w:t>
      </w:r>
      <w:r w:rsidR="00902DFE">
        <w:rPr>
          <w:rFonts w:cs="Times New Roman"/>
          <w:szCs w:val="24"/>
        </w:rPr>
        <w:tab/>
      </w:r>
      <w:r w:rsidR="00806FFB">
        <w:rPr>
          <w:rFonts w:cs="Times New Roman"/>
          <w:szCs w:val="24"/>
        </w:rPr>
        <w:t xml:space="preserve"> </w:t>
      </w:r>
    </w:p>
    <w:p w:rsidR="00CB2897" w:rsidRDefault="00CB2897" w:rsidP="003F5CC2">
      <w:pPr>
        <w:spacing w:line="480" w:lineRule="auto"/>
        <w:contextualSpacing/>
        <w:jc w:val="both"/>
        <w:rPr>
          <w:rFonts w:cs="Times New Roman"/>
          <w:szCs w:val="24"/>
        </w:rPr>
      </w:pPr>
    </w:p>
    <w:p w:rsidR="00315E22" w:rsidRPr="003F5CC2" w:rsidRDefault="002B35D2" w:rsidP="003F5CC2">
      <w:pPr>
        <w:spacing w:line="480" w:lineRule="auto"/>
        <w:contextualSpacing/>
        <w:jc w:val="both"/>
        <w:rPr>
          <w:rFonts w:cs="Times New Roman"/>
          <w:szCs w:val="24"/>
        </w:rPr>
      </w:pPr>
      <w:r>
        <w:rPr>
          <w:rFonts w:cs="Times New Roman"/>
          <w:b/>
          <w:i/>
          <w:szCs w:val="24"/>
        </w:rPr>
        <w:t>Theory &amp; Hypotheses</w:t>
      </w:r>
    </w:p>
    <w:p w:rsidR="00E23C52" w:rsidRPr="001756E0" w:rsidRDefault="00D77027" w:rsidP="003F5CC2">
      <w:pPr>
        <w:spacing w:line="480" w:lineRule="auto"/>
        <w:contextualSpacing/>
        <w:jc w:val="both"/>
        <w:rPr>
          <w:rFonts w:cs="Times New Roman"/>
          <w:szCs w:val="24"/>
        </w:rPr>
      </w:pPr>
      <w:r>
        <w:rPr>
          <w:rFonts w:cs="Times New Roman"/>
          <w:b/>
          <w:i/>
          <w:szCs w:val="24"/>
        </w:rPr>
        <w:tab/>
      </w:r>
      <w:r w:rsidR="00D35EA4">
        <w:rPr>
          <w:rFonts w:cs="Times New Roman"/>
          <w:szCs w:val="24"/>
        </w:rPr>
        <w:t>The purpose of our study</w:t>
      </w:r>
      <w:r w:rsidR="00301949">
        <w:rPr>
          <w:rFonts w:cs="Times New Roman"/>
          <w:szCs w:val="24"/>
        </w:rPr>
        <w:t xml:space="preserve"> is to string together the</w:t>
      </w:r>
      <w:r w:rsidR="00D35EA4">
        <w:rPr>
          <w:rFonts w:cs="Times New Roman"/>
          <w:szCs w:val="24"/>
        </w:rPr>
        <w:t xml:space="preserve"> strands of literature</w:t>
      </w:r>
      <w:r w:rsidR="00301949">
        <w:rPr>
          <w:rFonts w:cs="Times New Roman"/>
          <w:szCs w:val="24"/>
        </w:rPr>
        <w:t xml:space="preserve"> on roll call voting, partisanship, and interest</w:t>
      </w:r>
      <w:r w:rsidR="00E71237">
        <w:rPr>
          <w:rFonts w:cs="Times New Roman"/>
          <w:szCs w:val="24"/>
        </w:rPr>
        <w:t xml:space="preserve"> group ratings</w:t>
      </w:r>
      <w:r w:rsidR="00D35EA4">
        <w:rPr>
          <w:rFonts w:cs="Times New Roman"/>
          <w:szCs w:val="24"/>
        </w:rPr>
        <w:t>. Our goal is to demonstrate that interest group scorecards are no longer as extreme as they once were</w:t>
      </w:r>
      <w:r w:rsidR="00BD02A5">
        <w:rPr>
          <w:rFonts w:cs="Times New Roman"/>
          <w:szCs w:val="24"/>
        </w:rPr>
        <w:t>,</w:t>
      </w:r>
      <w:r w:rsidR="00D35EA4">
        <w:rPr>
          <w:rFonts w:cs="Times New Roman"/>
          <w:szCs w:val="24"/>
        </w:rPr>
        <w:t xml:space="preserve"> and that they can be used to determine whether congressional voting occur</w:t>
      </w:r>
      <w:r w:rsidR="00133F11">
        <w:rPr>
          <w:rFonts w:cs="Times New Roman"/>
          <w:szCs w:val="24"/>
        </w:rPr>
        <w:t>s along multi-dimensional or single-</w:t>
      </w:r>
      <w:r w:rsidR="00D35EA4">
        <w:rPr>
          <w:rFonts w:cs="Times New Roman"/>
          <w:szCs w:val="24"/>
        </w:rPr>
        <w:t xml:space="preserve">dimensional lines. </w:t>
      </w:r>
      <w:r>
        <w:rPr>
          <w:rFonts w:cs="Times New Roman"/>
          <w:szCs w:val="24"/>
        </w:rPr>
        <w:t xml:space="preserve">The </w:t>
      </w:r>
      <w:r w:rsidR="00EA50AF">
        <w:rPr>
          <w:rFonts w:cs="Times New Roman"/>
          <w:szCs w:val="24"/>
        </w:rPr>
        <w:t>current</w:t>
      </w:r>
      <w:r>
        <w:rPr>
          <w:rFonts w:cs="Times New Roman"/>
          <w:szCs w:val="24"/>
        </w:rPr>
        <w:t xml:space="preserve"> </w:t>
      </w:r>
      <w:r w:rsidR="00775286">
        <w:rPr>
          <w:rFonts w:cs="Times New Roman"/>
          <w:szCs w:val="24"/>
        </w:rPr>
        <w:t>research on interest group scorecards and congressional voting</w:t>
      </w:r>
      <w:r w:rsidR="00E23C52">
        <w:rPr>
          <w:rFonts w:cs="Times New Roman"/>
          <w:szCs w:val="24"/>
        </w:rPr>
        <w:t xml:space="preserve"> leads us to postulate three</w:t>
      </w:r>
      <w:r w:rsidR="001E29AC">
        <w:rPr>
          <w:rFonts w:cs="Times New Roman"/>
          <w:szCs w:val="24"/>
        </w:rPr>
        <w:t xml:space="preserve"> simple hypotheses</w:t>
      </w:r>
      <w:r w:rsidR="00607B85">
        <w:rPr>
          <w:rFonts w:cs="Times New Roman"/>
          <w:szCs w:val="24"/>
        </w:rPr>
        <w:t>, two of which are competing theories</w:t>
      </w:r>
      <w:r w:rsidR="001E29AC">
        <w:rPr>
          <w:rFonts w:cs="Times New Roman"/>
          <w:szCs w:val="24"/>
        </w:rPr>
        <w:t xml:space="preserve">. </w:t>
      </w:r>
      <w:r w:rsidR="001756E0">
        <w:rPr>
          <w:rFonts w:cs="Times New Roman"/>
          <w:szCs w:val="24"/>
        </w:rPr>
        <w:t>First, t</w:t>
      </w:r>
      <w:r w:rsidR="00D35EA4">
        <w:rPr>
          <w:rFonts w:cs="Times New Roman"/>
          <w:szCs w:val="24"/>
        </w:rPr>
        <w:t>he multi-</w:t>
      </w:r>
      <w:r w:rsidR="005B2B42">
        <w:rPr>
          <w:rFonts w:cs="Times New Roman"/>
          <w:szCs w:val="24"/>
        </w:rPr>
        <w:t xml:space="preserve">dimensional theory of roll call voting suggests that senators are influenced by factors </w:t>
      </w:r>
      <w:r w:rsidR="001756E0">
        <w:rPr>
          <w:rFonts w:cs="Times New Roman"/>
          <w:szCs w:val="24"/>
        </w:rPr>
        <w:t xml:space="preserve">other than merely partisanship. </w:t>
      </w:r>
      <w:r w:rsidR="00297536">
        <w:rPr>
          <w:rFonts w:cs="Times New Roman"/>
          <w:szCs w:val="24"/>
        </w:rPr>
        <w:t>Committee assignments, constituency, and electoral pro</w:t>
      </w:r>
      <w:r w:rsidR="008D530C">
        <w:rPr>
          <w:rFonts w:cs="Times New Roman"/>
          <w:szCs w:val="24"/>
        </w:rPr>
        <w:t>spects are also argued to play key</w:t>
      </w:r>
      <w:r w:rsidR="00297536">
        <w:rPr>
          <w:rFonts w:cs="Times New Roman"/>
          <w:szCs w:val="24"/>
        </w:rPr>
        <w:t xml:space="preserve"> role</w:t>
      </w:r>
      <w:r w:rsidR="008D530C">
        <w:rPr>
          <w:rFonts w:cs="Times New Roman"/>
          <w:szCs w:val="24"/>
        </w:rPr>
        <w:t>s</w:t>
      </w:r>
      <w:r w:rsidR="00297536">
        <w:rPr>
          <w:rFonts w:cs="Times New Roman"/>
          <w:szCs w:val="24"/>
        </w:rPr>
        <w:t xml:space="preserve"> in representatives’ voting patterns. </w:t>
      </w:r>
      <w:r w:rsidR="000D6656">
        <w:rPr>
          <w:rFonts w:cs="Times New Roman"/>
          <w:szCs w:val="24"/>
        </w:rPr>
        <w:t>Proponents of this theory contend that member</w:t>
      </w:r>
      <w:r w:rsidR="00297536">
        <w:rPr>
          <w:rFonts w:cs="Times New Roman"/>
          <w:szCs w:val="24"/>
        </w:rPr>
        <w:t>s</w:t>
      </w:r>
      <w:r w:rsidR="000D6656">
        <w:rPr>
          <w:rFonts w:cs="Times New Roman"/>
          <w:szCs w:val="24"/>
        </w:rPr>
        <w:t xml:space="preserve"> of Congress vote their issue interests and are </w:t>
      </w:r>
      <w:r w:rsidR="000D6656" w:rsidRPr="008D530C">
        <w:rPr>
          <w:rFonts w:cs="Times New Roman"/>
          <w:i/>
          <w:szCs w:val="24"/>
        </w:rPr>
        <w:t>not</w:t>
      </w:r>
      <w:r w:rsidR="000D6656">
        <w:rPr>
          <w:rFonts w:cs="Times New Roman"/>
          <w:szCs w:val="24"/>
        </w:rPr>
        <w:t xml:space="preserve"> merely swayed by partisanship. </w:t>
      </w:r>
      <w:r w:rsidR="001756E0">
        <w:rPr>
          <w:rFonts w:cs="Times New Roman"/>
          <w:szCs w:val="24"/>
        </w:rPr>
        <w:t>We argue that</w:t>
      </w:r>
      <w:r w:rsidR="000D6656">
        <w:rPr>
          <w:rFonts w:cs="Times New Roman"/>
          <w:szCs w:val="24"/>
        </w:rPr>
        <w:t>, if the multi-dimensional theory of roll call voting is correct,</w:t>
      </w:r>
      <w:r w:rsidR="008D530C">
        <w:rPr>
          <w:rFonts w:cs="Times New Roman"/>
          <w:szCs w:val="24"/>
        </w:rPr>
        <w:t xml:space="preserve"> issue-</w:t>
      </w:r>
      <w:r w:rsidR="00E71237">
        <w:rPr>
          <w:rFonts w:cs="Times New Roman"/>
          <w:szCs w:val="24"/>
        </w:rPr>
        <w:t xml:space="preserve">focused </w:t>
      </w:r>
      <w:r w:rsidR="001756E0">
        <w:rPr>
          <w:rFonts w:cs="Times New Roman"/>
          <w:szCs w:val="24"/>
        </w:rPr>
        <w:t xml:space="preserve">voting should be apparent in interest </w:t>
      </w:r>
      <w:r w:rsidR="00537649">
        <w:rPr>
          <w:rFonts w:cs="Times New Roman"/>
          <w:szCs w:val="24"/>
        </w:rPr>
        <w:t>group ratings of senators. This</w:t>
      </w:r>
      <w:r w:rsidR="001756E0">
        <w:rPr>
          <w:rFonts w:cs="Times New Roman"/>
          <w:szCs w:val="24"/>
        </w:rPr>
        <w:t xml:space="preserve"> logic </w:t>
      </w:r>
      <w:r w:rsidR="00E71237">
        <w:rPr>
          <w:rFonts w:cs="Times New Roman"/>
          <w:szCs w:val="24"/>
        </w:rPr>
        <w:t>stems from the fact that</w:t>
      </w:r>
      <w:r w:rsidR="001756E0">
        <w:rPr>
          <w:rFonts w:cs="Times New Roman"/>
          <w:szCs w:val="24"/>
        </w:rPr>
        <w:t xml:space="preserve"> interest groups analyze different roll call votes due </w:t>
      </w:r>
      <w:r w:rsidR="00E71237">
        <w:rPr>
          <w:rFonts w:cs="Times New Roman"/>
          <w:szCs w:val="24"/>
        </w:rPr>
        <w:t>to their distinct issue concerns</w:t>
      </w:r>
      <w:r w:rsidR="006E0AD8">
        <w:rPr>
          <w:rFonts w:cs="Times New Roman"/>
          <w:szCs w:val="24"/>
        </w:rPr>
        <w:t xml:space="preserve"> (Fowler 1982)</w:t>
      </w:r>
      <w:r w:rsidR="00E71237">
        <w:rPr>
          <w:rFonts w:cs="Times New Roman"/>
          <w:szCs w:val="24"/>
        </w:rPr>
        <w:t xml:space="preserve">. </w:t>
      </w:r>
      <w:r w:rsidR="000D6656">
        <w:rPr>
          <w:rFonts w:cs="Times New Roman"/>
          <w:szCs w:val="24"/>
        </w:rPr>
        <w:t>Thus, our first hypothesis can be stated as follows:</w:t>
      </w:r>
    </w:p>
    <w:p w:rsidR="00E23C52" w:rsidRDefault="00EE57C0" w:rsidP="00C9229F">
      <w:pPr>
        <w:spacing w:line="480" w:lineRule="auto"/>
        <w:contextualSpacing/>
        <w:jc w:val="both"/>
        <w:rPr>
          <w:rFonts w:cs="Times New Roman"/>
          <w:i/>
          <w:szCs w:val="24"/>
        </w:rPr>
      </w:pPr>
      <w:r>
        <w:rPr>
          <w:rFonts w:cs="Times New Roman"/>
          <w:i/>
          <w:szCs w:val="24"/>
        </w:rPr>
        <w:t>Mul</w:t>
      </w:r>
      <w:r w:rsidR="000D6656">
        <w:rPr>
          <w:rFonts w:cs="Times New Roman"/>
          <w:i/>
          <w:szCs w:val="24"/>
        </w:rPr>
        <w:t>ti-D</w:t>
      </w:r>
      <w:r>
        <w:rPr>
          <w:rFonts w:cs="Times New Roman"/>
          <w:i/>
          <w:szCs w:val="24"/>
        </w:rPr>
        <w:t>imensional Voting Hypothesis (H</w:t>
      </w:r>
      <w:r w:rsidRPr="00A7565B">
        <w:rPr>
          <w:rFonts w:cs="Times New Roman"/>
          <w:i/>
          <w:szCs w:val="24"/>
          <w:vertAlign w:val="subscript"/>
        </w:rPr>
        <w:t>1</w:t>
      </w:r>
      <w:r>
        <w:rPr>
          <w:rFonts w:cs="Times New Roman"/>
          <w:i/>
          <w:szCs w:val="24"/>
        </w:rPr>
        <w:t>)</w:t>
      </w:r>
      <w:r w:rsidR="00E23C52">
        <w:rPr>
          <w:rFonts w:cs="Times New Roman"/>
          <w:i/>
          <w:szCs w:val="24"/>
        </w:rPr>
        <w:t>: Senators’</w:t>
      </w:r>
      <w:r w:rsidR="006E66F7">
        <w:rPr>
          <w:rFonts w:cs="Times New Roman"/>
          <w:i/>
          <w:szCs w:val="24"/>
        </w:rPr>
        <w:t xml:space="preserve"> s</w:t>
      </w:r>
      <w:r w:rsidR="00E23C52">
        <w:rPr>
          <w:rFonts w:cs="Times New Roman"/>
          <w:i/>
          <w:szCs w:val="24"/>
        </w:rPr>
        <w:t>corecards will load onto separate factors according to the issues they address.</w:t>
      </w:r>
    </w:p>
    <w:p w:rsidR="006E66F7" w:rsidRDefault="00A7565B" w:rsidP="00C9229F">
      <w:pPr>
        <w:spacing w:line="480" w:lineRule="auto"/>
        <w:ind w:firstLine="720"/>
        <w:contextualSpacing/>
        <w:jc w:val="both"/>
        <w:rPr>
          <w:rFonts w:cs="Times New Roman"/>
          <w:i/>
          <w:szCs w:val="24"/>
        </w:rPr>
      </w:pPr>
      <w:r>
        <w:rPr>
          <w:rFonts w:cs="Times New Roman"/>
          <w:szCs w:val="24"/>
        </w:rPr>
        <w:t>P</w:t>
      </w:r>
      <w:r w:rsidR="001756E0">
        <w:rPr>
          <w:rFonts w:cs="Times New Roman"/>
          <w:szCs w:val="24"/>
        </w:rPr>
        <w:t xml:space="preserve">revious studies also lead us to </w:t>
      </w:r>
      <w:r w:rsidR="006E66F7">
        <w:rPr>
          <w:rFonts w:cs="Times New Roman"/>
          <w:szCs w:val="24"/>
        </w:rPr>
        <w:t>expect interest group ratings of senators to be highly correlated with one another and with the non-ideological ratings provided by the Na</w:t>
      </w:r>
      <w:r w:rsidR="001756E0">
        <w:rPr>
          <w:rFonts w:cs="Times New Roman"/>
          <w:szCs w:val="24"/>
        </w:rPr>
        <w:t>tional Journal and DW-Nominate</w:t>
      </w:r>
      <w:r w:rsidR="00883BC3">
        <w:rPr>
          <w:rFonts w:cs="Times New Roman"/>
          <w:szCs w:val="24"/>
        </w:rPr>
        <w:t xml:space="preserve"> (Burden et al. 2000</w:t>
      </w:r>
      <w:r w:rsidR="00297536">
        <w:rPr>
          <w:rFonts w:cs="Times New Roman"/>
          <w:szCs w:val="24"/>
        </w:rPr>
        <w:t>; Poole &amp; Rosenthal 2007</w:t>
      </w:r>
      <w:r w:rsidR="00883BC3">
        <w:rPr>
          <w:rFonts w:cs="Times New Roman"/>
          <w:szCs w:val="24"/>
        </w:rPr>
        <w:t>)</w:t>
      </w:r>
      <w:r w:rsidR="001756E0">
        <w:rPr>
          <w:rFonts w:cs="Times New Roman"/>
          <w:szCs w:val="24"/>
        </w:rPr>
        <w:t xml:space="preserve">. </w:t>
      </w:r>
      <w:r w:rsidR="007124B9">
        <w:rPr>
          <w:rFonts w:cs="Times New Roman"/>
          <w:szCs w:val="24"/>
        </w:rPr>
        <w:t>There is also reason to believe that senators vote along</w:t>
      </w:r>
      <w:r>
        <w:rPr>
          <w:rFonts w:cs="Times New Roman"/>
          <w:szCs w:val="24"/>
        </w:rPr>
        <w:t xml:space="preserve"> party lines as opposed to along</w:t>
      </w:r>
      <w:r w:rsidR="007124B9">
        <w:rPr>
          <w:rFonts w:cs="Times New Roman"/>
          <w:szCs w:val="24"/>
        </w:rPr>
        <w:t xml:space="preserve"> issue-oriented</w:t>
      </w:r>
      <w:r>
        <w:rPr>
          <w:rFonts w:cs="Times New Roman"/>
          <w:szCs w:val="24"/>
        </w:rPr>
        <w:t xml:space="preserve"> lines</w:t>
      </w:r>
      <w:r w:rsidR="007124B9">
        <w:rPr>
          <w:rFonts w:cs="Times New Roman"/>
          <w:szCs w:val="24"/>
        </w:rPr>
        <w:t xml:space="preserve">. </w:t>
      </w:r>
      <w:r w:rsidR="00E450C3">
        <w:rPr>
          <w:rFonts w:cs="Times New Roman"/>
          <w:szCs w:val="24"/>
        </w:rPr>
        <w:t>This</w:t>
      </w:r>
      <w:r w:rsidR="001756E0">
        <w:rPr>
          <w:rFonts w:cs="Times New Roman"/>
          <w:szCs w:val="24"/>
        </w:rPr>
        <w:t xml:space="preserve"> alternative </w:t>
      </w:r>
      <w:r w:rsidR="000D6656">
        <w:rPr>
          <w:rFonts w:cs="Times New Roman"/>
          <w:szCs w:val="24"/>
        </w:rPr>
        <w:t>hypothesis</w:t>
      </w:r>
      <w:r w:rsidR="006E66F7">
        <w:rPr>
          <w:rFonts w:cs="Times New Roman"/>
          <w:szCs w:val="24"/>
        </w:rPr>
        <w:t xml:space="preserve"> </w:t>
      </w:r>
      <w:r w:rsidR="001756E0">
        <w:rPr>
          <w:rFonts w:cs="Times New Roman"/>
          <w:szCs w:val="24"/>
        </w:rPr>
        <w:t xml:space="preserve">states </w:t>
      </w:r>
      <w:r w:rsidR="006E66F7">
        <w:rPr>
          <w:rFonts w:cs="Times New Roman"/>
          <w:szCs w:val="24"/>
        </w:rPr>
        <w:t>that all rating</w:t>
      </w:r>
      <w:r>
        <w:rPr>
          <w:rFonts w:cs="Times New Roman"/>
          <w:szCs w:val="24"/>
        </w:rPr>
        <w:t>s</w:t>
      </w:r>
      <w:r w:rsidR="006E66F7">
        <w:rPr>
          <w:rFonts w:cs="Times New Roman"/>
          <w:szCs w:val="24"/>
        </w:rPr>
        <w:t xml:space="preserve"> systems are measuring a single dimension.</w:t>
      </w:r>
      <w:r w:rsidR="00883BC3">
        <w:rPr>
          <w:rFonts w:cs="Times New Roman"/>
          <w:szCs w:val="24"/>
        </w:rPr>
        <w:t xml:space="preserve"> Poole and Rosenthal </w:t>
      </w:r>
      <w:r w:rsidR="00883BC3">
        <w:rPr>
          <w:rFonts w:cs="Times New Roman"/>
          <w:szCs w:val="24"/>
        </w:rPr>
        <w:lastRenderedPageBreak/>
        <w:t xml:space="preserve">(1998) discovered two factors underlying interest group scorecards </w:t>
      </w:r>
      <w:r w:rsidR="007124B9">
        <w:rPr>
          <w:rFonts w:cs="Times New Roman"/>
          <w:szCs w:val="24"/>
        </w:rPr>
        <w:t xml:space="preserve">with data from </w:t>
      </w:r>
      <w:r w:rsidR="00883BC3">
        <w:rPr>
          <w:rFonts w:cs="Times New Roman"/>
          <w:szCs w:val="24"/>
        </w:rPr>
        <w:t xml:space="preserve">over thirty years ago. Nevertheless, </w:t>
      </w:r>
      <w:r w:rsidR="007124B9">
        <w:rPr>
          <w:rFonts w:cs="Times New Roman"/>
          <w:szCs w:val="24"/>
        </w:rPr>
        <w:t>Poole’s initial findings (1981)</w:t>
      </w:r>
      <w:r w:rsidR="008E679B">
        <w:rPr>
          <w:rFonts w:cs="Times New Roman"/>
          <w:szCs w:val="24"/>
        </w:rPr>
        <w:t>, paired with</w:t>
      </w:r>
      <w:r w:rsidR="007124B9">
        <w:rPr>
          <w:rFonts w:cs="Times New Roman"/>
          <w:szCs w:val="24"/>
        </w:rPr>
        <w:t xml:space="preserve"> the </w:t>
      </w:r>
      <w:r w:rsidR="00883BC3">
        <w:rPr>
          <w:rFonts w:cs="Times New Roman"/>
          <w:szCs w:val="24"/>
        </w:rPr>
        <w:t xml:space="preserve">increasing </w:t>
      </w:r>
      <w:r w:rsidR="007124B9">
        <w:rPr>
          <w:rFonts w:cs="Times New Roman"/>
          <w:szCs w:val="24"/>
        </w:rPr>
        <w:t>polarization in the Senate</w:t>
      </w:r>
      <w:r w:rsidR="008E679B">
        <w:rPr>
          <w:rFonts w:cs="Times New Roman"/>
          <w:szCs w:val="24"/>
        </w:rPr>
        <w:t>,</w:t>
      </w:r>
      <w:r w:rsidR="007124B9">
        <w:rPr>
          <w:rFonts w:cs="Times New Roman"/>
          <w:szCs w:val="24"/>
        </w:rPr>
        <w:t xml:space="preserve"> lead</w:t>
      </w:r>
      <w:r w:rsidR="00883BC3">
        <w:rPr>
          <w:rFonts w:cs="Times New Roman"/>
          <w:szCs w:val="24"/>
        </w:rPr>
        <w:t xml:space="preserve"> us to suspect that there is now only one dimension</w:t>
      </w:r>
      <w:r w:rsidR="007124B9">
        <w:rPr>
          <w:rFonts w:cs="Times New Roman"/>
          <w:szCs w:val="24"/>
        </w:rPr>
        <w:t xml:space="preserve"> underlying interest group ratings</w:t>
      </w:r>
      <w:r w:rsidR="00883BC3">
        <w:rPr>
          <w:rFonts w:cs="Times New Roman"/>
          <w:szCs w:val="24"/>
        </w:rPr>
        <w:t xml:space="preserve">. </w:t>
      </w:r>
      <w:r w:rsidR="00C46AD6">
        <w:rPr>
          <w:rFonts w:cs="Times New Roman"/>
          <w:szCs w:val="24"/>
        </w:rPr>
        <w:t>Therefore, our second hypothesis reads:</w:t>
      </w:r>
    </w:p>
    <w:p w:rsidR="00B46761" w:rsidRDefault="00EE57C0" w:rsidP="00C9229F">
      <w:pPr>
        <w:spacing w:line="480" w:lineRule="auto"/>
        <w:contextualSpacing/>
        <w:jc w:val="both"/>
        <w:rPr>
          <w:rFonts w:cs="Times New Roman"/>
          <w:i/>
          <w:szCs w:val="24"/>
        </w:rPr>
      </w:pPr>
      <w:r>
        <w:rPr>
          <w:rFonts w:cs="Times New Roman"/>
          <w:i/>
          <w:szCs w:val="24"/>
        </w:rPr>
        <w:t>Single-Dimensional Voting Hypothesis (H</w:t>
      </w:r>
      <w:r w:rsidRPr="008E679B">
        <w:rPr>
          <w:rFonts w:cs="Times New Roman"/>
          <w:i/>
          <w:szCs w:val="24"/>
          <w:vertAlign w:val="subscript"/>
        </w:rPr>
        <w:t>2</w:t>
      </w:r>
      <w:r>
        <w:rPr>
          <w:rFonts w:cs="Times New Roman"/>
          <w:i/>
          <w:szCs w:val="24"/>
        </w:rPr>
        <w:t>)</w:t>
      </w:r>
      <w:r w:rsidR="00B46761">
        <w:rPr>
          <w:rFonts w:cs="Times New Roman"/>
          <w:i/>
          <w:szCs w:val="24"/>
        </w:rPr>
        <w:t xml:space="preserve">: </w:t>
      </w:r>
      <w:r w:rsidR="00E23C52">
        <w:rPr>
          <w:rFonts w:cs="Times New Roman"/>
          <w:i/>
          <w:szCs w:val="24"/>
        </w:rPr>
        <w:t>Senators’</w:t>
      </w:r>
      <w:r w:rsidR="00B46761">
        <w:rPr>
          <w:rFonts w:cs="Times New Roman"/>
          <w:i/>
          <w:szCs w:val="24"/>
        </w:rPr>
        <w:t xml:space="preserve"> ratings will</w:t>
      </w:r>
      <w:r w:rsidR="008E679B">
        <w:rPr>
          <w:rFonts w:cs="Times New Roman"/>
          <w:i/>
          <w:szCs w:val="24"/>
        </w:rPr>
        <w:t xml:space="preserve"> load onto a single extracted</w:t>
      </w:r>
      <w:r w:rsidR="00B46761">
        <w:rPr>
          <w:rFonts w:cs="Times New Roman"/>
          <w:i/>
          <w:szCs w:val="24"/>
        </w:rPr>
        <w:t xml:space="preserve"> factor</w:t>
      </w:r>
      <w:r w:rsidR="00754196">
        <w:rPr>
          <w:rFonts w:cs="Times New Roman"/>
          <w:i/>
          <w:szCs w:val="24"/>
        </w:rPr>
        <w:t>.</w:t>
      </w:r>
    </w:p>
    <w:p w:rsidR="00754196" w:rsidRPr="00754196" w:rsidRDefault="00754196" w:rsidP="00C9229F">
      <w:pPr>
        <w:spacing w:line="480" w:lineRule="auto"/>
        <w:contextualSpacing/>
        <w:jc w:val="both"/>
        <w:rPr>
          <w:rFonts w:cs="Times New Roman"/>
          <w:szCs w:val="24"/>
        </w:rPr>
      </w:pPr>
      <w:r>
        <w:rPr>
          <w:rFonts w:cs="Times New Roman"/>
          <w:szCs w:val="24"/>
        </w:rPr>
        <w:tab/>
      </w:r>
      <w:r w:rsidR="005B2B42">
        <w:rPr>
          <w:rFonts w:cs="Times New Roman"/>
          <w:szCs w:val="24"/>
        </w:rPr>
        <w:t>Our final h</w:t>
      </w:r>
      <w:r w:rsidR="006A7972">
        <w:rPr>
          <w:rFonts w:cs="Times New Roman"/>
          <w:szCs w:val="24"/>
        </w:rPr>
        <w:t>ypothesis is contingent upon our</w:t>
      </w:r>
      <w:r w:rsidR="005B2B42">
        <w:rPr>
          <w:rFonts w:cs="Times New Roman"/>
          <w:szCs w:val="24"/>
        </w:rPr>
        <w:t xml:space="preserve"> expectation that interest group ratings are </w:t>
      </w:r>
      <w:r w:rsidR="00DD03D3">
        <w:rPr>
          <w:rFonts w:cs="Times New Roman"/>
          <w:szCs w:val="24"/>
        </w:rPr>
        <w:t xml:space="preserve">indeed </w:t>
      </w:r>
      <w:r w:rsidR="005B2B42">
        <w:rPr>
          <w:rFonts w:cs="Times New Roman"/>
          <w:szCs w:val="24"/>
        </w:rPr>
        <w:t>highly correlated. If our analysis</w:t>
      </w:r>
      <w:r w:rsidR="00E71237">
        <w:rPr>
          <w:rFonts w:cs="Times New Roman"/>
          <w:szCs w:val="24"/>
        </w:rPr>
        <w:t xml:space="preserve"> reveals that a single dimension</w:t>
      </w:r>
      <w:r w:rsidR="005B2B42">
        <w:rPr>
          <w:rFonts w:cs="Times New Roman"/>
          <w:szCs w:val="24"/>
        </w:rPr>
        <w:t xml:space="preserve"> </w:t>
      </w:r>
      <w:r w:rsidR="00922948">
        <w:rPr>
          <w:rFonts w:cs="Times New Roman"/>
          <w:szCs w:val="24"/>
        </w:rPr>
        <w:t>accounts for</w:t>
      </w:r>
      <w:r w:rsidR="005B2B42">
        <w:rPr>
          <w:rFonts w:cs="Times New Roman"/>
          <w:szCs w:val="24"/>
        </w:rPr>
        <w:t xml:space="preserve"> how </w:t>
      </w:r>
      <w:r w:rsidR="00DD03D3">
        <w:rPr>
          <w:rFonts w:cs="Times New Roman"/>
          <w:szCs w:val="24"/>
        </w:rPr>
        <w:t>various</w:t>
      </w:r>
      <w:r w:rsidR="005B2B42">
        <w:rPr>
          <w:rFonts w:cs="Times New Roman"/>
          <w:szCs w:val="24"/>
        </w:rPr>
        <w:t xml:space="preserve"> interest groups</w:t>
      </w:r>
      <w:r>
        <w:rPr>
          <w:rFonts w:cs="Times New Roman"/>
          <w:szCs w:val="24"/>
        </w:rPr>
        <w:t xml:space="preserve"> </w:t>
      </w:r>
      <w:r w:rsidR="005B2B42">
        <w:rPr>
          <w:rFonts w:cs="Times New Roman"/>
          <w:szCs w:val="24"/>
        </w:rPr>
        <w:t xml:space="preserve">rate senators, we </w:t>
      </w:r>
      <w:r w:rsidR="008E679B">
        <w:rPr>
          <w:rFonts w:cs="Times New Roman"/>
          <w:szCs w:val="24"/>
        </w:rPr>
        <w:t xml:space="preserve">would then </w:t>
      </w:r>
      <w:r w:rsidR="005B2B42">
        <w:rPr>
          <w:rFonts w:cs="Times New Roman"/>
          <w:szCs w:val="24"/>
        </w:rPr>
        <w:t>hypothesize tha</w:t>
      </w:r>
      <w:r w:rsidR="0081580A">
        <w:rPr>
          <w:rFonts w:cs="Times New Roman"/>
          <w:szCs w:val="24"/>
        </w:rPr>
        <w:t xml:space="preserve">t this dimension is </w:t>
      </w:r>
      <w:r w:rsidR="005B2B42">
        <w:rPr>
          <w:rFonts w:cs="Times New Roman"/>
          <w:szCs w:val="24"/>
        </w:rPr>
        <w:t xml:space="preserve">partisan in nature. In other words, partisanship should explain </w:t>
      </w:r>
      <w:r w:rsidR="00DD03D3">
        <w:rPr>
          <w:rFonts w:cs="Times New Roman"/>
          <w:szCs w:val="24"/>
        </w:rPr>
        <w:t xml:space="preserve">a significant portion of </w:t>
      </w:r>
      <w:r w:rsidR="005B2B42">
        <w:rPr>
          <w:rFonts w:cs="Times New Roman"/>
          <w:szCs w:val="24"/>
        </w:rPr>
        <w:t xml:space="preserve">the </w:t>
      </w:r>
      <w:r w:rsidR="006A7972">
        <w:rPr>
          <w:rFonts w:cs="Times New Roman"/>
          <w:szCs w:val="24"/>
        </w:rPr>
        <w:t>variance in each rating</w:t>
      </w:r>
      <w:r w:rsidR="008E679B">
        <w:rPr>
          <w:rFonts w:cs="Times New Roman"/>
          <w:szCs w:val="24"/>
        </w:rPr>
        <w:t>s</w:t>
      </w:r>
      <w:r w:rsidR="006A7972">
        <w:rPr>
          <w:rFonts w:cs="Times New Roman"/>
          <w:szCs w:val="24"/>
        </w:rPr>
        <w:t xml:space="preserve"> system</w:t>
      </w:r>
      <w:r w:rsidR="008E679B">
        <w:rPr>
          <w:rFonts w:cs="Times New Roman"/>
          <w:szCs w:val="24"/>
        </w:rPr>
        <w:t>’</w:t>
      </w:r>
      <w:r w:rsidR="006A7972">
        <w:rPr>
          <w:rFonts w:cs="Times New Roman"/>
          <w:szCs w:val="24"/>
        </w:rPr>
        <w:t xml:space="preserve">s senatorial scores. </w:t>
      </w:r>
      <w:r w:rsidR="008E679B">
        <w:rPr>
          <w:rFonts w:cs="Times New Roman"/>
          <w:szCs w:val="24"/>
        </w:rPr>
        <w:t>Factor A</w:t>
      </w:r>
      <w:r w:rsidR="001756E0">
        <w:rPr>
          <w:rFonts w:cs="Times New Roman"/>
          <w:szCs w:val="24"/>
        </w:rPr>
        <w:t xml:space="preserve">nalysis cannot explicitly reveal the </w:t>
      </w:r>
      <w:r w:rsidR="00027916">
        <w:rPr>
          <w:rFonts w:cs="Times New Roman"/>
          <w:szCs w:val="24"/>
        </w:rPr>
        <w:t xml:space="preserve">particular </w:t>
      </w:r>
      <w:r w:rsidR="001756E0">
        <w:rPr>
          <w:rFonts w:cs="Times New Roman"/>
          <w:szCs w:val="24"/>
        </w:rPr>
        <w:t>nature of ex</w:t>
      </w:r>
      <w:r w:rsidR="008E679B">
        <w:rPr>
          <w:rFonts w:cs="Times New Roman"/>
          <w:szCs w:val="24"/>
        </w:rPr>
        <w:t>tracted</w:t>
      </w:r>
      <w:r w:rsidR="00E71237">
        <w:rPr>
          <w:rFonts w:cs="Times New Roman"/>
          <w:szCs w:val="24"/>
        </w:rPr>
        <w:t xml:space="preserve"> components</w:t>
      </w:r>
      <w:r w:rsidR="00C02257">
        <w:rPr>
          <w:rFonts w:cs="Times New Roman"/>
          <w:szCs w:val="24"/>
        </w:rPr>
        <w:t>, h</w:t>
      </w:r>
      <w:r w:rsidR="00922948">
        <w:rPr>
          <w:rFonts w:cs="Times New Roman"/>
          <w:szCs w:val="24"/>
        </w:rPr>
        <w:t xml:space="preserve">owever, </w:t>
      </w:r>
      <w:r w:rsidR="00C02257">
        <w:rPr>
          <w:rFonts w:cs="Times New Roman"/>
          <w:szCs w:val="24"/>
        </w:rPr>
        <w:t xml:space="preserve">factor loadings </w:t>
      </w:r>
      <w:r w:rsidR="00DD03D3">
        <w:rPr>
          <w:rFonts w:cs="Times New Roman"/>
          <w:szCs w:val="24"/>
        </w:rPr>
        <w:t xml:space="preserve">provide insight </w:t>
      </w:r>
      <w:r w:rsidR="001756E0">
        <w:rPr>
          <w:rFonts w:cs="Times New Roman"/>
          <w:szCs w:val="24"/>
        </w:rPr>
        <w:t>r</w:t>
      </w:r>
      <w:r w:rsidR="00DD03D3">
        <w:rPr>
          <w:rFonts w:cs="Times New Roman"/>
          <w:szCs w:val="24"/>
        </w:rPr>
        <w:t xml:space="preserve">egarding the </w:t>
      </w:r>
      <w:r w:rsidR="001756E0">
        <w:rPr>
          <w:rFonts w:cs="Times New Roman"/>
          <w:szCs w:val="24"/>
        </w:rPr>
        <w:t>relationships between the variables under examination.</w:t>
      </w:r>
      <w:r w:rsidR="00DD03D3">
        <w:rPr>
          <w:rFonts w:cs="Times New Roman"/>
          <w:szCs w:val="24"/>
        </w:rPr>
        <w:t xml:space="preserve"> </w:t>
      </w:r>
      <w:r w:rsidR="00C02257">
        <w:rPr>
          <w:rFonts w:cs="Times New Roman"/>
          <w:szCs w:val="24"/>
        </w:rPr>
        <w:t>If</w:t>
      </w:r>
      <w:r w:rsidR="00922948">
        <w:rPr>
          <w:rFonts w:cs="Times New Roman"/>
          <w:szCs w:val="24"/>
        </w:rPr>
        <w:t xml:space="preserve"> all the conservative interest group scorecards load onto a single facto</w:t>
      </w:r>
      <w:r w:rsidR="00C02257">
        <w:rPr>
          <w:rFonts w:cs="Times New Roman"/>
          <w:szCs w:val="24"/>
        </w:rPr>
        <w:t xml:space="preserve">r in the opposite direction than </w:t>
      </w:r>
      <w:r w:rsidR="00922948">
        <w:rPr>
          <w:rFonts w:cs="Times New Roman"/>
          <w:szCs w:val="24"/>
        </w:rPr>
        <w:t>the liberal groups</w:t>
      </w:r>
      <w:r w:rsidR="00C02257">
        <w:rPr>
          <w:rFonts w:cs="Times New Roman"/>
          <w:szCs w:val="24"/>
        </w:rPr>
        <w:t>,</w:t>
      </w:r>
      <w:r w:rsidR="00922948">
        <w:rPr>
          <w:rFonts w:cs="Times New Roman"/>
          <w:szCs w:val="24"/>
        </w:rPr>
        <w:t xml:space="preserve"> </w:t>
      </w:r>
      <w:r w:rsidR="00C02257">
        <w:rPr>
          <w:rFonts w:cs="Times New Roman"/>
          <w:szCs w:val="24"/>
        </w:rPr>
        <w:t xml:space="preserve">then </w:t>
      </w:r>
      <w:r w:rsidR="00922948">
        <w:rPr>
          <w:rFonts w:cs="Times New Roman"/>
          <w:szCs w:val="24"/>
        </w:rPr>
        <w:t xml:space="preserve">we can assume that the underlying factor </w:t>
      </w:r>
      <w:r w:rsidR="007C5AA9">
        <w:rPr>
          <w:rFonts w:cs="Times New Roman"/>
          <w:szCs w:val="24"/>
        </w:rPr>
        <w:t>can be called a partisan factor</w:t>
      </w:r>
      <w:r w:rsidR="00922948">
        <w:rPr>
          <w:rFonts w:cs="Times New Roman"/>
          <w:szCs w:val="24"/>
        </w:rPr>
        <w:t xml:space="preserve">. </w:t>
      </w:r>
      <w:r w:rsidR="00C02257">
        <w:rPr>
          <w:rFonts w:cs="Times New Roman"/>
          <w:szCs w:val="24"/>
        </w:rPr>
        <w:t>Nevertheless</w:t>
      </w:r>
      <w:r w:rsidR="00922948">
        <w:rPr>
          <w:rFonts w:cs="Times New Roman"/>
          <w:szCs w:val="24"/>
        </w:rPr>
        <w:t>, we must proceed to conduct additional test</w:t>
      </w:r>
      <w:r w:rsidR="00E327EC">
        <w:rPr>
          <w:rFonts w:cs="Times New Roman"/>
          <w:szCs w:val="24"/>
        </w:rPr>
        <w:t>s</w:t>
      </w:r>
      <w:r w:rsidR="00922948">
        <w:rPr>
          <w:rFonts w:cs="Times New Roman"/>
          <w:szCs w:val="24"/>
        </w:rPr>
        <w:t xml:space="preserve"> to demonstrate that partisanship indeed accounts for the variance in senators’ interest group ratings. Hence, our last hypothesis contends:</w:t>
      </w:r>
    </w:p>
    <w:p w:rsidR="00E327EC" w:rsidRDefault="00EE57C0" w:rsidP="00922948">
      <w:pPr>
        <w:spacing w:line="480" w:lineRule="auto"/>
        <w:contextualSpacing/>
        <w:jc w:val="both"/>
        <w:rPr>
          <w:rFonts w:cs="Times New Roman"/>
          <w:i/>
          <w:szCs w:val="24"/>
        </w:rPr>
      </w:pPr>
      <w:r>
        <w:rPr>
          <w:rFonts w:cs="Times New Roman"/>
          <w:i/>
          <w:szCs w:val="24"/>
        </w:rPr>
        <w:t>Party Voting Hypothesis (</w:t>
      </w:r>
      <w:r w:rsidR="00A06A02">
        <w:rPr>
          <w:rFonts w:cs="Times New Roman"/>
          <w:i/>
          <w:szCs w:val="24"/>
        </w:rPr>
        <w:t>H</w:t>
      </w:r>
      <w:r w:rsidR="00A06A02" w:rsidRPr="00E327EC">
        <w:rPr>
          <w:rFonts w:cs="Times New Roman"/>
          <w:i/>
          <w:szCs w:val="24"/>
          <w:vertAlign w:val="subscript"/>
        </w:rPr>
        <w:t>2</w:t>
      </w:r>
      <w:r w:rsidRPr="00E327EC">
        <w:rPr>
          <w:rFonts w:cs="Times New Roman"/>
          <w:i/>
          <w:szCs w:val="24"/>
          <w:vertAlign w:val="subscript"/>
        </w:rPr>
        <w:t>a</w:t>
      </w:r>
      <w:r>
        <w:rPr>
          <w:rFonts w:cs="Times New Roman"/>
          <w:i/>
          <w:szCs w:val="24"/>
        </w:rPr>
        <w:t>)</w:t>
      </w:r>
      <w:r w:rsidR="00B46761">
        <w:rPr>
          <w:rFonts w:cs="Times New Roman"/>
          <w:i/>
          <w:szCs w:val="24"/>
        </w:rPr>
        <w:t xml:space="preserve">: Party identification accounts for most of the variance in senators’ interest group, National Journal, and </w:t>
      </w:r>
      <w:r w:rsidR="006E66F7">
        <w:rPr>
          <w:rFonts w:cs="Times New Roman"/>
          <w:i/>
          <w:szCs w:val="24"/>
        </w:rPr>
        <w:t>DW-</w:t>
      </w:r>
      <w:r w:rsidR="00B46761">
        <w:rPr>
          <w:rFonts w:cs="Times New Roman"/>
          <w:i/>
          <w:szCs w:val="24"/>
        </w:rPr>
        <w:t>Nominate ratings</w:t>
      </w:r>
      <w:r w:rsidR="006E66F7">
        <w:rPr>
          <w:rFonts w:cs="Times New Roman"/>
          <w:i/>
          <w:szCs w:val="24"/>
        </w:rPr>
        <w:t>.</w:t>
      </w:r>
    </w:p>
    <w:p w:rsidR="003F5CC2" w:rsidRPr="003F5CC2" w:rsidRDefault="003F5CC2" w:rsidP="00922948">
      <w:pPr>
        <w:spacing w:line="480" w:lineRule="auto"/>
        <w:contextualSpacing/>
        <w:jc w:val="both"/>
        <w:rPr>
          <w:rFonts w:cs="Times New Roman"/>
          <w:i/>
          <w:szCs w:val="24"/>
        </w:rPr>
      </w:pPr>
    </w:p>
    <w:p w:rsidR="002B35D2" w:rsidRPr="002B35D2" w:rsidRDefault="002B35D2" w:rsidP="00922948">
      <w:pPr>
        <w:spacing w:line="480" w:lineRule="auto"/>
        <w:contextualSpacing/>
        <w:jc w:val="both"/>
        <w:rPr>
          <w:rFonts w:cs="Times New Roman"/>
          <w:b/>
          <w:szCs w:val="24"/>
        </w:rPr>
      </w:pPr>
      <w:r>
        <w:rPr>
          <w:rFonts w:cs="Times New Roman"/>
          <w:b/>
          <w:i/>
          <w:szCs w:val="24"/>
        </w:rPr>
        <w:t>Data Collection</w:t>
      </w:r>
    </w:p>
    <w:p w:rsidR="00B46761" w:rsidRDefault="00B46761" w:rsidP="00922948">
      <w:pPr>
        <w:pStyle w:val="Default"/>
        <w:spacing w:line="480" w:lineRule="auto"/>
        <w:contextualSpacing/>
        <w:jc w:val="both"/>
      </w:pPr>
      <w:r w:rsidRPr="00513897">
        <w:tab/>
        <w:t>In order to test our hypotheses, r</w:t>
      </w:r>
      <w:r>
        <w:t>atings for s</w:t>
      </w:r>
      <w:r w:rsidRPr="00513897">
        <w:t xml:space="preserve">enators were collected from nine major interest groups, as well as </w:t>
      </w:r>
      <w:r w:rsidR="00E6392D">
        <w:t xml:space="preserve">were </w:t>
      </w:r>
      <w:r w:rsidRPr="00513897">
        <w:t>National Journal and DW-NOMINATE scores, for the 110</w:t>
      </w:r>
      <w:r w:rsidRPr="002A5C15">
        <w:rPr>
          <w:vertAlign w:val="superscript"/>
        </w:rPr>
        <w:t>th</w:t>
      </w:r>
      <w:r w:rsidR="00027916">
        <w:t>-</w:t>
      </w:r>
      <w:r w:rsidR="002A5C15">
        <w:t>112</w:t>
      </w:r>
      <w:r w:rsidR="002A5C15" w:rsidRPr="002A5C15">
        <w:rPr>
          <w:vertAlign w:val="superscript"/>
        </w:rPr>
        <w:t>th</w:t>
      </w:r>
      <w:r w:rsidR="00E6392D">
        <w:t xml:space="preserve"> </w:t>
      </w:r>
      <w:r w:rsidRPr="00513897">
        <w:t xml:space="preserve">sessions </w:t>
      </w:r>
      <w:r w:rsidRPr="00513897">
        <w:lastRenderedPageBreak/>
        <w:t>of Congress</w:t>
      </w:r>
      <w:r>
        <w:t xml:space="preserve">. </w:t>
      </w:r>
      <w:r w:rsidR="00E6392D">
        <w:t xml:space="preserve">Our sample consisted of 261 senators (n = 261) - </w:t>
      </w:r>
      <w:r w:rsidR="00A07D5C">
        <w:t xml:space="preserve">rather than the full 300 during these three terms </w:t>
      </w:r>
      <w:r w:rsidR="00E6392D">
        <w:t xml:space="preserve">- </w:t>
      </w:r>
      <w:r w:rsidR="00A07D5C">
        <w:t xml:space="preserve">because ratings are not calculated for rookie representatives with no voting records or </w:t>
      </w:r>
      <w:r w:rsidR="00E6392D">
        <w:t xml:space="preserve">for </w:t>
      </w:r>
      <w:r w:rsidR="00A07D5C">
        <w:t>senators who missed</w:t>
      </w:r>
      <w:r w:rsidR="002B35D2">
        <w:t xml:space="preserve"> a significant amount of the</w:t>
      </w:r>
      <w:r w:rsidR="00A07D5C">
        <w:t xml:space="preserve"> roll call votes </w:t>
      </w:r>
      <w:r w:rsidR="00E71237">
        <w:t xml:space="preserve">under analysis. For example, several senators missed votes </w:t>
      </w:r>
      <w:r w:rsidR="00A07D5C">
        <w:t>due to the</w:t>
      </w:r>
      <w:r w:rsidR="00E71237">
        <w:t>ir campaigns during the</w:t>
      </w:r>
      <w:r w:rsidR="00A07D5C">
        <w:t xml:space="preserve"> 2008 </w:t>
      </w:r>
      <w:r w:rsidR="001F32A0">
        <w:t xml:space="preserve">and 2012 </w:t>
      </w:r>
      <w:r w:rsidR="00A07D5C">
        <w:t>presidential election</w:t>
      </w:r>
      <w:r w:rsidR="00E6392D">
        <w:t xml:space="preserve"> cycle</w:t>
      </w:r>
      <w:r w:rsidR="001F32A0">
        <w:t>s</w:t>
      </w:r>
      <w:r w:rsidR="00A07D5C">
        <w:t xml:space="preserve">. </w:t>
      </w:r>
      <w:r w:rsidR="00CD61C6">
        <w:t xml:space="preserve">Specifically, </w:t>
      </w:r>
      <w:r w:rsidR="002A5C15">
        <w:t>we collected senators’ voting record scores</w:t>
      </w:r>
      <w:r w:rsidR="00E6392D">
        <w:t xml:space="preserve"> from 2007 to 2012 as reported by </w:t>
      </w:r>
      <w:r w:rsidR="00CD61C6">
        <w:t>Americans for Democ</w:t>
      </w:r>
      <w:r w:rsidR="002A5C15">
        <w:t>ratic Action (ADA), the American</w:t>
      </w:r>
      <w:r w:rsidR="00CD61C6">
        <w:t xml:space="preserve"> Civil Liberties Union (A</w:t>
      </w:r>
      <w:r w:rsidR="00E71237">
        <w:t>C</w:t>
      </w:r>
      <w:r w:rsidR="00CD61C6">
        <w:t xml:space="preserve">LU), </w:t>
      </w:r>
      <w:r w:rsidR="00214511">
        <w:t>the American Federation of State, County, and Municipal Employees (AFS</w:t>
      </w:r>
      <w:r w:rsidR="00784A25">
        <w:t>CME</w:t>
      </w:r>
      <w:r w:rsidR="00214511">
        <w:t xml:space="preserve">), </w:t>
      </w:r>
      <w:r w:rsidR="002A5C15">
        <w:t xml:space="preserve">the </w:t>
      </w:r>
      <w:r w:rsidR="00CD61C6">
        <w:t xml:space="preserve">League of Conservation Voters (LCV), </w:t>
      </w:r>
      <w:r w:rsidR="002A5C15">
        <w:t xml:space="preserve">the </w:t>
      </w:r>
      <w:r w:rsidR="00CD61C6">
        <w:t xml:space="preserve">National Taxpayers Union (NTU), </w:t>
      </w:r>
      <w:r w:rsidR="002A5C15">
        <w:t xml:space="preserve">the </w:t>
      </w:r>
      <w:r w:rsidR="00CD61C6">
        <w:t xml:space="preserve">Chamber of Commerce (COC), the American Conservative Union (ACU), </w:t>
      </w:r>
      <w:r w:rsidR="00214511">
        <w:t xml:space="preserve">the Club for Growth (CFG), </w:t>
      </w:r>
      <w:r w:rsidR="00E4136C">
        <w:t>and</w:t>
      </w:r>
      <w:r w:rsidR="007C5AA9">
        <w:t xml:space="preserve"> the</w:t>
      </w:r>
      <w:r w:rsidR="00E4136C">
        <w:t xml:space="preserve"> Family Research Council (FRC). We also collected ratings reported from</w:t>
      </w:r>
      <w:r w:rsidR="002A5C15">
        <w:t xml:space="preserve"> the National Journal’s composite conservative score, and Poole and Rosenthal’s DW-Nominate scores.</w:t>
      </w:r>
      <w:r w:rsidR="00214511">
        <w:t xml:space="preserve"> </w:t>
      </w:r>
      <w:r w:rsidR="00CC4F64">
        <w:t>Interest group r</w:t>
      </w:r>
      <w:r w:rsidR="00214511">
        <w:t xml:space="preserve">atings were generally obtained from the National Journal’s </w:t>
      </w:r>
      <w:r w:rsidR="00AE7B1E">
        <w:rPr>
          <w:i/>
        </w:rPr>
        <w:t>Almanac of American Politics</w:t>
      </w:r>
      <w:r w:rsidR="00AE7B1E">
        <w:t>, however,</w:t>
      </w:r>
      <w:r w:rsidR="00214511">
        <w:t xml:space="preserve"> </w:t>
      </w:r>
      <w:r w:rsidR="00AE7B1E">
        <w:t>we collected data from</w:t>
      </w:r>
      <w:r w:rsidR="00214511">
        <w:t xml:space="preserve"> </w:t>
      </w:r>
      <w:hyperlink r:id="rId7" w:history="1">
        <w:r w:rsidR="00214511" w:rsidRPr="004A0BB5">
          <w:rPr>
            <w:rStyle w:val="Hyperlink"/>
          </w:rPr>
          <w:t>www.votesmart.org</w:t>
        </w:r>
      </w:hyperlink>
      <w:r w:rsidR="00E6392D">
        <w:t xml:space="preserve"> when not provided by</w:t>
      </w:r>
      <w:r w:rsidR="00214511">
        <w:t xml:space="preserve"> the </w:t>
      </w:r>
      <w:r w:rsidR="00214511" w:rsidRPr="00214511">
        <w:rPr>
          <w:i/>
        </w:rPr>
        <w:t>Almanac</w:t>
      </w:r>
      <w:r w:rsidR="00210A4E">
        <w:t>.</w:t>
      </w:r>
    </w:p>
    <w:p w:rsidR="00052A7F" w:rsidRDefault="00210A4E" w:rsidP="00C9229F">
      <w:pPr>
        <w:pStyle w:val="Default"/>
        <w:spacing w:line="480" w:lineRule="auto"/>
        <w:contextualSpacing/>
        <w:jc w:val="both"/>
      </w:pPr>
      <w:r>
        <w:tab/>
      </w:r>
      <w:r w:rsidR="004662D2">
        <w:t>We selected these speci</w:t>
      </w:r>
      <w:r w:rsidR="005B2B42">
        <w:t>fic interest groups’ ratings during</w:t>
      </w:r>
      <w:r w:rsidR="004662D2">
        <w:t xml:space="preserve"> this time period for several reason</w:t>
      </w:r>
      <w:r w:rsidR="00DD7ED1">
        <w:t>s</w:t>
      </w:r>
      <w:r w:rsidR="004662D2">
        <w:t xml:space="preserve">. First, these groups represent a wide variety of issues including tax policy, government spending, </w:t>
      </w:r>
      <w:r w:rsidR="00DD7ED1">
        <w:t xml:space="preserve">private </w:t>
      </w:r>
      <w:r w:rsidR="004662D2">
        <w:t>business, the environment, labor interests, religious values, and abortion</w:t>
      </w:r>
      <w:r w:rsidR="002E3631">
        <w:t>, among others</w:t>
      </w:r>
      <w:r w:rsidR="004662D2">
        <w:t xml:space="preserve">. </w:t>
      </w:r>
      <w:r w:rsidR="00DD7ED1">
        <w:t>This is theoretically significant because if</w:t>
      </w:r>
      <w:r w:rsidR="002E3631">
        <w:t xml:space="preserve"> senators truly practiced issue voting as opposed to party </w:t>
      </w:r>
      <w:r w:rsidR="00DD7ED1">
        <w:t xml:space="preserve">voting, we would not expect these scores to </w:t>
      </w:r>
      <w:r w:rsidR="009F7C55">
        <w:t>be highly correlated or</w:t>
      </w:r>
      <w:r w:rsidR="002E3631">
        <w:t xml:space="preserve"> to</w:t>
      </w:r>
      <w:r w:rsidR="009F7C55">
        <w:t xml:space="preserve"> </w:t>
      </w:r>
      <w:r w:rsidR="00293C45">
        <w:t>reduce down to</w:t>
      </w:r>
      <w:r w:rsidR="00DD7ED1">
        <w:t xml:space="preserve"> a single factor. In fact, we would expect each </w:t>
      </w:r>
      <w:r w:rsidR="002B35D2">
        <w:t xml:space="preserve">issue </w:t>
      </w:r>
      <w:r w:rsidR="002E3631">
        <w:t>space to be represented by</w:t>
      </w:r>
      <w:r w:rsidR="00DD7ED1">
        <w:t xml:space="preserve"> a separate factor</w:t>
      </w:r>
      <w:r w:rsidR="002B35D2">
        <w:t xml:space="preserve"> (H</w:t>
      </w:r>
      <w:r w:rsidR="002B35D2" w:rsidRPr="002E3631">
        <w:rPr>
          <w:vertAlign w:val="subscript"/>
        </w:rPr>
        <w:t>1</w:t>
      </w:r>
      <w:r w:rsidR="006F6E61">
        <w:t>)</w:t>
      </w:r>
      <w:r w:rsidR="00DD7ED1">
        <w:t xml:space="preserve">. </w:t>
      </w:r>
      <w:r w:rsidR="002E3631">
        <w:t>Second</w:t>
      </w:r>
      <w:r w:rsidR="004662D2">
        <w:t xml:space="preserve">, </w:t>
      </w:r>
      <w:r w:rsidR="00E71237">
        <w:t xml:space="preserve">Poole and Rosenthal (2007) have indicated that their first dimension DW-Nominate scores largely capture the partisan divide in Congress. </w:t>
      </w:r>
      <w:r w:rsidR="002B35D2">
        <w:t>The National Journal’s composite conservative score</w:t>
      </w:r>
      <w:r w:rsidR="002E3631">
        <w:t xml:space="preserve"> -</w:t>
      </w:r>
      <w:r w:rsidR="00293C45">
        <w:t xml:space="preserve"> which is calculated by </w:t>
      </w:r>
      <w:r w:rsidR="00F16CEE">
        <w:t>compiling</w:t>
      </w:r>
      <w:r w:rsidR="00293C45">
        <w:t xml:space="preserve"> roll call votes on social, econ</w:t>
      </w:r>
      <w:r w:rsidR="002E3631">
        <w:t>omic, and foreign policy issues - functions in a similar fashion</w:t>
      </w:r>
      <w:r w:rsidR="002B35D2">
        <w:t>. If these</w:t>
      </w:r>
      <w:r w:rsidR="00B508C3">
        <w:t xml:space="preserve"> measure</w:t>
      </w:r>
      <w:r w:rsidR="002B35D2">
        <w:t>s</w:t>
      </w:r>
      <w:r w:rsidR="00942B7C">
        <w:t xml:space="preserve"> load</w:t>
      </w:r>
      <w:r w:rsidR="00B508C3">
        <w:t xml:space="preserve"> onto the same factor as </w:t>
      </w:r>
      <w:r w:rsidR="002B35D2">
        <w:t xml:space="preserve">the </w:t>
      </w:r>
      <w:r w:rsidR="00B508C3">
        <w:t xml:space="preserve">other </w:t>
      </w:r>
      <w:r w:rsidR="00B508C3">
        <w:lastRenderedPageBreak/>
        <w:t xml:space="preserve">interest group </w:t>
      </w:r>
      <w:r w:rsidR="008A4A17">
        <w:t>ratings, we can logically assert</w:t>
      </w:r>
      <w:r w:rsidR="00B508C3">
        <w:t xml:space="preserve"> that this factor is a partisan component. In other words, the </w:t>
      </w:r>
      <w:r w:rsidR="002B35D2">
        <w:t xml:space="preserve">National Journal and DW-Nominate scores act as </w:t>
      </w:r>
      <w:r w:rsidR="00B508C3">
        <w:t>benchmark</w:t>
      </w:r>
      <w:r w:rsidR="002B35D2">
        <w:t>s</w:t>
      </w:r>
      <w:r w:rsidR="008A4A17">
        <w:t xml:space="preserve"> for analyzing</w:t>
      </w:r>
      <w:r w:rsidR="00B508C3">
        <w:t xml:space="preserve"> interest group data. </w:t>
      </w:r>
      <w:r w:rsidR="002B35D2">
        <w:t>This is useful for testing the partisan voting hypothesis (H</w:t>
      </w:r>
      <w:r w:rsidR="002B35D2" w:rsidRPr="008A4A17">
        <w:rPr>
          <w:vertAlign w:val="subscript"/>
        </w:rPr>
        <w:t>2a</w:t>
      </w:r>
      <w:r w:rsidR="002B35D2">
        <w:t xml:space="preserve">). </w:t>
      </w:r>
      <w:r w:rsidR="00E71237">
        <w:t xml:space="preserve">Finally, </w:t>
      </w:r>
      <w:r w:rsidR="0022546D">
        <w:t>al</w:t>
      </w:r>
      <w:r w:rsidR="004662D2">
        <w:t>t</w:t>
      </w:r>
      <w:r>
        <w:t>hough there are vast numbers of interest groups tha</w:t>
      </w:r>
      <w:r w:rsidR="0022546D">
        <w:t>t score the roll call votes of s</w:t>
      </w:r>
      <w:r>
        <w:t xml:space="preserve">enators, </w:t>
      </w:r>
      <w:r w:rsidR="008C0123">
        <w:t>many of these groups do not provide ratings at the end of every session of Congress</w:t>
      </w:r>
      <w:r w:rsidR="004662D2">
        <w:t xml:space="preserve">. </w:t>
      </w:r>
      <w:r w:rsidR="001756E0">
        <w:t xml:space="preserve">Interest groups come and go. </w:t>
      </w:r>
      <w:r w:rsidR="004662D2">
        <w:t>Ideally, we would have liked to collect data from more grou</w:t>
      </w:r>
      <w:r w:rsidR="00DD7ED1">
        <w:t>ps for a longer period of time but this</w:t>
      </w:r>
      <w:r w:rsidR="0022546D">
        <w:t xml:space="preserve"> was, for us, </w:t>
      </w:r>
      <w:r w:rsidR="00DD7ED1">
        <w:t xml:space="preserve">not </w:t>
      </w:r>
      <w:r w:rsidR="001756E0">
        <w:t>feasible</w:t>
      </w:r>
      <w:r w:rsidR="00DD7ED1">
        <w:t>.</w:t>
      </w:r>
      <w:r>
        <w:t xml:space="preserve"> </w:t>
      </w:r>
      <w:r w:rsidR="00B508C3">
        <w:t xml:space="preserve">We could have collected data for </w:t>
      </w:r>
      <w:r w:rsidR="0022546D">
        <w:t>various groups each year and run separate analyse</w:t>
      </w:r>
      <w:r w:rsidR="00B508C3">
        <w:t>s. However,</w:t>
      </w:r>
      <w:r w:rsidR="0022546D">
        <w:t xml:space="preserve"> since the groups comprising that data would have varied from year-to-</w:t>
      </w:r>
      <w:r w:rsidR="00B508C3">
        <w:t xml:space="preserve">year, comparison across </w:t>
      </w:r>
      <w:r w:rsidR="0022546D">
        <w:t xml:space="preserve">multiple </w:t>
      </w:r>
      <w:r w:rsidR="00B508C3">
        <w:t>congresse</w:t>
      </w:r>
      <w:r w:rsidR="002B35D2">
        <w:t xml:space="preserve">s </w:t>
      </w:r>
      <w:r w:rsidR="00C94D80">
        <w:t>would have been impractical and would have violated</w:t>
      </w:r>
      <w:r w:rsidR="0022546D">
        <w:t xml:space="preserve"> a number of statistical assumptions</w:t>
      </w:r>
      <w:r w:rsidR="004753F7">
        <w:t xml:space="preserve">. </w:t>
      </w:r>
    </w:p>
    <w:p w:rsidR="003F5CC2" w:rsidRDefault="003F5CC2" w:rsidP="00C9229F">
      <w:pPr>
        <w:pStyle w:val="Default"/>
        <w:spacing w:line="480" w:lineRule="auto"/>
        <w:contextualSpacing/>
        <w:jc w:val="both"/>
      </w:pPr>
    </w:p>
    <w:p w:rsidR="00B46761" w:rsidRDefault="00B46761" w:rsidP="00EC7545">
      <w:pPr>
        <w:spacing w:line="240" w:lineRule="auto"/>
        <w:jc w:val="both"/>
        <w:rPr>
          <w:rFonts w:cs="Times New Roman"/>
          <w:b/>
          <w:i/>
          <w:szCs w:val="24"/>
        </w:rPr>
      </w:pPr>
      <w:r>
        <w:rPr>
          <w:rFonts w:cs="Times New Roman"/>
          <w:b/>
          <w:i/>
          <w:szCs w:val="24"/>
        </w:rPr>
        <w:t>Methods &amp; Results</w:t>
      </w:r>
    </w:p>
    <w:p w:rsidR="00B46761" w:rsidRDefault="00B46761" w:rsidP="00EC7545">
      <w:pPr>
        <w:spacing w:line="240" w:lineRule="auto"/>
        <w:jc w:val="both"/>
        <w:rPr>
          <w:rFonts w:cs="Times New Roman"/>
          <w:i/>
          <w:szCs w:val="24"/>
        </w:rPr>
      </w:pPr>
      <w:r>
        <w:rPr>
          <w:rFonts w:cs="Times New Roman"/>
          <w:i/>
          <w:szCs w:val="24"/>
        </w:rPr>
        <w:t>Distribution of Ratings</w:t>
      </w:r>
    </w:p>
    <w:p w:rsidR="00411D3C" w:rsidRDefault="00B46761" w:rsidP="00C9229F">
      <w:pPr>
        <w:spacing w:line="480" w:lineRule="auto"/>
        <w:contextualSpacing/>
        <w:jc w:val="both"/>
        <w:rPr>
          <w:rFonts w:cs="Times New Roman"/>
          <w:szCs w:val="24"/>
        </w:rPr>
      </w:pPr>
      <w:r>
        <w:rPr>
          <w:rFonts w:cs="Times New Roman"/>
          <w:szCs w:val="24"/>
        </w:rPr>
        <w:tab/>
        <w:t xml:space="preserve">Before conducting any statistical tests of the scorecard data, we plotted kernel density estimates (i.e. smoothed histograms) for each of the interest groups, as well as the National Journal and </w:t>
      </w:r>
      <w:r w:rsidR="00315E22">
        <w:rPr>
          <w:rFonts w:cs="Times New Roman"/>
          <w:szCs w:val="24"/>
        </w:rPr>
        <w:t>DW-</w:t>
      </w:r>
      <w:r>
        <w:rPr>
          <w:rFonts w:cs="Times New Roman"/>
          <w:szCs w:val="24"/>
        </w:rPr>
        <w:t>Nominate scores (See Figure 1 for examples). These graphs reveal</w:t>
      </w:r>
      <w:r w:rsidR="00821CE9">
        <w:rPr>
          <w:rFonts w:cs="Times New Roman"/>
          <w:szCs w:val="24"/>
        </w:rPr>
        <w:t>ed</w:t>
      </w:r>
      <w:r>
        <w:rPr>
          <w:rFonts w:cs="Times New Roman"/>
          <w:szCs w:val="24"/>
        </w:rPr>
        <w:t xml:space="preserve"> that </w:t>
      </w:r>
      <w:r w:rsidR="00C43CF7">
        <w:rPr>
          <w:rFonts w:cs="Times New Roman"/>
          <w:szCs w:val="24"/>
        </w:rPr>
        <w:t xml:space="preserve">virtually </w:t>
      </w:r>
      <w:r>
        <w:rPr>
          <w:rFonts w:cs="Times New Roman"/>
          <w:szCs w:val="24"/>
        </w:rPr>
        <w:t>all of the rating</w:t>
      </w:r>
      <w:r w:rsidR="00821CE9">
        <w:rPr>
          <w:rFonts w:cs="Times New Roman"/>
          <w:szCs w:val="24"/>
        </w:rPr>
        <w:t>s</w:t>
      </w:r>
      <w:r>
        <w:rPr>
          <w:rFonts w:cs="Times New Roman"/>
          <w:szCs w:val="24"/>
        </w:rPr>
        <w:t xml:space="preserve"> systems </w:t>
      </w:r>
      <w:r w:rsidR="00A26719">
        <w:rPr>
          <w:rFonts w:cs="Times New Roman"/>
          <w:szCs w:val="24"/>
        </w:rPr>
        <w:t>are bimodal</w:t>
      </w:r>
      <w:r w:rsidR="00C43CF7">
        <w:rPr>
          <w:rFonts w:cs="Times New Roman"/>
          <w:szCs w:val="24"/>
        </w:rPr>
        <w:t>, the sole exception being the Chamber of Commerce</w:t>
      </w:r>
      <w:r w:rsidR="00821CE9">
        <w:rPr>
          <w:rFonts w:cs="Times New Roman"/>
          <w:szCs w:val="24"/>
        </w:rPr>
        <w:t>,</w:t>
      </w:r>
      <w:r w:rsidR="00C43CF7">
        <w:rPr>
          <w:rFonts w:cs="Times New Roman"/>
          <w:szCs w:val="24"/>
        </w:rPr>
        <w:t xml:space="preserve"> which appears </w:t>
      </w:r>
      <w:r w:rsidR="00821CE9">
        <w:rPr>
          <w:rFonts w:cs="Times New Roman"/>
          <w:szCs w:val="24"/>
        </w:rPr>
        <w:t xml:space="preserve">to be </w:t>
      </w:r>
      <w:r w:rsidR="00EC34EB">
        <w:rPr>
          <w:rFonts w:cs="Times New Roman"/>
          <w:szCs w:val="24"/>
        </w:rPr>
        <w:t>somewhat</w:t>
      </w:r>
      <w:r w:rsidR="00C43CF7">
        <w:rPr>
          <w:rFonts w:cs="Times New Roman"/>
          <w:szCs w:val="24"/>
        </w:rPr>
        <w:t xml:space="preserve"> normally distributed</w:t>
      </w:r>
      <w:r w:rsidR="00A26719">
        <w:rPr>
          <w:rFonts w:cs="Times New Roman"/>
          <w:szCs w:val="24"/>
        </w:rPr>
        <w:t xml:space="preserve">. </w:t>
      </w:r>
      <w:r w:rsidR="00EB7B13">
        <w:rPr>
          <w:rFonts w:cs="Times New Roman"/>
          <w:szCs w:val="24"/>
        </w:rPr>
        <w:t>Liberal</w:t>
      </w:r>
      <w:r w:rsidR="00184C43">
        <w:rPr>
          <w:rFonts w:cs="Times New Roman"/>
          <w:szCs w:val="24"/>
        </w:rPr>
        <w:t xml:space="preserve"> senators </w:t>
      </w:r>
      <w:r w:rsidR="00411D3C">
        <w:rPr>
          <w:rFonts w:cs="Times New Roman"/>
          <w:szCs w:val="24"/>
        </w:rPr>
        <w:t>tend</w:t>
      </w:r>
      <w:r w:rsidR="00821CE9">
        <w:rPr>
          <w:rFonts w:cs="Times New Roman"/>
          <w:szCs w:val="24"/>
        </w:rPr>
        <w:t>ed</w:t>
      </w:r>
      <w:r w:rsidR="00411D3C">
        <w:rPr>
          <w:rFonts w:cs="Times New Roman"/>
          <w:szCs w:val="24"/>
        </w:rPr>
        <w:t xml:space="preserve"> to be </w:t>
      </w:r>
      <w:r w:rsidR="00821CE9">
        <w:rPr>
          <w:rFonts w:cs="Times New Roman"/>
          <w:szCs w:val="24"/>
        </w:rPr>
        <w:t>cluster</w:t>
      </w:r>
      <w:r w:rsidR="00184C43">
        <w:rPr>
          <w:rFonts w:cs="Times New Roman"/>
          <w:szCs w:val="24"/>
        </w:rPr>
        <w:t xml:space="preserve"> on the right side of liberal interest group distributions, such as the ADA, while </w:t>
      </w:r>
      <w:r w:rsidR="00EB7B13">
        <w:rPr>
          <w:rFonts w:cs="Times New Roman"/>
          <w:szCs w:val="24"/>
        </w:rPr>
        <w:t>conservative</w:t>
      </w:r>
      <w:r w:rsidR="00184C43">
        <w:rPr>
          <w:rFonts w:cs="Times New Roman"/>
          <w:szCs w:val="24"/>
        </w:rPr>
        <w:t xml:space="preserve"> senators </w:t>
      </w:r>
      <w:r w:rsidR="00821CE9">
        <w:rPr>
          <w:rFonts w:cs="Times New Roman"/>
          <w:szCs w:val="24"/>
        </w:rPr>
        <w:t xml:space="preserve">clustered </w:t>
      </w:r>
      <w:r w:rsidR="00184C43">
        <w:rPr>
          <w:rFonts w:cs="Times New Roman"/>
          <w:szCs w:val="24"/>
        </w:rPr>
        <w:t>on the left side of t</w:t>
      </w:r>
      <w:r w:rsidR="00821CE9">
        <w:rPr>
          <w:rFonts w:cs="Times New Roman"/>
          <w:szCs w:val="24"/>
        </w:rPr>
        <w:t>hese graphs. The opposite occurred</w:t>
      </w:r>
      <w:r w:rsidR="00184C43">
        <w:rPr>
          <w:rFonts w:cs="Times New Roman"/>
          <w:szCs w:val="24"/>
        </w:rPr>
        <w:t xml:space="preserve"> for conservative interest group ratings such as the ACU. Thus, it appears that all of th</w:t>
      </w:r>
      <w:r w:rsidR="000204EE">
        <w:rPr>
          <w:rFonts w:cs="Times New Roman"/>
          <w:szCs w:val="24"/>
        </w:rPr>
        <w:t>e scorecard system</w:t>
      </w:r>
      <w:r w:rsidR="00817CC7">
        <w:rPr>
          <w:rFonts w:cs="Times New Roman"/>
          <w:szCs w:val="24"/>
        </w:rPr>
        <w:t>s can be considered</w:t>
      </w:r>
      <w:r w:rsidR="000204EE">
        <w:rPr>
          <w:rFonts w:cs="Times New Roman"/>
          <w:szCs w:val="24"/>
        </w:rPr>
        <w:t xml:space="preserve"> partisan</w:t>
      </w:r>
      <w:r w:rsidR="00184C43">
        <w:rPr>
          <w:rFonts w:cs="Times New Roman"/>
          <w:szCs w:val="24"/>
        </w:rPr>
        <w:t xml:space="preserve"> in nature. </w:t>
      </w:r>
      <w:r>
        <w:rPr>
          <w:rFonts w:cs="Times New Roman"/>
          <w:szCs w:val="24"/>
        </w:rPr>
        <w:t xml:space="preserve">There are </w:t>
      </w:r>
      <w:r w:rsidR="001E04EF">
        <w:rPr>
          <w:rFonts w:cs="Times New Roman"/>
          <w:szCs w:val="24"/>
        </w:rPr>
        <w:t>very few</w:t>
      </w:r>
      <w:r>
        <w:rPr>
          <w:rFonts w:cs="Times New Roman"/>
          <w:szCs w:val="24"/>
        </w:rPr>
        <w:t xml:space="preserve"> senators located in t</w:t>
      </w:r>
      <w:r w:rsidR="00A26719">
        <w:rPr>
          <w:rFonts w:cs="Times New Roman"/>
          <w:szCs w:val="24"/>
        </w:rPr>
        <w:t xml:space="preserve">he middle of the </w:t>
      </w:r>
      <w:r w:rsidR="00C43CF7">
        <w:rPr>
          <w:rFonts w:cs="Times New Roman"/>
          <w:szCs w:val="24"/>
        </w:rPr>
        <w:t>rating</w:t>
      </w:r>
      <w:r w:rsidR="00821CE9">
        <w:rPr>
          <w:rFonts w:cs="Times New Roman"/>
          <w:szCs w:val="24"/>
        </w:rPr>
        <w:t>s</w:t>
      </w:r>
      <w:r w:rsidR="00C43CF7">
        <w:rPr>
          <w:rFonts w:cs="Times New Roman"/>
          <w:szCs w:val="24"/>
        </w:rPr>
        <w:t xml:space="preserve"> systems’ </w:t>
      </w:r>
      <w:r w:rsidR="00A26719">
        <w:rPr>
          <w:rFonts w:cs="Times New Roman"/>
          <w:szCs w:val="24"/>
        </w:rPr>
        <w:t xml:space="preserve">distributions. </w:t>
      </w:r>
      <w:r w:rsidR="001E04EF">
        <w:rPr>
          <w:rFonts w:cs="Times New Roman"/>
          <w:szCs w:val="24"/>
        </w:rPr>
        <w:t>In other words</w:t>
      </w:r>
      <w:r w:rsidR="00315E22">
        <w:rPr>
          <w:rFonts w:cs="Times New Roman"/>
          <w:szCs w:val="24"/>
        </w:rPr>
        <w:t>, there have</w:t>
      </w:r>
      <w:r w:rsidR="001E04EF">
        <w:rPr>
          <w:rFonts w:cs="Times New Roman"/>
          <w:szCs w:val="24"/>
        </w:rPr>
        <w:t xml:space="preserve"> only been a handful of ideologically moderate senators dating back to 2007</w:t>
      </w:r>
      <w:r w:rsidR="00821CE9">
        <w:rPr>
          <w:rFonts w:cs="Times New Roman"/>
          <w:szCs w:val="24"/>
        </w:rPr>
        <w:t xml:space="preserve">, according to our analysis of the </w:t>
      </w:r>
      <w:r w:rsidR="001F395F">
        <w:rPr>
          <w:rFonts w:cs="Times New Roman"/>
          <w:szCs w:val="24"/>
        </w:rPr>
        <w:t>data</w:t>
      </w:r>
      <w:r w:rsidR="001E04EF">
        <w:rPr>
          <w:rFonts w:cs="Times New Roman"/>
          <w:szCs w:val="24"/>
        </w:rPr>
        <w:t xml:space="preserve">. </w:t>
      </w:r>
      <w:r w:rsidR="00EC34EB">
        <w:rPr>
          <w:rFonts w:cs="Times New Roman"/>
          <w:szCs w:val="24"/>
        </w:rPr>
        <w:t>T</w:t>
      </w:r>
      <w:r>
        <w:rPr>
          <w:rFonts w:cs="Times New Roman"/>
          <w:szCs w:val="24"/>
        </w:rPr>
        <w:t xml:space="preserve">he National Journal and </w:t>
      </w:r>
      <w:r w:rsidR="00315E22">
        <w:rPr>
          <w:rFonts w:cs="Times New Roman"/>
          <w:szCs w:val="24"/>
        </w:rPr>
        <w:t>DW-</w:t>
      </w:r>
      <w:r>
        <w:rPr>
          <w:rFonts w:cs="Times New Roman"/>
          <w:szCs w:val="24"/>
        </w:rPr>
        <w:t xml:space="preserve">Nominate ratings demonstrate </w:t>
      </w:r>
      <w:r>
        <w:rPr>
          <w:rFonts w:cs="Times New Roman"/>
          <w:szCs w:val="24"/>
        </w:rPr>
        <w:lastRenderedPageBreak/>
        <w:t xml:space="preserve">that the Senate is polarized </w:t>
      </w:r>
      <w:r w:rsidR="00184C43">
        <w:rPr>
          <w:rFonts w:cs="Times New Roman"/>
          <w:szCs w:val="24"/>
        </w:rPr>
        <w:t xml:space="preserve">along party lines </w:t>
      </w:r>
      <w:r w:rsidR="00EC34EB">
        <w:rPr>
          <w:rFonts w:cs="Times New Roman"/>
          <w:szCs w:val="24"/>
        </w:rPr>
        <w:t>as well</w:t>
      </w:r>
      <w:r>
        <w:rPr>
          <w:rFonts w:cs="Times New Roman"/>
          <w:szCs w:val="24"/>
        </w:rPr>
        <w:t>.</w:t>
      </w:r>
      <w:r w:rsidR="00184C43">
        <w:rPr>
          <w:rFonts w:cs="Times New Roman"/>
          <w:szCs w:val="24"/>
        </w:rPr>
        <w:t xml:space="preserve"> However, the National Journal composite score a</w:t>
      </w:r>
      <w:r w:rsidR="00EE57C0">
        <w:rPr>
          <w:rFonts w:cs="Times New Roman"/>
          <w:szCs w:val="24"/>
        </w:rPr>
        <w:t xml:space="preserve">ppears to contain more </w:t>
      </w:r>
      <w:r w:rsidR="00411D3C">
        <w:rPr>
          <w:rFonts w:cs="Times New Roman"/>
          <w:szCs w:val="24"/>
        </w:rPr>
        <w:t xml:space="preserve">ideologically </w:t>
      </w:r>
      <w:r w:rsidR="00EE57C0">
        <w:rPr>
          <w:rFonts w:cs="Times New Roman"/>
          <w:szCs w:val="24"/>
        </w:rPr>
        <w:t>moderate senators</w:t>
      </w:r>
      <w:r w:rsidR="00184C43">
        <w:rPr>
          <w:rFonts w:cs="Times New Roman"/>
          <w:szCs w:val="24"/>
        </w:rPr>
        <w:t>.</w:t>
      </w:r>
      <w:r>
        <w:rPr>
          <w:rFonts w:cs="Times New Roman"/>
          <w:szCs w:val="24"/>
        </w:rPr>
        <w:t xml:space="preserve"> This suggests that interest group ratings are currently not as extre</w:t>
      </w:r>
      <w:r w:rsidR="00EC34EB">
        <w:rPr>
          <w:rFonts w:cs="Times New Roman"/>
          <w:szCs w:val="24"/>
        </w:rPr>
        <w:t>me and bipolar as past studies</w:t>
      </w:r>
      <w:r>
        <w:rPr>
          <w:rFonts w:cs="Times New Roman"/>
          <w:szCs w:val="24"/>
        </w:rPr>
        <w:t xml:space="preserve"> would expect us to find. </w:t>
      </w:r>
      <w:r w:rsidR="00315E22">
        <w:rPr>
          <w:rFonts w:cs="Times New Roman"/>
          <w:szCs w:val="24"/>
        </w:rPr>
        <w:t xml:space="preserve">Though the distributions are slightly wider for the ADA and </w:t>
      </w:r>
      <w:r w:rsidR="00821CE9">
        <w:rPr>
          <w:rFonts w:cs="Times New Roman"/>
          <w:szCs w:val="24"/>
        </w:rPr>
        <w:t xml:space="preserve">the </w:t>
      </w:r>
      <w:r w:rsidR="00315E22">
        <w:rPr>
          <w:rFonts w:cs="Times New Roman"/>
          <w:szCs w:val="24"/>
        </w:rPr>
        <w:t>ACU than they are for the N</w:t>
      </w:r>
      <w:r w:rsidR="00821CE9">
        <w:rPr>
          <w:rFonts w:cs="Times New Roman"/>
          <w:szCs w:val="24"/>
        </w:rPr>
        <w:t>ational Journal and DW-Nominate -</w:t>
      </w:r>
      <w:r w:rsidR="00315E22">
        <w:rPr>
          <w:rFonts w:cs="Times New Roman"/>
          <w:szCs w:val="24"/>
        </w:rPr>
        <w:t xml:space="preserve"> </w:t>
      </w:r>
      <w:r w:rsidR="00EE57C0">
        <w:rPr>
          <w:rFonts w:cs="Times New Roman"/>
          <w:szCs w:val="24"/>
        </w:rPr>
        <w:t>meaning that standard deviations</w:t>
      </w:r>
      <w:r w:rsidR="000204EE">
        <w:rPr>
          <w:rFonts w:cs="Times New Roman"/>
          <w:szCs w:val="24"/>
        </w:rPr>
        <w:t xml:space="preserve"> are slightly </w:t>
      </w:r>
      <w:r w:rsidR="00EE57C0">
        <w:rPr>
          <w:rFonts w:cs="Times New Roman"/>
          <w:szCs w:val="24"/>
        </w:rPr>
        <w:t>larger</w:t>
      </w:r>
      <w:r w:rsidR="00821CE9">
        <w:rPr>
          <w:rFonts w:cs="Times New Roman"/>
          <w:szCs w:val="24"/>
        </w:rPr>
        <w:t xml:space="preserve"> -</w:t>
      </w:r>
      <w:r w:rsidR="000204EE">
        <w:rPr>
          <w:rFonts w:cs="Times New Roman"/>
          <w:szCs w:val="24"/>
        </w:rPr>
        <w:t xml:space="preserve"> </w:t>
      </w:r>
      <w:r w:rsidR="00315E22">
        <w:rPr>
          <w:rFonts w:cs="Times New Roman"/>
          <w:szCs w:val="24"/>
        </w:rPr>
        <w:t>w</w:t>
      </w:r>
      <w:r w:rsidR="00C43CF7">
        <w:rPr>
          <w:rFonts w:cs="Times New Roman"/>
          <w:szCs w:val="24"/>
        </w:rPr>
        <w:t>e believe our preliminary visual test confirms</w:t>
      </w:r>
      <w:r>
        <w:rPr>
          <w:rFonts w:cs="Times New Roman"/>
          <w:szCs w:val="24"/>
        </w:rPr>
        <w:t xml:space="preserve"> that it is not the int</w:t>
      </w:r>
      <w:r w:rsidR="000204EE">
        <w:rPr>
          <w:rFonts w:cs="Times New Roman"/>
          <w:szCs w:val="24"/>
        </w:rPr>
        <w:t>erest groups that are polarized</w:t>
      </w:r>
      <w:r>
        <w:rPr>
          <w:rFonts w:cs="Times New Roman"/>
          <w:szCs w:val="24"/>
        </w:rPr>
        <w:t xml:space="preserve"> </w:t>
      </w:r>
      <w:r w:rsidR="0081580A">
        <w:rPr>
          <w:rFonts w:cs="Times New Roman"/>
          <w:szCs w:val="24"/>
        </w:rPr>
        <w:t>along a</w:t>
      </w:r>
      <w:r w:rsidR="00EE57C0">
        <w:rPr>
          <w:rFonts w:cs="Times New Roman"/>
          <w:szCs w:val="24"/>
        </w:rPr>
        <w:t xml:space="preserve"> </w:t>
      </w:r>
      <w:r w:rsidR="0081580A">
        <w:rPr>
          <w:rFonts w:cs="Times New Roman"/>
          <w:szCs w:val="24"/>
        </w:rPr>
        <w:t>partisan</w:t>
      </w:r>
      <w:r w:rsidR="00EE57C0">
        <w:rPr>
          <w:rFonts w:cs="Times New Roman"/>
          <w:szCs w:val="24"/>
        </w:rPr>
        <w:t xml:space="preserve"> spectrum</w:t>
      </w:r>
      <w:r w:rsidR="00817CC7">
        <w:rPr>
          <w:rFonts w:cs="Times New Roman"/>
          <w:szCs w:val="24"/>
        </w:rPr>
        <w:t>,</w:t>
      </w:r>
      <w:r w:rsidR="00EE57C0">
        <w:rPr>
          <w:rFonts w:cs="Times New Roman"/>
          <w:szCs w:val="24"/>
        </w:rPr>
        <w:t xml:space="preserve"> </w:t>
      </w:r>
      <w:r>
        <w:rPr>
          <w:rFonts w:cs="Times New Roman"/>
          <w:szCs w:val="24"/>
        </w:rPr>
        <w:t xml:space="preserve">but </w:t>
      </w:r>
      <w:r w:rsidRPr="00817CC7">
        <w:rPr>
          <w:rFonts w:cs="Times New Roman"/>
          <w:i/>
          <w:szCs w:val="24"/>
        </w:rPr>
        <w:t>the Senate itself</w:t>
      </w:r>
      <w:r>
        <w:rPr>
          <w:rFonts w:cs="Times New Roman"/>
          <w:szCs w:val="24"/>
        </w:rPr>
        <w:t>.</w:t>
      </w:r>
      <w:r w:rsidR="005A1854" w:rsidRPr="005A1854">
        <w:rPr>
          <w:rFonts w:cs="Times New Roman"/>
          <w:noProof/>
          <w:szCs w:val="24"/>
        </w:rPr>
        <w:t xml:space="preserve"> </w:t>
      </w:r>
      <w:r w:rsidR="00411D3C">
        <w:rPr>
          <w:rFonts w:cs="Times New Roman"/>
          <w:noProof/>
          <w:szCs w:val="24"/>
        </w:rPr>
        <w:t xml:space="preserve">We believe that </w:t>
      </w:r>
      <w:r w:rsidR="00411D3C">
        <w:rPr>
          <w:rFonts w:cs="Times New Roman"/>
          <w:szCs w:val="24"/>
        </w:rPr>
        <w:t>i</w:t>
      </w:r>
      <w:r w:rsidR="00EE57C0">
        <w:rPr>
          <w:rFonts w:cs="Times New Roman"/>
          <w:szCs w:val="24"/>
        </w:rPr>
        <w:t xml:space="preserve">f senators </w:t>
      </w:r>
      <w:r w:rsidR="00411D3C">
        <w:rPr>
          <w:rFonts w:cs="Times New Roman"/>
          <w:szCs w:val="24"/>
        </w:rPr>
        <w:t xml:space="preserve">actually </w:t>
      </w:r>
      <w:r w:rsidR="00EE57C0">
        <w:rPr>
          <w:rFonts w:cs="Times New Roman"/>
          <w:szCs w:val="24"/>
        </w:rPr>
        <w:t>practiced issue voting, we would not expect to find such uniform distributi</w:t>
      </w:r>
      <w:r w:rsidR="00821CE9">
        <w:rPr>
          <w:rFonts w:cs="Times New Roman"/>
          <w:szCs w:val="24"/>
        </w:rPr>
        <w:t>ons across interest groups that</w:t>
      </w:r>
      <w:r w:rsidR="00EE57C0">
        <w:rPr>
          <w:rFonts w:cs="Times New Roman"/>
          <w:szCs w:val="24"/>
        </w:rPr>
        <w:t xml:space="preserve"> analyze different roll call votes (H</w:t>
      </w:r>
      <w:r w:rsidR="00EE57C0" w:rsidRPr="00821CE9">
        <w:rPr>
          <w:rFonts w:cs="Times New Roman"/>
          <w:szCs w:val="24"/>
          <w:vertAlign w:val="subscript"/>
        </w:rPr>
        <w:t>1</w:t>
      </w:r>
      <w:r w:rsidR="00EE57C0">
        <w:rPr>
          <w:rFonts w:cs="Times New Roman"/>
          <w:szCs w:val="24"/>
        </w:rPr>
        <w:t>).</w:t>
      </w:r>
    </w:p>
    <w:p w:rsidR="005A1854" w:rsidRPr="006379A1" w:rsidRDefault="005A1854" w:rsidP="004C4CAB">
      <w:pPr>
        <w:spacing w:line="480" w:lineRule="auto"/>
        <w:contextualSpacing/>
        <w:jc w:val="both"/>
        <w:rPr>
          <w:rFonts w:cs="Times New Roman"/>
          <w:b/>
          <w:noProof/>
          <w:szCs w:val="24"/>
        </w:rPr>
      </w:pPr>
      <w:r w:rsidRPr="006379A1">
        <w:rPr>
          <w:rFonts w:cs="Times New Roman"/>
          <w:b/>
          <w:noProof/>
          <w:szCs w:val="24"/>
        </w:rPr>
        <w:t>Figure 1: Kernel Density Estimates for ADA, ACU, National Journal, &amp; DW-Nominate</w:t>
      </w:r>
    </w:p>
    <w:p w:rsidR="00B46761" w:rsidRDefault="005A1854" w:rsidP="00B46761">
      <w:pPr>
        <w:jc w:val="both"/>
        <w:rPr>
          <w:rFonts w:cs="Times New Roman"/>
          <w:szCs w:val="24"/>
        </w:rPr>
      </w:pPr>
      <w:r w:rsidRPr="005A1854">
        <w:rPr>
          <w:rFonts w:cs="Times New Roman"/>
          <w:noProof/>
          <w:szCs w:val="24"/>
        </w:rPr>
        <w:drawing>
          <wp:inline distT="0" distB="0" distL="0" distR="0" wp14:anchorId="6E6A393D" wp14:editId="7C22CE0C">
            <wp:extent cx="2924355" cy="21402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7695" cy="2150031"/>
                    </a:xfrm>
                    <a:prstGeom prst="rect">
                      <a:avLst/>
                    </a:prstGeom>
                    <a:noFill/>
                    <a:ln>
                      <a:noFill/>
                    </a:ln>
                  </pic:spPr>
                </pic:pic>
              </a:graphicData>
            </a:graphic>
          </wp:inline>
        </w:drawing>
      </w:r>
      <w:r w:rsidRPr="005A1854">
        <w:rPr>
          <w:rFonts w:cs="Times New Roman"/>
          <w:noProof/>
          <w:szCs w:val="24"/>
        </w:rPr>
        <w:drawing>
          <wp:inline distT="0" distB="0" distL="0" distR="0">
            <wp:extent cx="2911315" cy="2130724"/>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8525" cy="2136001"/>
                    </a:xfrm>
                    <a:prstGeom prst="rect">
                      <a:avLst/>
                    </a:prstGeom>
                    <a:noFill/>
                    <a:ln>
                      <a:noFill/>
                    </a:ln>
                  </pic:spPr>
                </pic:pic>
              </a:graphicData>
            </a:graphic>
          </wp:inline>
        </w:drawing>
      </w:r>
      <w:r w:rsidRPr="005A1854">
        <w:rPr>
          <w:rFonts w:cs="Times New Roman"/>
          <w:noProof/>
          <w:szCs w:val="24"/>
        </w:rPr>
        <w:drawing>
          <wp:inline distT="0" distB="0" distL="0" distR="0">
            <wp:extent cx="2924175" cy="2140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5246" cy="2148239"/>
                    </a:xfrm>
                    <a:prstGeom prst="rect">
                      <a:avLst/>
                    </a:prstGeom>
                    <a:noFill/>
                    <a:ln>
                      <a:noFill/>
                    </a:ln>
                  </pic:spPr>
                </pic:pic>
              </a:graphicData>
            </a:graphic>
          </wp:inline>
        </w:drawing>
      </w:r>
      <w:r w:rsidRPr="005A1854">
        <w:rPr>
          <w:rFonts w:cs="Times New Roman"/>
          <w:noProof/>
          <w:szCs w:val="24"/>
        </w:rPr>
        <w:drawing>
          <wp:inline distT="0" distB="0" distL="0" distR="0">
            <wp:extent cx="2910840" cy="2130377"/>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4241" cy="2140185"/>
                    </a:xfrm>
                    <a:prstGeom prst="rect">
                      <a:avLst/>
                    </a:prstGeom>
                    <a:noFill/>
                    <a:ln>
                      <a:noFill/>
                    </a:ln>
                  </pic:spPr>
                </pic:pic>
              </a:graphicData>
            </a:graphic>
          </wp:inline>
        </w:drawing>
      </w:r>
    </w:p>
    <w:p w:rsidR="00821CE9" w:rsidRDefault="00821CE9" w:rsidP="00EC7545">
      <w:pPr>
        <w:spacing w:line="240" w:lineRule="auto"/>
        <w:jc w:val="both"/>
        <w:rPr>
          <w:rFonts w:cs="Times New Roman"/>
          <w:i/>
          <w:szCs w:val="24"/>
        </w:rPr>
      </w:pPr>
    </w:p>
    <w:p w:rsidR="00821CE9" w:rsidRDefault="00821CE9" w:rsidP="00EC7545">
      <w:pPr>
        <w:spacing w:line="240" w:lineRule="auto"/>
        <w:jc w:val="both"/>
        <w:rPr>
          <w:rFonts w:cs="Times New Roman"/>
          <w:i/>
          <w:szCs w:val="24"/>
        </w:rPr>
      </w:pPr>
    </w:p>
    <w:p w:rsidR="00B46761" w:rsidRDefault="00B46761" w:rsidP="00EC7545">
      <w:pPr>
        <w:spacing w:line="240" w:lineRule="auto"/>
        <w:jc w:val="both"/>
        <w:rPr>
          <w:rFonts w:cs="Times New Roman"/>
          <w:szCs w:val="24"/>
        </w:rPr>
      </w:pPr>
      <w:r>
        <w:rPr>
          <w:rFonts w:cs="Times New Roman"/>
          <w:i/>
          <w:szCs w:val="24"/>
        </w:rPr>
        <w:t>Correlation of Senator Scorecard Ratings</w:t>
      </w:r>
    </w:p>
    <w:p w:rsidR="0077671B" w:rsidRDefault="00B46761" w:rsidP="00D879A8">
      <w:pPr>
        <w:spacing w:line="480" w:lineRule="auto"/>
        <w:contextualSpacing/>
        <w:jc w:val="both"/>
        <w:rPr>
          <w:rFonts w:cs="Times New Roman"/>
          <w:szCs w:val="24"/>
        </w:rPr>
      </w:pPr>
      <w:r>
        <w:rPr>
          <w:rFonts w:cs="Times New Roman"/>
          <w:szCs w:val="24"/>
        </w:rPr>
        <w:tab/>
      </w:r>
      <w:r w:rsidR="00821CE9">
        <w:rPr>
          <w:rFonts w:cs="Times New Roman"/>
          <w:szCs w:val="24"/>
        </w:rPr>
        <w:t>K</w:t>
      </w:r>
      <w:r>
        <w:rPr>
          <w:rFonts w:cs="Times New Roman"/>
          <w:szCs w:val="24"/>
        </w:rPr>
        <w:t xml:space="preserve">ernel density estimates suggest that interest group ratings are distributed similarly to National Journal and </w:t>
      </w:r>
      <w:r w:rsidR="00EC34EB">
        <w:rPr>
          <w:rFonts w:cs="Times New Roman"/>
          <w:szCs w:val="24"/>
        </w:rPr>
        <w:t>DW-</w:t>
      </w:r>
      <w:r>
        <w:rPr>
          <w:rFonts w:cs="Times New Roman"/>
          <w:szCs w:val="24"/>
        </w:rPr>
        <w:t>Nominate scores. In other words, these rating</w:t>
      </w:r>
      <w:r w:rsidR="00821CE9">
        <w:rPr>
          <w:rFonts w:cs="Times New Roman"/>
          <w:szCs w:val="24"/>
        </w:rPr>
        <w:t>s</w:t>
      </w:r>
      <w:r>
        <w:rPr>
          <w:rFonts w:cs="Times New Roman"/>
          <w:szCs w:val="24"/>
        </w:rPr>
        <w:t xml:space="preserve"> systems may all be correlated and </w:t>
      </w:r>
      <w:r w:rsidR="00821CE9">
        <w:rPr>
          <w:rFonts w:cs="Times New Roman"/>
          <w:szCs w:val="24"/>
        </w:rPr>
        <w:t xml:space="preserve">may be </w:t>
      </w:r>
      <w:r>
        <w:rPr>
          <w:rFonts w:cs="Times New Roman"/>
          <w:szCs w:val="24"/>
        </w:rPr>
        <w:t xml:space="preserve">measuring the same </w:t>
      </w:r>
      <w:r w:rsidR="00D35EA4">
        <w:rPr>
          <w:rFonts w:cs="Times New Roman"/>
          <w:szCs w:val="24"/>
        </w:rPr>
        <w:t xml:space="preserve">underlying </w:t>
      </w:r>
      <w:r w:rsidR="00821CE9">
        <w:rPr>
          <w:rFonts w:cs="Times New Roman"/>
          <w:szCs w:val="24"/>
        </w:rPr>
        <w:t>construct</w:t>
      </w:r>
      <w:r>
        <w:rPr>
          <w:rFonts w:cs="Times New Roman"/>
          <w:szCs w:val="24"/>
        </w:rPr>
        <w:t>. Several scholars have already established that interest group scores are highly correlated with one another (Brunell et al. 1999; Burden et al. 2000). Poole and Rosenthal (2007) have demonstrated that many of these ratings are also correlated with their first-di</w:t>
      </w:r>
      <w:r w:rsidR="00005575">
        <w:rPr>
          <w:rFonts w:cs="Times New Roman"/>
          <w:szCs w:val="24"/>
        </w:rPr>
        <w:t>mension nominate scores</w:t>
      </w:r>
      <w:r w:rsidR="000204EE">
        <w:rPr>
          <w:rFonts w:cs="Times New Roman"/>
          <w:szCs w:val="24"/>
        </w:rPr>
        <w:t>, which largely captures the partisan nature of roll call voting.</w:t>
      </w:r>
      <w:r>
        <w:rPr>
          <w:rFonts w:cs="Times New Roman"/>
          <w:szCs w:val="24"/>
        </w:rPr>
        <w:t xml:space="preserve"> </w:t>
      </w:r>
      <w:r w:rsidR="00D35EA4">
        <w:rPr>
          <w:rFonts w:cs="Times New Roman"/>
          <w:szCs w:val="24"/>
        </w:rPr>
        <w:t>Thus, there is reason to expect partisanship to account for most of the variance in all of the sco</w:t>
      </w:r>
      <w:r w:rsidR="000204EE">
        <w:rPr>
          <w:rFonts w:cs="Times New Roman"/>
          <w:szCs w:val="24"/>
        </w:rPr>
        <w:t>recards (H</w:t>
      </w:r>
      <w:r w:rsidR="000204EE" w:rsidRPr="00005575">
        <w:rPr>
          <w:rFonts w:cs="Times New Roman"/>
          <w:szCs w:val="24"/>
          <w:vertAlign w:val="subscript"/>
        </w:rPr>
        <w:t>2</w:t>
      </w:r>
      <w:r w:rsidR="00EE57C0" w:rsidRPr="00005575">
        <w:rPr>
          <w:rFonts w:cs="Times New Roman"/>
          <w:szCs w:val="24"/>
          <w:vertAlign w:val="subscript"/>
        </w:rPr>
        <w:t>a</w:t>
      </w:r>
      <w:r w:rsidR="00D35EA4">
        <w:rPr>
          <w:rFonts w:cs="Times New Roman"/>
          <w:szCs w:val="24"/>
        </w:rPr>
        <w:t xml:space="preserve">). </w:t>
      </w:r>
      <w:r>
        <w:rPr>
          <w:rFonts w:cs="Times New Roman"/>
          <w:szCs w:val="24"/>
        </w:rPr>
        <w:t xml:space="preserve">However, there </w:t>
      </w:r>
      <w:r w:rsidR="00005575">
        <w:rPr>
          <w:rFonts w:cs="Times New Roman"/>
          <w:szCs w:val="24"/>
        </w:rPr>
        <w:t>are</w:t>
      </w:r>
      <w:r>
        <w:rPr>
          <w:rFonts w:cs="Times New Roman"/>
          <w:szCs w:val="24"/>
        </w:rPr>
        <w:t xml:space="preserve"> no studies </w:t>
      </w:r>
      <w:r w:rsidR="00005575">
        <w:rPr>
          <w:rFonts w:cs="Times New Roman"/>
          <w:szCs w:val="24"/>
        </w:rPr>
        <w:t>that examine these relationships using empirical</w:t>
      </w:r>
      <w:r>
        <w:rPr>
          <w:rFonts w:cs="Times New Roman"/>
          <w:szCs w:val="24"/>
        </w:rPr>
        <w:t xml:space="preserve"> data more recent than the mid-1990s. Therefore, we replicated these findings using data from the 110</w:t>
      </w:r>
      <w:r w:rsidRPr="007B795F">
        <w:rPr>
          <w:rFonts w:cs="Times New Roman"/>
          <w:szCs w:val="24"/>
          <w:vertAlign w:val="superscript"/>
        </w:rPr>
        <w:t>th</w:t>
      </w:r>
      <w:r w:rsidR="00817CC7">
        <w:rPr>
          <w:rFonts w:cs="Times New Roman"/>
          <w:szCs w:val="24"/>
        </w:rPr>
        <w:t>-</w:t>
      </w:r>
      <w:r>
        <w:rPr>
          <w:rFonts w:cs="Times New Roman"/>
          <w:szCs w:val="24"/>
        </w:rPr>
        <w:t>112</w:t>
      </w:r>
      <w:r w:rsidRPr="007B795F">
        <w:rPr>
          <w:rFonts w:cs="Times New Roman"/>
          <w:szCs w:val="24"/>
          <w:vertAlign w:val="superscript"/>
        </w:rPr>
        <w:t>th</w:t>
      </w:r>
      <w:r>
        <w:rPr>
          <w:rFonts w:cs="Times New Roman"/>
          <w:szCs w:val="24"/>
        </w:rPr>
        <w:t xml:space="preserve"> U.S. Senate.</w:t>
      </w:r>
    </w:p>
    <w:tbl>
      <w:tblPr>
        <w:tblStyle w:val="GridTable4-Accent5"/>
        <w:tblW w:w="4952" w:type="pct"/>
        <w:tblLook w:val="04A0" w:firstRow="1" w:lastRow="0" w:firstColumn="1" w:lastColumn="0" w:noHBand="0" w:noVBand="1"/>
      </w:tblPr>
      <w:tblGrid>
        <w:gridCol w:w="1180"/>
        <w:gridCol w:w="770"/>
        <w:gridCol w:w="883"/>
        <w:gridCol w:w="1017"/>
        <w:gridCol w:w="735"/>
        <w:gridCol w:w="746"/>
        <w:gridCol w:w="746"/>
        <w:gridCol w:w="759"/>
        <w:gridCol w:w="728"/>
        <w:gridCol w:w="717"/>
        <w:gridCol w:w="972"/>
        <w:gridCol w:w="7"/>
      </w:tblGrid>
      <w:tr w:rsidR="0077671B" w:rsidTr="00EA253F">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000" w:type="pct"/>
            <w:gridSpan w:val="12"/>
          </w:tcPr>
          <w:p w:rsidR="0077671B" w:rsidRDefault="001F395F" w:rsidP="0077671B">
            <w:pPr>
              <w:jc w:val="both"/>
              <w:rPr>
                <w:rFonts w:cs="Times New Roman"/>
                <w:sz w:val="20"/>
                <w:szCs w:val="20"/>
              </w:rPr>
            </w:pPr>
            <w:r>
              <w:rPr>
                <w:rFonts w:cs="Times New Roman"/>
                <w:sz w:val="20"/>
                <w:szCs w:val="20"/>
              </w:rPr>
              <w:t>Table 1: Relationships Between</w:t>
            </w:r>
            <w:r w:rsidR="0077671B">
              <w:rPr>
                <w:rFonts w:cs="Times New Roman"/>
                <w:sz w:val="20"/>
                <w:szCs w:val="20"/>
              </w:rPr>
              <w:t xml:space="preserve"> Senator Scorecard Ratings</w:t>
            </w:r>
          </w:p>
        </w:tc>
      </w:tr>
      <w:tr w:rsidR="00EA253F" w:rsidTr="00EA253F">
        <w:trPr>
          <w:gridAfter w:val="1"/>
          <w:cnfStyle w:val="000000100000" w:firstRow="0" w:lastRow="0" w:firstColumn="0" w:lastColumn="0" w:oddVBand="0" w:evenVBand="0" w:oddHBand="1" w:evenHBand="0" w:firstRowFirstColumn="0" w:firstRowLastColumn="0" w:lastRowFirstColumn="0" w:lastRowLastColumn="0"/>
          <w:wAfter w:w="3" w:type="pct"/>
          <w:trHeight w:val="250"/>
        </w:trPr>
        <w:tc>
          <w:tcPr>
            <w:cnfStyle w:val="001000000000" w:firstRow="0" w:lastRow="0" w:firstColumn="1" w:lastColumn="0" w:oddVBand="0" w:evenVBand="0" w:oddHBand="0" w:evenHBand="0" w:firstRowFirstColumn="0" w:firstRowLastColumn="0" w:lastRowFirstColumn="0" w:lastRowLastColumn="0"/>
            <w:tcW w:w="638" w:type="pct"/>
          </w:tcPr>
          <w:p w:rsidR="0077671B" w:rsidRPr="00C93DEA" w:rsidRDefault="0077671B" w:rsidP="0077671B">
            <w:pPr>
              <w:rPr>
                <w:rFonts w:cs="Times New Roman"/>
                <w:sz w:val="20"/>
                <w:szCs w:val="20"/>
              </w:rPr>
            </w:pPr>
          </w:p>
        </w:tc>
        <w:tc>
          <w:tcPr>
            <w:tcW w:w="417"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93DEA">
              <w:rPr>
                <w:rFonts w:cs="Times New Roman"/>
                <w:sz w:val="20"/>
                <w:szCs w:val="20"/>
              </w:rPr>
              <w:t>ADA</w:t>
            </w:r>
          </w:p>
        </w:tc>
        <w:tc>
          <w:tcPr>
            <w:tcW w:w="47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93DEA">
              <w:rPr>
                <w:rFonts w:cs="Times New Roman"/>
                <w:sz w:val="20"/>
                <w:szCs w:val="20"/>
              </w:rPr>
              <w:t>ACLU</w:t>
            </w:r>
          </w:p>
        </w:tc>
        <w:tc>
          <w:tcPr>
            <w:tcW w:w="54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93DEA">
              <w:rPr>
                <w:rFonts w:cs="Times New Roman"/>
                <w:sz w:val="20"/>
                <w:szCs w:val="20"/>
              </w:rPr>
              <w:t>AFS</w:t>
            </w:r>
            <w:r>
              <w:rPr>
                <w:rFonts w:cs="Times New Roman"/>
                <w:sz w:val="20"/>
                <w:szCs w:val="20"/>
              </w:rPr>
              <w:t>CME</w:t>
            </w:r>
          </w:p>
        </w:tc>
        <w:tc>
          <w:tcPr>
            <w:tcW w:w="39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93DEA">
              <w:rPr>
                <w:rFonts w:cs="Times New Roman"/>
                <w:sz w:val="20"/>
                <w:szCs w:val="20"/>
              </w:rPr>
              <w:t>LCV</w:t>
            </w:r>
          </w:p>
        </w:tc>
        <w:tc>
          <w:tcPr>
            <w:tcW w:w="40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93DEA">
              <w:rPr>
                <w:rFonts w:cs="Times New Roman"/>
                <w:sz w:val="20"/>
                <w:szCs w:val="20"/>
              </w:rPr>
              <w:t>NTU</w:t>
            </w:r>
          </w:p>
        </w:tc>
        <w:tc>
          <w:tcPr>
            <w:tcW w:w="40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93DEA">
              <w:rPr>
                <w:rFonts w:cs="Times New Roman"/>
                <w:sz w:val="20"/>
                <w:szCs w:val="20"/>
              </w:rPr>
              <w:t>COC</w:t>
            </w:r>
          </w:p>
        </w:tc>
        <w:tc>
          <w:tcPr>
            <w:tcW w:w="411"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93DEA">
              <w:rPr>
                <w:rFonts w:cs="Times New Roman"/>
                <w:sz w:val="20"/>
                <w:szCs w:val="20"/>
              </w:rPr>
              <w:t>ACU</w:t>
            </w:r>
          </w:p>
        </w:tc>
        <w:tc>
          <w:tcPr>
            <w:tcW w:w="39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93DEA">
              <w:rPr>
                <w:rFonts w:cs="Times New Roman"/>
                <w:sz w:val="20"/>
                <w:szCs w:val="20"/>
              </w:rPr>
              <w:t>CFG</w:t>
            </w:r>
          </w:p>
        </w:tc>
        <w:tc>
          <w:tcPr>
            <w:tcW w:w="38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93DEA">
              <w:rPr>
                <w:rFonts w:cs="Times New Roman"/>
                <w:sz w:val="20"/>
                <w:szCs w:val="20"/>
              </w:rPr>
              <w:t>FRC</w:t>
            </w:r>
          </w:p>
        </w:tc>
        <w:tc>
          <w:tcPr>
            <w:tcW w:w="519"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NJCONS</w:t>
            </w:r>
          </w:p>
        </w:tc>
      </w:tr>
      <w:tr w:rsidR="0077671B" w:rsidTr="00EA253F">
        <w:trPr>
          <w:gridAfter w:val="1"/>
          <w:wAfter w:w="3" w:type="pct"/>
          <w:trHeight w:val="266"/>
        </w:trPr>
        <w:tc>
          <w:tcPr>
            <w:cnfStyle w:val="001000000000" w:firstRow="0" w:lastRow="0" w:firstColumn="1" w:lastColumn="0" w:oddVBand="0" w:evenVBand="0" w:oddHBand="0" w:evenHBand="0" w:firstRowFirstColumn="0" w:firstRowLastColumn="0" w:lastRowFirstColumn="0" w:lastRowLastColumn="0"/>
            <w:tcW w:w="638" w:type="pct"/>
          </w:tcPr>
          <w:p w:rsidR="0077671B" w:rsidRPr="00C93DEA" w:rsidRDefault="0077671B" w:rsidP="0077671B">
            <w:pPr>
              <w:jc w:val="right"/>
              <w:rPr>
                <w:rFonts w:cs="Times New Roman"/>
                <w:b w:val="0"/>
                <w:sz w:val="20"/>
                <w:szCs w:val="20"/>
              </w:rPr>
            </w:pPr>
            <w:r w:rsidRPr="00C93DEA">
              <w:rPr>
                <w:rFonts w:cs="Times New Roman"/>
                <w:b w:val="0"/>
                <w:sz w:val="20"/>
                <w:szCs w:val="20"/>
              </w:rPr>
              <w:t>ADA</w:t>
            </w:r>
          </w:p>
        </w:tc>
        <w:tc>
          <w:tcPr>
            <w:tcW w:w="417"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1.00</w:t>
            </w:r>
          </w:p>
        </w:tc>
        <w:tc>
          <w:tcPr>
            <w:tcW w:w="47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4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9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11"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9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8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19"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EA253F" w:rsidTr="00EA253F">
        <w:trPr>
          <w:gridAfter w:val="1"/>
          <w:cnfStyle w:val="000000100000" w:firstRow="0" w:lastRow="0" w:firstColumn="0" w:lastColumn="0" w:oddVBand="0" w:evenVBand="0" w:oddHBand="1" w:evenHBand="0" w:firstRowFirstColumn="0" w:firstRowLastColumn="0" w:lastRowFirstColumn="0" w:lastRowLastColumn="0"/>
          <w:wAfter w:w="3" w:type="pct"/>
          <w:trHeight w:val="266"/>
        </w:trPr>
        <w:tc>
          <w:tcPr>
            <w:cnfStyle w:val="001000000000" w:firstRow="0" w:lastRow="0" w:firstColumn="1" w:lastColumn="0" w:oddVBand="0" w:evenVBand="0" w:oddHBand="0" w:evenHBand="0" w:firstRowFirstColumn="0" w:firstRowLastColumn="0" w:lastRowFirstColumn="0" w:lastRowLastColumn="0"/>
            <w:tcW w:w="638" w:type="pct"/>
          </w:tcPr>
          <w:p w:rsidR="0077671B" w:rsidRPr="00C93DEA" w:rsidRDefault="0077671B" w:rsidP="0077671B">
            <w:pPr>
              <w:jc w:val="right"/>
              <w:rPr>
                <w:rFonts w:cs="Times New Roman"/>
                <w:b w:val="0"/>
                <w:sz w:val="20"/>
                <w:szCs w:val="20"/>
              </w:rPr>
            </w:pPr>
            <w:r w:rsidRPr="00C93DEA">
              <w:rPr>
                <w:rFonts w:cs="Times New Roman"/>
                <w:b w:val="0"/>
                <w:sz w:val="20"/>
                <w:szCs w:val="20"/>
              </w:rPr>
              <w:t>ACLU</w:t>
            </w:r>
          </w:p>
        </w:tc>
        <w:tc>
          <w:tcPr>
            <w:tcW w:w="417"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0.91</w:t>
            </w:r>
          </w:p>
        </w:tc>
        <w:tc>
          <w:tcPr>
            <w:tcW w:w="47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1.00</w:t>
            </w:r>
          </w:p>
        </w:tc>
        <w:tc>
          <w:tcPr>
            <w:tcW w:w="54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9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11"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9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8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19"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77671B" w:rsidTr="00EA253F">
        <w:trPr>
          <w:gridAfter w:val="1"/>
          <w:wAfter w:w="3" w:type="pct"/>
          <w:trHeight w:val="250"/>
        </w:trPr>
        <w:tc>
          <w:tcPr>
            <w:cnfStyle w:val="001000000000" w:firstRow="0" w:lastRow="0" w:firstColumn="1" w:lastColumn="0" w:oddVBand="0" w:evenVBand="0" w:oddHBand="0" w:evenHBand="0" w:firstRowFirstColumn="0" w:firstRowLastColumn="0" w:lastRowFirstColumn="0" w:lastRowLastColumn="0"/>
            <w:tcW w:w="638" w:type="pct"/>
          </w:tcPr>
          <w:p w:rsidR="0077671B" w:rsidRPr="00C93DEA" w:rsidRDefault="0077671B" w:rsidP="0077671B">
            <w:pPr>
              <w:jc w:val="right"/>
              <w:rPr>
                <w:rFonts w:cs="Times New Roman"/>
                <w:b w:val="0"/>
                <w:sz w:val="20"/>
                <w:szCs w:val="20"/>
              </w:rPr>
            </w:pPr>
            <w:r w:rsidRPr="00C93DEA">
              <w:rPr>
                <w:rFonts w:cs="Times New Roman"/>
                <w:b w:val="0"/>
                <w:sz w:val="20"/>
                <w:szCs w:val="20"/>
              </w:rPr>
              <w:t>AFS</w:t>
            </w:r>
            <w:r w:rsidR="00DD566A">
              <w:rPr>
                <w:rFonts w:cs="Times New Roman"/>
                <w:b w:val="0"/>
                <w:sz w:val="20"/>
                <w:szCs w:val="20"/>
              </w:rPr>
              <w:t>CME</w:t>
            </w:r>
          </w:p>
        </w:tc>
        <w:tc>
          <w:tcPr>
            <w:tcW w:w="417"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0.98</w:t>
            </w:r>
          </w:p>
        </w:tc>
        <w:tc>
          <w:tcPr>
            <w:tcW w:w="47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0.90</w:t>
            </w:r>
          </w:p>
        </w:tc>
        <w:tc>
          <w:tcPr>
            <w:tcW w:w="54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1.00</w:t>
            </w:r>
          </w:p>
        </w:tc>
        <w:tc>
          <w:tcPr>
            <w:tcW w:w="39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11"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9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8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19"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EA253F" w:rsidTr="00EA253F">
        <w:trPr>
          <w:gridAfter w:val="1"/>
          <w:cnfStyle w:val="000000100000" w:firstRow="0" w:lastRow="0" w:firstColumn="0" w:lastColumn="0" w:oddVBand="0" w:evenVBand="0" w:oddHBand="1" w:evenHBand="0" w:firstRowFirstColumn="0" w:firstRowLastColumn="0" w:lastRowFirstColumn="0" w:lastRowLastColumn="0"/>
          <w:wAfter w:w="3" w:type="pct"/>
          <w:trHeight w:val="266"/>
        </w:trPr>
        <w:tc>
          <w:tcPr>
            <w:cnfStyle w:val="001000000000" w:firstRow="0" w:lastRow="0" w:firstColumn="1" w:lastColumn="0" w:oddVBand="0" w:evenVBand="0" w:oddHBand="0" w:evenHBand="0" w:firstRowFirstColumn="0" w:firstRowLastColumn="0" w:lastRowFirstColumn="0" w:lastRowLastColumn="0"/>
            <w:tcW w:w="638" w:type="pct"/>
          </w:tcPr>
          <w:p w:rsidR="0077671B" w:rsidRPr="00C93DEA" w:rsidRDefault="0077671B" w:rsidP="0077671B">
            <w:pPr>
              <w:jc w:val="right"/>
              <w:rPr>
                <w:rFonts w:cs="Times New Roman"/>
                <w:b w:val="0"/>
                <w:sz w:val="20"/>
                <w:szCs w:val="20"/>
              </w:rPr>
            </w:pPr>
            <w:r w:rsidRPr="00C93DEA">
              <w:rPr>
                <w:rFonts w:cs="Times New Roman"/>
                <w:b w:val="0"/>
                <w:sz w:val="20"/>
                <w:szCs w:val="20"/>
              </w:rPr>
              <w:t>LCV</w:t>
            </w:r>
          </w:p>
        </w:tc>
        <w:tc>
          <w:tcPr>
            <w:tcW w:w="417"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0.95</w:t>
            </w:r>
          </w:p>
        </w:tc>
        <w:tc>
          <w:tcPr>
            <w:tcW w:w="47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0.87</w:t>
            </w:r>
          </w:p>
        </w:tc>
        <w:tc>
          <w:tcPr>
            <w:tcW w:w="54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0.92</w:t>
            </w:r>
          </w:p>
        </w:tc>
        <w:tc>
          <w:tcPr>
            <w:tcW w:w="39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1.00</w:t>
            </w:r>
          </w:p>
        </w:tc>
        <w:tc>
          <w:tcPr>
            <w:tcW w:w="40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11"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9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8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19"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77671B" w:rsidTr="00EA253F">
        <w:trPr>
          <w:gridAfter w:val="1"/>
          <w:wAfter w:w="3" w:type="pct"/>
          <w:trHeight w:val="266"/>
        </w:trPr>
        <w:tc>
          <w:tcPr>
            <w:cnfStyle w:val="001000000000" w:firstRow="0" w:lastRow="0" w:firstColumn="1" w:lastColumn="0" w:oddVBand="0" w:evenVBand="0" w:oddHBand="0" w:evenHBand="0" w:firstRowFirstColumn="0" w:firstRowLastColumn="0" w:lastRowFirstColumn="0" w:lastRowLastColumn="0"/>
            <w:tcW w:w="638" w:type="pct"/>
          </w:tcPr>
          <w:p w:rsidR="0077671B" w:rsidRPr="00C93DEA" w:rsidRDefault="0077671B" w:rsidP="0077671B">
            <w:pPr>
              <w:jc w:val="right"/>
              <w:rPr>
                <w:rFonts w:cs="Times New Roman"/>
                <w:b w:val="0"/>
                <w:sz w:val="20"/>
                <w:szCs w:val="20"/>
              </w:rPr>
            </w:pPr>
            <w:r w:rsidRPr="00C93DEA">
              <w:rPr>
                <w:rFonts w:cs="Times New Roman"/>
                <w:b w:val="0"/>
                <w:sz w:val="20"/>
                <w:szCs w:val="20"/>
              </w:rPr>
              <w:t>NTU</w:t>
            </w:r>
          </w:p>
        </w:tc>
        <w:tc>
          <w:tcPr>
            <w:tcW w:w="417"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-0.96</w:t>
            </w:r>
          </w:p>
        </w:tc>
        <w:tc>
          <w:tcPr>
            <w:tcW w:w="47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-0.88</w:t>
            </w:r>
          </w:p>
        </w:tc>
        <w:tc>
          <w:tcPr>
            <w:tcW w:w="54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-0.94</w:t>
            </w:r>
          </w:p>
        </w:tc>
        <w:tc>
          <w:tcPr>
            <w:tcW w:w="39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-0.93</w:t>
            </w:r>
          </w:p>
        </w:tc>
        <w:tc>
          <w:tcPr>
            <w:tcW w:w="40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1.00</w:t>
            </w:r>
          </w:p>
        </w:tc>
        <w:tc>
          <w:tcPr>
            <w:tcW w:w="40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11"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9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8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19"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EA253F" w:rsidTr="00EA253F">
        <w:trPr>
          <w:gridAfter w:val="1"/>
          <w:cnfStyle w:val="000000100000" w:firstRow="0" w:lastRow="0" w:firstColumn="0" w:lastColumn="0" w:oddVBand="0" w:evenVBand="0" w:oddHBand="1" w:evenHBand="0" w:firstRowFirstColumn="0" w:firstRowLastColumn="0" w:lastRowFirstColumn="0" w:lastRowLastColumn="0"/>
          <w:wAfter w:w="3" w:type="pct"/>
          <w:trHeight w:val="250"/>
        </w:trPr>
        <w:tc>
          <w:tcPr>
            <w:cnfStyle w:val="001000000000" w:firstRow="0" w:lastRow="0" w:firstColumn="1" w:lastColumn="0" w:oddVBand="0" w:evenVBand="0" w:oddHBand="0" w:evenHBand="0" w:firstRowFirstColumn="0" w:firstRowLastColumn="0" w:lastRowFirstColumn="0" w:lastRowLastColumn="0"/>
            <w:tcW w:w="638" w:type="pct"/>
          </w:tcPr>
          <w:p w:rsidR="0077671B" w:rsidRPr="00C93DEA" w:rsidRDefault="0077671B" w:rsidP="0077671B">
            <w:pPr>
              <w:jc w:val="right"/>
              <w:rPr>
                <w:rFonts w:cs="Times New Roman"/>
                <w:b w:val="0"/>
                <w:sz w:val="20"/>
                <w:szCs w:val="20"/>
              </w:rPr>
            </w:pPr>
            <w:r w:rsidRPr="00C93DEA">
              <w:rPr>
                <w:rFonts w:cs="Times New Roman"/>
                <w:b w:val="0"/>
                <w:sz w:val="20"/>
                <w:szCs w:val="20"/>
              </w:rPr>
              <w:t>COC</w:t>
            </w:r>
          </w:p>
        </w:tc>
        <w:tc>
          <w:tcPr>
            <w:tcW w:w="417"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-0.82</w:t>
            </w:r>
          </w:p>
        </w:tc>
        <w:tc>
          <w:tcPr>
            <w:tcW w:w="47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-0.82</w:t>
            </w:r>
          </w:p>
        </w:tc>
        <w:tc>
          <w:tcPr>
            <w:tcW w:w="54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-0.81</w:t>
            </w:r>
          </w:p>
        </w:tc>
        <w:tc>
          <w:tcPr>
            <w:tcW w:w="39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-0.77</w:t>
            </w:r>
          </w:p>
        </w:tc>
        <w:tc>
          <w:tcPr>
            <w:tcW w:w="40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0.77</w:t>
            </w:r>
          </w:p>
        </w:tc>
        <w:tc>
          <w:tcPr>
            <w:tcW w:w="40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1.00</w:t>
            </w:r>
          </w:p>
        </w:tc>
        <w:tc>
          <w:tcPr>
            <w:tcW w:w="411"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9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8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19"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77671B" w:rsidTr="00EA253F">
        <w:trPr>
          <w:gridAfter w:val="1"/>
          <w:wAfter w:w="3" w:type="pct"/>
          <w:trHeight w:val="266"/>
        </w:trPr>
        <w:tc>
          <w:tcPr>
            <w:cnfStyle w:val="001000000000" w:firstRow="0" w:lastRow="0" w:firstColumn="1" w:lastColumn="0" w:oddVBand="0" w:evenVBand="0" w:oddHBand="0" w:evenHBand="0" w:firstRowFirstColumn="0" w:firstRowLastColumn="0" w:lastRowFirstColumn="0" w:lastRowLastColumn="0"/>
            <w:tcW w:w="638" w:type="pct"/>
          </w:tcPr>
          <w:p w:rsidR="0077671B" w:rsidRPr="00C93DEA" w:rsidRDefault="0077671B" w:rsidP="0077671B">
            <w:pPr>
              <w:jc w:val="right"/>
              <w:rPr>
                <w:rFonts w:cs="Times New Roman"/>
                <w:b w:val="0"/>
                <w:sz w:val="20"/>
                <w:szCs w:val="20"/>
              </w:rPr>
            </w:pPr>
            <w:r w:rsidRPr="00C93DEA">
              <w:rPr>
                <w:rFonts w:cs="Times New Roman"/>
                <w:b w:val="0"/>
                <w:sz w:val="20"/>
                <w:szCs w:val="20"/>
              </w:rPr>
              <w:t>ACU</w:t>
            </w:r>
          </w:p>
        </w:tc>
        <w:tc>
          <w:tcPr>
            <w:tcW w:w="417"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-0.96</w:t>
            </w:r>
          </w:p>
        </w:tc>
        <w:tc>
          <w:tcPr>
            <w:tcW w:w="47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-0.92</w:t>
            </w:r>
          </w:p>
        </w:tc>
        <w:tc>
          <w:tcPr>
            <w:tcW w:w="54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-0.95</w:t>
            </w:r>
          </w:p>
        </w:tc>
        <w:tc>
          <w:tcPr>
            <w:tcW w:w="39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-0.92</w:t>
            </w:r>
          </w:p>
        </w:tc>
        <w:tc>
          <w:tcPr>
            <w:tcW w:w="40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0.96</w:t>
            </w:r>
          </w:p>
        </w:tc>
        <w:tc>
          <w:tcPr>
            <w:tcW w:w="40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0.78</w:t>
            </w:r>
          </w:p>
        </w:tc>
        <w:tc>
          <w:tcPr>
            <w:tcW w:w="411"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1.00</w:t>
            </w:r>
          </w:p>
        </w:tc>
        <w:tc>
          <w:tcPr>
            <w:tcW w:w="39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8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19"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EA253F" w:rsidTr="00EA253F">
        <w:trPr>
          <w:gridAfter w:val="1"/>
          <w:cnfStyle w:val="000000100000" w:firstRow="0" w:lastRow="0" w:firstColumn="0" w:lastColumn="0" w:oddVBand="0" w:evenVBand="0" w:oddHBand="1" w:evenHBand="0" w:firstRowFirstColumn="0" w:firstRowLastColumn="0" w:lastRowFirstColumn="0" w:lastRowLastColumn="0"/>
          <w:wAfter w:w="3" w:type="pct"/>
          <w:trHeight w:val="266"/>
        </w:trPr>
        <w:tc>
          <w:tcPr>
            <w:cnfStyle w:val="001000000000" w:firstRow="0" w:lastRow="0" w:firstColumn="1" w:lastColumn="0" w:oddVBand="0" w:evenVBand="0" w:oddHBand="0" w:evenHBand="0" w:firstRowFirstColumn="0" w:firstRowLastColumn="0" w:lastRowFirstColumn="0" w:lastRowLastColumn="0"/>
            <w:tcW w:w="638" w:type="pct"/>
          </w:tcPr>
          <w:p w:rsidR="0077671B" w:rsidRPr="00C93DEA" w:rsidRDefault="0077671B" w:rsidP="0077671B">
            <w:pPr>
              <w:jc w:val="right"/>
              <w:rPr>
                <w:rFonts w:cs="Times New Roman"/>
                <w:b w:val="0"/>
                <w:sz w:val="20"/>
                <w:szCs w:val="20"/>
              </w:rPr>
            </w:pPr>
            <w:r w:rsidRPr="00C93DEA">
              <w:rPr>
                <w:rFonts w:cs="Times New Roman"/>
                <w:b w:val="0"/>
                <w:sz w:val="20"/>
                <w:szCs w:val="20"/>
              </w:rPr>
              <w:t>CFG</w:t>
            </w:r>
          </w:p>
        </w:tc>
        <w:tc>
          <w:tcPr>
            <w:tcW w:w="417"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-0.96</w:t>
            </w:r>
          </w:p>
        </w:tc>
        <w:tc>
          <w:tcPr>
            <w:tcW w:w="47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-0.90</w:t>
            </w:r>
          </w:p>
        </w:tc>
        <w:tc>
          <w:tcPr>
            <w:tcW w:w="54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-0.96</w:t>
            </w:r>
          </w:p>
        </w:tc>
        <w:tc>
          <w:tcPr>
            <w:tcW w:w="39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-0.92</w:t>
            </w:r>
          </w:p>
        </w:tc>
        <w:tc>
          <w:tcPr>
            <w:tcW w:w="40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0.98</w:t>
            </w:r>
          </w:p>
        </w:tc>
        <w:tc>
          <w:tcPr>
            <w:tcW w:w="40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0.78</w:t>
            </w:r>
          </w:p>
        </w:tc>
        <w:tc>
          <w:tcPr>
            <w:tcW w:w="411"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0.97</w:t>
            </w:r>
          </w:p>
        </w:tc>
        <w:tc>
          <w:tcPr>
            <w:tcW w:w="39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1.00</w:t>
            </w:r>
          </w:p>
        </w:tc>
        <w:tc>
          <w:tcPr>
            <w:tcW w:w="38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19"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77671B" w:rsidTr="00EA253F">
        <w:trPr>
          <w:gridAfter w:val="1"/>
          <w:wAfter w:w="3" w:type="pct"/>
          <w:trHeight w:val="250"/>
        </w:trPr>
        <w:tc>
          <w:tcPr>
            <w:cnfStyle w:val="001000000000" w:firstRow="0" w:lastRow="0" w:firstColumn="1" w:lastColumn="0" w:oddVBand="0" w:evenVBand="0" w:oddHBand="0" w:evenHBand="0" w:firstRowFirstColumn="0" w:firstRowLastColumn="0" w:lastRowFirstColumn="0" w:lastRowLastColumn="0"/>
            <w:tcW w:w="638" w:type="pct"/>
          </w:tcPr>
          <w:p w:rsidR="0077671B" w:rsidRPr="00C93DEA" w:rsidRDefault="0077671B" w:rsidP="0077671B">
            <w:pPr>
              <w:jc w:val="right"/>
              <w:rPr>
                <w:rFonts w:cs="Times New Roman"/>
                <w:b w:val="0"/>
                <w:sz w:val="20"/>
                <w:szCs w:val="20"/>
              </w:rPr>
            </w:pPr>
            <w:r w:rsidRPr="00C93DEA">
              <w:rPr>
                <w:rFonts w:cs="Times New Roman"/>
                <w:b w:val="0"/>
                <w:sz w:val="20"/>
                <w:szCs w:val="20"/>
              </w:rPr>
              <w:t>FRC</w:t>
            </w:r>
          </w:p>
        </w:tc>
        <w:tc>
          <w:tcPr>
            <w:tcW w:w="417"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-0.94</w:t>
            </w:r>
          </w:p>
        </w:tc>
        <w:tc>
          <w:tcPr>
            <w:tcW w:w="47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-0.90</w:t>
            </w:r>
          </w:p>
        </w:tc>
        <w:tc>
          <w:tcPr>
            <w:tcW w:w="54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-0.94</w:t>
            </w:r>
          </w:p>
        </w:tc>
        <w:tc>
          <w:tcPr>
            <w:tcW w:w="39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-0.90</w:t>
            </w:r>
          </w:p>
        </w:tc>
        <w:tc>
          <w:tcPr>
            <w:tcW w:w="40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0.90</w:t>
            </w:r>
          </w:p>
        </w:tc>
        <w:tc>
          <w:tcPr>
            <w:tcW w:w="40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0.80</w:t>
            </w:r>
          </w:p>
        </w:tc>
        <w:tc>
          <w:tcPr>
            <w:tcW w:w="411"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0.93</w:t>
            </w:r>
          </w:p>
        </w:tc>
        <w:tc>
          <w:tcPr>
            <w:tcW w:w="39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0.92</w:t>
            </w:r>
          </w:p>
        </w:tc>
        <w:tc>
          <w:tcPr>
            <w:tcW w:w="38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1.00</w:t>
            </w:r>
          </w:p>
        </w:tc>
        <w:tc>
          <w:tcPr>
            <w:tcW w:w="519"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EA253F" w:rsidTr="00EA253F">
        <w:trPr>
          <w:gridAfter w:val="1"/>
          <w:cnfStyle w:val="000000100000" w:firstRow="0" w:lastRow="0" w:firstColumn="0" w:lastColumn="0" w:oddVBand="0" w:evenVBand="0" w:oddHBand="1" w:evenHBand="0" w:firstRowFirstColumn="0" w:firstRowLastColumn="0" w:lastRowFirstColumn="0" w:lastRowLastColumn="0"/>
          <w:wAfter w:w="3" w:type="pct"/>
          <w:trHeight w:val="266"/>
        </w:trPr>
        <w:tc>
          <w:tcPr>
            <w:cnfStyle w:val="001000000000" w:firstRow="0" w:lastRow="0" w:firstColumn="1" w:lastColumn="0" w:oddVBand="0" w:evenVBand="0" w:oddHBand="0" w:evenHBand="0" w:firstRowFirstColumn="0" w:firstRowLastColumn="0" w:lastRowFirstColumn="0" w:lastRowLastColumn="0"/>
            <w:tcW w:w="638" w:type="pct"/>
          </w:tcPr>
          <w:p w:rsidR="0077671B" w:rsidRPr="00C93DEA" w:rsidRDefault="0077671B" w:rsidP="0077671B">
            <w:pPr>
              <w:jc w:val="right"/>
              <w:rPr>
                <w:rFonts w:cs="Times New Roman"/>
                <w:b w:val="0"/>
                <w:sz w:val="20"/>
                <w:szCs w:val="20"/>
              </w:rPr>
            </w:pPr>
            <w:r w:rsidRPr="00C93DEA">
              <w:rPr>
                <w:rFonts w:cs="Times New Roman"/>
                <w:b w:val="0"/>
                <w:sz w:val="20"/>
                <w:szCs w:val="20"/>
              </w:rPr>
              <w:t>NJCONS</w:t>
            </w:r>
          </w:p>
        </w:tc>
        <w:tc>
          <w:tcPr>
            <w:tcW w:w="417"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-0.96</w:t>
            </w:r>
          </w:p>
        </w:tc>
        <w:tc>
          <w:tcPr>
            <w:tcW w:w="47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-0.90</w:t>
            </w:r>
          </w:p>
        </w:tc>
        <w:tc>
          <w:tcPr>
            <w:tcW w:w="54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-0.93</w:t>
            </w:r>
          </w:p>
        </w:tc>
        <w:tc>
          <w:tcPr>
            <w:tcW w:w="39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-0.93</w:t>
            </w:r>
          </w:p>
        </w:tc>
        <w:tc>
          <w:tcPr>
            <w:tcW w:w="40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0.93</w:t>
            </w:r>
          </w:p>
        </w:tc>
        <w:tc>
          <w:tcPr>
            <w:tcW w:w="40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0.79</w:t>
            </w:r>
          </w:p>
        </w:tc>
        <w:tc>
          <w:tcPr>
            <w:tcW w:w="411"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0.95</w:t>
            </w:r>
          </w:p>
        </w:tc>
        <w:tc>
          <w:tcPr>
            <w:tcW w:w="394"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0.94</w:t>
            </w:r>
          </w:p>
        </w:tc>
        <w:tc>
          <w:tcPr>
            <w:tcW w:w="388"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0.92</w:t>
            </w:r>
          </w:p>
        </w:tc>
        <w:tc>
          <w:tcPr>
            <w:tcW w:w="519" w:type="pct"/>
          </w:tcPr>
          <w:p w:rsidR="0077671B" w:rsidRPr="00C93DEA" w:rsidRDefault="0077671B" w:rsidP="0077671B">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1.00</w:t>
            </w:r>
          </w:p>
        </w:tc>
      </w:tr>
      <w:tr w:rsidR="0077671B" w:rsidTr="00EA253F">
        <w:trPr>
          <w:gridAfter w:val="1"/>
          <w:wAfter w:w="3" w:type="pct"/>
          <w:trHeight w:val="250"/>
        </w:trPr>
        <w:tc>
          <w:tcPr>
            <w:cnfStyle w:val="001000000000" w:firstRow="0" w:lastRow="0" w:firstColumn="1" w:lastColumn="0" w:oddVBand="0" w:evenVBand="0" w:oddHBand="0" w:evenHBand="0" w:firstRowFirstColumn="0" w:firstRowLastColumn="0" w:lastRowFirstColumn="0" w:lastRowLastColumn="0"/>
            <w:tcW w:w="638" w:type="pct"/>
          </w:tcPr>
          <w:p w:rsidR="0077671B" w:rsidRPr="00C93DEA" w:rsidRDefault="0077671B" w:rsidP="0077671B">
            <w:pPr>
              <w:jc w:val="right"/>
              <w:rPr>
                <w:rFonts w:cs="Times New Roman"/>
                <w:b w:val="0"/>
                <w:sz w:val="20"/>
                <w:szCs w:val="20"/>
              </w:rPr>
            </w:pPr>
            <w:r w:rsidRPr="00C93DEA">
              <w:rPr>
                <w:rFonts w:cs="Times New Roman"/>
                <w:b w:val="0"/>
                <w:sz w:val="20"/>
                <w:szCs w:val="20"/>
              </w:rPr>
              <w:t>DWNOM</w:t>
            </w:r>
          </w:p>
        </w:tc>
        <w:tc>
          <w:tcPr>
            <w:tcW w:w="417"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-0.97</w:t>
            </w:r>
          </w:p>
        </w:tc>
        <w:tc>
          <w:tcPr>
            <w:tcW w:w="47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-0.90</w:t>
            </w:r>
          </w:p>
        </w:tc>
        <w:tc>
          <w:tcPr>
            <w:tcW w:w="54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-0.96</w:t>
            </w:r>
          </w:p>
        </w:tc>
        <w:tc>
          <w:tcPr>
            <w:tcW w:w="39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-0.92</w:t>
            </w:r>
          </w:p>
        </w:tc>
        <w:tc>
          <w:tcPr>
            <w:tcW w:w="40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0.94</w:t>
            </w:r>
          </w:p>
        </w:tc>
        <w:tc>
          <w:tcPr>
            <w:tcW w:w="40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0.79</w:t>
            </w:r>
          </w:p>
        </w:tc>
        <w:tc>
          <w:tcPr>
            <w:tcW w:w="411"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0.95</w:t>
            </w:r>
          </w:p>
        </w:tc>
        <w:tc>
          <w:tcPr>
            <w:tcW w:w="394"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0.96</w:t>
            </w:r>
          </w:p>
        </w:tc>
        <w:tc>
          <w:tcPr>
            <w:tcW w:w="388"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0.93</w:t>
            </w:r>
          </w:p>
        </w:tc>
        <w:tc>
          <w:tcPr>
            <w:tcW w:w="519" w:type="pct"/>
          </w:tcPr>
          <w:p w:rsidR="0077671B" w:rsidRPr="00C93DEA" w:rsidRDefault="0077671B" w:rsidP="0077671B">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0.96</w:t>
            </w:r>
          </w:p>
        </w:tc>
      </w:tr>
    </w:tbl>
    <w:p w:rsidR="0077671B" w:rsidRDefault="00A07D5C" w:rsidP="00A07D5C">
      <w:pPr>
        <w:spacing w:line="240" w:lineRule="auto"/>
        <w:contextualSpacing/>
        <w:jc w:val="both"/>
        <w:rPr>
          <w:rFonts w:cs="Times New Roman"/>
          <w:sz w:val="20"/>
          <w:szCs w:val="20"/>
        </w:rPr>
      </w:pPr>
      <w:r>
        <w:rPr>
          <w:rFonts w:cs="Times New Roman"/>
          <w:sz w:val="20"/>
          <w:szCs w:val="20"/>
        </w:rPr>
        <w:t>Values are Pearson’s r coefficients</w:t>
      </w:r>
    </w:p>
    <w:p w:rsidR="00A07D5C" w:rsidRPr="00A07D5C" w:rsidRDefault="00A07D5C" w:rsidP="00A07D5C">
      <w:pPr>
        <w:spacing w:line="240" w:lineRule="auto"/>
        <w:contextualSpacing/>
        <w:jc w:val="both"/>
        <w:rPr>
          <w:rFonts w:cs="Times New Roman"/>
          <w:sz w:val="20"/>
          <w:szCs w:val="20"/>
        </w:rPr>
      </w:pPr>
    </w:p>
    <w:p w:rsidR="004C4CAB" w:rsidRDefault="000204EE" w:rsidP="0037786D">
      <w:pPr>
        <w:spacing w:line="480" w:lineRule="auto"/>
        <w:ind w:firstLine="720"/>
        <w:contextualSpacing/>
        <w:jc w:val="both"/>
        <w:rPr>
          <w:rFonts w:cs="Times New Roman"/>
          <w:szCs w:val="24"/>
        </w:rPr>
      </w:pPr>
      <w:r>
        <w:rPr>
          <w:rFonts w:cs="Times New Roman"/>
          <w:szCs w:val="24"/>
        </w:rPr>
        <w:t>The correlation matrix in Table 1</w:t>
      </w:r>
      <w:r w:rsidR="004C4CAB">
        <w:rPr>
          <w:rFonts w:cs="Times New Roman"/>
          <w:szCs w:val="24"/>
        </w:rPr>
        <w:t xml:space="preserve"> reveals that interest group scores are not only highly </w:t>
      </w:r>
      <w:r w:rsidR="004753F7">
        <w:rPr>
          <w:rFonts w:cs="Times New Roman"/>
          <w:szCs w:val="24"/>
        </w:rPr>
        <w:t>associated</w:t>
      </w:r>
      <w:r w:rsidR="004C4CAB">
        <w:rPr>
          <w:rFonts w:cs="Times New Roman"/>
          <w:szCs w:val="24"/>
        </w:rPr>
        <w:t xml:space="preserve"> with one another, as expected, but </w:t>
      </w:r>
      <w:r w:rsidR="00005575">
        <w:rPr>
          <w:rFonts w:cs="Times New Roman"/>
          <w:szCs w:val="24"/>
        </w:rPr>
        <w:t xml:space="preserve">are </w:t>
      </w:r>
      <w:r w:rsidR="004C4CAB">
        <w:rPr>
          <w:rFonts w:cs="Times New Roman"/>
          <w:szCs w:val="24"/>
        </w:rPr>
        <w:t xml:space="preserve">also </w:t>
      </w:r>
      <w:r w:rsidR="00005575">
        <w:rPr>
          <w:rFonts w:cs="Times New Roman"/>
          <w:szCs w:val="24"/>
        </w:rPr>
        <w:t xml:space="preserve">highly associated </w:t>
      </w:r>
      <w:r w:rsidR="001C07AE">
        <w:rPr>
          <w:rFonts w:cs="Times New Roman"/>
          <w:szCs w:val="24"/>
        </w:rPr>
        <w:t xml:space="preserve">with </w:t>
      </w:r>
      <w:r w:rsidR="004C4CAB">
        <w:rPr>
          <w:rFonts w:cs="Times New Roman"/>
          <w:szCs w:val="24"/>
        </w:rPr>
        <w:t xml:space="preserve">National Journal and </w:t>
      </w:r>
      <w:r w:rsidR="00315E22">
        <w:rPr>
          <w:rFonts w:cs="Times New Roman"/>
          <w:szCs w:val="24"/>
        </w:rPr>
        <w:t>DW-</w:t>
      </w:r>
      <w:r w:rsidR="004C4CAB">
        <w:rPr>
          <w:rFonts w:cs="Times New Roman"/>
          <w:szCs w:val="24"/>
        </w:rPr>
        <w:t xml:space="preserve">Nominate ratings of senators. </w:t>
      </w:r>
      <w:r w:rsidR="00EC34EB">
        <w:rPr>
          <w:rFonts w:cs="Times New Roman"/>
          <w:szCs w:val="24"/>
        </w:rPr>
        <w:t>In fact, even the weakest correlations existing between the COC and the LCV (-0.77)</w:t>
      </w:r>
      <w:r w:rsidR="001C07AE">
        <w:rPr>
          <w:rFonts w:cs="Times New Roman"/>
          <w:szCs w:val="24"/>
        </w:rPr>
        <w:t>,</w:t>
      </w:r>
      <w:r w:rsidR="00EC34EB">
        <w:rPr>
          <w:rFonts w:cs="Times New Roman"/>
          <w:szCs w:val="24"/>
        </w:rPr>
        <w:t xml:space="preserve"> and </w:t>
      </w:r>
      <w:r w:rsidR="001C07AE">
        <w:rPr>
          <w:rFonts w:cs="Times New Roman"/>
          <w:szCs w:val="24"/>
        </w:rPr>
        <w:t xml:space="preserve">between </w:t>
      </w:r>
      <w:r w:rsidR="00EC34EB">
        <w:rPr>
          <w:rFonts w:cs="Times New Roman"/>
          <w:szCs w:val="24"/>
        </w:rPr>
        <w:t>the COC and the NTU (0.77)</w:t>
      </w:r>
      <w:r w:rsidR="001C07AE">
        <w:rPr>
          <w:rFonts w:cs="Times New Roman"/>
          <w:szCs w:val="24"/>
        </w:rPr>
        <w:t>,</w:t>
      </w:r>
      <w:r w:rsidR="00EC34EB">
        <w:rPr>
          <w:rFonts w:cs="Times New Roman"/>
          <w:szCs w:val="24"/>
        </w:rPr>
        <w:t xml:space="preserve"> are very strong. </w:t>
      </w:r>
      <w:r w:rsidR="00B9709C">
        <w:rPr>
          <w:rFonts w:cs="Times New Roman"/>
          <w:szCs w:val="24"/>
        </w:rPr>
        <w:t xml:space="preserve">Furthermore, the signs of the correlation coefficients are all in the expected direction. Liberal interest groups such </w:t>
      </w:r>
      <w:r w:rsidR="00B9709C">
        <w:rPr>
          <w:rFonts w:cs="Times New Roman"/>
          <w:szCs w:val="24"/>
        </w:rPr>
        <w:lastRenderedPageBreak/>
        <w:t xml:space="preserve">as the ADA and ACLU </w:t>
      </w:r>
      <w:r>
        <w:rPr>
          <w:rFonts w:cs="Times New Roman"/>
          <w:szCs w:val="24"/>
        </w:rPr>
        <w:t>are positively correlated with one</w:t>
      </w:r>
      <w:r w:rsidR="00B9709C">
        <w:rPr>
          <w:rFonts w:cs="Times New Roman"/>
          <w:szCs w:val="24"/>
        </w:rPr>
        <w:t xml:space="preserve"> another while </w:t>
      </w:r>
      <w:r w:rsidR="00005575">
        <w:rPr>
          <w:rFonts w:cs="Times New Roman"/>
          <w:szCs w:val="24"/>
        </w:rPr>
        <w:t xml:space="preserve">also </w:t>
      </w:r>
      <w:r w:rsidR="00B9709C">
        <w:rPr>
          <w:rFonts w:cs="Times New Roman"/>
          <w:szCs w:val="24"/>
        </w:rPr>
        <w:t xml:space="preserve">negatively correlated with conservative </w:t>
      </w:r>
      <w:r w:rsidR="00DD566A">
        <w:rPr>
          <w:rFonts w:cs="Times New Roman"/>
          <w:szCs w:val="24"/>
        </w:rPr>
        <w:t>groups such as the ACU and FRC.</w:t>
      </w:r>
      <w:r w:rsidR="0037786D">
        <w:rPr>
          <w:rFonts w:cs="Times New Roman"/>
          <w:szCs w:val="24"/>
        </w:rPr>
        <w:t xml:space="preserve"> </w:t>
      </w:r>
      <w:r w:rsidR="00005575">
        <w:rPr>
          <w:rFonts w:cs="Times New Roman"/>
          <w:szCs w:val="24"/>
        </w:rPr>
        <w:t>A particularly</w:t>
      </w:r>
      <w:r w:rsidR="008C6FEE">
        <w:rPr>
          <w:rFonts w:cs="Times New Roman"/>
          <w:szCs w:val="24"/>
        </w:rPr>
        <w:t xml:space="preserve"> interesting finding is the strength of the correlation between interest group ratings and the National Journal composite score and DW-Nominat</w:t>
      </w:r>
      <w:r w:rsidR="00005575">
        <w:rPr>
          <w:rFonts w:cs="Times New Roman"/>
          <w:szCs w:val="24"/>
        </w:rPr>
        <w:t>e. Indeed, every interest group</w:t>
      </w:r>
      <w:r w:rsidR="008C6FEE">
        <w:rPr>
          <w:rFonts w:cs="Times New Roman"/>
          <w:szCs w:val="24"/>
        </w:rPr>
        <w:t>’</w:t>
      </w:r>
      <w:r w:rsidR="00005575">
        <w:rPr>
          <w:rFonts w:cs="Times New Roman"/>
          <w:szCs w:val="24"/>
        </w:rPr>
        <w:t>s</w:t>
      </w:r>
      <w:r w:rsidR="008C6FEE">
        <w:rPr>
          <w:rFonts w:cs="Times New Roman"/>
          <w:szCs w:val="24"/>
        </w:rPr>
        <w:t xml:space="preserve"> correlation with the National Journal exceeded a coefficient of </w:t>
      </w:r>
      <w:r w:rsidR="0037786D">
        <w:rPr>
          <w:rFonts w:cs="Times New Roman"/>
          <w:szCs w:val="24"/>
        </w:rPr>
        <w:t>0</w:t>
      </w:r>
      <w:r w:rsidR="008C6FEE">
        <w:rPr>
          <w:rFonts w:cs="Times New Roman"/>
          <w:szCs w:val="24"/>
        </w:rPr>
        <w:t xml:space="preserve">.90, </w:t>
      </w:r>
      <w:r w:rsidR="00005575">
        <w:rPr>
          <w:rFonts w:cs="Times New Roman"/>
          <w:szCs w:val="24"/>
        </w:rPr>
        <w:t xml:space="preserve">with </w:t>
      </w:r>
      <w:r w:rsidR="008C6FEE">
        <w:rPr>
          <w:rFonts w:cs="Times New Roman"/>
          <w:szCs w:val="24"/>
        </w:rPr>
        <w:t>the sole exception being the Chamber of Commerce</w:t>
      </w:r>
      <w:r w:rsidR="0037786D">
        <w:rPr>
          <w:rFonts w:cs="Times New Roman"/>
          <w:szCs w:val="24"/>
        </w:rPr>
        <w:t xml:space="preserve"> (0.79)</w:t>
      </w:r>
      <w:r w:rsidR="008C6FEE">
        <w:rPr>
          <w:rFonts w:cs="Times New Roman"/>
          <w:szCs w:val="24"/>
        </w:rPr>
        <w:t>.</w:t>
      </w:r>
      <w:r w:rsidR="00E321AF">
        <w:rPr>
          <w:rFonts w:cs="Times New Roman"/>
          <w:szCs w:val="24"/>
        </w:rPr>
        <w:t xml:space="preserve"> </w:t>
      </w:r>
      <w:r w:rsidR="00DD566A">
        <w:rPr>
          <w:rFonts w:cs="Times New Roman"/>
          <w:szCs w:val="24"/>
        </w:rPr>
        <w:t xml:space="preserve">Furthermore, the correlation between interest group ratings of senators and DW-Nominate scores is stronger </w:t>
      </w:r>
      <w:r w:rsidR="0037786D">
        <w:rPr>
          <w:rFonts w:cs="Times New Roman"/>
          <w:szCs w:val="24"/>
        </w:rPr>
        <w:t>f</w:t>
      </w:r>
      <w:r w:rsidR="00DD566A">
        <w:rPr>
          <w:rFonts w:cs="Times New Roman"/>
          <w:szCs w:val="24"/>
        </w:rPr>
        <w:t>or the 110</w:t>
      </w:r>
      <w:r w:rsidR="00DD566A" w:rsidRPr="00DD566A">
        <w:rPr>
          <w:rFonts w:cs="Times New Roman"/>
          <w:szCs w:val="24"/>
          <w:vertAlign w:val="superscript"/>
        </w:rPr>
        <w:t>th</w:t>
      </w:r>
      <w:r w:rsidR="00DD566A">
        <w:rPr>
          <w:rFonts w:cs="Times New Roman"/>
          <w:szCs w:val="24"/>
        </w:rPr>
        <w:t xml:space="preserve"> through 112</w:t>
      </w:r>
      <w:r w:rsidR="00DD566A" w:rsidRPr="00DD566A">
        <w:rPr>
          <w:rFonts w:cs="Times New Roman"/>
          <w:szCs w:val="24"/>
          <w:vertAlign w:val="superscript"/>
        </w:rPr>
        <w:t>th</w:t>
      </w:r>
      <w:r w:rsidR="00DD566A">
        <w:rPr>
          <w:rFonts w:cs="Times New Roman"/>
          <w:szCs w:val="24"/>
        </w:rPr>
        <w:t xml:space="preserve"> Senate than those reported by Poole and Rosenthal (2007) for the 96</w:t>
      </w:r>
      <w:r w:rsidR="00DD566A" w:rsidRPr="00DD566A">
        <w:rPr>
          <w:rFonts w:cs="Times New Roman"/>
          <w:szCs w:val="24"/>
          <w:vertAlign w:val="superscript"/>
        </w:rPr>
        <w:t>th</w:t>
      </w:r>
      <w:r w:rsidR="00DD566A">
        <w:rPr>
          <w:rFonts w:cs="Times New Roman"/>
          <w:szCs w:val="24"/>
        </w:rPr>
        <w:t xml:space="preserve"> Senate. For example, the correlation coefficient between the ACLU and DW-Nominate was -0.74 for the 96</w:t>
      </w:r>
      <w:r w:rsidR="00DD566A" w:rsidRPr="00DD566A">
        <w:rPr>
          <w:rFonts w:cs="Times New Roman"/>
          <w:szCs w:val="24"/>
          <w:vertAlign w:val="superscript"/>
        </w:rPr>
        <w:t>th</w:t>
      </w:r>
      <w:r w:rsidR="00DD566A">
        <w:rPr>
          <w:rFonts w:cs="Times New Roman"/>
          <w:szCs w:val="24"/>
        </w:rPr>
        <w:t xml:space="preserve"> Senate</w:t>
      </w:r>
      <w:r w:rsidR="00005575">
        <w:rPr>
          <w:rFonts w:cs="Times New Roman"/>
          <w:szCs w:val="24"/>
        </w:rPr>
        <w:t>,</w:t>
      </w:r>
      <w:r w:rsidR="00DD566A">
        <w:rPr>
          <w:rFonts w:cs="Times New Roman"/>
          <w:szCs w:val="24"/>
        </w:rPr>
        <w:t xml:space="preserve"> whereas we find a correlation coefficient of -0.90. The relationship between LCV and DW-Nominate has also strengthened over time. Whereas Poole and Rosenthal report a correlation coefficient of -0.65, we find a higher value of -0.92. </w:t>
      </w:r>
      <w:r w:rsidR="0037786D">
        <w:rPr>
          <w:rFonts w:cs="Times New Roman"/>
          <w:szCs w:val="24"/>
        </w:rPr>
        <w:t>In the 96</w:t>
      </w:r>
      <w:r w:rsidR="0037786D" w:rsidRPr="0037786D">
        <w:rPr>
          <w:rFonts w:cs="Times New Roman"/>
          <w:szCs w:val="24"/>
          <w:vertAlign w:val="superscript"/>
        </w:rPr>
        <w:t>th</w:t>
      </w:r>
      <w:r w:rsidR="0037786D">
        <w:rPr>
          <w:rFonts w:cs="Times New Roman"/>
          <w:szCs w:val="24"/>
        </w:rPr>
        <w:t xml:space="preserve"> Senate, the correlation coefficient between the AFSCME and DW-Nominate scores</w:t>
      </w:r>
      <w:r w:rsidR="00301AE9">
        <w:rPr>
          <w:rFonts w:cs="Times New Roman"/>
          <w:szCs w:val="24"/>
        </w:rPr>
        <w:t xml:space="preserve"> was</w:t>
      </w:r>
      <w:r w:rsidR="0037786D">
        <w:rPr>
          <w:rFonts w:cs="Times New Roman"/>
          <w:szCs w:val="24"/>
        </w:rPr>
        <w:t xml:space="preserve"> -0.70</w:t>
      </w:r>
      <w:r w:rsidR="004753F7">
        <w:rPr>
          <w:rFonts w:cs="Times New Roman"/>
          <w:szCs w:val="24"/>
        </w:rPr>
        <w:t xml:space="preserve">. </w:t>
      </w:r>
      <w:r w:rsidR="00411D3C">
        <w:rPr>
          <w:rFonts w:cs="Times New Roman"/>
          <w:szCs w:val="24"/>
        </w:rPr>
        <w:t xml:space="preserve">Our analysis shows that the correlation coefficient between these ratings is now -0.97. </w:t>
      </w:r>
      <w:r w:rsidR="004753F7">
        <w:rPr>
          <w:rFonts w:cs="Times New Roman"/>
          <w:szCs w:val="24"/>
        </w:rPr>
        <w:t xml:space="preserve">In other words, interest group evaluations of senators appear to have become </w:t>
      </w:r>
      <w:r w:rsidR="0081580A">
        <w:rPr>
          <w:rFonts w:cs="Times New Roman"/>
          <w:szCs w:val="24"/>
        </w:rPr>
        <w:t xml:space="preserve">far </w:t>
      </w:r>
      <w:r w:rsidR="00D60A8B">
        <w:rPr>
          <w:rFonts w:cs="Times New Roman"/>
          <w:szCs w:val="24"/>
        </w:rPr>
        <w:t>more party-oriented</w:t>
      </w:r>
      <w:r w:rsidR="004753F7">
        <w:rPr>
          <w:rFonts w:cs="Times New Roman"/>
          <w:szCs w:val="24"/>
        </w:rPr>
        <w:t xml:space="preserve"> over time. </w:t>
      </w:r>
      <w:r w:rsidR="00E321AF">
        <w:rPr>
          <w:rFonts w:cs="Times New Roman"/>
          <w:szCs w:val="24"/>
        </w:rPr>
        <w:t>These results lead us to believe that the scorecards are all measurin</w:t>
      </w:r>
      <w:r w:rsidR="004753F7">
        <w:rPr>
          <w:rFonts w:cs="Times New Roman"/>
          <w:szCs w:val="24"/>
        </w:rPr>
        <w:t>g the same underlying factor (H</w:t>
      </w:r>
      <w:r w:rsidR="004753F7" w:rsidRPr="00005575">
        <w:rPr>
          <w:rFonts w:cs="Times New Roman"/>
          <w:szCs w:val="24"/>
          <w:vertAlign w:val="subscript"/>
        </w:rPr>
        <w:t>2</w:t>
      </w:r>
      <w:r w:rsidR="00411D3C">
        <w:rPr>
          <w:rFonts w:cs="Times New Roman"/>
          <w:szCs w:val="24"/>
        </w:rPr>
        <w:t>). In order to test the single-dimensional</w:t>
      </w:r>
      <w:r w:rsidR="00E321AF">
        <w:rPr>
          <w:rFonts w:cs="Times New Roman"/>
          <w:szCs w:val="24"/>
        </w:rPr>
        <w:t xml:space="preserve"> theory</w:t>
      </w:r>
      <w:r w:rsidR="00411D3C">
        <w:rPr>
          <w:rFonts w:cs="Times New Roman"/>
          <w:szCs w:val="24"/>
        </w:rPr>
        <w:t xml:space="preserve"> of roll call voting versus the multi</w:t>
      </w:r>
      <w:r w:rsidR="000C67A4">
        <w:rPr>
          <w:rFonts w:cs="Times New Roman"/>
          <w:szCs w:val="24"/>
        </w:rPr>
        <w:t>-</w:t>
      </w:r>
      <w:r w:rsidR="00411D3C">
        <w:rPr>
          <w:rFonts w:cs="Times New Roman"/>
          <w:szCs w:val="24"/>
        </w:rPr>
        <w:t>dimensional theory</w:t>
      </w:r>
      <w:r w:rsidR="00005575">
        <w:rPr>
          <w:rFonts w:cs="Times New Roman"/>
          <w:szCs w:val="24"/>
        </w:rPr>
        <w:t>, we rely</w:t>
      </w:r>
      <w:r w:rsidR="00192A27">
        <w:rPr>
          <w:rFonts w:cs="Times New Roman"/>
          <w:szCs w:val="24"/>
        </w:rPr>
        <w:t xml:space="preserve"> on exploratory Factor Analysis.</w:t>
      </w:r>
    </w:p>
    <w:p w:rsidR="00B46761" w:rsidRDefault="00B46761" w:rsidP="00EC7545">
      <w:pPr>
        <w:spacing w:line="240" w:lineRule="auto"/>
        <w:jc w:val="both"/>
        <w:rPr>
          <w:rFonts w:cs="Times New Roman"/>
          <w:i/>
          <w:szCs w:val="24"/>
        </w:rPr>
      </w:pPr>
      <w:r>
        <w:rPr>
          <w:rFonts w:cs="Times New Roman"/>
          <w:i/>
          <w:szCs w:val="24"/>
        </w:rPr>
        <w:t>Factor Analysis of Senator Scorecard Ratings</w:t>
      </w:r>
    </w:p>
    <w:p w:rsidR="00D205C6" w:rsidRPr="000C67A4" w:rsidRDefault="00D35EA4" w:rsidP="00C9229F">
      <w:pPr>
        <w:spacing w:line="480" w:lineRule="auto"/>
        <w:contextualSpacing/>
        <w:jc w:val="both"/>
        <w:rPr>
          <w:rFonts w:cs="Times New Roman"/>
          <w:szCs w:val="24"/>
        </w:rPr>
      </w:pPr>
      <w:r>
        <w:rPr>
          <w:rFonts w:cs="Times New Roman"/>
          <w:szCs w:val="24"/>
        </w:rPr>
        <w:tab/>
        <w:t>We build on</w:t>
      </w:r>
      <w:r w:rsidR="00B46761">
        <w:rPr>
          <w:rFonts w:cs="Times New Roman"/>
          <w:szCs w:val="24"/>
        </w:rPr>
        <w:t xml:space="preserve"> previous </w:t>
      </w:r>
      <w:r w:rsidR="00E321AF">
        <w:rPr>
          <w:rFonts w:cs="Times New Roman"/>
          <w:szCs w:val="24"/>
        </w:rPr>
        <w:t>studies</w:t>
      </w:r>
      <w:r w:rsidR="00B46761">
        <w:rPr>
          <w:rFonts w:cs="Times New Roman"/>
          <w:szCs w:val="24"/>
        </w:rPr>
        <w:t xml:space="preserve"> of scorecard data</w:t>
      </w:r>
      <w:r w:rsidR="00C43CF7">
        <w:rPr>
          <w:rFonts w:cs="Times New Roman"/>
          <w:szCs w:val="24"/>
        </w:rPr>
        <w:t xml:space="preserve"> by conducting </w:t>
      </w:r>
      <w:r w:rsidR="00F36E16">
        <w:rPr>
          <w:rFonts w:cs="Times New Roman"/>
          <w:szCs w:val="24"/>
        </w:rPr>
        <w:t xml:space="preserve">exploratory </w:t>
      </w:r>
      <w:r w:rsidR="00B46761">
        <w:rPr>
          <w:rFonts w:cs="Times New Roman"/>
          <w:szCs w:val="24"/>
        </w:rPr>
        <w:t>Factor Analysis</w:t>
      </w:r>
      <w:r w:rsidR="009946C7">
        <w:rPr>
          <w:rFonts w:cs="Times New Roman"/>
          <w:szCs w:val="24"/>
        </w:rPr>
        <w:t xml:space="preserve"> with the most recent</w:t>
      </w:r>
      <w:r w:rsidR="004753F7">
        <w:rPr>
          <w:rFonts w:cs="Times New Roman"/>
          <w:szCs w:val="24"/>
        </w:rPr>
        <w:t>ly</w:t>
      </w:r>
      <w:r w:rsidR="009946C7">
        <w:rPr>
          <w:rFonts w:cs="Times New Roman"/>
          <w:szCs w:val="24"/>
        </w:rPr>
        <w:t xml:space="preserve"> available information</w:t>
      </w:r>
      <w:r w:rsidR="00B46761">
        <w:rPr>
          <w:rFonts w:cs="Times New Roman"/>
          <w:szCs w:val="24"/>
        </w:rPr>
        <w:t xml:space="preserve">. </w:t>
      </w:r>
      <w:r w:rsidR="00D205C6">
        <w:rPr>
          <w:rFonts w:cs="Times New Roman"/>
          <w:szCs w:val="24"/>
        </w:rPr>
        <w:t xml:space="preserve">As previously stated, Poole and Rosenthal </w:t>
      </w:r>
      <w:r w:rsidR="0015564E">
        <w:rPr>
          <w:rFonts w:cs="Times New Roman"/>
          <w:szCs w:val="24"/>
        </w:rPr>
        <w:t>(1998,</w:t>
      </w:r>
      <w:r w:rsidR="00D205C6">
        <w:rPr>
          <w:rFonts w:cs="Times New Roman"/>
          <w:szCs w:val="24"/>
        </w:rPr>
        <w:t xml:space="preserve"> 2007) evaluate interest group scorecards using figures dating back to the 1980’</w:t>
      </w:r>
      <w:r w:rsidR="000C67A4">
        <w:rPr>
          <w:rFonts w:cs="Times New Roman"/>
          <w:szCs w:val="24"/>
        </w:rPr>
        <w:t>s. Considering the increased polarization in Congress</w:t>
      </w:r>
      <w:r w:rsidR="00D205C6">
        <w:rPr>
          <w:rFonts w:cs="Times New Roman"/>
          <w:szCs w:val="24"/>
        </w:rPr>
        <w:t xml:space="preserve">, we believe a contemporary update of their analysis is in order. </w:t>
      </w:r>
      <w:r w:rsidR="00B46761">
        <w:rPr>
          <w:rFonts w:cs="Times New Roman"/>
          <w:szCs w:val="24"/>
        </w:rPr>
        <w:t xml:space="preserve">According to Tabachnick and Fidell, “The specific goals of </w:t>
      </w:r>
      <w:r w:rsidR="00DB65C6">
        <w:rPr>
          <w:rFonts w:cs="Times New Roman"/>
          <w:szCs w:val="24"/>
        </w:rPr>
        <w:t>[Factor Analysis are</w:t>
      </w:r>
      <w:r w:rsidR="004753F7">
        <w:rPr>
          <w:rFonts w:cs="Times New Roman"/>
          <w:szCs w:val="24"/>
        </w:rPr>
        <w:t>]</w:t>
      </w:r>
      <w:r w:rsidR="00B46761">
        <w:rPr>
          <w:rFonts w:cs="Times New Roman"/>
          <w:szCs w:val="24"/>
        </w:rPr>
        <w:t xml:space="preserve"> to summarize patterns of correlations among observed variables, to reduce a large number of observed variables </w:t>
      </w:r>
      <w:r w:rsidR="00B46761">
        <w:rPr>
          <w:rFonts w:cs="Times New Roman"/>
          <w:szCs w:val="24"/>
        </w:rPr>
        <w:lastRenderedPageBreak/>
        <w:t>to a smaller number of factors […] or to test a theory about the</w:t>
      </w:r>
      <w:r w:rsidR="002C0B20">
        <w:rPr>
          <w:rFonts w:cs="Times New Roman"/>
          <w:szCs w:val="24"/>
        </w:rPr>
        <w:t xml:space="preserve"> nature of underlying processes</w:t>
      </w:r>
      <w:r w:rsidR="00B46761">
        <w:rPr>
          <w:rFonts w:cs="Times New Roman"/>
          <w:szCs w:val="24"/>
        </w:rPr>
        <w:t>”</w:t>
      </w:r>
      <w:r w:rsidR="002C0B20" w:rsidRPr="002C0B20">
        <w:rPr>
          <w:rFonts w:cs="Times New Roman"/>
          <w:szCs w:val="24"/>
        </w:rPr>
        <w:t xml:space="preserve"> </w:t>
      </w:r>
      <w:r w:rsidR="002C0B20">
        <w:rPr>
          <w:rFonts w:cs="Times New Roman"/>
          <w:szCs w:val="24"/>
        </w:rPr>
        <w:t xml:space="preserve">(2007, </w:t>
      </w:r>
      <w:r w:rsidR="00016494">
        <w:rPr>
          <w:rFonts w:cs="Times New Roman"/>
          <w:szCs w:val="24"/>
        </w:rPr>
        <w:t xml:space="preserve">pg. </w:t>
      </w:r>
      <w:r w:rsidR="002C0B20">
        <w:rPr>
          <w:rFonts w:cs="Times New Roman"/>
          <w:szCs w:val="24"/>
        </w:rPr>
        <w:t>608).</w:t>
      </w:r>
      <w:r w:rsidR="00B46761">
        <w:rPr>
          <w:rFonts w:cs="Times New Roman"/>
          <w:szCs w:val="24"/>
        </w:rPr>
        <w:t xml:space="preserve"> The purpose of our analysis is to attempt to reduce rating systems down to a few </w:t>
      </w:r>
      <w:r w:rsidR="00DB65C6">
        <w:rPr>
          <w:rFonts w:cs="Times New Roman"/>
          <w:szCs w:val="24"/>
        </w:rPr>
        <w:t>groupings</w:t>
      </w:r>
      <w:r w:rsidR="00B46761">
        <w:rPr>
          <w:rFonts w:cs="Times New Roman"/>
          <w:szCs w:val="24"/>
        </w:rPr>
        <w:t xml:space="preserve">. If interest group ratings of senators are as </w:t>
      </w:r>
      <w:r w:rsidR="00D60A8B">
        <w:rPr>
          <w:rFonts w:cs="Times New Roman"/>
          <w:szCs w:val="24"/>
        </w:rPr>
        <w:t xml:space="preserve">individually </w:t>
      </w:r>
      <w:r w:rsidR="00B46761">
        <w:rPr>
          <w:rFonts w:cs="Times New Roman"/>
          <w:szCs w:val="24"/>
        </w:rPr>
        <w:t xml:space="preserve">extreme as the literature suggests, we would expect to find </w:t>
      </w:r>
      <w:r w:rsidR="000C67A4">
        <w:rPr>
          <w:rFonts w:cs="Times New Roman"/>
          <w:szCs w:val="24"/>
        </w:rPr>
        <w:t>that these scores would not collapse</w:t>
      </w:r>
      <w:r w:rsidR="00B46761">
        <w:rPr>
          <w:rFonts w:cs="Times New Roman"/>
          <w:szCs w:val="24"/>
        </w:rPr>
        <w:t xml:space="preserve"> onto the same factors as the scores from th</w:t>
      </w:r>
      <w:r w:rsidR="00C43CF7">
        <w:rPr>
          <w:rFonts w:cs="Times New Roman"/>
          <w:szCs w:val="24"/>
        </w:rPr>
        <w:t xml:space="preserve">e National Journal or </w:t>
      </w:r>
      <w:r w:rsidR="00EC34EB">
        <w:rPr>
          <w:rFonts w:cs="Times New Roman"/>
          <w:szCs w:val="24"/>
        </w:rPr>
        <w:t>DW-</w:t>
      </w:r>
      <w:r w:rsidR="00C43CF7">
        <w:rPr>
          <w:rFonts w:cs="Times New Roman"/>
          <w:szCs w:val="24"/>
        </w:rPr>
        <w:t xml:space="preserve">Nominate. Furthermore, if senators </w:t>
      </w:r>
      <w:r w:rsidR="00B20730">
        <w:rPr>
          <w:rFonts w:cs="Times New Roman"/>
          <w:szCs w:val="24"/>
        </w:rPr>
        <w:t xml:space="preserve">really did </w:t>
      </w:r>
      <w:r w:rsidR="00C43CF7">
        <w:rPr>
          <w:rFonts w:cs="Times New Roman"/>
          <w:szCs w:val="24"/>
        </w:rPr>
        <w:t xml:space="preserve">vote distinctly on different issues, each interest group rating should load onto </w:t>
      </w:r>
      <w:r w:rsidR="00B20730">
        <w:rPr>
          <w:rFonts w:cs="Times New Roman"/>
          <w:szCs w:val="24"/>
        </w:rPr>
        <w:t>a</w:t>
      </w:r>
      <w:r w:rsidR="00C43CF7">
        <w:rPr>
          <w:rFonts w:cs="Times New Roman"/>
          <w:szCs w:val="24"/>
        </w:rPr>
        <w:t xml:space="preserve"> unique factor</w:t>
      </w:r>
      <w:r w:rsidR="004753F7">
        <w:rPr>
          <w:rFonts w:cs="Times New Roman"/>
          <w:szCs w:val="24"/>
        </w:rPr>
        <w:t xml:space="preserve"> (H</w:t>
      </w:r>
      <w:r w:rsidR="004753F7" w:rsidRPr="00B20730">
        <w:rPr>
          <w:rFonts w:cs="Times New Roman"/>
          <w:szCs w:val="24"/>
          <w:vertAlign w:val="subscript"/>
        </w:rPr>
        <w:t>1</w:t>
      </w:r>
      <w:r w:rsidR="00F36E16">
        <w:rPr>
          <w:rFonts w:cs="Times New Roman"/>
          <w:szCs w:val="24"/>
        </w:rPr>
        <w:t>)</w:t>
      </w:r>
      <w:r w:rsidR="00C43CF7">
        <w:rPr>
          <w:rFonts w:cs="Times New Roman"/>
          <w:szCs w:val="24"/>
        </w:rPr>
        <w:t xml:space="preserve">. </w:t>
      </w:r>
      <w:r w:rsidR="00B46761">
        <w:rPr>
          <w:rFonts w:cs="Times New Roman"/>
          <w:szCs w:val="24"/>
        </w:rPr>
        <w:t xml:space="preserve">However, we </w:t>
      </w:r>
      <w:r w:rsidR="00F36E16">
        <w:rPr>
          <w:rFonts w:cs="Times New Roman"/>
          <w:szCs w:val="24"/>
        </w:rPr>
        <w:t xml:space="preserve">also </w:t>
      </w:r>
      <w:r w:rsidR="00B46761">
        <w:rPr>
          <w:rFonts w:cs="Times New Roman"/>
          <w:szCs w:val="24"/>
        </w:rPr>
        <w:t>hypothesize that because of the current polarization in Co</w:t>
      </w:r>
      <w:r w:rsidR="00F36E16">
        <w:rPr>
          <w:rFonts w:cs="Times New Roman"/>
          <w:szCs w:val="24"/>
        </w:rPr>
        <w:t>ngress, ratings of senators may</w:t>
      </w:r>
      <w:r w:rsidR="00B46761">
        <w:rPr>
          <w:rFonts w:cs="Times New Roman"/>
          <w:szCs w:val="24"/>
        </w:rPr>
        <w:t xml:space="preserve"> in fact be reduced to a single partisan factor</w:t>
      </w:r>
      <w:r w:rsidR="004753F7">
        <w:rPr>
          <w:rFonts w:cs="Times New Roman"/>
          <w:szCs w:val="24"/>
        </w:rPr>
        <w:t xml:space="preserve"> (H</w:t>
      </w:r>
      <w:r w:rsidR="004753F7" w:rsidRPr="00B20730">
        <w:rPr>
          <w:rFonts w:cs="Times New Roman"/>
          <w:szCs w:val="24"/>
          <w:vertAlign w:val="subscript"/>
        </w:rPr>
        <w:t>2</w:t>
      </w:r>
      <w:r w:rsidR="00E321AF">
        <w:rPr>
          <w:rFonts w:cs="Times New Roman"/>
          <w:szCs w:val="24"/>
        </w:rPr>
        <w:t>)</w:t>
      </w:r>
      <w:r w:rsidR="00B46761">
        <w:rPr>
          <w:rFonts w:cs="Times New Roman"/>
          <w:szCs w:val="24"/>
        </w:rPr>
        <w:t xml:space="preserve">. The highly correlated nature of the interest group scores </w:t>
      </w:r>
      <w:r w:rsidR="00B46761">
        <w:rPr>
          <w:rFonts w:cs="Times New Roman"/>
          <w:i/>
          <w:szCs w:val="24"/>
        </w:rPr>
        <w:t xml:space="preserve">and </w:t>
      </w:r>
      <w:r w:rsidR="00E0189A">
        <w:rPr>
          <w:rFonts w:cs="Times New Roman"/>
          <w:szCs w:val="24"/>
        </w:rPr>
        <w:t>the non-ideological</w:t>
      </w:r>
      <w:r w:rsidR="00B46761">
        <w:rPr>
          <w:rFonts w:cs="Times New Roman"/>
          <w:szCs w:val="24"/>
        </w:rPr>
        <w:t xml:space="preserve"> scores of the National Journal and </w:t>
      </w:r>
      <w:r w:rsidR="00EC34EB">
        <w:rPr>
          <w:rFonts w:cs="Times New Roman"/>
          <w:szCs w:val="24"/>
        </w:rPr>
        <w:t>DW-</w:t>
      </w:r>
      <w:r w:rsidR="00B46761">
        <w:rPr>
          <w:rFonts w:cs="Times New Roman"/>
          <w:szCs w:val="24"/>
        </w:rPr>
        <w:t>Nominate</w:t>
      </w:r>
      <w:r w:rsidR="008636E5">
        <w:rPr>
          <w:rFonts w:cs="Times New Roman"/>
          <w:szCs w:val="24"/>
        </w:rPr>
        <w:t xml:space="preserve"> shown in Table 1 </w:t>
      </w:r>
      <w:r w:rsidR="00B20730">
        <w:rPr>
          <w:rFonts w:cs="Times New Roman"/>
          <w:szCs w:val="24"/>
        </w:rPr>
        <w:t>add further support to our theoretical</w:t>
      </w:r>
      <w:r w:rsidR="00B46761">
        <w:rPr>
          <w:rFonts w:cs="Times New Roman"/>
          <w:szCs w:val="24"/>
        </w:rPr>
        <w:t xml:space="preserve"> expectations. </w:t>
      </w:r>
      <w:r w:rsidR="006D6C95">
        <w:rPr>
          <w:rFonts w:cs="Times New Roman"/>
          <w:szCs w:val="24"/>
        </w:rPr>
        <w:t xml:space="preserve">We decided to consider the analysis </w:t>
      </w:r>
      <w:r w:rsidR="0055510A">
        <w:rPr>
          <w:rFonts w:cs="Times New Roman"/>
          <w:szCs w:val="24"/>
        </w:rPr>
        <w:t>exploratory in nature precisely because the existing liter</w:t>
      </w:r>
      <w:r w:rsidR="006D6C95">
        <w:rPr>
          <w:rFonts w:cs="Times New Roman"/>
          <w:szCs w:val="24"/>
        </w:rPr>
        <w:t>ature suggests two alternative perspectives.</w:t>
      </w:r>
    </w:p>
    <w:tbl>
      <w:tblPr>
        <w:tblStyle w:val="GridTable4-Accent5"/>
        <w:tblpPr w:leftFromText="180" w:rightFromText="180" w:vertAnchor="text" w:horzAnchor="margin" w:tblpXSpec="right" w:tblpY="71"/>
        <w:tblW w:w="0" w:type="auto"/>
        <w:tblLook w:val="04A0" w:firstRow="1" w:lastRow="0" w:firstColumn="1" w:lastColumn="0" w:noHBand="0" w:noVBand="1"/>
      </w:tblPr>
      <w:tblGrid>
        <w:gridCol w:w="1093"/>
        <w:gridCol w:w="1116"/>
        <w:gridCol w:w="1094"/>
      </w:tblGrid>
      <w:tr w:rsidR="003A7A21" w:rsidTr="003A7A21">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03" w:type="dxa"/>
            <w:gridSpan w:val="3"/>
          </w:tcPr>
          <w:p w:rsidR="003A7A21" w:rsidRPr="00861F17" w:rsidRDefault="003A7A21" w:rsidP="003A7A21">
            <w:pPr>
              <w:rPr>
                <w:sz w:val="20"/>
                <w:szCs w:val="20"/>
              </w:rPr>
            </w:pPr>
            <w:r w:rsidRPr="00861F17">
              <w:rPr>
                <w:sz w:val="20"/>
                <w:szCs w:val="20"/>
              </w:rPr>
              <w:t xml:space="preserve">Table 2: </w:t>
            </w:r>
            <w:r>
              <w:rPr>
                <w:sz w:val="20"/>
                <w:szCs w:val="20"/>
              </w:rPr>
              <w:t xml:space="preserve">Dimension Reduction </w:t>
            </w:r>
            <w:r w:rsidRPr="00861F17">
              <w:rPr>
                <w:sz w:val="20"/>
                <w:szCs w:val="20"/>
              </w:rPr>
              <w:t>of Senator Scorecards</w:t>
            </w:r>
          </w:p>
        </w:tc>
      </w:tr>
      <w:tr w:rsidR="003A7A21" w:rsidTr="003A7A2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093" w:type="dxa"/>
          </w:tcPr>
          <w:p w:rsidR="003A7A21" w:rsidRPr="00861F17" w:rsidRDefault="003A7A21" w:rsidP="003A7A21">
            <w:pPr>
              <w:jc w:val="right"/>
              <w:rPr>
                <w:b w:val="0"/>
                <w:sz w:val="20"/>
                <w:szCs w:val="20"/>
              </w:rPr>
            </w:pPr>
            <w:r w:rsidRPr="00861F17">
              <w:rPr>
                <w:b w:val="0"/>
                <w:sz w:val="20"/>
                <w:szCs w:val="20"/>
              </w:rPr>
              <w:t>Factor</w:t>
            </w:r>
          </w:p>
        </w:tc>
        <w:tc>
          <w:tcPr>
            <w:tcW w:w="1116" w:type="dxa"/>
          </w:tcPr>
          <w:p w:rsidR="003A7A21" w:rsidRPr="00861F17" w:rsidRDefault="003A7A21" w:rsidP="003A7A21">
            <w:pPr>
              <w:jc w:val="right"/>
              <w:cnfStyle w:val="000000100000" w:firstRow="0" w:lastRow="0" w:firstColumn="0" w:lastColumn="0" w:oddVBand="0" w:evenVBand="0" w:oddHBand="1" w:evenHBand="0" w:firstRowFirstColumn="0" w:firstRowLastColumn="0" w:lastRowFirstColumn="0" w:lastRowLastColumn="0"/>
              <w:rPr>
                <w:sz w:val="20"/>
                <w:szCs w:val="20"/>
              </w:rPr>
            </w:pPr>
            <w:r w:rsidRPr="00861F17">
              <w:rPr>
                <w:sz w:val="20"/>
                <w:szCs w:val="20"/>
              </w:rPr>
              <w:t>Eigenvalue</w:t>
            </w:r>
          </w:p>
        </w:tc>
        <w:tc>
          <w:tcPr>
            <w:tcW w:w="1094" w:type="dxa"/>
          </w:tcPr>
          <w:p w:rsidR="003A7A21" w:rsidRPr="00861F17" w:rsidRDefault="003A7A21" w:rsidP="003A7A21">
            <w:pPr>
              <w:jc w:val="right"/>
              <w:cnfStyle w:val="000000100000" w:firstRow="0" w:lastRow="0" w:firstColumn="0" w:lastColumn="0" w:oddVBand="0" w:evenVBand="0" w:oddHBand="1" w:evenHBand="0" w:firstRowFirstColumn="0" w:firstRowLastColumn="0" w:lastRowFirstColumn="0" w:lastRowLastColumn="0"/>
              <w:rPr>
                <w:sz w:val="20"/>
                <w:szCs w:val="20"/>
              </w:rPr>
            </w:pPr>
            <w:r w:rsidRPr="00861F17">
              <w:rPr>
                <w:sz w:val="20"/>
                <w:szCs w:val="20"/>
              </w:rPr>
              <w:t>Proportion</w:t>
            </w:r>
          </w:p>
        </w:tc>
      </w:tr>
      <w:tr w:rsidR="003A7A21" w:rsidTr="003A7A21">
        <w:trPr>
          <w:trHeight w:val="335"/>
        </w:trPr>
        <w:tc>
          <w:tcPr>
            <w:cnfStyle w:val="001000000000" w:firstRow="0" w:lastRow="0" w:firstColumn="1" w:lastColumn="0" w:oddVBand="0" w:evenVBand="0" w:oddHBand="0" w:evenHBand="0" w:firstRowFirstColumn="0" w:firstRowLastColumn="0" w:lastRowFirstColumn="0" w:lastRowLastColumn="0"/>
            <w:tcW w:w="1093" w:type="dxa"/>
          </w:tcPr>
          <w:p w:rsidR="003A7A21" w:rsidRPr="00861F17" w:rsidRDefault="003A7A21" w:rsidP="003A7A21">
            <w:pPr>
              <w:jc w:val="right"/>
              <w:rPr>
                <w:b w:val="0"/>
                <w:sz w:val="20"/>
                <w:szCs w:val="20"/>
              </w:rPr>
            </w:pPr>
            <w:r w:rsidRPr="00861F17">
              <w:rPr>
                <w:b w:val="0"/>
                <w:sz w:val="20"/>
                <w:szCs w:val="20"/>
              </w:rPr>
              <w:t>1</w:t>
            </w:r>
          </w:p>
        </w:tc>
        <w:tc>
          <w:tcPr>
            <w:tcW w:w="1116" w:type="dxa"/>
          </w:tcPr>
          <w:p w:rsidR="003A7A21" w:rsidRPr="00861F17" w:rsidRDefault="003A7A21" w:rsidP="003A7A21">
            <w:pPr>
              <w:jc w:val="right"/>
              <w:cnfStyle w:val="000000000000" w:firstRow="0" w:lastRow="0" w:firstColumn="0" w:lastColumn="0" w:oddVBand="0" w:evenVBand="0" w:oddHBand="0" w:evenHBand="0" w:firstRowFirstColumn="0" w:firstRowLastColumn="0" w:lastRowFirstColumn="0" w:lastRowLastColumn="0"/>
              <w:rPr>
                <w:sz w:val="20"/>
                <w:szCs w:val="20"/>
              </w:rPr>
            </w:pPr>
            <w:r w:rsidRPr="00861F17">
              <w:rPr>
                <w:sz w:val="20"/>
                <w:szCs w:val="20"/>
              </w:rPr>
              <w:t>10.06</w:t>
            </w:r>
          </w:p>
        </w:tc>
        <w:tc>
          <w:tcPr>
            <w:tcW w:w="1094" w:type="dxa"/>
          </w:tcPr>
          <w:p w:rsidR="003A7A21" w:rsidRPr="00861F17" w:rsidRDefault="003A7A21" w:rsidP="003A7A21">
            <w:pPr>
              <w:jc w:val="right"/>
              <w:cnfStyle w:val="000000000000" w:firstRow="0" w:lastRow="0" w:firstColumn="0" w:lastColumn="0" w:oddVBand="0" w:evenVBand="0" w:oddHBand="0" w:evenHBand="0" w:firstRowFirstColumn="0" w:firstRowLastColumn="0" w:lastRowFirstColumn="0" w:lastRowLastColumn="0"/>
              <w:rPr>
                <w:sz w:val="20"/>
                <w:szCs w:val="20"/>
              </w:rPr>
            </w:pPr>
            <w:r w:rsidRPr="00861F17">
              <w:rPr>
                <w:sz w:val="20"/>
                <w:szCs w:val="20"/>
              </w:rPr>
              <w:t>0.98</w:t>
            </w:r>
          </w:p>
        </w:tc>
      </w:tr>
      <w:tr w:rsidR="003A7A21" w:rsidTr="003A7A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93" w:type="dxa"/>
          </w:tcPr>
          <w:p w:rsidR="003A7A21" w:rsidRPr="00861F17" w:rsidRDefault="003A7A21" w:rsidP="003A7A21">
            <w:pPr>
              <w:jc w:val="right"/>
              <w:rPr>
                <w:b w:val="0"/>
                <w:sz w:val="20"/>
                <w:szCs w:val="20"/>
              </w:rPr>
            </w:pPr>
            <w:r w:rsidRPr="00861F17">
              <w:rPr>
                <w:b w:val="0"/>
                <w:sz w:val="20"/>
                <w:szCs w:val="20"/>
              </w:rPr>
              <w:t>2</w:t>
            </w:r>
          </w:p>
        </w:tc>
        <w:tc>
          <w:tcPr>
            <w:tcW w:w="1116" w:type="dxa"/>
          </w:tcPr>
          <w:p w:rsidR="003A7A21" w:rsidRPr="00861F17" w:rsidRDefault="003A7A21" w:rsidP="003A7A21">
            <w:pPr>
              <w:jc w:val="right"/>
              <w:cnfStyle w:val="000000100000" w:firstRow="0" w:lastRow="0" w:firstColumn="0" w:lastColumn="0" w:oddVBand="0" w:evenVBand="0" w:oddHBand="1" w:evenHBand="0" w:firstRowFirstColumn="0" w:firstRowLastColumn="0" w:lastRowFirstColumn="0" w:lastRowLastColumn="0"/>
              <w:rPr>
                <w:sz w:val="20"/>
                <w:szCs w:val="20"/>
              </w:rPr>
            </w:pPr>
            <w:r w:rsidRPr="00861F17">
              <w:rPr>
                <w:sz w:val="20"/>
                <w:szCs w:val="20"/>
              </w:rPr>
              <w:t>0.15</w:t>
            </w:r>
          </w:p>
        </w:tc>
        <w:tc>
          <w:tcPr>
            <w:tcW w:w="1094" w:type="dxa"/>
          </w:tcPr>
          <w:p w:rsidR="003A7A21" w:rsidRPr="00861F17" w:rsidRDefault="003A7A21" w:rsidP="003A7A21">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0.01</w:t>
            </w:r>
          </w:p>
        </w:tc>
      </w:tr>
      <w:tr w:rsidR="003A7A21" w:rsidTr="003A7A21">
        <w:trPr>
          <w:trHeight w:val="335"/>
        </w:trPr>
        <w:tc>
          <w:tcPr>
            <w:cnfStyle w:val="001000000000" w:firstRow="0" w:lastRow="0" w:firstColumn="1" w:lastColumn="0" w:oddVBand="0" w:evenVBand="0" w:oddHBand="0" w:evenHBand="0" w:firstRowFirstColumn="0" w:firstRowLastColumn="0" w:lastRowFirstColumn="0" w:lastRowLastColumn="0"/>
            <w:tcW w:w="1093" w:type="dxa"/>
          </w:tcPr>
          <w:p w:rsidR="003A7A21" w:rsidRPr="00861F17" w:rsidRDefault="003A7A21" w:rsidP="003A7A21">
            <w:pPr>
              <w:jc w:val="right"/>
              <w:rPr>
                <w:b w:val="0"/>
                <w:sz w:val="20"/>
                <w:szCs w:val="20"/>
              </w:rPr>
            </w:pPr>
            <w:r w:rsidRPr="00861F17">
              <w:rPr>
                <w:b w:val="0"/>
                <w:sz w:val="20"/>
                <w:szCs w:val="20"/>
              </w:rPr>
              <w:t>3</w:t>
            </w:r>
          </w:p>
        </w:tc>
        <w:tc>
          <w:tcPr>
            <w:tcW w:w="1116" w:type="dxa"/>
          </w:tcPr>
          <w:p w:rsidR="003A7A21" w:rsidRPr="00861F17" w:rsidRDefault="003A7A21" w:rsidP="003A7A21">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w:t>
            </w:r>
          </w:p>
        </w:tc>
        <w:tc>
          <w:tcPr>
            <w:tcW w:w="1094" w:type="dxa"/>
          </w:tcPr>
          <w:p w:rsidR="003A7A21" w:rsidRPr="00861F17" w:rsidRDefault="003A7A21" w:rsidP="003A7A21">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0.00</w:t>
            </w:r>
          </w:p>
        </w:tc>
      </w:tr>
      <w:tr w:rsidR="003A7A21" w:rsidTr="003A7A2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093" w:type="dxa"/>
          </w:tcPr>
          <w:p w:rsidR="003A7A21" w:rsidRPr="00861F17" w:rsidRDefault="003A7A21" w:rsidP="003A7A21">
            <w:pPr>
              <w:jc w:val="right"/>
              <w:rPr>
                <w:b w:val="0"/>
                <w:sz w:val="20"/>
                <w:szCs w:val="20"/>
              </w:rPr>
            </w:pPr>
            <w:r w:rsidRPr="00861F17">
              <w:rPr>
                <w:b w:val="0"/>
                <w:sz w:val="20"/>
                <w:szCs w:val="20"/>
              </w:rPr>
              <w:t>4</w:t>
            </w:r>
          </w:p>
        </w:tc>
        <w:tc>
          <w:tcPr>
            <w:tcW w:w="1116" w:type="dxa"/>
          </w:tcPr>
          <w:p w:rsidR="003A7A21" w:rsidRPr="00861F17" w:rsidRDefault="003A7A21" w:rsidP="003A7A21">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0.03</w:t>
            </w:r>
          </w:p>
        </w:tc>
        <w:tc>
          <w:tcPr>
            <w:tcW w:w="1094" w:type="dxa"/>
          </w:tcPr>
          <w:p w:rsidR="003A7A21" w:rsidRPr="00861F17" w:rsidRDefault="003A7A21" w:rsidP="003A7A21">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0.00</w:t>
            </w:r>
          </w:p>
        </w:tc>
      </w:tr>
      <w:tr w:rsidR="003A7A21" w:rsidTr="003A7A21">
        <w:trPr>
          <w:trHeight w:val="335"/>
        </w:trPr>
        <w:tc>
          <w:tcPr>
            <w:cnfStyle w:val="001000000000" w:firstRow="0" w:lastRow="0" w:firstColumn="1" w:lastColumn="0" w:oddVBand="0" w:evenVBand="0" w:oddHBand="0" w:evenHBand="0" w:firstRowFirstColumn="0" w:firstRowLastColumn="0" w:lastRowFirstColumn="0" w:lastRowLastColumn="0"/>
            <w:tcW w:w="1093" w:type="dxa"/>
          </w:tcPr>
          <w:p w:rsidR="003A7A21" w:rsidRPr="00861F17" w:rsidRDefault="003A7A21" w:rsidP="003A7A21">
            <w:pPr>
              <w:jc w:val="right"/>
              <w:rPr>
                <w:b w:val="0"/>
                <w:sz w:val="20"/>
                <w:szCs w:val="20"/>
              </w:rPr>
            </w:pPr>
            <w:r w:rsidRPr="00861F17">
              <w:rPr>
                <w:b w:val="0"/>
                <w:sz w:val="20"/>
                <w:szCs w:val="20"/>
              </w:rPr>
              <w:t>5</w:t>
            </w:r>
          </w:p>
        </w:tc>
        <w:tc>
          <w:tcPr>
            <w:tcW w:w="1116" w:type="dxa"/>
          </w:tcPr>
          <w:p w:rsidR="003A7A21" w:rsidRPr="00861F17" w:rsidRDefault="003A7A21" w:rsidP="003A7A21">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0.02</w:t>
            </w:r>
          </w:p>
        </w:tc>
        <w:tc>
          <w:tcPr>
            <w:tcW w:w="1094" w:type="dxa"/>
          </w:tcPr>
          <w:p w:rsidR="003A7A21" w:rsidRPr="00861F17" w:rsidRDefault="003A7A21" w:rsidP="003A7A21">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0.00</w:t>
            </w:r>
          </w:p>
        </w:tc>
      </w:tr>
      <w:tr w:rsidR="003A7A21" w:rsidTr="003A7A2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093" w:type="dxa"/>
          </w:tcPr>
          <w:p w:rsidR="003A7A21" w:rsidRPr="00861F17" w:rsidRDefault="003A7A21" w:rsidP="003A7A21">
            <w:pPr>
              <w:jc w:val="right"/>
              <w:rPr>
                <w:b w:val="0"/>
                <w:sz w:val="20"/>
                <w:szCs w:val="20"/>
              </w:rPr>
            </w:pPr>
            <w:r w:rsidRPr="00861F17">
              <w:rPr>
                <w:b w:val="0"/>
                <w:sz w:val="20"/>
                <w:szCs w:val="20"/>
              </w:rPr>
              <w:t>6</w:t>
            </w:r>
          </w:p>
        </w:tc>
        <w:tc>
          <w:tcPr>
            <w:tcW w:w="1116" w:type="dxa"/>
          </w:tcPr>
          <w:p w:rsidR="003A7A21" w:rsidRPr="00861F17" w:rsidRDefault="003A7A21" w:rsidP="003A7A21">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0.01</w:t>
            </w:r>
          </w:p>
        </w:tc>
        <w:tc>
          <w:tcPr>
            <w:tcW w:w="1094" w:type="dxa"/>
          </w:tcPr>
          <w:p w:rsidR="003A7A21" w:rsidRPr="00861F17" w:rsidRDefault="003A7A21" w:rsidP="003A7A21">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0.00</w:t>
            </w:r>
          </w:p>
        </w:tc>
      </w:tr>
      <w:tr w:rsidR="003A7A21" w:rsidTr="003A7A21">
        <w:trPr>
          <w:trHeight w:val="335"/>
        </w:trPr>
        <w:tc>
          <w:tcPr>
            <w:cnfStyle w:val="001000000000" w:firstRow="0" w:lastRow="0" w:firstColumn="1" w:lastColumn="0" w:oddVBand="0" w:evenVBand="0" w:oddHBand="0" w:evenHBand="0" w:firstRowFirstColumn="0" w:firstRowLastColumn="0" w:lastRowFirstColumn="0" w:lastRowLastColumn="0"/>
            <w:tcW w:w="1093" w:type="dxa"/>
          </w:tcPr>
          <w:p w:rsidR="003A7A21" w:rsidRPr="00861F17" w:rsidRDefault="003A7A21" w:rsidP="003A7A21">
            <w:pPr>
              <w:jc w:val="right"/>
              <w:rPr>
                <w:b w:val="0"/>
                <w:sz w:val="20"/>
                <w:szCs w:val="20"/>
              </w:rPr>
            </w:pPr>
            <w:r>
              <w:rPr>
                <w:b w:val="0"/>
                <w:sz w:val="20"/>
                <w:szCs w:val="20"/>
              </w:rPr>
              <w:t>7</w:t>
            </w:r>
          </w:p>
        </w:tc>
        <w:tc>
          <w:tcPr>
            <w:tcW w:w="1116" w:type="dxa"/>
          </w:tcPr>
          <w:p w:rsidR="003A7A21" w:rsidRDefault="003A7A21" w:rsidP="003A7A21">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-0.01</w:t>
            </w:r>
          </w:p>
        </w:tc>
        <w:tc>
          <w:tcPr>
            <w:tcW w:w="1094" w:type="dxa"/>
          </w:tcPr>
          <w:p w:rsidR="003A7A21" w:rsidRPr="00861F17" w:rsidRDefault="003A7A21" w:rsidP="003A7A21">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-0.00</w:t>
            </w:r>
          </w:p>
        </w:tc>
      </w:tr>
      <w:tr w:rsidR="003A7A21" w:rsidTr="003A7A2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093" w:type="dxa"/>
          </w:tcPr>
          <w:p w:rsidR="003A7A21" w:rsidRPr="00861F17" w:rsidRDefault="003A7A21" w:rsidP="003A7A21">
            <w:pPr>
              <w:jc w:val="right"/>
              <w:rPr>
                <w:b w:val="0"/>
                <w:sz w:val="20"/>
                <w:szCs w:val="20"/>
              </w:rPr>
            </w:pPr>
            <w:r>
              <w:rPr>
                <w:b w:val="0"/>
                <w:sz w:val="20"/>
                <w:szCs w:val="20"/>
              </w:rPr>
              <w:t>8</w:t>
            </w:r>
          </w:p>
        </w:tc>
        <w:tc>
          <w:tcPr>
            <w:tcW w:w="1116" w:type="dxa"/>
          </w:tcPr>
          <w:p w:rsidR="003A7A21" w:rsidRDefault="003A7A21" w:rsidP="003A7A21">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-0.01</w:t>
            </w:r>
          </w:p>
        </w:tc>
        <w:tc>
          <w:tcPr>
            <w:tcW w:w="1094" w:type="dxa"/>
          </w:tcPr>
          <w:p w:rsidR="003A7A21" w:rsidRPr="00861F17" w:rsidRDefault="003A7A21" w:rsidP="003A7A21">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-0.00</w:t>
            </w:r>
          </w:p>
        </w:tc>
      </w:tr>
      <w:tr w:rsidR="003A7A21" w:rsidTr="003A7A21">
        <w:trPr>
          <w:trHeight w:val="335"/>
        </w:trPr>
        <w:tc>
          <w:tcPr>
            <w:cnfStyle w:val="001000000000" w:firstRow="0" w:lastRow="0" w:firstColumn="1" w:lastColumn="0" w:oddVBand="0" w:evenVBand="0" w:oddHBand="0" w:evenHBand="0" w:firstRowFirstColumn="0" w:firstRowLastColumn="0" w:lastRowFirstColumn="0" w:lastRowLastColumn="0"/>
            <w:tcW w:w="1093" w:type="dxa"/>
          </w:tcPr>
          <w:p w:rsidR="003A7A21" w:rsidRPr="00861F17" w:rsidRDefault="003A7A21" w:rsidP="003A7A21">
            <w:pPr>
              <w:jc w:val="right"/>
              <w:rPr>
                <w:b w:val="0"/>
                <w:sz w:val="20"/>
                <w:szCs w:val="20"/>
              </w:rPr>
            </w:pPr>
            <w:r>
              <w:rPr>
                <w:b w:val="0"/>
                <w:sz w:val="20"/>
                <w:szCs w:val="20"/>
              </w:rPr>
              <w:t>9</w:t>
            </w:r>
          </w:p>
        </w:tc>
        <w:tc>
          <w:tcPr>
            <w:tcW w:w="1116" w:type="dxa"/>
          </w:tcPr>
          <w:p w:rsidR="003A7A21" w:rsidRDefault="003A7A21" w:rsidP="003A7A21">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-0.01</w:t>
            </w:r>
          </w:p>
        </w:tc>
        <w:tc>
          <w:tcPr>
            <w:tcW w:w="1094" w:type="dxa"/>
          </w:tcPr>
          <w:p w:rsidR="003A7A21" w:rsidRPr="00861F17" w:rsidRDefault="003A7A21" w:rsidP="003A7A21">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-0.00</w:t>
            </w:r>
          </w:p>
        </w:tc>
      </w:tr>
      <w:tr w:rsidR="003A7A21" w:rsidTr="003A7A2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093" w:type="dxa"/>
          </w:tcPr>
          <w:p w:rsidR="003A7A21" w:rsidRPr="00861F17" w:rsidRDefault="003A7A21" w:rsidP="003A7A21">
            <w:pPr>
              <w:jc w:val="right"/>
              <w:rPr>
                <w:b w:val="0"/>
                <w:sz w:val="20"/>
                <w:szCs w:val="20"/>
              </w:rPr>
            </w:pPr>
            <w:r>
              <w:rPr>
                <w:b w:val="0"/>
                <w:sz w:val="20"/>
                <w:szCs w:val="20"/>
              </w:rPr>
              <w:t>10</w:t>
            </w:r>
          </w:p>
        </w:tc>
        <w:tc>
          <w:tcPr>
            <w:tcW w:w="1116" w:type="dxa"/>
          </w:tcPr>
          <w:p w:rsidR="003A7A21" w:rsidRDefault="003A7A21" w:rsidP="003A7A21">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-0.02</w:t>
            </w:r>
          </w:p>
        </w:tc>
        <w:tc>
          <w:tcPr>
            <w:tcW w:w="1094" w:type="dxa"/>
          </w:tcPr>
          <w:p w:rsidR="003A7A21" w:rsidRPr="00861F17" w:rsidRDefault="003A7A21" w:rsidP="003A7A21">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-0.00</w:t>
            </w:r>
          </w:p>
        </w:tc>
      </w:tr>
      <w:tr w:rsidR="003A7A21" w:rsidTr="003A7A21">
        <w:trPr>
          <w:trHeight w:val="335"/>
        </w:trPr>
        <w:tc>
          <w:tcPr>
            <w:cnfStyle w:val="001000000000" w:firstRow="0" w:lastRow="0" w:firstColumn="1" w:lastColumn="0" w:oddVBand="0" w:evenVBand="0" w:oddHBand="0" w:evenHBand="0" w:firstRowFirstColumn="0" w:firstRowLastColumn="0" w:lastRowFirstColumn="0" w:lastRowLastColumn="0"/>
            <w:tcW w:w="1093" w:type="dxa"/>
          </w:tcPr>
          <w:p w:rsidR="003A7A21" w:rsidRPr="00861F17" w:rsidRDefault="003A7A21" w:rsidP="003A7A21">
            <w:pPr>
              <w:jc w:val="right"/>
              <w:rPr>
                <w:b w:val="0"/>
                <w:sz w:val="20"/>
                <w:szCs w:val="20"/>
              </w:rPr>
            </w:pPr>
            <w:r>
              <w:rPr>
                <w:b w:val="0"/>
                <w:sz w:val="20"/>
                <w:szCs w:val="20"/>
              </w:rPr>
              <w:t>11</w:t>
            </w:r>
          </w:p>
        </w:tc>
        <w:tc>
          <w:tcPr>
            <w:tcW w:w="1116" w:type="dxa"/>
          </w:tcPr>
          <w:p w:rsidR="003A7A21" w:rsidRDefault="003A7A21" w:rsidP="003A7A21">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w:t>
            </w:r>
          </w:p>
        </w:tc>
        <w:tc>
          <w:tcPr>
            <w:tcW w:w="1094" w:type="dxa"/>
          </w:tcPr>
          <w:p w:rsidR="003A7A21" w:rsidRPr="00861F17" w:rsidRDefault="003A7A21" w:rsidP="003A7A21">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-0.00</w:t>
            </w:r>
          </w:p>
        </w:tc>
      </w:tr>
    </w:tbl>
    <w:p w:rsidR="00A94179" w:rsidRDefault="006645E6" w:rsidP="003A7A21">
      <w:pPr>
        <w:spacing w:line="480" w:lineRule="auto"/>
        <w:ind w:firstLine="720"/>
        <w:contextualSpacing/>
        <w:jc w:val="both"/>
        <w:rPr>
          <w:rFonts w:cs="Times New Roman"/>
          <w:szCs w:val="24"/>
        </w:rPr>
      </w:pPr>
      <w:r>
        <w:rPr>
          <w:rFonts w:cs="Times New Roman"/>
          <w:szCs w:val="24"/>
        </w:rPr>
        <w:t>R</w:t>
      </w:r>
      <w:r w:rsidR="00B46761">
        <w:rPr>
          <w:rFonts w:cs="Times New Roman"/>
          <w:szCs w:val="24"/>
        </w:rPr>
        <w:t>esults from our Factor Analysis are located in Table 2</w:t>
      </w:r>
      <w:r w:rsidR="003A53CD">
        <w:rPr>
          <w:rFonts w:cs="Times New Roman"/>
          <w:szCs w:val="24"/>
        </w:rPr>
        <w:t xml:space="preserve"> and graphically presented </w:t>
      </w:r>
      <w:r w:rsidR="00CF1228">
        <w:rPr>
          <w:rFonts w:cs="Times New Roman"/>
          <w:szCs w:val="24"/>
        </w:rPr>
        <w:t>in Figure 2</w:t>
      </w:r>
      <w:r w:rsidR="00B46761">
        <w:rPr>
          <w:rFonts w:cs="Times New Roman"/>
          <w:szCs w:val="24"/>
        </w:rPr>
        <w:t xml:space="preserve">. </w:t>
      </w:r>
      <w:r w:rsidR="00D47AB4">
        <w:rPr>
          <w:rFonts w:cs="Times New Roman"/>
          <w:szCs w:val="24"/>
        </w:rPr>
        <w:t xml:space="preserve">Due to missing data, </w:t>
      </w:r>
      <w:r w:rsidR="006D6C95">
        <w:rPr>
          <w:rFonts w:cs="Times New Roman"/>
          <w:szCs w:val="24"/>
        </w:rPr>
        <w:t xml:space="preserve">we used </w:t>
      </w:r>
      <w:r w:rsidR="00D47AB4">
        <w:rPr>
          <w:rFonts w:cs="Times New Roman"/>
          <w:szCs w:val="24"/>
        </w:rPr>
        <w:t xml:space="preserve">listwise deletion </w:t>
      </w:r>
      <w:r w:rsidR="006D6C95">
        <w:rPr>
          <w:rFonts w:cs="Times New Roman"/>
          <w:szCs w:val="24"/>
        </w:rPr>
        <w:t>to reduce</w:t>
      </w:r>
      <w:r w:rsidR="00D47AB4">
        <w:rPr>
          <w:rFonts w:cs="Times New Roman"/>
          <w:szCs w:val="24"/>
        </w:rPr>
        <w:t xml:space="preserve"> the number of observation</w:t>
      </w:r>
      <w:r w:rsidR="006D6C95">
        <w:rPr>
          <w:rFonts w:cs="Times New Roman"/>
          <w:szCs w:val="24"/>
        </w:rPr>
        <w:t>s</w:t>
      </w:r>
      <w:r w:rsidR="00D47AB4">
        <w:rPr>
          <w:rFonts w:cs="Times New Roman"/>
          <w:szCs w:val="24"/>
        </w:rPr>
        <w:t xml:space="preserve"> included in the </w:t>
      </w:r>
      <w:r w:rsidR="006A4BF7">
        <w:rPr>
          <w:rFonts w:cs="Times New Roman"/>
          <w:szCs w:val="24"/>
        </w:rPr>
        <w:t>Factor A</w:t>
      </w:r>
      <w:r w:rsidR="00D47AB4">
        <w:rPr>
          <w:rFonts w:cs="Times New Roman"/>
          <w:szCs w:val="24"/>
        </w:rPr>
        <w:t>nalysis to 228 (n</w:t>
      </w:r>
      <w:r w:rsidR="00FD1E64">
        <w:rPr>
          <w:rFonts w:cs="Times New Roman"/>
          <w:szCs w:val="24"/>
        </w:rPr>
        <w:t xml:space="preserve"> </w:t>
      </w:r>
      <w:r w:rsidR="00D47AB4">
        <w:rPr>
          <w:rFonts w:cs="Times New Roman"/>
          <w:szCs w:val="24"/>
        </w:rPr>
        <w:t>=</w:t>
      </w:r>
      <w:r w:rsidR="00FD1E64">
        <w:rPr>
          <w:rFonts w:cs="Times New Roman"/>
          <w:szCs w:val="24"/>
        </w:rPr>
        <w:t xml:space="preserve"> </w:t>
      </w:r>
      <w:r w:rsidR="003A7A21">
        <w:rPr>
          <w:rFonts w:cs="Times New Roman"/>
          <w:szCs w:val="24"/>
        </w:rPr>
        <w:t xml:space="preserve">228). A total of 11 factors are extracted because there are 11 variables included in the analysis. </w:t>
      </w:r>
      <w:r w:rsidR="00B46761">
        <w:rPr>
          <w:rFonts w:cs="Times New Roman"/>
          <w:szCs w:val="24"/>
        </w:rPr>
        <w:t xml:space="preserve">Strikingly, one single </w:t>
      </w:r>
      <w:r w:rsidR="007F1495">
        <w:rPr>
          <w:rFonts w:cs="Times New Roman"/>
          <w:szCs w:val="24"/>
        </w:rPr>
        <w:t xml:space="preserve">extracted </w:t>
      </w:r>
      <w:r w:rsidR="00B46761">
        <w:rPr>
          <w:rFonts w:cs="Times New Roman"/>
          <w:szCs w:val="24"/>
        </w:rPr>
        <w:t>facto</w:t>
      </w:r>
      <w:r w:rsidR="00A26719">
        <w:rPr>
          <w:rFonts w:cs="Times New Roman"/>
          <w:szCs w:val="24"/>
        </w:rPr>
        <w:t>r with an eigenvalue of 10.06</w:t>
      </w:r>
      <w:r w:rsidR="00B46761">
        <w:rPr>
          <w:rFonts w:cs="Times New Roman"/>
          <w:szCs w:val="24"/>
        </w:rPr>
        <w:t xml:space="preserve"> accounts for 98% of the variance i</w:t>
      </w:r>
      <w:r w:rsidR="00A26719">
        <w:rPr>
          <w:rFonts w:cs="Times New Roman"/>
          <w:szCs w:val="24"/>
        </w:rPr>
        <w:t xml:space="preserve">n senators’ ratings. </w:t>
      </w:r>
      <w:r w:rsidR="00EC195B">
        <w:rPr>
          <w:rFonts w:cs="Times New Roman"/>
          <w:szCs w:val="24"/>
        </w:rPr>
        <w:t>Since n</w:t>
      </w:r>
      <w:r w:rsidR="000204EE">
        <w:rPr>
          <w:rFonts w:cs="Times New Roman"/>
          <w:szCs w:val="24"/>
        </w:rPr>
        <w:t>o other factor ex</w:t>
      </w:r>
      <w:r w:rsidR="00EC195B">
        <w:rPr>
          <w:rFonts w:cs="Times New Roman"/>
          <w:szCs w:val="24"/>
        </w:rPr>
        <w:t>ceeds the typical cutoff of an e</w:t>
      </w:r>
      <w:r w:rsidR="000204EE">
        <w:rPr>
          <w:rFonts w:cs="Times New Roman"/>
          <w:szCs w:val="24"/>
        </w:rPr>
        <w:t>ige</w:t>
      </w:r>
      <w:r w:rsidR="003D0D2A">
        <w:rPr>
          <w:rFonts w:cs="Times New Roman"/>
          <w:szCs w:val="24"/>
        </w:rPr>
        <w:t>nvalue equal to one</w:t>
      </w:r>
      <w:r w:rsidR="00475C71">
        <w:rPr>
          <w:rFonts w:cs="Times New Roman"/>
          <w:szCs w:val="24"/>
        </w:rPr>
        <w:t xml:space="preserve">, we </w:t>
      </w:r>
      <w:r w:rsidR="00EC195B">
        <w:rPr>
          <w:rFonts w:cs="Times New Roman"/>
          <w:szCs w:val="24"/>
        </w:rPr>
        <w:t xml:space="preserve">conclude that a single underlying dimension explains </w:t>
      </w:r>
      <w:r w:rsidR="00152C1D">
        <w:rPr>
          <w:rFonts w:cs="Times New Roman"/>
          <w:szCs w:val="24"/>
        </w:rPr>
        <w:t xml:space="preserve">nearly all of </w:t>
      </w:r>
      <w:r w:rsidR="00EC195B">
        <w:rPr>
          <w:rFonts w:cs="Times New Roman"/>
          <w:szCs w:val="24"/>
        </w:rPr>
        <w:t xml:space="preserve">the variance in senators’ </w:t>
      </w:r>
      <w:r w:rsidR="004753F7">
        <w:rPr>
          <w:rFonts w:cs="Times New Roman"/>
          <w:szCs w:val="24"/>
        </w:rPr>
        <w:t>interest group scorecard evaluations</w:t>
      </w:r>
      <w:r w:rsidR="003A7A21">
        <w:rPr>
          <w:rFonts w:cs="Times New Roman"/>
          <w:szCs w:val="24"/>
        </w:rPr>
        <w:t xml:space="preserve">. </w:t>
      </w:r>
      <w:r w:rsidR="003D0D2A">
        <w:rPr>
          <w:rFonts w:cs="Times New Roman"/>
          <w:szCs w:val="24"/>
        </w:rPr>
        <w:t xml:space="preserve">Using interest group data from 1959 through 1981, Poole and </w:t>
      </w:r>
      <w:r w:rsidR="003D0D2A">
        <w:rPr>
          <w:rFonts w:cs="Times New Roman"/>
          <w:szCs w:val="24"/>
        </w:rPr>
        <w:lastRenderedPageBreak/>
        <w:t xml:space="preserve">Rosenthal (1998) </w:t>
      </w:r>
      <w:r w:rsidR="00152C1D">
        <w:rPr>
          <w:rFonts w:cs="Times New Roman"/>
          <w:szCs w:val="24"/>
        </w:rPr>
        <w:t>found</w:t>
      </w:r>
      <w:r w:rsidR="003D0D2A">
        <w:rPr>
          <w:rFonts w:cs="Times New Roman"/>
          <w:szCs w:val="24"/>
        </w:rPr>
        <w:t xml:space="preserve"> two underlying factors. An </w:t>
      </w:r>
      <w:r w:rsidR="003A53CD">
        <w:rPr>
          <w:rFonts w:cs="Times New Roman"/>
          <w:szCs w:val="24"/>
        </w:rPr>
        <w:t>“</w:t>
      </w:r>
      <w:r w:rsidR="003D0D2A">
        <w:rPr>
          <w:rFonts w:cs="Times New Roman"/>
          <w:szCs w:val="24"/>
        </w:rPr>
        <w:t>economic</w:t>
      </w:r>
      <w:r w:rsidR="003A53CD">
        <w:rPr>
          <w:rFonts w:cs="Times New Roman"/>
          <w:szCs w:val="24"/>
        </w:rPr>
        <w:t>”</w:t>
      </w:r>
      <w:r w:rsidR="003D0D2A">
        <w:rPr>
          <w:rFonts w:cs="Times New Roman"/>
          <w:szCs w:val="24"/>
        </w:rPr>
        <w:t xml:space="preserve"> dimension accounted for 75% of the variance whereas a </w:t>
      </w:r>
      <w:r w:rsidR="003A53CD">
        <w:rPr>
          <w:rFonts w:cs="Times New Roman"/>
          <w:szCs w:val="24"/>
        </w:rPr>
        <w:t>“</w:t>
      </w:r>
      <w:r w:rsidR="003D0D2A">
        <w:rPr>
          <w:rFonts w:cs="Times New Roman"/>
          <w:szCs w:val="24"/>
        </w:rPr>
        <w:t>social issues</w:t>
      </w:r>
      <w:r w:rsidR="003A53CD">
        <w:rPr>
          <w:rFonts w:cs="Times New Roman"/>
          <w:szCs w:val="24"/>
        </w:rPr>
        <w:t>”</w:t>
      </w:r>
      <w:r w:rsidR="003D0D2A">
        <w:rPr>
          <w:rFonts w:cs="Times New Roman"/>
          <w:szCs w:val="24"/>
        </w:rPr>
        <w:t xml:space="preserve"> dimension accounted for 5% of the difference in scorecard ratings. </w:t>
      </w:r>
      <w:r w:rsidR="00F36E16">
        <w:rPr>
          <w:rFonts w:cs="Times New Roman"/>
          <w:szCs w:val="24"/>
        </w:rPr>
        <w:t xml:space="preserve">From 2007 to 2012, economic and social interest groups no longer </w:t>
      </w:r>
      <w:r w:rsidR="00152C1D">
        <w:rPr>
          <w:rFonts w:cs="Times New Roman"/>
          <w:szCs w:val="24"/>
        </w:rPr>
        <w:t>loaded</w:t>
      </w:r>
      <w:r w:rsidR="00F36E16">
        <w:rPr>
          <w:rFonts w:cs="Times New Roman"/>
          <w:szCs w:val="24"/>
        </w:rPr>
        <w:t xml:space="preserve"> onto distinct components. </w:t>
      </w:r>
      <w:r w:rsidR="00152C1D">
        <w:rPr>
          <w:rFonts w:cs="Times New Roman"/>
          <w:szCs w:val="24"/>
        </w:rPr>
        <w:t>We</w:t>
      </w:r>
      <w:r w:rsidR="00F36E16">
        <w:rPr>
          <w:rFonts w:cs="Times New Roman"/>
          <w:szCs w:val="24"/>
        </w:rPr>
        <w:t xml:space="preserve"> believe this e</w:t>
      </w:r>
      <w:r w:rsidR="00152C1D">
        <w:rPr>
          <w:rFonts w:cs="Times New Roman"/>
          <w:szCs w:val="24"/>
        </w:rPr>
        <w:t>vidence supports the single-</w:t>
      </w:r>
      <w:r w:rsidR="004753F7">
        <w:rPr>
          <w:rFonts w:cs="Times New Roman"/>
          <w:szCs w:val="24"/>
        </w:rPr>
        <w:t>dimension</w:t>
      </w:r>
      <w:r w:rsidR="003A53CD">
        <w:rPr>
          <w:rFonts w:cs="Times New Roman"/>
          <w:szCs w:val="24"/>
        </w:rPr>
        <w:t>al</w:t>
      </w:r>
      <w:r w:rsidR="004753F7">
        <w:rPr>
          <w:rFonts w:cs="Times New Roman"/>
          <w:szCs w:val="24"/>
        </w:rPr>
        <w:t xml:space="preserve"> roll call voting hypothesis (H</w:t>
      </w:r>
      <w:r w:rsidR="004753F7" w:rsidRPr="00152C1D">
        <w:rPr>
          <w:rFonts w:cs="Times New Roman"/>
          <w:szCs w:val="24"/>
          <w:vertAlign w:val="subscript"/>
        </w:rPr>
        <w:t>2</w:t>
      </w:r>
      <w:r w:rsidR="004753F7">
        <w:rPr>
          <w:rFonts w:cs="Times New Roman"/>
          <w:szCs w:val="24"/>
        </w:rPr>
        <w:t>) over the multi-dimensional hypothesis (H</w:t>
      </w:r>
      <w:r w:rsidR="004753F7" w:rsidRPr="00152C1D">
        <w:rPr>
          <w:rFonts w:cs="Times New Roman"/>
          <w:szCs w:val="24"/>
          <w:vertAlign w:val="subscript"/>
        </w:rPr>
        <w:t>1</w:t>
      </w:r>
      <w:r w:rsidR="004753F7">
        <w:rPr>
          <w:rFonts w:cs="Times New Roman"/>
          <w:szCs w:val="24"/>
        </w:rPr>
        <w:t>)</w:t>
      </w:r>
      <w:r w:rsidR="00F36E16">
        <w:rPr>
          <w:rFonts w:cs="Times New Roman"/>
          <w:szCs w:val="24"/>
        </w:rPr>
        <w:t>.</w:t>
      </w:r>
      <w:r w:rsidR="003A7A21">
        <w:rPr>
          <w:rStyle w:val="FootnoteReference"/>
          <w:rFonts w:cs="Times New Roman"/>
          <w:szCs w:val="24"/>
        </w:rPr>
        <w:footnoteReference w:id="1"/>
      </w:r>
      <w:r w:rsidR="00F36E16">
        <w:rPr>
          <w:rFonts w:cs="Times New Roman"/>
          <w:szCs w:val="24"/>
        </w:rPr>
        <w:t xml:space="preserve"> </w:t>
      </w:r>
    </w:p>
    <w:p w:rsidR="00A94179" w:rsidRPr="00A94179" w:rsidRDefault="00CF1228" w:rsidP="00A94179">
      <w:pPr>
        <w:spacing w:line="480" w:lineRule="auto"/>
        <w:contextualSpacing/>
        <w:jc w:val="center"/>
        <w:rPr>
          <w:rFonts w:cs="Times New Roman"/>
          <w:b/>
          <w:szCs w:val="24"/>
        </w:rPr>
      </w:pPr>
      <w:r>
        <w:rPr>
          <w:rFonts w:cs="Times New Roman"/>
          <w:b/>
          <w:szCs w:val="24"/>
        </w:rPr>
        <w:t xml:space="preserve">Figure 2: </w:t>
      </w:r>
      <w:r w:rsidR="00F41870">
        <w:rPr>
          <w:rFonts w:cs="Times New Roman"/>
          <w:b/>
          <w:szCs w:val="24"/>
        </w:rPr>
        <w:t>Eigenvalues of Extracted Factors</w:t>
      </w:r>
    </w:p>
    <w:p w:rsidR="00F36E16" w:rsidRDefault="002549DB" w:rsidP="00CF1228">
      <w:pPr>
        <w:spacing w:line="480" w:lineRule="auto"/>
        <w:contextualSpacing/>
        <w:jc w:val="center"/>
        <w:rPr>
          <w:rFonts w:cs="Times New Roman"/>
          <w:szCs w:val="24"/>
        </w:rPr>
      </w:pPr>
      <w:r w:rsidRPr="002549DB">
        <w:rPr>
          <w:rFonts w:cs="Times New Roman"/>
          <w:noProof/>
          <w:szCs w:val="24"/>
        </w:rPr>
        <w:drawing>
          <wp:inline distT="0" distB="0" distL="0" distR="0">
            <wp:extent cx="5886450" cy="43079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4773" cy="4314051"/>
                    </a:xfrm>
                    <a:prstGeom prst="rect">
                      <a:avLst/>
                    </a:prstGeom>
                    <a:noFill/>
                    <a:ln>
                      <a:noFill/>
                    </a:ln>
                  </pic:spPr>
                </pic:pic>
              </a:graphicData>
            </a:graphic>
          </wp:inline>
        </w:drawing>
      </w:r>
    </w:p>
    <w:tbl>
      <w:tblPr>
        <w:tblStyle w:val="GridTable4-Accent5"/>
        <w:tblpPr w:leftFromText="180" w:rightFromText="180" w:vertAnchor="text" w:horzAnchor="margin" w:tblpXSpec="right" w:tblpY="2116"/>
        <w:tblW w:w="0" w:type="auto"/>
        <w:tblLook w:val="04A0" w:firstRow="1" w:lastRow="0" w:firstColumn="1" w:lastColumn="0" w:noHBand="0" w:noVBand="1"/>
      </w:tblPr>
      <w:tblGrid>
        <w:gridCol w:w="1383"/>
        <w:gridCol w:w="1384"/>
      </w:tblGrid>
      <w:tr w:rsidR="00A94179" w:rsidTr="00A94179">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767" w:type="dxa"/>
            <w:gridSpan w:val="2"/>
          </w:tcPr>
          <w:p w:rsidR="00A94179" w:rsidRPr="00CB5054" w:rsidRDefault="00A94179" w:rsidP="00A94179">
            <w:pPr>
              <w:rPr>
                <w:sz w:val="20"/>
                <w:szCs w:val="20"/>
              </w:rPr>
            </w:pPr>
            <w:r w:rsidRPr="00CB5054">
              <w:rPr>
                <w:sz w:val="20"/>
                <w:szCs w:val="20"/>
              </w:rPr>
              <w:lastRenderedPageBreak/>
              <w:t>Table 3: Se</w:t>
            </w:r>
            <w:r>
              <w:rPr>
                <w:sz w:val="20"/>
                <w:szCs w:val="20"/>
              </w:rPr>
              <w:t>nator Scorecards Factor Loading</w:t>
            </w:r>
          </w:p>
        </w:tc>
      </w:tr>
      <w:tr w:rsidR="00A94179" w:rsidTr="00A94179">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83" w:type="dxa"/>
          </w:tcPr>
          <w:p w:rsidR="00A94179" w:rsidRPr="00275AF4" w:rsidRDefault="00A94179" w:rsidP="00A94179">
            <w:pPr>
              <w:jc w:val="right"/>
              <w:rPr>
                <w:b w:val="0"/>
                <w:sz w:val="20"/>
                <w:szCs w:val="20"/>
              </w:rPr>
            </w:pPr>
            <w:r w:rsidRPr="00275AF4">
              <w:rPr>
                <w:b w:val="0"/>
                <w:sz w:val="20"/>
                <w:szCs w:val="20"/>
              </w:rPr>
              <w:t>Variable</w:t>
            </w:r>
          </w:p>
        </w:tc>
        <w:tc>
          <w:tcPr>
            <w:tcW w:w="1384" w:type="dxa"/>
          </w:tcPr>
          <w:p w:rsidR="00A94179" w:rsidRPr="00275AF4" w:rsidRDefault="00A94179" w:rsidP="00A94179">
            <w:pPr>
              <w:jc w:val="right"/>
              <w:cnfStyle w:val="000000100000" w:firstRow="0" w:lastRow="0" w:firstColumn="0" w:lastColumn="0" w:oddVBand="0" w:evenVBand="0" w:oddHBand="1" w:evenHBand="0" w:firstRowFirstColumn="0" w:firstRowLastColumn="0" w:lastRowFirstColumn="0" w:lastRowLastColumn="0"/>
              <w:rPr>
                <w:sz w:val="20"/>
                <w:szCs w:val="20"/>
              </w:rPr>
            </w:pPr>
            <w:r w:rsidRPr="00275AF4">
              <w:rPr>
                <w:sz w:val="20"/>
                <w:szCs w:val="20"/>
              </w:rPr>
              <w:t>Factor 1</w:t>
            </w:r>
          </w:p>
        </w:tc>
      </w:tr>
      <w:tr w:rsidR="00A94179" w:rsidTr="00A94179">
        <w:trPr>
          <w:trHeight w:val="248"/>
        </w:trPr>
        <w:tc>
          <w:tcPr>
            <w:cnfStyle w:val="001000000000" w:firstRow="0" w:lastRow="0" w:firstColumn="1" w:lastColumn="0" w:oddVBand="0" w:evenVBand="0" w:oddHBand="0" w:evenHBand="0" w:firstRowFirstColumn="0" w:firstRowLastColumn="0" w:lastRowFirstColumn="0" w:lastRowLastColumn="0"/>
            <w:tcW w:w="1383" w:type="dxa"/>
          </w:tcPr>
          <w:p w:rsidR="00A94179" w:rsidRPr="00CB5054" w:rsidRDefault="00A94179" w:rsidP="00A94179">
            <w:pPr>
              <w:jc w:val="right"/>
              <w:rPr>
                <w:b w:val="0"/>
                <w:sz w:val="20"/>
                <w:szCs w:val="20"/>
              </w:rPr>
            </w:pPr>
            <w:r w:rsidRPr="00CB5054">
              <w:rPr>
                <w:b w:val="0"/>
                <w:sz w:val="20"/>
                <w:szCs w:val="20"/>
              </w:rPr>
              <w:t>ADA</w:t>
            </w:r>
          </w:p>
        </w:tc>
        <w:tc>
          <w:tcPr>
            <w:tcW w:w="1384" w:type="dxa"/>
          </w:tcPr>
          <w:p w:rsidR="00A94179" w:rsidRPr="00CB5054" w:rsidRDefault="00A94179" w:rsidP="00A9417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-0.99</w:t>
            </w:r>
          </w:p>
        </w:tc>
      </w:tr>
      <w:tr w:rsidR="00A94179" w:rsidTr="00A9417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383" w:type="dxa"/>
          </w:tcPr>
          <w:p w:rsidR="00A94179" w:rsidRPr="00CB5054" w:rsidRDefault="00A94179" w:rsidP="00A94179">
            <w:pPr>
              <w:jc w:val="right"/>
              <w:rPr>
                <w:b w:val="0"/>
                <w:sz w:val="20"/>
                <w:szCs w:val="20"/>
              </w:rPr>
            </w:pPr>
            <w:r w:rsidRPr="00CB5054">
              <w:rPr>
                <w:b w:val="0"/>
                <w:sz w:val="20"/>
                <w:szCs w:val="20"/>
              </w:rPr>
              <w:t>ACLU</w:t>
            </w:r>
          </w:p>
        </w:tc>
        <w:tc>
          <w:tcPr>
            <w:tcW w:w="1384" w:type="dxa"/>
          </w:tcPr>
          <w:p w:rsidR="00A94179" w:rsidRPr="00CB5054" w:rsidRDefault="00A94179" w:rsidP="00A9417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-0.93</w:t>
            </w:r>
          </w:p>
        </w:tc>
      </w:tr>
      <w:tr w:rsidR="00A94179" w:rsidTr="00A94179">
        <w:trPr>
          <w:trHeight w:val="248"/>
        </w:trPr>
        <w:tc>
          <w:tcPr>
            <w:cnfStyle w:val="001000000000" w:firstRow="0" w:lastRow="0" w:firstColumn="1" w:lastColumn="0" w:oddVBand="0" w:evenVBand="0" w:oddHBand="0" w:evenHBand="0" w:firstRowFirstColumn="0" w:firstRowLastColumn="0" w:lastRowFirstColumn="0" w:lastRowLastColumn="0"/>
            <w:tcW w:w="1383" w:type="dxa"/>
          </w:tcPr>
          <w:p w:rsidR="00A94179" w:rsidRPr="00CB5054" w:rsidRDefault="00A94179" w:rsidP="00A94179">
            <w:pPr>
              <w:jc w:val="right"/>
              <w:rPr>
                <w:b w:val="0"/>
                <w:sz w:val="20"/>
                <w:szCs w:val="20"/>
              </w:rPr>
            </w:pPr>
            <w:r w:rsidRPr="00CB5054">
              <w:rPr>
                <w:b w:val="0"/>
                <w:sz w:val="20"/>
                <w:szCs w:val="20"/>
              </w:rPr>
              <w:t>AFS</w:t>
            </w:r>
            <w:r>
              <w:rPr>
                <w:b w:val="0"/>
                <w:sz w:val="20"/>
                <w:szCs w:val="20"/>
              </w:rPr>
              <w:t>CME</w:t>
            </w:r>
          </w:p>
        </w:tc>
        <w:tc>
          <w:tcPr>
            <w:tcW w:w="1384" w:type="dxa"/>
          </w:tcPr>
          <w:p w:rsidR="00A94179" w:rsidRPr="00CB5054" w:rsidRDefault="00A94179" w:rsidP="00A9417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-0.98</w:t>
            </w:r>
          </w:p>
        </w:tc>
      </w:tr>
      <w:tr w:rsidR="00A94179" w:rsidTr="00A94179">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83" w:type="dxa"/>
          </w:tcPr>
          <w:p w:rsidR="00A94179" w:rsidRPr="00CB5054" w:rsidRDefault="00A94179" w:rsidP="00A94179">
            <w:pPr>
              <w:jc w:val="right"/>
              <w:rPr>
                <w:b w:val="0"/>
                <w:sz w:val="20"/>
                <w:szCs w:val="20"/>
              </w:rPr>
            </w:pPr>
            <w:r w:rsidRPr="00CB5054">
              <w:rPr>
                <w:b w:val="0"/>
                <w:sz w:val="20"/>
                <w:szCs w:val="20"/>
              </w:rPr>
              <w:t>LCV</w:t>
            </w:r>
          </w:p>
        </w:tc>
        <w:tc>
          <w:tcPr>
            <w:tcW w:w="1384" w:type="dxa"/>
          </w:tcPr>
          <w:p w:rsidR="00A94179" w:rsidRPr="00CB5054" w:rsidRDefault="00A94179" w:rsidP="00A9417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-0.95</w:t>
            </w:r>
          </w:p>
        </w:tc>
      </w:tr>
      <w:tr w:rsidR="00A94179" w:rsidTr="00A94179">
        <w:trPr>
          <w:trHeight w:val="248"/>
        </w:trPr>
        <w:tc>
          <w:tcPr>
            <w:cnfStyle w:val="001000000000" w:firstRow="0" w:lastRow="0" w:firstColumn="1" w:lastColumn="0" w:oddVBand="0" w:evenVBand="0" w:oddHBand="0" w:evenHBand="0" w:firstRowFirstColumn="0" w:firstRowLastColumn="0" w:lastRowFirstColumn="0" w:lastRowLastColumn="0"/>
            <w:tcW w:w="1383" w:type="dxa"/>
          </w:tcPr>
          <w:p w:rsidR="00A94179" w:rsidRPr="00CB5054" w:rsidRDefault="00A94179" w:rsidP="00A94179">
            <w:pPr>
              <w:jc w:val="right"/>
              <w:rPr>
                <w:b w:val="0"/>
                <w:sz w:val="20"/>
                <w:szCs w:val="20"/>
              </w:rPr>
            </w:pPr>
            <w:r w:rsidRPr="00CB5054">
              <w:rPr>
                <w:b w:val="0"/>
                <w:sz w:val="20"/>
                <w:szCs w:val="20"/>
              </w:rPr>
              <w:t>NTU</w:t>
            </w:r>
          </w:p>
        </w:tc>
        <w:tc>
          <w:tcPr>
            <w:tcW w:w="1384" w:type="dxa"/>
          </w:tcPr>
          <w:p w:rsidR="00A94179" w:rsidRPr="00CB5054" w:rsidRDefault="00A94179" w:rsidP="00A9417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0.97</w:t>
            </w:r>
          </w:p>
        </w:tc>
      </w:tr>
      <w:tr w:rsidR="00A94179" w:rsidTr="00A94179">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83" w:type="dxa"/>
          </w:tcPr>
          <w:p w:rsidR="00A94179" w:rsidRPr="00CB5054" w:rsidRDefault="00A94179" w:rsidP="00A94179">
            <w:pPr>
              <w:jc w:val="right"/>
              <w:rPr>
                <w:b w:val="0"/>
                <w:sz w:val="20"/>
                <w:szCs w:val="20"/>
              </w:rPr>
            </w:pPr>
            <w:r w:rsidRPr="00CB5054">
              <w:rPr>
                <w:b w:val="0"/>
                <w:sz w:val="20"/>
                <w:szCs w:val="20"/>
              </w:rPr>
              <w:t>COC</w:t>
            </w:r>
          </w:p>
        </w:tc>
        <w:tc>
          <w:tcPr>
            <w:tcW w:w="1384" w:type="dxa"/>
          </w:tcPr>
          <w:p w:rsidR="00A94179" w:rsidRPr="00CB5054" w:rsidRDefault="00A94179" w:rsidP="00A9417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0.83</w:t>
            </w:r>
          </w:p>
        </w:tc>
      </w:tr>
      <w:tr w:rsidR="00A94179" w:rsidTr="00A94179">
        <w:trPr>
          <w:trHeight w:val="248"/>
        </w:trPr>
        <w:tc>
          <w:tcPr>
            <w:cnfStyle w:val="001000000000" w:firstRow="0" w:lastRow="0" w:firstColumn="1" w:lastColumn="0" w:oddVBand="0" w:evenVBand="0" w:oddHBand="0" w:evenHBand="0" w:firstRowFirstColumn="0" w:firstRowLastColumn="0" w:lastRowFirstColumn="0" w:lastRowLastColumn="0"/>
            <w:tcW w:w="1383" w:type="dxa"/>
          </w:tcPr>
          <w:p w:rsidR="00A94179" w:rsidRPr="00CB5054" w:rsidRDefault="00A94179" w:rsidP="00A94179">
            <w:pPr>
              <w:jc w:val="right"/>
              <w:rPr>
                <w:b w:val="0"/>
                <w:sz w:val="20"/>
                <w:szCs w:val="20"/>
              </w:rPr>
            </w:pPr>
            <w:r w:rsidRPr="00CB5054">
              <w:rPr>
                <w:b w:val="0"/>
                <w:sz w:val="20"/>
                <w:szCs w:val="20"/>
              </w:rPr>
              <w:t>ACU</w:t>
            </w:r>
          </w:p>
        </w:tc>
        <w:tc>
          <w:tcPr>
            <w:tcW w:w="1384" w:type="dxa"/>
          </w:tcPr>
          <w:p w:rsidR="00A94179" w:rsidRPr="00CB5054" w:rsidRDefault="00A94179" w:rsidP="00A9417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0.98</w:t>
            </w:r>
          </w:p>
        </w:tc>
      </w:tr>
      <w:tr w:rsidR="00A94179" w:rsidTr="00A9417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383" w:type="dxa"/>
          </w:tcPr>
          <w:p w:rsidR="00A94179" w:rsidRPr="00CB5054" w:rsidRDefault="00A94179" w:rsidP="00A94179">
            <w:pPr>
              <w:jc w:val="right"/>
              <w:rPr>
                <w:b w:val="0"/>
                <w:sz w:val="20"/>
                <w:szCs w:val="20"/>
              </w:rPr>
            </w:pPr>
            <w:r w:rsidRPr="00CB5054">
              <w:rPr>
                <w:b w:val="0"/>
                <w:sz w:val="20"/>
                <w:szCs w:val="20"/>
              </w:rPr>
              <w:t>CFG</w:t>
            </w:r>
          </w:p>
        </w:tc>
        <w:tc>
          <w:tcPr>
            <w:tcW w:w="1384" w:type="dxa"/>
          </w:tcPr>
          <w:p w:rsidR="00A94179" w:rsidRPr="00CB5054" w:rsidRDefault="00A94179" w:rsidP="00A9417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0.98</w:t>
            </w:r>
          </w:p>
        </w:tc>
      </w:tr>
      <w:tr w:rsidR="00A94179" w:rsidTr="00A94179">
        <w:trPr>
          <w:trHeight w:val="248"/>
        </w:trPr>
        <w:tc>
          <w:tcPr>
            <w:cnfStyle w:val="001000000000" w:firstRow="0" w:lastRow="0" w:firstColumn="1" w:lastColumn="0" w:oddVBand="0" w:evenVBand="0" w:oddHBand="0" w:evenHBand="0" w:firstRowFirstColumn="0" w:firstRowLastColumn="0" w:lastRowFirstColumn="0" w:lastRowLastColumn="0"/>
            <w:tcW w:w="1383" w:type="dxa"/>
          </w:tcPr>
          <w:p w:rsidR="00A94179" w:rsidRPr="00CB5054" w:rsidRDefault="00A94179" w:rsidP="00A94179">
            <w:pPr>
              <w:jc w:val="right"/>
              <w:rPr>
                <w:b w:val="0"/>
                <w:sz w:val="20"/>
                <w:szCs w:val="20"/>
              </w:rPr>
            </w:pPr>
            <w:r w:rsidRPr="00CB5054">
              <w:rPr>
                <w:b w:val="0"/>
                <w:sz w:val="20"/>
                <w:szCs w:val="20"/>
              </w:rPr>
              <w:t>FRC</w:t>
            </w:r>
          </w:p>
        </w:tc>
        <w:tc>
          <w:tcPr>
            <w:tcW w:w="1384" w:type="dxa"/>
          </w:tcPr>
          <w:p w:rsidR="00A94179" w:rsidRPr="00CB5054" w:rsidRDefault="00A94179" w:rsidP="00A9417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0.96</w:t>
            </w:r>
          </w:p>
        </w:tc>
      </w:tr>
      <w:tr w:rsidR="00A94179" w:rsidTr="00A94179">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83" w:type="dxa"/>
          </w:tcPr>
          <w:p w:rsidR="00A94179" w:rsidRPr="00CB5054" w:rsidRDefault="00A94179" w:rsidP="00A94179">
            <w:pPr>
              <w:jc w:val="right"/>
              <w:rPr>
                <w:b w:val="0"/>
                <w:sz w:val="20"/>
                <w:szCs w:val="20"/>
              </w:rPr>
            </w:pPr>
            <w:r w:rsidRPr="00CB5054">
              <w:rPr>
                <w:b w:val="0"/>
                <w:sz w:val="20"/>
                <w:szCs w:val="20"/>
              </w:rPr>
              <w:t>NJCONS</w:t>
            </w:r>
          </w:p>
        </w:tc>
        <w:tc>
          <w:tcPr>
            <w:tcW w:w="1384" w:type="dxa"/>
          </w:tcPr>
          <w:p w:rsidR="00A94179" w:rsidRPr="00CB5054" w:rsidRDefault="00A94179" w:rsidP="00A9417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0.97</w:t>
            </w:r>
          </w:p>
        </w:tc>
      </w:tr>
      <w:tr w:rsidR="00A94179" w:rsidTr="00A94179">
        <w:trPr>
          <w:trHeight w:val="248"/>
        </w:trPr>
        <w:tc>
          <w:tcPr>
            <w:cnfStyle w:val="001000000000" w:firstRow="0" w:lastRow="0" w:firstColumn="1" w:lastColumn="0" w:oddVBand="0" w:evenVBand="0" w:oddHBand="0" w:evenHBand="0" w:firstRowFirstColumn="0" w:firstRowLastColumn="0" w:lastRowFirstColumn="0" w:lastRowLastColumn="0"/>
            <w:tcW w:w="1383" w:type="dxa"/>
          </w:tcPr>
          <w:p w:rsidR="00A94179" w:rsidRPr="00CB5054" w:rsidRDefault="00A94179" w:rsidP="00A94179">
            <w:pPr>
              <w:jc w:val="right"/>
              <w:rPr>
                <w:b w:val="0"/>
                <w:sz w:val="20"/>
                <w:szCs w:val="20"/>
              </w:rPr>
            </w:pPr>
            <w:r w:rsidRPr="00CB5054">
              <w:rPr>
                <w:b w:val="0"/>
                <w:sz w:val="20"/>
                <w:szCs w:val="20"/>
              </w:rPr>
              <w:t>DWNOM</w:t>
            </w:r>
          </w:p>
        </w:tc>
        <w:tc>
          <w:tcPr>
            <w:tcW w:w="1384" w:type="dxa"/>
          </w:tcPr>
          <w:p w:rsidR="00A94179" w:rsidRPr="00CB5054" w:rsidRDefault="00A94179" w:rsidP="00A9417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0.98</w:t>
            </w:r>
          </w:p>
        </w:tc>
      </w:tr>
    </w:tbl>
    <w:p w:rsidR="00AA2334" w:rsidRPr="0067082B" w:rsidRDefault="00A26719" w:rsidP="00CF1228">
      <w:pPr>
        <w:spacing w:line="480" w:lineRule="auto"/>
        <w:ind w:firstLine="720"/>
        <w:contextualSpacing/>
        <w:jc w:val="both"/>
        <w:rPr>
          <w:rFonts w:cs="Times New Roman"/>
          <w:szCs w:val="24"/>
        </w:rPr>
      </w:pPr>
      <w:r>
        <w:rPr>
          <w:rFonts w:cs="Times New Roman"/>
          <w:szCs w:val="24"/>
        </w:rPr>
        <w:t xml:space="preserve">Table 3 </w:t>
      </w:r>
      <w:r w:rsidR="00B46761">
        <w:rPr>
          <w:rFonts w:cs="Times New Roman"/>
          <w:szCs w:val="24"/>
        </w:rPr>
        <w:t>reveals exactly how the different rating</w:t>
      </w:r>
      <w:r>
        <w:rPr>
          <w:rFonts w:cs="Times New Roman"/>
          <w:szCs w:val="24"/>
        </w:rPr>
        <w:t>s loaded onto this lone factor</w:t>
      </w:r>
      <w:r w:rsidR="005D2774">
        <w:rPr>
          <w:rFonts w:cs="Times New Roman"/>
          <w:szCs w:val="24"/>
        </w:rPr>
        <w:t>,</w:t>
      </w:r>
      <w:r>
        <w:rPr>
          <w:rFonts w:cs="Times New Roman"/>
          <w:szCs w:val="24"/>
        </w:rPr>
        <w:t xml:space="preserve"> a</w:t>
      </w:r>
      <w:r w:rsidR="000D7CA5">
        <w:rPr>
          <w:rFonts w:cs="Times New Roman"/>
          <w:szCs w:val="24"/>
        </w:rPr>
        <w:t>nd the factor loadings provide</w:t>
      </w:r>
      <w:r>
        <w:rPr>
          <w:rFonts w:cs="Times New Roman"/>
          <w:szCs w:val="24"/>
        </w:rPr>
        <w:t xml:space="preserve"> clue</w:t>
      </w:r>
      <w:r w:rsidR="000D7CA5">
        <w:rPr>
          <w:rFonts w:cs="Times New Roman"/>
          <w:szCs w:val="24"/>
        </w:rPr>
        <w:t>s</w:t>
      </w:r>
      <w:r>
        <w:rPr>
          <w:rFonts w:cs="Times New Roman"/>
          <w:szCs w:val="24"/>
        </w:rPr>
        <w:t xml:space="preserve"> as to what this underlying dimension represents. </w:t>
      </w:r>
      <w:r w:rsidR="00B46761">
        <w:rPr>
          <w:rFonts w:cs="Times New Roman"/>
          <w:szCs w:val="24"/>
        </w:rPr>
        <w:t>Liberal interest groups, such as the</w:t>
      </w:r>
      <w:r>
        <w:rPr>
          <w:rFonts w:cs="Times New Roman"/>
          <w:szCs w:val="24"/>
        </w:rPr>
        <w:t xml:space="preserve"> ADA (-0.99) and ACLU (-0.93</w:t>
      </w:r>
      <w:r w:rsidR="00B46761">
        <w:rPr>
          <w:rFonts w:cs="Times New Roman"/>
          <w:szCs w:val="24"/>
        </w:rPr>
        <w:t xml:space="preserve">), loaded </w:t>
      </w:r>
      <w:r w:rsidR="00B46761" w:rsidRPr="005D2774">
        <w:rPr>
          <w:rFonts w:cs="Times New Roman"/>
          <w:i/>
          <w:szCs w:val="24"/>
        </w:rPr>
        <w:t>negatively</w:t>
      </w:r>
      <w:r w:rsidR="00B46761">
        <w:rPr>
          <w:rFonts w:cs="Times New Roman"/>
          <w:szCs w:val="24"/>
        </w:rPr>
        <w:t xml:space="preserve"> </w:t>
      </w:r>
      <w:r w:rsidR="005D2774">
        <w:rPr>
          <w:rFonts w:cs="Times New Roman"/>
          <w:szCs w:val="24"/>
        </w:rPr>
        <w:t xml:space="preserve">onto the extracted factor, </w:t>
      </w:r>
      <w:r w:rsidR="00B46761">
        <w:rPr>
          <w:rFonts w:cs="Times New Roman"/>
          <w:szCs w:val="24"/>
        </w:rPr>
        <w:t>while conservative groups, suc</w:t>
      </w:r>
      <w:r w:rsidR="0055510A">
        <w:rPr>
          <w:rFonts w:cs="Times New Roman"/>
          <w:szCs w:val="24"/>
        </w:rPr>
        <w:t xml:space="preserve">h as the ACU </w:t>
      </w:r>
      <w:r>
        <w:rPr>
          <w:rFonts w:cs="Times New Roman"/>
          <w:szCs w:val="24"/>
        </w:rPr>
        <w:t>(0.98) and CFG (0.99</w:t>
      </w:r>
      <w:r w:rsidR="00B46761">
        <w:rPr>
          <w:rFonts w:cs="Times New Roman"/>
          <w:szCs w:val="24"/>
        </w:rPr>
        <w:t xml:space="preserve">), loaded </w:t>
      </w:r>
      <w:r w:rsidR="00B46761" w:rsidRPr="005D2774">
        <w:rPr>
          <w:rFonts w:cs="Times New Roman"/>
          <w:i/>
          <w:szCs w:val="24"/>
        </w:rPr>
        <w:t>positively</w:t>
      </w:r>
      <w:r w:rsidR="005D2774">
        <w:rPr>
          <w:rFonts w:cs="Times New Roman"/>
          <w:i/>
          <w:szCs w:val="24"/>
        </w:rPr>
        <w:t xml:space="preserve"> </w:t>
      </w:r>
      <w:r w:rsidR="005D2774">
        <w:rPr>
          <w:rFonts w:cs="Times New Roman"/>
          <w:szCs w:val="24"/>
        </w:rPr>
        <w:t>onto the extracted factor. Moreover</w:t>
      </w:r>
      <w:r w:rsidR="00B46761">
        <w:rPr>
          <w:rFonts w:cs="Times New Roman"/>
          <w:szCs w:val="24"/>
        </w:rPr>
        <w:t>, the National Journ</w:t>
      </w:r>
      <w:r>
        <w:rPr>
          <w:rFonts w:cs="Times New Roman"/>
          <w:szCs w:val="24"/>
        </w:rPr>
        <w:t>al</w:t>
      </w:r>
      <w:r w:rsidR="00C43CF7">
        <w:rPr>
          <w:rFonts w:cs="Times New Roman"/>
          <w:szCs w:val="24"/>
        </w:rPr>
        <w:t>’s</w:t>
      </w:r>
      <w:r>
        <w:rPr>
          <w:rFonts w:cs="Times New Roman"/>
          <w:szCs w:val="24"/>
        </w:rPr>
        <w:t xml:space="preserve"> </w:t>
      </w:r>
      <w:r w:rsidR="00C43CF7">
        <w:rPr>
          <w:rFonts w:cs="Times New Roman"/>
          <w:szCs w:val="24"/>
        </w:rPr>
        <w:t xml:space="preserve">composite conservative score </w:t>
      </w:r>
      <w:r>
        <w:rPr>
          <w:rFonts w:cs="Times New Roman"/>
          <w:szCs w:val="24"/>
        </w:rPr>
        <w:t xml:space="preserve">(0.97) and </w:t>
      </w:r>
      <w:r w:rsidR="00C43CF7">
        <w:rPr>
          <w:rFonts w:cs="Times New Roman"/>
          <w:szCs w:val="24"/>
        </w:rPr>
        <w:t xml:space="preserve">the </w:t>
      </w:r>
      <w:r w:rsidR="0064349F">
        <w:rPr>
          <w:rFonts w:cs="Times New Roman"/>
          <w:szCs w:val="24"/>
        </w:rPr>
        <w:t>DW-</w:t>
      </w:r>
      <w:r>
        <w:rPr>
          <w:rFonts w:cs="Times New Roman"/>
          <w:szCs w:val="24"/>
        </w:rPr>
        <w:t>Nominate (0.98</w:t>
      </w:r>
      <w:r w:rsidR="00C43CF7">
        <w:rPr>
          <w:rFonts w:cs="Times New Roman"/>
          <w:szCs w:val="24"/>
        </w:rPr>
        <w:t>) score</w:t>
      </w:r>
      <w:r w:rsidR="00B46761">
        <w:rPr>
          <w:rFonts w:cs="Times New Roman"/>
          <w:szCs w:val="24"/>
        </w:rPr>
        <w:t xml:space="preserve"> loaded just as heavily onto this one factor as did the interest group scores. </w:t>
      </w:r>
      <w:r w:rsidR="009D7D02">
        <w:rPr>
          <w:rFonts w:cs="Times New Roman"/>
          <w:szCs w:val="24"/>
        </w:rPr>
        <w:t>Since these systems assign</w:t>
      </w:r>
      <w:r w:rsidR="005D2774">
        <w:rPr>
          <w:rFonts w:cs="Times New Roman"/>
          <w:szCs w:val="24"/>
        </w:rPr>
        <w:t xml:space="preserve"> higher values to conservative s</w:t>
      </w:r>
      <w:r w:rsidR="009D7D02">
        <w:rPr>
          <w:rFonts w:cs="Times New Roman"/>
          <w:szCs w:val="24"/>
        </w:rPr>
        <w:t>enators, it is not surprising that they load</w:t>
      </w:r>
      <w:r w:rsidR="005D2774">
        <w:rPr>
          <w:rFonts w:cs="Times New Roman"/>
          <w:szCs w:val="24"/>
        </w:rPr>
        <w:t>ed</w:t>
      </w:r>
      <w:r w:rsidR="009D7D02">
        <w:rPr>
          <w:rFonts w:cs="Times New Roman"/>
          <w:szCs w:val="24"/>
        </w:rPr>
        <w:t xml:space="preserve"> onto the component positively </w:t>
      </w:r>
      <w:r w:rsidR="00AB5456">
        <w:rPr>
          <w:rFonts w:cs="Times New Roman"/>
          <w:szCs w:val="24"/>
        </w:rPr>
        <w:t>just as the</w:t>
      </w:r>
      <w:r w:rsidR="009D7D02">
        <w:rPr>
          <w:rFonts w:cs="Times New Roman"/>
          <w:szCs w:val="24"/>
        </w:rPr>
        <w:t xml:space="preserve"> conservative interest groups</w:t>
      </w:r>
      <w:r w:rsidR="002C0B20">
        <w:rPr>
          <w:rFonts w:cs="Times New Roman"/>
          <w:szCs w:val="24"/>
        </w:rPr>
        <w:t xml:space="preserve"> did</w:t>
      </w:r>
      <w:r w:rsidR="009D7D02">
        <w:rPr>
          <w:rFonts w:cs="Times New Roman"/>
          <w:szCs w:val="24"/>
        </w:rPr>
        <w:t xml:space="preserve">. </w:t>
      </w:r>
      <w:r>
        <w:rPr>
          <w:rFonts w:cs="Times New Roman"/>
          <w:szCs w:val="24"/>
        </w:rPr>
        <w:t xml:space="preserve">This </w:t>
      </w:r>
      <w:r w:rsidR="002C0B20">
        <w:rPr>
          <w:rFonts w:cs="Times New Roman"/>
          <w:szCs w:val="24"/>
        </w:rPr>
        <w:t>provides some evidence for</w:t>
      </w:r>
      <w:r>
        <w:rPr>
          <w:rFonts w:cs="Times New Roman"/>
          <w:szCs w:val="24"/>
        </w:rPr>
        <w:t xml:space="preserve"> our</w:t>
      </w:r>
      <w:r w:rsidR="002C0B20">
        <w:rPr>
          <w:rFonts w:cs="Times New Roman"/>
          <w:szCs w:val="24"/>
        </w:rPr>
        <w:t xml:space="preserve"> </w:t>
      </w:r>
      <w:r w:rsidR="00B46761">
        <w:rPr>
          <w:rFonts w:cs="Times New Roman"/>
          <w:szCs w:val="24"/>
        </w:rPr>
        <w:t>hypothesis that all of the rating systems are</w:t>
      </w:r>
      <w:r w:rsidR="005D2774">
        <w:rPr>
          <w:rFonts w:cs="Times New Roman"/>
          <w:szCs w:val="24"/>
        </w:rPr>
        <w:t>, in actuality,</w:t>
      </w:r>
      <w:r w:rsidR="00B46761">
        <w:rPr>
          <w:rFonts w:cs="Times New Roman"/>
          <w:szCs w:val="24"/>
        </w:rPr>
        <w:t xml:space="preserve"> measuring a single partisan dimension</w:t>
      </w:r>
      <w:r w:rsidR="002C0B20">
        <w:rPr>
          <w:rFonts w:cs="Times New Roman"/>
          <w:szCs w:val="24"/>
        </w:rPr>
        <w:t xml:space="preserve"> (H</w:t>
      </w:r>
      <w:r w:rsidR="002C0B20" w:rsidRPr="005D2774">
        <w:rPr>
          <w:rFonts w:cs="Times New Roman"/>
          <w:szCs w:val="24"/>
          <w:vertAlign w:val="subscript"/>
        </w:rPr>
        <w:t>2a</w:t>
      </w:r>
      <w:r w:rsidR="002C0B20">
        <w:rPr>
          <w:rFonts w:cs="Times New Roman"/>
          <w:szCs w:val="24"/>
        </w:rPr>
        <w:t>)</w:t>
      </w:r>
      <w:r w:rsidR="00B46761">
        <w:rPr>
          <w:rFonts w:cs="Times New Roman"/>
          <w:szCs w:val="24"/>
        </w:rPr>
        <w:t xml:space="preserve">. In other words, interest group scores </w:t>
      </w:r>
      <w:r w:rsidR="00B46761">
        <w:rPr>
          <w:rFonts w:cs="Times New Roman"/>
          <w:i/>
          <w:szCs w:val="24"/>
        </w:rPr>
        <w:t xml:space="preserve">and </w:t>
      </w:r>
      <w:r>
        <w:rPr>
          <w:rFonts w:cs="Times New Roman"/>
          <w:szCs w:val="24"/>
        </w:rPr>
        <w:t>non-ideological</w:t>
      </w:r>
      <w:r w:rsidR="00B46761">
        <w:rPr>
          <w:rFonts w:cs="Times New Roman"/>
          <w:szCs w:val="24"/>
        </w:rPr>
        <w:t xml:space="preserve"> measures are merel</w:t>
      </w:r>
      <w:r w:rsidR="00CF1228">
        <w:rPr>
          <w:rFonts w:cs="Times New Roman"/>
          <w:szCs w:val="24"/>
        </w:rPr>
        <w:t>y informing us of who is a Democrat</w:t>
      </w:r>
      <w:r w:rsidR="00B46761">
        <w:rPr>
          <w:rFonts w:cs="Times New Roman"/>
          <w:szCs w:val="24"/>
        </w:rPr>
        <w:t xml:space="preserve"> and who is </w:t>
      </w:r>
      <w:r w:rsidR="00CF1228">
        <w:rPr>
          <w:rFonts w:cs="Times New Roman"/>
          <w:szCs w:val="24"/>
        </w:rPr>
        <w:t>a Republican</w:t>
      </w:r>
      <w:r w:rsidR="00B46761">
        <w:rPr>
          <w:rFonts w:cs="Times New Roman"/>
          <w:szCs w:val="24"/>
        </w:rPr>
        <w:t>.</w:t>
      </w:r>
    </w:p>
    <w:p w:rsidR="00CB5054" w:rsidRDefault="003D0D2A" w:rsidP="00C9229F">
      <w:pPr>
        <w:spacing w:line="480" w:lineRule="auto"/>
        <w:ind w:firstLine="720"/>
        <w:contextualSpacing/>
        <w:jc w:val="both"/>
        <w:rPr>
          <w:rFonts w:cs="Times New Roman"/>
          <w:szCs w:val="24"/>
        </w:rPr>
      </w:pPr>
      <w:r>
        <w:rPr>
          <w:rFonts w:cs="Times New Roman"/>
          <w:szCs w:val="24"/>
        </w:rPr>
        <w:t xml:space="preserve">  </w:t>
      </w:r>
      <w:r w:rsidR="00B46761">
        <w:rPr>
          <w:rFonts w:cs="Times New Roman"/>
          <w:szCs w:val="24"/>
        </w:rPr>
        <w:t>Our findings are noteworthy because they challenge the multi-dimensional theory of roll call voting</w:t>
      </w:r>
      <w:r w:rsidR="00B46761" w:rsidRPr="006A0A92">
        <w:rPr>
          <w:rFonts w:cs="Times New Roman"/>
          <w:szCs w:val="24"/>
        </w:rPr>
        <w:t xml:space="preserve"> </w:t>
      </w:r>
      <w:r w:rsidR="00B46761">
        <w:rPr>
          <w:rFonts w:cs="Times New Roman"/>
          <w:szCs w:val="24"/>
        </w:rPr>
        <w:t xml:space="preserve">(Koford 1989; </w:t>
      </w:r>
      <w:r w:rsidR="00B46761" w:rsidRPr="00016D2A">
        <w:rPr>
          <w:rFonts w:cs="Times New Roman"/>
          <w:szCs w:val="24"/>
        </w:rPr>
        <w:t>Wilcox &amp; Clausen 1991</w:t>
      </w:r>
      <w:r w:rsidR="00B46761">
        <w:rPr>
          <w:rFonts w:cs="Times New Roman"/>
          <w:szCs w:val="24"/>
        </w:rPr>
        <w:t xml:space="preserve">; Jackson &amp; Kingdon 1992). This theory asserts that congressional representatives vote in distinct manners on </w:t>
      </w:r>
      <w:r w:rsidR="0032486F">
        <w:rPr>
          <w:rFonts w:cs="Times New Roman"/>
          <w:szCs w:val="24"/>
        </w:rPr>
        <w:t xml:space="preserve">a </w:t>
      </w:r>
      <w:r w:rsidR="00B46761">
        <w:rPr>
          <w:rFonts w:cs="Times New Roman"/>
          <w:szCs w:val="24"/>
        </w:rPr>
        <w:t xml:space="preserve">diverse </w:t>
      </w:r>
      <w:r w:rsidR="0032486F">
        <w:rPr>
          <w:rFonts w:cs="Times New Roman"/>
          <w:szCs w:val="24"/>
        </w:rPr>
        <w:t xml:space="preserve">array </w:t>
      </w:r>
      <w:r w:rsidR="00B46761">
        <w:rPr>
          <w:rFonts w:cs="Times New Roman"/>
          <w:szCs w:val="24"/>
        </w:rPr>
        <w:t xml:space="preserve">issues. </w:t>
      </w:r>
      <w:r w:rsidR="004C4CAB">
        <w:rPr>
          <w:rFonts w:cs="Times New Roman"/>
          <w:szCs w:val="24"/>
        </w:rPr>
        <w:t>In other words, a</w:t>
      </w:r>
      <w:r w:rsidR="00B46761">
        <w:rPr>
          <w:rFonts w:cs="Times New Roman"/>
          <w:szCs w:val="24"/>
        </w:rPr>
        <w:t xml:space="preserve"> conservative vote on one issue does not automatically entail a conserva</w:t>
      </w:r>
      <w:r w:rsidR="0032486F">
        <w:rPr>
          <w:rFonts w:cs="Times New Roman"/>
          <w:szCs w:val="24"/>
        </w:rPr>
        <w:t>tive vote on a separate issue</w:t>
      </w:r>
      <w:r w:rsidR="000C67A4">
        <w:rPr>
          <w:rFonts w:cs="Times New Roman"/>
          <w:szCs w:val="24"/>
        </w:rPr>
        <w:t>.</w:t>
      </w:r>
      <w:r w:rsidR="0032486F">
        <w:rPr>
          <w:rFonts w:cs="Times New Roman"/>
          <w:szCs w:val="24"/>
        </w:rPr>
        <w:t xml:space="preserve"> A s</w:t>
      </w:r>
      <w:r w:rsidR="00B46761">
        <w:rPr>
          <w:rFonts w:cs="Times New Roman"/>
          <w:szCs w:val="24"/>
        </w:rPr>
        <w:t xml:space="preserve">enator may hold </w:t>
      </w:r>
      <w:r w:rsidR="000C67A4">
        <w:rPr>
          <w:rFonts w:cs="Times New Roman"/>
          <w:szCs w:val="24"/>
        </w:rPr>
        <w:t>ideologically inconsistent positions</w:t>
      </w:r>
      <w:r w:rsidR="00B46761">
        <w:rPr>
          <w:rFonts w:cs="Times New Roman"/>
          <w:szCs w:val="24"/>
        </w:rPr>
        <w:t xml:space="preserve"> on different issues. </w:t>
      </w:r>
      <w:r w:rsidR="000C67A4">
        <w:rPr>
          <w:rFonts w:cs="Times New Roman"/>
          <w:szCs w:val="24"/>
        </w:rPr>
        <w:t xml:space="preserve">For example, a </w:t>
      </w:r>
      <w:r w:rsidR="0032486F">
        <w:rPr>
          <w:rFonts w:cs="Times New Roman"/>
          <w:szCs w:val="24"/>
        </w:rPr>
        <w:t>part</w:t>
      </w:r>
      <w:r w:rsidR="000D7CA5">
        <w:rPr>
          <w:rFonts w:cs="Times New Roman"/>
          <w:szCs w:val="24"/>
        </w:rPr>
        <w:t>icular senator may be pro-choice</w:t>
      </w:r>
      <w:r w:rsidR="000C67A4">
        <w:rPr>
          <w:rFonts w:cs="Times New Roman"/>
          <w:szCs w:val="24"/>
        </w:rPr>
        <w:t xml:space="preserve"> as well as</w:t>
      </w:r>
      <w:r w:rsidR="000D7CA5">
        <w:rPr>
          <w:rFonts w:cs="Times New Roman"/>
          <w:szCs w:val="24"/>
        </w:rPr>
        <w:t xml:space="preserve"> pro-Second-Amendment. </w:t>
      </w:r>
      <w:r w:rsidR="00B46761">
        <w:rPr>
          <w:rFonts w:cs="Times New Roman"/>
          <w:szCs w:val="24"/>
        </w:rPr>
        <w:t xml:space="preserve">Since the interest group ratings we selected for </w:t>
      </w:r>
      <w:r w:rsidR="009C1078">
        <w:rPr>
          <w:rFonts w:cs="Times New Roman"/>
          <w:szCs w:val="24"/>
        </w:rPr>
        <w:t>statistical analyses represent a wide variety</w:t>
      </w:r>
      <w:r w:rsidR="00B46761">
        <w:rPr>
          <w:rFonts w:cs="Times New Roman"/>
          <w:szCs w:val="24"/>
        </w:rPr>
        <w:t xml:space="preserve"> of political concerns, the multi-dimensional theory would predict separate factors for each group of issues</w:t>
      </w:r>
      <w:r w:rsidR="000C67A4">
        <w:rPr>
          <w:rFonts w:cs="Times New Roman"/>
          <w:szCs w:val="24"/>
        </w:rPr>
        <w:t xml:space="preserve"> (H</w:t>
      </w:r>
      <w:r w:rsidR="000C67A4" w:rsidRPr="009C1078">
        <w:rPr>
          <w:rFonts w:cs="Times New Roman"/>
          <w:szCs w:val="24"/>
          <w:vertAlign w:val="subscript"/>
        </w:rPr>
        <w:t>1</w:t>
      </w:r>
      <w:r w:rsidR="00EC195B">
        <w:rPr>
          <w:rFonts w:cs="Times New Roman"/>
          <w:szCs w:val="24"/>
        </w:rPr>
        <w:t>)</w:t>
      </w:r>
      <w:r w:rsidR="00B46761">
        <w:rPr>
          <w:rFonts w:cs="Times New Roman"/>
          <w:szCs w:val="24"/>
        </w:rPr>
        <w:t xml:space="preserve">. Instead, all </w:t>
      </w:r>
      <w:r w:rsidR="009C1078">
        <w:rPr>
          <w:rFonts w:cs="Times New Roman"/>
          <w:szCs w:val="24"/>
        </w:rPr>
        <w:t xml:space="preserve">of </w:t>
      </w:r>
      <w:r w:rsidR="00B46761">
        <w:rPr>
          <w:rFonts w:cs="Times New Roman"/>
          <w:szCs w:val="24"/>
        </w:rPr>
        <w:t xml:space="preserve">these scores, representing roll call votes on different issues, </w:t>
      </w:r>
      <w:r w:rsidR="009C1078">
        <w:rPr>
          <w:rFonts w:cs="Times New Roman"/>
          <w:szCs w:val="24"/>
        </w:rPr>
        <w:t>reduced down to</w:t>
      </w:r>
      <w:r w:rsidR="00B46761">
        <w:rPr>
          <w:rFonts w:cs="Times New Roman"/>
          <w:szCs w:val="24"/>
        </w:rPr>
        <w:t xml:space="preserve"> </w:t>
      </w:r>
      <w:r w:rsidR="00B46761">
        <w:rPr>
          <w:rFonts w:cs="Times New Roman"/>
          <w:szCs w:val="24"/>
        </w:rPr>
        <w:lastRenderedPageBreak/>
        <w:t>a single dimension. The</w:t>
      </w:r>
      <w:r w:rsidR="000C67A4">
        <w:rPr>
          <w:rFonts w:cs="Times New Roman"/>
          <w:szCs w:val="24"/>
        </w:rPr>
        <w:t>refore, we believe that the</w:t>
      </w:r>
      <w:r w:rsidR="00B46761">
        <w:rPr>
          <w:rFonts w:cs="Times New Roman"/>
          <w:szCs w:val="24"/>
        </w:rPr>
        <w:t xml:space="preserve"> results of our Factor Analysis support Smith’s (1981) finding of greater ideological voting alignments in the Senate.</w:t>
      </w:r>
    </w:p>
    <w:p w:rsidR="00E1780F" w:rsidRPr="00E93947" w:rsidRDefault="00E1780F" w:rsidP="00C9229F">
      <w:pPr>
        <w:spacing w:line="480" w:lineRule="auto"/>
        <w:contextualSpacing/>
        <w:jc w:val="both"/>
        <w:rPr>
          <w:rFonts w:cs="Times New Roman"/>
          <w:i/>
          <w:szCs w:val="24"/>
        </w:rPr>
      </w:pPr>
      <w:r w:rsidRPr="00E93947">
        <w:rPr>
          <w:rFonts w:cs="Times New Roman"/>
          <w:i/>
          <w:szCs w:val="24"/>
        </w:rPr>
        <w:t>Analysis of Variance (ANOVA)</w:t>
      </w:r>
    </w:p>
    <w:p w:rsidR="00EF7970" w:rsidRDefault="00E1780F" w:rsidP="00C9229F">
      <w:pPr>
        <w:spacing w:line="480" w:lineRule="auto"/>
        <w:contextualSpacing/>
        <w:jc w:val="both"/>
        <w:rPr>
          <w:rFonts w:cs="Times New Roman"/>
          <w:szCs w:val="24"/>
        </w:rPr>
      </w:pPr>
      <w:r>
        <w:rPr>
          <w:rFonts w:cs="Times New Roman"/>
          <w:szCs w:val="24"/>
        </w:rPr>
        <w:tab/>
      </w:r>
      <w:r w:rsidR="002C0B20">
        <w:rPr>
          <w:rFonts w:cs="Times New Roman"/>
          <w:szCs w:val="24"/>
        </w:rPr>
        <w:t xml:space="preserve">Tabachnick and Fidell write of Factor Analysis that “the last, and very large, step is to verify the factor structure by establishing the construct validity of the factors” (2007, </w:t>
      </w:r>
      <w:r w:rsidR="00016494">
        <w:rPr>
          <w:rFonts w:cs="Times New Roman"/>
          <w:szCs w:val="24"/>
        </w:rPr>
        <w:t xml:space="preserve">pg. </w:t>
      </w:r>
      <w:r w:rsidR="002C0B20">
        <w:rPr>
          <w:rFonts w:cs="Times New Roman"/>
          <w:szCs w:val="24"/>
        </w:rPr>
        <w:t xml:space="preserve">608). </w:t>
      </w:r>
      <w:r>
        <w:rPr>
          <w:rFonts w:cs="Times New Roman"/>
          <w:szCs w:val="24"/>
        </w:rPr>
        <w:t>The previous analyses of the data suggest that there is an underlyin</w:t>
      </w:r>
      <w:r w:rsidR="00146D99">
        <w:rPr>
          <w:rFonts w:cs="Times New Roman"/>
          <w:szCs w:val="24"/>
        </w:rPr>
        <w:t>g partisan dimension</w:t>
      </w:r>
      <w:r>
        <w:rPr>
          <w:rFonts w:cs="Times New Roman"/>
          <w:szCs w:val="24"/>
        </w:rPr>
        <w:t xml:space="preserve"> to the senatorial scorecard ratings</w:t>
      </w:r>
      <w:r w:rsidR="002C0B20">
        <w:rPr>
          <w:rFonts w:cs="Times New Roman"/>
          <w:szCs w:val="24"/>
        </w:rPr>
        <w:t xml:space="preserve"> (H</w:t>
      </w:r>
      <w:r w:rsidR="002C0B20" w:rsidRPr="00474678">
        <w:rPr>
          <w:rFonts w:cs="Times New Roman"/>
          <w:szCs w:val="24"/>
          <w:vertAlign w:val="subscript"/>
        </w:rPr>
        <w:t>2a</w:t>
      </w:r>
      <w:r w:rsidR="002C0B20">
        <w:rPr>
          <w:rFonts w:cs="Times New Roman"/>
          <w:szCs w:val="24"/>
        </w:rPr>
        <w:t>)</w:t>
      </w:r>
      <w:r>
        <w:rPr>
          <w:rFonts w:cs="Times New Roman"/>
          <w:szCs w:val="24"/>
        </w:rPr>
        <w:t xml:space="preserve">. However, we need to confirm that these systems are indeed measuring </w:t>
      </w:r>
      <w:r w:rsidR="00152847">
        <w:rPr>
          <w:rFonts w:cs="Times New Roman"/>
          <w:szCs w:val="24"/>
        </w:rPr>
        <w:t>partisanship</w:t>
      </w:r>
      <w:r>
        <w:rPr>
          <w:rFonts w:cs="Times New Roman"/>
          <w:szCs w:val="24"/>
        </w:rPr>
        <w:t>.</w:t>
      </w:r>
      <w:r w:rsidR="002C0B20">
        <w:rPr>
          <w:rFonts w:cs="Times New Roman"/>
          <w:szCs w:val="24"/>
        </w:rPr>
        <w:t xml:space="preserve"> </w:t>
      </w:r>
      <w:r w:rsidR="00474678">
        <w:rPr>
          <w:rFonts w:cs="Times New Roman"/>
          <w:szCs w:val="24"/>
        </w:rPr>
        <w:t xml:space="preserve">Multivariate </w:t>
      </w:r>
      <w:r w:rsidR="00E0189A">
        <w:rPr>
          <w:rFonts w:cs="Times New Roman"/>
          <w:szCs w:val="24"/>
        </w:rPr>
        <w:t>regression is</w:t>
      </w:r>
      <w:r w:rsidR="00924673">
        <w:rPr>
          <w:rFonts w:cs="Times New Roman"/>
          <w:szCs w:val="24"/>
        </w:rPr>
        <w:t xml:space="preserve"> unnecessary because the Factor Analysis has already shown that only one variable accounts for most of the variance in senators’ ratings. Therefore, w</w:t>
      </w:r>
      <w:r w:rsidR="00474678">
        <w:rPr>
          <w:rFonts w:cs="Times New Roman"/>
          <w:szCs w:val="24"/>
        </w:rPr>
        <w:t xml:space="preserve">e </w:t>
      </w:r>
      <w:r>
        <w:rPr>
          <w:rFonts w:cs="Times New Roman"/>
          <w:szCs w:val="24"/>
        </w:rPr>
        <w:t>test for the amount of variance within these scores that is explained by p</w:t>
      </w:r>
      <w:r w:rsidR="003C7D82">
        <w:rPr>
          <w:rFonts w:cs="Times New Roman"/>
          <w:szCs w:val="24"/>
        </w:rPr>
        <w:t xml:space="preserve">arty identification with </w:t>
      </w:r>
      <w:r w:rsidR="00EC195B">
        <w:rPr>
          <w:rFonts w:cs="Times New Roman"/>
          <w:szCs w:val="24"/>
        </w:rPr>
        <w:t xml:space="preserve">simple </w:t>
      </w:r>
      <w:r w:rsidR="000C67A4">
        <w:rPr>
          <w:rFonts w:cs="Times New Roman"/>
          <w:szCs w:val="24"/>
        </w:rPr>
        <w:t xml:space="preserve">bivariate </w:t>
      </w:r>
      <w:r>
        <w:rPr>
          <w:rFonts w:cs="Times New Roman"/>
          <w:szCs w:val="24"/>
        </w:rPr>
        <w:t>Analysis of Variance. Numerous scholars have detailed the increasing correlation between ideology and party (</w:t>
      </w:r>
      <w:r w:rsidR="000C67A4">
        <w:rPr>
          <w:rFonts w:cs="Times New Roman"/>
          <w:szCs w:val="24"/>
        </w:rPr>
        <w:t xml:space="preserve">Abramowitz &amp; Saunders 2008; </w:t>
      </w:r>
      <w:r>
        <w:rPr>
          <w:rFonts w:cs="Times New Roman"/>
          <w:szCs w:val="24"/>
        </w:rPr>
        <w:t xml:space="preserve">Bafumi &amp; Shapiro 2009; Levendusky 2009; Noel 2014). </w:t>
      </w:r>
      <w:r w:rsidR="00181CF9">
        <w:rPr>
          <w:rFonts w:cs="Times New Roman"/>
          <w:szCs w:val="24"/>
        </w:rPr>
        <w:t>The Democratic P</w:t>
      </w:r>
      <w:r w:rsidR="000C67A4">
        <w:rPr>
          <w:rFonts w:cs="Times New Roman"/>
          <w:szCs w:val="24"/>
        </w:rPr>
        <w:t>arty has become increasing liberal ov</w:t>
      </w:r>
      <w:r w:rsidR="00181CF9">
        <w:rPr>
          <w:rFonts w:cs="Times New Roman"/>
          <w:szCs w:val="24"/>
        </w:rPr>
        <w:t>er time whereas the Republican P</w:t>
      </w:r>
      <w:r w:rsidR="000C67A4">
        <w:rPr>
          <w:rFonts w:cs="Times New Roman"/>
          <w:szCs w:val="24"/>
        </w:rPr>
        <w:t>arty has adopted a</w:t>
      </w:r>
      <w:r w:rsidR="00474678">
        <w:rPr>
          <w:rFonts w:cs="Times New Roman"/>
          <w:szCs w:val="24"/>
        </w:rPr>
        <w:t>n</w:t>
      </w:r>
      <w:r w:rsidR="000C67A4">
        <w:rPr>
          <w:rFonts w:cs="Times New Roman"/>
          <w:szCs w:val="24"/>
        </w:rPr>
        <w:t xml:space="preserve"> </w:t>
      </w:r>
      <w:r w:rsidR="00474678">
        <w:rPr>
          <w:rFonts w:cs="Times New Roman"/>
          <w:szCs w:val="24"/>
        </w:rPr>
        <w:t xml:space="preserve">increasingly </w:t>
      </w:r>
      <w:r w:rsidR="000C67A4">
        <w:rPr>
          <w:rFonts w:cs="Times New Roman"/>
          <w:szCs w:val="24"/>
        </w:rPr>
        <w:t xml:space="preserve">conservative ideology. </w:t>
      </w:r>
      <w:r>
        <w:rPr>
          <w:rFonts w:cs="Times New Roman"/>
          <w:szCs w:val="24"/>
        </w:rPr>
        <w:t>Thus, we consider it appropriate to test the extent to which</w:t>
      </w:r>
      <w:r w:rsidR="00152847">
        <w:rPr>
          <w:rFonts w:cs="Times New Roman"/>
          <w:szCs w:val="24"/>
        </w:rPr>
        <w:t xml:space="preserve"> partisanship</w:t>
      </w:r>
      <w:r>
        <w:rPr>
          <w:rFonts w:cs="Times New Roman"/>
          <w:szCs w:val="24"/>
        </w:rPr>
        <w:t xml:space="preserve"> accounts for the</w:t>
      </w:r>
      <w:r w:rsidR="00152847">
        <w:rPr>
          <w:rFonts w:cs="Times New Roman"/>
          <w:szCs w:val="24"/>
        </w:rPr>
        <w:t xml:space="preserve"> variance in senators’ ratings, which are considered ideological in nature.</w:t>
      </w:r>
    </w:p>
    <w:p w:rsidR="00CF1228" w:rsidRDefault="00D61505" w:rsidP="00A94179">
      <w:pPr>
        <w:spacing w:line="480" w:lineRule="auto"/>
        <w:ind w:firstLine="720"/>
        <w:contextualSpacing/>
        <w:jc w:val="both"/>
        <w:rPr>
          <w:rFonts w:cs="Times New Roman"/>
          <w:szCs w:val="24"/>
        </w:rPr>
      </w:pPr>
      <w:r>
        <w:rPr>
          <w:rFonts w:cs="Times New Roman"/>
          <w:szCs w:val="24"/>
        </w:rPr>
        <w:t>In order to confirm</w:t>
      </w:r>
      <w:r w:rsidR="00E1780F">
        <w:rPr>
          <w:rFonts w:cs="Times New Roman"/>
          <w:szCs w:val="24"/>
        </w:rPr>
        <w:t xml:space="preserve"> </w:t>
      </w:r>
      <w:r>
        <w:rPr>
          <w:rFonts w:cs="Times New Roman"/>
          <w:szCs w:val="24"/>
        </w:rPr>
        <w:t>H</w:t>
      </w:r>
      <w:r>
        <w:rPr>
          <w:rFonts w:cs="Times New Roman"/>
          <w:szCs w:val="24"/>
          <w:vertAlign w:val="subscript"/>
        </w:rPr>
        <w:t>2a</w:t>
      </w:r>
      <w:r w:rsidR="00E1780F">
        <w:rPr>
          <w:rFonts w:cs="Times New Roman"/>
          <w:szCs w:val="24"/>
        </w:rPr>
        <w:t>, we ran separate ANOVA tests</w:t>
      </w:r>
      <w:r w:rsidR="00474678">
        <w:rPr>
          <w:rFonts w:cs="Times New Roman"/>
          <w:szCs w:val="24"/>
        </w:rPr>
        <w:t>,</w:t>
      </w:r>
      <w:r w:rsidR="00E1780F">
        <w:rPr>
          <w:rFonts w:cs="Times New Roman"/>
          <w:szCs w:val="24"/>
        </w:rPr>
        <w:t xml:space="preserve"> treating the </w:t>
      </w:r>
      <w:r w:rsidR="000C67A4">
        <w:rPr>
          <w:rFonts w:cs="Times New Roman"/>
          <w:szCs w:val="24"/>
        </w:rPr>
        <w:t xml:space="preserve">interest group </w:t>
      </w:r>
      <w:r w:rsidR="00E1780F">
        <w:rPr>
          <w:rFonts w:cs="Times New Roman"/>
          <w:szCs w:val="24"/>
        </w:rPr>
        <w:t>scores</w:t>
      </w:r>
      <w:r w:rsidR="000C67A4">
        <w:rPr>
          <w:rFonts w:cs="Times New Roman"/>
          <w:szCs w:val="24"/>
        </w:rPr>
        <w:t xml:space="preserve"> of senators</w:t>
      </w:r>
      <w:r w:rsidR="00E1780F">
        <w:rPr>
          <w:rFonts w:cs="Times New Roman"/>
          <w:szCs w:val="24"/>
        </w:rPr>
        <w:t xml:space="preserve"> as dependent variables and the party identification</w:t>
      </w:r>
      <w:r w:rsidR="00474678">
        <w:rPr>
          <w:rFonts w:cs="Times New Roman"/>
          <w:szCs w:val="24"/>
        </w:rPr>
        <w:t>s</w:t>
      </w:r>
      <w:r w:rsidR="00E1780F">
        <w:rPr>
          <w:rFonts w:cs="Times New Roman"/>
          <w:szCs w:val="24"/>
        </w:rPr>
        <w:t xml:space="preserve"> of the senators as the independent variable.</w:t>
      </w:r>
      <w:r w:rsidR="00EC195B">
        <w:rPr>
          <w:rStyle w:val="FootnoteReference"/>
          <w:rFonts w:cs="Times New Roman"/>
          <w:szCs w:val="24"/>
        </w:rPr>
        <w:footnoteReference w:id="2"/>
      </w:r>
      <w:r w:rsidR="00E1780F">
        <w:rPr>
          <w:rFonts w:cs="Times New Roman"/>
          <w:szCs w:val="24"/>
        </w:rPr>
        <w:t xml:space="preserve"> Furthermo</w:t>
      </w:r>
      <w:r w:rsidR="00DF7951">
        <w:rPr>
          <w:rFonts w:cs="Times New Roman"/>
          <w:szCs w:val="24"/>
        </w:rPr>
        <w:t>re, we have included box plots illustrating</w:t>
      </w:r>
      <w:r w:rsidR="00E1780F">
        <w:rPr>
          <w:rFonts w:cs="Times New Roman"/>
          <w:szCs w:val="24"/>
        </w:rPr>
        <w:t xml:space="preserve"> the distribution of senators’ ADA, ACU, National Journal, and </w:t>
      </w:r>
      <w:r w:rsidR="00474678">
        <w:rPr>
          <w:rFonts w:cs="Times New Roman"/>
          <w:szCs w:val="24"/>
        </w:rPr>
        <w:t>DW-</w:t>
      </w:r>
      <w:r w:rsidR="00E1780F">
        <w:rPr>
          <w:rFonts w:cs="Times New Roman"/>
          <w:szCs w:val="24"/>
        </w:rPr>
        <w:t>Nomina</w:t>
      </w:r>
      <w:r w:rsidR="003D0D2A">
        <w:rPr>
          <w:rFonts w:cs="Times New Roman"/>
          <w:szCs w:val="24"/>
        </w:rPr>
        <w:t>t</w:t>
      </w:r>
      <w:r w:rsidR="00474678">
        <w:rPr>
          <w:rFonts w:cs="Times New Roman"/>
          <w:szCs w:val="24"/>
        </w:rPr>
        <w:t>e scores by party (S</w:t>
      </w:r>
      <w:r w:rsidR="003D0D2A">
        <w:rPr>
          <w:rFonts w:cs="Times New Roman"/>
          <w:szCs w:val="24"/>
        </w:rPr>
        <w:t>ee Figure 2</w:t>
      </w:r>
      <w:r w:rsidR="00E1780F">
        <w:rPr>
          <w:rFonts w:cs="Times New Roman"/>
          <w:szCs w:val="24"/>
        </w:rPr>
        <w:t xml:space="preserve">). Intriguingly, the box plots reveal that there are more party outliers in the ADA and ACU scores than the National Journal </w:t>
      </w:r>
      <w:r w:rsidR="00E1780F">
        <w:rPr>
          <w:rFonts w:cs="Times New Roman"/>
          <w:szCs w:val="24"/>
        </w:rPr>
        <w:lastRenderedPageBreak/>
        <w:t xml:space="preserve">or </w:t>
      </w:r>
      <w:r w:rsidR="00474678">
        <w:rPr>
          <w:rFonts w:cs="Times New Roman"/>
          <w:szCs w:val="24"/>
        </w:rPr>
        <w:t>DW-</w:t>
      </w:r>
      <w:r w:rsidR="00E1780F">
        <w:rPr>
          <w:rFonts w:cs="Times New Roman"/>
          <w:szCs w:val="24"/>
        </w:rPr>
        <w:t xml:space="preserve">Nominate ratings. </w:t>
      </w:r>
      <w:r w:rsidR="00DF7951">
        <w:rPr>
          <w:rFonts w:cs="Times New Roman"/>
          <w:szCs w:val="24"/>
        </w:rPr>
        <w:t>In other words, interest group scorecards suggest that there may be conservative Democrats and liberal Republicans</w:t>
      </w:r>
      <w:r w:rsidR="000C67A4">
        <w:rPr>
          <w:rFonts w:cs="Times New Roman"/>
          <w:szCs w:val="24"/>
        </w:rPr>
        <w:t xml:space="preserve"> </w:t>
      </w:r>
      <w:r>
        <w:rPr>
          <w:rFonts w:cs="Times New Roman"/>
          <w:szCs w:val="24"/>
        </w:rPr>
        <w:t>- relatively speaking -</w:t>
      </w:r>
      <w:r w:rsidR="00DF7951">
        <w:rPr>
          <w:rFonts w:cs="Times New Roman"/>
          <w:szCs w:val="24"/>
        </w:rPr>
        <w:t xml:space="preserve"> whereas the National Journal and DW-Nominate ratings suggest more ideologically homogeneous parties. </w:t>
      </w:r>
      <w:r w:rsidR="00146D99">
        <w:rPr>
          <w:rFonts w:cs="Times New Roman"/>
          <w:szCs w:val="24"/>
        </w:rPr>
        <w:t>This finding supports Brunell et al. (1999)</w:t>
      </w:r>
      <w:r w:rsidR="00474678">
        <w:rPr>
          <w:rFonts w:cs="Times New Roman"/>
          <w:szCs w:val="24"/>
        </w:rPr>
        <w:t>,</w:t>
      </w:r>
      <w:r w:rsidR="00146D99">
        <w:rPr>
          <w:rFonts w:cs="Times New Roman"/>
          <w:szCs w:val="24"/>
        </w:rPr>
        <w:t xml:space="preserve"> who argue that interest group scorecards are useful in identifying and distinguishing between their ideological allies. Again</w:t>
      </w:r>
      <w:r w:rsidR="00E1780F">
        <w:rPr>
          <w:rFonts w:cs="Times New Roman"/>
          <w:szCs w:val="24"/>
        </w:rPr>
        <w:t xml:space="preserve">, </w:t>
      </w:r>
      <w:r w:rsidR="000C67A4">
        <w:rPr>
          <w:rFonts w:cs="Times New Roman"/>
          <w:szCs w:val="24"/>
        </w:rPr>
        <w:t xml:space="preserve">even though the partisan outliers suggest that some senators are voting against their ideology and may be voting along issue lines, </w:t>
      </w:r>
      <w:r w:rsidR="00E1780F">
        <w:rPr>
          <w:rFonts w:cs="Times New Roman"/>
          <w:szCs w:val="24"/>
        </w:rPr>
        <w:t xml:space="preserve">we believe this is </w:t>
      </w:r>
      <w:r w:rsidR="000C67A4">
        <w:rPr>
          <w:rFonts w:cs="Times New Roman"/>
          <w:szCs w:val="24"/>
        </w:rPr>
        <w:t xml:space="preserve">further </w:t>
      </w:r>
      <w:r w:rsidR="00E1780F">
        <w:rPr>
          <w:rFonts w:cs="Times New Roman"/>
          <w:szCs w:val="24"/>
        </w:rPr>
        <w:t>evidence that it is members of the Senate, and not</w:t>
      </w:r>
      <w:r w:rsidR="00515950">
        <w:rPr>
          <w:rFonts w:cs="Times New Roman"/>
          <w:szCs w:val="24"/>
        </w:rPr>
        <w:t xml:space="preserve"> simply</w:t>
      </w:r>
      <w:r w:rsidR="00643ABD">
        <w:rPr>
          <w:rFonts w:cs="Times New Roman"/>
          <w:szCs w:val="24"/>
        </w:rPr>
        <w:t xml:space="preserve"> interest group scorecards, </w:t>
      </w:r>
      <w:r w:rsidR="00474678">
        <w:rPr>
          <w:rFonts w:cs="Times New Roman"/>
          <w:szCs w:val="24"/>
        </w:rPr>
        <w:t>that</w:t>
      </w:r>
      <w:r w:rsidR="00E1780F">
        <w:rPr>
          <w:rFonts w:cs="Times New Roman"/>
          <w:szCs w:val="24"/>
        </w:rPr>
        <w:t xml:space="preserve"> are polarize</w:t>
      </w:r>
      <w:r w:rsidR="0030551E">
        <w:rPr>
          <w:rFonts w:cs="Times New Roman"/>
          <w:szCs w:val="24"/>
        </w:rPr>
        <w:t xml:space="preserve">d along </w:t>
      </w:r>
      <w:r w:rsidR="00643ABD">
        <w:rPr>
          <w:rFonts w:cs="Times New Roman"/>
          <w:szCs w:val="24"/>
        </w:rPr>
        <w:t>a partisan dimension</w:t>
      </w:r>
      <w:r w:rsidR="0030551E">
        <w:rPr>
          <w:rFonts w:cs="Times New Roman"/>
          <w:szCs w:val="24"/>
        </w:rPr>
        <w:t>.</w:t>
      </w:r>
    </w:p>
    <w:p w:rsidR="00FB6365" w:rsidRPr="006379A1" w:rsidRDefault="00CF1228" w:rsidP="004C4CAB">
      <w:pPr>
        <w:spacing w:line="480" w:lineRule="auto"/>
        <w:contextualSpacing/>
        <w:rPr>
          <w:rFonts w:asciiTheme="minorHAnsi" w:hAnsiTheme="minorHAnsi"/>
          <w:b/>
          <w:noProof/>
          <w:sz w:val="22"/>
        </w:rPr>
      </w:pPr>
      <w:r>
        <w:rPr>
          <w:rFonts w:cs="Times New Roman"/>
          <w:b/>
          <w:noProof/>
          <w:szCs w:val="24"/>
        </w:rPr>
        <w:t>Figure 3</w:t>
      </w:r>
      <w:r w:rsidR="00FB6365" w:rsidRPr="006379A1">
        <w:rPr>
          <w:rFonts w:cs="Times New Roman"/>
          <w:b/>
          <w:noProof/>
          <w:szCs w:val="24"/>
        </w:rPr>
        <w:t>: Box Plots for ADA, ACU, NJCONS, &amp; DWNOM by Party ID</w:t>
      </w:r>
    </w:p>
    <w:p w:rsidR="00FB6365" w:rsidRPr="00FB6365" w:rsidRDefault="00FB6365" w:rsidP="00FB6365">
      <w:pPr>
        <w:rPr>
          <w:rFonts w:asciiTheme="minorHAnsi" w:hAnsiTheme="minorHAnsi"/>
          <w:sz w:val="22"/>
        </w:rPr>
      </w:pPr>
      <w:r w:rsidRPr="00FB6365">
        <w:rPr>
          <w:rFonts w:asciiTheme="minorHAnsi" w:hAnsiTheme="minorHAnsi"/>
          <w:noProof/>
          <w:sz w:val="22"/>
        </w:rPr>
        <w:drawing>
          <wp:inline distT="0" distB="0" distL="0" distR="0" wp14:anchorId="70B0F21D" wp14:editId="4F453B2B">
            <wp:extent cx="2829464" cy="2074940"/>
            <wp:effectExtent l="0" t="0" r="952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5630" cy="2086795"/>
                    </a:xfrm>
                    <a:prstGeom prst="rect">
                      <a:avLst/>
                    </a:prstGeom>
                    <a:noFill/>
                    <a:ln>
                      <a:noFill/>
                    </a:ln>
                  </pic:spPr>
                </pic:pic>
              </a:graphicData>
            </a:graphic>
          </wp:inline>
        </w:drawing>
      </w:r>
      <w:r>
        <w:rPr>
          <w:rFonts w:asciiTheme="minorHAnsi" w:hAnsiTheme="minorHAnsi"/>
          <w:noProof/>
          <w:sz w:val="22"/>
        </w:rPr>
        <w:t xml:space="preserve">    </w:t>
      </w:r>
      <w:r w:rsidRPr="00FB6365">
        <w:rPr>
          <w:rFonts w:asciiTheme="minorHAnsi" w:hAnsiTheme="minorHAnsi"/>
          <w:noProof/>
          <w:sz w:val="22"/>
        </w:rPr>
        <w:drawing>
          <wp:inline distT="0" distB="0" distL="0" distR="0" wp14:anchorId="279AE405" wp14:editId="7C2A69E8">
            <wp:extent cx="2829464" cy="2074940"/>
            <wp:effectExtent l="0" t="0" r="952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5752" cy="2094218"/>
                    </a:xfrm>
                    <a:prstGeom prst="rect">
                      <a:avLst/>
                    </a:prstGeom>
                    <a:noFill/>
                    <a:ln>
                      <a:noFill/>
                    </a:ln>
                  </pic:spPr>
                </pic:pic>
              </a:graphicData>
            </a:graphic>
          </wp:inline>
        </w:drawing>
      </w:r>
      <w:r w:rsidRPr="00FB6365">
        <w:rPr>
          <w:rFonts w:asciiTheme="minorHAnsi" w:hAnsiTheme="minorHAnsi"/>
          <w:noProof/>
          <w:sz w:val="22"/>
        </w:rPr>
        <w:t xml:space="preserve">                      </w:t>
      </w:r>
    </w:p>
    <w:p w:rsidR="00FB6365" w:rsidRPr="00FB6365" w:rsidRDefault="00FB6365" w:rsidP="00FB6365">
      <w:pPr>
        <w:jc w:val="both"/>
        <w:rPr>
          <w:rFonts w:asciiTheme="minorHAnsi" w:hAnsiTheme="minorHAnsi"/>
          <w:sz w:val="22"/>
        </w:rPr>
      </w:pPr>
      <w:r w:rsidRPr="00FB6365">
        <w:rPr>
          <w:rFonts w:asciiTheme="minorHAnsi" w:hAnsiTheme="minorHAnsi"/>
          <w:noProof/>
          <w:sz w:val="22"/>
        </w:rPr>
        <w:drawing>
          <wp:inline distT="0" distB="0" distL="0" distR="0" wp14:anchorId="6BE36097" wp14:editId="0CFD7E24">
            <wp:extent cx="2846717" cy="208759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2761" cy="2121356"/>
                    </a:xfrm>
                    <a:prstGeom prst="rect">
                      <a:avLst/>
                    </a:prstGeom>
                    <a:noFill/>
                    <a:ln>
                      <a:noFill/>
                    </a:ln>
                  </pic:spPr>
                </pic:pic>
              </a:graphicData>
            </a:graphic>
          </wp:inline>
        </w:drawing>
      </w:r>
      <w:r>
        <w:rPr>
          <w:rFonts w:asciiTheme="minorHAnsi" w:hAnsiTheme="minorHAnsi"/>
          <w:noProof/>
          <w:sz w:val="22"/>
        </w:rPr>
        <w:t xml:space="preserve">    </w:t>
      </w:r>
      <w:r w:rsidRPr="00FB6365">
        <w:rPr>
          <w:rFonts w:asciiTheme="minorHAnsi" w:hAnsiTheme="minorHAnsi"/>
          <w:noProof/>
          <w:sz w:val="22"/>
        </w:rPr>
        <w:drawing>
          <wp:inline distT="0" distB="0" distL="0" distR="0" wp14:anchorId="1B4246E3" wp14:editId="58A621AB">
            <wp:extent cx="2855344" cy="2093919"/>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0142" cy="2126771"/>
                    </a:xfrm>
                    <a:prstGeom prst="rect">
                      <a:avLst/>
                    </a:prstGeom>
                    <a:noFill/>
                    <a:ln>
                      <a:noFill/>
                    </a:ln>
                  </pic:spPr>
                </pic:pic>
              </a:graphicData>
            </a:graphic>
          </wp:inline>
        </w:drawing>
      </w:r>
      <w:r>
        <w:rPr>
          <w:rFonts w:asciiTheme="minorHAnsi" w:hAnsiTheme="minorHAnsi"/>
          <w:noProof/>
          <w:sz w:val="22"/>
        </w:rPr>
        <w:t xml:space="preserve">                   </w:t>
      </w:r>
    </w:p>
    <w:p w:rsidR="005A1B93" w:rsidRDefault="00E1780F" w:rsidP="00CF1228">
      <w:pPr>
        <w:spacing w:line="480" w:lineRule="auto"/>
        <w:ind w:firstLine="720"/>
        <w:contextualSpacing/>
        <w:jc w:val="both"/>
        <w:rPr>
          <w:rFonts w:cs="Times New Roman"/>
          <w:szCs w:val="24"/>
        </w:rPr>
      </w:pPr>
      <w:r>
        <w:rPr>
          <w:rFonts w:cs="Times New Roman"/>
          <w:szCs w:val="24"/>
        </w:rPr>
        <w:t>The ANOVA tests reveal that the strongest relationship between partisanship and senators’ ratings occurs for the AFS</w:t>
      </w:r>
      <w:r w:rsidR="00784A25">
        <w:rPr>
          <w:rFonts w:cs="Times New Roman"/>
          <w:szCs w:val="24"/>
        </w:rPr>
        <w:t>CME</w:t>
      </w:r>
      <w:r>
        <w:rPr>
          <w:rFonts w:cs="Times New Roman"/>
          <w:szCs w:val="24"/>
        </w:rPr>
        <w:t xml:space="preserve"> (F = 2194.15; p</w:t>
      </w:r>
      <w:r w:rsidR="0030551E">
        <w:rPr>
          <w:rFonts w:cs="Times New Roman"/>
          <w:szCs w:val="24"/>
        </w:rPr>
        <w:t xml:space="preserve"> </w:t>
      </w:r>
      <w:r>
        <w:rPr>
          <w:rFonts w:cs="Times New Roman"/>
          <w:szCs w:val="24"/>
        </w:rPr>
        <w:t>&gt;</w:t>
      </w:r>
      <w:r w:rsidR="0030551E">
        <w:rPr>
          <w:rFonts w:cs="Times New Roman"/>
          <w:szCs w:val="24"/>
        </w:rPr>
        <w:t xml:space="preserve"> </w:t>
      </w:r>
      <w:r>
        <w:rPr>
          <w:rFonts w:cs="Times New Roman"/>
          <w:szCs w:val="24"/>
        </w:rPr>
        <w:t>F = 0.000; ƞ</w:t>
      </w:r>
      <w:r w:rsidRPr="009F4B95">
        <w:rPr>
          <w:rFonts w:cs="Times New Roman"/>
          <w:szCs w:val="24"/>
          <w:vertAlign w:val="superscript"/>
        </w:rPr>
        <w:t>2</w:t>
      </w:r>
      <w:r>
        <w:rPr>
          <w:rFonts w:cs="Times New Roman"/>
          <w:szCs w:val="24"/>
        </w:rPr>
        <w:t xml:space="preserve"> = 0.9463). Party identification </w:t>
      </w:r>
      <w:r>
        <w:rPr>
          <w:rFonts w:cs="Times New Roman"/>
          <w:szCs w:val="24"/>
        </w:rPr>
        <w:lastRenderedPageBreak/>
        <w:t>also strongly accounts for the discrepancies in senators’ ADA scores (F = 1270.99; p</w:t>
      </w:r>
      <w:r w:rsidR="0030551E">
        <w:rPr>
          <w:rFonts w:cs="Times New Roman"/>
          <w:szCs w:val="24"/>
        </w:rPr>
        <w:t xml:space="preserve"> </w:t>
      </w:r>
      <w:r>
        <w:rPr>
          <w:rFonts w:cs="Times New Roman"/>
          <w:szCs w:val="24"/>
        </w:rPr>
        <w:t>&gt;</w:t>
      </w:r>
      <w:r w:rsidR="0030551E">
        <w:rPr>
          <w:rFonts w:cs="Times New Roman"/>
          <w:szCs w:val="24"/>
        </w:rPr>
        <w:t xml:space="preserve"> </w:t>
      </w:r>
      <w:r>
        <w:rPr>
          <w:rFonts w:cs="Times New Roman"/>
          <w:szCs w:val="24"/>
        </w:rPr>
        <w:t>F = 0.000; ƞ</w:t>
      </w:r>
      <w:r w:rsidRPr="009F4B95">
        <w:rPr>
          <w:rFonts w:cs="Times New Roman"/>
          <w:szCs w:val="24"/>
          <w:vertAlign w:val="superscript"/>
        </w:rPr>
        <w:t>2</w:t>
      </w:r>
      <w:r>
        <w:rPr>
          <w:rFonts w:cs="Times New Roman"/>
          <w:szCs w:val="24"/>
        </w:rPr>
        <w:t xml:space="preserve"> = 0.9098). This pattern continually emerges. Partisanship explains most of the variance in senators’ CFG (F = 852.51; p</w:t>
      </w:r>
      <w:r w:rsidR="0030551E">
        <w:rPr>
          <w:rFonts w:cs="Times New Roman"/>
          <w:szCs w:val="24"/>
        </w:rPr>
        <w:t xml:space="preserve"> </w:t>
      </w:r>
      <w:r>
        <w:rPr>
          <w:rFonts w:cs="Times New Roman"/>
          <w:szCs w:val="24"/>
        </w:rPr>
        <w:t>&gt;</w:t>
      </w:r>
      <w:r w:rsidR="0030551E">
        <w:rPr>
          <w:rFonts w:cs="Times New Roman"/>
          <w:szCs w:val="24"/>
        </w:rPr>
        <w:t xml:space="preserve"> </w:t>
      </w:r>
      <w:r>
        <w:rPr>
          <w:rFonts w:cs="Times New Roman"/>
          <w:szCs w:val="24"/>
        </w:rPr>
        <w:t>F = 0.000; ƞ</w:t>
      </w:r>
      <w:r w:rsidRPr="009F4B95">
        <w:rPr>
          <w:rFonts w:cs="Times New Roman"/>
          <w:szCs w:val="24"/>
          <w:vertAlign w:val="superscript"/>
        </w:rPr>
        <w:t>2</w:t>
      </w:r>
      <w:r>
        <w:rPr>
          <w:rFonts w:cs="Times New Roman"/>
          <w:szCs w:val="24"/>
        </w:rPr>
        <w:t xml:space="preserve"> = 0.8703), ACU (F = 796.47; p</w:t>
      </w:r>
      <w:r w:rsidR="0030551E">
        <w:rPr>
          <w:rFonts w:cs="Times New Roman"/>
          <w:szCs w:val="24"/>
        </w:rPr>
        <w:t xml:space="preserve"> </w:t>
      </w:r>
      <w:r>
        <w:rPr>
          <w:rFonts w:cs="Times New Roman"/>
          <w:szCs w:val="24"/>
        </w:rPr>
        <w:t>&gt;</w:t>
      </w:r>
      <w:r w:rsidR="0030551E">
        <w:rPr>
          <w:rFonts w:cs="Times New Roman"/>
          <w:szCs w:val="24"/>
        </w:rPr>
        <w:t xml:space="preserve"> </w:t>
      </w:r>
      <w:r>
        <w:rPr>
          <w:rFonts w:cs="Times New Roman"/>
          <w:szCs w:val="24"/>
        </w:rPr>
        <w:t>F = 0.000; ƞ</w:t>
      </w:r>
      <w:r w:rsidRPr="009F4B95">
        <w:rPr>
          <w:rFonts w:cs="Times New Roman"/>
          <w:szCs w:val="24"/>
          <w:vertAlign w:val="superscript"/>
        </w:rPr>
        <w:t>2</w:t>
      </w:r>
      <w:r>
        <w:rPr>
          <w:rFonts w:cs="Times New Roman"/>
          <w:szCs w:val="24"/>
        </w:rPr>
        <w:t xml:space="preserve"> = 0.8615), NTU (F = 760.01; p</w:t>
      </w:r>
      <w:r w:rsidR="0030551E">
        <w:rPr>
          <w:rFonts w:cs="Times New Roman"/>
          <w:szCs w:val="24"/>
        </w:rPr>
        <w:t xml:space="preserve"> </w:t>
      </w:r>
      <w:r>
        <w:rPr>
          <w:rFonts w:cs="Times New Roman"/>
          <w:szCs w:val="24"/>
        </w:rPr>
        <w:t>&gt;</w:t>
      </w:r>
      <w:r w:rsidR="0030551E">
        <w:rPr>
          <w:rFonts w:cs="Times New Roman"/>
          <w:szCs w:val="24"/>
        </w:rPr>
        <w:t xml:space="preserve"> </w:t>
      </w:r>
      <w:r>
        <w:rPr>
          <w:rFonts w:cs="Times New Roman"/>
          <w:szCs w:val="24"/>
        </w:rPr>
        <w:t>F = 0.000; ƞ</w:t>
      </w:r>
      <w:r w:rsidRPr="009F4B95">
        <w:rPr>
          <w:rFonts w:cs="Times New Roman"/>
          <w:szCs w:val="24"/>
          <w:vertAlign w:val="superscript"/>
        </w:rPr>
        <w:t>2</w:t>
      </w:r>
      <w:r>
        <w:rPr>
          <w:rFonts w:cs="Times New Roman"/>
          <w:szCs w:val="24"/>
        </w:rPr>
        <w:t xml:space="preserve"> = 0.8573), FRC (F = 692.30; p</w:t>
      </w:r>
      <w:r w:rsidR="0030551E">
        <w:rPr>
          <w:rFonts w:cs="Times New Roman"/>
          <w:szCs w:val="24"/>
        </w:rPr>
        <w:t xml:space="preserve"> </w:t>
      </w:r>
      <w:r>
        <w:rPr>
          <w:rFonts w:cs="Times New Roman"/>
          <w:szCs w:val="24"/>
        </w:rPr>
        <w:t>&gt;</w:t>
      </w:r>
      <w:r w:rsidR="0030551E">
        <w:rPr>
          <w:rFonts w:cs="Times New Roman"/>
          <w:szCs w:val="24"/>
        </w:rPr>
        <w:t xml:space="preserve"> </w:t>
      </w:r>
      <w:r>
        <w:rPr>
          <w:rFonts w:cs="Times New Roman"/>
          <w:szCs w:val="24"/>
        </w:rPr>
        <w:t>f = 0.000; ƞ</w:t>
      </w:r>
      <w:r w:rsidRPr="009F4B95">
        <w:rPr>
          <w:rFonts w:cs="Times New Roman"/>
          <w:szCs w:val="24"/>
          <w:vertAlign w:val="superscript"/>
        </w:rPr>
        <w:t>2</w:t>
      </w:r>
      <w:r>
        <w:rPr>
          <w:rFonts w:cs="Times New Roman"/>
          <w:szCs w:val="24"/>
          <w:vertAlign w:val="superscript"/>
        </w:rPr>
        <w:t xml:space="preserve"> </w:t>
      </w:r>
      <w:r>
        <w:rPr>
          <w:rFonts w:cs="Times New Roman"/>
          <w:szCs w:val="24"/>
        </w:rPr>
        <w:t>= 0.8445), and LCV (F = 529.30; p</w:t>
      </w:r>
      <w:r w:rsidR="0030551E">
        <w:rPr>
          <w:rFonts w:cs="Times New Roman"/>
          <w:szCs w:val="24"/>
        </w:rPr>
        <w:t xml:space="preserve"> </w:t>
      </w:r>
      <w:r>
        <w:rPr>
          <w:rFonts w:cs="Times New Roman"/>
          <w:szCs w:val="24"/>
        </w:rPr>
        <w:t>&gt;</w:t>
      </w:r>
      <w:r w:rsidR="0030551E">
        <w:rPr>
          <w:rFonts w:cs="Times New Roman"/>
          <w:szCs w:val="24"/>
        </w:rPr>
        <w:t xml:space="preserve"> </w:t>
      </w:r>
      <w:r>
        <w:rPr>
          <w:rFonts w:cs="Times New Roman"/>
          <w:szCs w:val="24"/>
        </w:rPr>
        <w:t>F = 0.000; ƞ</w:t>
      </w:r>
      <w:r w:rsidRPr="009F4B95">
        <w:rPr>
          <w:rFonts w:cs="Times New Roman"/>
          <w:szCs w:val="24"/>
          <w:vertAlign w:val="superscript"/>
        </w:rPr>
        <w:t>2</w:t>
      </w:r>
      <w:r>
        <w:rPr>
          <w:rFonts w:cs="Times New Roman"/>
          <w:szCs w:val="24"/>
        </w:rPr>
        <w:t xml:space="preserve"> = 0.8059)</w:t>
      </w:r>
      <w:r w:rsidRPr="001E00EC">
        <w:rPr>
          <w:rFonts w:cs="Times New Roman"/>
          <w:szCs w:val="24"/>
        </w:rPr>
        <w:t xml:space="preserve"> </w:t>
      </w:r>
      <w:r>
        <w:rPr>
          <w:rFonts w:cs="Times New Roman"/>
          <w:szCs w:val="24"/>
        </w:rPr>
        <w:t xml:space="preserve">ratings. The weakest relationship between senators’ party identification and their interest group scores occurs for the ACLU and </w:t>
      </w:r>
      <w:r w:rsidR="005A1B93">
        <w:rPr>
          <w:rFonts w:cs="Times New Roman"/>
          <w:szCs w:val="24"/>
        </w:rPr>
        <w:t xml:space="preserve">the </w:t>
      </w:r>
      <w:r>
        <w:rPr>
          <w:rFonts w:cs="Times New Roman"/>
          <w:szCs w:val="24"/>
        </w:rPr>
        <w:t>COC. Partisanship accounts for only 78% of the variance in ACLU scorecard ratings. However this relationship is still statistically significant (F</w:t>
      </w:r>
      <w:r w:rsidR="00FC2D59">
        <w:rPr>
          <w:rFonts w:cs="Times New Roman"/>
          <w:szCs w:val="24"/>
        </w:rPr>
        <w:t xml:space="preserve"> </w:t>
      </w:r>
      <w:r>
        <w:rPr>
          <w:rFonts w:cs="Times New Roman"/>
          <w:szCs w:val="24"/>
        </w:rPr>
        <w:t>= 457.49; p</w:t>
      </w:r>
      <w:r w:rsidR="0030551E">
        <w:rPr>
          <w:rFonts w:cs="Times New Roman"/>
          <w:szCs w:val="24"/>
        </w:rPr>
        <w:t xml:space="preserve"> </w:t>
      </w:r>
      <w:r>
        <w:rPr>
          <w:rFonts w:cs="Times New Roman"/>
          <w:szCs w:val="24"/>
        </w:rPr>
        <w:t>&gt;</w:t>
      </w:r>
      <w:r w:rsidR="0030551E">
        <w:rPr>
          <w:rFonts w:cs="Times New Roman"/>
          <w:szCs w:val="24"/>
        </w:rPr>
        <w:t xml:space="preserve"> </w:t>
      </w:r>
      <w:r>
        <w:rPr>
          <w:rFonts w:cs="Times New Roman"/>
          <w:szCs w:val="24"/>
        </w:rPr>
        <w:t>F = 0.000; ƞ</w:t>
      </w:r>
      <w:r w:rsidRPr="009F4B95">
        <w:rPr>
          <w:rFonts w:cs="Times New Roman"/>
          <w:szCs w:val="24"/>
          <w:vertAlign w:val="superscript"/>
        </w:rPr>
        <w:t>2</w:t>
      </w:r>
      <w:r>
        <w:rPr>
          <w:rFonts w:cs="Times New Roman"/>
          <w:szCs w:val="24"/>
        </w:rPr>
        <w:t xml:space="preserve"> = 0.7800). The weakest relationship between party identification and ratings occurred for the Chamber of Commerce (ƞ</w:t>
      </w:r>
      <w:r w:rsidRPr="009F4B95">
        <w:rPr>
          <w:rFonts w:cs="Times New Roman"/>
          <w:szCs w:val="24"/>
          <w:vertAlign w:val="superscript"/>
        </w:rPr>
        <w:t>2</w:t>
      </w:r>
      <w:r>
        <w:rPr>
          <w:rFonts w:cs="Times New Roman"/>
          <w:szCs w:val="24"/>
        </w:rPr>
        <w:t xml:space="preserve"> = 0.6445). This confirms our prior analyses showing that the COC ratings were less correlated with others and did not load onto the single extra</w:t>
      </w:r>
      <w:r w:rsidR="005A1B93">
        <w:rPr>
          <w:rFonts w:cs="Times New Roman"/>
          <w:szCs w:val="24"/>
        </w:rPr>
        <w:t>cted</w:t>
      </w:r>
      <w:r>
        <w:rPr>
          <w:rFonts w:cs="Times New Roman"/>
          <w:szCs w:val="24"/>
        </w:rPr>
        <w:t xml:space="preserve"> factor as strongly. However, the relationship between partisanship and the COC rating is still robust and statistically significant (F = 232.05; p</w:t>
      </w:r>
      <w:r w:rsidR="0030551E">
        <w:rPr>
          <w:rFonts w:cs="Times New Roman"/>
          <w:szCs w:val="24"/>
        </w:rPr>
        <w:t xml:space="preserve"> </w:t>
      </w:r>
      <w:r>
        <w:rPr>
          <w:rFonts w:cs="Times New Roman"/>
          <w:szCs w:val="24"/>
        </w:rPr>
        <w:t>&gt;</w:t>
      </w:r>
      <w:r w:rsidR="0030551E">
        <w:rPr>
          <w:rFonts w:cs="Times New Roman"/>
          <w:szCs w:val="24"/>
        </w:rPr>
        <w:t xml:space="preserve"> </w:t>
      </w:r>
      <w:r>
        <w:rPr>
          <w:rFonts w:cs="Times New Roman"/>
          <w:szCs w:val="24"/>
        </w:rPr>
        <w:t>F = 0.000). Thus, we believe there is sufficient evi</w:t>
      </w:r>
      <w:r w:rsidR="00D73213">
        <w:rPr>
          <w:rFonts w:cs="Times New Roman"/>
          <w:szCs w:val="24"/>
        </w:rPr>
        <w:t xml:space="preserve">dence to support </w:t>
      </w:r>
      <w:r w:rsidR="00515950">
        <w:rPr>
          <w:rFonts w:cs="Times New Roman"/>
          <w:szCs w:val="24"/>
        </w:rPr>
        <w:t xml:space="preserve">the partisan roll call voting </w:t>
      </w:r>
      <w:r w:rsidR="00D73213">
        <w:rPr>
          <w:rFonts w:cs="Times New Roman"/>
          <w:szCs w:val="24"/>
        </w:rPr>
        <w:t xml:space="preserve">hypothesis </w:t>
      </w:r>
      <w:r w:rsidR="00515950">
        <w:rPr>
          <w:rFonts w:cs="Times New Roman"/>
          <w:szCs w:val="24"/>
        </w:rPr>
        <w:t>(</w:t>
      </w:r>
      <w:r w:rsidR="00D73213">
        <w:rPr>
          <w:rFonts w:cs="Times New Roman"/>
          <w:szCs w:val="24"/>
        </w:rPr>
        <w:t>H</w:t>
      </w:r>
      <w:r w:rsidR="00D73213" w:rsidRPr="005A1B93">
        <w:rPr>
          <w:rFonts w:cs="Times New Roman"/>
          <w:szCs w:val="24"/>
          <w:vertAlign w:val="subscript"/>
        </w:rPr>
        <w:t>2</w:t>
      </w:r>
      <w:r w:rsidR="00515950" w:rsidRPr="005A1B93">
        <w:rPr>
          <w:rFonts w:cs="Times New Roman"/>
          <w:szCs w:val="24"/>
          <w:vertAlign w:val="subscript"/>
        </w:rPr>
        <w:t>a</w:t>
      </w:r>
      <w:r w:rsidR="00515950">
        <w:rPr>
          <w:rFonts w:cs="Times New Roman"/>
          <w:szCs w:val="24"/>
        </w:rPr>
        <w:t>)</w:t>
      </w:r>
      <w:r w:rsidR="00D73213">
        <w:rPr>
          <w:rFonts w:cs="Times New Roman"/>
          <w:szCs w:val="24"/>
        </w:rPr>
        <w:t>.</w:t>
      </w:r>
    </w:p>
    <w:tbl>
      <w:tblPr>
        <w:tblStyle w:val="GridTable4-Accent5"/>
        <w:tblW w:w="0" w:type="auto"/>
        <w:tblLook w:val="04A0" w:firstRow="1" w:lastRow="0" w:firstColumn="1" w:lastColumn="0" w:noHBand="0" w:noVBand="1"/>
      </w:tblPr>
      <w:tblGrid>
        <w:gridCol w:w="2337"/>
        <w:gridCol w:w="2337"/>
        <w:gridCol w:w="2338"/>
        <w:gridCol w:w="2338"/>
      </w:tblGrid>
      <w:tr w:rsidR="003C7D82" w:rsidTr="00821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rsidR="003C7D82" w:rsidRDefault="003C7D82" w:rsidP="00964D46">
            <w:pPr>
              <w:jc w:val="both"/>
              <w:rPr>
                <w:rFonts w:cs="Times New Roman"/>
                <w:szCs w:val="24"/>
              </w:rPr>
            </w:pPr>
            <w:r>
              <w:rPr>
                <w:rFonts w:cs="Times New Roman"/>
                <w:szCs w:val="24"/>
              </w:rPr>
              <w:t xml:space="preserve">Table 4: </w:t>
            </w:r>
            <w:r w:rsidR="00964D46">
              <w:rPr>
                <w:rFonts w:cs="Times New Roman"/>
                <w:szCs w:val="24"/>
              </w:rPr>
              <w:t>Effect of Partisanship on Senator Scorecards</w:t>
            </w:r>
          </w:p>
        </w:tc>
      </w:tr>
      <w:tr w:rsidR="003C7D82" w:rsidTr="00D73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3C7D82" w:rsidRPr="0063765B" w:rsidRDefault="003C7D82" w:rsidP="0063765B">
            <w:pPr>
              <w:rPr>
                <w:rFonts w:cs="Times New Roman"/>
                <w:b w:val="0"/>
                <w:sz w:val="20"/>
                <w:szCs w:val="20"/>
              </w:rPr>
            </w:pPr>
            <w:r w:rsidRPr="0063765B">
              <w:rPr>
                <w:rFonts w:cs="Times New Roman"/>
                <w:b w:val="0"/>
                <w:sz w:val="20"/>
                <w:szCs w:val="20"/>
              </w:rPr>
              <w:t>Variable</w:t>
            </w:r>
          </w:p>
        </w:tc>
        <w:tc>
          <w:tcPr>
            <w:tcW w:w="2337" w:type="dxa"/>
          </w:tcPr>
          <w:p w:rsidR="003C7D82"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F Statistic</w:t>
            </w:r>
          </w:p>
        </w:tc>
        <w:tc>
          <w:tcPr>
            <w:tcW w:w="2338" w:type="dxa"/>
          </w:tcPr>
          <w:p w:rsidR="003C7D82"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P-Value</w:t>
            </w:r>
          </w:p>
        </w:tc>
        <w:tc>
          <w:tcPr>
            <w:tcW w:w="2338" w:type="dxa"/>
          </w:tcPr>
          <w:p w:rsidR="003C7D82"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ƞ</w:t>
            </w:r>
            <w:r w:rsidRPr="0063765B">
              <w:rPr>
                <w:rFonts w:cs="Times New Roman"/>
                <w:sz w:val="20"/>
                <w:szCs w:val="20"/>
                <w:vertAlign w:val="superscript"/>
              </w:rPr>
              <w:t>2</w:t>
            </w:r>
          </w:p>
        </w:tc>
      </w:tr>
      <w:tr w:rsidR="00D73213" w:rsidTr="00D73213">
        <w:tc>
          <w:tcPr>
            <w:cnfStyle w:val="001000000000" w:firstRow="0" w:lastRow="0" w:firstColumn="1" w:lastColumn="0" w:oddVBand="0" w:evenVBand="0" w:oddHBand="0" w:evenHBand="0" w:firstRowFirstColumn="0" w:firstRowLastColumn="0" w:lastRowFirstColumn="0" w:lastRowLastColumn="0"/>
            <w:tcW w:w="2337" w:type="dxa"/>
          </w:tcPr>
          <w:p w:rsidR="00D73213" w:rsidRPr="0063765B" w:rsidRDefault="003C7D82" w:rsidP="0063765B">
            <w:pPr>
              <w:rPr>
                <w:rFonts w:cs="Times New Roman"/>
                <w:b w:val="0"/>
                <w:sz w:val="20"/>
                <w:szCs w:val="20"/>
              </w:rPr>
            </w:pPr>
            <w:r w:rsidRPr="0063765B">
              <w:rPr>
                <w:rFonts w:cs="Times New Roman"/>
                <w:b w:val="0"/>
                <w:sz w:val="20"/>
                <w:szCs w:val="20"/>
              </w:rPr>
              <w:t>ADA</w:t>
            </w:r>
          </w:p>
        </w:tc>
        <w:tc>
          <w:tcPr>
            <w:tcW w:w="2337" w:type="dxa"/>
          </w:tcPr>
          <w:p w:rsidR="00D73213"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1270.99</w:t>
            </w:r>
          </w:p>
        </w:tc>
        <w:tc>
          <w:tcPr>
            <w:tcW w:w="2338" w:type="dxa"/>
          </w:tcPr>
          <w:p w:rsidR="00D73213"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0.000</w:t>
            </w:r>
          </w:p>
        </w:tc>
        <w:tc>
          <w:tcPr>
            <w:tcW w:w="2338" w:type="dxa"/>
          </w:tcPr>
          <w:p w:rsidR="00D73213"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0.9098</w:t>
            </w:r>
          </w:p>
        </w:tc>
      </w:tr>
      <w:tr w:rsidR="00D73213" w:rsidTr="00D73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D73213" w:rsidRPr="0063765B" w:rsidRDefault="003C7D82" w:rsidP="0063765B">
            <w:pPr>
              <w:rPr>
                <w:rFonts w:cs="Times New Roman"/>
                <w:b w:val="0"/>
                <w:sz w:val="20"/>
                <w:szCs w:val="20"/>
              </w:rPr>
            </w:pPr>
            <w:r w:rsidRPr="0063765B">
              <w:rPr>
                <w:rFonts w:cs="Times New Roman"/>
                <w:b w:val="0"/>
                <w:sz w:val="20"/>
                <w:szCs w:val="20"/>
              </w:rPr>
              <w:t>ACLU</w:t>
            </w:r>
          </w:p>
        </w:tc>
        <w:tc>
          <w:tcPr>
            <w:tcW w:w="2337" w:type="dxa"/>
          </w:tcPr>
          <w:p w:rsidR="00D73213"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457.49</w:t>
            </w:r>
          </w:p>
        </w:tc>
        <w:tc>
          <w:tcPr>
            <w:tcW w:w="2338" w:type="dxa"/>
          </w:tcPr>
          <w:p w:rsidR="00D73213"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0.000</w:t>
            </w:r>
          </w:p>
        </w:tc>
        <w:tc>
          <w:tcPr>
            <w:tcW w:w="2338" w:type="dxa"/>
          </w:tcPr>
          <w:p w:rsidR="00D73213"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0.7800</w:t>
            </w:r>
          </w:p>
        </w:tc>
      </w:tr>
      <w:tr w:rsidR="00D73213" w:rsidTr="00D73213">
        <w:tc>
          <w:tcPr>
            <w:cnfStyle w:val="001000000000" w:firstRow="0" w:lastRow="0" w:firstColumn="1" w:lastColumn="0" w:oddVBand="0" w:evenVBand="0" w:oddHBand="0" w:evenHBand="0" w:firstRowFirstColumn="0" w:firstRowLastColumn="0" w:lastRowFirstColumn="0" w:lastRowLastColumn="0"/>
            <w:tcW w:w="2337" w:type="dxa"/>
          </w:tcPr>
          <w:p w:rsidR="00D73213" w:rsidRPr="0063765B" w:rsidRDefault="003C7D82" w:rsidP="0063765B">
            <w:pPr>
              <w:rPr>
                <w:rFonts w:cs="Times New Roman"/>
                <w:b w:val="0"/>
                <w:sz w:val="20"/>
                <w:szCs w:val="20"/>
              </w:rPr>
            </w:pPr>
            <w:r w:rsidRPr="0063765B">
              <w:rPr>
                <w:rFonts w:cs="Times New Roman"/>
                <w:b w:val="0"/>
                <w:sz w:val="20"/>
                <w:szCs w:val="20"/>
              </w:rPr>
              <w:t>AFS</w:t>
            </w:r>
            <w:r w:rsidR="00784A25">
              <w:rPr>
                <w:rFonts w:cs="Times New Roman"/>
                <w:b w:val="0"/>
                <w:sz w:val="20"/>
                <w:szCs w:val="20"/>
              </w:rPr>
              <w:t>CME</w:t>
            </w:r>
          </w:p>
        </w:tc>
        <w:tc>
          <w:tcPr>
            <w:tcW w:w="2337" w:type="dxa"/>
          </w:tcPr>
          <w:p w:rsidR="00D73213"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2194.15</w:t>
            </w:r>
          </w:p>
        </w:tc>
        <w:tc>
          <w:tcPr>
            <w:tcW w:w="2338" w:type="dxa"/>
          </w:tcPr>
          <w:p w:rsidR="00D73213"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0.000</w:t>
            </w:r>
          </w:p>
        </w:tc>
        <w:tc>
          <w:tcPr>
            <w:tcW w:w="2338" w:type="dxa"/>
          </w:tcPr>
          <w:p w:rsidR="00D73213"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0.9463</w:t>
            </w:r>
          </w:p>
        </w:tc>
      </w:tr>
      <w:tr w:rsidR="00D73213" w:rsidTr="00D73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D73213" w:rsidRPr="0063765B" w:rsidRDefault="003C7D82" w:rsidP="0063765B">
            <w:pPr>
              <w:rPr>
                <w:rFonts w:cs="Times New Roman"/>
                <w:b w:val="0"/>
                <w:sz w:val="20"/>
                <w:szCs w:val="20"/>
              </w:rPr>
            </w:pPr>
            <w:r w:rsidRPr="0063765B">
              <w:rPr>
                <w:rFonts w:cs="Times New Roman"/>
                <w:b w:val="0"/>
                <w:sz w:val="20"/>
                <w:szCs w:val="20"/>
              </w:rPr>
              <w:t>LCV</w:t>
            </w:r>
          </w:p>
        </w:tc>
        <w:tc>
          <w:tcPr>
            <w:tcW w:w="2337" w:type="dxa"/>
          </w:tcPr>
          <w:p w:rsidR="00D73213"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529.30</w:t>
            </w:r>
          </w:p>
        </w:tc>
        <w:tc>
          <w:tcPr>
            <w:tcW w:w="2338" w:type="dxa"/>
          </w:tcPr>
          <w:p w:rsidR="00D73213"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0.000</w:t>
            </w:r>
          </w:p>
        </w:tc>
        <w:tc>
          <w:tcPr>
            <w:tcW w:w="2338" w:type="dxa"/>
          </w:tcPr>
          <w:p w:rsidR="00D73213"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0.8059</w:t>
            </w:r>
          </w:p>
        </w:tc>
      </w:tr>
      <w:tr w:rsidR="003C7D82" w:rsidTr="00D73213">
        <w:tc>
          <w:tcPr>
            <w:cnfStyle w:val="001000000000" w:firstRow="0" w:lastRow="0" w:firstColumn="1" w:lastColumn="0" w:oddVBand="0" w:evenVBand="0" w:oddHBand="0" w:evenHBand="0" w:firstRowFirstColumn="0" w:firstRowLastColumn="0" w:lastRowFirstColumn="0" w:lastRowLastColumn="0"/>
            <w:tcW w:w="2337" w:type="dxa"/>
          </w:tcPr>
          <w:p w:rsidR="003C7D82" w:rsidRPr="0063765B" w:rsidRDefault="003C7D82" w:rsidP="0063765B">
            <w:pPr>
              <w:rPr>
                <w:b w:val="0"/>
                <w:sz w:val="20"/>
                <w:szCs w:val="20"/>
              </w:rPr>
            </w:pPr>
            <w:r w:rsidRPr="0063765B">
              <w:rPr>
                <w:b w:val="0"/>
                <w:sz w:val="20"/>
                <w:szCs w:val="20"/>
              </w:rPr>
              <w:t>NTU</w:t>
            </w:r>
          </w:p>
        </w:tc>
        <w:tc>
          <w:tcPr>
            <w:tcW w:w="2337" w:type="dxa"/>
          </w:tcPr>
          <w:p w:rsidR="003C7D82"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760.01</w:t>
            </w:r>
          </w:p>
        </w:tc>
        <w:tc>
          <w:tcPr>
            <w:tcW w:w="2338" w:type="dxa"/>
          </w:tcPr>
          <w:p w:rsidR="003C7D82"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0.000</w:t>
            </w:r>
          </w:p>
        </w:tc>
        <w:tc>
          <w:tcPr>
            <w:tcW w:w="2338" w:type="dxa"/>
          </w:tcPr>
          <w:p w:rsidR="003C7D82"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0.8573</w:t>
            </w:r>
          </w:p>
        </w:tc>
      </w:tr>
      <w:tr w:rsidR="003C7D82" w:rsidTr="00D73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3C7D82" w:rsidRPr="0063765B" w:rsidRDefault="003C7D82" w:rsidP="0063765B">
            <w:pPr>
              <w:rPr>
                <w:b w:val="0"/>
                <w:sz w:val="20"/>
                <w:szCs w:val="20"/>
              </w:rPr>
            </w:pPr>
            <w:r w:rsidRPr="0063765B">
              <w:rPr>
                <w:b w:val="0"/>
                <w:sz w:val="20"/>
                <w:szCs w:val="20"/>
              </w:rPr>
              <w:t>COC</w:t>
            </w:r>
          </w:p>
        </w:tc>
        <w:tc>
          <w:tcPr>
            <w:tcW w:w="2337" w:type="dxa"/>
          </w:tcPr>
          <w:p w:rsidR="003C7D82"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232.05</w:t>
            </w:r>
          </w:p>
        </w:tc>
        <w:tc>
          <w:tcPr>
            <w:tcW w:w="2338" w:type="dxa"/>
          </w:tcPr>
          <w:p w:rsidR="003C7D82"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0.000</w:t>
            </w:r>
          </w:p>
        </w:tc>
        <w:tc>
          <w:tcPr>
            <w:tcW w:w="2338" w:type="dxa"/>
          </w:tcPr>
          <w:p w:rsidR="003C7D82"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0.6455</w:t>
            </w:r>
          </w:p>
        </w:tc>
      </w:tr>
      <w:tr w:rsidR="003C7D82" w:rsidTr="00D73213">
        <w:tc>
          <w:tcPr>
            <w:cnfStyle w:val="001000000000" w:firstRow="0" w:lastRow="0" w:firstColumn="1" w:lastColumn="0" w:oddVBand="0" w:evenVBand="0" w:oddHBand="0" w:evenHBand="0" w:firstRowFirstColumn="0" w:firstRowLastColumn="0" w:lastRowFirstColumn="0" w:lastRowLastColumn="0"/>
            <w:tcW w:w="2337" w:type="dxa"/>
          </w:tcPr>
          <w:p w:rsidR="003C7D82" w:rsidRPr="0063765B" w:rsidRDefault="003C7D82" w:rsidP="0063765B">
            <w:pPr>
              <w:rPr>
                <w:b w:val="0"/>
                <w:sz w:val="20"/>
                <w:szCs w:val="20"/>
              </w:rPr>
            </w:pPr>
            <w:r w:rsidRPr="0063765B">
              <w:rPr>
                <w:b w:val="0"/>
                <w:sz w:val="20"/>
                <w:szCs w:val="20"/>
              </w:rPr>
              <w:t>ACU</w:t>
            </w:r>
          </w:p>
        </w:tc>
        <w:tc>
          <w:tcPr>
            <w:tcW w:w="2337" w:type="dxa"/>
          </w:tcPr>
          <w:p w:rsidR="003C7D82"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796.47</w:t>
            </w:r>
          </w:p>
        </w:tc>
        <w:tc>
          <w:tcPr>
            <w:tcW w:w="2338" w:type="dxa"/>
          </w:tcPr>
          <w:p w:rsidR="003C7D82"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0.000</w:t>
            </w:r>
          </w:p>
        </w:tc>
        <w:tc>
          <w:tcPr>
            <w:tcW w:w="2338" w:type="dxa"/>
          </w:tcPr>
          <w:p w:rsidR="003C7D82"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0.8615</w:t>
            </w:r>
          </w:p>
        </w:tc>
      </w:tr>
      <w:tr w:rsidR="003C7D82" w:rsidTr="00D73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3C7D82" w:rsidRPr="0063765B" w:rsidRDefault="003C7D82" w:rsidP="0063765B">
            <w:pPr>
              <w:rPr>
                <w:b w:val="0"/>
                <w:sz w:val="20"/>
                <w:szCs w:val="20"/>
              </w:rPr>
            </w:pPr>
            <w:r w:rsidRPr="0063765B">
              <w:rPr>
                <w:b w:val="0"/>
                <w:sz w:val="20"/>
                <w:szCs w:val="20"/>
              </w:rPr>
              <w:t>CFG</w:t>
            </w:r>
          </w:p>
        </w:tc>
        <w:tc>
          <w:tcPr>
            <w:tcW w:w="2337" w:type="dxa"/>
          </w:tcPr>
          <w:p w:rsidR="003C7D82"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821.51</w:t>
            </w:r>
          </w:p>
        </w:tc>
        <w:tc>
          <w:tcPr>
            <w:tcW w:w="2338" w:type="dxa"/>
          </w:tcPr>
          <w:p w:rsidR="003C7D82"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0.000</w:t>
            </w:r>
          </w:p>
        </w:tc>
        <w:tc>
          <w:tcPr>
            <w:tcW w:w="2338" w:type="dxa"/>
          </w:tcPr>
          <w:p w:rsidR="003C7D82"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0.8703</w:t>
            </w:r>
          </w:p>
        </w:tc>
      </w:tr>
      <w:tr w:rsidR="003C7D82" w:rsidTr="00D73213">
        <w:tc>
          <w:tcPr>
            <w:cnfStyle w:val="001000000000" w:firstRow="0" w:lastRow="0" w:firstColumn="1" w:lastColumn="0" w:oddVBand="0" w:evenVBand="0" w:oddHBand="0" w:evenHBand="0" w:firstRowFirstColumn="0" w:firstRowLastColumn="0" w:lastRowFirstColumn="0" w:lastRowLastColumn="0"/>
            <w:tcW w:w="2337" w:type="dxa"/>
          </w:tcPr>
          <w:p w:rsidR="003C7D82" w:rsidRPr="0063765B" w:rsidRDefault="003C7D82" w:rsidP="0063765B">
            <w:pPr>
              <w:rPr>
                <w:b w:val="0"/>
                <w:sz w:val="20"/>
                <w:szCs w:val="20"/>
              </w:rPr>
            </w:pPr>
            <w:r w:rsidRPr="0063765B">
              <w:rPr>
                <w:b w:val="0"/>
                <w:sz w:val="20"/>
                <w:szCs w:val="20"/>
              </w:rPr>
              <w:t>FRC</w:t>
            </w:r>
          </w:p>
        </w:tc>
        <w:tc>
          <w:tcPr>
            <w:tcW w:w="2337" w:type="dxa"/>
          </w:tcPr>
          <w:p w:rsidR="003C7D82"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692.30</w:t>
            </w:r>
          </w:p>
        </w:tc>
        <w:tc>
          <w:tcPr>
            <w:tcW w:w="2338" w:type="dxa"/>
          </w:tcPr>
          <w:p w:rsidR="003C7D82"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0.000</w:t>
            </w:r>
          </w:p>
        </w:tc>
        <w:tc>
          <w:tcPr>
            <w:tcW w:w="2338" w:type="dxa"/>
          </w:tcPr>
          <w:p w:rsidR="003C7D82"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0.8455</w:t>
            </w:r>
          </w:p>
        </w:tc>
      </w:tr>
      <w:tr w:rsidR="003C7D82" w:rsidTr="00D73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3C7D82" w:rsidRPr="0063765B" w:rsidRDefault="003C7D82" w:rsidP="0063765B">
            <w:pPr>
              <w:rPr>
                <w:b w:val="0"/>
                <w:sz w:val="20"/>
                <w:szCs w:val="20"/>
              </w:rPr>
            </w:pPr>
            <w:r w:rsidRPr="0063765B">
              <w:rPr>
                <w:b w:val="0"/>
                <w:sz w:val="20"/>
                <w:szCs w:val="20"/>
              </w:rPr>
              <w:t>NJCONS</w:t>
            </w:r>
          </w:p>
        </w:tc>
        <w:tc>
          <w:tcPr>
            <w:tcW w:w="2337" w:type="dxa"/>
          </w:tcPr>
          <w:p w:rsidR="003C7D82"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635.30</w:t>
            </w:r>
          </w:p>
        </w:tc>
        <w:tc>
          <w:tcPr>
            <w:tcW w:w="2338" w:type="dxa"/>
          </w:tcPr>
          <w:p w:rsidR="003C7D82"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0.000</w:t>
            </w:r>
          </w:p>
        </w:tc>
        <w:tc>
          <w:tcPr>
            <w:tcW w:w="2338" w:type="dxa"/>
          </w:tcPr>
          <w:p w:rsidR="003C7D82" w:rsidRPr="0063765B" w:rsidRDefault="003C7D82" w:rsidP="0063765B">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3765B">
              <w:rPr>
                <w:rFonts w:cs="Times New Roman"/>
                <w:sz w:val="20"/>
                <w:szCs w:val="20"/>
              </w:rPr>
              <w:t>0.8400</w:t>
            </w:r>
          </w:p>
        </w:tc>
      </w:tr>
      <w:tr w:rsidR="003C7D82" w:rsidTr="00D73213">
        <w:tc>
          <w:tcPr>
            <w:cnfStyle w:val="001000000000" w:firstRow="0" w:lastRow="0" w:firstColumn="1" w:lastColumn="0" w:oddVBand="0" w:evenVBand="0" w:oddHBand="0" w:evenHBand="0" w:firstRowFirstColumn="0" w:firstRowLastColumn="0" w:lastRowFirstColumn="0" w:lastRowLastColumn="0"/>
            <w:tcW w:w="2337" w:type="dxa"/>
          </w:tcPr>
          <w:p w:rsidR="003C7D82" w:rsidRPr="0063765B" w:rsidRDefault="003C7D82" w:rsidP="0063765B">
            <w:pPr>
              <w:rPr>
                <w:b w:val="0"/>
                <w:sz w:val="20"/>
                <w:szCs w:val="20"/>
              </w:rPr>
            </w:pPr>
            <w:r w:rsidRPr="0063765B">
              <w:rPr>
                <w:b w:val="0"/>
                <w:sz w:val="20"/>
                <w:szCs w:val="20"/>
              </w:rPr>
              <w:t>DWNOM</w:t>
            </w:r>
          </w:p>
        </w:tc>
        <w:tc>
          <w:tcPr>
            <w:tcW w:w="2337" w:type="dxa"/>
          </w:tcPr>
          <w:p w:rsidR="003C7D82"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1002.74</w:t>
            </w:r>
          </w:p>
        </w:tc>
        <w:tc>
          <w:tcPr>
            <w:tcW w:w="2338" w:type="dxa"/>
          </w:tcPr>
          <w:p w:rsidR="003C7D82"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0.000</w:t>
            </w:r>
          </w:p>
        </w:tc>
        <w:tc>
          <w:tcPr>
            <w:tcW w:w="2338" w:type="dxa"/>
          </w:tcPr>
          <w:p w:rsidR="003C7D82" w:rsidRPr="0063765B" w:rsidRDefault="003C7D82" w:rsidP="0063765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3765B">
              <w:rPr>
                <w:rFonts w:cs="Times New Roman"/>
                <w:sz w:val="20"/>
                <w:szCs w:val="20"/>
              </w:rPr>
              <w:t>0.8955</w:t>
            </w:r>
          </w:p>
        </w:tc>
      </w:tr>
    </w:tbl>
    <w:p w:rsidR="00EC7545" w:rsidRDefault="00EC7545" w:rsidP="00EC7545">
      <w:pPr>
        <w:spacing w:line="240" w:lineRule="auto"/>
        <w:jc w:val="both"/>
        <w:rPr>
          <w:rFonts w:cs="Times New Roman"/>
          <w:szCs w:val="24"/>
        </w:rPr>
      </w:pPr>
    </w:p>
    <w:p w:rsidR="00E1780F" w:rsidRDefault="00E1780F" w:rsidP="00C9229F">
      <w:pPr>
        <w:spacing w:line="480" w:lineRule="auto"/>
        <w:contextualSpacing/>
        <w:jc w:val="both"/>
        <w:rPr>
          <w:rFonts w:cs="Times New Roman"/>
          <w:szCs w:val="24"/>
        </w:rPr>
      </w:pPr>
      <w:r>
        <w:rPr>
          <w:rFonts w:cs="Times New Roman"/>
          <w:szCs w:val="24"/>
        </w:rPr>
        <w:tab/>
        <w:t>The literature on interest group sc</w:t>
      </w:r>
      <w:r w:rsidR="00B6347D">
        <w:rPr>
          <w:rFonts w:cs="Times New Roman"/>
          <w:szCs w:val="24"/>
        </w:rPr>
        <w:t>orecards suggests that one might</w:t>
      </w:r>
      <w:r>
        <w:rPr>
          <w:rFonts w:cs="Times New Roman"/>
          <w:szCs w:val="24"/>
        </w:rPr>
        <w:t xml:space="preserve"> expect partisanship to account for much of the difference in senators’ ratings. However, it is less clear whether or not the ratings from the National Journal would also reveal such extreme partisan divides. Nevertheless, </w:t>
      </w:r>
      <w:r>
        <w:rPr>
          <w:rFonts w:cs="Times New Roman"/>
          <w:szCs w:val="24"/>
        </w:rPr>
        <w:lastRenderedPageBreak/>
        <w:t>the bivariat</w:t>
      </w:r>
      <w:r w:rsidR="0063765B">
        <w:rPr>
          <w:rFonts w:cs="Times New Roman"/>
          <w:szCs w:val="24"/>
        </w:rPr>
        <w:t>e ANOVA tests for these data</w:t>
      </w:r>
      <w:r>
        <w:rPr>
          <w:rFonts w:cs="Times New Roman"/>
          <w:szCs w:val="24"/>
        </w:rPr>
        <w:t xml:space="preserve"> confirm that the Senate is currently </w:t>
      </w:r>
      <w:r w:rsidRPr="00D61505">
        <w:rPr>
          <w:rFonts w:cs="Times New Roman"/>
          <w:i/>
          <w:szCs w:val="24"/>
        </w:rPr>
        <w:t>divided along partisan lines</w:t>
      </w:r>
      <w:r>
        <w:rPr>
          <w:rFonts w:cs="Times New Roman"/>
          <w:szCs w:val="24"/>
        </w:rPr>
        <w:t xml:space="preserve">. </w:t>
      </w:r>
      <w:r w:rsidR="00BD4109">
        <w:rPr>
          <w:rFonts w:cs="Times New Roman"/>
          <w:szCs w:val="24"/>
        </w:rPr>
        <w:t>Indeed, p</w:t>
      </w:r>
      <w:r>
        <w:rPr>
          <w:rFonts w:cs="Times New Roman"/>
          <w:szCs w:val="24"/>
        </w:rPr>
        <w:t>arty identification accounts for 84% of the variance in senators’ National Journal scores (F = 635.30; p</w:t>
      </w:r>
      <w:r w:rsidR="00BD4109">
        <w:rPr>
          <w:rFonts w:cs="Times New Roman"/>
          <w:szCs w:val="24"/>
        </w:rPr>
        <w:t xml:space="preserve"> </w:t>
      </w:r>
      <w:r>
        <w:rPr>
          <w:rFonts w:cs="Times New Roman"/>
          <w:szCs w:val="24"/>
        </w:rPr>
        <w:t>&gt;</w:t>
      </w:r>
      <w:r w:rsidR="00BD4109">
        <w:rPr>
          <w:rFonts w:cs="Times New Roman"/>
          <w:szCs w:val="24"/>
        </w:rPr>
        <w:t xml:space="preserve"> </w:t>
      </w:r>
      <w:r>
        <w:rPr>
          <w:rFonts w:cs="Times New Roman"/>
          <w:szCs w:val="24"/>
        </w:rPr>
        <w:t>F = 0.000; ƞ</w:t>
      </w:r>
      <w:r w:rsidRPr="009F4B95">
        <w:rPr>
          <w:rFonts w:cs="Times New Roman"/>
          <w:szCs w:val="24"/>
          <w:vertAlign w:val="superscript"/>
        </w:rPr>
        <w:t>2</w:t>
      </w:r>
      <w:r>
        <w:rPr>
          <w:rFonts w:cs="Times New Roman"/>
          <w:szCs w:val="24"/>
          <w:vertAlign w:val="superscript"/>
        </w:rPr>
        <w:t xml:space="preserve"> </w:t>
      </w:r>
      <w:r>
        <w:rPr>
          <w:rFonts w:cs="Times New Roman"/>
          <w:szCs w:val="24"/>
        </w:rPr>
        <w:t xml:space="preserve">= 0.8400). The relationship between partisanship and </w:t>
      </w:r>
      <w:r w:rsidR="00BD4109">
        <w:rPr>
          <w:rFonts w:cs="Times New Roman"/>
          <w:szCs w:val="24"/>
        </w:rPr>
        <w:t>DW-</w:t>
      </w:r>
      <w:r>
        <w:rPr>
          <w:rFonts w:cs="Times New Roman"/>
          <w:szCs w:val="24"/>
        </w:rPr>
        <w:t>Nominate scores is even stronger and comparable to the relationship between party and so-called extreme interest group ratings (F = 1002.74; p</w:t>
      </w:r>
      <w:r w:rsidR="00BD4109">
        <w:rPr>
          <w:rFonts w:cs="Times New Roman"/>
          <w:szCs w:val="24"/>
        </w:rPr>
        <w:t xml:space="preserve"> </w:t>
      </w:r>
      <w:r>
        <w:rPr>
          <w:rFonts w:cs="Times New Roman"/>
          <w:szCs w:val="24"/>
        </w:rPr>
        <w:t>&gt;</w:t>
      </w:r>
      <w:r w:rsidR="00BD4109">
        <w:rPr>
          <w:rFonts w:cs="Times New Roman"/>
          <w:szCs w:val="24"/>
        </w:rPr>
        <w:t xml:space="preserve"> </w:t>
      </w:r>
      <w:r>
        <w:rPr>
          <w:rFonts w:cs="Times New Roman"/>
          <w:szCs w:val="24"/>
        </w:rPr>
        <w:t>F = 0.000; ƞ</w:t>
      </w:r>
      <w:r w:rsidRPr="009F4B95">
        <w:rPr>
          <w:rFonts w:cs="Times New Roman"/>
          <w:szCs w:val="24"/>
          <w:vertAlign w:val="superscript"/>
        </w:rPr>
        <w:t>2</w:t>
      </w:r>
      <w:r>
        <w:rPr>
          <w:rFonts w:cs="Times New Roman"/>
          <w:szCs w:val="24"/>
        </w:rPr>
        <w:t xml:space="preserve"> = 0.8955). </w:t>
      </w:r>
      <w:r w:rsidR="00BD4109">
        <w:rPr>
          <w:rFonts w:cs="Times New Roman"/>
          <w:szCs w:val="24"/>
        </w:rPr>
        <w:t>T</w:t>
      </w:r>
      <w:r>
        <w:rPr>
          <w:rFonts w:cs="Times New Roman"/>
          <w:szCs w:val="24"/>
        </w:rPr>
        <w:t xml:space="preserve">he party identification of senators explains more of the variance in their </w:t>
      </w:r>
      <w:r w:rsidR="00BD4109">
        <w:rPr>
          <w:rFonts w:cs="Times New Roman"/>
          <w:szCs w:val="24"/>
        </w:rPr>
        <w:t>DW-</w:t>
      </w:r>
      <w:r>
        <w:rPr>
          <w:rFonts w:cs="Times New Roman"/>
          <w:szCs w:val="24"/>
        </w:rPr>
        <w:t xml:space="preserve">Nominate scores than it does in all but two of the interest group ratings. This is surprising because the </w:t>
      </w:r>
      <w:r w:rsidR="00BD4109">
        <w:rPr>
          <w:rFonts w:cs="Times New Roman"/>
          <w:szCs w:val="24"/>
        </w:rPr>
        <w:t>DW-</w:t>
      </w:r>
      <w:r>
        <w:rPr>
          <w:rFonts w:cs="Times New Roman"/>
          <w:szCs w:val="24"/>
        </w:rPr>
        <w:t>Nominate scores estimate senators’ ideological positions based on all roll call votes</w:t>
      </w:r>
      <w:r w:rsidR="00BD4109">
        <w:rPr>
          <w:rFonts w:cs="Times New Roman"/>
          <w:szCs w:val="24"/>
        </w:rPr>
        <w:t>,</w:t>
      </w:r>
      <w:r>
        <w:rPr>
          <w:rFonts w:cs="Times New Roman"/>
          <w:szCs w:val="24"/>
        </w:rPr>
        <w:t xml:space="preserve"> whereas interest groups typically only rely upon a small sample of votes to calculate their ratings.</w:t>
      </w:r>
    </w:p>
    <w:p w:rsidR="00192A27" w:rsidRDefault="00192A27" w:rsidP="00E1780F">
      <w:pPr>
        <w:jc w:val="both"/>
        <w:rPr>
          <w:rFonts w:cs="Times New Roman"/>
          <w:b/>
          <w:i/>
          <w:szCs w:val="24"/>
        </w:rPr>
      </w:pPr>
    </w:p>
    <w:p w:rsidR="00E1780F" w:rsidRDefault="005A41B8" w:rsidP="00E1780F">
      <w:pPr>
        <w:jc w:val="both"/>
        <w:rPr>
          <w:rFonts w:cs="Times New Roman"/>
          <w:b/>
          <w:i/>
          <w:szCs w:val="24"/>
        </w:rPr>
      </w:pPr>
      <w:r>
        <w:rPr>
          <w:rFonts w:cs="Times New Roman"/>
          <w:b/>
          <w:i/>
          <w:szCs w:val="24"/>
        </w:rPr>
        <w:t>Discussion &amp; Conclusion</w:t>
      </w:r>
    </w:p>
    <w:p w:rsidR="00C10A04" w:rsidRDefault="00BB093E" w:rsidP="00A45A2B">
      <w:pPr>
        <w:spacing w:line="480" w:lineRule="auto"/>
        <w:ind w:firstLine="720"/>
        <w:contextualSpacing/>
        <w:jc w:val="both"/>
        <w:rPr>
          <w:rFonts w:cs="Times New Roman"/>
          <w:szCs w:val="24"/>
        </w:rPr>
      </w:pPr>
      <w:r>
        <w:rPr>
          <w:rFonts w:cs="Times New Roman"/>
          <w:szCs w:val="24"/>
        </w:rPr>
        <w:t xml:space="preserve">The purpose of our study was to </w:t>
      </w:r>
      <w:r w:rsidR="00AB4924">
        <w:rPr>
          <w:rFonts w:cs="Times New Roman"/>
          <w:szCs w:val="24"/>
        </w:rPr>
        <w:t xml:space="preserve">synthesize </w:t>
      </w:r>
      <w:r w:rsidR="00C10A04">
        <w:rPr>
          <w:rFonts w:cs="Times New Roman"/>
          <w:szCs w:val="24"/>
        </w:rPr>
        <w:t xml:space="preserve">the existing scholarship on congressional parties, roll call voting, and interest group scorecards. Specifically, we </w:t>
      </w:r>
      <w:r>
        <w:rPr>
          <w:rFonts w:cs="Times New Roman"/>
          <w:szCs w:val="24"/>
        </w:rPr>
        <w:t>test</w:t>
      </w:r>
      <w:r w:rsidR="00AB4924">
        <w:rPr>
          <w:rFonts w:cs="Times New Roman"/>
          <w:szCs w:val="24"/>
        </w:rPr>
        <w:t>ed</w:t>
      </w:r>
      <w:r>
        <w:rPr>
          <w:rFonts w:cs="Times New Roman"/>
          <w:szCs w:val="24"/>
        </w:rPr>
        <w:t xml:space="preserve"> the multi-dimensional and single-dimensional theories of roll call voting in the United States Senate</w:t>
      </w:r>
      <w:r w:rsidR="009E34F1">
        <w:rPr>
          <w:rFonts w:cs="Times New Roman"/>
          <w:szCs w:val="24"/>
        </w:rPr>
        <w:t xml:space="preserve"> using interest group </w:t>
      </w:r>
      <w:r w:rsidR="00B33BB6">
        <w:rPr>
          <w:rFonts w:cs="Times New Roman"/>
          <w:szCs w:val="24"/>
        </w:rPr>
        <w:t>ratings</w:t>
      </w:r>
      <w:r w:rsidR="009E34F1">
        <w:rPr>
          <w:rFonts w:cs="Times New Roman"/>
          <w:szCs w:val="24"/>
        </w:rPr>
        <w:t xml:space="preserve"> of </w:t>
      </w:r>
      <w:r w:rsidR="00AB4924">
        <w:rPr>
          <w:rFonts w:cs="Times New Roman"/>
          <w:szCs w:val="24"/>
        </w:rPr>
        <w:t xml:space="preserve">U.S. </w:t>
      </w:r>
      <w:r w:rsidR="009E34F1">
        <w:rPr>
          <w:rFonts w:cs="Times New Roman"/>
          <w:szCs w:val="24"/>
        </w:rPr>
        <w:t>senators</w:t>
      </w:r>
      <w:r>
        <w:rPr>
          <w:rFonts w:cs="Times New Roman"/>
          <w:szCs w:val="24"/>
        </w:rPr>
        <w:t xml:space="preserve">. </w:t>
      </w:r>
      <w:r w:rsidR="00B33BB6">
        <w:rPr>
          <w:rFonts w:cs="Times New Roman"/>
          <w:szCs w:val="24"/>
        </w:rPr>
        <w:t xml:space="preserve">We collected and analyzed senators’ scorecard data from nine major groups representing a </w:t>
      </w:r>
      <w:r w:rsidR="00AB4924">
        <w:rPr>
          <w:rFonts w:cs="Times New Roman"/>
          <w:szCs w:val="24"/>
        </w:rPr>
        <w:t>number</w:t>
      </w:r>
      <w:r w:rsidR="00B33BB6">
        <w:rPr>
          <w:rFonts w:cs="Times New Roman"/>
          <w:szCs w:val="24"/>
        </w:rPr>
        <w:t xml:space="preserve"> of issue interests, </w:t>
      </w:r>
      <w:r w:rsidR="00AB4924">
        <w:rPr>
          <w:rFonts w:cs="Times New Roman"/>
          <w:szCs w:val="24"/>
        </w:rPr>
        <w:t>for the 110</w:t>
      </w:r>
      <w:r w:rsidR="00AB4924" w:rsidRPr="00AB4924">
        <w:rPr>
          <w:rFonts w:cs="Times New Roman"/>
          <w:szCs w:val="24"/>
          <w:vertAlign w:val="superscript"/>
        </w:rPr>
        <w:t>th</w:t>
      </w:r>
      <w:r w:rsidR="00AB4924">
        <w:rPr>
          <w:rFonts w:cs="Times New Roman"/>
          <w:szCs w:val="24"/>
        </w:rPr>
        <w:t xml:space="preserve"> through </w:t>
      </w:r>
      <w:r w:rsidR="006B0FA9">
        <w:rPr>
          <w:rFonts w:cs="Times New Roman"/>
          <w:szCs w:val="24"/>
        </w:rPr>
        <w:t xml:space="preserve">the </w:t>
      </w:r>
      <w:r w:rsidR="00AB4924">
        <w:rPr>
          <w:rFonts w:cs="Times New Roman"/>
          <w:szCs w:val="24"/>
        </w:rPr>
        <w:t>112</w:t>
      </w:r>
      <w:r w:rsidR="00AB4924" w:rsidRPr="00AB4924">
        <w:rPr>
          <w:rFonts w:cs="Times New Roman"/>
          <w:szCs w:val="24"/>
          <w:vertAlign w:val="superscript"/>
        </w:rPr>
        <w:t>th</w:t>
      </w:r>
      <w:r w:rsidR="006B0FA9">
        <w:rPr>
          <w:rFonts w:cs="Times New Roman"/>
          <w:szCs w:val="24"/>
        </w:rPr>
        <w:t xml:space="preserve"> sessions of C</w:t>
      </w:r>
      <w:r w:rsidR="00AB4924">
        <w:rPr>
          <w:rFonts w:cs="Times New Roman"/>
          <w:szCs w:val="24"/>
        </w:rPr>
        <w:t xml:space="preserve">ongress, </w:t>
      </w:r>
      <w:r w:rsidR="00B33BB6">
        <w:rPr>
          <w:rFonts w:cs="Times New Roman"/>
          <w:szCs w:val="24"/>
        </w:rPr>
        <w:t xml:space="preserve">as well as </w:t>
      </w:r>
      <w:r w:rsidR="00AB4924">
        <w:rPr>
          <w:rFonts w:cs="Times New Roman"/>
          <w:szCs w:val="24"/>
        </w:rPr>
        <w:t xml:space="preserve">we collected </w:t>
      </w:r>
      <w:r w:rsidR="00B33BB6">
        <w:rPr>
          <w:rFonts w:cs="Times New Roman"/>
          <w:szCs w:val="24"/>
        </w:rPr>
        <w:t>National</w:t>
      </w:r>
      <w:r w:rsidR="00AB4924">
        <w:rPr>
          <w:rFonts w:cs="Times New Roman"/>
          <w:szCs w:val="24"/>
        </w:rPr>
        <w:t xml:space="preserve"> Journal and DW-Nominate scores for the same congressional sessions</w:t>
      </w:r>
      <w:r w:rsidR="00B33BB6">
        <w:rPr>
          <w:rFonts w:cs="Times New Roman"/>
          <w:szCs w:val="24"/>
        </w:rPr>
        <w:t xml:space="preserve">. </w:t>
      </w:r>
      <w:r w:rsidR="00AB4924">
        <w:rPr>
          <w:rFonts w:cs="Times New Roman"/>
          <w:szCs w:val="24"/>
        </w:rPr>
        <w:t>We found</w:t>
      </w:r>
      <w:r w:rsidR="00531A9D">
        <w:rPr>
          <w:rFonts w:cs="Times New Roman"/>
          <w:szCs w:val="24"/>
        </w:rPr>
        <w:t xml:space="preserve"> that </w:t>
      </w:r>
      <w:r>
        <w:rPr>
          <w:rFonts w:cs="Times New Roman"/>
          <w:szCs w:val="24"/>
        </w:rPr>
        <w:t>a single dimension</w:t>
      </w:r>
      <w:r w:rsidR="00B33BB6">
        <w:rPr>
          <w:rFonts w:cs="Times New Roman"/>
          <w:szCs w:val="24"/>
        </w:rPr>
        <w:t xml:space="preserve"> accounts for 98% of the variance in senators’ ratings</w:t>
      </w:r>
      <w:r w:rsidR="00AB4924">
        <w:rPr>
          <w:rFonts w:cs="Times New Roman"/>
          <w:szCs w:val="24"/>
        </w:rPr>
        <w:t xml:space="preserve"> on various scorecards</w:t>
      </w:r>
      <w:r w:rsidR="00F467A7">
        <w:rPr>
          <w:rFonts w:cs="Times New Roman"/>
          <w:szCs w:val="24"/>
        </w:rPr>
        <w:t xml:space="preserve">. </w:t>
      </w:r>
      <w:r w:rsidR="00531A9D">
        <w:rPr>
          <w:rFonts w:cs="Times New Roman"/>
          <w:szCs w:val="24"/>
        </w:rPr>
        <w:t xml:space="preserve">Conservative interest groups load onto this factor positively while liberal groups </w:t>
      </w:r>
      <w:r w:rsidR="00AB4924">
        <w:rPr>
          <w:rFonts w:cs="Times New Roman"/>
          <w:szCs w:val="24"/>
        </w:rPr>
        <w:t>load</w:t>
      </w:r>
      <w:r w:rsidR="00531A9D">
        <w:rPr>
          <w:rFonts w:cs="Times New Roman"/>
          <w:szCs w:val="24"/>
        </w:rPr>
        <w:t xml:space="preserve"> negatively. </w:t>
      </w:r>
      <w:r>
        <w:rPr>
          <w:rFonts w:cs="Times New Roman"/>
          <w:szCs w:val="24"/>
        </w:rPr>
        <w:t>Furthermore, we have</w:t>
      </w:r>
      <w:r w:rsidR="00B33BB6">
        <w:rPr>
          <w:rFonts w:cs="Times New Roman"/>
          <w:szCs w:val="24"/>
        </w:rPr>
        <w:t xml:space="preserve"> shown</w:t>
      </w:r>
      <w:r w:rsidR="00531A9D">
        <w:rPr>
          <w:rFonts w:cs="Times New Roman"/>
          <w:szCs w:val="24"/>
        </w:rPr>
        <w:t xml:space="preserve"> that this underlying factor appears to be</w:t>
      </w:r>
      <w:r>
        <w:rPr>
          <w:rFonts w:cs="Times New Roman"/>
          <w:szCs w:val="24"/>
        </w:rPr>
        <w:t xml:space="preserve"> </w:t>
      </w:r>
      <w:r w:rsidR="006B0FA9">
        <w:rPr>
          <w:rFonts w:cs="Times New Roman"/>
          <w:szCs w:val="24"/>
        </w:rPr>
        <w:t xml:space="preserve">of a </w:t>
      </w:r>
      <w:r>
        <w:rPr>
          <w:rFonts w:cs="Times New Roman"/>
          <w:szCs w:val="24"/>
        </w:rPr>
        <w:t xml:space="preserve">partisan in nature. </w:t>
      </w:r>
      <w:r w:rsidR="00531A9D">
        <w:rPr>
          <w:rFonts w:cs="Times New Roman"/>
          <w:szCs w:val="24"/>
        </w:rPr>
        <w:t xml:space="preserve">Thus, we believe the analyses indicate that voting in the upper chamber of Congress occurs </w:t>
      </w:r>
      <w:r w:rsidR="00531A9D" w:rsidRPr="00AB4924">
        <w:rPr>
          <w:rFonts w:cs="Times New Roman"/>
          <w:i/>
          <w:szCs w:val="24"/>
        </w:rPr>
        <w:t>along party lines</w:t>
      </w:r>
      <w:r w:rsidR="00531A9D">
        <w:rPr>
          <w:rFonts w:cs="Times New Roman"/>
          <w:szCs w:val="24"/>
        </w:rPr>
        <w:t xml:space="preserve">. </w:t>
      </w:r>
      <w:r w:rsidR="00AB4924">
        <w:rPr>
          <w:rFonts w:cs="Times New Roman"/>
          <w:szCs w:val="24"/>
        </w:rPr>
        <w:t>Consequently, we do not</w:t>
      </w:r>
      <w:r w:rsidR="00B33BB6">
        <w:rPr>
          <w:rFonts w:cs="Times New Roman"/>
          <w:szCs w:val="24"/>
        </w:rPr>
        <w:t xml:space="preserve"> support proponents of the multi-dimensi</w:t>
      </w:r>
      <w:r w:rsidR="00AB4924">
        <w:rPr>
          <w:rFonts w:cs="Times New Roman"/>
          <w:szCs w:val="24"/>
        </w:rPr>
        <w:t>onal theory of roll call voting; s</w:t>
      </w:r>
      <w:r w:rsidR="00B33BB6">
        <w:rPr>
          <w:rFonts w:cs="Times New Roman"/>
          <w:szCs w:val="24"/>
        </w:rPr>
        <w:t>enato</w:t>
      </w:r>
      <w:bookmarkStart w:id="0" w:name="_GoBack"/>
      <w:bookmarkEnd w:id="0"/>
      <w:r w:rsidR="00B33BB6">
        <w:rPr>
          <w:rFonts w:cs="Times New Roman"/>
          <w:szCs w:val="24"/>
        </w:rPr>
        <w:t xml:space="preserve">rs </w:t>
      </w:r>
      <w:r w:rsidR="00B33BB6" w:rsidRPr="006B0FA9">
        <w:rPr>
          <w:rFonts w:cs="Times New Roman"/>
          <w:i/>
          <w:szCs w:val="24"/>
        </w:rPr>
        <w:t>do not</w:t>
      </w:r>
      <w:r w:rsidR="00E2118B">
        <w:rPr>
          <w:rFonts w:cs="Times New Roman"/>
          <w:szCs w:val="24"/>
        </w:rPr>
        <w:t xml:space="preserve"> practice</w:t>
      </w:r>
      <w:r w:rsidR="00B33BB6">
        <w:rPr>
          <w:rFonts w:cs="Times New Roman"/>
          <w:szCs w:val="24"/>
        </w:rPr>
        <w:t xml:space="preserve"> issue-oriented voting. </w:t>
      </w:r>
      <w:r w:rsidR="001E1B38">
        <w:rPr>
          <w:rFonts w:cs="Times New Roman"/>
          <w:szCs w:val="24"/>
        </w:rPr>
        <w:t xml:space="preserve">Several scholars have already acknowledged that party unity scores in the Senate </w:t>
      </w:r>
      <w:r w:rsidR="001E1B38">
        <w:rPr>
          <w:rFonts w:cs="Times New Roman"/>
          <w:szCs w:val="24"/>
        </w:rPr>
        <w:lastRenderedPageBreak/>
        <w:t>are on the rise (Aldrich 2011, Carson 2008; Pearson 2008). Our results suggest that the conventional wisdom on the weakness of political parties in the Senate requires revision.</w:t>
      </w:r>
    </w:p>
    <w:p w:rsidR="00BB093E" w:rsidRDefault="00AB4924" w:rsidP="00A45A2B">
      <w:pPr>
        <w:spacing w:line="480" w:lineRule="auto"/>
        <w:ind w:firstLine="720"/>
        <w:contextualSpacing/>
        <w:jc w:val="both"/>
        <w:rPr>
          <w:rFonts w:cs="Times New Roman"/>
          <w:szCs w:val="24"/>
        </w:rPr>
      </w:pPr>
      <w:r>
        <w:rPr>
          <w:rFonts w:cs="Times New Roman"/>
          <w:szCs w:val="24"/>
        </w:rPr>
        <w:t>Additionally, w</w:t>
      </w:r>
      <w:r w:rsidR="00B33BB6">
        <w:rPr>
          <w:rFonts w:cs="Times New Roman"/>
          <w:szCs w:val="24"/>
        </w:rPr>
        <w:t>e have demonstrated</w:t>
      </w:r>
      <w:r w:rsidR="007F6D21">
        <w:rPr>
          <w:rFonts w:cs="Times New Roman"/>
          <w:szCs w:val="24"/>
        </w:rPr>
        <w:t xml:space="preserve"> that interest group ratings</w:t>
      </w:r>
      <w:r w:rsidR="00BB093E">
        <w:rPr>
          <w:rFonts w:cs="Times New Roman"/>
          <w:szCs w:val="24"/>
        </w:rPr>
        <w:t xml:space="preserve"> of senators can no longer be considered ideologically extreme. </w:t>
      </w:r>
      <w:r w:rsidR="001E1B38">
        <w:rPr>
          <w:rFonts w:cs="Times New Roman"/>
          <w:szCs w:val="24"/>
        </w:rPr>
        <w:t>Thus, we agree with Krehbiel’s (1994) conclusio</w:t>
      </w:r>
      <w:r w:rsidR="007F6D21">
        <w:rPr>
          <w:rFonts w:cs="Times New Roman"/>
          <w:szCs w:val="24"/>
        </w:rPr>
        <w:t>n that the bias in these scorecards</w:t>
      </w:r>
      <w:r w:rsidR="001E1B38">
        <w:rPr>
          <w:rFonts w:cs="Times New Roman"/>
          <w:szCs w:val="24"/>
        </w:rPr>
        <w:t xml:space="preserve"> should not negatively impact inferences drawn by studies using these data. </w:t>
      </w:r>
      <w:r w:rsidR="00BB093E">
        <w:rPr>
          <w:rFonts w:cs="Times New Roman"/>
          <w:szCs w:val="24"/>
        </w:rPr>
        <w:t>Interest group ratings are highly correlated with Poole and Rosenthal’s DW-Nominate scores</w:t>
      </w:r>
      <w:r w:rsidR="006B0FA9">
        <w:rPr>
          <w:rFonts w:cs="Times New Roman"/>
          <w:szCs w:val="24"/>
        </w:rPr>
        <w:t>,</w:t>
      </w:r>
      <w:r w:rsidR="00BB093E">
        <w:rPr>
          <w:rFonts w:cs="Times New Roman"/>
          <w:szCs w:val="24"/>
        </w:rPr>
        <w:t xml:space="preserve"> and are distributed </w:t>
      </w:r>
      <w:r w:rsidR="00C10A04">
        <w:rPr>
          <w:rFonts w:cs="Times New Roman"/>
          <w:szCs w:val="24"/>
        </w:rPr>
        <w:t>in a similar bimodal fashion</w:t>
      </w:r>
      <w:r w:rsidR="00BB093E">
        <w:rPr>
          <w:rFonts w:cs="Times New Roman"/>
          <w:szCs w:val="24"/>
        </w:rPr>
        <w:t xml:space="preserve">. </w:t>
      </w:r>
      <w:r w:rsidR="00531A9D">
        <w:rPr>
          <w:rFonts w:cs="Times New Roman"/>
          <w:szCs w:val="24"/>
        </w:rPr>
        <w:t xml:space="preserve">These scorecards also show more heterogeneity within the parties than do the National Journal and </w:t>
      </w:r>
      <w:r w:rsidR="006B0FA9">
        <w:rPr>
          <w:rFonts w:cs="Times New Roman"/>
          <w:szCs w:val="24"/>
        </w:rPr>
        <w:t xml:space="preserve">the </w:t>
      </w:r>
      <w:r w:rsidR="00531A9D">
        <w:rPr>
          <w:rFonts w:cs="Times New Roman"/>
          <w:szCs w:val="24"/>
        </w:rPr>
        <w:t xml:space="preserve">DW-Nominate. </w:t>
      </w:r>
      <w:r w:rsidR="00BB093E">
        <w:rPr>
          <w:rFonts w:cs="Times New Roman"/>
          <w:szCs w:val="24"/>
        </w:rPr>
        <w:t xml:space="preserve">Therefore, we feel comfortable concluding that it is the senators, and not </w:t>
      </w:r>
      <w:r w:rsidR="00532B03">
        <w:rPr>
          <w:rFonts w:cs="Times New Roman"/>
          <w:szCs w:val="24"/>
        </w:rPr>
        <w:t xml:space="preserve">only </w:t>
      </w:r>
      <w:r w:rsidR="00BB093E">
        <w:rPr>
          <w:rFonts w:cs="Times New Roman"/>
          <w:szCs w:val="24"/>
        </w:rPr>
        <w:t>interest group evaluations of Congr</w:t>
      </w:r>
      <w:r>
        <w:rPr>
          <w:rFonts w:cs="Times New Roman"/>
          <w:szCs w:val="24"/>
        </w:rPr>
        <w:t>ess, that are polarized along a partisan</w:t>
      </w:r>
      <w:r w:rsidR="00BB093E">
        <w:rPr>
          <w:rFonts w:cs="Times New Roman"/>
          <w:szCs w:val="24"/>
        </w:rPr>
        <w:t xml:space="preserve"> spectrum.</w:t>
      </w:r>
      <w:r w:rsidR="00A45A2B" w:rsidRPr="00A45A2B">
        <w:rPr>
          <w:rFonts w:cs="Times New Roman"/>
          <w:szCs w:val="24"/>
        </w:rPr>
        <w:t xml:space="preserve"> </w:t>
      </w:r>
      <w:r w:rsidR="00A45A2B">
        <w:rPr>
          <w:rFonts w:cs="Times New Roman"/>
          <w:szCs w:val="24"/>
        </w:rPr>
        <w:t xml:space="preserve">Future research should expand on this study by increasing the number of interest groups represented in the analysis and </w:t>
      </w:r>
      <w:r>
        <w:rPr>
          <w:rFonts w:cs="Times New Roman"/>
          <w:szCs w:val="24"/>
        </w:rPr>
        <w:t>by collecting data covering a longer period of time, h</w:t>
      </w:r>
      <w:r w:rsidR="00C10A04">
        <w:rPr>
          <w:rFonts w:cs="Times New Roman"/>
          <w:szCs w:val="24"/>
        </w:rPr>
        <w:t>owever, this requires that the same interest groups provide ratings of senators consistently.</w:t>
      </w:r>
    </w:p>
    <w:p w:rsidR="00D868F7" w:rsidRDefault="00F467A7" w:rsidP="006110BD">
      <w:pPr>
        <w:spacing w:line="480" w:lineRule="auto"/>
        <w:ind w:firstLine="720"/>
        <w:contextualSpacing/>
        <w:jc w:val="both"/>
        <w:rPr>
          <w:rFonts w:cs="Times New Roman"/>
          <w:szCs w:val="24"/>
        </w:rPr>
      </w:pPr>
      <w:r>
        <w:rPr>
          <w:rFonts w:cs="Times New Roman"/>
          <w:szCs w:val="24"/>
        </w:rPr>
        <w:t xml:space="preserve">What are the consequences of </w:t>
      </w:r>
      <w:r w:rsidR="00BB093E">
        <w:rPr>
          <w:rFonts w:cs="Times New Roman"/>
          <w:szCs w:val="24"/>
        </w:rPr>
        <w:t xml:space="preserve">extreme </w:t>
      </w:r>
      <w:r w:rsidR="00AB4924">
        <w:rPr>
          <w:rFonts w:cs="Times New Roman"/>
          <w:szCs w:val="24"/>
        </w:rPr>
        <w:t xml:space="preserve">party polarization in the </w:t>
      </w:r>
      <w:r>
        <w:rPr>
          <w:rFonts w:cs="Times New Roman"/>
          <w:szCs w:val="24"/>
        </w:rPr>
        <w:t>Senate</w:t>
      </w:r>
      <w:r w:rsidR="00AB4924">
        <w:rPr>
          <w:rFonts w:cs="Times New Roman"/>
          <w:szCs w:val="24"/>
        </w:rPr>
        <w:t xml:space="preserve"> in 2015</w:t>
      </w:r>
      <w:r>
        <w:rPr>
          <w:rFonts w:cs="Times New Roman"/>
          <w:szCs w:val="24"/>
        </w:rPr>
        <w:t xml:space="preserve">? </w:t>
      </w:r>
      <w:r w:rsidR="00D868F7">
        <w:rPr>
          <w:rFonts w:cs="Times New Roman"/>
          <w:szCs w:val="24"/>
        </w:rPr>
        <w:t>The 113</w:t>
      </w:r>
      <w:r w:rsidR="00D868F7" w:rsidRPr="00A411ED">
        <w:rPr>
          <w:rFonts w:cs="Times New Roman"/>
          <w:szCs w:val="24"/>
          <w:vertAlign w:val="superscript"/>
        </w:rPr>
        <w:t>th</w:t>
      </w:r>
      <w:r w:rsidR="00D868F7">
        <w:rPr>
          <w:rFonts w:cs="Times New Roman"/>
          <w:szCs w:val="24"/>
        </w:rPr>
        <w:t xml:space="preserve"> and 112</w:t>
      </w:r>
      <w:r w:rsidR="00D868F7" w:rsidRPr="00A411ED">
        <w:rPr>
          <w:rFonts w:cs="Times New Roman"/>
          <w:szCs w:val="24"/>
          <w:vertAlign w:val="superscript"/>
        </w:rPr>
        <w:t>th</w:t>
      </w:r>
      <w:r w:rsidR="00D868F7">
        <w:rPr>
          <w:rFonts w:cs="Times New Roman"/>
          <w:szCs w:val="24"/>
        </w:rPr>
        <w:t xml:space="preserve"> congresses have been the least productive in history since record keeping began in 1947 (Memoli 2014). The 112</w:t>
      </w:r>
      <w:r w:rsidR="00D868F7" w:rsidRPr="00A411ED">
        <w:rPr>
          <w:rFonts w:cs="Times New Roman"/>
          <w:szCs w:val="24"/>
          <w:vertAlign w:val="superscript"/>
        </w:rPr>
        <w:t>th</w:t>
      </w:r>
      <w:r w:rsidR="00D868F7">
        <w:rPr>
          <w:rFonts w:cs="Times New Roman"/>
          <w:szCs w:val="24"/>
        </w:rPr>
        <w:t xml:space="preserve"> Congress passed </w:t>
      </w:r>
      <w:r w:rsidR="00AB4924">
        <w:rPr>
          <w:rFonts w:cs="Times New Roman"/>
          <w:szCs w:val="24"/>
        </w:rPr>
        <w:t>just</w:t>
      </w:r>
      <w:r w:rsidR="00D868F7">
        <w:rPr>
          <w:rFonts w:cs="Times New Roman"/>
          <w:szCs w:val="24"/>
        </w:rPr>
        <w:t xml:space="preserve"> 284 bills</w:t>
      </w:r>
      <w:r w:rsidR="00AB4924">
        <w:rPr>
          <w:rFonts w:cs="Times New Roman"/>
          <w:szCs w:val="24"/>
        </w:rPr>
        <w:t>,</w:t>
      </w:r>
      <w:r w:rsidR="00D868F7">
        <w:rPr>
          <w:rFonts w:cs="Times New Roman"/>
          <w:szCs w:val="24"/>
        </w:rPr>
        <w:t xml:space="preserve"> while the 113</w:t>
      </w:r>
      <w:r w:rsidR="00D868F7" w:rsidRPr="00A411ED">
        <w:rPr>
          <w:rFonts w:cs="Times New Roman"/>
          <w:szCs w:val="24"/>
          <w:vertAlign w:val="superscript"/>
        </w:rPr>
        <w:t>th</w:t>
      </w:r>
      <w:r w:rsidR="00AB4924">
        <w:rPr>
          <w:rFonts w:cs="Times New Roman"/>
          <w:szCs w:val="24"/>
        </w:rPr>
        <w:t xml:space="preserve"> Congress bar</w:t>
      </w:r>
      <w:r w:rsidR="00D868F7">
        <w:rPr>
          <w:rFonts w:cs="Times New Roman"/>
          <w:szCs w:val="24"/>
        </w:rPr>
        <w:t>e</w:t>
      </w:r>
      <w:r w:rsidR="00AB4924">
        <w:rPr>
          <w:rFonts w:cs="Times New Roman"/>
          <w:szCs w:val="24"/>
        </w:rPr>
        <w:t>l</w:t>
      </w:r>
      <w:r w:rsidR="00D868F7">
        <w:rPr>
          <w:rFonts w:cs="Times New Roman"/>
          <w:szCs w:val="24"/>
        </w:rPr>
        <w:t>y exceeded this number with 296. However, approximately ten percent of bills passed by the 113</w:t>
      </w:r>
      <w:r w:rsidR="00D868F7" w:rsidRPr="000246B0">
        <w:rPr>
          <w:rFonts w:cs="Times New Roman"/>
          <w:szCs w:val="24"/>
          <w:vertAlign w:val="superscript"/>
        </w:rPr>
        <w:t>th</w:t>
      </w:r>
      <w:r w:rsidR="00D868F7">
        <w:rPr>
          <w:rFonts w:cs="Times New Roman"/>
          <w:szCs w:val="24"/>
        </w:rPr>
        <w:t xml:space="preserve"> Congress simply renamed local post offices (Bump 2014). </w:t>
      </w:r>
      <w:r w:rsidR="00B33BB6">
        <w:rPr>
          <w:rFonts w:cs="Times New Roman"/>
          <w:szCs w:val="24"/>
        </w:rPr>
        <w:t>In fact, the n</w:t>
      </w:r>
      <w:r w:rsidR="00226ECA">
        <w:rPr>
          <w:rFonts w:cs="Times New Roman"/>
          <w:szCs w:val="24"/>
        </w:rPr>
        <w:t xml:space="preserve">umber of enacted laws has </w:t>
      </w:r>
      <w:r w:rsidR="00AB4924">
        <w:rPr>
          <w:rFonts w:cs="Times New Roman"/>
          <w:szCs w:val="24"/>
        </w:rPr>
        <w:t>seen</w:t>
      </w:r>
      <w:r w:rsidR="00B33BB6">
        <w:rPr>
          <w:rFonts w:cs="Times New Roman"/>
          <w:szCs w:val="24"/>
        </w:rPr>
        <w:t xml:space="preserve"> a </w:t>
      </w:r>
      <w:r w:rsidR="00AB4924">
        <w:rPr>
          <w:rFonts w:cs="Times New Roman"/>
          <w:szCs w:val="24"/>
        </w:rPr>
        <w:t>sharp</w:t>
      </w:r>
      <w:r w:rsidR="00B33BB6">
        <w:rPr>
          <w:rFonts w:cs="Times New Roman"/>
          <w:szCs w:val="24"/>
        </w:rPr>
        <w:t xml:space="preserve"> decline since the 108</w:t>
      </w:r>
      <w:r w:rsidR="00B33BB6" w:rsidRPr="00B33BB6">
        <w:rPr>
          <w:rFonts w:cs="Times New Roman"/>
          <w:szCs w:val="24"/>
          <w:vertAlign w:val="superscript"/>
        </w:rPr>
        <w:t>th</w:t>
      </w:r>
      <w:r w:rsidR="00B33BB6">
        <w:rPr>
          <w:rFonts w:cs="Times New Roman"/>
          <w:szCs w:val="24"/>
        </w:rPr>
        <w:t xml:space="preserve"> C</w:t>
      </w:r>
      <w:r w:rsidR="009A7A62">
        <w:rPr>
          <w:rFonts w:cs="Times New Roman"/>
          <w:szCs w:val="24"/>
        </w:rPr>
        <w:t>ongress, which passed 504 bills, roughly 70 percent more than the most recent Congress.</w:t>
      </w:r>
      <w:r w:rsidR="00B33BB6">
        <w:rPr>
          <w:rFonts w:cs="Times New Roman"/>
          <w:szCs w:val="24"/>
        </w:rPr>
        <w:t xml:space="preserve"> </w:t>
      </w:r>
      <w:r w:rsidR="009E34F1">
        <w:rPr>
          <w:rFonts w:cs="Times New Roman"/>
          <w:szCs w:val="24"/>
        </w:rPr>
        <w:t xml:space="preserve">Party polarization is the </w:t>
      </w:r>
      <w:r w:rsidR="009A7A62">
        <w:rPr>
          <w:rFonts w:cs="Times New Roman"/>
          <w:szCs w:val="24"/>
        </w:rPr>
        <w:t>primary</w:t>
      </w:r>
      <w:r w:rsidR="009E34F1">
        <w:rPr>
          <w:rFonts w:cs="Times New Roman"/>
          <w:szCs w:val="24"/>
        </w:rPr>
        <w:t xml:space="preserve"> cause </w:t>
      </w:r>
      <w:r w:rsidR="009A7A62">
        <w:rPr>
          <w:rFonts w:cs="Times New Roman"/>
          <w:szCs w:val="24"/>
        </w:rPr>
        <w:t>of</w:t>
      </w:r>
      <w:r w:rsidR="009E34F1">
        <w:rPr>
          <w:rFonts w:cs="Times New Roman"/>
          <w:szCs w:val="24"/>
        </w:rPr>
        <w:t xml:space="preserve"> this recent phenomenon</w:t>
      </w:r>
      <w:r w:rsidR="00D868F7">
        <w:rPr>
          <w:rFonts w:cs="Times New Roman"/>
          <w:szCs w:val="24"/>
        </w:rPr>
        <w:t xml:space="preserve">. </w:t>
      </w:r>
      <w:r>
        <w:rPr>
          <w:rFonts w:cs="Times New Roman"/>
          <w:szCs w:val="24"/>
        </w:rPr>
        <w:t xml:space="preserve">Numerous studies have shown that </w:t>
      </w:r>
      <w:r w:rsidR="009A7A62">
        <w:rPr>
          <w:rFonts w:cs="Times New Roman"/>
          <w:szCs w:val="24"/>
        </w:rPr>
        <w:t xml:space="preserve">the </w:t>
      </w:r>
      <w:r>
        <w:rPr>
          <w:rFonts w:cs="Times New Roman"/>
          <w:szCs w:val="24"/>
        </w:rPr>
        <w:t>increasing ideological polarization bet</w:t>
      </w:r>
      <w:r w:rsidR="009A7A62">
        <w:rPr>
          <w:rFonts w:cs="Times New Roman"/>
          <w:szCs w:val="24"/>
        </w:rPr>
        <w:t>ween the two major parties has had a</w:t>
      </w:r>
      <w:r>
        <w:rPr>
          <w:rFonts w:cs="Times New Roman"/>
          <w:szCs w:val="24"/>
        </w:rPr>
        <w:t xml:space="preserve"> negative effect on legislative productivity (Binder 1999, Jones 2001, Dodd &amp; Schraufnagel 2013). </w:t>
      </w:r>
      <w:r w:rsidR="00D868F7">
        <w:rPr>
          <w:rFonts w:cs="Times New Roman"/>
          <w:szCs w:val="24"/>
        </w:rPr>
        <w:t>In their analysis of congressional productiv</w:t>
      </w:r>
      <w:r w:rsidR="00504DC9">
        <w:rPr>
          <w:rFonts w:cs="Times New Roman"/>
          <w:szCs w:val="24"/>
        </w:rPr>
        <w:t>ity, Dodd and Schraufnagel (2013</w:t>
      </w:r>
      <w:r w:rsidR="00D868F7">
        <w:rPr>
          <w:rFonts w:cs="Times New Roman"/>
          <w:szCs w:val="24"/>
        </w:rPr>
        <w:t xml:space="preserve">) </w:t>
      </w:r>
      <w:r w:rsidR="00D868F7">
        <w:rPr>
          <w:rFonts w:cs="Times New Roman"/>
          <w:szCs w:val="24"/>
        </w:rPr>
        <w:lastRenderedPageBreak/>
        <w:t>argue that extreme polarization, as well as</w:t>
      </w:r>
      <w:r w:rsidR="009A7A62">
        <w:rPr>
          <w:rFonts w:cs="Times New Roman"/>
          <w:szCs w:val="24"/>
        </w:rPr>
        <w:t>, interestingly enough,</w:t>
      </w:r>
      <w:r w:rsidR="00D868F7">
        <w:rPr>
          <w:rFonts w:cs="Times New Roman"/>
          <w:szCs w:val="24"/>
        </w:rPr>
        <w:t xml:space="preserve"> the </w:t>
      </w:r>
      <w:r w:rsidR="009A7A62">
        <w:rPr>
          <w:rFonts w:cs="Times New Roman"/>
          <w:szCs w:val="24"/>
        </w:rPr>
        <w:t>complete lack of</w:t>
      </w:r>
      <w:r w:rsidR="00D868F7">
        <w:rPr>
          <w:rFonts w:cs="Times New Roman"/>
          <w:szCs w:val="24"/>
        </w:rPr>
        <w:t xml:space="preserve"> polarization, undermines policy productivity. </w:t>
      </w:r>
      <w:r w:rsidR="00CD55CE">
        <w:rPr>
          <w:rFonts w:cs="Times New Roman"/>
          <w:szCs w:val="24"/>
        </w:rPr>
        <w:t>Legislative productivity will continue to be woefully low i</w:t>
      </w:r>
      <w:r w:rsidR="00A45A2B">
        <w:rPr>
          <w:rFonts w:cs="Times New Roman"/>
          <w:szCs w:val="24"/>
        </w:rPr>
        <w:t xml:space="preserve">f the </w:t>
      </w:r>
      <w:r w:rsidR="009A6DA8">
        <w:rPr>
          <w:rFonts w:cs="Times New Roman"/>
          <w:szCs w:val="24"/>
        </w:rPr>
        <w:t>Senate</w:t>
      </w:r>
      <w:r w:rsidR="00A45A2B">
        <w:rPr>
          <w:rFonts w:cs="Times New Roman"/>
          <w:szCs w:val="24"/>
        </w:rPr>
        <w:t xml:space="preserve"> continues to be polarized along </w:t>
      </w:r>
      <w:r w:rsidR="009A6DA8">
        <w:rPr>
          <w:rFonts w:cs="Times New Roman"/>
          <w:szCs w:val="24"/>
        </w:rPr>
        <w:t>a partisan</w:t>
      </w:r>
      <w:r w:rsidR="00A45A2B">
        <w:rPr>
          <w:rFonts w:cs="Times New Roman"/>
          <w:szCs w:val="24"/>
        </w:rPr>
        <w:t xml:space="preserve"> dimension</w:t>
      </w:r>
      <w:r w:rsidR="00CD55CE">
        <w:rPr>
          <w:rFonts w:cs="Times New Roman"/>
          <w:szCs w:val="24"/>
        </w:rPr>
        <w:t xml:space="preserve"> to the extent that it has been in recent </w:t>
      </w:r>
      <w:r w:rsidR="009A6DA8">
        <w:rPr>
          <w:rFonts w:cs="Times New Roman"/>
          <w:szCs w:val="24"/>
        </w:rPr>
        <w:t>years</w:t>
      </w:r>
      <w:r w:rsidR="00CD55CE">
        <w:rPr>
          <w:rFonts w:cs="Times New Roman"/>
          <w:szCs w:val="24"/>
        </w:rPr>
        <w:t>.</w:t>
      </w:r>
    </w:p>
    <w:p w:rsidR="002854D7" w:rsidRDefault="002854D7" w:rsidP="006110BD">
      <w:pPr>
        <w:spacing w:line="480" w:lineRule="auto"/>
        <w:ind w:firstLine="720"/>
        <w:contextualSpacing/>
        <w:jc w:val="both"/>
        <w:rPr>
          <w:rFonts w:cs="Times New Roman"/>
          <w:szCs w:val="24"/>
        </w:rPr>
      </w:pPr>
    </w:p>
    <w:p w:rsidR="003A7A21" w:rsidRPr="003A7A21" w:rsidRDefault="003A7A21" w:rsidP="003E04D7">
      <w:pPr>
        <w:spacing w:line="480" w:lineRule="auto"/>
        <w:contextualSpacing/>
        <w:jc w:val="both"/>
        <w:rPr>
          <w:rFonts w:cs="Times New Roman"/>
          <w:b/>
          <w:szCs w:val="24"/>
        </w:rPr>
      </w:pPr>
      <w:r>
        <w:rPr>
          <w:rFonts w:cs="Times New Roman"/>
          <w:b/>
          <w:szCs w:val="24"/>
        </w:rPr>
        <w:t>Appendix</w:t>
      </w:r>
    </w:p>
    <w:tbl>
      <w:tblPr>
        <w:tblStyle w:val="GridTable4-Accent5"/>
        <w:tblpPr w:leftFromText="180" w:rightFromText="180" w:vertAnchor="text" w:horzAnchor="margin" w:tblpY="-28"/>
        <w:tblW w:w="0" w:type="auto"/>
        <w:tblLook w:val="04A0" w:firstRow="1" w:lastRow="0" w:firstColumn="1" w:lastColumn="0" w:noHBand="0" w:noVBand="1"/>
      </w:tblPr>
      <w:tblGrid>
        <w:gridCol w:w="1093"/>
        <w:gridCol w:w="1116"/>
        <w:gridCol w:w="1094"/>
      </w:tblGrid>
      <w:tr w:rsidR="007260D0" w:rsidTr="007260D0">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03" w:type="dxa"/>
            <w:gridSpan w:val="3"/>
          </w:tcPr>
          <w:p w:rsidR="007260D0" w:rsidRPr="00861F17" w:rsidRDefault="00343908" w:rsidP="00DA527F">
            <w:pPr>
              <w:rPr>
                <w:sz w:val="20"/>
                <w:szCs w:val="20"/>
              </w:rPr>
            </w:pPr>
            <w:r>
              <w:rPr>
                <w:sz w:val="20"/>
                <w:szCs w:val="20"/>
              </w:rPr>
              <w:t>Table 5</w:t>
            </w:r>
            <w:r w:rsidR="007260D0" w:rsidRPr="00861F17">
              <w:rPr>
                <w:sz w:val="20"/>
                <w:szCs w:val="20"/>
              </w:rPr>
              <w:t xml:space="preserve">: </w:t>
            </w:r>
            <w:r w:rsidR="00DA527F">
              <w:rPr>
                <w:sz w:val="20"/>
                <w:szCs w:val="20"/>
              </w:rPr>
              <w:t>PCFA</w:t>
            </w:r>
            <w:r w:rsidR="00192A27">
              <w:rPr>
                <w:sz w:val="20"/>
                <w:szCs w:val="20"/>
              </w:rPr>
              <w:t xml:space="preserve"> </w:t>
            </w:r>
            <w:r w:rsidR="007260D0" w:rsidRPr="00861F17">
              <w:rPr>
                <w:sz w:val="20"/>
                <w:szCs w:val="20"/>
              </w:rPr>
              <w:t>of Senator Scorecards</w:t>
            </w:r>
          </w:p>
        </w:tc>
      </w:tr>
      <w:tr w:rsidR="007260D0" w:rsidTr="007260D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093" w:type="dxa"/>
          </w:tcPr>
          <w:p w:rsidR="007260D0" w:rsidRPr="00861F17" w:rsidRDefault="000B6A1B" w:rsidP="007260D0">
            <w:pPr>
              <w:jc w:val="right"/>
              <w:rPr>
                <w:b w:val="0"/>
                <w:sz w:val="20"/>
                <w:szCs w:val="20"/>
              </w:rPr>
            </w:pPr>
            <w:r>
              <w:rPr>
                <w:b w:val="0"/>
                <w:sz w:val="20"/>
                <w:szCs w:val="20"/>
              </w:rPr>
              <w:t>Factor</w:t>
            </w:r>
          </w:p>
        </w:tc>
        <w:tc>
          <w:tcPr>
            <w:tcW w:w="1116" w:type="dxa"/>
          </w:tcPr>
          <w:p w:rsidR="007260D0" w:rsidRPr="00861F17" w:rsidRDefault="007260D0"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sidRPr="00861F17">
              <w:rPr>
                <w:sz w:val="20"/>
                <w:szCs w:val="20"/>
              </w:rPr>
              <w:t>Eigenvalue</w:t>
            </w:r>
          </w:p>
        </w:tc>
        <w:tc>
          <w:tcPr>
            <w:tcW w:w="1094" w:type="dxa"/>
          </w:tcPr>
          <w:p w:rsidR="007260D0" w:rsidRPr="00861F17" w:rsidRDefault="007260D0"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sidRPr="00861F17">
              <w:rPr>
                <w:sz w:val="20"/>
                <w:szCs w:val="20"/>
              </w:rPr>
              <w:t>Proportion</w:t>
            </w:r>
          </w:p>
        </w:tc>
      </w:tr>
      <w:tr w:rsidR="007260D0" w:rsidTr="007260D0">
        <w:trPr>
          <w:trHeight w:val="335"/>
        </w:trPr>
        <w:tc>
          <w:tcPr>
            <w:cnfStyle w:val="001000000000" w:firstRow="0" w:lastRow="0" w:firstColumn="1" w:lastColumn="0" w:oddVBand="0" w:evenVBand="0" w:oddHBand="0" w:evenHBand="0" w:firstRowFirstColumn="0" w:firstRowLastColumn="0" w:lastRowFirstColumn="0" w:lastRowLastColumn="0"/>
            <w:tcW w:w="1093" w:type="dxa"/>
          </w:tcPr>
          <w:p w:rsidR="007260D0" w:rsidRPr="00861F17" w:rsidRDefault="007260D0" w:rsidP="007260D0">
            <w:pPr>
              <w:jc w:val="right"/>
              <w:rPr>
                <w:b w:val="0"/>
                <w:sz w:val="20"/>
                <w:szCs w:val="20"/>
              </w:rPr>
            </w:pPr>
            <w:r w:rsidRPr="00861F17">
              <w:rPr>
                <w:b w:val="0"/>
                <w:sz w:val="20"/>
                <w:szCs w:val="20"/>
              </w:rPr>
              <w:t>1</w:t>
            </w:r>
          </w:p>
        </w:tc>
        <w:tc>
          <w:tcPr>
            <w:tcW w:w="1116" w:type="dxa"/>
          </w:tcPr>
          <w:p w:rsidR="007260D0" w:rsidRPr="00861F17" w:rsidRDefault="002B3D2F"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10.12</w:t>
            </w:r>
          </w:p>
        </w:tc>
        <w:tc>
          <w:tcPr>
            <w:tcW w:w="1094" w:type="dxa"/>
          </w:tcPr>
          <w:p w:rsidR="007260D0" w:rsidRPr="00861F17" w:rsidRDefault="002B3D2F"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0.92</w:t>
            </w:r>
          </w:p>
        </w:tc>
      </w:tr>
      <w:tr w:rsidR="007260D0" w:rsidTr="007260D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93" w:type="dxa"/>
          </w:tcPr>
          <w:p w:rsidR="007260D0" w:rsidRPr="00861F17" w:rsidRDefault="007260D0" w:rsidP="007260D0">
            <w:pPr>
              <w:jc w:val="right"/>
              <w:rPr>
                <w:b w:val="0"/>
                <w:sz w:val="20"/>
                <w:szCs w:val="20"/>
              </w:rPr>
            </w:pPr>
            <w:r w:rsidRPr="00861F17">
              <w:rPr>
                <w:b w:val="0"/>
                <w:sz w:val="20"/>
                <w:szCs w:val="20"/>
              </w:rPr>
              <w:t>2</w:t>
            </w:r>
          </w:p>
        </w:tc>
        <w:tc>
          <w:tcPr>
            <w:tcW w:w="1116" w:type="dxa"/>
          </w:tcPr>
          <w:p w:rsidR="007260D0" w:rsidRPr="00861F17" w:rsidRDefault="002B3D2F"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0.32</w:t>
            </w:r>
          </w:p>
        </w:tc>
        <w:tc>
          <w:tcPr>
            <w:tcW w:w="1094" w:type="dxa"/>
          </w:tcPr>
          <w:p w:rsidR="007260D0" w:rsidRPr="00861F17" w:rsidRDefault="002B3D2F"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0.03</w:t>
            </w:r>
          </w:p>
        </w:tc>
      </w:tr>
      <w:tr w:rsidR="007260D0" w:rsidTr="007260D0">
        <w:trPr>
          <w:trHeight w:val="335"/>
        </w:trPr>
        <w:tc>
          <w:tcPr>
            <w:cnfStyle w:val="001000000000" w:firstRow="0" w:lastRow="0" w:firstColumn="1" w:lastColumn="0" w:oddVBand="0" w:evenVBand="0" w:oddHBand="0" w:evenHBand="0" w:firstRowFirstColumn="0" w:firstRowLastColumn="0" w:lastRowFirstColumn="0" w:lastRowLastColumn="0"/>
            <w:tcW w:w="1093" w:type="dxa"/>
          </w:tcPr>
          <w:p w:rsidR="007260D0" w:rsidRPr="00861F17" w:rsidRDefault="007260D0" w:rsidP="007260D0">
            <w:pPr>
              <w:jc w:val="right"/>
              <w:rPr>
                <w:b w:val="0"/>
                <w:sz w:val="20"/>
                <w:szCs w:val="20"/>
              </w:rPr>
            </w:pPr>
            <w:r w:rsidRPr="00861F17">
              <w:rPr>
                <w:b w:val="0"/>
                <w:sz w:val="20"/>
                <w:szCs w:val="20"/>
              </w:rPr>
              <w:t>3</w:t>
            </w:r>
          </w:p>
        </w:tc>
        <w:tc>
          <w:tcPr>
            <w:tcW w:w="1116" w:type="dxa"/>
          </w:tcPr>
          <w:p w:rsidR="007260D0" w:rsidRPr="00861F17" w:rsidRDefault="002B3D2F"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0.14</w:t>
            </w:r>
          </w:p>
        </w:tc>
        <w:tc>
          <w:tcPr>
            <w:tcW w:w="1094" w:type="dxa"/>
          </w:tcPr>
          <w:p w:rsidR="007260D0" w:rsidRPr="00861F17" w:rsidRDefault="002B3D2F"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0.01</w:t>
            </w:r>
          </w:p>
        </w:tc>
      </w:tr>
      <w:tr w:rsidR="007260D0" w:rsidTr="007260D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093" w:type="dxa"/>
          </w:tcPr>
          <w:p w:rsidR="007260D0" w:rsidRPr="00861F17" w:rsidRDefault="007260D0" w:rsidP="007260D0">
            <w:pPr>
              <w:jc w:val="right"/>
              <w:rPr>
                <w:b w:val="0"/>
                <w:sz w:val="20"/>
                <w:szCs w:val="20"/>
              </w:rPr>
            </w:pPr>
            <w:r w:rsidRPr="00861F17">
              <w:rPr>
                <w:b w:val="0"/>
                <w:sz w:val="20"/>
                <w:szCs w:val="20"/>
              </w:rPr>
              <w:t>4</w:t>
            </w:r>
          </w:p>
        </w:tc>
        <w:tc>
          <w:tcPr>
            <w:tcW w:w="1116" w:type="dxa"/>
          </w:tcPr>
          <w:p w:rsidR="007260D0" w:rsidRPr="00861F17" w:rsidRDefault="002B3D2F"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0.10</w:t>
            </w:r>
          </w:p>
        </w:tc>
        <w:tc>
          <w:tcPr>
            <w:tcW w:w="1094" w:type="dxa"/>
          </w:tcPr>
          <w:p w:rsidR="007260D0" w:rsidRPr="00861F17" w:rsidRDefault="002B3D2F"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0.01</w:t>
            </w:r>
          </w:p>
        </w:tc>
      </w:tr>
      <w:tr w:rsidR="007260D0" w:rsidTr="007260D0">
        <w:trPr>
          <w:trHeight w:val="335"/>
        </w:trPr>
        <w:tc>
          <w:tcPr>
            <w:cnfStyle w:val="001000000000" w:firstRow="0" w:lastRow="0" w:firstColumn="1" w:lastColumn="0" w:oddVBand="0" w:evenVBand="0" w:oddHBand="0" w:evenHBand="0" w:firstRowFirstColumn="0" w:firstRowLastColumn="0" w:lastRowFirstColumn="0" w:lastRowLastColumn="0"/>
            <w:tcW w:w="1093" w:type="dxa"/>
          </w:tcPr>
          <w:p w:rsidR="007260D0" w:rsidRPr="00861F17" w:rsidRDefault="007260D0" w:rsidP="007260D0">
            <w:pPr>
              <w:jc w:val="right"/>
              <w:rPr>
                <w:b w:val="0"/>
                <w:sz w:val="20"/>
                <w:szCs w:val="20"/>
              </w:rPr>
            </w:pPr>
            <w:r w:rsidRPr="00861F17">
              <w:rPr>
                <w:b w:val="0"/>
                <w:sz w:val="20"/>
                <w:szCs w:val="20"/>
              </w:rPr>
              <w:t>5</w:t>
            </w:r>
          </w:p>
        </w:tc>
        <w:tc>
          <w:tcPr>
            <w:tcW w:w="1116" w:type="dxa"/>
          </w:tcPr>
          <w:p w:rsidR="007260D0" w:rsidRPr="00861F17" w:rsidRDefault="002B3D2F"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0.08</w:t>
            </w:r>
          </w:p>
        </w:tc>
        <w:tc>
          <w:tcPr>
            <w:tcW w:w="1094" w:type="dxa"/>
          </w:tcPr>
          <w:p w:rsidR="007260D0" w:rsidRPr="00861F17" w:rsidRDefault="002B3D2F"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0.01</w:t>
            </w:r>
          </w:p>
        </w:tc>
      </w:tr>
      <w:tr w:rsidR="007260D0" w:rsidTr="007260D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093" w:type="dxa"/>
          </w:tcPr>
          <w:p w:rsidR="007260D0" w:rsidRPr="00861F17" w:rsidRDefault="007260D0" w:rsidP="007260D0">
            <w:pPr>
              <w:jc w:val="right"/>
              <w:rPr>
                <w:b w:val="0"/>
                <w:sz w:val="20"/>
                <w:szCs w:val="20"/>
              </w:rPr>
            </w:pPr>
            <w:r w:rsidRPr="00861F17">
              <w:rPr>
                <w:b w:val="0"/>
                <w:sz w:val="20"/>
                <w:szCs w:val="20"/>
              </w:rPr>
              <w:t>6</w:t>
            </w:r>
          </w:p>
        </w:tc>
        <w:tc>
          <w:tcPr>
            <w:tcW w:w="1116" w:type="dxa"/>
          </w:tcPr>
          <w:p w:rsidR="007260D0" w:rsidRPr="00861F17" w:rsidRDefault="002B3D2F"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0.07</w:t>
            </w:r>
          </w:p>
        </w:tc>
        <w:tc>
          <w:tcPr>
            <w:tcW w:w="1094" w:type="dxa"/>
          </w:tcPr>
          <w:p w:rsidR="007260D0" w:rsidRPr="00861F17" w:rsidRDefault="002B3D2F"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0.01</w:t>
            </w:r>
          </w:p>
        </w:tc>
      </w:tr>
      <w:tr w:rsidR="007260D0" w:rsidTr="007260D0">
        <w:trPr>
          <w:trHeight w:val="335"/>
        </w:trPr>
        <w:tc>
          <w:tcPr>
            <w:cnfStyle w:val="001000000000" w:firstRow="0" w:lastRow="0" w:firstColumn="1" w:lastColumn="0" w:oddVBand="0" w:evenVBand="0" w:oddHBand="0" w:evenHBand="0" w:firstRowFirstColumn="0" w:firstRowLastColumn="0" w:lastRowFirstColumn="0" w:lastRowLastColumn="0"/>
            <w:tcW w:w="1093" w:type="dxa"/>
          </w:tcPr>
          <w:p w:rsidR="007260D0" w:rsidRPr="00861F17" w:rsidRDefault="007260D0" w:rsidP="007260D0">
            <w:pPr>
              <w:jc w:val="right"/>
              <w:rPr>
                <w:b w:val="0"/>
                <w:sz w:val="20"/>
                <w:szCs w:val="20"/>
              </w:rPr>
            </w:pPr>
            <w:r>
              <w:rPr>
                <w:b w:val="0"/>
                <w:sz w:val="20"/>
                <w:szCs w:val="20"/>
              </w:rPr>
              <w:t>7</w:t>
            </w:r>
          </w:p>
        </w:tc>
        <w:tc>
          <w:tcPr>
            <w:tcW w:w="1116" w:type="dxa"/>
          </w:tcPr>
          <w:p w:rsidR="007260D0" w:rsidRDefault="002B3D2F"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0.04</w:t>
            </w:r>
          </w:p>
        </w:tc>
        <w:tc>
          <w:tcPr>
            <w:tcW w:w="1094" w:type="dxa"/>
          </w:tcPr>
          <w:p w:rsidR="007260D0" w:rsidRPr="00861F17" w:rsidRDefault="007260D0"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0.00</w:t>
            </w:r>
          </w:p>
        </w:tc>
      </w:tr>
      <w:tr w:rsidR="007260D0" w:rsidTr="007260D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093" w:type="dxa"/>
          </w:tcPr>
          <w:p w:rsidR="007260D0" w:rsidRPr="00861F17" w:rsidRDefault="007260D0" w:rsidP="007260D0">
            <w:pPr>
              <w:jc w:val="right"/>
              <w:rPr>
                <w:b w:val="0"/>
                <w:sz w:val="20"/>
                <w:szCs w:val="20"/>
              </w:rPr>
            </w:pPr>
            <w:r>
              <w:rPr>
                <w:b w:val="0"/>
                <w:sz w:val="20"/>
                <w:szCs w:val="20"/>
              </w:rPr>
              <w:t>8</w:t>
            </w:r>
          </w:p>
        </w:tc>
        <w:tc>
          <w:tcPr>
            <w:tcW w:w="1116" w:type="dxa"/>
          </w:tcPr>
          <w:p w:rsidR="007260D0" w:rsidRDefault="002B3D2F"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0.03</w:t>
            </w:r>
          </w:p>
        </w:tc>
        <w:tc>
          <w:tcPr>
            <w:tcW w:w="1094" w:type="dxa"/>
          </w:tcPr>
          <w:p w:rsidR="007260D0" w:rsidRPr="00861F17" w:rsidRDefault="007260D0"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0.00</w:t>
            </w:r>
          </w:p>
        </w:tc>
      </w:tr>
      <w:tr w:rsidR="007260D0" w:rsidTr="007260D0">
        <w:trPr>
          <w:trHeight w:val="335"/>
        </w:trPr>
        <w:tc>
          <w:tcPr>
            <w:cnfStyle w:val="001000000000" w:firstRow="0" w:lastRow="0" w:firstColumn="1" w:lastColumn="0" w:oddVBand="0" w:evenVBand="0" w:oddHBand="0" w:evenHBand="0" w:firstRowFirstColumn="0" w:firstRowLastColumn="0" w:lastRowFirstColumn="0" w:lastRowLastColumn="0"/>
            <w:tcW w:w="1093" w:type="dxa"/>
          </w:tcPr>
          <w:p w:rsidR="007260D0" w:rsidRPr="00861F17" w:rsidRDefault="007260D0" w:rsidP="007260D0">
            <w:pPr>
              <w:jc w:val="right"/>
              <w:rPr>
                <w:b w:val="0"/>
                <w:sz w:val="20"/>
                <w:szCs w:val="20"/>
              </w:rPr>
            </w:pPr>
            <w:r>
              <w:rPr>
                <w:b w:val="0"/>
                <w:sz w:val="20"/>
                <w:szCs w:val="20"/>
              </w:rPr>
              <w:t>9</w:t>
            </w:r>
          </w:p>
        </w:tc>
        <w:tc>
          <w:tcPr>
            <w:tcW w:w="1116" w:type="dxa"/>
          </w:tcPr>
          <w:p w:rsidR="007260D0" w:rsidRDefault="002B3D2F"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0.02</w:t>
            </w:r>
          </w:p>
        </w:tc>
        <w:tc>
          <w:tcPr>
            <w:tcW w:w="1094" w:type="dxa"/>
          </w:tcPr>
          <w:p w:rsidR="007260D0" w:rsidRPr="00861F17" w:rsidRDefault="007260D0"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0.00</w:t>
            </w:r>
          </w:p>
        </w:tc>
      </w:tr>
      <w:tr w:rsidR="007260D0" w:rsidTr="007260D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093" w:type="dxa"/>
          </w:tcPr>
          <w:p w:rsidR="007260D0" w:rsidRPr="00861F17" w:rsidRDefault="007260D0" w:rsidP="007260D0">
            <w:pPr>
              <w:jc w:val="right"/>
              <w:rPr>
                <w:b w:val="0"/>
                <w:sz w:val="20"/>
                <w:szCs w:val="20"/>
              </w:rPr>
            </w:pPr>
            <w:r>
              <w:rPr>
                <w:b w:val="0"/>
                <w:sz w:val="20"/>
                <w:szCs w:val="20"/>
              </w:rPr>
              <w:t>10</w:t>
            </w:r>
          </w:p>
        </w:tc>
        <w:tc>
          <w:tcPr>
            <w:tcW w:w="1116" w:type="dxa"/>
          </w:tcPr>
          <w:p w:rsidR="007260D0" w:rsidRDefault="002B3D2F"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0.01</w:t>
            </w:r>
          </w:p>
        </w:tc>
        <w:tc>
          <w:tcPr>
            <w:tcW w:w="1094" w:type="dxa"/>
          </w:tcPr>
          <w:p w:rsidR="007260D0" w:rsidRPr="00861F17" w:rsidRDefault="007260D0"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0.00</w:t>
            </w:r>
          </w:p>
        </w:tc>
      </w:tr>
      <w:tr w:rsidR="007260D0" w:rsidTr="007260D0">
        <w:trPr>
          <w:trHeight w:val="335"/>
        </w:trPr>
        <w:tc>
          <w:tcPr>
            <w:cnfStyle w:val="001000000000" w:firstRow="0" w:lastRow="0" w:firstColumn="1" w:lastColumn="0" w:oddVBand="0" w:evenVBand="0" w:oddHBand="0" w:evenHBand="0" w:firstRowFirstColumn="0" w:firstRowLastColumn="0" w:lastRowFirstColumn="0" w:lastRowLastColumn="0"/>
            <w:tcW w:w="1093" w:type="dxa"/>
          </w:tcPr>
          <w:p w:rsidR="007260D0" w:rsidRPr="00861F17" w:rsidRDefault="007260D0" w:rsidP="007260D0">
            <w:pPr>
              <w:jc w:val="right"/>
              <w:rPr>
                <w:b w:val="0"/>
                <w:sz w:val="20"/>
                <w:szCs w:val="20"/>
              </w:rPr>
            </w:pPr>
            <w:r>
              <w:rPr>
                <w:b w:val="0"/>
                <w:sz w:val="20"/>
                <w:szCs w:val="20"/>
              </w:rPr>
              <w:t>11</w:t>
            </w:r>
          </w:p>
        </w:tc>
        <w:tc>
          <w:tcPr>
            <w:tcW w:w="1116" w:type="dxa"/>
          </w:tcPr>
          <w:p w:rsidR="007260D0" w:rsidRDefault="002B3D2F"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0.01</w:t>
            </w:r>
          </w:p>
        </w:tc>
        <w:tc>
          <w:tcPr>
            <w:tcW w:w="1094" w:type="dxa"/>
          </w:tcPr>
          <w:p w:rsidR="007260D0" w:rsidRPr="00861F17" w:rsidRDefault="007260D0"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0.00</w:t>
            </w:r>
          </w:p>
        </w:tc>
      </w:tr>
    </w:tbl>
    <w:tbl>
      <w:tblPr>
        <w:tblStyle w:val="GridTable4-Accent5"/>
        <w:tblpPr w:leftFromText="180" w:rightFromText="180" w:vertAnchor="text" w:horzAnchor="page" w:tblpX="5146" w:tblpY="-58"/>
        <w:tblW w:w="0" w:type="auto"/>
        <w:tblLook w:val="04A0" w:firstRow="1" w:lastRow="0" w:firstColumn="1" w:lastColumn="0" w:noHBand="0" w:noVBand="1"/>
      </w:tblPr>
      <w:tblGrid>
        <w:gridCol w:w="1383"/>
        <w:gridCol w:w="1384"/>
      </w:tblGrid>
      <w:tr w:rsidR="007260D0" w:rsidTr="007260D0">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767" w:type="dxa"/>
            <w:gridSpan w:val="2"/>
          </w:tcPr>
          <w:p w:rsidR="007260D0" w:rsidRPr="00CB5054" w:rsidRDefault="00343908" w:rsidP="00343908">
            <w:pPr>
              <w:rPr>
                <w:sz w:val="20"/>
                <w:szCs w:val="20"/>
              </w:rPr>
            </w:pPr>
            <w:r>
              <w:rPr>
                <w:sz w:val="20"/>
                <w:szCs w:val="20"/>
              </w:rPr>
              <w:t>Table 6</w:t>
            </w:r>
            <w:r w:rsidR="007260D0" w:rsidRPr="00CB5054">
              <w:rPr>
                <w:sz w:val="20"/>
                <w:szCs w:val="20"/>
              </w:rPr>
              <w:t xml:space="preserve">: </w:t>
            </w:r>
            <w:r w:rsidR="00192A27">
              <w:rPr>
                <w:sz w:val="20"/>
                <w:szCs w:val="20"/>
              </w:rPr>
              <w:t>PCF</w:t>
            </w:r>
            <w:r w:rsidR="000B6A1B">
              <w:rPr>
                <w:sz w:val="20"/>
                <w:szCs w:val="20"/>
              </w:rPr>
              <w:t>A</w:t>
            </w:r>
            <w:r w:rsidR="007260D0">
              <w:rPr>
                <w:sz w:val="20"/>
                <w:szCs w:val="20"/>
              </w:rPr>
              <w:t xml:space="preserve"> </w:t>
            </w:r>
            <w:r w:rsidR="00DA527F">
              <w:rPr>
                <w:sz w:val="20"/>
                <w:szCs w:val="20"/>
              </w:rPr>
              <w:t xml:space="preserve">Factor </w:t>
            </w:r>
            <w:r w:rsidR="007260D0">
              <w:rPr>
                <w:sz w:val="20"/>
                <w:szCs w:val="20"/>
              </w:rPr>
              <w:t>Loading</w:t>
            </w:r>
            <w:r>
              <w:rPr>
                <w:sz w:val="20"/>
                <w:szCs w:val="20"/>
              </w:rPr>
              <w:t>s</w:t>
            </w:r>
          </w:p>
        </w:tc>
      </w:tr>
      <w:tr w:rsidR="007260D0" w:rsidTr="007260D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83" w:type="dxa"/>
          </w:tcPr>
          <w:p w:rsidR="007260D0" w:rsidRPr="00275AF4" w:rsidRDefault="007260D0" w:rsidP="007260D0">
            <w:pPr>
              <w:jc w:val="right"/>
              <w:rPr>
                <w:b w:val="0"/>
                <w:sz w:val="20"/>
                <w:szCs w:val="20"/>
              </w:rPr>
            </w:pPr>
            <w:r w:rsidRPr="00275AF4">
              <w:rPr>
                <w:b w:val="0"/>
                <w:sz w:val="20"/>
                <w:szCs w:val="20"/>
              </w:rPr>
              <w:t>Variable</w:t>
            </w:r>
          </w:p>
        </w:tc>
        <w:tc>
          <w:tcPr>
            <w:tcW w:w="1384" w:type="dxa"/>
          </w:tcPr>
          <w:p w:rsidR="007260D0" w:rsidRPr="00275AF4" w:rsidRDefault="000B6A1B"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Factor</w:t>
            </w:r>
            <w:r w:rsidR="007260D0" w:rsidRPr="00275AF4">
              <w:rPr>
                <w:sz w:val="20"/>
                <w:szCs w:val="20"/>
              </w:rPr>
              <w:t xml:space="preserve"> 1</w:t>
            </w:r>
          </w:p>
        </w:tc>
      </w:tr>
      <w:tr w:rsidR="007260D0" w:rsidTr="007260D0">
        <w:trPr>
          <w:trHeight w:val="248"/>
        </w:trPr>
        <w:tc>
          <w:tcPr>
            <w:cnfStyle w:val="001000000000" w:firstRow="0" w:lastRow="0" w:firstColumn="1" w:lastColumn="0" w:oddVBand="0" w:evenVBand="0" w:oddHBand="0" w:evenHBand="0" w:firstRowFirstColumn="0" w:firstRowLastColumn="0" w:lastRowFirstColumn="0" w:lastRowLastColumn="0"/>
            <w:tcW w:w="1383" w:type="dxa"/>
          </w:tcPr>
          <w:p w:rsidR="007260D0" w:rsidRPr="00CB5054" w:rsidRDefault="007260D0" w:rsidP="007260D0">
            <w:pPr>
              <w:jc w:val="right"/>
              <w:rPr>
                <w:b w:val="0"/>
                <w:sz w:val="20"/>
                <w:szCs w:val="20"/>
              </w:rPr>
            </w:pPr>
            <w:r w:rsidRPr="00CB5054">
              <w:rPr>
                <w:b w:val="0"/>
                <w:sz w:val="20"/>
                <w:szCs w:val="20"/>
              </w:rPr>
              <w:t>ADA</w:t>
            </w:r>
          </w:p>
        </w:tc>
        <w:tc>
          <w:tcPr>
            <w:tcW w:w="1384" w:type="dxa"/>
          </w:tcPr>
          <w:p w:rsidR="007260D0" w:rsidRPr="00CB5054" w:rsidRDefault="007260D0"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-0.99</w:t>
            </w:r>
          </w:p>
        </w:tc>
      </w:tr>
      <w:tr w:rsidR="007260D0" w:rsidTr="007260D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383" w:type="dxa"/>
          </w:tcPr>
          <w:p w:rsidR="007260D0" w:rsidRPr="00CB5054" w:rsidRDefault="007260D0" w:rsidP="007260D0">
            <w:pPr>
              <w:jc w:val="right"/>
              <w:rPr>
                <w:b w:val="0"/>
                <w:sz w:val="20"/>
                <w:szCs w:val="20"/>
              </w:rPr>
            </w:pPr>
            <w:r w:rsidRPr="00CB5054">
              <w:rPr>
                <w:b w:val="0"/>
                <w:sz w:val="20"/>
                <w:szCs w:val="20"/>
              </w:rPr>
              <w:t>ACLU</w:t>
            </w:r>
          </w:p>
        </w:tc>
        <w:tc>
          <w:tcPr>
            <w:tcW w:w="1384" w:type="dxa"/>
          </w:tcPr>
          <w:p w:rsidR="007260D0" w:rsidRPr="00CB5054" w:rsidRDefault="002B3D2F"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-0.94</w:t>
            </w:r>
          </w:p>
        </w:tc>
      </w:tr>
      <w:tr w:rsidR="007260D0" w:rsidTr="007260D0">
        <w:trPr>
          <w:trHeight w:val="248"/>
        </w:trPr>
        <w:tc>
          <w:tcPr>
            <w:cnfStyle w:val="001000000000" w:firstRow="0" w:lastRow="0" w:firstColumn="1" w:lastColumn="0" w:oddVBand="0" w:evenVBand="0" w:oddHBand="0" w:evenHBand="0" w:firstRowFirstColumn="0" w:firstRowLastColumn="0" w:lastRowFirstColumn="0" w:lastRowLastColumn="0"/>
            <w:tcW w:w="1383" w:type="dxa"/>
          </w:tcPr>
          <w:p w:rsidR="007260D0" w:rsidRPr="00CB5054" w:rsidRDefault="007260D0" w:rsidP="007260D0">
            <w:pPr>
              <w:jc w:val="right"/>
              <w:rPr>
                <w:b w:val="0"/>
                <w:sz w:val="20"/>
                <w:szCs w:val="20"/>
              </w:rPr>
            </w:pPr>
            <w:r w:rsidRPr="00CB5054">
              <w:rPr>
                <w:b w:val="0"/>
                <w:sz w:val="20"/>
                <w:szCs w:val="20"/>
              </w:rPr>
              <w:t>AFS</w:t>
            </w:r>
            <w:r>
              <w:rPr>
                <w:b w:val="0"/>
                <w:sz w:val="20"/>
                <w:szCs w:val="20"/>
              </w:rPr>
              <w:t>CME</w:t>
            </w:r>
          </w:p>
        </w:tc>
        <w:tc>
          <w:tcPr>
            <w:tcW w:w="1384" w:type="dxa"/>
          </w:tcPr>
          <w:p w:rsidR="007260D0" w:rsidRPr="00CB5054" w:rsidRDefault="007260D0"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-0.98</w:t>
            </w:r>
          </w:p>
        </w:tc>
      </w:tr>
      <w:tr w:rsidR="007260D0" w:rsidTr="007260D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83" w:type="dxa"/>
          </w:tcPr>
          <w:p w:rsidR="007260D0" w:rsidRPr="00CB5054" w:rsidRDefault="007260D0" w:rsidP="007260D0">
            <w:pPr>
              <w:jc w:val="right"/>
              <w:rPr>
                <w:b w:val="0"/>
                <w:sz w:val="20"/>
                <w:szCs w:val="20"/>
              </w:rPr>
            </w:pPr>
            <w:r w:rsidRPr="00CB5054">
              <w:rPr>
                <w:b w:val="0"/>
                <w:sz w:val="20"/>
                <w:szCs w:val="20"/>
              </w:rPr>
              <w:t>LCV</w:t>
            </w:r>
          </w:p>
        </w:tc>
        <w:tc>
          <w:tcPr>
            <w:tcW w:w="1384" w:type="dxa"/>
          </w:tcPr>
          <w:p w:rsidR="007260D0" w:rsidRPr="00CB5054" w:rsidRDefault="002B3D2F"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-0.96</w:t>
            </w:r>
          </w:p>
        </w:tc>
      </w:tr>
      <w:tr w:rsidR="007260D0" w:rsidTr="007260D0">
        <w:trPr>
          <w:trHeight w:val="248"/>
        </w:trPr>
        <w:tc>
          <w:tcPr>
            <w:cnfStyle w:val="001000000000" w:firstRow="0" w:lastRow="0" w:firstColumn="1" w:lastColumn="0" w:oddVBand="0" w:evenVBand="0" w:oddHBand="0" w:evenHBand="0" w:firstRowFirstColumn="0" w:firstRowLastColumn="0" w:lastRowFirstColumn="0" w:lastRowLastColumn="0"/>
            <w:tcW w:w="1383" w:type="dxa"/>
          </w:tcPr>
          <w:p w:rsidR="007260D0" w:rsidRPr="00CB5054" w:rsidRDefault="007260D0" w:rsidP="007260D0">
            <w:pPr>
              <w:jc w:val="right"/>
              <w:rPr>
                <w:b w:val="0"/>
                <w:sz w:val="20"/>
                <w:szCs w:val="20"/>
              </w:rPr>
            </w:pPr>
            <w:r w:rsidRPr="00CB5054">
              <w:rPr>
                <w:b w:val="0"/>
                <w:sz w:val="20"/>
                <w:szCs w:val="20"/>
              </w:rPr>
              <w:t>NTU</w:t>
            </w:r>
          </w:p>
        </w:tc>
        <w:tc>
          <w:tcPr>
            <w:tcW w:w="1384" w:type="dxa"/>
          </w:tcPr>
          <w:p w:rsidR="007260D0" w:rsidRPr="00CB5054" w:rsidRDefault="007260D0"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0.97</w:t>
            </w:r>
          </w:p>
        </w:tc>
      </w:tr>
      <w:tr w:rsidR="007260D0" w:rsidTr="007260D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83" w:type="dxa"/>
          </w:tcPr>
          <w:p w:rsidR="007260D0" w:rsidRPr="00CB5054" w:rsidRDefault="007260D0" w:rsidP="007260D0">
            <w:pPr>
              <w:jc w:val="right"/>
              <w:rPr>
                <w:b w:val="0"/>
                <w:sz w:val="20"/>
                <w:szCs w:val="20"/>
              </w:rPr>
            </w:pPr>
            <w:r w:rsidRPr="00CB5054">
              <w:rPr>
                <w:b w:val="0"/>
                <w:sz w:val="20"/>
                <w:szCs w:val="20"/>
              </w:rPr>
              <w:t>COC</w:t>
            </w:r>
          </w:p>
        </w:tc>
        <w:tc>
          <w:tcPr>
            <w:tcW w:w="1384" w:type="dxa"/>
          </w:tcPr>
          <w:p w:rsidR="007260D0" w:rsidRPr="00CB5054" w:rsidRDefault="002B3D2F"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0.85</w:t>
            </w:r>
          </w:p>
        </w:tc>
      </w:tr>
      <w:tr w:rsidR="007260D0" w:rsidTr="007260D0">
        <w:trPr>
          <w:trHeight w:val="248"/>
        </w:trPr>
        <w:tc>
          <w:tcPr>
            <w:cnfStyle w:val="001000000000" w:firstRow="0" w:lastRow="0" w:firstColumn="1" w:lastColumn="0" w:oddVBand="0" w:evenVBand="0" w:oddHBand="0" w:evenHBand="0" w:firstRowFirstColumn="0" w:firstRowLastColumn="0" w:lastRowFirstColumn="0" w:lastRowLastColumn="0"/>
            <w:tcW w:w="1383" w:type="dxa"/>
          </w:tcPr>
          <w:p w:rsidR="007260D0" w:rsidRPr="00CB5054" w:rsidRDefault="007260D0" w:rsidP="007260D0">
            <w:pPr>
              <w:jc w:val="right"/>
              <w:rPr>
                <w:b w:val="0"/>
                <w:sz w:val="20"/>
                <w:szCs w:val="20"/>
              </w:rPr>
            </w:pPr>
            <w:r w:rsidRPr="00CB5054">
              <w:rPr>
                <w:b w:val="0"/>
                <w:sz w:val="20"/>
                <w:szCs w:val="20"/>
              </w:rPr>
              <w:t>ACU</w:t>
            </w:r>
          </w:p>
        </w:tc>
        <w:tc>
          <w:tcPr>
            <w:tcW w:w="1384" w:type="dxa"/>
          </w:tcPr>
          <w:p w:rsidR="007260D0" w:rsidRPr="00CB5054" w:rsidRDefault="007260D0"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0.98</w:t>
            </w:r>
          </w:p>
        </w:tc>
      </w:tr>
      <w:tr w:rsidR="007260D0" w:rsidTr="007260D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383" w:type="dxa"/>
          </w:tcPr>
          <w:p w:rsidR="007260D0" w:rsidRPr="00CB5054" w:rsidRDefault="007260D0" w:rsidP="007260D0">
            <w:pPr>
              <w:jc w:val="right"/>
              <w:rPr>
                <w:b w:val="0"/>
                <w:sz w:val="20"/>
                <w:szCs w:val="20"/>
              </w:rPr>
            </w:pPr>
            <w:r w:rsidRPr="00CB5054">
              <w:rPr>
                <w:b w:val="0"/>
                <w:sz w:val="20"/>
                <w:szCs w:val="20"/>
              </w:rPr>
              <w:t>CFG</w:t>
            </w:r>
          </w:p>
        </w:tc>
        <w:tc>
          <w:tcPr>
            <w:tcW w:w="1384" w:type="dxa"/>
          </w:tcPr>
          <w:p w:rsidR="007260D0" w:rsidRPr="00CB5054" w:rsidRDefault="007260D0"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0.98</w:t>
            </w:r>
          </w:p>
        </w:tc>
      </w:tr>
      <w:tr w:rsidR="007260D0" w:rsidTr="007260D0">
        <w:trPr>
          <w:trHeight w:val="248"/>
        </w:trPr>
        <w:tc>
          <w:tcPr>
            <w:cnfStyle w:val="001000000000" w:firstRow="0" w:lastRow="0" w:firstColumn="1" w:lastColumn="0" w:oddVBand="0" w:evenVBand="0" w:oddHBand="0" w:evenHBand="0" w:firstRowFirstColumn="0" w:firstRowLastColumn="0" w:lastRowFirstColumn="0" w:lastRowLastColumn="0"/>
            <w:tcW w:w="1383" w:type="dxa"/>
          </w:tcPr>
          <w:p w:rsidR="007260D0" w:rsidRPr="00CB5054" w:rsidRDefault="007260D0" w:rsidP="007260D0">
            <w:pPr>
              <w:jc w:val="right"/>
              <w:rPr>
                <w:b w:val="0"/>
                <w:sz w:val="20"/>
                <w:szCs w:val="20"/>
              </w:rPr>
            </w:pPr>
            <w:r w:rsidRPr="00CB5054">
              <w:rPr>
                <w:b w:val="0"/>
                <w:sz w:val="20"/>
                <w:szCs w:val="20"/>
              </w:rPr>
              <w:t>FRC</w:t>
            </w:r>
          </w:p>
        </w:tc>
        <w:tc>
          <w:tcPr>
            <w:tcW w:w="1384" w:type="dxa"/>
          </w:tcPr>
          <w:p w:rsidR="007260D0" w:rsidRPr="00CB5054" w:rsidRDefault="007260D0"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0.96</w:t>
            </w:r>
          </w:p>
        </w:tc>
      </w:tr>
      <w:tr w:rsidR="007260D0" w:rsidTr="007260D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83" w:type="dxa"/>
          </w:tcPr>
          <w:p w:rsidR="007260D0" w:rsidRPr="00CB5054" w:rsidRDefault="007260D0" w:rsidP="007260D0">
            <w:pPr>
              <w:jc w:val="right"/>
              <w:rPr>
                <w:b w:val="0"/>
                <w:sz w:val="20"/>
                <w:szCs w:val="20"/>
              </w:rPr>
            </w:pPr>
            <w:r w:rsidRPr="00CB5054">
              <w:rPr>
                <w:b w:val="0"/>
                <w:sz w:val="20"/>
                <w:szCs w:val="20"/>
              </w:rPr>
              <w:t>NJCONS</w:t>
            </w:r>
          </w:p>
        </w:tc>
        <w:tc>
          <w:tcPr>
            <w:tcW w:w="1384" w:type="dxa"/>
          </w:tcPr>
          <w:p w:rsidR="007260D0" w:rsidRPr="00CB5054" w:rsidRDefault="007260D0" w:rsidP="007260D0">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0.97</w:t>
            </w:r>
          </w:p>
        </w:tc>
      </w:tr>
      <w:tr w:rsidR="007260D0" w:rsidTr="007260D0">
        <w:trPr>
          <w:trHeight w:val="248"/>
        </w:trPr>
        <w:tc>
          <w:tcPr>
            <w:cnfStyle w:val="001000000000" w:firstRow="0" w:lastRow="0" w:firstColumn="1" w:lastColumn="0" w:oddVBand="0" w:evenVBand="0" w:oddHBand="0" w:evenHBand="0" w:firstRowFirstColumn="0" w:firstRowLastColumn="0" w:lastRowFirstColumn="0" w:lastRowLastColumn="0"/>
            <w:tcW w:w="1383" w:type="dxa"/>
          </w:tcPr>
          <w:p w:rsidR="007260D0" w:rsidRPr="00CB5054" w:rsidRDefault="007260D0" w:rsidP="007260D0">
            <w:pPr>
              <w:jc w:val="right"/>
              <w:rPr>
                <w:b w:val="0"/>
                <w:sz w:val="20"/>
                <w:szCs w:val="20"/>
              </w:rPr>
            </w:pPr>
            <w:r w:rsidRPr="00CB5054">
              <w:rPr>
                <w:b w:val="0"/>
                <w:sz w:val="20"/>
                <w:szCs w:val="20"/>
              </w:rPr>
              <w:t>DWNOM</w:t>
            </w:r>
          </w:p>
        </w:tc>
        <w:tc>
          <w:tcPr>
            <w:tcW w:w="1384" w:type="dxa"/>
          </w:tcPr>
          <w:p w:rsidR="007260D0" w:rsidRPr="00CB5054" w:rsidRDefault="007260D0" w:rsidP="007260D0">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0.98</w:t>
            </w:r>
          </w:p>
        </w:tc>
      </w:tr>
    </w:tbl>
    <w:p w:rsidR="007260D0" w:rsidRPr="006110BD" w:rsidRDefault="006110BD" w:rsidP="006110BD">
      <w:pPr>
        <w:spacing w:line="480" w:lineRule="auto"/>
        <w:contextualSpacing/>
        <w:jc w:val="both"/>
        <w:rPr>
          <w:rFonts w:cs="Times New Roman"/>
          <w:szCs w:val="24"/>
        </w:rPr>
      </w:pPr>
      <w:r>
        <w:rPr>
          <w:rFonts w:cs="Times New Roman"/>
          <w:szCs w:val="24"/>
        </w:rPr>
        <w:tab/>
      </w:r>
    </w:p>
    <w:p w:rsidR="007260D0" w:rsidRPr="006110BD" w:rsidRDefault="007260D0" w:rsidP="006110BD">
      <w:pPr>
        <w:spacing w:line="480" w:lineRule="auto"/>
        <w:contextualSpacing/>
        <w:jc w:val="both"/>
        <w:rPr>
          <w:rFonts w:cs="Times New Roman"/>
          <w:szCs w:val="24"/>
        </w:rPr>
      </w:pPr>
    </w:p>
    <w:p w:rsidR="006110BD" w:rsidRPr="006110BD" w:rsidRDefault="006110BD" w:rsidP="006110BD">
      <w:pPr>
        <w:spacing w:line="480" w:lineRule="auto"/>
        <w:contextualSpacing/>
        <w:jc w:val="both"/>
        <w:rPr>
          <w:rFonts w:cs="Times New Roman"/>
          <w:szCs w:val="24"/>
        </w:rPr>
      </w:pPr>
    </w:p>
    <w:p w:rsidR="00D868F7" w:rsidRDefault="00D868F7" w:rsidP="00E1780F">
      <w:pPr>
        <w:jc w:val="both"/>
        <w:rPr>
          <w:rFonts w:cs="Times New Roman"/>
          <w:b/>
          <w:i/>
          <w:szCs w:val="24"/>
        </w:rPr>
      </w:pPr>
    </w:p>
    <w:p w:rsidR="009A7A62" w:rsidRDefault="009A7A62" w:rsidP="009A7A62">
      <w:pPr>
        <w:rPr>
          <w:b/>
        </w:rPr>
      </w:pPr>
    </w:p>
    <w:p w:rsidR="00CF1228" w:rsidRDefault="00CF1228" w:rsidP="009A7A62">
      <w:pPr>
        <w:rPr>
          <w:b/>
        </w:rPr>
      </w:pPr>
    </w:p>
    <w:p w:rsidR="009A6DA8" w:rsidRDefault="009A6DA8" w:rsidP="009A7A62">
      <w:pPr>
        <w:rPr>
          <w:b/>
        </w:rPr>
      </w:pPr>
    </w:p>
    <w:p w:rsidR="007260D0" w:rsidRDefault="007260D0" w:rsidP="009A7A62">
      <w:pPr>
        <w:rPr>
          <w:b/>
        </w:rPr>
      </w:pPr>
    </w:p>
    <w:p w:rsidR="007260D0" w:rsidRDefault="007260D0" w:rsidP="009A7A62">
      <w:pPr>
        <w:rPr>
          <w:b/>
        </w:rPr>
      </w:pPr>
    </w:p>
    <w:p w:rsidR="00DA527F" w:rsidRDefault="00DA527F" w:rsidP="009A7A62">
      <w:pPr>
        <w:rPr>
          <w:b/>
        </w:rPr>
      </w:pPr>
    </w:p>
    <w:p w:rsidR="007260D0" w:rsidRDefault="00F41870" w:rsidP="009A7A62">
      <w:pPr>
        <w:rPr>
          <w:b/>
        </w:rPr>
      </w:pPr>
      <w:r>
        <w:rPr>
          <w:b/>
        </w:rPr>
        <w:t>Figure 4: Scree Plot of PCFA</w:t>
      </w:r>
    </w:p>
    <w:p w:rsidR="007260D0" w:rsidRDefault="002549DB" w:rsidP="009A7A62">
      <w:pPr>
        <w:rPr>
          <w:b/>
        </w:rPr>
      </w:pPr>
      <w:r w:rsidRPr="002549DB">
        <w:rPr>
          <w:b/>
          <w:noProof/>
        </w:rPr>
        <w:drawing>
          <wp:inline distT="0" distB="0" distL="0" distR="0">
            <wp:extent cx="3595108" cy="2631057"/>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5387" cy="2638580"/>
                    </a:xfrm>
                    <a:prstGeom prst="rect">
                      <a:avLst/>
                    </a:prstGeom>
                    <a:noFill/>
                    <a:ln>
                      <a:noFill/>
                    </a:ln>
                  </pic:spPr>
                </pic:pic>
              </a:graphicData>
            </a:graphic>
          </wp:inline>
        </w:drawing>
      </w:r>
    </w:p>
    <w:p w:rsidR="00E1780F" w:rsidRPr="00CA446B" w:rsidRDefault="00E1780F" w:rsidP="003E04D7">
      <w:pPr>
        <w:jc w:val="both"/>
        <w:rPr>
          <w:b/>
        </w:rPr>
      </w:pPr>
      <w:r w:rsidRPr="00CA446B">
        <w:rPr>
          <w:b/>
        </w:rPr>
        <w:lastRenderedPageBreak/>
        <w:t>Bibliography</w:t>
      </w:r>
    </w:p>
    <w:p w:rsidR="000C67A4" w:rsidRDefault="000C67A4" w:rsidP="005D6CE8">
      <w:pPr>
        <w:ind w:left="720" w:hanging="720"/>
        <w:jc w:val="both"/>
      </w:pPr>
      <w:r>
        <w:t>Abramowitz, Alan I., &amp; Kyle L. Saunders, “Is Polarization a Myth?”</w:t>
      </w:r>
      <w:r w:rsidR="005D6CE8">
        <w:t xml:space="preserve"> </w:t>
      </w:r>
      <w:r w:rsidR="005D6CE8">
        <w:rPr>
          <w:i/>
        </w:rPr>
        <w:t>The Journal of Politics</w:t>
      </w:r>
      <w:r w:rsidR="005D6CE8">
        <w:t>, Vol. 70, No. 2 (Apr., 2008), pp. 542-555.</w:t>
      </w:r>
      <w:r>
        <w:t xml:space="preserve"> </w:t>
      </w:r>
    </w:p>
    <w:p w:rsidR="00E1780F" w:rsidRPr="00CA446B" w:rsidRDefault="00E1780F" w:rsidP="00E1780F">
      <w:pPr>
        <w:jc w:val="both"/>
      </w:pPr>
      <w:r w:rsidRPr="00CA446B">
        <w:t xml:space="preserve">Aldrich, John, </w:t>
      </w:r>
      <w:r w:rsidRPr="00CA446B">
        <w:rPr>
          <w:i/>
        </w:rPr>
        <w:t>Why Parties? A Second Look</w:t>
      </w:r>
      <w:r w:rsidRPr="00CA446B">
        <w:t>, The University of Chicago Press, 2011.</w:t>
      </w:r>
    </w:p>
    <w:p w:rsidR="00E1780F" w:rsidRPr="00CA446B" w:rsidRDefault="00E1780F" w:rsidP="008854BD">
      <w:pPr>
        <w:ind w:left="720" w:hanging="720"/>
        <w:jc w:val="both"/>
      </w:pPr>
      <w:r w:rsidRPr="00CA446B">
        <w:t xml:space="preserve">Aldrich, John, &amp; David W. Rohde, “Congressional Committees in a Continuing Partisan Era,” in </w:t>
      </w:r>
      <w:r w:rsidRPr="00CA446B">
        <w:rPr>
          <w:i/>
        </w:rPr>
        <w:t>Congress Reconsidered</w:t>
      </w:r>
      <w:r w:rsidRPr="00CA446B">
        <w:t>, 9</w:t>
      </w:r>
      <w:r w:rsidRPr="00CA446B">
        <w:rPr>
          <w:vertAlign w:val="superscript"/>
        </w:rPr>
        <w:t>th</w:t>
      </w:r>
      <w:r w:rsidRPr="00CA446B">
        <w:t xml:space="preserve"> Edition, Eds. Lawrence C. Dodd &amp; Bruce I. Oppenheimer, CQ Press, 2009.</w:t>
      </w:r>
    </w:p>
    <w:p w:rsidR="00E1780F" w:rsidRPr="00CA446B" w:rsidRDefault="00E1780F" w:rsidP="008854BD">
      <w:pPr>
        <w:ind w:left="720" w:hanging="720"/>
        <w:jc w:val="both"/>
      </w:pPr>
      <w:r w:rsidRPr="00CA446B">
        <w:t xml:space="preserve">Aldrich, John, &amp; David W. Rohde, “Transition to Republican Rule in the House: Implications for Theories of Congressional Politics,” </w:t>
      </w:r>
      <w:r w:rsidRPr="00CA446B">
        <w:rPr>
          <w:i/>
        </w:rPr>
        <w:t>Political Science Quarterly</w:t>
      </w:r>
      <w:r w:rsidRPr="00CA446B">
        <w:t>, Vol. 112, No. 4 (Winter 1997-1998), pp. 541-567.</w:t>
      </w:r>
    </w:p>
    <w:p w:rsidR="00E1780F" w:rsidRPr="00CA446B" w:rsidRDefault="00E1780F" w:rsidP="008854BD">
      <w:pPr>
        <w:ind w:left="720" w:hanging="720"/>
        <w:jc w:val="both"/>
      </w:pPr>
      <w:r w:rsidRPr="00CA446B">
        <w:t xml:space="preserve">Aldrich, John, et al., “Party and Constituency in the U.S. Senate,” in </w:t>
      </w:r>
      <w:r w:rsidRPr="00CA446B">
        <w:rPr>
          <w:i/>
        </w:rPr>
        <w:t>Why Not Parties? Party Effects in the U.S. Senate</w:t>
      </w:r>
      <w:r w:rsidRPr="00CA446B">
        <w:t>, Eds. Nathan W. Monroe, Jason M. Roberts, &amp; David W. Rohde, The University of Chicago Press, 2008.</w:t>
      </w:r>
    </w:p>
    <w:p w:rsidR="00E1780F" w:rsidRDefault="00E1780F" w:rsidP="008854BD">
      <w:pPr>
        <w:ind w:left="720" w:hanging="720"/>
        <w:jc w:val="both"/>
      </w:pPr>
      <w:r w:rsidRPr="00CA446B">
        <w:t xml:space="preserve">Binder, Sarah A., </w:t>
      </w:r>
      <w:r w:rsidRPr="00CA446B">
        <w:rPr>
          <w:i/>
        </w:rPr>
        <w:t>Minority Rights, Majority Rule: Partisanship and the Development of Congress</w:t>
      </w:r>
      <w:r w:rsidRPr="00CA446B">
        <w:t>, Cambridge University Press, 1997.</w:t>
      </w:r>
    </w:p>
    <w:p w:rsidR="00791481" w:rsidRPr="00791481" w:rsidRDefault="00791481" w:rsidP="008854BD">
      <w:pPr>
        <w:ind w:left="720" w:hanging="720"/>
        <w:jc w:val="both"/>
      </w:pPr>
      <w:r>
        <w:t xml:space="preserve">Binder, Sarah A., “The Dynamics of Legislative Gridlock, 1947-1996,” </w:t>
      </w:r>
      <w:r>
        <w:rPr>
          <w:i/>
        </w:rPr>
        <w:t>The American Political Science Review</w:t>
      </w:r>
      <w:r>
        <w:t>, Vol. 93, No. 3 (Sep., 1999), pp. 519-533.</w:t>
      </w:r>
    </w:p>
    <w:p w:rsidR="00436DF6" w:rsidRDefault="00436DF6" w:rsidP="008854BD">
      <w:pPr>
        <w:ind w:left="720" w:hanging="720"/>
        <w:jc w:val="both"/>
      </w:pPr>
      <w:r>
        <w:t xml:space="preserve">Boatright, Robert G., “The Voice of American Business: The U.S. Chamber of Commerce and the 2010 Elections, in </w:t>
      </w:r>
      <w:r>
        <w:rPr>
          <w:i/>
        </w:rPr>
        <w:t>Interest Groups Unleashed</w:t>
      </w:r>
      <w:r>
        <w:t>, Eds. Paul S. Herrnson, Christopher J. Deering, &amp; Clyde Wilcox, CQ Press, 2013.</w:t>
      </w:r>
    </w:p>
    <w:p w:rsidR="00E1780F" w:rsidRDefault="00E1780F" w:rsidP="008854BD">
      <w:pPr>
        <w:ind w:left="720" w:hanging="720"/>
        <w:jc w:val="both"/>
      </w:pPr>
      <w:r w:rsidRPr="00CA446B">
        <w:t xml:space="preserve">Brady, David W., Joseph Cooper, &amp; Patricia Hurley, “The Decline of Party in the U.S. House of Representatives, 1887-1968,” </w:t>
      </w:r>
      <w:r w:rsidRPr="00CA446B">
        <w:rPr>
          <w:i/>
        </w:rPr>
        <w:t>Legislative Studies Quarterly</w:t>
      </w:r>
      <w:r w:rsidRPr="00CA446B">
        <w:t>, Vol. 4, No. 3 (Aug., 1979), pp. 381-407.</w:t>
      </w:r>
    </w:p>
    <w:p w:rsidR="00A04534" w:rsidRDefault="00A04534" w:rsidP="008854BD">
      <w:pPr>
        <w:ind w:left="720" w:hanging="720"/>
        <w:jc w:val="both"/>
      </w:pPr>
      <w:r>
        <w:t>Brunell, Thomas L., William Koetzle, John Dinardo, Bernard Grofman, &amp; Scott L. Feld, “The R</w:t>
      </w:r>
      <w:r>
        <w:rPr>
          <w:vertAlign w:val="superscript"/>
        </w:rPr>
        <w:t>2</w:t>
      </w:r>
      <w:r>
        <w:t xml:space="preserve"> = .93: Where Then Do They Differ? Comparing Liberal and Conservative Interest Group Ratings,” </w:t>
      </w:r>
      <w:r>
        <w:rPr>
          <w:i/>
        </w:rPr>
        <w:t>Legislative Studies Quarterly</w:t>
      </w:r>
      <w:r>
        <w:t xml:space="preserve">, Vol. 24, No.1 (Feb., 1999), pp. 87-101. </w:t>
      </w:r>
    </w:p>
    <w:p w:rsidR="004969B3" w:rsidRDefault="004969B3" w:rsidP="008854BD">
      <w:pPr>
        <w:ind w:left="720" w:hanging="720"/>
        <w:jc w:val="both"/>
      </w:pPr>
      <w:r>
        <w:t>Bump, Philip, “</w:t>
      </w:r>
      <w:r w:rsidRPr="004969B3">
        <w:t>It’s a holiday miracle! The 113th Congress (probably) wasn’t the least productive ever!</w:t>
      </w:r>
      <w:r>
        <w:t xml:space="preserve">” </w:t>
      </w:r>
      <w:r>
        <w:rPr>
          <w:i/>
        </w:rPr>
        <w:t>Washington Post</w:t>
      </w:r>
      <w:r>
        <w:t>, December 19, 2014.</w:t>
      </w:r>
    </w:p>
    <w:p w:rsidR="004B205E" w:rsidRPr="004B205E" w:rsidRDefault="004B205E" w:rsidP="008854BD">
      <w:pPr>
        <w:ind w:left="720" w:hanging="720"/>
        <w:jc w:val="both"/>
      </w:pPr>
      <w:r>
        <w:t xml:space="preserve">Burden, Barry C., Gregory A. Caldeira, &amp; Tim Groseclose, “Measuring the Ideologies of U.S. Senators: The Song Remains the Same,” </w:t>
      </w:r>
      <w:r>
        <w:rPr>
          <w:i/>
        </w:rPr>
        <w:t>Legislative Studies Quarterly</w:t>
      </w:r>
      <w:r>
        <w:t xml:space="preserve">, Vol. 25, No. 2 (May, 2000), pp. 237-258. </w:t>
      </w:r>
    </w:p>
    <w:p w:rsidR="00E1780F" w:rsidRPr="00CA446B" w:rsidRDefault="00E1780F" w:rsidP="008854BD">
      <w:pPr>
        <w:ind w:left="720" w:hanging="720"/>
        <w:jc w:val="both"/>
      </w:pPr>
      <w:r w:rsidRPr="00CA446B">
        <w:t xml:space="preserve">Carson, Jamie L., “Electoral Accountability, Party Loyalty, and Roll-Call Voting in the U.S. Senate,” in </w:t>
      </w:r>
      <w:r w:rsidRPr="00CA446B">
        <w:rPr>
          <w:i/>
        </w:rPr>
        <w:t>Why Not Parties? Party Effects in the U.S. Senate</w:t>
      </w:r>
      <w:r w:rsidRPr="00CA446B">
        <w:t>, Eds. Nathan W. Monroe, Jason M. Roberts, &amp; David W. Rohde, The University of Chicago Press, 2008.</w:t>
      </w:r>
    </w:p>
    <w:p w:rsidR="00E1780F" w:rsidRPr="00CA446B" w:rsidRDefault="00E1780F" w:rsidP="008854BD">
      <w:pPr>
        <w:ind w:left="720" w:hanging="720"/>
        <w:jc w:val="both"/>
      </w:pPr>
      <w:r w:rsidRPr="00CA446B">
        <w:lastRenderedPageBreak/>
        <w:t xml:space="preserve">Cooper, Joseph, &amp; David W. Brady, “Institutional Context and Leadership Style: The House from Cannon to Rayburn, </w:t>
      </w:r>
      <w:r w:rsidRPr="00CA446B">
        <w:rPr>
          <w:i/>
        </w:rPr>
        <w:t>The American Political Science Review</w:t>
      </w:r>
      <w:r w:rsidRPr="00CA446B">
        <w:t>, Vol. 75, No. 2 (Jun., 1981), pp. 411-425.</w:t>
      </w:r>
    </w:p>
    <w:p w:rsidR="00E1780F" w:rsidRPr="00CA446B" w:rsidRDefault="00E1780F" w:rsidP="008854BD">
      <w:pPr>
        <w:ind w:left="720" w:hanging="720"/>
        <w:jc w:val="both"/>
      </w:pPr>
      <w:r w:rsidRPr="00CA446B">
        <w:t xml:space="preserve">Cox, Gary W., &amp; Keith T. Poole, “On Measuring Partisanship in Roll-Call Voting: The U.S. House of Representatives, 1877-1999,” </w:t>
      </w:r>
      <w:r w:rsidRPr="00CA446B">
        <w:rPr>
          <w:i/>
        </w:rPr>
        <w:t>American Journal of Political Science</w:t>
      </w:r>
      <w:r w:rsidRPr="00CA446B">
        <w:t>, Vol. 46, No. 3 (Jul., 2002), pp. 477-489.</w:t>
      </w:r>
    </w:p>
    <w:p w:rsidR="00E1780F" w:rsidRPr="00CA446B" w:rsidRDefault="00E1780F" w:rsidP="008854BD">
      <w:pPr>
        <w:ind w:left="720" w:hanging="720"/>
        <w:jc w:val="both"/>
      </w:pPr>
      <w:r w:rsidRPr="00CA446B">
        <w:t xml:space="preserve">Cox, Gary W., &amp; Matthew D. McCubbins, </w:t>
      </w:r>
      <w:r w:rsidRPr="00CA446B">
        <w:rPr>
          <w:i/>
        </w:rPr>
        <w:t>Legislative Leviathan: Party Government in the House</w:t>
      </w:r>
      <w:r w:rsidRPr="00CA446B">
        <w:t>, University of California Press, 1993.</w:t>
      </w:r>
    </w:p>
    <w:p w:rsidR="00E1780F" w:rsidRPr="00CA446B" w:rsidRDefault="008854BD" w:rsidP="008854BD">
      <w:pPr>
        <w:ind w:left="720" w:hanging="720"/>
        <w:jc w:val="both"/>
      </w:pPr>
      <w:r>
        <w:t xml:space="preserve">Cox, </w:t>
      </w:r>
      <w:r w:rsidR="00E1780F" w:rsidRPr="00CA446B">
        <w:t xml:space="preserve">Gary W., &amp; Matthew D. McCubbins, </w:t>
      </w:r>
      <w:r w:rsidR="00E1780F" w:rsidRPr="00CA446B">
        <w:rPr>
          <w:i/>
        </w:rPr>
        <w:t>Setting the Agenda in the U.S. House of Representatives: Responsible Party Government</w:t>
      </w:r>
      <w:r w:rsidR="00E1780F" w:rsidRPr="00CA446B">
        <w:t>, Cambridge University Press, 2005.</w:t>
      </w:r>
    </w:p>
    <w:p w:rsidR="00BF3ADE" w:rsidRDefault="00BF3ADE" w:rsidP="008854BD">
      <w:pPr>
        <w:ind w:left="720" w:hanging="720"/>
        <w:jc w:val="both"/>
      </w:pPr>
      <w:r>
        <w:t xml:space="preserve">Dodd, Lawrence C., &amp; Scot Schraufnagel, “Party Polarization and Policy Productivity in Congress: From Harding to Obama,” in </w:t>
      </w:r>
      <w:r>
        <w:rPr>
          <w:i/>
        </w:rPr>
        <w:t>Congress Reconsidered</w:t>
      </w:r>
      <w:r>
        <w:t>, 10</w:t>
      </w:r>
      <w:r w:rsidRPr="00BF3ADE">
        <w:rPr>
          <w:vertAlign w:val="superscript"/>
        </w:rPr>
        <w:t>th</w:t>
      </w:r>
      <w:r>
        <w:t xml:space="preserve"> Edition, Eds. Lawrence C. Dodd &amp; Bruce I. Oppenheimer, CQ Press, 2013.</w:t>
      </w:r>
    </w:p>
    <w:p w:rsidR="00E1780F" w:rsidRDefault="00E1780F" w:rsidP="008854BD">
      <w:pPr>
        <w:ind w:left="720" w:hanging="720"/>
        <w:jc w:val="both"/>
      </w:pPr>
      <w:r w:rsidRPr="00CA446B">
        <w:t xml:space="preserve">Finocchiaro, Charles J., &amp; David W. Rohde, “War for the Floor: Partisan Theory and Agenda Control in the U.S. House,” </w:t>
      </w:r>
      <w:r w:rsidRPr="00CA446B">
        <w:rPr>
          <w:i/>
        </w:rPr>
        <w:t>Legislative Studies Quarterly</w:t>
      </w:r>
      <w:r w:rsidRPr="00CA446B">
        <w:t>, Vol. 33, No. 1 (Feb., 2008), pp. 35-61</w:t>
      </w:r>
    </w:p>
    <w:p w:rsidR="00C322B1" w:rsidRPr="00C322B1" w:rsidRDefault="00C322B1" w:rsidP="008854BD">
      <w:pPr>
        <w:ind w:left="720" w:hanging="720"/>
        <w:jc w:val="both"/>
      </w:pPr>
      <w:r>
        <w:t xml:space="preserve">Fowler, Linda L., “How Interest Groups Select Issues for Rating Voting Records of Members of the U.S. Congress,” </w:t>
      </w:r>
      <w:r>
        <w:rPr>
          <w:i/>
        </w:rPr>
        <w:t>Legislative Studies Quarterly</w:t>
      </w:r>
      <w:r>
        <w:t>, Vol. 7, No. 3 (Aug., 1982), pp. 401-413.</w:t>
      </w:r>
    </w:p>
    <w:p w:rsidR="00436DF6" w:rsidRPr="00436DF6" w:rsidRDefault="00436DF6" w:rsidP="008854BD">
      <w:pPr>
        <w:ind w:left="720" w:hanging="720"/>
        <w:jc w:val="both"/>
      </w:pPr>
      <w:r>
        <w:t xml:space="preserve">Herrnson, Paul S., “A New Era of Interest Group Participation in Federal Elections,” in </w:t>
      </w:r>
      <w:r>
        <w:rPr>
          <w:i/>
        </w:rPr>
        <w:t>Interest Groups Unleashed</w:t>
      </w:r>
      <w:r>
        <w:t>, Eds. Paul S. Herrnson, Christopher J. Deering, &amp; Clyde Wilcox, CQ Press, 2013.</w:t>
      </w:r>
    </w:p>
    <w:p w:rsidR="00E1780F" w:rsidRPr="00CA446B" w:rsidRDefault="00E1780F" w:rsidP="008854BD">
      <w:pPr>
        <w:ind w:left="720" w:hanging="720"/>
        <w:jc w:val="both"/>
      </w:pPr>
      <w:r w:rsidRPr="00CA446B">
        <w:t xml:space="preserve">Jackson, John E., &amp; John W. Kingdon, “Ideology, Interest Group Scores, and Legislative Votes,” </w:t>
      </w:r>
      <w:r w:rsidRPr="00CA446B">
        <w:rPr>
          <w:i/>
        </w:rPr>
        <w:t>American Journal of Political Science</w:t>
      </w:r>
      <w:r w:rsidRPr="00CA446B">
        <w:t>, Vol. 36, No. 3 (Aug., 1992), pp. 805-823.</w:t>
      </w:r>
    </w:p>
    <w:p w:rsidR="008854BD" w:rsidRPr="008854BD" w:rsidRDefault="008854BD" w:rsidP="008854BD">
      <w:pPr>
        <w:ind w:left="720" w:hanging="720"/>
        <w:jc w:val="both"/>
      </w:pPr>
      <w:r>
        <w:t xml:space="preserve">Jones, David R., “Party Polarization and Legislative Gridlock,” </w:t>
      </w:r>
      <w:r>
        <w:rPr>
          <w:i/>
        </w:rPr>
        <w:t>Political Research Quarterly</w:t>
      </w:r>
      <w:r>
        <w:t>, Vol. 54, No. 1 (Mar., 2001), pp. 125-141.</w:t>
      </w:r>
    </w:p>
    <w:p w:rsidR="00E1780F" w:rsidRPr="00CA446B" w:rsidRDefault="00E1780F" w:rsidP="008854BD">
      <w:pPr>
        <w:ind w:left="720" w:hanging="720"/>
        <w:jc w:val="both"/>
      </w:pPr>
      <w:r w:rsidRPr="00CA446B">
        <w:t xml:space="preserve">Koford, Kenneth, “Dimensions in Congressional Voting,” </w:t>
      </w:r>
      <w:r w:rsidRPr="00CA446B">
        <w:rPr>
          <w:i/>
        </w:rPr>
        <w:t>The American Political Science Review</w:t>
      </w:r>
      <w:r w:rsidRPr="00CA446B">
        <w:t>, Vol. 83, No. 3 (Sep., 1989), pp. 949-962.</w:t>
      </w:r>
    </w:p>
    <w:p w:rsidR="00E1780F" w:rsidRDefault="00E1780F" w:rsidP="008854BD">
      <w:pPr>
        <w:ind w:left="720" w:hanging="720"/>
        <w:jc w:val="both"/>
      </w:pPr>
      <w:r w:rsidRPr="00CA446B">
        <w:t xml:space="preserve">Koger, Gregory, “Filibustering and Majority Rule in the Senate: The Contest Over Judicial Nominations, 2003-2005,” in </w:t>
      </w:r>
      <w:r w:rsidRPr="00CA446B">
        <w:rPr>
          <w:i/>
        </w:rPr>
        <w:t>Why Not Parties? Party Effects in the U.S. Senate</w:t>
      </w:r>
      <w:r w:rsidRPr="00CA446B">
        <w:t>, Eds. Nathan W. Monroe, Jason M. Roberts, &amp; David W. Rohde, The University of Chicago Press, 2008.</w:t>
      </w:r>
    </w:p>
    <w:p w:rsidR="00C322B1" w:rsidRPr="00C322B1" w:rsidRDefault="00C322B1" w:rsidP="008854BD">
      <w:pPr>
        <w:ind w:left="720" w:hanging="720"/>
        <w:jc w:val="both"/>
      </w:pPr>
      <w:r>
        <w:t xml:space="preserve">Krehbiel, Keith, “Deference, Extremism, and Interest Group Ratings,” </w:t>
      </w:r>
      <w:r>
        <w:rPr>
          <w:i/>
        </w:rPr>
        <w:t>Legislative Studies Quarterly</w:t>
      </w:r>
      <w:r>
        <w:t>, Vol. 19, No. 1 (Feb., 1994), pp. 61-77.</w:t>
      </w:r>
    </w:p>
    <w:p w:rsidR="006110BD" w:rsidRPr="006110BD" w:rsidRDefault="006110BD" w:rsidP="008854BD">
      <w:pPr>
        <w:ind w:left="720" w:hanging="720"/>
        <w:jc w:val="both"/>
      </w:pPr>
      <w:r>
        <w:t xml:space="preserve">Levendusky, Matthew, </w:t>
      </w:r>
      <w:r>
        <w:rPr>
          <w:i/>
        </w:rPr>
        <w:t>The Partisan Sort: How Liberals Became Democrats and Conservatives Became Republicans</w:t>
      </w:r>
      <w:r>
        <w:t>. The University of Chicago Press, 2009.</w:t>
      </w:r>
    </w:p>
    <w:p w:rsidR="00E1780F" w:rsidRDefault="00E1780F" w:rsidP="008854BD">
      <w:pPr>
        <w:ind w:left="720" w:hanging="720"/>
        <w:jc w:val="both"/>
      </w:pPr>
      <w:r w:rsidRPr="00CA446B">
        <w:lastRenderedPageBreak/>
        <w:t xml:space="preserve">Levitt, Steven D., “How Do Senators Vote? Disentangling the Role of Voter Preferences, Party Affiliation, and Senator Ideology,” </w:t>
      </w:r>
      <w:r w:rsidRPr="00CA446B">
        <w:rPr>
          <w:i/>
        </w:rPr>
        <w:t>The American Economic Review</w:t>
      </w:r>
      <w:r w:rsidRPr="00CA446B">
        <w:t>, Vol. 86, No. 3 (Jun., 1996), pp. 425-441.</w:t>
      </w:r>
    </w:p>
    <w:p w:rsidR="00A411ED" w:rsidRDefault="00A411ED" w:rsidP="008854BD">
      <w:pPr>
        <w:ind w:left="720" w:hanging="720"/>
        <w:jc w:val="both"/>
      </w:pPr>
      <w:r>
        <w:t>Memoli, Michael A., “113</w:t>
      </w:r>
      <w:r w:rsidRPr="00A411ED">
        <w:rPr>
          <w:vertAlign w:val="superscript"/>
        </w:rPr>
        <w:t>th</w:t>
      </w:r>
      <w:r>
        <w:t xml:space="preserve"> Congress Just Barely Avoids Being the Least Productive in History,” </w:t>
      </w:r>
      <w:r>
        <w:rPr>
          <w:i/>
        </w:rPr>
        <w:t>Los Angeles Times</w:t>
      </w:r>
      <w:r>
        <w:t>, December 18, 2014.</w:t>
      </w:r>
    </w:p>
    <w:p w:rsidR="006110BD" w:rsidRPr="006110BD" w:rsidRDefault="006110BD" w:rsidP="008854BD">
      <w:pPr>
        <w:ind w:left="720" w:hanging="720"/>
        <w:jc w:val="both"/>
      </w:pPr>
      <w:r>
        <w:t xml:space="preserve">Noel, Hans, </w:t>
      </w:r>
      <w:r>
        <w:rPr>
          <w:i/>
        </w:rPr>
        <w:t>Political Ideologies and Political Parties in America</w:t>
      </w:r>
      <w:r>
        <w:t>, Cambridge University Press, 2013.</w:t>
      </w:r>
    </w:p>
    <w:p w:rsidR="00E1780F" w:rsidRDefault="00E1780F" w:rsidP="008854BD">
      <w:pPr>
        <w:ind w:left="720" w:hanging="720"/>
        <w:jc w:val="both"/>
      </w:pPr>
      <w:r w:rsidRPr="00CA446B">
        <w:t xml:space="preserve">Pearson, Kathryn, “Party Loyalty and Discipline in the Individualistic Senate,” in </w:t>
      </w:r>
      <w:r w:rsidRPr="00CA446B">
        <w:rPr>
          <w:i/>
        </w:rPr>
        <w:t>Why Not Parties? Party Effects in the U.S. Senate</w:t>
      </w:r>
      <w:r w:rsidRPr="00CA446B">
        <w:t>, Eds. Nathan W. Monroe, Jason M. Roberts, &amp; David W. Rohde, The University of Chicago Press, 2008.</w:t>
      </w:r>
    </w:p>
    <w:p w:rsidR="00827C23" w:rsidRPr="00827C23" w:rsidRDefault="00827C23" w:rsidP="008854BD">
      <w:pPr>
        <w:ind w:left="720" w:hanging="720"/>
        <w:jc w:val="both"/>
      </w:pPr>
      <w:r>
        <w:t xml:space="preserve">Poole, Keith T., “Dimensions of Interest Groups Evaluation of the U.S. Senate, 1969-1978,” </w:t>
      </w:r>
      <w:r>
        <w:rPr>
          <w:i/>
        </w:rPr>
        <w:t>American Journal of Political Science</w:t>
      </w:r>
      <w:r>
        <w:t>, Vol. 25, No. 1 (Feb., 1981), pp. 49-67.</w:t>
      </w:r>
    </w:p>
    <w:p w:rsidR="006110BD" w:rsidRPr="006110BD" w:rsidRDefault="006110BD" w:rsidP="008854BD">
      <w:pPr>
        <w:ind w:left="720" w:hanging="720"/>
        <w:jc w:val="both"/>
      </w:pPr>
      <w:r>
        <w:t xml:space="preserve">Poole, Keith T., and Howard Rosenthal, “The Dynamics of Interest Group Evaluations of Congress,” </w:t>
      </w:r>
      <w:r>
        <w:rPr>
          <w:i/>
        </w:rPr>
        <w:t>Public Choice</w:t>
      </w:r>
      <w:r>
        <w:t xml:space="preserve">, Vol. 97, No. 3, Empirical Studies in Comparative Politics (Dec., 1998), </w:t>
      </w:r>
      <w:r w:rsidR="00827C23">
        <w:t>323-361.</w:t>
      </w:r>
    </w:p>
    <w:p w:rsidR="00E1780F" w:rsidRPr="00CA446B" w:rsidRDefault="00E1780F" w:rsidP="00E1780F">
      <w:pPr>
        <w:jc w:val="both"/>
      </w:pPr>
      <w:r w:rsidRPr="00CA446B">
        <w:t xml:space="preserve">Poole, Keith T., and Howard Rosenthal, </w:t>
      </w:r>
      <w:r w:rsidRPr="00CA446B">
        <w:rPr>
          <w:i/>
        </w:rPr>
        <w:t>Ideology and Congress</w:t>
      </w:r>
      <w:r w:rsidRPr="00CA446B">
        <w:t>, Transaction Publishers, 2007.</w:t>
      </w:r>
    </w:p>
    <w:p w:rsidR="00E1780F" w:rsidRPr="00CA446B" w:rsidRDefault="00E1780F" w:rsidP="008854BD">
      <w:pPr>
        <w:ind w:left="720" w:hanging="720"/>
        <w:jc w:val="both"/>
      </w:pPr>
      <w:r w:rsidRPr="00CA446B">
        <w:t xml:space="preserve">Poole, Keith T., &amp; R. Steven Daniels, “Ideology, Party, and Voting in the U.S. Congress, 1959-1980,” </w:t>
      </w:r>
      <w:r w:rsidRPr="00CA446B">
        <w:rPr>
          <w:i/>
        </w:rPr>
        <w:t>The American Political Science Review</w:t>
      </w:r>
      <w:r w:rsidRPr="00CA446B">
        <w:t xml:space="preserve">, Vol. 79, No. 2 (Jun,. 1985), pp. 373-399. </w:t>
      </w:r>
    </w:p>
    <w:p w:rsidR="00E1780F" w:rsidRPr="00CA446B" w:rsidRDefault="00E1780F" w:rsidP="008854BD">
      <w:pPr>
        <w:ind w:left="720" w:hanging="720"/>
        <w:jc w:val="both"/>
      </w:pPr>
      <w:r w:rsidRPr="00CA446B">
        <w:t xml:space="preserve">Roberts, Jason M., &amp; Lauren Cohen Bell, “Scoring the Senate: Scorecard, Parties, and Roll–Call Votes, in </w:t>
      </w:r>
      <w:r w:rsidRPr="00CA446B">
        <w:rPr>
          <w:i/>
        </w:rPr>
        <w:t>Why Not Parties? Party Effects in the U.S. Senate</w:t>
      </w:r>
      <w:r w:rsidRPr="00CA446B">
        <w:t>, Eds. Nathan W. Monroe, Jason M. Roberts, &amp; David W. Rohde, The University of Chicago Press, 2008.</w:t>
      </w:r>
    </w:p>
    <w:p w:rsidR="00E1780F" w:rsidRPr="00CA446B" w:rsidRDefault="00E1780F" w:rsidP="008854BD">
      <w:pPr>
        <w:ind w:left="720" w:hanging="720"/>
        <w:jc w:val="both"/>
      </w:pPr>
      <w:r w:rsidRPr="00CA446B">
        <w:t xml:space="preserve">Rohde, David W., </w:t>
      </w:r>
      <w:r w:rsidRPr="00CA446B">
        <w:rPr>
          <w:i/>
        </w:rPr>
        <w:t>Parties and Leaders in the Postreform House</w:t>
      </w:r>
      <w:r w:rsidRPr="00CA446B">
        <w:t>, The University of Chicago Press, 1991.</w:t>
      </w:r>
    </w:p>
    <w:p w:rsidR="00E1780F" w:rsidRPr="00CA446B" w:rsidRDefault="00E1780F" w:rsidP="008854BD">
      <w:pPr>
        <w:ind w:left="720" w:hanging="720"/>
        <w:jc w:val="both"/>
      </w:pPr>
      <w:r w:rsidRPr="00CA446B">
        <w:t xml:space="preserve">Sinclair, Barbara, “The New World of U.S. Senators,” in </w:t>
      </w:r>
      <w:r w:rsidRPr="00CA446B">
        <w:rPr>
          <w:i/>
        </w:rPr>
        <w:t>Congress Reconsidered</w:t>
      </w:r>
      <w:r w:rsidRPr="00CA446B">
        <w:t>, 9</w:t>
      </w:r>
      <w:r w:rsidRPr="00CA446B">
        <w:rPr>
          <w:vertAlign w:val="superscript"/>
        </w:rPr>
        <w:t>th</w:t>
      </w:r>
      <w:r w:rsidRPr="00CA446B">
        <w:t xml:space="preserve"> Edition, Eds. Lawrence C. Dodd &amp; Bruce I. Oppenheimer, CQ Press, 2009.</w:t>
      </w:r>
    </w:p>
    <w:p w:rsidR="00E1780F" w:rsidRPr="00CA446B" w:rsidRDefault="00E1780F" w:rsidP="008854BD">
      <w:pPr>
        <w:ind w:left="720" w:hanging="720"/>
        <w:jc w:val="both"/>
      </w:pPr>
      <w:r w:rsidRPr="00CA446B">
        <w:t xml:space="preserve">Smith, Steven S., “The Consistency and Ideological Structure of U.S. Senate Voting Alignments, 1957-1976,” </w:t>
      </w:r>
      <w:r w:rsidRPr="00CA446B">
        <w:rPr>
          <w:i/>
        </w:rPr>
        <w:t>American Journal of Political Science</w:t>
      </w:r>
      <w:r w:rsidRPr="00CA446B">
        <w:t>, Vol. 25, No. 4 (Nov., 1981), pp. 780-795.</w:t>
      </w:r>
    </w:p>
    <w:p w:rsidR="00E1780F" w:rsidRDefault="00E1780F" w:rsidP="008854BD">
      <w:pPr>
        <w:ind w:left="720" w:hanging="720"/>
        <w:jc w:val="both"/>
      </w:pPr>
      <w:r w:rsidRPr="00CA446B">
        <w:t>Smith, Steven S., &amp; Gerald Gamm, “The Dynamics of Party Government in Congress,” in</w:t>
      </w:r>
      <w:r w:rsidRPr="00CA446B">
        <w:rPr>
          <w:i/>
        </w:rPr>
        <w:t xml:space="preserve"> Congress Reconsidered</w:t>
      </w:r>
      <w:r w:rsidRPr="00CA446B">
        <w:t>, 9</w:t>
      </w:r>
      <w:r w:rsidRPr="00CA446B">
        <w:rPr>
          <w:vertAlign w:val="superscript"/>
        </w:rPr>
        <w:t>th</w:t>
      </w:r>
      <w:r w:rsidRPr="00CA446B">
        <w:t xml:space="preserve"> Edition, Eds. Lawrence C. Dodd &amp; Bruce I. Oppenheimer, CQ Press, 2009.</w:t>
      </w:r>
    </w:p>
    <w:p w:rsidR="006110BD" w:rsidRPr="00CA446B" w:rsidRDefault="006110BD" w:rsidP="006110BD">
      <w:pPr>
        <w:ind w:left="720" w:hanging="720"/>
        <w:jc w:val="both"/>
      </w:pPr>
      <w:r>
        <w:t xml:space="preserve">Snyder, James M. Jr., “Artificial Extremism in Interest Group Ratings,” </w:t>
      </w:r>
      <w:r>
        <w:rPr>
          <w:i/>
        </w:rPr>
        <w:t>Legislative Studies Quarterly</w:t>
      </w:r>
      <w:r>
        <w:t>, Vol. 17, No. 3 (Aug., 1992), pp. 319-345.</w:t>
      </w:r>
    </w:p>
    <w:p w:rsidR="00E1780F" w:rsidRDefault="00E1780F" w:rsidP="008854BD">
      <w:pPr>
        <w:ind w:left="720" w:hanging="720"/>
        <w:jc w:val="both"/>
      </w:pPr>
      <w:r w:rsidRPr="00CA446B">
        <w:t xml:space="preserve">Snyder, James M., &amp; Tim Groseclose, “Estimating Party Influence in Congressional Roll-Call Voting,” </w:t>
      </w:r>
      <w:r w:rsidRPr="00CA446B">
        <w:rPr>
          <w:i/>
        </w:rPr>
        <w:t>American Journal of Political Science</w:t>
      </w:r>
      <w:r w:rsidRPr="00CA446B">
        <w:t>, Vol. 44, No. 2 (Apr., 2000), pp. 193-211.</w:t>
      </w:r>
    </w:p>
    <w:p w:rsidR="00FD6B35" w:rsidRPr="00FD6B35" w:rsidRDefault="00FD6B35" w:rsidP="008854BD">
      <w:pPr>
        <w:ind w:left="720" w:hanging="720"/>
        <w:jc w:val="both"/>
      </w:pPr>
      <w:r>
        <w:lastRenderedPageBreak/>
        <w:t xml:space="preserve">Tabachnick, Barbara G., &amp; Linda S. Fidell, </w:t>
      </w:r>
      <w:r>
        <w:rPr>
          <w:i/>
        </w:rPr>
        <w:t>Using Multivariate Statistics</w:t>
      </w:r>
      <w:r>
        <w:t>, 5</w:t>
      </w:r>
      <w:r w:rsidRPr="00FD6B35">
        <w:rPr>
          <w:vertAlign w:val="superscript"/>
        </w:rPr>
        <w:t>th</w:t>
      </w:r>
      <w:r>
        <w:t xml:space="preserve"> Edition, Pearson, 2007.</w:t>
      </w:r>
    </w:p>
    <w:p w:rsidR="00E1780F" w:rsidRPr="00CA446B" w:rsidRDefault="00E1780F" w:rsidP="008854BD">
      <w:pPr>
        <w:ind w:left="720" w:hanging="720"/>
        <w:jc w:val="both"/>
      </w:pPr>
      <w:r w:rsidRPr="00CA446B">
        <w:t xml:space="preserve">Wilcox, Clyde, &amp; Aage Clausen, “The Dimensionality of Roll-Call Voting Reconsidered,” </w:t>
      </w:r>
      <w:r w:rsidRPr="00CA446B">
        <w:rPr>
          <w:i/>
        </w:rPr>
        <w:t>Legislative Studies Quarterly</w:t>
      </w:r>
      <w:r w:rsidRPr="00CA446B">
        <w:t>, Vol. 16, No. 3 (Aug., 1991), pp. 394-406.</w:t>
      </w:r>
    </w:p>
    <w:p w:rsidR="00E1780F" w:rsidRDefault="00E1780F" w:rsidP="008636E5">
      <w:pPr>
        <w:jc w:val="both"/>
      </w:pPr>
    </w:p>
    <w:sectPr w:rsidR="00E1780F" w:rsidSect="00077F4B">
      <w:footerReference w:type="defaul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5BF" w:rsidRDefault="001E45BF" w:rsidP="00B46761">
      <w:pPr>
        <w:spacing w:after="0" w:line="240" w:lineRule="auto"/>
      </w:pPr>
      <w:r>
        <w:separator/>
      </w:r>
    </w:p>
  </w:endnote>
  <w:endnote w:type="continuationSeparator" w:id="0">
    <w:p w:rsidR="001E45BF" w:rsidRDefault="001E45BF" w:rsidP="00B4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067225"/>
      <w:docPartObj>
        <w:docPartGallery w:val="Page Numbers (Bottom of Page)"/>
        <w:docPartUnique/>
      </w:docPartObj>
    </w:sdtPr>
    <w:sdtEndPr>
      <w:rPr>
        <w:noProof/>
        <w:sz w:val="20"/>
        <w:szCs w:val="20"/>
      </w:rPr>
    </w:sdtEndPr>
    <w:sdtContent>
      <w:p w:rsidR="00D61505" w:rsidRPr="008323D4" w:rsidRDefault="00D61505">
        <w:pPr>
          <w:pStyle w:val="Footer"/>
          <w:jc w:val="center"/>
          <w:rPr>
            <w:sz w:val="20"/>
            <w:szCs w:val="20"/>
          </w:rPr>
        </w:pPr>
        <w:r w:rsidRPr="008323D4">
          <w:rPr>
            <w:sz w:val="20"/>
            <w:szCs w:val="20"/>
          </w:rPr>
          <w:fldChar w:fldCharType="begin"/>
        </w:r>
        <w:r w:rsidRPr="008323D4">
          <w:rPr>
            <w:sz w:val="20"/>
            <w:szCs w:val="20"/>
          </w:rPr>
          <w:instrText xml:space="preserve"> PAGE   \* MERGEFORMAT </w:instrText>
        </w:r>
        <w:r w:rsidRPr="008323D4">
          <w:rPr>
            <w:sz w:val="20"/>
            <w:szCs w:val="20"/>
          </w:rPr>
          <w:fldChar w:fldCharType="separate"/>
        </w:r>
        <w:r w:rsidR="00EC4DA0">
          <w:rPr>
            <w:noProof/>
            <w:sz w:val="20"/>
            <w:szCs w:val="20"/>
          </w:rPr>
          <w:t>23</w:t>
        </w:r>
        <w:r w:rsidRPr="008323D4">
          <w:rPr>
            <w:noProof/>
            <w:sz w:val="20"/>
            <w:szCs w:val="20"/>
          </w:rPr>
          <w:fldChar w:fldCharType="end"/>
        </w:r>
      </w:p>
    </w:sdtContent>
  </w:sdt>
  <w:p w:rsidR="00D61505" w:rsidRDefault="00D61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5BF" w:rsidRDefault="001E45BF" w:rsidP="00B46761">
      <w:pPr>
        <w:spacing w:after="0" w:line="240" w:lineRule="auto"/>
      </w:pPr>
      <w:r>
        <w:separator/>
      </w:r>
    </w:p>
  </w:footnote>
  <w:footnote w:type="continuationSeparator" w:id="0">
    <w:p w:rsidR="001E45BF" w:rsidRDefault="001E45BF" w:rsidP="00B46761">
      <w:pPr>
        <w:spacing w:after="0" w:line="240" w:lineRule="auto"/>
      </w:pPr>
      <w:r>
        <w:continuationSeparator/>
      </w:r>
    </w:p>
  </w:footnote>
  <w:footnote w:id="1">
    <w:p w:rsidR="00D61505" w:rsidRDefault="00D61505" w:rsidP="003A7A21">
      <w:pPr>
        <w:pStyle w:val="FootnoteText"/>
        <w:jc w:val="both"/>
      </w:pPr>
      <w:r>
        <w:rPr>
          <w:rStyle w:val="FootnoteReference"/>
        </w:rPr>
        <w:footnoteRef/>
      </w:r>
      <w:r>
        <w:t xml:space="preserve"> We also conducted Principal Components Factor Analysis (PCFA) of our data. The PCFA yielded results that were almost identical to those reported in our initial exploratory Factor Analysis. PCFA revealed that one factor with an eigenvalue of 10.12 accounted for 92% of the variance in the Senate scorecard data. A second factor with an eigenvalue of 0.34 explained 3% of the variance, while several other factors each accounted for about 1% of the differences in ratings. These factors were not retained because they did not exceed an eigenvalue of one. The scorecards loaded onto the first factor similarly to how they loaded onto the factor extracted from our initial findings. Varimax and promax rotation also did not produce any differences. We have included results from the PCFA in the appendix for interested readers.</w:t>
      </w:r>
    </w:p>
  </w:footnote>
  <w:footnote w:id="2">
    <w:p w:rsidR="00D61505" w:rsidRDefault="00D61505">
      <w:pPr>
        <w:pStyle w:val="FootnoteText"/>
      </w:pPr>
      <w:r>
        <w:rPr>
          <w:rStyle w:val="FootnoteReference"/>
        </w:rPr>
        <w:footnoteRef/>
      </w:r>
      <w:r>
        <w:t xml:space="preserve"> Typically, the appropriate test to use when measuring the effect of a single independent variable on multiple dependent variables is Multiple Analysis of Variance (MANOVA). However, Tabachnick &amp; Fidell (2007) show that where dependent variables are highly correlated, as is the case in the present analysis, the power of MANOVA is significantly weakened, and therefore running separate ANOVA tests may be more appropriate.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1" w:cryptProviderType="rsaAES" w:cryptAlgorithmClass="hash" w:cryptAlgorithmType="typeAny" w:cryptAlgorithmSid="14" w:cryptSpinCount="100000" w:hash="H3UU2qU2NP3JB1fsA3I4gw4xtMfRolq1XfRubfdVZz4a4nvvQtvS3C0we/H/LkXsXJUq+wwg9ebczMRHagC+Ww==" w:salt="JUcrFuUkO+Ae6eOhAJQg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EA"/>
    <w:rsid w:val="00005575"/>
    <w:rsid w:val="00016494"/>
    <w:rsid w:val="000204EE"/>
    <w:rsid w:val="000223CC"/>
    <w:rsid w:val="000246B0"/>
    <w:rsid w:val="00027916"/>
    <w:rsid w:val="000315BE"/>
    <w:rsid w:val="00045E93"/>
    <w:rsid w:val="00046F93"/>
    <w:rsid w:val="00052A7F"/>
    <w:rsid w:val="00062586"/>
    <w:rsid w:val="000719D1"/>
    <w:rsid w:val="00077791"/>
    <w:rsid w:val="00077F4B"/>
    <w:rsid w:val="000B6A1B"/>
    <w:rsid w:val="000C67A4"/>
    <w:rsid w:val="000D143E"/>
    <w:rsid w:val="000D6656"/>
    <w:rsid w:val="000D685F"/>
    <w:rsid w:val="000D7CA5"/>
    <w:rsid w:val="000E0109"/>
    <w:rsid w:val="000E1DA2"/>
    <w:rsid w:val="00122850"/>
    <w:rsid w:val="00124340"/>
    <w:rsid w:val="001244D9"/>
    <w:rsid w:val="00130669"/>
    <w:rsid w:val="00133F11"/>
    <w:rsid w:val="00137057"/>
    <w:rsid w:val="00146D99"/>
    <w:rsid w:val="00152847"/>
    <w:rsid w:val="00152C1D"/>
    <w:rsid w:val="0015564E"/>
    <w:rsid w:val="00157556"/>
    <w:rsid w:val="00163E29"/>
    <w:rsid w:val="001756E0"/>
    <w:rsid w:val="00181CF9"/>
    <w:rsid w:val="00184C43"/>
    <w:rsid w:val="00190528"/>
    <w:rsid w:val="00192A27"/>
    <w:rsid w:val="00195846"/>
    <w:rsid w:val="001C07AE"/>
    <w:rsid w:val="001C36FE"/>
    <w:rsid w:val="001C5C08"/>
    <w:rsid w:val="001D17D7"/>
    <w:rsid w:val="001E04EF"/>
    <w:rsid w:val="001E1B38"/>
    <w:rsid w:val="001E29AC"/>
    <w:rsid w:val="001E45BF"/>
    <w:rsid w:val="001F32A0"/>
    <w:rsid w:val="001F395F"/>
    <w:rsid w:val="00210A4E"/>
    <w:rsid w:val="002144EF"/>
    <w:rsid w:val="00214511"/>
    <w:rsid w:val="00221605"/>
    <w:rsid w:val="0022546D"/>
    <w:rsid w:val="00226ECA"/>
    <w:rsid w:val="00230F7B"/>
    <w:rsid w:val="002549DB"/>
    <w:rsid w:val="00260865"/>
    <w:rsid w:val="00265243"/>
    <w:rsid w:val="00273C2C"/>
    <w:rsid w:val="00275AF4"/>
    <w:rsid w:val="002854D7"/>
    <w:rsid w:val="00293C45"/>
    <w:rsid w:val="002962E1"/>
    <w:rsid w:val="00297536"/>
    <w:rsid w:val="0029758B"/>
    <w:rsid w:val="002A5C15"/>
    <w:rsid w:val="002B35D2"/>
    <w:rsid w:val="002B3D2F"/>
    <w:rsid w:val="002C0B20"/>
    <w:rsid w:val="002E3631"/>
    <w:rsid w:val="00301949"/>
    <w:rsid w:val="00301AE9"/>
    <w:rsid w:val="003023E9"/>
    <w:rsid w:val="0030551E"/>
    <w:rsid w:val="0031420C"/>
    <w:rsid w:val="00315E22"/>
    <w:rsid w:val="0032486F"/>
    <w:rsid w:val="00343908"/>
    <w:rsid w:val="00345410"/>
    <w:rsid w:val="00353A3D"/>
    <w:rsid w:val="00360619"/>
    <w:rsid w:val="00363231"/>
    <w:rsid w:val="00364DCA"/>
    <w:rsid w:val="00365354"/>
    <w:rsid w:val="00376FAD"/>
    <w:rsid w:val="0037786D"/>
    <w:rsid w:val="003904D2"/>
    <w:rsid w:val="003959E9"/>
    <w:rsid w:val="003A53CD"/>
    <w:rsid w:val="003A7A21"/>
    <w:rsid w:val="003B35D1"/>
    <w:rsid w:val="003C7D82"/>
    <w:rsid w:val="003D0D2A"/>
    <w:rsid w:val="003D52B9"/>
    <w:rsid w:val="003E04D7"/>
    <w:rsid w:val="003E2F3A"/>
    <w:rsid w:val="003E5EB3"/>
    <w:rsid w:val="003F3BAB"/>
    <w:rsid w:val="003F5CC2"/>
    <w:rsid w:val="004003F1"/>
    <w:rsid w:val="00411D3C"/>
    <w:rsid w:val="004355B9"/>
    <w:rsid w:val="00436DF6"/>
    <w:rsid w:val="00454CDF"/>
    <w:rsid w:val="004662D2"/>
    <w:rsid w:val="00474678"/>
    <w:rsid w:val="004753F7"/>
    <w:rsid w:val="00475C71"/>
    <w:rsid w:val="00477CA8"/>
    <w:rsid w:val="004921B0"/>
    <w:rsid w:val="004969B3"/>
    <w:rsid w:val="0049715E"/>
    <w:rsid w:val="004A7B4C"/>
    <w:rsid w:val="004B0E86"/>
    <w:rsid w:val="004B205E"/>
    <w:rsid w:val="004B58F0"/>
    <w:rsid w:val="004C4CAB"/>
    <w:rsid w:val="00504DC9"/>
    <w:rsid w:val="00505826"/>
    <w:rsid w:val="00515648"/>
    <w:rsid w:val="00515950"/>
    <w:rsid w:val="00516768"/>
    <w:rsid w:val="005313A3"/>
    <w:rsid w:val="00531A9D"/>
    <w:rsid w:val="00532B03"/>
    <w:rsid w:val="00537649"/>
    <w:rsid w:val="00541918"/>
    <w:rsid w:val="00543BA6"/>
    <w:rsid w:val="0055510A"/>
    <w:rsid w:val="0055648F"/>
    <w:rsid w:val="00560432"/>
    <w:rsid w:val="00567193"/>
    <w:rsid w:val="005768E8"/>
    <w:rsid w:val="00577C2A"/>
    <w:rsid w:val="005857B6"/>
    <w:rsid w:val="005A1854"/>
    <w:rsid w:val="005A1B93"/>
    <w:rsid w:val="005A41B8"/>
    <w:rsid w:val="005B2B42"/>
    <w:rsid w:val="005D0AE8"/>
    <w:rsid w:val="005D2774"/>
    <w:rsid w:val="005D6CE8"/>
    <w:rsid w:val="006068C6"/>
    <w:rsid w:val="00607B85"/>
    <w:rsid w:val="006110BD"/>
    <w:rsid w:val="0063765B"/>
    <w:rsid w:val="006379A1"/>
    <w:rsid w:val="0064349F"/>
    <w:rsid w:val="00643ABD"/>
    <w:rsid w:val="0065497E"/>
    <w:rsid w:val="006629F4"/>
    <w:rsid w:val="006645E6"/>
    <w:rsid w:val="0067082B"/>
    <w:rsid w:val="0067303A"/>
    <w:rsid w:val="006A390A"/>
    <w:rsid w:val="006A4BF7"/>
    <w:rsid w:val="006A7972"/>
    <w:rsid w:val="006B0FA9"/>
    <w:rsid w:val="006D6C95"/>
    <w:rsid w:val="006E0AD8"/>
    <w:rsid w:val="006E66F7"/>
    <w:rsid w:val="006E7478"/>
    <w:rsid w:val="006F6E61"/>
    <w:rsid w:val="007063DF"/>
    <w:rsid w:val="007124B9"/>
    <w:rsid w:val="007260D0"/>
    <w:rsid w:val="00737181"/>
    <w:rsid w:val="00754196"/>
    <w:rsid w:val="0075489F"/>
    <w:rsid w:val="0075782B"/>
    <w:rsid w:val="00763B56"/>
    <w:rsid w:val="00775286"/>
    <w:rsid w:val="0077671B"/>
    <w:rsid w:val="00784A25"/>
    <w:rsid w:val="00786270"/>
    <w:rsid w:val="00791481"/>
    <w:rsid w:val="007A0080"/>
    <w:rsid w:val="007A53BD"/>
    <w:rsid w:val="007A53BF"/>
    <w:rsid w:val="007C5AA9"/>
    <w:rsid w:val="007D4532"/>
    <w:rsid w:val="007D5A2A"/>
    <w:rsid w:val="007E7986"/>
    <w:rsid w:val="007F1495"/>
    <w:rsid w:val="007F6D21"/>
    <w:rsid w:val="008029FA"/>
    <w:rsid w:val="00806FFB"/>
    <w:rsid w:val="00814C92"/>
    <w:rsid w:val="0081580A"/>
    <w:rsid w:val="00817CC7"/>
    <w:rsid w:val="00820AC6"/>
    <w:rsid w:val="00821CE9"/>
    <w:rsid w:val="00827C23"/>
    <w:rsid w:val="008323D4"/>
    <w:rsid w:val="00834C20"/>
    <w:rsid w:val="00840E7D"/>
    <w:rsid w:val="00861F17"/>
    <w:rsid w:val="008636E5"/>
    <w:rsid w:val="00871D63"/>
    <w:rsid w:val="00875943"/>
    <w:rsid w:val="00883BC3"/>
    <w:rsid w:val="008854BD"/>
    <w:rsid w:val="008A4A17"/>
    <w:rsid w:val="008A5ED2"/>
    <w:rsid w:val="008C0123"/>
    <w:rsid w:val="008C1E46"/>
    <w:rsid w:val="008C6FEE"/>
    <w:rsid w:val="008D530C"/>
    <w:rsid w:val="008E679B"/>
    <w:rsid w:val="009004D6"/>
    <w:rsid w:val="00900854"/>
    <w:rsid w:val="00902DFE"/>
    <w:rsid w:val="00922948"/>
    <w:rsid w:val="00924673"/>
    <w:rsid w:val="00924F5A"/>
    <w:rsid w:val="00942B7C"/>
    <w:rsid w:val="009608E5"/>
    <w:rsid w:val="00964D46"/>
    <w:rsid w:val="009946C7"/>
    <w:rsid w:val="009A6B4C"/>
    <w:rsid w:val="009A6DA8"/>
    <w:rsid w:val="009A7A62"/>
    <w:rsid w:val="009B0882"/>
    <w:rsid w:val="009C1078"/>
    <w:rsid w:val="009C28D5"/>
    <w:rsid w:val="009C6031"/>
    <w:rsid w:val="009D7D02"/>
    <w:rsid w:val="009E34F1"/>
    <w:rsid w:val="009E4E56"/>
    <w:rsid w:val="009F7C55"/>
    <w:rsid w:val="00A03730"/>
    <w:rsid w:val="00A04534"/>
    <w:rsid w:val="00A06A02"/>
    <w:rsid w:val="00A07D5C"/>
    <w:rsid w:val="00A13DA4"/>
    <w:rsid w:val="00A26719"/>
    <w:rsid w:val="00A401BF"/>
    <w:rsid w:val="00A40DD0"/>
    <w:rsid w:val="00A411ED"/>
    <w:rsid w:val="00A45A2B"/>
    <w:rsid w:val="00A55C3E"/>
    <w:rsid w:val="00A72D69"/>
    <w:rsid w:val="00A7565B"/>
    <w:rsid w:val="00A7646E"/>
    <w:rsid w:val="00A8461E"/>
    <w:rsid w:val="00A94179"/>
    <w:rsid w:val="00AA2334"/>
    <w:rsid w:val="00AA297B"/>
    <w:rsid w:val="00AB4924"/>
    <w:rsid w:val="00AB5456"/>
    <w:rsid w:val="00AC6260"/>
    <w:rsid w:val="00AE7B1E"/>
    <w:rsid w:val="00B20730"/>
    <w:rsid w:val="00B33BB6"/>
    <w:rsid w:val="00B46761"/>
    <w:rsid w:val="00B508C3"/>
    <w:rsid w:val="00B60BFB"/>
    <w:rsid w:val="00B62DB7"/>
    <w:rsid w:val="00B6347D"/>
    <w:rsid w:val="00B9709C"/>
    <w:rsid w:val="00BB093E"/>
    <w:rsid w:val="00BC70F1"/>
    <w:rsid w:val="00BD02A5"/>
    <w:rsid w:val="00BD4109"/>
    <w:rsid w:val="00BE41D5"/>
    <w:rsid w:val="00BF10B3"/>
    <w:rsid w:val="00BF3ADE"/>
    <w:rsid w:val="00C02257"/>
    <w:rsid w:val="00C10A04"/>
    <w:rsid w:val="00C322B1"/>
    <w:rsid w:val="00C36026"/>
    <w:rsid w:val="00C43CF7"/>
    <w:rsid w:val="00C46AD6"/>
    <w:rsid w:val="00C75DB6"/>
    <w:rsid w:val="00C812C5"/>
    <w:rsid w:val="00C9229F"/>
    <w:rsid w:val="00C93DEA"/>
    <w:rsid w:val="00C94D80"/>
    <w:rsid w:val="00C96BB9"/>
    <w:rsid w:val="00CB2897"/>
    <w:rsid w:val="00CB5054"/>
    <w:rsid w:val="00CC2246"/>
    <w:rsid w:val="00CC2DB1"/>
    <w:rsid w:val="00CC4F64"/>
    <w:rsid w:val="00CD474B"/>
    <w:rsid w:val="00CD55CE"/>
    <w:rsid w:val="00CD61C6"/>
    <w:rsid w:val="00CE31FD"/>
    <w:rsid w:val="00CE76A5"/>
    <w:rsid w:val="00CF1228"/>
    <w:rsid w:val="00D12980"/>
    <w:rsid w:val="00D205C6"/>
    <w:rsid w:val="00D23F5D"/>
    <w:rsid w:val="00D35EA4"/>
    <w:rsid w:val="00D3742E"/>
    <w:rsid w:val="00D37B39"/>
    <w:rsid w:val="00D47AB4"/>
    <w:rsid w:val="00D60A8B"/>
    <w:rsid w:val="00D61505"/>
    <w:rsid w:val="00D64478"/>
    <w:rsid w:val="00D70C75"/>
    <w:rsid w:val="00D73213"/>
    <w:rsid w:val="00D77027"/>
    <w:rsid w:val="00D868F7"/>
    <w:rsid w:val="00D879A8"/>
    <w:rsid w:val="00DA1A69"/>
    <w:rsid w:val="00DA527F"/>
    <w:rsid w:val="00DA6A6C"/>
    <w:rsid w:val="00DB65C6"/>
    <w:rsid w:val="00DC4516"/>
    <w:rsid w:val="00DD03D3"/>
    <w:rsid w:val="00DD566A"/>
    <w:rsid w:val="00DD7ED1"/>
    <w:rsid w:val="00DF715F"/>
    <w:rsid w:val="00DF7951"/>
    <w:rsid w:val="00E0189A"/>
    <w:rsid w:val="00E018A8"/>
    <w:rsid w:val="00E1780F"/>
    <w:rsid w:val="00E2118B"/>
    <w:rsid w:val="00E23C52"/>
    <w:rsid w:val="00E321AF"/>
    <w:rsid w:val="00E327EC"/>
    <w:rsid w:val="00E4136C"/>
    <w:rsid w:val="00E450C3"/>
    <w:rsid w:val="00E50D6D"/>
    <w:rsid w:val="00E60F48"/>
    <w:rsid w:val="00E616F7"/>
    <w:rsid w:val="00E6392D"/>
    <w:rsid w:val="00E71237"/>
    <w:rsid w:val="00EA253F"/>
    <w:rsid w:val="00EA50AF"/>
    <w:rsid w:val="00EB7B13"/>
    <w:rsid w:val="00EC195B"/>
    <w:rsid w:val="00EC2FAB"/>
    <w:rsid w:val="00EC34EB"/>
    <w:rsid w:val="00EC4DA0"/>
    <w:rsid w:val="00EC7545"/>
    <w:rsid w:val="00ED2DCE"/>
    <w:rsid w:val="00EE1F9C"/>
    <w:rsid w:val="00EE57C0"/>
    <w:rsid w:val="00EF27A7"/>
    <w:rsid w:val="00EF5BE8"/>
    <w:rsid w:val="00EF7970"/>
    <w:rsid w:val="00F022DC"/>
    <w:rsid w:val="00F0530B"/>
    <w:rsid w:val="00F10C87"/>
    <w:rsid w:val="00F16CEE"/>
    <w:rsid w:val="00F36E16"/>
    <w:rsid w:val="00F41870"/>
    <w:rsid w:val="00F467A7"/>
    <w:rsid w:val="00F51D53"/>
    <w:rsid w:val="00F528C8"/>
    <w:rsid w:val="00F608D8"/>
    <w:rsid w:val="00F917DF"/>
    <w:rsid w:val="00FA02F6"/>
    <w:rsid w:val="00FB6365"/>
    <w:rsid w:val="00FB6F62"/>
    <w:rsid w:val="00FC2D59"/>
    <w:rsid w:val="00FC306C"/>
    <w:rsid w:val="00FC53F0"/>
    <w:rsid w:val="00FD1E64"/>
    <w:rsid w:val="00FD2FD2"/>
    <w:rsid w:val="00FD6B35"/>
    <w:rsid w:val="00FE0B2D"/>
    <w:rsid w:val="00FE3CE3"/>
    <w:rsid w:val="00FF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CB6A9-EE60-47C5-8DE7-4DD50643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C93D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C93D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C93DE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861F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semiHidden/>
    <w:unhideWhenUsed/>
    <w:rsid w:val="00B46761"/>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B46761"/>
    <w:rPr>
      <w:rFonts w:asciiTheme="minorHAnsi" w:hAnsiTheme="minorHAnsi"/>
      <w:sz w:val="20"/>
      <w:szCs w:val="20"/>
    </w:rPr>
  </w:style>
  <w:style w:type="character" w:styleId="FootnoteReference">
    <w:name w:val="footnote reference"/>
    <w:basedOn w:val="DefaultParagraphFont"/>
    <w:uiPriority w:val="99"/>
    <w:semiHidden/>
    <w:unhideWhenUsed/>
    <w:rsid w:val="00B46761"/>
    <w:rPr>
      <w:vertAlign w:val="superscript"/>
    </w:rPr>
  </w:style>
  <w:style w:type="paragraph" w:customStyle="1" w:styleId="Default">
    <w:name w:val="Default"/>
    <w:rsid w:val="00B46761"/>
    <w:pPr>
      <w:autoSpaceDE w:val="0"/>
      <w:autoSpaceDN w:val="0"/>
      <w:adjustRightInd w:val="0"/>
      <w:spacing w:after="0" w:line="240" w:lineRule="auto"/>
    </w:pPr>
    <w:rPr>
      <w:rFonts w:cs="Times New Roman"/>
      <w:color w:val="000000"/>
      <w:szCs w:val="24"/>
    </w:rPr>
  </w:style>
  <w:style w:type="character" w:styleId="Hyperlink">
    <w:name w:val="Hyperlink"/>
    <w:basedOn w:val="DefaultParagraphFont"/>
    <w:uiPriority w:val="99"/>
    <w:unhideWhenUsed/>
    <w:rsid w:val="00214511"/>
    <w:rPr>
      <w:color w:val="0563C1" w:themeColor="hyperlink"/>
      <w:u w:val="single"/>
    </w:rPr>
  </w:style>
  <w:style w:type="paragraph" w:styleId="Header">
    <w:name w:val="header"/>
    <w:basedOn w:val="Normal"/>
    <w:link w:val="HeaderChar"/>
    <w:uiPriority w:val="99"/>
    <w:unhideWhenUsed/>
    <w:rsid w:val="00832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3D4"/>
  </w:style>
  <w:style w:type="paragraph" w:styleId="Footer">
    <w:name w:val="footer"/>
    <w:basedOn w:val="Normal"/>
    <w:link w:val="FooterChar"/>
    <w:uiPriority w:val="99"/>
    <w:unhideWhenUsed/>
    <w:rsid w:val="00832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otesmart.org"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A34F5-3E9E-46E1-97D0-4540B6D5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26</Pages>
  <Words>6911</Words>
  <Characters>39398</Characters>
  <Application>Microsoft Office Word</Application>
  <DocSecurity>8</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264</cp:revision>
  <cp:lastPrinted>2015-03-19T03:11:00Z</cp:lastPrinted>
  <dcterms:created xsi:type="dcterms:W3CDTF">2015-02-13T02:27:00Z</dcterms:created>
  <dcterms:modified xsi:type="dcterms:W3CDTF">2015-03-19T03:12:00Z</dcterms:modified>
</cp:coreProperties>
</file>