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048" w:rsidRDefault="006E6FD5" w:rsidP="00FE6048">
      <w:pPr>
        <w:pStyle w:val="body"/>
        <w:spacing w:line="276" w:lineRule="auto"/>
        <w:ind w:left="0" w:firstLine="0"/>
        <w:rPr>
          <w:rFonts w:eastAsiaTheme="minorHAnsi"/>
          <w:i/>
        </w:rPr>
      </w:pPr>
      <w:r w:rsidRPr="00796A21">
        <w:rPr>
          <w:rFonts w:eastAsiaTheme="minorHAnsi"/>
          <w:b/>
        </w:rPr>
        <w:t xml:space="preserve">Seeking Help: Exploring the </w:t>
      </w:r>
      <w:r w:rsidR="00796A21" w:rsidRPr="00796A21">
        <w:rPr>
          <w:rFonts w:eastAsiaTheme="minorHAnsi"/>
          <w:b/>
        </w:rPr>
        <w:t>r</w:t>
      </w:r>
      <w:r w:rsidRPr="00796A21">
        <w:rPr>
          <w:rFonts w:eastAsiaTheme="minorHAnsi"/>
          <w:b/>
        </w:rPr>
        <w:t xml:space="preserve">elationship </w:t>
      </w:r>
      <w:r w:rsidR="00796A21" w:rsidRPr="00796A21">
        <w:rPr>
          <w:rFonts w:eastAsiaTheme="minorHAnsi"/>
          <w:b/>
        </w:rPr>
        <w:t>b</w:t>
      </w:r>
      <w:r w:rsidRPr="00796A21">
        <w:rPr>
          <w:rFonts w:eastAsiaTheme="minorHAnsi"/>
          <w:b/>
        </w:rPr>
        <w:t xml:space="preserve">etween NGO </w:t>
      </w:r>
      <w:r w:rsidR="00796A21" w:rsidRPr="00796A21">
        <w:rPr>
          <w:rFonts w:eastAsiaTheme="minorHAnsi"/>
          <w:b/>
        </w:rPr>
        <w:t>p</w:t>
      </w:r>
      <w:r w:rsidRPr="00796A21">
        <w:rPr>
          <w:rFonts w:eastAsiaTheme="minorHAnsi"/>
          <w:b/>
        </w:rPr>
        <w:t xml:space="preserve">resence and </w:t>
      </w:r>
      <w:r w:rsidR="00796A21" w:rsidRPr="00796A21">
        <w:rPr>
          <w:rFonts w:eastAsiaTheme="minorHAnsi"/>
          <w:b/>
        </w:rPr>
        <w:t>g</w:t>
      </w:r>
      <w:r w:rsidRPr="00796A21">
        <w:rPr>
          <w:rFonts w:eastAsiaTheme="minorHAnsi"/>
          <w:b/>
        </w:rPr>
        <w:t>ender-</w:t>
      </w:r>
      <w:r w:rsidR="00796A21" w:rsidRPr="00796A21">
        <w:rPr>
          <w:rFonts w:eastAsiaTheme="minorHAnsi"/>
          <w:b/>
        </w:rPr>
        <w:t>b</w:t>
      </w:r>
      <w:r w:rsidRPr="00796A21">
        <w:rPr>
          <w:rFonts w:eastAsiaTheme="minorHAnsi"/>
          <w:b/>
        </w:rPr>
        <w:t xml:space="preserve">ased </w:t>
      </w:r>
      <w:r w:rsidR="00796A21" w:rsidRPr="00796A21">
        <w:rPr>
          <w:rFonts w:eastAsiaTheme="minorHAnsi"/>
          <w:b/>
        </w:rPr>
        <w:t>v</w:t>
      </w:r>
      <w:r w:rsidRPr="00796A21">
        <w:rPr>
          <w:rFonts w:eastAsiaTheme="minorHAnsi"/>
          <w:b/>
        </w:rPr>
        <w:t>iolence</w:t>
      </w:r>
      <w:r w:rsidR="00796A21" w:rsidRPr="00796A21">
        <w:rPr>
          <w:rFonts w:eastAsiaTheme="minorHAnsi"/>
          <w:b/>
        </w:rPr>
        <w:t xml:space="preserve"> r</w:t>
      </w:r>
      <w:r w:rsidRPr="00796A21">
        <w:rPr>
          <w:rFonts w:eastAsiaTheme="minorHAnsi"/>
          <w:b/>
        </w:rPr>
        <w:t>eportin</w:t>
      </w:r>
      <w:r w:rsidR="00FE6048">
        <w:rPr>
          <w:rFonts w:eastAsiaTheme="minorHAnsi"/>
          <w:b/>
        </w:rPr>
        <w:t>g</w:t>
      </w:r>
      <w:r w:rsidR="00FE6048">
        <w:rPr>
          <w:rFonts w:eastAsiaTheme="minorHAnsi"/>
          <w:b/>
        </w:rPr>
        <w:br/>
      </w:r>
      <w:r w:rsidR="00FE6048" w:rsidRPr="00FE6048">
        <w:rPr>
          <w:rFonts w:eastAsiaTheme="minorHAnsi"/>
          <w:i/>
        </w:rPr>
        <w:t>Alexis Work</w:t>
      </w:r>
      <w:r w:rsidR="00FE6048" w:rsidRPr="00FE6048">
        <w:rPr>
          <w:rFonts w:eastAsiaTheme="minorHAnsi"/>
          <w:i/>
        </w:rPr>
        <w:br/>
        <w:t>PhD Student, School of Government and Public Policy at the University of Arizona</w:t>
      </w:r>
    </w:p>
    <w:p w:rsidR="002C7101" w:rsidRDefault="002C7101" w:rsidP="00FE6048">
      <w:pPr>
        <w:pStyle w:val="body"/>
        <w:spacing w:line="276" w:lineRule="auto"/>
        <w:ind w:left="0" w:firstLine="0"/>
        <w:rPr>
          <w:rFonts w:eastAsiaTheme="minorHAnsi"/>
          <w:b/>
        </w:rPr>
      </w:pPr>
      <w:r>
        <w:rPr>
          <w:rFonts w:eastAsiaTheme="minorHAnsi"/>
          <w:b/>
        </w:rPr>
        <w:t>Abstract</w:t>
      </w:r>
    </w:p>
    <w:p w:rsidR="002C7101" w:rsidRDefault="002C7101" w:rsidP="002C7101">
      <w:pPr>
        <w:rPr>
          <w:rFonts w:ascii="Times New Roman" w:hAnsi="Times New Roman" w:cs="Times New Roman"/>
          <w:i/>
        </w:rPr>
      </w:pPr>
      <w:r w:rsidRPr="005B6662">
        <w:rPr>
          <w:rFonts w:ascii="Times New Roman" w:hAnsi="Times New Roman" w:cs="Times New Roman"/>
          <w:i/>
        </w:rPr>
        <w:t xml:space="preserve">In asking what factors are associated with reporting levels of gender-based violence, I seek to garner a more clear understanding of how societal conditions may impact </w:t>
      </w:r>
      <w:r w:rsidR="005B6662" w:rsidRPr="005B6662">
        <w:rPr>
          <w:rFonts w:ascii="Times New Roman" w:hAnsi="Times New Roman" w:cs="Times New Roman"/>
          <w:i/>
        </w:rPr>
        <w:t>the decision to report for women in situations of violence. Though women’s rights have been advancing for the past several decades, gender-based violence (GBV) remains as a pervasive threat to the physical security of women across the world. I hypothesize that the number of NGO’s in a given area oriented towards women’s services will be positively associated with reports of gender based violence. This hypothesis i</w:t>
      </w:r>
      <w:bookmarkStart w:id="0" w:name="_GoBack"/>
      <w:bookmarkEnd w:id="0"/>
      <w:r w:rsidR="005B6662" w:rsidRPr="005B6662">
        <w:rPr>
          <w:rFonts w:ascii="Times New Roman" w:hAnsi="Times New Roman" w:cs="Times New Roman"/>
          <w:i/>
        </w:rPr>
        <w:t xml:space="preserve">s built on a theory of access and awareness. By providing awareness to their communities about GBV as a crime and offering different forms of support to women in situations of violence, NGOs increase the likelihood that women will report GBV. Using data from the case of Argentina, I confirm my broader hypothesis. Following this, I address the limitations of this project and strategies to improve upon it in future iterations. </w:t>
      </w:r>
    </w:p>
    <w:p w:rsidR="005B6662" w:rsidRPr="005B6662" w:rsidRDefault="005B6662" w:rsidP="002C7101">
      <w:pPr>
        <w:rPr>
          <w:rFonts w:ascii="Times New Roman" w:hAnsi="Times New Roman" w:cs="Times New Roman"/>
          <w:i/>
        </w:rPr>
      </w:pPr>
    </w:p>
    <w:p w:rsidR="005B6662" w:rsidRPr="005B6662" w:rsidRDefault="005B6662" w:rsidP="002C7101">
      <w:pPr>
        <w:rPr>
          <w:rFonts w:ascii="Times New Roman" w:eastAsia="Times New Roman" w:hAnsi="Times New Roman" w:cs="Times New Roman"/>
          <w:b/>
          <w:color w:val="212529"/>
          <w:shd w:val="clear" w:color="auto" w:fill="FFFFFF"/>
        </w:rPr>
      </w:pPr>
      <w:r w:rsidRPr="005B6662">
        <w:rPr>
          <w:rFonts w:ascii="Times New Roman" w:eastAsia="Times New Roman" w:hAnsi="Times New Roman" w:cs="Times New Roman"/>
          <w:b/>
          <w:color w:val="212529"/>
          <w:shd w:val="clear" w:color="auto" w:fill="FFFFFF"/>
        </w:rPr>
        <w:t>Introduction</w:t>
      </w:r>
    </w:p>
    <w:p w:rsidR="00480783" w:rsidRPr="00480783" w:rsidRDefault="00A5278F" w:rsidP="00454C61">
      <w:pPr>
        <w:pStyle w:val="body"/>
        <w:spacing w:line="480" w:lineRule="auto"/>
        <w:ind w:left="0" w:firstLine="0"/>
      </w:pPr>
      <w:r w:rsidRPr="00A5278F">
        <w:rPr>
          <w:color w:val="000000" w:themeColor="text1"/>
        </w:rPr>
        <w:t>In settings where women’s rights improve towards closer gender parity with men, the public standing of women improves. Democracies that effectively enforce these rights help to ensure that women have the same opportunities as men. However, deep inequality and impunity in private spaces still remains. Per the UN, approximately a third of women around the globe have experienced physical or sexual violence by a male partner or non-partner at some point in their lives</w:t>
      </w:r>
      <w:r w:rsidRPr="00A5278F">
        <w:rPr>
          <w:rStyle w:val="FootnoteReference"/>
          <w:color w:val="000000" w:themeColor="text1"/>
        </w:rPr>
        <w:footnoteReference w:id="1"/>
      </w:r>
      <w:r w:rsidRPr="00A5278F">
        <w:rPr>
          <w:color w:val="000000" w:themeColor="text1"/>
        </w:rPr>
        <w:t xml:space="preserve">. Because so many women risk </w:t>
      </w:r>
      <w:r w:rsidR="004B7BC2">
        <w:rPr>
          <w:color w:val="000000" w:themeColor="text1"/>
        </w:rPr>
        <w:t>suffering</w:t>
      </w:r>
      <w:r w:rsidRPr="00A5278F">
        <w:rPr>
          <w:color w:val="000000" w:themeColor="text1"/>
        </w:rPr>
        <w:t xml:space="preserve"> gender-based violence</w:t>
      </w:r>
      <w:r w:rsidR="004B7BC2">
        <w:rPr>
          <w:color w:val="000000" w:themeColor="text1"/>
        </w:rPr>
        <w:t xml:space="preserve"> (GBV)</w:t>
      </w:r>
      <w:r w:rsidRPr="00A5278F">
        <w:rPr>
          <w:color w:val="000000" w:themeColor="text1"/>
        </w:rPr>
        <w:t xml:space="preserve">, it is crucial that democracies provide adequate and effective resources to protect women’s physical integrity rights in situations of violence. </w:t>
      </w:r>
      <w:r w:rsidR="004B7BC2">
        <w:rPr>
          <w:color w:val="000000" w:themeColor="text1"/>
        </w:rPr>
        <w:t>Though reporting gender-based violence isn’t always an easy or feasible option, understanding when women make the choice to seek help from the government can begin to provide a clearer picture of what governmental or societal factors improve the likelihood of reporting. In</w:t>
      </w:r>
      <w:r w:rsidR="00BB68CF">
        <w:t xml:space="preserve"> a first step to more broadly understand how governments effectively </w:t>
      </w:r>
      <w:r w:rsidR="00BB68CF">
        <w:lastRenderedPageBreak/>
        <w:t>assist women in situations of violence, it is important to first question the conditions under which women feel comfortable seeking help from officials.</w:t>
      </w:r>
      <w:r w:rsidR="00480783">
        <w:t xml:space="preserve"> I ask: </w:t>
      </w:r>
      <w:r w:rsidR="00480783">
        <w:rPr>
          <w:i/>
        </w:rPr>
        <w:t>What factors affect reporting levels of gender-based violence?</w:t>
      </w:r>
      <w:r w:rsidR="00480783">
        <w:t xml:space="preserve"> </w:t>
      </w:r>
      <w:r>
        <w:t>In order to continue improving gender equity, the rights of women must be guaranteed in public and in private.</w:t>
      </w:r>
      <w:r w:rsidR="004B7BC2">
        <w:t xml:space="preserve"> </w:t>
      </w:r>
      <w:r w:rsidR="00467474">
        <w:rPr>
          <w:i/>
        </w:rPr>
        <w:br/>
      </w:r>
      <w:r w:rsidR="001D13C9">
        <w:tab/>
      </w:r>
      <w:r w:rsidR="00BB68CF">
        <w:t xml:space="preserve">This research draws </w:t>
      </w:r>
      <w:r w:rsidR="004B7BC2">
        <w:t>on literature in</w:t>
      </w:r>
      <w:r w:rsidR="00BB68CF">
        <w:t xml:space="preserve"> political science, public health, and sociology</w:t>
      </w:r>
      <w:r w:rsidR="001D13C9">
        <w:t xml:space="preserve">. Literature in comparative politics addresses women’s representation in democracy and governance, and a growing body of IR work has begun to explore the nature of GBV in conflict and post conflict settings. Studies in public health address barriers and stigma associated with reporting GBV in </w:t>
      </w:r>
      <w:r w:rsidR="00FC79E3">
        <w:t>a variety of settings. Finally, the sociology literature touches on the role of advocacy in spreading awareness about societal issues like GBV.</w:t>
      </w:r>
      <w:r w:rsidR="001D13C9">
        <w:t xml:space="preserve"> </w:t>
      </w:r>
      <w:r w:rsidR="00480783">
        <w:br/>
        <w:t xml:space="preserve">             </w:t>
      </w:r>
      <w:r w:rsidR="001D13C9">
        <w:t xml:space="preserve">I construct a theory of reporting likelihood based on awareness about gender-based violence and </w:t>
      </w:r>
      <w:r w:rsidR="00454C61">
        <w:t xml:space="preserve">support to women in situations of violence. </w:t>
      </w:r>
      <w:r w:rsidR="00480783">
        <w:t xml:space="preserve">Because women-focused NGOs educate </w:t>
      </w:r>
      <w:r w:rsidR="004B7BC2">
        <w:t>about GBV and advocate against it</w:t>
      </w:r>
      <w:r w:rsidR="00480783">
        <w:t xml:space="preserve">, their presence in a province is likely to raise awareness about GBV as a crime and access to services that help women in situations of violence. </w:t>
      </w:r>
      <w:r w:rsidR="00454C61">
        <w:t xml:space="preserve">Additionally, NGOs may offer valuable support services to women in situations of violence that makes it easier for </w:t>
      </w:r>
      <w:r w:rsidR="004B7BC2">
        <w:t>them</w:t>
      </w:r>
      <w:r w:rsidR="00454C61">
        <w:t xml:space="preserve"> to begin the reporting process. </w:t>
      </w:r>
      <w:r w:rsidR="00480783">
        <w:t xml:space="preserve">In this way, NGOs may increase the rate at which women officially report GBV crimes. </w:t>
      </w:r>
      <w:r w:rsidR="004B7BC2">
        <w:t xml:space="preserve">Using the case of Argentina, I test and </w:t>
      </w:r>
      <w:r w:rsidR="00480783">
        <w:t>find support for my hypothesis that the presence of NGOs is associated with calls to report GBV.</w:t>
      </w:r>
      <w:r w:rsidR="004B7BC2">
        <w:t xml:space="preserve"> Additionally, I find support that coupled with stronger federal support, higher levels of reporting calls are associated with NGOs in a given province. </w:t>
      </w:r>
      <w:r w:rsidR="00480783">
        <w:br/>
      </w:r>
      <w:r w:rsidR="00480783">
        <w:tab/>
        <w:t xml:space="preserve">This paper proceeds as follows. First, I review social sciences literature relevant to women’s rights, gender based violence, and reporting GBV crimes. Following this, I outline my theory about </w:t>
      </w:r>
      <w:r w:rsidR="006E6FD5">
        <w:t>support</w:t>
      </w:r>
      <w:r w:rsidR="00480783">
        <w:t xml:space="preserve">, awareness, and the presence of women’s NGOs. After detailing my </w:t>
      </w:r>
      <w:r w:rsidR="00480783">
        <w:lastRenderedPageBreak/>
        <w:t>methodological strategy, I explore the results from each stage of the OLS model. Finally, I consider the implications of my result, the limitations of my study, and conclude.</w:t>
      </w:r>
    </w:p>
    <w:p w:rsidR="007346D8" w:rsidRDefault="007346D8" w:rsidP="00D37445">
      <w:pPr>
        <w:rPr>
          <w:rFonts w:ascii="Times New Roman" w:hAnsi="Times New Roman" w:cs="Times New Roman"/>
          <w:b/>
          <w:smallCaps/>
        </w:rPr>
      </w:pPr>
      <w:r w:rsidRPr="00661F44">
        <w:rPr>
          <w:rFonts w:ascii="Times New Roman" w:hAnsi="Times New Roman" w:cs="Times New Roman"/>
          <w:b/>
          <w:smallCaps/>
        </w:rPr>
        <w:t xml:space="preserve">Framing the issue: reporting gender based violence </w:t>
      </w:r>
    </w:p>
    <w:p w:rsidR="006F582B" w:rsidRPr="00661F44" w:rsidRDefault="006F582B" w:rsidP="00D37445">
      <w:pPr>
        <w:rPr>
          <w:rFonts w:ascii="Times New Roman" w:hAnsi="Times New Roman" w:cs="Times New Roman"/>
          <w:b/>
          <w:smallCaps/>
        </w:rPr>
      </w:pPr>
    </w:p>
    <w:p w:rsidR="00553211" w:rsidRDefault="007346D8" w:rsidP="00D37445">
      <w:pPr>
        <w:rPr>
          <w:rFonts w:ascii="Times New Roman" w:hAnsi="Times New Roman" w:cs="Times New Roman"/>
          <w:b/>
        </w:rPr>
      </w:pPr>
      <w:r>
        <w:rPr>
          <w:rFonts w:ascii="Times New Roman" w:hAnsi="Times New Roman" w:cs="Times New Roman"/>
          <w:b/>
        </w:rPr>
        <w:t>Gender based violence in the context of comparative politics</w:t>
      </w:r>
    </w:p>
    <w:p w:rsidR="006F582B" w:rsidRPr="007346D8" w:rsidRDefault="006F582B" w:rsidP="00D37445">
      <w:pPr>
        <w:rPr>
          <w:rFonts w:ascii="Times New Roman" w:hAnsi="Times New Roman" w:cs="Times New Roman"/>
          <w:b/>
        </w:rPr>
      </w:pPr>
    </w:p>
    <w:p w:rsidR="00B51FC9" w:rsidRPr="000B7D26" w:rsidRDefault="000B7D26" w:rsidP="000B7D26">
      <w:pPr>
        <w:spacing w:line="480" w:lineRule="auto"/>
        <w:ind w:firstLine="720"/>
        <w:rPr>
          <w:rFonts w:ascii="Times New Roman" w:hAnsi="Times New Roman" w:cs="Times New Roman"/>
          <w:color w:val="00B050"/>
        </w:rPr>
      </w:pPr>
      <w:r w:rsidRPr="007346D8">
        <w:rPr>
          <w:rFonts w:ascii="Times New Roman" w:hAnsi="Times New Roman" w:cs="Times New Roman"/>
        </w:rPr>
        <w:t xml:space="preserve">In terms of women’s physical security, a growing vein of literature has begun to address GBV in conflict and post-conflict settings. In particular, literature on women’s physical security tends to focus on conflict or post-conflict settings (Lake 2014). </w:t>
      </w:r>
      <w:r w:rsidR="007201EE" w:rsidRPr="007346D8">
        <w:rPr>
          <w:rFonts w:ascii="Times New Roman" w:hAnsi="Times New Roman" w:cs="Times New Roman"/>
        </w:rPr>
        <w:t xml:space="preserve">While this work is valuable, there is a need to focus also on women’s rights in a democratic setting. </w:t>
      </w:r>
      <w:proofErr w:type="spellStart"/>
      <w:r w:rsidR="007201EE" w:rsidRPr="007346D8">
        <w:rPr>
          <w:rFonts w:ascii="Times New Roman" w:hAnsi="Times New Roman" w:cs="Times New Roman"/>
        </w:rPr>
        <w:t>Behl</w:t>
      </w:r>
      <w:proofErr w:type="spellEnd"/>
      <w:r w:rsidR="007201EE" w:rsidRPr="007346D8">
        <w:rPr>
          <w:rFonts w:ascii="Times New Roman" w:hAnsi="Times New Roman" w:cs="Times New Roman"/>
        </w:rPr>
        <w:t xml:space="preserve"> (2017) makes this clear by using the case of India, arguing that despite the nation’s reputation for being a well-consolidated democracy, many women still live in fear of gender based violence. Using the case of the Delhi gang rape to characterize the state of female security in India, </w:t>
      </w:r>
      <w:proofErr w:type="spellStart"/>
      <w:r w:rsidR="007201EE" w:rsidRPr="007346D8">
        <w:rPr>
          <w:rFonts w:ascii="Times New Roman" w:hAnsi="Times New Roman" w:cs="Times New Roman"/>
        </w:rPr>
        <w:t>Behl</w:t>
      </w:r>
      <w:proofErr w:type="spellEnd"/>
      <w:r w:rsidR="007201EE" w:rsidRPr="007346D8">
        <w:rPr>
          <w:rFonts w:ascii="Times New Roman" w:hAnsi="Times New Roman" w:cs="Times New Roman"/>
        </w:rPr>
        <w:t xml:space="preserve"> stresses that “The way we define politics, the way we categorize democracy, and the way we count public space matters because we can define these concepts to either illuminate or overlook gendered space and gendered violence” (2017, 44). By focusing on inequalities in lived experiences in democratic contexts, we can illuminate nuance in democratic consolidation and quality. In uncovering differences between the experiences of different populations, we can better understand the level of democratic consolidation as it applies to the entire population.</w:t>
      </w:r>
    </w:p>
    <w:p w:rsidR="00ED1777" w:rsidRPr="000B7D26" w:rsidRDefault="00B51FC9" w:rsidP="000B7D26">
      <w:pPr>
        <w:spacing w:line="480" w:lineRule="auto"/>
        <w:ind w:firstLine="720"/>
        <w:rPr>
          <w:rFonts w:ascii="Times New Roman" w:hAnsi="Times New Roman" w:cs="Times New Roman"/>
          <w:color w:val="000000" w:themeColor="text1"/>
        </w:rPr>
      </w:pPr>
      <w:r w:rsidRPr="000B7D26">
        <w:rPr>
          <w:rFonts w:ascii="Times New Roman" w:hAnsi="Times New Roman" w:cs="Times New Roman"/>
          <w:color w:val="000000" w:themeColor="text1"/>
        </w:rPr>
        <w:t>Adjacent to this, some human rights literature addresses abuse in democratic contexts. Primarily, the concept of transitional justice captures the phenomenon that emerged following the collapse of authoritarian regimes in the 1970s and 80s in which abusive officials were held criminally accountable by subsequent democratic judiciaries (</w:t>
      </w:r>
      <w:proofErr w:type="spellStart"/>
      <w:r w:rsidRPr="000B7D26">
        <w:rPr>
          <w:rFonts w:ascii="Times New Roman" w:hAnsi="Times New Roman" w:cs="Times New Roman"/>
          <w:color w:val="000000" w:themeColor="text1"/>
        </w:rPr>
        <w:t>Sikkink</w:t>
      </w:r>
      <w:proofErr w:type="spellEnd"/>
      <w:r w:rsidRPr="000B7D26">
        <w:rPr>
          <w:rFonts w:ascii="Times New Roman" w:hAnsi="Times New Roman" w:cs="Times New Roman"/>
          <w:color w:val="000000" w:themeColor="text1"/>
        </w:rPr>
        <w:t xml:space="preserve"> 2011</w:t>
      </w:r>
      <w:r w:rsidR="000B7D26" w:rsidRPr="000B7D26">
        <w:rPr>
          <w:rFonts w:ascii="Times New Roman" w:hAnsi="Times New Roman" w:cs="Times New Roman"/>
          <w:color w:val="000000" w:themeColor="text1"/>
        </w:rPr>
        <w:t xml:space="preserve">; Arthur 2009). </w:t>
      </w:r>
      <w:r w:rsidR="00311C3A" w:rsidRPr="000B7D26">
        <w:rPr>
          <w:rFonts w:ascii="Times New Roman" w:hAnsi="Times New Roman" w:cs="Times New Roman"/>
          <w:color w:val="000000" w:themeColor="text1"/>
        </w:rPr>
        <w:t>While democracies are tough on past autocratic abuse, questions still exist about democratic human rights respect and transparency</w:t>
      </w:r>
      <w:r w:rsidR="000B7D26" w:rsidRPr="000B7D26">
        <w:rPr>
          <w:rFonts w:ascii="Times New Roman" w:hAnsi="Times New Roman" w:cs="Times New Roman"/>
          <w:color w:val="000000" w:themeColor="text1"/>
        </w:rPr>
        <w:t xml:space="preserve"> (Eck and </w:t>
      </w:r>
      <w:proofErr w:type="spellStart"/>
      <w:r w:rsidR="000B7D26" w:rsidRPr="000B7D26">
        <w:rPr>
          <w:rFonts w:ascii="Times New Roman" w:hAnsi="Times New Roman" w:cs="Times New Roman"/>
          <w:color w:val="000000" w:themeColor="text1"/>
        </w:rPr>
        <w:t>Fariss</w:t>
      </w:r>
      <w:proofErr w:type="spellEnd"/>
      <w:r w:rsidR="000B7D26" w:rsidRPr="000B7D26">
        <w:rPr>
          <w:rFonts w:ascii="Times New Roman" w:hAnsi="Times New Roman" w:cs="Times New Roman"/>
          <w:color w:val="000000" w:themeColor="text1"/>
        </w:rPr>
        <w:t xml:space="preserve"> 2018)</w:t>
      </w:r>
      <w:r w:rsidR="00311C3A" w:rsidRPr="000B7D26">
        <w:rPr>
          <w:rFonts w:ascii="Times New Roman" w:hAnsi="Times New Roman" w:cs="Times New Roman"/>
          <w:color w:val="000000" w:themeColor="text1"/>
        </w:rPr>
        <w:t>.</w:t>
      </w:r>
      <w:r w:rsidR="007520A7" w:rsidRPr="000B7D26">
        <w:rPr>
          <w:rFonts w:ascii="Times New Roman" w:hAnsi="Times New Roman" w:cs="Times New Roman"/>
          <w:color w:val="000000" w:themeColor="text1"/>
        </w:rPr>
        <w:t xml:space="preserve"> </w:t>
      </w:r>
      <w:r w:rsidR="00D57AFF" w:rsidRPr="000B7D26">
        <w:rPr>
          <w:rFonts w:ascii="Times New Roman" w:hAnsi="Times New Roman" w:cs="Times New Roman"/>
          <w:color w:val="000000" w:themeColor="text1"/>
        </w:rPr>
        <w:t xml:space="preserve">Electoral and judicial institutions have </w:t>
      </w:r>
      <w:r w:rsidR="00D57AFF" w:rsidRPr="000B7D26">
        <w:rPr>
          <w:rFonts w:ascii="Times New Roman" w:hAnsi="Times New Roman" w:cs="Times New Roman"/>
          <w:color w:val="000000" w:themeColor="text1"/>
        </w:rPr>
        <w:lastRenderedPageBreak/>
        <w:t xml:space="preserve">countervailing effects on executive decisions to abuse, by both incentivizing ‘tough on crime’ positions and protecting the rights of marginalized groups, respectively (Conrad, et al. 2018). </w:t>
      </w:r>
    </w:p>
    <w:p w:rsidR="005D3613" w:rsidRPr="00454CF9" w:rsidRDefault="00D57AFF" w:rsidP="000B7D26">
      <w:pPr>
        <w:spacing w:line="480" w:lineRule="auto"/>
        <w:ind w:firstLine="720"/>
        <w:rPr>
          <w:rFonts w:ascii="Times New Roman" w:hAnsi="Times New Roman" w:cs="Times New Roman"/>
          <w:color w:val="00B050"/>
        </w:rPr>
      </w:pPr>
      <w:r w:rsidRPr="007346D8">
        <w:rPr>
          <w:rFonts w:ascii="Times New Roman" w:hAnsi="Times New Roman" w:cs="Times New Roman"/>
        </w:rPr>
        <w:t xml:space="preserve">Of course, the human rights literature mentioned thus far is focused on abuse perpetrated by the government. </w:t>
      </w:r>
      <w:r w:rsidR="00F22362" w:rsidRPr="007346D8">
        <w:rPr>
          <w:rFonts w:ascii="Times New Roman" w:hAnsi="Times New Roman" w:cs="Times New Roman"/>
        </w:rPr>
        <w:t>GBV</w:t>
      </w:r>
      <w:r w:rsidRPr="007346D8">
        <w:rPr>
          <w:rFonts w:ascii="Times New Roman" w:hAnsi="Times New Roman" w:cs="Times New Roman"/>
        </w:rPr>
        <w:t>, however, is generally perpetrated by private citizens and does not fall into the category of state-sanctioned repression.</w:t>
      </w:r>
      <w:r w:rsidR="005D3613" w:rsidRPr="007346D8">
        <w:rPr>
          <w:rFonts w:ascii="Times New Roman" w:hAnsi="Times New Roman" w:cs="Times New Roman"/>
        </w:rPr>
        <w:t xml:space="preserve"> Despite this distinction, </w:t>
      </w:r>
      <w:r w:rsidR="00F22362" w:rsidRPr="007346D8">
        <w:rPr>
          <w:rFonts w:ascii="Times New Roman" w:hAnsi="Times New Roman" w:cs="Times New Roman"/>
        </w:rPr>
        <w:t xml:space="preserve">GBV is still important in the context of human rights. To echo </w:t>
      </w:r>
      <w:proofErr w:type="spellStart"/>
      <w:r w:rsidR="00F22362" w:rsidRPr="007346D8">
        <w:rPr>
          <w:rFonts w:ascii="Times New Roman" w:hAnsi="Times New Roman" w:cs="Times New Roman"/>
        </w:rPr>
        <w:t>Behl</w:t>
      </w:r>
      <w:proofErr w:type="spellEnd"/>
      <w:r w:rsidR="00F22362" w:rsidRPr="007346D8">
        <w:rPr>
          <w:rFonts w:ascii="Times New Roman" w:hAnsi="Times New Roman" w:cs="Times New Roman"/>
        </w:rPr>
        <w:t xml:space="preserve"> (2017), it is critical that we take the experiences of </w:t>
      </w:r>
      <w:r w:rsidR="00F22362" w:rsidRPr="007346D8">
        <w:rPr>
          <w:rFonts w:ascii="Times New Roman" w:hAnsi="Times New Roman" w:cs="Times New Roman"/>
          <w:i/>
        </w:rPr>
        <w:t xml:space="preserve">all </w:t>
      </w:r>
      <w:r w:rsidR="00F22362" w:rsidRPr="007346D8">
        <w:rPr>
          <w:rFonts w:ascii="Times New Roman" w:hAnsi="Times New Roman" w:cs="Times New Roman"/>
        </w:rPr>
        <w:t>populations into consideration when measuring democratic consolidation and quality</w:t>
      </w:r>
      <w:r w:rsidR="00F5218A">
        <w:rPr>
          <w:rFonts w:ascii="Times New Roman" w:hAnsi="Times New Roman" w:cs="Times New Roman"/>
        </w:rPr>
        <w:t xml:space="preserve"> (see Paxton 2000)</w:t>
      </w:r>
      <w:r w:rsidR="00F22362" w:rsidRPr="007346D8">
        <w:rPr>
          <w:rFonts w:ascii="Times New Roman" w:hAnsi="Times New Roman" w:cs="Times New Roman"/>
        </w:rPr>
        <w:t>.</w:t>
      </w:r>
      <w:r w:rsidR="00DF4EE7">
        <w:rPr>
          <w:rFonts w:ascii="Times New Roman" w:hAnsi="Times New Roman" w:cs="Times New Roman"/>
        </w:rPr>
        <w:t xml:space="preserve"> Along these lines, </w:t>
      </w:r>
      <w:r w:rsidR="00F22362" w:rsidRPr="007346D8">
        <w:rPr>
          <w:rFonts w:ascii="Times New Roman" w:hAnsi="Times New Roman" w:cs="Times New Roman"/>
        </w:rPr>
        <w:t xml:space="preserve">research suggests that states aren’t free of blame when it comes to protecting victims of GBV. It is possible that in </w:t>
      </w:r>
      <w:r w:rsidR="00DF4EE7">
        <w:rPr>
          <w:rFonts w:ascii="Times New Roman" w:hAnsi="Times New Roman" w:cs="Times New Roman"/>
        </w:rPr>
        <w:t xml:space="preserve">countries </w:t>
      </w:r>
      <w:r w:rsidR="00F22362" w:rsidRPr="007346D8">
        <w:rPr>
          <w:rFonts w:ascii="Times New Roman" w:hAnsi="Times New Roman" w:cs="Times New Roman"/>
        </w:rPr>
        <w:t>with a history of state-based violence against citizens,</w:t>
      </w:r>
      <w:r w:rsidR="00D748B9" w:rsidRPr="007346D8">
        <w:rPr>
          <w:rFonts w:ascii="Times New Roman" w:hAnsi="Times New Roman" w:cs="Times New Roman"/>
        </w:rPr>
        <w:t xml:space="preserve"> violence and impunity are somewhat normalized. In addition, governments that fail to enforce laws that punish violence against women</w:t>
      </w:r>
      <w:r w:rsidR="00F22362" w:rsidRPr="007346D8">
        <w:rPr>
          <w:rFonts w:ascii="Times New Roman" w:hAnsi="Times New Roman" w:cs="Times New Roman"/>
        </w:rPr>
        <w:t xml:space="preserve"> </w:t>
      </w:r>
      <w:r w:rsidR="00D748B9" w:rsidRPr="007346D8">
        <w:rPr>
          <w:rFonts w:ascii="Times New Roman" w:hAnsi="Times New Roman" w:cs="Times New Roman"/>
        </w:rPr>
        <w:t>facilitate continued perpetration of GBV (</w:t>
      </w:r>
      <w:proofErr w:type="spellStart"/>
      <w:r w:rsidR="00D748B9" w:rsidRPr="007346D8">
        <w:rPr>
          <w:rFonts w:ascii="Times New Roman" w:hAnsi="Times New Roman" w:cs="Times New Roman"/>
        </w:rPr>
        <w:t>Menjívar</w:t>
      </w:r>
      <w:proofErr w:type="spellEnd"/>
      <w:r w:rsidR="00D748B9" w:rsidRPr="007346D8">
        <w:rPr>
          <w:rFonts w:ascii="Times New Roman" w:hAnsi="Times New Roman" w:cs="Times New Roman"/>
        </w:rPr>
        <w:t xml:space="preserve"> and Drysdale-Walsh 2017). An example of this is the distinction between femicide and </w:t>
      </w:r>
      <w:proofErr w:type="spellStart"/>
      <w:r w:rsidR="00D748B9" w:rsidRPr="007346D8">
        <w:rPr>
          <w:rFonts w:ascii="Times New Roman" w:hAnsi="Times New Roman" w:cs="Times New Roman"/>
        </w:rPr>
        <w:t>feminicide</w:t>
      </w:r>
      <w:proofErr w:type="spellEnd"/>
      <w:r w:rsidR="00D748B9" w:rsidRPr="007346D8">
        <w:rPr>
          <w:rFonts w:ascii="Times New Roman" w:hAnsi="Times New Roman" w:cs="Times New Roman"/>
        </w:rPr>
        <w:t xml:space="preserve">, where in addition to signifying the killing of a woman for reasons of her gender, the latter is regarded as highlighting the state’s role in the act as well. By failing to protect women and punish offenders, states become complicit actors in </w:t>
      </w:r>
      <w:proofErr w:type="spellStart"/>
      <w:r w:rsidR="00D748B9" w:rsidRPr="007346D8">
        <w:rPr>
          <w:rFonts w:ascii="Times New Roman" w:hAnsi="Times New Roman" w:cs="Times New Roman"/>
        </w:rPr>
        <w:t>feminicide</w:t>
      </w:r>
      <w:proofErr w:type="spellEnd"/>
      <w:r w:rsidR="00D748B9" w:rsidRPr="007346D8">
        <w:rPr>
          <w:rFonts w:ascii="Times New Roman" w:hAnsi="Times New Roman" w:cs="Times New Roman"/>
        </w:rPr>
        <w:t xml:space="preserve">. </w:t>
      </w:r>
    </w:p>
    <w:p w:rsidR="00EC0430" w:rsidRPr="00916832" w:rsidRDefault="007346D8" w:rsidP="00B86639">
      <w:pPr>
        <w:spacing w:line="480" w:lineRule="auto"/>
        <w:rPr>
          <w:rFonts w:ascii="Times New Roman" w:hAnsi="Times New Roman" w:cs="Times New Roman"/>
          <w:b/>
        </w:rPr>
      </w:pPr>
      <w:r>
        <w:rPr>
          <w:rFonts w:ascii="Times New Roman" w:hAnsi="Times New Roman" w:cs="Times New Roman"/>
          <w:b/>
        </w:rPr>
        <w:t>Reporting gender-based violence</w:t>
      </w:r>
    </w:p>
    <w:p w:rsidR="00EC0430" w:rsidRPr="007346D8" w:rsidRDefault="00EC0430" w:rsidP="00B86639">
      <w:pPr>
        <w:spacing w:line="480" w:lineRule="auto"/>
        <w:rPr>
          <w:rFonts w:ascii="Times New Roman" w:hAnsi="Times New Roman" w:cs="Times New Roman"/>
        </w:rPr>
      </w:pPr>
      <w:r w:rsidRPr="007346D8">
        <w:rPr>
          <w:rFonts w:ascii="Times New Roman" w:hAnsi="Times New Roman" w:cs="Times New Roman"/>
        </w:rPr>
        <w:t xml:space="preserve">The decision to report an incident of gender based violence </w:t>
      </w:r>
      <w:r w:rsidR="00F5218A">
        <w:rPr>
          <w:rFonts w:ascii="Times New Roman" w:hAnsi="Times New Roman" w:cs="Times New Roman"/>
        </w:rPr>
        <w:t>is complex</w:t>
      </w:r>
      <w:r w:rsidRPr="007346D8">
        <w:rPr>
          <w:rFonts w:ascii="Times New Roman" w:hAnsi="Times New Roman" w:cs="Times New Roman"/>
        </w:rPr>
        <w:t>. Liang et al. (2005) outline a multistep process in the decision to report in which a person experiencing interpersonal violence (IPV)</w:t>
      </w:r>
      <w:r w:rsidR="00F5218A">
        <w:rPr>
          <w:rFonts w:ascii="Times New Roman" w:hAnsi="Times New Roman" w:cs="Times New Roman"/>
        </w:rPr>
        <w:t>.</w:t>
      </w:r>
      <w:r w:rsidRPr="007346D8">
        <w:rPr>
          <w:rFonts w:ascii="Times New Roman" w:hAnsi="Times New Roman" w:cs="Times New Roman"/>
        </w:rPr>
        <w:t xml:space="preserve"> These considerations underline the complexity of </w:t>
      </w:r>
      <w:r w:rsidR="00F5218A">
        <w:rPr>
          <w:rFonts w:ascii="Times New Roman" w:hAnsi="Times New Roman" w:cs="Times New Roman"/>
        </w:rPr>
        <w:t>an individual decision to report (or not report) GBV.</w:t>
      </w:r>
      <w:r w:rsidRPr="00454CF9">
        <w:rPr>
          <w:rFonts w:ascii="Times New Roman" w:hAnsi="Times New Roman" w:cs="Times New Roman"/>
          <w:color w:val="00B050"/>
        </w:rPr>
        <w:t xml:space="preserve"> </w:t>
      </w:r>
      <w:r w:rsidR="00F5218A">
        <w:rPr>
          <w:rFonts w:ascii="Times New Roman" w:hAnsi="Times New Roman" w:cs="Times New Roman"/>
        </w:rPr>
        <w:t>It is useful to review theories on</w:t>
      </w:r>
      <w:r w:rsidRPr="007346D8">
        <w:rPr>
          <w:rFonts w:ascii="Times New Roman" w:hAnsi="Times New Roman" w:cs="Times New Roman"/>
        </w:rPr>
        <w:t xml:space="preserve"> reporting in a fashion similar to Liang et al.’s (2005) theoretical framework. </w:t>
      </w:r>
      <w:r w:rsidR="00F5218A">
        <w:rPr>
          <w:rFonts w:ascii="Times New Roman" w:hAnsi="Times New Roman" w:cs="Times New Roman"/>
        </w:rPr>
        <w:t>Per this framework</w:t>
      </w:r>
      <w:r w:rsidRPr="007346D8">
        <w:rPr>
          <w:rFonts w:ascii="Times New Roman" w:hAnsi="Times New Roman" w:cs="Times New Roman"/>
        </w:rPr>
        <w:t xml:space="preserve">, individual considerations are made to define an event as GBV and weigh personal costs and benefits of reporting. Upon making the decision to report, the individual then is tasked with selecting a source of help, whether formal or </w:t>
      </w:r>
      <w:r w:rsidRPr="007346D8">
        <w:rPr>
          <w:rFonts w:ascii="Times New Roman" w:hAnsi="Times New Roman" w:cs="Times New Roman"/>
        </w:rPr>
        <w:lastRenderedPageBreak/>
        <w:t xml:space="preserve">informal. </w:t>
      </w:r>
      <w:r w:rsidR="00F5218A" w:rsidRPr="007346D8">
        <w:rPr>
          <w:rFonts w:ascii="Times New Roman" w:hAnsi="Times New Roman" w:cs="Times New Roman"/>
        </w:rPr>
        <w:t>At each stage</w:t>
      </w:r>
      <w:r w:rsidR="00F5218A">
        <w:rPr>
          <w:rFonts w:ascii="Times New Roman" w:hAnsi="Times New Roman" w:cs="Times New Roman"/>
        </w:rPr>
        <w:t xml:space="preserve"> of the help-seeking process</w:t>
      </w:r>
      <w:r w:rsidR="00F5218A" w:rsidRPr="007346D8">
        <w:rPr>
          <w:rFonts w:ascii="Times New Roman" w:hAnsi="Times New Roman" w:cs="Times New Roman"/>
        </w:rPr>
        <w:t xml:space="preserve">, interpersonal, individual, and sociocultural factors play into the final decision (2005, 73). </w:t>
      </w:r>
      <w:r w:rsidR="00F5218A">
        <w:rPr>
          <w:rFonts w:ascii="Times New Roman" w:hAnsi="Times New Roman" w:cs="Times New Roman"/>
        </w:rPr>
        <w:t>W</w:t>
      </w:r>
      <w:r w:rsidRPr="007346D8">
        <w:rPr>
          <w:rFonts w:ascii="Times New Roman" w:hAnsi="Times New Roman" w:cs="Times New Roman"/>
        </w:rPr>
        <w:t xml:space="preserve">ork done in settings around the globe helps to paint a picture of the conditions under which women in different cultural contexts report, and, in some work, the experience that they have as a result. </w:t>
      </w:r>
    </w:p>
    <w:p w:rsidR="00EC0430" w:rsidRPr="007346D8" w:rsidRDefault="00EC0430" w:rsidP="008E1C5B">
      <w:pPr>
        <w:spacing w:line="480" w:lineRule="auto"/>
        <w:ind w:firstLine="720"/>
        <w:rPr>
          <w:rFonts w:ascii="Times New Roman" w:hAnsi="Times New Roman" w:cs="Times New Roman"/>
        </w:rPr>
      </w:pPr>
      <w:r w:rsidRPr="007346D8">
        <w:rPr>
          <w:rFonts w:ascii="Times New Roman" w:hAnsi="Times New Roman" w:cs="Times New Roman"/>
        </w:rPr>
        <w:t>In the context of my research, I use the term gender-based violence (GBV) to refer to harm directed towards individuals as motivated by his or her biological sex or gender identity</w:t>
      </w:r>
      <w:r w:rsidRPr="007346D8">
        <w:rPr>
          <w:rStyle w:val="FootnoteReference"/>
          <w:rFonts w:ascii="Times New Roman" w:hAnsi="Times New Roman" w:cs="Times New Roman"/>
        </w:rPr>
        <w:footnoteReference w:id="2"/>
      </w:r>
      <w:r w:rsidRPr="007346D8">
        <w:rPr>
          <w:rFonts w:ascii="Times New Roman" w:hAnsi="Times New Roman" w:cs="Times New Roman"/>
        </w:rPr>
        <w:t>. Some cited research uses alternative definitions, generally to refer to a more specific type of gendered-violence. When citing other authors, I</w:t>
      </w:r>
      <w:r w:rsidR="00F5218A">
        <w:rPr>
          <w:rFonts w:ascii="Times New Roman" w:hAnsi="Times New Roman" w:cs="Times New Roman"/>
        </w:rPr>
        <w:t xml:space="preserve"> adopt their terms</w:t>
      </w:r>
      <w:r w:rsidRPr="007346D8">
        <w:rPr>
          <w:rFonts w:ascii="Times New Roman" w:hAnsi="Times New Roman" w:cs="Times New Roman"/>
        </w:rPr>
        <w:t xml:space="preserve">, but </w:t>
      </w:r>
      <w:r w:rsidR="00F5218A">
        <w:rPr>
          <w:rFonts w:ascii="Times New Roman" w:hAnsi="Times New Roman" w:cs="Times New Roman"/>
        </w:rPr>
        <w:t>the focus of this paper is GBV specifically.</w:t>
      </w:r>
    </w:p>
    <w:p w:rsidR="00EE3D23" w:rsidRPr="00916832" w:rsidRDefault="007346D8" w:rsidP="00B86639">
      <w:pPr>
        <w:spacing w:line="480" w:lineRule="auto"/>
        <w:rPr>
          <w:rFonts w:ascii="Times New Roman" w:hAnsi="Times New Roman" w:cs="Times New Roman"/>
          <w:b/>
          <w:i/>
        </w:rPr>
      </w:pPr>
      <w:r w:rsidRPr="00661F44">
        <w:rPr>
          <w:rFonts w:ascii="Times New Roman" w:hAnsi="Times New Roman" w:cs="Times New Roman"/>
          <w:b/>
          <w:i/>
        </w:rPr>
        <w:t>Personal and social factors</w:t>
      </w:r>
    </w:p>
    <w:p w:rsidR="008E1C5B" w:rsidRDefault="00F5218A" w:rsidP="008E1C5B">
      <w:pPr>
        <w:spacing w:line="480" w:lineRule="auto"/>
        <w:ind w:firstLine="720"/>
        <w:rPr>
          <w:rFonts w:ascii="Times New Roman" w:hAnsi="Times New Roman" w:cs="Times New Roman"/>
        </w:rPr>
      </w:pPr>
      <w:r>
        <w:rPr>
          <w:rFonts w:ascii="Times New Roman" w:hAnsi="Times New Roman" w:cs="Times New Roman"/>
        </w:rPr>
        <w:t xml:space="preserve">Research evaluating personal and cultural barriers to reporting sheds light on the mental and emotional damaged wreaked by GBV. </w:t>
      </w:r>
      <w:r w:rsidR="00991381" w:rsidRPr="007346D8">
        <w:rPr>
          <w:rFonts w:ascii="Times New Roman" w:hAnsi="Times New Roman" w:cs="Times New Roman"/>
        </w:rPr>
        <w:t>In an evaluation of PTSD associated with sexual assault, Dietz et all find that women who report negative social and self-stigmas are more likely to express symptoms of PTSD (2015). In addition, women who perceived more severe consequences as a result of their attack were also more likely to have PTSD symptoms. Supported by additional empirical research</w:t>
      </w:r>
      <w:r w:rsidR="00947DA1" w:rsidRPr="007346D8">
        <w:rPr>
          <w:rFonts w:ascii="Times New Roman" w:hAnsi="Times New Roman" w:cs="Times New Roman"/>
        </w:rPr>
        <w:t xml:space="preserve"> in the U.S. and India</w:t>
      </w:r>
      <w:r w:rsidR="00991381" w:rsidRPr="007346D8">
        <w:rPr>
          <w:rFonts w:ascii="Times New Roman" w:hAnsi="Times New Roman" w:cs="Times New Roman"/>
        </w:rPr>
        <w:t xml:space="preserve"> (Kennedy and </w:t>
      </w:r>
      <w:proofErr w:type="spellStart"/>
      <w:r w:rsidR="00991381" w:rsidRPr="007346D8">
        <w:rPr>
          <w:rFonts w:ascii="Times New Roman" w:hAnsi="Times New Roman" w:cs="Times New Roman"/>
        </w:rPr>
        <w:t>Prock</w:t>
      </w:r>
      <w:proofErr w:type="spellEnd"/>
      <w:r w:rsidR="00991381" w:rsidRPr="007346D8">
        <w:rPr>
          <w:rFonts w:ascii="Times New Roman" w:hAnsi="Times New Roman" w:cs="Times New Roman"/>
        </w:rPr>
        <w:t xml:space="preserve"> 2018</w:t>
      </w:r>
      <w:r w:rsidR="00947DA1" w:rsidRPr="007346D8">
        <w:rPr>
          <w:rFonts w:ascii="Times New Roman" w:hAnsi="Times New Roman" w:cs="Times New Roman"/>
        </w:rPr>
        <w:t>; Chandra et al.</w:t>
      </w:r>
      <w:r w:rsidR="00791950">
        <w:rPr>
          <w:rFonts w:ascii="Times New Roman" w:hAnsi="Times New Roman" w:cs="Times New Roman"/>
        </w:rPr>
        <w:t xml:space="preserve"> 2009</w:t>
      </w:r>
      <w:r w:rsidR="00991381" w:rsidRPr="007346D8">
        <w:rPr>
          <w:rFonts w:ascii="Times New Roman" w:hAnsi="Times New Roman" w:cs="Times New Roman"/>
        </w:rPr>
        <w:t xml:space="preserve">), this </w:t>
      </w:r>
      <w:r w:rsidR="00947DA1" w:rsidRPr="007346D8">
        <w:rPr>
          <w:rFonts w:ascii="Times New Roman" w:hAnsi="Times New Roman" w:cs="Times New Roman"/>
        </w:rPr>
        <w:t xml:space="preserve">finding suggests that socialization that normalizes anti-victim stigma around GBV is likely to exacerbate the mental distress felt by victims of sexual assault. High stigma is also associated with nonreporting, assault severity, and revictimization (Kennedy and </w:t>
      </w:r>
      <w:proofErr w:type="spellStart"/>
      <w:r w:rsidR="00947DA1" w:rsidRPr="007346D8">
        <w:rPr>
          <w:rFonts w:ascii="Times New Roman" w:hAnsi="Times New Roman" w:cs="Times New Roman"/>
        </w:rPr>
        <w:t>Prock</w:t>
      </w:r>
      <w:proofErr w:type="spellEnd"/>
      <w:r w:rsidR="00947DA1" w:rsidRPr="007346D8">
        <w:rPr>
          <w:rFonts w:ascii="Times New Roman" w:hAnsi="Times New Roman" w:cs="Times New Roman"/>
        </w:rPr>
        <w:t xml:space="preserve"> 2018). </w:t>
      </w:r>
    </w:p>
    <w:p w:rsidR="00E65154" w:rsidRPr="007346D8" w:rsidRDefault="00157948" w:rsidP="008E1C5B">
      <w:pPr>
        <w:spacing w:line="480" w:lineRule="auto"/>
        <w:ind w:firstLine="720"/>
        <w:rPr>
          <w:rFonts w:ascii="Times New Roman" w:hAnsi="Times New Roman" w:cs="Times New Roman"/>
        </w:rPr>
      </w:pPr>
      <w:r w:rsidRPr="007346D8">
        <w:rPr>
          <w:rFonts w:ascii="Times New Roman" w:hAnsi="Times New Roman" w:cs="Times New Roman"/>
        </w:rPr>
        <w:t xml:space="preserve">External factors also play a role in the decision-making process. In a survey of perceived barriers to reporting, Sable et al. (2006) find that women see fear of retaliation, dependence on or </w:t>
      </w:r>
      <w:r w:rsidRPr="007346D8">
        <w:rPr>
          <w:rFonts w:ascii="Times New Roman" w:hAnsi="Times New Roman" w:cs="Times New Roman"/>
        </w:rPr>
        <w:lastRenderedPageBreak/>
        <w:t>relationship to the aggressor, and a lack of resources as the largest barriers to reporting sexual assault. Shame, confidentiality concerns, and fear of not being believed were additional barriers reported by both sexes.</w:t>
      </w:r>
      <w:r w:rsidR="00E65154" w:rsidRPr="007346D8">
        <w:rPr>
          <w:rFonts w:ascii="Times New Roman" w:hAnsi="Times New Roman" w:cs="Times New Roman"/>
        </w:rPr>
        <w:t xml:space="preserve"> In a study of female offenders in the U.S., Carbone-Lopez et al. find that the attack severity and reporting are strongly associated</w:t>
      </w:r>
      <w:r w:rsidR="00E65154" w:rsidRPr="007346D8">
        <w:rPr>
          <w:rStyle w:val="FootnoteReference"/>
          <w:rFonts w:ascii="Times New Roman" w:hAnsi="Times New Roman" w:cs="Times New Roman"/>
        </w:rPr>
        <w:footnoteReference w:id="3"/>
      </w:r>
      <w:r w:rsidR="00E65154" w:rsidRPr="007346D8">
        <w:rPr>
          <w:rFonts w:ascii="Times New Roman" w:hAnsi="Times New Roman" w:cs="Times New Roman"/>
        </w:rPr>
        <w:t xml:space="preserve"> (2015). If a weapon is involved, there are multiple perpetrators, or the victim suffers and injury requiring medical attention, women are more likely to report (p.368). The other side of this relationship is a more malevolent one; as women in situations that aren’t typically depicted as “real rape” are less likely to report. Attacks by partners, the influence of alcohol or drugs, or a party context are factors associated with ‘illegitimate’ sexual assault</w:t>
      </w:r>
      <w:r w:rsidR="00F5218A">
        <w:rPr>
          <w:rFonts w:ascii="Times New Roman" w:hAnsi="Times New Roman" w:cs="Times New Roman"/>
        </w:rPr>
        <w:t xml:space="preserve">. </w:t>
      </w:r>
      <w:r w:rsidR="00E65154" w:rsidRPr="007346D8">
        <w:rPr>
          <w:rFonts w:ascii="Times New Roman" w:hAnsi="Times New Roman" w:cs="Times New Roman"/>
        </w:rPr>
        <w:t xml:space="preserve">If an attack happens in the context of crime, whether it be a drug deal gone wrong or </w:t>
      </w:r>
      <w:r w:rsidR="00623B00" w:rsidRPr="007346D8">
        <w:rPr>
          <w:rFonts w:ascii="Times New Roman" w:hAnsi="Times New Roman" w:cs="Times New Roman"/>
        </w:rPr>
        <w:t xml:space="preserve">involving a large crime syndicate, reporting may carry even more risk (Reuter 2009). </w:t>
      </w:r>
    </w:p>
    <w:p w:rsidR="00157948" w:rsidRPr="007346D8" w:rsidRDefault="00F5218A" w:rsidP="005D6923">
      <w:pPr>
        <w:spacing w:line="480" w:lineRule="auto"/>
        <w:ind w:firstLine="720"/>
        <w:rPr>
          <w:rFonts w:ascii="Times New Roman" w:hAnsi="Times New Roman" w:cs="Times New Roman"/>
        </w:rPr>
      </w:pPr>
      <w:r>
        <w:rPr>
          <w:rFonts w:ascii="Times New Roman" w:hAnsi="Times New Roman" w:cs="Times New Roman"/>
        </w:rPr>
        <w:t>Survey research on the general population reveals similar trends to the studies on women in situations of violence</w:t>
      </w:r>
      <w:r w:rsidR="00623B00" w:rsidRPr="007346D8">
        <w:rPr>
          <w:rFonts w:ascii="Times New Roman" w:hAnsi="Times New Roman" w:cs="Times New Roman"/>
        </w:rPr>
        <w:t>. Work on assault intervention</w:t>
      </w:r>
      <w:r w:rsidR="00157948" w:rsidRPr="007346D8">
        <w:rPr>
          <w:rFonts w:ascii="Times New Roman" w:hAnsi="Times New Roman" w:cs="Times New Roman"/>
        </w:rPr>
        <w:t xml:space="preserve"> suggests that bystanders are more likely to intervene if the assault is more severe (Bennett et al. 2017).</w:t>
      </w:r>
      <w:r w:rsidR="00623B00" w:rsidRPr="007346D8">
        <w:rPr>
          <w:rFonts w:ascii="Times New Roman" w:hAnsi="Times New Roman" w:cs="Times New Roman"/>
        </w:rPr>
        <w:t xml:space="preserve"> Additionally, individuals are more likely to intervene if they know either the aggressor or victim. Caetano et al.’s study </w:t>
      </w:r>
      <w:r w:rsidR="0070285F" w:rsidRPr="007346D8">
        <w:rPr>
          <w:rFonts w:ascii="Times New Roman" w:hAnsi="Times New Roman" w:cs="Times New Roman"/>
        </w:rPr>
        <w:t>on</w:t>
      </w:r>
      <w:r w:rsidR="00623B00" w:rsidRPr="007346D8">
        <w:rPr>
          <w:rFonts w:ascii="Times New Roman" w:hAnsi="Times New Roman" w:cs="Times New Roman"/>
        </w:rPr>
        <w:t xml:space="preserve"> interpersonal violence (IPV) finds a</w:t>
      </w:r>
      <w:r w:rsidR="00521CD5" w:rsidRPr="007346D8">
        <w:rPr>
          <w:rFonts w:ascii="Times New Roman" w:hAnsi="Times New Roman" w:cs="Times New Roman"/>
        </w:rPr>
        <w:t xml:space="preserve"> large </w:t>
      </w:r>
      <w:r w:rsidR="00623B00" w:rsidRPr="007346D8">
        <w:rPr>
          <w:rFonts w:ascii="Times New Roman" w:hAnsi="Times New Roman" w:cs="Times New Roman"/>
        </w:rPr>
        <w:t>gendered distinction between what individuals perceive to</w:t>
      </w:r>
      <w:r w:rsidR="00D37445" w:rsidRPr="007346D8">
        <w:rPr>
          <w:rFonts w:ascii="Times New Roman" w:hAnsi="Times New Roman" w:cs="Times New Roman"/>
        </w:rPr>
        <w:t xml:space="preserve"> ‘count’ as abuse</w:t>
      </w:r>
      <w:r w:rsidR="00623B00" w:rsidRPr="007346D8">
        <w:rPr>
          <w:rFonts w:ascii="Times New Roman" w:hAnsi="Times New Roman" w:cs="Times New Roman"/>
        </w:rPr>
        <w:t xml:space="preserve"> (2009</w:t>
      </w:r>
      <w:r w:rsidR="00521CD5" w:rsidRPr="007346D8">
        <w:rPr>
          <w:rFonts w:ascii="Times New Roman" w:hAnsi="Times New Roman" w:cs="Times New Roman"/>
        </w:rPr>
        <w:t>).</w:t>
      </w:r>
      <w:r w:rsidR="0070285F" w:rsidRPr="007346D8">
        <w:rPr>
          <w:rFonts w:ascii="Times New Roman" w:hAnsi="Times New Roman" w:cs="Times New Roman"/>
        </w:rPr>
        <w:t xml:space="preserve"> Among couples surveyed</w:t>
      </w:r>
      <w:r w:rsidR="00D37445" w:rsidRPr="007346D8">
        <w:rPr>
          <w:rFonts w:ascii="Times New Roman" w:hAnsi="Times New Roman" w:cs="Times New Roman"/>
        </w:rPr>
        <w:t xml:space="preserve"> about incidents of IPV in their relationship, there was a 30% and 90% reporting difference for psychological aggression and sexual coercion, respectively, with men underreporting. These results suggest that external social factors accompany one’s internal conflict with reporting GBV. </w:t>
      </w:r>
      <w:r w:rsidR="00D37445" w:rsidRPr="00454CF9">
        <w:rPr>
          <w:rFonts w:ascii="Times New Roman" w:hAnsi="Times New Roman" w:cs="Times New Roman"/>
          <w:color w:val="00B050"/>
        </w:rPr>
        <w:t xml:space="preserve"> </w:t>
      </w:r>
    </w:p>
    <w:p w:rsidR="00FD2A79" w:rsidRPr="007346D8" w:rsidRDefault="00D37445" w:rsidP="00E65154">
      <w:pPr>
        <w:rPr>
          <w:rFonts w:ascii="Times New Roman" w:hAnsi="Times New Roman" w:cs="Times New Roman"/>
        </w:rPr>
      </w:pPr>
      <w:r w:rsidRPr="007346D8">
        <w:rPr>
          <w:rFonts w:ascii="Times New Roman" w:hAnsi="Times New Roman" w:cs="Times New Roman"/>
        </w:rPr>
        <w:tab/>
      </w:r>
    </w:p>
    <w:p w:rsidR="00D37445" w:rsidRPr="007346D8" w:rsidRDefault="007346D8" w:rsidP="00B86639">
      <w:pPr>
        <w:pStyle w:val="subsubsection"/>
        <w:spacing w:line="480" w:lineRule="auto"/>
      </w:pPr>
      <w:r w:rsidRPr="007346D8">
        <w:t>Institutional factors</w:t>
      </w:r>
    </w:p>
    <w:p w:rsidR="00782BE4" w:rsidRPr="007346D8" w:rsidRDefault="00DB511E" w:rsidP="00B86639">
      <w:pPr>
        <w:spacing w:line="480" w:lineRule="auto"/>
        <w:rPr>
          <w:rFonts w:ascii="Times New Roman" w:hAnsi="Times New Roman" w:cs="Times New Roman"/>
        </w:rPr>
      </w:pPr>
      <w:r w:rsidRPr="007346D8">
        <w:rPr>
          <w:rFonts w:ascii="Times New Roman" w:hAnsi="Times New Roman" w:cs="Times New Roman"/>
        </w:rPr>
        <w:lastRenderedPageBreak/>
        <w:t>In addition to immediate social and emotional influences in reporting, an individual in a situation of violence must also consider the nature of formal institutions that can be reported to. Work on police trust and judicial procedure surrounding GBV suggests that there are many factors that may diminish confidence in the police</w:t>
      </w:r>
      <w:r w:rsidR="00782BE4" w:rsidRPr="007346D8">
        <w:rPr>
          <w:rFonts w:ascii="Times New Roman" w:hAnsi="Times New Roman" w:cs="Times New Roman"/>
        </w:rPr>
        <w:t xml:space="preserve">. </w:t>
      </w:r>
    </w:p>
    <w:p w:rsidR="00DB511E" w:rsidRPr="007346D8" w:rsidRDefault="00782BE4" w:rsidP="00B86639">
      <w:pPr>
        <w:spacing w:line="480" w:lineRule="auto"/>
        <w:rPr>
          <w:rFonts w:ascii="Times New Roman" w:hAnsi="Times New Roman" w:cs="Times New Roman"/>
          <w:b/>
        </w:rPr>
      </w:pPr>
      <w:r w:rsidRPr="007346D8">
        <w:rPr>
          <w:rFonts w:ascii="Times New Roman" w:hAnsi="Times New Roman" w:cs="Times New Roman"/>
        </w:rPr>
        <w:tab/>
        <w:t>Macaulay’s review of judicial domestic violence procedure in Latin America</w:t>
      </w:r>
      <w:r w:rsidR="00DB511E" w:rsidRPr="007346D8">
        <w:rPr>
          <w:rFonts w:ascii="Times New Roman" w:hAnsi="Times New Roman" w:cs="Times New Roman"/>
        </w:rPr>
        <w:t xml:space="preserve"> </w:t>
      </w:r>
      <w:r w:rsidRPr="007346D8">
        <w:rPr>
          <w:rFonts w:ascii="Times New Roman" w:hAnsi="Times New Roman" w:cs="Times New Roman"/>
        </w:rPr>
        <w:t>highlights competing institutional features; while the region has been swift in criminalizing domestic violence, they have simultaneously shifted legal proceedings in this area towards conciliatory or transactional justice procedures (2006). In this way, governments fail to adequately punish aggressors and protect women from retaliation</w:t>
      </w:r>
      <w:r w:rsidRPr="007346D8">
        <w:rPr>
          <w:rFonts w:ascii="Times New Roman" w:hAnsi="Times New Roman" w:cs="Times New Roman"/>
          <w:b/>
        </w:rPr>
        <w:t xml:space="preserve">. </w:t>
      </w:r>
    </w:p>
    <w:p w:rsidR="00782BE4" w:rsidRPr="007346D8" w:rsidRDefault="00782BE4" w:rsidP="00B86639">
      <w:pPr>
        <w:spacing w:line="480" w:lineRule="auto"/>
        <w:rPr>
          <w:rFonts w:ascii="Times New Roman" w:hAnsi="Times New Roman" w:cs="Times New Roman"/>
        </w:rPr>
      </w:pPr>
      <w:r w:rsidRPr="007346D8">
        <w:rPr>
          <w:rFonts w:ascii="Times New Roman" w:hAnsi="Times New Roman" w:cs="Times New Roman"/>
        </w:rPr>
        <w:tab/>
        <w:t xml:space="preserve">Police trust, at least in the United States, is </w:t>
      </w:r>
      <w:r w:rsidR="00F5218A">
        <w:rPr>
          <w:rFonts w:ascii="Times New Roman" w:hAnsi="Times New Roman" w:cs="Times New Roman"/>
        </w:rPr>
        <w:t xml:space="preserve">related to the level of procedural fairness that people perceive in the police. </w:t>
      </w:r>
      <w:r w:rsidRPr="007346D8">
        <w:rPr>
          <w:rFonts w:ascii="Times New Roman" w:hAnsi="Times New Roman" w:cs="Times New Roman"/>
        </w:rPr>
        <w:t xml:space="preserve">Citizens who express more trust in the police are also more likely to report crimes, follow the rules, and perceive the police as legitimate (Tyler 2011). Parallel studies conducted in Latin America suggest similar trends. </w:t>
      </w:r>
      <w:r w:rsidR="00552FBC" w:rsidRPr="007346D8">
        <w:rPr>
          <w:rFonts w:ascii="Times New Roman" w:hAnsi="Times New Roman" w:cs="Times New Roman"/>
        </w:rPr>
        <w:t>Predictably, trust in legal institutions is strongly associated with trust in police</w:t>
      </w:r>
      <w:r w:rsidR="00251469" w:rsidRPr="007346D8">
        <w:rPr>
          <w:rFonts w:ascii="Times New Roman" w:hAnsi="Times New Roman" w:cs="Times New Roman"/>
        </w:rPr>
        <w:t xml:space="preserve"> (Cao and Zhao 2005)</w:t>
      </w:r>
      <w:r w:rsidR="00552FBC" w:rsidRPr="007346D8">
        <w:rPr>
          <w:rFonts w:ascii="Times New Roman" w:hAnsi="Times New Roman" w:cs="Times New Roman"/>
        </w:rPr>
        <w:t xml:space="preserve">. </w:t>
      </w:r>
      <w:r w:rsidR="00251469" w:rsidRPr="007346D8">
        <w:rPr>
          <w:rFonts w:ascii="Times New Roman" w:hAnsi="Times New Roman" w:cs="Times New Roman"/>
        </w:rPr>
        <w:t>Work on victimization and trust in the region demonstrates that crime victims are likely to lose vertical trust in police and governance institutions, but their horizontal trust in other citizens remains the same (</w:t>
      </w:r>
      <w:proofErr w:type="spellStart"/>
      <w:r w:rsidR="00251469" w:rsidRPr="007346D8">
        <w:rPr>
          <w:rFonts w:ascii="Times New Roman" w:hAnsi="Times New Roman" w:cs="Times New Roman"/>
        </w:rPr>
        <w:t>Corbacho</w:t>
      </w:r>
      <w:proofErr w:type="spellEnd"/>
      <w:r w:rsidR="00251469" w:rsidRPr="007346D8">
        <w:rPr>
          <w:rFonts w:ascii="Times New Roman" w:hAnsi="Times New Roman" w:cs="Times New Roman"/>
        </w:rPr>
        <w:t xml:space="preserve"> et al 2015). </w:t>
      </w:r>
      <w:r w:rsidR="00087B89">
        <w:rPr>
          <w:rFonts w:ascii="Times New Roman" w:hAnsi="Times New Roman" w:cs="Times New Roman"/>
        </w:rPr>
        <w:t xml:space="preserve">Conclusions drawn from research suggest that trust in police may be related in part to individual experiences with authoritarianism; a negative correspondence between age and police trust along with tenuous institutional trust provides evidence for this (Cao and Zhao 2005; </w:t>
      </w:r>
      <w:proofErr w:type="spellStart"/>
      <w:r w:rsidR="00087B89">
        <w:rPr>
          <w:rFonts w:ascii="Times New Roman" w:hAnsi="Times New Roman" w:cs="Times New Roman"/>
        </w:rPr>
        <w:t>Corbacho</w:t>
      </w:r>
      <w:proofErr w:type="spellEnd"/>
      <w:r w:rsidR="00087B89">
        <w:rPr>
          <w:rFonts w:ascii="Times New Roman" w:hAnsi="Times New Roman" w:cs="Times New Roman"/>
        </w:rPr>
        <w:t xml:space="preserve"> et al. 2015). </w:t>
      </w:r>
      <w:r w:rsidR="00251469" w:rsidRPr="007346D8">
        <w:rPr>
          <w:rFonts w:ascii="Times New Roman" w:hAnsi="Times New Roman" w:cs="Times New Roman"/>
        </w:rPr>
        <w:t xml:space="preserve">An additional concern is the distribution of law enforcement presence throughout society. In areas lacking a consistent </w:t>
      </w:r>
      <w:r w:rsidR="00326C22" w:rsidRPr="007346D8">
        <w:rPr>
          <w:rFonts w:ascii="Times New Roman" w:hAnsi="Times New Roman" w:cs="Times New Roman"/>
        </w:rPr>
        <w:t>and efficacious state presence, individuals may not feel that reporting is effective. Alternatively, they may defer to informal leaders of an area, for example, criminal organizations in the Favelas of Rio de Janeiro (Wolff 2015).</w:t>
      </w:r>
      <w:r w:rsidR="00251469" w:rsidRPr="007346D8">
        <w:rPr>
          <w:rFonts w:ascii="Times New Roman" w:hAnsi="Times New Roman" w:cs="Times New Roman"/>
        </w:rPr>
        <w:t xml:space="preserve"> Though these </w:t>
      </w:r>
      <w:r w:rsidR="00251469" w:rsidRPr="007346D8">
        <w:rPr>
          <w:rFonts w:ascii="Times New Roman" w:hAnsi="Times New Roman" w:cs="Times New Roman"/>
        </w:rPr>
        <w:lastRenderedPageBreak/>
        <w:t>studies don’t speak specifically to GBV crimes, they do suggest that police and government trust in Latin America</w:t>
      </w:r>
      <w:r w:rsidR="00F5218A">
        <w:rPr>
          <w:rFonts w:ascii="Times New Roman" w:hAnsi="Times New Roman" w:cs="Times New Roman"/>
        </w:rPr>
        <w:t>,</w:t>
      </w:r>
      <w:r w:rsidR="00251469" w:rsidRPr="007346D8">
        <w:rPr>
          <w:rFonts w:ascii="Times New Roman" w:hAnsi="Times New Roman" w:cs="Times New Roman"/>
        </w:rPr>
        <w:t xml:space="preserve"> is in some circumstances</w:t>
      </w:r>
      <w:r w:rsidR="00F5218A">
        <w:rPr>
          <w:rFonts w:ascii="Times New Roman" w:hAnsi="Times New Roman" w:cs="Times New Roman"/>
        </w:rPr>
        <w:t>,</w:t>
      </w:r>
      <w:r w:rsidR="00251469" w:rsidRPr="007346D8">
        <w:rPr>
          <w:rFonts w:ascii="Times New Roman" w:hAnsi="Times New Roman" w:cs="Times New Roman"/>
        </w:rPr>
        <w:t xml:space="preserve"> tenuous. </w:t>
      </w:r>
    </w:p>
    <w:p w:rsidR="009D04BA" w:rsidRPr="007346D8" w:rsidRDefault="00326C22" w:rsidP="00B86639">
      <w:pPr>
        <w:spacing w:line="480" w:lineRule="auto"/>
        <w:ind w:firstLine="720"/>
        <w:rPr>
          <w:rFonts w:ascii="Times New Roman" w:hAnsi="Times New Roman" w:cs="Times New Roman"/>
        </w:rPr>
      </w:pPr>
      <w:r w:rsidRPr="007346D8">
        <w:rPr>
          <w:rFonts w:ascii="Times New Roman" w:hAnsi="Times New Roman" w:cs="Times New Roman"/>
        </w:rPr>
        <w:t xml:space="preserve">Considering GBV crimes specifically, Hickman and Simpson’s study of domestic violence corroborates Tyler’s thesis on police trust (2003). Women who perceive previous interventions by police to have gone favorably are more likely to report future incidents. </w:t>
      </w:r>
      <w:r w:rsidR="003B4A12" w:rsidRPr="007346D8">
        <w:rPr>
          <w:rFonts w:ascii="Times New Roman" w:hAnsi="Times New Roman" w:cs="Times New Roman"/>
        </w:rPr>
        <w:t xml:space="preserve">As mentioned, </w:t>
      </w:r>
      <w:r w:rsidRPr="007346D8">
        <w:rPr>
          <w:rFonts w:ascii="Times New Roman" w:hAnsi="Times New Roman" w:cs="Times New Roman"/>
        </w:rPr>
        <w:t xml:space="preserve">Carbone-Lopez et al.’s study of female offender reporting suggests that </w:t>
      </w:r>
      <w:r w:rsidR="003B4A12" w:rsidRPr="007346D8">
        <w:rPr>
          <w:rFonts w:ascii="Times New Roman" w:hAnsi="Times New Roman" w:cs="Times New Roman"/>
        </w:rPr>
        <w:t xml:space="preserve">the more an attack resembles a “real rape”, the more likely respondents were to have reported an incident. Respondents overwhelmingly cited not believing that the police could help them as a primary reason for not reporting (Carbone-Lopez et al. 2015). </w:t>
      </w:r>
    </w:p>
    <w:p w:rsidR="00087B89" w:rsidRPr="00087B89" w:rsidRDefault="00114688" w:rsidP="008E1C5B">
      <w:pPr>
        <w:spacing w:line="480" w:lineRule="auto"/>
        <w:ind w:firstLine="720"/>
        <w:rPr>
          <w:rFonts w:ascii="Times New Roman" w:hAnsi="Times New Roman" w:cs="Times New Roman"/>
          <w:color w:val="000000" w:themeColor="text1"/>
        </w:rPr>
      </w:pPr>
      <w:r w:rsidRPr="007346D8">
        <w:rPr>
          <w:rFonts w:ascii="Times New Roman" w:hAnsi="Times New Roman" w:cs="Times New Roman"/>
          <w:color w:val="000000" w:themeColor="text1"/>
        </w:rPr>
        <w:t>Related</w:t>
      </w:r>
      <w:r w:rsidR="009D04BA" w:rsidRPr="007346D8">
        <w:rPr>
          <w:rFonts w:ascii="Times New Roman" w:hAnsi="Times New Roman" w:cs="Times New Roman"/>
          <w:color w:val="000000" w:themeColor="text1"/>
        </w:rPr>
        <w:t xml:space="preserve"> work</w:t>
      </w:r>
      <w:r w:rsidRPr="007346D8">
        <w:rPr>
          <w:rFonts w:ascii="Times New Roman" w:hAnsi="Times New Roman" w:cs="Times New Roman"/>
          <w:color w:val="000000" w:themeColor="text1"/>
        </w:rPr>
        <w:t xml:space="preserve"> focuses on police perceptions of GBV scenarios.</w:t>
      </w:r>
      <w:r w:rsidR="00A07544" w:rsidRPr="007346D8">
        <w:rPr>
          <w:rFonts w:ascii="Times New Roman" w:hAnsi="Times New Roman" w:cs="Times New Roman"/>
          <w:color w:val="000000" w:themeColor="text1"/>
        </w:rPr>
        <w:t xml:space="preserve"> </w:t>
      </w:r>
      <w:proofErr w:type="spellStart"/>
      <w:r w:rsidR="009D04BA" w:rsidRPr="007346D8">
        <w:rPr>
          <w:rFonts w:ascii="Times New Roman" w:hAnsi="Times New Roman" w:cs="Times New Roman"/>
          <w:color w:val="000000" w:themeColor="text1"/>
        </w:rPr>
        <w:t>Gracia</w:t>
      </w:r>
      <w:proofErr w:type="spellEnd"/>
      <w:r w:rsidR="009D04BA" w:rsidRPr="007346D8">
        <w:rPr>
          <w:rFonts w:ascii="Times New Roman" w:hAnsi="Times New Roman" w:cs="Times New Roman"/>
          <w:color w:val="000000" w:themeColor="text1"/>
        </w:rPr>
        <w:t xml:space="preserve"> et al. survey the effects of benevolent and hostile sexism in Spanish police (2014). Their survey evidences that officers with higher levels of benevolent sexism were more likely to act conditionally in situations of interpersonal violence, and officers with high levels of hostile sexism displayed tendencies to act conditionally </w:t>
      </w:r>
      <w:r w:rsidR="002C13E4">
        <w:rPr>
          <w:rFonts w:ascii="Times New Roman" w:hAnsi="Times New Roman" w:cs="Times New Roman"/>
          <w:i/>
          <w:color w:val="000000" w:themeColor="text1"/>
        </w:rPr>
        <w:t>in favor</w:t>
      </w:r>
      <w:r w:rsidR="002C13E4">
        <w:rPr>
          <w:rFonts w:ascii="Times New Roman" w:hAnsi="Times New Roman" w:cs="Times New Roman"/>
          <w:color w:val="000000" w:themeColor="text1"/>
        </w:rPr>
        <w:t xml:space="preserve"> </w:t>
      </w:r>
      <w:r w:rsidR="009D04BA" w:rsidRPr="007346D8">
        <w:rPr>
          <w:rFonts w:ascii="Times New Roman" w:hAnsi="Times New Roman" w:cs="Times New Roman"/>
          <w:color w:val="000000" w:themeColor="text1"/>
        </w:rPr>
        <w:t xml:space="preserve">of a male perpetrator. </w:t>
      </w:r>
      <w:proofErr w:type="spellStart"/>
      <w:r w:rsidR="00991381" w:rsidRPr="007346D8">
        <w:rPr>
          <w:rFonts w:ascii="Times New Roman" w:hAnsi="Times New Roman" w:cs="Times New Roman"/>
          <w:color w:val="000000" w:themeColor="text1"/>
        </w:rPr>
        <w:t>Venema</w:t>
      </w:r>
      <w:proofErr w:type="spellEnd"/>
      <w:r w:rsidR="00991381" w:rsidRPr="007346D8">
        <w:rPr>
          <w:rFonts w:ascii="Times New Roman" w:hAnsi="Times New Roman" w:cs="Times New Roman"/>
          <w:color w:val="000000" w:themeColor="text1"/>
        </w:rPr>
        <w:t xml:space="preserve"> et al.’s interview research of police officers in the U.S.</w:t>
      </w:r>
      <w:r w:rsidR="009D04BA" w:rsidRPr="007346D8">
        <w:rPr>
          <w:rFonts w:ascii="Times New Roman" w:hAnsi="Times New Roman" w:cs="Times New Roman"/>
          <w:color w:val="000000" w:themeColor="text1"/>
        </w:rPr>
        <w:t xml:space="preserve"> provides strong evidence that although they follow protocol, police officers carry preconceptions about rape that are misleading (2016)</w:t>
      </w:r>
      <w:r w:rsidR="00087B89">
        <w:rPr>
          <w:rStyle w:val="FootnoteReference"/>
          <w:rFonts w:ascii="Times New Roman" w:hAnsi="Times New Roman" w:cs="Times New Roman"/>
          <w:color w:val="000000" w:themeColor="text1"/>
        </w:rPr>
        <w:footnoteReference w:id="4"/>
      </w:r>
      <w:r w:rsidR="00087B89" w:rsidRPr="00193638">
        <w:rPr>
          <w:rFonts w:ascii="Times New Roman" w:hAnsi="Times New Roman" w:cs="Times New Roman"/>
        </w:rPr>
        <w:t>.</w:t>
      </w:r>
      <w:r w:rsidR="00087B89">
        <w:rPr>
          <w:rFonts w:ascii="Times New Roman" w:hAnsi="Times New Roman" w:cs="Times New Roman"/>
        </w:rPr>
        <w:t xml:space="preserve"> </w:t>
      </w:r>
      <w:r w:rsidR="00650EF8">
        <w:rPr>
          <w:rFonts w:ascii="Times New Roman" w:hAnsi="Times New Roman" w:cs="Times New Roman"/>
          <w:color w:val="000000" w:themeColor="text1"/>
        </w:rPr>
        <w:t>In some scenarios, police condoned partner violence or suggested that women use their sexuality to solve intrapersonal conflicts (</w:t>
      </w:r>
      <w:proofErr w:type="spellStart"/>
      <w:r w:rsidR="00650EF8">
        <w:rPr>
          <w:rFonts w:ascii="Times New Roman" w:hAnsi="Times New Roman" w:cs="Times New Roman"/>
          <w:color w:val="000000" w:themeColor="text1"/>
        </w:rPr>
        <w:t>Sagot</w:t>
      </w:r>
      <w:proofErr w:type="spellEnd"/>
      <w:r w:rsidR="00650EF8">
        <w:rPr>
          <w:rFonts w:ascii="Times New Roman" w:hAnsi="Times New Roman" w:cs="Times New Roman"/>
          <w:color w:val="000000" w:themeColor="text1"/>
        </w:rPr>
        <w:t xml:space="preserve"> 2005; Frias and </w:t>
      </w:r>
      <w:proofErr w:type="spellStart"/>
      <w:r w:rsidR="00650EF8">
        <w:rPr>
          <w:rFonts w:ascii="Times New Roman" w:hAnsi="Times New Roman" w:cs="Times New Roman"/>
          <w:color w:val="000000" w:themeColor="text1"/>
        </w:rPr>
        <w:t>Agoff</w:t>
      </w:r>
      <w:proofErr w:type="spellEnd"/>
      <w:r w:rsidR="00650EF8">
        <w:rPr>
          <w:rFonts w:ascii="Times New Roman" w:hAnsi="Times New Roman" w:cs="Times New Roman"/>
          <w:color w:val="000000" w:themeColor="text1"/>
        </w:rPr>
        <w:t xml:space="preserve"> 2015). </w:t>
      </w:r>
      <w:r w:rsidR="00991381" w:rsidRPr="007346D8">
        <w:rPr>
          <w:rFonts w:ascii="Times New Roman" w:hAnsi="Times New Roman" w:cs="Times New Roman"/>
          <w:color w:val="000000" w:themeColor="text1"/>
        </w:rPr>
        <w:t xml:space="preserve">Accounts from police in part confirm the concerns had by victims in reporting. Police officers do hold biases that they take with them on the job, </w:t>
      </w:r>
      <w:r w:rsidR="00991381" w:rsidRPr="007346D8">
        <w:rPr>
          <w:rFonts w:ascii="Times New Roman" w:hAnsi="Times New Roman" w:cs="Times New Roman"/>
          <w:color w:val="000000" w:themeColor="text1"/>
        </w:rPr>
        <w:lastRenderedPageBreak/>
        <w:t xml:space="preserve">and though this may not </w:t>
      </w:r>
      <w:r w:rsidRPr="007346D8">
        <w:rPr>
          <w:rFonts w:ascii="Times New Roman" w:hAnsi="Times New Roman" w:cs="Times New Roman"/>
          <w:color w:val="000000" w:themeColor="text1"/>
        </w:rPr>
        <w:t xml:space="preserve">whether or not they follow procedure, </w:t>
      </w:r>
      <w:r w:rsidR="00991381" w:rsidRPr="007346D8">
        <w:rPr>
          <w:rFonts w:ascii="Times New Roman" w:hAnsi="Times New Roman" w:cs="Times New Roman"/>
          <w:color w:val="000000" w:themeColor="text1"/>
        </w:rPr>
        <w:t xml:space="preserve">it may affect the nature with which they proceed.  </w:t>
      </w:r>
    </w:p>
    <w:p w:rsidR="00843385" w:rsidRPr="007346D8" w:rsidRDefault="00661F44" w:rsidP="00B86639">
      <w:pPr>
        <w:pStyle w:val="subsubsection"/>
        <w:spacing w:line="480" w:lineRule="auto"/>
      </w:pPr>
      <w:r>
        <w:t>Reporting trends</w:t>
      </w:r>
    </w:p>
    <w:p w:rsidR="002B2FBE" w:rsidRPr="007346D8" w:rsidRDefault="00087B89" w:rsidP="00B86639">
      <w:pPr>
        <w:spacing w:line="480" w:lineRule="auto"/>
        <w:ind w:firstLine="720"/>
        <w:rPr>
          <w:rFonts w:ascii="Times New Roman" w:hAnsi="Times New Roman" w:cs="Times New Roman"/>
        </w:rPr>
      </w:pPr>
      <w:r w:rsidRPr="00087B89">
        <w:rPr>
          <w:rFonts w:ascii="Times New Roman" w:hAnsi="Times New Roman" w:cs="Times New Roman"/>
          <w:color w:val="000000" w:themeColor="text1"/>
        </w:rPr>
        <w:t xml:space="preserve">GBV reporting is generally quite low, but studies do uncover predictors of variation in reporting and variation in the nature of GBV crimes in certain circumstances.  </w:t>
      </w:r>
      <w:r w:rsidR="002B2FBE" w:rsidRPr="007346D8">
        <w:rPr>
          <w:rFonts w:ascii="Times New Roman" w:hAnsi="Times New Roman" w:cs="Times New Roman"/>
        </w:rPr>
        <w:t>Palermo et al. (2013) consider health survey data in several developing countries. On average, only 7% of women who experience GBV formally report it, with regional averages ranging from 2% in Asia to 14% in Latin America. The authors credit higher reporting levels in Latin America to both higher levels of development as well as a history of advocacy for human rights</w:t>
      </w:r>
      <w:r>
        <w:rPr>
          <w:rFonts w:ascii="Times New Roman" w:hAnsi="Times New Roman" w:cs="Times New Roman"/>
        </w:rPr>
        <w:t xml:space="preserve">. </w:t>
      </w:r>
      <w:r w:rsidR="002B2FBE" w:rsidRPr="007346D8">
        <w:rPr>
          <w:rFonts w:ascii="Times New Roman" w:hAnsi="Times New Roman" w:cs="Times New Roman"/>
          <w:color w:val="000000" w:themeColor="text1"/>
        </w:rPr>
        <w:t xml:space="preserve">Geographic research in the global </w:t>
      </w:r>
      <w:r w:rsidR="00B00C31" w:rsidRPr="007346D8">
        <w:rPr>
          <w:rFonts w:ascii="Times New Roman" w:hAnsi="Times New Roman" w:cs="Times New Roman"/>
          <w:color w:val="000000" w:themeColor="text1"/>
        </w:rPr>
        <w:t>S</w:t>
      </w:r>
      <w:r w:rsidR="002B2FBE" w:rsidRPr="007346D8">
        <w:rPr>
          <w:rFonts w:ascii="Times New Roman" w:hAnsi="Times New Roman" w:cs="Times New Roman"/>
          <w:color w:val="000000" w:themeColor="text1"/>
        </w:rPr>
        <w:t xml:space="preserve">outh considers the relationship between urbanization and GBV, finding </w:t>
      </w:r>
      <w:r w:rsidR="006366DB" w:rsidRPr="007346D8">
        <w:rPr>
          <w:rFonts w:ascii="Times New Roman" w:hAnsi="Times New Roman" w:cs="Times New Roman"/>
          <w:color w:val="000000" w:themeColor="text1"/>
        </w:rPr>
        <w:t>competing</w:t>
      </w:r>
      <w:r w:rsidR="002B2FBE" w:rsidRPr="007346D8">
        <w:rPr>
          <w:rFonts w:ascii="Times New Roman" w:hAnsi="Times New Roman" w:cs="Times New Roman"/>
          <w:color w:val="000000" w:themeColor="text1"/>
        </w:rPr>
        <w:t xml:space="preserve"> results. McIlwaine (2013) uses survey data and urbanization rates, finding that perpetrators in urban settings are less likely to be known in urban settings and more likely to be known in rural ones. Urban settings may create more risk factors for gender-based violence by yielding poorer areas, social fragmentation, and closer living conditions. </w:t>
      </w:r>
    </w:p>
    <w:p w:rsidR="002B2FBE" w:rsidRPr="00165A16" w:rsidRDefault="002B2FBE" w:rsidP="00B86639">
      <w:pPr>
        <w:spacing w:line="480" w:lineRule="auto"/>
        <w:ind w:firstLine="720"/>
        <w:rPr>
          <w:rFonts w:ascii="Times New Roman" w:hAnsi="Times New Roman" w:cs="Times New Roman"/>
          <w:color w:val="000000" w:themeColor="text1"/>
        </w:rPr>
      </w:pPr>
      <w:r w:rsidRPr="00165A16">
        <w:rPr>
          <w:rFonts w:ascii="Times New Roman" w:hAnsi="Times New Roman" w:cs="Times New Roman"/>
          <w:color w:val="000000" w:themeColor="text1"/>
        </w:rPr>
        <w:t xml:space="preserve">Frias and </w:t>
      </w:r>
      <w:proofErr w:type="spellStart"/>
      <w:r w:rsidRPr="00165A16">
        <w:rPr>
          <w:rFonts w:ascii="Times New Roman" w:hAnsi="Times New Roman" w:cs="Times New Roman"/>
          <w:color w:val="000000" w:themeColor="text1"/>
        </w:rPr>
        <w:t>Agoff</w:t>
      </w:r>
      <w:proofErr w:type="spellEnd"/>
      <w:r w:rsidRPr="00165A16">
        <w:rPr>
          <w:rFonts w:ascii="Times New Roman" w:hAnsi="Times New Roman" w:cs="Times New Roman"/>
          <w:color w:val="000000" w:themeColor="text1"/>
        </w:rPr>
        <w:t xml:space="preserve"> </w:t>
      </w:r>
      <w:r w:rsidR="00650EF8">
        <w:rPr>
          <w:rFonts w:ascii="Times New Roman" w:hAnsi="Times New Roman" w:cs="Times New Roman"/>
          <w:color w:val="000000" w:themeColor="text1"/>
        </w:rPr>
        <w:t xml:space="preserve">make use of survey data and focus groups in Mexico to garner information about how victims of partner violence seek help from family members and formal reporting sources (2015). </w:t>
      </w:r>
      <w:r w:rsidR="00087B89">
        <w:rPr>
          <w:rFonts w:ascii="Times New Roman" w:hAnsi="Times New Roman" w:cs="Times New Roman"/>
          <w:color w:val="000000" w:themeColor="text1"/>
        </w:rPr>
        <w:t>The f</w:t>
      </w:r>
      <w:r w:rsidR="00650EF8">
        <w:rPr>
          <w:rFonts w:ascii="Times New Roman" w:hAnsi="Times New Roman" w:cs="Times New Roman"/>
          <w:color w:val="000000" w:themeColor="text1"/>
        </w:rPr>
        <w:t>ocus groups confirmed strong intra-family norms directed against formal reporting. Women in traditional marriages are less likely to seek formal support: more than one focus group members cited family member pressure to stay in a relationship despite abuse. On the other hand, younger</w:t>
      </w:r>
      <w:r w:rsidR="00087B89">
        <w:rPr>
          <w:rFonts w:ascii="Times New Roman" w:hAnsi="Times New Roman" w:cs="Times New Roman"/>
          <w:color w:val="000000" w:themeColor="text1"/>
        </w:rPr>
        <w:t xml:space="preserve"> </w:t>
      </w:r>
      <w:r w:rsidR="00650EF8">
        <w:rPr>
          <w:rFonts w:ascii="Times New Roman" w:hAnsi="Times New Roman" w:cs="Times New Roman"/>
          <w:color w:val="000000" w:themeColor="text1"/>
        </w:rPr>
        <w:t>women</w:t>
      </w:r>
      <w:r w:rsidR="00087B89">
        <w:rPr>
          <w:rFonts w:ascii="Times New Roman" w:hAnsi="Times New Roman" w:cs="Times New Roman"/>
          <w:color w:val="000000" w:themeColor="text1"/>
        </w:rPr>
        <w:t xml:space="preserve">, and unmarried women living with partners </w:t>
      </w:r>
      <w:r w:rsidR="00650EF8">
        <w:rPr>
          <w:rFonts w:ascii="Times New Roman" w:hAnsi="Times New Roman" w:cs="Times New Roman"/>
          <w:color w:val="000000" w:themeColor="text1"/>
        </w:rPr>
        <w:t xml:space="preserve">were more likely to seek help. Importantly, indigenous women were most likely to go to authorities in lieu of confiding in family members, suggesting strong norms against women’s autonomy in largely indigenous communities. </w:t>
      </w:r>
    </w:p>
    <w:p w:rsidR="002B2FBE" w:rsidRPr="00087B89" w:rsidRDefault="006366DB" w:rsidP="00087B89">
      <w:pPr>
        <w:spacing w:line="480" w:lineRule="auto"/>
        <w:ind w:firstLine="720"/>
        <w:rPr>
          <w:rFonts w:ascii="Times New Roman" w:hAnsi="Times New Roman" w:cs="Times New Roman"/>
          <w:color w:val="000000" w:themeColor="text1"/>
        </w:rPr>
      </w:pPr>
      <w:proofErr w:type="spellStart"/>
      <w:r w:rsidRPr="007346D8">
        <w:rPr>
          <w:rFonts w:ascii="Times New Roman" w:hAnsi="Times New Roman" w:cs="Times New Roman"/>
          <w:color w:val="000000" w:themeColor="text1"/>
        </w:rPr>
        <w:lastRenderedPageBreak/>
        <w:t>Sagot’s</w:t>
      </w:r>
      <w:proofErr w:type="spellEnd"/>
      <w:r w:rsidRPr="007346D8">
        <w:rPr>
          <w:rFonts w:ascii="Times New Roman" w:hAnsi="Times New Roman" w:cs="Times New Roman"/>
          <w:color w:val="000000" w:themeColor="text1"/>
        </w:rPr>
        <w:t xml:space="preserve"> study of help-seeking by victims of GBV across Latin America</w:t>
      </w:r>
      <w:r w:rsidR="002B2FBE" w:rsidRPr="007346D8">
        <w:rPr>
          <w:rFonts w:ascii="Times New Roman" w:hAnsi="Times New Roman" w:cs="Times New Roman"/>
          <w:color w:val="000000" w:themeColor="text1"/>
        </w:rPr>
        <w:t xml:space="preserve"> employs focus groups, service provider interviews, and victim interviews throughout ten countries in the region (2005). Victim experiences across communities were “tragically similar” (p.1299), as very few women who contacted service providers received adequate support or information. Interviews of the women revealed that many service providers, especially in the law enforcement and judicial sectors, are biased against women. In many communities under study, traditions persisted that undermined female autonomy. For example, about a third of the marriages in Cusco, Peru were arranged and some women in Guatemala were forced to marry their rapists to protect their honor. </w:t>
      </w:r>
      <w:r w:rsidR="00087B89">
        <w:rPr>
          <w:rFonts w:ascii="Times New Roman" w:hAnsi="Times New Roman" w:cs="Times New Roman"/>
          <w:color w:val="000000" w:themeColor="text1"/>
        </w:rPr>
        <w:t xml:space="preserve">This study, along with that of </w:t>
      </w:r>
      <w:proofErr w:type="spellStart"/>
      <w:r w:rsidR="00087B89">
        <w:rPr>
          <w:rFonts w:ascii="Times New Roman" w:hAnsi="Times New Roman" w:cs="Times New Roman"/>
          <w:color w:val="000000" w:themeColor="text1"/>
        </w:rPr>
        <w:t>Frías</w:t>
      </w:r>
      <w:proofErr w:type="spellEnd"/>
      <w:r w:rsidR="00087B89">
        <w:rPr>
          <w:rFonts w:ascii="Times New Roman" w:hAnsi="Times New Roman" w:cs="Times New Roman"/>
          <w:color w:val="000000" w:themeColor="text1"/>
        </w:rPr>
        <w:t xml:space="preserve"> and </w:t>
      </w:r>
      <w:proofErr w:type="spellStart"/>
      <w:r w:rsidR="00087B89">
        <w:rPr>
          <w:rFonts w:ascii="Times New Roman" w:hAnsi="Times New Roman" w:cs="Times New Roman"/>
          <w:color w:val="000000" w:themeColor="text1"/>
        </w:rPr>
        <w:t>Agoff</w:t>
      </w:r>
      <w:proofErr w:type="spellEnd"/>
      <w:r w:rsidR="00087B89">
        <w:rPr>
          <w:rFonts w:ascii="Times New Roman" w:hAnsi="Times New Roman" w:cs="Times New Roman"/>
          <w:color w:val="000000" w:themeColor="text1"/>
        </w:rPr>
        <w:t xml:space="preserve"> (2015) suggests that cultural and interpersonal norms serve as significant barriers in the reporting process for many Latin American women in situations of violence.</w:t>
      </w:r>
    </w:p>
    <w:p w:rsidR="00AB78A0" w:rsidRPr="007346D8" w:rsidRDefault="00B82972" w:rsidP="00B86639">
      <w:pPr>
        <w:spacing w:line="480" w:lineRule="auto"/>
        <w:rPr>
          <w:rFonts w:ascii="Times New Roman" w:hAnsi="Times New Roman" w:cs="Times New Roman"/>
          <w:b/>
        </w:rPr>
      </w:pPr>
      <w:r>
        <w:rPr>
          <w:rFonts w:ascii="Times New Roman" w:hAnsi="Times New Roman" w:cs="Times New Roman"/>
          <w:b/>
        </w:rPr>
        <w:t>Political advocacy</w:t>
      </w:r>
      <w:r w:rsidR="003520F9">
        <w:rPr>
          <w:rFonts w:ascii="Times New Roman" w:hAnsi="Times New Roman" w:cs="Times New Roman"/>
          <w:b/>
        </w:rPr>
        <w:t>, awareness, and action</w:t>
      </w:r>
    </w:p>
    <w:p w:rsidR="00ED1777" w:rsidRPr="007346D8" w:rsidRDefault="00D03244" w:rsidP="00B86639">
      <w:pPr>
        <w:spacing w:line="480" w:lineRule="auto"/>
        <w:ind w:firstLine="720"/>
        <w:rPr>
          <w:rFonts w:ascii="Times New Roman" w:hAnsi="Times New Roman" w:cs="Times New Roman"/>
        </w:rPr>
      </w:pPr>
      <w:r w:rsidRPr="007346D8">
        <w:rPr>
          <w:rFonts w:ascii="Times New Roman" w:hAnsi="Times New Roman" w:cs="Times New Roman"/>
        </w:rPr>
        <w:t xml:space="preserve">An important component of reporting GBV to authorities is the level of individual and cultural awareness about GBV as a crime and women’s rights. In this respect, social movements, nonprofits, and other political advocacy organizations may play an important role in making individuals and communities more aware of what counts as GBV and what to do if an incident occurs. </w:t>
      </w:r>
      <w:r w:rsidR="00ED1777" w:rsidRPr="007346D8">
        <w:rPr>
          <w:rFonts w:ascii="Times New Roman" w:hAnsi="Times New Roman" w:cs="Times New Roman"/>
        </w:rPr>
        <w:t xml:space="preserve">In addition to possible SMO impact on political outcomes, movements oriented towards GBV and women’s issues may be able to increase public awareness about problems associated with domestic violence, intimate partner violence, and gender inequality.  </w:t>
      </w:r>
    </w:p>
    <w:p w:rsidR="00DE77DA" w:rsidRPr="007346D8" w:rsidRDefault="00D03244" w:rsidP="00B86639">
      <w:pPr>
        <w:spacing w:line="480" w:lineRule="auto"/>
        <w:ind w:firstLine="720"/>
        <w:rPr>
          <w:rFonts w:ascii="Times New Roman" w:hAnsi="Times New Roman" w:cs="Times New Roman"/>
        </w:rPr>
      </w:pPr>
      <w:r w:rsidRPr="007346D8">
        <w:rPr>
          <w:rFonts w:ascii="Times New Roman" w:hAnsi="Times New Roman" w:cs="Times New Roman"/>
        </w:rPr>
        <w:t>Within the literature on social movements, many authors have sought to understand the conditions in which social movements are ‘successful’; that is, when they are able to set the political agenda, influence policy, or reach a more specific movement goal (</w:t>
      </w:r>
      <w:r w:rsidR="00224E21" w:rsidRPr="007346D8">
        <w:rPr>
          <w:rFonts w:ascii="Times New Roman" w:hAnsi="Times New Roman" w:cs="Times New Roman"/>
        </w:rPr>
        <w:t xml:space="preserve">Burstein 1999; </w:t>
      </w:r>
      <w:proofErr w:type="spellStart"/>
      <w:r w:rsidR="00224E21" w:rsidRPr="007346D8">
        <w:rPr>
          <w:rFonts w:ascii="Times New Roman" w:hAnsi="Times New Roman" w:cs="Times New Roman"/>
        </w:rPr>
        <w:t>Amenta</w:t>
      </w:r>
      <w:proofErr w:type="spellEnd"/>
      <w:r w:rsidR="00224E21" w:rsidRPr="007346D8">
        <w:rPr>
          <w:rFonts w:ascii="Times New Roman" w:hAnsi="Times New Roman" w:cs="Times New Roman"/>
        </w:rPr>
        <w:t>, et al. 2010</w:t>
      </w:r>
      <w:r w:rsidRPr="007346D8">
        <w:rPr>
          <w:rFonts w:ascii="Times New Roman" w:hAnsi="Times New Roman" w:cs="Times New Roman"/>
        </w:rPr>
        <w:t xml:space="preserve">). Of course, movement ‘success’ is hardly a straightforward topic (see Tilly </w:t>
      </w:r>
      <w:r w:rsidRPr="007346D8">
        <w:rPr>
          <w:rFonts w:ascii="Times New Roman" w:hAnsi="Times New Roman" w:cs="Times New Roman"/>
        </w:rPr>
        <w:lastRenderedPageBreak/>
        <w:t xml:space="preserve">1999), but this vein of research has suggested several conditions under which social movements are more or less effective in different respects. </w:t>
      </w:r>
      <w:r w:rsidR="00224E21" w:rsidRPr="007346D8">
        <w:rPr>
          <w:rFonts w:ascii="Times New Roman" w:hAnsi="Times New Roman" w:cs="Times New Roman"/>
        </w:rPr>
        <w:t xml:space="preserve">Empirical studies suggest that when political competition is low, public opinion is favorable, and SMOs have institutional allies, SMO activity is more likely to lead to political change (Soule and </w:t>
      </w:r>
      <w:proofErr w:type="spellStart"/>
      <w:r w:rsidR="00224E21" w:rsidRPr="007346D8">
        <w:rPr>
          <w:rFonts w:ascii="Times New Roman" w:hAnsi="Times New Roman" w:cs="Times New Roman"/>
        </w:rPr>
        <w:t>Olzak</w:t>
      </w:r>
      <w:proofErr w:type="spellEnd"/>
      <w:r w:rsidR="00224E21" w:rsidRPr="007346D8">
        <w:rPr>
          <w:rFonts w:ascii="Times New Roman" w:hAnsi="Times New Roman" w:cs="Times New Roman"/>
        </w:rPr>
        <w:t xml:space="preserve"> 2004; </w:t>
      </w:r>
      <w:proofErr w:type="spellStart"/>
      <w:r w:rsidR="00224E21" w:rsidRPr="007346D8">
        <w:rPr>
          <w:rFonts w:ascii="Times New Roman" w:hAnsi="Times New Roman" w:cs="Times New Roman"/>
        </w:rPr>
        <w:t>Giugni</w:t>
      </w:r>
      <w:proofErr w:type="spellEnd"/>
      <w:r w:rsidR="00224E21" w:rsidRPr="007346D8">
        <w:rPr>
          <w:rFonts w:ascii="Times New Roman" w:hAnsi="Times New Roman" w:cs="Times New Roman"/>
        </w:rPr>
        <w:t xml:space="preserve"> 2007). </w:t>
      </w:r>
    </w:p>
    <w:p w:rsidR="00806587" w:rsidRDefault="00B32CC5" w:rsidP="008E1C5B">
      <w:pPr>
        <w:spacing w:line="480" w:lineRule="auto"/>
        <w:ind w:firstLine="720"/>
        <w:rPr>
          <w:rFonts w:ascii="Times New Roman" w:hAnsi="Times New Roman" w:cs="Times New Roman"/>
        </w:rPr>
      </w:pPr>
      <w:r w:rsidRPr="007346D8">
        <w:rPr>
          <w:rFonts w:ascii="Times New Roman" w:hAnsi="Times New Roman" w:cs="Times New Roman"/>
        </w:rPr>
        <w:t xml:space="preserve">Oftentimes, the effect that SMOs have on culture are implicit in theories that focus on policy change; movements are often cited for indirect pressure on government decisionmakers through the public. Additionally, when SMOs are responsible for change, it ostensibly affects the public (Earl 2004). </w:t>
      </w:r>
      <w:r w:rsidR="00D21E10">
        <w:rPr>
          <w:rFonts w:ascii="Times New Roman" w:hAnsi="Times New Roman" w:cs="Times New Roman"/>
        </w:rPr>
        <w:t xml:space="preserve">Recent research </w:t>
      </w:r>
      <w:r w:rsidR="008E1C5B">
        <w:rPr>
          <w:rFonts w:ascii="Times New Roman" w:hAnsi="Times New Roman" w:cs="Times New Roman"/>
        </w:rPr>
        <w:t xml:space="preserve">demonstrates that social movements may have a direct impact on public awareness (Banaszak and </w:t>
      </w:r>
      <w:proofErr w:type="spellStart"/>
      <w:r w:rsidR="008E1C5B">
        <w:rPr>
          <w:rFonts w:ascii="Times New Roman" w:hAnsi="Times New Roman" w:cs="Times New Roman"/>
        </w:rPr>
        <w:t>Ondercin</w:t>
      </w:r>
      <w:proofErr w:type="spellEnd"/>
      <w:r w:rsidR="008E1C5B">
        <w:rPr>
          <w:rFonts w:ascii="Times New Roman" w:hAnsi="Times New Roman" w:cs="Times New Roman"/>
        </w:rPr>
        <w:t xml:space="preserve"> 2016). </w:t>
      </w:r>
      <w:r w:rsidRPr="007346D8">
        <w:rPr>
          <w:rFonts w:ascii="Times New Roman" w:hAnsi="Times New Roman" w:cs="Times New Roman"/>
        </w:rPr>
        <w:t>Still, the relationship between SMO activity and audience effects is not well understood (Earl and Garrett 2017</w:t>
      </w:r>
      <w:r w:rsidRPr="007346D8">
        <w:rPr>
          <w:rFonts w:ascii="Times New Roman" w:hAnsi="Times New Roman" w:cs="Times New Roman"/>
          <w:b/>
        </w:rPr>
        <w:t xml:space="preserve">). </w:t>
      </w:r>
      <w:r w:rsidR="00806587">
        <w:rPr>
          <w:rFonts w:ascii="Times New Roman" w:hAnsi="Times New Roman" w:cs="Times New Roman"/>
        </w:rPr>
        <w:t xml:space="preserve">It is important to note that </w:t>
      </w:r>
      <w:r w:rsidRPr="007346D8">
        <w:rPr>
          <w:rFonts w:ascii="Times New Roman" w:hAnsi="Times New Roman" w:cs="Times New Roman"/>
        </w:rPr>
        <w:t>what is known about SMOs is largely drawn from U.S.-based studies, and work in Latin America could supplement this (</w:t>
      </w:r>
      <w:proofErr w:type="spellStart"/>
      <w:r w:rsidRPr="007346D8">
        <w:rPr>
          <w:rFonts w:ascii="Times New Roman" w:hAnsi="Times New Roman" w:cs="Times New Roman"/>
        </w:rPr>
        <w:t>Amenta</w:t>
      </w:r>
      <w:proofErr w:type="spellEnd"/>
      <w:r w:rsidRPr="007346D8">
        <w:rPr>
          <w:rFonts w:ascii="Times New Roman" w:hAnsi="Times New Roman" w:cs="Times New Roman"/>
        </w:rPr>
        <w:t>, et al. 2010).</w:t>
      </w:r>
    </w:p>
    <w:p w:rsidR="0035287E" w:rsidRDefault="00372C0D" w:rsidP="008E1C5B">
      <w:pPr>
        <w:spacing w:line="480" w:lineRule="auto"/>
        <w:ind w:firstLine="720"/>
        <w:rPr>
          <w:rFonts w:ascii="Times New Roman" w:hAnsi="Times New Roman" w:cs="Times New Roman"/>
        </w:rPr>
      </w:pPr>
      <w:r>
        <w:rPr>
          <w:rFonts w:ascii="Times New Roman" w:hAnsi="Times New Roman" w:cs="Times New Roman"/>
        </w:rPr>
        <w:t>Studies of nongovernmental organizations suggest a more direct link between NGO advocacy, government action, and audience effects. When NGOs have the resources to pressure governments and mobilize citizens for a cause, governments are more likely to respond with funding (</w:t>
      </w:r>
      <w:proofErr w:type="spellStart"/>
      <w:r>
        <w:rPr>
          <w:rFonts w:ascii="Times New Roman" w:hAnsi="Times New Roman" w:cs="Times New Roman"/>
        </w:rPr>
        <w:t>Murdie</w:t>
      </w:r>
      <w:proofErr w:type="spellEnd"/>
      <w:r>
        <w:rPr>
          <w:rFonts w:ascii="Times New Roman" w:hAnsi="Times New Roman" w:cs="Times New Roman"/>
        </w:rPr>
        <w:t xml:space="preserve"> &amp; Hicks 2013). More recently, work by </w:t>
      </w:r>
      <w:proofErr w:type="spellStart"/>
      <w:r>
        <w:rPr>
          <w:rFonts w:ascii="Times New Roman" w:hAnsi="Times New Roman" w:cs="Times New Roman"/>
        </w:rPr>
        <w:t>Nuñez</w:t>
      </w:r>
      <w:proofErr w:type="spellEnd"/>
      <w:r>
        <w:rPr>
          <w:rFonts w:ascii="Times New Roman" w:hAnsi="Times New Roman" w:cs="Times New Roman"/>
        </w:rPr>
        <w:t xml:space="preserve"> provides strong evidence that NGOs that provide services in areas are effective in information sharing, and especially, education about political rights and government services that encourages interaction with the government (2019). Given that NGOs don’t provide services that compromise the government’s role, they are associated increased political engagement. If this relationship travels, NGOs that provide information for individuals experiencing GBV can facilitate greater communication about this issue, and ideally, increased levels of government reporting.</w:t>
      </w:r>
    </w:p>
    <w:p w:rsidR="003C44CF" w:rsidRDefault="00553211" w:rsidP="00B86639">
      <w:pPr>
        <w:pStyle w:val="Section"/>
        <w:spacing w:line="480" w:lineRule="auto"/>
      </w:pPr>
      <w:r w:rsidRPr="007346D8">
        <w:t>Theory</w:t>
      </w:r>
    </w:p>
    <w:p w:rsidR="00DA2B07" w:rsidRDefault="00DA2B07" w:rsidP="00B86639">
      <w:pPr>
        <w:spacing w:line="480" w:lineRule="auto"/>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 xml:space="preserve">Given what is known about GBV reporting, I design a theory around awareness, </w:t>
      </w:r>
      <w:r w:rsidR="00372C0D">
        <w:rPr>
          <w:rFonts w:ascii="Times New Roman" w:hAnsi="Times New Roman" w:cs="Times New Roman"/>
        </w:rPr>
        <w:t>support</w:t>
      </w:r>
      <w:r>
        <w:rPr>
          <w:rFonts w:ascii="Times New Roman" w:hAnsi="Times New Roman" w:cs="Times New Roman"/>
        </w:rPr>
        <w:t xml:space="preserve">, and the reporting process. </w:t>
      </w:r>
      <w:r w:rsidR="000C479E">
        <w:rPr>
          <w:rFonts w:ascii="Times New Roman" w:hAnsi="Times New Roman" w:cs="Times New Roman"/>
        </w:rPr>
        <w:t xml:space="preserve">Broadly, I argue that the presence of more women’s services NGOs in a given area will be associated with higher reporting levels of gender based violence crimes. </w:t>
      </w:r>
      <w:r>
        <w:rPr>
          <w:rFonts w:ascii="Times New Roman" w:hAnsi="Times New Roman" w:cs="Times New Roman"/>
        </w:rPr>
        <w:t xml:space="preserve">Specifically, </w:t>
      </w:r>
      <w:r w:rsidR="000C479E">
        <w:rPr>
          <w:rFonts w:ascii="Times New Roman" w:hAnsi="Times New Roman" w:cs="Times New Roman"/>
        </w:rPr>
        <w:t>this relationship is facilitated through two primary mechanisms: awareness and support</w:t>
      </w:r>
      <w:r>
        <w:rPr>
          <w:rFonts w:ascii="Times New Roman" w:hAnsi="Times New Roman" w:cs="Times New Roman"/>
        </w:rPr>
        <w:t>.</w:t>
      </w:r>
      <w:r w:rsidR="000C479E">
        <w:rPr>
          <w:rFonts w:ascii="Times New Roman" w:hAnsi="Times New Roman" w:cs="Times New Roman"/>
        </w:rPr>
        <w:t xml:space="preserve"> First,</w:t>
      </w:r>
      <w:r>
        <w:rPr>
          <w:rFonts w:ascii="Times New Roman" w:hAnsi="Times New Roman" w:cs="Times New Roman"/>
        </w:rPr>
        <w:t xml:space="preserve"> </w:t>
      </w:r>
      <w:r w:rsidR="000C479E">
        <w:rPr>
          <w:rFonts w:ascii="Times New Roman" w:hAnsi="Times New Roman" w:cs="Times New Roman"/>
        </w:rPr>
        <w:t>t</w:t>
      </w:r>
      <w:r w:rsidR="00F66A00">
        <w:rPr>
          <w:rFonts w:ascii="Times New Roman" w:hAnsi="Times New Roman" w:cs="Times New Roman"/>
        </w:rPr>
        <w:t xml:space="preserve">hrough public advocacy and outreach, NGOs increase awareness about GBV as problematic and a crime. Additionally, through the provision of </w:t>
      </w:r>
      <w:r w:rsidR="00590FAF">
        <w:rPr>
          <w:rFonts w:ascii="Times New Roman" w:hAnsi="Times New Roman" w:cs="Times New Roman"/>
        </w:rPr>
        <w:t xml:space="preserve">support </w:t>
      </w:r>
      <w:r w:rsidR="00F66A00">
        <w:rPr>
          <w:rFonts w:ascii="Times New Roman" w:hAnsi="Times New Roman" w:cs="Times New Roman"/>
        </w:rPr>
        <w:t xml:space="preserve">services such as education, counseling, and help to exit vulnerable situations, NGOs provide access to women in situations of violence. </w:t>
      </w:r>
    </w:p>
    <w:p w:rsidR="00837C2F" w:rsidRDefault="00837C2F" w:rsidP="00B86639">
      <w:pPr>
        <w:spacing w:line="480" w:lineRule="auto"/>
        <w:rPr>
          <w:rFonts w:ascii="Times New Roman" w:hAnsi="Times New Roman" w:cs="Times New Roman"/>
          <w:color w:val="FF0000"/>
        </w:rPr>
      </w:pPr>
      <w:r>
        <w:rPr>
          <w:rFonts w:ascii="Times New Roman" w:hAnsi="Times New Roman" w:cs="Times New Roman"/>
        </w:rPr>
        <w:tab/>
        <w:t>Before an individual can even consider reporting GBV, they must first understand what constitutes GBV and be able to identify that they have been a victim of this type of crime.</w:t>
      </w:r>
      <w:r w:rsidR="00B02C7B">
        <w:rPr>
          <w:rFonts w:ascii="Times New Roman" w:hAnsi="Times New Roman" w:cs="Times New Roman"/>
        </w:rPr>
        <w:t xml:space="preserve"> Increased awareness about GBV can increase the chances that a woman reports GBV in two ways. First, t</w:t>
      </w:r>
      <w:r>
        <w:rPr>
          <w:rFonts w:ascii="Times New Roman" w:hAnsi="Times New Roman" w:cs="Times New Roman"/>
        </w:rPr>
        <w:t xml:space="preserve">hrough outreach work on GBV, NGOs may change the way that individuals view abuse that they experience and help them define it as gender based violence. </w:t>
      </w:r>
      <w:r w:rsidR="00B02C7B">
        <w:rPr>
          <w:rFonts w:ascii="Times New Roman" w:hAnsi="Times New Roman" w:cs="Times New Roman"/>
        </w:rPr>
        <w:t xml:space="preserve">For example, a woman may not realize that when her spouse controls her earnings that this falls under GBV. In this way, information provided by NGOs can be particularly important for acts that are less overtly violent. Additionally, NGOs </w:t>
      </w:r>
      <w:r w:rsidR="00174172">
        <w:rPr>
          <w:rFonts w:ascii="Times New Roman" w:hAnsi="Times New Roman" w:cs="Times New Roman"/>
        </w:rPr>
        <w:t xml:space="preserve">provide information about resources available to women in situations of violence. Following </w:t>
      </w:r>
      <w:proofErr w:type="spellStart"/>
      <w:r w:rsidR="00174172">
        <w:rPr>
          <w:rFonts w:ascii="Times New Roman" w:hAnsi="Times New Roman" w:cs="Times New Roman"/>
        </w:rPr>
        <w:t>Nuñez’s</w:t>
      </w:r>
      <w:proofErr w:type="spellEnd"/>
      <w:r w:rsidR="00174172">
        <w:rPr>
          <w:rFonts w:ascii="Times New Roman" w:hAnsi="Times New Roman" w:cs="Times New Roman"/>
        </w:rPr>
        <w:t xml:space="preserve"> logic, the provision of this information may facilitate contact between people experiencing GBV and relevant government officials. </w:t>
      </w:r>
      <w:r w:rsidR="00174172" w:rsidRPr="00174172">
        <w:rPr>
          <w:rFonts w:ascii="Times New Roman" w:hAnsi="Times New Roman" w:cs="Times New Roman"/>
          <w:color w:val="000000" w:themeColor="text1"/>
        </w:rPr>
        <w:t>By providing awareness about GBV and options that women experiencing GBV have</w:t>
      </w:r>
      <w:r w:rsidR="00B02C7B" w:rsidRPr="00174172">
        <w:rPr>
          <w:rFonts w:ascii="Times New Roman" w:hAnsi="Times New Roman" w:cs="Times New Roman"/>
          <w:color w:val="000000" w:themeColor="text1"/>
        </w:rPr>
        <w:t xml:space="preserve">, NGO </w:t>
      </w:r>
      <w:r w:rsidR="00174172" w:rsidRPr="00174172">
        <w:rPr>
          <w:rFonts w:ascii="Times New Roman" w:hAnsi="Times New Roman" w:cs="Times New Roman"/>
          <w:color w:val="000000" w:themeColor="text1"/>
        </w:rPr>
        <w:t>can help women problematize abuse they’re experiencing and consider options for seeking help.</w:t>
      </w:r>
    </w:p>
    <w:p w:rsidR="00174172" w:rsidRDefault="00174172" w:rsidP="00B86639">
      <w:pPr>
        <w:spacing w:line="480" w:lineRule="auto"/>
        <w:rPr>
          <w:rFonts w:ascii="Times New Roman" w:hAnsi="Times New Roman" w:cs="Times New Roman"/>
        </w:rPr>
      </w:pPr>
      <w:r>
        <w:rPr>
          <w:rFonts w:ascii="Times New Roman" w:hAnsi="Times New Roman" w:cs="Times New Roman"/>
        </w:rPr>
        <w:tab/>
        <w:t>In addition to awareness increasing the likelihood of reporting, I propose a second mechanism: support. Women in situations of violence are more likely to report when the benefits of reporting outweigh the costs</w:t>
      </w:r>
      <w:r w:rsidR="00963785">
        <w:rPr>
          <w:rFonts w:ascii="Times New Roman" w:hAnsi="Times New Roman" w:cs="Times New Roman"/>
        </w:rPr>
        <w:t xml:space="preserve"> (Liang et al. 2005)</w:t>
      </w:r>
      <w:r>
        <w:rPr>
          <w:rFonts w:ascii="Times New Roman" w:hAnsi="Times New Roman" w:cs="Times New Roman"/>
        </w:rPr>
        <w:t>.</w:t>
      </w:r>
      <w:r w:rsidR="00963785">
        <w:rPr>
          <w:rFonts w:ascii="Times New Roman" w:hAnsi="Times New Roman" w:cs="Times New Roman"/>
        </w:rPr>
        <w:t xml:space="preserve"> Support provided by NGOs can be </w:t>
      </w:r>
      <w:r w:rsidR="00963785">
        <w:rPr>
          <w:rFonts w:ascii="Times New Roman" w:hAnsi="Times New Roman" w:cs="Times New Roman"/>
        </w:rPr>
        <w:lastRenderedPageBreak/>
        <w:t xml:space="preserve">instrumental in rebalancing this cost benefit analysis. By providing </w:t>
      </w:r>
      <w:r w:rsidR="000C479E">
        <w:rPr>
          <w:rFonts w:ascii="Times New Roman" w:hAnsi="Times New Roman" w:cs="Times New Roman"/>
        </w:rPr>
        <w:t xml:space="preserve">childcare, a place to stay, legal assistance, or counseling, an NGO may facilitate the reporting process. With support from NGOs, women in situations of violence may be able to more easily distance themselves from a situation of violence. </w:t>
      </w:r>
      <w:r>
        <w:rPr>
          <w:rFonts w:ascii="Times New Roman" w:hAnsi="Times New Roman" w:cs="Times New Roman"/>
        </w:rPr>
        <w:t xml:space="preserve"> </w:t>
      </w:r>
    </w:p>
    <w:p w:rsidR="006610EB" w:rsidRPr="006A4648" w:rsidRDefault="006A4648" w:rsidP="00B86639">
      <w:pPr>
        <w:spacing w:line="480" w:lineRule="auto"/>
        <w:rPr>
          <w:rFonts w:ascii="Times New Roman" w:hAnsi="Times New Roman" w:cs="Times New Roman"/>
        </w:rPr>
      </w:pPr>
      <w:r>
        <w:rPr>
          <w:rFonts w:ascii="Times New Roman" w:hAnsi="Times New Roman" w:cs="Times New Roman"/>
        </w:rPr>
        <w:tab/>
        <w:t>Figure one demonstrates the aforementioned mechanisms as they are proposed to function in my hypothesis. It is likely that in many situations, individuals become aware about GBV and support offered by an NGO before actually receiving that support. However, it is possible that women receive support and become aware simultaneously, or only require awareness and not support. For these reasons, I position each mechanism side-by-side in the relationship between women’s services NGOs and the decision to report GBV.</w:t>
      </w:r>
    </w:p>
    <w:p w:rsidR="006610EB" w:rsidRDefault="00E26DF7" w:rsidP="006A4648">
      <w:pPr>
        <w:spacing w:line="480" w:lineRule="auto"/>
        <w:ind w:firstLine="720"/>
        <w:rPr>
          <w:rFonts w:ascii="Times New Roman" w:hAnsi="Times New Roman" w:cs="Times New Roman"/>
        </w:rPr>
      </w:pPr>
      <w:r>
        <w:rPr>
          <w:rFonts w:ascii="Times New Roman" w:hAnsi="Times New Roman" w:cs="Times New Roman"/>
        </w:rPr>
        <w:t>Th</w:t>
      </w:r>
      <w:r w:rsidR="006A4648">
        <w:rPr>
          <w:rFonts w:ascii="Times New Roman" w:hAnsi="Times New Roman" w:cs="Times New Roman"/>
        </w:rPr>
        <w:t>e association that I propose</w:t>
      </w:r>
      <w:r>
        <w:rPr>
          <w:rFonts w:ascii="Times New Roman" w:hAnsi="Times New Roman" w:cs="Times New Roman"/>
        </w:rPr>
        <w:t xml:space="preserve"> suggests </w:t>
      </w:r>
      <w:r w:rsidR="006A4648">
        <w:rPr>
          <w:rFonts w:ascii="Times New Roman" w:hAnsi="Times New Roman" w:cs="Times New Roman"/>
        </w:rPr>
        <w:t>a</w:t>
      </w:r>
      <w:r>
        <w:rPr>
          <w:rFonts w:ascii="Times New Roman" w:hAnsi="Times New Roman" w:cs="Times New Roman"/>
        </w:rPr>
        <w:t xml:space="preserve"> simple hypothesis: </w:t>
      </w:r>
      <w:r w:rsidRPr="00E26DF7">
        <w:rPr>
          <w:rFonts w:ascii="Times New Roman" w:hAnsi="Times New Roman" w:cs="Times New Roman"/>
          <w:i/>
        </w:rPr>
        <w:t>The number of NGOs oriented towards women’s services in a given area will be positively associated with reports of gender-based violence</w:t>
      </w:r>
      <w:r>
        <w:rPr>
          <w:rFonts w:ascii="Times New Roman" w:hAnsi="Times New Roman" w:cs="Times New Roman"/>
        </w:rPr>
        <w:t xml:space="preserve">. In order to test this, I focus on the case of Argentina. </w:t>
      </w:r>
    </w:p>
    <w:p w:rsidR="00DA71F0" w:rsidRPr="00DA71F0" w:rsidRDefault="00DA71F0" w:rsidP="00DA71F0">
      <w:pPr>
        <w:spacing w:line="480" w:lineRule="auto"/>
        <w:rPr>
          <w:rFonts w:ascii="Times New Roman" w:hAnsi="Times New Roman" w:cs="Times New Roman"/>
          <w:i/>
        </w:rPr>
      </w:pPr>
      <w:r w:rsidRPr="00DA71F0">
        <w:rPr>
          <w:rFonts w:ascii="Times New Roman" w:hAnsi="Times New Roman" w:cs="Times New Roman"/>
          <w:i/>
        </w:rPr>
        <w:t>Figure 1</w:t>
      </w:r>
    </w:p>
    <w:p w:rsidR="00340A76" w:rsidRPr="00916832" w:rsidRDefault="00DA71F0" w:rsidP="00F47E42">
      <w:pPr>
        <w:rPr>
          <w:rFonts w:ascii="Times New Roman" w:hAnsi="Times New Roman" w:cs="Times New Roman"/>
        </w:rPr>
      </w:pPr>
      <w:r>
        <w:rPr>
          <w:rFonts w:ascii="Times New Roman" w:hAnsi="Times New Roman" w:cs="Times New Roman"/>
          <w:noProof/>
        </w:rPr>
        <w:drawing>
          <wp:inline distT="0" distB="0" distL="0" distR="0">
            <wp:extent cx="5748660" cy="2030437"/>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4-14 at 5.14.33 PM.png"/>
                    <pic:cNvPicPr/>
                  </pic:nvPicPr>
                  <pic:blipFill rotWithShape="1">
                    <a:blip r:embed="rId8">
                      <a:extLst>
                        <a:ext uri="{28A0092B-C50C-407E-A947-70E740481C1C}">
                          <a14:useLocalDpi xmlns:a14="http://schemas.microsoft.com/office/drawing/2010/main" val="0"/>
                        </a:ext>
                      </a:extLst>
                    </a:blip>
                    <a:srcRect t="7998" r="3255" b="11701"/>
                    <a:stretch/>
                  </pic:blipFill>
                  <pic:spPr bwMode="auto">
                    <a:xfrm>
                      <a:off x="0" y="0"/>
                      <a:ext cx="5750169" cy="2030970"/>
                    </a:xfrm>
                    <a:prstGeom prst="rect">
                      <a:avLst/>
                    </a:prstGeom>
                    <a:ln>
                      <a:noFill/>
                    </a:ln>
                    <a:extLst>
                      <a:ext uri="{53640926-AAD7-44D8-BBD7-CCE9431645EC}">
                        <a14:shadowObscured xmlns:a14="http://schemas.microsoft.com/office/drawing/2010/main"/>
                      </a:ext>
                    </a:extLst>
                  </pic:spPr>
                </pic:pic>
              </a:graphicData>
            </a:graphic>
          </wp:inline>
        </w:drawing>
      </w:r>
    </w:p>
    <w:p w:rsidR="003520F9" w:rsidRDefault="00340A76" w:rsidP="003520F9">
      <w:pPr>
        <w:pStyle w:val="Section"/>
        <w:spacing w:line="480" w:lineRule="auto"/>
        <w:rPr>
          <w:color w:val="000000" w:themeColor="text1"/>
        </w:rPr>
      </w:pPr>
      <w:r w:rsidRPr="00916832">
        <w:rPr>
          <w:color w:val="000000" w:themeColor="text1"/>
        </w:rPr>
        <w:t>Case Study: GBV in Argentina</w:t>
      </w:r>
    </w:p>
    <w:p w:rsidR="00590FAF" w:rsidRDefault="003520F9" w:rsidP="00590FAF">
      <w:pPr>
        <w:pStyle w:val="body"/>
        <w:spacing w:line="480" w:lineRule="auto"/>
        <w:ind w:left="0" w:firstLine="0"/>
      </w:pPr>
      <w:r>
        <w:t xml:space="preserve">In order to test the hypothesis that NGO’s oriented towards women’s services in a given area are positively associated with calls to report gender based violence, I use data from Argentina. </w:t>
      </w:r>
      <w:r>
        <w:lastRenderedPageBreak/>
        <w:t xml:space="preserve">Because gender-based violence and femicide have become salient political issues in the country in the last five years, this is an ideal environment in which to evaluate how multiple factors may have an impact on reports of gender-based violence. </w:t>
      </w:r>
    </w:p>
    <w:p w:rsidR="00AA343C" w:rsidRPr="000B3724" w:rsidRDefault="003520F9" w:rsidP="00590FAF">
      <w:pPr>
        <w:pStyle w:val="body"/>
        <w:spacing w:line="480" w:lineRule="auto"/>
        <w:ind w:left="0" w:firstLine="720"/>
      </w:pPr>
      <w:r>
        <w:rPr>
          <w:color w:val="000000" w:themeColor="text1"/>
        </w:rPr>
        <w:t>Since 2009, femicide has been classified as a crime in Argentina, but legislation to track and prevent femicide remained mostly ineffective and symbolic in nature</w:t>
      </w:r>
      <w:r w:rsidRPr="00827D56">
        <w:rPr>
          <w:rStyle w:val="FootnoteReference"/>
          <w:color w:val="000000" w:themeColor="text1"/>
        </w:rPr>
        <w:footnoteReference w:id="5"/>
      </w:r>
      <w:r>
        <w:rPr>
          <w:color w:val="000000" w:themeColor="text1"/>
        </w:rPr>
        <w:t>. After a string of high profile femicides in May of 2015, journalists, NGOs, and concerned citizens staged protests across the country under the hashtag #</w:t>
      </w:r>
      <w:proofErr w:type="spellStart"/>
      <w:r>
        <w:rPr>
          <w:color w:val="000000" w:themeColor="text1"/>
        </w:rPr>
        <w:t>NiUnaMenos</w:t>
      </w:r>
      <w:proofErr w:type="spellEnd"/>
      <w:r>
        <w:rPr>
          <w:color w:val="000000" w:themeColor="text1"/>
        </w:rPr>
        <w:t xml:space="preserve">, or not one female less. </w:t>
      </w:r>
      <w:r w:rsidR="00827D56">
        <w:rPr>
          <w:color w:val="000000" w:themeColor="text1"/>
        </w:rPr>
        <w:t>On June 3</w:t>
      </w:r>
      <w:r w:rsidR="00827D56" w:rsidRPr="00827D56">
        <w:rPr>
          <w:color w:val="000000" w:themeColor="text1"/>
          <w:vertAlign w:val="superscript"/>
        </w:rPr>
        <w:t>rd</w:t>
      </w:r>
      <w:r w:rsidR="00827D56">
        <w:rPr>
          <w:color w:val="000000" w:themeColor="text1"/>
        </w:rPr>
        <w:t>, 2015, about 200,000 protesters gathered in the Federal Capital’s Plaza de Mayo to call for more to be done to prevent femicide, and sister protests were recorded in 80 cities across Argentina.</w:t>
      </w:r>
      <w:r>
        <w:rPr>
          <w:color w:val="000000" w:themeColor="text1"/>
        </w:rPr>
        <w:t xml:space="preserve"> Following this, the government began to comply with 2009 law, tracking femicides and </w:t>
      </w:r>
      <w:r w:rsidR="00590FAF">
        <w:rPr>
          <w:color w:val="000000" w:themeColor="text1"/>
        </w:rPr>
        <w:t xml:space="preserve">eventually </w:t>
      </w:r>
      <w:r>
        <w:rPr>
          <w:color w:val="000000" w:themeColor="text1"/>
        </w:rPr>
        <w:t xml:space="preserve">strengthening its </w:t>
      </w:r>
      <w:r w:rsidR="00590FAF">
        <w:rPr>
          <w:color w:val="000000" w:themeColor="text1"/>
        </w:rPr>
        <w:t>federal agency for women</w:t>
      </w:r>
      <w:r>
        <w:rPr>
          <w:color w:val="000000" w:themeColor="text1"/>
        </w:rPr>
        <w:t>.</w:t>
      </w:r>
      <w:r w:rsidR="00827D56">
        <w:rPr>
          <w:color w:val="000000" w:themeColor="text1"/>
        </w:rPr>
        <w:t xml:space="preserve"> </w:t>
      </w:r>
      <w:r>
        <w:rPr>
          <w:color w:val="000000" w:themeColor="text1"/>
        </w:rPr>
        <w:t>The level of mobilization around #</w:t>
      </w:r>
      <w:proofErr w:type="spellStart"/>
      <w:r>
        <w:rPr>
          <w:color w:val="000000" w:themeColor="text1"/>
        </w:rPr>
        <w:t>NiUnaMenos</w:t>
      </w:r>
      <w:proofErr w:type="spellEnd"/>
      <w:r>
        <w:rPr>
          <w:color w:val="000000" w:themeColor="text1"/>
        </w:rPr>
        <w:t xml:space="preserve"> has decreased over time</w:t>
      </w:r>
      <w:r w:rsidR="00827D56">
        <w:rPr>
          <w:color w:val="000000" w:themeColor="text1"/>
        </w:rPr>
        <w:t>,</w:t>
      </w:r>
      <w:r>
        <w:rPr>
          <w:color w:val="000000" w:themeColor="text1"/>
        </w:rPr>
        <w:t xml:space="preserve"> but</w:t>
      </w:r>
      <w:r w:rsidR="00827D56">
        <w:rPr>
          <w:color w:val="000000" w:themeColor="text1"/>
        </w:rPr>
        <w:t xml:space="preserve"> activists continue to rally around the hashtag on social media, and the movement gains momentum around important anniversaries, acts of impunity by the government, and </w:t>
      </w:r>
      <w:r w:rsidR="00590FAF">
        <w:rPr>
          <w:color w:val="000000" w:themeColor="text1"/>
        </w:rPr>
        <w:t>high profile gender-based violence crimes</w:t>
      </w:r>
      <w:r w:rsidR="00827D56">
        <w:rPr>
          <w:color w:val="000000" w:themeColor="text1"/>
        </w:rPr>
        <w:t xml:space="preserve">. </w:t>
      </w:r>
    </w:p>
    <w:p w:rsidR="00340A76" w:rsidRPr="00682962" w:rsidRDefault="00661F44" w:rsidP="00B86639">
      <w:pPr>
        <w:pStyle w:val="Section"/>
        <w:spacing w:line="480" w:lineRule="auto"/>
        <w:rPr>
          <w:color w:val="000000" w:themeColor="text1"/>
        </w:rPr>
      </w:pPr>
      <w:r w:rsidRPr="00682962">
        <w:rPr>
          <w:color w:val="000000" w:themeColor="text1"/>
        </w:rPr>
        <w:t>Methods</w:t>
      </w:r>
    </w:p>
    <w:p w:rsidR="00DA71F0" w:rsidRPr="003C6366" w:rsidRDefault="000B3724" w:rsidP="00DA71F0">
      <w:pPr>
        <w:spacing w:line="480" w:lineRule="auto"/>
        <w:rPr>
          <w:rFonts w:ascii="Times New Roman" w:hAnsi="Times New Roman" w:cs="Times New Roman"/>
          <w:color w:val="FF0000"/>
        </w:rPr>
      </w:pPr>
      <w:r>
        <w:rPr>
          <w:rFonts w:ascii="Times New Roman" w:hAnsi="Times New Roman" w:cs="Times New Roman"/>
          <w:color w:val="000000" w:themeColor="text1"/>
        </w:rPr>
        <w:t xml:space="preserve">In order to test my hypothesis, I rely on data from Argentina’s national statistics database, the National Institute of </w:t>
      </w:r>
      <w:r w:rsidR="00590FAF">
        <w:rPr>
          <w:rFonts w:ascii="Times New Roman" w:hAnsi="Times New Roman" w:cs="Times New Roman"/>
          <w:color w:val="000000" w:themeColor="text1"/>
        </w:rPr>
        <w:t>Statistics</w:t>
      </w:r>
      <w:r>
        <w:rPr>
          <w:rFonts w:ascii="Times New Roman" w:hAnsi="Times New Roman" w:cs="Times New Roman"/>
          <w:color w:val="000000" w:themeColor="text1"/>
        </w:rPr>
        <w:t xml:space="preserve"> and </w:t>
      </w:r>
      <w:r w:rsidR="00590FAF">
        <w:rPr>
          <w:rFonts w:ascii="Times New Roman" w:hAnsi="Times New Roman" w:cs="Times New Roman"/>
          <w:color w:val="000000" w:themeColor="text1"/>
        </w:rPr>
        <w:t>Census</w:t>
      </w:r>
      <w:r>
        <w:rPr>
          <w:rFonts w:ascii="Times New Roman" w:hAnsi="Times New Roman" w:cs="Times New Roman"/>
          <w:color w:val="000000" w:themeColor="text1"/>
        </w:rPr>
        <w:t xml:space="preserve"> (INDEC). Almost all of the variables implemented here have been converted into rate values per 100,000 residents. Given the scope of my data, I focus on a time period beginning in January of 2016 and ending in July 2018.  </w:t>
      </w:r>
    </w:p>
    <w:p w:rsidR="00E23E6D" w:rsidRPr="00557A50" w:rsidRDefault="00E23E6D" w:rsidP="00B86639">
      <w:pPr>
        <w:spacing w:line="480" w:lineRule="auto"/>
        <w:rPr>
          <w:rFonts w:ascii="Times New Roman" w:hAnsi="Times New Roman" w:cs="Times New Roman"/>
          <w:color w:val="000000" w:themeColor="text1"/>
        </w:rPr>
      </w:pPr>
      <w:r w:rsidRPr="00557A50">
        <w:rPr>
          <w:rFonts w:ascii="Times New Roman" w:hAnsi="Times New Roman" w:cs="Times New Roman"/>
          <w:b/>
          <w:color w:val="000000" w:themeColor="text1"/>
        </w:rPr>
        <w:t>Dependent variable</w:t>
      </w:r>
    </w:p>
    <w:p w:rsidR="00016C42" w:rsidRPr="00D757A3" w:rsidRDefault="00E23E6D" w:rsidP="00B86639">
      <w:pPr>
        <w:spacing w:line="480" w:lineRule="auto"/>
        <w:rPr>
          <w:rFonts w:ascii="Times New Roman" w:hAnsi="Times New Roman" w:cs="Times New Roman"/>
          <w:color w:val="000000" w:themeColor="text1"/>
        </w:rPr>
      </w:pPr>
      <w:r w:rsidRPr="00557A50">
        <w:rPr>
          <w:rFonts w:ascii="Times New Roman" w:hAnsi="Times New Roman" w:cs="Times New Roman"/>
          <w:color w:val="000000" w:themeColor="text1"/>
        </w:rPr>
        <w:lastRenderedPageBreak/>
        <w:t xml:space="preserve">For my dependent variable, reports of domestic violence, I use a monthly rate of calls to report domestic violence in each of Argentina's 24 provinces. Data on reports of gender-based violence come from INAM. The institute, a sub-agency of Argentina's </w:t>
      </w:r>
      <w:r w:rsidR="00557A50" w:rsidRPr="00557A50">
        <w:rPr>
          <w:rFonts w:ascii="Times New Roman" w:hAnsi="Times New Roman" w:cs="Times New Roman"/>
          <w:color w:val="000000" w:themeColor="text1"/>
        </w:rPr>
        <w:t>M</w:t>
      </w:r>
      <w:r w:rsidRPr="00557A50">
        <w:rPr>
          <w:rFonts w:ascii="Times New Roman" w:hAnsi="Times New Roman" w:cs="Times New Roman"/>
          <w:color w:val="000000" w:themeColor="text1"/>
        </w:rPr>
        <w:t xml:space="preserve">inistry of </w:t>
      </w:r>
      <w:r w:rsidR="00557A50" w:rsidRPr="00557A50">
        <w:rPr>
          <w:rFonts w:ascii="Times New Roman" w:hAnsi="Times New Roman" w:cs="Times New Roman"/>
          <w:color w:val="000000" w:themeColor="text1"/>
        </w:rPr>
        <w:t>health and social development,</w:t>
      </w:r>
      <w:r w:rsidRPr="00557A50">
        <w:rPr>
          <w:rFonts w:ascii="Times New Roman" w:hAnsi="Times New Roman" w:cs="Times New Roman"/>
          <w:color w:val="000000" w:themeColor="text1"/>
        </w:rPr>
        <w:t xml:space="preserve"> started a national-level hot line with information on </w:t>
      </w:r>
      <w:r w:rsidR="002C13E4" w:rsidRPr="00557A50">
        <w:rPr>
          <w:rFonts w:ascii="Times New Roman" w:hAnsi="Times New Roman" w:cs="Times New Roman"/>
          <w:color w:val="000000" w:themeColor="text1"/>
        </w:rPr>
        <w:t>gender-based</w:t>
      </w:r>
      <w:r w:rsidRPr="00557A50">
        <w:rPr>
          <w:rFonts w:ascii="Times New Roman" w:hAnsi="Times New Roman" w:cs="Times New Roman"/>
          <w:color w:val="000000" w:themeColor="text1"/>
        </w:rPr>
        <w:t xml:space="preserve"> violence in mid-2015</w:t>
      </w:r>
      <w:r w:rsidRPr="00557A50">
        <w:rPr>
          <w:rFonts w:ascii="Times New Roman" w:hAnsi="Times New Roman" w:cs="Times New Roman"/>
          <w:b/>
          <w:color w:val="000000" w:themeColor="text1"/>
        </w:rPr>
        <w:t>.</w:t>
      </w:r>
      <w:r w:rsidRPr="00557A50">
        <w:rPr>
          <w:rFonts w:ascii="Times New Roman" w:hAnsi="Times New Roman" w:cs="Times New Roman"/>
          <w:color w:val="000000" w:themeColor="text1"/>
        </w:rPr>
        <w:t xml:space="preserve"> Called </w:t>
      </w:r>
      <w:proofErr w:type="spellStart"/>
      <w:r w:rsidRPr="00557A50">
        <w:rPr>
          <w:rFonts w:ascii="Times New Roman" w:hAnsi="Times New Roman" w:cs="Times New Roman"/>
          <w:i/>
          <w:color w:val="000000" w:themeColor="text1"/>
        </w:rPr>
        <w:t>línea</w:t>
      </w:r>
      <w:proofErr w:type="spellEnd"/>
      <w:r w:rsidRPr="00557A50">
        <w:rPr>
          <w:rFonts w:ascii="Times New Roman" w:hAnsi="Times New Roman" w:cs="Times New Roman"/>
          <w:i/>
          <w:color w:val="000000" w:themeColor="text1"/>
        </w:rPr>
        <w:t xml:space="preserve"> 144</w:t>
      </w:r>
      <w:r w:rsidRPr="00557A50">
        <w:rPr>
          <w:rFonts w:ascii="Times New Roman" w:hAnsi="Times New Roman" w:cs="Times New Roman"/>
          <w:color w:val="000000" w:themeColor="text1"/>
        </w:rPr>
        <w:t xml:space="preserve"> (line 144), anyone can call</w:t>
      </w:r>
      <w:r w:rsidR="00D757A3">
        <w:rPr>
          <w:rFonts w:ascii="Times New Roman" w:hAnsi="Times New Roman" w:cs="Times New Roman"/>
          <w:color w:val="000000" w:themeColor="text1"/>
        </w:rPr>
        <w:t xml:space="preserve"> the hotline</w:t>
      </w:r>
      <w:r w:rsidRPr="00557A50">
        <w:rPr>
          <w:rFonts w:ascii="Times New Roman" w:hAnsi="Times New Roman" w:cs="Times New Roman"/>
          <w:color w:val="000000" w:themeColor="text1"/>
        </w:rPr>
        <w:t xml:space="preserve"> to ask questions about </w:t>
      </w:r>
      <w:r w:rsidR="00557A50" w:rsidRPr="00557A50">
        <w:rPr>
          <w:rFonts w:ascii="Times New Roman" w:hAnsi="Times New Roman" w:cs="Times New Roman"/>
          <w:color w:val="000000" w:themeColor="text1"/>
        </w:rPr>
        <w:t>GBV,</w:t>
      </w:r>
      <w:r w:rsidRPr="00557A50">
        <w:rPr>
          <w:rFonts w:ascii="Times New Roman" w:hAnsi="Times New Roman" w:cs="Times New Roman"/>
          <w:color w:val="000000" w:themeColor="text1"/>
        </w:rPr>
        <w:t xml:space="preserve"> report an incident of </w:t>
      </w:r>
      <w:r w:rsidR="00557A50" w:rsidRPr="00557A50">
        <w:rPr>
          <w:rFonts w:ascii="Times New Roman" w:hAnsi="Times New Roman" w:cs="Times New Roman"/>
          <w:color w:val="000000" w:themeColor="text1"/>
        </w:rPr>
        <w:t>GBV, and learn more information about options in the event of GBV</w:t>
      </w:r>
      <w:r w:rsidRPr="00557A50">
        <w:rPr>
          <w:rFonts w:ascii="Times New Roman" w:hAnsi="Times New Roman" w:cs="Times New Roman"/>
          <w:color w:val="000000" w:themeColor="text1"/>
        </w:rPr>
        <w:t xml:space="preserve">. INAM releases monthly reports about calls, with summaries about the nature of incidents reported. </w:t>
      </w:r>
      <w:r w:rsidR="00590FAF">
        <w:rPr>
          <w:rFonts w:ascii="Times New Roman" w:hAnsi="Times New Roman" w:cs="Times New Roman"/>
          <w:color w:val="000000" w:themeColor="text1"/>
        </w:rPr>
        <w:t xml:space="preserve">I collect information about the rate of calls made by individuals to report a first-time incident of gender-based violence. To account for population, I convert them into a month-province rate using province population estimates from 2015. </w:t>
      </w:r>
      <w:r w:rsidR="00F245F8">
        <w:rPr>
          <w:rFonts w:ascii="Times New Roman" w:hAnsi="Times New Roman" w:cs="Times New Roman"/>
          <w:color w:val="000000" w:themeColor="text1"/>
        </w:rPr>
        <w:t>Because monthly call data is only accessible from 2016 to mid 2018, my study is concentrated on a period of time spanning from January 2016 to July 2018.</w:t>
      </w:r>
      <w:r w:rsidR="00D757A3">
        <w:rPr>
          <w:rFonts w:ascii="Times New Roman" w:hAnsi="Times New Roman" w:cs="Times New Roman"/>
          <w:color w:val="000000" w:themeColor="text1"/>
        </w:rPr>
        <w:t xml:space="preserve"> </w:t>
      </w:r>
    </w:p>
    <w:p w:rsidR="00E23E6D" w:rsidRPr="00C501B6" w:rsidRDefault="00E23E6D" w:rsidP="008D5F4C">
      <w:pPr>
        <w:rPr>
          <w:rFonts w:ascii="Times New Roman" w:hAnsi="Times New Roman" w:cs="Times New Roman"/>
          <w:color w:val="7030A0"/>
        </w:rPr>
      </w:pPr>
    </w:p>
    <w:p w:rsidR="008D5F4C" w:rsidRDefault="00C92DC3" w:rsidP="009A496F">
      <w:pPr>
        <w:rPr>
          <w:rFonts w:ascii="Times New Roman" w:hAnsi="Times New Roman" w:cs="Times New Roman"/>
          <w:b/>
          <w:color w:val="000000" w:themeColor="text1"/>
        </w:rPr>
      </w:pPr>
      <w:r w:rsidRPr="009644B4">
        <w:rPr>
          <w:rFonts w:ascii="Times New Roman" w:hAnsi="Times New Roman" w:cs="Times New Roman"/>
          <w:b/>
          <w:color w:val="000000" w:themeColor="text1"/>
        </w:rPr>
        <w:t>Independent variables</w:t>
      </w:r>
    </w:p>
    <w:p w:rsidR="00B86639" w:rsidRPr="009644B4" w:rsidRDefault="00B86639" w:rsidP="009A496F">
      <w:pPr>
        <w:rPr>
          <w:rFonts w:ascii="Times New Roman" w:hAnsi="Times New Roman" w:cs="Times New Roman"/>
          <w:b/>
          <w:color w:val="000000" w:themeColor="text1"/>
        </w:rPr>
      </w:pPr>
    </w:p>
    <w:p w:rsidR="008D5F4C" w:rsidRDefault="00D03244" w:rsidP="00B86639">
      <w:pPr>
        <w:spacing w:line="480" w:lineRule="auto"/>
        <w:rPr>
          <w:rFonts w:ascii="Times New Roman" w:hAnsi="Times New Roman" w:cs="Times New Roman"/>
          <w:color w:val="000000" w:themeColor="text1"/>
        </w:rPr>
      </w:pPr>
      <w:r w:rsidRPr="009644B4">
        <w:rPr>
          <w:rFonts w:ascii="Times New Roman" w:hAnsi="Times New Roman" w:cs="Times New Roman"/>
          <w:color w:val="000000" w:themeColor="text1"/>
        </w:rPr>
        <w:t xml:space="preserve">To operationalize my key independent variable, </w:t>
      </w:r>
      <w:r w:rsidR="008D5F4C" w:rsidRPr="009644B4">
        <w:rPr>
          <w:rFonts w:ascii="Times New Roman" w:hAnsi="Times New Roman" w:cs="Times New Roman"/>
          <w:color w:val="000000" w:themeColor="text1"/>
        </w:rPr>
        <w:t>I use data on the rate of women-oriented NGOs in each province</w:t>
      </w:r>
      <w:r w:rsidRPr="009644B4">
        <w:rPr>
          <w:rFonts w:ascii="Times New Roman" w:hAnsi="Times New Roman" w:cs="Times New Roman"/>
          <w:color w:val="000000" w:themeColor="text1"/>
        </w:rPr>
        <w:t>. I make use of INAM's data on centers for assistance (</w:t>
      </w:r>
      <w:proofErr w:type="spellStart"/>
      <w:r w:rsidR="00C265AC" w:rsidRPr="009644B4">
        <w:rPr>
          <w:rFonts w:ascii="Times New Roman" w:hAnsi="Times New Roman" w:cs="Times New Roman"/>
          <w:i/>
          <w:color w:val="000000" w:themeColor="text1"/>
        </w:rPr>
        <w:t>centros</w:t>
      </w:r>
      <w:proofErr w:type="spellEnd"/>
      <w:r w:rsidR="00C265AC" w:rsidRPr="009644B4">
        <w:rPr>
          <w:rFonts w:ascii="Times New Roman" w:hAnsi="Times New Roman" w:cs="Times New Roman"/>
          <w:i/>
          <w:color w:val="000000" w:themeColor="text1"/>
        </w:rPr>
        <w:t xml:space="preserve"> para </w:t>
      </w:r>
      <w:proofErr w:type="spellStart"/>
      <w:r w:rsidR="00C265AC" w:rsidRPr="009644B4">
        <w:rPr>
          <w:rFonts w:ascii="Times New Roman" w:hAnsi="Times New Roman" w:cs="Times New Roman"/>
          <w:i/>
          <w:color w:val="000000" w:themeColor="text1"/>
        </w:rPr>
        <w:t>ayuda</w:t>
      </w:r>
      <w:proofErr w:type="spellEnd"/>
      <w:r w:rsidR="00C265AC" w:rsidRPr="009644B4">
        <w:rPr>
          <w:rFonts w:ascii="Times New Roman" w:hAnsi="Times New Roman" w:cs="Times New Roman"/>
          <w:color w:val="000000" w:themeColor="text1"/>
        </w:rPr>
        <w:t xml:space="preserve">) </w:t>
      </w:r>
      <w:r w:rsidRPr="009644B4">
        <w:rPr>
          <w:rFonts w:ascii="Times New Roman" w:hAnsi="Times New Roman" w:cs="Times New Roman"/>
          <w:color w:val="000000" w:themeColor="text1"/>
        </w:rPr>
        <w:t>to women in abusive or violent situations.</w:t>
      </w:r>
      <w:r w:rsidR="00F215EB">
        <w:rPr>
          <w:rFonts w:ascii="Times New Roman" w:hAnsi="Times New Roman" w:cs="Times New Roman"/>
          <w:color w:val="000000" w:themeColor="text1"/>
        </w:rPr>
        <w:t xml:space="preserve"> The rate of women’s services NGOs in a given province should help capture the level of support and awareness for women in situations of violence.</w:t>
      </w:r>
      <w:r w:rsidR="008D5F4C" w:rsidRPr="009644B4">
        <w:rPr>
          <w:rFonts w:ascii="Times New Roman" w:hAnsi="Times New Roman" w:cs="Times New Roman"/>
          <w:color w:val="000000" w:themeColor="text1"/>
        </w:rPr>
        <w:t xml:space="preserve"> </w:t>
      </w:r>
      <w:r w:rsidR="002A5015">
        <w:rPr>
          <w:rFonts w:ascii="Times New Roman" w:hAnsi="Times New Roman" w:cs="Times New Roman"/>
          <w:color w:val="000000" w:themeColor="text1"/>
        </w:rPr>
        <w:t>Descriptive statistics for all of the variables mentioned are provided below.</w:t>
      </w:r>
    </w:p>
    <w:p w:rsidR="00F215EB" w:rsidRDefault="00F215EB" w:rsidP="00B8663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Admittedly, this fixed measure of NGOs is a crude measure at best when it comes to capturing the mechanisms that I propose are at play. High variance among NGO capacity isn’t accounted for here. In light of this, I employ an additional independent variable: the creation of INAM. Prior to September of 2017, Argentina’s National Institute for Women was CNM, or the National Council of Women. In being given ‘institute’ status, INAM acquired budgetary </w:t>
      </w:r>
      <w:r>
        <w:rPr>
          <w:rFonts w:ascii="Times New Roman" w:hAnsi="Times New Roman" w:cs="Times New Roman"/>
          <w:color w:val="000000" w:themeColor="text1"/>
        </w:rPr>
        <w:lastRenderedPageBreak/>
        <w:t xml:space="preserve">autonomy and increased decision making power in terms of its service provision and policy agenda. There is convincing evidence that the growth of the federal agency had an empowering effect on NGOs across Argentina. In addition to increased political </w:t>
      </w:r>
      <w:r w:rsidR="00F75B06">
        <w:rPr>
          <w:rFonts w:ascii="Times New Roman" w:hAnsi="Times New Roman" w:cs="Times New Roman"/>
          <w:color w:val="000000" w:themeColor="text1"/>
        </w:rPr>
        <w:t xml:space="preserve">advocacy about GBV on the part of the government, INAM could better financially support NGO efforts across the country. In addition to budgetary control, a budget increase in 2017 may have strengthened monetary windfalls associated with the change. </w:t>
      </w:r>
    </w:p>
    <w:p w:rsidR="00F75B06" w:rsidRDefault="00F75B06" w:rsidP="00B8663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In order to capture differences in NGO presence before and after the implementation of INAM, I create a dummy variable coded as 1 for each month observation after September 2017. I interact the INAM dummy with NGOs to test this effect. </w:t>
      </w:r>
    </w:p>
    <w:p w:rsidR="00F75B06" w:rsidRPr="00F75B06" w:rsidRDefault="00F75B06" w:rsidP="00B86639">
      <w:pPr>
        <w:spacing w:line="480" w:lineRule="auto"/>
        <w:rPr>
          <w:rFonts w:ascii="Times New Roman" w:hAnsi="Times New Roman" w:cs="Times New Roman"/>
          <w:b/>
          <w:color w:val="000000" w:themeColor="text1"/>
        </w:rPr>
      </w:pPr>
      <w:r w:rsidRPr="00F75B06">
        <w:rPr>
          <w:rFonts w:ascii="Times New Roman" w:hAnsi="Times New Roman" w:cs="Times New Roman"/>
          <w:b/>
          <w:color w:val="000000" w:themeColor="text1"/>
        </w:rPr>
        <w:t>Controls</w:t>
      </w:r>
    </w:p>
    <w:p w:rsidR="00F75B06" w:rsidRPr="00095475" w:rsidRDefault="008D5F4C" w:rsidP="00B86639">
      <w:pPr>
        <w:spacing w:line="480" w:lineRule="auto"/>
        <w:ind w:firstLine="720"/>
        <w:rPr>
          <w:rFonts w:ascii="Times New Roman" w:hAnsi="Times New Roman" w:cs="Times New Roman"/>
          <w:color w:val="000000" w:themeColor="text1"/>
        </w:rPr>
      </w:pPr>
      <w:r w:rsidRPr="00095475">
        <w:rPr>
          <w:rFonts w:ascii="Times New Roman" w:hAnsi="Times New Roman" w:cs="Times New Roman"/>
          <w:color w:val="000000" w:themeColor="text1"/>
        </w:rPr>
        <w:t xml:space="preserve">In addition to NGOs, I also use </w:t>
      </w:r>
      <w:r w:rsidR="009644B4" w:rsidRPr="00095475">
        <w:rPr>
          <w:rFonts w:ascii="Times New Roman" w:hAnsi="Times New Roman" w:cs="Times New Roman"/>
          <w:color w:val="000000" w:themeColor="text1"/>
        </w:rPr>
        <w:t>information about help centers</w:t>
      </w:r>
      <w:r w:rsidRPr="00095475">
        <w:rPr>
          <w:rFonts w:ascii="Times New Roman" w:hAnsi="Times New Roman" w:cs="Times New Roman"/>
          <w:color w:val="000000" w:themeColor="text1"/>
        </w:rPr>
        <w:t xml:space="preserve"> to control for other types of centers for assistance that may be related to an increase in calls to </w:t>
      </w:r>
      <w:proofErr w:type="spellStart"/>
      <w:r w:rsidRPr="00095475">
        <w:rPr>
          <w:rFonts w:ascii="Times New Roman" w:hAnsi="Times New Roman" w:cs="Times New Roman"/>
          <w:color w:val="000000" w:themeColor="text1"/>
        </w:rPr>
        <w:t>línea</w:t>
      </w:r>
      <w:proofErr w:type="spellEnd"/>
      <w:r w:rsidRPr="00095475">
        <w:rPr>
          <w:rFonts w:ascii="Times New Roman" w:hAnsi="Times New Roman" w:cs="Times New Roman"/>
          <w:color w:val="000000" w:themeColor="text1"/>
        </w:rPr>
        <w:t xml:space="preserve"> 144. </w:t>
      </w:r>
      <w:r w:rsidR="007346D8" w:rsidRPr="00095475">
        <w:rPr>
          <w:rFonts w:ascii="Times New Roman" w:hAnsi="Times New Roman" w:cs="Times New Roman"/>
          <w:color w:val="000000" w:themeColor="text1"/>
        </w:rPr>
        <w:t xml:space="preserve">I consider the rate </w:t>
      </w:r>
    </w:p>
    <w:p w:rsidR="00095475" w:rsidRDefault="007346D8" w:rsidP="00B86639">
      <w:pPr>
        <w:spacing w:line="480" w:lineRule="auto"/>
        <w:ind w:firstLine="720"/>
        <w:rPr>
          <w:rFonts w:ascii="Times New Roman" w:hAnsi="Times New Roman" w:cs="Times New Roman"/>
          <w:color w:val="000000" w:themeColor="text1"/>
        </w:rPr>
      </w:pPr>
      <w:r w:rsidRPr="00095475">
        <w:rPr>
          <w:rFonts w:ascii="Times New Roman" w:hAnsi="Times New Roman" w:cs="Times New Roman"/>
          <w:color w:val="000000" w:themeColor="text1"/>
        </w:rPr>
        <w:t>of health centers, police stations, and legal services specifically</w:t>
      </w:r>
      <w:r w:rsidRPr="00095475">
        <w:rPr>
          <w:rStyle w:val="FootnoteReference"/>
          <w:rFonts w:ascii="Times New Roman" w:hAnsi="Times New Roman" w:cs="Times New Roman"/>
          <w:color w:val="000000" w:themeColor="text1"/>
        </w:rPr>
        <w:footnoteReference w:id="6"/>
      </w:r>
      <w:r w:rsidRPr="00095475">
        <w:rPr>
          <w:rFonts w:ascii="Times New Roman" w:hAnsi="Times New Roman" w:cs="Times New Roman"/>
          <w:color w:val="000000" w:themeColor="text1"/>
        </w:rPr>
        <w:t xml:space="preserve">. </w:t>
      </w:r>
      <w:r w:rsidR="009644B4" w:rsidRPr="00095475">
        <w:rPr>
          <w:rFonts w:ascii="Times New Roman" w:hAnsi="Times New Roman" w:cs="Times New Roman"/>
          <w:color w:val="000000" w:themeColor="text1"/>
        </w:rPr>
        <w:t xml:space="preserve">In the event that a woman decides to seek assistance, she may instead access one of these services based on the nature of her situation. </w:t>
      </w:r>
      <w:r w:rsidR="00F75B06">
        <w:rPr>
          <w:rFonts w:ascii="Times New Roman" w:hAnsi="Times New Roman" w:cs="Times New Roman"/>
          <w:color w:val="000000" w:themeColor="text1"/>
        </w:rPr>
        <w:t>In this way, other assistance centers may serve as substitutes for NGOs.</w:t>
      </w:r>
      <w:r w:rsidR="00C265AC" w:rsidRPr="00095475">
        <w:rPr>
          <w:rFonts w:ascii="Times New Roman" w:hAnsi="Times New Roman" w:cs="Times New Roman"/>
          <w:color w:val="000000" w:themeColor="text1"/>
        </w:rPr>
        <w:t xml:space="preserve"> </w:t>
      </w:r>
    </w:p>
    <w:p w:rsidR="00C02504" w:rsidRDefault="00C265AC" w:rsidP="00B86639">
      <w:pPr>
        <w:spacing w:line="480" w:lineRule="auto"/>
        <w:ind w:firstLine="720"/>
        <w:rPr>
          <w:rFonts w:ascii="Times New Roman" w:hAnsi="Times New Roman" w:cs="Times New Roman"/>
          <w:color w:val="000000" w:themeColor="text1"/>
        </w:rPr>
      </w:pPr>
      <w:r w:rsidRPr="00095475">
        <w:rPr>
          <w:rFonts w:ascii="Times New Roman" w:hAnsi="Times New Roman" w:cs="Times New Roman"/>
          <w:color w:val="000000" w:themeColor="text1"/>
        </w:rPr>
        <w:t xml:space="preserve">Using 2015 census data, I control for the population in each province. Although all applicable measures </w:t>
      </w:r>
      <w:r w:rsidR="00095475" w:rsidRPr="00095475">
        <w:rPr>
          <w:rFonts w:ascii="Times New Roman" w:hAnsi="Times New Roman" w:cs="Times New Roman"/>
          <w:color w:val="000000" w:themeColor="text1"/>
        </w:rPr>
        <w:t>have been converted into rates</w:t>
      </w:r>
      <w:r w:rsidRPr="00095475">
        <w:rPr>
          <w:rFonts w:ascii="Times New Roman" w:hAnsi="Times New Roman" w:cs="Times New Roman"/>
          <w:color w:val="000000" w:themeColor="text1"/>
        </w:rPr>
        <w:t>, the population variable may help to capture the effect of urbanization on calls</w:t>
      </w:r>
      <w:r w:rsidR="00F75B06">
        <w:rPr>
          <w:rFonts w:ascii="Times New Roman" w:hAnsi="Times New Roman" w:cs="Times New Roman"/>
          <w:color w:val="000000" w:themeColor="text1"/>
        </w:rPr>
        <w:t>, given the high variance in population across Argentina</w:t>
      </w:r>
      <w:r w:rsidRPr="00095475">
        <w:rPr>
          <w:rFonts w:ascii="Times New Roman" w:hAnsi="Times New Roman" w:cs="Times New Roman"/>
          <w:color w:val="000000" w:themeColor="text1"/>
        </w:rPr>
        <w:t>. An additional factor that may affect reporting calls</w:t>
      </w:r>
      <w:r w:rsidR="00C02504" w:rsidRPr="00095475">
        <w:rPr>
          <w:rFonts w:ascii="Times New Roman" w:hAnsi="Times New Roman" w:cs="Times New Roman"/>
          <w:color w:val="000000" w:themeColor="text1"/>
        </w:rPr>
        <w:t xml:space="preserve"> is the level of salience of GBV crimes in a given area. For this reason, I add a control for the monthly rate of femicides in a province to capture any effect that extreme GBV may have on calls. </w:t>
      </w:r>
      <w:r w:rsidR="00C501B6" w:rsidRPr="00095475">
        <w:rPr>
          <w:rFonts w:ascii="Times New Roman" w:hAnsi="Times New Roman" w:cs="Times New Roman"/>
          <w:color w:val="000000" w:themeColor="text1"/>
        </w:rPr>
        <w:t>This data is reported by</w:t>
      </w:r>
      <w:r w:rsidR="00E13689" w:rsidRPr="00095475">
        <w:rPr>
          <w:rFonts w:ascii="Times New Roman" w:hAnsi="Times New Roman" w:cs="Times New Roman"/>
          <w:color w:val="000000" w:themeColor="text1"/>
        </w:rPr>
        <w:t xml:space="preserve"> Argentina’s Ministry of </w:t>
      </w:r>
      <w:r w:rsidR="00E13689" w:rsidRPr="00095475">
        <w:rPr>
          <w:rFonts w:ascii="Times New Roman" w:hAnsi="Times New Roman" w:cs="Times New Roman"/>
          <w:color w:val="000000" w:themeColor="text1"/>
        </w:rPr>
        <w:lastRenderedPageBreak/>
        <w:t>Justice and Human Rights</w:t>
      </w:r>
      <w:r w:rsidR="00C501B6" w:rsidRPr="00095475">
        <w:rPr>
          <w:rFonts w:ascii="Times New Roman" w:hAnsi="Times New Roman" w:cs="Times New Roman"/>
          <w:color w:val="000000" w:themeColor="text1"/>
        </w:rPr>
        <w:t xml:space="preserve">, which has been regularly publishing </w:t>
      </w:r>
      <w:r w:rsidR="00F75B06">
        <w:rPr>
          <w:rFonts w:ascii="Times New Roman" w:hAnsi="Times New Roman" w:cs="Times New Roman"/>
          <w:color w:val="000000" w:themeColor="text1"/>
        </w:rPr>
        <w:t xml:space="preserve">femicide </w:t>
      </w:r>
      <w:r w:rsidR="00C501B6" w:rsidRPr="00095475">
        <w:rPr>
          <w:rFonts w:ascii="Times New Roman" w:hAnsi="Times New Roman" w:cs="Times New Roman"/>
          <w:color w:val="000000" w:themeColor="text1"/>
        </w:rPr>
        <w:t>statistics since 2015</w:t>
      </w:r>
      <w:r w:rsidR="00C501B6" w:rsidRPr="00095475">
        <w:rPr>
          <w:rStyle w:val="FootnoteReference"/>
          <w:rFonts w:ascii="Times New Roman" w:hAnsi="Times New Roman" w:cs="Times New Roman"/>
          <w:color w:val="000000" w:themeColor="text1"/>
        </w:rPr>
        <w:footnoteReference w:id="7"/>
      </w:r>
      <w:r w:rsidR="00C501B6" w:rsidRPr="00095475">
        <w:rPr>
          <w:rFonts w:ascii="Times New Roman" w:hAnsi="Times New Roman" w:cs="Times New Roman"/>
          <w:color w:val="000000" w:themeColor="text1"/>
        </w:rPr>
        <w:t xml:space="preserve">.  </w:t>
      </w:r>
      <w:r w:rsidR="00C02504" w:rsidRPr="00095475">
        <w:rPr>
          <w:rFonts w:ascii="Times New Roman" w:hAnsi="Times New Roman" w:cs="Times New Roman"/>
          <w:color w:val="000000" w:themeColor="text1"/>
        </w:rPr>
        <w:t xml:space="preserve">Finally, economic conditions may increase the rate of GBV as a result of living conditions or criminal tendencies (McIlwaine 2013; </w:t>
      </w:r>
      <w:r w:rsidR="00095475">
        <w:rPr>
          <w:rFonts w:ascii="Times New Roman" w:hAnsi="Times New Roman" w:cs="Times New Roman"/>
          <w:color w:val="000000" w:themeColor="text1"/>
        </w:rPr>
        <w:t>Dix-</w:t>
      </w:r>
      <w:proofErr w:type="spellStart"/>
      <w:r w:rsidR="00095475">
        <w:rPr>
          <w:rFonts w:ascii="Times New Roman" w:hAnsi="Times New Roman" w:cs="Times New Roman"/>
          <w:color w:val="000000" w:themeColor="text1"/>
        </w:rPr>
        <w:t>Carneiro</w:t>
      </w:r>
      <w:proofErr w:type="spellEnd"/>
      <w:r w:rsidR="00095475">
        <w:rPr>
          <w:rFonts w:ascii="Times New Roman" w:hAnsi="Times New Roman" w:cs="Times New Roman"/>
          <w:color w:val="000000" w:themeColor="text1"/>
        </w:rPr>
        <w:t xml:space="preserve"> et al. 2018). To account for this, annual</w:t>
      </w:r>
      <w:r w:rsidR="00C02504" w:rsidRPr="00095475">
        <w:rPr>
          <w:rFonts w:ascii="Times New Roman" w:hAnsi="Times New Roman" w:cs="Times New Roman"/>
          <w:color w:val="000000" w:themeColor="text1"/>
        </w:rPr>
        <w:t xml:space="preserve"> estimates of provincial exports in millions of dollars</w:t>
      </w:r>
      <w:r w:rsidR="00095475">
        <w:rPr>
          <w:rFonts w:ascii="Times New Roman" w:hAnsi="Times New Roman" w:cs="Times New Roman"/>
          <w:color w:val="000000" w:themeColor="text1"/>
        </w:rPr>
        <w:t xml:space="preserve"> are added to the model</w:t>
      </w:r>
      <w:r w:rsidR="00C02504" w:rsidRPr="00095475">
        <w:rPr>
          <w:rFonts w:ascii="Times New Roman" w:hAnsi="Times New Roman" w:cs="Times New Roman"/>
          <w:color w:val="000000" w:themeColor="text1"/>
        </w:rPr>
        <w:t xml:space="preserve">, as provided by </w:t>
      </w:r>
      <w:r w:rsidR="00095475">
        <w:rPr>
          <w:rFonts w:ascii="Times New Roman" w:hAnsi="Times New Roman" w:cs="Times New Roman"/>
          <w:color w:val="000000" w:themeColor="text1"/>
        </w:rPr>
        <w:t>INDEC</w:t>
      </w:r>
      <w:r w:rsidR="00E13689" w:rsidRPr="00095475">
        <w:rPr>
          <w:rFonts w:ascii="Times New Roman" w:hAnsi="Times New Roman" w:cs="Times New Roman"/>
          <w:color w:val="000000" w:themeColor="text1"/>
        </w:rPr>
        <w:t>.</w:t>
      </w:r>
    </w:p>
    <w:p w:rsidR="00D26489" w:rsidRPr="00D26489" w:rsidRDefault="00F75B06" w:rsidP="00D26489">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 look at table 1 provides insight into some of the variables of focus. A few trends are worth highlighting. First, though the minimum of GBV reporting calls is zero, there are only two observations in the data in which nobody in a province calls to report GBV. Additionally, the lower number of observations</w:t>
      </w:r>
      <w:r w:rsidR="00D26489">
        <w:rPr>
          <w:rFonts w:ascii="Times New Roman" w:hAnsi="Times New Roman" w:cs="Times New Roman"/>
          <w:color w:val="000000" w:themeColor="text1"/>
        </w:rPr>
        <w:t xml:space="preserve"> for calls is a result of missing data; INAM’s monthly report for July 2016 is incomplete. Additionally, there </w:t>
      </w:r>
      <w:r w:rsidR="00D26489">
        <w:rPr>
          <w:rFonts w:ascii="Times New Roman" w:hAnsi="Times New Roman" w:cs="Times New Roman"/>
          <w:i/>
          <w:color w:val="000000" w:themeColor="text1"/>
        </w:rPr>
        <w:t xml:space="preserve">are </w:t>
      </w:r>
      <w:r w:rsidR="00D26489">
        <w:rPr>
          <w:rFonts w:ascii="Times New Roman" w:hAnsi="Times New Roman" w:cs="Times New Roman"/>
          <w:color w:val="000000" w:themeColor="text1"/>
        </w:rPr>
        <w:t xml:space="preserve">three provinces without NGOs that provide services to women. San Juan, Santa Cruz, and San Luis do not have women’s NGOs listed, which likely is in part associated with low populations in these areas. Outside of these provinces, I account for 156 NGOs across the 21 other provinces. Finally, the population in millions of provinces varies greatly, from the roughly 200,000 inhabitants of Tierra del Fuego to nearly 17 million people living in Buenos Aires province. </w:t>
      </w:r>
    </w:p>
    <w:tbl>
      <w:tblPr>
        <w:tblStyle w:val="TableGrid"/>
        <w:tblpPr w:leftFromText="180" w:rightFromText="180" w:vertAnchor="text" w:horzAnchor="margin" w:tblpY="-96"/>
        <w:tblW w:w="0" w:type="auto"/>
        <w:tblLook w:val="04A0" w:firstRow="1" w:lastRow="0" w:firstColumn="1" w:lastColumn="0" w:noHBand="0" w:noVBand="1"/>
      </w:tblPr>
      <w:tblGrid>
        <w:gridCol w:w="1257"/>
        <w:gridCol w:w="1558"/>
        <w:gridCol w:w="1558"/>
        <w:gridCol w:w="1558"/>
        <w:gridCol w:w="1559"/>
        <w:gridCol w:w="1559"/>
      </w:tblGrid>
      <w:tr w:rsidR="00F75B06" w:rsidTr="00F75B06">
        <w:tc>
          <w:tcPr>
            <w:tcW w:w="9049" w:type="dxa"/>
            <w:gridSpan w:val="6"/>
            <w:tcBorders>
              <w:top w:val="nil"/>
              <w:left w:val="nil"/>
              <w:right w:val="nil"/>
            </w:tcBorders>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lastRenderedPageBreak/>
              <w:t>Table 1. Descriptive Statistics</w:t>
            </w:r>
          </w:p>
        </w:tc>
      </w:tr>
      <w:tr w:rsidR="00F75B06" w:rsidTr="00F75B06">
        <w:tc>
          <w:tcPr>
            <w:tcW w:w="1257"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Variable</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Number of Observations</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 xml:space="preserve">Mean </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Standard Deviation</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Minimum</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Maximum</w:t>
            </w:r>
          </w:p>
        </w:tc>
      </w:tr>
      <w:tr w:rsidR="00F75B06" w:rsidTr="00F75B06">
        <w:tc>
          <w:tcPr>
            <w:tcW w:w="1257"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Rate of reporting calls</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720</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4.491</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3.521</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0</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20.954</w:t>
            </w:r>
          </w:p>
        </w:tc>
      </w:tr>
      <w:tr w:rsidR="00F75B06" w:rsidTr="00F75B06">
        <w:tc>
          <w:tcPr>
            <w:tcW w:w="1257"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Rate of Women’s services NGOs</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744</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.396</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.367</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0</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1.313</w:t>
            </w:r>
          </w:p>
        </w:tc>
      </w:tr>
      <w:tr w:rsidR="00F75B06" w:rsidTr="00F75B06">
        <w:tc>
          <w:tcPr>
            <w:tcW w:w="1257"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Monthly Rate of Femicides</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744</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.048</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.09</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0</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.657</w:t>
            </w:r>
          </w:p>
        </w:tc>
      </w:tr>
      <w:tr w:rsidR="00F75B06" w:rsidTr="00F75B06">
        <w:tc>
          <w:tcPr>
            <w:tcW w:w="1257"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Population (millions)</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744</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1.8</w:t>
            </w:r>
          </w:p>
        </w:tc>
        <w:tc>
          <w:tcPr>
            <w:tcW w:w="1558"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3.2</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.2</w:t>
            </w:r>
          </w:p>
        </w:tc>
        <w:tc>
          <w:tcPr>
            <w:tcW w:w="1559" w:type="dxa"/>
          </w:tcPr>
          <w:p w:rsidR="00F75B06" w:rsidRDefault="00F75B06" w:rsidP="00F75B06">
            <w:pPr>
              <w:rPr>
                <w:rFonts w:ascii="Times New Roman" w:hAnsi="Times New Roman" w:cs="Times New Roman"/>
                <w:color w:val="000000" w:themeColor="text1"/>
              </w:rPr>
            </w:pPr>
            <w:r>
              <w:rPr>
                <w:rFonts w:ascii="Times New Roman" w:hAnsi="Times New Roman" w:cs="Times New Roman"/>
                <w:color w:val="000000" w:themeColor="text1"/>
              </w:rPr>
              <w:t>16.7</w:t>
            </w:r>
          </w:p>
        </w:tc>
      </w:tr>
    </w:tbl>
    <w:p w:rsidR="00DA71F0" w:rsidRDefault="00DA71F0" w:rsidP="00661F44">
      <w:pPr>
        <w:pStyle w:val="Section"/>
      </w:pPr>
    </w:p>
    <w:p w:rsidR="00F75B06" w:rsidRDefault="00D26489" w:rsidP="00D26489">
      <w:pPr>
        <w:pStyle w:val="body"/>
        <w:rPr>
          <w:b/>
        </w:rPr>
      </w:pPr>
      <w:r w:rsidRPr="00D26489">
        <w:rPr>
          <w:b/>
        </w:rPr>
        <w:t>Models</w:t>
      </w:r>
    </w:p>
    <w:p w:rsidR="00294B16" w:rsidRDefault="006541E6" w:rsidP="00294B16">
      <w:pPr>
        <w:pStyle w:val="body"/>
        <w:spacing w:line="480" w:lineRule="auto"/>
        <w:ind w:left="0" w:firstLine="0"/>
      </w:pPr>
      <w:r>
        <w:t>To test my hypothesis, I first run a</w:t>
      </w:r>
      <w:r w:rsidR="009B34B0">
        <w:t xml:space="preserve">n </w:t>
      </w:r>
      <w:r>
        <w:t>ordinary least squares regression.</w:t>
      </w:r>
      <w:r w:rsidR="009B34B0">
        <w:t xml:space="preserve"> In addition to this, I run the same model, but with random effects at the provincial level. A partial pooling strategy may be useful given the data for a few reasons. First, provincial level factors such as urbanization, governance, and culture may lead to unaccounted for differences across provinces. The random effects model helps to ensure that the attributes of high population provinces don’t drive coefficients</w:t>
      </w:r>
      <w:r w:rsidR="00294B16">
        <w:t xml:space="preserve">. </w:t>
      </w:r>
    </w:p>
    <w:p w:rsidR="00553211" w:rsidRDefault="00553211" w:rsidP="00294B16">
      <w:pPr>
        <w:pStyle w:val="Section"/>
      </w:pPr>
      <w:r w:rsidRPr="00C02504">
        <w:t>Results</w:t>
      </w:r>
    </w:p>
    <w:p w:rsidR="00731882" w:rsidRDefault="00731882" w:rsidP="00B86639">
      <w:pPr>
        <w:spacing w:line="480" w:lineRule="auto"/>
        <w:rPr>
          <w:rFonts w:ascii="Times New Roman" w:hAnsi="Times New Roman" w:cs="Times New Roman"/>
          <w:color w:val="FF0000"/>
        </w:rPr>
      </w:pPr>
    </w:p>
    <w:p w:rsidR="00294B16" w:rsidRDefault="00294B16" w:rsidP="00B86639">
      <w:pPr>
        <w:spacing w:line="480" w:lineRule="auto"/>
        <w:rPr>
          <w:rFonts w:ascii="Times New Roman" w:hAnsi="Times New Roman" w:cs="Times New Roman"/>
          <w:color w:val="000000" w:themeColor="text1"/>
        </w:rPr>
      </w:pPr>
      <w:r w:rsidRPr="00294B16">
        <w:rPr>
          <w:rFonts w:ascii="Times New Roman" w:hAnsi="Times New Roman" w:cs="Times New Roman"/>
          <w:color w:val="000000" w:themeColor="text1"/>
        </w:rPr>
        <w:t xml:space="preserve">Table 2 demonstrates model results for, first, the ordinary least squares model, and second, the random effects model. </w:t>
      </w:r>
      <w:r w:rsidR="001A1020">
        <w:rPr>
          <w:rFonts w:ascii="Times New Roman" w:hAnsi="Times New Roman" w:cs="Times New Roman"/>
          <w:color w:val="000000" w:themeColor="text1"/>
        </w:rPr>
        <w:t xml:space="preserve">Across both models, the interacted independent variable is significant, which supports the idea that after the creation of INAM, women’s services NGOs are positively associated with calls to report GBV. For every one women’s services NGO per 100,000 residents in a given area, there are approximately 1.5 more calls to report GBV. The rate of NGOs alone is significant in the first model, with a coefficient estimating that prior to INAM, one NGO per </w:t>
      </w:r>
      <w:r w:rsidR="001A1020">
        <w:rPr>
          <w:rFonts w:ascii="Times New Roman" w:hAnsi="Times New Roman" w:cs="Times New Roman"/>
          <w:color w:val="000000" w:themeColor="text1"/>
        </w:rPr>
        <w:lastRenderedPageBreak/>
        <w:t xml:space="preserve">100,000 residents is associated with approximately 1.6 monthly calls to report GBV. Given the first model, these results estimate that the creation of INAM essentially doubled the rate of calls to report gender based violence. Across both models, the role of INAM alone is insignificant, suggesting that the federal agency alone did not impact reporting. </w:t>
      </w:r>
    </w:p>
    <w:p w:rsidR="001A1020" w:rsidRDefault="001A1020" w:rsidP="00B8663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In comparing the two models, there are large differences in both coefficient size and significance. Most importantly, women’s services NGOs lose significance in the random effects model. In addition, other centers for assistance lose significance in the second model as well. Across both models, population and the economic measure retain s</w:t>
      </w:r>
      <w:r w:rsidR="00E371C7">
        <w:rPr>
          <w:rFonts w:ascii="Times New Roman" w:hAnsi="Times New Roman" w:cs="Times New Roman"/>
          <w:color w:val="000000" w:themeColor="text1"/>
        </w:rPr>
        <w:t>ignificance. Importantly, the interacted measure is significant and holds similar value across models, which demonstrates that it is robust to multiple specifications.</w:t>
      </w:r>
    </w:p>
    <w:p w:rsidR="00731882" w:rsidRPr="00E371C7" w:rsidRDefault="001A1020" w:rsidP="00B8663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p>
    <w:p w:rsidR="00796A21" w:rsidRPr="00294B16" w:rsidRDefault="006A4648" w:rsidP="00294B16">
      <w:pPr>
        <w:spacing w:line="480" w:lineRule="auto"/>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s">
            <w:drawing>
              <wp:anchor distT="0" distB="0" distL="114300" distR="114300" simplePos="0" relativeHeight="251659264" behindDoc="0" locked="0" layoutInCell="1" allowOverlap="1">
                <wp:simplePos x="0" y="0"/>
                <wp:positionH relativeFrom="column">
                  <wp:posOffset>35853</wp:posOffset>
                </wp:positionH>
                <wp:positionV relativeFrom="paragraph">
                  <wp:posOffset>-324485</wp:posOffset>
                </wp:positionV>
                <wp:extent cx="1802423" cy="325315"/>
                <wp:effectExtent l="0" t="0" r="1270" b="5080"/>
                <wp:wrapNone/>
                <wp:docPr id="6" name="Text Box 6"/>
                <wp:cNvGraphicFramePr/>
                <a:graphic xmlns:a="http://schemas.openxmlformats.org/drawingml/2006/main">
                  <a:graphicData uri="http://schemas.microsoft.com/office/word/2010/wordprocessingShape">
                    <wps:wsp>
                      <wps:cNvSpPr txBox="1"/>
                      <wps:spPr>
                        <a:xfrm>
                          <a:off x="0" y="0"/>
                          <a:ext cx="1802423" cy="325315"/>
                        </a:xfrm>
                        <a:prstGeom prst="rect">
                          <a:avLst/>
                        </a:prstGeom>
                        <a:solidFill>
                          <a:schemeClr val="lt1"/>
                        </a:solidFill>
                        <a:ln w="6350">
                          <a:noFill/>
                        </a:ln>
                      </wps:spPr>
                      <wps:txbx>
                        <w:txbxContent>
                          <w:p w:rsidR="002F036F" w:rsidRDefault="002F036F">
                            <w:r w:rsidRPr="00731882">
                              <w:rPr>
                                <w:rFonts w:ascii="Times New Roman" w:hAnsi="Times New Roman" w:cs="Times New Roman"/>
                                <w:color w:val="000000" w:themeColor="text1"/>
                              </w:rPr>
                              <w:t>Table 2: Model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pt;margin-top:-25.55pt;width:141.9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" fillcolor="white [3201]" stroked="f" strokeweight=".5pt">
                <v:textbox>
                  <w:txbxContent>
                    <w:p w:rsidR="002F036F" w:rsidRDefault="002F036F">
                      <w:r w:rsidRPr="00731882">
                        <w:rPr>
                          <w:rFonts w:ascii="Times New Roman" w:hAnsi="Times New Roman" w:cs="Times New Roman"/>
                          <w:color w:val="000000" w:themeColor="text1"/>
                        </w:rPr>
                        <w:t>Table 2: Model Results</w:t>
                      </w:r>
                    </w:p>
                  </w:txbxContent>
                </v:textbox>
              </v:shape>
            </w:pict>
          </mc:Fallback>
        </mc:AlternateContent>
      </w:r>
      <w:r>
        <w:rPr>
          <w:noProof/>
        </w:rPr>
        <w:t xml:space="preserve"> </w:t>
      </w:r>
      <w:r w:rsidR="00796A21">
        <w:rPr>
          <w:noProof/>
        </w:rPr>
        <w:drawing>
          <wp:inline distT="0" distB="0" distL="0" distR="0">
            <wp:extent cx="4922082" cy="708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UAL FINAL TABLES.pdf"/>
                    <pic:cNvPicPr/>
                  </pic:nvPicPr>
                  <pic:blipFill rotWithShape="1">
                    <a:blip r:embed="rId9">
                      <a:extLst>
                        <a:ext uri="{28A0092B-C50C-407E-A947-70E740481C1C}">
                          <a14:useLocalDpi xmlns:a14="http://schemas.microsoft.com/office/drawing/2010/main" val="0"/>
                        </a:ext>
                      </a:extLst>
                    </a:blip>
                    <a:srcRect l="8371" t="7169" r="16516" b="9266"/>
                    <a:stretch/>
                  </pic:blipFill>
                  <pic:spPr bwMode="auto">
                    <a:xfrm>
                      <a:off x="0" y="0"/>
                      <a:ext cx="4969997" cy="7155586"/>
                    </a:xfrm>
                    <a:prstGeom prst="rect">
                      <a:avLst/>
                    </a:prstGeom>
                    <a:ln>
                      <a:noFill/>
                    </a:ln>
                    <a:extLst>
                      <a:ext uri="{53640926-AAD7-44D8-BBD7-CCE9431645EC}">
                        <a14:shadowObscured xmlns:a14="http://schemas.microsoft.com/office/drawing/2010/main"/>
                      </a:ext>
                    </a:extLst>
                  </pic:spPr>
                </pic:pic>
              </a:graphicData>
            </a:graphic>
          </wp:inline>
        </w:drawing>
      </w:r>
    </w:p>
    <w:p w:rsidR="000568CF" w:rsidRDefault="00E371C7" w:rsidP="00E371C7">
      <w:pPr>
        <w:spacing w:line="480" w:lineRule="auto"/>
        <w:divId w:val="1734542839"/>
        <w:rPr>
          <w:rFonts w:ascii="Times New Roman" w:eastAsia="Times New Roman" w:hAnsi="Times New Roman" w:cs="Times New Roman"/>
          <w:color w:val="000000" w:themeColor="text1"/>
        </w:rPr>
      </w:pPr>
      <w:r>
        <w:rPr>
          <w:rFonts w:ascii="Times New Roman" w:eastAsia="Times New Roman" w:hAnsi="Times New Roman" w:cs="Times New Roman"/>
          <w:noProof/>
          <w:color w:val="FF0000"/>
        </w:rPr>
        <w:lastRenderedPageBreak/>
        <mc:AlternateContent>
          <mc:Choice Requires="wps">
            <w:drawing>
              <wp:anchor distT="0" distB="0" distL="114300" distR="114300" simplePos="0" relativeHeight="251660288" behindDoc="0" locked="0" layoutInCell="1" allowOverlap="1">
                <wp:simplePos x="0" y="0"/>
                <wp:positionH relativeFrom="column">
                  <wp:posOffset>-49</wp:posOffset>
                </wp:positionH>
                <wp:positionV relativeFrom="paragraph">
                  <wp:posOffset>-457200</wp:posOffset>
                </wp:positionV>
                <wp:extent cx="5020408"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020408" cy="457200"/>
                        </a:xfrm>
                        <a:prstGeom prst="rect">
                          <a:avLst/>
                        </a:prstGeom>
                        <a:solidFill>
                          <a:schemeClr val="lt1"/>
                        </a:solidFill>
                        <a:ln w="6350">
                          <a:noFill/>
                        </a:ln>
                      </wps:spPr>
                      <wps:txbx>
                        <w:txbxContent>
                          <w:p w:rsidR="002F036F" w:rsidRPr="00E371C7" w:rsidRDefault="002F036F">
                            <w:pPr>
                              <w:rPr>
                                <w:rFonts w:ascii="Times New Roman" w:hAnsi="Times New Roman" w:cs="Times New Roman"/>
                              </w:rPr>
                            </w:pPr>
                            <w:r w:rsidRPr="00E371C7">
                              <w:rPr>
                                <w:rFonts w:ascii="Times New Roman" w:hAnsi="Times New Roman" w:cs="Times New Roman"/>
                              </w:rPr>
                              <w:t>Figure 2: Average Marginal Effects of NGOs on reports, before and after INAM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0;margin-top:-36pt;width:39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" fillcolor="white [3201]" stroked="f" strokeweight=".5pt">
                <v:textbox>
                  <w:txbxContent>
                    <w:p w:rsidR="002F036F" w:rsidRPr="00E371C7" w:rsidRDefault="002F036F">
                      <w:pPr>
                        <w:rPr>
                          <w:rFonts w:ascii="Times New Roman" w:hAnsi="Times New Roman" w:cs="Times New Roman"/>
                        </w:rPr>
                      </w:pPr>
                      <w:r w:rsidRPr="00E371C7">
                        <w:rPr>
                          <w:rFonts w:ascii="Times New Roman" w:hAnsi="Times New Roman" w:cs="Times New Roman"/>
                        </w:rPr>
                        <w:t>Figure 2: Average Marginal Effects of NGOs on reports, before and after INAM</w:t>
                      </w:r>
                    </w:p>
                  </w:txbxContent>
                </v:textbox>
              </v:shape>
            </w:pict>
          </mc:Fallback>
        </mc:AlternateContent>
      </w:r>
      <w:r w:rsidRPr="00796A21">
        <w:rPr>
          <w:rFonts w:ascii="Times New Roman" w:eastAsia="Times New Roman" w:hAnsi="Times New Roman" w:cs="Times New Roman"/>
          <w:color w:val="FF0000"/>
        </w:rPr>
        <w:drawing>
          <wp:anchor distT="0" distB="0" distL="114300" distR="114300" simplePos="0" relativeHeight="251661312" behindDoc="0" locked="0" layoutInCell="1" allowOverlap="1" wp14:anchorId="259508C6">
            <wp:simplePos x="0" y="0"/>
            <wp:positionH relativeFrom="margin">
              <wp:align>left</wp:align>
            </wp:positionH>
            <wp:positionV relativeFrom="margin">
              <wp:align>top</wp:align>
            </wp:positionV>
            <wp:extent cx="3569335" cy="3503930"/>
            <wp:effectExtent l="0" t="0" r="0" b="1270"/>
            <wp:wrapSquare wrapText="bothSides"/>
            <wp:docPr id="5" name="Picture 4">
              <a:extLst xmlns:a="http://schemas.openxmlformats.org/drawingml/2006/main">
                <a:ext uri="{FF2B5EF4-FFF2-40B4-BE49-F238E27FC236}">
                  <a16:creationId xmlns:a16="http://schemas.microsoft.com/office/drawing/2014/main" id="{DB088714-BC2B-3B43-9E15-645B8A28B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B088714-BC2B-3B43-9E15-645B8A28BAD6}"/>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915" t="3872" r="-834"/>
                    <a:stretch/>
                  </pic:blipFill>
                  <pic:spPr>
                    <a:xfrm>
                      <a:off x="0" y="0"/>
                      <a:ext cx="3569335" cy="3503930"/>
                    </a:xfrm>
                    <a:prstGeom prst="rect">
                      <a:avLst/>
                    </a:prstGeom>
                  </pic:spPr>
                </pic:pic>
              </a:graphicData>
            </a:graphic>
          </wp:anchor>
        </w:drawing>
      </w:r>
      <w:r>
        <w:rPr>
          <w:rFonts w:ascii="Times New Roman" w:eastAsia="Times New Roman" w:hAnsi="Times New Roman" w:cs="Times New Roman"/>
          <w:color w:val="000000" w:themeColor="text1"/>
        </w:rPr>
        <w:t xml:space="preserve">To demonstrate the effect of NGOs more clearly, the average marginal effects plot for the relationship between NGOs and calls before and after INAM shows the average effect of additional women’s services NGOs on calls to report GBV. On the left hand side, the coefficient bar demonstrates that prior to INAM, on average, the existence of one additional women’s service NGO per 100,000 people was associated with .6 calls to report GBV. Crossing the zero threshold, this value is not significant. However, on the right hand side, the value presented shows that post INAM, the addition of one women’s services NGO is associated with 2.1 calls to report GBV. </w:t>
      </w:r>
    </w:p>
    <w:p w:rsidR="001F06EE" w:rsidRPr="00E371C7" w:rsidRDefault="001F06EE" w:rsidP="00E371C7">
      <w:pPr>
        <w:spacing w:line="480" w:lineRule="auto"/>
        <w:divId w:val="173454283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These findings strongly support the association between NGOs and GBV reporting in the post-INAM era; however, only the first model confirms the association between women’s services NGOs and reports prior to INAM. Because the second model provides a coefficient that moves in the expected direction, I remain optimistic about my hypothesis. Given these results, I walk away from my analysis with partial support for my hypothesis. </w:t>
      </w:r>
    </w:p>
    <w:p w:rsidR="00796A21" w:rsidRPr="00DA71F0" w:rsidRDefault="00796A21">
      <w:pPr>
        <w:divId w:val="1734542839"/>
        <w:rPr>
          <w:rFonts w:ascii="Times New Roman" w:eastAsia="Times New Roman" w:hAnsi="Times New Roman" w:cs="Times New Roman"/>
          <w:color w:val="FF0000"/>
        </w:rPr>
      </w:pPr>
    </w:p>
    <w:p w:rsidR="00E23E6D" w:rsidRDefault="00553211" w:rsidP="00E23E6D">
      <w:pPr>
        <w:pStyle w:val="Section"/>
      </w:pPr>
      <w:r w:rsidRPr="00E23E6D">
        <w:t>Discussion</w:t>
      </w:r>
      <w:r w:rsidR="000D6A9F">
        <w:t>, limitations, and directions for future research</w:t>
      </w:r>
    </w:p>
    <w:p w:rsidR="002F036F" w:rsidRDefault="00DC3A73" w:rsidP="002F036F">
      <w:pPr>
        <w:pStyle w:val="body"/>
        <w:spacing w:line="480" w:lineRule="auto"/>
        <w:ind w:left="0" w:firstLine="0"/>
      </w:pPr>
      <w:r>
        <w:t xml:space="preserve">Based on the model results, there’s evidence </w:t>
      </w:r>
      <w:r w:rsidR="00E06CB2">
        <w:t>that the presence</w:t>
      </w:r>
      <w:r>
        <w:t xml:space="preserve"> NGOs </w:t>
      </w:r>
      <w:r w:rsidR="00E06CB2">
        <w:t>leads to an increase in calls to</w:t>
      </w:r>
      <w:r>
        <w:t xml:space="preserve"> report domestic violence. If the theory is correct, improving access to help services and </w:t>
      </w:r>
      <w:r>
        <w:lastRenderedPageBreak/>
        <w:t xml:space="preserve">awareness about gender-based violence results in more calls to report it. This finding </w:t>
      </w:r>
      <w:r w:rsidR="00703E7F">
        <w:t>carries important implications</w:t>
      </w:r>
      <w:r>
        <w:t xml:space="preserve">. </w:t>
      </w:r>
      <w:r w:rsidR="00703E7F">
        <w:t>Firs</w:t>
      </w:r>
      <w:r>
        <w:t>t</w:t>
      </w:r>
      <w:r w:rsidR="00703E7F">
        <w:t>, it</w:t>
      </w:r>
      <w:r>
        <w:t xml:space="preserve"> is crucial that women in situations of violence have the necessary resources to safely exit an abusive relationship or condition.</w:t>
      </w:r>
      <w:r w:rsidR="00703E7F">
        <w:t xml:space="preserve"> It is clear that work by </w:t>
      </w:r>
      <w:r w:rsidR="002B61A7">
        <w:t xml:space="preserve">women’s services </w:t>
      </w:r>
      <w:r w:rsidR="00703E7F">
        <w:t>NGOs helps to educate women in vulnerable situations about what constitutes GBV and how to proceed. Put simply, knowledge is power.</w:t>
      </w:r>
      <w:r>
        <w:t xml:space="preserve"> </w:t>
      </w:r>
      <w:r w:rsidR="00703E7F">
        <w:t xml:space="preserve">Second, this finding highlights the need of comparative scholars to factor heterogeneity across populations when considering democratic quality. Certain groups in society may be more likely to experience infringements on their physical and political rights regardless of de jure guarantees. Scholars </w:t>
      </w:r>
      <w:r w:rsidR="00270CFD">
        <w:t xml:space="preserve">implicitly refer to the average citizen in discussions of rights and regime quality; however, by recognizing disparities across gender, class, and race, important differences can be recognized and accounted for.  </w:t>
      </w:r>
      <w:r w:rsidR="00B86639">
        <w:br/>
      </w:r>
      <w:r w:rsidR="00B86639">
        <w:tab/>
        <w:t xml:space="preserve">Despite encouraging results, this research is subject to several limitations worth mentioning. To start, more evidence is warranted to corroborate the theoretical argument of this paper. Future qualitative work on women-oriented NGOs in Argentina may help </w:t>
      </w:r>
      <w:r w:rsidR="005D6923">
        <w:t>elucidate</w:t>
      </w:r>
      <w:r w:rsidR="00B86639">
        <w:t xml:space="preserve"> the </w:t>
      </w:r>
      <w:r w:rsidR="005D6923">
        <w:t>mechanisms by which women come to officially report GBV</w:t>
      </w:r>
      <w:r w:rsidR="00B86639">
        <w:t xml:space="preserve">. </w:t>
      </w:r>
      <w:r w:rsidR="002B61A7">
        <w:t>The rate of NGOs in each province</w:t>
      </w:r>
      <w:r w:rsidR="002F036F">
        <w:t xml:space="preserve"> is a relatively blunt instrument that fails to capture NGO effectiveness or ascertain the level of either of the mechanisms proposed in my theory. By assessing these NGOs qualitatively, future iterations of this project will use more nuanced measures of NGO effectiveness in an area. The results in this study confirm my hypothesis in only a correlational capacity. Future research on this topic will aim to establish more direct support for each of the mechanisms that I propose. </w:t>
      </w:r>
    </w:p>
    <w:p w:rsidR="002F036F" w:rsidRDefault="002F036F" w:rsidP="002F036F">
      <w:pPr>
        <w:pStyle w:val="body"/>
        <w:spacing w:line="480" w:lineRule="auto"/>
        <w:ind w:left="0" w:firstLine="0"/>
      </w:pPr>
      <w:r>
        <w:tab/>
        <w:t xml:space="preserve">To add to this, like most research, my study is not immune to the threat of endogeneity. It is plausible that the presence of women’s oriented NGOs in an area is an effect of high levels of gender-based violence. Thus far, I have employed two strategies to assess and mitigate this issue. First, I have collected data on the founding dates of 131 of the 159 women’s NGOs in my data. </w:t>
      </w:r>
      <w:r>
        <w:lastRenderedPageBreak/>
        <w:t xml:space="preserve">Of the dates I have collected, only five NGOs have been established during the time period under study. This ratio provides support that endogeneity, at least in the data used here, is not an insurmountable threat. Additionally, in future iterations of this work, I plan to implement </w:t>
      </w:r>
      <w:r w:rsidR="00AE7C73">
        <w:t xml:space="preserve">an instrumental variable to exogenously estimate NGOs in a given area. In the case of Argentina, past levels of state-led violence are strong predictors of the presence of current NGOs. Ideally, an instrumental variable model can isolate the causal relationship that I seek to find.  </w:t>
      </w:r>
    </w:p>
    <w:p w:rsidR="000D6A9F" w:rsidRPr="00703E7F" w:rsidRDefault="00B86639" w:rsidP="002F036F">
      <w:pPr>
        <w:pStyle w:val="body"/>
        <w:spacing w:line="480" w:lineRule="auto"/>
        <w:ind w:left="0" w:firstLine="720"/>
      </w:pPr>
      <w:r>
        <w:t xml:space="preserve">In addition, due to limited data on GBV, the timespan of this research is relatively limited. Extending the timespan under study may help put the link between NGOs and calls to a more robust and time-specific test. This can help in testing for a potential nonlinear relationship, demonstrating diminishing effects, between NGOs and calls to report. </w:t>
      </w:r>
      <w:r w:rsidR="00F245F8">
        <w:t xml:space="preserve">Further, it is important to consider this relationship outside Argentina and across the region. Implementing a cross-country analysis of this phenomenon </w:t>
      </w:r>
      <w:r w:rsidR="005D6923">
        <w:t>can further</w:t>
      </w:r>
      <w:r w:rsidR="00F245F8">
        <w:t xml:space="preserve"> strengthen this finding. Finally, the concept of awareness is an area deserving closer scrutiny. More work should be done to address how awareness works; in absence of an understanding of the heterogeneous effects that different sources may have on awareness about GBV, little can be drawn from the concept</w:t>
      </w:r>
      <w:r w:rsidR="00F245F8" w:rsidRPr="005D6923">
        <w:rPr>
          <w:color w:val="000000" w:themeColor="text1"/>
        </w:rPr>
        <w:t xml:space="preserve">. </w:t>
      </w:r>
      <w:r w:rsidR="005D6923" w:rsidRPr="005D6923">
        <w:rPr>
          <w:color w:val="000000" w:themeColor="text1"/>
        </w:rPr>
        <w:t>Ideally, future research will better illuminate these concepts.</w:t>
      </w:r>
    </w:p>
    <w:p w:rsidR="00553211" w:rsidRDefault="00553211" w:rsidP="00270CFD">
      <w:pPr>
        <w:pStyle w:val="Section"/>
      </w:pPr>
      <w:r w:rsidRPr="00E23E6D">
        <w:t>Conclusion</w:t>
      </w:r>
    </w:p>
    <w:p w:rsidR="00B56F38" w:rsidRDefault="00703E7F" w:rsidP="00B56F38">
      <w:pPr>
        <w:pStyle w:val="body"/>
        <w:spacing w:line="480" w:lineRule="auto"/>
        <w:ind w:left="0" w:firstLine="0"/>
      </w:pPr>
      <w:r>
        <w:t>Sitting at the intersection of govern</w:t>
      </w:r>
      <w:r w:rsidR="00B56F38">
        <w:t xml:space="preserve">ance, </w:t>
      </w:r>
      <w:r>
        <w:t xml:space="preserve">public health, and human rights, the aim of this research is to help forge a deeper understanding of women’s physical autonomy and security in democratic regimes. </w:t>
      </w:r>
      <w:r w:rsidR="00270CFD">
        <w:t xml:space="preserve">In asking what affects reporting levels of gender-based violence, I find support for </w:t>
      </w:r>
      <w:r w:rsidR="00B56F38">
        <w:t xml:space="preserve">the hypothesis that a higher rate of NGOs leads to an increase in official reports of gender-based violence. These findings support the theory that through the provision of services </w:t>
      </w:r>
      <w:r w:rsidR="00B56F38">
        <w:lastRenderedPageBreak/>
        <w:t xml:space="preserve">to women in situations of violence and information about gender-based violence, NGOs help to increase the number of women who seek help when facing these situations.  </w:t>
      </w:r>
      <w:r w:rsidR="00B56F38">
        <w:br/>
        <w:t xml:space="preserve">             This result holds important implications for policymakers and scholars alike. First, education about what constitutes gender based violence and services for women in situations of violence leads to more reporting of GBV. In order to improve the physical security of women</w:t>
      </w:r>
      <w:r w:rsidR="00675C06">
        <w:t>, governments should consider implementing policies that increase awareness and access. In addition, it is important for political science scholars to consider the heterogeneous nature of respect for physical and political rights in democratic regimes.</w:t>
      </w:r>
    </w:p>
    <w:p w:rsidR="00675C06" w:rsidRDefault="00675C06" w:rsidP="00B56F38">
      <w:pPr>
        <w:pStyle w:val="body"/>
        <w:spacing w:line="480" w:lineRule="auto"/>
        <w:ind w:left="0" w:firstLine="0"/>
      </w:pPr>
    </w:p>
    <w:p w:rsidR="00791950" w:rsidRDefault="00791950" w:rsidP="00791950">
      <w:pPr>
        <w:pStyle w:val="Section"/>
      </w:pPr>
      <w:r>
        <w:t>References</w:t>
      </w:r>
    </w:p>
    <w:p w:rsidR="00791950" w:rsidRDefault="00791950" w:rsidP="00DC3A73">
      <w:pPr>
        <w:pStyle w:val="body"/>
      </w:pPr>
      <w:proofErr w:type="spellStart"/>
      <w:r>
        <w:t>Amenta</w:t>
      </w:r>
      <w:proofErr w:type="spellEnd"/>
      <w:r>
        <w:t xml:space="preserve">, E., Caren, N., </w:t>
      </w:r>
      <w:proofErr w:type="spellStart"/>
      <w:r>
        <w:t>Chiarello</w:t>
      </w:r>
      <w:proofErr w:type="spellEnd"/>
      <w:r>
        <w:t xml:space="preserve">, E., &amp; Su, Y. (2010). The Political Consequences of Social Movements. </w:t>
      </w:r>
      <w:r>
        <w:rPr>
          <w:i/>
          <w:iCs/>
        </w:rPr>
        <w:t>Annual Review of Sociology</w:t>
      </w:r>
      <w:r>
        <w:t xml:space="preserve">, </w:t>
      </w:r>
      <w:r>
        <w:rPr>
          <w:i/>
          <w:iCs/>
        </w:rPr>
        <w:t>36</w:t>
      </w:r>
      <w:r>
        <w:t xml:space="preserve">(1), 287–307. </w:t>
      </w:r>
    </w:p>
    <w:p w:rsidR="00791950" w:rsidRDefault="00791950" w:rsidP="00791950">
      <w:pPr>
        <w:pStyle w:val="NormalWeb"/>
        <w:ind w:left="480" w:hanging="480"/>
      </w:pPr>
      <w:r>
        <w:t xml:space="preserve">Arthur, P. (2009). How “Transitions” Reshaped Human Rights: A Conceptual History of Transitional Justice. </w:t>
      </w:r>
      <w:r>
        <w:rPr>
          <w:i/>
          <w:iCs/>
        </w:rPr>
        <w:t>Human Rights Quarterly</w:t>
      </w:r>
      <w:r>
        <w:t xml:space="preserve">, </w:t>
      </w:r>
      <w:r>
        <w:rPr>
          <w:i/>
          <w:iCs/>
        </w:rPr>
        <w:t>31</w:t>
      </w:r>
      <w:r>
        <w:t xml:space="preserve">(2), 321–367. </w:t>
      </w:r>
    </w:p>
    <w:p w:rsidR="00791950" w:rsidRDefault="00791950" w:rsidP="00791950">
      <w:pPr>
        <w:pStyle w:val="NormalWeb"/>
        <w:ind w:left="480" w:hanging="480"/>
      </w:pPr>
      <w:r>
        <w:t xml:space="preserve">Banaszak, L. A., &amp; Weldon, S. L. (2011). Informal institutions, protest, and change in gendered federal systems. </w:t>
      </w:r>
      <w:r>
        <w:rPr>
          <w:i/>
          <w:iCs/>
        </w:rPr>
        <w:t>Politics and Gender</w:t>
      </w:r>
      <w:r>
        <w:t xml:space="preserve">, </w:t>
      </w:r>
      <w:r>
        <w:rPr>
          <w:i/>
          <w:iCs/>
        </w:rPr>
        <w:t>7</w:t>
      </w:r>
      <w:r>
        <w:t xml:space="preserve">(2), 262–273. </w:t>
      </w:r>
    </w:p>
    <w:p w:rsidR="00791950" w:rsidRDefault="00791950" w:rsidP="00791950">
      <w:pPr>
        <w:pStyle w:val="NormalWeb"/>
        <w:ind w:left="480" w:hanging="480"/>
      </w:pPr>
      <w:proofErr w:type="spellStart"/>
      <w:r>
        <w:t>Behl</w:t>
      </w:r>
      <w:proofErr w:type="spellEnd"/>
      <w:r>
        <w:t xml:space="preserve">, N. (2017). Gendered discipline, gendered space: an ethnographic approach to gendered violence in India. </w:t>
      </w:r>
      <w:r>
        <w:rPr>
          <w:i/>
          <w:iCs/>
        </w:rPr>
        <w:t>Space and Polity</w:t>
      </w:r>
      <w:r>
        <w:t xml:space="preserve">, </w:t>
      </w:r>
      <w:r>
        <w:rPr>
          <w:i/>
          <w:iCs/>
        </w:rPr>
        <w:t>21</w:t>
      </w:r>
      <w:r>
        <w:t xml:space="preserve">(1), 43–58. </w:t>
      </w:r>
    </w:p>
    <w:p w:rsidR="002C13E4" w:rsidRDefault="002C13E4" w:rsidP="002C13E4">
      <w:pPr>
        <w:pStyle w:val="NormalWeb"/>
        <w:ind w:left="480" w:hanging="480"/>
      </w:pPr>
      <w:r>
        <w:t xml:space="preserve">Bennett, S., </w:t>
      </w:r>
      <w:proofErr w:type="spellStart"/>
      <w:r>
        <w:t>Banyard</w:t>
      </w:r>
      <w:proofErr w:type="spellEnd"/>
      <w:r>
        <w:t xml:space="preserve">, V. L., &amp; Edwards, K. M. (2017). The Impact of the Bystander’s Relationship with the Victim and the Perpetrator on Intent to Help in Situations Involving Sexual Violence. </w:t>
      </w:r>
      <w:r>
        <w:rPr>
          <w:i/>
          <w:iCs/>
        </w:rPr>
        <w:t>Journal of Interpersonal Violence</w:t>
      </w:r>
      <w:r>
        <w:t xml:space="preserve">, </w:t>
      </w:r>
      <w:r>
        <w:rPr>
          <w:i/>
          <w:iCs/>
        </w:rPr>
        <w:t>32</w:t>
      </w:r>
      <w:r>
        <w:t xml:space="preserve">(5), 682–702. </w:t>
      </w:r>
    </w:p>
    <w:p w:rsidR="00791950" w:rsidRDefault="00791950" w:rsidP="00791950">
      <w:pPr>
        <w:pStyle w:val="NormalWeb"/>
        <w:ind w:left="480" w:hanging="480"/>
      </w:pPr>
      <w:proofErr w:type="spellStart"/>
      <w:r>
        <w:t>Boräng</w:t>
      </w:r>
      <w:proofErr w:type="spellEnd"/>
      <w:r>
        <w:t xml:space="preserve">, F., Cornell, A., Grimes, M., &amp; Schuster, C. (2018). Cooking the books: Bureaucratic politicization and policy knowledge. </w:t>
      </w:r>
      <w:r>
        <w:rPr>
          <w:i/>
          <w:iCs/>
        </w:rPr>
        <w:t>Governance</w:t>
      </w:r>
      <w:r>
        <w:t xml:space="preserve">, </w:t>
      </w:r>
      <w:r>
        <w:rPr>
          <w:i/>
          <w:iCs/>
        </w:rPr>
        <w:t>31</w:t>
      </w:r>
      <w:r>
        <w:t xml:space="preserve">(1), 7–26. </w:t>
      </w:r>
    </w:p>
    <w:p w:rsidR="00791950" w:rsidRDefault="00791950" w:rsidP="00791950">
      <w:pPr>
        <w:pStyle w:val="NormalWeb"/>
        <w:ind w:left="480" w:hanging="480"/>
      </w:pPr>
      <w:r>
        <w:t xml:space="preserve">Burstein, P. (1999). Social Movements and Public Policy. In C. </w:t>
      </w:r>
      <w:proofErr w:type="spellStart"/>
      <w:r>
        <w:t>Giugni</w:t>
      </w:r>
      <w:proofErr w:type="spellEnd"/>
      <w:r>
        <w:t xml:space="preserve">, Marco; McAdam, Doug; Tilly (Ed.), </w:t>
      </w:r>
      <w:r>
        <w:rPr>
          <w:i/>
          <w:iCs/>
        </w:rPr>
        <w:t>How Social Movements Matter</w:t>
      </w:r>
      <w:r>
        <w:t xml:space="preserve"> (pp. 3–22). Minneapolis: University of Minnesota Press.</w:t>
      </w:r>
    </w:p>
    <w:p w:rsidR="00791950" w:rsidRDefault="00791950" w:rsidP="00791950">
      <w:pPr>
        <w:pStyle w:val="NormalWeb"/>
        <w:ind w:left="480" w:hanging="480"/>
      </w:pPr>
      <w:r>
        <w:lastRenderedPageBreak/>
        <w:t xml:space="preserve">Caetano, R., Field, C., </w:t>
      </w:r>
      <w:proofErr w:type="spellStart"/>
      <w:r>
        <w:t>Ramisetty-Mikler</w:t>
      </w:r>
      <w:proofErr w:type="spellEnd"/>
      <w:r>
        <w:t xml:space="preserve">, S., &amp; Lipsky, S. (2009). Agreement on Reporting of Physical, Psychological, and Sexual Violence Among White, Black, and Hispanic Couples in the United States. </w:t>
      </w:r>
      <w:r>
        <w:rPr>
          <w:i/>
          <w:iCs/>
        </w:rPr>
        <w:t>Journal of Interpersonal Violence</w:t>
      </w:r>
      <w:r>
        <w:t xml:space="preserve">, </w:t>
      </w:r>
      <w:r>
        <w:rPr>
          <w:i/>
          <w:iCs/>
        </w:rPr>
        <w:t>24</w:t>
      </w:r>
      <w:r>
        <w:t>(8), 1318–1337.</w:t>
      </w:r>
    </w:p>
    <w:p w:rsidR="00791950" w:rsidRDefault="00791950" w:rsidP="00791950">
      <w:pPr>
        <w:pStyle w:val="NormalWeb"/>
        <w:ind w:left="480" w:hanging="480"/>
      </w:pPr>
      <w:r>
        <w:t xml:space="preserve">Cao, L., &amp; Zhao, J. S. (2005). Confidence in the police in Latin America. </w:t>
      </w:r>
      <w:r>
        <w:rPr>
          <w:i/>
          <w:iCs/>
        </w:rPr>
        <w:t>Journal of Criminal Justice</w:t>
      </w:r>
      <w:r>
        <w:t xml:space="preserve">, </w:t>
      </w:r>
      <w:r>
        <w:rPr>
          <w:i/>
          <w:iCs/>
        </w:rPr>
        <w:t>33</w:t>
      </w:r>
      <w:r>
        <w:t>(5), 403–412.</w:t>
      </w:r>
    </w:p>
    <w:p w:rsidR="00791950" w:rsidRDefault="00791950" w:rsidP="00791950">
      <w:pPr>
        <w:pStyle w:val="NormalWeb"/>
        <w:ind w:left="480" w:hanging="480"/>
      </w:pPr>
      <w:r>
        <w:t xml:space="preserve">Carbone-Lopez, K., Slocum, L. A., &amp; </w:t>
      </w:r>
      <w:proofErr w:type="spellStart"/>
      <w:r>
        <w:t>Kruttschnitt</w:t>
      </w:r>
      <w:proofErr w:type="spellEnd"/>
      <w:r>
        <w:t xml:space="preserve">, C. (2016). “Police Wouldn’t Give You No Help”: Female Offenders on Reporting Sexual Assault to Police. </w:t>
      </w:r>
      <w:r>
        <w:rPr>
          <w:i/>
          <w:iCs/>
        </w:rPr>
        <w:t>Violence Against Women</w:t>
      </w:r>
      <w:r>
        <w:t xml:space="preserve">, </w:t>
      </w:r>
      <w:r>
        <w:rPr>
          <w:i/>
          <w:iCs/>
        </w:rPr>
        <w:t>22</w:t>
      </w:r>
      <w:r>
        <w:t xml:space="preserve">(3), 366–396. </w:t>
      </w:r>
    </w:p>
    <w:p w:rsidR="00791950" w:rsidRDefault="00791950" w:rsidP="00791950">
      <w:pPr>
        <w:pStyle w:val="NormalWeb"/>
        <w:ind w:left="480" w:hanging="480"/>
      </w:pPr>
      <w:r>
        <w:t xml:space="preserve">Chandra, P. S., Satyanarayana, V. A., &amp; Carey, M. P. (2009). Women reporting intimate partner violence in India: Associations with PTSD and depressive symptoms. </w:t>
      </w:r>
      <w:r>
        <w:rPr>
          <w:i/>
          <w:iCs/>
        </w:rPr>
        <w:t>Archives of Women’s Mental Health</w:t>
      </w:r>
      <w:r>
        <w:t xml:space="preserve">, </w:t>
      </w:r>
      <w:r>
        <w:rPr>
          <w:i/>
          <w:iCs/>
        </w:rPr>
        <w:t>12</w:t>
      </w:r>
      <w:r>
        <w:t xml:space="preserve">(4), 203–209. </w:t>
      </w:r>
    </w:p>
    <w:p w:rsidR="00791950" w:rsidRDefault="00791950" w:rsidP="00791950">
      <w:pPr>
        <w:pStyle w:val="NormalWeb"/>
        <w:ind w:left="480" w:hanging="480"/>
      </w:pPr>
      <w:r>
        <w:t xml:space="preserve">Conrad, C. R., Hill, D. W., &amp; Moore, W. H. (2018). Torture and the limits of democratic institutions. </w:t>
      </w:r>
      <w:r>
        <w:rPr>
          <w:i/>
          <w:iCs/>
        </w:rPr>
        <w:t>Journal of Peace Research</w:t>
      </w:r>
      <w:r>
        <w:t xml:space="preserve">, </w:t>
      </w:r>
      <w:r>
        <w:rPr>
          <w:i/>
          <w:iCs/>
        </w:rPr>
        <w:t>55</w:t>
      </w:r>
      <w:r>
        <w:t xml:space="preserve">(1), 3–17. </w:t>
      </w:r>
    </w:p>
    <w:p w:rsidR="000274AA" w:rsidRDefault="000274AA" w:rsidP="000274AA">
      <w:pPr>
        <w:pStyle w:val="NormalWeb"/>
        <w:ind w:left="480" w:hanging="480"/>
      </w:pPr>
      <w:proofErr w:type="spellStart"/>
      <w:r>
        <w:t>Corbacho</w:t>
      </w:r>
      <w:proofErr w:type="spellEnd"/>
      <w:r>
        <w:t xml:space="preserve">, A., Philipp, J., &amp; Ruiz-Vega, M. (2015). Crime and Erosion of Trust: Evidence for Latin America. </w:t>
      </w:r>
      <w:r>
        <w:rPr>
          <w:i/>
          <w:iCs/>
        </w:rPr>
        <w:t>World Development</w:t>
      </w:r>
      <w:r>
        <w:t xml:space="preserve">, </w:t>
      </w:r>
      <w:r>
        <w:rPr>
          <w:i/>
          <w:iCs/>
        </w:rPr>
        <w:t>70</w:t>
      </w:r>
      <w:r>
        <w:t xml:space="preserve">, 400–415. </w:t>
      </w:r>
    </w:p>
    <w:p w:rsidR="000274AA" w:rsidRDefault="000274AA" w:rsidP="000274AA">
      <w:pPr>
        <w:pStyle w:val="NormalWeb"/>
        <w:ind w:left="480" w:hanging="480"/>
      </w:pPr>
      <w:proofErr w:type="spellStart"/>
      <w:r>
        <w:t>Deitz</w:t>
      </w:r>
      <w:proofErr w:type="spellEnd"/>
      <w:r>
        <w:t xml:space="preserve">, M. F., Williams, S. L., Rife, S. C., &amp; Cantrell, P. (2015). Examining Cultural, Social, and Self-Related Aspects of Stigma in Relation to Sexual Assault and Trauma Symptoms. </w:t>
      </w:r>
      <w:r>
        <w:rPr>
          <w:i/>
          <w:iCs/>
        </w:rPr>
        <w:t>Violence Against Women</w:t>
      </w:r>
      <w:r>
        <w:t xml:space="preserve">, </w:t>
      </w:r>
      <w:r>
        <w:rPr>
          <w:i/>
          <w:iCs/>
        </w:rPr>
        <w:t>21</w:t>
      </w:r>
      <w:r>
        <w:t xml:space="preserve">(5), 598–615. </w:t>
      </w:r>
    </w:p>
    <w:p w:rsidR="002C13E4" w:rsidRDefault="002C13E4" w:rsidP="002C13E4">
      <w:pPr>
        <w:pStyle w:val="NormalWeb"/>
        <w:ind w:left="480" w:hanging="480"/>
      </w:pPr>
      <w:r>
        <w:t>Dix-</w:t>
      </w:r>
      <w:proofErr w:type="spellStart"/>
      <w:r>
        <w:t>Carneiro</w:t>
      </w:r>
      <w:proofErr w:type="spellEnd"/>
      <w:r>
        <w:t xml:space="preserve">, R., Soares, R., &amp; </w:t>
      </w:r>
      <w:proofErr w:type="spellStart"/>
      <w:r>
        <w:t>Ulyssea</w:t>
      </w:r>
      <w:proofErr w:type="spellEnd"/>
      <w:r>
        <w:t xml:space="preserve">, G. (2018). Economic Shocks and Crime: Evidence from Brazilian Trade Liberalization. </w:t>
      </w:r>
      <w:r>
        <w:rPr>
          <w:i/>
          <w:iCs/>
        </w:rPr>
        <w:t>American Economic Journal</w:t>
      </w:r>
      <w:r>
        <w:t xml:space="preserve">, </w:t>
      </w:r>
      <w:r>
        <w:rPr>
          <w:i/>
          <w:iCs/>
        </w:rPr>
        <w:t>10</w:t>
      </w:r>
      <w:r>
        <w:t>(4), 158–195.</w:t>
      </w:r>
    </w:p>
    <w:p w:rsidR="00B75AFC" w:rsidRDefault="00B75AFC" w:rsidP="00B75AFC">
      <w:pPr>
        <w:pStyle w:val="NormalWeb"/>
        <w:ind w:left="480" w:hanging="480"/>
      </w:pPr>
      <w:r>
        <w:t xml:space="preserve">Earl, J. (2004). The Cultural Consequences of Social Movements. In H. Snow, David; Soule, Sara; </w:t>
      </w:r>
      <w:proofErr w:type="spellStart"/>
      <w:r>
        <w:t>Kriesi</w:t>
      </w:r>
      <w:proofErr w:type="spellEnd"/>
      <w:r>
        <w:t xml:space="preserve"> (Ed.), </w:t>
      </w:r>
      <w:r>
        <w:rPr>
          <w:i/>
          <w:iCs/>
        </w:rPr>
        <w:t>The Blackwell Companion to Social Movements</w:t>
      </w:r>
      <w:r>
        <w:t xml:space="preserve"> (pp. 508–530).</w:t>
      </w:r>
    </w:p>
    <w:p w:rsidR="00B75AFC" w:rsidRDefault="00B75AFC" w:rsidP="00B75AFC">
      <w:pPr>
        <w:pStyle w:val="NormalWeb"/>
        <w:ind w:left="480" w:hanging="480"/>
      </w:pPr>
      <w:r>
        <w:t xml:space="preserve">Earl, J., &amp; Garrett, R. K. (2017). The new information frontier: toward a more nuanced view of social movement communication. </w:t>
      </w:r>
      <w:r>
        <w:rPr>
          <w:i/>
          <w:iCs/>
        </w:rPr>
        <w:t>Social Movement Studies</w:t>
      </w:r>
      <w:r>
        <w:t xml:space="preserve">, </w:t>
      </w:r>
      <w:r>
        <w:rPr>
          <w:i/>
          <w:iCs/>
        </w:rPr>
        <w:t>16</w:t>
      </w:r>
      <w:r>
        <w:t xml:space="preserve">(4), 479–493. </w:t>
      </w:r>
    </w:p>
    <w:p w:rsidR="00B75AFC" w:rsidRDefault="00B75AFC" w:rsidP="00B75AFC">
      <w:pPr>
        <w:pStyle w:val="NormalWeb"/>
        <w:ind w:left="480" w:hanging="480"/>
      </w:pPr>
      <w:r>
        <w:t xml:space="preserve">Eck, K., &amp; </w:t>
      </w:r>
      <w:proofErr w:type="spellStart"/>
      <w:r>
        <w:t>Fariss</w:t>
      </w:r>
      <w:proofErr w:type="spellEnd"/>
      <w:r>
        <w:t xml:space="preserve">, C. J. (2018). Ill Treatment and Torture in Sweden: A Critique of Cross-Case Comparisons. </w:t>
      </w:r>
      <w:r>
        <w:rPr>
          <w:i/>
          <w:iCs/>
        </w:rPr>
        <w:t>Human Rights Quarterly</w:t>
      </w:r>
      <w:r>
        <w:t xml:space="preserve">, </w:t>
      </w:r>
      <w:r>
        <w:rPr>
          <w:i/>
          <w:iCs/>
        </w:rPr>
        <w:t>40</w:t>
      </w:r>
      <w:r>
        <w:t>, 591–604.</w:t>
      </w:r>
    </w:p>
    <w:p w:rsidR="00A7096B" w:rsidRDefault="00A7096B" w:rsidP="00A7096B">
      <w:pPr>
        <w:pStyle w:val="NormalWeb"/>
        <w:ind w:left="480" w:hanging="480"/>
      </w:pPr>
      <w:proofErr w:type="spellStart"/>
      <w:r>
        <w:t>Frías</w:t>
      </w:r>
      <w:proofErr w:type="spellEnd"/>
      <w:r>
        <w:t xml:space="preserve">, S. M., &amp; </w:t>
      </w:r>
      <w:proofErr w:type="spellStart"/>
      <w:r>
        <w:t>Agoff</w:t>
      </w:r>
      <w:proofErr w:type="spellEnd"/>
      <w:r>
        <w:t xml:space="preserve">, M. (2015). Between Support and Vulnerability: Examining Family Support Among Women Victims of Intimate Partner Violence in Mexico. </w:t>
      </w:r>
      <w:r>
        <w:rPr>
          <w:i/>
          <w:iCs/>
        </w:rPr>
        <w:t>Journal of Family Violence</w:t>
      </w:r>
      <w:r>
        <w:t xml:space="preserve">, </w:t>
      </w:r>
      <w:r>
        <w:rPr>
          <w:i/>
          <w:iCs/>
        </w:rPr>
        <w:t>30</w:t>
      </w:r>
      <w:r>
        <w:t xml:space="preserve">(3), 277–291. </w:t>
      </w:r>
    </w:p>
    <w:p w:rsidR="00B75AFC" w:rsidRDefault="00B75AFC" w:rsidP="00B75AFC">
      <w:pPr>
        <w:pStyle w:val="NormalWeb"/>
        <w:ind w:left="480" w:hanging="480"/>
      </w:pPr>
      <w:proofErr w:type="spellStart"/>
      <w:r>
        <w:t>Giugni</w:t>
      </w:r>
      <w:proofErr w:type="spellEnd"/>
      <w:r>
        <w:t xml:space="preserve">, M. (2007). Useless Protest? A Time-Series Analysis of the Policy Outcomes of Ecology, Antinuclear, and Peace Movements in the United States, 1977-1995. </w:t>
      </w:r>
      <w:r>
        <w:rPr>
          <w:i/>
          <w:iCs/>
        </w:rPr>
        <w:t>Mobilization: An International Quarterly</w:t>
      </w:r>
      <w:r>
        <w:t xml:space="preserve">, </w:t>
      </w:r>
      <w:r>
        <w:rPr>
          <w:i/>
          <w:iCs/>
        </w:rPr>
        <w:t>12</w:t>
      </w:r>
      <w:r>
        <w:t xml:space="preserve">(1), 53–77. </w:t>
      </w:r>
    </w:p>
    <w:p w:rsidR="00B75AFC" w:rsidRDefault="00B75AFC" w:rsidP="00B75AFC">
      <w:pPr>
        <w:pStyle w:val="NormalWeb"/>
        <w:ind w:left="480" w:hanging="480"/>
      </w:pPr>
      <w:proofErr w:type="spellStart"/>
      <w:r>
        <w:lastRenderedPageBreak/>
        <w:t>Gracia</w:t>
      </w:r>
      <w:proofErr w:type="spellEnd"/>
      <w:r>
        <w:t xml:space="preserve">, E., García, F., &amp; Lila, M. (2014). Male Police Officers’ Law Enforcement Preferences in Cases of Intimate Partner Violence Versus Non-Intimate Interpersonal Violence: Do Sexist Attitudes and Empathy Matter? </w:t>
      </w:r>
      <w:r>
        <w:rPr>
          <w:i/>
          <w:iCs/>
        </w:rPr>
        <w:t>Criminal Justice and Behavior</w:t>
      </w:r>
      <w:r>
        <w:t xml:space="preserve">, </w:t>
      </w:r>
      <w:r>
        <w:rPr>
          <w:i/>
          <w:iCs/>
        </w:rPr>
        <w:t>41</w:t>
      </w:r>
      <w:r>
        <w:t xml:space="preserve">(10), 1195–1213. </w:t>
      </w:r>
    </w:p>
    <w:p w:rsidR="00B75AFC" w:rsidRDefault="00B75AFC" w:rsidP="00B75AFC">
      <w:pPr>
        <w:pStyle w:val="NormalWeb"/>
        <w:ind w:left="480" w:hanging="480"/>
      </w:pPr>
      <w:r>
        <w:t xml:space="preserve">Hickman, L. J., &amp; Simpson, S. S. (2003). Fair Treatment or Preferred Outcome? The Impact of Police Behavior on Victim Reports of Domestic Violence Incidents. </w:t>
      </w:r>
      <w:r>
        <w:rPr>
          <w:i/>
          <w:iCs/>
        </w:rPr>
        <w:t>Law and Society Review</w:t>
      </w:r>
      <w:r>
        <w:t xml:space="preserve">, </w:t>
      </w:r>
      <w:r>
        <w:rPr>
          <w:i/>
          <w:iCs/>
        </w:rPr>
        <w:t>37</w:t>
      </w:r>
      <w:r>
        <w:t xml:space="preserve">(3), 607–633. </w:t>
      </w:r>
    </w:p>
    <w:p w:rsidR="00B75AFC" w:rsidRDefault="00B75AFC" w:rsidP="00B75AFC">
      <w:pPr>
        <w:pStyle w:val="NormalWeb"/>
        <w:ind w:left="480" w:hanging="480"/>
      </w:pPr>
      <w:r>
        <w:t xml:space="preserve">Kennedy, A. C., &amp; </w:t>
      </w:r>
      <w:proofErr w:type="spellStart"/>
      <w:r>
        <w:t>Prock</w:t>
      </w:r>
      <w:proofErr w:type="spellEnd"/>
      <w:r>
        <w:t xml:space="preserve">, K. A. (2018). “I Still Feel Like I Am Not Normal”: A Review of the Role of Stigma and Stigmatization Among Female Survivors of Child Sexual Abuse, Sexual Assault, and Intimate Partner Violence. </w:t>
      </w:r>
      <w:r>
        <w:rPr>
          <w:i/>
          <w:iCs/>
        </w:rPr>
        <w:t>Trauma, Violence, and Abuse</w:t>
      </w:r>
      <w:r>
        <w:t xml:space="preserve">, </w:t>
      </w:r>
      <w:r>
        <w:rPr>
          <w:i/>
          <w:iCs/>
        </w:rPr>
        <w:t>19</w:t>
      </w:r>
      <w:r>
        <w:t xml:space="preserve">(5), 512–527. </w:t>
      </w:r>
    </w:p>
    <w:p w:rsidR="00B75AFC" w:rsidRDefault="00B75AFC" w:rsidP="00B75AFC">
      <w:pPr>
        <w:pStyle w:val="NormalWeb"/>
        <w:ind w:left="480" w:hanging="480"/>
      </w:pPr>
      <w:r>
        <w:t xml:space="preserve">Lake, M. (2014). Ending Impunity for Sexual and Gender-Based Crimes: The International Criminal Court and Complementarity in the Democratic Republic of Congo. </w:t>
      </w:r>
      <w:r>
        <w:rPr>
          <w:i/>
          <w:iCs/>
        </w:rPr>
        <w:t>African Conflict &amp; Peacebuilding Review</w:t>
      </w:r>
      <w:r>
        <w:t xml:space="preserve">, </w:t>
      </w:r>
      <w:r>
        <w:rPr>
          <w:i/>
          <w:iCs/>
        </w:rPr>
        <w:t>4</w:t>
      </w:r>
      <w:r>
        <w:t xml:space="preserve">(1), 1–32. </w:t>
      </w:r>
    </w:p>
    <w:p w:rsidR="00B75AFC" w:rsidRDefault="00B75AFC" w:rsidP="00B75AFC">
      <w:pPr>
        <w:pStyle w:val="NormalWeb"/>
        <w:ind w:left="480" w:hanging="480"/>
      </w:pPr>
      <w:r>
        <w:t xml:space="preserve">Liang, B., Goodman, L., </w:t>
      </w:r>
      <w:proofErr w:type="spellStart"/>
      <w:r>
        <w:t>Tummala-Narra</w:t>
      </w:r>
      <w:proofErr w:type="spellEnd"/>
      <w:r>
        <w:t xml:space="preserve">, P., &amp; Weintraub, S. (2005). A theoretical framework for understanding help-seeking processes among survivors of intimate partner violence. </w:t>
      </w:r>
      <w:r>
        <w:rPr>
          <w:i/>
          <w:iCs/>
        </w:rPr>
        <w:t>American Journal of Community Psychology</w:t>
      </w:r>
      <w:r>
        <w:t xml:space="preserve">, </w:t>
      </w:r>
      <w:r>
        <w:rPr>
          <w:i/>
          <w:iCs/>
        </w:rPr>
        <w:t>36</w:t>
      </w:r>
      <w:r>
        <w:t xml:space="preserve">(1–2), 71–84. </w:t>
      </w:r>
    </w:p>
    <w:p w:rsidR="00B75AFC" w:rsidRDefault="00B75AFC" w:rsidP="00B75AFC">
      <w:pPr>
        <w:pStyle w:val="NormalWeb"/>
        <w:ind w:left="480" w:hanging="480"/>
      </w:pPr>
      <w:proofErr w:type="spellStart"/>
      <w:r>
        <w:t>Lupu</w:t>
      </w:r>
      <w:proofErr w:type="spellEnd"/>
      <w:r>
        <w:t xml:space="preserve">, N., &amp; </w:t>
      </w:r>
      <w:proofErr w:type="spellStart"/>
      <w:r>
        <w:t>Peisakhin</w:t>
      </w:r>
      <w:proofErr w:type="spellEnd"/>
      <w:r>
        <w:t xml:space="preserve">, L. (2017). The Legacy of Political Violence across Generations. </w:t>
      </w:r>
      <w:r>
        <w:rPr>
          <w:i/>
          <w:iCs/>
        </w:rPr>
        <w:t>American Journal of Political Science</w:t>
      </w:r>
      <w:r>
        <w:t xml:space="preserve">, </w:t>
      </w:r>
      <w:r>
        <w:rPr>
          <w:i/>
          <w:iCs/>
        </w:rPr>
        <w:t>61</w:t>
      </w:r>
      <w:r>
        <w:t xml:space="preserve">(4), 836–851. </w:t>
      </w:r>
    </w:p>
    <w:p w:rsidR="00B75AFC" w:rsidRDefault="00B75AFC" w:rsidP="00B75AFC">
      <w:pPr>
        <w:pStyle w:val="NormalWeb"/>
        <w:ind w:left="480" w:hanging="480"/>
      </w:pPr>
      <w:r>
        <w:t xml:space="preserve">Macaulay, F. (2006). </w:t>
      </w:r>
      <w:proofErr w:type="spellStart"/>
      <w:r>
        <w:t>Judicialising</w:t>
      </w:r>
      <w:proofErr w:type="spellEnd"/>
      <w:r>
        <w:t xml:space="preserve"> and (de) </w:t>
      </w:r>
      <w:proofErr w:type="spellStart"/>
      <w:r>
        <w:t>Criminalising</w:t>
      </w:r>
      <w:proofErr w:type="spellEnd"/>
      <w:r>
        <w:t xml:space="preserve"> Domestic Violence in Latin America. </w:t>
      </w:r>
      <w:r>
        <w:rPr>
          <w:i/>
          <w:iCs/>
        </w:rPr>
        <w:t>Social Policy and Society</w:t>
      </w:r>
      <w:r>
        <w:t xml:space="preserve">, </w:t>
      </w:r>
      <w:r>
        <w:rPr>
          <w:i/>
          <w:iCs/>
        </w:rPr>
        <w:t>5</w:t>
      </w:r>
      <w:r>
        <w:t xml:space="preserve">(1), 103–114. </w:t>
      </w:r>
    </w:p>
    <w:p w:rsidR="006A330E" w:rsidRDefault="006A330E" w:rsidP="006A330E">
      <w:pPr>
        <w:pStyle w:val="NormalWeb"/>
        <w:ind w:left="480" w:hanging="480"/>
      </w:pPr>
      <w:r>
        <w:t xml:space="preserve">McIlwaine, C. (2013). Urbanization and gender-based violence: Exploring the paradoxes in the global South. </w:t>
      </w:r>
      <w:r>
        <w:rPr>
          <w:i/>
          <w:iCs/>
        </w:rPr>
        <w:t>Environment and Urbanization</w:t>
      </w:r>
      <w:r>
        <w:t xml:space="preserve">, </w:t>
      </w:r>
      <w:r>
        <w:rPr>
          <w:i/>
          <w:iCs/>
        </w:rPr>
        <w:t>25</w:t>
      </w:r>
      <w:r>
        <w:t xml:space="preserve">(1), 65–79. </w:t>
      </w:r>
    </w:p>
    <w:p w:rsidR="006A330E" w:rsidRDefault="006A330E" w:rsidP="006A330E">
      <w:pPr>
        <w:pStyle w:val="NormalWeb"/>
        <w:ind w:left="480" w:hanging="480"/>
      </w:pPr>
      <w:proofErr w:type="spellStart"/>
      <w:r>
        <w:t>Menjívar</w:t>
      </w:r>
      <w:proofErr w:type="spellEnd"/>
      <w:r>
        <w:t xml:space="preserve">, C., &amp; Walsh, S. D. (2017). The Architecture of </w:t>
      </w:r>
      <w:proofErr w:type="spellStart"/>
      <w:r>
        <w:t>Feminicide</w:t>
      </w:r>
      <w:proofErr w:type="spellEnd"/>
      <w:r>
        <w:t xml:space="preserve">: The State, Inequalities, and Everyday Gender Violence in Honduras. </w:t>
      </w:r>
      <w:r>
        <w:rPr>
          <w:i/>
          <w:iCs/>
        </w:rPr>
        <w:t>Latin American Research Review</w:t>
      </w:r>
      <w:r>
        <w:t xml:space="preserve">, </w:t>
      </w:r>
      <w:r>
        <w:rPr>
          <w:i/>
          <w:iCs/>
        </w:rPr>
        <w:t>52</w:t>
      </w:r>
      <w:r>
        <w:t xml:space="preserve">(2), 221–240. </w:t>
      </w:r>
    </w:p>
    <w:p w:rsidR="006A330E" w:rsidRDefault="006A330E" w:rsidP="006A330E">
      <w:pPr>
        <w:pStyle w:val="NormalWeb"/>
        <w:ind w:left="480" w:hanging="480"/>
      </w:pPr>
      <w:r>
        <w:t xml:space="preserve">Palermo, T., </w:t>
      </w:r>
      <w:proofErr w:type="spellStart"/>
      <w:r>
        <w:t>Bleck</w:t>
      </w:r>
      <w:proofErr w:type="spellEnd"/>
      <w:r>
        <w:t xml:space="preserve">, J., &amp; Peterman, A. (2014). Tip of the iceberg: Reporting and gender-based violence in developing countries. </w:t>
      </w:r>
      <w:r>
        <w:rPr>
          <w:i/>
          <w:iCs/>
        </w:rPr>
        <w:t>American Journal of Epidemiology</w:t>
      </w:r>
      <w:r>
        <w:t xml:space="preserve">, </w:t>
      </w:r>
      <w:r>
        <w:rPr>
          <w:i/>
          <w:iCs/>
        </w:rPr>
        <w:t>179</w:t>
      </w:r>
      <w:r>
        <w:t xml:space="preserve">(5), 602–612. </w:t>
      </w:r>
    </w:p>
    <w:p w:rsidR="006A330E" w:rsidRDefault="006A330E" w:rsidP="006A330E">
      <w:pPr>
        <w:pStyle w:val="NormalWeb"/>
        <w:ind w:left="480" w:hanging="480"/>
      </w:pPr>
      <w:r>
        <w:t xml:space="preserve">Paxton, P. (2000). Women’s suffrage in the measurement of democracy: Problems of operationalization. </w:t>
      </w:r>
      <w:r>
        <w:rPr>
          <w:i/>
          <w:iCs/>
        </w:rPr>
        <w:t>Studies in Comparative International Development</w:t>
      </w:r>
      <w:r>
        <w:t xml:space="preserve">, </w:t>
      </w:r>
      <w:r>
        <w:rPr>
          <w:i/>
          <w:iCs/>
        </w:rPr>
        <w:t>35</w:t>
      </w:r>
      <w:r>
        <w:t xml:space="preserve">(3), 92–111. </w:t>
      </w:r>
    </w:p>
    <w:p w:rsidR="00E44ED2" w:rsidRPr="00E3115E" w:rsidRDefault="00E44ED2" w:rsidP="006A330E">
      <w:pPr>
        <w:pStyle w:val="NormalWeb"/>
        <w:ind w:left="480" w:hanging="480"/>
      </w:pPr>
      <w:r>
        <w:t xml:space="preserve">Putnam, R., </w:t>
      </w:r>
      <w:proofErr w:type="spellStart"/>
      <w:r w:rsidR="00E3115E">
        <w:t>Leonardi</w:t>
      </w:r>
      <w:proofErr w:type="spellEnd"/>
      <w:r w:rsidR="00E3115E">
        <w:t xml:space="preserve">, R., </w:t>
      </w:r>
      <w:proofErr w:type="spellStart"/>
      <w:r w:rsidR="00E3115E">
        <w:t>Nanetti</w:t>
      </w:r>
      <w:proofErr w:type="spellEnd"/>
      <w:r w:rsidR="00E3115E">
        <w:t xml:space="preserve">, R. (1993). </w:t>
      </w:r>
      <w:r w:rsidR="00E3115E">
        <w:rPr>
          <w:i/>
        </w:rPr>
        <w:t xml:space="preserve">Making Democracy Work: Civic Traditions in Modern Italy. </w:t>
      </w:r>
      <w:r w:rsidR="00E3115E">
        <w:t>Princeton: Princeton Press.</w:t>
      </w:r>
    </w:p>
    <w:p w:rsidR="006A330E" w:rsidRDefault="006A330E" w:rsidP="006A330E">
      <w:pPr>
        <w:pStyle w:val="NormalWeb"/>
        <w:ind w:left="480" w:hanging="480"/>
      </w:pPr>
      <w:r>
        <w:t xml:space="preserve">Reuter, P. (2009). Systemic violence in drug markets. </w:t>
      </w:r>
      <w:r>
        <w:rPr>
          <w:i/>
          <w:iCs/>
        </w:rPr>
        <w:t>Crime, Law and Social Change</w:t>
      </w:r>
      <w:r>
        <w:t xml:space="preserve">, </w:t>
      </w:r>
      <w:r>
        <w:rPr>
          <w:i/>
          <w:iCs/>
        </w:rPr>
        <w:t>52</w:t>
      </w:r>
      <w:r>
        <w:t xml:space="preserve">(3), 275–284. </w:t>
      </w:r>
    </w:p>
    <w:p w:rsidR="006A330E" w:rsidRDefault="006A330E" w:rsidP="006A330E">
      <w:pPr>
        <w:pStyle w:val="NormalWeb"/>
        <w:ind w:left="480" w:hanging="480"/>
      </w:pPr>
      <w:r>
        <w:lastRenderedPageBreak/>
        <w:t xml:space="preserve">Sable, M. R., </w:t>
      </w:r>
      <w:proofErr w:type="spellStart"/>
      <w:r>
        <w:t>Danis</w:t>
      </w:r>
      <w:proofErr w:type="spellEnd"/>
      <w:r>
        <w:t xml:space="preserve">, F., </w:t>
      </w:r>
      <w:proofErr w:type="spellStart"/>
      <w:r>
        <w:t>Mauzy</w:t>
      </w:r>
      <w:proofErr w:type="spellEnd"/>
      <w:r>
        <w:t xml:space="preserve">, D. L., &amp; Gallagher, S. K. (2006). Barriers to Reporting Sexual Assault for Women and Men. </w:t>
      </w:r>
      <w:r>
        <w:rPr>
          <w:i/>
          <w:iCs/>
        </w:rPr>
        <w:t>Journal of American College Health</w:t>
      </w:r>
      <w:r>
        <w:t xml:space="preserve">, </w:t>
      </w:r>
      <w:r>
        <w:rPr>
          <w:i/>
          <w:iCs/>
        </w:rPr>
        <w:t>55</w:t>
      </w:r>
      <w:r>
        <w:t>(3), 157–162.</w:t>
      </w:r>
    </w:p>
    <w:p w:rsidR="006A330E" w:rsidRDefault="006A330E" w:rsidP="006A330E">
      <w:pPr>
        <w:pStyle w:val="NormalWeb"/>
        <w:ind w:left="480" w:hanging="480"/>
      </w:pPr>
      <w:proofErr w:type="spellStart"/>
      <w:r>
        <w:t>Sagot</w:t>
      </w:r>
      <w:proofErr w:type="spellEnd"/>
      <w:r>
        <w:t xml:space="preserve">, M. (2018). The Critical Path of Women Affected by Family Violence in Latin America. </w:t>
      </w:r>
      <w:r>
        <w:rPr>
          <w:i/>
          <w:iCs/>
        </w:rPr>
        <w:t>Domestic Violence</w:t>
      </w:r>
      <w:r>
        <w:t xml:space="preserve">, </w:t>
      </w:r>
      <w:r>
        <w:rPr>
          <w:i/>
          <w:iCs/>
        </w:rPr>
        <w:t>11</w:t>
      </w:r>
      <w:r>
        <w:t xml:space="preserve">(10), 455–481. </w:t>
      </w:r>
    </w:p>
    <w:p w:rsidR="00E03F29" w:rsidRPr="00E03F29" w:rsidRDefault="00E03F29" w:rsidP="006A330E">
      <w:pPr>
        <w:pStyle w:val="NormalWeb"/>
        <w:ind w:left="480" w:hanging="480"/>
      </w:pPr>
      <w:proofErr w:type="spellStart"/>
      <w:r>
        <w:t>Sikkink</w:t>
      </w:r>
      <w:proofErr w:type="spellEnd"/>
      <w:r>
        <w:t xml:space="preserve">, K. (2011). </w:t>
      </w:r>
      <w:r>
        <w:rPr>
          <w:i/>
        </w:rPr>
        <w:t xml:space="preserve">The Justice Cascade: How Human Rights Prosecutions are Changing World Politics. </w:t>
      </w:r>
      <w:r>
        <w:t>W.W. Norton &amp; Co.</w:t>
      </w:r>
    </w:p>
    <w:p w:rsidR="006A330E" w:rsidRDefault="006A330E" w:rsidP="006A330E">
      <w:pPr>
        <w:pStyle w:val="NormalWeb"/>
        <w:ind w:left="480" w:hanging="480"/>
      </w:pPr>
      <w:r>
        <w:t xml:space="preserve">Soule, Sarah A; </w:t>
      </w:r>
      <w:proofErr w:type="spellStart"/>
      <w:r>
        <w:t>Olzak</w:t>
      </w:r>
      <w:proofErr w:type="spellEnd"/>
      <w:r>
        <w:t xml:space="preserve">, S. (2004). When Do Movements Matter? The Politics of Contingency and the Equal Rights Amendment. </w:t>
      </w:r>
      <w:r>
        <w:rPr>
          <w:i/>
          <w:iCs/>
        </w:rPr>
        <w:t>American Sociological Review</w:t>
      </w:r>
      <w:r>
        <w:t xml:space="preserve">, </w:t>
      </w:r>
      <w:r>
        <w:rPr>
          <w:i/>
          <w:iCs/>
        </w:rPr>
        <w:t>69</w:t>
      </w:r>
      <w:r>
        <w:t>(August), 473–497.</w:t>
      </w:r>
    </w:p>
    <w:p w:rsidR="006A330E" w:rsidRDefault="006A330E" w:rsidP="006A330E">
      <w:pPr>
        <w:pStyle w:val="NormalWeb"/>
        <w:ind w:left="480" w:hanging="480"/>
      </w:pPr>
      <w:r>
        <w:t xml:space="preserve">Tyler, T. R. (2011). Trust and legitimacy: Policing in the USA and Europe. </w:t>
      </w:r>
      <w:r>
        <w:rPr>
          <w:i/>
          <w:iCs/>
        </w:rPr>
        <w:t>European Journal of Criminology</w:t>
      </w:r>
      <w:r>
        <w:t xml:space="preserve">, </w:t>
      </w:r>
      <w:r>
        <w:rPr>
          <w:i/>
          <w:iCs/>
        </w:rPr>
        <w:t>8</w:t>
      </w:r>
      <w:r>
        <w:t xml:space="preserve">(4), 254–266. </w:t>
      </w:r>
    </w:p>
    <w:p w:rsidR="006A330E" w:rsidRDefault="006A330E" w:rsidP="006A330E">
      <w:pPr>
        <w:pStyle w:val="NormalWeb"/>
        <w:ind w:left="480" w:hanging="480"/>
      </w:pPr>
      <w:proofErr w:type="spellStart"/>
      <w:r>
        <w:t>Venema</w:t>
      </w:r>
      <w:proofErr w:type="spellEnd"/>
      <w:r>
        <w:t xml:space="preserve">, R. M. (2016). Police Officer Schema of Sexual Assault Reports: Real Rape, Ambiguous Cases, and False Reports. </w:t>
      </w:r>
      <w:r>
        <w:rPr>
          <w:i/>
          <w:iCs/>
        </w:rPr>
        <w:t>Journal of Interpersonal Violence</w:t>
      </w:r>
      <w:r>
        <w:t xml:space="preserve">, </w:t>
      </w:r>
      <w:r>
        <w:rPr>
          <w:i/>
          <w:iCs/>
        </w:rPr>
        <w:t>31</w:t>
      </w:r>
      <w:r>
        <w:t xml:space="preserve">(5), 872–899. </w:t>
      </w:r>
    </w:p>
    <w:p w:rsidR="006A330E" w:rsidRDefault="006A330E" w:rsidP="006A330E">
      <w:pPr>
        <w:pStyle w:val="NormalWeb"/>
        <w:ind w:left="480" w:hanging="480"/>
      </w:pPr>
      <w:proofErr w:type="spellStart"/>
      <w:r>
        <w:t>Wantchekon</w:t>
      </w:r>
      <w:proofErr w:type="spellEnd"/>
      <w:r>
        <w:t xml:space="preserve">, L., &amp; Nunn, N. (2011). The Slave Trade and the Origins of Mistrust in Africa. </w:t>
      </w:r>
      <w:r>
        <w:rPr>
          <w:i/>
          <w:iCs/>
        </w:rPr>
        <w:t>American Economic Review</w:t>
      </w:r>
      <w:r>
        <w:t xml:space="preserve">, </w:t>
      </w:r>
      <w:r>
        <w:rPr>
          <w:i/>
          <w:iCs/>
        </w:rPr>
        <w:t>101</w:t>
      </w:r>
      <w:r>
        <w:t xml:space="preserve">(December), 3221–3252. </w:t>
      </w:r>
    </w:p>
    <w:p w:rsidR="006A330E" w:rsidRDefault="006A330E" w:rsidP="006A330E">
      <w:pPr>
        <w:pStyle w:val="NormalWeb"/>
        <w:ind w:left="480" w:hanging="480"/>
      </w:pPr>
      <w:r>
        <w:t xml:space="preserve">Wolff, M. J. (2015). Building Criminal Authority: A Comparative Analysis of Drug Gangs in Rio de Janeiro and Recife. </w:t>
      </w:r>
      <w:r>
        <w:rPr>
          <w:i/>
          <w:iCs/>
        </w:rPr>
        <w:t>Latin American Politics and Society</w:t>
      </w:r>
      <w:r>
        <w:t xml:space="preserve">, </w:t>
      </w:r>
      <w:r>
        <w:rPr>
          <w:i/>
          <w:iCs/>
        </w:rPr>
        <w:t>57</w:t>
      </w:r>
      <w:r>
        <w:t xml:space="preserve">(2), 21–40. </w:t>
      </w:r>
    </w:p>
    <w:p w:rsidR="006A330E" w:rsidRDefault="00D058FB" w:rsidP="00D058FB">
      <w:pPr>
        <w:pStyle w:val="Section"/>
      </w:pPr>
      <w:r>
        <w:t>Appendix</w:t>
      </w:r>
    </w:p>
    <w:p w:rsidR="002B61A7" w:rsidRDefault="002B61A7" w:rsidP="00D058FB">
      <w:pPr>
        <w:pStyle w:val="Section"/>
      </w:pPr>
    </w:p>
    <w:tbl>
      <w:tblPr>
        <w:tblStyle w:val="TableGrid"/>
        <w:tblW w:w="0" w:type="auto"/>
        <w:tblLook w:val="06A0" w:firstRow="1" w:lastRow="0" w:firstColumn="1" w:lastColumn="0" w:noHBand="1" w:noVBand="1"/>
      </w:tblPr>
      <w:tblGrid>
        <w:gridCol w:w="4675"/>
        <w:gridCol w:w="4675"/>
      </w:tblGrid>
      <w:tr w:rsidR="00EB5687" w:rsidTr="00EB5687">
        <w:tc>
          <w:tcPr>
            <w:tcW w:w="9350" w:type="dxa"/>
            <w:gridSpan w:val="2"/>
            <w:tcBorders>
              <w:top w:val="nil"/>
              <w:left w:val="nil"/>
              <w:right w:val="nil"/>
            </w:tcBorders>
          </w:tcPr>
          <w:p w:rsidR="00EB5687" w:rsidRPr="00EB5687" w:rsidRDefault="00EB5687" w:rsidP="00EB5687">
            <w:pPr>
              <w:pStyle w:val="NormalWeb"/>
              <w:rPr>
                <w:b/>
              </w:rPr>
            </w:pPr>
            <w:r w:rsidRPr="001F06EE">
              <w:rPr>
                <w:b/>
                <w:color w:val="000000" w:themeColor="text1"/>
              </w:rPr>
              <w:t xml:space="preserve">Table </w:t>
            </w:r>
            <w:r w:rsidR="001F06EE" w:rsidRPr="001F06EE">
              <w:rPr>
                <w:b/>
                <w:color w:val="000000" w:themeColor="text1"/>
              </w:rPr>
              <w:t>3</w:t>
            </w:r>
            <w:r>
              <w:rPr>
                <w:b/>
              </w:rPr>
              <w:t>: Categorization scheme for centers for assistance</w:t>
            </w:r>
          </w:p>
        </w:tc>
      </w:tr>
      <w:tr w:rsidR="00E872F5" w:rsidTr="00E872F5">
        <w:tc>
          <w:tcPr>
            <w:tcW w:w="4675" w:type="dxa"/>
          </w:tcPr>
          <w:p w:rsidR="00E872F5" w:rsidRPr="00EB5687" w:rsidRDefault="00E872F5" w:rsidP="00E872F5">
            <w:pPr>
              <w:pStyle w:val="NormalWeb"/>
              <w:jc w:val="center"/>
              <w:rPr>
                <w:b/>
              </w:rPr>
            </w:pPr>
            <w:r w:rsidRPr="00EB5687">
              <w:rPr>
                <w:b/>
              </w:rPr>
              <w:t>Coded category of centers for assistance</w:t>
            </w:r>
          </w:p>
        </w:tc>
        <w:tc>
          <w:tcPr>
            <w:tcW w:w="4675" w:type="dxa"/>
          </w:tcPr>
          <w:p w:rsidR="00E872F5" w:rsidRPr="00EB5687" w:rsidRDefault="00E872F5" w:rsidP="00E872F5">
            <w:pPr>
              <w:pStyle w:val="NormalWeb"/>
              <w:jc w:val="center"/>
              <w:rPr>
                <w:b/>
              </w:rPr>
            </w:pPr>
            <w:r w:rsidRPr="00EB5687">
              <w:rPr>
                <w:b/>
              </w:rPr>
              <w:t>INAM categorizations</w:t>
            </w:r>
          </w:p>
        </w:tc>
      </w:tr>
      <w:tr w:rsidR="00E872F5" w:rsidTr="00E872F5">
        <w:tc>
          <w:tcPr>
            <w:tcW w:w="4675" w:type="dxa"/>
          </w:tcPr>
          <w:p w:rsidR="00E872F5" w:rsidRDefault="00E872F5" w:rsidP="00E872F5">
            <w:pPr>
              <w:pStyle w:val="NormalWeb"/>
              <w:jc w:val="center"/>
            </w:pPr>
            <w:r>
              <w:t>Social services</w:t>
            </w:r>
          </w:p>
        </w:tc>
        <w:tc>
          <w:tcPr>
            <w:tcW w:w="4675" w:type="dxa"/>
          </w:tcPr>
          <w:p w:rsidR="00E872F5" w:rsidRDefault="00E872F5" w:rsidP="006A330E">
            <w:pPr>
              <w:pStyle w:val="NormalWeb"/>
            </w:pPr>
            <w:r>
              <w:t>Social action, older adults, social areas, community, family, ministry of defense, childhood/adolescence</w:t>
            </w:r>
          </w:p>
        </w:tc>
      </w:tr>
      <w:tr w:rsidR="00E872F5" w:rsidTr="00E872F5">
        <w:tc>
          <w:tcPr>
            <w:tcW w:w="4675" w:type="dxa"/>
          </w:tcPr>
          <w:p w:rsidR="00E872F5" w:rsidRDefault="00E872F5" w:rsidP="00E872F5">
            <w:pPr>
              <w:pStyle w:val="NormalWeb"/>
              <w:jc w:val="center"/>
            </w:pPr>
            <w:r>
              <w:t>Health</w:t>
            </w:r>
          </w:p>
        </w:tc>
        <w:tc>
          <w:tcPr>
            <w:tcW w:w="4675" w:type="dxa"/>
          </w:tcPr>
          <w:p w:rsidR="00E872F5" w:rsidRDefault="00E872F5" w:rsidP="006A330E">
            <w:pPr>
              <w:pStyle w:val="NormalWeb"/>
            </w:pPr>
            <w:r>
              <w:t xml:space="preserve">Addiction, health, </w:t>
            </w:r>
          </w:p>
        </w:tc>
      </w:tr>
      <w:tr w:rsidR="00E872F5" w:rsidTr="00E872F5">
        <w:tc>
          <w:tcPr>
            <w:tcW w:w="4675" w:type="dxa"/>
          </w:tcPr>
          <w:p w:rsidR="00E872F5" w:rsidRDefault="00E872F5" w:rsidP="00E872F5">
            <w:pPr>
              <w:pStyle w:val="NormalWeb"/>
              <w:jc w:val="center"/>
            </w:pPr>
            <w:r>
              <w:t>Women’s services</w:t>
            </w:r>
          </w:p>
        </w:tc>
        <w:tc>
          <w:tcPr>
            <w:tcW w:w="4675" w:type="dxa"/>
          </w:tcPr>
          <w:p w:rsidR="00E872F5" w:rsidRDefault="00E872F5" w:rsidP="006A330E">
            <w:pPr>
              <w:pStyle w:val="NormalWeb"/>
            </w:pPr>
            <w:r>
              <w:t>Women’s areas, female police stations, domestic violence police stations, family violence health services, obstetric violence.</w:t>
            </w:r>
          </w:p>
        </w:tc>
      </w:tr>
      <w:tr w:rsidR="00E872F5" w:rsidTr="00E872F5">
        <w:tc>
          <w:tcPr>
            <w:tcW w:w="4675" w:type="dxa"/>
          </w:tcPr>
          <w:p w:rsidR="00E872F5" w:rsidRDefault="00E872F5" w:rsidP="00E872F5">
            <w:pPr>
              <w:pStyle w:val="NormalWeb"/>
              <w:jc w:val="center"/>
            </w:pPr>
            <w:r>
              <w:t>Legal</w:t>
            </w:r>
          </w:p>
        </w:tc>
        <w:tc>
          <w:tcPr>
            <w:tcW w:w="4675" w:type="dxa"/>
          </w:tcPr>
          <w:p w:rsidR="00E872F5" w:rsidRDefault="00E872F5" w:rsidP="006A330E">
            <w:pPr>
              <w:pStyle w:val="NormalWeb"/>
            </w:pPr>
            <w:r>
              <w:t>Reference center</w:t>
            </w:r>
            <w:r w:rsidR="00EB5687">
              <w:t>;</w:t>
            </w:r>
            <w:r>
              <w:t xml:space="preserve"> human rights</w:t>
            </w:r>
            <w:r w:rsidR="00EB5687">
              <w:t>;</w:t>
            </w:r>
            <w:r>
              <w:t xml:space="preserve"> migrations office</w:t>
            </w:r>
            <w:r w:rsidR="00EB5687">
              <w:t>;</w:t>
            </w:r>
            <w:r>
              <w:t xml:space="preserve"> </w:t>
            </w:r>
            <w:r w:rsidR="00EB5687">
              <w:t>national institute against discrimination, xenophobia, and racism (INADI);</w:t>
            </w:r>
            <w:r>
              <w:t xml:space="preserve"> legal, institutional violence</w:t>
            </w:r>
          </w:p>
        </w:tc>
      </w:tr>
      <w:tr w:rsidR="00E872F5" w:rsidTr="00E872F5">
        <w:tc>
          <w:tcPr>
            <w:tcW w:w="4675" w:type="dxa"/>
          </w:tcPr>
          <w:p w:rsidR="00E872F5" w:rsidRDefault="00E872F5" w:rsidP="00E872F5">
            <w:pPr>
              <w:pStyle w:val="NormalWeb"/>
              <w:jc w:val="center"/>
            </w:pPr>
            <w:r>
              <w:t>Work violence</w:t>
            </w:r>
          </w:p>
        </w:tc>
        <w:tc>
          <w:tcPr>
            <w:tcW w:w="4675" w:type="dxa"/>
          </w:tcPr>
          <w:p w:rsidR="00E872F5" w:rsidRDefault="00E872F5" w:rsidP="006A330E">
            <w:pPr>
              <w:pStyle w:val="NormalWeb"/>
            </w:pPr>
            <w:r>
              <w:t>Work violence</w:t>
            </w:r>
          </w:p>
        </w:tc>
      </w:tr>
      <w:tr w:rsidR="00E872F5" w:rsidTr="00E872F5">
        <w:tc>
          <w:tcPr>
            <w:tcW w:w="4675" w:type="dxa"/>
          </w:tcPr>
          <w:p w:rsidR="00E872F5" w:rsidRDefault="00E872F5" w:rsidP="00E872F5">
            <w:pPr>
              <w:pStyle w:val="NormalWeb"/>
              <w:jc w:val="center"/>
            </w:pPr>
            <w:r>
              <w:t>Police station</w:t>
            </w:r>
          </w:p>
        </w:tc>
        <w:tc>
          <w:tcPr>
            <w:tcW w:w="4675" w:type="dxa"/>
          </w:tcPr>
          <w:p w:rsidR="00E872F5" w:rsidRDefault="00E872F5" w:rsidP="006A330E">
            <w:pPr>
              <w:pStyle w:val="NormalWeb"/>
            </w:pPr>
            <w:r>
              <w:t>Police station, missing persons services, policing, security forces</w:t>
            </w:r>
          </w:p>
        </w:tc>
      </w:tr>
      <w:tr w:rsidR="00E872F5" w:rsidTr="00E872F5">
        <w:trPr>
          <w:trHeight w:val="67"/>
        </w:trPr>
        <w:tc>
          <w:tcPr>
            <w:tcW w:w="4675" w:type="dxa"/>
          </w:tcPr>
          <w:p w:rsidR="00E872F5" w:rsidRDefault="00E872F5" w:rsidP="00E872F5">
            <w:pPr>
              <w:pStyle w:val="NormalWeb"/>
              <w:jc w:val="center"/>
            </w:pPr>
            <w:r>
              <w:t>NGO</w:t>
            </w:r>
          </w:p>
        </w:tc>
        <w:tc>
          <w:tcPr>
            <w:tcW w:w="4675" w:type="dxa"/>
          </w:tcPr>
          <w:p w:rsidR="00E872F5" w:rsidRDefault="00E872F5" w:rsidP="006A330E">
            <w:pPr>
              <w:pStyle w:val="NormalWeb"/>
            </w:pPr>
            <w:r>
              <w:t>NGO</w:t>
            </w:r>
          </w:p>
        </w:tc>
      </w:tr>
    </w:tbl>
    <w:p w:rsidR="006A330E" w:rsidRDefault="006A330E" w:rsidP="006A330E">
      <w:pPr>
        <w:pStyle w:val="NormalWeb"/>
        <w:ind w:left="480" w:hanging="480"/>
      </w:pPr>
    </w:p>
    <w:p w:rsidR="00FA2DF4" w:rsidRPr="001A47A4" w:rsidRDefault="00FA2DF4">
      <w:pPr>
        <w:divId w:val="1185443576"/>
        <w:rPr>
          <w:rFonts w:ascii="Times New Roman" w:eastAsia="Times New Roman" w:hAnsi="Times New Roman" w:cs="Times New Roman"/>
        </w:rPr>
      </w:pPr>
    </w:p>
    <w:p w:rsidR="006A330E" w:rsidRDefault="006A330E" w:rsidP="000568CF">
      <w:pPr>
        <w:pStyle w:val="NormalWeb"/>
      </w:pPr>
    </w:p>
    <w:p w:rsidR="001A47A4" w:rsidRPr="001A47A4" w:rsidRDefault="001A47A4">
      <w:pPr>
        <w:divId w:val="533230336"/>
        <w:rPr>
          <w:rFonts w:ascii="Times New Roman" w:eastAsia="Times New Roman" w:hAnsi="Times New Roman" w:cs="Times New Roman"/>
        </w:rPr>
      </w:pPr>
    </w:p>
    <w:p w:rsidR="001A47A4" w:rsidRDefault="001A47A4">
      <w:pPr>
        <w:divId w:val="1356153461"/>
        <w:rPr>
          <w:rFonts w:eastAsia="Times New Roman"/>
        </w:rPr>
      </w:pPr>
    </w:p>
    <w:p w:rsidR="006A330E" w:rsidRDefault="006A330E" w:rsidP="006A330E">
      <w:pPr>
        <w:pStyle w:val="NormalWeb"/>
        <w:ind w:left="480" w:hanging="480"/>
      </w:pPr>
    </w:p>
    <w:p w:rsidR="006A330E" w:rsidRDefault="006A330E" w:rsidP="006A330E">
      <w:pPr>
        <w:pStyle w:val="NormalWeb"/>
        <w:ind w:left="480" w:hanging="480"/>
      </w:pPr>
    </w:p>
    <w:p w:rsidR="006A330E" w:rsidRDefault="006A330E" w:rsidP="006A330E">
      <w:pPr>
        <w:pStyle w:val="NormalWeb"/>
        <w:ind w:left="480" w:hanging="480"/>
      </w:pPr>
    </w:p>
    <w:p w:rsidR="006A330E" w:rsidRDefault="006A330E" w:rsidP="006A330E">
      <w:pPr>
        <w:pStyle w:val="NormalWeb"/>
        <w:ind w:left="480" w:hanging="480"/>
      </w:pPr>
    </w:p>
    <w:p w:rsidR="006A330E" w:rsidRDefault="006A330E" w:rsidP="006A330E">
      <w:pPr>
        <w:pStyle w:val="NormalWeb"/>
        <w:ind w:left="480" w:hanging="480"/>
      </w:pPr>
    </w:p>
    <w:p w:rsidR="006A330E" w:rsidRDefault="006A330E"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B75AFC">
      <w:pPr>
        <w:pStyle w:val="NormalWeb"/>
        <w:ind w:left="480" w:hanging="480"/>
      </w:pPr>
    </w:p>
    <w:p w:rsidR="00B75AFC" w:rsidRDefault="00B75AFC" w:rsidP="000274AA">
      <w:pPr>
        <w:pStyle w:val="NormalWeb"/>
        <w:ind w:left="480" w:hanging="480"/>
      </w:pPr>
    </w:p>
    <w:p w:rsidR="000274AA" w:rsidRDefault="000274AA" w:rsidP="000274AA">
      <w:pPr>
        <w:pStyle w:val="NormalWeb"/>
        <w:ind w:left="480" w:hanging="480"/>
      </w:pPr>
    </w:p>
    <w:p w:rsidR="000274AA" w:rsidRDefault="000274AA" w:rsidP="000274AA">
      <w:pPr>
        <w:pStyle w:val="NormalWeb"/>
        <w:ind w:left="480" w:hanging="480"/>
      </w:pPr>
    </w:p>
    <w:p w:rsidR="000274AA" w:rsidRDefault="000274AA" w:rsidP="00791950">
      <w:pPr>
        <w:pStyle w:val="NormalWeb"/>
        <w:ind w:left="480" w:hanging="480"/>
      </w:pPr>
    </w:p>
    <w:p w:rsidR="00791950" w:rsidRDefault="00791950" w:rsidP="00791950">
      <w:pPr>
        <w:pStyle w:val="NormalWeb"/>
        <w:ind w:left="480" w:hanging="480"/>
      </w:pPr>
    </w:p>
    <w:p w:rsidR="00791950" w:rsidRDefault="00791950" w:rsidP="00791950">
      <w:pPr>
        <w:pStyle w:val="NormalWeb"/>
        <w:ind w:left="480" w:hanging="480"/>
      </w:pPr>
    </w:p>
    <w:p w:rsidR="00791950" w:rsidRDefault="00791950" w:rsidP="00791950">
      <w:pPr>
        <w:pStyle w:val="NormalWeb"/>
        <w:ind w:left="480" w:hanging="480"/>
      </w:pPr>
    </w:p>
    <w:p w:rsidR="00791950" w:rsidRDefault="00791950" w:rsidP="00791950">
      <w:pPr>
        <w:pStyle w:val="NormalWeb"/>
        <w:ind w:left="480" w:hanging="480"/>
      </w:pPr>
    </w:p>
    <w:p w:rsidR="00791950" w:rsidRPr="00791950" w:rsidRDefault="00791950" w:rsidP="00791950">
      <w:pPr>
        <w:pStyle w:val="Section"/>
      </w:pPr>
    </w:p>
    <w:sectPr w:rsidR="00791950" w:rsidRPr="00791950" w:rsidSect="006E6FD5">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96C" w:rsidRDefault="000C296C" w:rsidP="00926C3E">
      <w:r>
        <w:separator/>
      </w:r>
    </w:p>
  </w:endnote>
  <w:endnote w:type="continuationSeparator" w:id="0">
    <w:p w:rsidR="000C296C" w:rsidRDefault="000C296C" w:rsidP="009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96C" w:rsidRDefault="000C296C" w:rsidP="00926C3E">
      <w:r>
        <w:separator/>
      </w:r>
    </w:p>
  </w:footnote>
  <w:footnote w:type="continuationSeparator" w:id="0">
    <w:p w:rsidR="000C296C" w:rsidRDefault="000C296C" w:rsidP="00926C3E">
      <w:r>
        <w:continuationSeparator/>
      </w:r>
    </w:p>
  </w:footnote>
  <w:footnote w:id="1">
    <w:p w:rsidR="002F036F" w:rsidRPr="00A5278F" w:rsidRDefault="002F036F">
      <w:pPr>
        <w:pStyle w:val="FootnoteText"/>
        <w:rPr>
          <w:rFonts w:ascii="Times New Roman" w:hAnsi="Times New Roman" w:cs="Times New Roman"/>
        </w:rPr>
      </w:pPr>
      <w:r w:rsidRPr="00A5278F">
        <w:rPr>
          <w:rStyle w:val="FootnoteReference"/>
          <w:rFonts w:ascii="Times New Roman" w:hAnsi="Times New Roman" w:cs="Times New Roman"/>
        </w:rPr>
        <w:footnoteRef/>
      </w:r>
      <w:r w:rsidRPr="00A5278F">
        <w:rPr>
          <w:rFonts w:ascii="Times New Roman" w:hAnsi="Times New Roman" w:cs="Times New Roman"/>
        </w:rPr>
        <w:t xml:space="preserve"> UN Women</w:t>
      </w:r>
    </w:p>
  </w:footnote>
  <w:footnote w:id="2">
    <w:p w:rsidR="002F036F" w:rsidRPr="007346D8" w:rsidRDefault="002F036F" w:rsidP="00EC0430">
      <w:pPr>
        <w:pStyle w:val="FootnoteText"/>
        <w:rPr>
          <w:rFonts w:ascii="Times New Roman" w:hAnsi="Times New Roman" w:cs="Times New Roman"/>
        </w:rPr>
      </w:pPr>
      <w:r w:rsidRPr="007346D8">
        <w:rPr>
          <w:rStyle w:val="FootnoteReference"/>
          <w:rFonts w:ascii="Times New Roman" w:hAnsi="Times New Roman" w:cs="Times New Roman"/>
        </w:rPr>
        <w:footnoteRef/>
      </w:r>
      <w:r w:rsidRPr="007346D8">
        <w:rPr>
          <w:rFonts w:ascii="Times New Roman" w:hAnsi="Times New Roman" w:cs="Times New Roman"/>
        </w:rPr>
        <w:t xml:space="preserve"> Adapted from Women for Women International. </w:t>
      </w:r>
      <w:hyperlink r:id="rId1" w:history="1">
        <w:r w:rsidRPr="007346D8">
          <w:rPr>
            <w:rStyle w:val="Hyperlink"/>
            <w:rFonts w:ascii="Times New Roman" w:hAnsi="Times New Roman" w:cs="Times New Roman"/>
          </w:rPr>
          <w:t>https://www.womenforwomen.org</w:t>
        </w:r>
      </w:hyperlink>
      <w:r w:rsidRPr="007346D8">
        <w:rPr>
          <w:rFonts w:ascii="Times New Roman" w:hAnsi="Times New Roman" w:cs="Times New Roman"/>
        </w:rPr>
        <w:t xml:space="preserve"> </w:t>
      </w:r>
    </w:p>
  </w:footnote>
  <w:footnote w:id="3">
    <w:p w:rsidR="002F036F" w:rsidRPr="00454CF9" w:rsidRDefault="002F036F">
      <w:pPr>
        <w:pStyle w:val="FootnoteText"/>
        <w:rPr>
          <w:rFonts w:ascii="Times New Roman" w:hAnsi="Times New Roman" w:cs="Times New Roman"/>
          <w:color w:val="00B050"/>
        </w:rPr>
      </w:pPr>
      <w:r w:rsidRPr="007346D8">
        <w:rPr>
          <w:rStyle w:val="FootnoteReference"/>
          <w:rFonts w:ascii="Times New Roman" w:hAnsi="Times New Roman" w:cs="Times New Roman"/>
        </w:rPr>
        <w:footnoteRef/>
      </w:r>
      <w:r w:rsidRPr="007346D8">
        <w:rPr>
          <w:rFonts w:ascii="Times New Roman" w:hAnsi="Times New Roman" w:cs="Times New Roman"/>
        </w:rPr>
        <w:t xml:space="preserve"> The authors find that criminal history is not related to notification of a crime, though the population interviewed isn’t ideally representative of the population.</w:t>
      </w:r>
    </w:p>
  </w:footnote>
  <w:footnote w:id="4">
    <w:p w:rsidR="002F036F" w:rsidRDefault="002F036F">
      <w:pPr>
        <w:pStyle w:val="FootnoteText"/>
      </w:pPr>
      <w:r>
        <w:rPr>
          <w:rStyle w:val="FootnoteReference"/>
        </w:rPr>
        <w:footnoteRef/>
      </w:r>
      <w:r>
        <w:t xml:space="preserve"> </w:t>
      </w:r>
      <w:r w:rsidRPr="007346D8">
        <w:rPr>
          <w:rFonts w:ascii="Times New Roman" w:hAnsi="Times New Roman" w:cs="Times New Roman"/>
          <w:color w:val="000000" w:themeColor="text1"/>
        </w:rPr>
        <w:t>Officers are more likely to legitimate assault when it has been committed by a stranger, a deadly weapon is involved, or a victim presents defensive wounds or injuries. However, realistic statistics suggest that the overwhelming majority of victims are assaulted by people they know, without a weapon, and that sexual assault doesn’t always result in physical damage requiring medical treatment</w:t>
      </w:r>
      <w:r>
        <w:rPr>
          <w:rFonts w:ascii="Times New Roman" w:hAnsi="Times New Roman" w:cs="Times New Roman"/>
          <w:color w:val="000000" w:themeColor="text1"/>
        </w:rPr>
        <w:t xml:space="preserve">. </w:t>
      </w:r>
      <w:r>
        <w:rPr>
          <w:rFonts w:ascii="Times New Roman" w:hAnsi="Times New Roman" w:cs="Times New Roman"/>
        </w:rPr>
        <w:t xml:space="preserve">This evidence comes from </w:t>
      </w:r>
      <w:proofErr w:type="spellStart"/>
      <w:r>
        <w:rPr>
          <w:rFonts w:ascii="Times New Roman" w:hAnsi="Times New Roman" w:cs="Times New Roman"/>
        </w:rPr>
        <w:t>P</w:t>
      </w:r>
      <w:r w:rsidRPr="00193638">
        <w:rPr>
          <w:rFonts w:ascii="Times New Roman" w:hAnsi="Times New Roman" w:cs="Times New Roman"/>
        </w:rPr>
        <w:t>lanty</w:t>
      </w:r>
      <w:proofErr w:type="spellEnd"/>
      <w:r w:rsidRPr="00193638">
        <w:rPr>
          <w:rFonts w:ascii="Times New Roman" w:hAnsi="Times New Roman" w:cs="Times New Roman"/>
        </w:rPr>
        <w:t xml:space="preserve"> et al. (2013)</w:t>
      </w:r>
      <w:r>
        <w:rPr>
          <w:rFonts w:ascii="Times New Roman" w:hAnsi="Times New Roman" w:cs="Times New Roman"/>
        </w:rPr>
        <w:t xml:space="preserve">: </w:t>
      </w:r>
      <w:r w:rsidRPr="00193638">
        <w:rPr>
          <w:rFonts w:ascii="Times New Roman" w:hAnsi="Times New Roman" w:cs="Times New Roman"/>
        </w:rPr>
        <w:t>78% of sexual violence was committed by someone known to the victim, only 11% of reported victimizations involved a gun, and only 35% of victims are treated for injuries</w:t>
      </w:r>
      <w:r>
        <w:rPr>
          <w:rFonts w:ascii="Times New Roman" w:hAnsi="Times New Roman" w:cs="Times New Roman"/>
        </w:rPr>
        <w:t>.</w:t>
      </w:r>
    </w:p>
  </w:footnote>
  <w:footnote w:id="5">
    <w:p w:rsidR="002F036F" w:rsidRPr="00AA343C" w:rsidRDefault="002F036F" w:rsidP="003520F9">
      <w:pPr>
        <w:pStyle w:val="FootnoteText"/>
        <w:rPr>
          <w:rFonts w:ascii="Times New Roman" w:hAnsi="Times New Roman" w:cs="Times New Roman"/>
        </w:rPr>
      </w:pPr>
      <w:r w:rsidRPr="00AA343C">
        <w:rPr>
          <w:rStyle w:val="FootnoteReference"/>
          <w:rFonts w:ascii="Times New Roman" w:hAnsi="Times New Roman" w:cs="Times New Roman"/>
        </w:rPr>
        <w:footnoteRef/>
      </w:r>
      <w:r w:rsidRPr="00AA343C">
        <w:rPr>
          <w:rFonts w:ascii="Times New Roman" w:hAnsi="Times New Roman" w:cs="Times New Roman"/>
        </w:rPr>
        <w:t xml:space="preserve"> Per Law 26.485</w:t>
      </w:r>
    </w:p>
  </w:footnote>
  <w:footnote w:id="6">
    <w:p w:rsidR="002F036F" w:rsidRPr="00C501B6" w:rsidRDefault="002F036F">
      <w:pPr>
        <w:pStyle w:val="FootnoteText"/>
        <w:rPr>
          <w:rFonts w:ascii="Times New Roman" w:hAnsi="Times New Roman" w:cs="Times New Roman"/>
        </w:rPr>
      </w:pPr>
      <w:r w:rsidRPr="00C501B6">
        <w:rPr>
          <w:rStyle w:val="FootnoteReference"/>
          <w:rFonts w:ascii="Times New Roman" w:hAnsi="Times New Roman" w:cs="Times New Roman"/>
        </w:rPr>
        <w:footnoteRef/>
      </w:r>
      <w:r w:rsidRPr="00C501B6">
        <w:rPr>
          <w:rFonts w:ascii="Times New Roman" w:hAnsi="Times New Roman" w:cs="Times New Roman"/>
        </w:rPr>
        <w:t xml:space="preserve"> See full help center coding scheme in appendix.</w:t>
      </w:r>
    </w:p>
  </w:footnote>
  <w:footnote w:id="7">
    <w:p w:rsidR="002F036F" w:rsidRPr="00C501B6" w:rsidRDefault="002F036F">
      <w:pPr>
        <w:pStyle w:val="FootnoteText"/>
        <w:rPr>
          <w:rFonts w:ascii="Times New Roman" w:hAnsi="Times New Roman" w:cs="Times New Roman"/>
        </w:rPr>
      </w:pPr>
      <w:r w:rsidRPr="00C501B6">
        <w:rPr>
          <w:rStyle w:val="FootnoteReference"/>
          <w:rFonts w:ascii="Times New Roman" w:hAnsi="Times New Roman" w:cs="Times New Roman"/>
        </w:rPr>
        <w:footnoteRef/>
      </w:r>
      <w:r w:rsidRPr="00C501B6">
        <w:rPr>
          <w:rFonts w:ascii="Times New Roman" w:hAnsi="Times New Roman" w:cs="Times New Roman"/>
        </w:rPr>
        <w:t xml:space="preserve"> Ley 26.485 officially establishes a national registry of femicides, but this data wasn’t tracked in practice until supreme court justice Elena </w:t>
      </w:r>
      <w:proofErr w:type="spellStart"/>
      <w:r w:rsidRPr="00C501B6">
        <w:rPr>
          <w:rFonts w:ascii="Times New Roman" w:hAnsi="Times New Roman" w:cs="Times New Roman"/>
        </w:rPr>
        <w:t>Highton</w:t>
      </w:r>
      <w:proofErr w:type="spellEnd"/>
      <w:r w:rsidRPr="00C501B6">
        <w:rPr>
          <w:rFonts w:ascii="Times New Roman" w:hAnsi="Times New Roman" w:cs="Times New Roman"/>
        </w:rPr>
        <w:t xml:space="preserve"> mandated the tracking and publication of femicide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7175858"/>
      <w:docPartObj>
        <w:docPartGallery w:val="Page Numbers (Top of Page)"/>
        <w:docPartUnique/>
      </w:docPartObj>
    </w:sdtPr>
    <w:sdtContent>
      <w:p w:rsidR="002F036F" w:rsidRDefault="002F036F" w:rsidP="00DA0C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F036F" w:rsidRDefault="002F036F" w:rsidP="00C025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2135224"/>
      <w:docPartObj>
        <w:docPartGallery w:val="Page Numbers (Top of Page)"/>
        <w:docPartUnique/>
      </w:docPartObj>
    </w:sdtPr>
    <w:sdtEndPr>
      <w:rPr>
        <w:rStyle w:val="PageNumber"/>
        <w:rFonts w:ascii="Times New Roman" w:hAnsi="Times New Roman" w:cs="Times New Roman"/>
      </w:rPr>
    </w:sdtEndPr>
    <w:sdtContent>
      <w:p w:rsidR="002F036F" w:rsidRPr="00C02504" w:rsidRDefault="002F036F" w:rsidP="00DA0C07">
        <w:pPr>
          <w:pStyle w:val="Header"/>
          <w:framePr w:wrap="none" w:vAnchor="text" w:hAnchor="margin" w:xAlign="right" w:y="1"/>
          <w:rPr>
            <w:rStyle w:val="PageNumber"/>
            <w:rFonts w:ascii="Times New Roman" w:hAnsi="Times New Roman" w:cs="Times New Roman"/>
          </w:rPr>
        </w:pPr>
        <w:r w:rsidRPr="00C02504">
          <w:rPr>
            <w:rStyle w:val="PageNumber"/>
            <w:rFonts w:ascii="Times New Roman" w:hAnsi="Times New Roman" w:cs="Times New Roman"/>
          </w:rPr>
          <w:fldChar w:fldCharType="begin"/>
        </w:r>
        <w:r w:rsidRPr="00C02504">
          <w:rPr>
            <w:rStyle w:val="PageNumber"/>
            <w:rFonts w:ascii="Times New Roman" w:hAnsi="Times New Roman" w:cs="Times New Roman"/>
          </w:rPr>
          <w:instrText xml:space="preserve"> PAGE </w:instrText>
        </w:r>
        <w:r w:rsidRPr="00C02504">
          <w:rPr>
            <w:rStyle w:val="PageNumber"/>
            <w:rFonts w:ascii="Times New Roman" w:hAnsi="Times New Roman" w:cs="Times New Roman"/>
          </w:rPr>
          <w:fldChar w:fldCharType="separate"/>
        </w:r>
        <w:r w:rsidRPr="00C02504">
          <w:rPr>
            <w:rStyle w:val="PageNumber"/>
            <w:rFonts w:ascii="Times New Roman" w:hAnsi="Times New Roman" w:cs="Times New Roman"/>
            <w:noProof/>
          </w:rPr>
          <w:t>2</w:t>
        </w:r>
        <w:r w:rsidRPr="00C02504">
          <w:rPr>
            <w:rStyle w:val="PageNumber"/>
            <w:rFonts w:ascii="Times New Roman" w:hAnsi="Times New Roman" w:cs="Times New Roman"/>
          </w:rPr>
          <w:fldChar w:fldCharType="end"/>
        </w:r>
      </w:p>
    </w:sdtContent>
  </w:sdt>
  <w:p w:rsidR="002F036F" w:rsidRPr="00C02504" w:rsidRDefault="002F036F" w:rsidP="00C02504">
    <w:pPr>
      <w:pStyle w:val="Header"/>
      <w:ind w:right="360"/>
      <w:jc w:val="right"/>
      <w:rPr>
        <w:rFonts w:ascii="Times New Roman" w:hAnsi="Times New Roman" w:cs="Times New Roman"/>
      </w:rPr>
    </w:pPr>
    <w:r w:rsidRPr="00C02504">
      <w:rPr>
        <w:rFonts w:ascii="Times New Roman" w:hAnsi="Times New Roman" w:cs="Times New Roman"/>
      </w:rPr>
      <w: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23D2"/>
    <w:multiLevelType w:val="hybridMultilevel"/>
    <w:tmpl w:val="6562C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31783"/>
    <w:multiLevelType w:val="hybridMultilevel"/>
    <w:tmpl w:val="6562C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D8391D"/>
    <w:multiLevelType w:val="hybridMultilevel"/>
    <w:tmpl w:val="89FC321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3B3D5DEF"/>
    <w:multiLevelType w:val="hybridMultilevel"/>
    <w:tmpl w:val="DA52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A57F9"/>
    <w:multiLevelType w:val="hybridMultilevel"/>
    <w:tmpl w:val="B23892D8"/>
    <w:lvl w:ilvl="0" w:tplc="B2BEB9F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428B"/>
    <w:multiLevelType w:val="hybridMultilevel"/>
    <w:tmpl w:val="137CCA7E"/>
    <w:lvl w:ilvl="0" w:tplc="67443D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11"/>
    <w:rsid w:val="00014052"/>
    <w:rsid w:val="00016C42"/>
    <w:rsid w:val="000274AA"/>
    <w:rsid w:val="000277FD"/>
    <w:rsid w:val="000568CF"/>
    <w:rsid w:val="00065CDF"/>
    <w:rsid w:val="00087B89"/>
    <w:rsid w:val="00090E09"/>
    <w:rsid w:val="00095475"/>
    <w:rsid w:val="000B3724"/>
    <w:rsid w:val="000B7D26"/>
    <w:rsid w:val="000C296C"/>
    <w:rsid w:val="000C34A9"/>
    <w:rsid w:val="000C479E"/>
    <w:rsid w:val="000D6A9F"/>
    <w:rsid w:val="00114688"/>
    <w:rsid w:val="00157948"/>
    <w:rsid w:val="00165A16"/>
    <w:rsid w:val="0016680B"/>
    <w:rsid w:val="00174172"/>
    <w:rsid w:val="001A1020"/>
    <w:rsid w:val="001A2C32"/>
    <w:rsid w:val="001A47A4"/>
    <w:rsid w:val="001A7525"/>
    <w:rsid w:val="001B12A2"/>
    <w:rsid w:val="001D13C9"/>
    <w:rsid w:val="001F06EE"/>
    <w:rsid w:val="0020085F"/>
    <w:rsid w:val="0021614C"/>
    <w:rsid w:val="00224E21"/>
    <w:rsid w:val="00230AE5"/>
    <w:rsid w:val="00247B40"/>
    <w:rsid w:val="00251469"/>
    <w:rsid w:val="00270CFD"/>
    <w:rsid w:val="00272159"/>
    <w:rsid w:val="00274CE2"/>
    <w:rsid w:val="002776D8"/>
    <w:rsid w:val="00294B16"/>
    <w:rsid w:val="002A5015"/>
    <w:rsid w:val="002B2FBE"/>
    <w:rsid w:val="002B61A7"/>
    <w:rsid w:val="002C13E4"/>
    <w:rsid w:val="002C7101"/>
    <w:rsid w:val="002E3F48"/>
    <w:rsid w:val="002F036F"/>
    <w:rsid w:val="002F4F67"/>
    <w:rsid w:val="00311C3A"/>
    <w:rsid w:val="00326C22"/>
    <w:rsid w:val="00340A76"/>
    <w:rsid w:val="003520F9"/>
    <w:rsid w:val="0035287E"/>
    <w:rsid w:val="00372C0D"/>
    <w:rsid w:val="003732D2"/>
    <w:rsid w:val="003B2A1C"/>
    <w:rsid w:val="003B4A12"/>
    <w:rsid w:val="003C44CF"/>
    <w:rsid w:val="003C6366"/>
    <w:rsid w:val="004336BD"/>
    <w:rsid w:val="00434B1C"/>
    <w:rsid w:val="00440BD2"/>
    <w:rsid w:val="004443F6"/>
    <w:rsid w:val="00454C61"/>
    <w:rsid w:val="00454CF9"/>
    <w:rsid w:val="00467474"/>
    <w:rsid w:val="00480783"/>
    <w:rsid w:val="004A2509"/>
    <w:rsid w:val="004A4B9B"/>
    <w:rsid w:val="004B7BC2"/>
    <w:rsid w:val="004F0D07"/>
    <w:rsid w:val="00521CD5"/>
    <w:rsid w:val="00552FBC"/>
    <w:rsid w:val="00553211"/>
    <w:rsid w:val="00557A50"/>
    <w:rsid w:val="005908B1"/>
    <w:rsid w:val="00590FAF"/>
    <w:rsid w:val="005B198F"/>
    <w:rsid w:val="005B6662"/>
    <w:rsid w:val="005D3613"/>
    <w:rsid w:val="005D6923"/>
    <w:rsid w:val="005E5D30"/>
    <w:rsid w:val="00623B00"/>
    <w:rsid w:val="006366DB"/>
    <w:rsid w:val="006430F1"/>
    <w:rsid w:val="00650EF8"/>
    <w:rsid w:val="006541E6"/>
    <w:rsid w:val="006610EB"/>
    <w:rsid w:val="00661F44"/>
    <w:rsid w:val="00675C06"/>
    <w:rsid w:val="00682171"/>
    <w:rsid w:val="00682962"/>
    <w:rsid w:val="00693974"/>
    <w:rsid w:val="006A330E"/>
    <w:rsid w:val="006A4648"/>
    <w:rsid w:val="006D78B3"/>
    <w:rsid w:val="006E6FD5"/>
    <w:rsid w:val="006F582B"/>
    <w:rsid w:val="0070285F"/>
    <w:rsid w:val="00703E7F"/>
    <w:rsid w:val="007201EE"/>
    <w:rsid w:val="00731882"/>
    <w:rsid w:val="007346D8"/>
    <w:rsid w:val="00743A34"/>
    <w:rsid w:val="00750EB0"/>
    <w:rsid w:val="00751081"/>
    <w:rsid w:val="007520A7"/>
    <w:rsid w:val="0077170B"/>
    <w:rsid w:val="00782BE4"/>
    <w:rsid w:val="00791950"/>
    <w:rsid w:val="00796A21"/>
    <w:rsid w:val="007C5991"/>
    <w:rsid w:val="00806587"/>
    <w:rsid w:val="00827D56"/>
    <w:rsid w:val="00837C2F"/>
    <w:rsid w:val="00843385"/>
    <w:rsid w:val="00844C10"/>
    <w:rsid w:val="008562E2"/>
    <w:rsid w:val="00887C4A"/>
    <w:rsid w:val="008C7CC3"/>
    <w:rsid w:val="008D5F4C"/>
    <w:rsid w:val="008E1C5B"/>
    <w:rsid w:val="00916832"/>
    <w:rsid w:val="00926C3E"/>
    <w:rsid w:val="00947DA1"/>
    <w:rsid w:val="00963785"/>
    <w:rsid w:val="009644B4"/>
    <w:rsid w:val="00991381"/>
    <w:rsid w:val="009A0FF5"/>
    <w:rsid w:val="009A496F"/>
    <w:rsid w:val="009B34B0"/>
    <w:rsid w:val="009D04BA"/>
    <w:rsid w:val="009F2C7B"/>
    <w:rsid w:val="00A07544"/>
    <w:rsid w:val="00A5278F"/>
    <w:rsid w:val="00A628A7"/>
    <w:rsid w:val="00A66F1A"/>
    <w:rsid w:val="00A7096B"/>
    <w:rsid w:val="00A75150"/>
    <w:rsid w:val="00A93FE5"/>
    <w:rsid w:val="00AA343C"/>
    <w:rsid w:val="00AB42F8"/>
    <w:rsid w:val="00AB5602"/>
    <w:rsid w:val="00AB78A0"/>
    <w:rsid w:val="00AC5ED9"/>
    <w:rsid w:val="00AE0B4F"/>
    <w:rsid w:val="00AE6E47"/>
    <w:rsid w:val="00AE7C73"/>
    <w:rsid w:val="00AF63DE"/>
    <w:rsid w:val="00B00C31"/>
    <w:rsid w:val="00B02C7B"/>
    <w:rsid w:val="00B059F6"/>
    <w:rsid w:val="00B177D7"/>
    <w:rsid w:val="00B32CC5"/>
    <w:rsid w:val="00B51FC9"/>
    <w:rsid w:val="00B5229F"/>
    <w:rsid w:val="00B56F38"/>
    <w:rsid w:val="00B75AFC"/>
    <w:rsid w:val="00B82972"/>
    <w:rsid w:val="00B86639"/>
    <w:rsid w:val="00BA5D79"/>
    <w:rsid w:val="00BB68CF"/>
    <w:rsid w:val="00BE352C"/>
    <w:rsid w:val="00C02504"/>
    <w:rsid w:val="00C21EC1"/>
    <w:rsid w:val="00C265AC"/>
    <w:rsid w:val="00C37074"/>
    <w:rsid w:val="00C501B6"/>
    <w:rsid w:val="00C55BEB"/>
    <w:rsid w:val="00C66F8E"/>
    <w:rsid w:val="00C67E36"/>
    <w:rsid w:val="00C8708A"/>
    <w:rsid w:val="00C92DC3"/>
    <w:rsid w:val="00CA28E1"/>
    <w:rsid w:val="00CA4DB3"/>
    <w:rsid w:val="00CC77E7"/>
    <w:rsid w:val="00D03244"/>
    <w:rsid w:val="00D058FB"/>
    <w:rsid w:val="00D21E10"/>
    <w:rsid w:val="00D24A54"/>
    <w:rsid w:val="00D26489"/>
    <w:rsid w:val="00D37445"/>
    <w:rsid w:val="00D44412"/>
    <w:rsid w:val="00D57AFF"/>
    <w:rsid w:val="00D748B9"/>
    <w:rsid w:val="00D757A3"/>
    <w:rsid w:val="00D94CD1"/>
    <w:rsid w:val="00DA0C07"/>
    <w:rsid w:val="00DA2B07"/>
    <w:rsid w:val="00DA71F0"/>
    <w:rsid w:val="00DB511E"/>
    <w:rsid w:val="00DC3A73"/>
    <w:rsid w:val="00DD5390"/>
    <w:rsid w:val="00DE77DA"/>
    <w:rsid w:val="00DF4EE7"/>
    <w:rsid w:val="00E03533"/>
    <w:rsid w:val="00E03F29"/>
    <w:rsid w:val="00E06CB2"/>
    <w:rsid w:val="00E13689"/>
    <w:rsid w:val="00E23E6D"/>
    <w:rsid w:val="00E26DF7"/>
    <w:rsid w:val="00E3115E"/>
    <w:rsid w:val="00E371C7"/>
    <w:rsid w:val="00E44ED2"/>
    <w:rsid w:val="00E65154"/>
    <w:rsid w:val="00E72BEF"/>
    <w:rsid w:val="00E872F5"/>
    <w:rsid w:val="00E94626"/>
    <w:rsid w:val="00EB5687"/>
    <w:rsid w:val="00EC0430"/>
    <w:rsid w:val="00ED1777"/>
    <w:rsid w:val="00EE3D23"/>
    <w:rsid w:val="00F215EB"/>
    <w:rsid w:val="00F22362"/>
    <w:rsid w:val="00F23BED"/>
    <w:rsid w:val="00F245F8"/>
    <w:rsid w:val="00F47E42"/>
    <w:rsid w:val="00F5218A"/>
    <w:rsid w:val="00F56606"/>
    <w:rsid w:val="00F65FA3"/>
    <w:rsid w:val="00F66A00"/>
    <w:rsid w:val="00F75B06"/>
    <w:rsid w:val="00F830D0"/>
    <w:rsid w:val="00FA2DF4"/>
    <w:rsid w:val="00FC79E3"/>
    <w:rsid w:val="00FD2A79"/>
    <w:rsid w:val="00FD2AC6"/>
    <w:rsid w:val="00FD78D5"/>
    <w:rsid w:val="00FE1B42"/>
    <w:rsid w:val="00FE6048"/>
    <w:rsid w:val="00FF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9528"/>
  <w15:chartTrackingRefBased/>
  <w15:docId w15:val="{4DE2E73A-708C-634B-8739-49EEE809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211"/>
    <w:pPr>
      <w:ind w:left="720"/>
      <w:contextualSpacing/>
    </w:pPr>
  </w:style>
  <w:style w:type="paragraph" w:styleId="Subtitle">
    <w:name w:val="Subtitle"/>
    <w:basedOn w:val="Normal"/>
    <w:next w:val="Normal"/>
    <w:link w:val="SubtitleChar"/>
    <w:uiPriority w:val="11"/>
    <w:qFormat/>
    <w:rsid w:val="0055321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53211"/>
    <w:rPr>
      <w:rFonts w:eastAsiaTheme="minorEastAsia"/>
      <w:color w:val="5A5A5A" w:themeColor="text1" w:themeTint="A5"/>
      <w:spacing w:val="15"/>
      <w:sz w:val="22"/>
      <w:szCs w:val="22"/>
    </w:rPr>
  </w:style>
  <w:style w:type="paragraph" w:customStyle="1" w:styleId="Default">
    <w:name w:val="Default"/>
    <w:rsid w:val="00247B4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926C3E"/>
    <w:rPr>
      <w:sz w:val="20"/>
      <w:szCs w:val="20"/>
    </w:rPr>
  </w:style>
  <w:style w:type="character" w:customStyle="1" w:styleId="FootnoteTextChar">
    <w:name w:val="Footnote Text Char"/>
    <w:basedOn w:val="DefaultParagraphFont"/>
    <w:link w:val="FootnoteText"/>
    <w:uiPriority w:val="99"/>
    <w:semiHidden/>
    <w:rsid w:val="00926C3E"/>
    <w:rPr>
      <w:sz w:val="20"/>
      <w:szCs w:val="20"/>
    </w:rPr>
  </w:style>
  <w:style w:type="character" w:styleId="FootnoteReference">
    <w:name w:val="footnote reference"/>
    <w:basedOn w:val="DefaultParagraphFont"/>
    <w:uiPriority w:val="99"/>
    <w:semiHidden/>
    <w:unhideWhenUsed/>
    <w:rsid w:val="00926C3E"/>
    <w:rPr>
      <w:vertAlign w:val="superscript"/>
    </w:rPr>
  </w:style>
  <w:style w:type="character" w:styleId="Hyperlink">
    <w:name w:val="Hyperlink"/>
    <w:basedOn w:val="DefaultParagraphFont"/>
    <w:uiPriority w:val="99"/>
    <w:unhideWhenUsed/>
    <w:rsid w:val="00EE3D23"/>
    <w:rPr>
      <w:color w:val="0563C1" w:themeColor="hyperlink"/>
      <w:u w:val="single"/>
    </w:rPr>
  </w:style>
  <w:style w:type="character" w:styleId="UnresolvedMention">
    <w:name w:val="Unresolved Mention"/>
    <w:basedOn w:val="DefaultParagraphFont"/>
    <w:uiPriority w:val="99"/>
    <w:semiHidden/>
    <w:unhideWhenUsed/>
    <w:rsid w:val="00EE3D23"/>
    <w:rPr>
      <w:color w:val="605E5C"/>
      <w:shd w:val="clear" w:color="auto" w:fill="E1DFDD"/>
    </w:rPr>
  </w:style>
  <w:style w:type="character" w:styleId="Strong">
    <w:name w:val="Strong"/>
    <w:basedOn w:val="DefaultParagraphFont"/>
    <w:uiPriority w:val="22"/>
    <w:qFormat/>
    <w:rsid w:val="00C02504"/>
    <w:rPr>
      <w:b/>
      <w:bCs/>
    </w:rPr>
  </w:style>
  <w:style w:type="paragraph" w:styleId="Header">
    <w:name w:val="header"/>
    <w:basedOn w:val="Normal"/>
    <w:link w:val="HeaderChar"/>
    <w:uiPriority w:val="99"/>
    <w:unhideWhenUsed/>
    <w:rsid w:val="00C02504"/>
    <w:pPr>
      <w:tabs>
        <w:tab w:val="center" w:pos="4680"/>
        <w:tab w:val="right" w:pos="9360"/>
      </w:tabs>
    </w:pPr>
  </w:style>
  <w:style w:type="character" w:customStyle="1" w:styleId="HeaderChar">
    <w:name w:val="Header Char"/>
    <w:basedOn w:val="DefaultParagraphFont"/>
    <w:link w:val="Header"/>
    <w:uiPriority w:val="99"/>
    <w:rsid w:val="00C02504"/>
  </w:style>
  <w:style w:type="character" w:styleId="PageNumber">
    <w:name w:val="page number"/>
    <w:basedOn w:val="DefaultParagraphFont"/>
    <w:uiPriority w:val="99"/>
    <w:semiHidden/>
    <w:unhideWhenUsed/>
    <w:rsid w:val="00C02504"/>
  </w:style>
  <w:style w:type="paragraph" w:styleId="Footer">
    <w:name w:val="footer"/>
    <w:basedOn w:val="Normal"/>
    <w:link w:val="FooterChar"/>
    <w:uiPriority w:val="99"/>
    <w:unhideWhenUsed/>
    <w:rsid w:val="00C02504"/>
    <w:pPr>
      <w:tabs>
        <w:tab w:val="center" w:pos="4680"/>
        <w:tab w:val="right" w:pos="9360"/>
      </w:tabs>
    </w:pPr>
  </w:style>
  <w:style w:type="character" w:customStyle="1" w:styleId="FooterChar">
    <w:name w:val="Footer Char"/>
    <w:basedOn w:val="DefaultParagraphFont"/>
    <w:link w:val="Footer"/>
    <w:uiPriority w:val="99"/>
    <w:rsid w:val="00C02504"/>
  </w:style>
  <w:style w:type="paragraph" w:styleId="NoSpacing">
    <w:name w:val="No Spacing"/>
    <w:link w:val="NoSpacingChar"/>
    <w:uiPriority w:val="1"/>
    <w:qFormat/>
    <w:rsid w:val="00C02504"/>
    <w:rPr>
      <w:rFonts w:eastAsiaTheme="minorEastAsia"/>
      <w:sz w:val="22"/>
      <w:szCs w:val="22"/>
      <w:lang w:eastAsia="zh-CN"/>
    </w:rPr>
  </w:style>
  <w:style w:type="character" w:customStyle="1" w:styleId="NoSpacingChar">
    <w:name w:val="No Spacing Char"/>
    <w:basedOn w:val="DefaultParagraphFont"/>
    <w:link w:val="NoSpacing"/>
    <w:uiPriority w:val="1"/>
    <w:rsid w:val="00C02504"/>
    <w:rPr>
      <w:rFonts w:eastAsiaTheme="minorEastAsia"/>
      <w:sz w:val="22"/>
      <w:szCs w:val="22"/>
      <w:lang w:eastAsia="zh-CN"/>
    </w:rPr>
  </w:style>
  <w:style w:type="character" w:styleId="Emphasis">
    <w:name w:val="Emphasis"/>
    <w:basedOn w:val="DefaultParagraphFont"/>
    <w:uiPriority w:val="20"/>
    <w:qFormat/>
    <w:rsid w:val="00661F44"/>
    <w:rPr>
      <w:i/>
      <w:iCs/>
    </w:rPr>
  </w:style>
  <w:style w:type="paragraph" w:customStyle="1" w:styleId="Section">
    <w:name w:val="Section"/>
    <w:basedOn w:val="Normal"/>
    <w:qFormat/>
    <w:rsid w:val="00661F44"/>
    <w:rPr>
      <w:rFonts w:ascii="Times New Roman" w:hAnsi="Times New Roman" w:cs="Times New Roman"/>
      <w:b/>
      <w:smallCaps/>
    </w:rPr>
  </w:style>
  <w:style w:type="paragraph" w:customStyle="1" w:styleId="Subsection">
    <w:name w:val="Subsection"/>
    <w:basedOn w:val="Normal"/>
    <w:qFormat/>
    <w:rsid w:val="00661F44"/>
    <w:rPr>
      <w:rFonts w:ascii="Times New Roman" w:hAnsi="Times New Roman" w:cs="Times New Roman"/>
      <w:b/>
    </w:rPr>
  </w:style>
  <w:style w:type="paragraph" w:customStyle="1" w:styleId="subsubsection">
    <w:name w:val="subsubsection"/>
    <w:basedOn w:val="Normal"/>
    <w:qFormat/>
    <w:rsid w:val="00661F44"/>
    <w:rPr>
      <w:rFonts w:ascii="Times New Roman" w:hAnsi="Times New Roman" w:cs="Times New Roman"/>
      <w:b/>
      <w:i/>
    </w:rPr>
  </w:style>
  <w:style w:type="table" w:styleId="TableGrid">
    <w:name w:val="Table Grid"/>
    <w:basedOn w:val="TableNormal"/>
    <w:uiPriority w:val="39"/>
    <w:rsid w:val="00A9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93F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93F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A93FE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791950"/>
    <w:pPr>
      <w:spacing w:before="100" w:beforeAutospacing="1" w:after="100" w:afterAutospacing="1"/>
    </w:pPr>
    <w:rPr>
      <w:rFonts w:ascii="Times New Roman" w:eastAsia="Times New Roman" w:hAnsi="Times New Roman" w:cs="Times New Roman"/>
    </w:rPr>
  </w:style>
  <w:style w:type="table" w:styleId="PlainTable4">
    <w:name w:val="Plain Table 4"/>
    <w:basedOn w:val="TableNormal"/>
    <w:uiPriority w:val="44"/>
    <w:rsid w:val="00E872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Web"/>
    <w:qFormat/>
    <w:rsid w:val="00DC3A73"/>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2469">
      <w:bodyDiv w:val="1"/>
      <w:marLeft w:val="0"/>
      <w:marRight w:val="0"/>
      <w:marTop w:val="0"/>
      <w:marBottom w:val="0"/>
      <w:divBdr>
        <w:top w:val="none" w:sz="0" w:space="0" w:color="auto"/>
        <w:left w:val="none" w:sz="0" w:space="0" w:color="auto"/>
        <w:bottom w:val="none" w:sz="0" w:space="0" w:color="auto"/>
        <w:right w:val="none" w:sz="0" w:space="0" w:color="auto"/>
      </w:divBdr>
    </w:div>
    <w:div w:id="81029188">
      <w:bodyDiv w:val="1"/>
      <w:marLeft w:val="0"/>
      <w:marRight w:val="0"/>
      <w:marTop w:val="0"/>
      <w:marBottom w:val="0"/>
      <w:divBdr>
        <w:top w:val="none" w:sz="0" w:space="0" w:color="auto"/>
        <w:left w:val="none" w:sz="0" w:space="0" w:color="auto"/>
        <w:bottom w:val="none" w:sz="0" w:space="0" w:color="auto"/>
        <w:right w:val="none" w:sz="0" w:space="0" w:color="auto"/>
      </w:divBdr>
    </w:div>
    <w:div w:id="228081295">
      <w:bodyDiv w:val="1"/>
      <w:marLeft w:val="0"/>
      <w:marRight w:val="0"/>
      <w:marTop w:val="0"/>
      <w:marBottom w:val="0"/>
      <w:divBdr>
        <w:top w:val="none" w:sz="0" w:space="0" w:color="auto"/>
        <w:left w:val="none" w:sz="0" w:space="0" w:color="auto"/>
        <w:bottom w:val="none" w:sz="0" w:space="0" w:color="auto"/>
        <w:right w:val="none" w:sz="0" w:space="0" w:color="auto"/>
      </w:divBdr>
    </w:div>
    <w:div w:id="263880020">
      <w:bodyDiv w:val="1"/>
      <w:marLeft w:val="0"/>
      <w:marRight w:val="0"/>
      <w:marTop w:val="0"/>
      <w:marBottom w:val="0"/>
      <w:divBdr>
        <w:top w:val="none" w:sz="0" w:space="0" w:color="auto"/>
        <w:left w:val="none" w:sz="0" w:space="0" w:color="auto"/>
        <w:bottom w:val="none" w:sz="0" w:space="0" w:color="auto"/>
        <w:right w:val="none" w:sz="0" w:space="0" w:color="auto"/>
      </w:divBdr>
    </w:div>
    <w:div w:id="273557443">
      <w:bodyDiv w:val="1"/>
      <w:marLeft w:val="0"/>
      <w:marRight w:val="0"/>
      <w:marTop w:val="0"/>
      <w:marBottom w:val="0"/>
      <w:divBdr>
        <w:top w:val="none" w:sz="0" w:space="0" w:color="auto"/>
        <w:left w:val="none" w:sz="0" w:space="0" w:color="auto"/>
        <w:bottom w:val="none" w:sz="0" w:space="0" w:color="auto"/>
        <w:right w:val="none" w:sz="0" w:space="0" w:color="auto"/>
      </w:divBdr>
    </w:div>
    <w:div w:id="275526150">
      <w:bodyDiv w:val="1"/>
      <w:marLeft w:val="0"/>
      <w:marRight w:val="0"/>
      <w:marTop w:val="0"/>
      <w:marBottom w:val="0"/>
      <w:divBdr>
        <w:top w:val="none" w:sz="0" w:space="0" w:color="auto"/>
        <w:left w:val="none" w:sz="0" w:space="0" w:color="auto"/>
        <w:bottom w:val="none" w:sz="0" w:space="0" w:color="auto"/>
        <w:right w:val="none" w:sz="0" w:space="0" w:color="auto"/>
      </w:divBdr>
    </w:div>
    <w:div w:id="312294375">
      <w:bodyDiv w:val="1"/>
      <w:marLeft w:val="0"/>
      <w:marRight w:val="0"/>
      <w:marTop w:val="0"/>
      <w:marBottom w:val="0"/>
      <w:divBdr>
        <w:top w:val="none" w:sz="0" w:space="0" w:color="auto"/>
        <w:left w:val="none" w:sz="0" w:space="0" w:color="auto"/>
        <w:bottom w:val="none" w:sz="0" w:space="0" w:color="auto"/>
        <w:right w:val="none" w:sz="0" w:space="0" w:color="auto"/>
      </w:divBdr>
    </w:div>
    <w:div w:id="333193019">
      <w:bodyDiv w:val="1"/>
      <w:marLeft w:val="0"/>
      <w:marRight w:val="0"/>
      <w:marTop w:val="0"/>
      <w:marBottom w:val="0"/>
      <w:divBdr>
        <w:top w:val="none" w:sz="0" w:space="0" w:color="auto"/>
        <w:left w:val="none" w:sz="0" w:space="0" w:color="auto"/>
        <w:bottom w:val="none" w:sz="0" w:space="0" w:color="auto"/>
        <w:right w:val="none" w:sz="0" w:space="0" w:color="auto"/>
      </w:divBdr>
    </w:div>
    <w:div w:id="347751912">
      <w:bodyDiv w:val="1"/>
      <w:marLeft w:val="0"/>
      <w:marRight w:val="0"/>
      <w:marTop w:val="0"/>
      <w:marBottom w:val="0"/>
      <w:divBdr>
        <w:top w:val="none" w:sz="0" w:space="0" w:color="auto"/>
        <w:left w:val="none" w:sz="0" w:space="0" w:color="auto"/>
        <w:bottom w:val="none" w:sz="0" w:space="0" w:color="auto"/>
        <w:right w:val="none" w:sz="0" w:space="0" w:color="auto"/>
      </w:divBdr>
    </w:div>
    <w:div w:id="390886755">
      <w:bodyDiv w:val="1"/>
      <w:marLeft w:val="0"/>
      <w:marRight w:val="0"/>
      <w:marTop w:val="0"/>
      <w:marBottom w:val="0"/>
      <w:divBdr>
        <w:top w:val="none" w:sz="0" w:space="0" w:color="auto"/>
        <w:left w:val="none" w:sz="0" w:space="0" w:color="auto"/>
        <w:bottom w:val="none" w:sz="0" w:space="0" w:color="auto"/>
        <w:right w:val="none" w:sz="0" w:space="0" w:color="auto"/>
      </w:divBdr>
    </w:div>
    <w:div w:id="416633900">
      <w:bodyDiv w:val="1"/>
      <w:marLeft w:val="0"/>
      <w:marRight w:val="0"/>
      <w:marTop w:val="0"/>
      <w:marBottom w:val="0"/>
      <w:divBdr>
        <w:top w:val="none" w:sz="0" w:space="0" w:color="auto"/>
        <w:left w:val="none" w:sz="0" w:space="0" w:color="auto"/>
        <w:bottom w:val="none" w:sz="0" w:space="0" w:color="auto"/>
        <w:right w:val="none" w:sz="0" w:space="0" w:color="auto"/>
      </w:divBdr>
    </w:div>
    <w:div w:id="518088694">
      <w:bodyDiv w:val="1"/>
      <w:marLeft w:val="0"/>
      <w:marRight w:val="0"/>
      <w:marTop w:val="0"/>
      <w:marBottom w:val="0"/>
      <w:divBdr>
        <w:top w:val="none" w:sz="0" w:space="0" w:color="auto"/>
        <w:left w:val="none" w:sz="0" w:space="0" w:color="auto"/>
        <w:bottom w:val="none" w:sz="0" w:space="0" w:color="auto"/>
        <w:right w:val="none" w:sz="0" w:space="0" w:color="auto"/>
      </w:divBdr>
    </w:div>
    <w:div w:id="522982506">
      <w:bodyDiv w:val="1"/>
      <w:marLeft w:val="0"/>
      <w:marRight w:val="0"/>
      <w:marTop w:val="0"/>
      <w:marBottom w:val="0"/>
      <w:divBdr>
        <w:top w:val="none" w:sz="0" w:space="0" w:color="auto"/>
        <w:left w:val="none" w:sz="0" w:space="0" w:color="auto"/>
        <w:bottom w:val="none" w:sz="0" w:space="0" w:color="auto"/>
        <w:right w:val="none" w:sz="0" w:space="0" w:color="auto"/>
      </w:divBdr>
    </w:div>
    <w:div w:id="533230336">
      <w:bodyDiv w:val="1"/>
      <w:marLeft w:val="0"/>
      <w:marRight w:val="0"/>
      <w:marTop w:val="0"/>
      <w:marBottom w:val="0"/>
      <w:divBdr>
        <w:top w:val="none" w:sz="0" w:space="0" w:color="auto"/>
        <w:left w:val="none" w:sz="0" w:space="0" w:color="auto"/>
        <w:bottom w:val="none" w:sz="0" w:space="0" w:color="auto"/>
        <w:right w:val="none" w:sz="0" w:space="0" w:color="auto"/>
      </w:divBdr>
    </w:div>
    <w:div w:id="542332591">
      <w:bodyDiv w:val="1"/>
      <w:marLeft w:val="0"/>
      <w:marRight w:val="0"/>
      <w:marTop w:val="0"/>
      <w:marBottom w:val="0"/>
      <w:divBdr>
        <w:top w:val="none" w:sz="0" w:space="0" w:color="auto"/>
        <w:left w:val="none" w:sz="0" w:space="0" w:color="auto"/>
        <w:bottom w:val="none" w:sz="0" w:space="0" w:color="auto"/>
        <w:right w:val="none" w:sz="0" w:space="0" w:color="auto"/>
      </w:divBdr>
    </w:div>
    <w:div w:id="568538498">
      <w:bodyDiv w:val="1"/>
      <w:marLeft w:val="0"/>
      <w:marRight w:val="0"/>
      <w:marTop w:val="0"/>
      <w:marBottom w:val="0"/>
      <w:divBdr>
        <w:top w:val="none" w:sz="0" w:space="0" w:color="auto"/>
        <w:left w:val="none" w:sz="0" w:space="0" w:color="auto"/>
        <w:bottom w:val="none" w:sz="0" w:space="0" w:color="auto"/>
        <w:right w:val="none" w:sz="0" w:space="0" w:color="auto"/>
      </w:divBdr>
    </w:div>
    <w:div w:id="592280491">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70832859">
      <w:bodyDiv w:val="1"/>
      <w:marLeft w:val="0"/>
      <w:marRight w:val="0"/>
      <w:marTop w:val="0"/>
      <w:marBottom w:val="0"/>
      <w:divBdr>
        <w:top w:val="none" w:sz="0" w:space="0" w:color="auto"/>
        <w:left w:val="none" w:sz="0" w:space="0" w:color="auto"/>
        <w:bottom w:val="none" w:sz="0" w:space="0" w:color="auto"/>
        <w:right w:val="none" w:sz="0" w:space="0" w:color="auto"/>
      </w:divBdr>
    </w:div>
    <w:div w:id="730814532">
      <w:bodyDiv w:val="1"/>
      <w:marLeft w:val="0"/>
      <w:marRight w:val="0"/>
      <w:marTop w:val="0"/>
      <w:marBottom w:val="0"/>
      <w:divBdr>
        <w:top w:val="none" w:sz="0" w:space="0" w:color="auto"/>
        <w:left w:val="none" w:sz="0" w:space="0" w:color="auto"/>
        <w:bottom w:val="none" w:sz="0" w:space="0" w:color="auto"/>
        <w:right w:val="none" w:sz="0" w:space="0" w:color="auto"/>
      </w:divBdr>
    </w:div>
    <w:div w:id="750471980">
      <w:bodyDiv w:val="1"/>
      <w:marLeft w:val="0"/>
      <w:marRight w:val="0"/>
      <w:marTop w:val="0"/>
      <w:marBottom w:val="0"/>
      <w:divBdr>
        <w:top w:val="none" w:sz="0" w:space="0" w:color="auto"/>
        <w:left w:val="none" w:sz="0" w:space="0" w:color="auto"/>
        <w:bottom w:val="none" w:sz="0" w:space="0" w:color="auto"/>
        <w:right w:val="none" w:sz="0" w:space="0" w:color="auto"/>
      </w:divBdr>
    </w:div>
    <w:div w:id="761291941">
      <w:bodyDiv w:val="1"/>
      <w:marLeft w:val="0"/>
      <w:marRight w:val="0"/>
      <w:marTop w:val="0"/>
      <w:marBottom w:val="0"/>
      <w:divBdr>
        <w:top w:val="none" w:sz="0" w:space="0" w:color="auto"/>
        <w:left w:val="none" w:sz="0" w:space="0" w:color="auto"/>
        <w:bottom w:val="none" w:sz="0" w:space="0" w:color="auto"/>
        <w:right w:val="none" w:sz="0" w:space="0" w:color="auto"/>
      </w:divBdr>
    </w:div>
    <w:div w:id="804082174">
      <w:bodyDiv w:val="1"/>
      <w:marLeft w:val="0"/>
      <w:marRight w:val="0"/>
      <w:marTop w:val="0"/>
      <w:marBottom w:val="0"/>
      <w:divBdr>
        <w:top w:val="none" w:sz="0" w:space="0" w:color="auto"/>
        <w:left w:val="none" w:sz="0" w:space="0" w:color="auto"/>
        <w:bottom w:val="none" w:sz="0" w:space="0" w:color="auto"/>
        <w:right w:val="none" w:sz="0" w:space="0" w:color="auto"/>
      </w:divBdr>
    </w:div>
    <w:div w:id="813914941">
      <w:bodyDiv w:val="1"/>
      <w:marLeft w:val="0"/>
      <w:marRight w:val="0"/>
      <w:marTop w:val="0"/>
      <w:marBottom w:val="0"/>
      <w:divBdr>
        <w:top w:val="none" w:sz="0" w:space="0" w:color="auto"/>
        <w:left w:val="none" w:sz="0" w:space="0" w:color="auto"/>
        <w:bottom w:val="none" w:sz="0" w:space="0" w:color="auto"/>
        <w:right w:val="none" w:sz="0" w:space="0" w:color="auto"/>
      </w:divBdr>
    </w:div>
    <w:div w:id="815562621">
      <w:bodyDiv w:val="1"/>
      <w:marLeft w:val="0"/>
      <w:marRight w:val="0"/>
      <w:marTop w:val="0"/>
      <w:marBottom w:val="0"/>
      <w:divBdr>
        <w:top w:val="none" w:sz="0" w:space="0" w:color="auto"/>
        <w:left w:val="none" w:sz="0" w:space="0" w:color="auto"/>
        <w:bottom w:val="none" w:sz="0" w:space="0" w:color="auto"/>
        <w:right w:val="none" w:sz="0" w:space="0" w:color="auto"/>
      </w:divBdr>
    </w:div>
    <w:div w:id="902911247">
      <w:bodyDiv w:val="1"/>
      <w:marLeft w:val="0"/>
      <w:marRight w:val="0"/>
      <w:marTop w:val="0"/>
      <w:marBottom w:val="0"/>
      <w:divBdr>
        <w:top w:val="none" w:sz="0" w:space="0" w:color="auto"/>
        <w:left w:val="none" w:sz="0" w:space="0" w:color="auto"/>
        <w:bottom w:val="none" w:sz="0" w:space="0" w:color="auto"/>
        <w:right w:val="none" w:sz="0" w:space="0" w:color="auto"/>
      </w:divBdr>
    </w:div>
    <w:div w:id="961032004">
      <w:bodyDiv w:val="1"/>
      <w:marLeft w:val="0"/>
      <w:marRight w:val="0"/>
      <w:marTop w:val="0"/>
      <w:marBottom w:val="0"/>
      <w:divBdr>
        <w:top w:val="none" w:sz="0" w:space="0" w:color="auto"/>
        <w:left w:val="none" w:sz="0" w:space="0" w:color="auto"/>
        <w:bottom w:val="none" w:sz="0" w:space="0" w:color="auto"/>
        <w:right w:val="none" w:sz="0" w:space="0" w:color="auto"/>
      </w:divBdr>
      <w:divsChild>
        <w:div w:id="140847649">
          <w:marLeft w:val="0"/>
          <w:marRight w:val="0"/>
          <w:marTop w:val="0"/>
          <w:marBottom w:val="0"/>
          <w:divBdr>
            <w:top w:val="none" w:sz="0" w:space="0" w:color="auto"/>
            <w:left w:val="none" w:sz="0" w:space="0" w:color="auto"/>
            <w:bottom w:val="none" w:sz="0" w:space="0" w:color="auto"/>
            <w:right w:val="none" w:sz="0" w:space="0" w:color="auto"/>
          </w:divBdr>
          <w:divsChild>
            <w:div w:id="1807972581">
              <w:marLeft w:val="0"/>
              <w:marRight w:val="0"/>
              <w:marTop w:val="0"/>
              <w:marBottom w:val="0"/>
              <w:divBdr>
                <w:top w:val="none" w:sz="0" w:space="0" w:color="auto"/>
                <w:left w:val="none" w:sz="0" w:space="0" w:color="auto"/>
                <w:bottom w:val="none" w:sz="0" w:space="0" w:color="auto"/>
                <w:right w:val="none" w:sz="0" w:space="0" w:color="auto"/>
              </w:divBdr>
              <w:divsChild>
                <w:div w:id="163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8598">
      <w:bodyDiv w:val="1"/>
      <w:marLeft w:val="0"/>
      <w:marRight w:val="0"/>
      <w:marTop w:val="0"/>
      <w:marBottom w:val="0"/>
      <w:divBdr>
        <w:top w:val="none" w:sz="0" w:space="0" w:color="auto"/>
        <w:left w:val="none" w:sz="0" w:space="0" w:color="auto"/>
        <w:bottom w:val="none" w:sz="0" w:space="0" w:color="auto"/>
        <w:right w:val="none" w:sz="0" w:space="0" w:color="auto"/>
      </w:divBdr>
    </w:div>
    <w:div w:id="1027104762">
      <w:bodyDiv w:val="1"/>
      <w:marLeft w:val="0"/>
      <w:marRight w:val="0"/>
      <w:marTop w:val="0"/>
      <w:marBottom w:val="0"/>
      <w:divBdr>
        <w:top w:val="none" w:sz="0" w:space="0" w:color="auto"/>
        <w:left w:val="none" w:sz="0" w:space="0" w:color="auto"/>
        <w:bottom w:val="none" w:sz="0" w:space="0" w:color="auto"/>
        <w:right w:val="none" w:sz="0" w:space="0" w:color="auto"/>
      </w:divBdr>
    </w:div>
    <w:div w:id="1057705947">
      <w:bodyDiv w:val="1"/>
      <w:marLeft w:val="0"/>
      <w:marRight w:val="0"/>
      <w:marTop w:val="0"/>
      <w:marBottom w:val="0"/>
      <w:divBdr>
        <w:top w:val="none" w:sz="0" w:space="0" w:color="auto"/>
        <w:left w:val="none" w:sz="0" w:space="0" w:color="auto"/>
        <w:bottom w:val="none" w:sz="0" w:space="0" w:color="auto"/>
        <w:right w:val="none" w:sz="0" w:space="0" w:color="auto"/>
      </w:divBdr>
    </w:div>
    <w:div w:id="1185443576">
      <w:bodyDiv w:val="1"/>
      <w:marLeft w:val="0"/>
      <w:marRight w:val="0"/>
      <w:marTop w:val="0"/>
      <w:marBottom w:val="0"/>
      <w:divBdr>
        <w:top w:val="none" w:sz="0" w:space="0" w:color="auto"/>
        <w:left w:val="none" w:sz="0" w:space="0" w:color="auto"/>
        <w:bottom w:val="none" w:sz="0" w:space="0" w:color="auto"/>
        <w:right w:val="none" w:sz="0" w:space="0" w:color="auto"/>
      </w:divBdr>
    </w:div>
    <w:div w:id="1356153461">
      <w:bodyDiv w:val="1"/>
      <w:marLeft w:val="0"/>
      <w:marRight w:val="0"/>
      <w:marTop w:val="0"/>
      <w:marBottom w:val="0"/>
      <w:divBdr>
        <w:top w:val="none" w:sz="0" w:space="0" w:color="auto"/>
        <w:left w:val="none" w:sz="0" w:space="0" w:color="auto"/>
        <w:bottom w:val="none" w:sz="0" w:space="0" w:color="auto"/>
        <w:right w:val="none" w:sz="0" w:space="0" w:color="auto"/>
      </w:divBdr>
    </w:div>
    <w:div w:id="1379353670">
      <w:bodyDiv w:val="1"/>
      <w:marLeft w:val="0"/>
      <w:marRight w:val="0"/>
      <w:marTop w:val="0"/>
      <w:marBottom w:val="0"/>
      <w:divBdr>
        <w:top w:val="none" w:sz="0" w:space="0" w:color="auto"/>
        <w:left w:val="none" w:sz="0" w:space="0" w:color="auto"/>
        <w:bottom w:val="none" w:sz="0" w:space="0" w:color="auto"/>
        <w:right w:val="none" w:sz="0" w:space="0" w:color="auto"/>
      </w:divBdr>
    </w:div>
    <w:div w:id="1400206050">
      <w:bodyDiv w:val="1"/>
      <w:marLeft w:val="0"/>
      <w:marRight w:val="0"/>
      <w:marTop w:val="0"/>
      <w:marBottom w:val="0"/>
      <w:divBdr>
        <w:top w:val="none" w:sz="0" w:space="0" w:color="auto"/>
        <w:left w:val="none" w:sz="0" w:space="0" w:color="auto"/>
        <w:bottom w:val="none" w:sz="0" w:space="0" w:color="auto"/>
        <w:right w:val="none" w:sz="0" w:space="0" w:color="auto"/>
      </w:divBdr>
    </w:div>
    <w:div w:id="1420827221">
      <w:bodyDiv w:val="1"/>
      <w:marLeft w:val="0"/>
      <w:marRight w:val="0"/>
      <w:marTop w:val="0"/>
      <w:marBottom w:val="0"/>
      <w:divBdr>
        <w:top w:val="none" w:sz="0" w:space="0" w:color="auto"/>
        <w:left w:val="none" w:sz="0" w:space="0" w:color="auto"/>
        <w:bottom w:val="none" w:sz="0" w:space="0" w:color="auto"/>
        <w:right w:val="none" w:sz="0" w:space="0" w:color="auto"/>
      </w:divBdr>
    </w:div>
    <w:div w:id="1537230045">
      <w:bodyDiv w:val="1"/>
      <w:marLeft w:val="0"/>
      <w:marRight w:val="0"/>
      <w:marTop w:val="0"/>
      <w:marBottom w:val="0"/>
      <w:divBdr>
        <w:top w:val="none" w:sz="0" w:space="0" w:color="auto"/>
        <w:left w:val="none" w:sz="0" w:space="0" w:color="auto"/>
        <w:bottom w:val="none" w:sz="0" w:space="0" w:color="auto"/>
        <w:right w:val="none" w:sz="0" w:space="0" w:color="auto"/>
      </w:divBdr>
    </w:div>
    <w:div w:id="1588925262">
      <w:bodyDiv w:val="1"/>
      <w:marLeft w:val="0"/>
      <w:marRight w:val="0"/>
      <w:marTop w:val="0"/>
      <w:marBottom w:val="0"/>
      <w:divBdr>
        <w:top w:val="none" w:sz="0" w:space="0" w:color="auto"/>
        <w:left w:val="none" w:sz="0" w:space="0" w:color="auto"/>
        <w:bottom w:val="none" w:sz="0" w:space="0" w:color="auto"/>
        <w:right w:val="none" w:sz="0" w:space="0" w:color="auto"/>
      </w:divBdr>
    </w:div>
    <w:div w:id="1589652071">
      <w:bodyDiv w:val="1"/>
      <w:marLeft w:val="0"/>
      <w:marRight w:val="0"/>
      <w:marTop w:val="0"/>
      <w:marBottom w:val="0"/>
      <w:divBdr>
        <w:top w:val="none" w:sz="0" w:space="0" w:color="auto"/>
        <w:left w:val="none" w:sz="0" w:space="0" w:color="auto"/>
        <w:bottom w:val="none" w:sz="0" w:space="0" w:color="auto"/>
        <w:right w:val="none" w:sz="0" w:space="0" w:color="auto"/>
      </w:divBdr>
    </w:div>
    <w:div w:id="1610896115">
      <w:bodyDiv w:val="1"/>
      <w:marLeft w:val="0"/>
      <w:marRight w:val="0"/>
      <w:marTop w:val="0"/>
      <w:marBottom w:val="0"/>
      <w:divBdr>
        <w:top w:val="none" w:sz="0" w:space="0" w:color="auto"/>
        <w:left w:val="none" w:sz="0" w:space="0" w:color="auto"/>
        <w:bottom w:val="none" w:sz="0" w:space="0" w:color="auto"/>
        <w:right w:val="none" w:sz="0" w:space="0" w:color="auto"/>
      </w:divBdr>
    </w:div>
    <w:div w:id="1647541915">
      <w:bodyDiv w:val="1"/>
      <w:marLeft w:val="0"/>
      <w:marRight w:val="0"/>
      <w:marTop w:val="0"/>
      <w:marBottom w:val="0"/>
      <w:divBdr>
        <w:top w:val="none" w:sz="0" w:space="0" w:color="auto"/>
        <w:left w:val="none" w:sz="0" w:space="0" w:color="auto"/>
        <w:bottom w:val="none" w:sz="0" w:space="0" w:color="auto"/>
        <w:right w:val="none" w:sz="0" w:space="0" w:color="auto"/>
      </w:divBdr>
    </w:div>
    <w:div w:id="1686059235">
      <w:bodyDiv w:val="1"/>
      <w:marLeft w:val="0"/>
      <w:marRight w:val="0"/>
      <w:marTop w:val="0"/>
      <w:marBottom w:val="0"/>
      <w:divBdr>
        <w:top w:val="none" w:sz="0" w:space="0" w:color="auto"/>
        <w:left w:val="none" w:sz="0" w:space="0" w:color="auto"/>
        <w:bottom w:val="none" w:sz="0" w:space="0" w:color="auto"/>
        <w:right w:val="none" w:sz="0" w:space="0" w:color="auto"/>
      </w:divBdr>
    </w:div>
    <w:div w:id="1712487504">
      <w:bodyDiv w:val="1"/>
      <w:marLeft w:val="0"/>
      <w:marRight w:val="0"/>
      <w:marTop w:val="0"/>
      <w:marBottom w:val="0"/>
      <w:divBdr>
        <w:top w:val="none" w:sz="0" w:space="0" w:color="auto"/>
        <w:left w:val="none" w:sz="0" w:space="0" w:color="auto"/>
        <w:bottom w:val="none" w:sz="0" w:space="0" w:color="auto"/>
        <w:right w:val="none" w:sz="0" w:space="0" w:color="auto"/>
      </w:divBdr>
    </w:div>
    <w:div w:id="1734542839">
      <w:bodyDiv w:val="1"/>
      <w:marLeft w:val="0"/>
      <w:marRight w:val="0"/>
      <w:marTop w:val="0"/>
      <w:marBottom w:val="0"/>
      <w:divBdr>
        <w:top w:val="none" w:sz="0" w:space="0" w:color="auto"/>
        <w:left w:val="none" w:sz="0" w:space="0" w:color="auto"/>
        <w:bottom w:val="none" w:sz="0" w:space="0" w:color="auto"/>
        <w:right w:val="none" w:sz="0" w:space="0" w:color="auto"/>
      </w:divBdr>
    </w:div>
    <w:div w:id="1811482618">
      <w:bodyDiv w:val="1"/>
      <w:marLeft w:val="0"/>
      <w:marRight w:val="0"/>
      <w:marTop w:val="0"/>
      <w:marBottom w:val="0"/>
      <w:divBdr>
        <w:top w:val="none" w:sz="0" w:space="0" w:color="auto"/>
        <w:left w:val="none" w:sz="0" w:space="0" w:color="auto"/>
        <w:bottom w:val="none" w:sz="0" w:space="0" w:color="auto"/>
        <w:right w:val="none" w:sz="0" w:space="0" w:color="auto"/>
      </w:divBdr>
    </w:div>
    <w:div w:id="1844321818">
      <w:bodyDiv w:val="1"/>
      <w:marLeft w:val="0"/>
      <w:marRight w:val="0"/>
      <w:marTop w:val="0"/>
      <w:marBottom w:val="0"/>
      <w:divBdr>
        <w:top w:val="none" w:sz="0" w:space="0" w:color="auto"/>
        <w:left w:val="none" w:sz="0" w:space="0" w:color="auto"/>
        <w:bottom w:val="none" w:sz="0" w:space="0" w:color="auto"/>
        <w:right w:val="none" w:sz="0" w:space="0" w:color="auto"/>
      </w:divBdr>
    </w:div>
    <w:div w:id="1856067958">
      <w:bodyDiv w:val="1"/>
      <w:marLeft w:val="0"/>
      <w:marRight w:val="0"/>
      <w:marTop w:val="0"/>
      <w:marBottom w:val="0"/>
      <w:divBdr>
        <w:top w:val="none" w:sz="0" w:space="0" w:color="auto"/>
        <w:left w:val="none" w:sz="0" w:space="0" w:color="auto"/>
        <w:bottom w:val="none" w:sz="0" w:space="0" w:color="auto"/>
        <w:right w:val="none" w:sz="0" w:space="0" w:color="auto"/>
      </w:divBdr>
    </w:div>
    <w:div w:id="1876036201">
      <w:bodyDiv w:val="1"/>
      <w:marLeft w:val="0"/>
      <w:marRight w:val="0"/>
      <w:marTop w:val="0"/>
      <w:marBottom w:val="0"/>
      <w:divBdr>
        <w:top w:val="none" w:sz="0" w:space="0" w:color="auto"/>
        <w:left w:val="none" w:sz="0" w:space="0" w:color="auto"/>
        <w:bottom w:val="none" w:sz="0" w:space="0" w:color="auto"/>
        <w:right w:val="none" w:sz="0" w:space="0" w:color="auto"/>
      </w:divBdr>
    </w:div>
    <w:div w:id="1899320179">
      <w:bodyDiv w:val="1"/>
      <w:marLeft w:val="0"/>
      <w:marRight w:val="0"/>
      <w:marTop w:val="0"/>
      <w:marBottom w:val="0"/>
      <w:divBdr>
        <w:top w:val="none" w:sz="0" w:space="0" w:color="auto"/>
        <w:left w:val="none" w:sz="0" w:space="0" w:color="auto"/>
        <w:bottom w:val="none" w:sz="0" w:space="0" w:color="auto"/>
        <w:right w:val="none" w:sz="0" w:space="0" w:color="auto"/>
      </w:divBdr>
    </w:div>
    <w:div w:id="1946158312">
      <w:bodyDiv w:val="1"/>
      <w:marLeft w:val="0"/>
      <w:marRight w:val="0"/>
      <w:marTop w:val="0"/>
      <w:marBottom w:val="0"/>
      <w:divBdr>
        <w:top w:val="none" w:sz="0" w:space="0" w:color="auto"/>
        <w:left w:val="none" w:sz="0" w:space="0" w:color="auto"/>
        <w:bottom w:val="none" w:sz="0" w:space="0" w:color="auto"/>
        <w:right w:val="none" w:sz="0" w:space="0" w:color="auto"/>
      </w:divBdr>
    </w:div>
    <w:div w:id="1962152375">
      <w:bodyDiv w:val="1"/>
      <w:marLeft w:val="0"/>
      <w:marRight w:val="0"/>
      <w:marTop w:val="0"/>
      <w:marBottom w:val="0"/>
      <w:divBdr>
        <w:top w:val="none" w:sz="0" w:space="0" w:color="auto"/>
        <w:left w:val="none" w:sz="0" w:space="0" w:color="auto"/>
        <w:bottom w:val="none" w:sz="0" w:space="0" w:color="auto"/>
        <w:right w:val="none" w:sz="0" w:space="0" w:color="auto"/>
      </w:divBdr>
    </w:div>
    <w:div w:id="2027555707">
      <w:bodyDiv w:val="1"/>
      <w:marLeft w:val="0"/>
      <w:marRight w:val="0"/>
      <w:marTop w:val="0"/>
      <w:marBottom w:val="0"/>
      <w:divBdr>
        <w:top w:val="none" w:sz="0" w:space="0" w:color="auto"/>
        <w:left w:val="none" w:sz="0" w:space="0" w:color="auto"/>
        <w:bottom w:val="none" w:sz="0" w:space="0" w:color="auto"/>
        <w:right w:val="none" w:sz="0" w:space="0" w:color="auto"/>
      </w:divBdr>
    </w:div>
    <w:div w:id="2063409386">
      <w:bodyDiv w:val="1"/>
      <w:marLeft w:val="0"/>
      <w:marRight w:val="0"/>
      <w:marTop w:val="0"/>
      <w:marBottom w:val="0"/>
      <w:divBdr>
        <w:top w:val="none" w:sz="0" w:space="0" w:color="auto"/>
        <w:left w:val="none" w:sz="0" w:space="0" w:color="auto"/>
        <w:bottom w:val="none" w:sz="0" w:space="0" w:color="auto"/>
        <w:right w:val="none" w:sz="0" w:space="0" w:color="auto"/>
      </w:divBdr>
    </w:div>
    <w:div w:id="20882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omenfor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B0CE-B200-7649-901B-DE4A5B3E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29</Pages>
  <Words>7164</Words>
  <Characters>40839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Seeking Help: exploring the relationship between NGO presence and gender-based violence reporting</vt:lpstr>
    </vt:vector>
  </TitlesOfParts>
  <Company/>
  <LinksUpToDate>false</LinksUpToDate>
  <CharactersWithSpaces>47908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Help: exploring the relationship between NGO presence and gender-based violence reporting</dc:title>
  <dc:subject>Second year paper, draft 1</dc:subject>
  <dc:creator>Alexis Work</dc:creator>
  <cp:keywords/>
  <dc:description/>
  <cp:lastModifiedBy>Microsoft Office User</cp:lastModifiedBy>
  <cp:revision>11</cp:revision>
  <dcterms:created xsi:type="dcterms:W3CDTF">2019-04-14T21:09:00Z</dcterms:created>
  <dcterms:modified xsi:type="dcterms:W3CDTF">2019-04-15T22:57:00Z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