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F9814" w14:textId="77777777" w:rsidR="0071750E" w:rsidRDefault="0071750E" w:rsidP="009F19F5">
      <w:pPr>
        <w:jc w:val="center"/>
        <w:rPr>
          <w:b/>
          <w:u w:val="single"/>
        </w:rPr>
      </w:pPr>
    </w:p>
    <w:p w14:paraId="2569EFC4" w14:textId="77777777" w:rsidR="0071750E" w:rsidRDefault="0071750E" w:rsidP="009F19F5">
      <w:pPr>
        <w:jc w:val="center"/>
        <w:rPr>
          <w:b/>
          <w:u w:val="single"/>
        </w:rPr>
      </w:pPr>
    </w:p>
    <w:p w14:paraId="6C1FEF87" w14:textId="77777777" w:rsidR="0071750E" w:rsidRDefault="0071750E" w:rsidP="009F19F5">
      <w:pPr>
        <w:jc w:val="center"/>
        <w:rPr>
          <w:b/>
          <w:u w:val="single"/>
        </w:rPr>
      </w:pPr>
    </w:p>
    <w:p w14:paraId="2034FDE0" w14:textId="77777777" w:rsidR="0071750E" w:rsidRDefault="0071750E" w:rsidP="009F19F5">
      <w:pPr>
        <w:jc w:val="center"/>
        <w:rPr>
          <w:b/>
          <w:u w:val="single"/>
        </w:rPr>
      </w:pPr>
    </w:p>
    <w:p w14:paraId="2BFC44EE" w14:textId="77777777" w:rsidR="0071750E" w:rsidRDefault="0071750E" w:rsidP="009F19F5">
      <w:pPr>
        <w:jc w:val="center"/>
        <w:rPr>
          <w:b/>
          <w:u w:val="single"/>
        </w:rPr>
      </w:pPr>
    </w:p>
    <w:p w14:paraId="07ED2E0A" w14:textId="77777777" w:rsidR="0071750E" w:rsidRDefault="0071750E" w:rsidP="009F19F5">
      <w:pPr>
        <w:jc w:val="center"/>
        <w:rPr>
          <w:b/>
          <w:u w:val="single"/>
        </w:rPr>
      </w:pPr>
    </w:p>
    <w:p w14:paraId="310BE55D" w14:textId="77777777" w:rsidR="0071750E" w:rsidRDefault="0071750E" w:rsidP="009F19F5">
      <w:pPr>
        <w:jc w:val="center"/>
        <w:rPr>
          <w:b/>
          <w:u w:val="single"/>
        </w:rPr>
      </w:pPr>
    </w:p>
    <w:p w14:paraId="306AEF50" w14:textId="77777777" w:rsidR="0071750E" w:rsidRDefault="0071750E" w:rsidP="009F19F5">
      <w:pPr>
        <w:jc w:val="center"/>
        <w:rPr>
          <w:b/>
          <w:u w:val="single"/>
        </w:rPr>
      </w:pPr>
    </w:p>
    <w:p w14:paraId="116B9154" w14:textId="77777777" w:rsidR="0071750E" w:rsidRDefault="0071750E" w:rsidP="009F19F5">
      <w:pPr>
        <w:jc w:val="center"/>
        <w:rPr>
          <w:b/>
          <w:u w:val="single"/>
        </w:rPr>
      </w:pPr>
    </w:p>
    <w:p w14:paraId="66B2FF02" w14:textId="77777777" w:rsidR="0071750E" w:rsidRDefault="0071750E" w:rsidP="009F19F5">
      <w:pPr>
        <w:jc w:val="center"/>
        <w:rPr>
          <w:b/>
          <w:u w:val="single"/>
        </w:rPr>
      </w:pPr>
    </w:p>
    <w:p w14:paraId="5038DEF2" w14:textId="1A44B842" w:rsidR="001F298C" w:rsidRPr="00296456" w:rsidRDefault="00117345" w:rsidP="009F19F5">
      <w:pPr>
        <w:jc w:val="center"/>
        <w:rPr>
          <w:u w:val="single"/>
        </w:rPr>
      </w:pPr>
      <w:r w:rsidRPr="00296456">
        <w:rPr>
          <w:b/>
          <w:u w:val="single"/>
        </w:rPr>
        <w:t xml:space="preserve">Community Rights: Mobilizing through Discourse in </w:t>
      </w:r>
      <w:r w:rsidRPr="00296456">
        <w:rPr>
          <w:b/>
          <w:i/>
          <w:u w:val="single"/>
        </w:rPr>
        <w:t>Gay Community News</w:t>
      </w:r>
    </w:p>
    <w:p w14:paraId="754DD795" w14:textId="77777777" w:rsidR="0071750E" w:rsidRDefault="0071750E" w:rsidP="009F19F5">
      <w:pPr>
        <w:jc w:val="center"/>
      </w:pPr>
    </w:p>
    <w:p w14:paraId="4654728E" w14:textId="77777777" w:rsidR="0071750E" w:rsidRDefault="0071750E" w:rsidP="009F19F5">
      <w:pPr>
        <w:jc w:val="center"/>
      </w:pPr>
    </w:p>
    <w:p w14:paraId="56EB2FBA" w14:textId="77777777" w:rsidR="0071750E" w:rsidRDefault="0071750E" w:rsidP="009F19F5">
      <w:pPr>
        <w:jc w:val="center"/>
      </w:pPr>
    </w:p>
    <w:p w14:paraId="1792CA64" w14:textId="77777777" w:rsidR="0071750E" w:rsidRDefault="0071750E" w:rsidP="009F19F5">
      <w:pPr>
        <w:jc w:val="center"/>
      </w:pPr>
    </w:p>
    <w:p w14:paraId="30BB7C24" w14:textId="239640A7" w:rsidR="0071750E" w:rsidRDefault="0071750E" w:rsidP="009F19F5">
      <w:pPr>
        <w:jc w:val="center"/>
        <w:rPr>
          <w:b/>
        </w:rPr>
      </w:pPr>
      <w:r>
        <w:rPr>
          <w:b/>
        </w:rPr>
        <w:t>Erin M. Adam</w:t>
      </w:r>
    </w:p>
    <w:p w14:paraId="700F00DE" w14:textId="6643034E" w:rsidR="0071750E" w:rsidRDefault="0071750E" w:rsidP="009F19F5">
      <w:pPr>
        <w:jc w:val="center"/>
      </w:pPr>
      <w:r>
        <w:t>University of Washington</w:t>
      </w:r>
    </w:p>
    <w:p w14:paraId="33E2B16F" w14:textId="3B27A10C" w:rsidR="0071750E" w:rsidRDefault="0071750E" w:rsidP="00296456">
      <w:pPr>
        <w:jc w:val="center"/>
      </w:pPr>
      <w:r>
        <w:t>WPSA Conference Paper 2014</w:t>
      </w:r>
    </w:p>
    <w:p w14:paraId="7A5A2D9C" w14:textId="77777777" w:rsidR="0071750E" w:rsidRDefault="0071750E" w:rsidP="009F19F5">
      <w:pPr>
        <w:jc w:val="center"/>
      </w:pPr>
    </w:p>
    <w:p w14:paraId="756B0D4E" w14:textId="77777777" w:rsidR="0071750E" w:rsidRDefault="0071750E" w:rsidP="009F19F5">
      <w:pPr>
        <w:jc w:val="center"/>
      </w:pPr>
    </w:p>
    <w:p w14:paraId="26EA6545" w14:textId="77777777" w:rsidR="0071750E" w:rsidRDefault="0071750E" w:rsidP="009F19F5">
      <w:pPr>
        <w:jc w:val="center"/>
      </w:pPr>
    </w:p>
    <w:p w14:paraId="093BCC54" w14:textId="561A7833" w:rsidR="0071750E" w:rsidRDefault="0071750E" w:rsidP="009F19F5">
      <w:pPr>
        <w:jc w:val="center"/>
      </w:pPr>
      <w:r>
        <w:rPr>
          <w:b/>
        </w:rPr>
        <w:t>Abstract</w:t>
      </w:r>
    </w:p>
    <w:p w14:paraId="50821385" w14:textId="34E0354D" w:rsidR="0071750E" w:rsidRPr="0071750E" w:rsidRDefault="00296456" w:rsidP="0071750E">
      <w:bookmarkStart w:id="0" w:name="_GoBack"/>
      <w:r>
        <w:t xml:space="preserve">Is rights talk a narrowing, limiting vehicle for social change as rights critics claim?  Is rights discourse responsible for the funneling of activist claims into legal rights claims that fail to broadly challenge institutional power?  </w:t>
      </w:r>
      <w:r w:rsidRPr="00296456">
        <w:t>This study finds that LGBTQ persons attached rights to a wide variety of</w:t>
      </w:r>
      <w:r>
        <w:t xml:space="preserve"> both legal and political</w:t>
      </w:r>
      <w:r w:rsidRPr="00296456">
        <w:t xml:space="preserve"> issues in the 1980s, and, thus, rights discourse is not necessarily connected to placing formal legal rights claims on the LGBTQ community's agenda. Consequently, one must study external political and social forces in addition to rights talk in order to determine how and why formal legal rights claims become part of a community's agenda.  In order to support these assertions my study (1) presents a content analysis </w:t>
      </w:r>
      <w:r w:rsidRPr="00296456">
        <w:rPr>
          <w:i/>
        </w:rPr>
        <w:t>of Community Voices</w:t>
      </w:r>
      <w:r w:rsidRPr="00296456">
        <w:t xml:space="preserve"> and </w:t>
      </w:r>
      <w:r w:rsidRPr="00296456">
        <w:rPr>
          <w:i/>
        </w:rPr>
        <w:t>Speaking Out</w:t>
      </w:r>
      <w:r>
        <w:t>,</w:t>
      </w:r>
      <w:r w:rsidRPr="00296456">
        <w:t xml:space="preserve"> letters to the editor </w:t>
      </w:r>
      <w:r>
        <w:t xml:space="preserve">columns </w:t>
      </w:r>
      <w:r w:rsidRPr="00296456">
        <w:t xml:space="preserve">that appeared in </w:t>
      </w:r>
      <w:r w:rsidRPr="00296456">
        <w:rPr>
          <w:i/>
        </w:rPr>
        <w:t>Gay Community News</w:t>
      </w:r>
      <w:r w:rsidRPr="00296456">
        <w:t xml:space="preserve"> (the first national gay and lesbian weekly newspaper) in 1980, 1984, and 1988, and (2) demonstrates that rights discourse does not limit agenda-setting and that community discussions of rights are </w:t>
      </w:r>
      <w:r w:rsidR="00536B9F">
        <w:t>malleable</w:t>
      </w:r>
      <w:r w:rsidRPr="00296456">
        <w:t xml:space="preserve"> in they readily adapt to novel, ordinary political issues as they arise. </w:t>
      </w:r>
      <w:bookmarkEnd w:id="0"/>
      <w:r w:rsidRPr="00296456">
        <w:t xml:space="preserve"> </w:t>
      </w:r>
    </w:p>
    <w:p w14:paraId="7094BB38" w14:textId="77777777" w:rsidR="0071750E" w:rsidRDefault="0071750E" w:rsidP="0071750E">
      <w:pPr>
        <w:jc w:val="center"/>
      </w:pPr>
    </w:p>
    <w:p w14:paraId="14DF55CC" w14:textId="77777777" w:rsidR="0071750E" w:rsidRPr="0071750E" w:rsidRDefault="0071750E" w:rsidP="0071750E">
      <w:pPr>
        <w:jc w:val="center"/>
      </w:pPr>
    </w:p>
    <w:p w14:paraId="30CDDCA1" w14:textId="77777777" w:rsidR="00046F98" w:rsidRDefault="00046F98" w:rsidP="00046F98">
      <w:pPr>
        <w:jc w:val="center"/>
      </w:pPr>
    </w:p>
    <w:p w14:paraId="15E5659D" w14:textId="77777777" w:rsidR="0071750E" w:rsidRDefault="0071750E" w:rsidP="00F915DE">
      <w:pPr>
        <w:spacing w:line="480" w:lineRule="auto"/>
        <w:jc w:val="center"/>
        <w:rPr>
          <w:rFonts w:cs="Times New Roman"/>
          <w:b/>
        </w:rPr>
      </w:pPr>
    </w:p>
    <w:p w14:paraId="008B7FB9" w14:textId="77777777" w:rsidR="0071750E" w:rsidRDefault="0071750E" w:rsidP="00296456">
      <w:pPr>
        <w:spacing w:line="480" w:lineRule="auto"/>
        <w:rPr>
          <w:rFonts w:cs="Times New Roman"/>
          <w:b/>
        </w:rPr>
      </w:pPr>
    </w:p>
    <w:p w14:paraId="104327A3" w14:textId="77777777" w:rsidR="00296456" w:rsidRDefault="00296456" w:rsidP="00296456">
      <w:pPr>
        <w:spacing w:line="480" w:lineRule="auto"/>
        <w:rPr>
          <w:rFonts w:cs="Times New Roman"/>
          <w:b/>
        </w:rPr>
      </w:pPr>
    </w:p>
    <w:p w14:paraId="42FA82DE" w14:textId="77777777" w:rsidR="00296456" w:rsidRDefault="00296456" w:rsidP="00296456">
      <w:pPr>
        <w:spacing w:line="480" w:lineRule="auto"/>
        <w:rPr>
          <w:rFonts w:cs="Times New Roman"/>
          <w:b/>
        </w:rPr>
      </w:pPr>
    </w:p>
    <w:p w14:paraId="766708EE" w14:textId="77777777" w:rsidR="00536B9F" w:rsidRDefault="00536B9F" w:rsidP="00F915DE">
      <w:pPr>
        <w:spacing w:line="480" w:lineRule="auto"/>
        <w:jc w:val="center"/>
        <w:rPr>
          <w:rFonts w:cs="Times New Roman"/>
          <w:b/>
        </w:rPr>
      </w:pPr>
    </w:p>
    <w:p w14:paraId="6B25E465" w14:textId="77A60BA2" w:rsidR="004C7370" w:rsidRDefault="00F915DE" w:rsidP="00F915DE">
      <w:pPr>
        <w:spacing w:line="480" w:lineRule="auto"/>
        <w:jc w:val="center"/>
        <w:rPr>
          <w:rFonts w:cs="Times New Roman"/>
        </w:rPr>
      </w:pPr>
      <w:r>
        <w:rPr>
          <w:rFonts w:cs="Times New Roman"/>
          <w:b/>
        </w:rPr>
        <w:lastRenderedPageBreak/>
        <w:t>INTRODUCTION</w:t>
      </w:r>
    </w:p>
    <w:p w14:paraId="38192CE1" w14:textId="771010D6" w:rsidR="00F915DE" w:rsidRDefault="00F915DE" w:rsidP="00F915DE">
      <w:pPr>
        <w:spacing w:line="480" w:lineRule="auto"/>
      </w:pPr>
      <w:r>
        <w:rPr>
          <w:rFonts w:cs="Times New Roman"/>
        </w:rPr>
        <w:tab/>
      </w:r>
      <w:r w:rsidR="00122A36">
        <w:rPr>
          <w:rFonts w:cs="Times New Roman"/>
        </w:rPr>
        <w:t xml:space="preserve">“Rights discourse in liberal capitalist culture casts as private </w:t>
      </w:r>
      <w:r w:rsidR="00DC2B25">
        <w:rPr>
          <w:rFonts w:cs="Times New Roman"/>
        </w:rPr>
        <w:t>potentially political contests about distribution of resources and about relevant parties to decision making.  It converts social problems into matters of individualized, dehistoricized injury and entitlement, into matters in which there is no harm if there is no agent and no tangibly violated subject” (Brow</w:t>
      </w:r>
      <w:r w:rsidR="0084147E">
        <w:rPr>
          <w:rFonts w:cs="Times New Roman"/>
        </w:rPr>
        <w:t xml:space="preserve">n, 1995, p. 124).  </w:t>
      </w:r>
      <w:r w:rsidR="003930E6">
        <w:rPr>
          <w:rFonts w:cs="Times New Roman"/>
        </w:rPr>
        <w:t xml:space="preserve">According to critics of rights discourse, </w:t>
      </w:r>
      <w:r w:rsidR="003930E6">
        <w:t>b</w:t>
      </w:r>
      <w:r w:rsidR="00361E6B">
        <w:t>y attaching political contests to rights-based identities that are free from government action, rights in the modern state function as a means of perpetuating oppression and keeping it in the private sphere, without questioning the public institutions that are responsible for an unequal distribution of resources</w:t>
      </w:r>
      <w:r w:rsidR="003930E6">
        <w:t xml:space="preserve"> (</w:t>
      </w:r>
      <w:r w:rsidR="009F641C">
        <w:t xml:space="preserve">West, 2011; Herman, 1993; Gabel, 1984; </w:t>
      </w:r>
      <w:r w:rsidR="003930E6">
        <w:t>Tushnet, 1984)</w:t>
      </w:r>
      <w:r w:rsidR="00361E6B">
        <w:t>.  Rights are claimed on behalf of a group “we” that uses the dis</w:t>
      </w:r>
      <w:r w:rsidR="008D5B36">
        <w:t>course of universal personhood</w:t>
      </w:r>
      <w:r w:rsidR="004E28B2">
        <w:t>,</w:t>
      </w:r>
      <w:r w:rsidR="00361E6B">
        <w:t xml:space="preserve"> yet </w:t>
      </w:r>
      <w:r w:rsidR="004E28B2">
        <w:t xml:space="preserve">rights are </w:t>
      </w:r>
      <w:r w:rsidR="00361E6B">
        <w:t xml:space="preserve">conferred upon depoliticized individuals </w:t>
      </w:r>
      <w:proofErr w:type="gramStart"/>
      <w:r w:rsidR="00361E6B">
        <w:t>(Brown, p. 98, 1995).</w:t>
      </w:r>
      <w:proofErr w:type="gramEnd"/>
      <w:r w:rsidR="00361E6B">
        <w:t xml:space="preserve">  As a result, when collective groups of depoliticized individuals claim a right</w:t>
      </w:r>
      <w:r w:rsidR="00460966">
        <w:t xml:space="preserve"> based on an injury</w:t>
      </w:r>
      <w:r w:rsidR="00361E6B">
        <w:t xml:space="preserve">, the moment that right is achieved, the collective groups ceases to exist and the individual is “free” even though the oppressive state structure responsible for the injury remains untouched.  The right is granted, </w:t>
      </w:r>
      <w:r w:rsidR="004E28B2">
        <w:t>but</w:t>
      </w:r>
      <w:r w:rsidR="00361E6B">
        <w:t xml:space="preserve"> the institution responsible for its necessity remains</w:t>
      </w:r>
      <w:r w:rsidR="003930E6">
        <w:t>.</w:t>
      </w:r>
    </w:p>
    <w:p w14:paraId="6A893888" w14:textId="253400B9" w:rsidR="003930E6" w:rsidRPr="00BD04B0" w:rsidRDefault="003930E6" w:rsidP="00F915DE">
      <w:pPr>
        <w:spacing w:line="480" w:lineRule="auto"/>
        <w:rPr>
          <w:rFonts w:cs="Times New Roman"/>
        </w:rPr>
      </w:pPr>
      <w:r>
        <w:tab/>
        <w:t xml:space="preserve">Given </w:t>
      </w:r>
      <w:r w:rsidR="009F641C">
        <w:t>this</w:t>
      </w:r>
      <w:r>
        <w:t xml:space="preserve"> reifying nature of </w:t>
      </w:r>
      <w:r w:rsidR="009F641C">
        <w:t>rights, rights discourse seems incredibly limiting</w:t>
      </w:r>
      <w:r w:rsidR="00E517EB">
        <w:t xml:space="preserve"> because it prevents rights-based social movements from addressing structural inequalities and state power</w:t>
      </w:r>
      <w:r w:rsidR="009F641C">
        <w:t xml:space="preserve">.  If rights fail to challenge institutional inequalities, and, instead, legitimate them, </w:t>
      </w:r>
      <w:r w:rsidR="008C789E">
        <w:t>then rights talk is an inadequate vehicle for social change.  However, is rights talk a narrowing, limiting vehicle for social change as rights</w:t>
      </w:r>
      <w:r w:rsidR="00CD11F1">
        <w:t xml:space="preserve"> critics claim</w:t>
      </w:r>
      <w:r w:rsidR="008C789E">
        <w:t xml:space="preserve">?  Is rights discourse responsible for the funneling of activist claims into narrow, individualistic, legal categories that fail to broadly challenge institutional power?  This paper explores the </w:t>
      </w:r>
      <w:r w:rsidR="00CD11F1">
        <w:t xml:space="preserve">argument that rights discourse </w:t>
      </w:r>
      <w:r w:rsidR="00460966">
        <w:t xml:space="preserve">necessarily </w:t>
      </w:r>
      <w:r w:rsidR="008D5B36">
        <w:t>legitimates</w:t>
      </w:r>
      <w:r w:rsidR="00CD11F1">
        <w:t xml:space="preserve"> institutional inequalities </w:t>
      </w:r>
      <w:r w:rsidR="00C32715">
        <w:t xml:space="preserve">by </w:t>
      </w:r>
      <w:r w:rsidR="008D5B36">
        <w:t>examining</w:t>
      </w:r>
      <w:r w:rsidR="00C32715">
        <w:t xml:space="preserve"> rights talk amongst those who identified as part of the LGBT</w:t>
      </w:r>
      <w:r w:rsidR="00062C4C">
        <w:t>Q</w:t>
      </w:r>
      <w:r w:rsidR="00C32715">
        <w:t xml:space="preserve"> community in the 1980s. </w:t>
      </w:r>
      <w:r w:rsidR="00460966">
        <w:t>T</w:t>
      </w:r>
      <w:r w:rsidR="00C32715">
        <w:t>his paper argues that there is an important distinction between formal legal rights claims an</w:t>
      </w:r>
      <w:r w:rsidR="00460966">
        <w:t>d rights discourse at the grass</w:t>
      </w:r>
      <w:r w:rsidR="00C32715">
        <w:t>roots level.  Scholars who argue that rights force activist discourse into legal, state-legitimating arguments frequently focus on formal legal a</w:t>
      </w:r>
      <w:r w:rsidR="00460966">
        <w:t xml:space="preserve">rguments over grassroots rights, bottom-up </w:t>
      </w:r>
      <w:r w:rsidR="00C32715">
        <w:t>claims-making (see e.g., Spade, 2011; Eng, 2010; Brigham, 1987</w:t>
      </w:r>
      <w:r w:rsidR="00927354">
        <w:t>: Brigham, 1996</w:t>
      </w:r>
      <w:r w:rsidR="00C32715">
        <w:t>).  By focusing on rights talk within the LGBT</w:t>
      </w:r>
      <w:r w:rsidR="001179C1">
        <w:t>Q</w:t>
      </w:r>
      <w:r w:rsidR="00C32715">
        <w:t xml:space="preserve"> community in the 1980s, this paper will explore precisely how members of a minority community use rights and whether or not the appearance of rights talk coincides with the narrowing of minority community grievances into purely legal categories</w:t>
      </w:r>
      <w:r w:rsidR="00444463">
        <w:t xml:space="preserve"> that do not challenge structural inequality or state power</w:t>
      </w:r>
      <w:r w:rsidR="00C32715">
        <w:t>.</w:t>
      </w:r>
      <w:r w:rsidR="00062C4C">
        <w:t xml:space="preserve">  </w:t>
      </w:r>
    </w:p>
    <w:p w14:paraId="17FE4EAF" w14:textId="570C8598" w:rsidR="00161B5F" w:rsidRDefault="004E57BD" w:rsidP="00F915DE">
      <w:pPr>
        <w:spacing w:line="480" w:lineRule="auto"/>
      </w:pPr>
      <w:r>
        <w:tab/>
      </w:r>
      <w:r w:rsidR="00C32715">
        <w:t xml:space="preserve">Most </w:t>
      </w:r>
      <w:r w:rsidR="00197099">
        <w:t xml:space="preserve">research that </w:t>
      </w:r>
      <w:r w:rsidR="00E73E8E">
        <w:t xml:space="preserve">connects </w:t>
      </w:r>
      <w:r w:rsidR="00062C4C">
        <w:t>rights-based claims to the LGBTQ</w:t>
      </w:r>
      <w:r w:rsidR="00E73E8E">
        <w:t xml:space="preserve"> community’s agenda,</w:t>
      </w:r>
      <w:r w:rsidR="00197099">
        <w:t xml:space="preserve"> focuses </w:t>
      </w:r>
      <w:r w:rsidR="00957F2D">
        <w:t xml:space="preserve">predominately </w:t>
      </w:r>
      <w:r w:rsidR="00197099">
        <w:t xml:space="preserve">on </w:t>
      </w:r>
      <w:r w:rsidR="00E73E8E">
        <w:t>the 1990s and 2000s, a period when litigation was already central to the LGBTQ</w:t>
      </w:r>
      <w:r w:rsidR="00D74E7F">
        <w:t xml:space="preserve"> Rights</w:t>
      </w:r>
      <w:r w:rsidR="00E73E8E">
        <w:t xml:space="preserve"> Movement</w:t>
      </w:r>
      <w:r w:rsidR="00197099">
        <w:t xml:space="preserve"> (Spade, 2011; </w:t>
      </w:r>
      <w:r w:rsidR="00E73E8E">
        <w:t xml:space="preserve">Eng, </w:t>
      </w:r>
      <w:r w:rsidR="00C32715">
        <w:t xml:space="preserve">2010, </w:t>
      </w:r>
      <w:r w:rsidR="008D5B36">
        <w:t>pp. 28, 34-57; Butler, 2004, especially chapter 5</w:t>
      </w:r>
      <w:r w:rsidR="00197099">
        <w:t>).</w:t>
      </w:r>
      <w:r w:rsidR="00E73E8E">
        <w:t xml:space="preserve">  In order to determine whether rights discourse </w:t>
      </w:r>
      <w:r w:rsidR="008D5B36">
        <w:t>is</w:t>
      </w:r>
      <w:r w:rsidR="00AC3685">
        <w:t xml:space="preserve"> responsible for </w:t>
      </w:r>
      <w:r w:rsidR="001179C1">
        <w:t>narrowing the</w:t>
      </w:r>
      <w:r w:rsidR="00AC3685">
        <w:t xml:space="preserve"> LGBTQ community</w:t>
      </w:r>
      <w:r w:rsidR="001179C1">
        <w:t>’s agenda to</w:t>
      </w:r>
      <w:r w:rsidR="008D5B36">
        <w:t>wards</w:t>
      </w:r>
      <w:r w:rsidR="001179C1">
        <w:t xml:space="preserve"> legal</w:t>
      </w:r>
      <w:r w:rsidR="00E517EB">
        <w:t xml:space="preserve"> rights</w:t>
      </w:r>
      <w:r w:rsidR="001179C1">
        <w:t xml:space="preserve"> activism</w:t>
      </w:r>
      <w:r w:rsidR="00E73E8E">
        <w:t>, one must conduct an over time analysis at a moment when litigation was not a primary community issue.</w:t>
      </w:r>
      <w:r w:rsidR="00957F2D">
        <w:t xml:space="preserve">  By looking at how rights claiming impacted the community before the onset </w:t>
      </w:r>
      <w:r w:rsidR="001179C1">
        <w:t xml:space="preserve">legal victories like </w:t>
      </w:r>
      <w:r w:rsidR="00957F2D">
        <w:t xml:space="preserve">the right to marriage, one can determine the extent to which rights discussions </w:t>
      </w:r>
      <w:r w:rsidR="00AC3685">
        <w:t xml:space="preserve">may or may not have contributed to </w:t>
      </w:r>
      <w:r w:rsidR="001179C1">
        <w:t>forcing legal claims onto the LGBTQ community’s political agenda</w:t>
      </w:r>
      <w:r w:rsidR="00957F2D">
        <w:t>.</w:t>
      </w:r>
      <w:r w:rsidR="00E73E8E">
        <w:t xml:space="preserve">  This paper will provide</w:t>
      </w:r>
      <w:r w:rsidR="0095426C">
        <w:t xml:space="preserve"> a context for the LGBTQ community’s current focus on rights-based issues by delving into how </w:t>
      </w:r>
      <w:r w:rsidR="00AC3685">
        <w:t xml:space="preserve">issues important to community members </w:t>
      </w:r>
      <w:r w:rsidR="0095426C">
        <w:t>evolved over time. In order to do this, this paper will look at</w:t>
      </w:r>
      <w:r w:rsidR="008B121A">
        <w:t xml:space="preserve"> to a time</w:t>
      </w:r>
      <w:r w:rsidR="0095426C">
        <w:t xml:space="preserve"> before litigation was a central focus of movement activity</w:t>
      </w:r>
      <w:r w:rsidR="00B537AC">
        <w:t>,</w:t>
      </w:r>
      <w:r w:rsidR="00E73E8E">
        <w:t xml:space="preserve"> </w:t>
      </w:r>
      <w:r w:rsidR="00161B5F">
        <w:t>presenting</w:t>
      </w:r>
      <w:r w:rsidR="00E73E8E">
        <w:t xml:space="preserve"> an analysis of the LGBTQ community from 1980 to 1988, a time period that was not marked by major litigation </w:t>
      </w:r>
      <w:r w:rsidR="00161B5F">
        <w:t>wins.</w:t>
      </w:r>
    </w:p>
    <w:p w14:paraId="161FC91A" w14:textId="04989E58" w:rsidR="00A944A0" w:rsidRDefault="00161B5F" w:rsidP="00F915DE">
      <w:pPr>
        <w:spacing w:line="480" w:lineRule="auto"/>
      </w:pPr>
      <w:r>
        <w:tab/>
        <w:t>Studying the connection between rights discourse</w:t>
      </w:r>
      <w:r w:rsidR="008D5B36">
        <w:t xml:space="preserve"> and agenda setting</w:t>
      </w:r>
      <w:r w:rsidR="00AC3685">
        <w:t xml:space="preserve"> within the LGBTQ population</w:t>
      </w:r>
      <w:r>
        <w:t xml:space="preserve"> presents some unique methodological challenges.  </w:t>
      </w:r>
      <w:r w:rsidR="007C3BDC">
        <w:t xml:space="preserve">How does one </w:t>
      </w:r>
      <w:r w:rsidR="00FA3900">
        <w:t>go about studying</w:t>
      </w:r>
      <w:r w:rsidR="007C3BDC">
        <w:t xml:space="preserve"> rights within a given community?</w:t>
      </w:r>
      <w:r w:rsidR="007C3BDC">
        <w:rPr>
          <w:rFonts w:cs="Times New Roman"/>
        </w:rPr>
        <w:t xml:space="preserve"> </w:t>
      </w:r>
      <w:r>
        <w:rPr>
          <w:rFonts w:cs="Times New Roman"/>
        </w:rPr>
        <w:t xml:space="preserve"> In this paper, I use rights talk, or </w:t>
      </w:r>
      <w:r w:rsidR="00B537AC">
        <w:rPr>
          <w:rFonts w:cs="Times New Roman"/>
        </w:rPr>
        <w:t>LGBTQ-identified persons’</w:t>
      </w:r>
      <w:r>
        <w:rPr>
          <w:rFonts w:cs="Times New Roman"/>
        </w:rPr>
        <w:t xml:space="preserve"> invocations of rights, to measure </w:t>
      </w:r>
      <w:r w:rsidR="0095426C">
        <w:rPr>
          <w:rFonts w:cs="Times New Roman"/>
        </w:rPr>
        <w:t xml:space="preserve">how </w:t>
      </w:r>
      <w:r w:rsidR="00E517EB">
        <w:rPr>
          <w:rFonts w:cs="Times New Roman"/>
        </w:rPr>
        <w:t xml:space="preserve">rights </w:t>
      </w:r>
      <w:r w:rsidR="0095426C">
        <w:rPr>
          <w:rFonts w:cs="Times New Roman"/>
        </w:rPr>
        <w:t>discourses have impacted</w:t>
      </w:r>
      <w:r w:rsidR="009827DA">
        <w:rPr>
          <w:rFonts w:cs="Times New Roman"/>
        </w:rPr>
        <w:t xml:space="preserve"> the </w:t>
      </w:r>
      <w:r w:rsidR="00E517EB">
        <w:rPr>
          <w:rFonts w:cs="Times New Roman"/>
        </w:rPr>
        <w:t>community’s agenda</w:t>
      </w:r>
      <w:r w:rsidR="009827DA">
        <w:rPr>
          <w:rFonts w:cs="Times New Roman"/>
        </w:rPr>
        <w:t xml:space="preserve"> over time</w:t>
      </w:r>
      <w:r>
        <w:rPr>
          <w:rFonts w:cs="Times New Roman"/>
        </w:rPr>
        <w:t xml:space="preserve">.  </w:t>
      </w:r>
      <w:r w:rsidR="00CF5B56">
        <w:rPr>
          <w:rFonts w:cs="Times New Roman"/>
        </w:rPr>
        <w:t>My understanding of</w:t>
      </w:r>
      <w:r w:rsidR="00F871E9">
        <w:rPr>
          <w:rFonts w:cs="Times New Roman"/>
        </w:rPr>
        <w:t xml:space="preserve"> the</w:t>
      </w:r>
      <w:r w:rsidR="00CF5B56">
        <w:rPr>
          <w:rFonts w:cs="Times New Roman"/>
        </w:rPr>
        <w:t xml:space="preserve"> </w:t>
      </w:r>
      <w:r w:rsidR="00F871E9">
        <w:rPr>
          <w:rFonts w:cs="Times New Roman"/>
        </w:rPr>
        <w:t>LGBTQ population’s</w:t>
      </w:r>
      <w:r w:rsidR="00CF5B56">
        <w:rPr>
          <w:rFonts w:cs="Times New Roman"/>
        </w:rPr>
        <w:t xml:space="preserve"> invocations of rights encompasses the rights talk of </w:t>
      </w:r>
      <w:r w:rsidR="00196CCB">
        <w:rPr>
          <w:rFonts w:cs="Times New Roman"/>
        </w:rPr>
        <w:t>those who do and do not identify as activists</w:t>
      </w:r>
      <w:r w:rsidR="00CF5B56">
        <w:rPr>
          <w:rFonts w:cs="Times New Roman"/>
        </w:rPr>
        <w:t>.  Consequently</w:t>
      </w:r>
      <w:r>
        <w:rPr>
          <w:rFonts w:cs="Times New Roman"/>
        </w:rPr>
        <w:t xml:space="preserve"> this paper recognizes a continuum of what constitutes “law.”  Law can refer explicitly to litigation, or formal rules enforced by legal institutions or actors.  However, law can also exist outside of formal legal settings in a conceptually murky terrain</w:t>
      </w:r>
      <w:r w:rsidR="008D5B36">
        <w:rPr>
          <w:rFonts w:cs="Times New Roman"/>
        </w:rPr>
        <w:t xml:space="preserve"> (</w:t>
      </w:r>
      <w:r w:rsidR="00927354">
        <w:rPr>
          <w:rFonts w:cs="Times New Roman"/>
        </w:rPr>
        <w:t>Merry</w:t>
      </w:r>
      <w:r w:rsidR="008D5B36">
        <w:rPr>
          <w:rFonts w:cs="Times New Roman"/>
        </w:rPr>
        <w:t xml:space="preserve">, 2000; </w:t>
      </w:r>
      <w:r w:rsidR="00927354">
        <w:rPr>
          <w:rFonts w:cs="Times New Roman"/>
        </w:rPr>
        <w:t>Ewick and Silbey, 1998; Yngvesson, 1989)</w:t>
      </w:r>
      <w:r>
        <w:rPr>
          <w:rFonts w:cs="Times New Roman"/>
        </w:rPr>
        <w:t>.</w:t>
      </w:r>
      <w:r w:rsidR="00FA3900">
        <w:rPr>
          <w:rFonts w:cs="Times New Roman"/>
        </w:rPr>
        <w:t xml:space="preserve"> </w:t>
      </w:r>
      <w:r w:rsidR="00927354">
        <w:rPr>
          <w:rFonts w:cs="Times New Roman"/>
        </w:rPr>
        <w:t xml:space="preserve">  </w:t>
      </w:r>
      <w:r>
        <w:rPr>
          <w:rFonts w:cs="Times New Roman"/>
        </w:rPr>
        <w:t>Rights</w:t>
      </w:r>
      <w:r w:rsidR="007C3BDC">
        <w:rPr>
          <w:rFonts w:cs="Times New Roman"/>
        </w:rPr>
        <w:t xml:space="preserve"> talk</w:t>
      </w:r>
      <w:r>
        <w:rPr>
          <w:rFonts w:cs="Times New Roman"/>
        </w:rPr>
        <w:t xml:space="preserve"> or rights discourse </w:t>
      </w:r>
      <w:r w:rsidR="007C3BDC">
        <w:rPr>
          <w:rFonts w:cs="Times New Roman"/>
        </w:rPr>
        <w:t>is</w:t>
      </w:r>
      <w:r>
        <w:rPr>
          <w:rFonts w:cs="Times New Roman"/>
        </w:rPr>
        <w:t xml:space="preserve"> important to popular understandings of the law because </w:t>
      </w:r>
      <w:r w:rsidR="007C3BDC">
        <w:rPr>
          <w:rFonts w:cs="Times New Roman"/>
        </w:rPr>
        <w:t>it is</w:t>
      </w:r>
      <w:r w:rsidR="00780E8D">
        <w:rPr>
          <w:rFonts w:cs="Times New Roman"/>
        </w:rPr>
        <w:t xml:space="preserve"> dynamic and is</w:t>
      </w:r>
      <w:r>
        <w:rPr>
          <w:rFonts w:cs="Times New Roman"/>
        </w:rPr>
        <w:t xml:space="preserve"> indicative</w:t>
      </w:r>
      <w:r w:rsidR="00FA3900">
        <w:rPr>
          <w:rFonts w:cs="Times New Roman"/>
        </w:rPr>
        <w:t xml:space="preserve"> how</w:t>
      </w:r>
      <w:r w:rsidR="006A78D2">
        <w:rPr>
          <w:rFonts w:cs="Times New Roman"/>
        </w:rPr>
        <w:t xml:space="preserve"> </w:t>
      </w:r>
      <w:r w:rsidR="000101F3">
        <w:rPr>
          <w:rFonts w:cs="Times New Roman"/>
        </w:rPr>
        <w:t>minority populations</w:t>
      </w:r>
      <w:r w:rsidR="006A78D2">
        <w:rPr>
          <w:rFonts w:cs="Times New Roman"/>
        </w:rPr>
        <w:t xml:space="preserve">, rather than </w:t>
      </w:r>
      <w:r w:rsidR="00196CCB">
        <w:rPr>
          <w:rFonts w:cs="Times New Roman"/>
        </w:rPr>
        <w:t xml:space="preserve">those with ties to the </w:t>
      </w:r>
      <w:r w:rsidR="006A78D2">
        <w:rPr>
          <w:rFonts w:cs="Times New Roman"/>
        </w:rPr>
        <w:t xml:space="preserve">legal </w:t>
      </w:r>
      <w:r w:rsidR="00196CCB">
        <w:rPr>
          <w:rFonts w:cs="Times New Roman"/>
        </w:rPr>
        <w:t>profession</w:t>
      </w:r>
      <w:r w:rsidR="006A78D2">
        <w:rPr>
          <w:rFonts w:cs="Times New Roman"/>
        </w:rPr>
        <w:t xml:space="preserve"> alone,</w:t>
      </w:r>
      <w:r>
        <w:rPr>
          <w:rFonts w:cs="Times New Roman"/>
        </w:rPr>
        <w:t xml:space="preserve"> believe formal legal processes can resolve collective grievances.  </w:t>
      </w:r>
      <w:r w:rsidR="00780E8D">
        <w:t>Rights language is dynamic in that it is simultaneously indeterminate and infused with “meaning by cultural practices themselves, by the repeated acts of citizens using...[rights language] to negotiate material relations with each other” (McCann, 1994, p. 297</w:t>
      </w:r>
      <w:r w:rsidR="00927354">
        <w:t>; Lovell, 2012</w:t>
      </w:r>
      <w:r w:rsidR="00780E8D">
        <w:t xml:space="preserve">).  In other words, rights language is polyvalent, it can mean many different things at different moments in time because it is both unstable and </w:t>
      </w:r>
      <w:r w:rsidR="000101F3">
        <w:t>attains meaning through its ability to help individuals understand and conceptualize collective grievances</w:t>
      </w:r>
      <w:r w:rsidR="00927354">
        <w:t xml:space="preserve"> (Polletta, 2000)</w:t>
      </w:r>
      <w:r w:rsidR="00780E8D">
        <w:t xml:space="preserve">. </w:t>
      </w:r>
      <w:r w:rsidR="00A944A0">
        <w:t xml:space="preserve"> </w:t>
      </w:r>
    </w:p>
    <w:p w14:paraId="496195E6" w14:textId="0F474B1F" w:rsidR="004B28A8" w:rsidRDefault="00A944A0" w:rsidP="00F915DE">
      <w:pPr>
        <w:spacing w:line="480" w:lineRule="auto"/>
        <w:rPr>
          <w:rFonts w:cs="Times New Roman"/>
        </w:rPr>
      </w:pPr>
      <w:r>
        <w:tab/>
      </w:r>
      <w:r w:rsidR="006A78D2">
        <w:t xml:space="preserve">Does a community’s use of rights discourse </w:t>
      </w:r>
      <w:r w:rsidR="00927354">
        <w:t>necessarily limit that community’s political agenda</w:t>
      </w:r>
      <w:r w:rsidR="006A78D2">
        <w:t xml:space="preserve">? </w:t>
      </w:r>
      <w:r>
        <w:t xml:space="preserve">In order to answer </w:t>
      </w:r>
      <w:r w:rsidR="00A64340">
        <w:t>this question</w:t>
      </w:r>
      <w:r>
        <w:t xml:space="preserve"> accurately, a study that</w:t>
      </w:r>
      <w:r w:rsidR="00E35B8A">
        <w:t>, (1)</w:t>
      </w:r>
      <w:r>
        <w:t xml:space="preserve"> </w:t>
      </w:r>
      <w:r w:rsidR="0018303D">
        <w:t xml:space="preserve">specifically </w:t>
      </w:r>
      <w:r>
        <w:t xml:space="preserve">targets </w:t>
      </w:r>
      <w:r w:rsidR="00CC47E7">
        <w:t>the LGBTQ population</w:t>
      </w:r>
      <w:r w:rsidR="00E35B8A">
        <w:t xml:space="preserve">, and (2) measures rights talk within the </w:t>
      </w:r>
      <w:r w:rsidR="00927354">
        <w:t xml:space="preserve">LGBTQ </w:t>
      </w:r>
      <w:r w:rsidR="00E35B8A">
        <w:t xml:space="preserve">community over time </w:t>
      </w:r>
      <w:r>
        <w:t>i</w:t>
      </w:r>
      <w:r w:rsidR="00F85ADB">
        <w:t xml:space="preserve">s necessary.  This study presents a content analysis of the </w:t>
      </w:r>
      <w:r>
        <w:rPr>
          <w:i/>
        </w:rPr>
        <w:t>Community Voices</w:t>
      </w:r>
      <w:r>
        <w:t xml:space="preserve"> and </w:t>
      </w:r>
      <w:r>
        <w:rPr>
          <w:i/>
        </w:rPr>
        <w:t>Speaking Out</w:t>
      </w:r>
      <w:r>
        <w:t xml:space="preserve"> columns of </w:t>
      </w:r>
      <w:r>
        <w:rPr>
          <w:i/>
        </w:rPr>
        <w:t>Gay Community News</w:t>
      </w:r>
      <w:r>
        <w:t xml:space="preserve"> (</w:t>
      </w:r>
      <w:r>
        <w:rPr>
          <w:i/>
        </w:rPr>
        <w:t>GCN</w:t>
      </w:r>
      <w:r>
        <w:t xml:space="preserve">) in 1980, 1984, and 1988.  </w:t>
      </w:r>
      <w:r>
        <w:rPr>
          <w:i/>
        </w:rPr>
        <w:t>GCN</w:t>
      </w:r>
      <w:r w:rsidR="00E517EB">
        <w:t xml:space="preserve"> was a national, lesbian and g</w:t>
      </w:r>
      <w:r>
        <w:t xml:space="preserve">ay </w:t>
      </w:r>
      <w:r w:rsidR="00AE38F2">
        <w:t>weekly</w:t>
      </w:r>
      <w:r>
        <w:t xml:space="preserve"> newspaper that represented the Lesbian and Gay Rights Movement in the 1980s.  </w:t>
      </w:r>
      <w:r>
        <w:rPr>
          <w:rFonts w:cs="Times New Roman"/>
          <w:i/>
        </w:rPr>
        <w:t>GCN</w:t>
      </w:r>
      <w:r>
        <w:rPr>
          <w:rFonts w:cs="Times New Roman"/>
        </w:rPr>
        <w:t>’s managing editors considered the paper</w:t>
      </w:r>
      <w:r w:rsidR="00AE38F2">
        <w:rPr>
          <w:rFonts w:cs="Times New Roman"/>
        </w:rPr>
        <w:t xml:space="preserve"> a</w:t>
      </w:r>
      <w:r>
        <w:rPr>
          <w:rFonts w:cs="Times New Roman"/>
        </w:rPr>
        <w:t xml:space="preserve"> “forum for liberation” that “</w:t>
      </w:r>
      <w:r w:rsidRPr="00DE5061">
        <w:rPr>
          <w:rFonts w:cs="Times New Roman"/>
        </w:rPr>
        <w:t>did not want to take any opinions or i</w:t>
      </w:r>
      <w:r>
        <w:rPr>
          <w:rFonts w:cs="Times New Roman"/>
        </w:rPr>
        <w:t>deas or assumptions for granted”</w:t>
      </w:r>
      <w:r w:rsidR="006A78D2">
        <w:rPr>
          <w:rFonts w:cs="Times New Roman"/>
        </w:rPr>
        <w:t xml:space="preserve"> (The</w:t>
      </w:r>
      <w:r w:rsidR="007F6A01">
        <w:rPr>
          <w:rFonts w:cs="Times New Roman"/>
        </w:rPr>
        <w:t xml:space="preserve"> </w:t>
      </w:r>
      <w:r w:rsidR="006A78D2">
        <w:rPr>
          <w:rFonts w:cs="Times New Roman"/>
        </w:rPr>
        <w:t>History</w:t>
      </w:r>
      <w:r w:rsidR="007F6A01">
        <w:rPr>
          <w:rFonts w:cs="Times New Roman"/>
        </w:rPr>
        <w:t xml:space="preserve"> </w:t>
      </w:r>
      <w:r w:rsidR="006A78D2">
        <w:rPr>
          <w:rFonts w:cs="Times New Roman"/>
        </w:rPr>
        <w:t xml:space="preserve">Project, 2011). </w:t>
      </w:r>
      <w:r w:rsidR="00F85ADB">
        <w:rPr>
          <w:rFonts w:cs="Times New Roman"/>
        </w:rPr>
        <w:t xml:space="preserve">Furthermore, </w:t>
      </w:r>
      <w:r w:rsidR="00F85ADB">
        <w:rPr>
          <w:rFonts w:cs="Times New Roman"/>
          <w:i/>
        </w:rPr>
        <w:t xml:space="preserve">GCN </w:t>
      </w:r>
      <w:r w:rsidR="00F85ADB">
        <w:rPr>
          <w:rFonts w:cs="Times New Roman"/>
        </w:rPr>
        <w:t xml:space="preserve">was unusual among lesbian and gay organizations of the 1980s because “the </w:t>
      </w:r>
      <w:r w:rsidR="00F85ADB">
        <w:rPr>
          <w:rFonts w:cs="Times New Roman"/>
          <w:i/>
        </w:rPr>
        <w:t>GCN</w:t>
      </w:r>
      <w:r w:rsidR="00F85ADB">
        <w:rPr>
          <w:rFonts w:cs="Times New Roman"/>
        </w:rPr>
        <w:t xml:space="preserve"> collective included both women and men from the very beginning and was mixed in terms of class and age” (Hoffman, 2007, p. xiv). </w:t>
      </w:r>
      <w:r w:rsidR="00A64340">
        <w:rPr>
          <w:rFonts w:cs="Times New Roman"/>
          <w:i/>
        </w:rPr>
        <w:t>GCN</w:t>
      </w:r>
      <w:r w:rsidR="00A64340">
        <w:rPr>
          <w:rFonts w:cs="Times New Roman"/>
        </w:rPr>
        <w:t>’s</w:t>
      </w:r>
      <w:r>
        <w:rPr>
          <w:rFonts w:cs="Times New Roman"/>
        </w:rPr>
        <w:t xml:space="preserve"> </w:t>
      </w:r>
      <w:r w:rsidR="00A64340">
        <w:rPr>
          <w:rFonts w:cs="Times New Roman"/>
        </w:rPr>
        <w:t>editors openly maintained an inclusive, broad understandi</w:t>
      </w:r>
      <w:r w:rsidR="00DE4AE7">
        <w:rPr>
          <w:rFonts w:cs="Times New Roman"/>
        </w:rPr>
        <w:t>ng of the LGBTQ Rights Movement</w:t>
      </w:r>
      <w:r w:rsidR="00A64340">
        <w:rPr>
          <w:rFonts w:cs="Times New Roman"/>
        </w:rPr>
        <w:t xml:space="preserve"> that reached well beyond legal activists and leaders</w:t>
      </w:r>
      <w:r w:rsidR="00DE4AE7">
        <w:rPr>
          <w:rFonts w:cs="Times New Roman"/>
        </w:rPr>
        <w:t xml:space="preserve">, a commitment that makes </w:t>
      </w:r>
      <w:r w:rsidR="00DE4AE7">
        <w:rPr>
          <w:rFonts w:cs="Times New Roman"/>
          <w:i/>
        </w:rPr>
        <w:t>GCN</w:t>
      </w:r>
      <w:r w:rsidR="00DE4AE7">
        <w:rPr>
          <w:rFonts w:cs="Times New Roman"/>
        </w:rPr>
        <w:t xml:space="preserve"> a useful resource for studying the community views of the past</w:t>
      </w:r>
      <w:r>
        <w:rPr>
          <w:rFonts w:cs="Times New Roman"/>
        </w:rPr>
        <w:t>.</w:t>
      </w:r>
      <w:r w:rsidR="004B28A8">
        <w:rPr>
          <w:rFonts w:cs="Times New Roman"/>
        </w:rPr>
        <w:t xml:space="preserve"> </w:t>
      </w:r>
      <w:r w:rsidR="00DE4AE7">
        <w:rPr>
          <w:rFonts w:cs="Times New Roman"/>
        </w:rPr>
        <w:t xml:space="preserve">Furthermore, </w:t>
      </w:r>
      <w:r w:rsidR="00DE4AE7">
        <w:rPr>
          <w:rFonts w:cs="Times New Roman"/>
          <w:i/>
        </w:rPr>
        <w:t>GCN</w:t>
      </w:r>
      <w:r w:rsidR="00DE4AE7">
        <w:rPr>
          <w:rFonts w:cs="Times New Roman"/>
        </w:rPr>
        <w:t xml:space="preserve"> published letters </w:t>
      </w:r>
      <w:r w:rsidR="000B7FF2">
        <w:rPr>
          <w:rFonts w:cs="Times New Roman"/>
        </w:rPr>
        <w:t>to the editor from historically marginalized sub-groups within the LGBTQ population, including trans</w:t>
      </w:r>
      <w:r w:rsidR="00DE4AE7">
        <w:rPr>
          <w:rFonts w:cs="Times New Roman"/>
        </w:rPr>
        <w:t xml:space="preserve"> persons, </w:t>
      </w:r>
      <w:r w:rsidR="000B7FF2">
        <w:rPr>
          <w:rFonts w:cs="Times New Roman"/>
        </w:rPr>
        <w:t xml:space="preserve">LGBTQ </w:t>
      </w:r>
      <w:r w:rsidR="00DE4AE7">
        <w:rPr>
          <w:rFonts w:cs="Times New Roman"/>
        </w:rPr>
        <w:t>racial minorities,</w:t>
      </w:r>
      <w:r w:rsidR="000B7FF2">
        <w:rPr>
          <w:rFonts w:cs="Times New Roman"/>
        </w:rPr>
        <w:t xml:space="preserve"> those who identify as bisexual,</w:t>
      </w:r>
      <w:r w:rsidR="00DE4AE7">
        <w:rPr>
          <w:rFonts w:cs="Times New Roman"/>
        </w:rPr>
        <w:t xml:space="preserve"> and cl</w:t>
      </w:r>
      <w:r w:rsidR="00761100">
        <w:rPr>
          <w:rFonts w:cs="Times New Roman"/>
        </w:rPr>
        <w:t>oseted members of the community</w:t>
      </w:r>
      <w:r w:rsidR="00DE4AE7">
        <w:rPr>
          <w:rFonts w:cs="Times New Roman"/>
        </w:rPr>
        <w:t xml:space="preserve"> whose letters were published anonymously upon request.</w:t>
      </w:r>
      <w:r w:rsidR="00F85ADB">
        <w:rPr>
          <w:rStyle w:val="FootnoteReference"/>
          <w:rFonts w:cs="Times New Roman"/>
        </w:rPr>
        <w:footnoteReference w:id="1"/>
      </w:r>
      <w:r w:rsidR="00DE4AE7">
        <w:rPr>
          <w:rFonts w:cs="Times New Roman"/>
        </w:rPr>
        <w:t xml:space="preserve"> </w:t>
      </w:r>
      <w:r w:rsidR="004B28A8">
        <w:rPr>
          <w:rFonts w:cs="Times New Roman"/>
        </w:rPr>
        <w:t xml:space="preserve"> </w:t>
      </w:r>
      <w:r w:rsidR="00DE4AE7">
        <w:rPr>
          <w:rFonts w:cs="Times New Roman"/>
        </w:rPr>
        <w:t>Consequently, t</w:t>
      </w:r>
      <w:r w:rsidR="004B28A8">
        <w:rPr>
          <w:rFonts w:cs="Times New Roman"/>
        </w:rPr>
        <w:t xml:space="preserve">his study differs from previous studies by painting a dynamic, rather than a static picture, of the relationship between rights talk and </w:t>
      </w:r>
      <w:r w:rsidR="000101F3">
        <w:rPr>
          <w:rFonts w:cs="Times New Roman"/>
        </w:rPr>
        <w:t>issue importance</w:t>
      </w:r>
      <w:r w:rsidR="004B28A8">
        <w:rPr>
          <w:rFonts w:cs="Times New Roman"/>
        </w:rPr>
        <w:t xml:space="preserve"> over time.</w:t>
      </w:r>
    </w:p>
    <w:p w14:paraId="7156B98C" w14:textId="71479CA3" w:rsidR="00605F50" w:rsidRPr="00A944A0" w:rsidRDefault="00AE38F2" w:rsidP="00F915DE">
      <w:pPr>
        <w:spacing w:line="480" w:lineRule="auto"/>
      </w:pPr>
      <w:r>
        <w:rPr>
          <w:rFonts w:cs="Times New Roman"/>
        </w:rPr>
        <w:tab/>
      </w:r>
      <w:r w:rsidR="00A944A0">
        <w:rPr>
          <w:rFonts w:cs="Times New Roman"/>
        </w:rPr>
        <w:t xml:space="preserve">This </w:t>
      </w:r>
      <w:r>
        <w:rPr>
          <w:rFonts w:cs="Times New Roman"/>
        </w:rPr>
        <w:t>study</w:t>
      </w:r>
      <w:r w:rsidR="00A944A0">
        <w:rPr>
          <w:rFonts w:cs="Times New Roman"/>
        </w:rPr>
        <w:t xml:space="preserve"> </w:t>
      </w:r>
      <w:r w:rsidR="00DE4AE7">
        <w:rPr>
          <w:rFonts w:cs="Times New Roman"/>
        </w:rPr>
        <w:t xml:space="preserve">finds that </w:t>
      </w:r>
      <w:r w:rsidR="00BB6B31">
        <w:t>LGBTQ</w:t>
      </w:r>
      <w:r w:rsidR="000B7FF2">
        <w:t>-identified</w:t>
      </w:r>
      <w:r w:rsidR="00A944A0">
        <w:t xml:space="preserve"> </w:t>
      </w:r>
      <w:r w:rsidR="00723E63">
        <w:t>persons</w:t>
      </w:r>
      <w:r w:rsidR="00A944A0">
        <w:t xml:space="preserve"> attac</w:t>
      </w:r>
      <w:r w:rsidR="00F85ADB">
        <w:t xml:space="preserve">hed rights to a wide variety of political and legal </w:t>
      </w:r>
      <w:r w:rsidR="00A944A0">
        <w:t xml:space="preserve">issues </w:t>
      </w:r>
      <w:r w:rsidR="00F85ADB">
        <w:t>throughout</w:t>
      </w:r>
      <w:r w:rsidR="00DE4AE7">
        <w:t xml:space="preserve"> the 1980s</w:t>
      </w:r>
      <w:r w:rsidR="00F85ADB">
        <w:t>.  Thus, rights talk did not narrow the LGBTQ community’s agenda to legal rights activism, which rights critics argue has prevented the LGBTQ movement from addressing structural inequalities</w:t>
      </w:r>
      <w:r w:rsidR="00DE4AE7">
        <w:t>.</w:t>
      </w:r>
      <w:r w:rsidR="009E044F">
        <w:t xml:space="preserve"> </w:t>
      </w:r>
      <w:r w:rsidR="00DE4AE7">
        <w:t xml:space="preserve"> R</w:t>
      </w:r>
      <w:r w:rsidR="00A944A0">
        <w:t xml:space="preserve">egardless of whether or not an issue was attached to </w:t>
      </w:r>
      <w:r w:rsidR="00701EDD">
        <w:t>a</w:t>
      </w:r>
      <w:r w:rsidR="00A944A0">
        <w:t xml:space="preserve"> litigation campaign</w:t>
      </w:r>
      <w:r w:rsidR="009E044F">
        <w:t>, rights talk</w:t>
      </w:r>
      <w:r w:rsidR="00700354">
        <w:t xml:space="preserve"> </w:t>
      </w:r>
      <w:r w:rsidR="00701EDD">
        <w:t>is not determinative</w:t>
      </w:r>
      <w:r w:rsidR="00780E8D">
        <w:t>, but dynamic</w:t>
      </w:r>
      <w:r w:rsidR="005D7410">
        <w:t>.</w:t>
      </w:r>
      <w:r w:rsidR="00780E8D">
        <w:t xml:space="preserve">  Rights language is </w:t>
      </w:r>
      <w:r w:rsidR="000101F3">
        <w:t>a community</w:t>
      </w:r>
      <w:r w:rsidR="00780E8D">
        <w:t xml:space="preserve"> activity that is both unstable and a meaningful tool available to everyday people to help in the understanding and theorization</w:t>
      </w:r>
      <w:r w:rsidR="00B20645">
        <w:t xml:space="preserve"> of</w:t>
      </w:r>
      <w:r w:rsidR="00780E8D">
        <w:t xml:space="preserve"> their collective grievances (McCann, 1994</w:t>
      </w:r>
      <w:r w:rsidR="000B7FF2">
        <w:t>; Lovell 2012; see also Ewick and Silbey 2000</w:t>
      </w:r>
      <w:r w:rsidR="00F85ADB">
        <w:t>).</w:t>
      </w:r>
      <w:r w:rsidR="00A944A0">
        <w:t xml:space="preserve"> </w:t>
      </w:r>
      <w:r w:rsidR="00780E8D">
        <w:t xml:space="preserve"> </w:t>
      </w:r>
      <w:r w:rsidR="00F85ADB">
        <w:t>A</w:t>
      </w:r>
      <w:r w:rsidR="00796EE0">
        <w:t>s this paper will show,</w:t>
      </w:r>
      <w:r w:rsidR="009E044F">
        <w:t xml:space="preserve"> </w:t>
      </w:r>
      <w:r w:rsidR="00796EE0">
        <w:t>r</w:t>
      </w:r>
      <w:r w:rsidR="00A944A0">
        <w:t>ights talk is not always attached to litigation, it is also a general means of asking for recognition of community grievances that</w:t>
      </w:r>
      <w:r w:rsidR="00796EE0">
        <w:t xml:space="preserve"> readily adapts to alternative non-legal or ordinary political</w:t>
      </w:r>
      <w:r w:rsidR="00A944A0">
        <w:t xml:space="preserve"> grievances over time.</w:t>
      </w:r>
      <w:r w:rsidR="00996255">
        <w:t xml:space="preserve"> </w:t>
      </w:r>
      <w:r w:rsidR="00B20645">
        <w:t xml:space="preserve"> </w:t>
      </w:r>
      <w:r w:rsidR="00A944A0">
        <w:t xml:space="preserve">In order to support these assertions this paper will </w:t>
      </w:r>
      <w:r w:rsidR="00584220">
        <w:t xml:space="preserve">(1) </w:t>
      </w:r>
      <w:r w:rsidR="00A944A0">
        <w:t xml:space="preserve">present a content analysis of </w:t>
      </w:r>
      <w:r w:rsidR="00A944A0">
        <w:rPr>
          <w:i/>
        </w:rPr>
        <w:t>Community Voices</w:t>
      </w:r>
      <w:r w:rsidR="00A944A0">
        <w:t xml:space="preserve"> and </w:t>
      </w:r>
      <w:r w:rsidR="00A944A0">
        <w:rPr>
          <w:i/>
        </w:rPr>
        <w:t>Speaking Out</w:t>
      </w:r>
      <w:r w:rsidR="00A944A0">
        <w:t xml:space="preserve"> letters to the editor that appeared in </w:t>
      </w:r>
      <w:r w:rsidR="00A944A0">
        <w:rPr>
          <w:i/>
        </w:rPr>
        <w:t>GCN</w:t>
      </w:r>
      <w:r w:rsidR="00A944A0">
        <w:t xml:space="preserve"> in 1980, 1984, and 1988</w:t>
      </w:r>
      <w:r w:rsidR="00584220">
        <w:t xml:space="preserve">, and (2) </w:t>
      </w:r>
      <w:r w:rsidR="00700354">
        <w:t xml:space="preserve">demonstrate that </w:t>
      </w:r>
      <w:r w:rsidR="00F85ADB">
        <w:t>rights discourse</w:t>
      </w:r>
      <w:r w:rsidR="00700354">
        <w:t xml:space="preserve"> does not limit </w:t>
      </w:r>
      <w:r w:rsidR="00F85ADB">
        <w:t>agenda-setting</w:t>
      </w:r>
      <w:r w:rsidR="00700354">
        <w:t xml:space="preserve"> and that </w:t>
      </w:r>
      <w:r w:rsidR="0053456D">
        <w:t>community discussions of rights are dynamic in they readily adapt</w:t>
      </w:r>
      <w:r w:rsidR="00700354">
        <w:t xml:space="preserve"> to novel</w:t>
      </w:r>
      <w:r w:rsidR="005D7410">
        <w:t>, ordinary political issues</w:t>
      </w:r>
      <w:r w:rsidR="00700354">
        <w:t xml:space="preserve"> as they arise</w:t>
      </w:r>
      <w:r w:rsidR="00A64340">
        <w:t>.</w:t>
      </w:r>
      <w:r w:rsidR="00761100">
        <w:t xml:space="preserve">  Overall, this paper finds that rights talk does not necessarily </w:t>
      </w:r>
      <w:r w:rsidR="00F85ADB">
        <w:t>result in po</w:t>
      </w:r>
      <w:r w:rsidR="00231E69">
        <w:t>litically narrowing legal claim. Consequently, more research, which makes</w:t>
      </w:r>
      <w:r w:rsidR="00761100">
        <w:t xml:space="preserve"> </w:t>
      </w:r>
      <w:proofErr w:type="spellStart"/>
      <w:r w:rsidR="00761100">
        <w:t>makes</w:t>
      </w:r>
      <w:proofErr w:type="spellEnd"/>
      <w:r w:rsidR="00761100">
        <w:t xml:space="preserve"> clear distinctions between rights talk and </w:t>
      </w:r>
      <w:r w:rsidR="00DE41DC">
        <w:t>formal legal rights claims</w:t>
      </w:r>
      <w:r w:rsidR="00761100">
        <w:t>, is needed in order to determine the role</w:t>
      </w:r>
      <w:r w:rsidR="000101F3">
        <w:t xml:space="preserve">s lawyers, </w:t>
      </w:r>
      <w:r w:rsidR="00761100">
        <w:t>organizational actors</w:t>
      </w:r>
      <w:r w:rsidR="000101F3">
        <w:t>, and everyday members of the LGBTQ population</w:t>
      </w:r>
      <w:r w:rsidR="00761100">
        <w:t xml:space="preserve"> play</w:t>
      </w:r>
      <w:r w:rsidR="000101F3">
        <w:t xml:space="preserve"> in</w:t>
      </w:r>
      <w:r w:rsidR="00231E69">
        <w:t xml:space="preserve"> the narrowing of political activism over time</w:t>
      </w:r>
      <w:r w:rsidR="00761100">
        <w:t>.</w:t>
      </w:r>
    </w:p>
    <w:p w14:paraId="7A65E147" w14:textId="04577613" w:rsidR="0009091E" w:rsidRPr="0009091E" w:rsidRDefault="007657E1" w:rsidP="00727929">
      <w:pPr>
        <w:spacing w:line="480" w:lineRule="auto"/>
        <w:jc w:val="center"/>
        <w:rPr>
          <w:rFonts w:cs="Times New Roman"/>
        </w:rPr>
      </w:pPr>
      <w:r>
        <w:rPr>
          <w:rFonts w:cs="Times New Roman"/>
          <w:b/>
        </w:rPr>
        <w:t>DATA AND METHODS</w:t>
      </w:r>
      <w:r>
        <w:rPr>
          <w:rFonts w:cs="Times New Roman"/>
        </w:rPr>
        <w:tab/>
      </w:r>
    </w:p>
    <w:p w14:paraId="74C2C076" w14:textId="7972A399" w:rsidR="00E30848" w:rsidRDefault="007C2378" w:rsidP="007657E1">
      <w:pPr>
        <w:spacing w:line="480" w:lineRule="auto"/>
        <w:rPr>
          <w:rFonts w:cs="Times New Roman"/>
        </w:rPr>
      </w:pPr>
      <w:r>
        <w:rPr>
          <w:rFonts w:cs="Times New Roman"/>
        </w:rPr>
        <w:tab/>
        <w:t>As Hull (2001</w:t>
      </w:r>
      <w:r w:rsidR="0014606C">
        <w:rPr>
          <w:rFonts w:cs="Times New Roman"/>
        </w:rPr>
        <w:t>) demonstrates, using letters to the editor to gauge public opinion</w:t>
      </w:r>
      <w:r w:rsidR="00E30848">
        <w:rPr>
          <w:rFonts w:cs="Times New Roman"/>
        </w:rPr>
        <w:t xml:space="preserve"> </w:t>
      </w:r>
      <w:r w:rsidR="0014606C">
        <w:rPr>
          <w:rFonts w:cs="Times New Roman"/>
        </w:rPr>
        <w:t>has</w:t>
      </w:r>
      <w:r w:rsidR="00E30848">
        <w:rPr>
          <w:rFonts w:cs="Times New Roman"/>
        </w:rPr>
        <w:t xml:space="preserve"> several obvious limitations. First, </w:t>
      </w:r>
      <w:r w:rsidR="00F33871">
        <w:rPr>
          <w:rFonts w:cs="Times New Roman"/>
        </w:rPr>
        <w:t xml:space="preserve">only some of the letters that are sent to newspapers are actually published and the selection criteria are not known, so the letters published may not be representative of all the letters received.  Second, letters to the editor are often not representative of a newspaper’s </w:t>
      </w:r>
      <w:r w:rsidR="009438AE">
        <w:rPr>
          <w:rFonts w:cs="Times New Roman"/>
        </w:rPr>
        <w:t xml:space="preserve">complete </w:t>
      </w:r>
      <w:r w:rsidR="00F33871">
        <w:rPr>
          <w:rFonts w:cs="Times New Roman"/>
        </w:rPr>
        <w:t>reader base, but of the wealthier, more educated, and more politica</w:t>
      </w:r>
      <w:r w:rsidR="0043785E">
        <w:rPr>
          <w:rFonts w:cs="Times New Roman"/>
        </w:rPr>
        <w:t xml:space="preserve">lly active readers (Buell, 1975; </w:t>
      </w:r>
      <w:r w:rsidR="00F33871">
        <w:rPr>
          <w:rFonts w:cs="Times New Roman"/>
        </w:rPr>
        <w:t>Volgy et</w:t>
      </w:r>
      <w:r>
        <w:rPr>
          <w:rFonts w:cs="Times New Roman"/>
        </w:rPr>
        <w:t xml:space="preserve"> al.</w:t>
      </w:r>
      <w:r w:rsidR="0043785E">
        <w:rPr>
          <w:rFonts w:cs="Times New Roman"/>
        </w:rPr>
        <w:t>,</w:t>
      </w:r>
      <w:r>
        <w:rPr>
          <w:rFonts w:cs="Times New Roman"/>
        </w:rPr>
        <w:t xml:space="preserve"> 1977</w:t>
      </w:r>
      <w:r w:rsidR="00F33871">
        <w:rPr>
          <w:rFonts w:cs="Times New Roman"/>
        </w:rPr>
        <w:t>).</w:t>
      </w:r>
      <w:r w:rsidR="003D3C24">
        <w:rPr>
          <w:rFonts w:cs="Times New Roman"/>
        </w:rPr>
        <w:t xml:space="preserve">  Third, </w:t>
      </w:r>
      <w:r w:rsidR="009438AE">
        <w:rPr>
          <w:rFonts w:cs="Times New Roman"/>
        </w:rPr>
        <w:t>letter writers</w:t>
      </w:r>
      <w:r w:rsidR="003D3C24">
        <w:rPr>
          <w:rFonts w:cs="Times New Roman"/>
        </w:rPr>
        <w:t xml:space="preserve"> may have more “extreme” vie</w:t>
      </w:r>
      <w:r w:rsidR="009438AE">
        <w:rPr>
          <w:rFonts w:cs="Times New Roman"/>
        </w:rPr>
        <w:t>w</w:t>
      </w:r>
      <w:r w:rsidR="003D3C24">
        <w:rPr>
          <w:rFonts w:cs="Times New Roman"/>
        </w:rPr>
        <w:t>s than the majority of a newspaper’s readers (Volgy et</w:t>
      </w:r>
      <w:r>
        <w:rPr>
          <w:rFonts w:cs="Times New Roman"/>
        </w:rPr>
        <w:t xml:space="preserve"> al.</w:t>
      </w:r>
      <w:r w:rsidR="0043785E">
        <w:rPr>
          <w:rFonts w:cs="Times New Roman"/>
        </w:rPr>
        <w:t>,</w:t>
      </w:r>
      <w:r>
        <w:rPr>
          <w:rFonts w:cs="Times New Roman"/>
        </w:rPr>
        <w:t xml:space="preserve"> 1977</w:t>
      </w:r>
      <w:r w:rsidR="003D3C24">
        <w:rPr>
          <w:rFonts w:cs="Times New Roman"/>
        </w:rPr>
        <w:t>).</w:t>
      </w:r>
      <w:r w:rsidR="00F33871">
        <w:rPr>
          <w:rFonts w:cs="Times New Roman"/>
        </w:rPr>
        <w:t xml:space="preserve"> </w:t>
      </w:r>
      <w:r w:rsidR="003D3C24">
        <w:rPr>
          <w:rFonts w:cs="Times New Roman"/>
        </w:rPr>
        <w:t>Finally, letters to the editor are generally very brief, so the “richness of their content is restr</w:t>
      </w:r>
      <w:r>
        <w:rPr>
          <w:rFonts w:cs="Times New Roman"/>
        </w:rPr>
        <w:t>icted by their form” (Hull, 2001</w:t>
      </w:r>
      <w:r w:rsidR="003D3C24">
        <w:rPr>
          <w:rFonts w:cs="Times New Roman"/>
        </w:rPr>
        <w:t xml:space="preserve">, p. 211).  </w:t>
      </w:r>
    </w:p>
    <w:p w14:paraId="59737928" w14:textId="18F06A12" w:rsidR="007C2378" w:rsidRDefault="003D3C24" w:rsidP="007657E1">
      <w:pPr>
        <w:spacing w:line="480" w:lineRule="auto"/>
        <w:rPr>
          <w:rFonts w:cs="Times New Roman"/>
        </w:rPr>
      </w:pPr>
      <w:r>
        <w:rPr>
          <w:rFonts w:cs="Times New Roman"/>
        </w:rPr>
        <w:tab/>
      </w:r>
      <w:r w:rsidR="003D03A7">
        <w:rPr>
          <w:rFonts w:cs="Times New Roman"/>
        </w:rPr>
        <w:t xml:space="preserve">The study presented in this paper </w:t>
      </w:r>
      <w:r w:rsidR="00007DD9">
        <w:rPr>
          <w:rFonts w:cs="Times New Roman"/>
        </w:rPr>
        <w:t>address</w:t>
      </w:r>
      <w:r w:rsidR="000B7FF2">
        <w:rPr>
          <w:rFonts w:cs="Times New Roman"/>
        </w:rPr>
        <w:t>es</w:t>
      </w:r>
      <w:r w:rsidR="00007DD9">
        <w:rPr>
          <w:rFonts w:cs="Times New Roman"/>
        </w:rPr>
        <w:t xml:space="preserve"> some of</w:t>
      </w:r>
      <w:r w:rsidR="003D03A7">
        <w:rPr>
          <w:rFonts w:cs="Times New Roman"/>
        </w:rPr>
        <w:t xml:space="preserve"> the problems identified above regarding the difficulties associated with measuring </w:t>
      </w:r>
      <w:r w:rsidR="00007DD9">
        <w:rPr>
          <w:rFonts w:cs="Times New Roman"/>
        </w:rPr>
        <w:t xml:space="preserve">a </w:t>
      </w:r>
      <w:r w:rsidR="00761100">
        <w:rPr>
          <w:rFonts w:cs="Times New Roman"/>
        </w:rPr>
        <w:t>population</w:t>
      </w:r>
      <w:r w:rsidR="003D03A7">
        <w:rPr>
          <w:rFonts w:cs="Times New Roman"/>
        </w:rPr>
        <w:t xml:space="preserve"> by using </w:t>
      </w:r>
      <w:r w:rsidR="003D03A7">
        <w:rPr>
          <w:rFonts w:cs="Times New Roman"/>
          <w:i/>
        </w:rPr>
        <w:t>GCN’s</w:t>
      </w:r>
      <w:r w:rsidR="003D03A7">
        <w:rPr>
          <w:rFonts w:cs="Times New Roman"/>
        </w:rPr>
        <w:t xml:space="preserve"> community-based letters to the editor columns.  This is not a perfect solution, but there are several unique attributes </w:t>
      </w:r>
      <w:r w:rsidR="00A64340">
        <w:rPr>
          <w:rFonts w:cs="Times New Roman"/>
        </w:rPr>
        <w:t>of</w:t>
      </w:r>
      <w:r w:rsidR="003D03A7">
        <w:rPr>
          <w:rFonts w:cs="Times New Roman"/>
        </w:rPr>
        <w:t xml:space="preserve"> </w:t>
      </w:r>
      <w:r w:rsidR="003D03A7">
        <w:rPr>
          <w:rFonts w:cs="Times New Roman"/>
          <w:i/>
        </w:rPr>
        <w:t>GCN’s</w:t>
      </w:r>
      <w:r w:rsidR="003D03A7">
        <w:rPr>
          <w:rFonts w:cs="Times New Roman"/>
        </w:rPr>
        <w:t xml:space="preserve"> columns that directly </w:t>
      </w:r>
      <w:r w:rsidR="000B7FF2">
        <w:rPr>
          <w:rFonts w:cs="Times New Roman"/>
        </w:rPr>
        <w:t>resolve</w:t>
      </w:r>
      <w:r w:rsidR="003D03A7">
        <w:rPr>
          <w:rFonts w:cs="Times New Roman"/>
        </w:rPr>
        <w:t xml:space="preserve"> these concerns and, hence, avoid some of the usual limitations of using letters to the editor.  For example, t</w:t>
      </w:r>
      <w:r>
        <w:rPr>
          <w:rFonts w:cs="Times New Roman"/>
        </w:rPr>
        <w:t xml:space="preserve">he Bromfield </w:t>
      </w:r>
      <w:r w:rsidR="00093465">
        <w:rPr>
          <w:rFonts w:cs="Times New Roman"/>
        </w:rPr>
        <w:t xml:space="preserve">Street </w:t>
      </w:r>
      <w:r>
        <w:rPr>
          <w:rFonts w:cs="Times New Roman"/>
        </w:rPr>
        <w:t xml:space="preserve">Educational Foundation, which achieved non-profit status in 1984, ran </w:t>
      </w:r>
      <w:r>
        <w:rPr>
          <w:rFonts w:cs="Times New Roman"/>
          <w:i/>
        </w:rPr>
        <w:t>GCN</w:t>
      </w:r>
      <w:r>
        <w:rPr>
          <w:rFonts w:cs="Times New Roman"/>
        </w:rPr>
        <w:t xml:space="preserve"> from 1973 to 1999 (when the paper ceased its operations due to financial difficulties).</w:t>
      </w:r>
      <w:r>
        <w:rPr>
          <w:rStyle w:val="FootnoteReference"/>
          <w:rFonts w:cs="Times New Roman"/>
        </w:rPr>
        <w:footnoteReference w:id="2"/>
      </w:r>
      <w:r w:rsidR="00093465">
        <w:rPr>
          <w:rFonts w:cs="Times New Roman"/>
        </w:rPr>
        <w:t xml:space="preserve">  This organization</w:t>
      </w:r>
      <w:r>
        <w:rPr>
          <w:rFonts w:cs="Times New Roman"/>
        </w:rPr>
        <w:t xml:space="preserve"> w</w:t>
      </w:r>
      <w:r w:rsidR="00093465">
        <w:rPr>
          <w:rFonts w:cs="Times New Roman"/>
        </w:rPr>
        <w:t>as volunteer-intensive, depended</w:t>
      </w:r>
      <w:r>
        <w:rPr>
          <w:rFonts w:cs="Times New Roman"/>
        </w:rPr>
        <w:t xml:space="preserve"> on community donations for its revenue,</w:t>
      </w:r>
      <w:r w:rsidR="00093465">
        <w:rPr>
          <w:rFonts w:cs="Times New Roman"/>
        </w:rPr>
        <w:t xml:space="preserve"> and was owned and managed collectively (Rofes, 2001</w:t>
      </w:r>
      <w:r w:rsidR="0043785E">
        <w:rPr>
          <w:rFonts w:cs="Times New Roman"/>
        </w:rPr>
        <w:t>; Hoffman 2007</w:t>
      </w:r>
      <w:r w:rsidR="00093465">
        <w:rPr>
          <w:rFonts w:cs="Times New Roman"/>
        </w:rPr>
        <w:t>).</w:t>
      </w:r>
      <w:r w:rsidR="00C04AD2">
        <w:rPr>
          <w:rFonts w:cs="Times New Roman"/>
        </w:rPr>
        <w:t xml:space="preserve">  </w:t>
      </w:r>
      <w:r w:rsidR="0043785E">
        <w:rPr>
          <w:rFonts w:cs="Times New Roman"/>
          <w:i/>
        </w:rPr>
        <w:t>GCN</w:t>
      </w:r>
      <w:r w:rsidR="0043785E">
        <w:rPr>
          <w:rFonts w:cs="Times New Roman"/>
        </w:rPr>
        <w:t xml:space="preserve"> was also a national LGBTQ community newspaper, whose audience spanned all 50 states (Hoffman, 2007). </w:t>
      </w:r>
      <w:r w:rsidR="00C04AD2">
        <w:rPr>
          <w:rFonts w:cs="Times New Roman"/>
        </w:rPr>
        <w:t xml:space="preserve">Furthermore, </w:t>
      </w:r>
      <w:r w:rsidR="00C04AD2">
        <w:rPr>
          <w:rFonts w:cs="Times New Roman"/>
          <w:i/>
        </w:rPr>
        <w:t>GCN</w:t>
      </w:r>
      <w:r w:rsidR="00C04AD2">
        <w:rPr>
          <w:rFonts w:cs="Times New Roman"/>
        </w:rPr>
        <w:t xml:space="preserve">’s managing editors considered the paper a radical, left wing “forum for liberation” </w:t>
      </w:r>
      <w:r w:rsidR="00F01C8E">
        <w:rPr>
          <w:rFonts w:cs="Times New Roman"/>
        </w:rPr>
        <w:t>that “</w:t>
      </w:r>
      <w:r w:rsidR="00F01C8E" w:rsidRPr="00DE5061">
        <w:rPr>
          <w:rFonts w:cs="Times New Roman"/>
        </w:rPr>
        <w:t>did not want to take any opinions or i</w:t>
      </w:r>
      <w:r w:rsidR="00F01C8E">
        <w:rPr>
          <w:rFonts w:cs="Times New Roman"/>
        </w:rPr>
        <w:t xml:space="preserve">deas or assumptions for granted” </w:t>
      </w:r>
      <w:r w:rsidR="00C04AD2">
        <w:rPr>
          <w:rFonts w:cs="Times New Roman"/>
        </w:rPr>
        <w:t>(The</w:t>
      </w:r>
      <w:r w:rsidR="007F6A01">
        <w:rPr>
          <w:rFonts w:cs="Times New Roman"/>
        </w:rPr>
        <w:t xml:space="preserve"> </w:t>
      </w:r>
      <w:r w:rsidR="00C04AD2">
        <w:rPr>
          <w:rFonts w:cs="Times New Roman"/>
        </w:rPr>
        <w:t>History</w:t>
      </w:r>
      <w:r w:rsidR="007F6A01">
        <w:rPr>
          <w:rFonts w:cs="Times New Roman"/>
        </w:rPr>
        <w:t xml:space="preserve"> </w:t>
      </w:r>
      <w:r w:rsidR="00C04AD2">
        <w:rPr>
          <w:rFonts w:cs="Times New Roman"/>
        </w:rPr>
        <w:t>Project, 2011).</w:t>
      </w:r>
      <w:r w:rsidR="00F01C8E">
        <w:rPr>
          <w:rFonts w:cs="Times New Roman"/>
        </w:rPr>
        <w:t xml:space="preserve">  As a result, unlike most newspapers, which have relatively short letters to the editor sections, </w:t>
      </w:r>
      <w:r w:rsidR="00F01C8E">
        <w:rPr>
          <w:rFonts w:cs="Times New Roman"/>
          <w:i/>
        </w:rPr>
        <w:t>GCN</w:t>
      </w:r>
      <w:r w:rsidR="00F01C8E">
        <w:rPr>
          <w:rFonts w:cs="Times New Roman"/>
        </w:rPr>
        <w:t>’s letters to the editor section spanned two columns</w:t>
      </w:r>
      <w:r w:rsidR="002542F4">
        <w:rPr>
          <w:rFonts w:cs="Times New Roman"/>
        </w:rPr>
        <w:t xml:space="preserve"> (</w:t>
      </w:r>
      <w:r w:rsidR="002542F4">
        <w:rPr>
          <w:rFonts w:cs="Times New Roman"/>
          <w:i/>
        </w:rPr>
        <w:t>Community Voices</w:t>
      </w:r>
      <w:r w:rsidR="002542F4">
        <w:rPr>
          <w:rFonts w:cs="Times New Roman"/>
        </w:rPr>
        <w:t xml:space="preserve"> and </w:t>
      </w:r>
      <w:r w:rsidR="002542F4">
        <w:rPr>
          <w:rFonts w:cs="Times New Roman"/>
          <w:i/>
        </w:rPr>
        <w:t>Speaking Out</w:t>
      </w:r>
      <w:r w:rsidR="002542F4">
        <w:rPr>
          <w:rFonts w:cs="Times New Roman"/>
        </w:rPr>
        <w:t>)</w:t>
      </w:r>
      <w:r w:rsidR="00F01C8E">
        <w:rPr>
          <w:rFonts w:cs="Times New Roman"/>
        </w:rPr>
        <w:t>, covered anywhere between 1 to 3 pages in each issue,</w:t>
      </w:r>
      <w:r w:rsidR="00A64340">
        <w:rPr>
          <w:rFonts w:cs="Times New Roman"/>
        </w:rPr>
        <w:t xml:space="preserve"> </w:t>
      </w:r>
      <w:r w:rsidR="00F01C8E">
        <w:rPr>
          <w:rFonts w:cs="Times New Roman"/>
        </w:rPr>
        <w:t>and included somewhere between 6 and 20 letters</w:t>
      </w:r>
      <w:r w:rsidR="002542F4">
        <w:rPr>
          <w:rFonts w:cs="Times New Roman"/>
        </w:rPr>
        <w:t xml:space="preserve"> per issue</w:t>
      </w:r>
      <w:r w:rsidR="00F01C8E">
        <w:rPr>
          <w:rFonts w:cs="Times New Roman"/>
        </w:rPr>
        <w:t>, varying based on the number received each week.</w:t>
      </w:r>
      <w:r w:rsidR="009423D6">
        <w:rPr>
          <w:rFonts w:cs="Times New Roman"/>
        </w:rPr>
        <w:t xml:space="preserve">  In addition, according to Streitmatter (1995), </w:t>
      </w:r>
      <w:r w:rsidR="009423D6">
        <w:rPr>
          <w:rFonts w:cs="Times New Roman"/>
          <w:i/>
        </w:rPr>
        <w:t xml:space="preserve">GCN </w:t>
      </w:r>
      <w:r w:rsidR="009423D6">
        <w:rPr>
          <w:rFonts w:cs="Times New Roman"/>
        </w:rPr>
        <w:t xml:space="preserve">was “the only major paper in the country to balance the voices of lesbians equally with those of gay men” (Streitmatter, 1995, p. 247).  </w:t>
      </w:r>
      <w:r w:rsidR="00F01C8E">
        <w:rPr>
          <w:rFonts w:cs="Times New Roman"/>
        </w:rPr>
        <w:t xml:space="preserve">Consequently, it is likely that </w:t>
      </w:r>
      <w:r w:rsidR="00F01C8E">
        <w:rPr>
          <w:rFonts w:cs="Times New Roman"/>
          <w:i/>
        </w:rPr>
        <w:t>GCN</w:t>
      </w:r>
      <w:r w:rsidR="00F01C8E">
        <w:rPr>
          <w:rFonts w:cs="Times New Roman"/>
        </w:rPr>
        <w:t xml:space="preserve">’s published letters to the </w:t>
      </w:r>
      <w:r w:rsidR="009F78DE">
        <w:rPr>
          <w:rFonts w:cs="Times New Roman"/>
        </w:rPr>
        <w:t>editor were more representative</w:t>
      </w:r>
      <w:r w:rsidR="00F01C8E">
        <w:rPr>
          <w:rFonts w:cs="Times New Roman"/>
        </w:rPr>
        <w:t xml:space="preserve"> of th</w:t>
      </w:r>
      <w:r w:rsidR="007C2378">
        <w:rPr>
          <w:rFonts w:cs="Times New Roman"/>
        </w:rPr>
        <w:t>e letters actually received than the average newspaper.</w:t>
      </w:r>
    </w:p>
    <w:p w14:paraId="555B14D2" w14:textId="4F4A15F0" w:rsidR="006D36E7" w:rsidRDefault="007C2378" w:rsidP="007657E1">
      <w:pPr>
        <w:spacing w:line="480" w:lineRule="auto"/>
        <w:rPr>
          <w:rFonts w:cs="Times New Roman"/>
        </w:rPr>
      </w:pPr>
      <w:r>
        <w:rPr>
          <w:rFonts w:cs="Times New Roman"/>
        </w:rPr>
        <w:tab/>
        <w:t>In addition, letters to the editor are a unique,</w:t>
      </w:r>
      <w:r w:rsidR="00761100">
        <w:rPr>
          <w:rFonts w:cs="Times New Roman"/>
        </w:rPr>
        <w:t xml:space="preserve"> if imperfect, way to measure issue salience amongst the LGBTQ population </w:t>
      </w:r>
      <w:r>
        <w:rPr>
          <w:rFonts w:cs="Times New Roman"/>
        </w:rPr>
        <w:t xml:space="preserve">because they include both </w:t>
      </w:r>
      <w:r w:rsidR="009F78DE">
        <w:rPr>
          <w:rFonts w:cs="Times New Roman"/>
        </w:rPr>
        <w:t>community</w:t>
      </w:r>
      <w:r>
        <w:rPr>
          <w:rFonts w:cs="Times New Roman"/>
        </w:rPr>
        <w:t xml:space="preserve"> and </w:t>
      </w:r>
      <w:r w:rsidR="00761100">
        <w:rPr>
          <w:rFonts w:cs="Times New Roman"/>
        </w:rPr>
        <w:t xml:space="preserve">organizational </w:t>
      </w:r>
      <w:r w:rsidR="009F78DE">
        <w:rPr>
          <w:rFonts w:cs="Times New Roman"/>
        </w:rPr>
        <w:t>activist</w:t>
      </w:r>
      <w:r>
        <w:rPr>
          <w:rFonts w:cs="Times New Roman"/>
        </w:rPr>
        <w:t xml:space="preserve"> viewpoints (Hull, 2001).  This is especially true of </w:t>
      </w:r>
      <w:r w:rsidR="00E566FA">
        <w:rPr>
          <w:rFonts w:cs="Times New Roman"/>
          <w:i/>
        </w:rPr>
        <w:t>GCN</w:t>
      </w:r>
      <w:r w:rsidR="00E566FA">
        <w:rPr>
          <w:rFonts w:cs="Times New Roman"/>
        </w:rPr>
        <w:t>, which</w:t>
      </w:r>
      <w:r>
        <w:rPr>
          <w:rFonts w:cs="Times New Roman"/>
        </w:rPr>
        <w:t xml:space="preserve"> included letters </w:t>
      </w:r>
      <w:r w:rsidR="00E566FA">
        <w:rPr>
          <w:rFonts w:cs="Times New Roman"/>
        </w:rPr>
        <w:t xml:space="preserve">from </w:t>
      </w:r>
      <w:r w:rsidR="003D03A7">
        <w:rPr>
          <w:rFonts w:cs="Times New Roman"/>
        </w:rPr>
        <w:t>LGBTQ</w:t>
      </w:r>
      <w:r w:rsidR="00C3011B">
        <w:rPr>
          <w:rFonts w:cs="Times New Roman"/>
        </w:rPr>
        <w:t>-identified</w:t>
      </w:r>
      <w:r w:rsidR="00E566FA">
        <w:rPr>
          <w:rFonts w:cs="Times New Roman"/>
        </w:rPr>
        <w:t xml:space="preserve"> prisoners</w:t>
      </w:r>
      <w:r w:rsidR="003D03A7">
        <w:rPr>
          <w:rFonts w:cs="Times New Roman"/>
        </w:rPr>
        <w:t xml:space="preserve">, </w:t>
      </w:r>
      <w:r w:rsidR="00C3011B">
        <w:rPr>
          <w:rFonts w:cs="Times New Roman"/>
        </w:rPr>
        <w:t>transgender</w:t>
      </w:r>
      <w:r w:rsidR="002542F4">
        <w:rPr>
          <w:rFonts w:cs="Times New Roman"/>
        </w:rPr>
        <w:t xml:space="preserve"> </w:t>
      </w:r>
      <w:r w:rsidR="0043785E">
        <w:rPr>
          <w:rFonts w:cs="Times New Roman"/>
        </w:rPr>
        <w:t>persons</w:t>
      </w:r>
      <w:r w:rsidR="003D03A7">
        <w:rPr>
          <w:rFonts w:cs="Times New Roman"/>
        </w:rPr>
        <w:t>, and racial minorities</w:t>
      </w:r>
      <w:r w:rsidR="002542F4">
        <w:rPr>
          <w:rFonts w:cs="Times New Roman"/>
        </w:rPr>
        <w:t xml:space="preserve">, </w:t>
      </w:r>
      <w:r w:rsidR="00E566FA">
        <w:rPr>
          <w:rFonts w:cs="Times New Roman"/>
        </w:rPr>
        <w:t>people who are often marginalized by the mains</w:t>
      </w:r>
      <w:r w:rsidR="0043785E">
        <w:rPr>
          <w:rFonts w:cs="Times New Roman"/>
        </w:rPr>
        <w:t>tream lesbian and gay movement</w:t>
      </w:r>
      <w:r w:rsidR="002542F4">
        <w:rPr>
          <w:rFonts w:cs="Times New Roman"/>
        </w:rPr>
        <w:t>,</w:t>
      </w:r>
      <w:r w:rsidR="00E566FA">
        <w:rPr>
          <w:rFonts w:cs="Times New Roman"/>
        </w:rPr>
        <w:t xml:space="preserve"> alongside letters written by civil rights attorneys and individuals representing major lesbian and gay political organizations.  Yet, this also speaks to one glaring shortcoming of </w:t>
      </w:r>
      <w:r w:rsidR="00E566FA">
        <w:rPr>
          <w:rFonts w:cs="Times New Roman"/>
          <w:i/>
        </w:rPr>
        <w:t>GCN</w:t>
      </w:r>
      <w:r w:rsidR="00E566FA">
        <w:rPr>
          <w:rFonts w:cs="Times New Roman"/>
        </w:rPr>
        <w:t>’s representation of the lesbian and gay community overall:</w:t>
      </w:r>
      <w:r w:rsidR="001C3060">
        <w:rPr>
          <w:rFonts w:cs="Times New Roman"/>
        </w:rPr>
        <w:t xml:space="preserve"> </w:t>
      </w:r>
      <w:r w:rsidR="001C3060">
        <w:rPr>
          <w:rFonts w:cs="Times New Roman"/>
          <w:i/>
        </w:rPr>
        <w:t>GCN</w:t>
      </w:r>
      <w:r w:rsidR="001C3060">
        <w:rPr>
          <w:rFonts w:cs="Times New Roman"/>
        </w:rPr>
        <w:t xml:space="preserve"> was a mainstream lesbian and gay movement newspaper whose editors identified themselves as “liberals” and “radicals.”  As a result, </w:t>
      </w:r>
      <w:r w:rsidR="001C3060">
        <w:rPr>
          <w:rFonts w:cs="Times New Roman"/>
          <w:i/>
        </w:rPr>
        <w:t>GCN</w:t>
      </w:r>
      <w:r w:rsidR="001C3060">
        <w:rPr>
          <w:rFonts w:cs="Times New Roman"/>
        </w:rPr>
        <w:t>’s letters to the editor likely</w:t>
      </w:r>
      <w:r w:rsidR="009F78DE">
        <w:rPr>
          <w:rFonts w:cs="Times New Roman"/>
        </w:rPr>
        <w:t xml:space="preserve"> are not fully representative of</w:t>
      </w:r>
      <w:r w:rsidR="001C3060">
        <w:rPr>
          <w:rFonts w:cs="Times New Roman"/>
        </w:rPr>
        <w:t xml:space="preserve"> conservative or more moderate lesbian and gay</w:t>
      </w:r>
      <w:r w:rsidR="00C3011B">
        <w:rPr>
          <w:rFonts w:cs="Times New Roman"/>
        </w:rPr>
        <w:t>-identified</w:t>
      </w:r>
      <w:r w:rsidR="001C3060">
        <w:rPr>
          <w:rFonts w:cs="Times New Roman"/>
        </w:rPr>
        <w:t xml:space="preserve"> </w:t>
      </w:r>
      <w:r w:rsidR="00761100">
        <w:rPr>
          <w:rFonts w:cs="Times New Roman"/>
        </w:rPr>
        <w:t>persons</w:t>
      </w:r>
      <w:r w:rsidR="001C3060">
        <w:rPr>
          <w:rFonts w:cs="Times New Roman"/>
        </w:rPr>
        <w:t>.</w:t>
      </w:r>
      <w:r w:rsidR="006D36E7">
        <w:rPr>
          <w:rFonts w:cs="Times New Roman"/>
        </w:rPr>
        <w:t xml:space="preserve">  </w:t>
      </w:r>
    </w:p>
    <w:p w14:paraId="4A96B02A" w14:textId="4EA24C03" w:rsidR="003D3C24" w:rsidRDefault="006D36E7" w:rsidP="007657E1">
      <w:pPr>
        <w:spacing w:line="480" w:lineRule="auto"/>
        <w:rPr>
          <w:rFonts w:cs="Times New Roman"/>
        </w:rPr>
      </w:pPr>
      <w:r>
        <w:rPr>
          <w:rFonts w:cs="Times New Roman"/>
        </w:rPr>
        <w:tab/>
        <w:t xml:space="preserve">However, in spite of their shortcomings, </w:t>
      </w:r>
      <w:r>
        <w:rPr>
          <w:rFonts w:cs="Times New Roman"/>
          <w:i/>
        </w:rPr>
        <w:t>GCN</w:t>
      </w:r>
      <w:r>
        <w:rPr>
          <w:rFonts w:cs="Times New Roman"/>
        </w:rPr>
        <w:t>’s letters to the editor co</w:t>
      </w:r>
      <w:r w:rsidR="00017848">
        <w:rPr>
          <w:rFonts w:cs="Times New Roman"/>
        </w:rPr>
        <w:t xml:space="preserve">lumns, which </w:t>
      </w:r>
      <w:r>
        <w:rPr>
          <w:rFonts w:cs="Times New Roman"/>
        </w:rPr>
        <w:t xml:space="preserve">did </w:t>
      </w:r>
      <w:r w:rsidR="00761100">
        <w:rPr>
          <w:rFonts w:cs="Times New Roman"/>
        </w:rPr>
        <w:t>publish letters from minorities within the</w:t>
      </w:r>
      <w:r w:rsidR="002542F4">
        <w:rPr>
          <w:rFonts w:cs="Times New Roman"/>
        </w:rPr>
        <w:t xml:space="preserve"> </w:t>
      </w:r>
      <w:r w:rsidR="00BB6B31">
        <w:rPr>
          <w:rFonts w:cs="Times New Roman"/>
        </w:rPr>
        <w:t>LGBTQ</w:t>
      </w:r>
      <w:r w:rsidR="002542F4">
        <w:rPr>
          <w:rFonts w:cs="Times New Roman"/>
        </w:rPr>
        <w:t xml:space="preserve"> </w:t>
      </w:r>
      <w:r w:rsidR="00761100">
        <w:rPr>
          <w:rFonts w:cs="Times New Roman"/>
        </w:rPr>
        <w:t>population</w:t>
      </w:r>
      <w:r w:rsidR="002542F4">
        <w:rPr>
          <w:rFonts w:cs="Times New Roman"/>
        </w:rPr>
        <w:t xml:space="preserve">, </w:t>
      </w:r>
      <w:r>
        <w:rPr>
          <w:rFonts w:cs="Times New Roman"/>
        </w:rPr>
        <w:t>including more moderate readers, closeted individuals</w:t>
      </w:r>
      <w:r w:rsidR="00007DD9">
        <w:rPr>
          <w:rFonts w:cs="Times New Roman"/>
        </w:rPr>
        <w:t xml:space="preserve"> (</w:t>
      </w:r>
      <w:r w:rsidR="00007DD9">
        <w:rPr>
          <w:rFonts w:cs="Times New Roman"/>
          <w:i/>
        </w:rPr>
        <w:t>GCN</w:t>
      </w:r>
      <w:r w:rsidR="00007DD9">
        <w:rPr>
          <w:rFonts w:cs="Times New Roman"/>
        </w:rPr>
        <w:t xml:space="preserve"> published anonymous letters upon request)</w:t>
      </w:r>
      <w:r w:rsidR="00C3011B">
        <w:rPr>
          <w:rFonts w:cs="Times New Roman"/>
        </w:rPr>
        <w:t>, transgender</w:t>
      </w:r>
      <w:r>
        <w:rPr>
          <w:rFonts w:cs="Times New Roman"/>
        </w:rPr>
        <w:t xml:space="preserve"> </w:t>
      </w:r>
      <w:r w:rsidR="0043785E">
        <w:rPr>
          <w:rFonts w:cs="Times New Roman"/>
        </w:rPr>
        <w:t>persons</w:t>
      </w:r>
      <w:r>
        <w:rPr>
          <w:rFonts w:cs="Times New Roman"/>
        </w:rPr>
        <w:t>,</w:t>
      </w:r>
      <w:r w:rsidR="00C3011B">
        <w:rPr>
          <w:rFonts w:cs="Times New Roman"/>
        </w:rPr>
        <w:t xml:space="preserve"> those who identified as bisexual,</w:t>
      </w:r>
      <w:r>
        <w:rPr>
          <w:rFonts w:cs="Times New Roman"/>
        </w:rPr>
        <w:t xml:space="preserve"> and </w:t>
      </w:r>
      <w:r w:rsidR="00C3011B">
        <w:rPr>
          <w:rFonts w:cs="Times New Roman"/>
        </w:rPr>
        <w:t xml:space="preserve">LGBTQ </w:t>
      </w:r>
      <w:r>
        <w:rPr>
          <w:rFonts w:cs="Times New Roman"/>
        </w:rPr>
        <w:t>racial m</w:t>
      </w:r>
      <w:r w:rsidR="002542F4">
        <w:rPr>
          <w:rFonts w:cs="Times New Roman"/>
        </w:rPr>
        <w:t>inorities</w:t>
      </w:r>
      <w:r>
        <w:rPr>
          <w:rFonts w:cs="Times New Roman"/>
        </w:rPr>
        <w:t xml:space="preserve">, are </w:t>
      </w:r>
      <w:r w:rsidR="002542F4">
        <w:rPr>
          <w:rFonts w:cs="Times New Roman"/>
        </w:rPr>
        <w:t xml:space="preserve">still likely </w:t>
      </w:r>
      <w:r>
        <w:rPr>
          <w:rFonts w:cs="Times New Roman"/>
        </w:rPr>
        <w:t xml:space="preserve">representative of the </w:t>
      </w:r>
      <w:r w:rsidR="0043785E">
        <w:rPr>
          <w:rFonts w:cs="Times New Roman"/>
        </w:rPr>
        <w:t xml:space="preserve">LGBTQ </w:t>
      </w:r>
      <w:r>
        <w:rPr>
          <w:rFonts w:cs="Times New Roman"/>
        </w:rPr>
        <w:t xml:space="preserve">community as a whole.   In particular, </w:t>
      </w:r>
      <w:r w:rsidRPr="006D36E7">
        <w:rPr>
          <w:rFonts w:cs="Times New Roman"/>
          <w:i/>
        </w:rPr>
        <w:t>GCN</w:t>
      </w:r>
      <w:r>
        <w:rPr>
          <w:rFonts w:cs="Times New Roman"/>
        </w:rPr>
        <w:t xml:space="preserve">’s letters </w:t>
      </w:r>
      <w:r w:rsidR="00017848">
        <w:rPr>
          <w:rFonts w:cs="Times New Roman"/>
        </w:rPr>
        <w:t xml:space="preserve">to the editor columns </w:t>
      </w:r>
      <w:r>
        <w:rPr>
          <w:rFonts w:cs="Times New Roman"/>
        </w:rPr>
        <w:t xml:space="preserve">are likely more representative of the </w:t>
      </w:r>
      <w:r w:rsidR="00BB6B31">
        <w:rPr>
          <w:rFonts w:cs="Times New Roman"/>
        </w:rPr>
        <w:t>LGBTQ</w:t>
      </w:r>
      <w:r>
        <w:rPr>
          <w:rFonts w:cs="Times New Roman"/>
        </w:rPr>
        <w:t xml:space="preserve"> </w:t>
      </w:r>
      <w:r w:rsidR="00761100">
        <w:rPr>
          <w:rFonts w:cs="Times New Roman"/>
        </w:rPr>
        <w:t>population</w:t>
      </w:r>
      <w:r>
        <w:rPr>
          <w:rFonts w:cs="Times New Roman"/>
        </w:rPr>
        <w:t xml:space="preserve"> </w:t>
      </w:r>
      <w:r w:rsidRPr="006D36E7">
        <w:rPr>
          <w:rFonts w:cs="Times New Roman"/>
        </w:rPr>
        <w:t>than</w:t>
      </w:r>
      <w:r>
        <w:rPr>
          <w:rFonts w:cs="Times New Roman"/>
        </w:rPr>
        <w:t xml:space="preserve"> </w:t>
      </w:r>
      <w:r w:rsidR="00017848">
        <w:rPr>
          <w:rFonts w:cs="Times New Roman"/>
        </w:rPr>
        <w:t xml:space="preserve">the datasets of </w:t>
      </w:r>
      <w:r>
        <w:rPr>
          <w:rFonts w:cs="Times New Roman"/>
        </w:rPr>
        <w:t xml:space="preserve">similar social movement studies that focus purely on publications from </w:t>
      </w:r>
      <w:r w:rsidR="00BB6B31">
        <w:rPr>
          <w:rFonts w:cs="Times New Roman"/>
        </w:rPr>
        <w:t>LGBTQ</w:t>
      </w:r>
      <w:r>
        <w:rPr>
          <w:rFonts w:cs="Times New Roman"/>
        </w:rPr>
        <w:t xml:space="preserve"> Rights Movement organizations or studies that focus on mainstream newspapers, which, undoubtedly, publish</w:t>
      </w:r>
      <w:r w:rsidR="002542F4">
        <w:rPr>
          <w:rFonts w:cs="Times New Roman"/>
        </w:rPr>
        <w:t>ed</w:t>
      </w:r>
      <w:r>
        <w:rPr>
          <w:rFonts w:cs="Times New Roman"/>
        </w:rPr>
        <w:t xml:space="preserve"> letters from </w:t>
      </w:r>
      <w:r w:rsidR="00C3011B">
        <w:rPr>
          <w:rFonts w:cs="Times New Roman"/>
        </w:rPr>
        <w:t>marginalized</w:t>
      </w:r>
      <w:r>
        <w:rPr>
          <w:rFonts w:cs="Times New Roman"/>
        </w:rPr>
        <w:t xml:space="preserve"> members of the </w:t>
      </w:r>
      <w:r w:rsidR="00BB6B31">
        <w:rPr>
          <w:rFonts w:cs="Times New Roman"/>
        </w:rPr>
        <w:t>LGBTQ</w:t>
      </w:r>
      <w:r>
        <w:rPr>
          <w:rFonts w:cs="Times New Roman"/>
        </w:rPr>
        <w:t xml:space="preserve"> </w:t>
      </w:r>
      <w:r w:rsidR="00761100">
        <w:rPr>
          <w:rFonts w:cs="Times New Roman"/>
        </w:rPr>
        <w:t>population</w:t>
      </w:r>
      <w:r>
        <w:rPr>
          <w:rFonts w:cs="Times New Roman"/>
        </w:rPr>
        <w:t xml:space="preserve"> even less frequently than </w:t>
      </w:r>
      <w:r>
        <w:rPr>
          <w:rFonts w:cs="Times New Roman"/>
          <w:i/>
        </w:rPr>
        <w:t>GCN</w:t>
      </w:r>
      <w:r>
        <w:rPr>
          <w:rFonts w:cs="Times New Roman"/>
        </w:rPr>
        <w:t xml:space="preserve"> did between 1980 and 1988.</w:t>
      </w:r>
      <w:r w:rsidR="002542F4">
        <w:rPr>
          <w:rFonts w:cs="Times New Roman"/>
        </w:rPr>
        <w:t xml:space="preserve"> </w:t>
      </w:r>
    </w:p>
    <w:p w14:paraId="43FC7548" w14:textId="4B70A5B7" w:rsidR="00727929" w:rsidRDefault="00727929" w:rsidP="00727929">
      <w:pPr>
        <w:spacing w:line="480" w:lineRule="auto"/>
        <w:rPr>
          <w:rFonts w:cs="Times New Roman"/>
        </w:rPr>
      </w:pPr>
      <w:r>
        <w:rPr>
          <w:rFonts w:cs="Times New Roman"/>
        </w:rPr>
        <w:tab/>
        <w:t xml:space="preserve">In </w:t>
      </w:r>
      <w:r>
        <w:rPr>
          <w:rFonts w:cs="Times New Roman"/>
          <w:i/>
        </w:rPr>
        <w:t>GCN</w:t>
      </w:r>
      <w:r>
        <w:rPr>
          <w:rFonts w:cs="Times New Roman"/>
        </w:rPr>
        <w:t xml:space="preserve">, letters to the editor appeared in two columns: </w:t>
      </w:r>
      <w:r>
        <w:rPr>
          <w:rFonts w:cs="Times New Roman"/>
          <w:i/>
        </w:rPr>
        <w:t>Community Voices</w:t>
      </w:r>
      <w:r>
        <w:rPr>
          <w:rFonts w:cs="Times New Roman"/>
        </w:rPr>
        <w:t xml:space="preserve"> and </w:t>
      </w:r>
      <w:r>
        <w:rPr>
          <w:rFonts w:cs="Times New Roman"/>
          <w:i/>
        </w:rPr>
        <w:t>Speaking Out</w:t>
      </w:r>
      <w:r>
        <w:rPr>
          <w:rFonts w:cs="Times New Roman"/>
        </w:rPr>
        <w:t>.  My content analysis covers all letters published in the first issue of each month (12 issues per</w:t>
      </w:r>
      <w:r w:rsidR="0043785E">
        <w:rPr>
          <w:rFonts w:cs="Times New Roman"/>
        </w:rPr>
        <w:t xml:space="preserve"> year) in 1980, 1984, and 1988,</w:t>
      </w:r>
      <w:r>
        <w:rPr>
          <w:rFonts w:cs="Times New Roman"/>
        </w:rPr>
        <w:t xml:space="preserve"> a total of 340 letters over an eight-year period.  I modeled my content analysis after Hull’s (2001) content analysis of letters to the editor that appeared in two daily newspapers in Honolulu, HI in 1996 and 1997, which Hull (2001) used to analyze rights framing in the same-sex marriage debate in Hawaii. I allowed thematic codes to emerge from the data as I compared letters over time, and did not constrain myself to a predetermined coding </w:t>
      </w:r>
      <w:r w:rsidR="00D64E66">
        <w:rPr>
          <w:rFonts w:cs="Times New Roman"/>
        </w:rPr>
        <w:t>scheme</w:t>
      </w:r>
      <w:r w:rsidR="0043785E">
        <w:rPr>
          <w:rFonts w:cs="Times New Roman"/>
        </w:rPr>
        <w:t xml:space="preserve"> (Hull, 2001)</w:t>
      </w:r>
      <w:r w:rsidR="00D64E66">
        <w:rPr>
          <w:rFonts w:cs="Times New Roman"/>
        </w:rPr>
        <w:t xml:space="preserve">.  </w:t>
      </w:r>
      <w:r w:rsidR="00DC70BB">
        <w:rPr>
          <w:rFonts w:cs="Times New Roman"/>
        </w:rPr>
        <w:t xml:space="preserve">As I began reading the letters, I realized that there was a great deal of variation and volatility in issues </w:t>
      </w:r>
      <w:r w:rsidR="00761100">
        <w:rPr>
          <w:rFonts w:cs="Times New Roman"/>
        </w:rPr>
        <w:t>salience</w:t>
      </w:r>
      <w:r w:rsidR="00DC70BB">
        <w:rPr>
          <w:rFonts w:cs="Times New Roman"/>
        </w:rPr>
        <w:t xml:space="preserve"> over time, so it was necessary to develop a coding scheme as I read from and discovered new and emerging issues in the letters. </w:t>
      </w:r>
      <w:r w:rsidR="00D64E66">
        <w:rPr>
          <w:rFonts w:cs="Times New Roman"/>
        </w:rPr>
        <w:t>Overall, I coded for 39</w:t>
      </w:r>
      <w:r>
        <w:rPr>
          <w:rFonts w:cs="Times New Roman"/>
        </w:rPr>
        <w:t xml:space="preserve"> different issues.</w:t>
      </w:r>
      <w:r>
        <w:rPr>
          <w:rStyle w:val="FootnoteReference"/>
          <w:rFonts w:cs="Times New Roman"/>
        </w:rPr>
        <w:footnoteReference w:id="3"/>
      </w:r>
      <w:r>
        <w:rPr>
          <w:rFonts w:cs="Times New Roman"/>
        </w:rPr>
        <w:t xml:space="preserve">  Appendix I discusses each issue in detail.</w:t>
      </w:r>
    </w:p>
    <w:p w14:paraId="2A596ECD" w14:textId="3F6D9346" w:rsidR="00727929" w:rsidRDefault="00727929" w:rsidP="00727929">
      <w:pPr>
        <w:spacing w:line="480" w:lineRule="auto"/>
        <w:rPr>
          <w:rFonts w:cs="Times New Roman"/>
        </w:rPr>
      </w:pPr>
      <w:r>
        <w:rPr>
          <w:rFonts w:cs="Times New Roman"/>
        </w:rPr>
        <w:tab/>
        <w:t>In addition to coding for all issues that appeared in the letters to the editor</w:t>
      </w:r>
      <w:r w:rsidR="00603BA7">
        <w:rPr>
          <w:rFonts w:cs="Times New Roman"/>
        </w:rPr>
        <w:t xml:space="preserve"> columns</w:t>
      </w:r>
      <w:r>
        <w:rPr>
          <w:rFonts w:cs="Times New Roman"/>
        </w:rPr>
        <w:t xml:space="preserve"> in </w:t>
      </w:r>
      <w:r>
        <w:rPr>
          <w:rFonts w:cs="Times New Roman"/>
          <w:i/>
        </w:rPr>
        <w:t>GCN</w:t>
      </w:r>
      <w:r>
        <w:rPr>
          <w:rFonts w:cs="Times New Roman"/>
        </w:rPr>
        <w:t xml:space="preserve"> in 1980, 1984, </w:t>
      </w:r>
      <w:r w:rsidR="00761100">
        <w:rPr>
          <w:rFonts w:cs="Times New Roman"/>
        </w:rPr>
        <w:t>and</w:t>
      </w:r>
      <w:r>
        <w:rPr>
          <w:rFonts w:cs="Times New Roman"/>
        </w:rPr>
        <w:t xml:space="preserve"> 1988, I also coded for the appearance of rights talk attached to a given issue.  In my content analysis, I noted whenever a writer explicitly discussed rights, in all forms, in r</w:t>
      </w:r>
      <w:r w:rsidR="00603BA7">
        <w:rPr>
          <w:rFonts w:cs="Times New Roman"/>
        </w:rPr>
        <w:t>elation to an issue. The below</w:t>
      </w:r>
      <w:r>
        <w:rPr>
          <w:rFonts w:cs="Times New Roman"/>
        </w:rPr>
        <w:t xml:space="preserve"> section illustrates my findings, delineating which issues </w:t>
      </w:r>
      <w:r>
        <w:rPr>
          <w:rFonts w:cs="Times New Roman"/>
          <w:i/>
        </w:rPr>
        <w:t>GCN</w:t>
      </w:r>
      <w:r>
        <w:rPr>
          <w:rFonts w:cs="Times New Roman"/>
        </w:rPr>
        <w:t xml:space="preserve"> writers attached rights to in all three years, in order to understand the evolution of rights </w:t>
      </w:r>
      <w:r w:rsidR="00017848">
        <w:rPr>
          <w:rFonts w:cs="Times New Roman"/>
        </w:rPr>
        <w:t>discourse</w:t>
      </w:r>
      <w:r>
        <w:rPr>
          <w:rFonts w:cs="Times New Roman"/>
        </w:rPr>
        <w:t xml:space="preserve"> over time in the LGBTQ community.</w:t>
      </w:r>
      <w:r w:rsidR="003D03A7">
        <w:rPr>
          <w:rFonts w:cs="Times New Roman"/>
        </w:rPr>
        <w:t xml:space="preserve">  The next section will delineate my content analysis of </w:t>
      </w:r>
      <w:r w:rsidR="003D03A7">
        <w:rPr>
          <w:rFonts w:cs="Times New Roman"/>
          <w:i/>
        </w:rPr>
        <w:t>GCN</w:t>
      </w:r>
      <w:r w:rsidR="003D03A7">
        <w:rPr>
          <w:rFonts w:cs="Times New Roman"/>
        </w:rPr>
        <w:t xml:space="preserve">’s letters to </w:t>
      </w:r>
      <w:r w:rsidR="00017848">
        <w:rPr>
          <w:rFonts w:cs="Times New Roman"/>
        </w:rPr>
        <w:t>the editor column</w:t>
      </w:r>
      <w:r w:rsidR="00603BA7">
        <w:rPr>
          <w:rFonts w:cs="Times New Roman"/>
        </w:rPr>
        <w:t>,</w:t>
      </w:r>
      <w:r w:rsidR="00017848">
        <w:rPr>
          <w:rFonts w:cs="Times New Roman"/>
        </w:rPr>
        <w:t xml:space="preserve"> illuminating</w:t>
      </w:r>
      <w:r w:rsidR="003D03A7">
        <w:rPr>
          <w:rFonts w:cs="Times New Roman"/>
        </w:rPr>
        <w:t xml:space="preserve"> issues </w:t>
      </w:r>
      <w:r w:rsidR="00017848">
        <w:rPr>
          <w:rFonts w:cs="Times New Roman"/>
        </w:rPr>
        <w:t xml:space="preserve">that </w:t>
      </w:r>
      <w:r w:rsidR="003D03A7">
        <w:rPr>
          <w:rFonts w:cs="Times New Roman"/>
        </w:rPr>
        <w:t xml:space="preserve">appeared with the greatest frequency and </w:t>
      </w:r>
      <w:r w:rsidR="00017848">
        <w:rPr>
          <w:rFonts w:cs="Times New Roman"/>
        </w:rPr>
        <w:t>describing when writers attached rights talk to these issues</w:t>
      </w:r>
      <w:r w:rsidR="003D03A7">
        <w:rPr>
          <w:rFonts w:cs="Times New Roman"/>
        </w:rPr>
        <w:t>.</w:t>
      </w:r>
    </w:p>
    <w:p w14:paraId="513500D6" w14:textId="796DFC49" w:rsidR="006D36E7" w:rsidRDefault="006D36E7" w:rsidP="006D36E7">
      <w:pPr>
        <w:spacing w:line="480" w:lineRule="auto"/>
        <w:jc w:val="center"/>
        <w:rPr>
          <w:rFonts w:cs="Times New Roman"/>
          <w:b/>
        </w:rPr>
      </w:pPr>
      <w:r>
        <w:rPr>
          <w:rFonts w:cs="Times New Roman"/>
          <w:b/>
        </w:rPr>
        <w:t>RESULTS</w:t>
      </w:r>
    </w:p>
    <w:p w14:paraId="18CCDA24" w14:textId="1B3234D6" w:rsidR="004B3232" w:rsidRPr="004B3232" w:rsidRDefault="004B3232" w:rsidP="007657E1">
      <w:pPr>
        <w:spacing w:line="480" w:lineRule="auto"/>
        <w:rPr>
          <w:rFonts w:cs="Times New Roman"/>
          <w:b/>
        </w:rPr>
      </w:pPr>
      <w:r>
        <w:rPr>
          <w:rFonts w:cs="Times New Roman"/>
          <w:b/>
        </w:rPr>
        <w:t xml:space="preserve">A. </w:t>
      </w:r>
      <w:r w:rsidR="00BB6B31">
        <w:rPr>
          <w:rFonts w:cs="Times New Roman"/>
          <w:b/>
        </w:rPr>
        <w:t>LGBTQ</w:t>
      </w:r>
      <w:r w:rsidR="00534A54">
        <w:rPr>
          <w:rFonts w:cs="Times New Roman"/>
          <w:b/>
        </w:rPr>
        <w:t xml:space="preserve"> Community Discourses</w:t>
      </w:r>
      <w:r w:rsidR="007A0938">
        <w:rPr>
          <w:rFonts w:cs="Times New Roman"/>
          <w:b/>
        </w:rPr>
        <w:t xml:space="preserve">: Rights Talk &amp; Most Common Issues </w:t>
      </w:r>
    </w:p>
    <w:p w14:paraId="359C50BB" w14:textId="29F5B87B" w:rsidR="00CB7B2E" w:rsidRDefault="001A62A9" w:rsidP="007657E1">
      <w:pPr>
        <w:spacing w:line="480" w:lineRule="auto"/>
        <w:rPr>
          <w:rFonts w:cs="Times New Roman"/>
        </w:rPr>
      </w:pPr>
      <w:r>
        <w:rPr>
          <w:rFonts w:cs="Times New Roman"/>
        </w:rPr>
        <w:tab/>
      </w:r>
      <w:r w:rsidR="009F53B0">
        <w:rPr>
          <w:rFonts w:cs="Times New Roman"/>
        </w:rPr>
        <w:t xml:space="preserve">My content analysis of </w:t>
      </w:r>
      <w:r w:rsidR="009F53B0">
        <w:rPr>
          <w:rFonts w:cs="Times New Roman"/>
          <w:i/>
        </w:rPr>
        <w:t>GCN’s</w:t>
      </w:r>
      <w:r w:rsidR="009F53B0">
        <w:rPr>
          <w:rFonts w:cs="Times New Roman"/>
        </w:rPr>
        <w:t xml:space="preserve"> </w:t>
      </w:r>
      <w:r w:rsidR="009F53B0">
        <w:rPr>
          <w:rFonts w:cs="Times New Roman"/>
          <w:i/>
        </w:rPr>
        <w:t>Community Voices</w:t>
      </w:r>
      <w:r w:rsidR="009F53B0">
        <w:rPr>
          <w:rFonts w:cs="Times New Roman"/>
        </w:rPr>
        <w:t xml:space="preserve"> and </w:t>
      </w:r>
      <w:r w:rsidR="009F53B0">
        <w:rPr>
          <w:rFonts w:cs="Times New Roman"/>
          <w:i/>
        </w:rPr>
        <w:t>Speaking Out Columns</w:t>
      </w:r>
      <w:r w:rsidR="009F53B0">
        <w:rPr>
          <w:rFonts w:cs="Times New Roman"/>
        </w:rPr>
        <w:t xml:space="preserve"> in 1980, 1984, and 1988 reveals </w:t>
      </w:r>
      <w:r w:rsidR="00AD45ED">
        <w:rPr>
          <w:rFonts w:cs="Times New Roman"/>
        </w:rPr>
        <w:t xml:space="preserve">dramatic shifts occurred in </w:t>
      </w:r>
      <w:r w:rsidR="00761100">
        <w:rPr>
          <w:rFonts w:cs="Times New Roman"/>
        </w:rPr>
        <w:t xml:space="preserve">issue salience </w:t>
      </w:r>
      <w:r w:rsidR="00AE75C9">
        <w:rPr>
          <w:rFonts w:cs="Times New Roman"/>
        </w:rPr>
        <w:t>within</w:t>
      </w:r>
      <w:r w:rsidR="00761100">
        <w:rPr>
          <w:rFonts w:cs="Times New Roman"/>
        </w:rPr>
        <w:t xml:space="preserve"> the LGBTQ population over time</w:t>
      </w:r>
      <w:r w:rsidR="00AD45ED">
        <w:rPr>
          <w:rFonts w:cs="Times New Roman"/>
        </w:rPr>
        <w:t>.  In addition</w:t>
      </w:r>
      <w:r w:rsidR="0043785E">
        <w:rPr>
          <w:rFonts w:cs="Times New Roman"/>
        </w:rPr>
        <w:t xml:space="preserve">, </w:t>
      </w:r>
      <w:r w:rsidR="009F53B0">
        <w:rPr>
          <w:rFonts w:cs="Times New Roman"/>
        </w:rPr>
        <w:t>LGBTQ</w:t>
      </w:r>
      <w:r w:rsidR="00AE75C9">
        <w:rPr>
          <w:rFonts w:cs="Times New Roman"/>
        </w:rPr>
        <w:t>-identified</w:t>
      </w:r>
      <w:r w:rsidR="009F53B0">
        <w:rPr>
          <w:rFonts w:cs="Times New Roman"/>
        </w:rPr>
        <w:t xml:space="preserve"> </w:t>
      </w:r>
      <w:r w:rsidR="00761100">
        <w:rPr>
          <w:rFonts w:cs="Times New Roman"/>
        </w:rPr>
        <w:t>person</w:t>
      </w:r>
      <w:r w:rsidR="009F53B0">
        <w:rPr>
          <w:rFonts w:cs="Times New Roman"/>
        </w:rPr>
        <w:t xml:space="preserve">s </w:t>
      </w:r>
      <w:r w:rsidR="008F317D">
        <w:rPr>
          <w:rFonts w:cs="Times New Roman"/>
        </w:rPr>
        <w:t>freely</w:t>
      </w:r>
      <w:r w:rsidR="009F53B0">
        <w:rPr>
          <w:rFonts w:cs="Times New Roman"/>
        </w:rPr>
        <w:t xml:space="preserve"> attached rights to a wide array of issues.  </w:t>
      </w:r>
      <w:r w:rsidR="00761100">
        <w:rPr>
          <w:rFonts w:cs="Times New Roman"/>
        </w:rPr>
        <w:t>Individuals</w:t>
      </w:r>
      <w:r w:rsidR="00C90D92">
        <w:rPr>
          <w:rFonts w:cs="Times New Roman"/>
        </w:rPr>
        <w:t xml:space="preserve"> talked about rights within virtually every issue I coded for.  For example, letter writers used rights talk </w:t>
      </w:r>
      <w:r w:rsidR="009F53B0">
        <w:rPr>
          <w:rFonts w:cs="Times New Roman"/>
        </w:rPr>
        <w:t>while arguing in favor of more open notions of sexuality, while discussing the AIDS epidemic, while arguing for and against political candidates and positions, while criticizing the mainstream media, while supporting feminism or opposing violence against women, while arguing ag</w:t>
      </w:r>
      <w:r w:rsidR="00CB7B2E">
        <w:rPr>
          <w:rFonts w:cs="Times New Roman"/>
        </w:rPr>
        <w:t>ainst discrimination, while discussing race and religion, and while decrying problems with the nation’s prison system and police departments.</w:t>
      </w:r>
      <w:r w:rsidR="00C90D92">
        <w:rPr>
          <w:rFonts w:cs="Times New Roman"/>
        </w:rPr>
        <w:t xml:space="preserve"> </w:t>
      </w:r>
      <w:r w:rsidR="00393E07">
        <w:rPr>
          <w:rFonts w:cs="Times New Roman"/>
        </w:rPr>
        <w:t xml:space="preserve"> Furthermore, issues emerged and disappeared throughout the sampled time period.  For instance, the AIDS epidemic did not emerge as a primary community issue until 1984 and was non-existent in 1980.  In addition, discussions of sexuality and feminism gradually diminished over time.  </w:t>
      </w:r>
      <w:r w:rsidR="00C90D92">
        <w:rPr>
          <w:rFonts w:cs="Times New Roman"/>
        </w:rPr>
        <w:t xml:space="preserve">Overall, </w:t>
      </w:r>
      <w:r w:rsidR="00EF71D4">
        <w:rPr>
          <w:rFonts w:cs="Times New Roman"/>
        </w:rPr>
        <w:t>this</w:t>
      </w:r>
      <w:r w:rsidR="00C90D92">
        <w:rPr>
          <w:rFonts w:cs="Times New Roman"/>
        </w:rPr>
        <w:t xml:space="preserve"> content analysis illustrates that, because LGBTQ</w:t>
      </w:r>
      <w:r w:rsidR="00AE75C9">
        <w:rPr>
          <w:rFonts w:cs="Times New Roman"/>
        </w:rPr>
        <w:t>-identified</w:t>
      </w:r>
      <w:r w:rsidR="00C90D92">
        <w:rPr>
          <w:rFonts w:cs="Times New Roman"/>
        </w:rPr>
        <w:t xml:space="preserve"> </w:t>
      </w:r>
      <w:r w:rsidR="009F51CB">
        <w:rPr>
          <w:rFonts w:cs="Times New Roman"/>
        </w:rPr>
        <w:t xml:space="preserve">persons </w:t>
      </w:r>
      <w:r w:rsidR="00C90D92">
        <w:rPr>
          <w:rFonts w:cs="Times New Roman"/>
        </w:rPr>
        <w:t>attached rights to such a large quantity of issues, it is necessary to look at more than rights talk</w:t>
      </w:r>
      <w:r w:rsidR="005A32F8">
        <w:rPr>
          <w:rFonts w:cs="Times New Roman"/>
        </w:rPr>
        <w:t>,</w:t>
      </w:r>
      <w:r w:rsidR="00C90D92">
        <w:rPr>
          <w:rFonts w:cs="Times New Roman"/>
        </w:rPr>
        <w:t xml:space="preserve"> in order to determine whether or not rights </w:t>
      </w:r>
      <w:r w:rsidR="00761100">
        <w:rPr>
          <w:rFonts w:cs="Times New Roman"/>
        </w:rPr>
        <w:t>impact issue salience</w:t>
      </w:r>
      <w:r w:rsidR="00EF71D4">
        <w:rPr>
          <w:rFonts w:cs="Times New Roman"/>
        </w:rPr>
        <w:t xml:space="preserve"> over time</w:t>
      </w:r>
      <w:r w:rsidR="00C90D92">
        <w:rPr>
          <w:rFonts w:cs="Times New Roman"/>
        </w:rPr>
        <w:t>.</w:t>
      </w:r>
    </w:p>
    <w:p w14:paraId="00121D12" w14:textId="5C30EB51" w:rsidR="00D64E66" w:rsidRDefault="00CB7B2E" w:rsidP="007657E1">
      <w:pPr>
        <w:spacing w:line="480" w:lineRule="auto"/>
        <w:rPr>
          <w:rFonts w:cs="Times New Roman"/>
        </w:rPr>
      </w:pPr>
      <w:r>
        <w:rPr>
          <w:rFonts w:cs="Times New Roman"/>
        </w:rPr>
        <w:tab/>
      </w:r>
      <w:r w:rsidR="001A62A9">
        <w:rPr>
          <w:rFonts w:cs="Times New Roman"/>
        </w:rPr>
        <w:t>Table</w:t>
      </w:r>
      <w:r w:rsidR="00D52234">
        <w:rPr>
          <w:rFonts w:cs="Times New Roman"/>
        </w:rPr>
        <w:t>s</w:t>
      </w:r>
      <w:r w:rsidR="001A62A9">
        <w:rPr>
          <w:rFonts w:cs="Times New Roman"/>
        </w:rPr>
        <w:t xml:space="preserve"> 1 </w:t>
      </w:r>
      <w:r w:rsidR="00D52234">
        <w:rPr>
          <w:rFonts w:cs="Times New Roman"/>
        </w:rPr>
        <w:t>and 2</w:t>
      </w:r>
      <w:r w:rsidR="004B3232">
        <w:rPr>
          <w:rFonts w:cs="Times New Roman"/>
        </w:rPr>
        <w:t xml:space="preserve"> </w:t>
      </w:r>
      <w:r w:rsidR="001A62A9">
        <w:rPr>
          <w:rFonts w:cs="Times New Roman"/>
        </w:rPr>
        <w:t>sum</w:t>
      </w:r>
      <w:r w:rsidR="004B3232">
        <w:rPr>
          <w:rFonts w:cs="Times New Roman"/>
        </w:rPr>
        <w:t>marize</w:t>
      </w:r>
      <w:r w:rsidR="00D52234">
        <w:rPr>
          <w:rFonts w:cs="Times New Roman"/>
        </w:rPr>
        <w:t xml:space="preserve"> the frequency of appearance</w:t>
      </w:r>
      <w:r w:rsidR="00D64E66">
        <w:rPr>
          <w:rFonts w:cs="Times New Roman"/>
        </w:rPr>
        <w:t xml:space="preserve"> of i</w:t>
      </w:r>
      <w:r w:rsidR="004B3232">
        <w:rPr>
          <w:rFonts w:cs="Times New Roman"/>
        </w:rPr>
        <w:t>ssues</w:t>
      </w:r>
      <w:r>
        <w:rPr>
          <w:rFonts w:cs="Times New Roman"/>
        </w:rPr>
        <w:t xml:space="preserve"> </w:t>
      </w:r>
      <w:r w:rsidR="00D64E66">
        <w:rPr>
          <w:rFonts w:cs="Times New Roman"/>
        </w:rPr>
        <w:t xml:space="preserve">overall </w:t>
      </w:r>
      <w:r>
        <w:rPr>
          <w:rFonts w:cs="Times New Roman"/>
        </w:rPr>
        <w:t>without accounting for rights talk</w:t>
      </w:r>
      <w:r w:rsidR="004B3232">
        <w:rPr>
          <w:rFonts w:cs="Times New Roman"/>
        </w:rPr>
        <w:t xml:space="preserve">.  Table 1 delineates </w:t>
      </w:r>
      <w:r w:rsidR="00D52234">
        <w:rPr>
          <w:rFonts w:cs="Times New Roman"/>
        </w:rPr>
        <w:t xml:space="preserve">the frequency of </w:t>
      </w:r>
      <w:r w:rsidR="004B3232">
        <w:rPr>
          <w:rFonts w:cs="Times New Roman"/>
        </w:rPr>
        <w:t xml:space="preserve">appearance overall and Table 2 </w:t>
      </w:r>
      <w:r w:rsidR="0009091E">
        <w:rPr>
          <w:rFonts w:cs="Times New Roman"/>
        </w:rPr>
        <w:t>illustrates</w:t>
      </w:r>
      <w:r w:rsidR="004B3232">
        <w:rPr>
          <w:rFonts w:cs="Times New Roman"/>
        </w:rPr>
        <w:t xml:space="preserve"> the frequency of appearance by year.</w:t>
      </w:r>
      <w:r w:rsidR="00D64E66">
        <w:rPr>
          <w:rFonts w:cs="Times New Roman"/>
        </w:rPr>
        <w:t xml:space="preserve">  According to Table 1</w:t>
      </w:r>
      <w:r w:rsidR="00FC5024">
        <w:rPr>
          <w:rFonts w:cs="Times New Roman"/>
        </w:rPr>
        <w:t>,</w:t>
      </w:r>
      <w:r w:rsidR="00D64E66">
        <w:rPr>
          <w:rFonts w:cs="Times New Roman"/>
        </w:rPr>
        <w:t xml:space="preserve"> the issues that appeared with the greatest frequency overall were AIDS/HIV (8% of all issues), prison (9% of all issues), sexuality (12% of all issues), feminism (9% of all issues), and political issues (22% of all issues).  Prison and feminism probably appeared in </w:t>
      </w:r>
      <w:r w:rsidR="00D64E66">
        <w:rPr>
          <w:rFonts w:cs="Times New Roman"/>
          <w:i/>
        </w:rPr>
        <w:t>GCN</w:t>
      </w:r>
      <w:r w:rsidR="00D64E66">
        <w:rPr>
          <w:rFonts w:cs="Times New Roman"/>
        </w:rPr>
        <w:t xml:space="preserve"> at a relatively high frequency because the newspaper had a dedicated prison penpals column and published interviews with some of the most prominent feminists in the 1980s, including Andrea Dworkin.  AIDS/HIV, sexuality, and politics likely appeared with great frequency for obvious reasons: the AIDS epidemic reached its pinnacle in the 1980s, sexuality has and always will be a prominent issue in a community that defines itself via sexual identities, and politics (</w:t>
      </w:r>
      <w:r w:rsidR="00D64E66" w:rsidRPr="00D64E66">
        <w:rPr>
          <w:rFonts w:cs="Times New Roman"/>
        </w:rPr>
        <w:t>political party or candidate, legislation, political movement, and political protest)</w:t>
      </w:r>
      <w:r w:rsidR="00D64E66">
        <w:rPr>
          <w:rFonts w:cs="Times New Roman"/>
        </w:rPr>
        <w:t xml:space="preserve"> is, by definition, a major concern of groups that seek to accomplish social change.  </w:t>
      </w:r>
    </w:p>
    <w:p w14:paraId="43AD16F4" w14:textId="262CDCCA" w:rsidR="00761100" w:rsidRDefault="00761100" w:rsidP="00761100">
      <w:pPr>
        <w:spacing w:line="480" w:lineRule="auto"/>
        <w:jc w:val="center"/>
        <w:rPr>
          <w:rFonts w:cs="Times New Roman"/>
        </w:rPr>
      </w:pPr>
      <w:r>
        <w:rPr>
          <w:rFonts w:cs="Times New Roman"/>
        </w:rPr>
        <w:t>----- Table 1 Here -----</w:t>
      </w:r>
    </w:p>
    <w:p w14:paraId="61A7638C" w14:textId="77777777" w:rsidR="00626374" w:rsidRDefault="00D64E66" w:rsidP="007657E1">
      <w:pPr>
        <w:spacing w:line="480" w:lineRule="auto"/>
        <w:rPr>
          <w:rFonts w:cs="Times New Roman"/>
        </w:rPr>
      </w:pPr>
      <w:r>
        <w:rPr>
          <w:rFonts w:cs="Times New Roman"/>
        </w:rPr>
        <w:tab/>
        <w:t xml:space="preserve">Table 2 depicts shifts in </w:t>
      </w:r>
      <w:r w:rsidR="00644CFF">
        <w:rPr>
          <w:rFonts w:cs="Times New Roman"/>
        </w:rPr>
        <w:t xml:space="preserve">the appearance of </w:t>
      </w:r>
      <w:r w:rsidR="00C90D92">
        <w:rPr>
          <w:rFonts w:cs="Times New Roman"/>
        </w:rPr>
        <w:t xml:space="preserve">issues over time.  The issues with the most interesting </w:t>
      </w:r>
      <w:r w:rsidR="00862EC4">
        <w:rPr>
          <w:rFonts w:cs="Times New Roman"/>
        </w:rPr>
        <w:t>changes over time are AIDS/HIV (with 0</w:t>
      </w:r>
      <w:r w:rsidR="000B50EB">
        <w:rPr>
          <w:rFonts w:cs="Times New Roman"/>
        </w:rPr>
        <w:t>% of the</w:t>
      </w:r>
      <w:r w:rsidR="00862EC4">
        <w:rPr>
          <w:rFonts w:cs="Times New Roman"/>
        </w:rPr>
        <w:t xml:space="preserve"> letters on AI</w:t>
      </w:r>
      <w:r w:rsidR="000B50EB">
        <w:rPr>
          <w:rFonts w:cs="Times New Roman"/>
        </w:rPr>
        <w:t>DS/HIV in 1980, 3% in 1984</w:t>
      </w:r>
      <w:r w:rsidR="00862EC4">
        <w:rPr>
          <w:rFonts w:cs="Times New Roman"/>
        </w:rPr>
        <w:t xml:space="preserve">, and </w:t>
      </w:r>
      <w:r w:rsidR="000B50EB">
        <w:rPr>
          <w:rFonts w:cs="Times New Roman"/>
        </w:rPr>
        <w:t>24% in 1988</w:t>
      </w:r>
      <w:r w:rsidR="00862EC4">
        <w:rPr>
          <w:rFonts w:cs="Times New Roman"/>
        </w:rPr>
        <w:t xml:space="preserve">); media critiques (with </w:t>
      </w:r>
      <w:r w:rsidR="000B50EB">
        <w:rPr>
          <w:rFonts w:cs="Times New Roman"/>
        </w:rPr>
        <w:t>1</w:t>
      </w:r>
      <w:r w:rsidR="000E285F">
        <w:rPr>
          <w:rFonts w:cs="Times New Roman"/>
        </w:rPr>
        <w:t>0</w:t>
      </w:r>
      <w:r w:rsidR="000B50EB">
        <w:rPr>
          <w:rFonts w:cs="Times New Roman"/>
        </w:rPr>
        <w:t>%</w:t>
      </w:r>
      <w:r w:rsidR="00862EC4">
        <w:rPr>
          <w:rFonts w:cs="Times New Roman"/>
        </w:rPr>
        <w:t xml:space="preserve"> </w:t>
      </w:r>
      <w:r w:rsidR="000B50EB">
        <w:rPr>
          <w:rFonts w:cs="Times New Roman"/>
        </w:rPr>
        <w:t xml:space="preserve">of the </w:t>
      </w:r>
      <w:r w:rsidR="00862EC4">
        <w:rPr>
          <w:rFonts w:cs="Times New Roman"/>
        </w:rPr>
        <w:t>l</w:t>
      </w:r>
      <w:r w:rsidR="000B50EB">
        <w:rPr>
          <w:rFonts w:cs="Times New Roman"/>
        </w:rPr>
        <w:t>etters on the media in 1980, 5% in 1984</w:t>
      </w:r>
      <w:r w:rsidR="00862EC4">
        <w:rPr>
          <w:rFonts w:cs="Times New Roman"/>
        </w:rPr>
        <w:t xml:space="preserve">, </w:t>
      </w:r>
      <w:r w:rsidR="000B50EB">
        <w:rPr>
          <w:rFonts w:cs="Times New Roman"/>
        </w:rPr>
        <w:t>and 3% in 1988</w:t>
      </w:r>
      <w:r w:rsidR="000E285F">
        <w:rPr>
          <w:rFonts w:cs="Times New Roman"/>
        </w:rPr>
        <w:t>); prison (with 1</w:t>
      </w:r>
      <w:r w:rsidR="000B50EB">
        <w:rPr>
          <w:rFonts w:cs="Times New Roman"/>
        </w:rPr>
        <w:t>% of the</w:t>
      </w:r>
      <w:r w:rsidR="00506D87">
        <w:rPr>
          <w:rFonts w:cs="Times New Roman"/>
        </w:rPr>
        <w:t xml:space="preserve"> letters o</w:t>
      </w:r>
      <w:r w:rsidR="000B50EB">
        <w:rPr>
          <w:rFonts w:cs="Times New Roman"/>
        </w:rPr>
        <w:t>n prisoner’s issues in 1980, 14% in 1984, and 13% in 1988</w:t>
      </w:r>
      <w:r w:rsidR="00506D87">
        <w:rPr>
          <w:rFonts w:cs="Times New Roman"/>
        </w:rPr>
        <w:t xml:space="preserve">); sexuality (with </w:t>
      </w:r>
      <w:r w:rsidR="000B50EB">
        <w:rPr>
          <w:rFonts w:cs="Times New Roman"/>
        </w:rPr>
        <w:t>12%</w:t>
      </w:r>
      <w:r w:rsidR="00506D87">
        <w:rPr>
          <w:rFonts w:cs="Times New Roman"/>
        </w:rPr>
        <w:t xml:space="preserve"> </w:t>
      </w:r>
      <w:r w:rsidR="000B50EB">
        <w:rPr>
          <w:rFonts w:cs="Times New Roman"/>
        </w:rPr>
        <w:t xml:space="preserve">of the </w:t>
      </w:r>
      <w:r w:rsidR="00506D87">
        <w:rPr>
          <w:rFonts w:cs="Times New Roman"/>
        </w:rPr>
        <w:t>le</w:t>
      </w:r>
      <w:r w:rsidR="000B50EB">
        <w:rPr>
          <w:rFonts w:cs="Times New Roman"/>
        </w:rPr>
        <w:t>tters on sexuality in 1980, 19% in 1984</w:t>
      </w:r>
      <w:r w:rsidR="00506D87">
        <w:rPr>
          <w:rFonts w:cs="Times New Roman"/>
        </w:rPr>
        <w:t xml:space="preserve">, and only </w:t>
      </w:r>
      <w:r w:rsidR="000B50EB">
        <w:rPr>
          <w:rFonts w:cs="Times New Roman"/>
        </w:rPr>
        <w:t>4% in 1988</w:t>
      </w:r>
      <w:r w:rsidR="00506D87">
        <w:rPr>
          <w:rFonts w:cs="Times New Roman"/>
        </w:rPr>
        <w:t xml:space="preserve">); feminism (with </w:t>
      </w:r>
      <w:r w:rsidR="000B50EB">
        <w:rPr>
          <w:rFonts w:cs="Times New Roman"/>
        </w:rPr>
        <w:t>14% of the</w:t>
      </w:r>
      <w:r w:rsidR="00506D87">
        <w:rPr>
          <w:rFonts w:cs="Times New Roman"/>
        </w:rPr>
        <w:t xml:space="preserve"> l</w:t>
      </w:r>
      <w:r w:rsidR="000B50EB">
        <w:rPr>
          <w:rFonts w:cs="Times New Roman"/>
        </w:rPr>
        <w:t xml:space="preserve">etters on feminism in 1980, 6% in 1984, and 4% in 1988); and </w:t>
      </w:r>
      <w:r w:rsidR="00626374">
        <w:rPr>
          <w:rFonts w:cs="Times New Roman"/>
        </w:rPr>
        <w:t>politics</w:t>
      </w:r>
      <w:r w:rsidR="000B50EB">
        <w:rPr>
          <w:rFonts w:cs="Times New Roman"/>
        </w:rPr>
        <w:t xml:space="preserve"> (with 26% of the</w:t>
      </w:r>
      <w:r w:rsidR="00506D87">
        <w:rPr>
          <w:rFonts w:cs="Times New Roman"/>
        </w:rPr>
        <w:t xml:space="preserve"> l</w:t>
      </w:r>
      <w:r w:rsidR="000B50EB">
        <w:rPr>
          <w:rFonts w:cs="Times New Roman"/>
        </w:rPr>
        <w:t>etters on politics in 1980, 20%</w:t>
      </w:r>
      <w:r w:rsidR="00506D87">
        <w:rPr>
          <w:rFonts w:cs="Times New Roman"/>
        </w:rPr>
        <w:t xml:space="preserve"> in</w:t>
      </w:r>
      <w:r w:rsidR="000E285F">
        <w:rPr>
          <w:rFonts w:cs="Times New Roman"/>
        </w:rPr>
        <w:t xml:space="preserve"> 1984, and 17</w:t>
      </w:r>
      <w:r w:rsidR="000B50EB">
        <w:rPr>
          <w:rFonts w:cs="Times New Roman"/>
        </w:rPr>
        <w:t>% in 1988</w:t>
      </w:r>
      <w:r w:rsidR="00506D87">
        <w:rPr>
          <w:rFonts w:cs="Times New Roman"/>
        </w:rPr>
        <w:t xml:space="preserve">).  </w:t>
      </w:r>
      <w:r w:rsidR="00EF71D4">
        <w:rPr>
          <w:rFonts w:cs="Times New Roman"/>
        </w:rPr>
        <w:t>There are several explanations as to</w:t>
      </w:r>
      <w:r w:rsidR="00506D87">
        <w:rPr>
          <w:rFonts w:cs="Times New Roman"/>
        </w:rPr>
        <w:t xml:space="preserve"> why the interest in each of these issues shifted over time.  First, </w:t>
      </w:r>
      <w:r w:rsidR="007C2252">
        <w:rPr>
          <w:rFonts w:cs="Times New Roman"/>
        </w:rPr>
        <w:t xml:space="preserve">awareness </w:t>
      </w:r>
      <w:r w:rsidR="002C3391">
        <w:rPr>
          <w:rFonts w:cs="Times New Roman"/>
        </w:rPr>
        <w:t xml:space="preserve">of </w:t>
      </w:r>
      <w:r w:rsidR="00506D87">
        <w:rPr>
          <w:rFonts w:cs="Times New Roman"/>
        </w:rPr>
        <w:t>AIDS/HIV</w:t>
      </w:r>
      <w:r w:rsidR="007C2252">
        <w:rPr>
          <w:rFonts w:cs="Times New Roman"/>
        </w:rPr>
        <w:t xml:space="preserve"> within the LGBTQ community at large began in 1981 and steadily </w:t>
      </w:r>
      <w:r w:rsidR="002C3391">
        <w:rPr>
          <w:rFonts w:cs="Times New Roman"/>
        </w:rPr>
        <w:t>increased</w:t>
      </w:r>
      <w:r w:rsidR="007C2252">
        <w:rPr>
          <w:rFonts w:cs="Times New Roman"/>
        </w:rPr>
        <w:t xml:space="preserve"> as AIDS related deaths reached epidemic proportions in the late 1980s.  Second, media critiques likely diminished after 1980, when many within the LGBTQ community protested negative depictions of homosexuality in the films </w:t>
      </w:r>
      <w:r w:rsidR="007C2252">
        <w:rPr>
          <w:rFonts w:cs="Times New Roman"/>
          <w:i/>
        </w:rPr>
        <w:t>Cruising</w:t>
      </w:r>
      <w:r w:rsidR="007C2252">
        <w:rPr>
          <w:rFonts w:cs="Times New Roman"/>
        </w:rPr>
        <w:t xml:space="preserve"> and </w:t>
      </w:r>
      <w:r w:rsidR="007C2252">
        <w:rPr>
          <w:rFonts w:cs="Times New Roman"/>
          <w:i/>
        </w:rPr>
        <w:t>Windows</w:t>
      </w:r>
      <w:r w:rsidR="007C2252">
        <w:rPr>
          <w:rFonts w:cs="Times New Roman"/>
        </w:rPr>
        <w:t xml:space="preserve">.  </w:t>
      </w:r>
    </w:p>
    <w:p w14:paraId="097F9784" w14:textId="7EE44784" w:rsidR="00761100" w:rsidRDefault="00761100" w:rsidP="00761100">
      <w:pPr>
        <w:spacing w:line="480" w:lineRule="auto"/>
        <w:jc w:val="center"/>
        <w:rPr>
          <w:rFonts w:cs="Times New Roman"/>
        </w:rPr>
      </w:pPr>
      <w:r>
        <w:rPr>
          <w:rFonts w:cs="Times New Roman"/>
        </w:rPr>
        <w:t>----- Table 2 Here -----</w:t>
      </w:r>
    </w:p>
    <w:p w14:paraId="1BC4DDF8" w14:textId="0E9A27F2" w:rsidR="00761100" w:rsidRPr="007C2252" w:rsidRDefault="00626374" w:rsidP="00992D9A">
      <w:pPr>
        <w:spacing w:line="480" w:lineRule="auto"/>
        <w:rPr>
          <w:rFonts w:cs="Times New Roman"/>
        </w:rPr>
      </w:pPr>
      <w:r>
        <w:rPr>
          <w:rFonts w:cs="Times New Roman"/>
        </w:rPr>
        <w:tab/>
      </w:r>
      <w:r w:rsidR="007C2252">
        <w:rPr>
          <w:rFonts w:cs="Times New Roman"/>
        </w:rPr>
        <w:t xml:space="preserve">Third, prison issues likely increased over time because the Bromfield Street Educational Foundation, the non-profit organization that ran </w:t>
      </w:r>
      <w:r w:rsidR="007C2252">
        <w:rPr>
          <w:rFonts w:cs="Times New Roman"/>
          <w:i/>
        </w:rPr>
        <w:t>GCN</w:t>
      </w:r>
      <w:r w:rsidR="007C2252">
        <w:rPr>
          <w:rFonts w:cs="Times New Roman"/>
        </w:rPr>
        <w:t xml:space="preserve"> also headed a Prisoner’s Project, that sued the federal prison system in order to allow prisoners to receive gay publications (</w:t>
      </w:r>
      <w:r w:rsidR="007C2252">
        <w:rPr>
          <w:rFonts w:cs="Times New Roman"/>
          <w:i/>
        </w:rPr>
        <w:t>Bromfield Street Educational Foundation Records</w:t>
      </w:r>
      <w:r w:rsidR="007C2252">
        <w:rPr>
          <w:rFonts w:cs="Times New Roman"/>
        </w:rPr>
        <w:t xml:space="preserve">).  As a result, </w:t>
      </w:r>
      <w:r w:rsidR="007C2252">
        <w:rPr>
          <w:rFonts w:cs="Times New Roman"/>
          <w:i/>
        </w:rPr>
        <w:t>GCN</w:t>
      </w:r>
      <w:r w:rsidR="007C2252">
        <w:rPr>
          <w:rFonts w:cs="Times New Roman"/>
        </w:rPr>
        <w:t xml:space="preserve"> was actively involved in prisoners</w:t>
      </w:r>
      <w:r w:rsidR="00FC5024">
        <w:rPr>
          <w:rFonts w:cs="Times New Roman"/>
        </w:rPr>
        <w:t>’</w:t>
      </w:r>
      <w:r w:rsidR="007C2252">
        <w:rPr>
          <w:rFonts w:cs="Times New Roman"/>
        </w:rPr>
        <w:t xml:space="preserve"> rights issues throughout the 1980s, which likely corresponded with an increase in letters on prisoner’s issues over time.  Fourth, sexuality, feminism, and political issues probably diminished over time as </w:t>
      </w:r>
      <w:r w:rsidR="00130074">
        <w:rPr>
          <w:rFonts w:cs="Times New Roman"/>
        </w:rPr>
        <w:t>the LGBTQ community shifted its focus away from discussions of se</w:t>
      </w:r>
      <w:r w:rsidR="002C3391">
        <w:rPr>
          <w:rFonts w:cs="Times New Roman"/>
        </w:rPr>
        <w:t xml:space="preserve">xual expression and towards </w:t>
      </w:r>
      <w:r>
        <w:rPr>
          <w:rFonts w:cs="Times New Roman"/>
        </w:rPr>
        <w:t xml:space="preserve">the </w:t>
      </w:r>
      <w:r w:rsidR="00130074">
        <w:rPr>
          <w:rFonts w:cs="Times New Roman"/>
        </w:rPr>
        <w:t xml:space="preserve">AIDS epidemic.  In other words, the AIDS epidemic likely overtook other issues as it </w:t>
      </w:r>
      <w:r w:rsidR="00992D9A">
        <w:rPr>
          <w:rFonts w:cs="Times New Roman"/>
        </w:rPr>
        <w:t xml:space="preserve">tragically </w:t>
      </w:r>
      <w:r w:rsidR="00130074">
        <w:rPr>
          <w:rFonts w:cs="Times New Roman"/>
        </w:rPr>
        <w:t>claimed more lives</w:t>
      </w:r>
      <w:r w:rsidR="00007DD9">
        <w:rPr>
          <w:rFonts w:cs="Times New Roman"/>
        </w:rPr>
        <w:t xml:space="preserve"> and, thus, dominated the</w:t>
      </w:r>
      <w:r w:rsidR="00992D9A">
        <w:rPr>
          <w:rFonts w:cs="Times New Roman"/>
        </w:rPr>
        <w:t xml:space="preserve"> conversation in</w:t>
      </w:r>
      <w:r w:rsidR="00007DD9">
        <w:rPr>
          <w:rFonts w:cs="Times New Roman"/>
        </w:rPr>
        <w:t xml:space="preserve"> LGBTQ</w:t>
      </w:r>
      <w:r w:rsidR="00992D9A">
        <w:rPr>
          <w:rFonts w:cs="Times New Roman"/>
        </w:rPr>
        <w:t xml:space="preserve"> community</w:t>
      </w:r>
      <w:r w:rsidR="00007DD9">
        <w:rPr>
          <w:rFonts w:cs="Times New Roman"/>
        </w:rPr>
        <w:t xml:space="preserve"> in the mid to late 1980s</w:t>
      </w:r>
      <w:r w:rsidR="00130074">
        <w:rPr>
          <w:rFonts w:cs="Times New Roman"/>
        </w:rPr>
        <w:t>.</w:t>
      </w:r>
      <w:r w:rsidR="007C2252">
        <w:rPr>
          <w:rFonts w:cs="Times New Roman"/>
        </w:rPr>
        <w:t xml:space="preserve">    </w:t>
      </w:r>
    </w:p>
    <w:p w14:paraId="7D0BBE28" w14:textId="7B7036F2" w:rsidR="00303E20" w:rsidRDefault="0009091E" w:rsidP="00130074">
      <w:pPr>
        <w:spacing w:line="480" w:lineRule="auto"/>
        <w:rPr>
          <w:rFonts w:cs="Times New Roman"/>
        </w:rPr>
      </w:pPr>
      <w:r>
        <w:rPr>
          <w:rFonts w:cs="Times New Roman"/>
        </w:rPr>
        <w:tab/>
        <w:t>Tables 3, 4, and 5 summarize the frequency of rights talk</w:t>
      </w:r>
      <w:r w:rsidR="009519A4">
        <w:rPr>
          <w:rFonts w:cs="Times New Roman"/>
        </w:rPr>
        <w:t xml:space="preserve"> by issue and</w:t>
      </w:r>
      <w:r w:rsidR="00130074">
        <w:rPr>
          <w:rFonts w:cs="Times New Roman"/>
        </w:rPr>
        <w:t xml:space="preserve"> bolster the argument that one must look beyond rights talk in order to determine whether or not rights </w:t>
      </w:r>
      <w:r w:rsidR="00BF375E">
        <w:rPr>
          <w:rFonts w:cs="Times New Roman"/>
        </w:rPr>
        <w:t>impact issue salience</w:t>
      </w:r>
      <w:r>
        <w:rPr>
          <w:rFonts w:cs="Times New Roman"/>
        </w:rPr>
        <w:t>.  Table 3</w:t>
      </w:r>
      <w:r w:rsidR="004B3232">
        <w:rPr>
          <w:rFonts w:cs="Times New Roman"/>
        </w:rPr>
        <w:t xml:space="preserve"> </w:t>
      </w:r>
      <w:r>
        <w:rPr>
          <w:rFonts w:cs="Times New Roman"/>
        </w:rPr>
        <w:t>summarizes the frequency of rights talk overall.</w:t>
      </w:r>
      <w:r w:rsidR="00EC7C8C">
        <w:rPr>
          <w:rFonts w:cs="Times New Roman"/>
        </w:rPr>
        <w:t xml:space="preserve">  </w:t>
      </w:r>
      <w:r w:rsidR="00130074">
        <w:rPr>
          <w:rFonts w:cs="Times New Roman"/>
        </w:rPr>
        <w:t xml:space="preserve">As we see in Table 3, the appearance of letters that included rights talk remained relatively constant over time (with </w:t>
      </w:r>
      <w:r w:rsidR="00626374">
        <w:rPr>
          <w:rFonts w:cs="Times New Roman"/>
        </w:rPr>
        <w:t>20%</w:t>
      </w:r>
      <w:r w:rsidR="00130074">
        <w:rPr>
          <w:rFonts w:cs="Times New Roman"/>
        </w:rPr>
        <w:t xml:space="preserve"> </w:t>
      </w:r>
      <w:r w:rsidR="00626374">
        <w:rPr>
          <w:rFonts w:cs="Times New Roman"/>
        </w:rPr>
        <w:t xml:space="preserve">of the </w:t>
      </w:r>
      <w:r w:rsidR="00130074">
        <w:rPr>
          <w:rFonts w:cs="Times New Roman"/>
        </w:rPr>
        <w:t>letters</w:t>
      </w:r>
      <w:r w:rsidR="00626374">
        <w:rPr>
          <w:rFonts w:cs="Times New Roman"/>
        </w:rPr>
        <w:t xml:space="preserve"> with rights talk in 1980, 25% in 1984, and 29% in 1988</w:t>
      </w:r>
      <w:r w:rsidR="00130074">
        <w:rPr>
          <w:rFonts w:cs="Times New Roman"/>
        </w:rPr>
        <w:t>).  Tables 4 and 5 summarize the percentage and frequency of rights talk by issue in 1980, 1984, and 1988.  In other words, these tables depict how many letters on a given issue included rights talk within each of the years sampled.  Tables 4 and 5 show that rights talk appeared alongside virtually every issue I coded for (</w:t>
      </w:r>
      <w:r w:rsidR="005531D7">
        <w:rPr>
          <w:rFonts w:cs="Times New Roman"/>
        </w:rPr>
        <w:t xml:space="preserve">with the notable exception of </w:t>
      </w:r>
      <w:r w:rsidR="00130074">
        <w:rPr>
          <w:rFonts w:cs="Times New Roman"/>
        </w:rPr>
        <w:t>issues dealing with youth, substance abuse, and the transgender community).</w:t>
      </w:r>
      <w:r w:rsidR="00411384">
        <w:rPr>
          <w:rFonts w:cs="Times New Roman"/>
        </w:rPr>
        <w:t xml:space="preserve">  Interestingly, there does not appear to be any </w:t>
      </w:r>
      <w:r w:rsidR="009519A4">
        <w:rPr>
          <w:rFonts w:cs="Times New Roman"/>
        </w:rPr>
        <w:t xml:space="preserve">consistent </w:t>
      </w:r>
      <w:r w:rsidR="00411384">
        <w:rPr>
          <w:rFonts w:cs="Times New Roman"/>
        </w:rPr>
        <w:t>pattern indicating a shift to</w:t>
      </w:r>
      <w:r w:rsidR="009519A4">
        <w:rPr>
          <w:rFonts w:cs="Times New Roman"/>
        </w:rPr>
        <w:t>wards more rights talk over time</w:t>
      </w:r>
      <w:r w:rsidR="00411384">
        <w:rPr>
          <w:rFonts w:cs="Times New Roman"/>
        </w:rPr>
        <w:t xml:space="preserve">, which one would expect if rights talk was, in fact, </w:t>
      </w:r>
      <w:r w:rsidR="00BF375E">
        <w:rPr>
          <w:rFonts w:cs="Times New Roman"/>
        </w:rPr>
        <w:t>connected to issue salience</w:t>
      </w:r>
      <w:r w:rsidR="00411384">
        <w:rPr>
          <w:rFonts w:cs="Times New Roman"/>
        </w:rPr>
        <w:t xml:space="preserve">.  Rights talk appeared with greater frequency over time </w:t>
      </w:r>
      <w:r w:rsidR="00007DD9">
        <w:rPr>
          <w:rFonts w:cs="Times New Roman"/>
        </w:rPr>
        <w:t>with</w:t>
      </w:r>
      <w:r w:rsidR="00411384">
        <w:rPr>
          <w:rFonts w:cs="Times New Roman"/>
        </w:rPr>
        <w:t xml:space="preserve"> </w:t>
      </w:r>
      <w:r w:rsidR="00992D9A">
        <w:rPr>
          <w:rFonts w:cs="Times New Roman"/>
        </w:rPr>
        <w:t xml:space="preserve">respect to </w:t>
      </w:r>
      <w:r w:rsidR="00411384">
        <w:rPr>
          <w:rFonts w:cs="Times New Roman"/>
        </w:rPr>
        <w:t>some issues (with rights talk increasing from 0% to 24% in letters on AIDS/HIV by 1988</w:t>
      </w:r>
      <w:r w:rsidR="00303E20">
        <w:rPr>
          <w:rFonts w:cs="Times New Roman"/>
        </w:rPr>
        <w:t xml:space="preserve">, </w:t>
      </w:r>
      <w:r w:rsidR="00411384">
        <w:rPr>
          <w:rFonts w:cs="Times New Roman"/>
        </w:rPr>
        <w:t xml:space="preserve">from 29% to 100% in </w:t>
      </w:r>
      <w:r w:rsidR="00007DD9">
        <w:rPr>
          <w:rFonts w:cs="Times New Roman"/>
        </w:rPr>
        <w:t>letters</w:t>
      </w:r>
      <w:r w:rsidR="00411384">
        <w:rPr>
          <w:rFonts w:cs="Times New Roman"/>
        </w:rPr>
        <w:t xml:space="preserve"> on police brutality by 1988, and 13% to 24% in letters on prisons by 1988, for example).  However, rights talk also remained constant over time </w:t>
      </w:r>
      <w:r w:rsidR="00007DD9">
        <w:rPr>
          <w:rFonts w:cs="Times New Roman"/>
        </w:rPr>
        <w:t>with</w:t>
      </w:r>
      <w:r w:rsidR="00411384">
        <w:rPr>
          <w:rFonts w:cs="Times New Roman"/>
        </w:rPr>
        <w:t xml:space="preserve"> </w:t>
      </w:r>
      <w:r w:rsidR="00992D9A">
        <w:rPr>
          <w:rFonts w:cs="Times New Roman"/>
        </w:rPr>
        <w:t>respect to some</w:t>
      </w:r>
      <w:r w:rsidR="00411384">
        <w:rPr>
          <w:rFonts w:cs="Times New Roman"/>
        </w:rPr>
        <w:t xml:space="preserve"> issues (with 42% of all letters on discrimination including rights talk in 1980, 1984, and 1988 respectively), and </w:t>
      </w:r>
      <w:r w:rsidR="00303E20">
        <w:rPr>
          <w:rFonts w:cs="Times New Roman"/>
        </w:rPr>
        <w:t>decreased</w:t>
      </w:r>
      <w:r w:rsidR="00411384">
        <w:rPr>
          <w:rFonts w:cs="Times New Roman"/>
        </w:rPr>
        <w:t xml:space="preserve"> over time </w:t>
      </w:r>
      <w:r w:rsidR="00007DD9">
        <w:rPr>
          <w:rFonts w:cs="Times New Roman"/>
        </w:rPr>
        <w:t>with</w:t>
      </w:r>
      <w:r w:rsidR="00411384">
        <w:rPr>
          <w:rFonts w:cs="Times New Roman"/>
        </w:rPr>
        <w:t xml:space="preserve"> other issues (with rights </w:t>
      </w:r>
      <w:r w:rsidR="00007DD9">
        <w:rPr>
          <w:rFonts w:cs="Times New Roman"/>
        </w:rPr>
        <w:t>talk decreasing from 25% to 0% i</w:t>
      </w:r>
      <w:r w:rsidR="00411384">
        <w:rPr>
          <w:rFonts w:cs="Times New Roman"/>
        </w:rPr>
        <w:t>n letters dealing wi</w:t>
      </w:r>
      <w:r w:rsidR="00007DD9">
        <w:rPr>
          <w:rFonts w:cs="Times New Roman"/>
        </w:rPr>
        <w:t>th immigration, from 25% to 0% i</w:t>
      </w:r>
      <w:r w:rsidR="00411384">
        <w:rPr>
          <w:rFonts w:cs="Times New Roman"/>
        </w:rPr>
        <w:t xml:space="preserve">n letters dealing with the military, and from 50% to 26% </w:t>
      </w:r>
      <w:r w:rsidR="00007DD9">
        <w:rPr>
          <w:rFonts w:cs="Times New Roman"/>
        </w:rPr>
        <w:t xml:space="preserve">in </w:t>
      </w:r>
      <w:r w:rsidR="00411384">
        <w:rPr>
          <w:rFonts w:cs="Times New Roman"/>
        </w:rPr>
        <w:t>letters dealing with politics).</w:t>
      </w:r>
      <w:r w:rsidR="002C3391">
        <w:rPr>
          <w:rFonts w:cs="Times New Roman"/>
        </w:rPr>
        <w:t xml:space="preserve">  </w:t>
      </w:r>
      <w:r w:rsidR="00303E20">
        <w:rPr>
          <w:rFonts w:cs="Times New Roman"/>
        </w:rPr>
        <w:t xml:space="preserve">  </w:t>
      </w:r>
    </w:p>
    <w:p w14:paraId="0A1E8B62" w14:textId="50D5F449" w:rsidR="00773427" w:rsidRDefault="00773427" w:rsidP="00773427">
      <w:pPr>
        <w:spacing w:line="480" w:lineRule="auto"/>
        <w:jc w:val="center"/>
        <w:rPr>
          <w:rFonts w:cs="Times New Roman"/>
        </w:rPr>
      </w:pPr>
      <w:r>
        <w:rPr>
          <w:rFonts w:cs="Times New Roman"/>
        </w:rPr>
        <w:t>----- Table 3 Here -----</w:t>
      </w:r>
    </w:p>
    <w:p w14:paraId="3B096B83" w14:textId="736E5601" w:rsidR="00773427" w:rsidRDefault="00773427" w:rsidP="00773427">
      <w:pPr>
        <w:spacing w:line="480" w:lineRule="auto"/>
        <w:jc w:val="center"/>
        <w:rPr>
          <w:rFonts w:cs="Times New Roman"/>
        </w:rPr>
      </w:pPr>
      <w:r>
        <w:rPr>
          <w:rFonts w:cs="Times New Roman"/>
        </w:rPr>
        <w:t>----- Table 4 Here -----</w:t>
      </w:r>
    </w:p>
    <w:p w14:paraId="7FCD3CAC" w14:textId="7F9D912F" w:rsidR="00BF375E" w:rsidRDefault="00BF375E" w:rsidP="00773427">
      <w:pPr>
        <w:spacing w:line="480" w:lineRule="auto"/>
        <w:jc w:val="center"/>
        <w:rPr>
          <w:rFonts w:cs="Times New Roman"/>
        </w:rPr>
      </w:pPr>
      <w:r>
        <w:rPr>
          <w:rFonts w:cs="Times New Roman"/>
        </w:rPr>
        <w:t>----- Table 5 Here -----</w:t>
      </w:r>
    </w:p>
    <w:p w14:paraId="39BF9506" w14:textId="16D03F43" w:rsidR="008B6B77" w:rsidRDefault="00303E20" w:rsidP="00BF375E">
      <w:pPr>
        <w:spacing w:line="480" w:lineRule="auto"/>
        <w:rPr>
          <w:rFonts w:cs="Times New Roman"/>
        </w:rPr>
      </w:pPr>
      <w:r>
        <w:rPr>
          <w:rFonts w:cs="Times New Roman"/>
        </w:rPr>
        <w:tab/>
        <w:t xml:space="preserve">These shifts in the appearance of rights talk by </w:t>
      </w:r>
      <w:r w:rsidR="00007DD9">
        <w:rPr>
          <w:rFonts w:cs="Times New Roman"/>
        </w:rPr>
        <w:t>issue over time even further support</w:t>
      </w:r>
      <w:r>
        <w:rPr>
          <w:rFonts w:cs="Times New Roman"/>
        </w:rPr>
        <w:t xml:space="preserve"> the argument that rights </w:t>
      </w:r>
      <w:r w:rsidR="00DC31C8">
        <w:rPr>
          <w:rFonts w:cs="Times New Roman"/>
        </w:rPr>
        <w:t xml:space="preserve">talk is not related to issue salience </w:t>
      </w:r>
      <w:r>
        <w:rPr>
          <w:rFonts w:cs="Times New Roman"/>
        </w:rPr>
        <w:t>when one considers</w:t>
      </w:r>
      <w:r w:rsidR="00007DD9">
        <w:rPr>
          <w:rFonts w:cs="Times New Roman"/>
        </w:rPr>
        <w:t xml:space="preserve"> the data presented in tables 2</w:t>
      </w:r>
      <w:r>
        <w:rPr>
          <w:rFonts w:cs="Times New Roman"/>
        </w:rPr>
        <w:t xml:space="preserve"> </w:t>
      </w:r>
      <w:r w:rsidR="00007DD9">
        <w:rPr>
          <w:rFonts w:cs="Times New Roman"/>
        </w:rPr>
        <w:t>and 4</w:t>
      </w:r>
      <w:r>
        <w:rPr>
          <w:rFonts w:cs="Times New Roman"/>
        </w:rPr>
        <w:t xml:space="preserve"> respectively.  On some issues, rights talk increase</w:t>
      </w:r>
      <w:r w:rsidR="00007DD9">
        <w:rPr>
          <w:rFonts w:cs="Times New Roman"/>
        </w:rPr>
        <w:t>d</w:t>
      </w:r>
      <w:r>
        <w:rPr>
          <w:rFonts w:cs="Times New Roman"/>
        </w:rPr>
        <w:t xml:space="preserve"> as letters on </w:t>
      </w:r>
      <w:r w:rsidR="00007DD9">
        <w:rPr>
          <w:rFonts w:cs="Times New Roman"/>
        </w:rPr>
        <w:t>a given issue</w:t>
      </w:r>
      <w:r>
        <w:rPr>
          <w:rFonts w:cs="Times New Roman"/>
        </w:rPr>
        <w:t xml:space="preserve"> increased in appearance.</w:t>
      </w:r>
      <w:r w:rsidR="007C51F5">
        <w:rPr>
          <w:rFonts w:cs="Times New Roman"/>
        </w:rPr>
        <w:t xml:space="preserve">  This occurred with AIDS/HIV, for example. As letters on AIDS/HIV increased from 0% in 1980 to 38% in 1988, the percentage of rights talk in letters on AIDS/HIV increased from 0% in 1980 to 24% in 1988.  </w:t>
      </w:r>
      <w:r>
        <w:rPr>
          <w:rFonts w:cs="Times New Roman"/>
        </w:rPr>
        <w:t>However, on other issues, rights talk increased as the percentage of lett</w:t>
      </w:r>
      <w:r w:rsidR="007C51F5">
        <w:rPr>
          <w:rFonts w:cs="Times New Roman"/>
        </w:rPr>
        <w:t>ers on a given issue decreased.  For instance,</w:t>
      </w:r>
      <w:r>
        <w:rPr>
          <w:rFonts w:cs="Times New Roman"/>
        </w:rPr>
        <w:t xml:space="preserve"> </w:t>
      </w:r>
      <w:r w:rsidR="007C51F5">
        <w:rPr>
          <w:rFonts w:cs="Times New Roman"/>
        </w:rPr>
        <w:t xml:space="preserve">letters on feminism decreased from 30% in 1980 to 7% </w:t>
      </w:r>
      <w:r w:rsidR="00007DD9">
        <w:rPr>
          <w:rFonts w:cs="Times New Roman"/>
        </w:rPr>
        <w:t>in</w:t>
      </w:r>
      <w:r w:rsidR="007C51F5">
        <w:rPr>
          <w:rFonts w:cs="Times New Roman"/>
        </w:rPr>
        <w:t xml:space="preserve"> 1988 while the percentage of rights talk that appeared in letters on feminism increased </w:t>
      </w:r>
      <w:r w:rsidR="00203418">
        <w:rPr>
          <w:rFonts w:cs="Times New Roman"/>
        </w:rPr>
        <w:t xml:space="preserve">from 10% in 1980 to 43% </w:t>
      </w:r>
      <w:r w:rsidR="00007DD9">
        <w:rPr>
          <w:rFonts w:cs="Times New Roman"/>
        </w:rPr>
        <w:t>in</w:t>
      </w:r>
      <w:r w:rsidR="00203418">
        <w:rPr>
          <w:rFonts w:cs="Times New Roman"/>
        </w:rPr>
        <w:t xml:space="preserve"> 1988</w:t>
      </w:r>
      <w:r>
        <w:rPr>
          <w:rFonts w:cs="Times New Roman"/>
        </w:rPr>
        <w:t>.</w:t>
      </w:r>
      <w:r w:rsidR="00203418">
        <w:rPr>
          <w:rFonts w:cs="Times New Roman"/>
        </w:rPr>
        <w:t xml:space="preserve"> </w:t>
      </w:r>
      <w:r>
        <w:rPr>
          <w:rFonts w:cs="Times New Roman"/>
        </w:rPr>
        <w:t>If right</w:t>
      </w:r>
      <w:r w:rsidR="005A32F8">
        <w:rPr>
          <w:rFonts w:cs="Times New Roman"/>
        </w:rPr>
        <w:t>s</w:t>
      </w:r>
      <w:r>
        <w:rPr>
          <w:rFonts w:cs="Times New Roman"/>
        </w:rPr>
        <w:t xml:space="preserve"> tal</w:t>
      </w:r>
      <w:r w:rsidR="007C51F5">
        <w:rPr>
          <w:rFonts w:cs="Times New Roman"/>
        </w:rPr>
        <w:t xml:space="preserve">k </w:t>
      </w:r>
      <w:r w:rsidR="00992D9A">
        <w:rPr>
          <w:rFonts w:cs="Times New Roman"/>
        </w:rPr>
        <w:t>were</w:t>
      </w:r>
      <w:r w:rsidR="00BF375E">
        <w:rPr>
          <w:rFonts w:cs="Times New Roman"/>
        </w:rPr>
        <w:t xml:space="preserve"> connected to issue salience </w:t>
      </w:r>
      <w:r w:rsidR="007C51F5">
        <w:rPr>
          <w:rFonts w:cs="Times New Roman"/>
        </w:rPr>
        <w:t xml:space="preserve">in the 1980s, one would expect the frequency of rights talk to </w:t>
      </w:r>
      <w:r w:rsidR="00203418">
        <w:rPr>
          <w:rFonts w:cs="Times New Roman"/>
        </w:rPr>
        <w:t>correlate with</w:t>
      </w:r>
      <w:r w:rsidR="007C51F5">
        <w:rPr>
          <w:rFonts w:cs="Times New Roman"/>
        </w:rPr>
        <w:t xml:space="preserve"> </w:t>
      </w:r>
      <w:r w:rsidR="00007DD9">
        <w:rPr>
          <w:rFonts w:cs="Times New Roman"/>
        </w:rPr>
        <w:t xml:space="preserve">the </w:t>
      </w:r>
      <w:r w:rsidR="007C51F5">
        <w:rPr>
          <w:rFonts w:cs="Times New Roman"/>
        </w:rPr>
        <w:t>frequency of appearance of a given issue.  Yet, the data presented in Tables 2</w:t>
      </w:r>
      <w:r w:rsidR="00007DD9">
        <w:rPr>
          <w:rFonts w:cs="Times New Roman"/>
        </w:rPr>
        <w:t xml:space="preserve"> and 4</w:t>
      </w:r>
      <w:r w:rsidR="00203418">
        <w:rPr>
          <w:rFonts w:cs="Times New Roman"/>
        </w:rPr>
        <w:t xml:space="preserve"> do not show that this pattern held consistently across all of the issues that appeared within </w:t>
      </w:r>
      <w:r w:rsidR="00203418">
        <w:rPr>
          <w:rFonts w:cs="Times New Roman"/>
          <w:i/>
        </w:rPr>
        <w:t>GCN</w:t>
      </w:r>
      <w:r w:rsidR="00203418">
        <w:rPr>
          <w:rFonts w:cs="Times New Roman"/>
        </w:rPr>
        <w:t>’s letters to the editor columns</w:t>
      </w:r>
      <w:r w:rsidR="005A32F8">
        <w:rPr>
          <w:rFonts w:cs="Times New Roman"/>
        </w:rPr>
        <w:t xml:space="preserve">.  The data further demonstrates that LGBTQ community members frequently attached rights talk to issues that were not clearly aligned with mainstream litigation campaigns, such as AIDS/HIV, the media, and political issues (i.e., political candidates, protests, and parties).  This indicates that a disparity existed between rights discourse and institutionalized litigation within the LGBTQ community.  </w:t>
      </w:r>
      <w:r w:rsidR="002C3391">
        <w:rPr>
          <w:rFonts w:cs="Times New Roman"/>
        </w:rPr>
        <w:t>The following section will further explore how and when rights talk appeared alongside issues by delving into letters that exhibited rights talk and situating these letters alongside prominent events in the 1980s.</w:t>
      </w:r>
      <w:r w:rsidR="007C51F5">
        <w:rPr>
          <w:rFonts w:cs="Times New Roman"/>
        </w:rPr>
        <w:t xml:space="preserve"> </w:t>
      </w:r>
      <w:r>
        <w:rPr>
          <w:rFonts w:cs="Times New Roman"/>
        </w:rPr>
        <w:t xml:space="preserve">  </w:t>
      </w:r>
      <w:r w:rsidR="00411384">
        <w:rPr>
          <w:rFonts w:cs="Times New Roman"/>
        </w:rPr>
        <w:t xml:space="preserve"> </w:t>
      </w:r>
    </w:p>
    <w:p w14:paraId="396047B6" w14:textId="3D55953A" w:rsidR="005A615F" w:rsidRPr="005A615F" w:rsidRDefault="005A615F" w:rsidP="007657E1">
      <w:pPr>
        <w:spacing w:line="480" w:lineRule="auto"/>
        <w:rPr>
          <w:rFonts w:cs="Times New Roman"/>
        </w:rPr>
      </w:pPr>
      <w:r>
        <w:rPr>
          <w:rFonts w:cs="Times New Roman"/>
          <w:b/>
        </w:rPr>
        <w:t xml:space="preserve">B.  </w:t>
      </w:r>
      <w:r w:rsidR="00BB6B31">
        <w:rPr>
          <w:rFonts w:cs="Times New Roman"/>
          <w:b/>
        </w:rPr>
        <w:t>LGBTQ</w:t>
      </w:r>
      <w:r w:rsidR="00534A54">
        <w:rPr>
          <w:rFonts w:cs="Times New Roman"/>
          <w:b/>
        </w:rPr>
        <w:t xml:space="preserve"> Community Discourses: Rights Talk in the 1980s </w:t>
      </w:r>
      <w:r w:rsidR="00BB6B31">
        <w:rPr>
          <w:rFonts w:cs="Times New Roman"/>
          <w:b/>
        </w:rPr>
        <w:t>LGBTQ</w:t>
      </w:r>
      <w:r w:rsidR="00534A54">
        <w:rPr>
          <w:rFonts w:cs="Times New Roman"/>
          <w:b/>
        </w:rPr>
        <w:t xml:space="preserve"> Community</w:t>
      </w:r>
    </w:p>
    <w:p w14:paraId="436D3391" w14:textId="618823B2" w:rsidR="00534A54" w:rsidRDefault="00F23883" w:rsidP="007657E1">
      <w:pPr>
        <w:spacing w:line="480" w:lineRule="auto"/>
        <w:rPr>
          <w:rFonts w:cs="Times New Roman"/>
        </w:rPr>
      </w:pPr>
      <w:r>
        <w:rPr>
          <w:rFonts w:cs="Times New Roman"/>
        </w:rPr>
        <w:tab/>
      </w:r>
      <w:r w:rsidR="005437ED">
        <w:rPr>
          <w:rFonts w:cs="Times New Roman"/>
        </w:rPr>
        <w:t>When letter writers discussed rights they did so in general terms and on a wide variety of issues.  Writers talked about rights as “constitutional rights,” “equal rights,” “</w:t>
      </w:r>
      <w:r w:rsidR="0047414B">
        <w:rPr>
          <w:rFonts w:cs="Times New Roman"/>
        </w:rPr>
        <w:t>civil rights,” or “human rights.”</w:t>
      </w:r>
      <w:r w:rsidR="00584B79">
        <w:rPr>
          <w:rFonts w:cs="Times New Roman"/>
        </w:rPr>
        <w:t xml:space="preserve">  </w:t>
      </w:r>
      <w:r w:rsidR="00534A54">
        <w:rPr>
          <w:rFonts w:cs="Times New Roman"/>
        </w:rPr>
        <w:t xml:space="preserve">Generally, writers attached rights discourses to both sides of a given issue, used rights talk when comparing </w:t>
      </w:r>
      <w:r w:rsidR="00BB6B31">
        <w:rPr>
          <w:rFonts w:cs="Times New Roman"/>
        </w:rPr>
        <w:t>LGBTQ</w:t>
      </w:r>
      <w:r w:rsidR="00534A54">
        <w:rPr>
          <w:rFonts w:cs="Times New Roman"/>
        </w:rPr>
        <w:t xml:space="preserve"> community</w:t>
      </w:r>
      <w:r w:rsidR="00F538CF">
        <w:rPr>
          <w:rFonts w:cs="Times New Roman"/>
        </w:rPr>
        <w:t xml:space="preserve"> issues</w:t>
      </w:r>
      <w:r w:rsidR="00534A54">
        <w:rPr>
          <w:rFonts w:cs="Times New Roman"/>
        </w:rPr>
        <w:t xml:space="preserve"> to </w:t>
      </w:r>
      <w:r w:rsidR="00F538CF">
        <w:rPr>
          <w:rFonts w:cs="Times New Roman"/>
        </w:rPr>
        <w:t xml:space="preserve">issues that impact </w:t>
      </w:r>
      <w:r w:rsidR="00534A54">
        <w:rPr>
          <w:rFonts w:cs="Times New Roman"/>
        </w:rPr>
        <w:t xml:space="preserve">racial minorities, </w:t>
      </w:r>
      <w:r w:rsidR="0047414B">
        <w:rPr>
          <w:rFonts w:cs="Times New Roman"/>
        </w:rPr>
        <w:t>used</w:t>
      </w:r>
      <w:r w:rsidR="00534A54">
        <w:rPr>
          <w:rFonts w:cs="Times New Roman"/>
        </w:rPr>
        <w:t xml:space="preserve"> rights talk when asking readers to support and oppose political campaigns, and attached rights to issues that both disappeared and appeared with greater frequency over time.</w:t>
      </w:r>
      <w:r w:rsidR="005A32F8">
        <w:rPr>
          <w:rFonts w:cs="Times New Roman"/>
        </w:rPr>
        <w:t xml:space="preserve">  This section demonstrates that conversations around rights varied tremendously over time, suggesting that rights talk operates more as an adaptable tool than as means of constraining </w:t>
      </w:r>
      <w:r w:rsidR="007D5846">
        <w:rPr>
          <w:rFonts w:cs="Times New Roman"/>
        </w:rPr>
        <w:t>the array of issues within a minority population</w:t>
      </w:r>
      <w:r w:rsidR="005A32F8">
        <w:rPr>
          <w:rFonts w:cs="Times New Roman"/>
        </w:rPr>
        <w:t xml:space="preserve">.  In addition, rights talk frequently did not appear alongside discussions of litigation, but, more often than not, along everyday discussions of community grievances, </w:t>
      </w:r>
      <w:r w:rsidR="007D1958">
        <w:rPr>
          <w:rFonts w:cs="Times New Roman"/>
        </w:rPr>
        <w:t>illuminating a conceptual distinction between rights discourse and litigation.</w:t>
      </w:r>
    </w:p>
    <w:p w14:paraId="3C0E9751" w14:textId="73B5B2E1" w:rsidR="00534A54" w:rsidRPr="00534A54" w:rsidRDefault="00534A54" w:rsidP="007657E1">
      <w:pPr>
        <w:spacing w:line="480" w:lineRule="auto"/>
        <w:rPr>
          <w:rFonts w:cs="Times New Roman"/>
          <w:b/>
        </w:rPr>
      </w:pPr>
      <w:r>
        <w:rPr>
          <w:rFonts w:cs="Times New Roman"/>
        </w:rPr>
        <w:tab/>
      </w:r>
      <w:r>
        <w:rPr>
          <w:rFonts w:cs="Times New Roman"/>
          <w:b/>
        </w:rPr>
        <w:t>i. Rights Discourses on Both Sides of an Issue</w:t>
      </w:r>
    </w:p>
    <w:p w14:paraId="359091DB" w14:textId="53AAC22C" w:rsidR="004B3232" w:rsidRDefault="00534A54" w:rsidP="007657E1">
      <w:pPr>
        <w:spacing w:line="480" w:lineRule="auto"/>
        <w:rPr>
          <w:rFonts w:cs="Times New Roman"/>
        </w:rPr>
      </w:pPr>
      <w:r>
        <w:rPr>
          <w:rFonts w:cs="Times New Roman"/>
        </w:rPr>
        <w:tab/>
      </w:r>
      <w:r w:rsidRPr="00534A54">
        <w:rPr>
          <w:rFonts w:cs="Times New Roman"/>
          <w:i/>
        </w:rPr>
        <w:t>GCN</w:t>
      </w:r>
      <w:r>
        <w:rPr>
          <w:rFonts w:cs="Times New Roman"/>
        </w:rPr>
        <w:t xml:space="preserve"> letters to the editor writers frequently attached rights talk to both sides of an issue. </w:t>
      </w:r>
      <w:r w:rsidR="008F76D5" w:rsidRPr="00534A54">
        <w:rPr>
          <w:rFonts w:cs="Times New Roman"/>
        </w:rPr>
        <w:t>For</w:t>
      </w:r>
      <w:r w:rsidR="008F76D5">
        <w:rPr>
          <w:rFonts w:cs="Times New Roman"/>
        </w:rPr>
        <w:t xml:space="preserve"> example, writers used rights talk while arguing both for and against expansive notions of sexuality.  In an article that appeared in </w:t>
      </w:r>
      <w:r w:rsidR="008F76D5">
        <w:rPr>
          <w:rFonts w:cs="Times New Roman"/>
          <w:i/>
        </w:rPr>
        <w:t xml:space="preserve">Community </w:t>
      </w:r>
      <w:r w:rsidR="008F76D5" w:rsidRPr="008F76D5">
        <w:rPr>
          <w:rFonts w:cs="Times New Roman"/>
          <w:i/>
        </w:rPr>
        <w:t>Voices</w:t>
      </w:r>
      <w:r w:rsidR="008F76D5">
        <w:rPr>
          <w:rFonts w:cs="Times New Roman"/>
        </w:rPr>
        <w:t xml:space="preserve"> on July 7, 1984, Scott Tucker </w:t>
      </w:r>
      <w:r w:rsidR="00F5345F">
        <w:rPr>
          <w:rFonts w:cs="Times New Roman"/>
        </w:rPr>
        <w:t>lamented</w:t>
      </w:r>
      <w:r w:rsidR="008F76D5">
        <w:rPr>
          <w:rFonts w:cs="Times New Roman"/>
        </w:rPr>
        <w:t xml:space="preserve"> the banning of sexual activity in gay bathhouses in San Francisco:</w:t>
      </w:r>
    </w:p>
    <w:p w14:paraId="31B9DDE3" w14:textId="69B4F8C6" w:rsidR="008F76D5" w:rsidRDefault="008F76D5" w:rsidP="00BF375E">
      <w:pPr>
        <w:ind w:left="720"/>
        <w:rPr>
          <w:rFonts w:cs="Times New Roman"/>
        </w:rPr>
      </w:pPr>
      <w:r w:rsidRPr="008F76D5">
        <w:rPr>
          <w:rFonts w:cs="Times New Roman"/>
        </w:rPr>
        <w:t xml:space="preserve">“For the gay community at large, the most crucial issue is not the </w:t>
      </w:r>
      <w:r w:rsidRPr="000E285F">
        <w:rPr>
          <w:rFonts w:cs="Times New Roman"/>
        </w:rPr>
        <w:t>right</w:t>
      </w:r>
      <w:r w:rsidRPr="008F76D5">
        <w:rPr>
          <w:rFonts w:cs="Times New Roman"/>
        </w:rPr>
        <w:t xml:space="preserve"> to privacy but our </w:t>
      </w:r>
      <w:r w:rsidRPr="000E285F">
        <w:rPr>
          <w:rFonts w:cs="Times New Roman"/>
        </w:rPr>
        <w:t>right</w:t>
      </w:r>
      <w:r w:rsidRPr="008F76D5">
        <w:rPr>
          <w:rFonts w:cs="Times New Roman"/>
        </w:rPr>
        <w:t xml:space="preserve"> to the world: in this case, our right to public institutions where we can meet and grow strong together.  The baths are not presently an ideal place for that purpose, but with imagination and militance they could become true community meeting places.  They could become places for education, culture, and safe erotic play.  Instead, a few of our gay ‘leaders’ have joined hands with straights...for our own good.”</w:t>
      </w:r>
    </w:p>
    <w:p w14:paraId="5E839360" w14:textId="77777777" w:rsidR="006251FD" w:rsidRDefault="006251FD" w:rsidP="00BF375E">
      <w:pPr>
        <w:ind w:left="720"/>
        <w:rPr>
          <w:rFonts w:cs="Times New Roman"/>
        </w:rPr>
      </w:pPr>
    </w:p>
    <w:p w14:paraId="4DC19918" w14:textId="7B856933" w:rsidR="008F76D5" w:rsidRDefault="00F5345F" w:rsidP="008F76D5">
      <w:pPr>
        <w:spacing w:line="480" w:lineRule="auto"/>
        <w:rPr>
          <w:rFonts w:cs="Times New Roman"/>
        </w:rPr>
      </w:pPr>
      <w:r>
        <w:rPr>
          <w:rFonts w:cs="Times New Roman"/>
        </w:rPr>
        <w:t>Here, Tucker used</w:t>
      </w:r>
      <w:r w:rsidR="008F76D5">
        <w:rPr>
          <w:rFonts w:cs="Times New Roman"/>
        </w:rPr>
        <w:t xml:space="preserve"> rights talk in order to express a collective grievance over the censure of sexual activity in bathhouses as a result of the rise of the AIDS epidemic in 1984</w:t>
      </w:r>
      <w:r w:rsidR="00534A54">
        <w:rPr>
          <w:rFonts w:cs="Times New Roman"/>
        </w:rPr>
        <w:t xml:space="preserve"> </w:t>
      </w:r>
      <w:r w:rsidR="00534A54">
        <w:t>(Eaklor, 2008, pp. 174-178)</w:t>
      </w:r>
      <w:r w:rsidR="008F76D5">
        <w:rPr>
          <w:rFonts w:cs="Times New Roman"/>
        </w:rPr>
        <w:t xml:space="preserve">. By contrast, in a letter that appeared on May 3, 1980 in </w:t>
      </w:r>
      <w:r w:rsidR="008F76D5">
        <w:rPr>
          <w:rFonts w:cs="Times New Roman"/>
          <w:i/>
        </w:rPr>
        <w:t>Community Voices</w:t>
      </w:r>
      <w:r>
        <w:rPr>
          <w:rFonts w:cs="Times New Roman"/>
        </w:rPr>
        <w:t>, S.K.L. used</w:t>
      </w:r>
      <w:r w:rsidR="008F76D5">
        <w:rPr>
          <w:rFonts w:cs="Times New Roman"/>
        </w:rPr>
        <w:t xml:space="preserve"> rights talk while arguing against a more expansive notion of sexuality:</w:t>
      </w:r>
    </w:p>
    <w:p w14:paraId="0D4B718F" w14:textId="77777777" w:rsidR="008F76D5" w:rsidRDefault="008F76D5" w:rsidP="00BF375E">
      <w:pPr>
        <w:ind w:left="720"/>
        <w:rPr>
          <w:rFonts w:cs="Times New Roman"/>
        </w:rPr>
      </w:pPr>
      <w:r>
        <w:rPr>
          <w:rFonts w:cs="Times New Roman"/>
        </w:rPr>
        <w:t xml:space="preserve">“It distresses me to read paragraphs on the evils of police harassment and the harassed gay patrons of the Boston Public Library without a single mention of one obvious fact: the unquestionable </w:t>
      </w:r>
      <w:r w:rsidRPr="000E285F">
        <w:rPr>
          <w:rFonts w:cs="Times New Roman"/>
        </w:rPr>
        <w:t>right</w:t>
      </w:r>
      <w:r>
        <w:rPr>
          <w:rFonts w:cs="Times New Roman"/>
        </w:rPr>
        <w:t xml:space="preserve"> of users of the library, straight and gay, to use those facilities without sexual harassment.”</w:t>
      </w:r>
    </w:p>
    <w:p w14:paraId="78B9B94A" w14:textId="77777777" w:rsidR="006251FD" w:rsidRDefault="006251FD" w:rsidP="00BF375E">
      <w:pPr>
        <w:ind w:left="720"/>
        <w:rPr>
          <w:rFonts w:cs="Times New Roman"/>
        </w:rPr>
      </w:pPr>
    </w:p>
    <w:p w14:paraId="422083FA" w14:textId="437E462D" w:rsidR="00D707C8" w:rsidRDefault="008F76D5" w:rsidP="008F76D5">
      <w:pPr>
        <w:spacing w:line="480" w:lineRule="auto"/>
        <w:rPr>
          <w:rFonts w:cs="Times New Roman"/>
        </w:rPr>
      </w:pPr>
      <w:r>
        <w:rPr>
          <w:rFonts w:cs="Times New Roman"/>
        </w:rPr>
        <w:t xml:space="preserve">Both Tucker’s and S.K.L’s letters use rights talk while </w:t>
      </w:r>
      <w:r w:rsidR="001B305F">
        <w:rPr>
          <w:rFonts w:cs="Times New Roman"/>
        </w:rPr>
        <w:t xml:space="preserve">discussing </w:t>
      </w:r>
      <w:r>
        <w:rPr>
          <w:rFonts w:cs="Times New Roman"/>
        </w:rPr>
        <w:t>sexual activity in places of public accommodation.  However, Tucker’s</w:t>
      </w:r>
      <w:r w:rsidR="007A6D28">
        <w:rPr>
          <w:rFonts w:cs="Times New Roman"/>
        </w:rPr>
        <w:t xml:space="preserve"> letter</w:t>
      </w:r>
      <w:r>
        <w:rPr>
          <w:rFonts w:cs="Times New Roman"/>
        </w:rPr>
        <w:t xml:space="preserve"> </w:t>
      </w:r>
      <w:r w:rsidR="00F538CF">
        <w:rPr>
          <w:rFonts w:cs="Times New Roman"/>
        </w:rPr>
        <w:t xml:space="preserve">used </w:t>
      </w:r>
      <w:r>
        <w:rPr>
          <w:rFonts w:cs="Times New Roman"/>
        </w:rPr>
        <w:t xml:space="preserve">rights talk is used in support of public sexual activity while S.K.L.’s </w:t>
      </w:r>
      <w:r w:rsidR="007A6D28">
        <w:rPr>
          <w:rFonts w:cs="Times New Roman"/>
        </w:rPr>
        <w:t>letter used it a</w:t>
      </w:r>
      <w:r>
        <w:rPr>
          <w:rFonts w:cs="Times New Roman"/>
        </w:rPr>
        <w:t>gainst public sexual activity.</w:t>
      </w:r>
      <w:r w:rsidR="009423D6">
        <w:rPr>
          <w:rFonts w:cs="Times New Roman"/>
        </w:rPr>
        <w:t xml:space="preserve">  </w:t>
      </w:r>
    </w:p>
    <w:p w14:paraId="35D01DBE" w14:textId="407227E1" w:rsidR="009423D6" w:rsidRDefault="009423D6" w:rsidP="008F76D5">
      <w:pPr>
        <w:spacing w:line="480" w:lineRule="auto"/>
        <w:rPr>
          <w:rFonts w:cs="Times New Roman"/>
        </w:rPr>
      </w:pPr>
      <w:r>
        <w:rPr>
          <w:rFonts w:cs="Times New Roman"/>
        </w:rPr>
        <w:tab/>
        <w:t>In addition to expansive and non-expansive notions of public sexuality,</w:t>
      </w:r>
      <w:r w:rsidR="000E285F">
        <w:rPr>
          <w:rFonts w:cs="Times New Roman"/>
        </w:rPr>
        <w:t xml:space="preserve"> people who wrote letters </w:t>
      </w:r>
      <w:r>
        <w:rPr>
          <w:rFonts w:cs="Times New Roman"/>
        </w:rPr>
        <w:t xml:space="preserve">used rights talk while discussing whether or not to ban pornography.  </w:t>
      </w:r>
      <w:r w:rsidR="00FF0EEB">
        <w:rPr>
          <w:rFonts w:cs="Times New Roman"/>
        </w:rPr>
        <w:t>In the early 1</w:t>
      </w:r>
      <w:r w:rsidR="007A6D28">
        <w:rPr>
          <w:rFonts w:cs="Times New Roman"/>
        </w:rPr>
        <w:t xml:space="preserve">980s, disputes occurred amongst LGBTQ persons </w:t>
      </w:r>
      <w:r w:rsidR="00FF0EEB">
        <w:rPr>
          <w:rFonts w:cs="Times New Roman"/>
        </w:rPr>
        <w:t>over pornography and sadomasochism (S&amp;M) as prominent feminists Catherine MacKinnon and Andrea Dworkin</w:t>
      </w:r>
      <w:r w:rsidR="00744846">
        <w:rPr>
          <w:rFonts w:cs="Times New Roman"/>
        </w:rPr>
        <w:t xml:space="preserve"> (who read and wrote in </w:t>
      </w:r>
      <w:r w:rsidR="00744846">
        <w:rPr>
          <w:rFonts w:cs="Times New Roman"/>
          <w:i/>
        </w:rPr>
        <w:t>GCN</w:t>
      </w:r>
      <w:r w:rsidR="00744846">
        <w:rPr>
          <w:rFonts w:cs="Times New Roman"/>
        </w:rPr>
        <w:t>)</w:t>
      </w:r>
      <w:r w:rsidR="00FF0EEB">
        <w:rPr>
          <w:rFonts w:cs="Times New Roman"/>
        </w:rPr>
        <w:t xml:space="preserve"> “attempted to institute legal bans on pornography” (Eaklor, 2008, p. 146).  These disputes appeared with frequency in </w:t>
      </w:r>
      <w:r w:rsidR="00FF0EEB">
        <w:rPr>
          <w:rFonts w:cs="Times New Roman"/>
          <w:i/>
        </w:rPr>
        <w:t>GCN</w:t>
      </w:r>
      <w:r w:rsidR="00FF0EEB">
        <w:rPr>
          <w:rFonts w:cs="Times New Roman"/>
        </w:rPr>
        <w:t xml:space="preserve"> and rights talk was attached to both sides of the debate.  For instance, </w:t>
      </w:r>
      <w:r w:rsidR="00744846">
        <w:rPr>
          <w:rFonts w:cs="Times New Roman"/>
        </w:rPr>
        <w:t>in “Playing Thought Police,” a letter published on October 4th, 1980, Jim Kernochan utilized rights talk while criticizing attempts to ban pornography:</w:t>
      </w:r>
    </w:p>
    <w:p w14:paraId="614E5A6A" w14:textId="621CC9A7" w:rsidR="00744846" w:rsidRDefault="00744846" w:rsidP="006251FD">
      <w:pPr>
        <w:ind w:left="720"/>
        <w:rPr>
          <w:rFonts w:cs="Times New Roman"/>
        </w:rPr>
      </w:pPr>
      <w:r>
        <w:rPr>
          <w:rFonts w:cs="Times New Roman"/>
        </w:rPr>
        <w:t xml:space="preserve">“Now, those who believe pornography is offensive have every </w:t>
      </w:r>
      <w:r w:rsidRPr="00406853">
        <w:rPr>
          <w:rFonts w:cs="Times New Roman"/>
        </w:rPr>
        <w:t>right</w:t>
      </w:r>
      <w:r>
        <w:rPr>
          <w:rFonts w:cs="Times New Roman"/>
        </w:rPr>
        <w:t xml:space="preserve"> to present their argument in the hopes of convincing others.  But they have no </w:t>
      </w:r>
      <w:r w:rsidRPr="00406853">
        <w:rPr>
          <w:rFonts w:cs="Times New Roman"/>
        </w:rPr>
        <w:t>right</w:t>
      </w:r>
      <w:r>
        <w:rPr>
          <w:rFonts w:cs="Times New Roman"/>
        </w:rPr>
        <w:t xml:space="preserve"> to impose their </w:t>
      </w:r>
      <w:r w:rsidRPr="00406853">
        <w:rPr>
          <w:rFonts w:cs="Times New Roman"/>
        </w:rPr>
        <w:t>rights</w:t>
      </w:r>
      <w:r>
        <w:rPr>
          <w:rFonts w:cs="Times New Roman"/>
        </w:rPr>
        <w:t xml:space="preserve"> on those that are not convinced.... Women, lesbians, gay men, and people of color have been the particular victims of this white patriarchy.  But some in our ranks have internalized our enemy’s aspiration, and rather than renouncing all vestiges of power and privilege, wish to obtain it to use force on those they oppose.  To deny others certain </w:t>
      </w:r>
      <w:r w:rsidRPr="00AB0080">
        <w:rPr>
          <w:rFonts w:cs="Times New Roman"/>
        </w:rPr>
        <w:t>rights</w:t>
      </w:r>
      <w:r>
        <w:rPr>
          <w:rFonts w:cs="Times New Roman"/>
        </w:rPr>
        <w:t xml:space="preserve"> that you would never relinquish for yourself is a traditional straight male play.”</w:t>
      </w:r>
    </w:p>
    <w:p w14:paraId="133E77B8" w14:textId="77777777" w:rsidR="006251FD" w:rsidRDefault="006251FD" w:rsidP="006251FD">
      <w:pPr>
        <w:ind w:left="720"/>
        <w:rPr>
          <w:rFonts w:cs="Times New Roman"/>
        </w:rPr>
      </w:pPr>
    </w:p>
    <w:p w14:paraId="2DF46C34" w14:textId="46BCE053" w:rsidR="0091037B" w:rsidRDefault="00744846" w:rsidP="00744846">
      <w:pPr>
        <w:spacing w:line="480" w:lineRule="auto"/>
        <w:rPr>
          <w:rFonts w:cs="Times New Roman"/>
        </w:rPr>
      </w:pPr>
      <w:r>
        <w:rPr>
          <w:rFonts w:cs="Times New Roman"/>
        </w:rPr>
        <w:t xml:space="preserve">On the other hand, in “Pushing Porn,” published on November 3rd, 1984, Robin Lippincott indirectly referred to rights via the First Amendment, </w:t>
      </w:r>
      <w:r w:rsidR="0091037B">
        <w:rPr>
          <w:rFonts w:cs="Times New Roman"/>
        </w:rPr>
        <w:t xml:space="preserve">while recalling an argument he had with the manager of a bookstore he worked in that opted to sell pornography, leading to Lippincott’s decision to quit his job and call for a boycott of the bookstore.  In </w:t>
      </w:r>
      <w:r w:rsidR="00156CAA">
        <w:rPr>
          <w:rFonts w:cs="Times New Roman"/>
        </w:rPr>
        <w:t>his</w:t>
      </w:r>
      <w:r w:rsidR="0091037B">
        <w:rPr>
          <w:rFonts w:cs="Times New Roman"/>
        </w:rPr>
        <w:t xml:space="preserve"> letter</w:t>
      </w:r>
      <w:r w:rsidR="00156CAA">
        <w:rPr>
          <w:rFonts w:cs="Times New Roman"/>
        </w:rPr>
        <w:t xml:space="preserve"> to </w:t>
      </w:r>
      <w:r w:rsidR="00156CAA">
        <w:rPr>
          <w:rFonts w:cs="Times New Roman"/>
          <w:i/>
        </w:rPr>
        <w:t>GCN</w:t>
      </w:r>
      <w:r w:rsidR="00156CAA">
        <w:rPr>
          <w:rFonts w:cs="Times New Roman"/>
        </w:rPr>
        <w:t xml:space="preserve"> readers</w:t>
      </w:r>
      <w:r w:rsidR="0091037B">
        <w:rPr>
          <w:rFonts w:cs="Times New Roman"/>
        </w:rPr>
        <w:t xml:space="preserve"> Lippincott stated that, </w:t>
      </w:r>
      <w:r w:rsidR="0091037B" w:rsidRPr="0091037B">
        <w:rPr>
          <w:rFonts w:cs="Times New Roman"/>
        </w:rPr>
        <w:t>“as a gay man, I strongly oppose and am offended by depictions of the human body as an object to be used, abused, and disposed of.”</w:t>
      </w:r>
      <w:r w:rsidR="0091037B">
        <w:rPr>
          <w:rFonts w:cs="Times New Roman"/>
        </w:rPr>
        <w:t xml:space="preserve"> </w:t>
      </w:r>
    </w:p>
    <w:p w14:paraId="0570EFDA" w14:textId="0BC1DB5E" w:rsidR="00744846" w:rsidRDefault="0091037B" w:rsidP="00744846">
      <w:pPr>
        <w:spacing w:line="480" w:lineRule="auto"/>
        <w:rPr>
          <w:rFonts w:cs="Times New Roman"/>
        </w:rPr>
      </w:pPr>
      <w:r>
        <w:rPr>
          <w:rFonts w:cs="Times New Roman"/>
        </w:rPr>
        <w:tab/>
      </w:r>
      <w:r w:rsidR="00C8227A">
        <w:rPr>
          <w:rFonts w:cs="Times New Roman"/>
        </w:rPr>
        <w:t>Right</w:t>
      </w:r>
      <w:r w:rsidR="00156CAA">
        <w:rPr>
          <w:rFonts w:cs="Times New Roman"/>
        </w:rPr>
        <w:t>s</w:t>
      </w:r>
      <w:r w:rsidR="00C8227A">
        <w:rPr>
          <w:rFonts w:cs="Times New Roman"/>
        </w:rPr>
        <w:t xml:space="preserve"> further appeared on both sides</w:t>
      </w:r>
      <w:r w:rsidR="00410DD6">
        <w:rPr>
          <w:rFonts w:cs="Times New Roman"/>
        </w:rPr>
        <w:t xml:space="preserve"> </w:t>
      </w:r>
      <w:r w:rsidR="00C8227A">
        <w:rPr>
          <w:rFonts w:cs="Times New Roman"/>
        </w:rPr>
        <w:t xml:space="preserve">of the </w:t>
      </w:r>
      <w:r w:rsidR="00410DD6">
        <w:rPr>
          <w:rFonts w:cs="Times New Roman"/>
        </w:rPr>
        <w:t>man/boy love</w:t>
      </w:r>
      <w:r w:rsidR="00156CAA">
        <w:rPr>
          <w:rFonts w:cs="Times New Roman"/>
        </w:rPr>
        <w:t xml:space="preserve"> debate</w:t>
      </w:r>
      <w:r w:rsidR="00410DD6">
        <w:rPr>
          <w:rFonts w:cs="Times New Roman"/>
        </w:rPr>
        <w:t xml:space="preserve">.  </w:t>
      </w:r>
      <w:r w:rsidR="00740B07">
        <w:rPr>
          <w:rFonts w:cs="Times New Roman"/>
        </w:rPr>
        <w:t xml:space="preserve">Man/boy love was a particularly controversial issue in the </w:t>
      </w:r>
      <w:r w:rsidR="00BB6B31">
        <w:rPr>
          <w:rFonts w:cs="Times New Roman"/>
        </w:rPr>
        <w:t>LGBTQ</w:t>
      </w:r>
      <w:r w:rsidR="00740B07">
        <w:rPr>
          <w:rFonts w:cs="Times New Roman"/>
        </w:rPr>
        <w:t xml:space="preserve"> community in the early 1980s, drawing criticism from femin</w:t>
      </w:r>
      <w:r w:rsidR="007A6D28">
        <w:rPr>
          <w:rFonts w:cs="Times New Roman"/>
        </w:rPr>
        <w:t xml:space="preserve">ist lesbians and gay men </w:t>
      </w:r>
      <w:r w:rsidR="00740B07">
        <w:rPr>
          <w:rFonts w:cs="Times New Roman"/>
        </w:rPr>
        <w:t>(Eaklor, 2008 p. 135; Clendinen &amp; Nagourney, 1999, p. 407).</w:t>
      </w:r>
      <w:r w:rsidR="00370898">
        <w:rPr>
          <w:rFonts w:cs="Times New Roman"/>
        </w:rPr>
        <w:t xml:space="preserve">  The issue appeared occasionally in </w:t>
      </w:r>
      <w:r w:rsidR="00370898">
        <w:rPr>
          <w:rFonts w:cs="Times New Roman"/>
          <w:i/>
        </w:rPr>
        <w:t>GCN</w:t>
      </w:r>
      <w:r w:rsidR="00370898">
        <w:rPr>
          <w:rFonts w:cs="Times New Roman"/>
        </w:rPr>
        <w:t xml:space="preserve"> </w:t>
      </w:r>
      <w:r w:rsidR="00231A25">
        <w:rPr>
          <w:rFonts w:cs="Times New Roman"/>
        </w:rPr>
        <w:t>as individuals expressed</w:t>
      </w:r>
      <w:r w:rsidR="00370898">
        <w:rPr>
          <w:rFonts w:cs="Times New Roman"/>
        </w:rPr>
        <w:t xml:space="preserve"> </w:t>
      </w:r>
      <w:r w:rsidR="00156CAA">
        <w:rPr>
          <w:rFonts w:cs="Times New Roman"/>
        </w:rPr>
        <w:t xml:space="preserve">concern over </w:t>
      </w:r>
      <w:r w:rsidR="00370898">
        <w:rPr>
          <w:rFonts w:cs="Times New Roman"/>
        </w:rPr>
        <w:t xml:space="preserve">the marginalization </w:t>
      </w:r>
      <w:r w:rsidR="00A54DD2">
        <w:rPr>
          <w:rFonts w:cs="Times New Roman"/>
        </w:rPr>
        <w:t>of man/boy love</w:t>
      </w:r>
      <w:r w:rsidR="00370898">
        <w:rPr>
          <w:rFonts w:cs="Times New Roman"/>
        </w:rPr>
        <w:t xml:space="preserve"> and fr</w:t>
      </w:r>
      <w:r w:rsidR="00FB2A3C">
        <w:rPr>
          <w:rFonts w:cs="Times New Roman"/>
        </w:rPr>
        <w:t>om prison inmates, likely incarcerated due to crimes involving man/boy love.</w:t>
      </w:r>
      <w:r w:rsidR="00FB2A3C">
        <w:rPr>
          <w:rStyle w:val="FootnoteReference"/>
          <w:rFonts w:cs="Times New Roman"/>
        </w:rPr>
        <w:footnoteReference w:id="4"/>
      </w:r>
      <w:r w:rsidR="00FB2A3C">
        <w:rPr>
          <w:rFonts w:cs="Times New Roman"/>
        </w:rPr>
        <w:t xml:space="preserve">  For example,</w:t>
      </w:r>
      <w:r w:rsidR="00C8227A">
        <w:rPr>
          <w:rFonts w:cs="Times New Roman"/>
        </w:rPr>
        <w:t xml:space="preserve"> in “Some Good Advice,” published on November 3rd, 1984, prison inmate Karl Ahlers wrote to </w:t>
      </w:r>
      <w:r w:rsidR="00C8227A">
        <w:rPr>
          <w:rFonts w:cs="Times New Roman"/>
          <w:i/>
        </w:rPr>
        <w:t>GCN</w:t>
      </w:r>
      <w:r w:rsidR="00C8227A">
        <w:rPr>
          <w:rFonts w:cs="Times New Roman"/>
        </w:rPr>
        <w:t xml:space="preserve"> over an incident involving his receipt of the North American Man Boy Love Association’s (NAMBLA) newspaper.  Ahlers used rights language, arguing that his counselor “had no </w:t>
      </w:r>
      <w:r w:rsidR="00C8227A" w:rsidRPr="00406853">
        <w:rPr>
          <w:rFonts w:cs="Times New Roman"/>
        </w:rPr>
        <w:t>right</w:t>
      </w:r>
      <w:r w:rsidR="00C8227A">
        <w:rPr>
          <w:rFonts w:cs="Times New Roman"/>
        </w:rPr>
        <w:t xml:space="preserve"> to comment on anything [he received] in front of the other guards.”  The following month, a closeted child psychologist heavily criticized </w:t>
      </w:r>
      <w:r w:rsidR="00C8227A">
        <w:rPr>
          <w:rFonts w:cs="Times New Roman"/>
          <w:i/>
        </w:rPr>
        <w:t>GCN</w:t>
      </w:r>
      <w:r w:rsidR="00C8227A">
        <w:rPr>
          <w:rFonts w:cs="Times New Roman"/>
        </w:rPr>
        <w:t>’s decision to publish letters like Ahlers</w:t>
      </w:r>
      <w:r w:rsidR="00231A25">
        <w:rPr>
          <w:rFonts w:cs="Times New Roman"/>
        </w:rPr>
        <w:t>’s</w:t>
      </w:r>
      <w:r w:rsidR="00C8227A">
        <w:rPr>
          <w:rFonts w:cs="Times New Roman"/>
        </w:rPr>
        <w:t>, in a letter entitled “A Cavalier Attitude,” published on December 1st, 1984.  The child psychologists utilized rights language in the following segment:</w:t>
      </w:r>
    </w:p>
    <w:p w14:paraId="0E3731F1" w14:textId="1C3891F6" w:rsidR="00C8227A" w:rsidRDefault="00C8227A" w:rsidP="006251FD">
      <w:pPr>
        <w:ind w:left="720"/>
        <w:rPr>
          <w:rFonts w:cs="Times New Roman"/>
        </w:rPr>
      </w:pPr>
      <w:r>
        <w:rPr>
          <w:rFonts w:cs="Times New Roman"/>
        </w:rPr>
        <w:t xml:space="preserve">“I find myself shocked and appalled by the acceptance and tacit encouragement in both your paper and apparently the gay male community of sexual contacts with children.  The Manscape ad, coverage of the man/boy love association, and comment on kiddie porn all seem to point to a rather cavalier attitude regarding children’s </w:t>
      </w:r>
      <w:r w:rsidRPr="00406853">
        <w:rPr>
          <w:rFonts w:cs="Times New Roman"/>
        </w:rPr>
        <w:t>rights</w:t>
      </w:r>
      <w:r>
        <w:rPr>
          <w:rFonts w:cs="Times New Roman"/>
        </w:rPr>
        <w:t>.”</w:t>
      </w:r>
    </w:p>
    <w:p w14:paraId="08064FE9" w14:textId="77777777" w:rsidR="006251FD" w:rsidRDefault="006251FD" w:rsidP="006251FD">
      <w:pPr>
        <w:ind w:left="720"/>
        <w:rPr>
          <w:rFonts w:cs="Times New Roman"/>
        </w:rPr>
      </w:pPr>
    </w:p>
    <w:p w14:paraId="09AB136A" w14:textId="14378ED7" w:rsidR="00C8227A" w:rsidRDefault="00C8227A" w:rsidP="00C8227A">
      <w:pPr>
        <w:spacing w:line="480" w:lineRule="auto"/>
        <w:rPr>
          <w:rFonts w:cs="Times New Roman"/>
        </w:rPr>
      </w:pPr>
      <w:r>
        <w:rPr>
          <w:rFonts w:cs="Times New Roman"/>
        </w:rPr>
        <w:t xml:space="preserve">The man/boy love debate appeared with some frequency in </w:t>
      </w:r>
      <w:r>
        <w:rPr>
          <w:rFonts w:cs="Times New Roman"/>
          <w:i/>
        </w:rPr>
        <w:t>GCN</w:t>
      </w:r>
      <w:r>
        <w:rPr>
          <w:rFonts w:cs="Times New Roman"/>
        </w:rPr>
        <w:t xml:space="preserve"> as gay men</w:t>
      </w:r>
      <w:r w:rsidR="00AB0080">
        <w:rPr>
          <w:rFonts w:cs="Times New Roman"/>
        </w:rPr>
        <w:t xml:space="preserve"> and women</w:t>
      </w:r>
      <w:r>
        <w:rPr>
          <w:rFonts w:cs="Times New Roman"/>
        </w:rPr>
        <w:t xml:space="preserve"> like the child psychologist above fought with pro-NAMBLA readers over whether or not </w:t>
      </w:r>
      <w:r w:rsidR="00AB0080">
        <w:rPr>
          <w:rFonts w:cs="Times New Roman"/>
        </w:rPr>
        <w:t>their concerns</w:t>
      </w:r>
      <w:r>
        <w:rPr>
          <w:rFonts w:cs="Times New Roman"/>
        </w:rPr>
        <w:t xml:space="preserve"> should be included within the </w:t>
      </w:r>
      <w:r w:rsidR="00BB6B31">
        <w:rPr>
          <w:rFonts w:cs="Times New Roman"/>
        </w:rPr>
        <w:t>LGBTQ</w:t>
      </w:r>
      <w:r>
        <w:rPr>
          <w:rFonts w:cs="Times New Roman"/>
        </w:rPr>
        <w:t xml:space="preserve"> community</w:t>
      </w:r>
      <w:r w:rsidR="00B80F87">
        <w:rPr>
          <w:rFonts w:cs="Times New Roman"/>
        </w:rPr>
        <w:t>’s liberation movement</w:t>
      </w:r>
      <w:r>
        <w:rPr>
          <w:rFonts w:cs="Times New Roman"/>
        </w:rPr>
        <w:t>.</w:t>
      </w:r>
    </w:p>
    <w:p w14:paraId="232368AF" w14:textId="7CD2309B" w:rsidR="007D1958" w:rsidRPr="007D1958" w:rsidRDefault="007D1958" w:rsidP="00C8227A">
      <w:pPr>
        <w:spacing w:line="480" w:lineRule="auto"/>
        <w:rPr>
          <w:rFonts w:cs="Times New Roman"/>
        </w:rPr>
      </w:pPr>
      <w:r>
        <w:rPr>
          <w:rFonts w:cs="Times New Roman"/>
        </w:rPr>
        <w:tab/>
        <w:t>Each of the examples in this section demonstrate the adaptability of r</w:t>
      </w:r>
      <w:r w:rsidR="00406853">
        <w:rPr>
          <w:rFonts w:cs="Times New Roman"/>
        </w:rPr>
        <w:t>ights discourse and show that resort</w:t>
      </w:r>
      <w:r w:rsidR="00231A25">
        <w:rPr>
          <w:rFonts w:cs="Times New Roman"/>
        </w:rPr>
        <w:t>ing to rights discourse did not always occur alongside a litigation campaign</w:t>
      </w:r>
      <w:r w:rsidR="00406853">
        <w:rPr>
          <w:rFonts w:cs="Times New Roman"/>
        </w:rPr>
        <w:t>.</w:t>
      </w:r>
      <w:r>
        <w:rPr>
          <w:rFonts w:cs="Times New Roman"/>
        </w:rPr>
        <w:t xml:space="preserve">  </w:t>
      </w:r>
      <w:r>
        <w:rPr>
          <w:rFonts w:cs="Times New Roman"/>
          <w:i/>
        </w:rPr>
        <w:t>GCN’s</w:t>
      </w:r>
      <w:r>
        <w:rPr>
          <w:rFonts w:cs="Times New Roman"/>
        </w:rPr>
        <w:t xml:space="preserve"> letters to the editor writers used rights talk while making arguments on both sides of debates on sexual expression, pornography, and man/boy love.  In other words, rights talk was attached to a wide variety of arguments on different sides of select issues throughout the 1980s.  </w:t>
      </w:r>
    </w:p>
    <w:p w14:paraId="133250AE" w14:textId="2E77438D" w:rsidR="00772712" w:rsidRPr="00772712" w:rsidRDefault="00C8227A" w:rsidP="00772712">
      <w:pPr>
        <w:spacing w:line="480" w:lineRule="auto"/>
        <w:rPr>
          <w:rFonts w:cs="Times New Roman"/>
        </w:rPr>
      </w:pPr>
      <w:r>
        <w:rPr>
          <w:rFonts w:cs="Times New Roman"/>
        </w:rPr>
        <w:tab/>
      </w:r>
      <w:r>
        <w:rPr>
          <w:rFonts w:cs="Times New Roman"/>
          <w:b/>
        </w:rPr>
        <w:t xml:space="preserve">ii. </w:t>
      </w:r>
      <w:r w:rsidR="00E7185F">
        <w:rPr>
          <w:rFonts w:cs="Times New Roman"/>
          <w:b/>
        </w:rPr>
        <w:t xml:space="preserve">Rights Talk Comparing </w:t>
      </w:r>
      <w:r w:rsidR="00BB6B31">
        <w:rPr>
          <w:rFonts w:cs="Times New Roman"/>
          <w:b/>
        </w:rPr>
        <w:t>LGBTQ</w:t>
      </w:r>
      <w:r w:rsidR="00E7185F">
        <w:rPr>
          <w:rFonts w:cs="Times New Roman"/>
          <w:b/>
        </w:rPr>
        <w:t xml:space="preserve"> and Racial Minority Struggles</w:t>
      </w:r>
    </w:p>
    <w:p w14:paraId="4BAD1EC1" w14:textId="68C7DE1A" w:rsidR="00D707C8" w:rsidRDefault="00D707C8" w:rsidP="008F76D5">
      <w:pPr>
        <w:spacing w:line="480" w:lineRule="auto"/>
        <w:rPr>
          <w:rFonts w:cs="Times New Roman"/>
        </w:rPr>
      </w:pPr>
      <w:r>
        <w:rPr>
          <w:rFonts w:cs="Times New Roman"/>
        </w:rPr>
        <w:tab/>
      </w:r>
      <w:r w:rsidR="004D2514">
        <w:rPr>
          <w:rFonts w:cs="Times New Roman"/>
        </w:rPr>
        <w:t xml:space="preserve">In addition to using rights talk on both sides of an issue, </w:t>
      </w:r>
      <w:r w:rsidR="00C238E1">
        <w:rPr>
          <w:rFonts w:cs="Times New Roman"/>
        </w:rPr>
        <w:t>letters to the editor w</w:t>
      </w:r>
      <w:r>
        <w:rPr>
          <w:rFonts w:cs="Times New Roman"/>
        </w:rPr>
        <w:t>riters also use</w:t>
      </w:r>
      <w:r w:rsidR="00C238E1">
        <w:rPr>
          <w:rFonts w:cs="Times New Roman"/>
        </w:rPr>
        <w:t>d</w:t>
      </w:r>
      <w:r>
        <w:rPr>
          <w:rFonts w:cs="Times New Roman"/>
        </w:rPr>
        <w:t xml:space="preserve"> rights talk while comparing the </w:t>
      </w:r>
      <w:r w:rsidR="00BB6B31">
        <w:rPr>
          <w:rFonts w:cs="Times New Roman"/>
        </w:rPr>
        <w:t>LGBTQ</w:t>
      </w:r>
      <w:r>
        <w:rPr>
          <w:rFonts w:cs="Times New Roman"/>
        </w:rPr>
        <w:t xml:space="preserve"> </w:t>
      </w:r>
      <w:r w:rsidR="00AC3087">
        <w:rPr>
          <w:rFonts w:cs="Times New Roman"/>
        </w:rPr>
        <w:t>rights m</w:t>
      </w:r>
      <w:r>
        <w:rPr>
          <w:rFonts w:cs="Times New Roman"/>
        </w:rPr>
        <w:t xml:space="preserve">ovement to other movements for social change.  For instance, rights talk was particularly prominent in articles discussing both sexual and racial minority struggles against discrimination.  In an article published on September 6, 1980 in </w:t>
      </w:r>
      <w:r>
        <w:rPr>
          <w:rFonts w:cs="Times New Roman"/>
          <w:i/>
        </w:rPr>
        <w:t>Community Voices</w:t>
      </w:r>
      <w:r w:rsidR="00C238E1">
        <w:rPr>
          <w:rFonts w:cs="Times New Roman"/>
        </w:rPr>
        <w:t>, Dee Michel addressed</w:t>
      </w:r>
      <w:r>
        <w:rPr>
          <w:rFonts w:cs="Times New Roman"/>
        </w:rPr>
        <w:t xml:space="preserve"> both racial and sexual minority struggles for social change while criticizing an African American representative of the Massachusetts Commission Against Discrimination:</w:t>
      </w:r>
    </w:p>
    <w:p w14:paraId="1ECE6C00" w14:textId="77777777" w:rsidR="00D707C8" w:rsidRDefault="00D707C8" w:rsidP="006251FD">
      <w:pPr>
        <w:ind w:left="720"/>
        <w:rPr>
          <w:rFonts w:cs="Times New Roman"/>
        </w:rPr>
      </w:pPr>
      <w:r>
        <w:rPr>
          <w:rFonts w:cs="Times New Roman"/>
        </w:rPr>
        <w:t xml:space="preserve">“Why was the representative so unsympathetic to the subject of lesbian/gay </w:t>
      </w:r>
      <w:r w:rsidRPr="00406853">
        <w:rPr>
          <w:rFonts w:cs="Times New Roman"/>
        </w:rPr>
        <w:t>rights</w:t>
      </w:r>
      <w:r>
        <w:rPr>
          <w:rFonts w:cs="Times New Roman"/>
        </w:rPr>
        <w:t>? Black people certainly have reason to feel their recent gains threatened, as other groups agitate for social and political change.  But this conflict is the fault of the system that causes discrimination and inequalities, not the other groups trying to better their lots.”</w:t>
      </w:r>
    </w:p>
    <w:p w14:paraId="75345337" w14:textId="77777777" w:rsidR="006251FD" w:rsidRDefault="006251FD" w:rsidP="006251FD">
      <w:pPr>
        <w:ind w:left="720"/>
        <w:rPr>
          <w:rFonts w:cs="Times New Roman"/>
        </w:rPr>
      </w:pPr>
    </w:p>
    <w:p w14:paraId="16713E84" w14:textId="288C20F1" w:rsidR="00DF3ABD" w:rsidRDefault="00D707C8" w:rsidP="00D707C8">
      <w:pPr>
        <w:spacing w:line="480" w:lineRule="auto"/>
        <w:rPr>
          <w:rFonts w:cs="Times New Roman"/>
        </w:rPr>
      </w:pPr>
      <w:r>
        <w:rPr>
          <w:rFonts w:cs="Times New Roman"/>
        </w:rPr>
        <w:t>Michel's letter recognizes the transcendence of right</w:t>
      </w:r>
      <w:r w:rsidR="009F580D">
        <w:rPr>
          <w:rFonts w:cs="Times New Roman"/>
        </w:rPr>
        <w:t>s</w:t>
      </w:r>
      <w:r>
        <w:rPr>
          <w:rFonts w:cs="Times New Roman"/>
        </w:rPr>
        <w:t xml:space="preserve"> across multiple mov</w:t>
      </w:r>
      <w:r w:rsidR="00AC3087">
        <w:rPr>
          <w:rFonts w:cs="Times New Roman"/>
        </w:rPr>
        <w:t xml:space="preserve">ements while, at the same time </w:t>
      </w:r>
      <w:r w:rsidR="00DD25E9">
        <w:rPr>
          <w:rFonts w:cs="Times New Roman"/>
        </w:rPr>
        <w:t>it acknowledges</w:t>
      </w:r>
      <w:r>
        <w:rPr>
          <w:rFonts w:cs="Times New Roman"/>
        </w:rPr>
        <w:t xml:space="preserve"> the tension rights struggles can create between different </w:t>
      </w:r>
      <w:r w:rsidR="00AB0080">
        <w:rPr>
          <w:rFonts w:cs="Times New Roman"/>
        </w:rPr>
        <w:t>groups</w:t>
      </w:r>
      <w:r w:rsidR="00AC3087">
        <w:rPr>
          <w:rFonts w:cs="Times New Roman"/>
        </w:rPr>
        <w:t>, here racial minorities and the LGBTQ community</w:t>
      </w:r>
      <w:r>
        <w:rPr>
          <w:rFonts w:cs="Times New Roman"/>
        </w:rPr>
        <w:t>.</w:t>
      </w:r>
      <w:r w:rsidR="00DF3ABD">
        <w:rPr>
          <w:rFonts w:cs="Times New Roman"/>
        </w:rPr>
        <w:t xml:space="preserve"> </w:t>
      </w:r>
      <w:r w:rsidR="0083129F">
        <w:rPr>
          <w:rFonts w:cs="Times New Roman"/>
        </w:rPr>
        <w:tab/>
      </w:r>
    </w:p>
    <w:p w14:paraId="10BE6471" w14:textId="43A22D38" w:rsidR="00D707C8" w:rsidRDefault="00DF3ABD" w:rsidP="00D707C8">
      <w:pPr>
        <w:spacing w:line="480" w:lineRule="auto"/>
        <w:rPr>
          <w:rFonts w:cs="Times New Roman"/>
        </w:rPr>
      </w:pPr>
      <w:r>
        <w:rPr>
          <w:rFonts w:cs="Times New Roman"/>
        </w:rPr>
        <w:tab/>
      </w:r>
      <w:r w:rsidR="0083129F">
        <w:rPr>
          <w:rFonts w:cs="Times New Roman"/>
        </w:rPr>
        <w:t xml:space="preserve">In addition to Michel, </w:t>
      </w:r>
      <w:r w:rsidR="0083129F">
        <w:rPr>
          <w:rFonts w:cs="Times New Roman"/>
          <w:i/>
        </w:rPr>
        <w:t>GCN</w:t>
      </w:r>
      <w:r w:rsidR="0083129F">
        <w:rPr>
          <w:rFonts w:cs="Times New Roman"/>
        </w:rPr>
        <w:t xml:space="preserve"> writer Phillip Brian Harper also spoke to the problems associated with comparisons between gay rights and civil rights in a letter published in </w:t>
      </w:r>
      <w:r w:rsidR="0083129F">
        <w:rPr>
          <w:rFonts w:cs="Times New Roman"/>
          <w:i/>
        </w:rPr>
        <w:t>GCN</w:t>
      </w:r>
      <w:r w:rsidR="0083129F">
        <w:rPr>
          <w:rFonts w:cs="Times New Roman"/>
        </w:rPr>
        <w:t xml:space="preserve">’s </w:t>
      </w:r>
      <w:r w:rsidR="0083129F">
        <w:rPr>
          <w:rFonts w:cs="Times New Roman"/>
          <w:i/>
        </w:rPr>
        <w:t>Speaking Out</w:t>
      </w:r>
      <w:r w:rsidR="0083129F">
        <w:rPr>
          <w:rFonts w:cs="Times New Roman"/>
        </w:rPr>
        <w:t xml:space="preserve"> column on April 2, 1980, entitled “Lesbians and gay men of color speak out!”  According to Harper:</w:t>
      </w:r>
    </w:p>
    <w:p w14:paraId="221CD384" w14:textId="77777777" w:rsidR="0083129F" w:rsidRDefault="0083129F" w:rsidP="006251FD">
      <w:pPr>
        <w:ind w:left="720"/>
        <w:rPr>
          <w:rFonts w:cs="Times New Roman"/>
        </w:rPr>
      </w:pPr>
      <w:r>
        <w:rPr>
          <w:rFonts w:cs="Times New Roman"/>
        </w:rPr>
        <w:t xml:space="preserve">“To the extent that the lesbian and gay movement is concerning legal protections for the </w:t>
      </w:r>
      <w:r w:rsidRPr="00406853">
        <w:rPr>
          <w:rFonts w:cs="Times New Roman"/>
        </w:rPr>
        <w:t>rights</w:t>
      </w:r>
      <w:r>
        <w:rPr>
          <w:rFonts w:cs="Times New Roman"/>
        </w:rPr>
        <w:t xml:space="preserve"> of lesbian and gay men – and to my mind this should only be one of its objectives – it has an affinity with the black civil rights movement of the 1950s and 1960s.... For all its usefulness, however, the comparison of the gay and lesbian struggle to the fight for black civil </w:t>
      </w:r>
      <w:r w:rsidRPr="00406853">
        <w:rPr>
          <w:rFonts w:cs="Times New Roman"/>
        </w:rPr>
        <w:t>rights</w:t>
      </w:r>
      <w:r>
        <w:rPr>
          <w:rFonts w:cs="Times New Roman"/>
        </w:rPr>
        <w:t xml:space="preserve"> has often been problematic, to the detriment of coalition building between the two communities, and much to the chagrin of those whose interests encompass both movements.”</w:t>
      </w:r>
    </w:p>
    <w:p w14:paraId="7369604F" w14:textId="77777777" w:rsidR="006251FD" w:rsidRDefault="006251FD" w:rsidP="006251FD">
      <w:pPr>
        <w:ind w:left="720"/>
        <w:rPr>
          <w:rFonts w:cs="Times New Roman"/>
        </w:rPr>
      </w:pPr>
    </w:p>
    <w:p w14:paraId="30A639BB" w14:textId="74F7C067" w:rsidR="0083129F" w:rsidRPr="0083129F" w:rsidRDefault="0083129F" w:rsidP="0083129F">
      <w:pPr>
        <w:spacing w:line="480" w:lineRule="auto"/>
        <w:rPr>
          <w:rFonts w:cs="Times New Roman"/>
        </w:rPr>
      </w:pPr>
      <w:r>
        <w:rPr>
          <w:rFonts w:cs="Times New Roman"/>
        </w:rPr>
        <w:t xml:space="preserve">Here, </w:t>
      </w:r>
      <w:r w:rsidR="00C57EC3">
        <w:rPr>
          <w:rFonts w:cs="Times New Roman"/>
        </w:rPr>
        <w:t>Harper attaches</w:t>
      </w:r>
      <w:r>
        <w:rPr>
          <w:rFonts w:cs="Times New Roman"/>
        </w:rPr>
        <w:t xml:space="preserve"> rights language to a discussion of the problems with comparisons between the </w:t>
      </w:r>
      <w:r w:rsidR="00BB6B31">
        <w:rPr>
          <w:rFonts w:cs="Times New Roman"/>
        </w:rPr>
        <w:t>LGBTQ</w:t>
      </w:r>
      <w:r>
        <w:rPr>
          <w:rFonts w:cs="Times New Roman"/>
        </w:rPr>
        <w:t xml:space="preserve"> Rights and the Civil Rights Movements.  Furthermore, Harper’s last sentence hints at an increasing </w:t>
      </w:r>
      <w:r w:rsidR="007F7753">
        <w:rPr>
          <w:rFonts w:cs="Times New Roman"/>
        </w:rPr>
        <w:t xml:space="preserve">marginalization </w:t>
      </w:r>
      <w:r>
        <w:rPr>
          <w:rFonts w:cs="Times New Roman"/>
        </w:rPr>
        <w:t xml:space="preserve">experienced by </w:t>
      </w:r>
      <w:r w:rsidR="00BB6B31">
        <w:rPr>
          <w:rFonts w:cs="Times New Roman"/>
        </w:rPr>
        <w:t>LGBTQ</w:t>
      </w:r>
      <w:r>
        <w:rPr>
          <w:rFonts w:cs="Times New Roman"/>
        </w:rPr>
        <w:t xml:space="preserve"> </w:t>
      </w:r>
      <w:r w:rsidR="00684F33">
        <w:rPr>
          <w:rFonts w:cs="Times New Roman"/>
        </w:rPr>
        <w:t>people</w:t>
      </w:r>
      <w:r>
        <w:rPr>
          <w:rFonts w:cs="Times New Roman"/>
        </w:rPr>
        <w:t xml:space="preserve"> of color whose identities spoke to both movements.</w:t>
      </w:r>
    </w:p>
    <w:p w14:paraId="77CA23B7" w14:textId="325BBE39" w:rsidR="007D1958" w:rsidRDefault="00C00C09" w:rsidP="00D707C8">
      <w:pPr>
        <w:spacing w:line="480" w:lineRule="auto"/>
        <w:rPr>
          <w:rFonts w:cs="Times New Roman"/>
        </w:rPr>
      </w:pPr>
      <w:r>
        <w:rPr>
          <w:rFonts w:cs="Times New Roman"/>
        </w:rPr>
        <w:tab/>
        <w:t xml:space="preserve">The tension described above is indicative of a growing </w:t>
      </w:r>
      <w:r w:rsidR="00952EBC">
        <w:rPr>
          <w:rFonts w:cs="Times New Roman"/>
        </w:rPr>
        <w:t xml:space="preserve">racial </w:t>
      </w:r>
      <w:r>
        <w:rPr>
          <w:rFonts w:cs="Times New Roman"/>
        </w:rPr>
        <w:t xml:space="preserve">divide within the </w:t>
      </w:r>
      <w:r w:rsidR="00BB6B31">
        <w:rPr>
          <w:rFonts w:cs="Times New Roman"/>
        </w:rPr>
        <w:t>LGBTQ</w:t>
      </w:r>
      <w:r>
        <w:rPr>
          <w:rFonts w:cs="Times New Roman"/>
        </w:rPr>
        <w:t xml:space="preserve"> </w:t>
      </w:r>
      <w:r w:rsidR="00684F33">
        <w:rPr>
          <w:rFonts w:cs="Times New Roman"/>
        </w:rPr>
        <w:t>population</w:t>
      </w:r>
      <w:r w:rsidR="00952EBC">
        <w:rPr>
          <w:rFonts w:cs="Times New Roman"/>
        </w:rPr>
        <w:t xml:space="preserve">.  Many of the </w:t>
      </w:r>
      <w:r w:rsidR="00BB6B31">
        <w:rPr>
          <w:rFonts w:cs="Times New Roman"/>
        </w:rPr>
        <w:t>LGBTQ</w:t>
      </w:r>
      <w:r w:rsidR="00952EBC">
        <w:rPr>
          <w:rFonts w:cs="Times New Roman"/>
        </w:rPr>
        <w:t xml:space="preserve"> community’s most prominent activist leaders where white in the 1980s, resulting in the marginalization of issues impacting </w:t>
      </w:r>
      <w:r w:rsidR="00BB6B31">
        <w:rPr>
          <w:rFonts w:cs="Times New Roman"/>
        </w:rPr>
        <w:t>LGBTQ</w:t>
      </w:r>
      <w:r w:rsidR="00952EBC">
        <w:rPr>
          <w:rFonts w:cs="Times New Roman"/>
        </w:rPr>
        <w:t xml:space="preserve"> racial minorities.  In fact, </w:t>
      </w:r>
      <w:r w:rsidR="00952EBC">
        <w:rPr>
          <w:rFonts w:cs="Times New Roman"/>
          <w:i/>
        </w:rPr>
        <w:t>GCN</w:t>
      </w:r>
      <w:r w:rsidR="00952EBC">
        <w:rPr>
          <w:rFonts w:cs="Times New Roman"/>
        </w:rPr>
        <w:t xml:space="preserve">’s editorial staff and reader base was primarily white (Rofes, 2001).  </w:t>
      </w:r>
      <w:r w:rsidR="00684F33">
        <w:rPr>
          <w:rFonts w:cs="Times New Roman"/>
        </w:rPr>
        <w:t>LGBTQ</w:t>
      </w:r>
      <w:r w:rsidR="007C35FF">
        <w:rPr>
          <w:rFonts w:cs="Times New Roman"/>
        </w:rPr>
        <w:t>-identified</w:t>
      </w:r>
      <w:r w:rsidR="00952EBC">
        <w:rPr>
          <w:rFonts w:cs="Times New Roman"/>
        </w:rPr>
        <w:t xml:space="preserve"> people of color occasionally published letters in </w:t>
      </w:r>
      <w:r w:rsidR="00952EBC">
        <w:rPr>
          <w:rFonts w:cs="Times New Roman"/>
          <w:i/>
        </w:rPr>
        <w:t>GCN</w:t>
      </w:r>
      <w:r w:rsidR="00952EBC">
        <w:rPr>
          <w:rFonts w:cs="Times New Roman"/>
        </w:rPr>
        <w:t xml:space="preserve">’s letters to the editor column expressing their grievances with </w:t>
      </w:r>
      <w:r w:rsidR="0083129F">
        <w:rPr>
          <w:rFonts w:cs="Times New Roman"/>
        </w:rPr>
        <w:t xml:space="preserve">the </w:t>
      </w:r>
      <w:r w:rsidR="00BB6B31">
        <w:rPr>
          <w:rFonts w:cs="Times New Roman"/>
        </w:rPr>
        <w:t>LGBTQ</w:t>
      </w:r>
      <w:r w:rsidR="0083129F">
        <w:rPr>
          <w:rFonts w:cs="Times New Roman"/>
        </w:rPr>
        <w:t xml:space="preserve"> activist movement and its insistence on comparing </w:t>
      </w:r>
      <w:r w:rsidR="00BB6B31">
        <w:rPr>
          <w:rFonts w:cs="Times New Roman"/>
        </w:rPr>
        <w:t>LGBTQ</w:t>
      </w:r>
      <w:r w:rsidR="0083129F">
        <w:rPr>
          <w:rFonts w:cs="Times New Roman"/>
        </w:rPr>
        <w:t xml:space="preserve"> rights to racial struggles for rights in the Civil Rights Movement.  Ultimately, many of these grievances would become the impetus </w:t>
      </w:r>
      <w:r w:rsidR="00684811">
        <w:rPr>
          <w:rFonts w:cs="Times New Roman"/>
        </w:rPr>
        <w:t>for</w:t>
      </w:r>
      <w:r w:rsidR="0083129F">
        <w:rPr>
          <w:rFonts w:cs="Times New Roman"/>
        </w:rPr>
        <w:t xml:space="preserve"> an intersectional critique of the </w:t>
      </w:r>
      <w:r w:rsidR="00BB6B31">
        <w:rPr>
          <w:rFonts w:cs="Times New Roman"/>
        </w:rPr>
        <w:t>LGBTQ</w:t>
      </w:r>
      <w:r w:rsidR="0083129F">
        <w:rPr>
          <w:rFonts w:cs="Times New Roman"/>
        </w:rPr>
        <w:t xml:space="preserve"> movement (Hutchinson, 2000).</w:t>
      </w:r>
    </w:p>
    <w:p w14:paraId="015D6D08" w14:textId="675BB2DC" w:rsidR="00156CAA" w:rsidRDefault="007D1958" w:rsidP="00D707C8">
      <w:pPr>
        <w:spacing w:line="480" w:lineRule="auto"/>
        <w:rPr>
          <w:rFonts w:cs="Times New Roman"/>
        </w:rPr>
      </w:pPr>
      <w:r>
        <w:rPr>
          <w:rFonts w:cs="Times New Roman"/>
        </w:rPr>
        <w:tab/>
        <w:t xml:space="preserve">The use of rights talk in comparisons of LGBTQ and racial minority struggles is interesting because it demonstrates that right talk is transcendent: rights talk is not limited to a specific minority groups’ struggles or collective interests.  As a result, rights talk </w:t>
      </w:r>
      <w:r w:rsidR="007466D5">
        <w:rPr>
          <w:rFonts w:cs="Times New Roman"/>
        </w:rPr>
        <w:t>may serve as an adaptable tool for social movement mobilization that does not constrain the variety of issues available to communities that strive to achieve social change.</w:t>
      </w:r>
      <w:r>
        <w:rPr>
          <w:rFonts w:cs="Times New Roman"/>
        </w:rPr>
        <w:t xml:space="preserve"> </w:t>
      </w:r>
      <w:r w:rsidR="0083129F">
        <w:rPr>
          <w:rFonts w:cs="Times New Roman"/>
        </w:rPr>
        <w:t xml:space="preserve">  </w:t>
      </w:r>
      <w:r w:rsidR="00952EBC">
        <w:rPr>
          <w:rFonts w:cs="Times New Roman"/>
        </w:rPr>
        <w:t xml:space="preserve">   </w:t>
      </w:r>
      <w:r w:rsidR="00156CAA">
        <w:rPr>
          <w:rFonts w:cs="Times New Roman"/>
        </w:rPr>
        <w:t xml:space="preserve"> </w:t>
      </w:r>
    </w:p>
    <w:p w14:paraId="7CF90F24" w14:textId="0742126E" w:rsidR="00133D93" w:rsidRPr="00133D93" w:rsidRDefault="00D707C8" w:rsidP="00D707C8">
      <w:pPr>
        <w:spacing w:line="480" w:lineRule="auto"/>
        <w:rPr>
          <w:rFonts w:cs="Times New Roman"/>
          <w:b/>
        </w:rPr>
      </w:pPr>
      <w:r>
        <w:rPr>
          <w:rFonts w:cs="Times New Roman"/>
        </w:rPr>
        <w:tab/>
      </w:r>
      <w:r w:rsidR="00133D93">
        <w:rPr>
          <w:rFonts w:cs="Times New Roman"/>
          <w:b/>
        </w:rPr>
        <w:t>iii. Rights Talk in Political Campaigns</w:t>
      </w:r>
    </w:p>
    <w:p w14:paraId="4F633110" w14:textId="4ECF6324" w:rsidR="00D2193A" w:rsidRDefault="00133D93" w:rsidP="00D707C8">
      <w:pPr>
        <w:spacing w:line="480" w:lineRule="auto"/>
        <w:rPr>
          <w:rFonts w:cs="Times New Roman"/>
        </w:rPr>
      </w:pPr>
      <w:r>
        <w:rPr>
          <w:rFonts w:cs="Times New Roman"/>
        </w:rPr>
        <w:tab/>
      </w:r>
      <w:r w:rsidR="00D707C8">
        <w:rPr>
          <w:rFonts w:cs="Times New Roman"/>
        </w:rPr>
        <w:t>In addition to the rights talk that</w:t>
      </w:r>
      <w:r w:rsidR="008C7201">
        <w:rPr>
          <w:rFonts w:cs="Times New Roman"/>
        </w:rPr>
        <w:t xml:space="preserve"> appeared</w:t>
      </w:r>
      <w:r w:rsidR="00D707C8">
        <w:rPr>
          <w:rFonts w:cs="Times New Roman"/>
        </w:rPr>
        <w:t xml:space="preserve"> in </w:t>
      </w:r>
      <w:r w:rsidR="00D707C8" w:rsidRPr="00D707C8">
        <w:rPr>
          <w:rFonts w:cs="Times New Roman"/>
          <w:i/>
        </w:rPr>
        <w:t>GCN</w:t>
      </w:r>
      <w:r w:rsidR="00D707C8">
        <w:rPr>
          <w:rFonts w:cs="Times New Roman"/>
        </w:rPr>
        <w:t xml:space="preserve"> on both sides of the same issue or in letters comparing different struggles for social change, r</w:t>
      </w:r>
      <w:r w:rsidR="00D707C8" w:rsidRPr="00D707C8">
        <w:rPr>
          <w:rFonts w:cs="Times New Roman"/>
        </w:rPr>
        <w:t>ights</w:t>
      </w:r>
      <w:r w:rsidR="00D707C8">
        <w:rPr>
          <w:rFonts w:cs="Times New Roman"/>
        </w:rPr>
        <w:t xml:space="preserve"> talk </w:t>
      </w:r>
      <w:r w:rsidR="008C7201">
        <w:rPr>
          <w:rFonts w:cs="Times New Roman"/>
        </w:rPr>
        <w:t>occurred</w:t>
      </w:r>
      <w:r w:rsidR="00D707C8">
        <w:rPr>
          <w:rFonts w:cs="Times New Roman"/>
        </w:rPr>
        <w:t xml:space="preserve"> most frequently in letters that generally discussed political candidates, legislation, </w:t>
      </w:r>
      <w:r w:rsidR="00BB6B31">
        <w:rPr>
          <w:rFonts w:cs="Times New Roman"/>
        </w:rPr>
        <w:t>LGBTQ</w:t>
      </w:r>
      <w:r w:rsidR="008C7201">
        <w:rPr>
          <w:rFonts w:cs="Times New Roman"/>
        </w:rPr>
        <w:t xml:space="preserve"> movement</w:t>
      </w:r>
      <w:r w:rsidR="001F3091">
        <w:rPr>
          <w:rFonts w:cs="Times New Roman"/>
        </w:rPr>
        <w:t xml:space="preserve"> activities and direction</w:t>
      </w:r>
      <w:r w:rsidR="00D707C8">
        <w:rPr>
          <w:rFonts w:cs="Times New Roman"/>
        </w:rPr>
        <w:t>, and protests.  Because 1980, 1984, and 1988 were election years letters</w:t>
      </w:r>
      <w:r w:rsidR="001F3091">
        <w:rPr>
          <w:rFonts w:cs="Times New Roman"/>
        </w:rPr>
        <w:t>,</w:t>
      </w:r>
      <w:r w:rsidR="00D707C8">
        <w:rPr>
          <w:rFonts w:cs="Times New Roman"/>
        </w:rPr>
        <w:t xml:space="preserve"> in the October and November issues in each year </w:t>
      </w:r>
      <w:r w:rsidR="001F3091">
        <w:rPr>
          <w:rFonts w:cs="Times New Roman"/>
        </w:rPr>
        <w:t xml:space="preserve">letters to the editor writers </w:t>
      </w:r>
      <w:r w:rsidR="00D707C8">
        <w:rPr>
          <w:rFonts w:cs="Times New Roman"/>
        </w:rPr>
        <w:t>use</w:t>
      </w:r>
      <w:r w:rsidR="00B51F20">
        <w:rPr>
          <w:rFonts w:cs="Times New Roman"/>
        </w:rPr>
        <w:t>d</w:t>
      </w:r>
      <w:r w:rsidR="00D707C8">
        <w:rPr>
          <w:rFonts w:cs="Times New Roman"/>
        </w:rPr>
        <w:t xml:space="preserve"> rights talk in order to encourage </w:t>
      </w:r>
      <w:r w:rsidR="00D707C8">
        <w:rPr>
          <w:rFonts w:cs="Times New Roman"/>
          <w:i/>
        </w:rPr>
        <w:t>GCN</w:t>
      </w:r>
      <w:r w:rsidR="00D707C8">
        <w:rPr>
          <w:rFonts w:cs="Times New Roman"/>
        </w:rPr>
        <w:t xml:space="preserve"> readers to vote for and against </w:t>
      </w:r>
      <w:r w:rsidR="00B51F20">
        <w:rPr>
          <w:rFonts w:cs="Times New Roman"/>
        </w:rPr>
        <w:t>varying</w:t>
      </w:r>
      <w:r w:rsidR="00D707C8">
        <w:rPr>
          <w:rFonts w:cs="Times New Roman"/>
        </w:rPr>
        <w:t xml:space="preserve"> political candidates</w:t>
      </w:r>
      <w:r w:rsidR="00D2193A">
        <w:rPr>
          <w:rFonts w:cs="Times New Roman"/>
        </w:rPr>
        <w:t xml:space="preserve"> or party platforms</w:t>
      </w:r>
      <w:r w:rsidR="00D707C8">
        <w:rPr>
          <w:rFonts w:cs="Times New Roman"/>
        </w:rPr>
        <w:t xml:space="preserve">. </w:t>
      </w:r>
      <w:r w:rsidR="00D2193A">
        <w:rPr>
          <w:rFonts w:cs="Times New Roman"/>
        </w:rPr>
        <w:t xml:space="preserve"> </w:t>
      </w:r>
      <w:r w:rsidR="001F3091">
        <w:rPr>
          <w:rFonts w:cs="Times New Roman"/>
        </w:rPr>
        <w:t>For instance, i</w:t>
      </w:r>
      <w:r w:rsidR="00D2193A">
        <w:rPr>
          <w:rFonts w:cs="Times New Roman"/>
        </w:rPr>
        <w:t xml:space="preserve">n a </w:t>
      </w:r>
      <w:r w:rsidR="00D2193A">
        <w:rPr>
          <w:rFonts w:cs="Times New Roman"/>
          <w:i/>
        </w:rPr>
        <w:t>Speaking Out</w:t>
      </w:r>
      <w:r w:rsidR="00D2193A">
        <w:rPr>
          <w:rFonts w:cs="Times New Roman"/>
        </w:rPr>
        <w:t xml:space="preserve"> letter published on November 1, 1980, Jill Raymond used rights talk while arguing for the creation of a third party:</w:t>
      </w:r>
    </w:p>
    <w:p w14:paraId="2CA0B64E" w14:textId="2C7E8EB3" w:rsidR="006251FD" w:rsidRDefault="00D2193A" w:rsidP="006251FD">
      <w:pPr>
        <w:ind w:left="720"/>
        <w:rPr>
          <w:rFonts w:cs="Times New Roman"/>
        </w:rPr>
      </w:pPr>
      <w:r>
        <w:rPr>
          <w:rFonts w:cs="Times New Roman"/>
        </w:rPr>
        <w:t xml:space="preserve">“Alternative voting moves against the increasingly vulnerable two-party monopoly on the electoral system.  In the long run, I think it is a necessary early step towards serious political change, justice, peace, and human </w:t>
      </w:r>
      <w:r w:rsidRPr="00406853">
        <w:rPr>
          <w:rFonts w:cs="Times New Roman"/>
        </w:rPr>
        <w:t>rights</w:t>
      </w:r>
      <w:r>
        <w:rPr>
          <w:rFonts w:cs="Times New Roman"/>
        </w:rPr>
        <w:t>.  One way to stop the rightward drift in this country of both the Democrats and Republicans is to build a mass-based party on the Left.”</w:t>
      </w:r>
    </w:p>
    <w:p w14:paraId="0E3543FE" w14:textId="77777777" w:rsidR="006251FD" w:rsidRDefault="006251FD" w:rsidP="006251FD">
      <w:pPr>
        <w:ind w:left="720"/>
        <w:rPr>
          <w:rFonts w:cs="Times New Roman"/>
        </w:rPr>
      </w:pPr>
    </w:p>
    <w:p w14:paraId="39C645D5" w14:textId="77777777" w:rsidR="00D2193A" w:rsidRDefault="00D2193A" w:rsidP="00D2193A">
      <w:pPr>
        <w:spacing w:line="480" w:lineRule="auto"/>
        <w:rPr>
          <w:rFonts w:cs="Times New Roman"/>
        </w:rPr>
      </w:pPr>
      <w:r>
        <w:rPr>
          <w:rFonts w:cs="Times New Roman"/>
        </w:rPr>
        <w:t xml:space="preserve">Similarly, in a letter published in </w:t>
      </w:r>
      <w:r>
        <w:rPr>
          <w:rFonts w:cs="Times New Roman"/>
          <w:i/>
        </w:rPr>
        <w:t>Community Voices</w:t>
      </w:r>
      <w:r>
        <w:rPr>
          <w:rFonts w:cs="Times New Roman"/>
        </w:rPr>
        <w:t xml:space="preserve"> on October 6, 1984, Melissa Fisher used rights talk in order to encourage readers to vote for the Independent Party candidates Dennis Serrette and Nancy Ross:</w:t>
      </w:r>
    </w:p>
    <w:p w14:paraId="3F810FEB" w14:textId="43E98A4C" w:rsidR="00D2193A" w:rsidRDefault="00D2193A" w:rsidP="006251FD">
      <w:pPr>
        <w:ind w:left="720"/>
        <w:rPr>
          <w:rFonts w:cs="Times New Roman"/>
        </w:rPr>
      </w:pPr>
      <w:r>
        <w:rPr>
          <w:rFonts w:cs="Times New Roman"/>
        </w:rPr>
        <w:t xml:space="preserve">“My growing dissatisfaction with the two party system and their representation of gays &amp; lesbians, and women, has led me to seek alternatives.  This is a serious time in history.  The Democrats &amp; Republicans have not passed gay </w:t>
      </w:r>
      <w:r w:rsidRPr="00406853">
        <w:rPr>
          <w:rFonts w:cs="Times New Roman"/>
        </w:rPr>
        <w:t>rights</w:t>
      </w:r>
      <w:r>
        <w:rPr>
          <w:rFonts w:cs="Times New Roman"/>
        </w:rPr>
        <w:t xml:space="preserve"> legislation or </w:t>
      </w:r>
      <w:r w:rsidRPr="009F0B0B">
        <w:rPr>
          <w:rFonts w:cs="Times New Roman"/>
        </w:rPr>
        <w:t>ERA</w:t>
      </w:r>
      <w:r w:rsidR="007466D5">
        <w:rPr>
          <w:rFonts w:cs="Times New Roman"/>
        </w:rPr>
        <w:t xml:space="preserve"> [Equal Rights Amendment]</w:t>
      </w:r>
      <w:r>
        <w:rPr>
          <w:rFonts w:cs="Times New Roman"/>
        </w:rPr>
        <w:t>, or provided adequate jobs or daycare centers.  Now we have an alternative.”</w:t>
      </w:r>
    </w:p>
    <w:p w14:paraId="2C7E2E62" w14:textId="77777777" w:rsidR="006251FD" w:rsidRDefault="006251FD" w:rsidP="006251FD">
      <w:pPr>
        <w:ind w:left="720"/>
        <w:rPr>
          <w:rFonts w:cs="Times New Roman"/>
        </w:rPr>
      </w:pPr>
    </w:p>
    <w:p w14:paraId="1D805FDB" w14:textId="7A0D8DF6" w:rsidR="008E62A3" w:rsidRDefault="001F3091" w:rsidP="001F3091">
      <w:pPr>
        <w:spacing w:line="480" w:lineRule="auto"/>
        <w:rPr>
          <w:rFonts w:cs="Times New Roman"/>
        </w:rPr>
      </w:pPr>
      <w:r>
        <w:rPr>
          <w:rFonts w:cs="Times New Roman"/>
        </w:rPr>
        <w:t xml:space="preserve">As each of these letters demonstrate, many in </w:t>
      </w:r>
      <w:r w:rsidR="00BB6B31">
        <w:rPr>
          <w:rFonts w:cs="Times New Roman"/>
        </w:rPr>
        <w:t>LGBTQ</w:t>
      </w:r>
      <w:r>
        <w:rPr>
          <w:rFonts w:cs="Times New Roman"/>
        </w:rPr>
        <w:t xml:space="preserve"> </w:t>
      </w:r>
      <w:r w:rsidR="00BB2C4B">
        <w:rPr>
          <w:rFonts w:cs="Times New Roman"/>
        </w:rPr>
        <w:t>people</w:t>
      </w:r>
      <w:r>
        <w:rPr>
          <w:rFonts w:cs="Times New Roman"/>
        </w:rPr>
        <w:t xml:space="preserve"> in the 1980s believed that their issues and interests were being entirely ignored by the Democratic and Republican parties, and rightly so.  Throughout the 1980s, the Republican Party, the New Right and the Moral Majority actively campaigned against </w:t>
      </w:r>
      <w:r w:rsidR="00BB6B31">
        <w:rPr>
          <w:rFonts w:cs="Times New Roman"/>
        </w:rPr>
        <w:t>LGBTQ</w:t>
      </w:r>
      <w:r>
        <w:rPr>
          <w:rFonts w:cs="Times New Roman"/>
        </w:rPr>
        <w:t xml:space="preserve"> issues.  President </w:t>
      </w:r>
      <w:r w:rsidR="00B65828">
        <w:rPr>
          <w:rFonts w:cs="Times New Roman"/>
        </w:rPr>
        <w:t xml:space="preserve">Ronald </w:t>
      </w:r>
      <w:r>
        <w:rPr>
          <w:rFonts w:cs="Times New Roman"/>
        </w:rPr>
        <w:t>Reagan</w:t>
      </w:r>
      <w:r w:rsidR="00B65828">
        <w:rPr>
          <w:rFonts w:cs="Times New Roman"/>
        </w:rPr>
        <w:t>,</w:t>
      </w:r>
      <w:r>
        <w:rPr>
          <w:rFonts w:cs="Times New Roman"/>
        </w:rPr>
        <w:t xml:space="preserve"> further</w:t>
      </w:r>
      <w:r w:rsidR="00B65828">
        <w:rPr>
          <w:rFonts w:cs="Times New Roman"/>
        </w:rPr>
        <w:t>more,</w:t>
      </w:r>
      <w:r>
        <w:rPr>
          <w:rFonts w:cs="Times New Roman"/>
        </w:rPr>
        <w:t xml:space="preserve"> did </w:t>
      </w:r>
      <w:r w:rsidR="00B65828">
        <w:rPr>
          <w:rFonts w:cs="Times New Roman"/>
        </w:rPr>
        <w:t>not publicly refer to the AIDS e</w:t>
      </w:r>
      <w:r>
        <w:rPr>
          <w:rFonts w:cs="Times New Roman"/>
        </w:rPr>
        <w:t>pidemic until 1985, after more than 12,000 individuals had already died from the disease (</w:t>
      </w:r>
      <w:r w:rsidR="00546FEC">
        <w:rPr>
          <w:rFonts w:cs="Times New Roman"/>
        </w:rPr>
        <w:t xml:space="preserve">Eaklor, 2008, p. 175).   </w:t>
      </w:r>
    </w:p>
    <w:p w14:paraId="28E6C66A" w14:textId="674CCE09" w:rsidR="001F3091" w:rsidRPr="008E62A3" w:rsidRDefault="008E62A3" w:rsidP="001F3091">
      <w:pPr>
        <w:spacing w:line="480" w:lineRule="auto"/>
        <w:rPr>
          <w:rFonts w:cs="Times New Roman"/>
        </w:rPr>
      </w:pPr>
      <w:r>
        <w:rPr>
          <w:rFonts w:cs="Times New Roman"/>
        </w:rPr>
        <w:tab/>
      </w:r>
      <w:r w:rsidR="00546FEC">
        <w:rPr>
          <w:rFonts w:cs="Times New Roman"/>
        </w:rPr>
        <w:t xml:space="preserve">Many </w:t>
      </w:r>
      <w:r w:rsidR="00BB6B31">
        <w:rPr>
          <w:rFonts w:cs="Times New Roman"/>
        </w:rPr>
        <w:t>LGBTQ</w:t>
      </w:r>
      <w:r w:rsidR="00B65828">
        <w:rPr>
          <w:rFonts w:cs="Times New Roman"/>
        </w:rPr>
        <w:t>-identified</w:t>
      </w:r>
      <w:r w:rsidR="00546FEC">
        <w:rPr>
          <w:rFonts w:cs="Times New Roman"/>
        </w:rPr>
        <w:t xml:space="preserve"> </w:t>
      </w:r>
      <w:r w:rsidR="00BB2C4B">
        <w:rPr>
          <w:rFonts w:cs="Times New Roman"/>
        </w:rPr>
        <w:t>persons</w:t>
      </w:r>
      <w:r w:rsidR="00546FEC">
        <w:rPr>
          <w:rFonts w:cs="Times New Roman"/>
        </w:rPr>
        <w:t xml:space="preserve"> were equally disillusioned by the Democratic Party, which refused to adopted gay rights into its party platform and, in 1988, selected Michael Dukakis as its presidential candidate, whose </w:t>
      </w:r>
      <w:r w:rsidR="009F0B0B">
        <w:rPr>
          <w:rFonts w:cs="Times New Roman"/>
        </w:rPr>
        <w:t>ambivalent</w:t>
      </w:r>
      <w:r w:rsidR="00546FEC">
        <w:rPr>
          <w:rFonts w:cs="Times New Roman"/>
        </w:rPr>
        <w:t xml:space="preserve"> stance on gay rights both included the “removal of two children from the care of gay foster parents” in 1985 and </w:t>
      </w:r>
      <w:r>
        <w:rPr>
          <w:rFonts w:cs="Times New Roman"/>
        </w:rPr>
        <w:t xml:space="preserve">an active courting of the gay vote during the Massachusetts governor’s race in the 1970s </w:t>
      </w:r>
      <w:r w:rsidR="00546FEC">
        <w:rPr>
          <w:rFonts w:cs="Times New Roman"/>
        </w:rPr>
        <w:t>(Califia, 1994, p. 277;</w:t>
      </w:r>
      <w:r>
        <w:rPr>
          <w:rFonts w:cs="Times New Roman"/>
        </w:rPr>
        <w:t xml:space="preserve"> Clendinen &amp; Nagourney, p. 223).</w:t>
      </w:r>
      <w:r>
        <w:rPr>
          <w:rStyle w:val="FootnoteReference"/>
          <w:rFonts w:cs="Times New Roman"/>
        </w:rPr>
        <w:footnoteReference w:id="5"/>
      </w:r>
      <w:r w:rsidR="00546FEC">
        <w:rPr>
          <w:rFonts w:cs="Times New Roman"/>
        </w:rPr>
        <w:t xml:space="preserve"> </w:t>
      </w:r>
      <w:r>
        <w:rPr>
          <w:rFonts w:cs="Times New Roman"/>
        </w:rPr>
        <w:t xml:space="preserve"> Consequently, </w:t>
      </w:r>
      <w:r>
        <w:rPr>
          <w:rFonts w:cs="Times New Roman"/>
          <w:i/>
        </w:rPr>
        <w:t>GCN</w:t>
      </w:r>
      <w:r>
        <w:rPr>
          <w:rFonts w:cs="Times New Roman"/>
        </w:rPr>
        <w:t xml:space="preserve"> letter writers </w:t>
      </w:r>
      <w:r w:rsidR="00BB2C4B">
        <w:rPr>
          <w:rFonts w:cs="Times New Roman"/>
        </w:rPr>
        <w:t>like</w:t>
      </w:r>
      <w:r>
        <w:rPr>
          <w:rFonts w:cs="Times New Roman"/>
        </w:rPr>
        <w:t xml:space="preserve"> Raymond and Fisher (above) likely advocated for third parties within </w:t>
      </w:r>
      <w:r>
        <w:rPr>
          <w:rFonts w:cs="Times New Roman"/>
          <w:i/>
        </w:rPr>
        <w:t>GCN</w:t>
      </w:r>
      <w:r>
        <w:rPr>
          <w:rFonts w:cs="Times New Roman"/>
        </w:rPr>
        <w:t xml:space="preserve"> in order to attract </w:t>
      </w:r>
      <w:r w:rsidR="00BB6B31">
        <w:rPr>
          <w:rFonts w:cs="Times New Roman"/>
        </w:rPr>
        <w:t>LGBTQ</w:t>
      </w:r>
      <w:r w:rsidR="00B65828">
        <w:rPr>
          <w:rFonts w:cs="Times New Roman"/>
        </w:rPr>
        <w:t>-identified</w:t>
      </w:r>
      <w:r>
        <w:rPr>
          <w:rFonts w:cs="Times New Roman"/>
        </w:rPr>
        <w:t xml:space="preserve"> </w:t>
      </w:r>
      <w:r w:rsidR="00BB2C4B">
        <w:rPr>
          <w:rFonts w:cs="Times New Roman"/>
        </w:rPr>
        <w:t>people</w:t>
      </w:r>
      <w:r>
        <w:rPr>
          <w:rFonts w:cs="Times New Roman"/>
        </w:rPr>
        <w:t xml:space="preserve"> who felt that neither the Republican Party nor the Democratic Party represented their interests.</w:t>
      </w:r>
    </w:p>
    <w:p w14:paraId="1A07B4A6" w14:textId="30A185F9" w:rsidR="00E548E4" w:rsidRDefault="001F3091" w:rsidP="00D2193A">
      <w:pPr>
        <w:spacing w:line="480" w:lineRule="auto"/>
        <w:rPr>
          <w:rFonts w:cs="Times New Roman"/>
        </w:rPr>
      </w:pPr>
      <w:r>
        <w:rPr>
          <w:rFonts w:cs="Times New Roman"/>
        </w:rPr>
        <w:tab/>
      </w:r>
      <w:r w:rsidR="008E62A3">
        <w:rPr>
          <w:rFonts w:cs="Times New Roman"/>
        </w:rPr>
        <w:t xml:space="preserve">While </w:t>
      </w:r>
      <w:r w:rsidR="003F0E19">
        <w:rPr>
          <w:rFonts w:cs="Times New Roman"/>
        </w:rPr>
        <w:t xml:space="preserve">some </w:t>
      </w:r>
      <w:r>
        <w:rPr>
          <w:rFonts w:cs="Times New Roman"/>
          <w:i/>
        </w:rPr>
        <w:t xml:space="preserve">GCN </w:t>
      </w:r>
      <w:r w:rsidR="003F0E19">
        <w:rPr>
          <w:rFonts w:cs="Times New Roman"/>
        </w:rPr>
        <w:t>letters to the editor writers frequently wrote in support of third parties, other letter writers encouraged readers to vote for the Democratic Party</w:t>
      </w:r>
      <w:r w:rsidR="00D2193A">
        <w:rPr>
          <w:rFonts w:cs="Times New Roman"/>
        </w:rPr>
        <w:t>,</w:t>
      </w:r>
      <w:r w:rsidR="003F0E19">
        <w:rPr>
          <w:rFonts w:cs="Times New Roman"/>
        </w:rPr>
        <w:t xml:space="preserve"> which, these writers believed was much less hostile towards </w:t>
      </w:r>
      <w:r w:rsidR="00BB6B31">
        <w:rPr>
          <w:rFonts w:cs="Times New Roman"/>
        </w:rPr>
        <w:t>LGBTQ</w:t>
      </w:r>
      <w:r w:rsidR="003F0E19">
        <w:rPr>
          <w:rFonts w:cs="Times New Roman"/>
        </w:rPr>
        <w:t xml:space="preserve"> interests.  Letter writers also used rights talk while advocating for Democratic Party Candidates in </w:t>
      </w:r>
      <w:r w:rsidR="003F0E19">
        <w:rPr>
          <w:rFonts w:cs="Times New Roman"/>
          <w:i/>
        </w:rPr>
        <w:t>GC</w:t>
      </w:r>
      <w:r w:rsidR="00763FB0">
        <w:rPr>
          <w:rFonts w:cs="Times New Roman"/>
          <w:i/>
        </w:rPr>
        <w:t>N</w:t>
      </w:r>
      <w:r w:rsidR="00763FB0">
        <w:rPr>
          <w:rFonts w:cs="Times New Roman"/>
        </w:rPr>
        <w:t>.  For instance,</w:t>
      </w:r>
      <w:r w:rsidR="00D2193A">
        <w:rPr>
          <w:rFonts w:cs="Times New Roman"/>
        </w:rPr>
        <w:t xml:space="preserve"> </w:t>
      </w:r>
      <w:r w:rsidR="00E548E4">
        <w:rPr>
          <w:rFonts w:cs="Times New Roman"/>
        </w:rPr>
        <w:t xml:space="preserve">in a letter published on November 11th, 1984, Diane Elze criticized Melissa Fisher’s letter encouraging readers to support </w:t>
      </w:r>
      <w:r w:rsidR="00CE70B3">
        <w:rPr>
          <w:rFonts w:cs="Times New Roman"/>
        </w:rPr>
        <w:t>Democratic candidates</w:t>
      </w:r>
      <w:r w:rsidR="00E548E4">
        <w:rPr>
          <w:rFonts w:cs="Times New Roman"/>
        </w:rPr>
        <w:t>, writing that:</w:t>
      </w:r>
    </w:p>
    <w:p w14:paraId="12DF6F3A" w14:textId="500601F3" w:rsidR="00E548E4" w:rsidRDefault="00E548E4" w:rsidP="00E330AA">
      <w:pPr>
        <w:ind w:left="720"/>
        <w:rPr>
          <w:rFonts w:cs="Times New Roman"/>
        </w:rPr>
      </w:pPr>
      <w:r>
        <w:rPr>
          <w:rFonts w:cs="Times New Roman"/>
        </w:rPr>
        <w:t xml:space="preserve">“We </w:t>
      </w:r>
      <w:r>
        <w:rPr>
          <w:rFonts w:cs="Times New Roman"/>
          <w:i/>
        </w:rPr>
        <w:t>must</w:t>
      </w:r>
      <w:r>
        <w:rPr>
          <w:rFonts w:cs="Times New Roman"/>
        </w:rPr>
        <w:t xml:space="preserve"> get rid of Ronald Reagan.  If we don’t vote for Mondale/Ferraro, we are handing votes to Reagan.... We only have a chance if we vote for Mondale/Ferraro.  Certainly, Mondale/Ferraro do not embody our vision of a new world.  But Reagan is a dangerous man.... The fact that he is a primary opponent of reproductive choice is dangerous.  He and his cohorts have effectively weakened or dismantled Title IX, </w:t>
      </w:r>
      <w:r w:rsidR="009E46A3">
        <w:rPr>
          <w:rFonts w:cs="Times New Roman"/>
        </w:rPr>
        <w:t xml:space="preserve">the EEOC, the Civil </w:t>
      </w:r>
      <w:r w:rsidR="009E46A3" w:rsidRPr="00406853">
        <w:rPr>
          <w:rFonts w:cs="Times New Roman"/>
        </w:rPr>
        <w:t>Rights</w:t>
      </w:r>
      <w:r w:rsidR="009E46A3">
        <w:rPr>
          <w:rFonts w:cs="Times New Roman"/>
        </w:rPr>
        <w:t xml:space="preserve"> Commission, and Section 504.  They are dangerous men.”</w:t>
      </w:r>
    </w:p>
    <w:p w14:paraId="1F317C01" w14:textId="77777777" w:rsidR="00E330AA" w:rsidRDefault="00E330AA" w:rsidP="00E330AA">
      <w:pPr>
        <w:ind w:left="720"/>
        <w:rPr>
          <w:rFonts w:cs="Times New Roman"/>
        </w:rPr>
      </w:pPr>
    </w:p>
    <w:p w14:paraId="2FED360B" w14:textId="39C95D5F" w:rsidR="008F76D5" w:rsidRDefault="00E548E4" w:rsidP="00D2193A">
      <w:pPr>
        <w:spacing w:line="480" w:lineRule="auto"/>
        <w:rPr>
          <w:rFonts w:cs="Times New Roman"/>
        </w:rPr>
      </w:pPr>
      <w:r>
        <w:rPr>
          <w:rFonts w:cs="Times New Roman"/>
        </w:rPr>
        <w:t xml:space="preserve">Also, </w:t>
      </w:r>
      <w:r w:rsidR="00D2193A">
        <w:rPr>
          <w:rFonts w:cs="Times New Roman"/>
        </w:rPr>
        <w:t xml:space="preserve">in a letter published in </w:t>
      </w:r>
      <w:r w:rsidR="00D2193A">
        <w:rPr>
          <w:rFonts w:cs="Times New Roman"/>
          <w:i/>
        </w:rPr>
        <w:t>Speaking Out</w:t>
      </w:r>
      <w:r w:rsidR="00D2193A">
        <w:rPr>
          <w:rFonts w:cs="Times New Roman"/>
        </w:rPr>
        <w:t xml:space="preserve"> on November 5, 1988, Terry Cosgrove used rights talk while encouraging readers to vote against George Bush and for Michael Dukakis:</w:t>
      </w:r>
    </w:p>
    <w:p w14:paraId="3C960CF3" w14:textId="77777777" w:rsidR="00B51F20" w:rsidRDefault="00D2193A" w:rsidP="00E330AA">
      <w:pPr>
        <w:ind w:left="720"/>
        <w:rPr>
          <w:rFonts w:cs="Times New Roman"/>
        </w:rPr>
      </w:pPr>
      <w:r>
        <w:rPr>
          <w:rFonts w:cs="Times New Roman"/>
        </w:rPr>
        <w:t xml:space="preserve">“There would be very little doubt in any or our minds that the last seven years in the U.S. have been among the most hostile toward our community in the long and difficult struggle for lesbian and gay </w:t>
      </w:r>
      <w:r w:rsidRPr="009F0B0B">
        <w:rPr>
          <w:rFonts w:cs="Times New Roman"/>
        </w:rPr>
        <w:t>rights</w:t>
      </w:r>
      <w:r>
        <w:rPr>
          <w:rFonts w:cs="Times New Roman"/>
        </w:rPr>
        <w:t xml:space="preserve">.... On November 8th when the polls close, we must know that we did everything possible to ensure that George Bush is not the next president.  We cannot </w:t>
      </w:r>
      <w:r w:rsidR="00B51F20">
        <w:rPr>
          <w:rFonts w:cs="Times New Roman"/>
        </w:rPr>
        <w:t>afford to just vote for Dukakis as some have suggested.... We must talk to every friend, every family member, and every co-worker, explaining that our very lives are on the line with this election.”</w:t>
      </w:r>
    </w:p>
    <w:p w14:paraId="486F078E" w14:textId="77777777" w:rsidR="00E330AA" w:rsidRDefault="00E330AA" w:rsidP="00E330AA">
      <w:pPr>
        <w:ind w:left="720"/>
        <w:rPr>
          <w:rFonts w:cs="Times New Roman"/>
        </w:rPr>
      </w:pPr>
    </w:p>
    <w:p w14:paraId="745F688E" w14:textId="69A802C2" w:rsidR="00B51F20" w:rsidRDefault="00B51F20" w:rsidP="00B51F20">
      <w:pPr>
        <w:spacing w:line="480" w:lineRule="auto"/>
        <w:rPr>
          <w:rFonts w:cs="Times New Roman"/>
        </w:rPr>
      </w:pPr>
      <w:r>
        <w:rPr>
          <w:rFonts w:cs="Times New Roman"/>
        </w:rPr>
        <w:t xml:space="preserve">As the above selections from letters written during the campaign months of 1980, 1984, and 1988 demonstrate, rights talk continued to be an avenue for mobilizing support for different political perspectives in the </w:t>
      </w:r>
      <w:r w:rsidR="00BB6B31">
        <w:rPr>
          <w:rFonts w:cs="Times New Roman"/>
        </w:rPr>
        <w:t>LGBTQ</w:t>
      </w:r>
      <w:r>
        <w:rPr>
          <w:rFonts w:cs="Times New Roman"/>
        </w:rPr>
        <w:t xml:space="preserve"> community throughout the 1980s.</w:t>
      </w:r>
    </w:p>
    <w:p w14:paraId="716B606B" w14:textId="55BD975B" w:rsidR="007466D5" w:rsidRDefault="007466D5" w:rsidP="00B51F20">
      <w:pPr>
        <w:spacing w:line="480" w:lineRule="auto"/>
        <w:rPr>
          <w:rFonts w:cs="Times New Roman"/>
        </w:rPr>
      </w:pPr>
      <w:r>
        <w:rPr>
          <w:rFonts w:cs="Times New Roman"/>
        </w:rPr>
        <w:tab/>
        <w:t>Because rights talk appeared frequently in discussions of political candidates and parties in a general manner, it is clear that rights talk is not limited to discussions of litigation alone.  It appears alongside political activism as well, an alternative method for achieving social change.  Consequently, rights di</w:t>
      </w:r>
      <w:r w:rsidR="009659BF">
        <w:rPr>
          <w:rFonts w:cs="Times New Roman"/>
        </w:rPr>
        <w:t>scourse does not seem to limit minority populations</w:t>
      </w:r>
      <w:r w:rsidR="001C6E24">
        <w:rPr>
          <w:rFonts w:cs="Times New Roman"/>
        </w:rPr>
        <w:t xml:space="preserve"> to rights-based issues that center on litigation campaigns.</w:t>
      </w:r>
      <w:r>
        <w:rPr>
          <w:rFonts w:cs="Times New Roman"/>
        </w:rPr>
        <w:t xml:space="preserve"> </w:t>
      </w:r>
    </w:p>
    <w:p w14:paraId="05AC9A43" w14:textId="1A5D7A7B" w:rsidR="00A079D0" w:rsidRPr="00A079D0" w:rsidRDefault="00A079D0" w:rsidP="00B51F20">
      <w:pPr>
        <w:spacing w:line="480" w:lineRule="auto"/>
        <w:rPr>
          <w:rFonts w:cs="Times New Roman"/>
          <w:b/>
        </w:rPr>
      </w:pPr>
      <w:r>
        <w:rPr>
          <w:rFonts w:cs="Times New Roman"/>
        </w:rPr>
        <w:tab/>
      </w:r>
      <w:r>
        <w:rPr>
          <w:rFonts w:cs="Times New Roman"/>
          <w:b/>
        </w:rPr>
        <w:t>iv. Rights Talk and Emerging and Disappearing Issues</w:t>
      </w:r>
    </w:p>
    <w:p w14:paraId="2104F9B9" w14:textId="4279D86D" w:rsidR="00A27175" w:rsidRDefault="00B51F20" w:rsidP="00B51F20">
      <w:pPr>
        <w:spacing w:line="480" w:lineRule="auto"/>
        <w:rPr>
          <w:rFonts w:cs="Times New Roman"/>
        </w:rPr>
      </w:pPr>
      <w:r>
        <w:rPr>
          <w:rFonts w:cs="Times New Roman"/>
        </w:rPr>
        <w:tab/>
      </w:r>
      <w:r w:rsidR="00254FF8">
        <w:rPr>
          <w:rFonts w:cs="Times New Roman"/>
        </w:rPr>
        <w:t xml:space="preserve"> </w:t>
      </w:r>
      <w:r w:rsidR="003E0C99">
        <w:rPr>
          <w:rFonts w:cs="Times New Roman"/>
        </w:rPr>
        <w:t xml:space="preserve">In addition to appearing on both sides of the same issue, in </w:t>
      </w:r>
      <w:r w:rsidR="00A27175">
        <w:rPr>
          <w:rFonts w:cs="Times New Roman"/>
        </w:rPr>
        <w:t>rights</w:t>
      </w:r>
      <w:r w:rsidR="003E0C99">
        <w:rPr>
          <w:rFonts w:cs="Times New Roman"/>
        </w:rPr>
        <w:t xml:space="preserve"> movement comparisons, and </w:t>
      </w:r>
      <w:r w:rsidR="00A27175">
        <w:rPr>
          <w:rFonts w:cs="Times New Roman"/>
        </w:rPr>
        <w:t xml:space="preserve">in political campaign discussions, rights talk appeared alongside issues as they emerged and disappeared in </w:t>
      </w:r>
      <w:r w:rsidR="00A27175" w:rsidRPr="00A27175">
        <w:rPr>
          <w:rFonts w:cs="Times New Roman"/>
          <w:i/>
        </w:rPr>
        <w:t>GCN</w:t>
      </w:r>
      <w:r w:rsidR="00A27175">
        <w:rPr>
          <w:rFonts w:cs="Times New Roman"/>
        </w:rPr>
        <w:t xml:space="preserve">’s letters. The two issues where the appearance and disappearance of rights talk was most prominent were within </w:t>
      </w:r>
      <w:r w:rsidR="009F0B0B">
        <w:rPr>
          <w:rFonts w:cs="Times New Roman"/>
        </w:rPr>
        <w:t xml:space="preserve">letters on </w:t>
      </w:r>
      <w:r w:rsidR="00A27175">
        <w:rPr>
          <w:rFonts w:cs="Times New Roman"/>
        </w:rPr>
        <w:t xml:space="preserve">general media discussions and letters that addressed the AIDS epidemic, </w:t>
      </w:r>
      <w:r w:rsidR="00BD4933">
        <w:rPr>
          <w:rFonts w:cs="Times New Roman"/>
        </w:rPr>
        <w:t>which</w:t>
      </w:r>
      <w:r w:rsidR="00A27175">
        <w:rPr>
          <w:rFonts w:cs="Times New Roman"/>
        </w:rPr>
        <w:t xml:space="preserve"> had the largest impact in the </w:t>
      </w:r>
      <w:r w:rsidR="00BB6B31">
        <w:rPr>
          <w:rFonts w:cs="Times New Roman"/>
        </w:rPr>
        <w:t>LGBTQ</w:t>
      </w:r>
      <w:r w:rsidR="00A27175">
        <w:rPr>
          <w:rFonts w:cs="Times New Roman"/>
        </w:rPr>
        <w:t xml:space="preserve"> community in the 1980s and beyond.   </w:t>
      </w:r>
    </w:p>
    <w:p w14:paraId="04629B54" w14:textId="05F90C53" w:rsidR="0036391A" w:rsidRDefault="00A27175" w:rsidP="00B51F20">
      <w:pPr>
        <w:spacing w:line="480" w:lineRule="auto"/>
        <w:rPr>
          <w:rFonts w:cs="Times New Roman"/>
        </w:rPr>
      </w:pPr>
      <w:r>
        <w:rPr>
          <w:rFonts w:cs="Times New Roman"/>
        </w:rPr>
        <w:tab/>
        <w:t xml:space="preserve">In 1980, two movies were produced that greatly angered the </w:t>
      </w:r>
      <w:r w:rsidR="00BB6B31">
        <w:rPr>
          <w:rFonts w:cs="Times New Roman"/>
        </w:rPr>
        <w:t>LGBTQ</w:t>
      </w:r>
      <w:r>
        <w:rPr>
          <w:rFonts w:cs="Times New Roman"/>
        </w:rPr>
        <w:t xml:space="preserve"> </w:t>
      </w:r>
      <w:r w:rsidR="00BD4933">
        <w:rPr>
          <w:rFonts w:cs="Times New Roman"/>
        </w:rPr>
        <w:t>population</w:t>
      </w:r>
      <w:r>
        <w:rPr>
          <w:rFonts w:cs="Times New Roman"/>
        </w:rPr>
        <w:t xml:space="preserve"> and resulted in film picketing </w:t>
      </w:r>
      <w:r w:rsidR="001C6E24">
        <w:rPr>
          <w:rFonts w:cs="Times New Roman"/>
        </w:rPr>
        <w:t>protests</w:t>
      </w:r>
      <w:r>
        <w:rPr>
          <w:rFonts w:cs="Times New Roman"/>
        </w:rPr>
        <w:t xml:space="preserve"> modeled off of similar </w:t>
      </w:r>
      <w:r w:rsidR="001C6E24">
        <w:rPr>
          <w:rFonts w:cs="Times New Roman"/>
        </w:rPr>
        <w:t>protests</w:t>
      </w:r>
      <w:r>
        <w:rPr>
          <w:rFonts w:cs="Times New Roman"/>
        </w:rPr>
        <w:t xml:space="preserve"> conducted by those involved in the Women’s Ri</w:t>
      </w:r>
      <w:r w:rsidR="001C6E24">
        <w:rPr>
          <w:rFonts w:cs="Times New Roman"/>
        </w:rPr>
        <w:t xml:space="preserve">ghts Movement.  The first movie, </w:t>
      </w:r>
      <w:r>
        <w:rPr>
          <w:rFonts w:cs="Times New Roman"/>
          <w:i/>
        </w:rPr>
        <w:t xml:space="preserve">Windows, </w:t>
      </w:r>
      <w:r>
        <w:rPr>
          <w:rFonts w:cs="Times New Roman"/>
        </w:rPr>
        <w:t xml:space="preserve">opened in January of 1980 and “portrayed a psychotic lesbian killer who hires a man to rape her best friend with whom she is secretly in love” (Osborn, 1994, p. 197).  The second </w:t>
      </w:r>
      <w:r w:rsidR="001C6E24">
        <w:rPr>
          <w:rFonts w:cs="Times New Roman"/>
        </w:rPr>
        <w:t xml:space="preserve">movie, </w:t>
      </w:r>
      <w:r>
        <w:rPr>
          <w:rFonts w:cs="Times New Roman"/>
          <w:i/>
        </w:rPr>
        <w:t>Cruising</w:t>
      </w:r>
      <w:r w:rsidR="0036391A">
        <w:rPr>
          <w:rFonts w:cs="Times New Roman"/>
        </w:rPr>
        <w:t>,</w:t>
      </w:r>
      <w:r>
        <w:rPr>
          <w:rFonts w:cs="Times New Roman"/>
        </w:rPr>
        <w:t xml:space="preserve"> starred Al Pacino “as an undercover cop seeking a killer of gay men in S&amp;M bars and clubs” (Eaklor, 2008, p. 190).  </w:t>
      </w:r>
      <w:r w:rsidR="0036391A">
        <w:rPr>
          <w:rFonts w:cs="Times New Roman"/>
        </w:rPr>
        <w:t xml:space="preserve">Some </w:t>
      </w:r>
      <w:r w:rsidR="00BB6B31">
        <w:rPr>
          <w:rFonts w:cs="Times New Roman"/>
        </w:rPr>
        <w:t>LGBTQ</w:t>
      </w:r>
      <w:r w:rsidR="00BD4933">
        <w:rPr>
          <w:rFonts w:cs="Times New Roman"/>
        </w:rPr>
        <w:t>-identified</w:t>
      </w:r>
      <w:r>
        <w:rPr>
          <w:rFonts w:cs="Times New Roman"/>
        </w:rPr>
        <w:t xml:space="preserve"> </w:t>
      </w:r>
      <w:r w:rsidR="002621C8">
        <w:rPr>
          <w:rFonts w:cs="Times New Roman"/>
        </w:rPr>
        <w:t>people</w:t>
      </w:r>
      <w:r>
        <w:rPr>
          <w:rFonts w:cs="Times New Roman"/>
        </w:rPr>
        <w:t xml:space="preserve"> who wrote </w:t>
      </w:r>
      <w:r>
        <w:rPr>
          <w:rFonts w:cs="Times New Roman"/>
          <w:i/>
        </w:rPr>
        <w:t>GCN</w:t>
      </w:r>
      <w:r>
        <w:rPr>
          <w:rFonts w:cs="Times New Roman"/>
        </w:rPr>
        <w:t xml:space="preserve"> </w:t>
      </w:r>
      <w:r w:rsidR="0036391A">
        <w:rPr>
          <w:rFonts w:cs="Times New Roman"/>
        </w:rPr>
        <w:t xml:space="preserve">were greatly angered over both films, which they believed portrayed lesbians and gay men as inherently dangerous and deserving of violence.  </w:t>
      </w:r>
    </w:p>
    <w:p w14:paraId="7BBDD87D" w14:textId="5A50C116" w:rsidR="00A27175" w:rsidRDefault="0036391A" w:rsidP="00B51F20">
      <w:pPr>
        <w:spacing w:line="480" w:lineRule="auto"/>
        <w:rPr>
          <w:rFonts w:cs="Times New Roman"/>
        </w:rPr>
      </w:pPr>
      <w:r>
        <w:rPr>
          <w:rFonts w:cs="Times New Roman"/>
        </w:rPr>
        <w:tab/>
        <w:t xml:space="preserve">Other members wrote into </w:t>
      </w:r>
      <w:r>
        <w:rPr>
          <w:rFonts w:cs="Times New Roman"/>
          <w:i/>
        </w:rPr>
        <w:t>GCN</w:t>
      </w:r>
      <w:r>
        <w:rPr>
          <w:rFonts w:cs="Times New Roman"/>
        </w:rPr>
        <w:t xml:space="preserve"> in an attempt to stop the </w:t>
      </w:r>
      <w:r w:rsidR="00BB6B31">
        <w:rPr>
          <w:rFonts w:cs="Times New Roman"/>
        </w:rPr>
        <w:t>LGBTQ</w:t>
      </w:r>
      <w:r>
        <w:rPr>
          <w:rFonts w:cs="Times New Roman"/>
        </w:rPr>
        <w:t xml:space="preserve"> community from protesting the film</w:t>
      </w:r>
      <w:r w:rsidR="001C6E24">
        <w:rPr>
          <w:rFonts w:cs="Times New Roman"/>
        </w:rPr>
        <w:t>s</w:t>
      </w:r>
      <w:r>
        <w:rPr>
          <w:rFonts w:cs="Times New Roman"/>
        </w:rPr>
        <w:t>, and, in doing so, bring the film</w:t>
      </w:r>
      <w:r w:rsidR="001C6E24">
        <w:rPr>
          <w:rFonts w:cs="Times New Roman"/>
        </w:rPr>
        <w:t>s</w:t>
      </w:r>
      <w:r>
        <w:rPr>
          <w:rFonts w:cs="Times New Roman"/>
        </w:rPr>
        <w:t xml:space="preserve"> more publicity.  </w:t>
      </w:r>
      <w:r>
        <w:rPr>
          <w:rFonts w:cs="Times New Roman"/>
          <w:i/>
        </w:rPr>
        <w:t>GCN</w:t>
      </w:r>
      <w:r>
        <w:rPr>
          <w:rFonts w:cs="Times New Roman"/>
        </w:rPr>
        <w:t xml:space="preserve"> letter writer Jay Meryl, in a letter entitled “Lessons from the Past” and published in the February 2nd, 1980 edition of </w:t>
      </w:r>
      <w:r>
        <w:rPr>
          <w:rFonts w:cs="Times New Roman"/>
          <w:i/>
        </w:rPr>
        <w:t>GCN</w:t>
      </w:r>
      <w:r>
        <w:rPr>
          <w:rFonts w:cs="Times New Roman"/>
        </w:rPr>
        <w:t xml:space="preserve"> wrote the following:   </w:t>
      </w:r>
    </w:p>
    <w:p w14:paraId="3C0EA21D" w14:textId="77777777" w:rsidR="0036391A" w:rsidRDefault="0036391A" w:rsidP="00E330AA">
      <w:pPr>
        <w:ind w:left="720"/>
        <w:rPr>
          <w:rFonts w:cs="Times New Roman"/>
        </w:rPr>
      </w:pPr>
      <w:r>
        <w:rPr>
          <w:rFonts w:cs="Times New Roman"/>
        </w:rPr>
        <w:t xml:space="preserve">“As we decide what to do about </w:t>
      </w:r>
      <w:r>
        <w:rPr>
          <w:rFonts w:cs="Times New Roman"/>
          <w:i/>
        </w:rPr>
        <w:t>Cruising</w:t>
      </w:r>
      <w:r>
        <w:rPr>
          <w:rFonts w:cs="Times New Roman"/>
        </w:rPr>
        <w:t xml:space="preserve"> and </w:t>
      </w:r>
      <w:r>
        <w:rPr>
          <w:rFonts w:cs="Times New Roman"/>
          <w:i/>
        </w:rPr>
        <w:t>Windows</w:t>
      </w:r>
      <w:r>
        <w:rPr>
          <w:rFonts w:cs="Times New Roman"/>
        </w:rPr>
        <w:t>, we need to consider the following: will a demonstration outside the theater keep people from going in, or arouse the morbid curiosity of more people?”</w:t>
      </w:r>
    </w:p>
    <w:p w14:paraId="6681C094" w14:textId="77777777" w:rsidR="00E330AA" w:rsidRDefault="00E330AA" w:rsidP="00E330AA">
      <w:pPr>
        <w:ind w:left="720"/>
        <w:rPr>
          <w:rFonts w:cs="Times New Roman"/>
        </w:rPr>
      </w:pPr>
    </w:p>
    <w:p w14:paraId="5D3B2DBB" w14:textId="77777777" w:rsidR="00280CA6" w:rsidRDefault="0036391A" w:rsidP="0036391A">
      <w:pPr>
        <w:spacing w:line="480" w:lineRule="auto"/>
        <w:rPr>
          <w:rFonts w:cs="Times New Roman"/>
        </w:rPr>
      </w:pPr>
      <w:r>
        <w:rPr>
          <w:rFonts w:cs="Times New Roman"/>
        </w:rPr>
        <w:t xml:space="preserve">In this quote, Meryl argues that picketing major films may actually draw more people to attend the films.  </w:t>
      </w:r>
    </w:p>
    <w:p w14:paraId="11E3C046" w14:textId="142BAC94" w:rsidR="0036391A" w:rsidRDefault="00280CA6" w:rsidP="0036391A">
      <w:pPr>
        <w:spacing w:line="480" w:lineRule="auto"/>
        <w:rPr>
          <w:rFonts w:cs="Times New Roman"/>
        </w:rPr>
      </w:pPr>
      <w:r>
        <w:rPr>
          <w:rFonts w:cs="Times New Roman"/>
        </w:rPr>
        <w:tab/>
      </w:r>
      <w:r w:rsidR="0036391A">
        <w:rPr>
          <w:rFonts w:cs="Times New Roman"/>
        </w:rPr>
        <w:t xml:space="preserve">It is important to note that the quote above does not include any rights talk.  In fact, none of the letters that discussed </w:t>
      </w:r>
      <w:r w:rsidR="0036391A">
        <w:rPr>
          <w:rFonts w:cs="Times New Roman"/>
          <w:i/>
        </w:rPr>
        <w:t>Windows</w:t>
      </w:r>
      <w:r w:rsidR="0036391A">
        <w:rPr>
          <w:rFonts w:cs="Times New Roman"/>
        </w:rPr>
        <w:t xml:space="preserve"> and </w:t>
      </w:r>
      <w:r w:rsidR="0036391A">
        <w:rPr>
          <w:rFonts w:cs="Times New Roman"/>
          <w:i/>
        </w:rPr>
        <w:t>Cruising</w:t>
      </w:r>
      <w:r w:rsidR="0036391A">
        <w:rPr>
          <w:rFonts w:cs="Times New Roman"/>
        </w:rPr>
        <w:t xml:space="preserve"> in 1980 used rights talk.  Instead, rig</w:t>
      </w:r>
      <w:r w:rsidR="00FA4D90">
        <w:rPr>
          <w:rFonts w:cs="Times New Roman"/>
        </w:rPr>
        <w:t xml:space="preserve">hts talk was attached to furor over other </w:t>
      </w:r>
      <w:r>
        <w:rPr>
          <w:rFonts w:cs="Times New Roman"/>
        </w:rPr>
        <w:t xml:space="preserve">media events that negatively depicted </w:t>
      </w:r>
      <w:r w:rsidR="00BB6B31">
        <w:rPr>
          <w:rFonts w:cs="Times New Roman"/>
        </w:rPr>
        <w:t>LGBTQ</w:t>
      </w:r>
      <w:r w:rsidR="007048B2">
        <w:rPr>
          <w:rFonts w:cs="Times New Roman"/>
        </w:rPr>
        <w:t xml:space="preserve"> persons in predominately in 1980</w:t>
      </w:r>
      <w:r w:rsidR="00382B1E">
        <w:rPr>
          <w:rFonts w:cs="Times New Roman"/>
        </w:rPr>
        <w:t xml:space="preserve">, likely as an indirect result of the anger inspired by </w:t>
      </w:r>
      <w:r w:rsidR="00382B1E">
        <w:rPr>
          <w:rFonts w:cs="Times New Roman"/>
          <w:i/>
        </w:rPr>
        <w:t>Windows</w:t>
      </w:r>
      <w:r w:rsidR="00382B1E">
        <w:rPr>
          <w:rFonts w:cs="Times New Roman"/>
        </w:rPr>
        <w:t xml:space="preserve"> and </w:t>
      </w:r>
      <w:r w:rsidR="00382B1E">
        <w:rPr>
          <w:rFonts w:cs="Times New Roman"/>
          <w:i/>
        </w:rPr>
        <w:t>Cruising</w:t>
      </w:r>
      <w:r w:rsidR="007048B2">
        <w:rPr>
          <w:rFonts w:cs="Times New Roman"/>
        </w:rPr>
        <w:t>, which were released that year</w:t>
      </w:r>
      <w:r>
        <w:rPr>
          <w:rFonts w:cs="Times New Roman"/>
        </w:rPr>
        <w:t>.  For example, in a letter submitted by Diane M. Greene of Lesbian and Gay Media Advocates, Green used rights talk while criticizing CBS for producing a program that did not fairly represent the gay rights movement:</w:t>
      </w:r>
    </w:p>
    <w:p w14:paraId="32FAC8DD" w14:textId="77777777" w:rsidR="00382B1E" w:rsidRDefault="00280CA6" w:rsidP="00E330AA">
      <w:pPr>
        <w:ind w:left="720"/>
        <w:rPr>
          <w:rFonts w:cs="Times New Roman"/>
        </w:rPr>
      </w:pPr>
      <w:r>
        <w:rPr>
          <w:rFonts w:cs="Times New Roman"/>
        </w:rPr>
        <w:t>“We want to stress</w:t>
      </w:r>
      <w:r w:rsidR="00382B1E">
        <w:rPr>
          <w:rFonts w:cs="Times New Roman"/>
        </w:rPr>
        <w:t>, as your program did not,</w:t>
      </w:r>
      <w:r>
        <w:rPr>
          <w:rFonts w:cs="Times New Roman"/>
        </w:rPr>
        <w:t xml:space="preserve"> that </w:t>
      </w:r>
      <w:r>
        <w:rPr>
          <w:rFonts w:cs="Times New Roman"/>
          <w:i/>
        </w:rPr>
        <w:t>this</w:t>
      </w:r>
      <w:r>
        <w:rPr>
          <w:rFonts w:cs="Times New Roman"/>
        </w:rPr>
        <w:t xml:space="preserve"> exercise of </w:t>
      </w:r>
      <w:r w:rsidR="00382B1E">
        <w:rPr>
          <w:rFonts w:cs="Times New Roman"/>
        </w:rPr>
        <w:t xml:space="preserve">“gay power” is not an act of violence or intimidation of the public or your network; rather it is an exercise of legitimate procedures in the struggles for fair representation.  Your report was not felt to be representative of gay and lesbian groups and the struggle for </w:t>
      </w:r>
      <w:r w:rsidR="00382B1E" w:rsidRPr="00406853">
        <w:rPr>
          <w:rFonts w:cs="Times New Roman"/>
        </w:rPr>
        <w:t>civil</w:t>
      </w:r>
      <w:r w:rsidR="00382B1E">
        <w:rPr>
          <w:rFonts w:cs="Times New Roman"/>
        </w:rPr>
        <w:t xml:space="preserve"> </w:t>
      </w:r>
      <w:r w:rsidR="00382B1E" w:rsidRPr="00406853">
        <w:rPr>
          <w:rFonts w:cs="Times New Roman"/>
        </w:rPr>
        <w:t>rights</w:t>
      </w:r>
      <w:r w:rsidR="00382B1E">
        <w:rPr>
          <w:rFonts w:cs="Times New Roman"/>
        </w:rPr>
        <w:t>, and its distortions must be corrected.”</w:t>
      </w:r>
    </w:p>
    <w:p w14:paraId="1AC5E07C" w14:textId="77777777" w:rsidR="00E330AA" w:rsidRDefault="00E330AA" w:rsidP="00E330AA">
      <w:pPr>
        <w:ind w:left="720"/>
        <w:rPr>
          <w:rFonts w:cs="Times New Roman"/>
        </w:rPr>
      </w:pPr>
    </w:p>
    <w:p w14:paraId="218630B8" w14:textId="3B39B9CD" w:rsidR="00280CA6" w:rsidRPr="00382B1E" w:rsidRDefault="00382B1E" w:rsidP="00382B1E">
      <w:pPr>
        <w:spacing w:line="480" w:lineRule="auto"/>
        <w:rPr>
          <w:rFonts w:cs="Times New Roman"/>
        </w:rPr>
      </w:pPr>
      <w:r>
        <w:rPr>
          <w:rFonts w:cs="Times New Roman"/>
        </w:rPr>
        <w:t xml:space="preserve">After 1980, rights talk attached to media campaigns completely disappeared.  </w:t>
      </w:r>
      <w:r>
        <w:rPr>
          <w:rFonts w:cs="Times New Roman"/>
          <w:i/>
        </w:rPr>
        <w:t>GCN</w:t>
      </w:r>
      <w:r>
        <w:rPr>
          <w:rFonts w:cs="Times New Roman"/>
        </w:rPr>
        <w:t xml:space="preserve"> letter writers would occasionally write to express dissatisfaction with media portrayals of </w:t>
      </w:r>
      <w:r w:rsidR="00BB6B31">
        <w:rPr>
          <w:rFonts w:cs="Times New Roman"/>
        </w:rPr>
        <w:t>LGBTQ</w:t>
      </w:r>
      <w:r w:rsidR="00945AF7">
        <w:rPr>
          <w:rFonts w:cs="Times New Roman"/>
        </w:rPr>
        <w:t xml:space="preserve"> people</w:t>
      </w:r>
      <w:r>
        <w:rPr>
          <w:rFonts w:cs="Times New Roman"/>
        </w:rPr>
        <w:t xml:space="preserve">; however, the furor and rights talk inspired by </w:t>
      </w:r>
      <w:r>
        <w:rPr>
          <w:rFonts w:cs="Times New Roman"/>
          <w:i/>
        </w:rPr>
        <w:t>Windows</w:t>
      </w:r>
      <w:r>
        <w:rPr>
          <w:rFonts w:cs="Times New Roman"/>
        </w:rPr>
        <w:t xml:space="preserve"> and </w:t>
      </w:r>
      <w:r>
        <w:rPr>
          <w:rFonts w:cs="Times New Roman"/>
          <w:i/>
        </w:rPr>
        <w:t>Cruising</w:t>
      </w:r>
      <w:r>
        <w:rPr>
          <w:rFonts w:cs="Times New Roman"/>
        </w:rPr>
        <w:t xml:space="preserve"> subsided once the movies left theaters.</w:t>
      </w:r>
    </w:p>
    <w:p w14:paraId="137A9F33" w14:textId="3ECFE62B" w:rsidR="001465EB" w:rsidRPr="00013D8B" w:rsidRDefault="00A27175" w:rsidP="00B51F20">
      <w:pPr>
        <w:spacing w:line="480" w:lineRule="auto"/>
      </w:pPr>
      <w:r>
        <w:rPr>
          <w:rFonts w:cs="Times New Roman"/>
        </w:rPr>
        <w:tab/>
      </w:r>
      <w:r w:rsidR="00B96C97">
        <w:rPr>
          <w:rFonts w:cs="Times New Roman"/>
        </w:rPr>
        <w:t xml:space="preserve">The most controversial event of the 1980s, that had the broadest impact on the </w:t>
      </w:r>
      <w:r w:rsidR="00BB6B31">
        <w:rPr>
          <w:rFonts w:cs="Times New Roman"/>
        </w:rPr>
        <w:t>LGBTQ</w:t>
      </w:r>
      <w:r w:rsidR="00B96C97">
        <w:rPr>
          <w:rFonts w:cs="Times New Roman"/>
        </w:rPr>
        <w:t xml:space="preserve"> community, was the AIDS epidemic. </w:t>
      </w:r>
      <w:r w:rsidR="00EF49E1">
        <w:rPr>
          <w:rFonts w:cs="Times New Roman"/>
        </w:rPr>
        <w:t xml:space="preserve"> </w:t>
      </w:r>
      <w:r w:rsidR="001465EB">
        <w:rPr>
          <w:rFonts w:cs="Times New Roman"/>
        </w:rPr>
        <w:t xml:space="preserve">The AIDS epidemic had an incredibly devastating effect on the </w:t>
      </w:r>
      <w:r w:rsidR="00BB6B31">
        <w:rPr>
          <w:rFonts w:cs="Times New Roman"/>
        </w:rPr>
        <w:t>LGBTQ</w:t>
      </w:r>
      <w:r w:rsidR="00592F57">
        <w:rPr>
          <w:rFonts w:cs="Times New Roman"/>
        </w:rPr>
        <w:t>-identified</w:t>
      </w:r>
      <w:r w:rsidR="001465EB">
        <w:rPr>
          <w:rFonts w:cs="Times New Roman"/>
        </w:rPr>
        <w:t xml:space="preserve"> </w:t>
      </w:r>
      <w:r w:rsidR="00945AF7">
        <w:rPr>
          <w:rFonts w:cs="Times New Roman"/>
        </w:rPr>
        <w:t>people</w:t>
      </w:r>
      <w:r w:rsidR="001465EB">
        <w:rPr>
          <w:rFonts w:cs="Times New Roman"/>
        </w:rPr>
        <w:t xml:space="preserve">, and would shape activist approaches taken for decades to come.  According to Eaklor, </w:t>
      </w:r>
      <w:r w:rsidR="001465EB">
        <w:t xml:space="preserve">“the apparent public and government apathy over AIDS acted as a catalyst to unite people identifying as gay, lesbian, or bisexual” (Eaklor, 2008, p. 178).  The </w:t>
      </w:r>
      <w:r w:rsidR="00013D8B">
        <w:t xml:space="preserve">epidemic first </w:t>
      </w:r>
      <w:r w:rsidR="00323ACA">
        <w:t>made national news</w:t>
      </w:r>
      <w:r w:rsidR="00013D8B">
        <w:t xml:space="preserve"> in 1981, or, more specifically, on June 6th, 1981, when </w:t>
      </w:r>
      <w:r w:rsidR="00013D8B">
        <w:rPr>
          <w:i/>
        </w:rPr>
        <w:t xml:space="preserve">The San Francisco Chronicle </w:t>
      </w:r>
      <w:r w:rsidR="00013D8B">
        <w:t xml:space="preserve">ran a story entitled “A Pneumonia that Strikes Gay Males” (Eaklor, 2008).  Because the disease first </w:t>
      </w:r>
      <w:r w:rsidR="001C6E24">
        <w:t>emerged as an LGBTQ issue</w:t>
      </w:r>
      <w:r w:rsidR="00013D8B">
        <w:t xml:space="preserve"> </w:t>
      </w:r>
      <w:r w:rsidR="001C6E24">
        <w:t xml:space="preserve">in </w:t>
      </w:r>
      <w:r w:rsidR="00013D8B">
        <w:t xml:space="preserve">1981, discussions of it did not appear in any of the </w:t>
      </w:r>
      <w:r w:rsidR="00013D8B">
        <w:rPr>
          <w:i/>
        </w:rPr>
        <w:t>GCN</w:t>
      </w:r>
      <w:r w:rsidR="00013D8B">
        <w:t xml:space="preserve"> letters in 1980.  However, </w:t>
      </w:r>
      <w:r w:rsidR="001C6E24">
        <w:t>following</w:t>
      </w:r>
      <w:r w:rsidR="00013D8B">
        <w:t xml:space="preserve"> </w:t>
      </w:r>
      <w:r w:rsidR="001C6E24">
        <w:t xml:space="preserve">the naming of the disease </w:t>
      </w:r>
      <w:r w:rsidR="00013D8B">
        <w:t xml:space="preserve">in 1982, the identification of the HIV virus in 1984, and the deaths of many gay men, </w:t>
      </w:r>
      <w:r w:rsidR="00FB6A97">
        <w:t xml:space="preserve">the letters published in </w:t>
      </w:r>
      <w:r w:rsidR="00FB6A97">
        <w:rPr>
          <w:i/>
        </w:rPr>
        <w:t>GCN</w:t>
      </w:r>
      <w:r w:rsidR="00013D8B">
        <w:t xml:space="preserve"> expressed deep concern and, even, hysteria over the growing epidemic.  This hysteria was fueled by a general public attitude that blamed the disease on gay men and</w:t>
      </w:r>
      <w:r w:rsidR="00FB6A97">
        <w:t xml:space="preserve"> </w:t>
      </w:r>
      <w:r w:rsidR="00013D8B">
        <w:t xml:space="preserve">refused to provide viable assistance to the </w:t>
      </w:r>
      <w:r w:rsidR="00BB6B31">
        <w:t>LGBTQ</w:t>
      </w:r>
      <w:r w:rsidR="00013D8B">
        <w:t xml:space="preserve"> community.  The hostility directed towards gay men as a result of the disease is perhaps best exemplified in Senator Jesse Helms’s Anti-Gay AIDS Legislation, passed in 1988, which restricted “federal AIDS funds only to educational materials that promoted monogamous (heterosexual) marriage” (Eaklor, 2008, p. 182).</w:t>
      </w:r>
    </w:p>
    <w:p w14:paraId="29ECA8BA" w14:textId="65AAA668" w:rsidR="000C6117" w:rsidRDefault="001465EB" w:rsidP="00B51F20">
      <w:pPr>
        <w:spacing w:line="480" w:lineRule="auto"/>
        <w:rPr>
          <w:rFonts w:cs="Times New Roman"/>
        </w:rPr>
      </w:pPr>
      <w:r>
        <w:rPr>
          <w:rFonts w:cs="Times New Roman"/>
        </w:rPr>
        <w:tab/>
      </w:r>
      <w:r w:rsidR="00013D8B">
        <w:rPr>
          <w:rFonts w:cs="Times New Roman"/>
        </w:rPr>
        <w:t xml:space="preserve">The AIDS epidemic </w:t>
      </w:r>
      <w:r w:rsidR="00E72625">
        <w:rPr>
          <w:rFonts w:cs="Times New Roman"/>
        </w:rPr>
        <w:t>and the devastating crisis it created for</w:t>
      </w:r>
      <w:r w:rsidR="00013D8B">
        <w:rPr>
          <w:rFonts w:cs="Times New Roman"/>
        </w:rPr>
        <w:t xml:space="preserve"> </w:t>
      </w:r>
      <w:r w:rsidR="00BB6B31">
        <w:rPr>
          <w:rFonts w:cs="Times New Roman"/>
        </w:rPr>
        <w:t>LGBTQ</w:t>
      </w:r>
      <w:r w:rsidR="00FB1DEB">
        <w:rPr>
          <w:rFonts w:cs="Times New Roman"/>
        </w:rPr>
        <w:t>-identified</w:t>
      </w:r>
      <w:r w:rsidR="00013D8B">
        <w:rPr>
          <w:rFonts w:cs="Times New Roman"/>
        </w:rPr>
        <w:t xml:space="preserve"> </w:t>
      </w:r>
      <w:r w:rsidR="00E72625">
        <w:rPr>
          <w:rFonts w:cs="Times New Roman"/>
        </w:rPr>
        <w:t>people</w:t>
      </w:r>
      <w:r w:rsidR="00013D8B">
        <w:rPr>
          <w:rFonts w:cs="Times New Roman"/>
        </w:rPr>
        <w:t xml:space="preserve"> permeated the majority </w:t>
      </w:r>
      <w:r w:rsidR="001C6E24">
        <w:rPr>
          <w:rFonts w:cs="Times New Roman"/>
        </w:rPr>
        <w:t xml:space="preserve">of </w:t>
      </w:r>
      <w:r w:rsidR="00013D8B">
        <w:rPr>
          <w:rFonts w:cs="Times New Roman"/>
        </w:rPr>
        <w:t>l</w:t>
      </w:r>
      <w:r w:rsidR="00B51F20" w:rsidRPr="00A27175">
        <w:rPr>
          <w:rFonts w:cs="Times New Roman"/>
        </w:rPr>
        <w:t>etter</w:t>
      </w:r>
      <w:r w:rsidR="00013D8B">
        <w:rPr>
          <w:rFonts w:cs="Times New Roman"/>
        </w:rPr>
        <w:t xml:space="preserve">s published in </w:t>
      </w:r>
      <w:r w:rsidR="00013D8B">
        <w:rPr>
          <w:rFonts w:cs="Times New Roman"/>
          <w:i/>
        </w:rPr>
        <w:t xml:space="preserve">GCN </w:t>
      </w:r>
      <w:r w:rsidR="00013D8B">
        <w:rPr>
          <w:rFonts w:cs="Times New Roman"/>
        </w:rPr>
        <w:t xml:space="preserve">in 1984 and 1988.  </w:t>
      </w:r>
      <w:r w:rsidR="00B51F20">
        <w:rPr>
          <w:rFonts w:cs="Times New Roman"/>
        </w:rPr>
        <w:t xml:space="preserve"> </w:t>
      </w:r>
      <w:r w:rsidR="00013D8B">
        <w:rPr>
          <w:rFonts w:cs="Times New Roman"/>
        </w:rPr>
        <w:t xml:space="preserve">Letter writers frequently attached rights talk to </w:t>
      </w:r>
      <w:r w:rsidR="00CC185C">
        <w:rPr>
          <w:rFonts w:cs="Times New Roman"/>
        </w:rPr>
        <w:t xml:space="preserve">virtually all </w:t>
      </w:r>
      <w:r w:rsidR="00013D8B">
        <w:rPr>
          <w:rFonts w:cs="Times New Roman"/>
        </w:rPr>
        <w:t xml:space="preserve">discussions of AIDS/HIV as their community experienced </w:t>
      </w:r>
      <w:r w:rsidR="00CC185C">
        <w:rPr>
          <w:rFonts w:cs="Times New Roman"/>
        </w:rPr>
        <w:t>a debilitating disease that</w:t>
      </w:r>
      <w:r w:rsidR="001C6E24">
        <w:rPr>
          <w:rFonts w:cs="Times New Roman"/>
        </w:rPr>
        <w:t xml:space="preserve"> mainstream</w:t>
      </w:r>
      <w:r w:rsidR="00CC185C">
        <w:rPr>
          <w:rFonts w:cs="Times New Roman"/>
        </w:rPr>
        <w:t xml:space="preserve"> society refused to acknowledge.</w:t>
      </w:r>
      <w:r w:rsidR="00013D8B">
        <w:rPr>
          <w:rFonts w:cs="Times New Roman"/>
        </w:rPr>
        <w:t xml:space="preserve"> </w:t>
      </w:r>
      <w:r w:rsidR="00CC185C">
        <w:rPr>
          <w:rFonts w:cs="Times New Roman"/>
        </w:rPr>
        <w:t>For instance</w:t>
      </w:r>
      <w:r w:rsidR="001C6E24">
        <w:rPr>
          <w:rFonts w:cs="Times New Roman"/>
        </w:rPr>
        <w:t>,</w:t>
      </w:r>
      <w:r w:rsidR="00CC185C">
        <w:rPr>
          <w:rFonts w:cs="Times New Roman"/>
        </w:rPr>
        <w:t xml:space="preserve"> letter writers</w:t>
      </w:r>
      <w:r w:rsidR="00B51F20">
        <w:rPr>
          <w:rFonts w:cs="Times New Roman"/>
        </w:rPr>
        <w:t xml:space="preserve"> used rights talk while discussing</w:t>
      </w:r>
      <w:r w:rsidR="00E86078">
        <w:rPr>
          <w:rFonts w:cs="Times New Roman"/>
        </w:rPr>
        <w:t xml:space="preserve"> the impact of AIDS/HIV on different communities</w:t>
      </w:r>
      <w:r w:rsidR="00CC185C">
        <w:rPr>
          <w:rFonts w:cs="Times New Roman"/>
        </w:rPr>
        <w:t xml:space="preserve"> – communities impacted beyond the </w:t>
      </w:r>
      <w:r w:rsidR="00BB6B31">
        <w:rPr>
          <w:rFonts w:cs="Times New Roman"/>
        </w:rPr>
        <w:t>LGBTQ</w:t>
      </w:r>
      <w:r w:rsidR="00CC185C">
        <w:rPr>
          <w:rFonts w:cs="Times New Roman"/>
        </w:rPr>
        <w:t xml:space="preserve"> population</w:t>
      </w:r>
      <w:r w:rsidR="000C6117">
        <w:rPr>
          <w:rFonts w:cs="Times New Roman"/>
        </w:rPr>
        <w:t xml:space="preserve">.  </w:t>
      </w:r>
      <w:r w:rsidR="00CC185C">
        <w:rPr>
          <w:rFonts w:cs="Times New Roman"/>
        </w:rPr>
        <w:t>I</w:t>
      </w:r>
      <w:r w:rsidR="000C6117">
        <w:rPr>
          <w:rFonts w:cs="Times New Roman"/>
        </w:rPr>
        <w:t xml:space="preserve">n a </w:t>
      </w:r>
      <w:r w:rsidR="000C6117">
        <w:rPr>
          <w:rFonts w:cs="Times New Roman"/>
          <w:i/>
        </w:rPr>
        <w:t xml:space="preserve">Speaking Out </w:t>
      </w:r>
      <w:r w:rsidR="000C6117">
        <w:rPr>
          <w:rFonts w:cs="Times New Roman"/>
        </w:rPr>
        <w:t>letter written by the U.S. PROStitutes collective in the September 3, 1988 issue, the collective use</w:t>
      </w:r>
      <w:r w:rsidR="00CC185C">
        <w:rPr>
          <w:rFonts w:cs="Times New Roman"/>
        </w:rPr>
        <w:t>d</w:t>
      </w:r>
      <w:r w:rsidR="000C6117">
        <w:rPr>
          <w:rFonts w:cs="Times New Roman"/>
        </w:rPr>
        <w:t xml:space="preserve"> rights talk while referring to both </w:t>
      </w:r>
      <w:r w:rsidR="00FB1DEB">
        <w:rPr>
          <w:rFonts w:cs="Times New Roman"/>
        </w:rPr>
        <w:t>sex worker</w:t>
      </w:r>
      <w:r w:rsidR="000C6117">
        <w:rPr>
          <w:rFonts w:cs="Times New Roman"/>
        </w:rPr>
        <w:t xml:space="preserve"> </w:t>
      </w:r>
      <w:r w:rsidR="00CC185C">
        <w:rPr>
          <w:rFonts w:cs="Times New Roman"/>
        </w:rPr>
        <w:t>rights</w:t>
      </w:r>
      <w:r w:rsidR="000C6117">
        <w:rPr>
          <w:rFonts w:cs="Times New Roman"/>
        </w:rPr>
        <w:t xml:space="preserve"> and AIDS/HIV:</w:t>
      </w:r>
    </w:p>
    <w:p w14:paraId="29BDD8A4" w14:textId="6165C975" w:rsidR="00D2193A" w:rsidRDefault="000C6117" w:rsidP="00B37092">
      <w:pPr>
        <w:ind w:left="720"/>
        <w:rPr>
          <w:rFonts w:cs="Times New Roman"/>
        </w:rPr>
      </w:pPr>
      <w:r w:rsidRPr="000C6117">
        <w:rPr>
          <w:rFonts w:cs="Times New Roman"/>
        </w:rPr>
        <w:t xml:space="preserve"> </w:t>
      </w:r>
      <w:r w:rsidR="00B51F20" w:rsidRPr="000C6117">
        <w:rPr>
          <w:rFonts w:cs="Times New Roman"/>
        </w:rPr>
        <w:t xml:space="preserve"> </w:t>
      </w:r>
      <w:r w:rsidR="00D2193A" w:rsidRPr="000C6117">
        <w:rPr>
          <w:rFonts w:cs="Times New Roman"/>
        </w:rPr>
        <w:t xml:space="preserve">  </w:t>
      </w:r>
      <w:r w:rsidRPr="000C6117">
        <w:rPr>
          <w:rFonts w:cs="Times New Roman"/>
        </w:rPr>
        <w:t>“</w:t>
      </w:r>
      <w:r>
        <w:rPr>
          <w:rFonts w:cs="Times New Roman"/>
        </w:rPr>
        <w:t xml:space="preserve">Far from preventing the spread of AIDS, bills like [California’s Bronzan bill] can only penalize poor women further for refusing poverty, and push us further underground, making it harder to gather information about AIDS and to reach women and men who may need medical help. </w:t>
      </w:r>
      <w:r w:rsidRPr="000C6117">
        <w:rPr>
          <w:rFonts w:cs="Times New Roman"/>
        </w:rPr>
        <w:t>The issue of mandatory testing for people involved in prostitution has serious implications for everyone’s right to free confidential health care; to a private life of their choosing; and for human, legal, and civil rights generally.  If it’s prostitute women today, who’s next?”</w:t>
      </w:r>
    </w:p>
    <w:p w14:paraId="50045883" w14:textId="77777777" w:rsidR="00B37092" w:rsidRDefault="00B37092" w:rsidP="00B37092">
      <w:pPr>
        <w:ind w:left="720"/>
        <w:rPr>
          <w:rFonts w:cs="Times New Roman"/>
        </w:rPr>
      </w:pPr>
    </w:p>
    <w:p w14:paraId="7B9C63AB" w14:textId="28805B52" w:rsidR="00E86078" w:rsidRDefault="000C6117" w:rsidP="000C6117">
      <w:pPr>
        <w:spacing w:line="480" w:lineRule="auto"/>
        <w:rPr>
          <w:rFonts w:cs="Times New Roman"/>
        </w:rPr>
      </w:pPr>
      <w:r>
        <w:rPr>
          <w:rFonts w:cs="Times New Roman"/>
        </w:rPr>
        <w:t>He</w:t>
      </w:r>
      <w:r w:rsidR="00CC185C">
        <w:rPr>
          <w:rFonts w:cs="Times New Roman"/>
        </w:rPr>
        <w:t>re, the collective’s letter used</w:t>
      </w:r>
      <w:r>
        <w:rPr>
          <w:rFonts w:cs="Times New Roman"/>
        </w:rPr>
        <w:t xml:space="preserve"> an appeal to rights in order to encourage </w:t>
      </w:r>
      <w:r>
        <w:rPr>
          <w:rFonts w:cs="Times New Roman"/>
          <w:i/>
        </w:rPr>
        <w:t>GCN</w:t>
      </w:r>
      <w:r>
        <w:rPr>
          <w:rFonts w:cs="Times New Roman"/>
        </w:rPr>
        <w:t>’s readers to oppose a bill mandating AIDS testing for those convicted of prostitution.</w:t>
      </w:r>
      <w:r w:rsidR="00E86078">
        <w:rPr>
          <w:rFonts w:cs="Times New Roman"/>
        </w:rPr>
        <w:t xml:space="preserve">  Furthermore, in a </w:t>
      </w:r>
      <w:r w:rsidR="00E86078">
        <w:rPr>
          <w:rFonts w:cs="Times New Roman"/>
          <w:i/>
        </w:rPr>
        <w:t>Speaking Out</w:t>
      </w:r>
      <w:r w:rsidR="00E86078">
        <w:rPr>
          <w:rFonts w:cs="Times New Roman"/>
        </w:rPr>
        <w:t xml:space="preserve"> letter written by Janice Irvine in in the May 7, 1988 issue of </w:t>
      </w:r>
      <w:r w:rsidR="00E86078">
        <w:rPr>
          <w:rFonts w:cs="Times New Roman"/>
          <w:i/>
        </w:rPr>
        <w:t>GCN</w:t>
      </w:r>
      <w:r w:rsidR="00E86078">
        <w:rPr>
          <w:rFonts w:cs="Times New Roman"/>
        </w:rPr>
        <w:t xml:space="preserve">, </w:t>
      </w:r>
      <w:r w:rsidR="00E86078" w:rsidRPr="00E86078">
        <w:rPr>
          <w:rFonts w:cs="Times New Roman"/>
        </w:rPr>
        <w:t>Irvine used rights talk while criticizing the medical discourse around AIDS</w:t>
      </w:r>
      <w:r w:rsidR="00E86078">
        <w:rPr>
          <w:rFonts w:cs="Times New Roman"/>
        </w:rPr>
        <w:t xml:space="preserve">.  Irvine argues that </w:t>
      </w:r>
      <w:r w:rsidR="00E86078" w:rsidRPr="00E86078">
        <w:rPr>
          <w:rFonts w:cs="Times New Roman"/>
        </w:rPr>
        <w:t xml:space="preserve">the medical discourse does not differentiate between men and women and, hence, does not acknowledge that men are overrepresented in awareness campaigns and research </w:t>
      </w:r>
      <w:r w:rsidR="00E86078">
        <w:rPr>
          <w:rFonts w:cs="Times New Roman"/>
        </w:rPr>
        <w:t>in comparison to</w:t>
      </w:r>
      <w:r w:rsidR="00E86078" w:rsidRPr="00E86078">
        <w:rPr>
          <w:rFonts w:cs="Times New Roman"/>
        </w:rPr>
        <w:t xml:space="preserve"> women (particularly</w:t>
      </w:r>
      <w:r w:rsidR="00E86078">
        <w:rPr>
          <w:rFonts w:cs="Times New Roman"/>
        </w:rPr>
        <w:t xml:space="preserve"> lesbian women):</w:t>
      </w:r>
    </w:p>
    <w:p w14:paraId="051828D9" w14:textId="77777777" w:rsidR="00B37092" w:rsidRDefault="007114AD" w:rsidP="00B37092">
      <w:pPr>
        <w:ind w:left="720"/>
        <w:rPr>
          <w:rFonts w:cs="Times New Roman"/>
        </w:rPr>
      </w:pPr>
      <w:r>
        <w:rPr>
          <w:rFonts w:cs="Times New Roman"/>
        </w:rPr>
        <w:t xml:space="preserve">“Lesbians experience a particular configuration of contradictions with respect to AIDS.  Since we are often subsumed under the overarching category of “homosexuals,” we too are the targets of spiraling homophobia and AIDS-related </w:t>
      </w:r>
      <w:proofErr w:type="gramStart"/>
      <w:r>
        <w:rPr>
          <w:rFonts w:cs="Times New Roman"/>
        </w:rPr>
        <w:t>gay-bashing</w:t>
      </w:r>
      <w:proofErr w:type="gramEnd"/>
      <w:r>
        <w:rPr>
          <w:rFonts w:cs="Times New Roman"/>
        </w:rPr>
        <w:t xml:space="preserve">.  On the other hand, AIDS is much less efficiently spread by female-to-female contact.  Although this has not catapulted </w:t>
      </w:r>
      <w:r w:rsidR="005D0E7C">
        <w:rPr>
          <w:rFonts w:cs="Times New Roman"/>
        </w:rPr>
        <w:t>lesbians</w:t>
      </w:r>
      <w:r>
        <w:rPr>
          <w:rFonts w:cs="Times New Roman"/>
        </w:rPr>
        <w:t xml:space="preserve"> into the “good g</w:t>
      </w:r>
      <w:r w:rsidR="005D0E7C">
        <w:rPr>
          <w:rFonts w:cs="Times New Roman"/>
        </w:rPr>
        <w:t xml:space="preserve">irl” realm, it has rendered </w:t>
      </w:r>
      <w:proofErr w:type="gramStart"/>
      <w:r w:rsidR="005D0E7C">
        <w:rPr>
          <w:rFonts w:cs="Times New Roman"/>
        </w:rPr>
        <w:t>us and our sexuality</w:t>
      </w:r>
      <w:proofErr w:type="gramEnd"/>
      <w:r w:rsidR="005D0E7C">
        <w:rPr>
          <w:rFonts w:cs="Times New Roman"/>
        </w:rPr>
        <w:t xml:space="preserve"> virtually invisible in this epidemic....  A medicalized discourse on AIDS leaves us with body parts, diseases, statistics, and the plight of the individual people divorced from any social context.  The medial model is empiricism is couched in the dominant ideology.  It is a refusal to deal with issues of </w:t>
      </w:r>
      <w:r w:rsidR="005D0E7C" w:rsidRPr="00406853">
        <w:rPr>
          <w:rFonts w:cs="Times New Roman"/>
        </w:rPr>
        <w:t>civil</w:t>
      </w:r>
      <w:r w:rsidR="005D0E7C" w:rsidRPr="001C6E24">
        <w:rPr>
          <w:rFonts w:cs="Times New Roman"/>
          <w:i/>
        </w:rPr>
        <w:t xml:space="preserve"> </w:t>
      </w:r>
      <w:r w:rsidR="005D0E7C" w:rsidRPr="00406853">
        <w:rPr>
          <w:rFonts w:cs="Times New Roman"/>
        </w:rPr>
        <w:t>rights</w:t>
      </w:r>
      <w:r w:rsidR="005D0E7C">
        <w:rPr>
          <w:rFonts w:cs="Times New Roman"/>
        </w:rPr>
        <w:t>....”</w:t>
      </w:r>
    </w:p>
    <w:p w14:paraId="4797A1BF" w14:textId="0AE3B299" w:rsidR="005D0E7C" w:rsidRDefault="005D0E7C" w:rsidP="00B37092">
      <w:pPr>
        <w:ind w:left="720"/>
        <w:rPr>
          <w:rFonts w:cs="Times New Roman"/>
        </w:rPr>
      </w:pPr>
      <w:r>
        <w:rPr>
          <w:rFonts w:cs="Times New Roman"/>
        </w:rPr>
        <w:t xml:space="preserve">  </w:t>
      </w:r>
    </w:p>
    <w:p w14:paraId="066421B5" w14:textId="59828BA5" w:rsidR="0029565D" w:rsidRDefault="006016DB" w:rsidP="0029565D">
      <w:pPr>
        <w:spacing w:line="480" w:lineRule="auto"/>
        <w:rPr>
          <w:rFonts w:cs="Times New Roman"/>
        </w:rPr>
      </w:pPr>
      <w:r>
        <w:rPr>
          <w:rFonts w:cs="Times New Roman"/>
        </w:rPr>
        <w:tab/>
      </w:r>
      <w:r w:rsidR="005D0E7C">
        <w:rPr>
          <w:rFonts w:cs="Times New Roman"/>
        </w:rPr>
        <w:t xml:space="preserve">In addition to </w:t>
      </w:r>
      <w:r w:rsidR="0029565D">
        <w:rPr>
          <w:rFonts w:cs="Times New Roman"/>
        </w:rPr>
        <w:t xml:space="preserve">letters that discussed the AIDS epidemic and its relationship the </w:t>
      </w:r>
      <w:r w:rsidR="00FB1DEB">
        <w:rPr>
          <w:rFonts w:cs="Times New Roman"/>
        </w:rPr>
        <w:t>sex worker</w:t>
      </w:r>
      <w:r w:rsidR="0029565D">
        <w:rPr>
          <w:rFonts w:cs="Times New Roman"/>
        </w:rPr>
        <w:t xml:space="preserve"> and lesbian communities, letters also used rights </w:t>
      </w:r>
      <w:r w:rsidR="002B0002">
        <w:rPr>
          <w:rFonts w:cs="Times New Roman"/>
        </w:rPr>
        <w:t>talk while referring to the AIDS</w:t>
      </w:r>
      <w:r w:rsidR="0029565D">
        <w:rPr>
          <w:rFonts w:cs="Times New Roman"/>
        </w:rPr>
        <w:t xml:space="preserve"> epidemic in the prison community.  In a letter published in </w:t>
      </w:r>
      <w:r w:rsidR="0029565D">
        <w:rPr>
          <w:rFonts w:cs="Times New Roman"/>
          <w:i/>
        </w:rPr>
        <w:t>Community Voices</w:t>
      </w:r>
      <w:r w:rsidR="0029565D">
        <w:rPr>
          <w:rFonts w:cs="Times New Roman"/>
        </w:rPr>
        <w:t xml:space="preserve"> on March 5, 1988, and written by prison inmate Adam Starchild, Starchild discusses the impact of a mandatory testing on the incarcerated.  According to the letter</w:t>
      </w:r>
      <w:r w:rsidR="0029565D" w:rsidRPr="0029565D">
        <w:rPr>
          <w:rFonts w:cs="Times New Roman"/>
        </w:rPr>
        <w:t xml:space="preserve">, those </w:t>
      </w:r>
      <w:r w:rsidR="00F51490">
        <w:rPr>
          <w:rFonts w:cs="Times New Roman"/>
        </w:rPr>
        <w:t xml:space="preserve">who </w:t>
      </w:r>
      <w:r w:rsidR="0029565D">
        <w:rPr>
          <w:rFonts w:cs="Times New Roman"/>
        </w:rPr>
        <w:t>were</w:t>
      </w:r>
      <w:r w:rsidR="0029565D" w:rsidRPr="0029565D">
        <w:rPr>
          <w:rFonts w:cs="Times New Roman"/>
        </w:rPr>
        <w:t xml:space="preserve"> diagnosed with HIV while in prison</w:t>
      </w:r>
      <w:r w:rsidR="00F51490">
        <w:rPr>
          <w:rFonts w:cs="Times New Roman"/>
        </w:rPr>
        <w:t xml:space="preserve"> in 1988</w:t>
      </w:r>
      <w:r w:rsidR="0029565D" w:rsidRPr="0029565D">
        <w:rPr>
          <w:rFonts w:cs="Times New Roman"/>
        </w:rPr>
        <w:t xml:space="preserve"> (under mandatory testing, due to </w:t>
      </w:r>
      <w:r w:rsidR="00F51490">
        <w:rPr>
          <w:rFonts w:cs="Times New Roman"/>
        </w:rPr>
        <w:t xml:space="preserve">President </w:t>
      </w:r>
      <w:r w:rsidR="0029565D" w:rsidRPr="0029565D">
        <w:rPr>
          <w:rFonts w:cs="Times New Roman"/>
        </w:rPr>
        <w:t xml:space="preserve">Reagan’s mid-1987 executive order) </w:t>
      </w:r>
      <w:r w:rsidR="0029565D">
        <w:rPr>
          <w:rFonts w:cs="Times New Roman"/>
        </w:rPr>
        <w:t>were</w:t>
      </w:r>
      <w:r w:rsidR="0029565D" w:rsidRPr="0029565D">
        <w:rPr>
          <w:rFonts w:cs="Times New Roman"/>
        </w:rPr>
        <w:t xml:space="preserve"> not released until their mandatory release da</w:t>
      </w:r>
      <w:r w:rsidR="001C6E24">
        <w:rPr>
          <w:rFonts w:cs="Times New Roman"/>
        </w:rPr>
        <w:t>te.  This meant</w:t>
      </w:r>
      <w:r w:rsidR="0029565D" w:rsidRPr="0029565D">
        <w:rPr>
          <w:rFonts w:cs="Times New Roman"/>
        </w:rPr>
        <w:t xml:space="preserve"> that early release </w:t>
      </w:r>
      <w:r w:rsidR="0029565D">
        <w:rPr>
          <w:rFonts w:cs="Times New Roman"/>
        </w:rPr>
        <w:t>was</w:t>
      </w:r>
      <w:r w:rsidR="0029565D" w:rsidRPr="0029565D">
        <w:rPr>
          <w:rFonts w:cs="Times New Roman"/>
        </w:rPr>
        <w:t xml:space="preserve"> withheld for those diagnosed with HIV/AIDS</w:t>
      </w:r>
      <w:r w:rsidR="0029565D">
        <w:rPr>
          <w:rFonts w:cs="Times New Roman"/>
        </w:rPr>
        <w:t xml:space="preserve"> in Starchild’s prison:</w:t>
      </w:r>
    </w:p>
    <w:p w14:paraId="63830413" w14:textId="77777777" w:rsidR="00F51490" w:rsidRDefault="0029565D" w:rsidP="00B37092">
      <w:pPr>
        <w:ind w:left="720"/>
        <w:rPr>
          <w:rFonts w:cs="Times New Roman"/>
        </w:rPr>
      </w:pPr>
      <w:r>
        <w:rPr>
          <w:rFonts w:cs="Times New Roman"/>
        </w:rPr>
        <w:t xml:space="preserve">“Even before this implementation of the policy was made, I started to write dozens of ‘civil </w:t>
      </w:r>
      <w:r w:rsidRPr="00406853">
        <w:rPr>
          <w:rFonts w:cs="Times New Roman"/>
        </w:rPr>
        <w:t>rights’</w:t>
      </w:r>
      <w:r>
        <w:rPr>
          <w:rFonts w:cs="Times New Roman"/>
        </w:rPr>
        <w:t xml:space="preserve"> and legal aid groups, trying to get help to oppose the President’s executive order in court.  So far, not one group has shown any interest.  Don’t these people realize that if prisoners can be held beyond the end of their sentence solely because they test positive, it won’t be long until the precedent can be used to detain anyone who tests positive?”</w:t>
      </w:r>
    </w:p>
    <w:p w14:paraId="5C476009" w14:textId="77777777" w:rsidR="00B37092" w:rsidRDefault="00B37092" w:rsidP="00B37092">
      <w:pPr>
        <w:ind w:left="720"/>
        <w:rPr>
          <w:rFonts w:cs="Times New Roman"/>
        </w:rPr>
      </w:pPr>
    </w:p>
    <w:p w14:paraId="050952E2" w14:textId="7BB8A16B" w:rsidR="00F51490" w:rsidRDefault="00F51490" w:rsidP="00F51490">
      <w:pPr>
        <w:spacing w:line="480" w:lineRule="auto"/>
        <w:rPr>
          <w:rFonts w:cs="Times New Roman"/>
        </w:rPr>
      </w:pPr>
      <w:r>
        <w:rPr>
          <w:rFonts w:cs="Times New Roman"/>
        </w:rPr>
        <w:t xml:space="preserve">As the above excerpts indicate, rights talk was used to gain support for AIDS/HIV related grievances that impacted different </w:t>
      </w:r>
      <w:r w:rsidR="00FB1DEB">
        <w:rPr>
          <w:rFonts w:cs="Times New Roman"/>
        </w:rPr>
        <w:t>populations</w:t>
      </w:r>
      <w:r>
        <w:rPr>
          <w:rFonts w:cs="Times New Roman"/>
        </w:rPr>
        <w:t xml:space="preserve"> within the </w:t>
      </w:r>
      <w:r w:rsidR="00BB6B31">
        <w:rPr>
          <w:rFonts w:cs="Times New Roman"/>
        </w:rPr>
        <w:t>LGBTQ</w:t>
      </w:r>
      <w:r>
        <w:rPr>
          <w:rFonts w:cs="Times New Roman"/>
        </w:rPr>
        <w:t xml:space="preserve"> </w:t>
      </w:r>
      <w:r w:rsidR="00FB1DEB">
        <w:rPr>
          <w:rFonts w:cs="Times New Roman"/>
        </w:rPr>
        <w:t>community</w:t>
      </w:r>
      <w:r>
        <w:rPr>
          <w:rFonts w:cs="Times New Roman"/>
        </w:rPr>
        <w:t xml:space="preserve">.  </w:t>
      </w:r>
    </w:p>
    <w:p w14:paraId="23B71DFF" w14:textId="392726A3" w:rsidR="0012743A" w:rsidRDefault="00F51490" w:rsidP="00F51490">
      <w:pPr>
        <w:spacing w:line="480" w:lineRule="auto"/>
        <w:rPr>
          <w:rFonts w:cs="Times New Roman"/>
        </w:rPr>
      </w:pPr>
      <w:r>
        <w:rPr>
          <w:rFonts w:cs="Times New Roman"/>
        </w:rPr>
        <w:tab/>
        <w:t xml:space="preserve">The preceding discussion demonstrates that </w:t>
      </w:r>
      <w:r w:rsidR="00BB6B31">
        <w:rPr>
          <w:rFonts w:cs="Times New Roman"/>
        </w:rPr>
        <w:t>LGBTQ</w:t>
      </w:r>
      <w:r>
        <w:rPr>
          <w:rFonts w:cs="Times New Roman"/>
        </w:rPr>
        <w:t xml:space="preserve"> </w:t>
      </w:r>
      <w:r w:rsidR="002B0002">
        <w:rPr>
          <w:rFonts w:cs="Times New Roman"/>
        </w:rPr>
        <w:t>people</w:t>
      </w:r>
      <w:r>
        <w:rPr>
          <w:rFonts w:cs="Times New Roman"/>
        </w:rPr>
        <w:t xml:space="preserve"> who wrote letters to </w:t>
      </w:r>
      <w:r>
        <w:rPr>
          <w:rFonts w:cs="Times New Roman"/>
          <w:i/>
        </w:rPr>
        <w:t>GCN</w:t>
      </w:r>
      <w:r>
        <w:rPr>
          <w:rFonts w:cs="Times New Roman"/>
        </w:rPr>
        <w:t xml:space="preserve"> used rights talk across a wide variety of issues, on opposite sides of the same issue, in support of different political perspectives, while discussing AIDS/HIV issues in relation to different segments of the </w:t>
      </w:r>
      <w:r w:rsidR="00BB6B31">
        <w:rPr>
          <w:rFonts w:cs="Times New Roman"/>
        </w:rPr>
        <w:t>LGBTQ</w:t>
      </w:r>
      <w:r>
        <w:rPr>
          <w:rFonts w:cs="Times New Roman"/>
        </w:rPr>
        <w:t xml:space="preserve"> community</w:t>
      </w:r>
      <w:r w:rsidR="001C6E24">
        <w:rPr>
          <w:rFonts w:cs="Times New Roman"/>
        </w:rPr>
        <w:t>, and while addressing issues that were not clearly aligned with litigation campaigns</w:t>
      </w:r>
      <w:r>
        <w:rPr>
          <w:rFonts w:cs="Times New Roman"/>
        </w:rPr>
        <w:t>.  In other words, that rights talk adapted to different issues and per</w:t>
      </w:r>
      <w:r w:rsidR="001C6E24">
        <w:rPr>
          <w:rFonts w:cs="Times New Roman"/>
        </w:rPr>
        <w:t xml:space="preserve">spectives over time and, hence, does not appear to constrain </w:t>
      </w:r>
      <w:r w:rsidR="00B37092">
        <w:rPr>
          <w:rFonts w:cs="Times New Roman"/>
        </w:rPr>
        <w:t>issue salience within the LGBTQ population</w:t>
      </w:r>
      <w:r>
        <w:rPr>
          <w:rFonts w:cs="Times New Roman"/>
        </w:rPr>
        <w:t xml:space="preserve">. </w:t>
      </w:r>
    </w:p>
    <w:p w14:paraId="157F8A44" w14:textId="6F9A8FB4" w:rsidR="000C6117" w:rsidRDefault="0012743A" w:rsidP="0012743A">
      <w:pPr>
        <w:spacing w:line="480" w:lineRule="auto"/>
        <w:jc w:val="center"/>
        <w:rPr>
          <w:rFonts w:cs="Times New Roman"/>
        </w:rPr>
      </w:pPr>
      <w:r>
        <w:rPr>
          <w:rFonts w:cs="Times New Roman"/>
          <w:b/>
        </w:rPr>
        <w:t>DISCUSSION</w:t>
      </w:r>
    </w:p>
    <w:p w14:paraId="219A268D" w14:textId="028E6D1C" w:rsidR="006016DB" w:rsidRDefault="0012743A" w:rsidP="0012743A">
      <w:pPr>
        <w:spacing w:line="480" w:lineRule="auto"/>
        <w:rPr>
          <w:rFonts w:cs="Times New Roman"/>
        </w:rPr>
      </w:pPr>
      <w:r>
        <w:rPr>
          <w:rFonts w:cs="Times New Roman"/>
        </w:rPr>
        <w:tab/>
        <w:t xml:space="preserve">The results of my content analysis of </w:t>
      </w:r>
      <w:r w:rsidR="007C577B">
        <w:rPr>
          <w:rFonts w:cs="Times New Roman"/>
          <w:i/>
        </w:rPr>
        <w:t>GCN</w:t>
      </w:r>
      <w:r w:rsidR="007C577B">
        <w:rPr>
          <w:rFonts w:cs="Times New Roman"/>
        </w:rPr>
        <w:t>’s</w:t>
      </w:r>
      <w:r>
        <w:rPr>
          <w:rFonts w:cs="Times New Roman"/>
        </w:rPr>
        <w:t xml:space="preserve"> letters to the editor column</w:t>
      </w:r>
      <w:r w:rsidR="007C577B">
        <w:rPr>
          <w:rFonts w:cs="Times New Roman"/>
        </w:rPr>
        <w:t>s</w:t>
      </w:r>
      <w:r>
        <w:rPr>
          <w:rFonts w:cs="Times New Roman"/>
        </w:rPr>
        <w:t xml:space="preserve"> in</w:t>
      </w:r>
      <w:r w:rsidR="007C577B">
        <w:rPr>
          <w:rFonts w:cs="Times New Roman"/>
        </w:rPr>
        <w:t xml:space="preserve"> 1980, 1984, and 1988 demonstrate that </w:t>
      </w:r>
      <w:r w:rsidR="004F5CD9">
        <w:rPr>
          <w:rFonts w:cs="Times New Roman"/>
        </w:rPr>
        <w:t xml:space="preserve">rights talk </w:t>
      </w:r>
      <w:r w:rsidR="00853683">
        <w:rPr>
          <w:rFonts w:cs="Times New Roman"/>
        </w:rPr>
        <w:t xml:space="preserve">alone </w:t>
      </w:r>
      <w:r w:rsidR="00D93DD8">
        <w:rPr>
          <w:rFonts w:cs="Times New Roman"/>
        </w:rPr>
        <w:t xml:space="preserve">likely </w:t>
      </w:r>
      <w:r w:rsidR="00E930A0">
        <w:rPr>
          <w:rFonts w:cs="Times New Roman"/>
        </w:rPr>
        <w:t>did</w:t>
      </w:r>
      <w:r w:rsidR="004F5CD9">
        <w:rPr>
          <w:rFonts w:cs="Times New Roman"/>
        </w:rPr>
        <w:t xml:space="preserve"> </w:t>
      </w:r>
      <w:r w:rsidR="0043785E">
        <w:rPr>
          <w:rFonts w:cs="Times New Roman"/>
        </w:rPr>
        <w:t>not limit the LGBTQ</w:t>
      </w:r>
      <w:r w:rsidR="004F5CD9">
        <w:rPr>
          <w:rFonts w:cs="Times New Roman"/>
        </w:rPr>
        <w:t xml:space="preserve"> </w:t>
      </w:r>
      <w:r w:rsidR="0043785E">
        <w:rPr>
          <w:rFonts w:cs="Times New Roman"/>
        </w:rPr>
        <w:t>community’s agenda to legal rights</w:t>
      </w:r>
      <w:r w:rsidR="008B4227">
        <w:rPr>
          <w:rFonts w:cs="Times New Roman"/>
        </w:rPr>
        <w:t xml:space="preserve"> claims that fail to challenge structural inequalities and state power</w:t>
      </w:r>
      <w:r w:rsidR="007C577B">
        <w:rPr>
          <w:rFonts w:cs="Times New Roman"/>
        </w:rPr>
        <w:t>.</w:t>
      </w:r>
      <w:r w:rsidR="004F5CD9">
        <w:rPr>
          <w:rFonts w:cs="Times New Roman"/>
        </w:rPr>
        <w:t xml:space="preserve">  Instead, rights talk arose </w:t>
      </w:r>
      <w:r w:rsidR="006A1390">
        <w:rPr>
          <w:rFonts w:cs="Times New Roman"/>
        </w:rPr>
        <w:t xml:space="preserve">around both legal grievances and ordinary political grievances as they </w:t>
      </w:r>
      <w:r w:rsidR="002B0002">
        <w:rPr>
          <w:rFonts w:cs="Times New Roman"/>
        </w:rPr>
        <w:t>emerged as important issues from between 1980 and 1988</w:t>
      </w:r>
      <w:r w:rsidR="006A1390">
        <w:rPr>
          <w:rFonts w:cs="Times New Roman"/>
        </w:rPr>
        <w:t xml:space="preserve">.  </w:t>
      </w:r>
      <w:r w:rsidR="00D4119E">
        <w:rPr>
          <w:rFonts w:cs="Times New Roman"/>
        </w:rPr>
        <w:t>The community attached rights talk</w:t>
      </w:r>
      <w:r w:rsidR="008A21A2">
        <w:rPr>
          <w:rFonts w:cs="Times New Roman"/>
        </w:rPr>
        <w:t xml:space="preserve"> to almost every issue:</w:t>
      </w:r>
      <w:r w:rsidR="00D4119E">
        <w:rPr>
          <w:rFonts w:cs="Times New Roman"/>
        </w:rPr>
        <w:t xml:space="preserve"> to arguments on both sides of a given issue, while comparing </w:t>
      </w:r>
      <w:r w:rsidR="00BB6B31">
        <w:rPr>
          <w:rFonts w:cs="Times New Roman"/>
        </w:rPr>
        <w:t>LGBTQ</w:t>
      </w:r>
      <w:r w:rsidR="00D4119E">
        <w:rPr>
          <w:rFonts w:cs="Times New Roman"/>
        </w:rPr>
        <w:t xml:space="preserve"> struggles to the struggles of racial minorities, to discussions of political candidates and parties, and to issues that both emerged and disappeared over time.  </w:t>
      </w:r>
      <w:r w:rsidR="00D93DD8">
        <w:rPr>
          <w:rFonts w:cs="Times New Roman"/>
        </w:rPr>
        <w:t>These</w:t>
      </w:r>
      <w:r w:rsidR="007C577B">
        <w:rPr>
          <w:rFonts w:cs="Times New Roman"/>
        </w:rPr>
        <w:t xml:space="preserve"> finding</w:t>
      </w:r>
      <w:r w:rsidR="00D93DD8">
        <w:rPr>
          <w:rFonts w:cs="Times New Roman"/>
        </w:rPr>
        <w:t>s challenge</w:t>
      </w:r>
      <w:r w:rsidR="007C577B">
        <w:rPr>
          <w:rFonts w:cs="Times New Roman"/>
        </w:rPr>
        <w:t xml:space="preserve"> </w:t>
      </w:r>
      <w:r w:rsidR="00E930A0">
        <w:rPr>
          <w:rFonts w:cs="Times New Roman"/>
        </w:rPr>
        <w:t xml:space="preserve">the </w:t>
      </w:r>
      <w:r w:rsidR="00AD33EE">
        <w:rPr>
          <w:rFonts w:cs="Times New Roman"/>
        </w:rPr>
        <w:t>argument</w:t>
      </w:r>
      <w:r w:rsidR="007C577B">
        <w:rPr>
          <w:rFonts w:cs="Times New Roman"/>
        </w:rPr>
        <w:t xml:space="preserve"> that </w:t>
      </w:r>
      <w:r w:rsidR="00DD7A6D">
        <w:rPr>
          <w:rFonts w:cs="Times New Roman"/>
        </w:rPr>
        <w:t>rights</w:t>
      </w:r>
      <w:r w:rsidR="008B3D1A">
        <w:rPr>
          <w:rFonts w:cs="Times New Roman"/>
        </w:rPr>
        <w:t xml:space="preserve"> </w:t>
      </w:r>
      <w:r w:rsidR="002B0002">
        <w:rPr>
          <w:rFonts w:cs="Times New Roman"/>
        </w:rPr>
        <w:t xml:space="preserve">talk </w:t>
      </w:r>
      <w:r w:rsidR="008B4227">
        <w:rPr>
          <w:rFonts w:cs="Times New Roman"/>
        </w:rPr>
        <w:t>necessarily limits political activism within communities</w:t>
      </w:r>
      <w:r w:rsidR="007C577B">
        <w:rPr>
          <w:rFonts w:cs="Times New Roman"/>
        </w:rPr>
        <w:t xml:space="preserve">. </w:t>
      </w:r>
      <w:r w:rsidR="00900205">
        <w:rPr>
          <w:rFonts w:cs="Times New Roman"/>
        </w:rPr>
        <w:t xml:space="preserve"> </w:t>
      </w:r>
      <w:r w:rsidR="007C577B">
        <w:rPr>
          <w:rFonts w:cs="Times New Roman"/>
        </w:rPr>
        <w:t xml:space="preserve">Instead, the data indicates that the </w:t>
      </w:r>
      <w:r w:rsidR="00BB6B31">
        <w:rPr>
          <w:rFonts w:cs="Times New Roman"/>
        </w:rPr>
        <w:t>LGBTQ</w:t>
      </w:r>
      <w:r w:rsidR="007C577B">
        <w:rPr>
          <w:rFonts w:cs="Times New Roman"/>
        </w:rPr>
        <w:t xml:space="preserve"> community continued to attached rights talk to a variety of </w:t>
      </w:r>
      <w:r w:rsidR="006A1390">
        <w:rPr>
          <w:rFonts w:cs="Times New Roman"/>
        </w:rPr>
        <w:t xml:space="preserve">both legal and ordinary political </w:t>
      </w:r>
      <w:r w:rsidR="007C577B">
        <w:rPr>
          <w:rFonts w:cs="Times New Roman"/>
        </w:rPr>
        <w:t xml:space="preserve">issues throughout the 1980s, with the </w:t>
      </w:r>
      <w:r w:rsidR="00AD33EE">
        <w:rPr>
          <w:rFonts w:cs="Times New Roman"/>
        </w:rPr>
        <w:t>frequency</w:t>
      </w:r>
      <w:r w:rsidR="007C577B">
        <w:rPr>
          <w:rFonts w:cs="Times New Roman"/>
        </w:rPr>
        <w:t xml:space="preserve"> of rights talk and issues varying each year.</w:t>
      </w:r>
      <w:r w:rsidR="00120D6A">
        <w:rPr>
          <w:rFonts w:cs="Times New Roman"/>
        </w:rPr>
        <w:t xml:space="preserve">  </w:t>
      </w:r>
      <w:r w:rsidR="00AD33EE">
        <w:rPr>
          <w:rFonts w:cs="Times New Roman"/>
        </w:rPr>
        <w:tab/>
      </w:r>
    </w:p>
    <w:p w14:paraId="1787DA50" w14:textId="07061CD0" w:rsidR="0012743A" w:rsidRDefault="006016DB" w:rsidP="0012743A">
      <w:pPr>
        <w:spacing w:line="480" w:lineRule="auto"/>
        <w:rPr>
          <w:rFonts w:cs="Times New Roman"/>
        </w:rPr>
      </w:pPr>
      <w:r>
        <w:rPr>
          <w:rFonts w:cs="Times New Roman"/>
        </w:rPr>
        <w:tab/>
      </w:r>
      <w:r w:rsidR="008A21A2">
        <w:rPr>
          <w:rFonts w:cs="Times New Roman"/>
        </w:rPr>
        <w:t xml:space="preserve">There may be some issues that rights talk does not readily attach to, but, given the data presented above, it is difficult to imagine what these issues might be.  </w:t>
      </w:r>
      <w:r w:rsidR="006A1390">
        <w:rPr>
          <w:rFonts w:cs="Times New Roman"/>
        </w:rPr>
        <w:t xml:space="preserve">Based on the results presented </w:t>
      </w:r>
      <w:r w:rsidR="008A21A2">
        <w:rPr>
          <w:rFonts w:cs="Times New Roman"/>
        </w:rPr>
        <w:t>in the preceding section</w:t>
      </w:r>
      <w:r w:rsidR="00D93DD8">
        <w:rPr>
          <w:rFonts w:cs="Times New Roman"/>
        </w:rPr>
        <w:t xml:space="preserve">, </w:t>
      </w:r>
      <w:r w:rsidR="006A1390">
        <w:rPr>
          <w:rFonts w:cs="Times New Roman"/>
        </w:rPr>
        <w:t>t</w:t>
      </w:r>
      <w:r w:rsidR="00B41A35">
        <w:rPr>
          <w:rFonts w:cs="Times New Roman"/>
        </w:rPr>
        <w:t>his sec</w:t>
      </w:r>
      <w:r w:rsidR="00796EE0">
        <w:rPr>
          <w:rFonts w:cs="Times New Roman"/>
        </w:rPr>
        <w:t>tion will argue the following: (1</w:t>
      </w:r>
      <w:r w:rsidR="00B41A35">
        <w:rPr>
          <w:rFonts w:cs="Times New Roman"/>
        </w:rPr>
        <w:t xml:space="preserve">) that </w:t>
      </w:r>
      <w:r w:rsidR="006A1390">
        <w:rPr>
          <w:rFonts w:cs="Times New Roman"/>
        </w:rPr>
        <w:t>scholarship</w:t>
      </w:r>
      <w:r w:rsidR="00B41A35">
        <w:rPr>
          <w:rFonts w:cs="Times New Roman"/>
        </w:rPr>
        <w:t xml:space="preserve"> that </w:t>
      </w:r>
      <w:r w:rsidR="006A1390">
        <w:rPr>
          <w:rFonts w:cs="Times New Roman"/>
        </w:rPr>
        <w:t xml:space="preserve">argues that </w:t>
      </w:r>
      <w:r w:rsidR="00664860">
        <w:rPr>
          <w:rFonts w:cs="Times New Roman"/>
        </w:rPr>
        <w:t>litigation is</w:t>
      </w:r>
      <w:r w:rsidR="00B41A35">
        <w:rPr>
          <w:rFonts w:cs="Times New Roman"/>
        </w:rPr>
        <w:t xml:space="preserve"> deter</w:t>
      </w:r>
      <w:r w:rsidR="00796EE0">
        <w:rPr>
          <w:rFonts w:cs="Times New Roman"/>
        </w:rPr>
        <w:t xml:space="preserve">minative </w:t>
      </w:r>
      <w:r w:rsidR="008B3D1A">
        <w:rPr>
          <w:rFonts w:cs="Times New Roman"/>
        </w:rPr>
        <w:t>is</w:t>
      </w:r>
      <w:r w:rsidR="00796EE0">
        <w:rPr>
          <w:rFonts w:cs="Times New Roman"/>
        </w:rPr>
        <w:t xml:space="preserve"> problematic</w:t>
      </w:r>
      <w:r w:rsidR="006A1390">
        <w:rPr>
          <w:rFonts w:cs="Times New Roman"/>
        </w:rPr>
        <w:t xml:space="preserve"> because it fails to acknowledge that rights talk, a measure of how communities engage in legal language, is dynamic rather than static and is frequently attached to ordinary political rather than purely legal issues</w:t>
      </w:r>
      <w:r w:rsidR="00796EE0">
        <w:rPr>
          <w:rFonts w:cs="Times New Roman"/>
        </w:rPr>
        <w:t>, and (2</w:t>
      </w:r>
      <w:r w:rsidR="00B41A35">
        <w:rPr>
          <w:rFonts w:cs="Times New Roman"/>
        </w:rPr>
        <w:t>) that, given the adaptability of rights talk, rights language</w:t>
      </w:r>
      <w:r w:rsidR="00D93DD8">
        <w:rPr>
          <w:rFonts w:cs="Times New Roman"/>
        </w:rPr>
        <w:t xml:space="preserve"> alone</w:t>
      </w:r>
      <w:r w:rsidR="00B41A35">
        <w:rPr>
          <w:rFonts w:cs="Times New Roman"/>
        </w:rPr>
        <w:t xml:space="preserve"> </w:t>
      </w:r>
      <w:r w:rsidR="00741B8C">
        <w:rPr>
          <w:rFonts w:cs="Times New Roman"/>
        </w:rPr>
        <w:t xml:space="preserve">is likely not connected to </w:t>
      </w:r>
      <w:r w:rsidR="008B4227">
        <w:rPr>
          <w:rFonts w:cs="Times New Roman"/>
        </w:rPr>
        <w:t xml:space="preserve">forcing </w:t>
      </w:r>
      <w:r w:rsidR="004A1148">
        <w:rPr>
          <w:rFonts w:cs="Times New Roman"/>
        </w:rPr>
        <w:t xml:space="preserve">formal </w:t>
      </w:r>
      <w:r w:rsidR="008B4227">
        <w:rPr>
          <w:rFonts w:cs="Times New Roman"/>
        </w:rPr>
        <w:t>legal rights claims, like</w:t>
      </w:r>
      <w:r w:rsidR="006A1390">
        <w:rPr>
          <w:rFonts w:cs="Times New Roman"/>
        </w:rPr>
        <w:t xml:space="preserve"> same-sex marriage</w:t>
      </w:r>
      <w:r w:rsidR="00741B8C">
        <w:rPr>
          <w:rFonts w:cs="Times New Roman"/>
        </w:rPr>
        <w:t xml:space="preserve"> </w:t>
      </w:r>
      <w:r w:rsidR="008B4227">
        <w:rPr>
          <w:rFonts w:cs="Times New Roman"/>
        </w:rPr>
        <w:t>onto</w:t>
      </w:r>
      <w:r w:rsidR="00C914C2">
        <w:rPr>
          <w:rFonts w:cs="Times New Roman"/>
        </w:rPr>
        <w:t xml:space="preserve"> the</w:t>
      </w:r>
      <w:r w:rsidR="00741B8C">
        <w:rPr>
          <w:rFonts w:cs="Times New Roman"/>
        </w:rPr>
        <w:t xml:space="preserve"> LGBTQ</w:t>
      </w:r>
      <w:r w:rsidR="008B4227">
        <w:rPr>
          <w:rFonts w:cs="Times New Roman"/>
        </w:rPr>
        <w:t xml:space="preserve"> community’s agenda.  I</w:t>
      </w:r>
      <w:r w:rsidR="00741B8C">
        <w:rPr>
          <w:rFonts w:cs="Times New Roman"/>
        </w:rPr>
        <w:t>nstead</w:t>
      </w:r>
      <w:r w:rsidR="008B4227">
        <w:rPr>
          <w:rFonts w:cs="Times New Roman"/>
        </w:rPr>
        <w:t>,</w:t>
      </w:r>
      <w:r w:rsidR="00741B8C">
        <w:rPr>
          <w:rFonts w:cs="Times New Roman"/>
        </w:rPr>
        <w:t xml:space="preserve"> </w:t>
      </w:r>
      <w:r w:rsidR="00A70CFE">
        <w:rPr>
          <w:rFonts w:cs="Times New Roman"/>
        </w:rPr>
        <w:t xml:space="preserve">organizational activists, </w:t>
      </w:r>
      <w:r w:rsidR="00741B8C">
        <w:rPr>
          <w:rFonts w:cs="Times New Roman"/>
        </w:rPr>
        <w:t>lawyers</w:t>
      </w:r>
      <w:r w:rsidR="00A70CFE">
        <w:rPr>
          <w:rFonts w:cs="Times New Roman"/>
        </w:rPr>
        <w:t>, and/or external social and political events</w:t>
      </w:r>
      <w:r w:rsidR="00741B8C">
        <w:rPr>
          <w:rFonts w:cs="Times New Roman"/>
        </w:rPr>
        <w:t xml:space="preserve"> may have played a greater role </w:t>
      </w:r>
      <w:r w:rsidR="00A70CFE">
        <w:rPr>
          <w:rFonts w:cs="Times New Roman"/>
        </w:rPr>
        <w:t>in shifting the LGBTQ populations towards a focus on the right to marriage</w:t>
      </w:r>
      <w:r w:rsidR="00CD0B1C">
        <w:rPr>
          <w:rFonts w:cs="Times New Roman"/>
        </w:rPr>
        <w:t xml:space="preserve">. </w:t>
      </w:r>
    </w:p>
    <w:p w14:paraId="31665E9E" w14:textId="5FB5503F" w:rsidR="003B0844" w:rsidRDefault="00B6108A" w:rsidP="0012743A">
      <w:pPr>
        <w:spacing w:line="480" w:lineRule="auto"/>
        <w:rPr>
          <w:rFonts w:cs="Times New Roman"/>
        </w:rPr>
      </w:pPr>
      <w:r>
        <w:rPr>
          <w:rFonts w:cs="Times New Roman"/>
        </w:rPr>
        <w:tab/>
      </w:r>
      <w:r w:rsidR="00EF0176">
        <w:rPr>
          <w:rFonts w:cs="Times New Roman"/>
        </w:rPr>
        <w:t xml:space="preserve"> </w:t>
      </w:r>
      <w:r w:rsidR="00E66C95">
        <w:rPr>
          <w:rFonts w:cs="Times New Roman"/>
        </w:rPr>
        <w:t>Rights critiques suggest that rights discourse</w:t>
      </w:r>
      <w:r w:rsidR="006A09EE">
        <w:rPr>
          <w:rFonts w:cs="Times New Roman"/>
        </w:rPr>
        <w:t xml:space="preserve"> is deterministic, that it </w:t>
      </w:r>
      <w:r w:rsidR="003B0844">
        <w:rPr>
          <w:rFonts w:cs="Times New Roman"/>
        </w:rPr>
        <w:t xml:space="preserve">limits the </w:t>
      </w:r>
      <w:r w:rsidR="00BB6B31">
        <w:rPr>
          <w:rFonts w:cs="Times New Roman"/>
        </w:rPr>
        <w:t>LGBTQ</w:t>
      </w:r>
      <w:r w:rsidR="00E8708B">
        <w:rPr>
          <w:rFonts w:cs="Times New Roman"/>
        </w:rPr>
        <w:t xml:space="preserve"> </w:t>
      </w:r>
      <w:r w:rsidR="00931D68">
        <w:rPr>
          <w:rFonts w:cs="Times New Roman"/>
        </w:rPr>
        <w:t>population’s collective interests</w:t>
      </w:r>
      <w:r w:rsidR="00E8708B">
        <w:rPr>
          <w:rFonts w:cs="Times New Roman"/>
        </w:rPr>
        <w:t xml:space="preserve"> </w:t>
      </w:r>
      <w:r w:rsidR="003B0844">
        <w:rPr>
          <w:rFonts w:cs="Times New Roman"/>
        </w:rPr>
        <w:t>to a small number of issues while marginalizing others</w:t>
      </w:r>
      <w:r w:rsidR="00E66C95">
        <w:rPr>
          <w:rFonts w:cs="Times New Roman"/>
        </w:rPr>
        <w:t xml:space="preserve"> (Spade, 2011; Eng, 2010; Butler, 2004; Brown, 1995)</w:t>
      </w:r>
      <w:r w:rsidR="003B0844">
        <w:rPr>
          <w:rFonts w:cs="Times New Roman"/>
        </w:rPr>
        <w:t xml:space="preserve">.  Spade (2011) makes this argument, </w:t>
      </w:r>
      <w:r w:rsidR="00E8708B">
        <w:rPr>
          <w:rFonts w:cs="Times New Roman"/>
        </w:rPr>
        <w:t xml:space="preserve">for example, by </w:t>
      </w:r>
      <w:r w:rsidR="003B0844">
        <w:rPr>
          <w:rFonts w:cs="Times New Roman"/>
        </w:rPr>
        <w:t xml:space="preserve">asserting that the </w:t>
      </w:r>
      <w:r w:rsidR="00BB6B31">
        <w:rPr>
          <w:rFonts w:cs="Times New Roman"/>
        </w:rPr>
        <w:t>LGBTQ</w:t>
      </w:r>
      <w:r w:rsidR="003B0844">
        <w:rPr>
          <w:rFonts w:cs="Times New Roman"/>
        </w:rPr>
        <w:t xml:space="preserve"> </w:t>
      </w:r>
      <w:r w:rsidR="00931D68">
        <w:rPr>
          <w:rFonts w:cs="Times New Roman"/>
        </w:rPr>
        <w:t>population’s</w:t>
      </w:r>
      <w:r w:rsidR="003B0844">
        <w:rPr>
          <w:rFonts w:cs="Times New Roman"/>
        </w:rPr>
        <w:t xml:space="preserve"> </w:t>
      </w:r>
      <w:r w:rsidR="00E8708B">
        <w:rPr>
          <w:rFonts w:cs="Times New Roman"/>
        </w:rPr>
        <w:t>attention</w:t>
      </w:r>
      <w:r w:rsidR="003B0844">
        <w:rPr>
          <w:rFonts w:cs="Times New Roman"/>
        </w:rPr>
        <w:t xml:space="preserve"> on legal tactics</w:t>
      </w:r>
      <w:r w:rsidR="00E8708B">
        <w:rPr>
          <w:rFonts w:cs="Times New Roman"/>
        </w:rPr>
        <w:t xml:space="preserve"> and rights discourse</w:t>
      </w:r>
      <w:r w:rsidR="00371079">
        <w:rPr>
          <w:rFonts w:cs="Times New Roman"/>
        </w:rPr>
        <w:t xml:space="preserve"> </w:t>
      </w:r>
      <w:r w:rsidR="00931D68">
        <w:rPr>
          <w:rFonts w:cs="Times New Roman"/>
        </w:rPr>
        <w:t>contributed to the emergence of</w:t>
      </w:r>
      <w:r w:rsidR="00371079">
        <w:rPr>
          <w:rFonts w:cs="Times New Roman"/>
        </w:rPr>
        <w:t xml:space="preserve"> </w:t>
      </w:r>
      <w:r w:rsidR="003B0844">
        <w:rPr>
          <w:rFonts w:cs="Times New Roman"/>
        </w:rPr>
        <w:t xml:space="preserve">same-sex marriage </w:t>
      </w:r>
      <w:r w:rsidR="00931D68">
        <w:rPr>
          <w:rFonts w:cs="Times New Roman"/>
        </w:rPr>
        <w:t>as a major issue in the LGBT Rights Movement instead of</w:t>
      </w:r>
      <w:r w:rsidR="003B0844">
        <w:rPr>
          <w:rFonts w:cs="Times New Roman"/>
        </w:rPr>
        <w:t xml:space="preserve"> non-legal solutions to the real violence faced by </w:t>
      </w:r>
      <w:r w:rsidR="00664860">
        <w:rPr>
          <w:rFonts w:cs="Times New Roman"/>
        </w:rPr>
        <w:t xml:space="preserve">LGBTQ </w:t>
      </w:r>
      <w:r w:rsidR="003B0844">
        <w:rPr>
          <w:rFonts w:cs="Times New Roman"/>
        </w:rPr>
        <w:t>racial mino</w:t>
      </w:r>
      <w:r w:rsidR="00931D68">
        <w:rPr>
          <w:rFonts w:cs="Times New Roman"/>
        </w:rPr>
        <w:t>r</w:t>
      </w:r>
      <w:r w:rsidR="00F916CB">
        <w:rPr>
          <w:rFonts w:cs="Times New Roman"/>
        </w:rPr>
        <w:t>ities and transgender</w:t>
      </w:r>
      <w:r w:rsidR="00931D68">
        <w:rPr>
          <w:rFonts w:cs="Times New Roman"/>
        </w:rPr>
        <w:t xml:space="preserve"> </w:t>
      </w:r>
      <w:r w:rsidR="00F916CB">
        <w:rPr>
          <w:rFonts w:cs="Times New Roman"/>
        </w:rPr>
        <w:t>persons</w:t>
      </w:r>
      <w:r w:rsidR="003B0844">
        <w:rPr>
          <w:rFonts w:cs="Times New Roman"/>
        </w:rPr>
        <w:t xml:space="preserve">.  However, the research presented in this study </w:t>
      </w:r>
      <w:r w:rsidR="00F916CB">
        <w:rPr>
          <w:rFonts w:cs="Times New Roman"/>
        </w:rPr>
        <w:t>delineates</w:t>
      </w:r>
      <w:r w:rsidR="003B0844">
        <w:rPr>
          <w:rFonts w:cs="Times New Roman"/>
        </w:rPr>
        <w:t xml:space="preserve"> an alternative narrative</w:t>
      </w:r>
      <w:r w:rsidR="00A70CFE">
        <w:rPr>
          <w:rFonts w:cs="Times New Roman"/>
        </w:rPr>
        <w:t xml:space="preserve"> respecting rights discourse</w:t>
      </w:r>
      <w:r w:rsidR="00E66C95">
        <w:rPr>
          <w:rFonts w:cs="Times New Roman"/>
        </w:rPr>
        <w:t>. Rights talk may not limit the LGBTQ community’s agenda to formal legal rights claims</w:t>
      </w:r>
      <w:r w:rsidR="003B0844">
        <w:rPr>
          <w:rFonts w:cs="Times New Roman"/>
        </w:rPr>
        <w:t>; instead, rights</w:t>
      </w:r>
      <w:r w:rsidR="00E66C95">
        <w:rPr>
          <w:rFonts w:cs="Times New Roman"/>
        </w:rPr>
        <w:t xml:space="preserve"> discourse from the bottom-up is</w:t>
      </w:r>
      <w:r w:rsidR="00F916CB">
        <w:rPr>
          <w:rFonts w:cs="Times New Roman"/>
        </w:rPr>
        <w:t xml:space="preserve"> malleable and can attach</w:t>
      </w:r>
      <w:r w:rsidR="003B0844">
        <w:rPr>
          <w:rFonts w:cs="Times New Roman"/>
        </w:rPr>
        <w:t xml:space="preserve"> to a wide variety of issues, including issues that are non-legal in nature.  For example, </w:t>
      </w:r>
      <w:r w:rsidR="00BB6B31">
        <w:rPr>
          <w:rFonts w:cs="Times New Roman"/>
        </w:rPr>
        <w:t>LGBTQ</w:t>
      </w:r>
      <w:r w:rsidR="003B0844">
        <w:rPr>
          <w:rFonts w:cs="Times New Roman"/>
        </w:rPr>
        <w:t xml:space="preserve"> community members who wrote in </w:t>
      </w:r>
      <w:r w:rsidR="003B0844">
        <w:rPr>
          <w:rFonts w:cs="Times New Roman"/>
          <w:i/>
        </w:rPr>
        <w:t>Community Voices</w:t>
      </w:r>
      <w:r w:rsidR="003B0844">
        <w:rPr>
          <w:rFonts w:cs="Times New Roman"/>
        </w:rPr>
        <w:t xml:space="preserve"> and </w:t>
      </w:r>
      <w:r w:rsidR="003B0844">
        <w:rPr>
          <w:rFonts w:cs="Times New Roman"/>
          <w:i/>
        </w:rPr>
        <w:t>Speaking Out</w:t>
      </w:r>
      <w:r w:rsidR="003B0844">
        <w:rPr>
          <w:rFonts w:cs="Times New Roman"/>
        </w:rPr>
        <w:t xml:space="preserve"> from 1980 to 1988 used rights language while</w:t>
      </w:r>
      <w:r w:rsidR="00664860">
        <w:rPr>
          <w:rFonts w:cs="Times New Roman"/>
        </w:rPr>
        <w:t xml:space="preserve"> discussing the relationship between the struggles of LGBTQ</w:t>
      </w:r>
      <w:r w:rsidR="00E66C95">
        <w:rPr>
          <w:rFonts w:cs="Times New Roman"/>
        </w:rPr>
        <w:t>-identified</w:t>
      </w:r>
      <w:r w:rsidR="00664860">
        <w:rPr>
          <w:rFonts w:cs="Times New Roman"/>
        </w:rPr>
        <w:t xml:space="preserve"> peoples and racial minorities (including racial minorities within the LGBTQ community), while</w:t>
      </w:r>
      <w:r w:rsidR="003B0844">
        <w:rPr>
          <w:rFonts w:cs="Times New Roman"/>
        </w:rPr>
        <w:t xml:space="preserve"> advocating for political candidates, while encouraging the social recognition of the AIDS epidemic, and while </w:t>
      </w:r>
      <w:r w:rsidR="004E59CE">
        <w:rPr>
          <w:rFonts w:cs="Times New Roman"/>
        </w:rPr>
        <w:t xml:space="preserve">protesting negative depictions of lesbians and gay men in the media.  Each of these issues did not address litigation or formal legal processes.  Instead, rights language represented the politicization of a </w:t>
      </w:r>
      <w:r w:rsidR="00F916CB">
        <w:rPr>
          <w:rFonts w:cs="Times New Roman"/>
        </w:rPr>
        <w:t>community’s</w:t>
      </w:r>
      <w:r w:rsidR="004E59CE">
        <w:rPr>
          <w:rFonts w:cs="Times New Roman"/>
        </w:rPr>
        <w:t xml:space="preserve"> call for social recognition.  </w:t>
      </w:r>
    </w:p>
    <w:p w14:paraId="0C1297F4" w14:textId="686C044A" w:rsidR="004E59CE" w:rsidRPr="003B0844" w:rsidRDefault="004E59CE" w:rsidP="0012743A">
      <w:pPr>
        <w:spacing w:line="480" w:lineRule="auto"/>
        <w:rPr>
          <w:rFonts w:cs="Times New Roman"/>
        </w:rPr>
      </w:pPr>
      <w:r>
        <w:rPr>
          <w:rFonts w:cs="Times New Roman"/>
        </w:rPr>
        <w:tab/>
        <w:t xml:space="preserve">Furthermore, this study reveals that rights talk is dynamic </w:t>
      </w:r>
      <w:r w:rsidR="00A70CFE">
        <w:rPr>
          <w:rFonts w:cs="Times New Roman"/>
        </w:rPr>
        <w:t xml:space="preserve">and </w:t>
      </w:r>
      <w:r w:rsidR="00576F19">
        <w:rPr>
          <w:rFonts w:cs="Times New Roman"/>
        </w:rPr>
        <w:t>malleable (Lovell, 2012)</w:t>
      </w:r>
      <w:r>
        <w:rPr>
          <w:rFonts w:cs="Times New Roman"/>
        </w:rPr>
        <w:t xml:space="preserve">.  Rights talk is adaptable in that it readily attaches to perceived community grievances as they arise.  For instance, rights talk occurred with greater frequency with the AIDS epidemic, gradually increasing in prominence from 1980 to 1984 to 1988.  Similarly, rights talk appeared </w:t>
      </w:r>
      <w:r w:rsidR="00664860">
        <w:rPr>
          <w:rFonts w:cs="Times New Roman"/>
        </w:rPr>
        <w:t>following</w:t>
      </w:r>
      <w:r>
        <w:rPr>
          <w:rFonts w:cs="Times New Roman"/>
        </w:rPr>
        <w:t xml:space="preserve"> media discussions during the protests of </w:t>
      </w:r>
      <w:r>
        <w:rPr>
          <w:rFonts w:cs="Times New Roman"/>
          <w:i/>
        </w:rPr>
        <w:t>Cruising</w:t>
      </w:r>
      <w:r>
        <w:rPr>
          <w:rFonts w:cs="Times New Roman"/>
        </w:rPr>
        <w:t xml:space="preserve"> and </w:t>
      </w:r>
      <w:r>
        <w:rPr>
          <w:rFonts w:cs="Times New Roman"/>
          <w:i/>
        </w:rPr>
        <w:t>Windows</w:t>
      </w:r>
      <w:r>
        <w:rPr>
          <w:rFonts w:cs="Times New Roman"/>
        </w:rPr>
        <w:t xml:space="preserve"> in 1980 and disappeared from media discussions in 1984 and 1988 in both l</w:t>
      </w:r>
      <w:r w:rsidR="00664860">
        <w:rPr>
          <w:rFonts w:cs="Times New Roman"/>
        </w:rPr>
        <w:t xml:space="preserve">etters to the editor columns.  </w:t>
      </w:r>
      <w:r w:rsidR="00576F19">
        <w:rPr>
          <w:rFonts w:cs="Times New Roman"/>
        </w:rPr>
        <w:t>This suggests that</w:t>
      </w:r>
      <w:r>
        <w:rPr>
          <w:rFonts w:cs="Times New Roman"/>
        </w:rPr>
        <w:t xml:space="preserve"> rights talk </w:t>
      </w:r>
      <w:r w:rsidR="00FA34A7">
        <w:rPr>
          <w:rFonts w:cs="Times New Roman"/>
        </w:rPr>
        <w:t>likely</w:t>
      </w:r>
      <w:r>
        <w:rPr>
          <w:rFonts w:cs="Times New Roman"/>
        </w:rPr>
        <w:t xml:space="preserve"> arises alongside issues that gain salience due to external events that impact a </w:t>
      </w:r>
      <w:r w:rsidR="00FA34A7">
        <w:rPr>
          <w:rFonts w:cs="Times New Roman"/>
        </w:rPr>
        <w:t>population</w:t>
      </w:r>
      <w:r>
        <w:rPr>
          <w:rFonts w:cs="Times New Roman"/>
        </w:rPr>
        <w:t>.</w:t>
      </w:r>
    </w:p>
    <w:p w14:paraId="6307BD7F" w14:textId="1C821C26" w:rsidR="00532E17" w:rsidRDefault="003B0844" w:rsidP="0012743A">
      <w:pPr>
        <w:spacing w:line="480" w:lineRule="auto"/>
        <w:rPr>
          <w:rFonts w:cs="Times New Roman"/>
        </w:rPr>
      </w:pPr>
      <w:r>
        <w:rPr>
          <w:rFonts w:cs="Times New Roman"/>
        </w:rPr>
        <w:tab/>
        <w:t xml:space="preserve"> </w:t>
      </w:r>
      <w:r w:rsidR="004E59CE">
        <w:rPr>
          <w:rFonts w:cs="Times New Roman"/>
        </w:rPr>
        <w:t xml:space="preserve">Even though rights talk is dynamic rather than static, rights is still constraining in other respects. </w:t>
      </w:r>
      <w:r w:rsidR="008A21A2">
        <w:rPr>
          <w:rFonts w:cs="Times New Roman"/>
        </w:rPr>
        <w:t xml:space="preserve">In other words, the findings reported in this study do not indicate that rights talk is incapable of constraining a community.  Rather, the findings indicate that rights talk </w:t>
      </w:r>
      <w:r w:rsidR="00FA34A7">
        <w:rPr>
          <w:rFonts w:cs="Times New Roman"/>
        </w:rPr>
        <w:t xml:space="preserve">is not connected to </w:t>
      </w:r>
      <w:r w:rsidR="00576F19">
        <w:rPr>
          <w:rFonts w:cs="Times New Roman"/>
        </w:rPr>
        <w:t>agenda setting</w:t>
      </w:r>
      <w:r w:rsidR="008A21A2">
        <w:rPr>
          <w:rFonts w:cs="Times New Roman"/>
        </w:rPr>
        <w:t xml:space="preserve"> and that adopting rights talk does not preclude the adoption of new issues over time as communities respond to the rise of new circumstances and events.  </w:t>
      </w:r>
      <w:r w:rsidR="004E59CE">
        <w:rPr>
          <w:rFonts w:cs="Times New Roman"/>
        </w:rPr>
        <w:t>L</w:t>
      </w:r>
      <w:r w:rsidR="00901E05">
        <w:rPr>
          <w:rFonts w:cs="Times New Roman"/>
        </w:rPr>
        <w:t xml:space="preserve">ike other linguistic means of identifying a collective grievance, </w:t>
      </w:r>
      <w:r w:rsidR="004E59CE">
        <w:rPr>
          <w:rFonts w:cs="Times New Roman"/>
        </w:rPr>
        <w:t xml:space="preserve">rights talk </w:t>
      </w:r>
      <w:r w:rsidR="00901E05">
        <w:rPr>
          <w:rFonts w:cs="Times New Roman"/>
        </w:rPr>
        <w:t>enable</w:t>
      </w:r>
      <w:r w:rsidR="004E59CE">
        <w:rPr>
          <w:rFonts w:cs="Times New Roman"/>
        </w:rPr>
        <w:t>s</w:t>
      </w:r>
      <w:r w:rsidR="00901E05">
        <w:rPr>
          <w:rFonts w:cs="Times New Roman"/>
        </w:rPr>
        <w:t xml:space="preserve"> minority groups to define </w:t>
      </w:r>
      <w:r w:rsidR="003E0383">
        <w:rPr>
          <w:rFonts w:cs="Times New Roman"/>
        </w:rPr>
        <w:t>their goals, and, in doing so, open themselves to l</w:t>
      </w:r>
      <w:r w:rsidR="004E59CE">
        <w:rPr>
          <w:rFonts w:cs="Times New Roman"/>
        </w:rPr>
        <w:t>anguage appropriation, or attacks</w:t>
      </w:r>
      <w:r w:rsidR="003E0383">
        <w:rPr>
          <w:rFonts w:cs="Times New Roman"/>
        </w:rPr>
        <w:t xml:space="preserve"> from counter-movements.  </w:t>
      </w:r>
      <w:r w:rsidR="00532E17">
        <w:rPr>
          <w:rFonts w:cs="Times New Roman"/>
        </w:rPr>
        <w:t xml:space="preserve">Language appropriation is most apparent in the use of “special rights” claiming done by </w:t>
      </w:r>
      <w:r w:rsidR="00BB6B31">
        <w:rPr>
          <w:rFonts w:cs="Times New Roman"/>
        </w:rPr>
        <w:t>LGBTQ</w:t>
      </w:r>
      <w:r w:rsidR="00532E17">
        <w:rPr>
          <w:rFonts w:cs="Times New Roman"/>
        </w:rPr>
        <w:t xml:space="preserve"> community opponents.  “S</w:t>
      </w:r>
      <w:r w:rsidR="00532E17" w:rsidRPr="00674C5B">
        <w:rPr>
          <w:rFonts w:cs="Times New Roman"/>
        </w:rPr>
        <w:t xml:space="preserve">pecial rights” </w:t>
      </w:r>
      <w:r w:rsidR="005C2EE9">
        <w:rPr>
          <w:rFonts w:cs="Times New Roman"/>
        </w:rPr>
        <w:t>claims</w:t>
      </w:r>
      <w:r w:rsidR="00F916CB">
        <w:rPr>
          <w:rFonts w:cs="Times New Roman"/>
        </w:rPr>
        <w:t xml:space="preserve"> essentially argue</w:t>
      </w:r>
      <w:r w:rsidR="00532E17" w:rsidRPr="00674C5B">
        <w:rPr>
          <w:rFonts w:cs="Times New Roman"/>
        </w:rPr>
        <w:t xml:space="preserve"> that when </w:t>
      </w:r>
      <w:r w:rsidR="00BB6B31">
        <w:rPr>
          <w:rFonts w:cs="Times New Roman"/>
        </w:rPr>
        <w:t>LGBTQ</w:t>
      </w:r>
      <w:r w:rsidR="00532E17" w:rsidRPr="00674C5B">
        <w:rPr>
          <w:rFonts w:cs="Times New Roman"/>
        </w:rPr>
        <w:t xml:space="preserve"> </w:t>
      </w:r>
      <w:r w:rsidR="00532E17">
        <w:rPr>
          <w:rFonts w:cs="Times New Roman"/>
        </w:rPr>
        <w:t>community members</w:t>
      </w:r>
      <w:r w:rsidR="00532E17" w:rsidRPr="00674C5B">
        <w:rPr>
          <w:rFonts w:cs="Times New Roman"/>
        </w:rPr>
        <w:t xml:space="preserve"> </w:t>
      </w:r>
      <w:r w:rsidR="009B16AF">
        <w:rPr>
          <w:rFonts w:cs="Times New Roman"/>
        </w:rPr>
        <w:t>assert</w:t>
      </w:r>
      <w:r w:rsidR="00532E17" w:rsidRPr="00674C5B">
        <w:rPr>
          <w:rFonts w:cs="Times New Roman"/>
        </w:rPr>
        <w:t xml:space="preserve"> that laws need to be changed to </w:t>
      </w:r>
      <w:r w:rsidR="00D57471">
        <w:rPr>
          <w:rFonts w:cs="Times New Roman"/>
        </w:rPr>
        <w:t>realize</w:t>
      </w:r>
      <w:r w:rsidR="00532E17" w:rsidRPr="00674C5B">
        <w:rPr>
          <w:rFonts w:cs="Times New Roman"/>
        </w:rPr>
        <w:t xml:space="preserve"> equal treatment, these </w:t>
      </w:r>
      <w:r w:rsidR="00532E17">
        <w:rPr>
          <w:rFonts w:cs="Times New Roman"/>
        </w:rPr>
        <w:t>individuals</w:t>
      </w:r>
      <w:r w:rsidR="00532E17" w:rsidRPr="00674C5B">
        <w:rPr>
          <w:rFonts w:cs="Times New Roman"/>
        </w:rPr>
        <w:t xml:space="preserve"> are asking for </w:t>
      </w:r>
      <w:r w:rsidR="00532E17" w:rsidRPr="00674C5B">
        <w:rPr>
          <w:rFonts w:cs="Times New Roman"/>
          <w:i/>
        </w:rPr>
        <w:t>more</w:t>
      </w:r>
      <w:r w:rsidR="00532E17" w:rsidRPr="00674C5B">
        <w:rPr>
          <w:rFonts w:cs="Times New Roman"/>
        </w:rPr>
        <w:t xml:space="preserve"> rights than the average American receives.</w:t>
      </w:r>
      <w:r w:rsidR="00532E17">
        <w:rPr>
          <w:rFonts w:cs="Times New Roman"/>
        </w:rPr>
        <w:t xml:space="preserve">  This type of rights talk </w:t>
      </w:r>
      <w:r w:rsidR="00532E17" w:rsidRPr="00674C5B">
        <w:t>“</w:t>
      </w:r>
      <w:r w:rsidR="00532E17" w:rsidRPr="00674C5B">
        <w:rPr>
          <w:rFonts w:cs="Times New Roman"/>
        </w:rPr>
        <w:t>infuses conservative political action with nationalistic ardor…[and] convinces [conservatives] that their opposition is necessary for protecting the Ame</w:t>
      </w:r>
      <w:r w:rsidR="00532E17">
        <w:rPr>
          <w:rFonts w:cs="Times New Roman"/>
        </w:rPr>
        <w:t>rican way of life” (Dudas, 2005, p.</w:t>
      </w:r>
      <w:r w:rsidR="00532E17" w:rsidRPr="00674C5B">
        <w:rPr>
          <w:rFonts w:cs="Times New Roman"/>
        </w:rPr>
        <w:t xml:space="preserve"> 725).</w:t>
      </w:r>
      <w:r w:rsidR="00532E17">
        <w:rPr>
          <w:rFonts w:cs="Times New Roman"/>
        </w:rPr>
        <w:t xml:space="preserve">  Through “special rights</w:t>
      </w:r>
      <w:r w:rsidR="00D57471">
        <w:rPr>
          <w:rFonts w:cs="Times New Roman"/>
        </w:rPr>
        <w:t>”</w:t>
      </w:r>
      <w:r w:rsidR="00532E17">
        <w:rPr>
          <w:rFonts w:cs="Times New Roman"/>
        </w:rPr>
        <w:t xml:space="preserve"> </w:t>
      </w:r>
      <w:r w:rsidR="005C2EE9">
        <w:rPr>
          <w:rFonts w:cs="Times New Roman"/>
        </w:rPr>
        <w:t>claiming</w:t>
      </w:r>
      <w:r w:rsidR="004F65A7">
        <w:rPr>
          <w:rFonts w:cs="Times New Roman"/>
        </w:rPr>
        <w:t xml:space="preserve">, counter-movement populations can organize against minority communities and appropriate rights talk for </w:t>
      </w:r>
      <w:r w:rsidR="000540F6">
        <w:rPr>
          <w:rFonts w:cs="Times New Roman"/>
        </w:rPr>
        <w:t>their own purposes (Dudas, 2005</w:t>
      </w:r>
      <w:r w:rsidR="000628B9">
        <w:rPr>
          <w:rFonts w:cs="Times New Roman"/>
        </w:rPr>
        <w:t>; Goldberg-Hiller &amp; Milner, 2003; Goldberg-Hiller, 2002</w:t>
      </w:r>
      <w:r w:rsidR="000540F6">
        <w:rPr>
          <w:rFonts w:cs="Times New Roman"/>
        </w:rPr>
        <w:t>).</w:t>
      </w:r>
      <w:r w:rsidR="00D57471">
        <w:rPr>
          <w:rFonts w:cs="Times New Roman"/>
        </w:rPr>
        <w:t xml:space="preserve">  In other words, rights talk can be constraining because it provides a community with a language to define itself that can then be appr</w:t>
      </w:r>
      <w:r w:rsidR="0022188A">
        <w:rPr>
          <w:rFonts w:cs="Times New Roman"/>
        </w:rPr>
        <w:t>opriated by those who oppose that community’s interests</w:t>
      </w:r>
      <w:r w:rsidR="00D57471">
        <w:rPr>
          <w:rFonts w:cs="Times New Roman"/>
        </w:rPr>
        <w:t xml:space="preserve">. </w:t>
      </w:r>
    </w:p>
    <w:p w14:paraId="50B8127B" w14:textId="562E7170" w:rsidR="00725339" w:rsidRDefault="009D19C7" w:rsidP="0012743A">
      <w:pPr>
        <w:spacing w:line="480" w:lineRule="auto"/>
        <w:rPr>
          <w:rFonts w:cs="Times New Roman"/>
        </w:rPr>
      </w:pPr>
      <w:r>
        <w:rPr>
          <w:rFonts w:cs="Times New Roman"/>
        </w:rPr>
        <w:tab/>
        <w:t xml:space="preserve">Yet, </w:t>
      </w:r>
      <w:r w:rsidR="00F916CB">
        <w:rPr>
          <w:rFonts w:cs="Times New Roman"/>
        </w:rPr>
        <w:t>despite</w:t>
      </w:r>
      <w:r>
        <w:rPr>
          <w:rFonts w:cs="Times New Roman"/>
        </w:rPr>
        <w:t xml:space="preserve"> of the fact that rights </w:t>
      </w:r>
      <w:r w:rsidR="00576F19">
        <w:rPr>
          <w:rFonts w:cs="Times New Roman"/>
        </w:rPr>
        <w:t xml:space="preserve">discourse </w:t>
      </w:r>
      <w:r>
        <w:rPr>
          <w:rFonts w:cs="Times New Roman"/>
        </w:rPr>
        <w:t xml:space="preserve">can be constraining, this study demonstrates that rights talk is not deterministic.  Instead, </w:t>
      </w:r>
      <w:r w:rsidR="00E8708B">
        <w:rPr>
          <w:rFonts w:cs="Times New Roman"/>
        </w:rPr>
        <w:t>rights talk</w:t>
      </w:r>
      <w:r>
        <w:rPr>
          <w:rFonts w:cs="Times New Roman"/>
        </w:rPr>
        <w:t xml:space="preserve"> is constitutive in a strategic sense (McCann, 1994; Goldberg-Hiller, 2002).</w:t>
      </w:r>
      <w:r w:rsidR="006C54A2">
        <w:rPr>
          <w:rFonts w:cs="Times New Roman"/>
        </w:rPr>
        <w:t xml:space="preserve">  Rights talk is a resource or a tool kit that is readily available </w:t>
      </w:r>
      <w:r w:rsidR="00725339">
        <w:rPr>
          <w:rFonts w:cs="Times New Roman"/>
        </w:rPr>
        <w:t>and adaptable as a means of defining and identifying collective grievances.</w:t>
      </w:r>
      <w:r w:rsidR="009F4AEB">
        <w:rPr>
          <w:rFonts w:cs="Times New Roman"/>
        </w:rPr>
        <w:t xml:space="preserve"> In the study presented in this paper, r</w:t>
      </w:r>
      <w:r w:rsidR="00725339">
        <w:rPr>
          <w:rFonts w:cs="Times New Roman"/>
        </w:rPr>
        <w:t>ights talk attached to a variety of non-legal avenues: it was used during protests</w:t>
      </w:r>
      <w:r w:rsidR="009F4AEB">
        <w:rPr>
          <w:rFonts w:cs="Times New Roman"/>
        </w:rPr>
        <w:t xml:space="preserve"> </w:t>
      </w:r>
      <w:r w:rsidR="00725339">
        <w:rPr>
          <w:rFonts w:cs="Times New Roman"/>
        </w:rPr>
        <w:t>and used to encourage the endorsement of political parties and campaigns</w:t>
      </w:r>
      <w:r w:rsidR="00B82C33">
        <w:rPr>
          <w:rFonts w:cs="Times New Roman"/>
        </w:rPr>
        <w:t>.</w:t>
      </w:r>
      <w:r w:rsidR="00725339">
        <w:rPr>
          <w:rFonts w:cs="Times New Roman"/>
        </w:rPr>
        <w:t xml:space="preserve"> </w:t>
      </w:r>
      <w:r w:rsidR="00B82C33">
        <w:rPr>
          <w:rFonts w:cs="Times New Roman"/>
        </w:rPr>
        <w:t xml:space="preserve"> </w:t>
      </w:r>
      <w:r w:rsidR="00725339">
        <w:rPr>
          <w:rFonts w:cs="Times New Roman"/>
        </w:rPr>
        <w:t xml:space="preserve">The data, hence, suggests that there is nothing intrinsic about rights talk that limits a community’s ability to use an array of political and legal avenues for social change or limits a community’s vision to legal issues alone.  Rights talk appears to be a malleable linguistic </w:t>
      </w:r>
      <w:r w:rsidR="00576F19">
        <w:rPr>
          <w:rFonts w:cs="Times New Roman"/>
        </w:rPr>
        <w:t>vehicle</w:t>
      </w:r>
      <w:r w:rsidR="00725339">
        <w:rPr>
          <w:rFonts w:cs="Times New Roman"/>
        </w:rPr>
        <w:t xml:space="preserve">, which becomes constraining only when state actors or </w:t>
      </w:r>
      <w:r w:rsidR="00403B18">
        <w:rPr>
          <w:rFonts w:cs="Times New Roman"/>
        </w:rPr>
        <w:t xml:space="preserve">other </w:t>
      </w:r>
      <w:r w:rsidR="00725339">
        <w:rPr>
          <w:rFonts w:cs="Times New Roman"/>
        </w:rPr>
        <w:t xml:space="preserve">external forces reject a minority community’s use of rights to define a given collective grievance as, for instance, </w:t>
      </w:r>
      <w:r w:rsidR="00BB6B31">
        <w:rPr>
          <w:rFonts w:cs="Times New Roman"/>
        </w:rPr>
        <w:t>LGBTQ</w:t>
      </w:r>
      <w:r w:rsidR="00725339">
        <w:rPr>
          <w:rFonts w:cs="Times New Roman"/>
        </w:rPr>
        <w:t xml:space="preserve"> community opponents </w:t>
      </w:r>
      <w:r w:rsidR="009B1102">
        <w:rPr>
          <w:rFonts w:cs="Times New Roman"/>
        </w:rPr>
        <w:t xml:space="preserve">have attempted to </w:t>
      </w:r>
      <w:r w:rsidR="00725339">
        <w:rPr>
          <w:rFonts w:cs="Times New Roman"/>
        </w:rPr>
        <w:t>do through an appropriation of rights talk via “special rights” claiming.</w:t>
      </w:r>
    </w:p>
    <w:p w14:paraId="5144CBC3" w14:textId="6A9425C2" w:rsidR="00BF7DED" w:rsidRDefault="00B20645" w:rsidP="0012743A">
      <w:pPr>
        <w:spacing w:line="480" w:lineRule="auto"/>
        <w:rPr>
          <w:rFonts w:cs="Times New Roman"/>
        </w:rPr>
      </w:pPr>
      <w:r>
        <w:rPr>
          <w:rFonts w:cs="Times New Roman"/>
        </w:rPr>
        <w:tab/>
        <w:t xml:space="preserve">Consequently, this study supports the contention that rights language is dynamic rather than static.  </w:t>
      </w:r>
      <w:r w:rsidR="00F76875">
        <w:rPr>
          <w:rFonts w:cs="Times New Roman"/>
        </w:rPr>
        <w:t xml:space="preserve">The idea that rights language is dynamic is based in Wittgenstein’s theory of language, which holds that language is </w:t>
      </w:r>
      <w:r w:rsidR="00E06B5D">
        <w:rPr>
          <w:rFonts w:cs="Times New Roman"/>
        </w:rPr>
        <w:t>an</w:t>
      </w:r>
      <w:r w:rsidR="00F76875">
        <w:rPr>
          <w:rFonts w:cs="Times New Roman"/>
        </w:rPr>
        <w:t xml:space="preserve"> activity that can hold multiple, conflicting meanings and is not fixed at a particular moment in time (Wittgenstein, 1953).  McCann </w:t>
      </w:r>
      <w:r w:rsidR="00576F19">
        <w:rPr>
          <w:rFonts w:cs="Times New Roman"/>
        </w:rPr>
        <w:t xml:space="preserve">(1994) </w:t>
      </w:r>
      <w:r w:rsidR="00F76875">
        <w:rPr>
          <w:rFonts w:cs="Times New Roman"/>
        </w:rPr>
        <w:t>applies Wittgenstein</w:t>
      </w:r>
      <w:r w:rsidR="00E06B5D">
        <w:rPr>
          <w:rFonts w:cs="Times New Roman"/>
        </w:rPr>
        <w:t xml:space="preserve"> theory</w:t>
      </w:r>
      <w:r w:rsidR="00F76875">
        <w:rPr>
          <w:rFonts w:cs="Times New Roman"/>
        </w:rPr>
        <w:t xml:space="preserve"> to rights language, arguing that rights language is</w:t>
      </w:r>
      <w:r w:rsidR="00E06B5D">
        <w:rPr>
          <w:rFonts w:cs="Times New Roman"/>
        </w:rPr>
        <w:t xml:space="preserve"> (a)</w:t>
      </w:r>
      <w:r w:rsidR="00F76875">
        <w:rPr>
          <w:rFonts w:cs="Times New Roman"/>
        </w:rPr>
        <w:t xml:space="preserve"> indeterminate in that it is adaptable and changes over time</w:t>
      </w:r>
      <w:r w:rsidR="00E06B5D">
        <w:rPr>
          <w:rFonts w:cs="Times New Roman"/>
        </w:rPr>
        <w:t>,</w:t>
      </w:r>
      <w:r w:rsidR="00F76875">
        <w:rPr>
          <w:rFonts w:cs="Times New Roman"/>
        </w:rPr>
        <w:t xml:space="preserve"> and </w:t>
      </w:r>
      <w:r w:rsidR="00E06B5D">
        <w:rPr>
          <w:rFonts w:cs="Times New Roman"/>
        </w:rPr>
        <w:t xml:space="preserve">(b) </w:t>
      </w:r>
      <w:r w:rsidR="00F76875">
        <w:rPr>
          <w:rFonts w:cs="Times New Roman"/>
        </w:rPr>
        <w:t>invested with meaning as minority populations use it to negotiate and coalesce around collective grievances.  According to McCann, “[</w:t>
      </w:r>
      <w:proofErr w:type="gramStart"/>
      <w:r w:rsidR="00F76875">
        <w:rPr>
          <w:rFonts w:cs="Times New Roman"/>
        </w:rPr>
        <w:t>w]hen</w:t>
      </w:r>
      <w:proofErr w:type="gramEnd"/>
      <w:r w:rsidR="00F76875">
        <w:rPr>
          <w:rFonts w:cs="Times New Roman"/>
        </w:rPr>
        <w:t xml:space="preserve"> we invoke rights, we shift the character </w:t>
      </w:r>
      <w:r w:rsidR="00E06B5D">
        <w:rPr>
          <w:rFonts w:cs="Times New Roman"/>
        </w:rPr>
        <w:t>of our demands from the status of mere ‘wants’ to that of ‘entitlements’ deserving greater respect from others” (McCann, 1994, p. 298</w:t>
      </w:r>
      <w:r w:rsidR="00576F19">
        <w:rPr>
          <w:rFonts w:cs="Times New Roman"/>
        </w:rPr>
        <w:t>; see also Polletta, 2000</w:t>
      </w:r>
      <w:r w:rsidR="00E06B5D">
        <w:rPr>
          <w:rFonts w:cs="Times New Roman"/>
        </w:rPr>
        <w:t xml:space="preserve">).  This seems to be the role that rights language played for the readers of </w:t>
      </w:r>
      <w:r w:rsidR="00E06B5D">
        <w:rPr>
          <w:rFonts w:cs="Times New Roman"/>
          <w:i/>
        </w:rPr>
        <w:t>GCN</w:t>
      </w:r>
      <w:r w:rsidR="00E06B5D">
        <w:rPr>
          <w:rFonts w:cs="Times New Roman"/>
        </w:rPr>
        <w:t xml:space="preserve"> in the 1980s.  Those who wrote </w:t>
      </w:r>
      <w:r w:rsidR="00E06B5D">
        <w:rPr>
          <w:rFonts w:cs="Times New Roman"/>
          <w:i/>
        </w:rPr>
        <w:t>GCN</w:t>
      </w:r>
      <w:r w:rsidR="00E06B5D">
        <w:rPr>
          <w:rFonts w:cs="Times New Roman"/>
        </w:rPr>
        <w:t xml:space="preserve"> used rights language in conjunction with a wide array of issues in an attempt to obtain LGBTQ support for those issues and respect from the greater society.  Thus, the use of rights talk was not determinative, but it was also a powerful means of acknowledging and understanding collective wrongs for those within the LGBTQ community in the 1980s.</w:t>
      </w:r>
      <w:r w:rsidR="00804A85">
        <w:rPr>
          <w:rFonts w:cs="Times New Roman"/>
        </w:rPr>
        <w:tab/>
      </w:r>
      <w:r w:rsidR="00D67296">
        <w:rPr>
          <w:rFonts w:cs="Times New Roman"/>
        </w:rPr>
        <w:t xml:space="preserve"> </w:t>
      </w:r>
    </w:p>
    <w:p w14:paraId="3217D810" w14:textId="3EF152EF" w:rsidR="00100701" w:rsidRDefault="00BF7DED" w:rsidP="0012743A">
      <w:pPr>
        <w:spacing w:line="480" w:lineRule="auto"/>
        <w:rPr>
          <w:rFonts w:cs="Times New Roman"/>
        </w:rPr>
      </w:pPr>
      <w:r>
        <w:rPr>
          <w:rFonts w:cs="Times New Roman"/>
        </w:rPr>
        <w:tab/>
      </w:r>
      <w:r w:rsidR="009E5D1C">
        <w:rPr>
          <w:rFonts w:cs="Times New Roman"/>
        </w:rPr>
        <w:t>Finally</w:t>
      </w:r>
      <w:r w:rsidR="00D67296">
        <w:rPr>
          <w:rFonts w:cs="Times New Roman"/>
        </w:rPr>
        <w:t>, one might make some inferences about how rights talk could have influenced the right to marriage</w:t>
      </w:r>
      <w:r w:rsidR="00906233">
        <w:rPr>
          <w:rFonts w:cs="Times New Roman"/>
        </w:rPr>
        <w:t xml:space="preserve"> based on the data presented here</w:t>
      </w:r>
      <w:r w:rsidR="00D67296">
        <w:rPr>
          <w:rFonts w:cs="Times New Roman"/>
        </w:rPr>
        <w:t>.</w:t>
      </w:r>
      <w:r w:rsidR="00D10874">
        <w:rPr>
          <w:rFonts w:cs="Times New Roman"/>
        </w:rPr>
        <w:t xml:space="preserve"> </w:t>
      </w:r>
      <w:r w:rsidR="00906233">
        <w:rPr>
          <w:rFonts w:cs="Times New Roman"/>
        </w:rPr>
        <w:t xml:space="preserve">This study </w:t>
      </w:r>
      <w:r w:rsidR="00804A85">
        <w:rPr>
          <w:rFonts w:cs="Times New Roman"/>
        </w:rPr>
        <w:t xml:space="preserve">suggests that </w:t>
      </w:r>
      <w:r w:rsidR="000E6427">
        <w:rPr>
          <w:rFonts w:cs="Times New Roman"/>
        </w:rPr>
        <w:t>rights talk</w:t>
      </w:r>
      <w:r w:rsidR="00DC31C8">
        <w:rPr>
          <w:rFonts w:cs="Times New Roman"/>
        </w:rPr>
        <w:t xml:space="preserve"> is likely not connected to the salience of the</w:t>
      </w:r>
      <w:r w:rsidR="00D67296">
        <w:rPr>
          <w:rFonts w:cs="Times New Roman"/>
        </w:rPr>
        <w:t xml:space="preserve"> right to </w:t>
      </w:r>
      <w:r w:rsidR="00592337">
        <w:rPr>
          <w:rFonts w:cs="Times New Roman"/>
        </w:rPr>
        <w:t>marriage within the</w:t>
      </w:r>
      <w:r w:rsidR="00DC31C8">
        <w:rPr>
          <w:rFonts w:cs="Times New Roman"/>
        </w:rPr>
        <w:t xml:space="preserve"> LGBTQ </w:t>
      </w:r>
      <w:r w:rsidR="00592337">
        <w:rPr>
          <w:rFonts w:cs="Times New Roman"/>
        </w:rPr>
        <w:t>community</w:t>
      </w:r>
      <w:r w:rsidR="00804A85">
        <w:rPr>
          <w:rFonts w:cs="Times New Roman"/>
        </w:rPr>
        <w:t>.</w:t>
      </w:r>
      <w:r w:rsidR="00D67296">
        <w:rPr>
          <w:rFonts w:cs="Times New Roman"/>
        </w:rPr>
        <w:t xml:space="preserve">  It is perfectly plausible that, as with all of the issues discussed in this study, same-sex marriage became salient as a result of external forces</w:t>
      </w:r>
      <w:r w:rsidR="00AF3CE2">
        <w:rPr>
          <w:rFonts w:cs="Times New Roman"/>
        </w:rPr>
        <w:t xml:space="preserve"> other than formal legal processes</w:t>
      </w:r>
      <w:r w:rsidR="00100701">
        <w:rPr>
          <w:rFonts w:cs="Times New Roman"/>
        </w:rPr>
        <w:t>.</w:t>
      </w:r>
      <w:r w:rsidR="00D67296">
        <w:rPr>
          <w:rFonts w:cs="Times New Roman"/>
        </w:rPr>
        <w:t xml:space="preserve">  For example,</w:t>
      </w:r>
      <w:r>
        <w:rPr>
          <w:rFonts w:cs="Times New Roman"/>
        </w:rPr>
        <w:t xml:space="preserve"> the right to marriage might have become a major issue in the </w:t>
      </w:r>
      <w:r w:rsidR="00BB6B31">
        <w:rPr>
          <w:rFonts w:cs="Times New Roman"/>
        </w:rPr>
        <w:t>LGBTQ</w:t>
      </w:r>
      <w:r>
        <w:rPr>
          <w:rFonts w:cs="Times New Roman"/>
        </w:rPr>
        <w:t xml:space="preserve"> community as a result of the community’s perceived need to distance itself from non-heteronormative expressions of sexuality following the AIDS epidemic.</w:t>
      </w:r>
      <w:r w:rsidR="00A155B8">
        <w:rPr>
          <w:rFonts w:cs="Times New Roman"/>
        </w:rPr>
        <w:t xml:space="preserve">  Further, </w:t>
      </w:r>
      <w:r w:rsidR="00BC3713">
        <w:rPr>
          <w:rFonts w:cs="Times New Roman"/>
        </w:rPr>
        <w:t xml:space="preserve">same-sex marriage may have become a salient issue amongst the </w:t>
      </w:r>
      <w:r w:rsidR="00BB6B31">
        <w:rPr>
          <w:rFonts w:cs="Times New Roman"/>
        </w:rPr>
        <w:t>LGBTQ</w:t>
      </w:r>
      <w:r w:rsidR="00BC3713">
        <w:rPr>
          <w:rFonts w:cs="Times New Roman"/>
        </w:rPr>
        <w:t xml:space="preserve"> community as a result of</w:t>
      </w:r>
      <w:r w:rsidR="003D15FA">
        <w:rPr>
          <w:rFonts w:cs="Times New Roman"/>
        </w:rPr>
        <w:t xml:space="preserve"> the gradual “mainstreaming” of lesbian</w:t>
      </w:r>
      <w:r w:rsidR="00592337">
        <w:rPr>
          <w:rFonts w:cs="Times New Roman"/>
        </w:rPr>
        <w:t>s</w:t>
      </w:r>
      <w:r w:rsidR="003D15FA">
        <w:rPr>
          <w:rFonts w:cs="Times New Roman"/>
        </w:rPr>
        <w:t xml:space="preserve"> and gay </w:t>
      </w:r>
      <w:r w:rsidR="00592337">
        <w:rPr>
          <w:rFonts w:cs="Times New Roman"/>
        </w:rPr>
        <w:t xml:space="preserve">men </w:t>
      </w:r>
      <w:r w:rsidR="003D15FA">
        <w:rPr>
          <w:rFonts w:cs="Times New Roman"/>
        </w:rPr>
        <w:t xml:space="preserve">or a greater desire for social acceptance over the difference that characterized the </w:t>
      </w:r>
      <w:r w:rsidR="00BB6B31">
        <w:rPr>
          <w:rFonts w:cs="Times New Roman"/>
        </w:rPr>
        <w:t>LGBTQ</w:t>
      </w:r>
      <w:r w:rsidR="003D15FA">
        <w:rPr>
          <w:rFonts w:cs="Times New Roman"/>
        </w:rPr>
        <w:t xml:space="preserve"> Rights Movement in the 1980s.</w:t>
      </w:r>
      <w:r w:rsidR="00AF3CE2">
        <w:rPr>
          <w:rFonts w:cs="Times New Roman"/>
        </w:rPr>
        <w:t xml:space="preserve">  As a result, in order to conclude that the law</w:t>
      </w:r>
      <w:r w:rsidR="009E5D1C">
        <w:rPr>
          <w:rFonts w:cs="Times New Roman"/>
        </w:rPr>
        <w:t xml:space="preserve"> is related placing same-sex marriage on the LGBTQ community’s agenda</w:t>
      </w:r>
      <w:r w:rsidR="00AF3CE2">
        <w:rPr>
          <w:rFonts w:cs="Times New Roman"/>
        </w:rPr>
        <w:t>, research must look at external social and political forces in addition to formal legal processes</w:t>
      </w:r>
      <w:r w:rsidR="00A70CFE">
        <w:rPr>
          <w:rFonts w:cs="Times New Roman"/>
        </w:rPr>
        <w:t xml:space="preserve"> and the roles that lawyers and organizational actors have played in the LGBTW Rights Movement over time</w:t>
      </w:r>
      <w:r w:rsidR="00AF3CE2">
        <w:rPr>
          <w:rFonts w:cs="Times New Roman"/>
        </w:rPr>
        <w:t>.</w:t>
      </w:r>
    </w:p>
    <w:p w14:paraId="47AE0AE1" w14:textId="0F3E133D" w:rsidR="009D544D" w:rsidRDefault="00100701" w:rsidP="0012743A">
      <w:pPr>
        <w:spacing w:line="480" w:lineRule="auto"/>
        <w:rPr>
          <w:rFonts w:cs="Times New Roman"/>
        </w:rPr>
      </w:pPr>
      <w:r>
        <w:rPr>
          <w:rFonts w:cs="Times New Roman"/>
        </w:rPr>
        <w:tab/>
        <w:t xml:space="preserve">Because this study focuses on issues of importance to </w:t>
      </w:r>
      <w:r w:rsidR="00BB6B31">
        <w:rPr>
          <w:rFonts w:cs="Times New Roman"/>
        </w:rPr>
        <w:t>LGBTQ</w:t>
      </w:r>
      <w:r>
        <w:rPr>
          <w:rFonts w:cs="Times New Roman"/>
        </w:rPr>
        <w:t xml:space="preserve"> </w:t>
      </w:r>
      <w:r w:rsidR="0022188A">
        <w:rPr>
          <w:rFonts w:cs="Times New Roman"/>
        </w:rPr>
        <w:t>people</w:t>
      </w:r>
      <w:r>
        <w:rPr>
          <w:rFonts w:cs="Times New Roman"/>
        </w:rPr>
        <w:t xml:space="preserve"> in the 1980s, </w:t>
      </w:r>
      <w:r w:rsidR="00A155B8">
        <w:rPr>
          <w:rFonts w:cs="Times New Roman"/>
        </w:rPr>
        <w:t>i</w:t>
      </w:r>
      <w:r>
        <w:rPr>
          <w:rFonts w:cs="Times New Roman"/>
        </w:rPr>
        <w:t xml:space="preserve">n order to more </w:t>
      </w:r>
      <w:r w:rsidR="0037423E">
        <w:rPr>
          <w:rFonts w:cs="Times New Roman"/>
        </w:rPr>
        <w:t>delve into the connection between rights and same-sex marriage</w:t>
      </w:r>
      <w:r>
        <w:rPr>
          <w:rFonts w:cs="Times New Roman"/>
        </w:rPr>
        <w:t xml:space="preserve">, further </w:t>
      </w:r>
      <w:r w:rsidR="00DF350E">
        <w:rPr>
          <w:rFonts w:cs="Times New Roman"/>
        </w:rPr>
        <w:t>research</w:t>
      </w:r>
      <w:r>
        <w:rPr>
          <w:rFonts w:cs="Times New Roman"/>
        </w:rPr>
        <w:t xml:space="preserve"> is needed.  A future study might look at how the </w:t>
      </w:r>
      <w:r w:rsidR="00BB6B31">
        <w:rPr>
          <w:rFonts w:cs="Times New Roman"/>
        </w:rPr>
        <w:t>LGBTQ</w:t>
      </w:r>
      <w:r>
        <w:rPr>
          <w:rFonts w:cs="Times New Roman"/>
        </w:rPr>
        <w:t xml:space="preserve"> </w:t>
      </w:r>
      <w:r w:rsidR="0022188A">
        <w:rPr>
          <w:rFonts w:cs="Times New Roman"/>
        </w:rPr>
        <w:t>population</w:t>
      </w:r>
      <w:r>
        <w:rPr>
          <w:rFonts w:cs="Times New Roman"/>
        </w:rPr>
        <w:t xml:space="preserve"> discussed same-sex ma</w:t>
      </w:r>
      <w:r w:rsidR="00403B18">
        <w:rPr>
          <w:rFonts w:cs="Times New Roman"/>
        </w:rPr>
        <w:t>rriage in the 1990s through 2013</w:t>
      </w:r>
      <w:r>
        <w:rPr>
          <w:rFonts w:cs="Times New Roman"/>
        </w:rPr>
        <w:t xml:space="preserve"> by focusing on secondary historical accounts of the social</w:t>
      </w:r>
      <w:r w:rsidR="00AF3CE2">
        <w:rPr>
          <w:rFonts w:cs="Times New Roman"/>
        </w:rPr>
        <w:t>, political,</w:t>
      </w:r>
      <w:r>
        <w:rPr>
          <w:rFonts w:cs="Times New Roman"/>
        </w:rPr>
        <w:t xml:space="preserve"> and legal developments surrounding same-sex marriage, interviewing activists involved in the campaign for same-sex marriage, and analyzing </w:t>
      </w:r>
      <w:r w:rsidR="00592337">
        <w:rPr>
          <w:rFonts w:cs="Times New Roman"/>
        </w:rPr>
        <w:t>additional</w:t>
      </w:r>
      <w:r>
        <w:rPr>
          <w:rFonts w:cs="Times New Roman"/>
        </w:rPr>
        <w:t xml:space="preserve"> </w:t>
      </w:r>
      <w:r w:rsidR="00BB6B31">
        <w:rPr>
          <w:rFonts w:cs="Times New Roman"/>
        </w:rPr>
        <w:t>LGBTQ</w:t>
      </w:r>
      <w:r>
        <w:rPr>
          <w:rFonts w:cs="Times New Roman"/>
        </w:rPr>
        <w:t xml:space="preserve"> news sources to see how the </w:t>
      </w:r>
      <w:r w:rsidR="0022188A">
        <w:rPr>
          <w:rFonts w:cs="Times New Roman"/>
        </w:rPr>
        <w:t>population</w:t>
      </w:r>
      <w:r>
        <w:rPr>
          <w:rFonts w:cs="Times New Roman"/>
        </w:rPr>
        <w:t xml:space="preserve"> discussed marriage during this time period.  </w:t>
      </w:r>
      <w:r w:rsidR="00804A85">
        <w:rPr>
          <w:rFonts w:cs="Times New Roman"/>
        </w:rPr>
        <w:t xml:space="preserve">    </w:t>
      </w:r>
      <w:r w:rsidR="00725339">
        <w:rPr>
          <w:rFonts w:cs="Times New Roman"/>
        </w:rPr>
        <w:t xml:space="preserve">    </w:t>
      </w:r>
      <w:r w:rsidR="006C54A2">
        <w:rPr>
          <w:rFonts w:cs="Times New Roman"/>
        </w:rPr>
        <w:t xml:space="preserve">  </w:t>
      </w:r>
      <w:r w:rsidR="009D19C7">
        <w:rPr>
          <w:rFonts w:cs="Times New Roman"/>
        </w:rPr>
        <w:t xml:space="preserve">  </w:t>
      </w:r>
    </w:p>
    <w:p w14:paraId="22217C0C" w14:textId="24C6A2CB" w:rsidR="007C1191" w:rsidRDefault="009D544D" w:rsidP="009D544D">
      <w:pPr>
        <w:spacing w:line="480" w:lineRule="auto"/>
        <w:jc w:val="center"/>
        <w:rPr>
          <w:rFonts w:cs="Times New Roman"/>
        </w:rPr>
      </w:pPr>
      <w:r>
        <w:rPr>
          <w:rFonts w:cs="Times New Roman"/>
          <w:b/>
        </w:rPr>
        <w:t>CONCLUSION</w:t>
      </w:r>
    </w:p>
    <w:p w14:paraId="47CB2C7E" w14:textId="3867B8E9" w:rsidR="0068173E" w:rsidRDefault="009D544D" w:rsidP="009D544D">
      <w:pPr>
        <w:spacing w:line="480" w:lineRule="auto"/>
        <w:rPr>
          <w:rFonts w:cs="Times New Roman"/>
        </w:rPr>
      </w:pPr>
      <w:r>
        <w:rPr>
          <w:rFonts w:cs="Times New Roman"/>
        </w:rPr>
        <w:tab/>
      </w:r>
      <w:r w:rsidR="0068173E">
        <w:rPr>
          <w:rFonts w:cs="Times New Roman"/>
        </w:rPr>
        <w:t xml:space="preserve">This paper argues that </w:t>
      </w:r>
      <w:r w:rsidR="009F4AEB">
        <w:rPr>
          <w:rFonts w:cs="Times New Roman"/>
        </w:rPr>
        <w:t xml:space="preserve">one must look beyond </w:t>
      </w:r>
      <w:r w:rsidR="0068173E">
        <w:rPr>
          <w:rFonts w:cs="Times New Roman"/>
        </w:rPr>
        <w:t>rights talk</w:t>
      </w:r>
      <w:r w:rsidR="00DF350E">
        <w:rPr>
          <w:rFonts w:cs="Times New Roman"/>
        </w:rPr>
        <w:t xml:space="preserve"> </w:t>
      </w:r>
      <w:r w:rsidR="009F4AEB">
        <w:rPr>
          <w:rFonts w:cs="Times New Roman"/>
        </w:rPr>
        <w:t>to determine whether or not rights</w:t>
      </w:r>
      <w:r w:rsidR="009E5D1C">
        <w:rPr>
          <w:rFonts w:cs="Times New Roman"/>
        </w:rPr>
        <w:t xml:space="preserve"> discourse results in the narrowing of the LGBTQ agenda to formal legal rights claims</w:t>
      </w:r>
      <w:r w:rsidR="0068173E">
        <w:rPr>
          <w:rFonts w:cs="Times New Roman"/>
        </w:rPr>
        <w:t>.</w:t>
      </w:r>
      <w:r w:rsidR="00DF350E">
        <w:rPr>
          <w:rFonts w:cs="Times New Roman"/>
        </w:rPr>
        <w:t xml:space="preserve"> </w:t>
      </w:r>
      <w:r w:rsidR="009F4AEB">
        <w:rPr>
          <w:rFonts w:cs="Times New Roman"/>
        </w:rPr>
        <w:t xml:space="preserve"> R</w:t>
      </w:r>
      <w:r w:rsidR="009E5D1C">
        <w:rPr>
          <w:rFonts w:cs="Times New Roman"/>
        </w:rPr>
        <w:t>ight discourse</w:t>
      </w:r>
      <w:r w:rsidR="00DF350E">
        <w:rPr>
          <w:rFonts w:cs="Times New Roman"/>
        </w:rPr>
        <w:t xml:space="preserve"> </w:t>
      </w:r>
      <w:r w:rsidR="009E5D1C">
        <w:rPr>
          <w:rFonts w:cs="Times New Roman"/>
        </w:rPr>
        <w:t>is</w:t>
      </w:r>
      <w:r w:rsidR="00DF350E">
        <w:rPr>
          <w:rFonts w:cs="Times New Roman"/>
        </w:rPr>
        <w:t xml:space="preserve"> dynamic and adaptable</w:t>
      </w:r>
      <w:r w:rsidR="00996255">
        <w:rPr>
          <w:rFonts w:cs="Times New Roman"/>
        </w:rPr>
        <w:t xml:space="preserve"> and, within the </w:t>
      </w:r>
      <w:r w:rsidR="00BB6B31">
        <w:rPr>
          <w:rFonts w:cs="Times New Roman"/>
        </w:rPr>
        <w:t>LGBTQ</w:t>
      </w:r>
      <w:r w:rsidR="00996255">
        <w:rPr>
          <w:rFonts w:cs="Times New Roman"/>
        </w:rPr>
        <w:t xml:space="preserve"> </w:t>
      </w:r>
      <w:r w:rsidR="0022188A">
        <w:rPr>
          <w:rFonts w:cs="Times New Roman"/>
        </w:rPr>
        <w:t>population</w:t>
      </w:r>
      <w:r w:rsidR="00996255">
        <w:rPr>
          <w:rFonts w:cs="Times New Roman"/>
        </w:rPr>
        <w:t xml:space="preserve">, </w:t>
      </w:r>
      <w:r w:rsidR="009E5D1C">
        <w:rPr>
          <w:rFonts w:cs="Times New Roman"/>
        </w:rPr>
        <w:t>has</w:t>
      </w:r>
      <w:r w:rsidR="00996255">
        <w:rPr>
          <w:rFonts w:cs="Times New Roman"/>
        </w:rPr>
        <w:t xml:space="preserve"> been attached to arguments on both sides of issues, to discussions that compare </w:t>
      </w:r>
      <w:r w:rsidR="00BB6B31">
        <w:rPr>
          <w:rFonts w:cs="Times New Roman"/>
        </w:rPr>
        <w:t>LGBTQ</w:t>
      </w:r>
      <w:r w:rsidR="00996255">
        <w:rPr>
          <w:rFonts w:cs="Times New Roman"/>
        </w:rPr>
        <w:t xml:space="preserve"> minority struggles to those of racial minorities, to political issues, and to issues that both emerge and disappear over time</w:t>
      </w:r>
      <w:r w:rsidR="00DF350E">
        <w:rPr>
          <w:rFonts w:cs="Times New Roman"/>
        </w:rPr>
        <w:t>.  T</w:t>
      </w:r>
      <w:r w:rsidR="0068173E">
        <w:rPr>
          <w:rFonts w:cs="Times New Roman"/>
        </w:rPr>
        <w:t xml:space="preserve">his paper supports </w:t>
      </w:r>
      <w:r w:rsidR="00996255">
        <w:rPr>
          <w:rFonts w:cs="Times New Roman"/>
        </w:rPr>
        <w:t>these</w:t>
      </w:r>
      <w:r w:rsidR="0068173E">
        <w:rPr>
          <w:rFonts w:cs="Times New Roman"/>
        </w:rPr>
        <w:t xml:space="preserve"> arguments by presenting a content analysis of letters to the editor published in the </w:t>
      </w:r>
      <w:r w:rsidR="0068173E">
        <w:rPr>
          <w:rFonts w:cs="Times New Roman"/>
          <w:i/>
        </w:rPr>
        <w:t>Community Voices</w:t>
      </w:r>
      <w:r w:rsidR="0068173E">
        <w:rPr>
          <w:rFonts w:cs="Times New Roman"/>
        </w:rPr>
        <w:t xml:space="preserve"> and </w:t>
      </w:r>
      <w:r w:rsidR="0068173E">
        <w:rPr>
          <w:rFonts w:cs="Times New Roman"/>
          <w:i/>
        </w:rPr>
        <w:t xml:space="preserve">Speaking Out </w:t>
      </w:r>
      <w:r w:rsidR="0068173E">
        <w:rPr>
          <w:rFonts w:cs="Times New Roman"/>
        </w:rPr>
        <w:t xml:space="preserve">columns of </w:t>
      </w:r>
      <w:r w:rsidR="0068173E">
        <w:rPr>
          <w:rFonts w:cs="Times New Roman"/>
          <w:i/>
        </w:rPr>
        <w:t>GCN</w:t>
      </w:r>
      <w:r w:rsidR="0068173E">
        <w:rPr>
          <w:rFonts w:cs="Times New Roman"/>
        </w:rPr>
        <w:t xml:space="preserve">, the first lesbian and gay community weekly, in 1980, 1984, and 1988.  The letters are largely limited to </w:t>
      </w:r>
      <w:r w:rsidR="00A70CFE">
        <w:rPr>
          <w:rFonts w:cs="Times New Roman"/>
        </w:rPr>
        <w:t>left wing,</w:t>
      </w:r>
      <w:r w:rsidR="0068173E">
        <w:rPr>
          <w:rFonts w:cs="Times New Roman"/>
        </w:rPr>
        <w:t xml:space="preserve"> mainstream </w:t>
      </w:r>
      <w:r w:rsidR="00BB6B31">
        <w:rPr>
          <w:rFonts w:cs="Times New Roman"/>
        </w:rPr>
        <w:t>LGBTQ</w:t>
      </w:r>
      <w:r w:rsidR="0068173E">
        <w:rPr>
          <w:rFonts w:cs="Times New Roman"/>
        </w:rPr>
        <w:t xml:space="preserve"> community members in the 1980s, and, as a result, they are not fully representative of the community as a whole.  Still, </w:t>
      </w:r>
      <w:r w:rsidR="0068173E">
        <w:rPr>
          <w:rFonts w:cs="Times New Roman"/>
          <w:i/>
        </w:rPr>
        <w:t>GCN</w:t>
      </w:r>
      <w:r w:rsidR="0068173E">
        <w:rPr>
          <w:rFonts w:cs="Times New Roman"/>
        </w:rPr>
        <w:t xml:space="preserve">’s letters to the editor are more representative than alternative studies because </w:t>
      </w:r>
      <w:r w:rsidR="0068173E">
        <w:rPr>
          <w:rFonts w:cs="Times New Roman"/>
          <w:i/>
        </w:rPr>
        <w:t>GCN</w:t>
      </w:r>
      <w:r w:rsidR="0068173E">
        <w:rPr>
          <w:rFonts w:cs="Times New Roman"/>
        </w:rPr>
        <w:t xml:space="preserve">’s staff </w:t>
      </w:r>
      <w:r w:rsidR="009F4AEB">
        <w:rPr>
          <w:rFonts w:cs="Times New Roman"/>
        </w:rPr>
        <w:t>made</w:t>
      </w:r>
      <w:r w:rsidR="0068173E">
        <w:rPr>
          <w:rFonts w:cs="Times New Roman"/>
        </w:rPr>
        <w:t xml:space="preserve"> efforts to publish</w:t>
      </w:r>
      <w:r w:rsidR="00DF350E">
        <w:rPr>
          <w:rFonts w:cs="Times New Roman"/>
        </w:rPr>
        <w:t xml:space="preserve"> minority</w:t>
      </w:r>
      <w:r w:rsidR="0068173E">
        <w:rPr>
          <w:rFonts w:cs="Times New Roman"/>
        </w:rPr>
        <w:t xml:space="preserve"> viewpoints and opinions in the </w:t>
      </w:r>
      <w:r w:rsidR="00BB6B31">
        <w:rPr>
          <w:rFonts w:cs="Times New Roman"/>
        </w:rPr>
        <w:t>LGBTQ</w:t>
      </w:r>
      <w:r w:rsidR="0068173E">
        <w:rPr>
          <w:rFonts w:cs="Times New Roman"/>
        </w:rPr>
        <w:t xml:space="preserve"> </w:t>
      </w:r>
      <w:r w:rsidR="00A70CFE">
        <w:rPr>
          <w:rFonts w:cs="Times New Roman"/>
        </w:rPr>
        <w:t>population</w:t>
      </w:r>
      <w:r w:rsidR="0068173E">
        <w:rPr>
          <w:rFonts w:cs="Times New Roman"/>
        </w:rPr>
        <w:t xml:space="preserve">, with some letters written by </w:t>
      </w:r>
      <w:r w:rsidR="00592337">
        <w:rPr>
          <w:rFonts w:cs="Times New Roman"/>
        </w:rPr>
        <w:t xml:space="preserve">LGBTQ </w:t>
      </w:r>
      <w:r w:rsidR="0068173E">
        <w:rPr>
          <w:rFonts w:cs="Times New Roman"/>
        </w:rPr>
        <w:t xml:space="preserve">prison inmates, </w:t>
      </w:r>
      <w:r w:rsidR="00592337">
        <w:rPr>
          <w:rFonts w:cs="Times New Roman"/>
        </w:rPr>
        <w:t>those who identified as bisexual</w:t>
      </w:r>
      <w:r w:rsidR="0068173E">
        <w:rPr>
          <w:rFonts w:cs="Times New Roman"/>
        </w:rPr>
        <w:t xml:space="preserve">, </w:t>
      </w:r>
      <w:r w:rsidR="00592337">
        <w:rPr>
          <w:rFonts w:cs="Times New Roman"/>
        </w:rPr>
        <w:t>transgender</w:t>
      </w:r>
      <w:r w:rsidR="0068173E">
        <w:rPr>
          <w:rFonts w:cs="Times New Roman"/>
        </w:rPr>
        <w:t xml:space="preserve"> </w:t>
      </w:r>
      <w:r w:rsidR="00592337">
        <w:rPr>
          <w:rFonts w:cs="Times New Roman"/>
        </w:rPr>
        <w:t>persons</w:t>
      </w:r>
      <w:r w:rsidR="00996255">
        <w:rPr>
          <w:rFonts w:cs="Times New Roman"/>
        </w:rPr>
        <w:t xml:space="preserve">, and </w:t>
      </w:r>
      <w:r w:rsidR="00592337">
        <w:rPr>
          <w:rFonts w:cs="Times New Roman"/>
        </w:rPr>
        <w:t xml:space="preserve">LGBTQ </w:t>
      </w:r>
      <w:r w:rsidR="00996255">
        <w:rPr>
          <w:rFonts w:cs="Times New Roman"/>
        </w:rPr>
        <w:t>racial minorities.</w:t>
      </w:r>
      <w:r w:rsidR="00AF3CE2">
        <w:rPr>
          <w:rFonts w:cs="Times New Roman"/>
        </w:rPr>
        <w:t xml:space="preserve">  </w:t>
      </w:r>
      <w:r w:rsidR="00996255">
        <w:rPr>
          <w:rFonts w:cs="Times New Roman"/>
        </w:rPr>
        <w:t xml:space="preserve">  </w:t>
      </w:r>
    </w:p>
    <w:p w14:paraId="735FFD57" w14:textId="48B6DDA3" w:rsidR="009D544D" w:rsidRDefault="0068173E" w:rsidP="009D544D">
      <w:pPr>
        <w:spacing w:line="480" w:lineRule="auto"/>
        <w:rPr>
          <w:rFonts w:cs="Times New Roman"/>
        </w:rPr>
      </w:pPr>
      <w:r>
        <w:rPr>
          <w:rFonts w:cs="Times New Roman"/>
        </w:rPr>
        <w:tab/>
        <w:t xml:space="preserve">Due to the limitations of this paper, additional research is necessary in order to </w:t>
      </w:r>
      <w:r w:rsidR="009E5D1C">
        <w:rPr>
          <w:rFonts w:cs="Times New Roman"/>
        </w:rPr>
        <w:t>determine the relationship between rights discourse, formal legal rights claims, and community agenda-setting</w:t>
      </w:r>
      <w:r>
        <w:rPr>
          <w:rFonts w:cs="Times New Roman"/>
        </w:rPr>
        <w:t xml:space="preserve">.  Future research may look to letters to the editor published in more mainstream newspapers or other </w:t>
      </w:r>
      <w:r w:rsidR="00BB6B31">
        <w:rPr>
          <w:rFonts w:cs="Times New Roman"/>
        </w:rPr>
        <w:t>LGBTQ</w:t>
      </w:r>
      <w:r>
        <w:rPr>
          <w:rFonts w:cs="Times New Roman"/>
        </w:rPr>
        <w:t xml:space="preserve"> newspapers and magazines that concerned </w:t>
      </w:r>
      <w:r w:rsidR="00BB6B31">
        <w:rPr>
          <w:rFonts w:cs="Times New Roman"/>
        </w:rPr>
        <w:t>LGBTQ</w:t>
      </w:r>
      <w:r>
        <w:rPr>
          <w:rFonts w:cs="Times New Roman"/>
        </w:rPr>
        <w:t xml:space="preserve"> issues</w:t>
      </w:r>
      <w:r w:rsidR="00B6370B">
        <w:rPr>
          <w:rFonts w:cs="Times New Roman"/>
        </w:rPr>
        <w:t xml:space="preserve">, </w:t>
      </w:r>
      <w:r w:rsidR="00BB6B31">
        <w:rPr>
          <w:rFonts w:cs="Times New Roman"/>
        </w:rPr>
        <w:t>LGBTQ</w:t>
      </w:r>
      <w:r w:rsidR="00B6370B">
        <w:rPr>
          <w:rFonts w:cs="Times New Roman"/>
        </w:rPr>
        <w:t xml:space="preserve"> rights litigation, </w:t>
      </w:r>
      <w:r w:rsidR="000A6A6D">
        <w:rPr>
          <w:rFonts w:cs="Times New Roman"/>
        </w:rPr>
        <w:t xml:space="preserve">and </w:t>
      </w:r>
      <w:r w:rsidR="00BB6B31">
        <w:rPr>
          <w:rFonts w:cs="Times New Roman"/>
        </w:rPr>
        <w:t>LGBTQ</w:t>
      </w:r>
      <w:r w:rsidR="000A6A6D">
        <w:rPr>
          <w:rFonts w:cs="Times New Roman"/>
        </w:rPr>
        <w:t xml:space="preserve"> Movement publications</w:t>
      </w:r>
      <w:r w:rsidR="009F4AEB">
        <w:rPr>
          <w:rFonts w:cs="Times New Roman"/>
        </w:rPr>
        <w:t xml:space="preserve"> over time</w:t>
      </w:r>
      <w:r w:rsidR="000A6A6D">
        <w:rPr>
          <w:rFonts w:cs="Times New Roman"/>
        </w:rPr>
        <w:t xml:space="preserve">. Future research should also look to the </w:t>
      </w:r>
      <w:r w:rsidR="00AF3CE2">
        <w:rPr>
          <w:rFonts w:cs="Times New Roman"/>
        </w:rPr>
        <w:t xml:space="preserve">social and political </w:t>
      </w:r>
      <w:r w:rsidR="00996255">
        <w:rPr>
          <w:rFonts w:cs="Times New Roman"/>
        </w:rPr>
        <w:t xml:space="preserve">development of same-sex </w:t>
      </w:r>
      <w:r w:rsidR="000A6A6D">
        <w:rPr>
          <w:rFonts w:cs="Times New Roman"/>
        </w:rPr>
        <w:t>marriage</w:t>
      </w:r>
      <w:r w:rsidR="00996255">
        <w:rPr>
          <w:rFonts w:cs="Times New Roman"/>
        </w:rPr>
        <w:t xml:space="preserve"> as a major </w:t>
      </w:r>
      <w:r w:rsidR="00BB6B31">
        <w:rPr>
          <w:rFonts w:cs="Times New Roman"/>
        </w:rPr>
        <w:t>LGBTQ</w:t>
      </w:r>
      <w:r w:rsidR="00996255">
        <w:rPr>
          <w:rFonts w:cs="Times New Roman"/>
        </w:rPr>
        <w:t xml:space="preserve"> issue</w:t>
      </w:r>
      <w:r w:rsidR="000A6A6D">
        <w:rPr>
          <w:rFonts w:cs="Times New Roman"/>
        </w:rPr>
        <w:t xml:space="preserve"> in order to </w:t>
      </w:r>
      <w:r w:rsidR="00996255">
        <w:rPr>
          <w:rFonts w:cs="Times New Roman"/>
        </w:rPr>
        <w:t>fully understand</w:t>
      </w:r>
      <w:r w:rsidR="000A6A6D">
        <w:rPr>
          <w:rFonts w:cs="Times New Roman"/>
        </w:rPr>
        <w:t xml:space="preserve"> how rights talk </w:t>
      </w:r>
      <w:r w:rsidR="00996255">
        <w:rPr>
          <w:rFonts w:cs="Times New Roman"/>
        </w:rPr>
        <w:t xml:space="preserve">impacted this issue, which did not become a major </w:t>
      </w:r>
      <w:r w:rsidR="0022188A">
        <w:rPr>
          <w:rFonts w:cs="Times New Roman"/>
        </w:rPr>
        <w:t>issue for</w:t>
      </w:r>
      <w:r w:rsidR="00996255">
        <w:rPr>
          <w:rFonts w:cs="Times New Roman"/>
        </w:rPr>
        <w:t xml:space="preserve"> the </w:t>
      </w:r>
      <w:r w:rsidR="00BB6B31">
        <w:rPr>
          <w:rFonts w:cs="Times New Roman"/>
        </w:rPr>
        <w:t>LGBTQ</w:t>
      </w:r>
      <w:r w:rsidR="00B964B1">
        <w:rPr>
          <w:rFonts w:cs="Times New Roman"/>
        </w:rPr>
        <w:t>-identified</w:t>
      </w:r>
      <w:r w:rsidR="00996255">
        <w:rPr>
          <w:rFonts w:cs="Times New Roman"/>
        </w:rPr>
        <w:t xml:space="preserve"> </w:t>
      </w:r>
      <w:r w:rsidR="0022188A">
        <w:rPr>
          <w:rFonts w:cs="Times New Roman"/>
        </w:rPr>
        <w:t>people</w:t>
      </w:r>
      <w:r w:rsidR="00996255">
        <w:rPr>
          <w:rFonts w:cs="Times New Roman"/>
        </w:rPr>
        <w:t xml:space="preserve"> until after the 1980s</w:t>
      </w:r>
      <w:r w:rsidR="000A6A6D">
        <w:rPr>
          <w:rFonts w:cs="Times New Roman"/>
        </w:rPr>
        <w:t>.  Overall, this study supports the argument that right</w:t>
      </w:r>
      <w:r w:rsidR="009F4AEB">
        <w:rPr>
          <w:rFonts w:cs="Times New Roman"/>
        </w:rPr>
        <w:t>s</w:t>
      </w:r>
      <w:r w:rsidR="000A6A6D">
        <w:rPr>
          <w:rFonts w:cs="Times New Roman"/>
        </w:rPr>
        <w:t xml:space="preserve"> talk may no</w:t>
      </w:r>
      <w:r w:rsidR="004F1065">
        <w:rPr>
          <w:rFonts w:cs="Times New Roman"/>
        </w:rPr>
        <w:t>t constrain communities from ada</w:t>
      </w:r>
      <w:r w:rsidR="000A6A6D">
        <w:rPr>
          <w:rFonts w:cs="Times New Roman"/>
        </w:rPr>
        <w:t xml:space="preserve">pting </w:t>
      </w:r>
      <w:r w:rsidR="004F1065">
        <w:rPr>
          <w:rFonts w:cs="Times New Roman"/>
        </w:rPr>
        <w:t>to non-legal</w:t>
      </w:r>
      <w:r w:rsidR="000A6A6D">
        <w:rPr>
          <w:rFonts w:cs="Times New Roman"/>
        </w:rPr>
        <w:t xml:space="preserve"> is</w:t>
      </w:r>
      <w:r w:rsidR="004F1065">
        <w:rPr>
          <w:rFonts w:cs="Times New Roman"/>
        </w:rPr>
        <w:t>sues</w:t>
      </w:r>
      <w:r w:rsidR="00996255">
        <w:rPr>
          <w:rFonts w:cs="Times New Roman"/>
        </w:rPr>
        <w:t xml:space="preserve"> or to alternative issues over time</w:t>
      </w:r>
      <w:r w:rsidR="000A6A6D">
        <w:rPr>
          <w:rFonts w:cs="Times New Roman"/>
        </w:rPr>
        <w:t xml:space="preserve">; however, additional research is necessary in order to fully understand the evolution of rights talk within the </w:t>
      </w:r>
      <w:r w:rsidR="00BB6B31">
        <w:rPr>
          <w:rFonts w:cs="Times New Roman"/>
        </w:rPr>
        <w:t>LGBTQ</w:t>
      </w:r>
      <w:r w:rsidR="000A6A6D">
        <w:rPr>
          <w:rFonts w:cs="Times New Roman"/>
        </w:rPr>
        <w:t xml:space="preserve"> community</w:t>
      </w:r>
      <w:r w:rsidR="00996255">
        <w:rPr>
          <w:rFonts w:cs="Times New Roman"/>
        </w:rPr>
        <w:t xml:space="preserve"> today</w:t>
      </w:r>
      <w:r w:rsidR="000A6A6D">
        <w:rPr>
          <w:rFonts w:cs="Times New Roman"/>
        </w:rPr>
        <w:t>.</w:t>
      </w:r>
      <w:r>
        <w:rPr>
          <w:rFonts w:cs="Times New Roman"/>
        </w:rPr>
        <w:t xml:space="preserve">    </w:t>
      </w:r>
    </w:p>
    <w:p w14:paraId="2E6241EE" w14:textId="77777777" w:rsidR="00B964B1" w:rsidRDefault="00B964B1" w:rsidP="009D544D">
      <w:pPr>
        <w:spacing w:line="480" w:lineRule="auto"/>
        <w:rPr>
          <w:rFonts w:cs="Times New Roman"/>
        </w:rPr>
      </w:pPr>
    </w:p>
    <w:p w14:paraId="5BD7D596" w14:textId="77777777" w:rsidR="00A70CFE" w:rsidRPr="0068173E" w:rsidRDefault="00A70CFE" w:rsidP="009D544D">
      <w:pPr>
        <w:spacing w:line="480" w:lineRule="auto"/>
        <w:rPr>
          <w:rFonts w:cs="Times New Roman"/>
        </w:rPr>
      </w:pPr>
    </w:p>
    <w:p w14:paraId="364180FD" w14:textId="494C19F2" w:rsidR="00BE48D0" w:rsidRDefault="001C3060" w:rsidP="001C3060">
      <w:pPr>
        <w:spacing w:line="480" w:lineRule="auto"/>
        <w:jc w:val="center"/>
        <w:rPr>
          <w:rFonts w:cs="Times New Roman"/>
          <w:b/>
        </w:rPr>
      </w:pPr>
      <w:r>
        <w:rPr>
          <w:rFonts w:cs="Times New Roman"/>
          <w:b/>
        </w:rPr>
        <w:t>TABLE 1</w:t>
      </w:r>
    </w:p>
    <w:tbl>
      <w:tblPr>
        <w:tblW w:w="5400" w:type="dxa"/>
        <w:jc w:val="center"/>
        <w:tblInd w:w="93" w:type="dxa"/>
        <w:tblLook w:val="04A0" w:firstRow="1" w:lastRow="0" w:firstColumn="1" w:lastColumn="0" w:noHBand="0" w:noVBand="1"/>
      </w:tblPr>
      <w:tblGrid>
        <w:gridCol w:w="2870"/>
        <w:gridCol w:w="1238"/>
        <w:gridCol w:w="1318"/>
      </w:tblGrid>
      <w:tr w:rsidR="0007410A" w:rsidRPr="0007410A" w14:paraId="77BCEF39" w14:textId="77777777" w:rsidTr="0007410A">
        <w:trPr>
          <w:trHeight w:val="300"/>
          <w:jc w:val="center"/>
        </w:trPr>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21DC6" w14:textId="103204B6" w:rsidR="0007410A" w:rsidRPr="0007410A" w:rsidRDefault="0022188A" w:rsidP="0007410A">
            <w:pPr>
              <w:jc w:val="center"/>
              <w:rPr>
                <w:rFonts w:ascii="Calibri" w:eastAsia="Times New Roman" w:hAnsi="Calibri" w:cs="Times New Roman"/>
                <w:b/>
                <w:bCs/>
                <w:color w:val="000000"/>
                <w:lang w:eastAsia="en-US"/>
              </w:rPr>
            </w:pPr>
            <w:r>
              <w:rPr>
                <w:rFonts w:ascii="Calibri" w:eastAsia="Times New Roman" w:hAnsi="Calibri" w:cs="Times New Roman"/>
                <w:b/>
                <w:bCs/>
                <w:color w:val="000000"/>
                <w:lang w:eastAsia="en-US"/>
              </w:rPr>
              <w:t>Frequency of Issues Overall</w:t>
            </w:r>
          </w:p>
        </w:tc>
      </w:tr>
      <w:tr w:rsidR="0007410A" w:rsidRPr="0007410A" w14:paraId="03DE8F64"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263243B0"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Issue</w:t>
            </w:r>
          </w:p>
        </w:tc>
        <w:tc>
          <w:tcPr>
            <w:tcW w:w="1219" w:type="dxa"/>
            <w:tcBorders>
              <w:top w:val="nil"/>
              <w:left w:val="nil"/>
              <w:bottom w:val="single" w:sz="4" w:space="0" w:color="auto"/>
              <w:right w:val="single" w:sz="4" w:space="0" w:color="auto"/>
            </w:tcBorders>
            <w:shd w:val="clear" w:color="auto" w:fill="auto"/>
            <w:noWrap/>
            <w:vAlign w:val="bottom"/>
            <w:hideMark/>
          </w:tcPr>
          <w:p w14:paraId="715B7E31"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Frequency</w:t>
            </w:r>
          </w:p>
        </w:tc>
        <w:tc>
          <w:tcPr>
            <w:tcW w:w="1311" w:type="dxa"/>
            <w:tcBorders>
              <w:top w:val="nil"/>
              <w:left w:val="nil"/>
              <w:bottom w:val="single" w:sz="4" w:space="0" w:color="auto"/>
              <w:right w:val="single" w:sz="4" w:space="0" w:color="auto"/>
            </w:tcBorders>
            <w:shd w:val="clear" w:color="auto" w:fill="auto"/>
            <w:noWrap/>
            <w:vAlign w:val="bottom"/>
            <w:hideMark/>
          </w:tcPr>
          <w:p w14:paraId="5E051409"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Percentage</w:t>
            </w:r>
          </w:p>
        </w:tc>
      </w:tr>
      <w:tr w:rsidR="0007410A" w:rsidRPr="0007410A" w14:paraId="3FF0641D"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0C2F94F2"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Adoption</w:t>
            </w:r>
          </w:p>
        </w:tc>
        <w:tc>
          <w:tcPr>
            <w:tcW w:w="1219" w:type="dxa"/>
            <w:tcBorders>
              <w:top w:val="nil"/>
              <w:left w:val="nil"/>
              <w:bottom w:val="single" w:sz="4" w:space="0" w:color="auto"/>
              <w:right w:val="single" w:sz="4" w:space="0" w:color="auto"/>
            </w:tcBorders>
            <w:shd w:val="clear" w:color="auto" w:fill="auto"/>
            <w:noWrap/>
            <w:vAlign w:val="bottom"/>
            <w:hideMark/>
          </w:tcPr>
          <w:p w14:paraId="1871C27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w:t>
            </w:r>
          </w:p>
        </w:tc>
        <w:tc>
          <w:tcPr>
            <w:tcW w:w="1311" w:type="dxa"/>
            <w:tcBorders>
              <w:top w:val="nil"/>
              <w:left w:val="nil"/>
              <w:bottom w:val="single" w:sz="4" w:space="0" w:color="auto"/>
              <w:right w:val="single" w:sz="4" w:space="0" w:color="auto"/>
            </w:tcBorders>
            <w:shd w:val="clear" w:color="auto" w:fill="auto"/>
            <w:noWrap/>
            <w:vAlign w:val="bottom"/>
            <w:hideMark/>
          </w:tcPr>
          <w:p w14:paraId="5F3CF0D7"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w:t>
            </w:r>
          </w:p>
        </w:tc>
      </w:tr>
      <w:tr w:rsidR="0007410A" w:rsidRPr="0007410A" w14:paraId="33C22388"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043D779E"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AIDS/HIV</w:t>
            </w:r>
          </w:p>
        </w:tc>
        <w:tc>
          <w:tcPr>
            <w:tcW w:w="1219" w:type="dxa"/>
            <w:tcBorders>
              <w:top w:val="nil"/>
              <w:left w:val="nil"/>
              <w:bottom w:val="single" w:sz="4" w:space="0" w:color="auto"/>
              <w:right w:val="single" w:sz="4" w:space="0" w:color="auto"/>
            </w:tcBorders>
            <w:shd w:val="clear" w:color="auto" w:fill="auto"/>
            <w:noWrap/>
            <w:vAlign w:val="bottom"/>
            <w:hideMark/>
          </w:tcPr>
          <w:p w14:paraId="45229C0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44</w:t>
            </w:r>
          </w:p>
        </w:tc>
        <w:tc>
          <w:tcPr>
            <w:tcW w:w="1311" w:type="dxa"/>
            <w:tcBorders>
              <w:top w:val="nil"/>
              <w:left w:val="nil"/>
              <w:bottom w:val="single" w:sz="4" w:space="0" w:color="auto"/>
              <w:right w:val="single" w:sz="4" w:space="0" w:color="auto"/>
            </w:tcBorders>
            <w:shd w:val="clear" w:color="auto" w:fill="auto"/>
            <w:noWrap/>
            <w:vAlign w:val="bottom"/>
            <w:hideMark/>
          </w:tcPr>
          <w:p w14:paraId="5BC871C9"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8</w:t>
            </w:r>
          </w:p>
        </w:tc>
      </w:tr>
      <w:tr w:rsidR="0007410A" w:rsidRPr="0007410A" w14:paraId="7C63C16D"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39D9E762"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Discrimination Overall</w:t>
            </w:r>
          </w:p>
        </w:tc>
        <w:tc>
          <w:tcPr>
            <w:tcW w:w="1219" w:type="dxa"/>
            <w:tcBorders>
              <w:top w:val="nil"/>
              <w:left w:val="nil"/>
              <w:bottom w:val="single" w:sz="4" w:space="0" w:color="auto"/>
              <w:right w:val="single" w:sz="4" w:space="0" w:color="auto"/>
            </w:tcBorders>
            <w:shd w:val="clear" w:color="auto" w:fill="auto"/>
            <w:noWrap/>
            <w:vAlign w:val="bottom"/>
            <w:hideMark/>
          </w:tcPr>
          <w:p w14:paraId="778E5F4F"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36</w:t>
            </w:r>
          </w:p>
        </w:tc>
        <w:tc>
          <w:tcPr>
            <w:tcW w:w="1311" w:type="dxa"/>
            <w:tcBorders>
              <w:top w:val="nil"/>
              <w:left w:val="nil"/>
              <w:bottom w:val="single" w:sz="4" w:space="0" w:color="auto"/>
              <w:right w:val="single" w:sz="4" w:space="0" w:color="auto"/>
            </w:tcBorders>
            <w:shd w:val="clear" w:color="auto" w:fill="auto"/>
            <w:noWrap/>
            <w:vAlign w:val="bottom"/>
            <w:hideMark/>
          </w:tcPr>
          <w:p w14:paraId="2BEB4932"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6</w:t>
            </w:r>
          </w:p>
        </w:tc>
      </w:tr>
      <w:tr w:rsidR="0007410A" w:rsidRPr="0007410A" w14:paraId="69BE5F81"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1A0070A1"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Hospital Visitation</w:t>
            </w:r>
          </w:p>
        </w:tc>
        <w:tc>
          <w:tcPr>
            <w:tcW w:w="1219" w:type="dxa"/>
            <w:tcBorders>
              <w:top w:val="nil"/>
              <w:left w:val="nil"/>
              <w:bottom w:val="single" w:sz="4" w:space="0" w:color="auto"/>
              <w:right w:val="single" w:sz="4" w:space="0" w:color="auto"/>
            </w:tcBorders>
            <w:shd w:val="clear" w:color="auto" w:fill="auto"/>
            <w:noWrap/>
            <w:vAlign w:val="bottom"/>
            <w:hideMark/>
          </w:tcPr>
          <w:p w14:paraId="1DED980C"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w:t>
            </w:r>
          </w:p>
        </w:tc>
        <w:tc>
          <w:tcPr>
            <w:tcW w:w="1311" w:type="dxa"/>
            <w:tcBorders>
              <w:top w:val="nil"/>
              <w:left w:val="nil"/>
              <w:bottom w:val="single" w:sz="4" w:space="0" w:color="auto"/>
              <w:right w:val="single" w:sz="4" w:space="0" w:color="auto"/>
            </w:tcBorders>
            <w:shd w:val="clear" w:color="auto" w:fill="auto"/>
            <w:noWrap/>
            <w:vAlign w:val="bottom"/>
            <w:hideMark/>
          </w:tcPr>
          <w:p w14:paraId="3EEEC9BE"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r>
      <w:tr w:rsidR="0007410A" w:rsidRPr="0007410A" w14:paraId="5049C4C3"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4762BDC4"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Immigration</w:t>
            </w:r>
          </w:p>
        </w:tc>
        <w:tc>
          <w:tcPr>
            <w:tcW w:w="1219" w:type="dxa"/>
            <w:tcBorders>
              <w:top w:val="nil"/>
              <w:left w:val="nil"/>
              <w:bottom w:val="single" w:sz="4" w:space="0" w:color="auto"/>
              <w:right w:val="single" w:sz="4" w:space="0" w:color="auto"/>
            </w:tcBorders>
            <w:shd w:val="clear" w:color="auto" w:fill="auto"/>
            <w:noWrap/>
            <w:vAlign w:val="bottom"/>
            <w:hideMark/>
          </w:tcPr>
          <w:p w14:paraId="3216E33E"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10</w:t>
            </w:r>
          </w:p>
        </w:tc>
        <w:tc>
          <w:tcPr>
            <w:tcW w:w="1311" w:type="dxa"/>
            <w:tcBorders>
              <w:top w:val="nil"/>
              <w:left w:val="nil"/>
              <w:bottom w:val="single" w:sz="4" w:space="0" w:color="auto"/>
              <w:right w:val="single" w:sz="4" w:space="0" w:color="auto"/>
            </w:tcBorders>
            <w:shd w:val="clear" w:color="auto" w:fill="auto"/>
            <w:noWrap/>
            <w:vAlign w:val="bottom"/>
            <w:hideMark/>
          </w:tcPr>
          <w:p w14:paraId="33188F9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w:t>
            </w:r>
          </w:p>
        </w:tc>
      </w:tr>
      <w:tr w:rsidR="0007410A" w:rsidRPr="0007410A" w14:paraId="0CBB0DF2"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390E410F"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Media</w:t>
            </w:r>
          </w:p>
        </w:tc>
        <w:tc>
          <w:tcPr>
            <w:tcW w:w="1219" w:type="dxa"/>
            <w:tcBorders>
              <w:top w:val="nil"/>
              <w:left w:val="nil"/>
              <w:bottom w:val="single" w:sz="4" w:space="0" w:color="auto"/>
              <w:right w:val="single" w:sz="4" w:space="0" w:color="auto"/>
            </w:tcBorders>
            <w:shd w:val="clear" w:color="auto" w:fill="auto"/>
            <w:noWrap/>
            <w:vAlign w:val="bottom"/>
            <w:hideMark/>
          </w:tcPr>
          <w:p w14:paraId="72E2BC9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37</w:t>
            </w:r>
          </w:p>
        </w:tc>
        <w:tc>
          <w:tcPr>
            <w:tcW w:w="1311" w:type="dxa"/>
            <w:tcBorders>
              <w:top w:val="nil"/>
              <w:left w:val="nil"/>
              <w:bottom w:val="single" w:sz="4" w:space="0" w:color="auto"/>
              <w:right w:val="single" w:sz="4" w:space="0" w:color="auto"/>
            </w:tcBorders>
            <w:shd w:val="clear" w:color="auto" w:fill="auto"/>
            <w:noWrap/>
            <w:vAlign w:val="bottom"/>
            <w:hideMark/>
          </w:tcPr>
          <w:p w14:paraId="7F697BB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6</w:t>
            </w:r>
          </w:p>
        </w:tc>
      </w:tr>
      <w:tr w:rsidR="0007410A" w:rsidRPr="0007410A" w14:paraId="37E7C121"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7F12ABE4"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Medical Access</w:t>
            </w:r>
          </w:p>
        </w:tc>
        <w:tc>
          <w:tcPr>
            <w:tcW w:w="1219" w:type="dxa"/>
            <w:tcBorders>
              <w:top w:val="nil"/>
              <w:left w:val="nil"/>
              <w:bottom w:val="single" w:sz="4" w:space="0" w:color="auto"/>
              <w:right w:val="single" w:sz="4" w:space="0" w:color="auto"/>
            </w:tcBorders>
            <w:shd w:val="clear" w:color="auto" w:fill="auto"/>
            <w:noWrap/>
            <w:vAlign w:val="bottom"/>
            <w:hideMark/>
          </w:tcPr>
          <w:p w14:paraId="0A5945C3"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w:t>
            </w:r>
          </w:p>
        </w:tc>
        <w:tc>
          <w:tcPr>
            <w:tcW w:w="1311" w:type="dxa"/>
            <w:tcBorders>
              <w:top w:val="nil"/>
              <w:left w:val="nil"/>
              <w:bottom w:val="single" w:sz="4" w:space="0" w:color="auto"/>
              <w:right w:val="single" w:sz="4" w:space="0" w:color="auto"/>
            </w:tcBorders>
            <w:shd w:val="clear" w:color="auto" w:fill="auto"/>
            <w:noWrap/>
            <w:vAlign w:val="bottom"/>
            <w:hideMark/>
          </w:tcPr>
          <w:p w14:paraId="1DD60E1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r>
      <w:tr w:rsidR="0007410A" w:rsidRPr="0007410A" w14:paraId="3A078009"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50E8E5FB"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Military</w:t>
            </w:r>
          </w:p>
        </w:tc>
        <w:tc>
          <w:tcPr>
            <w:tcW w:w="1219" w:type="dxa"/>
            <w:tcBorders>
              <w:top w:val="nil"/>
              <w:left w:val="nil"/>
              <w:bottom w:val="single" w:sz="4" w:space="0" w:color="auto"/>
              <w:right w:val="single" w:sz="4" w:space="0" w:color="auto"/>
            </w:tcBorders>
            <w:shd w:val="clear" w:color="auto" w:fill="auto"/>
            <w:noWrap/>
            <w:vAlign w:val="bottom"/>
            <w:hideMark/>
          </w:tcPr>
          <w:p w14:paraId="11CBA39B"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7</w:t>
            </w:r>
          </w:p>
        </w:tc>
        <w:tc>
          <w:tcPr>
            <w:tcW w:w="1311" w:type="dxa"/>
            <w:tcBorders>
              <w:top w:val="nil"/>
              <w:left w:val="nil"/>
              <w:bottom w:val="single" w:sz="4" w:space="0" w:color="auto"/>
              <w:right w:val="single" w:sz="4" w:space="0" w:color="auto"/>
            </w:tcBorders>
            <w:shd w:val="clear" w:color="auto" w:fill="auto"/>
            <w:noWrap/>
            <w:vAlign w:val="bottom"/>
            <w:hideMark/>
          </w:tcPr>
          <w:p w14:paraId="4C50277B"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w:t>
            </w:r>
          </w:p>
        </w:tc>
      </w:tr>
      <w:tr w:rsidR="0007410A" w:rsidRPr="0007410A" w14:paraId="169107B9"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4CC7B7C1"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Police Trouble/Brutality</w:t>
            </w:r>
          </w:p>
        </w:tc>
        <w:tc>
          <w:tcPr>
            <w:tcW w:w="1219" w:type="dxa"/>
            <w:tcBorders>
              <w:top w:val="nil"/>
              <w:left w:val="nil"/>
              <w:bottom w:val="single" w:sz="4" w:space="0" w:color="auto"/>
              <w:right w:val="single" w:sz="4" w:space="0" w:color="auto"/>
            </w:tcBorders>
            <w:shd w:val="clear" w:color="auto" w:fill="auto"/>
            <w:noWrap/>
            <w:vAlign w:val="bottom"/>
            <w:hideMark/>
          </w:tcPr>
          <w:p w14:paraId="24E142D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16</w:t>
            </w:r>
          </w:p>
        </w:tc>
        <w:tc>
          <w:tcPr>
            <w:tcW w:w="1311" w:type="dxa"/>
            <w:tcBorders>
              <w:top w:val="nil"/>
              <w:left w:val="nil"/>
              <w:bottom w:val="single" w:sz="4" w:space="0" w:color="auto"/>
              <w:right w:val="single" w:sz="4" w:space="0" w:color="auto"/>
            </w:tcBorders>
            <w:shd w:val="clear" w:color="auto" w:fill="auto"/>
            <w:noWrap/>
            <w:vAlign w:val="bottom"/>
            <w:hideMark/>
          </w:tcPr>
          <w:p w14:paraId="70CD7F1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w:t>
            </w:r>
          </w:p>
        </w:tc>
      </w:tr>
      <w:tr w:rsidR="0007410A" w:rsidRPr="0007410A" w14:paraId="04FC046B"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54E1F595"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Prison</w:t>
            </w:r>
          </w:p>
        </w:tc>
        <w:tc>
          <w:tcPr>
            <w:tcW w:w="1219" w:type="dxa"/>
            <w:tcBorders>
              <w:top w:val="nil"/>
              <w:left w:val="nil"/>
              <w:bottom w:val="single" w:sz="4" w:space="0" w:color="auto"/>
              <w:right w:val="single" w:sz="4" w:space="0" w:color="auto"/>
            </w:tcBorders>
            <w:shd w:val="clear" w:color="auto" w:fill="auto"/>
            <w:noWrap/>
            <w:vAlign w:val="bottom"/>
            <w:hideMark/>
          </w:tcPr>
          <w:p w14:paraId="7B9749D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52</w:t>
            </w:r>
          </w:p>
        </w:tc>
        <w:tc>
          <w:tcPr>
            <w:tcW w:w="1311" w:type="dxa"/>
            <w:tcBorders>
              <w:top w:val="nil"/>
              <w:left w:val="nil"/>
              <w:bottom w:val="single" w:sz="4" w:space="0" w:color="auto"/>
              <w:right w:val="single" w:sz="4" w:space="0" w:color="auto"/>
            </w:tcBorders>
            <w:shd w:val="clear" w:color="auto" w:fill="auto"/>
            <w:noWrap/>
            <w:vAlign w:val="bottom"/>
            <w:hideMark/>
          </w:tcPr>
          <w:p w14:paraId="75F9A35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9</w:t>
            </w:r>
          </w:p>
        </w:tc>
      </w:tr>
      <w:tr w:rsidR="0007410A" w:rsidRPr="0007410A" w14:paraId="3E9EBD7D"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53423F2F"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Sexuality Overall</w:t>
            </w:r>
          </w:p>
        </w:tc>
        <w:tc>
          <w:tcPr>
            <w:tcW w:w="1219" w:type="dxa"/>
            <w:tcBorders>
              <w:top w:val="nil"/>
              <w:left w:val="nil"/>
              <w:bottom w:val="single" w:sz="4" w:space="0" w:color="auto"/>
              <w:right w:val="single" w:sz="4" w:space="0" w:color="auto"/>
            </w:tcBorders>
            <w:shd w:val="clear" w:color="auto" w:fill="auto"/>
            <w:noWrap/>
            <w:vAlign w:val="bottom"/>
            <w:hideMark/>
          </w:tcPr>
          <w:p w14:paraId="2F7EBE6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71</w:t>
            </w:r>
          </w:p>
        </w:tc>
        <w:tc>
          <w:tcPr>
            <w:tcW w:w="1311" w:type="dxa"/>
            <w:tcBorders>
              <w:top w:val="nil"/>
              <w:left w:val="nil"/>
              <w:bottom w:val="single" w:sz="4" w:space="0" w:color="auto"/>
              <w:right w:val="single" w:sz="4" w:space="0" w:color="auto"/>
            </w:tcBorders>
            <w:shd w:val="clear" w:color="auto" w:fill="auto"/>
            <w:noWrap/>
            <w:vAlign w:val="bottom"/>
            <w:hideMark/>
          </w:tcPr>
          <w:p w14:paraId="2C5B1E1B"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12</w:t>
            </w:r>
          </w:p>
        </w:tc>
      </w:tr>
      <w:tr w:rsidR="0007410A" w:rsidRPr="0007410A" w14:paraId="16E95A7C"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6AD8296B"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Violence Against Women</w:t>
            </w:r>
          </w:p>
        </w:tc>
        <w:tc>
          <w:tcPr>
            <w:tcW w:w="1219" w:type="dxa"/>
            <w:tcBorders>
              <w:top w:val="nil"/>
              <w:left w:val="nil"/>
              <w:bottom w:val="single" w:sz="4" w:space="0" w:color="auto"/>
              <w:right w:val="single" w:sz="4" w:space="0" w:color="auto"/>
            </w:tcBorders>
            <w:shd w:val="clear" w:color="auto" w:fill="auto"/>
            <w:noWrap/>
            <w:vAlign w:val="bottom"/>
            <w:hideMark/>
          </w:tcPr>
          <w:p w14:paraId="01B9D2E1"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19</w:t>
            </w:r>
          </w:p>
        </w:tc>
        <w:tc>
          <w:tcPr>
            <w:tcW w:w="1311" w:type="dxa"/>
            <w:tcBorders>
              <w:top w:val="nil"/>
              <w:left w:val="nil"/>
              <w:bottom w:val="single" w:sz="4" w:space="0" w:color="auto"/>
              <w:right w:val="single" w:sz="4" w:space="0" w:color="auto"/>
            </w:tcBorders>
            <w:shd w:val="clear" w:color="auto" w:fill="auto"/>
            <w:noWrap/>
            <w:vAlign w:val="bottom"/>
            <w:hideMark/>
          </w:tcPr>
          <w:p w14:paraId="50DBAF8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w:t>
            </w:r>
          </w:p>
        </w:tc>
      </w:tr>
      <w:tr w:rsidR="0007410A" w:rsidRPr="0007410A" w14:paraId="2A616E49"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11411760"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Non-Police Violence</w:t>
            </w:r>
          </w:p>
        </w:tc>
        <w:tc>
          <w:tcPr>
            <w:tcW w:w="1219" w:type="dxa"/>
            <w:tcBorders>
              <w:top w:val="nil"/>
              <w:left w:val="nil"/>
              <w:bottom w:val="single" w:sz="4" w:space="0" w:color="auto"/>
              <w:right w:val="single" w:sz="4" w:space="0" w:color="auto"/>
            </w:tcBorders>
            <w:shd w:val="clear" w:color="auto" w:fill="auto"/>
            <w:noWrap/>
            <w:vAlign w:val="bottom"/>
            <w:hideMark/>
          </w:tcPr>
          <w:p w14:paraId="092A6691"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27</w:t>
            </w:r>
          </w:p>
        </w:tc>
        <w:tc>
          <w:tcPr>
            <w:tcW w:w="1311" w:type="dxa"/>
            <w:tcBorders>
              <w:top w:val="nil"/>
              <w:left w:val="nil"/>
              <w:bottom w:val="single" w:sz="4" w:space="0" w:color="auto"/>
              <w:right w:val="single" w:sz="4" w:space="0" w:color="auto"/>
            </w:tcBorders>
            <w:shd w:val="clear" w:color="auto" w:fill="auto"/>
            <w:noWrap/>
            <w:vAlign w:val="bottom"/>
            <w:hideMark/>
          </w:tcPr>
          <w:p w14:paraId="3AAD6DFE"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w:t>
            </w:r>
          </w:p>
        </w:tc>
      </w:tr>
      <w:tr w:rsidR="0007410A" w:rsidRPr="0007410A" w14:paraId="6D2A03A9"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76D0A528"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Feminism</w:t>
            </w:r>
          </w:p>
        </w:tc>
        <w:tc>
          <w:tcPr>
            <w:tcW w:w="1219" w:type="dxa"/>
            <w:tcBorders>
              <w:top w:val="nil"/>
              <w:left w:val="nil"/>
              <w:bottom w:val="single" w:sz="4" w:space="0" w:color="auto"/>
              <w:right w:val="single" w:sz="4" w:space="0" w:color="auto"/>
            </w:tcBorders>
            <w:shd w:val="clear" w:color="auto" w:fill="auto"/>
            <w:noWrap/>
            <w:vAlign w:val="bottom"/>
            <w:hideMark/>
          </w:tcPr>
          <w:p w14:paraId="3D5CEA0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50</w:t>
            </w:r>
          </w:p>
        </w:tc>
        <w:tc>
          <w:tcPr>
            <w:tcW w:w="1311" w:type="dxa"/>
            <w:tcBorders>
              <w:top w:val="nil"/>
              <w:left w:val="nil"/>
              <w:bottom w:val="single" w:sz="4" w:space="0" w:color="auto"/>
              <w:right w:val="single" w:sz="4" w:space="0" w:color="auto"/>
            </w:tcBorders>
            <w:shd w:val="clear" w:color="auto" w:fill="auto"/>
            <w:noWrap/>
            <w:vAlign w:val="bottom"/>
            <w:hideMark/>
          </w:tcPr>
          <w:p w14:paraId="308B5AE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9</w:t>
            </w:r>
          </w:p>
        </w:tc>
      </w:tr>
      <w:tr w:rsidR="0007410A" w:rsidRPr="0007410A" w14:paraId="35E1B289"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7FDB64C0"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Political Overall</w:t>
            </w:r>
          </w:p>
        </w:tc>
        <w:tc>
          <w:tcPr>
            <w:tcW w:w="1219" w:type="dxa"/>
            <w:tcBorders>
              <w:top w:val="nil"/>
              <w:left w:val="nil"/>
              <w:bottom w:val="single" w:sz="4" w:space="0" w:color="auto"/>
              <w:right w:val="single" w:sz="4" w:space="0" w:color="auto"/>
            </w:tcBorders>
            <w:shd w:val="clear" w:color="auto" w:fill="auto"/>
            <w:noWrap/>
            <w:vAlign w:val="bottom"/>
            <w:hideMark/>
          </w:tcPr>
          <w:p w14:paraId="1EB50B6B"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126</w:t>
            </w:r>
          </w:p>
        </w:tc>
        <w:tc>
          <w:tcPr>
            <w:tcW w:w="1311" w:type="dxa"/>
            <w:tcBorders>
              <w:top w:val="nil"/>
              <w:left w:val="nil"/>
              <w:bottom w:val="single" w:sz="4" w:space="0" w:color="auto"/>
              <w:right w:val="single" w:sz="4" w:space="0" w:color="auto"/>
            </w:tcBorders>
            <w:shd w:val="clear" w:color="auto" w:fill="auto"/>
            <w:noWrap/>
            <w:vAlign w:val="bottom"/>
            <w:hideMark/>
          </w:tcPr>
          <w:p w14:paraId="2283D07B"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22</w:t>
            </w:r>
          </w:p>
        </w:tc>
      </w:tr>
      <w:tr w:rsidR="0007410A" w:rsidRPr="0007410A" w14:paraId="3F097604"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2E8AFFEC"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Race</w:t>
            </w:r>
          </w:p>
        </w:tc>
        <w:tc>
          <w:tcPr>
            <w:tcW w:w="1219" w:type="dxa"/>
            <w:tcBorders>
              <w:top w:val="nil"/>
              <w:left w:val="nil"/>
              <w:bottom w:val="single" w:sz="4" w:space="0" w:color="auto"/>
              <w:right w:val="single" w:sz="4" w:space="0" w:color="auto"/>
            </w:tcBorders>
            <w:shd w:val="clear" w:color="auto" w:fill="auto"/>
            <w:noWrap/>
            <w:vAlign w:val="bottom"/>
            <w:hideMark/>
          </w:tcPr>
          <w:p w14:paraId="2588C58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38</w:t>
            </w:r>
          </w:p>
        </w:tc>
        <w:tc>
          <w:tcPr>
            <w:tcW w:w="1311" w:type="dxa"/>
            <w:tcBorders>
              <w:top w:val="nil"/>
              <w:left w:val="nil"/>
              <w:bottom w:val="single" w:sz="4" w:space="0" w:color="auto"/>
              <w:right w:val="single" w:sz="4" w:space="0" w:color="auto"/>
            </w:tcBorders>
            <w:shd w:val="clear" w:color="auto" w:fill="auto"/>
            <w:noWrap/>
            <w:vAlign w:val="bottom"/>
            <w:hideMark/>
          </w:tcPr>
          <w:p w14:paraId="0B0E4F6B"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7</w:t>
            </w:r>
          </w:p>
        </w:tc>
      </w:tr>
      <w:tr w:rsidR="0007410A" w:rsidRPr="0007410A" w14:paraId="205FE547"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69014F7E"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Religion</w:t>
            </w:r>
          </w:p>
        </w:tc>
        <w:tc>
          <w:tcPr>
            <w:tcW w:w="1219" w:type="dxa"/>
            <w:tcBorders>
              <w:top w:val="nil"/>
              <w:left w:val="nil"/>
              <w:bottom w:val="single" w:sz="4" w:space="0" w:color="auto"/>
              <w:right w:val="single" w:sz="4" w:space="0" w:color="auto"/>
            </w:tcBorders>
            <w:shd w:val="clear" w:color="auto" w:fill="auto"/>
            <w:noWrap/>
            <w:vAlign w:val="bottom"/>
            <w:hideMark/>
          </w:tcPr>
          <w:p w14:paraId="72537F0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15</w:t>
            </w:r>
          </w:p>
        </w:tc>
        <w:tc>
          <w:tcPr>
            <w:tcW w:w="1311" w:type="dxa"/>
            <w:tcBorders>
              <w:top w:val="nil"/>
              <w:left w:val="nil"/>
              <w:bottom w:val="single" w:sz="4" w:space="0" w:color="auto"/>
              <w:right w:val="single" w:sz="4" w:space="0" w:color="auto"/>
            </w:tcBorders>
            <w:shd w:val="clear" w:color="auto" w:fill="auto"/>
            <w:noWrap/>
            <w:vAlign w:val="bottom"/>
            <w:hideMark/>
          </w:tcPr>
          <w:p w14:paraId="083CD263"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w:t>
            </w:r>
          </w:p>
        </w:tc>
      </w:tr>
      <w:tr w:rsidR="0007410A" w:rsidRPr="0007410A" w14:paraId="04CA9EED"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19EB88F2"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Substance Abuse</w:t>
            </w:r>
          </w:p>
        </w:tc>
        <w:tc>
          <w:tcPr>
            <w:tcW w:w="1219" w:type="dxa"/>
            <w:tcBorders>
              <w:top w:val="nil"/>
              <w:left w:val="nil"/>
              <w:bottom w:val="single" w:sz="4" w:space="0" w:color="auto"/>
              <w:right w:val="single" w:sz="4" w:space="0" w:color="auto"/>
            </w:tcBorders>
            <w:shd w:val="clear" w:color="auto" w:fill="auto"/>
            <w:noWrap/>
            <w:vAlign w:val="bottom"/>
            <w:hideMark/>
          </w:tcPr>
          <w:p w14:paraId="7BF16F92"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w:t>
            </w:r>
          </w:p>
        </w:tc>
        <w:tc>
          <w:tcPr>
            <w:tcW w:w="1311" w:type="dxa"/>
            <w:tcBorders>
              <w:top w:val="nil"/>
              <w:left w:val="nil"/>
              <w:bottom w:val="single" w:sz="4" w:space="0" w:color="auto"/>
              <w:right w:val="single" w:sz="4" w:space="0" w:color="auto"/>
            </w:tcBorders>
            <w:shd w:val="clear" w:color="auto" w:fill="auto"/>
            <w:noWrap/>
            <w:vAlign w:val="bottom"/>
            <w:hideMark/>
          </w:tcPr>
          <w:p w14:paraId="7852351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w:t>
            </w:r>
          </w:p>
        </w:tc>
      </w:tr>
      <w:tr w:rsidR="0007410A" w:rsidRPr="0007410A" w14:paraId="0CF0790F"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6C3FA42A" w14:textId="6D7EE071"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Transgender</w:t>
            </w:r>
            <w:r w:rsidR="004E34AC">
              <w:rPr>
                <w:rFonts w:ascii="Calibri" w:eastAsia="Times New Roman" w:hAnsi="Calibri" w:cs="Times New Roman"/>
                <w:color w:val="000000"/>
                <w:lang w:eastAsia="en-US"/>
              </w:rPr>
              <w:t xml:space="preserve"> Persons</w:t>
            </w:r>
          </w:p>
        </w:tc>
        <w:tc>
          <w:tcPr>
            <w:tcW w:w="1219" w:type="dxa"/>
            <w:tcBorders>
              <w:top w:val="nil"/>
              <w:left w:val="nil"/>
              <w:bottom w:val="single" w:sz="4" w:space="0" w:color="auto"/>
              <w:right w:val="single" w:sz="4" w:space="0" w:color="auto"/>
            </w:tcBorders>
            <w:shd w:val="clear" w:color="auto" w:fill="auto"/>
            <w:noWrap/>
            <w:vAlign w:val="bottom"/>
            <w:hideMark/>
          </w:tcPr>
          <w:p w14:paraId="6089D6B1"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6</w:t>
            </w:r>
          </w:p>
        </w:tc>
        <w:tc>
          <w:tcPr>
            <w:tcW w:w="1311" w:type="dxa"/>
            <w:tcBorders>
              <w:top w:val="nil"/>
              <w:left w:val="nil"/>
              <w:bottom w:val="single" w:sz="4" w:space="0" w:color="auto"/>
              <w:right w:val="single" w:sz="4" w:space="0" w:color="auto"/>
            </w:tcBorders>
            <w:shd w:val="clear" w:color="auto" w:fill="auto"/>
            <w:noWrap/>
            <w:vAlign w:val="bottom"/>
            <w:hideMark/>
          </w:tcPr>
          <w:p w14:paraId="22FE32D2"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w:t>
            </w:r>
          </w:p>
        </w:tc>
      </w:tr>
      <w:tr w:rsidR="0007410A" w:rsidRPr="0007410A" w14:paraId="0F787CE6" w14:textId="77777777" w:rsidTr="0007410A">
        <w:trPr>
          <w:trHeight w:val="300"/>
          <w:jc w:val="center"/>
        </w:trPr>
        <w:tc>
          <w:tcPr>
            <w:tcW w:w="2870" w:type="dxa"/>
            <w:tcBorders>
              <w:top w:val="nil"/>
              <w:left w:val="single" w:sz="4" w:space="0" w:color="auto"/>
              <w:bottom w:val="nil"/>
              <w:right w:val="single" w:sz="4" w:space="0" w:color="auto"/>
            </w:tcBorders>
            <w:shd w:val="clear" w:color="auto" w:fill="auto"/>
            <w:noWrap/>
            <w:vAlign w:val="bottom"/>
            <w:hideMark/>
          </w:tcPr>
          <w:p w14:paraId="0060F4F7"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Youth</w:t>
            </w:r>
          </w:p>
        </w:tc>
        <w:tc>
          <w:tcPr>
            <w:tcW w:w="1219" w:type="dxa"/>
            <w:tcBorders>
              <w:top w:val="nil"/>
              <w:left w:val="nil"/>
              <w:bottom w:val="single" w:sz="4" w:space="0" w:color="auto"/>
              <w:right w:val="single" w:sz="4" w:space="0" w:color="auto"/>
            </w:tcBorders>
            <w:shd w:val="clear" w:color="auto" w:fill="auto"/>
            <w:noWrap/>
            <w:vAlign w:val="bottom"/>
            <w:hideMark/>
          </w:tcPr>
          <w:p w14:paraId="22A26A4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6</w:t>
            </w:r>
          </w:p>
        </w:tc>
        <w:tc>
          <w:tcPr>
            <w:tcW w:w="1311" w:type="dxa"/>
            <w:tcBorders>
              <w:top w:val="nil"/>
              <w:left w:val="nil"/>
              <w:bottom w:val="single" w:sz="4" w:space="0" w:color="auto"/>
              <w:right w:val="single" w:sz="4" w:space="0" w:color="auto"/>
            </w:tcBorders>
            <w:shd w:val="clear" w:color="auto" w:fill="auto"/>
            <w:noWrap/>
            <w:vAlign w:val="bottom"/>
            <w:hideMark/>
          </w:tcPr>
          <w:p w14:paraId="4BD397EF"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w:t>
            </w:r>
          </w:p>
        </w:tc>
      </w:tr>
      <w:tr w:rsidR="0007410A" w:rsidRPr="0007410A" w14:paraId="323E6651" w14:textId="77777777" w:rsidTr="0007410A">
        <w:trPr>
          <w:trHeight w:val="300"/>
          <w:jc w:val="center"/>
        </w:trPr>
        <w:tc>
          <w:tcPr>
            <w:tcW w:w="2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C4B90"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Other</w:t>
            </w:r>
          </w:p>
        </w:tc>
        <w:tc>
          <w:tcPr>
            <w:tcW w:w="1219" w:type="dxa"/>
            <w:tcBorders>
              <w:top w:val="nil"/>
              <w:left w:val="nil"/>
              <w:bottom w:val="single" w:sz="4" w:space="0" w:color="auto"/>
              <w:right w:val="single" w:sz="4" w:space="0" w:color="auto"/>
            </w:tcBorders>
            <w:shd w:val="clear" w:color="auto" w:fill="auto"/>
            <w:noWrap/>
            <w:vAlign w:val="bottom"/>
            <w:hideMark/>
          </w:tcPr>
          <w:p w14:paraId="1BCB9C2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8</w:t>
            </w:r>
          </w:p>
        </w:tc>
        <w:tc>
          <w:tcPr>
            <w:tcW w:w="1311" w:type="dxa"/>
            <w:tcBorders>
              <w:top w:val="nil"/>
              <w:left w:val="nil"/>
              <w:bottom w:val="single" w:sz="4" w:space="0" w:color="auto"/>
              <w:right w:val="single" w:sz="4" w:space="0" w:color="auto"/>
            </w:tcBorders>
            <w:shd w:val="clear" w:color="auto" w:fill="auto"/>
            <w:noWrap/>
            <w:vAlign w:val="bottom"/>
            <w:hideMark/>
          </w:tcPr>
          <w:p w14:paraId="6D320032"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w:t>
            </w:r>
          </w:p>
        </w:tc>
      </w:tr>
      <w:tr w:rsidR="0007410A" w:rsidRPr="0007410A" w14:paraId="4BDBDE66" w14:textId="77777777" w:rsidTr="0007410A">
        <w:trPr>
          <w:trHeight w:val="300"/>
          <w:jc w:val="center"/>
        </w:trPr>
        <w:tc>
          <w:tcPr>
            <w:tcW w:w="2870" w:type="dxa"/>
            <w:tcBorders>
              <w:top w:val="nil"/>
              <w:left w:val="single" w:sz="4" w:space="0" w:color="auto"/>
              <w:bottom w:val="single" w:sz="4" w:space="0" w:color="auto"/>
              <w:right w:val="single" w:sz="4" w:space="0" w:color="auto"/>
            </w:tcBorders>
            <w:shd w:val="clear" w:color="auto" w:fill="auto"/>
            <w:noWrap/>
            <w:vAlign w:val="bottom"/>
            <w:hideMark/>
          </w:tcPr>
          <w:p w14:paraId="1EE7F77C"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Total</w:t>
            </w:r>
          </w:p>
        </w:tc>
        <w:tc>
          <w:tcPr>
            <w:tcW w:w="1219" w:type="dxa"/>
            <w:tcBorders>
              <w:top w:val="nil"/>
              <w:left w:val="nil"/>
              <w:bottom w:val="single" w:sz="4" w:space="0" w:color="auto"/>
              <w:right w:val="single" w:sz="4" w:space="0" w:color="auto"/>
            </w:tcBorders>
            <w:shd w:val="clear" w:color="auto" w:fill="auto"/>
            <w:noWrap/>
            <w:vAlign w:val="bottom"/>
            <w:hideMark/>
          </w:tcPr>
          <w:p w14:paraId="440E238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582</w:t>
            </w:r>
          </w:p>
        </w:tc>
        <w:tc>
          <w:tcPr>
            <w:tcW w:w="1311" w:type="dxa"/>
            <w:tcBorders>
              <w:top w:val="nil"/>
              <w:left w:val="nil"/>
              <w:bottom w:val="single" w:sz="4" w:space="0" w:color="auto"/>
              <w:right w:val="single" w:sz="4" w:space="0" w:color="auto"/>
            </w:tcBorders>
            <w:shd w:val="clear" w:color="auto" w:fill="auto"/>
            <w:noWrap/>
            <w:vAlign w:val="bottom"/>
            <w:hideMark/>
          </w:tcPr>
          <w:p w14:paraId="6D75662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100</w:t>
            </w:r>
          </w:p>
        </w:tc>
      </w:tr>
    </w:tbl>
    <w:p w14:paraId="5C44A8A2" w14:textId="62AC9B1D" w:rsidR="004F1065" w:rsidRPr="0022188A" w:rsidRDefault="0022188A" w:rsidP="0022188A">
      <w:pPr>
        <w:rPr>
          <w:rFonts w:cs="Times New Roman"/>
          <w:i/>
        </w:rPr>
      </w:pPr>
      <w:r>
        <w:rPr>
          <w:rFonts w:cs="Times New Roman"/>
          <w:i/>
        </w:rPr>
        <w:t>Source: Gay Community News “Speaking Out” and “Community Voices” Letters to the Editor Columns, 1980, 1984, 1988</w:t>
      </w:r>
    </w:p>
    <w:p w14:paraId="1C2BA8DF" w14:textId="77777777" w:rsidR="00A52535" w:rsidRDefault="00A52535" w:rsidP="001C3060">
      <w:pPr>
        <w:spacing w:line="480" w:lineRule="auto"/>
        <w:rPr>
          <w:rFonts w:cs="Times New Roman"/>
        </w:rPr>
      </w:pPr>
    </w:p>
    <w:p w14:paraId="0229D2A2" w14:textId="77777777" w:rsidR="00A70CFE" w:rsidRDefault="00A70CFE" w:rsidP="001C3060">
      <w:pPr>
        <w:spacing w:line="480" w:lineRule="auto"/>
        <w:rPr>
          <w:rFonts w:cs="Times New Roman"/>
        </w:rPr>
      </w:pPr>
    </w:p>
    <w:p w14:paraId="19823CFD" w14:textId="77777777" w:rsidR="00A70CFE" w:rsidRDefault="00A70CFE" w:rsidP="001C3060">
      <w:pPr>
        <w:spacing w:line="480" w:lineRule="auto"/>
        <w:rPr>
          <w:rFonts w:cs="Times New Roman"/>
        </w:rPr>
      </w:pPr>
    </w:p>
    <w:p w14:paraId="346A68DD" w14:textId="77777777" w:rsidR="00A70CFE" w:rsidRDefault="00A70CFE" w:rsidP="001C3060">
      <w:pPr>
        <w:spacing w:line="480" w:lineRule="auto"/>
        <w:rPr>
          <w:rFonts w:cs="Times New Roman"/>
        </w:rPr>
      </w:pPr>
    </w:p>
    <w:p w14:paraId="7145C48B" w14:textId="77777777" w:rsidR="00A70CFE" w:rsidRDefault="00A70CFE" w:rsidP="001C3060">
      <w:pPr>
        <w:spacing w:line="480" w:lineRule="auto"/>
        <w:rPr>
          <w:rFonts w:cs="Times New Roman"/>
        </w:rPr>
      </w:pPr>
    </w:p>
    <w:p w14:paraId="1C91F5AB" w14:textId="77777777" w:rsidR="00A70CFE" w:rsidRDefault="00A70CFE" w:rsidP="001C3060">
      <w:pPr>
        <w:spacing w:line="480" w:lineRule="auto"/>
        <w:rPr>
          <w:rFonts w:cs="Times New Roman"/>
        </w:rPr>
      </w:pPr>
    </w:p>
    <w:p w14:paraId="5C4284E2" w14:textId="77777777" w:rsidR="00616E6B" w:rsidRDefault="00616E6B" w:rsidP="001C3060">
      <w:pPr>
        <w:spacing w:line="480" w:lineRule="auto"/>
        <w:rPr>
          <w:rFonts w:cs="Times New Roman"/>
        </w:rPr>
      </w:pPr>
    </w:p>
    <w:p w14:paraId="51FA254A" w14:textId="77777777" w:rsidR="00A52535" w:rsidRPr="001C3060" w:rsidRDefault="00A52535" w:rsidP="001C3060">
      <w:pPr>
        <w:spacing w:line="480" w:lineRule="auto"/>
        <w:rPr>
          <w:rFonts w:cs="Times New Roman"/>
        </w:rPr>
      </w:pPr>
    </w:p>
    <w:p w14:paraId="44D6641D" w14:textId="6FCB8A31" w:rsidR="001C3060" w:rsidRDefault="001C3060" w:rsidP="00BE48D0">
      <w:pPr>
        <w:spacing w:line="480" w:lineRule="auto"/>
        <w:jc w:val="center"/>
        <w:rPr>
          <w:rFonts w:cs="Times New Roman"/>
        </w:rPr>
      </w:pPr>
      <w:r>
        <w:rPr>
          <w:rFonts w:cs="Times New Roman"/>
          <w:b/>
        </w:rPr>
        <w:t>TABLE 2</w:t>
      </w:r>
    </w:p>
    <w:tbl>
      <w:tblPr>
        <w:tblW w:w="6701" w:type="dxa"/>
        <w:jc w:val="center"/>
        <w:tblInd w:w="93" w:type="dxa"/>
        <w:tblLook w:val="04A0" w:firstRow="1" w:lastRow="0" w:firstColumn="1" w:lastColumn="0" w:noHBand="0" w:noVBand="1"/>
      </w:tblPr>
      <w:tblGrid>
        <w:gridCol w:w="4106"/>
        <w:gridCol w:w="865"/>
        <w:gridCol w:w="865"/>
        <w:gridCol w:w="865"/>
      </w:tblGrid>
      <w:tr w:rsidR="00FD210D" w:rsidRPr="00FD210D" w14:paraId="7EB9CB8C" w14:textId="77777777" w:rsidTr="00FD210D">
        <w:trPr>
          <w:trHeight w:val="220"/>
          <w:jc w:val="center"/>
        </w:trPr>
        <w:tc>
          <w:tcPr>
            <w:tcW w:w="670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86BAD1" w14:textId="06FDCE98" w:rsidR="00FD210D" w:rsidRPr="00FD210D" w:rsidRDefault="00617EED" w:rsidP="00617EED">
            <w:pPr>
              <w:jc w:val="center"/>
              <w:rPr>
                <w:rFonts w:ascii="Calibri" w:eastAsia="Times New Roman" w:hAnsi="Calibri" w:cs="Times New Roman"/>
                <w:b/>
                <w:bCs/>
                <w:color w:val="000000"/>
                <w:sz w:val="20"/>
                <w:szCs w:val="20"/>
                <w:lang w:eastAsia="en-US"/>
              </w:rPr>
            </w:pPr>
            <w:r>
              <w:rPr>
                <w:rFonts w:ascii="Calibri" w:eastAsia="Times New Roman" w:hAnsi="Calibri" w:cs="Times New Roman"/>
                <w:b/>
                <w:bCs/>
                <w:color w:val="000000"/>
                <w:sz w:val="20"/>
                <w:szCs w:val="20"/>
                <w:lang w:eastAsia="en-US"/>
              </w:rPr>
              <w:t>Frequency of Issues by Year*</w:t>
            </w:r>
          </w:p>
        </w:tc>
      </w:tr>
      <w:tr w:rsidR="00FD210D" w:rsidRPr="00FD210D" w14:paraId="65FD4AA5" w14:textId="77777777" w:rsidTr="00FD210D">
        <w:trPr>
          <w:trHeight w:val="22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8C2C214" w14:textId="1E9BADB1" w:rsidR="00FD210D" w:rsidRPr="00FD210D" w:rsidRDefault="00617EED" w:rsidP="00FD210D">
            <w:pPr>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Issue</w:t>
            </w:r>
          </w:p>
        </w:tc>
        <w:tc>
          <w:tcPr>
            <w:tcW w:w="865" w:type="dxa"/>
            <w:tcBorders>
              <w:top w:val="nil"/>
              <w:left w:val="nil"/>
              <w:bottom w:val="single" w:sz="4" w:space="0" w:color="auto"/>
              <w:right w:val="single" w:sz="4" w:space="0" w:color="auto"/>
            </w:tcBorders>
            <w:shd w:val="clear" w:color="auto" w:fill="auto"/>
            <w:noWrap/>
            <w:vAlign w:val="bottom"/>
            <w:hideMark/>
          </w:tcPr>
          <w:p w14:paraId="229C5BCC"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1980</w:t>
            </w:r>
          </w:p>
        </w:tc>
        <w:tc>
          <w:tcPr>
            <w:tcW w:w="865" w:type="dxa"/>
            <w:tcBorders>
              <w:top w:val="nil"/>
              <w:left w:val="nil"/>
              <w:bottom w:val="single" w:sz="4" w:space="0" w:color="auto"/>
              <w:right w:val="single" w:sz="4" w:space="0" w:color="auto"/>
            </w:tcBorders>
            <w:shd w:val="clear" w:color="auto" w:fill="auto"/>
            <w:noWrap/>
            <w:vAlign w:val="bottom"/>
            <w:hideMark/>
          </w:tcPr>
          <w:p w14:paraId="637A757A"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1984</w:t>
            </w:r>
          </w:p>
        </w:tc>
        <w:tc>
          <w:tcPr>
            <w:tcW w:w="865" w:type="dxa"/>
            <w:tcBorders>
              <w:top w:val="nil"/>
              <w:left w:val="nil"/>
              <w:bottom w:val="single" w:sz="4" w:space="0" w:color="auto"/>
              <w:right w:val="single" w:sz="4" w:space="0" w:color="auto"/>
            </w:tcBorders>
            <w:shd w:val="clear" w:color="auto" w:fill="auto"/>
            <w:noWrap/>
            <w:vAlign w:val="bottom"/>
            <w:hideMark/>
          </w:tcPr>
          <w:p w14:paraId="6BF9B763"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1988</w:t>
            </w:r>
          </w:p>
        </w:tc>
      </w:tr>
      <w:tr w:rsidR="00FD210D" w:rsidRPr="00FD210D" w14:paraId="4BF4F0F4"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41259B8B"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Adoption</w:t>
            </w:r>
          </w:p>
        </w:tc>
        <w:tc>
          <w:tcPr>
            <w:tcW w:w="865" w:type="dxa"/>
            <w:tcBorders>
              <w:top w:val="nil"/>
              <w:left w:val="nil"/>
              <w:bottom w:val="nil"/>
              <w:right w:val="nil"/>
            </w:tcBorders>
            <w:shd w:val="clear" w:color="auto" w:fill="auto"/>
            <w:noWrap/>
            <w:vAlign w:val="bottom"/>
            <w:hideMark/>
          </w:tcPr>
          <w:p w14:paraId="5ACD0A26"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0</w:t>
            </w:r>
          </w:p>
        </w:tc>
        <w:tc>
          <w:tcPr>
            <w:tcW w:w="865" w:type="dxa"/>
            <w:tcBorders>
              <w:top w:val="nil"/>
              <w:left w:val="nil"/>
              <w:bottom w:val="nil"/>
              <w:right w:val="nil"/>
            </w:tcBorders>
            <w:shd w:val="clear" w:color="auto" w:fill="auto"/>
            <w:noWrap/>
            <w:vAlign w:val="bottom"/>
            <w:hideMark/>
          </w:tcPr>
          <w:p w14:paraId="070B27CE"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4</w:t>
            </w:r>
          </w:p>
        </w:tc>
        <w:tc>
          <w:tcPr>
            <w:tcW w:w="865" w:type="dxa"/>
            <w:tcBorders>
              <w:top w:val="nil"/>
              <w:left w:val="nil"/>
              <w:bottom w:val="nil"/>
              <w:right w:val="single" w:sz="4" w:space="0" w:color="auto"/>
            </w:tcBorders>
            <w:shd w:val="clear" w:color="auto" w:fill="auto"/>
            <w:noWrap/>
            <w:vAlign w:val="bottom"/>
            <w:hideMark/>
          </w:tcPr>
          <w:p w14:paraId="5202AEB3"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w:t>
            </w:r>
          </w:p>
        </w:tc>
      </w:tr>
      <w:tr w:rsidR="00FD210D" w:rsidRPr="00FD210D" w14:paraId="41AA2704"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0ECC9803"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59F0569F" w14:textId="45C81B78"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0</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7438000E" w14:textId="23B930AE"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2</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23670150" w14:textId="4E5DF0C6"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r>
      <w:tr w:rsidR="00FD210D" w:rsidRPr="00FD210D" w14:paraId="6F58B206"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37A78CD6"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AIDS/HIV</w:t>
            </w:r>
          </w:p>
        </w:tc>
        <w:tc>
          <w:tcPr>
            <w:tcW w:w="865" w:type="dxa"/>
            <w:tcBorders>
              <w:top w:val="nil"/>
              <w:left w:val="nil"/>
              <w:bottom w:val="nil"/>
              <w:right w:val="nil"/>
            </w:tcBorders>
            <w:shd w:val="clear" w:color="auto" w:fill="auto"/>
            <w:noWrap/>
            <w:vAlign w:val="bottom"/>
            <w:hideMark/>
          </w:tcPr>
          <w:p w14:paraId="31D2B30D"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0</w:t>
            </w:r>
          </w:p>
        </w:tc>
        <w:tc>
          <w:tcPr>
            <w:tcW w:w="865" w:type="dxa"/>
            <w:tcBorders>
              <w:top w:val="nil"/>
              <w:left w:val="nil"/>
              <w:bottom w:val="nil"/>
              <w:right w:val="nil"/>
            </w:tcBorders>
            <w:shd w:val="clear" w:color="auto" w:fill="auto"/>
            <w:noWrap/>
            <w:vAlign w:val="bottom"/>
            <w:hideMark/>
          </w:tcPr>
          <w:p w14:paraId="7B2BD43C"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6</w:t>
            </w:r>
          </w:p>
        </w:tc>
        <w:tc>
          <w:tcPr>
            <w:tcW w:w="865" w:type="dxa"/>
            <w:tcBorders>
              <w:top w:val="nil"/>
              <w:left w:val="nil"/>
              <w:bottom w:val="nil"/>
              <w:right w:val="single" w:sz="4" w:space="0" w:color="auto"/>
            </w:tcBorders>
            <w:shd w:val="clear" w:color="auto" w:fill="auto"/>
            <w:noWrap/>
            <w:vAlign w:val="bottom"/>
            <w:hideMark/>
          </w:tcPr>
          <w:p w14:paraId="5B79EBD2"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38</w:t>
            </w:r>
          </w:p>
        </w:tc>
      </w:tr>
      <w:tr w:rsidR="00FD210D" w:rsidRPr="00FD210D" w14:paraId="455DEFEA"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38B28F1C"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3528F39F" w14:textId="3B09FB37"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0</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7F16FB6A" w14:textId="0E487BCA"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3</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2FB81DDA" w14:textId="57D8E589"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24</w:t>
            </w:r>
            <w:r>
              <w:rPr>
                <w:rFonts w:ascii="Calibri" w:eastAsia="Times New Roman" w:hAnsi="Calibri" w:cs="Times New Roman"/>
                <w:color w:val="000000"/>
                <w:sz w:val="20"/>
                <w:szCs w:val="20"/>
                <w:lang w:eastAsia="en-US"/>
              </w:rPr>
              <w:t>)</w:t>
            </w:r>
          </w:p>
        </w:tc>
      </w:tr>
      <w:tr w:rsidR="00FD210D" w:rsidRPr="00FD210D" w14:paraId="4A467F06"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3FC9B4EE"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Discrimination Overall</w:t>
            </w:r>
          </w:p>
        </w:tc>
        <w:tc>
          <w:tcPr>
            <w:tcW w:w="865" w:type="dxa"/>
            <w:tcBorders>
              <w:top w:val="nil"/>
              <w:left w:val="nil"/>
              <w:bottom w:val="nil"/>
              <w:right w:val="nil"/>
            </w:tcBorders>
            <w:shd w:val="clear" w:color="auto" w:fill="auto"/>
            <w:noWrap/>
            <w:vAlign w:val="bottom"/>
            <w:hideMark/>
          </w:tcPr>
          <w:p w14:paraId="382EEEE5"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12</w:t>
            </w:r>
          </w:p>
        </w:tc>
        <w:tc>
          <w:tcPr>
            <w:tcW w:w="865" w:type="dxa"/>
            <w:tcBorders>
              <w:top w:val="nil"/>
              <w:left w:val="nil"/>
              <w:bottom w:val="nil"/>
              <w:right w:val="nil"/>
            </w:tcBorders>
            <w:shd w:val="clear" w:color="auto" w:fill="auto"/>
            <w:noWrap/>
            <w:vAlign w:val="bottom"/>
            <w:hideMark/>
          </w:tcPr>
          <w:p w14:paraId="7B8F9843"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12</w:t>
            </w:r>
          </w:p>
        </w:tc>
        <w:tc>
          <w:tcPr>
            <w:tcW w:w="865" w:type="dxa"/>
            <w:tcBorders>
              <w:top w:val="nil"/>
              <w:left w:val="nil"/>
              <w:bottom w:val="nil"/>
              <w:right w:val="single" w:sz="4" w:space="0" w:color="auto"/>
            </w:tcBorders>
            <w:shd w:val="clear" w:color="auto" w:fill="auto"/>
            <w:noWrap/>
            <w:vAlign w:val="bottom"/>
            <w:hideMark/>
          </w:tcPr>
          <w:p w14:paraId="4ED130B5"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12</w:t>
            </w:r>
          </w:p>
        </w:tc>
      </w:tr>
      <w:tr w:rsidR="00FD210D" w:rsidRPr="00FD210D" w14:paraId="15A615F8"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0D83D8E8"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1624F9F3" w14:textId="60605855"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6</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2395A590" w14:textId="381DAEEF"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6</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3EFD4753" w14:textId="7E9D3965"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7</w:t>
            </w:r>
            <w:r>
              <w:rPr>
                <w:rFonts w:ascii="Calibri" w:eastAsia="Times New Roman" w:hAnsi="Calibri" w:cs="Times New Roman"/>
                <w:color w:val="000000"/>
                <w:sz w:val="20"/>
                <w:szCs w:val="20"/>
                <w:lang w:eastAsia="en-US"/>
              </w:rPr>
              <w:t>)</w:t>
            </w:r>
          </w:p>
        </w:tc>
      </w:tr>
      <w:tr w:rsidR="00FD210D" w:rsidRPr="00FD210D" w14:paraId="4F5D51F0"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1FA58444"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Hospital Visitation</w:t>
            </w:r>
          </w:p>
        </w:tc>
        <w:tc>
          <w:tcPr>
            <w:tcW w:w="865" w:type="dxa"/>
            <w:tcBorders>
              <w:top w:val="nil"/>
              <w:left w:val="nil"/>
              <w:bottom w:val="nil"/>
              <w:right w:val="nil"/>
            </w:tcBorders>
            <w:shd w:val="clear" w:color="auto" w:fill="auto"/>
            <w:noWrap/>
            <w:vAlign w:val="bottom"/>
            <w:hideMark/>
          </w:tcPr>
          <w:p w14:paraId="2BCFEEE2"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0</w:t>
            </w:r>
          </w:p>
        </w:tc>
        <w:tc>
          <w:tcPr>
            <w:tcW w:w="865" w:type="dxa"/>
            <w:tcBorders>
              <w:top w:val="nil"/>
              <w:left w:val="nil"/>
              <w:bottom w:val="nil"/>
              <w:right w:val="nil"/>
            </w:tcBorders>
            <w:shd w:val="clear" w:color="auto" w:fill="auto"/>
            <w:noWrap/>
            <w:vAlign w:val="bottom"/>
            <w:hideMark/>
          </w:tcPr>
          <w:p w14:paraId="630C2732"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0</w:t>
            </w:r>
          </w:p>
        </w:tc>
        <w:tc>
          <w:tcPr>
            <w:tcW w:w="865" w:type="dxa"/>
            <w:tcBorders>
              <w:top w:val="nil"/>
              <w:left w:val="nil"/>
              <w:bottom w:val="nil"/>
              <w:right w:val="single" w:sz="4" w:space="0" w:color="auto"/>
            </w:tcBorders>
            <w:shd w:val="clear" w:color="auto" w:fill="auto"/>
            <w:noWrap/>
            <w:vAlign w:val="bottom"/>
            <w:hideMark/>
          </w:tcPr>
          <w:p w14:paraId="644893DC"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w:t>
            </w:r>
          </w:p>
        </w:tc>
      </w:tr>
      <w:tr w:rsidR="00FD210D" w:rsidRPr="00FD210D" w14:paraId="6A1A862B"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4A1D370F"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5DD6103E" w14:textId="229E9919"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0</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7839F389" w14:textId="51B5DA41"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0</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6240C6E1" w14:textId="5B63453A"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r>
      <w:tr w:rsidR="00FD210D" w:rsidRPr="00FD210D" w14:paraId="3B53C0CA"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169A170F"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Immigration</w:t>
            </w:r>
          </w:p>
        </w:tc>
        <w:tc>
          <w:tcPr>
            <w:tcW w:w="865" w:type="dxa"/>
            <w:tcBorders>
              <w:top w:val="nil"/>
              <w:left w:val="nil"/>
              <w:bottom w:val="nil"/>
              <w:right w:val="nil"/>
            </w:tcBorders>
            <w:shd w:val="clear" w:color="auto" w:fill="auto"/>
            <w:noWrap/>
            <w:vAlign w:val="bottom"/>
            <w:hideMark/>
          </w:tcPr>
          <w:p w14:paraId="30736275"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8</w:t>
            </w:r>
          </w:p>
        </w:tc>
        <w:tc>
          <w:tcPr>
            <w:tcW w:w="865" w:type="dxa"/>
            <w:tcBorders>
              <w:top w:val="nil"/>
              <w:left w:val="nil"/>
              <w:bottom w:val="nil"/>
              <w:right w:val="nil"/>
            </w:tcBorders>
            <w:shd w:val="clear" w:color="auto" w:fill="auto"/>
            <w:noWrap/>
            <w:vAlign w:val="bottom"/>
            <w:hideMark/>
          </w:tcPr>
          <w:p w14:paraId="5594EB55"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0</w:t>
            </w:r>
          </w:p>
        </w:tc>
        <w:tc>
          <w:tcPr>
            <w:tcW w:w="865" w:type="dxa"/>
            <w:tcBorders>
              <w:top w:val="nil"/>
              <w:left w:val="nil"/>
              <w:bottom w:val="nil"/>
              <w:right w:val="single" w:sz="4" w:space="0" w:color="auto"/>
            </w:tcBorders>
            <w:shd w:val="clear" w:color="auto" w:fill="auto"/>
            <w:noWrap/>
            <w:vAlign w:val="bottom"/>
            <w:hideMark/>
          </w:tcPr>
          <w:p w14:paraId="4D150AFF"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w:t>
            </w:r>
          </w:p>
        </w:tc>
      </w:tr>
      <w:tr w:rsidR="00FD210D" w:rsidRPr="00FD210D" w14:paraId="0E21B315"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1717CB4B"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06DEC1C9" w14:textId="2C1BB767"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4</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2ABCDEB7" w14:textId="44E08E61"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0</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2AB8C9C7" w14:textId="50F4A74E"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r>
      <w:tr w:rsidR="00FD210D" w:rsidRPr="00FD210D" w14:paraId="1220B50D"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3DDFF3A9"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Media</w:t>
            </w:r>
          </w:p>
        </w:tc>
        <w:tc>
          <w:tcPr>
            <w:tcW w:w="865" w:type="dxa"/>
            <w:tcBorders>
              <w:top w:val="nil"/>
              <w:left w:val="nil"/>
              <w:bottom w:val="nil"/>
              <w:right w:val="nil"/>
            </w:tcBorders>
            <w:shd w:val="clear" w:color="auto" w:fill="auto"/>
            <w:noWrap/>
            <w:vAlign w:val="bottom"/>
            <w:hideMark/>
          </w:tcPr>
          <w:p w14:paraId="53937BBA"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21</w:t>
            </w:r>
          </w:p>
        </w:tc>
        <w:tc>
          <w:tcPr>
            <w:tcW w:w="865" w:type="dxa"/>
            <w:tcBorders>
              <w:top w:val="nil"/>
              <w:left w:val="nil"/>
              <w:bottom w:val="nil"/>
              <w:right w:val="nil"/>
            </w:tcBorders>
            <w:shd w:val="clear" w:color="auto" w:fill="auto"/>
            <w:noWrap/>
            <w:vAlign w:val="bottom"/>
            <w:hideMark/>
          </w:tcPr>
          <w:p w14:paraId="5BFE6689"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11</w:t>
            </w:r>
          </w:p>
        </w:tc>
        <w:tc>
          <w:tcPr>
            <w:tcW w:w="865" w:type="dxa"/>
            <w:tcBorders>
              <w:top w:val="nil"/>
              <w:left w:val="nil"/>
              <w:bottom w:val="nil"/>
              <w:right w:val="single" w:sz="4" w:space="0" w:color="auto"/>
            </w:tcBorders>
            <w:shd w:val="clear" w:color="auto" w:fill="auto"/>
            <w:noWrap/>
            <w:vAlign w:val="bottom"/>
            <w:hideMark/>
          </w:tcPr>
          <w:p w14:paraId="49B0790D"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5</w:t>
            </w:r>
          </w:p>
        </w:tc>
      </w:tr>
      <w:tr w:rsidR="00FD210D" w:rsidRPr="00FD210D" w14:paraId="18FF41F2"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0BCE7896"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0AF4C333" w14:textId="7A4FCEA8"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10</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6AF1318C" w14:textId="45FF81F6"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5</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4206C6A3" w14:textId="33D42AAD"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3</w:t>
            </w:r>
            <w:r>
              <w:rPr>
                <w:rFonts w:ascii="Calibri" w:eastAsia="Times New Roman" w:hAnsi="Calibri" w:cs="Times New Roman"/>
                <w:color w:val="000000"/>
                <w:sz w:val="20"/>
                <w:szCs w:val="20"/>
                <w:lang w:eastAsia="en-US"/>
              </w:rPr>
              <w:t>)</w:t>
            </w:r>
          </w:p>
        </w:tc>
      </w:tr>
      <w:tr w:rsidR="00FD210D" w:rsidRPr="00FD210D" w14:paraId="2ECF4EE0"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13919584"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Medical Access</w:t>
            </w:r>
          </w:p>
        </w:tc>
        <w:tc>
          <w:tcPr>
            <w:tcW w:w="865" w:type="dxa"/>
            <w:tcBorders>
              <w:top w:val="nil"/>
              <w:left w:val="nil"/>
              <w:bottom w:val="nil"/>
              <w:right w:val="nil"/>
            </w:tcBorders>
            <w:shd w:val="clear" w:color="auto" w:fill="auto"/>
            <w:noWrap/>
            <w:vAlign w:val="bottom"/>
            <w:hideMark/>
          </w:tcPr>
          <w:p w14:paraId="5321B00F"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0</w:t>
            </w:r>
          </w:p>
        </w:tc>
        <w:tc>
          <w:tcPr>
            <w:tcW w:w="865" w:type="dxa"/>
            <w:tcBorders>
              <w:top w:val="nil"/>
              <w:left w:val="nil"/>
              <w:bottom w:val="nil"/>
              <w:right w:val="nil"/>
            </w:tcBorders>
            <w:shd w:val="clear" w:color="auto" w:fill="auto"/>
            <w:noWrap/>
            <w:vAlign w:val="bottom"/>
            <w:hideMark/>
          </w:tcPr>
          <w:p w14:paraId="4E6C17C0"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0</w:t>
            </w:r>
          </w:p>
        </w:tc>
        <w:tc>
          <w:tcPr>
            <w:tcW w:w="865" w:type="dxa"/>
            <w:tcBorders>
              <w:top w:val="nil"/>
              <w:left w:val="nil"/>
              <w:bottom w:val="nil"/>
              <w:right w:val="single" w:sz="4" w:space="0" w:color="auto"/>
            </w:tcBorders>
            <w:shd w:val="clear" w:color="auto" w:fill="auto"/>
            <w:noWrap/>
            <w:vAlign w:val="bottom"/>
            <w:hideMark/>
          </w:tcPr>
          <w:p w14:paraId="23D7F499"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w:t>
            </w:r>
          </w:p>
        </w:tc>
      </w:tr>
      <w:tr w:rsidR="00FD210D" w:rsidRPr="00FD210D" w14:paraId="357C24C9"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6211B12D"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5BC70854" w14:textId="662D8523"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0</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7D975774" w14:textId="309D9979"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0</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3202EE49" w14:textId="3B77B2BF"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r>
      <w:tr w:rsidR="00FD210D" w:rsidRPr="00FD210D" w14:paraId="16755680"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769C0AAF"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Military</w:t>
            </w:r>
          </w:p>
        </w:tc>
        <w:tc>
          <w:tcPr>
            <w:tcW w:w="865" w:type="dxa"/>
            <w:tcBorders>
              <w:top w:val="nil"/>
              <w:left w:val="nil"/>
              <w:bottom w:val="nil"/>
              <w:right w:val="nil"/>
            </w:tcBorders>
            <w:shd w:val="clear" w:color="auto" w:fill="auto"/>
            <w:noWrap/>
            <w:vAlign w:val="bottom"/>
            <w:hideMark/>
          </w:tcPr>
          <w:p w14:paraId="5B52C958"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4</w:t>
            </w:r>
          </w:p>
        </w:tc>
        <w:tc>
          <w:tcPr>
            <w:tcW w:w="865" w:type="dxa"/>
            <w:tcBorders>
              <w:top w:val="nil"/>
              <w:left w:val="nil"/>
              <w:bottom w:val="nil"/>
              <w:right w:val="nil"/>
            </w:tcBorders>
            <w:shd w:val="clear" w:color="auto" w:fill="auto"/>
            <w:noWrap/>
            <w:vAlign w:val="bottom"/>
            <w:hideMark/>
          </w:tcPr>
          <w:p w14:paraId="120312DB"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w:t>
            </w:r>
          </w:p>
        </w:tc>
        <w:tc>
          <w:tcPr>
            <w:tcW w:w="865" w:type="dxa"/>
            <w:tcBorders>
              <w:top w:val="nil"/>
              <w:left w:val="nil"/>
              <w:bottom w:val="nil"/>
              <w:right w:val="single" w:sz="4" w:space="0" w:color="auto"/>
            </w:tcBorders>
            <w:shd w:val="clear" w:color="auto" w:fill="auto"/>
            <w:noWrap/>
            <w:vAlign w:val="bottom"/>
            <w:hideMark/>
          </w:tcPr>
          <w:p w14:paraId="1AF725E4"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w:t>
            </w:r>
          </w:p>
        </w:tc>
      </w:tr>
      <w:tr w:rsidR="00FD210D" w:rsidRPr="00FD210D" w14:paraId="2990BF3C"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2E842898"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1F161C9F" w14:textId="7F3EF134"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2</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2E54CB97" w14:textId="3682E931"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061332CE" w14:textId="3927D36B"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r>
      <w:tr w:rsidR="00FD210D" w:rsidRPr="00FD210D" w14:paraId="78993C6A"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310535B1"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Police Trouble/Brutality</w:t>
            </w:r>
          </w:p>
        </w:tc>
        <w:tc>
          <w:tcPr>
            <w:tcW w:w="865" w:type="dxa"/>
            <w:tcBorders>
              <w:top w:val="nil"/>
              <w:left w:val="nil"/>
              <w:bottom w:val="nil"/>
              <w:right w:val="nil"/>
            </w:tcBorders>
            <w:shd w:val="clear" w:color="auto" w:fill="auto"/>
            <w:noWrap/>
            <w:vAlign w:val="bottom"/>
            <w:hideMark/>
          </w:tcPr>
          <w:p w14:paraId="2FE9996C"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7</w:t>
            </w:r>
          </w:p>
        </w:tc>
        <w:tc>
          <w:tcPr>
            <w:tcW w:w="865" w:type="dxa"/>
            <w:tcBorders>
              <w:top w:val="nil"/>
              <w:left w:val="nil"/>
              <w:bottom w:val="nil"/>
              <w:right w:val="nil"/>
            </w:tcBorders>
            <w:shd w:val="clear" w:color="auto" w:fill="auto"/>
            <w:noWrap/>
            <w:vAlign w:val="bottom"/>
            <w:hideMark/>
          </w:tcPr>
          <w:p w14:paraId="2FAFA112"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8</w:t>
            </w:r>
          </w:p>
        </w:tc>
        <w:tc>
          <w:tcPr>
            <w:tcW w:w="865" w:type="dxa"/>
            <w:tcBorders>
              <w:top w:val="nil"/>
              <w:left w:val="nil"/>
              <w:bottom w:val="nil"/>
              <w:right w:val="single" w:sz="4" w:space="0" w:color="auto"/>
            </w:tcBorders>
            <w:shd w:val="clear" w:color="auto" w:fill="auto"/>
            <w:noWrap/>
            <w:vAlign w:val="bottom"/>
            <w:hideMark/>
          </w:tcPr>
          <w:p w14:paraId="7FC30B66"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w:t>
            </w:r>
          </w:p>
        </w:tc>
      </w:tr>
      <w:tr w:rsidR="00FD210D" w:rsidRPr="00FD210D" w14:paraId="4E002E89"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29AFB229"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545287EA" w14:textId="6EE26374"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3</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7D34FE9C" w14:textId="08246FAE"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4</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7518A85F" w14:textId="57BEA91F"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r>
      <w:tr w:rsidR="00FD210D" w:rsidRPr="00FD210D" w14:paraId="1E644545"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78061881"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Prison</w:t>
            </w:r>
          </w:p>
        </w:tc>
        <w:tc>
          <w:tcPr>
            <w:tcW w:w="865" w:type="dxa"/>
            <w:tcBorders>
              <w:top w:val="nil"/>
              <w:left w:val="nil"/>
              <w:bottom w:val="nil"/>
              <w:right w:val="nil"/>
            </w:tcBorders>
            <w:shd w:val="clear" w:color="auto" w:fill="auto"/>
            <w:noWrap/>
            <w:vAlign w:val="bottom"/>
            <w:hideMark/>
          </w:tcPr>
          <w:p w14:paraId="1CE70BCB"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3</w:t>
            </w:r>
          </w:p>
        </w:tc>
        <w:tc>
          <w:tcPr>
            <w:tcW w:w="865" w:type="dxa"/>
            <w:tcBorders>
              <w:top w:val="nil"/>
              <w:left w:val="nil"/>
              <w:bottom w:val="nil"/>
              <w:right w:val="nil"/>
            </w:tcBorders>
            <w:shd w:val="clear" w:color="auto" w:fill="auto"/>
            <w:noWrap/>
            <w:vAlign w:val="bottom"/>
            <w:hideMark/>
          </w:tcPr>
          <w:p w14:paraId="66BC3932"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28</w:t>
            </w:r>
          </w:p>
        </w:tc>
        <w:tc>
          <w:tcPr>
            <w:tcW w:w="865" w:type="dxa"/>
            <w:tcBorders>
              <w:top w:val="nil"/>
              <w:left w:val="nil"/>
              <w:bottom w:val="nil"/>
              <w:right w:val="single" w:sz="4" w:space="0" w:color="auto"/>
            </w:tcBorders>
            <w:shd w:val="clear" w:color="auto" w:fill="auto"/>
            <w:noWrap/>
            <w:vAlign w:val="bottom"/>
            <w:hideMark/>
          </w:tcPr>
          <w:p w14:paraId="5DEB13D2"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21</w:t>
            </w:r>
          </w:p>
        </w:tc>
      </w:tr>
      <w:tr w:rsidR="00FD210D" w:rsidRPr="00FD210D" w14:paraId="203D6B7A"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07C223B7"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3DE0C712" w14:textId="4A9D6A02"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7341E217" w14:textId="48363404"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14</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418B836B" w14:textId="71C3211F"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13</w:t>
            </w:r>
            <w:r>
              <w:rPr>
                <w:rFonts w:ascii="Calibri" w:eastAsia="Times New Roman" w:hAnsi="Calibri" w:cs="Times New Roman"/>
                <w:color w:val="000000"/>
                <w:sz w:val="20"/>
                <w:szCs w:val="20"/>
                <w:lang w:eastAsia="en-US"/>
              </w:rPr>
              <w:t>)</w:t>
            </w:r>
          </w:p>
        </w:tc>
      </w:tr>
      <w:tr w:rsidR="00FD210D" w:rsidRPr="00FD210D" w14:paraId="7DBC0C29"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6F50E55C"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Sexuality Overall</w:t>
            </w:r>
          </w:p>
        </w:tc>
        <w:tc>
          <w:tcPr>
            <w:tcW w:w="865" w:type="dxa"/>
            <w:tcBorders>
              <w:top w:val="nil"/>
              <w:left w:val="nil"/>
              <w:bottom w:val="nil"/>
              <w:right w:val="nil"/>
            </w:tcBorders>
            <w:shd w:val="clear" w:color="auto" w:fill="auto"/>
            <w:noWrap/>
            <w:vAlign w:val="bottom"/>
            <w:hideMark/>
          </w:tcPr>
          <w:p w14:paraId="0D7BE38D"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25</w:t>
            </w:r>
          </w:p>
        </w:tc>
        <w:tc>
          <w:tcPr>
            <w:tcW w:w="865" w:type="dxa"/>
            <w:tcBorders>
              <w:top w:val="nil"/>
              <w:left w:val="nil"/>
              <w:bottom w:val="nil"/>
              <w:right w:val="nil"/>
            </w:tcBorders>
            <w:shd w:val="clear" w:color="auto" w:fill="auto"/>
            <w:noWrap/>
            <w:vAlign w:val="bottom"/>
            <w:hideMark/>
          </w:tcPr>
          <w:p w14:paraId="64D545B4"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39</w:t>
            </w:r>
          </w:p>
        </w:tc>
        <w:tc>
          <w:tcPr>
            <w:tcW w:w="865" w:type="dxa"/>
            <w:tcBorders>
              <w:top w:val="nil"/>
              <w:left w:val="nil"/>
              <w:bottom w:val="nil"/>
              <w:right w:val="single" w:sz="4" w:space="0" w:color="auto"/>
            </w:tcBorders>
            <w:shd w:val="clear" w:color="auto" w:fill="auto"/>
            <w:noWrap/>
            <w:vAlign w:val="bottom"/>
            <w:hideMark/>
          </w:tcPr>
          <w:p w14:paraId="64DFEE0B"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7</w:t>
            </w:r>
          </w:p>
        </w:tc>
      </w:tr>
      <w:tr w:rsidR="00FD210D" w:rsidRPr="00FD210D" w14:paraId="0165963F"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322B7DE0"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4988D351" w14:textId="0DC5D5EE"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12</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211F9535" w14:textId="767008F7"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19</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53ABD05E" w14:textId="11E321A6"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4</w:t>
            </w:r>
            <w:r>
              <w:rPr>
                <w:rFonts w:ascii="Calibri" w:eastAsia="Times New Roman" w:hAnsi="Calibri" w:cs="Times New Roman"/>
                <w:color w:val="000000"/>
                <w:sz w:val="20"/>
                <w:szCs w:val="20"/>
                <w:lang w:eastAsia="en-US"/>
              </w:rPr>
              <w:t>)</w:t>
            </w:r>
          </w:p>
        </w:tc>
      </w:tr>
      <w:tr w:rsidR="00FD210D" w:rsidRPr="00FD210D" w14:paraId="0B24CB99"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3141982C"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Violence Against Women</w:t>
            </w:r>
          </w:p>
        </w:tc>
        <w:tc>
          <w:tcPr>
            <w:tcW w:w="865" w:type="dxa"/>
            <w:tcBorders>
              <w:top w:val="nil"/>
              <w:left w:val="nil"/>
              <w:bottom w:val="nil"/>
              <w:right w:val="nil"/>
            </w:tcBorders>
            <w:shd w:val="clear" w:color="auto" w:fill="auto"/>
            <w:noWrap/>
            <w:vAlign w:val="bottom"/>
            <w:hideMark/>
          </w:tcPr>
          <w:p w14:paraId="3C77AD0C"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8</w:t>
            </w:r>
          </w:p>
        </w:tc>
        <w:tc>
          <w:tcPr>
            <w:tcW w:w="865" w:type="dxa"/>
            <w:tcBorders>
              <w:top w:val="nil"/>
              <w:left w:val="nil"/>
              <w:bottom w:val="nil"/>
              <w:right w:val="nil"/>
            </w:tcBorders>
            <w:shd w:val="clear" w:color="auto" w:fill="auto"/>
            <w:noWrap/>
            <w:vAlign w:val="bottom"/>
            <w:hideMark/>
          </w:tcPr>
          <w:p w14:paraId="56367B43"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7</w:t>
            </w:r>
          </w:p>
        </w:tc>
        <w:tc>
          <w:tcPr>
            <w:tcW w:w="865" w:type="dxa"/>
            <w:tcBorders>
              <w:top w:val="nil"/>
              <w:left w:val="nil"/>
              <w:bottom w:val="nil"/>
              <w:right w:val="single" w:sz="4" w:space="0" w:color="auto"/>
            </w:tcBorders>
            <w:shd w:val="clear" w:color="auto" w:fill="auto"/>
            <w:noWrap/>
            <w:vAlign w:val="bottom"/>
            <w:hideMark/>
          </w:tcPr>
          <w:p w14:paraId="0323B008"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4</w:t>
            </w:r>
          </w:p>
        </w:tc>
      </w:tr>
      <w:tr w:rsidR="00FD210D" w:rsidRPr="00FD210D" w14:paraId="4CE034B3"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1DA351E7"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1D89C08F" w14:textId="643E46DF"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4</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48ACFAA3" w14:textId="43FFEBD7"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3</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2F1828C1" w14:textId="51DB843C"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2</w:t>
            </w:r>
            <w:r>
              <w:rPr>
                <w:rFonts w:ascii="Calibri" w:eastAsia="Times New Roman" w:hAnsi="Calibri" w:cs="Times New Roman"/>
                <w:color w:val="000000"/>
                <w:sz w:val="20"/>
                <w:szCs w:val="20"/>
                <w:lang w:eastAsia="en-US"/>
              </w:rPr>
              <w:t>)</w:t>
            </w:r>
          </w:p>
        </w:tc>
      </w:tr>
      <w:tr w:rsidR="00FD210D" w:rsidRPr="00FD210D" w14:paraId="637D3C93"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5052A6E5"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Non-Police Violence</w:t>
            </w:r>
          </w:p>
        </w:tc>
        <w:tc>
          <w:tcPr>
            <w:tcW w:w="865" w:type="dxa"/>
            <w:tcBorders>
              <w:top w:val="nil"/>
              <w:left w:val="nil"/>
              <w:bottom w:val="nil"/>
              <w:right w:val="nil"/>
            </w:tcBorders>
            <w:shd w:val="clear" w:color="auto" w:fill="auto"/>
            <w:noWrap/>
            <w:vAlign w:val="bottom"/>
            <w:hideMark/>
          </w:tcPr>
          <w:p w14:paraId="0DD9804D"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12</w:t>
            </w:r>
          </w:p>
        </w:tc>
        <w:tc>
          <w:tcPr>
            <w:tcW w:w="865" w:type="dxa"/>
            <w:tcBorders>
              <w:top w:val="nil"/>
              <w:left w:val="nil"/>
              <w:bottom w:val="nil"/>
              <w:right w:val="nil"/>
            </w:tcBorders>
            <w:shd w:val="clear" w:color="auto" w:fill="auto"/>
            <w:noWrap/>
            <w:vAlign w:val="bottom"/>
            <w:hideMark/>
          </w:tcPr>
          <w:p w14:paraId="6C1BCD08"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9</w:t>
            </w:r>
          </w:p>
        </w:tc>
        <w:tc>
          <w:tcPr>
            <w:tcW w:w="865" w:type="dxa"/>
            <w:tcBorders>
              <w:top w:val="nil"/>
              <w:left w:val="nil"/>
              <w:bottom w:val="nil"/>
              <w:right w:val="single" w:sz="4" w:space="0" w:color="auto"/>
            </w:tcBorders>
            <w:shd w:val="clear" w:color="auto" w:fill="auto"/>
            <w:noWrap/>
            <w:vAlign w:val="bottom"/>
            <w:hideMark/>
          </w:tcPr>
          <w:p w14:paraId="01959B8E"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6</w:t>
            </w:r>
          </w:p>
        </w:tc>
      </w:tr>
      <w:tr w:rsidR="00FD210D" w:rsidRPr="00FD210D" w14:paraId="7255098D"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5689B0C3"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7B4F1A94" w14:textId="045F4046"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6</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24BB95A1" w14:textId="67042C16"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4</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4B6810B0" w14:textId="233058B0"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4</w:t>
            </w:r>
            <w:r>
              <w:rPr>
                <w:rFonts w:ascii="Calibri" w:eastAsia="Times New Roman" w:hAnsi="Calibri" w:cs="Times New Roman"/>
                <w:color w:val="000000"/>
                <w:sz w:val="20"/>
                <w:szCs w:val="20"/>
                <w:lang w:eastAsia="en-US"/>
              </w:rPr>
              <w:t>)</w:t>
            </w:r>
          </w:p>
        </w:tc>
      </w:tr>
      <w:tr w:rsidR="00FD210D" w:rsidRPr="00FD210D" w14:paraId="7F9FADB7"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435C495A"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Feminism</w:t>
            </w:r>
          </w:p>
        </w:tc>
        <w:tc>
          <w:tcPr>
            <w:tcW w:w="865" w:type="dxa"/>
            <w:tcBorders>
              <w:top w:val="nil"/>
              <w:left w:val="nil"/>
              <w:bottom w:val="nil"/>
              <w:right w:val="nil"/>
            </w:tcBorders>
            <w:shd w:val="clear" w:color="auto" w:fill="auto"/>
            <w:noWrap/>
            <w:vAlign w:val="bottom"/>
            <w:hideMark/>
          </w:tcPr>
          <w:p w14:paraId="4676E786"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30</w:t>
            </w:r>
          </w:p>
        </w:tc>
        <w:tc>
          <w:tcPr>
            <w:tcW w:w="865" w:type="dxa"/>
            <w:tcBorders>
              <w:top w:val="nil"/>
              <w:left w:val="nil"/>
              <w:bottom w:val="nil"/>
              <w:right w:val="nil"/>
            </w:tcBorders>
            <w:shd w:val="clear" w:color="auto" w:fill="auto"/>
            <w:noWrap/>
            <w:vAlign w:val="bottom"/>
            <w:hideMark/>
          </w:tcPr>
          <w:p w14:paraId="5A9CD3BF"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13</w:t>
            </w:r>
          </w:p>
        </w:tc>
        <w:tc>
          <w:tcPr>
            <w:tcW w:w="865" w:type="dxa"/>
            <w:tcBorders>
              <w:top w:val="nil"/>
              <w:left w:val="nil"/>
              <w:bottom w:val="nil"/>
              <w:right w:val="single" w:sz="4" w:space="0" w:color="auto"/>
            </w:tcBorders>
            <w:shd w:val="clear" w:color="auto" w:fill="auto"/>
            <w:noWrap/>
            <w:vAlign w:val="bottom"/>
            <w:hideMark/>
          </w:tcPr>
          <w:p w14:paraId="4D743EF2"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7</w:t>
            </w:r>
          </w:p>
        </w:tc>
      </w:tr>
      <w:tr w:rsidR="00FD210D" w:rsidRPr="00FD210D" w14:paraId="2F035D71"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2BD84396"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22A59FF2" w14:textId="40A02113"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14</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46F5C135" w14:textId="5915210E"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6</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5D01F43B" w14:textId="55FBF50A"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4</w:t>
            </w:r>
            <w:r>
              <w:rPr>
                <w:rFonts w:ascii="Calibri" w:eastAsia="Times New Roman" w:hAnsi="Calibri" w:cs="Times New Roman"/>
                <w:color w:val="000000"/>
                <w:sz w:val="20"/>
                <w:szCs w:val="20"/>
                <w:lang w:eastAsia="en-US"/>
              </w:rPr>
              <w:t>)</w:t>
            </w:r>
          </w:p>
        </w:tc>
      </w:tr>
      <w:tr w:rsidR="00FD210D" w:rsidRPr="00FD210D" w14:paraId="652FCB9C"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2F248202"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Political Overall</w:t>
            </w:r>
          </w:p>
        </w:tc>
        <w:tc>
          <w:tcPr>
            <w:tcW w:w="865" w:type="dxa"/>
            <w:tcBorders>
              <w:top w:val="nil"/>
              <w:left w:val="nil"/>
              <w:bottom w:val="nil"/>
              <w:right w:val="nil"/>
            </w:tcBorders>
            <w:shd w:val="clear" w:color="auto" w:fill="auto"/>
            <w:noWrap/>
            <w:vAlign w:val="bottom"/>
            <w:hideMark/>
          </w:tcPr>
          <w:p w14:paraId="269C44EB"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57</w:t>
            </w:r>
          </w:p>
        </w:tc>
        <w:tc>
          <w:tcPr>
            <w:tcW w:w="865" w:type="dxa"/>
            <w:tcBorders>
              <w:top w:val="nil"/>
              <w:left w:val="nil"/>
              <w:bottom w:val="nil"/>
              <w:right w:val="nil"/>
            </w:tcBorders>
            <w:shd w:val="clear" w:color="auto" w:fill="auto"/>
            <w:noWrap/>
            <w:vAlign w:val="bottom"/>
            <w:hideMark/>
          </w:tcPr>
          <w:p w14:paraId="540CBC11"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41</w:t>
            </w:r>
          </w:p>
        </w:tc>
        <w:tc>
          <w:tcPr>
            <w:tcW w:w="865" w:type="dxa"/>
            <w:tcBorders>
              <w:top w:val="nil"/>
              <w:left w:val="nil"/>
              <w:bottom w:val="nil"/>
              <w:right w:val="single" w:sz="4" w:space="0" w:color="auto"/>
            </w:tcBorders>
            <w:shd w:val="clear" w:color="auto" w:fill="auto"/>
            <w:noWrap/>
            <w:vAlign w:val="bottom"/>
            <w:hideMark/>
          </w:tcPr>
          <w:p w14:paraId="0797CA12"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28</w:t>
            </w:r>
          </w:p>
        </w:tc>
      </w:tr>
      <w:tr w:rsidR="00FD210D" w:rsidRPr="00FD210D" w14:paraId="19A6061C"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75A30CEA"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0B3366C5" w14:textId="625C6455"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26</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4DFA4D7C" w14:textId="5157A9FE"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20</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167B778C" w14:textId="36413017"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17</w:t>
            </w:r>
            <w:r>
              <w:rPr>
                <w:rFonts w:ascii="Calibri" w:eastAsia="Times New Roman" w:hAnsi="Calibri" w:cs="Times New Roman"/>
                <w:color w:val="000000"/>
                <w:sz w:val="20"/>
                <w:szCs w:val="20"/>
                <w:lang w:eastAsia="en-US"/>
              </w:rPr>
              <w:t>)</w:t>
            </w:r>
          </w:p>
        </w:tc>
      </w:tr>
      <w:tr w:rsidR="00FD210D" w:rsidRPr="00FD210D" w14:paraId="7B287DB1"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11452842"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Race</w:t>
            </w:r>
          </w:p>
        </w:tc>
        <w:tc>
          <w:tcPr>
            <w:tcW w:w="865" w:type="dxa"/>
            <w:tcBorders>
              <w:top w:val="nil"/>
              <w:left w:val="nil"/>
              <w:bottom w:val="nil"/>
              <w:right w:val="nil"/>
            </w:tcBorders>
            <w:shd w:val="clear" w:color="auto" w:fill="auto"/>
            <w:noWrap/>
            <w:vAlign w:val="bottom"/>
            <w:hideMark/>
          </w:tcPr>
          <w:p w14:paraId="2526156A"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18</w:t>
            </w:r>
          </w:p>
        </w:tc>
        <w:tc>
          <w:tcPr>
            <w:tcW w:w="865" w:type="dxa"/>
            <w:tcBorders>
              <w:top w:val="nil"/>
              <w:left w:val="nil"/>
              <w:bottom w:val="nil"/>
              <w:right w:val="nil"/>
            </w:tcBorders>
            <w:shd w:val="clear" w:color="auto" w:fill="auto"/>
            <w:noWrap/>
            <w:vAlign w:val="bottom"/>
            <w:hideMark/>
          </w:tcPr>
          <w:p w14:paraId="41104824"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10</w:t>
            </w:r>
          </w:p>
        </w:tc>
        <w:tc>
          <w:tcPr>
            <w:tcW w:w="865" w:type="dxa"/>
            <w:tcBorders>
              <w:top w:val="nil"/>
              <w:left w:val="nil"/>
              <w:bottom w:val="nil"/>
              <w:right w:val="single" w:sz="4" w:space="0" w:color="auto"/>
            </w:tcBorders>
            <w:shd w:val="clear" w:color="auto" w:fill="auto"/>
            <w:noWrap/>
            <w:vAlign w:val="bottom"/>
            <w:hideMark/>
          </w:tcPr>
          <w:p w14:paraId="28AC759B"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10</w:t>
            </w:r>
          </w:p>
        </w:tc>
      </w:tr>
      <w:tr w:rsidR="00FD210D" w:rsidRPr="00FD210D" w14:paraId="338E73AC"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5B6AECF4"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30113E02" w14:textId="6303B190"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8</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2084A5C0" w14:textId="19B51642"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5</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1BD7741E" w14:textId="163D9F6C"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6</w:t>
            </w:r>
            <w:r>
              <w:rPr>
                <w:rFonts w:ascii="Calibri" w:eastAsia="Times New Roman" w:hAnsi="Calibri" w:cs="Times New Roman"/>
                <w:color w:val="000000"/>
                <w:sz w:val="20"/>
                <w:szCs w:val="20"/>
                <w:lang w:eastAsia="en-US"/>
              </w:rPr>
              <w:t>)</w:t>
            </w:r>
          </w:p>
        </w:tc>
      </w:tr>
      <w:tr w:rsidR="00FD210D" w:rsidRPr="00FD210D" w14:paraId="49009C4C"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7AF85FFA"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Religion</w:t>
            </w:r>
          </w:p>
        </w:tc>
        <w:tc>
          <w:tcPr>
            <w:tcW w:w="865" w:type="dxa"/>
            <w:tcBorders>
              <w:top w:val="nil"/>
              <w:left w:val="nil"/>
              <w:bottom w:val="nil"/>
              <w:right w:val="nil"/>
            </w:tcBorders>
            <w:shd w:val="clear" w:color="auto" w:fill="auto"/>
            <w:noWrap/>
            <w:vAlign w:val="bottom"/>
            <w:hideMark/>
          </w:tcPr>
          <w:p w14:paraId="2586F980"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8</w:t>
            </w:r>
          </w:p>
        </w:tc>
        <w:tc>
          <w:tcPr>
            <w:tcW w:w="865" w:type="dxa"/>
            <w:tcBorders>
              <w:top w:val="nil"/>
              <w:left w:val="nil"/>
              <w:bottom w:val="nil"/>
              <w:right w:val="nil"/>
            </w:tcBorders>
            <w:shd w:val="clear" w:color="auto" w:fill="auto"/>
            <w:noWrap/>
            <w:vAlign w:val="bottom"/>
            <w:hideMark/>
          </w:tcPr>
          <w:p w14:paraId="461E6AC2"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3</w:t>
            </w:r>
          </w:p>
        </w:tc>
        <w:tc>
          <w:tcPr>
            <w:tcW w:w="865" w:type="dxa"/>
            <w:tcBorders>
              <w:top w:val="nil"/>
              <w:left w:val="nil"/>
              <w:bottom w:val="nil"/>
              <w:right w:val="single" w:sz="4" w:space="0" w:color="auto"/>
            </w:tcBorders>
            <w:shd w:val="clear" w:color="auto" w:fill="auto"/>
            <w:noWrap/>
            <w:vAlign w:val="bottom"/>
            <w:hideMark/>
          </w:tcPr>
          <w:p w14:paraId="17F2645A"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4</w:t>
            </w:r>
          </w:p>
        </w:tc>
      </w:tr>
      <w:tr w:rsidR="00FD210D" w:rsidRPr="00FD210D" w14:paraId="666EC99C"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3778F404"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nil"/>
              <w:right w:val="nil"/>
            </w:tcBorders>
            <w:shd w:val="clear" w:color="auto" w:fill="auto"/>
            <w:noWrap/>
            <w:vAlign w:val="bottom"/>
            <w:hideMark/>
          </w:tcPr>
          <w:p w14:paraId="36360037" w14:textId="52CC163D"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4</w:t>
            </w:r>
            <w:r>
              <w:rPr>
                <w:rFonts w:ascii="Calibri" w:eastAsia="Times New Roman" w:hAnsi="Calibri" w:cs="Times New Roman"/>
                <w:color w:val="000000"/>
                <w:sz w:val="20"/>
                <w:szCs w:val="20"/>
                <w:lang w:eastAsia="en-US"/>
              </w:rPr>
              <w:t>)</w:t>
            </w:r>
          </w:p>
        </w:tc>
        <w:tc>
          <w:tcPr>
            <w:tcW w:w="865" w:type="dxa"/>
            <w:tcBorders>
              <w:top w:val="nil"/>
              <w:left w:val="nil"/>
              <w:bottom w:val="nil"/>
              <w:right w:val="nil"/>
            </w:tcBorders>
            <w:shd w:val="clear" w:color="auto" w:fill="auto"/>
            <w:noWrap/>
            <w:vAlign w:val="bottom"/>
            <w:hideMark/>
          </w:tcPr>
          <w:p w14:paraId="50B311C0" w14:textId="4F251311"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c>
          <w:tcPr>
            <w:tcW w:w="865" w:type="dxa"/>
            <w:tcBorders>
              <w:top w:val="nil"/>
              <w:left w:val="nil"/>
              <w:bottom w:val="nil"/>
              <w:right w:val="single" w:sz="4" w:space="0" w:color="auto"/>
            </w:tcBorders>
            <w:shd w:val="clear" w:color="auto" w:fill="auto"/>
            <w:noWrap/>
            <w:vAlign w:val="bottom"/>
            <w:hideMark/>
          </w:tcPr>
          <w:p w14:paraId="00BCCF71" w14:textId="69F4D83A"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2</w:t>
            </w:r>
            <w:r>
              <w:rPr>
                <w:rFonts w:ascii="Calibri" w:eastAsia="Times New Roman" w:hAnsi="Calibri" w:cs="Times New Roman"/>
                <w:color w:val="000000"/>
                <w:sz w:val="20"/>
                <w:szCs w:val="20"/>
                <w:lang w:eastAsia="en-US"/>
              </w:rPr>
              <w:t>)</w:t>
            </w:r>
          </w:p>
        </w:tc>
      </w:tr>
      <w:tr w:rsidR="00FD210D" w:rsidRPr="00FD210D" w14:paraId="00A127E3" w14:textId="77777777" w:rsidTr="00FD210D">
        <w:trPr>
          <w:trHeight w:val="220"/>
          <w:jc w:val="center"/>
        </w:trPr>
        <w:tc>
          <w:tcPr>
            <w:tcW w:w="4106" w:type="dxa"/>
            <w:tcBorders>
              <w:top w:val="single" w:sz="4" w:space="0" w:color="auto"/>
              <w:left w:val="single" w:sz="4" w:space="0" w:color="auto"/>
              <w:bottom w:val="nil"/>
              <w:right w:val="nil"/>
            </w:tcBorders>
            <w:shd w:val="clear" w:color="auto" w:fill="auto"/>
            <w:noWrap/>
            <w:vAlign w:val="bottom"/>
            <w:hideMark/>
          </w:tcPr>
          <w:p w14:paraId="43396247"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Substance Abuse</w:t>
            </w:r>
          </w:p>
        </w:tc>
        <w:tc>
          <w:tcPr>
            <w:tcW w:w="865" w:type="dxa"/>
            <w:tcBorders>
              <w:top w:val="single" w:sz="4" w:space="0" w:color="auto"/>
              <w:left w:val="nil"/>
              <w:bottom w:val="nil"/>
              <w:right w:val="nil"/>
            </w:tcBorders>
            <w:shd w:val="clear" w:color="auto" w:fill="auto"/>
            <w:noWrap/>
            <w:vAlign w:val="bottom"/>
            <w:hideMark/>
          </w:tcPr>
          <w:p w14:paraId="0B7C25B9"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0</w:t>
            </w:r>
          </w:p>
        </w:tc>
        <w:tc>
          <w:tcPr>
            <w:tcW w:w="865" w:type="dxa"/>
            <w:tcBorders>
              <w:top w:val="single" w:sz="4" w:space="0" w:color="auto"/>
              <w:left w:val="nil"/>
              <w:bottom w:val="nil"/>
              <w:right w:val="nil"/>
            </w:tcBorders>
            <w:shd w:val="clear" w:color="auto" w:fill="auto"/>
            <w:noWrap/>
            <w:vAlign w:val="bottom"/>
            <w:hideMark/>
          </w:tcPr>
          <w:p w14:paraId="34BFDB36"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5</w:t>
            </w:r>
          </w:p>
        </w:tc>
        <w:tc>
          <w:tcPr>
            <w:tcW w:w="865" w:type="dxa"/>
            <w:tcBorders>
              <w:top w:val="single" w:sz="4" w:space="0" w:color="auto"/>
              <w:left w:val="nil"/>
              <w:bottom w:val="nil"/>
              <w:right w:val="single" w:sz="4" w:space="0" w:color="auto"/>
            </w:tcBorders>
            <w:shd w:val="clear" w:color="auto" w:fill="auto"/>
            <w:noWrap/>
            <w:vAlign w:val="bottom"/>
            <w:hideMark/>
          </w:tcPr>
          <w:p w14:paraId="3F497884"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0</w:t>
            </w:r>
          </w:p>
        </w:tc>
      </w:tr>
      <w:tr w:rsidR="00FD210D" w:rsidRPr="00FD210D" w14:paraId="7CAC1C4F"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4183F154"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7DCDF064" w14:textId="41CFAF55"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0</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608C1F91" w14:textId="520F3D19"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2</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7AA3E599" w14:textId="1BA9DFA9"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0</w:t>
            </w:r>
            <w:r>
              <w:rPr>
                <w:rFonts w:ascii="Calibri" w:eastAsia="Times New Roman" w:hAnsi="Calibri" w:cs="Times New Roman"/>
                <w:color w:val="000000"/>
                <w:sz w:val="20"/>
                <w:szCs w:val="20"/>
                <w:lang w:eastAsia="en-US"/>
              </w:rPr>
              <w:t>)</w:t>
            </w:r>
          </w:p>
        </w:tc>
      </w:tr>
      <w:tr w:rsidR="00FD210D" w:rsidRPr="00FD210D" w14:paraId="4E96B9F3"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71C6FB1B" w14:textId="50CB5A26"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Transgender</w:t>
            </w:r>
            <w:r w:rsidR="00D46DEC">
              <w:rPr>
                <w:rFonts w:ascii="Calibri" w:eastAsia="Times New Roman" w:hAnsi="Calibri" w:cs="Times New Roman"/>
                <w:color w:val="000000"/>
                <w:sz w:val="20"/>
                <w:szCs w:val="20"/>
                <w:lang w:eastAsia="en-US"/>
              </w:rPr>
              <w:t xml:space="preserve"> Persons</w:t>
            </w:r>
          </w:p>
        </w:tc>
        <w:tc>
          <w:tcPr>
            <w:tcW w:w="865" w:type="dxa"/>
            <w:tcBorders>
              <w:top w:val="nil"/>
              <w:left w:val="nil"/>
              <w:bottom w:val="nil"/>
              <w:right w:val="nil"/>
            </w:tcBorders>
            <w:shd w:val="clear" w:color="auto" w:fill="auto"/>
            <w:noWrap/>
            <w:vAlign w:val="bottom"/>
            <w:hideMark/>
          </w:tcPr>
          <w:p w14:paraId="799C371D"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0</w:t>
            </w:r>
          </w:p>
        </w:tc>
        <w:tc>
          <w:tcPr>
            <w:tcW w:w="865" w:type="dxa"/>
            <w:tcBorders>
              <w:top w:val="nil"/>
              <w:left w:val="nil"/>
              <w:bottom w:val="nil"/>
              <w:right w:val="nil"/>
            </w:tcBorders>
            <w:shd w:val="clear" w:color="auto" w:fill="auto"/>
            <w:noWrap/>
            <w:vAlign w:val="bottom"/>
            <w:hideMark/>
          </w:tcPr>
          <w:p w14:paraId="78FB3A8F"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w:t>
            </w:r>
          </w:p>
        </w:tc>
        <w:tc>
          <w:tcPr>
            <w:tcW w:w="865" w:type="dxa"/>
            <w:tcBorders>
              <w:top w:val="nil"/>
              <w:left w:val="nil"/>
              <w:bottom w:val="nil"/>
              <w:right w:val="single" w:sz="4" w:space="0" w:color="auto"/>
            </w:tcBorders>
            <w:shd w:val="clear" w:color="auto" w:fill="auto"/>
            <w:noWrap/>
            <w:vAlign w:val="bottom"/>
            <w:hideMark/>
          </w:tcPr>
          <w:p w14:paraId="590276DC"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4</w:t>
            </w:r>
          </w:p>
        </w:tc>
      </w:tr>
      <w:tr w:rsidR="00FD210D" w:rsidRPr="00FD210D" w14:paraId="37CD6BCF"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07688BED"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nil"/>
              <w:right w:val="nil"/>
            </w:tcBorders>
            <w:shd w:val="clear" w:color="auto" w:fill="auto"/>
            <w:noWrap/>
            <w:vAlign w:val="bottom"/>
            <w:hideMark/>
          </w:tcPr>
          <w:p w14:paraId="50CCC51C" w14:textId="249CCB5E"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0</w:t>
            </w:r>
            <w:r>
              <w:rPr>
                <w:rFonts w:ascii="Calibri" w:eastAsia="Times New Roman" w:hAnsi="Calibri" w:cs="Times New Roman"/>
                <w:color w:val="000000"/>
                <w:sz w:val="20"/>
                <w:szCs w:val="20"/>
                <w:lang w:eastAsia="en-US"/>
              </w:rPr>
              <w:t>)</w:t>
            </w:r>
          </w:p>
        </w:tc>
        <w:tc>
          <w:tcPr>
            <w:tcW w:w="865" w:type="dxa"/>
            <w:tcBorders>
              <w:top w:val="nil"/>
              <w:left w:val="nil"/>
              <w:bottom w:val="nil"/>
              <w:right w:val="nil"/>
            </w:tcBorders>
            <w:shd w:val="clear" w:color="auto" w:fill="auto"/>
            <w:noWrap/>
            <w:vAlign w:val="bottom"/>
            <w:hideMark/>
          </w:tcPr>
          <w:p w14:paraId="5AB29DFC" w14:textId="68B23A1E"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c>
          <w:tcPr>
            <w:tcW w:w="865" w:type="dxa"/>
            <w:tcBorders>
              <w:top w:val="nil"/>
              <w:left w:val="nil"/>
              <w:bottom w:val="nil"/>
              <w:right w:val="single" w:sz="4" w:space="0" w:color="auto"/>
            </w:tcBorders>
            <w:shd w:val="clear" w:color="auto" w:fill="auto"/>
            <w:noWrap/>
            <w:vAlign w:val="bottom"/>
            <w:hideMark/>
          </w:tcPr>
          <w:p w14:paraId="1163AC15" w14:textId="12BAA129"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2</w:t>
            </w:r>
            <w:r>
              <w:rPr>
                <w:rFonts w:ascii="Calibri" w:eastAsia="Times New Roman" w:hAnsi="Calibri" w:cs="Times New Roman"/>
                <w:color w:val="000000"/>
                <w:sz w:val="20"/>
                <w:szCs w:val="20"/>
                <w:lang w:eastAsia="en-US"/>
              </w:rPr>
              <w:t>)</w:t>
            </w:r>
          </w:p>
        </w:tc>
      </w:tr>
      <w:tr w:rsidR="00FD210D" w:rsidRPr="00FD210D" w14:paraId="3556C3A7" w14:textId="77777777" w:rsidTr="00FD210D">
        <w:trPr>
          <w:trHeight w:val="220"/>
          <w:jc w:val="center"/>
        </w:trPr>
        <w:tc>
          <w:tcPr>
            <w:tcW w:w="4106" w:type="dxa"/>
            <w:tcBorders>
              <w:top w:val="single" w:sz="4" w:space="0" w:color="auto"/>
              <w:left w:val="single" w:sz="4" w:space="0" w:color="auto"/>
              <w:bottom w:val="nil"/>
              <w:right w:val="nil"/>
            </w:tcBorders>
            <w:shd w:val="clear" w:color="auto" w:fill="auto"/>
            <w:noWrap/>
            <w:vAlign w:val="bottom"/>
            <w:hideMark/>
          </w:tcPr>
          <w:p w14:paraId="5EADB74B"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Youth</w:t>
            </w:r>
          </w:p>
        </w:tc>
        <w:tc>
          <w:tcPr>
            <w:tcW w:w="865" w:type="dxa"/>
            <w:tcBorders>
              <w:top w:val="single" w:sz="4" w:space="0" w:color="auto"/>
              <w:left w:val="nil"/>
              <w:bottom w:val="nil"/>
              <w:right w:val="nil"/>
            </w:tcBorders>
            <w:shd w:val="clear" w:color="auto" w:fill="auto"/>
            <w:noWrap/>
            <w:vAlign w:val="bottom"/>
            <w:hideMark/>
          </w:tcPr>
          <w:p w14:paraId="495DA2F2"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w:t>
            </w:r>
          </w:p>
        </w:tc>
        <w:tc>
          <w:tcPr>
            <w:tcW w:w="865" w:type="dxa"/>
            <w:tcBorders>
              <w:top w:val="single" w:sz="4" w:space="0" w:color="auto"/>
              <w:left w:val="nil"/>
              <w:bottom w:val="nil"/>
              <w:right w:val="nil"/>
            </w:tcBorders>
            <w:shd w:val="clear" w:color="auto" w:fill="auto"/>
            <w:noWrap/>
            <w:vAlign w:val="bottom"/>
            <w:hideMark/>
          </w:tcPr>
          <w:p w14:paraId="2840EA91"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w:t>
            </w:r>
          </w:p>
        </w:tc>
        <w:tc>
          <w:tcPr>
            <w:tcW w:w="865" w:type="dxa"/>
            <w:tcBorders>
              <w:top w:val="single" w:sz="4" w:space="0" w:color="auto"/>
              <w:left w:val="nil"/>
              <w:bottom w:val="nil"/>
              <w:right w:val="single" w:sz="4" w:space="0" w:color="auto"/>
            </w:tcBorders>
            <w:shd w:val="clear" w:color="auto" w:fill="auto"/>
            <w:noWrap/>
            <w:vAlign w:val="bottom"/>
            <w:hideMark/>
          </w:tcPr>
          <w:p w14:paraId="5D738F8C"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w:t>
            </w:r>
          </w:p>
        </w:tc>
      </w:tr>
      <w:tr w:rsidR="00FD210D" w:rsidRPr="00FD210D" w14:paraId="627243C6"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5C9CB6AE"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03192953" w14:textId="5D628167"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77530F25" w14:textId="718E063B"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4878EEE9" w14:textId="2DB846E9"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r>
      <w:tr w:rsidR="00FD210D" w:rsidRPr="00FD210D" w14:paraId="31DF9234"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549EE8AE"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Other</w:t>
            </w:r>
          </w:p>
        </w:tc>
        <w:tc>
          <w:tcPr>
            <w:tcW w:w="865" w:type="dxa"/>
            <w:tcBorders>
              <w:top w:val="nil"/>
              <w:left w:val="nil"/>
              <w:bottom w:val="nil"/>
              <w:right w:val="nil"/>
            </w:tcBorders>
            <w:shd w:val="clear" w:color="auto" w:fill="auto"/>
            <w:noWrap/>
            <w:vAlign w:val="bottom"/>
            <w:hideMark/>
          </w:tcPr>
          <w:p w14:paraId="6F514EAC"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w:t>
            </w:r>
          </w:p>
        </w:tc>
        <w:tc>
          <w:tcPr>
            <w:tcW w:w="865" w:type="dxa"/>
            <w:tcBorders>
              <w:top w:val="nil"/>
              <w:left w:val="nil"/>
              <w:bottom w:val="nil"/>
              <w:right w:val="nil"/>
            </w:tcBorders>
            <w:shd w:val="clear" w:color="auto" w:fill="auto"/>
            <w:noWrap/>
            <w:vAlign w:val="bottom"/>
            <w:hideMark/>
          </w:tcPr>
          <w:p w14:paraId="1D44192B"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3</w:t>
            </w:r>
          </w:p>
        </w:tc>
        <w:tc>
          <w:tcPr>
            <w:tcW w:w="865" w:type="dxa"/>
            <w:tcBorders>
              <w:top w:val="nil"/>
              <w:left w:val="nil"/>
              <w:bottom w:val="nil"/>
              <w:right w:val="single" w:sz="4" w:space="0" w:color="auto"/>
            </w:tcBorders>
            <w:shd w:val="clear" w:color="auto" w:fill="auto"/>
            <w:noWrap/>
            <w:vAlign w:val="bottom"/>
            <w:hideMark/>
          </w:tcPr>
          <w:p w14:paraId="588643B0"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4</w:t>
            </w:r>
          </w:p>
        </w:tc>
      </w:tr>
      <w:tr w:rsidR="00FD210D" w:rsidRPr="00FD210D" w14:paraId="05801876" w14:textId="77777777" w:rsidTr="00FD210D">
        <w:trPr>
          <w:trHeight w:val="220"/>
          <w:jc w:val="center"/>
        </w:trPr>
        <w:tc>
          <w:tcPr>
            <w:tcW w:w="4106" w:type="dxa"/>
            <w:tcBorders>
              <w:top w:val="nil"/>
              <w:left w:val="single" w:sz="4" w:space="0" w:color="auto"/>
              <w:bottom w:val="nil"/>
              <w:right w:val="nil"/>
            </w:tcBorders>
            <w:shd w:val="clear" w:color="auto" w:fill="auto"/>
            <w:noWrap/>
            <w:vAlign w:val="bottom"/>
            <w:hideMark/>
          </w:tcPr>
          <w:p w14:paraId="68F89181"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nil"/>
              <w:right w:val="nil"/>
            </w:tcBorders>
            <w:shd w:val="clear" w:color="auto" w:fill="auto"/>
            <w:noWrap/>
            <w:vAlign w:val="bottom"/>
            <w:hideMark/>
          </w:tcPr>
          <w:p w14:paraId="22F3000B" w14:textId="3BEEE7BD"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0</w:t>
            </w:r>
            <w:r>
              <w:rPr>
                <w:rFonts w:ascii="Calibri" w:eastAsia="Times New Roman" w:hAnsi="Calibri" w:cs="Times New Roman"/>
                <w:color w:val="000000"/>
                <w:sz w:val="20"/>
                <w:szCs w:val="20"/>
                <w:lang w:eastAsia="en-US"/>
              </w:rPr>
              <w:t>)</w:t>
            </w:r>
          </w:p>
        </w:tc>
        <w:tc>
          <w:tcPr>
            <w:tcW w:w="865" w:type="dxa"/>
            <w:tcBorders>
              <w:top w:val="nil"/>
              <w:left w:val="nil"/>
              <w:bottom w:val="nil"/>
              <w:right w:val="nil"/>
            </w:tcBorders>
            <w:shd w:val="clear" w:color="auto" w:fill="auto"/>
            <w:noWrap/>
            <w:vAlign w:val="bottom"/>
            <w:hideMark/>
          </w:tcPr>
          <w:p w14:paraId="5F557B56" w14:textId="5E5C53EE"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w:t>
            </w:r>
            <w:r>
              <w:rPr>
                <w:rFonts w:ascii="Calibri" w:eastAsia="Times New Roman" w:hAnsi="Calibri" w:cs="Times New Roman"/>
                <w:color w:val="000000"/>
                <w:sz w:val="20"/>
                <w:szCs w:val="20"/>
                <w:lang w:eastAsia="en-US"/>
              </w:rPr>
              <w:t>)</w:t>
            </w:r>
          </w:p>
        </w:tc>
        <w:tc>
          <w:tcPr>
            <w:tcW w:w="865" w:type="dxa"/>
            <w:tcBorders>
              <w:top w:val="nil"/>
              <w:left w:val="nil"/>
              <w:bottom w:val="nil"/>
              <w:right w:val="single" w:sz="4" w:space="0" w:color="auto"/>
            </w:tcBorders>
            <w:shd w:val="clear" w:color="auto" w:fill="auto"/>
            <w:noWrap/>
            <w:vAlign w:val="bottom"/>
            <w:hideMark/>
          </w:tcPr>
          <w:p w14:paraId="6D698E2C" w14:textId="5BEC3C74"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2</w:t>
            </w:r>
            <w:r>
              <w:rPr>
                <w:rFonts w:ascii="Calibri" w:eastAsia="Times New Roman" w:hAnsi="Calibri" w:cs="Times New Roman"/>
                <w:color w:val="000000"/>
                <w:sz w:val="20"/>
                <w:szCs w:val="20"/>
                <w:lang w:eastAsia="en-US"/>
              </w:rPr>
              <w:t>)</w:t>
            </w:r>
          </w:p>
        </w:tc>
      </w:tr>
      <w:tr w:rsidR="00FD210D" w:rsidRPr="00FD210D" w14:paraId="2E5B03F2" w14:textId="77777777" w:rsidTr="00FD210D">
        <w:trPr>
          <w:trHeight w:val="220"/>
          <w:jc w:val="center"/>
        </w:trPr>
        <w:tc>
          <w:tcPr>
            <w:tcW w:w="4106" w:type="dxa"/>
            <w:tcBorders>
              <w:top w:val="single" w:sz="4" w:space="0" w:color="auto"/>
              <w:left w:val="single" w:sz="4" w:space="0" w:color="auto"/>
              <w:bottom w:val="nil"/>
              <w:right w:val="nil"/>
            </w:tcBorders>
            <w:shd w:val="clear" w:color="auto" w:fill="auto"/>
            <w:noWrap/>
            <w:vAlign w:val="bottom"/>
            <w:hideMark/>
          </w:tcPr>
          <w:p w14:paraId="1E371EB1" w14:textId="77777777" w:rsidR="00FD210D" w:rsidRPr="00FD210D" w:rsidRDefault="00FD210D" w:rsidP="00FD210D">
            <w:pPr>
              <w:rPr>
                <w:rFonts w:ascii="Calibri" w:eastAsia="Times New Roman" w:hAnsi="Calibri" w:cs="Times New Roman"/>
                <w:color w:val="000000"/>
                <w:sz w:val="20"/>
                <w:szCs w:val="20"/>
                <w:lang w:eastAsia="en-US"/>
              </w:rPr>
            </w:pPr>
            <w:proofErr w:type="gramStart"/>
            <w:r w:rsidRPr="00FD210D">
              <w:rPr>
                <w:rFonts w:ascii="Calibri" w:eastAsia="Times New Roman" w:hAnsi="Calibri" w:cs="Times New Roman"/>
                <w:color w:val="000000"/>
                <w:sz w:val="20"/>
                <w:szCs w:val="20"/>
                <w:lang w:eastAsia="en-US"/>
              </w:rPr>
              <w:t>Total :</w:t>
            </w:r>
            <w:proofErr w:type="gramEnd"/>
          </w:p>
        </w:tc>
        <w:tc>
          <w:tcPr>
            <w:tcW w:w="865" w:type="dxa"/>
            <w:tcBorders>
              <w:top w:val="single" w:sz="4" w:space="0" w:color="auto"/>
              <w:left w:val="nil"/>
              <w:bottom w:val="nil"/>
              <w:right w:val="nil"/>
            </w:tcBorders>
            <w:shd w:val="clear" w:color="auto" w:fill="auto"/>
            <w:noWrap/>
            <w:vAlign w:val="bottom"/>
            <w:hideMark/>
          </w:tcPr>
          <w:p w14:paraId="43A12C24"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216</w:t>
            </w:r>
          </w:p>
        </w:tc>
        <w:tc>
          <w:tcPr>
            <w:tcW w:w="865" w:type="dxa"/>
            <w:tcBorders>
              <w:top w:val="single" w:sz="4" w:space="0" w:color="auto"/>
              <w:left w:val="nil"/>
              <w:bottom w:val="nil"/>
              <w:right w:val="nil"/>
            </w:tcBorders>
            <w:shd w:val="clear" w:color="auto" w:fill="auto"/>
            <w:noWrap/>
            <w:vAlign w:val="bottom"/>
            <w:hideMark/>
          </w:tcPr>
          <w:p w14:paraId="192731A1"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205</w:t>
            </w:r>
          </w:p>
        </w:tc>
        <w:tc>
          <w:tcPr>
            <w:tcW w:w="865" w:type="dxa"/>
            <w:tcBorders>
              <w:top w:val="single" w:sz="4" w:space="0" w:color="auto"/>
              <w:left w:val="nil"/>
              <w:bottom w:val="nil"/>
              <w:right w:val="single" w:sz="4" w:space="0" w:color="auto"/>
            </w:tcBorders>
            <w:shd w:val="clear" w:color="auto" w:fill="auto"/>
            <w:noWrap/>
            <w:vAlign w:val="bottom"/>
            <w:hideMark/>
          </w:tcPr>
          <w:p w14:paraId="0FA7AB15" w14:textId="77777777" w:rsidR="00FD210D" w:rsidRPr="00FD210D" w:rsidRDefault="00FD210D" w:rsidP="00FD210D">
            <w:pPr>
              <w:jc w:val="right"/>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161</w:t>
            </w:r>
          </w:p>
        </w:tc>
      </w:tr>
      <w:tr w:rsidR="00FD210D" w:rsidRPr="00FD210D" w14:paraId="30852F1C" w14:textId="77777777" w:rsidTr="00FD210D">
        <w:trPr>
          <w:trHeight w:val="220"/>
          <w:jc w:val="center"/>
        </w:trPr>
        <w:tc>
          <w:tcPr>
            <w:tcW w:w="4106" w:type="dxa"/>
            <w:tcBorders>
              <w:top w:val="nil"/>
              <w:left w:val="single" w:sz="4" w:space="0" w:color="auto"/>
              <w:bottom w:val="single" w:sz="4" w:space="0" w:color="auto"/>
              <w:right w:val="nil"/>
            </w:tcBorders>
            <w:shd w:val="clear" w:color="auto" w:fill="auto"/>
            <w:noWrap/>
            <w:vAlign w:val="bottom"/>
            <w:hideMark/>
          </w:tcPr>
          <w:p w14:paraId="74B3210B" w14:textId="77777777" w:rsidR="00FD210D" w:rsidRPr="00FD210D" w:rsidRDefault="00FD210D" w:rsidP="00FD210D">
            <w:pPr>
              <w:rPr>
                <w:rFonts w:ascii="Calibri" w:eastAsia="Times New Roman" w:hAnsi="Calibri" w:cs="Times New Roman"/>
                <w:color w:val="000000"/>
                <w:sz w:val="20"/>
                <w:szCs w:val="20"/>
                <w:lang w:eastAsia="en-US"/>
              </w:rPr>
            </w:pPr>
            <w:r w:rsidRPr="00FD210D">
              <w:rPr>
                <w:rFonts w:ascii="Calibri" w:eastAsia="Times New Roman" w:hAnsi="Calibri" w:cs="Times New Roman"/>
                <w:color w:val="000000"/>
                <w:sz w:val="20"/>
                <w:szCs w:val="20"/>
                <w:lang w:eastAsia="en-US"/>
              </w:rPr>
              <w:t> </w:t>
            </w:r>
          </w:p>
        </w:tc>
        <w:tc>
          <w:tcPr>
            <w:tcW w:w="865" w:type="dxa"/>
            <w:tcBorders>
              <w:top w:val="nil"/>
              <w:left w:val="nil"/>
              <w:bottom w:val="single" w:sz="4" w:space="0" w:color="auto"/>
              <w:right w:val="nil"/>
            </w:tcBorders>
            <w:shd w:val="clear" w:color="auto" w:fill="auto"/>
            <w:noWrap/>
            <w:vAlign w:val="bottom"/>
            <w:hideMark/>
          </w:tcPr>
          <w:p w14:paraId="1707A3CD" w14:textId="4D8B5944"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100</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nil"/>
            </w:tcBorders>
            <w:shd w:val="clear" w:color="auto" w:fill="auto"/>
            <w:noWrap/>
            <w:vAlign w:val="bottom"/>
            <w:hideMark/>
          </w:tcPr>
          <w:p w14:paraId="1B23AC3E" w14:textId="07A16E9A" w:rsidR="00FD210D" w:rsidRPr="00FD210D" w:rsidRDefault="00617EED"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100</w:t>
            </w:r>
            <w:r>
              <w:rPr>
                <w:rFonts w:ascii="Calibri" w:eastAsia="Times New Roman" w:hAnsi="Calibri" w:cs="Times New Roman"/>
                <w:color w:val="000000"/>
                <w:sz w:val="20"/>
                <w:szCs w:val="20"/>
                <w:lang w:eastAsia="en-US"/>
              </w:rPr>
              <w:t>)</w:t>
            </w:r>
          </w:p>
        </w:tc>
        <w:tc>
          <w:tcPr>
            <w:tcW w:w="865" w:type="dxa"/>
            <w:tcBorders>
              <w:top w:val="nil"/>
              <w:left w:val="nil"/>
              <w:bottom w:val="single" w:sz="4" w:space="0" w:color="auto"/>
              <w:right w:val="single" w:sz="4" w:space="0" w:color="auto"/>
            </w:tcBorders>
            <w:shd w:val="clear" w:color="auto" w:fill="auto"/>
            <w:noWrap/>
            <w:vAlign w:val="bottom"/>
            <w:hideMark/>
          </w:tcPr>
          <w:p w14:paraId="429385EA" w14:textId="7A0D829D" w:rsidR="00FD210D" w:rsidRPr="00FD210D" w:rsidRDefault="001C077B" w:rsidP="00FD210D">
            <w:pPr>
              <w:jc w:val="right"/>
              <w:rPr>
                <w:rFonts w:ascii="Calibri" w:eastAsia="Times New Roman" w:hAnsi="Calibri" w:cs="Times New Roman"/>
                <w:color w:val="000000"/>
                <w:sz w:val="20"/>
                <w:szCs w:val="20"/>
                <w:lang w:eastAsia="en-US"/>
              </w:rPr>
            </w:pPr>
            <w:r>
              <w:rPr>
                <w:rFonts w:ascii="Calibri" w:eastAsia="Times New Roman" w:hAnsi="Calibri" w:cs="Times New Roman"/>
                <w:color w:val="000000"/>
                <w:sz w:val="20"/>
                <w:szCs w:val="20"/>
                <w:lang w:eastAsia="en-US"/>
              </w:rPr>
              <w:t>(</w:t>
            </w:r>
            <w:r w:rsidR="00FD210D" w:rsidRPr="00FD210D">
              <w:rPr>
                <w:rFonts w:ascii="Calibri" w:eastAsia="Times New Roman" w:hAnsi="Calibri" w:cs="Times New Roman"/>
                <w:color w:val="000000"/>
                <w:sz w:val="20"/>
                <w:szCs w:val="20"/>
                <w:lang w:eastAsia="en-US"/>
              </w:rPr>
              <w:t>100</w:t>
            </w:r>
            <w:r>
              <w:rPr>
                <w:rFonts w:ascii="Calibri" w:eastAsia="Times New Roman" w:hAnsi="Calibri" w:cs="Times New Roman"/>
                <w:color w:val="000000"/>
                <w:sz w:val="20"/>
                <w:szCs w:val="20"/>
                <w:lang w:eastAsia="en-US"/>
              </w:rPr>
              <w:t>)</w:t>
            </w:r>
          </w:p>
        </w:tc>
      </w:tr>
    </w:tbl>
    <w:p w14:paraId="64B71236" w14:textId="7EAB1552" w:rsidR="001C3060" w:rsidRDefault="00617EED" w:rsidP="0022188A">
      <w:pPr>
        <w:rPr>
          <w:rFonts w:cs="Times New Roman"/>
        </w:rPr>
      </w:pPr>
      <w:r>
        <w:rPr>
          <w:rFonts w:cs="Times New Roman"/>
          <w:i/>
        </w:rPr>
        <w:t xml:space="preserve">* In this Table the top number outside of parentheses is the frequency and the bottom number within parentheses is the percentage. </w:t>
      </w:r>
      <w:r w:rsidR="0022188A">
        <w:rPr>
          <w:rFonts w:cs="Times New Roman"/>
          <w:i/>
        </w:rPr>
        <w:t>Source: Gay Community News “Speaking Out” and “Community Voices” Letters to the Editor Columns, 1980, 1984, 1988</w:t>
      </w:r>
    </w:p>
    <w:p w14:paraId="04755D28" w14:textId="77777777" w:rsidR="00A52535" w:rsidRDefault="00A52535" w:rsidP="00F96DD5">
      <w:pPr>
        <w:spacing w:line="480" w:lineRule="auto"/>
        <w:jc w:val="center"/>
        <w:rPr>
          <w:rFonts w:cs="Times New Roman"/>
        </w:rPr>
      </w:pPr>
    </w:p>
    <w:p w14:paraId="460D8003" w14:textId="06F1BC57" w:rsidR="001C3060" w:rsidRDefault="001C3060" w:rsidP="00BE48D0">
      <w:pPr>
        <w:spacing w:line="480" w:lineRule="auto"/>
        <w:jc w:val="center"/>
        <w:rPr>
          <w:rFonts w:cs="Times New Roman"/>
          <w:b/>
        </w:rPr>
      </w:pPr>
      <w:r>
        <w:rPr>
          <w:rFonts w:cs="Times New Roman"/>
          <w:b/>
        </w:rPr>
        <w:t xml:space="preserve">TABLE </w:t>
      </w:r>
      <w:r w:rsidR="0009091E">
        <w:rPr>
          <w:rFonts w:cs="Times New Roman"/>
          <w:b/>
        </w:rPr>
        <w:t>3</w:t>
      </w:r>
    </w:p>
    <w:tbl>
      <w:tblPr>
        <w:tblW w:w="6540" w:type="dxa"/>
        <w:jc w:val="center"/>
        <w:tblInd w:w="93" w:type="dxa"/>
        <w:tblLook w:val="04A0" w:firstRow="1" w:lastRow="0" w:firstColumn="1" w:lastColumn="0" w:noHBand="0" w:noVBand="1"/>
      </w:tblPr>
      <w:tblGrid>
        <w:gridCol w:w="2808"/>
        <w:gridCol w:w="1244"/>
        <w:gridCol w:w="1244"/>
        <w:gridCol w:w="1244"/>
      </w:tblGrid>
      <w:tr w:rsidR="0007410A" w:rsidRPr="0007410A" w14:paraId="474533D4" w14:textId="77777777" w:rsidTr="0007410A">
        <w:trPr>
          <w:trHeight w:val="300"/>
          <w:jc w:val="center"/>
        </w:trPr>
        <w:tc>
          <w:tcPr>
            <w:tcW w:w="65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DD1C4" w14:textId="3A1A0F4D" w:rsidR="0007410A" w:rsidRPr="0007410A" w:rsidRDefault="0022188A" w:rsidP="0007410A">
            <w:pPr>
              <w:jc w:val="center"/>
              <w:rPr>
                <w:rFonts w:ascii="Calibri" w:eastAsia="Times New Roman" w:hAnsi="Calibri" w:cs="Times New Roman"/>
                <w:b/>
                <w:bCs/>
                <w:color w:val="000000"/>
                <w:lang w:eastAsia="en-US"/>
              </w:rPr>
            </w:pPr>
            <w:r>
              <w:rPr>
                <w:rFonts w:ascii="Calibri" w:eastAsia="Times New Roman" w:hAnsi="Calibri" w:cs="Times New Roman"/>
                <w:b/>
                <w:bCs/>
                <w:color w:val="000000"/>
                <w:lang w:eastAsia="en-US"/>
              </w:rPr>
              <w:t xml:space="preserve">Frequency of </w:t>
            </w:r>
            <w:r w:rsidR="0007410A" w:rsidRPr="0007410A">
              <w:rPr>
                <w:rFonts w:ascii="Calibri" w:eastAsia="Times New Roman" w:hAnsi="Calibri" w:cs="Times New Roman"/>
                <w:b/>
                <w:bCs/>
                <w:color w:val="000000"/>
                <w:lang w:eastAsia="en-US"/>
              </w:rPr>
              <w:t>Rights Talk By Year</w:t>
            </w:r>
          </w:p>
        </w:tc>
      </w:tr>
      <w:tr w:rsidR="0007410A" w:rsidRPr="0007410A" w14:paraId="504A580C" w14:textId="77777777" w:rsidTr="0007410A">
        <w:trPr>
          <w:trHeight w:val="300"/>
          <w:jc w:val="center"/>
        </w:trPr>
        <w:tc>
          <w:tcPr>
            <w:tcW w:w="2808" w:type="dxa"/>
            <w:tcBorders>
              <w:top w:val="nil"/>
              <w:left w:val="single" w:sz="4" w:space="0" w:color="auto"/>
              <w:bottom w:val="single" w:sz="4" w:space="0" w:color="auto"/>
              <w:right w:val="single" w:sz="4" w:space="0" w:color="auto"/>
            </w:tcBorders>
            <w:shd w:val="clear" w:color="auto" w:fill="auto"/>
            <w:noWrap/>
            <w:vAlign w:val="bottom"/>
            <w:hideMark/>
          </w:tcPr>
          <w:p w14:paraId="44E22DDF"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 </w:t>
            </w:r>
          </w:p>
        </w:tc>
        <w:tc>
          <w:tcPr>
            <w:tcW w:w="1244" w:type="dxa"/>
            <w:tcBorders>
              <w:top w:val="nil"/>
              <w:left w:val="nil"/>
              <w:bottom w:val="single" w:sz="4" w:space="0" w:color="auto"/>
              <w:right w:val="single" w:sz="4" w:space="0" w:color="auto"/>
            </w:tcBorders>
            <w:shd w:val="clear" w:color="auto" w:fill="auto"/>
            <w:noWrap/>
            <w:vAlign w:val="bottom"/>
            <w:hideMark/>
          </w:tcPr>
          <w:p w14:paraId="3406A66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1980</w:t>
            </w:r>
          </w:p>
        </w:tc>
        <w:tc>
          <w:tcPr>
            <w:tcW w:w="1244" w:type="dxa"/>
            <w:tcBorders>
              <w:top w:val="nil"/>
              <w:left w:val="nil"/>
              <w:bottom w:val="single" w:sz="4" w:space="0" w:color="auto"/>
              <w:right w:val="single" w:sz="4" w:space="0" w:color="auto"/>
            </w:tcBorders>
            <w:shd w:val="clear" w:color="auto" w:fill="auto"/>
            <w:noWrap/>
            <w:vAlign w:val="bottom"/>
            <w:hideMark/>
          </w:tcPr>
          <w:p w14:paraId="7E2A371F"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1984</w:t>
            </w:r>
          </w:p>
        </w:tc>
        <w:tc>
          <w:tcPr>
            <w:tcW w:w="1244" w:type="dxa"/>
            <w:tcBorders>
              <w:top w:val="nil"/>
              <w:left w:val="nil"/>
              <w:bottom w:val="single" w:sz="4" w:space="0" w:color="auto"/>
              <w:right w:val="single" w:sz="4" w:space="0" w:color="auto"/>
            </w:tcBorders>
            <w:shd w:val="clear" w:color="auto" w:fill="auto"/>
            <w:noWrap/>
            <w:vAlign w:val="bottom"/>
            <w:hideMark/>
          </w:tcPr>
          <w:p w14:paraId="34919693"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1988</w:t>
            </w:r>
          </w:p>
        </w:tc>
      </w:tr>
      <w:tr w:rsidR="0007410A" w:rsidRPr="0007410A" w14:paraId="23F29263" w14:textId="77777777" w:rsidTr="0007410A">
        <w:trPr>
          <w:trHeight w:val="300"/>
          <w:jc w:val="center"/>
        </w:trPr>
        <w:tc>
          <w:tcPr>
            <w:tcW w:w="2808" w:type="dxa"/>
            <w:tcBorders>
              <w:top w:val="nil"/>
              <w:left w:val="single" w:sz="4" w:space="0" w:color="auto"/>
              <w:bottom w:val="single" w:sz="4" w:space="0" w:color="auto"/>
              <w:right w:val="single" w:sz="4" w:space="0" w:color="auto"/>
            </w:tcBorders>
            <w:shd w:val="clear" w:color="auto" w:fill="auto"/>
            <w:noWrap/>
            <w:vAlign w:val="bottom"/>
            <w:hideMark/>
          </w:tcPr>
          <w:p w14:paraId="4F20AB9C" w14:textId="2FBD8A1D" w:rsidR="0007410A" w:rsidRPr="0007410A" w:rsidRDefault="001C077B" w:rsidP="0007410A">
            <w:pPr>
              <w:rPr>
                <w:rFonts w:ascii="Calibri" w:eastAsia="Times New Roman" w:hAnsi="Calibri" w:cs="Times New Roman"/>
                <w:color w:val="000000"/>
                <w:lang w:eastAsia="en-US"/>
              </w:rPr>
            </w:pPr>
            <w:r>
              <w:rPr>
                <w:rFonts w:ascii="Calibri" w:eastAsia="Times New Roman" w:hAnsi="Calibri" w:cs="Times New Roman"/>
                <w:color w:val="000000"/>
                <w:lang w:eastAsia="en-US"/>
              </w:rPr>
              <w:t xml:space="preserve">Total Rights Talk </w:t>
            </w:r>
            <w:r w:rsidR="0007410A" w:rsidRPr="0007410A">
              <w:rPr>
                <w:rFonts w:ascii="Calibri" w:eastAsia="Times New Roman" w:hAnsi="Calibri" w:cs="Times New Roman"/>
                <w:color w:val="000000"/>
                <w:lang w:eastAsia="en-US"/>
              </w:rPr>
              <w:t xml:space="preserve">Frequency </w:t>
            </w:r>
          </w:p>
        </w:tc>
        <w:tc>
          <w:tcPr>
            <w:tcW w:w="1244" w:type="dxa"/>
            <w:tcBorders>
              <w:top w:val="nil"/>
              <w:left w:val="nil"/>
              <w:bottom w:val="single" w:sz="4" w:space="0" w:color="auto"/>
              <w:right w:val="single" w:sz="4" w:space="0" w:color="auto"/>
            </w:tcBorders>
            <w:shd w:val="clear" w:color="auto" w:fill="auto"/>
            <w:noWrap/>
            <w:vAlign w:val="bottom"/>
            <w:hideMark/>
          </w:tcPr>
          <w:p w14:paraId="3364650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44</w:t>
            </w:r>
          </w:p>
        </w:tc>
        <w:tc>
          <w:tcPr>
            <w:tcW w:w="1244" w:type="dxa"/>
            <w:tcBorders>
              <w:top w:val="nil"/>
              <w:left w:val="nil"/>
              <w:bottom w:val="single" w:sz="4" w:space="0" w:color="auto"/>
              <w:right w:val="single" w:sz="4" w:space="0" w:color="auto"/>
            </w:tcBorders>
            <w:shd w:val="clear" w:color="auto" w:fill="auto"/>
            <w:noWrap/>
            <w:vAlign w:val="bottom"/>
            <w:hideMark/>
          </w:tcPr>
          <w:p w14:paraId="2D857459"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51</w:t>
            </w:r>
          </w:p>
        </w:tc>
        <w:tc>
          <w:tcPr>
            <w:tcW w:w="1244" w:type="dxa"/>
            <w:tcBorders>
              <w:top w:val="nil"/>
              <w:left w:val="nil"/>
              <w:bottom w:val="single" w:sz="4" w:space="0" w:color="auto"/>
              <w:right w:val="single" w:sz="4" w:space="0" w:color="auto"/>
            </w:tcBorders>
            <w:shd w:val="clear" w:color="auto" w:fill="auto"/>
            <w:noWrap/>
            <w:vAlign w:val="bottom"/>
            <w:hideMark/>
          </w:tcPr>
          <w:p w14:paraId="73CD3EE3"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47</w:t>
            </w:r>
          </w:p>
        </w:tc>
      </w:tr>
      <w:tr w:rsidR="0007410A" w:rsidRPr="0007410A" w14:paraId="1C5C836B" w14:textId="77777777" w:rsidTr="0007410A">
        <w:trPr>
          <w:trHeight w:val="300"/>
          <w:jc w:val="center"/>
        </w:trPr>
        <w:tc>
          <w:tcPr>
            <w:tcW w:w="2808" w:type="dxa"/>
            <w:tcBorders>
              <w:top w:val="nil"/>
              <w:left w:val="single" w:sz="4" w:space="0" w:color="auto"/>
              <w:bottom w:val="single" w:sz="4" w:space="0" w:color="auto"/>
              <w:right w:val="single" w:sz="4" w:space="0" w:color="auto"/>
            </w:tcBorders>
            <w:shd w:val="clear" w:color="auto" w:fill="auto"/>
            <w:noWrap/>
            <w:vAlign w:val="bottom"/>
            <w:hideMark/>
          </w:tcPr>
          <w:p w14:paraId="2BE6A6A0" w14:textId="7358C654" w:rsidR="0007410A" w:rsidRPr="0007410A" w:rsidRDefault="001C077B" w:rsidP="0007410A">
            <w:pPr>
              <w:rPr>
                <w:rFonts w:ascii="Calibri" w:eastAsia="Times New Roman" w:hAnsi="Calibri" w:cs="Times New Roman"/>
                <w:color w:val="000000"/>
                <w:lang w:eastAsia="en-US"/>
              </w:rPr>
            </w:pPr>
            <w:r>
              <w:rPr>
                <w:rFonts w:ascii="Calibri" w:eastAsia="Times New Roman" w:hAnsi="Calibri" w:cs="Times New Roman"/>
                <w:color w:val="000000"/>
                <w:lang w:eastAsia="en-US"/>
              </w:rPr>
              <w:t xml:space="preserve">Total Rights Talk </w:t>
            </w:r>
            <w:r w:rsidR="0007410A" w:rsidRPr="0007410A">
              <w:rPr>
                <w:rFonts w:ascii="Calibri" w:eastAsia="Times New Roman" w:hAnsi="Calibri" w:cs="Times New Roman"/>
                <w:color w:val="000000"/>
                <w:lang w:eastAsia="en-US"/>
              </w:rPr>
              <w:t>Percentage</w:t>
            </w:r>
          </w:p>
        </w:tc>
        <w:tc>
          <w:tcPr>
            <w:tcW w:w="1244" w:type="dxa"/>
            <w:tcBorders>
              <w:top w:val="nil"/>
              <w:left w:val="nil"/>
              <w:bottom w:val="single" w:sz="4" w:space="0" w:color="auto"/>
              <w:right w:val="single" w:sz="4" w:space="0" w:color="auto"/>
            </w:tcBorders>
            <w:shd w:val="clear" w:color="auto" w:fill="auto"/>
            <w:noWrap/>
            <w:vAlign w:val="bottom"/>
            <w:hideMark/>
          </w:tcPr>
          <w:p w14:paraId="4A93069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20</w:t>
            </w:r>
          </w:p>
        </w:tc>
        <w:tc>
          <w:tcPr>
            <w:tcW w:w="1244" w:type="dxa"/>
            <w:tcBorders>
              <w:top w:val="nil"/>
              <w:left w:val="nil"/>
              <w:bottom w:val="single" w:sz="4" w:space="0" w:color="auto"/>
              <w:right w:val="single" w:sz="4" w:space="0" w:color="auto"/>
            </w:tcBorders>
            <w:shd w:val="clear" w:color="auto" w:fill="auto"/>
            <w:noWrap/>
            <w:vAlign w:val="bottom"/>
            <w:hideMark/>
          </w:tcPr>
          <w:p w14:paraId="0571A19C"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25</w:t>
            </w:r>
          </w:p>
        </w:tc>
        <w:tc>
          <w:tcPr>
            <w:tcW w:w="1244" w:type="dxa"/>
            <w:tcBorders>
              <w:top w:val="nil"/>
              <w:left w:val="nil"/>
              <w:bottom w:val="single" w:sz="4" w:space="0" w:color="auto"/>
              <w:right w:val="single" w:sz="4" w:space="0" w:color="auto"/>
            </w:tcBorders>
            <w:shd w:val="clear" w:color="auto" w:fill="auto"/>
            <w:noWrap/>
            <w:vAlign w:val="bottom"/>
            <w:hideMark/>
          </w:tcPr>
          <w:p w14:paraId="735198B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29</w:t>
            </w:r>
          </w:p>
        </w:tc>
      </w:tr>
      <w:tr w:rsidR="0007410A" w:rsidRPr="0007410A" w14:paraId="7B47BBEC" w14:textId="77777777" w:rsidTr="0007410A">
        <w:trPr>
          <w:trHeight w:val="300"/>
          <w:jc w:val="center"/>
        </w:trPr>
        <w:tc>
          <w:tcPr>
            <w:tcW w:w="2808" w:type="dxa"/>
            <w:tcBorders>
              <w:top w:val="nil"/>
              <w:left w:val="single" w:sz="4" w:space="0" w:color="auto"/>
              <w:bottom w:val="single" w:sz="4" w:space="0" w:color="auto"/>
              <w:right w:val="single" w:sz="4" w:space="0" w:color="auto"/>
            </w:tcBorders>
            <w:shd w:val="clear" w:color="auto" w:fill="auto"/>
            <w:noWrap/>
            <w:vAlign w:val="bottom"/>
            <w:hideMark/>
          </w:tcPr>
          <w:p w14:paraId="242A58BE"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Total Issues</w:t>
            </w:r>
          </w:p>
        </w:tc>
        <w:tc>
          <w:tcPr>
            <w:tcW w:w="1244" w:type="dxa"/>
            <w:tcBorders>
              <w:top w:val="nil"/>
              <w:left w:val="nil"/>
              <w:bottom w:val="single" w:sz="4" w:space="0" w:color="auto"/>
              <w:right w:val="single" w:sz="4" w:space="0" w:color="auto"/>
            </w:tcBorders>
            <w:shd w:val="clear" w:color="auto" w:fill="auto"/>
            <w:noWrap/>
            <w:vAlign w:val="bottom"/>
            <w:hideMark/>
          </w:tcPr>
          <w:p w14:paraId="079B45B2"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216</w:t>
            </w:r>
          </w:p>
        </w:tc>
        <w:tc>
          <w:tcPr>
            <w:tcW w:w="1244" w:type="dxa"/>
            <w:tcBorders>
              <w:top w:val="nil"/>
              <w:left w:val="nil"/>
              <w:bottom w:val="single" w:sz="4" w:space="0" w:color="auto"/>
              <w:right w:val="single" w:sz="4" w:space="0" w:color="auto"/>
            </w:tcBorders>
            <w:shd w:val="clear" w:color="auto" w:fill="auto"/>
            <w:noWrap/>
            <w:vAlign w:val="bottom"/>
            <w:hideMark/>
          </w:tcPr>
          <w:p w14:paraId="6ACD7AE1"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205</w:t>
            </w:r>
          </w:p>
        </w:tc>
        <w:tc>
          <w:tcPr>
            <w:tcW w:w="1244" w:type="dxa"/>
            <w:tcBorders>
              <w:top w:val="nil"/>
              <w:left w:val="nil"/>
              <w:bottom w:val="single" w:sz="4" w:space="0" w:color="auto"/>
              <w:right w:val="single" w:sz="4" w:space="0" w:color="auto"/>
            </w:tcBorders>
            <w:shd w:val="clear" w:color="auto" w:fill="auto"/>
            <w:noWrap/>
            <w:vAlign w:val="bottom"/>
            <w:hideMark/>
          </w:tcPr>
          <w:p w14:paraId="67EFF2EF"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161</w:t>
            </w:r>
          </w:p>
        </w:tc>
      </w:tr>
    </w:tbl>
    <w:p w14:paraId="6430FDB0" w14:textId="1C67009A" w:rsidR="0009091E" w:rsidRDefault="0022188A" w:rsidP="0022188A">
      <w:pPr>
        <w:rPr>
          <w:rFonts w:cs="Times New Roman"/>
          <w:b/>
        </w:rPr>
      </w:pPr>
      <w:r>
        <w:rPr>
          <w:rFonts w:cs="Times New Roman"/>
          <w:i/>
        </w:rPr>
        <w:t>Source: Gay Community News “Speaking Out” and “Community Voices” Letters to the Editor Columns, 1980, 1984, 1988</w:t>
      </w:r>
    </w:p>
    <w:p w14:paraId="14C9CA6A" w14:textId="77777777" w:rsidR="0022188A" w:rsidRDefault="0022188A" w:rsidP="00BE48D0">
      <w:pPr>
        <w:spacing w:line="480" w:lineRule="auto"/>
        <w:jc w:val="center"/>
        <w:rPr>
          <w:rFonts w:cs="Times New Roman"/>
          <w:b/>
        </w:rPr>
      </w:pPr>
    </w:p>
    <w:p w14:paraId="02D31706" w14:textId="248583BA" w:rsidR="0009091E" w:rsidRDefault="0009091E" w:rsidP="0009091E">
      <w:pPr>
        <w:spacing w:line="480" w:lineRule="auto"/>
        <w:jc w:val="center"/>
        <w:rPr>
          <w:rFonts w:cs="Times New Roman"/>
        </w:rPr>
      </w:pPr>
      <w:r>
        <w:rPr>
          <w:rFonts w:cs="Times New Roman"/>
          <w:b/>
        </w:rPr>
        <w:t>TABLE 4</w:t>
      </w:r>
    </w:p>
    <w:tbl>
      <w:tblPr>
        <w:tblW w:w="6701" w:type="dxa"/>
        <w:jc w:val="center"/>
        <w:tblInd w:w="93" w:type="dxa"/>
        <w:tblLook w:val="04A0" w:firstRow="1" w:lastRow="0" w:firstColumn="1" w:lastColumn="0" w:noHBand="0" w:noVBand="1"/>
      </w:tblPr>
      <w:tblGrid>
        <w:gridCol w:w="4121"/>
        <w:gridCol w:w="860"/>
        <w:gridCol w:w="860"/>
        <w:gridCol w:w="860"/>
      </w:tblGrid>
      <w:tr w:rsidR="0007410A" w:rsidRPr="0007410A" w14:paraId="3D51E7A7" w14:textId="77777777" w:rsidTr="0007410A">
        <w:trPr>
          <w:trHeight w:val="300"/>
          <w:jc w:val="center"/>
        </w:trPr>
        <w:tc>
          <w:tcPr>
            <w:tcW w:w="67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92233" w14:textId="5DB64157" w:rsidR="0007410A" w:rsidRPr="0007410A" w:rsidRDefault="00617EED" w:rsidP="001C077B">
            <w:pPr>
              <w:jc w:val="center"/>
              <w:rPr>
                <w:rFonts w:ascii="Calibri" w:eastAsia="Times New Roman" w:hAnsi="Calibri" w:cs="Times New Roman"/>
                <w:b/>
                <w:bCs/>
                <w:color w:val="000000"/>
                <w:lang w:eastAsia="en-US"/>
              </w:rPr>
            </w:pPr>
            <w:r>
              <w:rPr>
                <w:rFonts w:ascii="Calibri" w:eastAsia="Times New Roman" w:hAnsi="Calibri" w:cs="Times New Roman"/>
                <w:b/>
                <w:bCs/>
                <w:color w:val="000000"/>
                <w:lang w:eastAsia="en-US"/>
              </w:rPr>
              <w:t>Percentage of Issue</w:t>
            </w:r>
            <w:r w:rsidR="001C077B">
              <w:rPr>
                <w:rFonts w:ascii="Calibri" w:eastAsia="Times New Roman" w:hAnsi="Calibri" w:cs="Times New Roman"/>
                <w:b/>
                <w:bCs/>
                <w:color w:val="000000"/>
                <w:lang w:eastAsia="en-US"/>
              </w:rPr>
              <w:t>s That Contained Rights Talk</w:t>
            </w:r>
            <w:r>
              <w:rPr>
                <w:rFonts w:ascii="Calibri" w:eastAsia="Times New Roman" w:hAnsi="Calibri" w:cs="Times New Roman"/>
                <w:b/>
                <w:bCs/>
                <w:color w:val="000000"/>
                <w:lang w:eastAsia="en-US"/>
              </w:rPr>
              <w:t xml:space="preserve"> Per Year</w:t>
            </w:r>
          </w:p>
        </w:tc>
      </w:tr>
      <w:tr w:rsidR="0007410A" w:rsidRPr="0007410A" w14:paraId="5C679CF1"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0A30C571" w14:textId="55633458" w:rsidR="0007410A" w:rsidRPr="0007410A" w:rsidRDefault="00617EED" w:rsidP="0007410A">
            <w:pPr>
              <w:rPr>
                <w:rFonts w:ascii="Calibri" w:eastAsia="Times New Roman" w:hAnsi="Calibri" w:cs="Times New Roman"/>
                <w:color w:val="000000"/>
                <w:lang w:eastAsia="en-US"/>
              </w:rPr>
            </w:pPr>
            <w:r>
              <w:rPr>
                <w:rFonts w:ascii="Calibri" w:eastAsia="Times New Roman" w:hAnsi="Calibri" w:cs="Times New Roman"/>
                <w:color w:val="000000"/>
                <w:lang w:eastAsia="en-US"/>
              </w:rPr>
              <w:t>Issue</w:t>
            </w:r>
          </w:p>
        </w:tc>
        <w:tc>
          <w:tcPr>
            <w:tcW w:w="860" w:type="dxa"/>
            <w:tcBorders>
              <w:top w:val="nil"/>
              <w:left w:val="nil"/>
              <w:bottom w:val="single" w:sz="4" w:space="0" w:color="auto"/>
              <w:right w:val="single" w:sz="4" w:space="0" w:color="auto"/>
            </w:tcBorders>
            <w:shd w:val="clear" w:color="auto" w:fill="auto"/>
            <w:noWrap/>
            <w:vAlign w:val="bottom"/>
            <w:hideMark/>
          </w:tcPr>
          <w:p w14:paraId="0C133661"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1980</w:t>
            </w:r>
          </w:p>
        </w:tc>
        <w:tc>
          <w:tcPr>
            <w:tcW w:w="860" w:type="dxa"/>
            <w:tcBorders>
              <w:top w:val="nil"/>
              <w:left w:val="nil"/>
              <w:bottom w:val="single" w:sz="4" w:space="0" w:color="auto"/>
              <w:right w:val="single" w:sz="4" w:space="0" w:color="auto"/>
            </w:tcBorders>
            <w:shd w:val="clear" w:color="auto" w:fill="auto"/>
            <w:noWrap/>
            <w:vAlign w:val="bottom"/>
            <w:hideMark/>
          </w:tcPr>
          <w:p w14:paraId="5819CEC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1984</w:t>
            </w:r>
          </w:p>
        </w:tc>
        <w:tc>
          <w:tcPr>
            <w:tcW w:w="860" w:type="dxa"/>
            <w:tcBorders>
              <w:top w:val="nil"/>
              <w:left w:val="nil"/>
              <w:bottom w:val="single" w:sz="4" w:space="0" w:color="auto"/>
              <w:right w:val="single" w:sz="4" w:space="0" w:color="auto"/>
            </w:tcBorders>
            <w:shd w:val="clear" w:color="auto" w:fill="auto"/>
            <w:noWrap/>
            <w:vAlign w:val="bottom"/>
            <w:hideMark/>
          </w:tcPr>
          <w:p w14:paraId="711F64B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1988</w:t>
            </w:r>
          </w:p>
        </w:tc>
      </w:tr>
      <w:tr w:rsidR="0007410A" w:rsidRPr="0007410A" w14:paraId="2792DF62"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0DFCA916"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Adoption</w:t>
            </w:r>
          </w:p>
        </w:tc>
        <w:tc>
          <w:tcPr>
            <w:tcW w:w="860" w:type="dxa"/>
            <w:tcBorders>
              <w:top w:val="nil"/>
              <w:left w:val="nil"/>
              <w:bottom w:val="single" w:sz="4" w:space="0" w:color="auto"/>
              <w:right w:val="single" w:sz="4" w:space="0" w:color="auto"/>
            </w:tcBorders>
            <w:shd w:val="clear" w:color="auto" w:fill="auto"/>
            <w:noWrap/>
            <w:vAlign w:val="bottom"/>
            <w:hideMark/>
          </w:tcPr>
          <w:p w14:paraId="30EF7B2C"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6E551A1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51D65BF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100</w:t>
            </w:r>
          </w:p>
        </w:tc>
      </w:tr>
      <w:tr w:rsidR="0007410A" w:rsidRPr="0007410A" w14:paraId="7D0A30B5"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48908579"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AIDS/HIV</w:t>
            </w:r>
          </w:p>
        </w:tc>
        <w:tc>
          <w:tcPr>
            <w:tcW w:w="860" w:type="dxa"/>
            <w:tcBorders>
              <w:top w:val="nil"/>
              <w:left w:val="nil"/>
              <w:bottom w:val="single" w:sz="4" w:space="0" w:color="auto"/>
              <w:right w:val="single" w:sz="4" w:space="0" w:color="auto"/>
            </w:tcBorders>
            <w:shd w:val="clear" w:color="auto" w:fill="auto"/>
            <w:noWrap/>
            <w:vAlign w:val="bottom"/>
            <w:hideMark/>
          </w:tcPr>
          <w:p w14:paraId="6B5D48BF"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74BCC6C3"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17</w:t>
            </w:r>
          </w:p>
        </w:tc>
        <w:tc>
          <w:tcPr>
            <w:tcW w:w="860" w:type="dxa"/>
            <w:tcBorders>
              <w:top w:val="nil"/>
              <w:left w:val="nil"/>
              <w:bottom w:val="single" w:sz="4" w:space="0" w:color="auto"/>
              <w:right w:val="single" w:sz="4" w:space="0" w:color="auto"/>
            </w:tcBorders>
            <w:shd w:val="clear" w:color="auto" w:fill="auto"/>
            <w:noWrap/>
            <w:vAlign w:val="bottom"/>
            <w:hideMark/>
          </w:tcPr>
          <w:p w14:paraId="09221EF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24</w:t>
            </w:r>
          </w:p>
        </w:tc>
      </w:tr>
      <w:tr w:rsidR="0007410A" w:rsidRPr="0007410A" w14:paraId="3EDC5AC4"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0AFB8731"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Discrimination Overall</w:t>
            </w:r>
          </w:p>
        </w:tc>
        <w:tc>
          <w:tcPr>
            <w:tcW w:w="860" w:type="dxa"/>
            <w:tcBorders>
              <w:top w:val="nil"/>
              <w:left w:val="nil"/>
              <w:bottom w:val="single" w:sz="4" w:space="0" w:color="auto"/>
              <w:right w:val="single" w:sz="4" w:space="0" w:color="auto"/>
            </w:tcBorders>
            <w:shd w:val="clear" w:color="auto" w:fill="auto"/>
            <w:noWrap/>
            <w:vAlign w:val="bottom"/>
            <w:hideMark/>
          </w:tcPr>
          <w:p w14:paraId="6E7E2AF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42</w:t>
            </w:r>
          </w:p>
        </w:tc>
        <w:tc>
          <w:tcPr>
            <w:tcW w:w="860" w:type="dxa"/>
            <w:tcBorders>
              <w:top w:val="nil"/>
              <w:left w:val="nil"/>
              <w:bottom w:val="single" w:sz="4" w:space="0" w:color="auto"/>
              <w:right w:val="single" w:sz="4" w:space="0" w:color="auto"/>
            </w:tcBorders>
            <w:shd w:val="clear" w:color="auto" w:fill="auto"/>
            <w:noWrap/>
            <w:vAlign w:val="bottom"/>
            <w:hideMark/>
          </w:tcPr>
          <w:p w14:paraId="7942CFC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42</w:t>
            </w:r>
          </w:p>
        </w:tc>
        <w:tc>
          <w:tcPr>
            <w:tcW w:w="860" w:type="dxa"/>
            <w:tcBorders>
              <w:top w:val="nil"/>
              <w:left w:val="nil"/>
              <w:bottom w:val="single" w:sz="4" w:space="0" w:color="auto"/>
              <w:right w:val="single" w:sz="4" w:space="0" w:color="auto"/>
            </w:tcBorders>
            <w:shd w:val="clear" w:color="auto" w:fill="auto"/>
            <w:noWrap/>
            <w:vAlign w:val="bottom"/>
            <w:hideMark/>
          </w:tcPr>
          <w:p w14:paraId="13299F99"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42</w:t>
            </w:r>
          </w:p>
        </w:tc>
      </w:tr>
      <w:tr w:rsidR="0007410A" w:rsidRPr="0007410A" w14:paraId="2889327F"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2692F529"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Hospital Visitation</w:t>
            </w:r>
          </w:p>
        </w:tc>
        <w:tc>
          <w:tcPr>
            <w:tcW w:w="860" w:type="dxa"/>
            <w:tcBorders>
              <w:top w:val="nil"/>
              <w:left w:val="nil"/>
              <w:bottom w:val="single" w:sz="4" w:space="0" w:color="auto"/>
              <w:right w:val="single" w:sz="4" w:space="0" w:color="auto"/>
            </w:tcBorders>
            <w:shd w:val="clear" w:color="auto" w:fill="auto"/>
            <w:noWrap/>
            <w:vAlign w:val="bottom"/>
            <w:hideMark/>
          </w:tcPr>
          <w:p w14:paraId="6ED3E53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520D0EC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59FBB63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50</w:t>
            </w:r>
          </w:p>
        </w:tc>
      </w:tr>
      <w:tr w:rsidR="0007410A" w:rsidRPr="0007410A" w14:paraId="7D0B7539"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3262EA8F"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Immigration</w:t>
            </w:r>
          </w:p>
        </w:tc>
        <w:tc>
          <w:tcPr>
            <w:tcW w:w="860" w:type="dxa"/>
            <w:tcBorders>
              <w:top w:val="nil"/>
              <w:left w:val="nil"/>
              <w:bottom w:val="single" w:sz="4" w:space="0" w:color="auto"/>
              <w:right w:val="single" w:sz="4" w:space="0" w:color="auto"/>
            </w:tcBorders>
            <w:shd w:val="clear" w:color="auto" w:fill="auto"/>
            <w:noWrap/>
            <w:vAlign w:val="bottom"/>
            <w:hideMark/>
          </w:tcPr>
          <w:p w14:paraId="17CD412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25</w:t>
            </w:r>
          </w:p>
        </w:tc>
        <w:tc>
          <w:tcPr>
            <w:tcW w:w="860" w:type="dxa"/>
            <w:tcBorders>
              <w:top w:val="nil"/>
              <w:left w:val="nil"/>
              <w:bottom w:val="single" w:sz="4" w:space="0" w:color="auto"/>
              <w:right w:val="single" w:sz="4" w:space="0" w:color="auto"/>
            </w:tcBorders>
            <w:shd w:val="clear" w:color="auto" w:fill="auto"/>
            <w:noWrap/>
            <w:vAlign w:val="bottom"/>
            <w:hideMark/>
          </w:tcPr>
          <w:p w14:paraId="384A0AEE"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0B920D0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r>
      <w:tr w:rsidR="0007410A" w:rsidRPr="0007410A" w14:paraId="47E761B7"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3B9D132E"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Media</w:t>
            </w:r>
          </w:p>
        </w:tc>
        <w:tc>
          <w:tcPr>
            <w:tcW w:w="860" w:type="dxa"/>
            <w:tcBorders>
              <w:top w:val="nil"/>
              <w:left w:val="nil"/>
              <w:bottom w:val="single" w:sz="4" w:space="0" w:color="auto"/>
              <w:right w:val="single" w:sz="4" w:space="0" w:color="auto"/>
            </w:tcBorders>
            <w:shd w:val="clear" w:color="auto" w:fill="auto"/>
            <w:noWrap/>
            <w:vAlign w:val="bottom"/>
            <w:hideMark/>
          </w:tcPr>
          <w:p w14:paraId="13F58EC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w:t>
            </w:r>
          </w:p>
        </w:tc>
        <w:tc>
          <w:tcPr>
            <w:tcW w:w="860" w:type="dxa"/>
            <w:tcBorders>
              <w:top w:val="nil"/>
              <w:left w:val="nil"/>
              <w:bottom w:val="single" w:sz="4" w:space="0" w:color="auto"/>
              <w:right w:val="single" w:sz="4" w:space="0" w:color="auto"/>
            </w:tcBorders>
            <w:shd w:val="clear" w:color="auto" w:fill="auto"/>
            <w:noWrap/>
            <w:vAlign w:val="bottom"/>
            <w:hideMark/>
          </w:tcPr>
          <w:p w14:paraId="4E730B3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2E81E2D2"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r>
      <w:tr w:rsidR="0007410A" w:rsidRPr="0007410A" w14:paraId="71EAF78F"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129C71A4"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Medical Access</w:t>
            </w:r>
          </w:p>
        </w:tc>
        <w:tc>
          <w:tcPr>
            <w:tcW w:w="860" w:type="dxa"/>
            <w:tcBorders>
              <w:top w:val="nil"/>
              <w:left w:val="nil"/>
              <w:bottom w:val="single" w:sz="4" w:space="0" w:color="auto"/>
              <w:right w:val="single" w:sz="4" w:space="0" w:color="auto"/>
            </w:tcBorders>
            <w:shd w:val="clear" w:color="auto" w:fill="auto"/>
            <w:noWrap/>
            <w:vAlign w:val="bottom"/>
            <w:hideMark/>
          </w:tcPr>
          <w:p w14:paraId="16C050FC"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6AEF940F"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040FEC5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50</w:t>
            </w:r>
          </w:p>
        </w:tc>
      </w:tr>
      <w:tr w:rsidR="0007410A" w:rsidRPr="0007410A" w14:paraId="0E8143ED"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5E2811FF"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Military</w:t>
            </w:r>
          </w:p>
        </w:tc>
        <w:tc>
          <w:tcPr>
            <w:tcW w:w="860" w:type="dxa"/>
            <w:tcBorders>
              <w:top w:val="nil"/>
              <w:left w:val="nil"/>
              <w:bottom w:val="single" w:sz="4" w:space="0" w:color="auto"/>
              <w:right w:val="single" w:sz="4" w:space="0" w:color="auto"/>
            </w:tcBorders>
            <w:shd w:val="clear" w:color="auto" w:fill="auto"/>
            <w:noWrap/>
            <w:vAlign w:val="bottom"/>
            <w:hideMark/>
          </w:tcPr>
          <w:p w14:paraId="424756F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25</w:t>
            </w:r>
          </w:p>
        </w:tc>
        <w:tc>
          <w:tcPr>
            <w:tcW w:w="860" w:type="dxa"/>
            <w:tcBorders>
              <w:top w:val="nil"/>
              <w:left w:val="nil"/>
              <w:bottom w:val="single" w:sz="4" w:space="0" w:color="auto"/>
              <w:right w:val="single" w:sz="4" w:space="0" w:color="auto"/>
            </w:tcBorders>
            <w:shd w:val="clear" w:color="auto" w:fill="auto"/>
            <w:noWrap/>
            <w:vAlign w:val="bottom"/>
            <w:hideMark/>
          </w:tcPr>
          <w:p w14:paraId="45DF970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2DB1867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r>
      <w:tr w:rsidR="0007410A" w:rsidRPr="0007410A" w14:paraId="39857149"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10179EC3"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Police Trouble/Brutality</w:t>
            </w:r>
          </w:p>
        </w:tc>
        <w:tc>
          <w:tcPr>
            <w:tcW w:w="860" w:type="dxa"/>
            <w:tcBorders>
              <w:top w:val="nil"/>
              <w:left w:val="nil"/>
              <w:bottom w:val="single" w:sz="4" w:space="0" w:color="auto"/>
              <w:right w:val="single" w:sz="4" w:space="0" w:color="auto"/>
            </w:tcBorders>
            <w:shd w:val="clear" w:color="auto" w:fill="auto"/>
            <w:noWrap/>
            <w:vAlign w:val="bottom"/>
            <w:hideMark/>
          </w:tcPr>
          <w:p w14:paraId="75325323"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29</w:t>
            </w:r>
          </w:p>
        </w:tc>
        <w:tc>
          <w:tcPr>
            <w:tcW w:w="860" w:type="dxa"/>
            <w:tcBorders>
              <w:top w:val="nil"/>
              <w:left w:val="nil"/>
              <w:bottom w:val="single" w:sz="4" w:space="0" w:color="auto"/>
              <w:right w:val="single" w:sz="4" w:space="0" w:color="auto"/>
            </w:tcBorders>
            <w:shd w:val="clear" w:color="auto" w:fill="auto"/>
            <w:noWrap/>
            <w:vAlign w:val="bottom"/>
            <w:hideMark/>
          </w:tcPr>
          <w:p w14:paraId="26AC5DA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25</w:t>
            </w:r>
          </w:p>
        </w:tc>
        <w:tc>
          <w:tcPr>
            <w:tcW w:w="860" w:type="dxa"/>
            <w:tcBorders>
              <w:top w:val="nil"/>
              <w:left w:val="nil"/>
              <w:bottom w:val="single" w:sz="4" w:space="0" w:color="auto"/>
              <w:right w:val="single" w:sz="4" w:space="0" w:color="auto"/>
            </w:tcBorders>
            <w:shd w:val="clear" w:color="auto" w:fill="auto"/>
            <w:noWrap/>
            <w:vAlign w:val="bottom"/>
            <w:hideMark/>
          </w:tcPr>
          <w:p w14:paraId="3D928858"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100</w:t>
            </w:r>
          </w:p>
        </w:tc>
      </w:tr>
      <w:tr w:rsidR="0007410A" w:rsidRPr="0007410A" w14:paraId="0C63612C"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4F57C4C7"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Prison</w:t>
            </w:r>
          </w:p>
        </w:tc>
        <w:tc>
          <w:tcPr>
            <w:tcW w:w="860" w:type="dxa"/>
            <w:tcBorders>
              <w:top w:val="nil"/>
              <w:left w:val="nil"/>
              <w:bottom w:val="single" w:sz="4" w:space="0" w:color="auto"/>
              <w:right w:val="single" w:sz="4" w:space="0" w:color="auto"/>
            </w:tcBorders>
            <w:shd w:val="clear" w:color="auto" w:fill="auto"/>
            <w:noWrap/>
            <w:vAlign w:val="bottom"/>
            <w:hideMark/>
          </w:tcPr>
          <w:p w14:paraId="7524D62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13</w:t>
            </w:r>
          </w:p>
        </w:tc>
        <w:tc>
          <w:tcPr>
            <w:tcW w:w="860" w:type="dxa"/>
            <w:tcBorders>
              <w:top w:val="nil"/>
              <w:left w:val="nil"/>
              <w:bottom w:val="single" w:sz="4" w:space="0" w:color="auto"/>
              <w:right w:val="single" w:sz="4" w:space="0" w:color="auto"/>
            </w:tcBorders>
            <w:shd w:val="clear" w:color="auto" w:fill="auto"/>
            <w:noWrap/>
            <w:vAlign w:val="bottom"/>
            <w:hideMark/>
          </w:tcPr>
          <w:p w14:paraId="2138FB3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14</w:t>
            </w:r>
          </w:p>
        </w:tc>
        <w:tc>
          <w:tcPr>
            <w:tcW w:w="860" w:type="dxa"/>
            <w:tcBorders>
              <w:top w:val="nil"/>
              <w:left w:val="nil"/>
              <w:bottom w:val="single" w:sz="4" w:space="0" w:color="auto"/>
              <w:right w:val="single" w:sz="4" w:space="0" w:color="auto"/>
            </w:tcBorders>
            <w:shd w:val="clear" w:color="auto" w:fill="auto"/>
            <w:noWrap/>
            <w:vAlign w:val="bottom"/>
            <w:hideMark/>
          </w:tcPr>
          <w:p w14:paraId="220A9E3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24</w:t>
            </w:r>
          </w:p>
        </w:tc>
      </w:tr>
      <w:tr w:rsidR="0007410A" w:rsidRPr="0007410A" w14:paraId="13FBC6DA"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5B937E45"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Sexuality Overall</w:t>
            </w:r>
          </w:p>
        </w:tc>
        <w:tc>
          <w:tcPr>
            <w:tcW w:w="860" w:type="dxa"/>
            <w:tcBorders>
              <w:top w:val="nil"/>
              <w:left w:val="nil"/>
              <w:bottom w:val="single" w:sz="4" w:space="0" w:color="auto"/>
              <w:right w:val="single" w:sz="4" w:space="0" w:color="auto"/>
            </w:tcBorders>
            <w:shd w:val="clear" w:color="auto" w:fill="auto"/>
            <w:noWrap/>
            <w:vAlign w:val="bottom"/>
            <w:hideMark/>
          </w:tcPr>
          <w:p w14:paraId="445FFA21"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32</w:t>
            </w:r>
          </w:p>
        </w:tc>
        <w:tc>
          <w:tcPr>
            <w:tcW w:w="860" w:type="dxa"/>
            <w:tcBorders>
              <w:top w:val="nil"/>
              <w:left w:val="nil"/>
              <w:bottom w:val="single" w:sz="4" w:space="0" w:color="auto"/>
              <w:right w:val="single" w:sz="4" w:space="0" w:color="auto"/>
            </w:tcBorders>
            <w:shd w:val="clear" w:color="auto" w:fill="auto"/>
            <w:noWrap/>
            <w:vAlign w:val="bottom"/>
            <w:hideMark/>
          </w:tcPr>
          <w:p w14:paraId="310B8E6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23</w:t>
            </w:r>
          </w:p>
        </w:tc>
        <w:tc>
          <w:tcPr>
            <w:tcW w:w="860" w:type="dxa"/>
            <w:tcBorders>
              <w:top w:val="nil"/>
              <w:left w:val="nil"/>
              <w:bottom w:val="single" w:sz="4" w:space="0" w:color="auto"/>
              <w:right w:val="single" w:sz="4" w:space="0" w:color="auto"/>
            </w:tcBorders>
            <w:shd w:val="clear" w:color="auto" w:fill="auto"/>
            <w:noWrap/>
            <w:vAlign w:val="bottom"/>
            <w:hideMark/>
          </w:tcPr>
          <w:p w14:paraId="23627A5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50</w:t>
            </w:r>
          </w:p>
        </w:tc>
      </w:tr>
      <w:tr w:rsidR="0007410A" w:rsidRPr="0007410A" w14:paraId="6CFB65A2"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3D0866F9"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Violence Against Women</w:t>
            </w:r>
          </w:p>
        </w:tc>
        <w:tc>
          <w:tcPr>
            <w:tcW w:w="860" w:type="dxa"/>
            <w:tcBorders>
              <w:top w:val="nil"/>
              <w:left w:val="nil"/>
              <w:bottom w:val="single" w:sz="4" w:space="0" w:color="auto"/>
              <w:right w:val="single" w:sz="4" w:space="0" w:color="auto"/>
            </w:tcBorders>
            <w:shd w:val="clear" w:color="auto" w:fill="auto"/>
            <w:noWrap/>
            <w:vAlign w:val="bottom"/>
            <w:hideMark/>
          </w:tcPr>
          <w:p w14:paraId="066326C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13</w:t>
            </w:r>
          </w:p>
        </w:tc>
        <w:tc>
          <w:tcPr>
            <w:tcW w:w="860" w:type="dxa"/>
            <w:tcBorders>
              <w:top w:val="nil"/>
              <w:left w:val="nil"/>
              <w:bottom w:val="single" w:sz="4" w:space="0" w:color="auto"/>
              <w:right w:val="single" w:sz="4" w:space="0" w:color="auto"/>
            </w:tcBorders>
            <w:shd w:val="clear" w:color="auto" w:fill="auto"/>
            <w:noWrap/>
            <w:vAlign w:val="bottom"/>
            <w:hideMark/>
          </w:tcPr>
          <w:p w14:paraId="24D2EB8C"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14</w:t>
            </w:r>
          </w:p>
        </w:tc>
        <w:tc>
          <w:tcPr>
            <w:tcW w:w="860" w:type="dxa"/>
            <w:tcBorders>
              <w:top w:val="nil"/>
              <w:left w:val="nil"/>
              <w:bottom w:val="single" w:sz="4" w:space="0" w:color="auto"/>
              <w:right w:val="single" w:sz="4" w:space="0" w:color="auto"/>
            </w:tcBorders>
            <w:shd w:val="clear" w:color="auto" w:fill="auto"/>
            <w:noWrap/>
            <w:vAlign w:val="bottom"/>
            <w:hideMark/>
          </w:tcPr>
          <w:p w14:paraId="4AA31221"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r>
      <w:tr w:rsidR="0007410A" w:rsidRPr="0007410A" w14:paraId="2EBF8FBC"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0376FC67"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Non-Police Violence</w:t>
            </w:r>
          </w:p>
        </w:tc>
        <w:tc>
          <w:tcPr>
            <w:tcW w:w="860" w:type="dxa"/>
            <w:tcBorders>
              <w:top w:val="nil"/>
              <w:left w:val="nil"/>
              <w:bottom w:val="single" w:sz="4" w:space="0" w:color="auto"/>
              <w:right w:val="single" w:sz="4" w:space="0" w:color="auto"/>
            </w:tcBorders>
            <w:shd w:val="clear" w:color="auto" w:fill="auto"/>
            <w:noWrap/>
            <w:vAlign w:val="bottom"/>
            <w:hideMark/>
          </w:tcPr>
          <w:p w14:paraId="06BDBB5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8</w:t>
            </w:r>
          </w:p>
        </w:tc>
        <w:tc>
          <w:tcPr>
            <w:tcW w:w="860" w:type="dxa"/>
            <w:tcBorders>
              <w:top w:val="nil"/>
              <w:left w:val="nil"/>
              <w:bottom w:val="single" w:sz="4" w:space="0" w:color="auto"/>
              <w:right w:val="single" w:sz="4" w:space="0" w:color="auto"/>
            </w:tcBorders>
            <w:shd w:val="clear" w:color="auto" w:fill="auto"/>
            <w:noWrap/>
            <w:vAlign w:val="bottom"/>
            <w:hideMark/>
          </w:tcPr>
          <w:p w14:paraId="37C8836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22</w:t>
            </w:r>
          </w:p>
        </w:tc>
        <w:tc>
          <w:tcPr>
            <w:tcW w:w="860" w:type="dxa"/>
            <w:tcBorders>
              <w:top w:val="nil"/>
              <w:left w:val="nil"/>
              <w:bottom w:val="single" w:sz="4" w:space="0" w:color="auto"/>
              <w:right w:val="single" w:sz="4" w:space="0" w:color="auto"/>
            </w:tcBorders>
            <w:shd w:val="clear" w:color="auto" w:fill="auto"/>
            <w:noWrap/>
            <w:vAlign w:val="bottom"/>
            <w:hideMark/>
          </w:tcPr>
          <w:p w14:paraId="22659987"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17</w:t>
            </w:r>
          </w:p>
        </w:tc>
      </w:tr>
      <w:tr w:rsidR="0007410A" w:rsidRPr="0007410A" w14:paraId="0BC0FCE3"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05F9E1E9"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Feminism</w:t>
            </w:r>
          </w:p>
        </w:tc>
        <w:tc>
          <w:tcPr>
            <w:tcW w:w="860" w:type="dxa"/>
            <w:tcBorders>
              <w:top w:val="nil"/>
              <w:left w:val="nil"/>
              <w:bottom w:val="single" w:sz="4" w:space="0" w:color="auto"/>
              <w:right w:val="single" w:sz="4" w:space="0" w:color="auto"/>
            </w:tcBorders>
            <w:shd w:val="clear" w:color="auto" w:fill="auto"/>
            <w:noWrap/>
            <w:vAlign w:val="bottom"/>
            <w:hideMark/>
          </w:tcPr>
          <w:p w14:paraId="5E5C6D7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10</w:t>
            </w:r>
          </w:p>
        </w:tc>
        <w:tc>
          <w:tcPr>
            <w:tcW w:w="860" w:type="dxa"/>
            <w:tcBorders>
              <w:top w:val="nil"/>
              <w:left w:val="nil"/>
              <w:bottom w:val="single" w:sz="4" w:space="0" w:color="auto"/>
              <w:right w:val="single" w:sz="4" w:space="0" w:color="auto"/>
            </w:tcBorders>
            <w:shd w:val="clear" w:color="auto" w:fill="auto"/>
            <w:noWrap/>
            <w:vAlign w:val="bottom"/>
            <w:hideMark/>
          </w:tcPr>
          <w:p w14:paraId="1AE0C64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23</w:t>
            </w:r>
          </w:p>
        </w:tc>
        <w:tc>
          <w:tcPr>
            <w:tcW w:w="860" w:type="dxa"/>
            <w:tcBorders>
              <w:top w:val="nil"/>
              <w:left w:val="nil"/>
              <w:bottom w:val="single" w:sz="4" w:space="0" w:color="auto"/>
              <w:right w:val="single" w:sz="4" w:space="0" w:color="auto"/>
            </w:tcBorders>
            <w:shd w:val="clear" w:color="auto" w:fill="auto"/>
            <w:noWrap/>
            <w:vAlign w:val="bottom"/>
            <w:hideMark/>
          </w:tcPr>
          <w:p w14:paraId="3C22526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43</w:t>
            </w:r>
          </w:p>
        </w:tc>
      </w:tr>
      <w:tr w:rsidR="0007410A" w:rsidRPr="0007410A" w14:paraId="72B12763"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05B2496A"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Political Overall</w:t>
            </w:r>
          </w:p>
        </w:tc>
        <w:tc>
          <w:tcPr>
            <w:tcW w:w="860" w:type="dxa"/>
            <w:tcBorders>
              <w:top w:val="nil"/>
              <w:left w:val="nil"/>
              <w:bottom w:val="single" w:sz="4" w:space="0" w:color="auto"/>
              <w:right w:val="single" w:sz="4" w:space="0" w:color="auto"/>
            </w:tcBorders>
            <w:shd w:val="clear" w:color="auto" w:fill="auto"/>
            <w:noWrap/>
            <w:vAlign w:val="bottom"/>
            <w:hideMark/>
          </w:tcPr>
          <w:p w14:paraId="23B71CC9"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50</w:t>
            </w:r>
          </w:p>
        </w:tc>
        <w:tc>
          <w:tcPr>
            <w:tcW w:w="860" w:type="dxa"/>
            <w:tcBorders>
              <w:top w:val="nil"/>
              <w:left w:val="nil"/>
              <w:bottom w:val="single" w:sz="4" w:space="0" w:color="auto"/>
              <w:right w:val="single" w:sz="4" w:space="0" w:color="auto"/>
            </w:tcBorders>
            <w:shd w:val="clear" w:color="auto" w:fill="auto"/>
            <w:noWrap/>
            <w:vAlign w:val="bottom"/>
            <w:hideMark/>
          </w:tcPr>
          <w:p w14:paraId="42D8041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41</w:t>
            </w:r>
          </w:p>
        </w:tc>
        <w:tc>
          <w:tcPr>
            <w:tcW w:w="860" w:type="dxa"/>
            <w:tcBorders>
              <w:top w:val="nil"/>
              <w:left w:val="nil"/>
              <w:bottom w:val="single" w:sz="4" w:space="0" w:color="auto"/>
              <w:right w:val="single" w:sz="4" w:space="0" w:color="auto"/>
            </w:tcBorders>
            <w:shd w:val="clear" w:color="auto" w:fill="auto"/>
            <w:noWrap/>
            <w:vAlign w:val="bottom"/>
            <w:hideMark/>
          </w:tcPr>
          <w:p w14:paraId="7422B61B"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26</w:t>
            </w:r>
          </w:p>
        </w:tc>
      </w:tr>
      <w:tr w:rsidR="0007410A" w:rsidRPr="0007410A" w14:paraId="14954F44"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1140EB4B"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Race</w:t>
            </w:r>
          </w:p>
        </w:tc>
        <w:tc>
          <w:tcPr>
            <w:tcW w:w="860" w:type="dxa"/>
            <w:tcBorders>
              <w:top w:val="nil"/>
              <w:left w:val="nil"/>
              <w:bottom w:val="single" w:sz="4" w:space="0" w:color="auto"/>
              <w:right w:val="single" w:sz="4" w:space="0" w:color="auto"/>
            </w:tcBorders>
            <w:shd w:val="clear" w:color="auto" w:fill="auto"/>
            <w:noWrap/>
            <w:vAlign w:val="bottom"/>
            <w:hideMark/>
          </w:tcPr>
          <w:p w14:paraId="028F4623"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6</w:t>
            </w:r>
          </w:p>
        </w:tc>
        <w:tc>
          <w:tcPr>
            <w:tcW w:w="860" w:type="dxa"/>
            <w:tcBorders>
              <w:top w:val="nil"/>
              <w:left w:val="nil"/>
              <w:bottom w:val="single" w:sz="4" w:space="0" w:color="auto"/>
              <w:right w:val="single" w:sz="4" w:space="0" w:color="auto"/>
            </w:tcBorders>
            <w:shd w:val="clear" w:color="auto" w:fill="auto"/>
            <w:noWrap/>
            <w:vAlign w:val="bottom"/>
            <w:hideMark/>
          </w:tcPr>
          <w:p w14:paraId="4D824E6F"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50</w:t>
            </w:r>
          </w:p>
        </w:tc>
        <w:tc>
          <w:tcPr>
            <w:tcW w:w="860" w:type="dxa"/>
            <w:tcBorders>
              <w:top w:val="nil"/>
              <w:left w:val="nil"/>
              <w:bottom w:val="single" w:sz="4" w:space="0" w:color="auto"/>
              <w:right w:val="single" w:sz="4" w:space="0" w:color="auto"/>
            </w:tcBorders>
            <w:shd w:val="clear" w:color="auto" w:fill="auto"/>
            <w:noWrap/>
            <w:vAlign w:val="bottom"/>
            <w:hideMark/>
          </w:tcPr>
          <w:p w14:paraId="1B07C821"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30</w:t>
            </w:r>
          </w:p>
        </w:tc>
      </w:tr>
      <w:tr w:rsidR="0007410A" w:rsidRPr="0007410A" w14:paraId="37F055EE"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3F0E9CCD"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Religion</w:t>
            </w:r>
          </w:p>
        </w:tc>
        <w:tc>
          <w:tcPr>
            <w:tcW w:w="860" w:type="dxa"/>
            <w:tcBorders>
              <w:top w:val="nil"/>
              <w:left w:val="nil"/>
              <w:bottom w:val="single" w:sz="4" w:space="0" w:color="auto"/>
              <w:right w:val="single" w:sz="4" w:space="0" w:color="auto"/>
            </w:tcBorders>
            <w:shd w:val="clear" w:color="auto" w:fill="auto"/>
            <w:noWrap/>
            <w:vAlign w:val="bottom"/>
            <w:hideMark/>
          </w:tcPr>
          <w:p w14:paraId="2EA227AF"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25</w:t>
            </w:r>
          </w:p>
        </w:tc>
        <w:tc>
          <w:tcPr>
            <w:tcW w:w="860" w:type="dxa"/>
            <w:tcBorders>
              <w:top w:val="nil"/>
              <w:left w:val="nil"/>
              <w:bottom w:val="single" w:sz="4" w:space="0" w:color="auto"/>
              <w:right w:val="single" w:sz="4" w:space="0" w:color="auto"/>
            </w:tcBorders>
            <w:shd w:val="clear" w:color="auto" w:fill="auto"/>
            <w:noWrap/>
            <w:vAlign w:val="bottom"/>
            <w:hideMark/>
          </w:tcPr>
          <w:p w14:paraId="1DD93BCB"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33</w:t>
            </w:r>
          </w:p>
        </w:tc>
        <w:tc>
          <w:tcPr>
            <w:tcW w:w="860" w:type="dxa"/>
            <w:tcBorders>
              <w:top w:val="nil"/>
              <w:left w:val="nil"/>
              <w:bottom w:val="single" w:sz="4" w:space="0" w:color="auto"/>
              <w:right w:val="single" w:sz="4" w:space="0" w:color="auto"/>
            </w:tcBorders>
            <w:shd w:val="clear" w:color="auto" w:fill="auto"/>
            <w:noWrap/>
            <w:vAlign w:val="bottom"/>
            <w:hideMark/>
          </w:tcPr>
          <w:p w14:paraId="31D79EB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r>
      <w:tr w:rsidR="0007410A" w:rsidRPr="0007410A" w14:paraId="42E33DBD"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1A1D4C94"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Youth</w:t>
            </w:r>
          </w:p>
        </w:tc>
        <w:tc>
          <w:tcPr>
            <w:tcW w:w="860" w:type="dxa"/>
            <w:tcBorders>
              <w:top w:val="nil"/>
              <w:left w:val="nil"/>
              <w:bottom w:val="single" w:sz="4" w:space="0" w:color="auto"/>
              <w:right w:val="single" w:sz="4" w:space="0" w:color="auto"/>
            </w:tcBorders>
            <w:shd w:val="clear" w:color="auto" w:fill="auto"/>
            <w:noWrap/>
            <w:vAlign w:val="bottom"/>
            <w:hideMark/>
          </w:tcPr>
          <w:p w14:paraId="710F7752"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79616F69"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29FBFB4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r>
      <w:tr w:rsidR="0007410A" w:rsidRPr="0007410A" w14:paraId="65D2F172"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22C453EE"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Substance Abuse</w:t>
            </w:r>
          </w:p>
        </w:tc>
        <w:tc>
          <w:tcPr>
            <w:tcW w:w="860" w:type="dxa"/>
            <w:tcBorders>
              <w:top w:val="nil"/>
              <w:left w:val="nil"/>
              <w:bottom w:val="single" w:sz="4" w:space="0" w:color="auto"/>
              <w:right w:val="single" w:sz="4" w:space="0" w:color="auto"/>
            </w:tcBorders>
            <w:shd w:val="clear" w:color="auto" w:fill="auto"/>
            <w:noWrap/>
            <w:vAlign w:val="bottom"/>
            <w:hideMark/>
          </w:tcPr>
          <w:p w14:paraId="60D483E3"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53D47EAB"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1A0C52D8"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r>
      <w:tr w:rsidR="0007410A" w:rsidRPr="0007410A" w14:paraId="16384E32"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68859F78" w14:textId="6942E839"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Transgender</w:t>
            </w:r>
            <w:r w:rsidR="00AF43E2">
              <w:rPr>
                <w:rFonts w:ascii="Calibri" w:eastAsia="Times New Roman" w:hAnsi="Calibri" w:cs="Times New Roman"/>
                <w:color w:val="000000"/>
                <w:lang w:eastAsia="en-US"/>
              </w:rPr>
              <w:t xml:space="preserve"> Persons</w:t>
            </w:r>
          </w:p>
        </w:tc>
        <w:tc>
          <w:tcPr>
            <w:tcW w:w="860" w:type="dxa"/>
            <w:tcBorders>
              <w:top w:val="nil"/>
              <w:left w:val="nil"/>
              <w:bottom w:val="single" w:sz="4" w:space="0" w:color="auto"/>
              <w:right w:val="single" w:sz="4" w:space="0" w:color="auto"/>
            </w:tcBorders>
            <w:shd w:val="clear" w:color="auto" w:fill="auto"/>
            <w:noWrap/>
            <w:vAlign w:val="bottom"/>
            <w:hideMark/>
          </w:tcPr>
          <w:p w14:paraId="69439E8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6224818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860" w:type="dxa"/>
            <w:tcBorders>
              <w:top w:val="nil"/>
              <w:left w:val="nil"/>
              <w:bottom w:val="single" w:sz="4" w:space="0" w:color="auto"/>
              <w:right w:val="single" w:sz="4" w:space="0" w:color="auto"/>
            </w:tcBorders>
            <w:shd w:val="clear" w:color="auto" w:fill="auto"/>
            <w:noWrap/>
            <w:vAlign w:val="bottom"/>
            <w:hideMark/>
          </w:tcPr>
          <w:p w14:paraId="2D89B02C"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r>
      <w:tr w:rsidR="0007410A" w:rsidRPr="0007410A" w14:paraId="4F26FFEE" w14:textId="77777777" w:rsidTr="0007410A">
        <w:trPr>
          <w:trHeight w:val="300"/>
          <w:jc w:val="center"/>
        </w:trPr>
        <w:tc>
          <w:tcPr>
            <w:tcW w:w="4121" w:type="dxa"/>
            <w:tcBorders>
              <w:top w:val="nil"/>
              <w:left w:val="single" w:sz="4" w:space="0" w:color="auto"/>
              <w:bottom w:val="single" w:sz="4" w:space="0" w:color="auto"/>
              <w:right w:val="single" w:sz="4" w:space="0" w:color="auto"/>
            </w:tcBorders>
            <w:shd w:val="clear" w:color="auto" w:fill="auto"/>
            <w:noWrap/>
            <w:vAlign w:val="bottom"/>
            <w:hideMark/>
          </w:tcPr>
          <w:p w14:paraId="091C8F36"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Other</w:t>
            </w:r>
          </w:p>
        </w:tc>
        <w:tc>
          <w:tcPr>
            <w:tcW w:w="860" w:type="dxa"/>
            <w:tcBorders>
              <w:top w:val="nil"/>
              <w:left w:val="nil"/>
              <w:bottom w:val="single" w:sz="4" w:space="0" w:color="auto"/>
              <w:right w:val="single" w:sz="4" w:space="0" w:color="auto"/>
            </w:tcBorders>
            <w:shd w:val="clear" w:color="auto" w:fill="auto"/>
            <w:noWrap/>
            <w:vAlign w:val="bottom"/>
            <w:hideMark/>
          </w:tcPr>
          <w:p w14:paraId="27AEC331"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100</w:t>
            </w:r>
          </w:p>
        </w:tc>
        <w:tc>
          <w:tcPr>
            <w:tcW w:w="860" w:type="dxa"/>
            <w:tcBorders>
              <w:top w:val="nil"/>
              <w:left w:val="nil"/>
              <w:bottom w:val="single" w:sz="4" w:space="0" w:color="auto"/>
              <w:right w:val="single" w:sz="4" w:space="0" w:color="auto"/>
            </w:tcBorders>
            <w:shd w:val="clear" w:color="auto" w:fill="auto"/>
            <w:noWrap/>
            <w:vAlign w:val="bottom"/>
            <w:hideMark/>
          </w:tcPr>
          <w:p w14:paraId="7682E798"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33</w:t>
            </w:r>
          </w:p>
        </w:tc>
        <w:tc>
          <w:tcPr>
            <w:tcW w:w="860" w:type="dxa"/>
            <w:tcBorders>
              <w:top w:val="nil"/>
              <w:left w:val="nil"/>
              <w:bottom w:val="single" w:sz="4" w:space="0" w:color="auto"/>
              <w:right w:val="single" w:sz="4" w:space="0" w:color="auto"/>
            </w:tcBorders>
            <w:shd w:val="clear" w:color="auto" w:fill="auto"/>
            <w:noWrap/>
            <w:vAlign w:val="bottom"/>
            <w:hideMark/>
          </w:tcPr>
          <w:p w14:paraId="16FBA649"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r>
    </w:tbl>
    <w:p w14:paraId="6149ADEA" w14:textId="368EE159" w:rsidR="001C3060" w:rsidRDefault="0022188A" w:rsidP="0022188A">
      <w:pPr>
        <w:rPr>
          <w:rFonts w:cs="Times New Roman"/>
        </w:rPr>
      </w:pPr>
      <w:r>
        <w:rPr>
          <w:rFonts w:cs="Times New Roman"/>
          <w:i/>
        </w:rPr>
        <w:t>Source: Gay Community News “Speaking Out” and “Community Voices” Letters to the Editor Columns, 1980, 1984, 1988</w:t>
      </w:r>
    </w:p>
    <w:p w14:paraId="25836FC5" w14:textId="77777777" w:rsidR="00A52535" w:rsidRDefault="00A52535" w:rsidP="00BE48D0">
      <w:pPr>
        <w:spacing w:line="480" w:lineRule="auto"/>
        <w:jc w:val="center"/>
        <w:rPr>
          <w:rFonts w:cs="Times New Roman"/>
        </w:rPr>
      </w:pPr>
    </w:p>
    <w:p w14:paraId="3E63A0CC" w14:textId="77777777" w:rsidR="00A52535" w:rsidRDefault="00A52535" w:rsidP="00BE48D0">
      <w:pPr>
        <w:spacing w:line="480" w:lineRule="auto"/>
        <w:jc w:val="center"/>
        <w:rPr>
          <w:rFonts w:cs="Times New Roman"/>
        </w:rPr>
      </w:pPr>
    </w:p>
    <w:p w14:paraId="0F1C8FD9" w14:textId="77777777" w:rsidR="00A52535" w:rsidRDefault="00A52535" w:rsidP="00BE48D0">
      <w:pPr>
        <w:spacing w:line="480" w:lineRule="auto"/>
        <w:jc w:val="center"/>
        <w:rPr>
          <w:rFonts w:cs="Times New Roman"/>
        </w:rPr>
      </w:pPr>
    </w:p>
    <w:p w14:paraId="55C73439" w14:textId="77777777" w:rsidR="00A52535" w:rsidRDefault="00A52535" w:rsidP="00BE48D0">
      <w:pPr>
        <w:spacing w:line="480" w:lineRule="auto"/>
        <w:jc w:val="center"/>
        <w:rPr>
          <w:rFonts w:cs="Times New Roman"/>
        </w:rPr>
      </w:pPr>
    </w:p>
    <w:p w14:paraId="31059432" w14:textId="3E12FDCF" w:rsidR="00DE62BA" w:rsidRDefault="00DE62BA" w:rsidP="00BE48D0">
      <w:pPr>
        <w:spacing w:line="480" w:lineRule="auto"/>
        <w:jc w:val="center"/>
        <w:rPr>
          <w:rFonts w:cs="Times New Roman"/>
          <w:b/>
        </w:rPr>
      </w:pPr>
      <w:r>
        <w:rPr>
          <w:rFonts w:cs="Times New Roman"/>
          <w:b/>
        </w:rPr>
        <w:t>TABLE 5</w:t>
      </w:r>
    </w:p>
    <w:tbl>
      <w:tblPr>
        <w:tblW w:w="6701" w:type="dxa"/>
        <w:jc w:val="center"/>
        <w:tblInd w:w="93" w:type="dxa"/>
        <w:tblLook w:val="04A0" w:firstRow="1" w:lastRow="0" w:firstColumn="1" w:lastColumn="0" w:noHBand="0" w:noVBand="1"/>
      </w:tblPr>
      <w:tblGrid>
        <w:gridCol w:w="3854"/>
        <w:gridCol w:w="949"/>
        <w:gridCol w:w="949"/>
        <w:gridCol w:w="949"/>
      </w:tblGrid>
      <w:tr w:rsidR="0007410A" w:rsidRPr="0007410A" w14:paraId="5C9F19B2" w14:textId="77777777" w:rsidTr="0007410A">
        <w:trPr>
          <w:trHeight w:val="300"/>
          <w:jc w:val="center"/>
        </w:trPr>
        <w:tc>
          <w:tcPr>
            <w:tcW w:w="67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1C0D1" w14:textId="2BF11AFD" w:rsidR="0007410A" w:rsidRPr="0007410A" w:rsidRDefault="0022188A" w:rsidP="001C077B">
            <w:pPr>
              <w:jc w:val="center"/>
              <w:rPr>
                <w:rFonts w:ascii="Calibri" w:eastAsia="Times New Roman" w:hAnsi="Calibri" w:cs="Times New Roman"/>
                <w:b/>
                <w:bCs/>
                <w:color w:val="000000"/>
                <w:lang w:eastAsia="en-US"/>
              </w:rPr>
            </w:pPr>
            <w:r>
              <w:rPr>
                <w:rFonts w:ascii="Calibri" w:eastAsia="Times New Roman" w:hAnsi="Calibri" w:cs="Times New Roman"/>
                <w:b/>
                <w:bCs/>
                <w:color w:val="000000"/>
                <w:lang w:eastAsia="en-US"/>
              </w:rPr>
              <w:t xml:space="preserve">Frequency of </w:t>
            </w:r>
            <w:r w:rsidR="001C077B">
              <w:rPr>
                <w:rFonts w:ascii="Calibri" w:eastAsia="Times New Roman" w:hAnsi="Calibri" w:cs="Times New Roman"/>
                <w:b/>
                <w:bCs/>
                <w:color w:val="000000"/>
                <w:lang w:eastAsia="en-US"/>
              </w:rPr>
              <w:t>Issues that Contained Rights Talk*</w:t>
            </w:r>
            <w:r w:rsidR="0007410A" w:rsidRPr="0007410A">
              <w:rPr>
                <w:rFonts w:ascii="Calibri" w:eastAsia="Times New Roman" w:hAnsi="Calibri" w:cs="Times New Roman"/>
                <w:b/>
                <w:bCs/>
                <w:color w:val="000000"/>
                <w:lang w:eastAsia="en-US"/>
              </w:rPr>
              <w:t xml:space="preserve"> </w:t>
            </w:r>
          </w:p>
        </w:tc>
      </w:tr>
      <w:tr w:rsidR="0007410A" w:rsidRPr="0007410A" w14:paraId="31B65F1B"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5EA9A099"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Issue</w:t>
            </w:r>
          </w:p>
        </w:tc>
        <w:tc>
          <w:tcPr>
            <w:tcW w:w="949" w:type="dxa"/>
            <w:tcBorders>
              <w:top w:val="nil"/>
              <w:left w:val="nil"/>
              <w:bottom w:val="single" w:sz="4" w:space="0" w:color="auto"/>
              <w:right w:val="single" w:sz="4" w:space="0" w:color="auto"/>
            </w:tcBorders>
            <w:shd w:val="clear" w:color="auto" w:fill="auto"/>
            <w:noWrap/>
            <w:vAlign w:val="bottom"/>
            <w:hideMark/>
          </w:tcPr>
          <w:p w14:paraId="2C82ECBE"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1980</w:t>
            </w:r>
          </w:p>
        </w:tc>
        <w:tc>
          <w:tcPr>
            <w:tcW w:w="949" w:type="dxa"/>
            <w:tcBorders>
              <w:top w:val="nil"/>
              <w:left w:val="nil"/>
              <w:bottom w:val="single" w:sz="4" w:space="0" w:color="auto"/>
              <w:right w:val="single" w:sz="4" w:space="0" w:color="auto"/>
            </w:tcBorders>
            <w:shd w:val="clear" w:color="auto" w:fill="auto"/>
            <w:noWrap/>
            <w:vAlign w:val="bottom"/>
            <w:hideMark/>
          </w:tcPr>
          <w:p w14:paraId="35C102B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1984</w:t>
            </w:r>
          </w:p>
        </w:tc>
        <w:tc>
          <w:tcPr>
            <w:tcW w:w="949" w:type="dxa"/>
            <w:tcBorders>
              <w:top w:val="nil"/>
              <w:left w:val="nil"/>
              <w:bottom w:val="single" w:sz="4" w:space="0" w:color="auto"/>
              <w:right w:val="single" w:sz="4" w:space="0" w:color="auto"/>
            </w:tcBorders>
            <w:shd w:val="clear" w:color="auto" w:fill="auto"/>
            <w:noWrap/>
            <w:vAlign w:val="bottom"/>
            <w:hideMark/>
          </w:tcPr>
          <w:p w14:paraId="48925AE8"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1988</w:t>
            </w:r>
          </w:p>
        </w:tc>
      </w:tr>
      <w:tr w:rsidR="0007410A" w:rsidRPr="0007410A" w14:paraId="29F13961"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3C6B6D12"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Adoption</w:t>
            </w:r>
          </w:p>
        </w:tc>
        <w:tc>
          <w:tcPr>
            <w:tcW w:w="949" w:type="dxa"/>
            <w:tcBorders>
              <w:top w:val="nil"/>
              <w:left w:val="nil"/>
              <w:bottom w:val="single" w:sz="4" w:space="0" w:color="auto"/>
              <w:right w:val="single" w:sz="4" w:space="0" w:color="auto"/>
            </w:tcBorders>
            <w:shd w:val="clear" w:color="auto" w:fill="auto"/>
            <w:noWrap/>
            <w:vAlign w:val="bottom"/>
            <w:hideMark/>
          </w:tcPr>
          <w:p w14:paraId="0044125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0/0</w:t>
            </w:r>
          </w:p>
        </w:tc>
        <w:tc>
          <w:tcPr>
            <w:tcW w:w="949" w:type="dxa"/>
            <w:tcBorders>
              <w:top w:val="nil"/>
              <w:left w:val="nil"/>
              <w:bottom w:val="single" w:sz="4" w:space="0" w:color="auto"/>
              <w:right w:val="single" w:sz="4" w:space="0" w:color="auto"/>
            </w:tcBorders>
            <w:shd w:val="clear" w:color="auto" w:fill="auto"/>
            <w:noWrap/>
            <w:vAlign w:val="bottom"/>
            <w:hideMark/>
          </w:tcPr>
          <w:p w14:paraId="4E80ACC2"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0/0</w:t>
            </w:r>
          </w:p>
        </w:tc>
        <w:tc>
          <w:tcPr>
            <w:tcW w:w="949" w:type="dxa"/>
            <w:tcBorders>
              <w:top w:val="nil"/>
              <w:left w:val="nil"/>
              <w:bottom w:val="single" w:sz="4" w:space="0" w:color="auto"/>
              <w:right w:val="single" w:sz="4" w:space="0" w:color="auto"/>
            </w:tcBorders>
            <w:shd w:val="clear" w:color="auto" w:fill="auto"/>
            <w:noWrap/>
            <w:vAlign w:val="bottom"/>
            <w:hideMark/>
          </w:tcPr>
          <w:p w14:paraId="397072CF"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1/1</w:t>
            </w:r>
          </w:p>
        </w:tc>
      </w:tr>
      <w:tr w:rsidR="0007410A" w:rsidRPr="0007410A" w14:paraId="76AF4BD0"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26331156"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AIDS/HIV</w:t>
            </w:r>
          </w:p>
        </w:tc>
        <w:tc>
          <w:tcPr>
            <w:tcW w:w="949" w:type="dxa"/>
            <w:tcBorders>
              <w:top w:val="nil"/>
              <w:left w:val="nil"/>
              <w:bottom w:val="single" w:sz="4" w:space="0" w:color="auto"/>
              <w:right w:val="single" w:sz="4" w:space="0" w:color="auto"/>
            </w:tcBorders>
            <w:shd w:val="clear" w:color="auto" w:fill="auto"/>
            <w:noWrap/>
            <w:vAlign w:val="bottom"/>
            <w:hideMark/>
          </w:tcPr>
          <w:p w14:paraId="102CD49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w:t>
            </w:r>
          </w:p>
        </w:tc>
        <w:tc>
          <w:tcPr>
            <w:tcW w:w="949" w:type="dxa"/>
            <w:tcBorders>
              <w:top w:val="nil"/>
              <w:left w:val="nil"/>
              <w:bottom w:val="single" w:sz="4" w:space="0" w:color="auto"/>
              <w:right w:val="single" w:sz="4" w:space="0" w:color="auto"/>
            </w:tcBorders>
            <w:shd w:val="clear" w:color="auto" w:fill="auto"/>
            <w:noWrap/>
            <w:vAlign w:val="bottom"/>
            <w:hideMark/>
          </w:tcPr>
          <w:p w14:paraId="22E3FE6B"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1/6</w:t>
            </w:r>
          </w:p>
        </w:tc>
        <w:tc>
          <w:tcPr>
            <w:tcW w:w="949" w:type="dxa"/>
            <w:tcBorders>
              <w:top w:val="nil"/>
              <w:left w:val="nil"/>
              <w:bottom w:val="single" w:sz="4" w:space="0" w:color="auto"/>
              <w:right w:val="single" w:sz="4" w:space="0" w:color="auto"/>
            </w:tcBorders>
            <w:shd w:val="clear" w:color="auto" w:fill="auto"/>
            <w:noWrap/>
            <w:vAlign w:val="bottom"/>
            <w:hideMark/>
          </w:tcPr>
          <w:p w14:paraId="1FA421BE"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9/38</w:t>
            </w:r>
          </w:p>
        </w:tc>
      </w:tr>
      <w:tr w:rsidR="0007410A" w:rsidRPr="0007410A" w14:paraId="1BF313A8"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3DFC69F1"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Discrimination Overall</w:t>
            </w:r>
          </w:p>
        </w:tc>
        <w:tc>
          <w:tcPr>
            <w:tcW w:w="949" w:type="dxa"/>
            <w:tcBorders>
              <w:top w:val="nil"/>
              <w:left w:val="nil"/>
              <w:bottom w:val="single" w:sz="4" w:space="0" w:color="auto"/>
              <w:right w:val="single" w:sz="4" w:space="0" w:color="auto"/>
            </w:tcBorders>
            <w:shd w:val="clear" w:color="auto" w:fill="auto"/>
            <w:noWrap/>
            <w:vAlign w:val="bottom"/>
            <w:hideMark/>
          </w:tcPr>
          <w:p w14:paraId="1779144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5/12</w:t>
            </w:r>
          </w:p>
        </w:tc>
        <w:tc>
          <w:tcPr>
            <w:tcW w:w="949" w:type="dxa"/>
            <w:tcBorders>
              <w:top w:val="nil"/>
              <w:left w:val="nil"/>
              <w:bottom w:val="single" w:sz="4" w:space="0" w:color="auto"/>
              <w:right w:val="single" w:sz="4" w:space="0" w:color="auto"/>
            </w:tcBorders>
            <w:shd w:val="clear" w:color="auto" w:fill="auto"/>
            <w:noWrap/>
            <w:vAlign w:val="bottom"/>
            <w:hideMark/>
          </w:tcPr>
          <w:p w14:paraId="1B0C87F8"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5/12</w:t>
            </w:r>
          </w:p>
        </w:tc>
        <w:tc>
          <w:tcPr>
            <w:tcW w:w="949" w:type="dxa"/>
            <w:tcBorders>
              <w:top w:val="nil"/>
              <w:left w:val="nil"/>
              <w:bottom w:val="single" w:sz="4" w:space="0" w:color="auto"/>
              <w:right w:val="single" w:sz="4" w:space="0" w:color="auto"/>
            </w:tcBorders>
            <w:shd w:val="clear" w:color="auto" w:fill="auto"/>
            <w:noWrap/>
            <w:vAlign w:val="bottom"/>
            <w:hideMark/>
          </w:tcPr>
          <w:p w14:paraId="4AC8FF33"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5/12</w:t>
            </w:r>
          </w:p>
        </w:tc>
      </w:tr>
      <w:tr w:rsidR="0007410A" w:rsidRPr="0007410A" w14:paraId="14BD0D27"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5745DC7C"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Immigration</w:t>
            </w:r>
          </w:p>
        </w:tc>
        <w:tc>
          <w:tcPr>
            <w:tcW w:w="949" w:type="dxa"/>
            <w:tcBorders>
              <w:top w:val="nil"/>
              <w:left w:val="nil"/>
              <w:bottom w:val="single" w:sz="4" w:space="0" w:color="auto"/>
              <w:right w:val="single" w:sz="4" w:space="0" w:color="auto"/>
            </w:tcBorders>
            <w:shd w:val="clear" w:color="auto" w:fill="auto"/>
            <w:noWrap/>
            <w:vAlign w:val="bottom"/>
            <w:hideMark/>
          </w:tcPr>
          <w:p w14:paraId="2E2873B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2/8</w:t>
            </w:r>
          </w:p>
        </w:tc>
        <w:tc>
          <w:tcPr>
            <w:tcW w:w="949" w:type="dxa"/>
            <w:tcBorders>
              <w:top w:val="nil"/>
              <w:left w:val="nil"/>
              <w:bottom w:val="single" w:sz="4" w:space="0" w:color="auto"/>
              <w:right w:val="single" w:sz="4" w:space="0" w:color="auto"/>
            </w:tcBorders>
            <w:shd w:val="clear" w:color="auto" w:fill="auto"/>
            <w:noWrap/>
            <w:vAlign w:val="bottom"/>
            <w:hideMark/>
          </w:tcPr>
          <w:p w14:paraId="60EAFD5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0/0</w:t>
            </w:r>
          </w:p>
        </w:tc>
        <w:tc>
          <w:tcPr>
            <w:tcW w:w="949" w:type="dxa"/>
            <w:tcBorders>
              <w:top w:val="nil"/>
              <w:left w:val="nil"/>
              <w:bottom w:val="single" w:sz="4" w:space="0" w:color="auto"/>
              <w:right w:val="single" w:sz="4" w:space="0" w:color="auto"/>
            </w:tcBorders>
            <w:shd w:val="clear" w:color="auto" w:fill="auto"/>
            <w:noWrap/>
            <w:vAlign w:val="bottom"/>
            <w:hideMark/>
          </w:tcPr>
          <w:p w14:paraId="320569E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0/2</w:t>
            </w:r>
          </w:p>
        </w:tc>
      </w:tr>
      <w:tr w:rsidR="0007410A" w:rsidRPr="0007410A" w14:paraId="18239445"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33AE4E29"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Hospital Visitation</w:t>
            </w:r>
          </w:p>
        </w:tc>
        <w:tc>
          <w:tcPr>
            <w:tcW w:w="949" w:type="dxa"/>
            <w:tcBorders>
              <w:top w:val="nil"/>
              <w:left w:val="nil"/>
              <w:bottom w:val="single" w:sz="4" w:space="0" w:color="auto"/>
              <w:right w:val="single" w:sz="4" w:space="0" w:color="auto"/>
            </w:tcBorders>
            <w:shd w:val="clear" w:color="auto" w:fill="auto"/>
            <w:noWrap/>
            <w:vAlign w:val="bottom"/>
            <w:hideMark/>
          </w:tcPr>
          <w:p w14:paraId="40F94F3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0/0</w:t>
            </w:r>
          </w:p>
        </w:tc>
        <w:tc>
          <w:tcPr>
            <w:tcW w:w="949" w:type="dxa"/>
            <w:tcBorders>
              <w:top w:val="nil"/>
              <w:left w:val="nil"/>
              <w:bottom w:val="single" w:sz="4" w:space="0" w:color="auto"/>
              <w:right w:val="single" w:sz="4" w:space="0" w:color="auto"/>
            </w:tcBorders>
            <w:shd w:val="clear" w:color="auto" w:fill="auto"/>
            <w:noWrap/>
            <w:vAlign w:val="bottom"/>
            <w:hideMark/>
          </w:tcPr>
          <w:p w14:paraId="375FCB8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0/0</w:t>
            </w:r>
          </w:p>
        </w:tc>
        <w:tc>
          <w:tcPr>
            <w:tcW w:w="949" w:type="dxa"/>
            <w:tcBorders>
              <w:top w:val="nil"/>
              <w:left w:val="nil"/>
              <w:bottom w:val="single" w:sz="4" w:space="0" w:color="auto"/>
              <w:right w:val="single" w:sz="4" w:space="0" w:color="auto"/>
            </w:tcBorders>
            <w:shd w:val="clear" w:color="auto" w:fill="auto"/>
            <w:noWrap/>
            <w:vAlign w:val="bottom"/>
            <w:hideMark/>
          </w:tcPr>
          <w:p w14:paraId="71104492"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1/2</w:t>
            </w:r>
          </w:p>
        </w:tc>
      </w:tr>
      <w:tr w:rsidR="0007410A" w:rsidRPr="0007410A" w14:paraId="661AF05B"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27FBDF07"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Media</w:t>
            </w:r>
          </w:p>
        </w:tc>
        <w:tc>
          <w:tcPr>
            <w:tcW w:w="949" w:type="dxa"/>
            <w:tcBorders>
              <w:top w:val="nil"/>
              <w:left w:val="nil"/>
              <w:bottom w:val="single" w:sz="4" w:space="0" w:color="auto"/>
              <w:right w:val="single" w:sz="4" w:space="0" w:color="auto"/>
            </w:tcBorders>
            <w:shd w:val="clear" w:color="auto" w:fill="auto"/>
            <w:noWrap/>
            <w:vAlign w:val="bottom"/>
            <w:hideMark/>
          </w:tcPr>
          <w:p w14:paraId="04A7DFB8"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1/21</w:t>
            </w:r>
          </w:p>
        </w:tc>
        <w:tc>
          <w:tcPr>
            <w:tcW w:w="949" w:type="dxa"/>
            <w:tcBorders>
              <w:top w:val="nil"/>
              <w:left w:val="nil"/>
              <w:bottom w:val="single" w:sz="4" w:space="0" w:color="auto"/>
              <w:right w:val="single" w:sz="4" w:space="0" w:color="auto"/>
            </w:tcBorders>
            <w:shd w:val="clear" w:color="auto" w:fill="auto"/>
            <w:noWrap/>
            <w:vAlign w:val="bottom"/>
            <w:hideMark/>
          </w:tcPr>
          <w:p w14:paraId="373E56F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0/11</w:t>
            </w:r>
          </w:p>
        </w:tc>
        <w:tc>
          <w:tcPr>
            <w:tcW w:w="949" w:type="dxa"/>
            <w:tcBorders>
              <w:top w:val="nil"/>
              <w:left w:val="nil"/>
              <w:bottom w:val="single" w:sz="4" w:space="0" w:color="auto"/>
              <w:right w:val="single" w:sz="4" w:space="0" w:color="auto"/>
            </w:tcBorders>
            <w:shd w:val="clear" w:color="auto" w:fill="auto"/>
            <w:noWrap/>
            <w:vAlign w:val="bottom"/>
            <w:hideMark/>
          </w:tcPr>
          <w:p w14:paraId="6D9AC8EC"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0/5</w:t>
            </w:r>
          </w:p>
        </w:tc>
      </w:tr>
      <w:tr w:rsidR="0007410A" w:rsidRPr="0007410A" w14:paraId="49725D82"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3283BF2E"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Medical Access</w:t>
            </w:r>
          </w:p>
        </w:tc>
        <w:tc>
          <w:tcPr>
            <w:tcW w:w="949" w:type="dxa"/>
            <w:tcBorders>
              <w:top w:val="nil"/>
              <w:left w:val="nil"/>
              <w:bottom w:val="single" w:sz="4" w:space="0" w:color="auto"/>
              <w:right w:val="single" w:sz="4" w:space="0" w:color="auto"/>
            </w:tcBorders>
            <w:shd w:val="clear" w:color="auto" w:fill="auto"/>
            <w:noWrap/>
            <w:vAlign w:val="bottom"/>
            <w:hideMark/>
          </w:tcPr>
          <w:p w14:paraId="034A25A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0/0</w:t>
            </w:r>
          </w:p>
        </w:tc>
        <w:tc>
          <w:tcPr>
            <w:tcW w:w="949" w:type="dxa"/>
            <w:tcBorders>
              <w:top w:val="nil"/>
              <w:left w:val="nil"/>
              <w:bottom w:val="single" w:sz="4" w:space="0" w:color="auto"/>
              <w:right w:val="single" w:sz="4" w:space="0" w:color="auto"/>
            </w:tcBorders>
            <w:shd w:val="clear" w:color="auto" w:fill="auto"/>
            <w:noWrap/>
            <w:vAlign w:val="bottom"/>
            <w:hideMark/>
          </w:tcPr>
          <w:p w14:paraId="4E9408C8"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0/0</w:t>
            </w:r>
          </w:p>
        </w:tc>
        <w:tc>
          <w:tcPr>
            <w:tcW w:w="949" w:type="dxa"/>
            <w:tcBorders>
              <w:top w:val="nil"/>
              <w:left w:val="nil"/>
              <w:bottom w:val="single" w:sz="4" w:space="0" w:color="auto"/>
              <w:right w:val="single" w:sz="4" w:space="0" w:color="auto"/>
            </w:tcBorders>
            <w:shd w:val="clear" w:color="auto" w:fill="auto"/>
            <w:noWrap/>
            <w:vAlign w:val="bottom"/>
            <w:hideMark/>
          </w:tcPr>
          <w:p w14:paraId="2021BD92"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1/2</w:t>
            </w:r>
          </w:p>
        </w:tc>
      </w:tr>
      <w:tr w:rsidR="0007410A" w:rsidRPr="0007410A" w14:paraId="57957142"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437A2B67"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Military</w:t>
            </w:r>
          </w:p>
        </w:tc>
        <w:tc>
          <w:tcPr>
            <w:tcW w:w="949" w:type="dxa"/>
            <w:tcBorders>
              <w:top w:val="nil"/>
              <w:left w:val="nil"/>
              <w:bottom w:val="single" w:sz="4" w:space="0" w:color="auto"/>
              <w:right w:val="single" w:sz="4" w:space="0" w:color="auto"/>
            </w:tcBorders>
            <w:shd w:val="clear" w:color="auto" w:fill="auto"/>
            <w:noWrap/>
            <w:vAlign w:val="bottom"/>
            <w:hideMark/>
          </w:tcPr>
          <w:p w14:paraId="40DFECD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1/4</w:t>
            </w:r>
          </w:p>
        </w:tc>
        <w:tc>
          <w:tcPr>
            <w:tcW w:w="949" w:type="dxa"/>
            <w:tcBorders>
              <w:top w:val="nil"/>
              <w:left w:val="nil"/>
              <w:bottom w:val="single" w:sz="4" w:space="0" w:color="auto"/>
              <w:right w:val="single" w:sz="4" w:space="0" w:color="auto"/>
            </w:tcBorders>
            <w:shd w:val="clear" w:color="auto" w:fill="auto"/>
            <w:noWrap/>
            <w:vAlign w:val="bottom"/>
            <w:hideMark/>
          </w:tcPr>
          <w:p w14:paraId="698D55C2"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0/2</w:t>
            </w:r>
          </w:p>
        </w:tc>
        <w:tc>
          <w:tcPr>
            <w:tcW w:w="949" w:type="dxa"/>
            <w:tcBorders>
              <w:top w:val="nil"/>
              <w:left w:val="nil"/>
              <w:bottom w:val="single" w:sz="4" w:space="0" w:color="auto"/>
              <w:right w:val="single" w:sz="4" w:space="0" w:color="auto"/>
            </w:tcBorders>
            <w:shd w:val="clear" w:color="auto" w:fill="auto"/>
            <w:noWrap/>
            <w:vAlign w:val="bottom"/>
            <w:hideMark/>
          </w:tcPr>
          <w:p w14:paraId="6E1FDE0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0/1</w:t>
            </w:r>
          </w:p>
        </w:tc>
      </w:tr>
      <w:tr w:rsidR="0007410A" w:rsidRPr="0007410A" w14:paraId="38891F1F"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1B26CC2B"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Police Trouble/Brutality</w:t>
            </w:r>
          </w:p>
        </w:tc>
        <w:tc>
          <w:tcPr>
            <w:tcW w:w="949" w:type="dxa"/>
            <w:tcBorders>
              <w:top w:val="nil"/>
              <w:left w:val="nil"/>
              <w:bottom w:val="single" w:sz="4" w:space="0" w:color="auto"/>
              <w:right w:val="single" w:sz="4" w:space="0" w:color="auto"/>
            </w:tcBorders>
            <w:shd w:val="clear" w:color="auto" w:fill="auto"/>
            <w:noWrap/>
            <w:vAlign w:val="bottom"/>
            <w:hideMark/>
          </w:tcPr>
          <w:p w14:paraId="3A73434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2/7</w:t>
            </w:r>
          </w:p>
        </w:tc>
        <w:tc>
          <w:tcPr>
            <w:tcW w:w="949" w:type="dxa"/>
            <w:tcBorders>
              <w:top w:val="nil"/>
              <w:left w:val="nil"/>
              <w:bottom w:val="single" w:sz="4" w:space="0" w:color="auto"/>
              <w:right w:val="single" w:sz="4" w:space="0" w:color="auto"/>
            </w:tcBorders>
            <w:shd w:val="clear" w:color="auto" w:fill="auto"/>
            <w:noWrap/>
            <w:vAlign w:val="bottom"/>
            <w:hideMark/>
          </w:tcPr>
          <w:p w14:paraId="72E88A0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2/8</w:t>
            </w:r>
          </w:p>
        </w:tc>
        <w:tc>
          <w:tcPr>
            <w:tcW w:w="949" w:type="dxa"/>
            <w:tcBorders>
              <w:top w:val="nil"/>
              <w:left w:val="nil"/>
              <w:bottom w:val="single" w:sz="4" w:space="0" w:color="auto"/>
              <w:right w:val="single" w:sz="4" w:space="0" w:color="auto"/>
            </w:tcBorders>
            <w:shd w:val="clear" w:color="auto" w:fill="auto"/>
            <w:noWrap/>
            <w:vAlign w:val="bottom"/>
            <w:hideMark/>
          </w:tcPr>
          <w:p w14:paraId="5E031D5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1/1</w:t>
            </w:r>
          </w:p>
        </w:tc>
      </w:tr>
      <w:tr w:rsidR="0007410A" w:rsidRPr="0007410A" w14:paraId="59BDC4FC"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7F7BA88C"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Prison</w:t>
            </w:r>
          </w:p>
        </w:tc>
        <w:tc>
          <w:tcPr>
            <w:tcW w:w="949" w:type="dxa"/>
            <w:tcBorders>
              <w:top w:val="nil"/>
              <w:left w:val="nil"/>
              <w:bottom w:val="single" w:sz="4" w:space="0" w:color="auto"/>
              <w:right w:val="single" w:sz="4" w:space="0" w:color="auto"/>
            </w:tcBorders>
            <w:shd w:val="clear" w:color="auto" w:fill="auto"/>
            <w:noWrap/>
            <w:vAlign w:val="bottom"/>
            <w:hideMark/>
          </w:tcPr>
          <w:p w14:paraId="45FDFD38"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1/3</w:t>
            </w:r>
          </w:p>
        </w:tc>
        <w:tc>
          <w:tcPr>
            <w:tcW w:w="949" w:type="dxa"/>
            <w:tcBorders>
              <w:top w:val="nil"/>
              <w:left w:val="nil"/>
              <w:bottom w:val="single" w:sz="4" w:space="0" w:color="auto"/>
              <w:right w:val="single" w:sz="4" w:space="0" w:color="auto"/>
            </w:tcBorders>
            <w:shd w:val="clear" w:color="auto" w:fill="auto"/>
            <w:noWrap/>
            <w:vAlign w:val="bottom"/>
            <w:hideMark/>
          </w:tcPr>
          <w:p w14:paraId="3BE818A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4/28</w:t>
            </w:r>
          </w:p>
        </w:tc>
        <w:tc>
          <w:tcPr>
            <w:tcW w:w="949" w:type="dxa"/>
            <w:tcBorders>
              <w:top w:val="nil"/>
              <w:left w:val="nil"/>
              <w:bottom w:val="single" w:sz="4" w:space="0" w:color="auto"/>
              <w:right w:val="single" w:sz="4" w:space="0" w:color="auto"/>
            </w:tcBorders>
            <w:shd w:val="clear" w:color="auto" w:fill="auto"/>
            <w:noWrap/>
            <w:vAlign w:val="bottom"/>
            <w:hideMark/>
          </w:tcPr>
          <w:p w14:paraId="520660D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5/21</w:t>
            </w:r>
          </w:p>
        </w:tc>
      </w:tr>
      <w:tr w:rsidR="0007410A" w:rsidRPr="0007410A" w14:paraId="24B1DA2E"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603AF02E"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Sexuality Overall</w:t>
            </w:r>
          </w:p>
        </w:tc>
        <w:tc>
          <w:tcPr>
            <w:tcW w:w="949" w:type="dxa"/>
            <w:tcBorders>
              <w:top w:val="nil"/>
              <w:left w:val="nil"/>
              <w:bottom w:val="single" w:sz="4" w:space="0" w:color="auto"/>
              <w:right w:val="single" w:sz="4" w:space="0" w:color="auto"/>
            </w:tcBorders>
            <w:shd w:val="clear" w:color="auto" w:fill="auto"/>
            <w:noWrap/>
            <w:vAlign w:val="bottom"/>
            <w:hideMark/>
          </w:tcPr>
          <w:p w14:paraId="501CFF7C"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8/25</w:t>
            </w:r>
          </w:p>
        </w:tc>
        <w:tc>
          <w:tcPr>
            <w:tcW w:w="949" w:type="dxa"/>
            <w:tcBorders>
              <w:top w:val="nil"/>
              <w:left w:val="nil"/>
              <w:bottom w:val="single" w:sz="4" w:space="0" w:color="auto"/>
              <w:right w:val="single" w:sz="4" w:space="0" w:color="auto"/>
            </w:tcBorders>
            <w:shd w:val="clear" w:color="auto" w:fill="auto"/>
            <w:noWrap/>
            <w:vAlign w:val="bottom"/>
            <w:hideMark/>
          </w:tcPr>
          <w:p w14:paraId="03820BAC"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9/39</w:t>
            </w:r>
          </w:p>
        </w:tc>
        <w:tc>
          <w:tcPr>
            <w:tcW w:w="949" w:type="dxa"/>
            <w:tcBorders>
              <w:top w:val="nil"/>
              <w:left w:val="nil"/>
              <w:bottom w:val="single" w:sz="4" w:space="0" w:color="auto"/>
              <w:right w:val="single" w:sz="4" w:space="0" w:color="auto"/>
            </w:tcBorders>
            <w:shd w:val="clear" w:color="auto" w:fill="auto"/>
            <w:noWrap/>
            <w:vAlign w:val="bottom"/>
            <w:hideMark/>
          </w:tcPr>
          <w:p w14:paraId="2F066DDF"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3/6</w:t>
            </w:r>
          </w:p>
        </w:tc>
      </w:tr>
      <w:tr w:rsidR="0007410A" w:rsidRPr="0007410A" w14:paraId="3D8BA18F"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560BEC34"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Violence Against Women</w:t>
            </w:r>
          </w:p>
        </w:tc>
        <w:tc>
          <w:tcPr>
            <w:tcW w:w="949" w:type="dxa"/>
            <w:tcBorders>
              <w:top w:val="nil"/>
              <w:left w:val="nil"/>
              <w:bottom w:val="single" w:sz="4" w:space="0" w:color="auto"/>
              <w:right w:val="single" w:sz="4" w:space="0" w:color="auto"/>
            </w:tcBorders>
            <w:shd w:val="clear" w:color="auto" w:fill="auto"/>
            <w:noWrap/>
            <w:vAlign w:val="bottom"/>
            <w:hideMark/>
          </w:tcPr>
          <w:p w14:paraId="22716A6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1/8</w:t>
            </w:r>
          </w:p>
        </w:tc>
        <w:tc>
          <w:tcPr>
            <w:tcW w:w="949" w:type="dxa"/>
            <w:tcBorders>
              <w:top w:val="nil"/>
              <w:left w:val="nil"/>
              <w:bottom w:val="single" w:sz="4" w:space="0" w:color="auto"/>
              <w:right w:val="single" w:sz="4" w:space="0" w:color="auto"/>
            </w:tcBorders>
            <w:shd w:val="clear" w:color="auto" w:fill="auto"/>
            <w:noWrap/>
            <w:vAlign w:val="bottom"/>
            <w:hideMark/>
          </w:tcPr>
          <w:p w14:paraId="740B86EB"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1/7</w:t>
            </w:r>
          </w:p>
        </w:tc>
        <w:tc>
          <w:tcPr>
            <w:tcW w:w="949" w:type="dxa"/>
            <w:tcBorders>
              <w:top w:val="nil"/>
              <w:left w:val="nil"/>
              <w:bottom w:val="single" w:sz="4" w:space="0" w:color="auto"/>
              <w:right w:val="single" w:sz="4" w:space="0" w:color="auto"/>
            </w:tcBorders>
            <w:shd w:val="clear" w:color="auto" w:fill="auto"/>
            <w:noWrap/>
            <w:vAlign w:val="bottom"/>
            <w:hideMark/>
          </w:tcPr>
          <w:p w14:paraId="7943EA97"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0/4</w:t>
            </w:r>
          </w:p>
        </w:tc>
      </w:tr>
      <w:tr w:rsidR="0007410A" w:rsidRPr="0007410A" w14:paraId="65368B21"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30C1CAC9"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Non-Police Violence</w:t>
            </w:r>
          </w:p>
        </w:tc>
        <w:tc>
          <w:tcPr>
            <w:tcW w:w="949" w:type="dxa"/>
            <w:tcBorders>
              <w:top w:val="nil"/>
              <w:left w:val="nil"/>
              <w:bottom w:val="single" w:sz="4" w:space="0" w:color="auto"/>
              <w:right w:val="single" w:sz="4" w:space="0" w:color="auto"/>
            </w:tcBorders>
            <w:shd w:val="clear" w:color="auto" w:fill="auto"/>
            <w:noWrap/>
            <w:vAlign w:val="bottom"/>
            <w:hideMark/>
          </w:tcPr>
          <w:p w14:paraId="158D40B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1/12</w:t>
            </w:r>
          </w:p>
        </w:tc>
        <w:tc>
          <w:tcPr>
            <w:tcW w:w="949" w:type="dxa"/>
            <w:tcBorders>
              <w:top w:val="nil"/>
              <w:left w:val="nil"/>
              <w:bottom w:val="single" w:sz="4" w:space="0" w:color="auto"/>
              <w:right w:val="single" w:sz="4" w:space="0" w:color="auto"/>
            </w:tcBorders>
            <w:shd w:val="clear" w:color="auto" w:fill="auto"/>
            <w:noWrap/>
            <w:vAlign w:val="bottom"/>
            <w:hideMark/>
          </w:tcPr>
          <w:p w14:paraId="66F848B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2/9</w:t>
            </w:r>
          </w:p>
        </w:tc>
        <w:tc>
          <w:tcPr>
            <w:tcW w:w="949" w:type="dxa"/>
            <w:tcBorders>
              <w:top w:val="nil"/>
              <w:left w:val="nil"/>
              <w:bottom w:val="single" w:sz="4" w:space="0" w:color="auto"/>
              <w:right w:val="single" w:sz="4" w:space="0" w:color="auto"/>
            </w:tcBorders>
            <w:shd w:val="clear" w:color="auto" w:fill="auto"/>
            <w:noWrap/>
            <w:vAlign w:val="bottom"/>
            <w:hideMark/>
          </w:tcPr>
          <w:p w14:paraId="5E0AF3C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1/6</w:t>
            </w:r>
          </w:p>
        </w:tc>
      </w:tr>
      <w:tr w:rsidR="0007410A" w:rsidRPr="0007410A" w14:paraId="32B7AB3C"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78846486"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Feminism</w:t>
            </w:r>
          </w:p>
        </w:tc>
        <w:tc>
          <w:tcPr>
            <w:tcW w:w="949" w:type="dxa"/>
            <w:tcBorders>
              <w:top w:val="nil"/>
              <w:left w:val="nil"/>
              <w:bottom w:val="single" w:sz="4" w:space="0" w:color="auto"/>
              <w:right w:val="single" w:sz="4" w:space="0" w:color="auto"/>
            </w:tcBorders>
            <w:shd w:val="clear" w:color="auto" w:fill="auto"/>
            <w:noWrap/>
            <w:vAlign w:val="bottom"/>
            <w:hideMark/>
          </w:tcPr>
          <w:p w14:paraId="0A116C5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3/30</w:t>
            </w:r>
          </w:p>
        </w:tc>
        <w:tc>
          <w:tcPr>
            <w:tcW w:w="949" w:type="dxa"/>
            <w:tcBorders>
              <w:top w:val="nil"/>
              <w:left w:val="nil"/>
              <w:bottom w:val="single" w:sz="4" w:space="0" w:color="auto"/>
              <w:right w:val="single" w:sz="4" w:space="0" w:color="auto"/>
            </w:tcBorders>
            <w:shd w:val="clear" w:color="auto" w:fill="auto"/>
            <w:noWrap/>
            <w:vAlign w:val="bottom"/>
            <w:hideMark/>
          </w:tcPr>
          <w:p w14:paraId="5975B1E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3/13</w:t>
            </w:r>
          </w:p>
        </w:tc>
        <w:tc>
          <w:tcPr>
            <w:tcW w:w="949" w:type="dxa"/>
            <w:tcBorders>
              <w:top w:val="nil"/>
              <w:left w:val="nil"/>
              <w:bottom w:val="single" w:sz="4" w:space="0" w:color="auto"/>
              <w:right w:val="single" w:sz="4" w:space="0" w:color="auto"/>
            </w:tcBorders>
            <w:shd w:val="clear" w:color="auto" w:fill="auto"/>
            <w:noWrap/>
            <w:vAlign w:val="bottom"/>
            <w:hideMark/>
          </w:tcPr>
          <w:p w14:paraId="1336A72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3/7</w:t>
            </w:r>
          </w:p>
        </w:tc>
      </w:tr>
      <w:tr w:rsidR="0007410A" w:rsidRPr="0007410A" w14:paraId="73CF622D"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4B30E062"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Political Overall</w:t>
            </w:r>
          </w:p>
        </w:tc>
        <w:tc>
          <w:tcPr>
            <w:tcW w:w="949" w:type="dxa"/>
            <w:tcBorders>
              <w:top w:val="nil"/>
              <w:left w:val="nil"/>
              <w:bottom w:val="single" w:sz="4" w:space="0" w:color="auto"/>
              <w:right w:val="single" w:sz="4" w:space="0" w:color="auto"/>
            </w:tcBorders>
            <w:shd w:val="clear" w:color="auto" w:fill="auto"/>
            <w:noWrap/>
            <w:vAlign w:val="bottom"/>
            <w:hideMark/>
          </w:tcPr>
          <w:p w14:paraId="2D1CE34C"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14/28</w:t>
            </w:r>
          </w:p>
        </w:tc>
        <w:tc>
          <w:tcPr>
            <w:tcW w:w="949" w:type="dxa"/>
            <w:tcBorders>
              <w:top w:val="nil"/>
              <w:left w:val="nil"/>
              <w:bottom w:val="single" w:sz="4" w:space="0" w:color="auto"/>
              <w:right w:val="single" w:sz="4" w:space="0" w:color="auto"/>
            </w:tcBorders>
            <w:shd w:val="clear" w:color="auto" w:fill="auto"/>
            <w:noWrap/>
            <w:vAlign w:val="bottom"/>
            <w:hideMark/>
          </w:tcPr>
          <w:p w14:paraId="4848B05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17/41</w:t>
            </w:r>
          </w:p>
        </w:tc>
        <w:tc>
          <w:tcPr>
            <w:tcW w:w="949" w:type="dxa"/>
            <w:tcBorders>
              <w:top w:val="nil"/>
              <w:left w:val="nil"/>
              <w:bottom w:val="single" w:sz="4" w:space="0" w:color="auto"/>
              <w:right w:val="single" w:sz="4" w:space="0" w:color="auto"/>
            </w:tcBorders>
            <w:shd w:val="clear" w:color="auto" w:fill="auto"/>
            <w:noWrap/>
            <w:vAlign w:val="bottom"/>
            <w:hideMark/>
          </w:tcPr>
          <w:p w14:paraId="27A15890"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15/57</w:t>
            </w:r>
          </w:p>
        </w:tc>
      </w:tr>
      <w:tr w:rsidR="0007410A" w:rsidRPr="0007410A" w14:paraId="2D4B0B2A"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75F65EB1"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Race</w:t>
            </w:r>
          </w:p>
        </w:tc>
        <w:tc>
          <w:tcPr>
            <w:tcW w:w="949" w:type="dxa"/>
            <w:tcBorders>
              <w:top w:val="nil"/>
              <w:left w:val="nil"/>
              <w:bottom w:val="single" w:sz="4" w:space="0" w:color="auto"/>
              <w:right w:val="single" w:sz="4" w:space="0" w:color="auto"/>
            </w:tcBorders>
            <w:shd w:val="clear" w:color="auto" w:fill="auto"/>
            <w:noWrap/>
            <w:vAlign w:val="bottom"/>
            <w:hideMark/>
          </w:tcPr>
          <w:p w14:paraId="079BA05E"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1/18</w:t>
            </w:r>
          </w:p>
        </w:tc>
        <w:tc>
          <w:tcPr>
            <w:tcW w:w="949" w:type="dxa"/>
            <w:tcBorders>
              <w:top w:val="nil"/>
              <w:left w:val="nil"/>
              <w:bottom w:val="single" w:sz="4" w:space="0" w:color="auto"/>
              <w:right w:val="single" w:sz="4" w:space="0" w:color="auto"/>
            </w:tcBorders>
            <w:shd w:val="clear" w:color="auto" w:fill="auto"/>
            <w:noWrap/>
            <w:vAlign w:val="bottom"/>
            <w:hideMark/>
          </w:tcPr>
          <w:p w14:paraId="7863F78F"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5/10</w:t>
            </w:r>
          </w:p>
        </w:tc>
        <w:tc>
          <w:tcPr>
            <w:tcW w:w="949" w:type="dxa"/>
            <w:tcBorders>
              <w:top w:val="nil"/>
              <w:left w:val="nil"/>
              <w:bottom w:val="single" w:sz="4" w:space="0" w:color="auto"/>
              <w:right w:val="single" w:sz="4" w:space="0" w:color="auto"/>
            </w:tcBorders>
            <w:shd w:val="clear" w:color="auto" w:fill="auto"/>
            <w:noWrap/>
            <w:vAlign w:val="bottom"/>
            <w:hideMark/>
          </w:tcPr>
          <w:p w14:paraId="2E1D18BE"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3/10</w:t>
            </w:r>
          </w:p>
        </w:tc>
      </w:tr>
      <w:tr w:rsidR="0007410A" w:rsidRPr="0007410A" w14:paraId="089E5B3B"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32F81171"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Religion</w:t>
            </w:r>
          </w:p>
        </w:tc>
        <w:tc>
          <w:tcPr>
            <w:tcW w:w="949" w:type="dxa"/>
            <w:tcBorders>
              <w:top w:val="nil"/>
              <w:left w:val="nil"/>
              <w:bottom w:val="single" w:sz="4" w:space="0" w:color="auto"/>
              <w:right w:val="single" w:sz="4" w:space="0" w:color="auto"/>
            </w:tcBorders>
            <w:shd w:val="clear" w:color="auto" w:fill="auto"/>
            <w:noWrap/>
            <w:vAlign w:val="bottom"/>
            <w:hideMark/>
          </w:tcPr>
          <w:p w14:paraId="71C1E4F4"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2/8</w:t>
            </w:r>
          </w:p>
        </w:tc>
        <w:tc>
          <w:tcPr>
            <w:tcW w:w="949" w:type="dxa"/>
            <w:tcBorders>
              <w:top w:val="nil"/>
              <w:left w:val="nil"/>
              <w:bottom w:val="single" w:sz="4" w:space="0" w:color="auto"/>
              <w:right w:val="single" w:sz="4" w:space="0" w:color="auto"/>
            </w:tcBorders>
            <w:shd w:val="clear" w:color="auto" w:fill="auto"/>
            <w:noWrap/>
            <w:vAlign w:val="bottom"/>
            <w:hideMark/>
          </w:tcPr>
          <w:p w14:paraId="36795ABB"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1/3</w:t>
            </w:r>
          </w:p>
        </w:tc>
        <w:tc>
          <w:tcPr>
            <w:tcW w:w="949" w:type="dxa"/>
            <w:tcBorders>
              <w:top w:val="nil"/>
              <w:left w:val="nil"/>
              <w:bottom w:val="single" w:sz="4" w:space="0" w:color="auto"/>
              <w:right w:val="single" w:sz="4" w:space="0" w:color="auto"/>
            </w:tcBorders>
            <w:shd w:val="clear" w:color="auto" w:fill="auto"/>
            <w:noWrap/>
            <w:vAlign w:val="bottom"/>
            <w:hideMark/>
          </w:tcPr>
          <w:p w14:paraId="689A7599"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0/4</w:t>
            </w:r>
          </w:p>
        </w:tc>
      </w:tr>
      <w:tr w:rsidR="0007410A" w:rsidRPr="0007410A" w14:paraId="36BFEA82"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3E1EA872"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Substance Abuse</w:t>
            </w:r>
          </w:p>
        </w:tc>
        <w:tc>
          <w:tcPr>
            <w:tcW w:w="949" w:type="dxa"/>
            <w:tcBorders>
              <w:top w:val="nil"/>
              <w:left w:val="nil"/>
              <w:bottom w:val="single" w:sz="4" w:space="0" w:color="auto"/>
              <w:right w:val="single" w:sz="4" w:space="0" w:color="auto"/>
            </w:tcBorders>
            <w:shd w:val="clear" w:color="auto" w:fill="auto"/>
            <w:noWrap/>
            <w:vAlign w:val="bottom"/>
            <w:hideMark/>
          </w:tcPr>
          <w:p w14:paraId="3930F83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0/0</w:t>
            </w:r>
          </w:p>
        </w:tc>
        <w:tc>
          <w:tcPr>
            <w:tcW w:w="949" w:type="dxa"/>
            <w:tcBorders>
              <w:top w:val="nil"/>
              <w:left w:val="nil"/>
              <w:bottom w:val="single" w:sz="4" w:space="0" w:color="auto"/>
              <w:right w:val="single" w:sz="4" w:space="0" w:color="auto"/>
            </w:tcBorders>
            <w:shd w:val="clear" w:color="auto" w:fill="auto"/>
            <w:noWrap/>
            <w:vAlign w:val="bottom"/>
            <w:hideMark/>
          </w:tcPr>
          <w:p w14:paraId="26AFA89B"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0/0</w:t>
            </w:r>
          </w:p>
        </w:tc>
        <w:tc>
          <w:tcPr>
            <w:tcW w:w="949" w:type="dxa"/>
            <w:tcBorders>
              <w:top w:val="nil"/>
              <w:left w:val="nil"/>
              <w:bottom w:val="single" w:sz="4" w:space="0" w:color="auto"/>
              <w:right w:val="single" w:sz="4" w:space="0" w:color="auto"/>
            </w:tcBorders>
            <w:shd w:val="clear" w:color="auto" w:fill="auto"/>
            <w:noWrap/>
            <w:vAlign w:val="bottom"/>
            <w:hideMark/>
          </w:tcPr>
          <w:p w14:paraId="3BE40C7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0/5</w:t>
            </w:r>
          </w:p>
        </w:tc>
      </w:tr>
      <w:tr w:rsidR="0007410A" w:rsidRPr="0007410A" w14:paraId="360C3D11"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7B94418F" w14:textId="699C385A"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Transgender</w:t>
            </w:r>
            <w:r w:rsidR="009E0755">
              <w:rPr>
                <w:rFonts w:ascii="Calibri" w:eastAsia="Times New Roman" w:hAnsi="Calibri" w:cs="Times New Roman"/>
                <w:color w:val="000000"/>
                <w:lang w:eastAsia="en-US"/>
              </w:rPr>
              <w:t xml:space="preserve"> Persons</w:t>
            </w:r>
          </w:p>
        </w:tc>
        <w:tc>
          <w:tcPr>
            <w:tcW w:w="949" w:type="dxa"/>
            <w:tcBorders>
              <w:top w:val="nil"/>
              <w:left w:val="nil"/>
              <w:bottom w:val="single" w:sz="4" w:space="0" w:color="auto"/>
              <w:right w:val="single" w:sz="4" w:space="0" w:color="auto"/>
            </w:tcBorders>
            <w:shd w:val="clear" w:color="auto" w:fill="auto"/>
            <w:noWrap/>
            <w:vAlign w:val="bottom"/>
            <w:hideMark/>
          </w:tcPr>
          <w:p w14:paraId="01A3FDF8"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0/0</w:t>
            </w:r>
          </w:p>
        </w:tc>
        <w:tc>
          <w:tcPr>
            <w:tcW w:w="949" w:type="dxa"/>
            <w:tcBorders>
              <w:top w:val="nil"/>
              <w:left w:val="nil"/>
              <w:bottom w:val="single" w:sz="4" w:space="0" w:color="auto"/>
              <w:right w:val="single" w:sz="4" w:space="0" w:color="auto"/>
            </w:tcBorders>
            <w:shd w:val="clear" w:color="auto" w:fill="auto"/>
            <w:noWrap/>
            <w:vAlign w:val="bottom"/>
            <w:hideMark/>
          </w:tcPr>
          <w:p w14:paraId="0B52BFAE"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0/2</w:t>
            </w:r>
          </w:p>
        </w:tc>
        <w:tc>
          <w:tcPr>
            <w:tcW w:w="949" w:type="dxa"/>
            <w:tcBorders>
              <w:top w:val="nil"/>
              <w:left w:val="nil"/>
              <w:bottom w:val="single" w:sz="4" w:space="0" w:color="auto"/>
              <w:right w:val="single" w:sz="4" w:space="0" w:color="auto"/>
            </w:tcBorders>
            <w:shd w:val="clear" w:color="auto" w:fill="auto"/>
            <w:noWrap/>
            <w:vAlign w:val="bottom"/>
            <w:hideMark/>
          </w:tcPr>
          <w:p w14:paraId="00902C9D"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0/4</w:t>
            </w:r>
          </w:p>
        </w:tc>
      </w:tr>
      <w:tr w:rsidR="0007410A" w:rsidRPr="0007410A" w14:paraId="27F295B9"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0E8F95F3"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Youth</w:t>
            </w:r>
          </w:p>
        </w:tc>
        <w:tc>
          <w:tcPr>
            <w:tcW w:w="949" w:type="dxa"/>
            <w:tcBorders>
              <w:top w:val="nil"/>
              <w:left w:val="nil"/>
              <w:bottom w:val="single" w:sz="4" w:space="0" w:color="auto"/>
              <w:right w:val="single" w:sz="4" w:space="0" w:color="auto"/>
            </w:tcBorders>
            <w:shd w:val="clear" w:color="auto" w:fill="auto"/>
            <w:noWrap/>
            <w:vAlign w:val="bottom"/>
            <w:hideMark/>
          </w:tcPr>
          <w:p w14:paraId="35784DAA"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0/2</w:t>
            </w:r>
          </w:p>
        </w:tc>
        <w:tc>
          <w:tcPr>
            <w:tcW w:w="949" w:type="dxa"/>
            <w:tcBorders>
              <w:top w:val="nil"/>
              <w:left w:val="nil"/>
              <w:bottom w:val="single" w:sz="4" w:space="0" w:color="auto"/>
              <w:right w:val="single" w:sz="4" w:space="0" w:color="auto"/>
            </w:tcBorders>
            <w:shd w:val="clear" w:color="auto" w:fill="auto"/>
            <w:noWrap/>
            <w:vAlign w:val="bottom"/>
            <w:hideMark/>
          </w:tcPr>
          <w:p w14:paraId="63484A0C"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0/2</w:t>
            </w:r>
          </w:p>
        </w:tc>
        <w:tc>
          <w:tcPr>
            <w:tcW w:w="949" w:type="dxa"/>
            <w:tcBorders>
              <w:top w:val="nil"/>
              <w:left w:val="nil"/>
              <w:bottom w:val="single" w:sz="4" w:space="0" w:color="auto"/>
              <w:right w:val="single" w:sz="4" w:space="0" w:color="auto"/>
            </w:tcBorders>
            <w:shd w:val="clear" w:color="auto" w:fill="auto"/>
            <w:noWrap/>
            <w:vAlign w:val="bottom"/>
            <w:hideMark/>
          </w:tcPr>
          <w:p w14:paraId="674D9FA6"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0/2</w:t>
            </w:r>
          </w:p>
        </w:tc>
      </w:tr>
      <w:tr w:rsidR="0007410A" w:rsidRPr="0007410A" w14:paraId="23ECB593" w14:textId="77777777" w:rsidTr="0007410A">
        <w:trPr>
          <w:trHeight w:val="300"/>
          <w:jc w:val="center"/>
        </w:trPr>
        <w:tc>
          <w:tcPr>
            <w:tcW w:w="3854" w:type="dxa"/>
            <w:tcBorders>
              <w:top w:val="nil"/>
              <w:left w:val="single" w:sz="4" w:space="0" w:color="auto"/>
              <w:bottom w:val="single" w:sz="4" w:space="0" w:color="auto"/>
              <w:right w:val="single" w:sz="4" w:space="0" w:color="auto"/>
            </w:tcBorders>
            <w:shd w:val="clear" w:color="auto" w:fill="auto"/>
            <w:noWrap/>
            <w:vAlign w:val="bottom"/>
            <w:hideMark/>
          </w:tcPr>
          <w:p w14:paraId="20669BB2" w14:textId="77777777" w:rsidR="0007410A" w:rsidRPr="0007410A" w:rsidRDefault="0007410A" w:rsidP="0007410A">
            <w:pPr>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Other</w:t>
            </w:r>
          </w:p>
        </w:tc>
        <w:tc>
          <w:tcPr>
            <w:tcW w:w="949" w:type="dxa"/>
            <w:tcBorders>
              <w:top w:val="nil"/>
              <w:left w:val="nil"/>
              <w:bottom w:val="single" w:sz="4" w:space="0" w:color="auto"/>
              <w:right w:val="single" w:sz="4" w:space="0" w:color="auto"/>
            </w:tcBorders>
            <w:shd w:val="clear" w:color="auto" w:fill="auto"/>
            <w:noWrap/>
            <w:vAlign w:val="bottom"/>
            <w:hideMark/>
          </w:tcPr>
          <w:p w14:paraId="1B6FCC11"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1/1</w:t>
            </w:r>
          </w:p>
        </w:tc>
        <w:tc>
          <w:tcPr>
            <w:tcW w:w="949" w:type="dxa"/>
            <w:tcBorders>
              <w:top w:val="nil"/>
              <w:left w:val="nil"/>
              <w:bottom w:val="single" w:sz="4" w:space="0" w:color="auto"/>
              <w:right w:val="single" w:sz="4" w:space="0" w:color="auto"/>
            </w:tcBorders>
            <w:shd w:val="clear" w:color="auto" w:fill="auto"/>
            <w:noWrap/>
            <w:vAlign w:val="bottom"/>
            <w:hideMark/>
          </w:tcPr>
          <w:p w14:paraId="2AF457D5"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1/3</w:t>
            </w:r>
          </w:p>
        </w:tc>
        <w:tc>
          <w:tcPr>
            <w:tcW w:w="949" w:type="dxa"/>
            <w:tcBorders>
              <w:top w:val="nil"/>
              <w:left w:val="nil"/>
              <w:bottom w:val="single" w:sz="4" w:space="0" w:color="auto"/>
              <w:right w:val="single" w:sz="4" w:space="0" w:color="auto"/>
            </w:tcBorders>
            <w:shd w:val="clear" w:color="auto" w:fill="auto"/>
            <w:noWrap/>
            <w:vAlign w:val="bottom"/>
            <w:hideMark/>
          </w:tcPr>
          <w:p w14:paraId="7ADA4DEF" w14:textId="77777777" w:rsidR="0007410A" w:rsidRPr="0007410A" w:rsidRDefault="0007410A" w:rsidP="0007410A">
            <w:pPr>
              <w:jc w:val="right"/>
              <w:rPr>
                <w:rFonts w:ascii="Calibri" w:eastAsia="Times New Roman" w:hAnsi="Calibri" w:cs="Times New Roman"/>
                <w:color w:val="000000"/>
                <w:lang w:eastAsia="en-US"/>
              </w:rPr>
            </w:pPr>
            <w:r w:rsidRPr="0007410A">
              <w:rPr>
                <w:rFonts w:ascii="Calibri" w:eastAsia="Times New Roman" w:hAnsi="Calibri" w:cs="Times New Roman"/>
                <w:color w:val="000000"/>
                <w:lang w:eastAsia="en-US"/>
              </w:rPr>
              <w:t>0/4</w:t>
            </w:r>
          </w:p>
        </w:tc>
      </w:tr>
    </w:tbl>
    <w:p w14:paraId="5B9DC35B" w14:textId="5BA53466" w:rsidR="00DE62BA" w:rsidRDefault="001C077B" w:rsidP="0022188A">
      <w:pPr>
        <w:rPr>
          <w:rFonts w:cs="Times New Roman"/>
          <w:i/>
        </w:rPr>
      </w:pPr>
      <w:r>
        <w:rPr>
          <w:rFonts w:cs="Times New Roman"/>
          <w:i/>
        </w:rPr>
        <w:t xml:space="preserve">*In this table, the first number before the slash is the number of issues that contained rights talk and the number after the slash is the total number of recorded issues. </w:t>
      </w:r>
      <w:r w:rsidR="0022188A">
        <w:rPr>
          <w:rFonts w:cs="Times New Roman"/>
          <w:i/>
        </w:rPr>
        <w:t>Source: Gay Community News “Speaking Out” and “Community Voices” Letters to the Editor Columns, 1980, 1984, 1988</w:t>
      </w:r>
    </w:p>
    <w:p w14:paraId="52450E55" w14:textId="77777777" w:rsidR="00014B05" w:rsidRDefault="00014B05" w:rsidP="0022188A">
      <w:pPr>
        <w:rPr>
          <w:rFonts w:cs="Times New Roman"/>
          <w:b/>
        </w:rPr>
      </w:pPr>
    </w:p>
    <w:p w14:paraId="7EF0AB43" w14:textId="77777777" w:rsidR="00616E6B" w:rsidRDefault="00616E6B" w:rsidP="0022188A">
      <w:pPr>
        <w:rPr>
          <w:rFonts w:cs="Times New Roman"/>
          <w:b/>
        </w:rPr>
      </w:pPr>
    </w:p>
    <w:p w14:paraId="71E72F62" w14:textId="77777777" w:rsidR="00616E6B" w:rsidRDefault="00616E6B" w:rsidP="0022188A">
      <w:pPr>
        <w:rPr>
          <w:rFonts w:cs="Times New Roman"/>
          <w:b/>
        </w:rPr>
      </w:pPr>
    </w:p>
    <w:p w14:paraId="4D11C128" w14:textId="77777777" w:rsidR="00616E6B" w:rsidRDefault="00616E6B" w:rsidP="0022188A">
      <w:pPr>
        <w:rPr>
          <w:rFonts w:cs="Times New Roman"/>
          <w:b/>
        </w:rPr>
      </w:pPr>
    </w:p>
    <w:p w14:paraId="3D2BED6E" w14:textId="77777777" w:rsidR="00616E6B" w:rsidRDefault="00616E6B" w:rsidP="0022188A">
      <w:pPr>
        <w:rPr>
          <w:rFonts w:cs="Times New Roman"/>
          <w:b/>
        </w:rPr>
      </w:pPr>
    </w:p>
    <w:p w14:paraId="59405CE4" w14:textId="77777777" w:rsidR="00616E6B" w:rsidRDefault="00616E6B" w:rsidP="0022188A">
      <w:pPr>
        <w:rPr>
          <w:rFonts w:cs="Times New Roman"/>
          <w:b/>
        </w:rPr>
      </w:pPr>
    </w:p>
    <w:p w14:paraId="15387F0E" w14:textId="77777777" w:rsidR="00616E6B" w:rsidRDefault="00616E6B" w:rsidP="0022188A">
      <w:pPr>
        <w:rPr>
          <w:rFonts w:cs="Times New Roman"/>
          <w:b/>
        </w:rPr>
      </w:pPr>
    </w:p>
    <w:p w14:paraId="336F08F7" w14:textId="77777777" w:rsidR="00616E6B" w:rsidRDefault="00616E6B" w:rsidP="0022188A">
      <w:pPr>
        <w:rPr>
          <w:rFonts w:cs="Times New Roman"/>
          <w:b/>
        </w:rPr>
      </w:pPr>
    </w:p>
    <w:p w14:paraId="0697E1AC" w14:textId="77777777" w:rsidR="00616E6B" w:rsidRDefault="00616E6B" w:rsidP="0022188A">
      <w:pPr>
        <w:rPr>
          <w:rFonts w:cs="Times New Roman"/>
          <w:b/>
        </w:rPr>
      </w:pPr>
    </w:p>
    <w:p w14:paraId="0BB94127" w14:textId="77777777" w:rsidR="00616E6B" w:rsidRDefault="00616E6B" w:rsidP="0022188A">
      <w:pPr>
        <w:rPr>
          <w:rFonts w:cs="Times New Roman"/>
          <w:b/>
        </w:rPr>
      </w:pPr>
    </w:p>
    <w:p w14:paraId="2F5A9ED3" w14:textId="428BCB16" w:rsidR="00E30848" w:rsidRDefault="00E30848" w:rsidP="00BE48D0">
      <w:pPr>
        <w:spacing w:line="480" w:lineRule="auto"/>
        <w:jc w:val="center"/>
        <w:rPr>
          <w:rFonts w:cs="Times New Roman"/>
        </w:rPr>
      </w:pPr>
      <w:r>
        <w:rPr>
          <w:rFonts w:cs="Times New Roman"/>
          <w:b/>
        </w:rPr>
        <w:t>APPENDIX I</w:t>
      </w:r>
    </w:p>
    <w:p w14:paraId="43D91B06" w14:textId="77777777" w:rsidR="00E30848" w:rsidRPr="00E30848" w:rsidRDefault="00E30848" w:rsidP="00E30848">
      <w:pPr>
        <w:rPr>
          <w:rFonts w:cs="Times New Roman"/>
          <w:b/>
          <w:sz w:val="20"/>
          <w:szCs w:val="20"/>
        </w:rPr>
      </w:pPr>
      <w:r w:rsidRPr="00E30848">
        <w:rPr>
          <w:rFonts w:cs="Times New Roman"/>
          <w:b/>
          <w:sz w:val="20"/>
          <w:szCs w:val="20"/>
        </w:rPr>
        <w:t>ISSUES</w:t>
      </w:r>
    </w:p>
    <w:p w14:paraId="7AEE8D4B" w14:textId="77777777" w:rsidR="00E30848" w:rsidRPr="00E30848" w:rsidRDefault="00E30848" w:rsidP="00E30848">
      <w:pPr>
        <w:rPr>
          <w:rFonts w:cs="Times New Roman"/>
          <w:sz w:val="20"/>
          <w:szCs w:val="20"/>
        </w:rPr>
      </w:pPr>
    </w:p>
    <w:p w14:paraId="59C05610" w14:textId="0B23BAD2" w:rsidR="00E30848" w:rsidRPr="00E30848" w:rsidRDefault="00E30848" w:rsidP="00E30848">
      <w:pPr>
        <w:rPr>
          <w:rFonts w:cs="Times New Roman"/>
          <w:i/>
          <w:sz w:val="20"/>
          <w:szCs w:val="20"/>
        </w:rPr>
      </w:pPr>
      <w:r w:rsidRPr="00E30848">
        <w:rPr>
          <w:rFonts w:cs="Times New Roman"/>
          <w:i/>
          <w:sz w:val="20"/>
          <w:szCs w:val="20"/>
        </w:rPr>
        <w:t>These are policy discourses or issues that are mentioned in a letter.  They may or may not be connected to a rights discourse and a single letter can encompass multiple issues.</w:t>
      </w:r>
      <w:r>
        <w:rPr>
          <w:rFonts w:cs="Times New Roman"/>
          <w:i/>
          <w:sz w:val="20"/>
          <w:szCs w:val="20"/>
        </w:rPr>
        <w:t xml:space="preserve"> The definitions of the issues are as follows:</w:t>
      </w:r>
      <w:r w:rsidRPr="00E30848">
        <w:rPr>
          <w:rFonts w:eastAsia="Times New Roman" w:cs="Times New Roman"/>
          <w:sz w:val="20"/>
          <w:szCs w:val="20"/>
        </w:rPr>
        <w:t xml:space="preserve"> </w:t>
      </w:r>
    </w:p>
    <w:p w14:paraId="42B2836C" w14:textId="77777777" w:rsidR="00E30848" w:rsidRPr="00E30848" w:rsidRDefault="00E30848" w:rsidP="00E30848">
      <w:pPr>
        <w:rPr>
          <w:rFonts w:eastAsia="Times New Roman" w:cs="Times New Roman"/>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714"/>
      </w:tblGrid>
      <w:tr w:rsidR="00E30848" w:rsidRPr="00E30848" w14:paraId="786D4779" w14:textId="77777777" w:rsidTr="00F33871">
        <w:tc>
          <w:tcPr>
            <w:tcW w:w="2802" w:type="dxa"/>
            <w:tcBorders>
              <w:bottom w:val="single" w:sz="4" w:space="0" w:color="auto"/>
            </w:tcBorders>
          </w:tcPr>
          <w:p w14:paraId="55689761" w14:textId="262F9F3B"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sz w:val="20"/>
                <w:szCs w:val="20"/>
              </w:rPr>
            </w:pPr>
            <w:bookmarkStart w:id="1" w:name="4"/>
            <w:bookmarkStart w:id="2" w:name="6"/>
            <w:bookmarkStart w:id="3" w:name="7"/>
            <w:bookmarkStart w:id="4" w:name="10"/>
            <w:bookmarkStart w:id="5" w:name="13"/>
            <w:bookmarkEnd w:id="1"/>
            <w:bookmarkEnd w:id="2"/>
            <w:bookmarkEnd w:id="3"/>
            <w:bookmarkEnd w:id="4"/>
            <w:bookmarkEnd w:id="5"/>
            <w:r w:rsidRPr="00E30848">
              <w:rPr>
                <w:rFonts w:ascii="Times New Roman" w:eastAsia="Times New Roman" w:hAnsi="Times New Roman" w:cs="Times New Roman"/>
                <w:b w:val="0"/>
                <w:sz w:val="20"/>
                <w:szCs w:val="20"/>
              </w:rPr>
              <w:t>Adoption</w:t>
            </w:r>
          </w:p>
        </w:tc>
        <w:tc>
          <w:tcPr>
            <w:tcW w:w="5714" w:type="dxa"/>
            <w:tcBorders>
              <w:bottom w:val="single" w:sz="4" w:space="0" w:color="auto"/>
            </w:tcBorders>
          </w:tcPr>
          <w:p w14:paraId="28845994" w14:textId="440AE5D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bookmarkStart w:id="6" w:name="14"/>
            <w:bookmarkStart w:id="7" w:name="15"/>
            <w:bookmarkStart w:id="8" w:name="16"/>
            <w:bookmarkStart w:id="9" w:name="17"/>
            <w:bookmarkStart w:id="10" w:name="18"/>
            <w:bookmarkStart w:id="11" w:name="19"/>
            <w:bookmarkStart w:id="12" w:name="20"/>
            <w:bookmarkStart w:id="13" w:name="21"/>
            <w:bookmarkEnd w:id="6"/>
            <w:bookmarkEnd w:id="7"/>
            <w:bookmarkEnd w:id="8"/>
            <w:bookmarkEnd w:id="9"/>
            <w:bookmarkEnd w:id="10"/>
            <w:bookmarkEnd w:id="11"/>
            <w:bookmarkEnd w:id="12"/>
            <w:bookmarkEnd w:id="13"/>
            <w:r w:rsidRPr="00E30848">
              <w:rPr>
                <w:rFonts w:ascii="Times New Roman" w:eastAsia="Times New Roman" w:hAnsi="Times New Roman" w:cs="Times New Roman"/>
                <w:b w:val="0"/>
                <w:i w:val="0"/>
                <w:color w:val="auto"/>
                <w:sz w:val="20"/>
                <w:szCs w:val="20"/>
              </w:rPr>
              <w:t xml:space="preserve">Articles that mention the adoption of minor children and adults by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couples (married, not married, domestic partners, designated beneficiaries, civil unions, etc.) or by an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individual</w:t>
            </w:r>
          </w:p>
        </w:tc>
      </w:tr>
      <w:tr w:rsidR="00E30848" w:rsidRPr="00E30848" w14:paraId="1659C973" w14:textId="77777777" w:rsidTr="00F33871">
        <w:tc>
          <w:tcPr>
            <w:tcW w:w="2802" w:type="dxa"/>
            <w:tcBorders>
              <w:bottom w:val="single" w:sz="4" w:space="0" w:color="auto"/>
            </w:tcBorders>
          </w:tcPr>
          <w:p w14:paraId="135BDC74" w14:textId="0BFC5A20"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sz w:val="20"/>
                <w:szCs w:val="20"/>
              </w:rPr>
            </w:pPr>
            <w:r w:rsidRPr="00E30848">
              <w:rPr>
                <w:rFonts w:ascii="Times New Roman" w:eastAsia="Times New Roman" w:hAnsi="Times New Roman" w:cs="Times New Roman"/>
                <w:b w:val="0"/>
                <w:sz w:val="20"/>
                <w:szCs w:val="20"/>
              </w:rPr>
              <w:t>AIDS/HIV</w:t>
            </w:r>
          </w:p>
        </w:tc>
        <w:tc>
          <w:tcPr>
            <w:tcW w:w="5714" w:type="dxa"/>
            <w:tcBorders>
              <w:bottom w:val="single" w:sz="4" w:space="0" w:color="auto"/>
            </w:tcBorders>
          </w:tcPr>
          <w:p w14:paraId="46250C68"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Articles that mention HIV or AIDS in any way including reporting on films, reports, or books on HIV/AIDS.</w:t>
            </w:r>
          </w:p>
        </w:tc>
      </w:tr>
      <w:tr w:rsidR="00E30848" w:rsidRPr="00E30848" w14:paraId="556A57D3" w14:textId="77777777" w:rsidTr="00F33871">
        <w:tc>
          <w:tcPr>
            <w:tcW w:w="2802" w:type="dxa"/>
            <w:tcBorders>
              <w:bottom w:val="single" w:sz="4" w:space="0" w:color="auto"/>
            </w:tcBorders>
          </w:tcPr>
          <w:p w14:paraId="0D920830" w14:textId="6B1A403C"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sz w:val="20"/>
                <w:szCs w:val="20"/>
              </w:rPr>
            </w:pPr>
            <w:r w:rsidRPr="00E30848">
              <w:rPr>
                <w:rFonts w:ascii="Times New Roman" w:eastAsia="Times New Roman" w:hAnsi="Times New Roman" w:cs="Times New Roman"/>
                <w:b w:val="0"/>
                <w:sz w:val="20"/>
                <w:szCs w:val="20"/>
              </w:rPr>
              <w:t xml:space="preserve">Anti-Marriage </w:t>
            </w:r>
            <w:r w:rsidRPr="00E30848">
              <w:rPr>
                <w:rFonts w:ascii="Times New Roman" w:eastAsia="Times New Roman" w:hAnsi="Times New Roman" w:cs="Times New Roman"/>
                <w:sz w:val="20"/>
                <w:szCs w:val="20"/>
              </w:rPr>
              <w:t xml:space="preserve">(DID NOT APPEAR IN </w:t>
            </w:r>
            <w:r w:rsidRPr="00E30848">
              <w:rPr>
                <w:rFonts w:ascii="Times New Roman" w:eastAsia="Times New Roman" w:hAnsi="Times New Roman" w:cs="Times New Roman"/>
                <w:i/>
                <w:sz w:val="20"/>
                <w:szCs w:val="20"/>
              </w:rPr>
              <w:t>GCN</w:t>
            </w:r>
            <w:r w:rsidRPr="00E30848">
              <w:rPr>
                <w:rFonts w:ascii="Times New Roman" w:eastAsia="Times New Roman" w:hAnsi="Times New Roman" w:cs="Times New Roman"/>
                <w:sz w:val="20"/>
                <w:szCs w:val="20"/>
              </w:rPr>
              <w:t>)</w:t>
            </w:r>
          </w:p>
        </w:tc>
        <w:tc>
          <w:tcPr>
            <w:tcW w:w="5714" w:type="dxa"/>
            <w:tcBorders>
              <w:bottom w:val="single" w:sz="4" w:space="0" w:color="auto"/>
            </w:tcBorders>
          </w:tcPr>
          <w:p w14:paraId="3650D0E3"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This is a permutation of the non-marital relationships policy discourse.  However, this discourse is concerned with a rejection of heterosexual norms (marriage).  This discourse includes all articles that, in some way, discuss the need to reject marriage.  </w:t>
            </w:r>
          </w:p>
        </w:tc>
      </w:tr>
      <w:tr w:rsidR="00E30848" w:rsidRPr="00E30848" w14:paraId="5C4A565E" w14:textId="77777777" w:rsidTr="00F33871">
        <w:tc>
          <w:tcPr>
            <w:tcW w:w="2802" w:type="dxa"/>
            <w:tcBorders>
              <w:top w:val="single" w:sz="4" w:space="0" w:color="auto"/>
              <w:bottom w:val="single" w:sz="4" w:space="0" w:color="auto"/>
            </w:tcBorders>
          </w:tcPr>
          <w:p w14:paraId="6BB81ECE" w14:textId="3E176B75" w:rsidR="00E30848" w:rsidRPr="00047C96" w:rsidRDefault="00E30848" w:rsidP="00F33871">
            <w:pPr>
              <w:spacing w:before="120" w:after="120"/>
              <w:outlineLvl w:val="2"/>
              <w:rPr>
                <w:rFonts w:eastAsia="Times New Roman" w:cs="Times New Roman"/>
                <w:b/>
                <w:bCs/>
                <w:sz w:val="20"/>
                <w:szCs w:val="20"/>
              </w:rPr>
            </w:pPr>
            <w:r w:rsidRPr="00E30848">
              <w:rPr>
                <w:rFonts w:eastAsia="Times New Roman" w:cs="Times New Roman"/>
                <w:bCs/>
                <w:sz w:val="20"/>
                <w:szCs w:val="20"/>
              </w:rPr>
              <w:t>Custody</w:t>
            </w:r>
            <w:r w:rsidR="00047C96">
              <w:rPr>
                <w:rFonts w:eastAsia="Times New Roman" w:cs="Times New Roman"/>
                <w:bCs/>
                <w:sz w:val="20"/>
                <w:szCs w:val="20"/>
              </w:rPr>
              <w:t xml:space="preserve"> </w:t>
            </w:r>
            <w:r w:rsidR="00047C96">
              <w:rPr>
                <w:rFonts w:eastAsia="Times New Roman" w:cs="Times New Roman"/>
                <w:b/>
                <w:bCs/>
                <w:sz w:val="20"/>
                <w:szCs w:val="20"/>
              </w:rPr>
              <w:t xml:space="preserve">(DID NOT APPEAR IN </w:t>
            </w:r>
            <w:r w:rsidR="00047C96">
              <w:rPr>
                <w:rFonts w:eastAsia="Times New Roman" w:cs="Times New Roman"/>
                <w:b/>
                <w:bCs/>
                <w:i/>
                <w:sz w:val="20"/>
                <w:szCs w:val="20"/>
              </w:rPr>
              <w:t>GCN</w:t>
            </w:r>
            <w:r w:rsidR="00047C96">
              <w:rPr>
                <w:rFonts w:eastAsia="Times New Roman" w:cs="Times New Roman"/>
                <w:b/>
                <w:bCs/>
                <w:sz w:val="20"/>
                <w:szCs w:val="20"/>
              </w:rPr>
              <w:t>)</w:t>
            </w:r>
          </w:p>
        </w:tc>
        <w:tc>
          <w:tcPr>
            <w:tcW w:w="5714" w:type="dxa"/>
            <w:tcBorders>
              <w:top w:val="single" w:sz="4" w:space="0" w:color="auto"/>
              <w:bottom w:val="single" w:sz="4" w:space="0" w:color="auto"/>
            </w:tcBorders>
          </w:tcPr>
          <w:p w14:paraId="1182A6EC" w14:textId="2DB5B82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Custody disputes involving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couples (married, not married, domestic partners, designated beneficiaries, civil unions, etc.), a couple with a heterosexual and an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parent, and third party custody disputes (involving the state, grandparents, siblings, other family members, friends, etc.)</w:t>
            </w:r>
          </w:p>
        </w:tc>
      </w:tr>
      <w:tr w:rsidR="00E30848" w:rsidRPr="00E30848" w14:paraId="3A584FBB" w14:textId="77777777" w:rsidTr="00F33871">
        <w:tc>
          <w:tcPr>
            <w:tcW w:w="2802" w:type="dxa"/>
            <w:tcBorders>
              <w:top w:val="single" w:sz="4" w:space="0" w:color="auto"/>
              <w:bottom w:val="single" w:sz="4" w:space="0" w:color="auto"/>
            </w:tcBorders>
          </w:tcPr>
          <w:p w14:paraId="2AE03B8D" w14:textId="23823CA0" w:rsidR="00E30848" w:rsidRPr="00E30848" w:rsidRDefault="00E30848" w:rsidP="00562E34">
            <w:pPr>
              <w:spacing w:before="120" w:after="120"/>
              <w:outlineLvl w:val="2"/>
              <w:rPr>
                <w:rFonts w:eastAsia="Times New Roman" w:cs="Times New Roman"/>
                <w:bCs/>
                <w:sz w:val="20"/>
                <w:szCs w:val="20"/>
              </w:rPr>
            </w:pPr>
            <w:r w:rsidRPr="00E30848">
              <w:rPr>
                <w:rFonts w:eastAsia="Times New Roman" w:cs="Times New Roman"/>
                <w:bCs/>
                <w:sz w:val="20"/>
                <w:szCs w:val="20"/>
              </w:rPr>
              <w:t>Discrimination Education</w:t>
            </w:r>
          </w:p>
        </w:tc>
        <w:tc>
          <w:tcPr>
            <w:tcW w:w="5714" w:type="dxa"/>
            <w:tcBorders>
              <w:top w:val="single" w:sz="4" w:space="0" w:color="auto"/>
              <w:bottom w:val="single" w:sz="4" w:space="0" w:color="auto"/>
            </w:tcBorders>
          </w:tcPr>
          <w:p w14:paraId="77595D2C"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Discrimination in the educational setting, including, but not limited to: refusal to admit into a primary, secondary, post-secondary, or graduate institution and discrimination in the distribution of education-based funding packages.  Do not include discrimination in teaching or educational jobs (include this under employment discrimination).</w:t>
            </w:r>
          </w:p>
        </w:tc>
      </w:tr>
      <w:tr w:rsidR="00E30848" w:rsidRPr="00E30848" w14:paraId="3C7C7613" w14:textId="77777777" w:rsidTr="00F33871">
        <w:tc>
          <w:tcPr>
            <w:tcW w:w="2802" w:type="dxa"/>
            <w:tcBorders>
              <w:top w:val="single" w:sz="4" w:space="0" w:color="auto"/>
              <w:bottom w:val="single" w:sz="4" w:space="0" w:color="auto"/>
            </w:tcBorders>
          </w:tcPr>
          <w:p w14:paraId="68F77E64" w14:textId="7685858B" w:rsidR="00E30848" w:rsidRPr="00E30848" w:rsidRDefault="00E30848" w:rsidP="00F33871">
            <w:pPr>
              <w:spacing w:before="120" w:after="120"/>
              <w:outlineLvl w:val="2"/>
              <w:rPr>
                <w:rFonts w:eastAsia="Times New Roman" w:cs="Times New Roman"/>
                <w:bCs/>
                <w:sz w:val="20"/>
                <w:szCs w:val="20"/>
              </w:rPr>
            </w:pPr>
            <w:r w:rsidRPr="00E30848">
              <w:rPr>
                <w:rFonts w:eastAsia="Times New Roman" w:cs="Times New Roman"/>
                <w:bCs/>
                <w:sz w:val="20"/>
                <w:szCs w:val="20"/>
              </w:rPr>
              <w:t>Discrimination Employment</w:t>
            </w:r>
          </w:p>
        </w:tc>
        <w:tc>
          <w:tcPr>
            <w:tcW w:w="5714" w:type="dxa"/>
            <w:tcBorders>
              <w:top w:val="single" w:sz="4" w:space="0" w:color="auto"/>
              <w:bottom w:val="single" w:sz="4" w:space="0" w:color="auto"/>
            </w:tcBorders>
          </w:tcPr>
          <w:p w14:paraId="79B8AAC6"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Discrimination in the employment setting (non-military), including, but not limited to: lack of job availability, failure to hire, firing, unequal pay, and forcing an individual to leave due to harassment in the workplace.</w:t>
            </w:r>
          </w:p>
        </w:tc>
      </w:tr>
      <w:tr w:rsidR="00E30848" w:rsidRPr="00E30848" w14:paraId="648B91A5" w14:textId="77777777" w:rsidTr="00F33871">
        <w:tc>
          <w:tcPr>
            <w:tcW w:w="2802" w:type="dxa"/>
            <w:tcBorders>
              <w:top w:val="single" w:sz="4" w:space="0" w:color="auto"/>
              <w:bottom w:val="single" w:sz="4" w:space="0" w:color="auto"/>
            </w:tcBorders>
          </w:tcPr>
          <w:p w14:paraId="0DCA9265" w14:textId="7B610F4B"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sz w:val="20"/>
                <w:szCs w:val="20"/>
              </w:rPr>
            </w:pPr>
            <w:r w:rsidRPr="00E30848">
              <w:rPr>
                <w:rFonts w:ascii="Times New Roman" w:eastAsia="Times New Roman" w:hAnsi="Times New Roman" w:cs="Times New Roman"/>
                <w:b w:val="0"/>
                <w:bCs w:val="0"/>
                <w:sz w:val="20"/>
                <w:szCs w:val="20"/>
              </w:rPr>
              <w:t>Discrimination Housing</w:t>
            </w:r>
          </w:p>
        </w:tc>
        <w:tc>
          <w:tcPr>
            <w:tcW w:w="5714" w:type="dxa"/>
            <w:tcBorders>
              <w:top w:val="single" w:sz="4" w:space="0" w:color="auto"/>
              <w:bottom w:val="single" w:sz="4" w:space="0" w:color="auto"/>
            </w:tcBorders>
          </w:tcPr>
          <w:p w14:paraId="2F5ED7DA"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Discrimination in housing including, but not limited to: evictions, lack of housing availability, restrictive covenants, and forcing an individual to leave due to neighborhood harassment.</w:t>
            </w:r>
          </w:p>
        </w:tc>
      </w:tr>
      <w:tr w:rsidR="00E30848" w:rsidRPr="00E30848" w14:paraId="3C1D3CD8" w14:textId="77777777" w:rsidTr="00F33871">
        <w:tc>
          <w:tcPr>
            <w:tcW w:w="2802" w:type="dxa"/>
            <w:tcBorders>
              <w:top w:val="single" w:sz="4" w:space="0" w:color="auto"/>
              <w:bottom w:val="single" w:sz="4" w:space="0" w:color="auto"/>
            </w:tcBorders>
          </w:tcPr>
          <w:p w14:paraId="595F63C5" w14:textId="55949C5E"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sz w:val="20"/>
                <w:szCs w:val="20"/>
              </w:rPr>
            </w:pPr>
            <w:r w:rsidRPr="00E30848">
              <w:rPr>
                <w:rFonts w:ascii="Times New Roman" w:eastAsia="Times New Roman" w:hAnsi="Times New Roman" w:cs="Times New Roman"/>
                <w:b w:val="0"/>
                <w:bCs w:val="0"/>
                <w:sz w:val="20"/>
                <w:szCs w:val="20"/>
              </w:rPr>
              <w:t>Discrimination Service</w:t>
            </w:r>
          </w:p>
        </w:tc>
        <w:tc>
          <w:tcPr>
            <w:tcW w:w="5714" w:type="dxa"/>
            <w:tcBorders>
              <w:top w:val="single" w:sz="4" w:space="0" w:color="auto"/>
              <w:bottom w:val="single" w:sz="4" w:space="0" w:color="auto"/>
            </w:tcBorders>
          </w:tcPr>
          <w:p w14:paraId="3B836DEF" w14:textId="0BDD5F7F"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Discrimination in public accommodations (restaurants, bars, hotels, etc.) including, but not limited to: failure to serve, arrests, and raids.  This policy discourse is designed to account for discrimination in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bars (e.g. Stonewall).  Also includes discrimination in immigration.</w:t>
            </w:r>
          </w:p>
        </w:tc>
      </w:tr>
      <w:tr w:rsidR="00E30848" w:rsidRPr="00E30848" w14:paraId="7099DB77" w14:textId="77777777" w:rsidTr="00F33871">
        <w:tc>
          <w:tcPr>
            <w:tcW w:w="2802" w:type="dxa"/>
            <w:tcBorders>
              <w:top w:val="single" w:sz="4" w:space="0" w:color="auto"/>
              <w:bottom w:val="single" w:sz="4" w:space="0" w:color="auto"/>
            </w:tcBorders>
          </w:tcPr>
          <w:p w14:paraId="48B40E33" w14:textId="413FA02F"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Discrimination Sex</w:t>
            </w:r>
          </w:p>
        </w:tc>
        <w:tc>
          <w:tcPr>
            <w:tcW w:w="5714" w:type="dxa"/>
            <w:tcBorders>
              <w:top w:val="single" w:sz="4" w:space="0" w:color="auto"/>
              <w:bottom w:val="single" w:sz="4" w:space="0" w:color="auto"/>
            </w:tcBorders>
          </w:tcPr>
          <w:p w14:paraId="3E918B4D"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Discrimination on the basis of sex – for this type of discrimination, </w:t>
            </w:r>
            <w:proofErr w:type="gramStart"/>
            <w:r w:rsidRPr="00E30848">
              <w:rPr>
                <w:rFonts w:ascii="Times New Roman" w:eastAsia="Times New Roman" w:hAnsi="Times New Roman" w:cs="Times New Roman"/>
                <w:b w:val="0"/>
                <w:i w:val="0"/>
                <w:color w:val="auto"/>
                <w:sz w:val="20"/>
                <w:szCs w:val="20"/>
              </w:rPr>
              <w:t>check</w:t>
            </w:r>
            <w:proofErr w:type="gramEnd"/>
            <w:r w:rsidRPr="00E30848">
              <w:rPr>
                <w:rFonts w:ascii="Times New Roman" w:eastAsia="Times New Roman" w:hAnsi="Times New Roman" w:cs="Times New Roman"/>
                <w:b w:val="0"/>
                <w:i w:val="0"/>
                <w:color w:val="auto"/>
                <w:sz w:val="20"/>
                <w:szCs w:val="20"/>
              </w:rPr>
              <w:t xml:space="preserve"> multiple policy areas if at all possible.  For instance, an event may constitute discrimination based on sex and employment discrimination (for example, a woman could be fired from her job because she is pregnant – this is discrimination based on sex in the employment arena, as a result, it covers discrimination in two settings: sex and employment)</w:t>
            </w:r>
          </w:p>
        </w:tc>
      </w:tr>
      <w:tr w:rsidR="00E30848" w:rsidRPr="00E30848" w14:paraId="309A75CB" w14:textId="77777777" w:rsidTr="00F33871">
        <w:tc>
          <w:tcPr>
            <w:tcW w:w="2802" w:type="dxa"/>
            <w:tcBorders>
              <w:top w:val="single" w:sz="4" w:space="0" w:color="auto"/>
              <w:bottom w:val="single" w:sz="4" w:space="0" w:color="auto"/>
            </w:tcBorders>
          </w:tcPr>
          <w:p w14:paraId="598563E8" w14:textId="40F10357"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Discrimination Generally</w:t>
            </w:r>
          </w:p>
        </w:tc>
        <w:tc>
          <w:tcPr>
            <w:tcW w:w="5714" w:type="dxa"/>
            <w:tcBorders>
              <w:top w:val="single" w:sz="4" w:space="0" w:color="auto"/>
              <w:bottom w:val="single" w:sz="4" w:space="0" w:color="auto"/>
            </w:tcBorders>
          </w:tcPr>
          <w:p w14:paraId="6D56A8E6"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Use this category whenever it is unclear what type of discrimination an article is referring to or if the article refers to multiple types of discrimination.  If multiple types of discrimination are listed, count them individually, not in this category (may collapse later).</w:t>
            </w:r>
          </w:p>
        </w:tc>
      </w:tr>
      <w:tr w:rsidR="00E30848" w:rsidRPr="00E30848" w14:paraId="07CE7335" w14:textId="77777777" w:rsidTr="00F33871">
        <w:tc>
          <w:tcPr>
            <w:tcW w:w="2802" w:type="dxa"/>
            <w:tcBorders>
              <w:top w:val="single" w:sz="4" w:space="0" w:color="auto"/>
              <w:bottom w:val="single" w:sz="4" w:space="0" w:color="auto"/>
            </w:tcBorders>
          </w:tcPr>
          <w:p w14:paraId="30A5B880" w14:textId="7919F964"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sz w:val="20"/>
                <w:szCs w:val="20"/>
              </w:rPr>
            </w:pPr>
            <w:r w:rsidRPr="00E30848">
              <w:rPr>
                <w:rFonts w:ascii="Times New Roman" w:eastAsia="Times New Roman" w:hAnsi="Times New Roman" w:cs="Times New Roman"/>
                <w:b w:val="0"/>
                <w:bCs w:val="0"/>
                <w:sz w:val="20"/>
                <w:szCs w:val="20"/>
              </w:rPr>
              <w:t>Hospital Visitation</w:t>
            </w:r>
          </w:p>
        </w:tc>
        <w:tc>
          <w:tcPr>
            <w:tcW w:w="5714" w:type="dxa"/>
            <w:tcBorders>
              <w:top w:val="single" w:sz="4" w:space="0" w:color="auto"/>
              <w:bottom w:val="single" w:sz="4" w:space="0" w:color="auto"/>
            </w:tcBorders>
          </w:tcPr>
          <w:p w14:paraId="60A3D27A" w14:textId="4DBBAF0F"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Instances in which an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individual is prevented from visiting his or her partner in the hospital because the individual and partner’s relationship is not legally or socially recognized.</w:t>
            </w:r>
          </w:p>
        </w:tc>
      </w:tr>
      <w:tr w:rsidR="00E30848" w:rsidRPr="00E30848" w14:paraId="0985D377" w14:textId="77777777" w:rsidTr="00F33871">
        <w:tc>
          <w:tcPr>
            <w:tcW w:w="2802" w:type="dxa"/>
            <w:tcBorders>
              <w:top w:val="single" w:sz="4" w:space="0" w:color="auto"/>
              <w:bottom w:val="single" w:sz="4" w:space="0" w:color="auto"/>
            </w:tcBorders>
          </w:tcPr>
          <w:p w14:paraId="1626666A" w14:textId="74817AE5"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Immigration</w:t>
            </w:r>
          </w:p>
        </w:tc>
        <w:tc>
          <w:tcPr>
            <w:tcW w:w="5714" w:type="dxa"/>
            <w:tcBorders>
              <w:top w:val="single" w:sz="4" w:space="0" w:color="auto"/>
              <w:bottom w:val="single" w:sz="4" w:space="0" w:color="auto"/>
            </w:tcBorders>
          </w:tcPr>
          <w:p w14:paraId="5A339FC9" w14:textId="56CB0533"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All issues having to do with immigration, including: discrimination (i.e., refusing to grant visas to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individuals).</w:t>
            </w:r>
          </w:p>
        </w:tc>
      </w:tr>
      <w:tr w:rsidR="00E30848" w:rsidRPr="00E30848" w14:paraId="1E599163" w14:textId="77777777" w:rsidTr="00F33871">
        <w:tc>
          <w:tcPr>
            <w:tcW w:w="2802" w:type="dxa"/>
            <w:tcBorders>
              <w:top w:val="single" w:sz="4" w:space="0" w:color="auto"/>
              <w:bottom w:val="single" w:sz="4" w:space="0" w:color="auto"/>
            </w:tcBorders>
          </w:tcPr>
          <w:p w14:paraId="6681328A" w14:textId="26548FEA"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Media (Music, Film, Art, etc.)</w:t>
            </w:r>
          </w:p>
        </w:tc>
        <w:tc>
          <w:tcPr>
            <w:tcW w:w="5714" w:type="dxa"/>
            <w:tcBorders>
              <w:top w:val="single" w:sz="4" w:space="0" w:color="auto"/>
              <w:bottom w:val="single" w:sz="4" w:space="0" w:color="auto"/>
            </w:tcBorders>
          </w:tcPr>
          <w:p w14:paraId="057CC336" w14:textId="585DC4DC"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This issue encompasses references to lack of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representation or inaccurate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media outlets, including music, film, art, and literature.  Also included in this issue are discussions of media and art forms produced by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artists.</w:t>
            </w:r>
          </w:p>
        </w:tc>
      </w:tr>
      <w:tr w:rsidR="00E30848" w:rsidRPr="00E30848" w14:paraId="4EDE4900" w14:textId="77777777" w:rsidTr="00F33871">
        <w:tc>
          <w:tcPr>
            <w:tcW w:w="2802" w:type="dxa"/>
            <w:tcBorders>
              <w:top w:val="single" w:sz="4" w:space="0" w:color="auto"/>
              <w:bottom w:val="single" w:sz="4" w:space="0" w:color="auto"/>
            </w:tcBorders>
          </w:tcPr>
          <w:p w14:paraId="6D2B413A" w14:textId="4CC4BC79"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Medical Access</w:t>
            </w:r>
          </w:p>
        </w:tc>
        <w:tc>
          <w:tcPr>
            <w:tcW w:w="5714" w:type="dxa"/>
            <w:tcBorders>
              <w:top w:val="single" w:sz="4" w:space="0" w:color="auto"/>
              <w:bottom w:val="single" w:sz="4" w:space="0" w:color="auto"/>
            </w:tcBorders>
          </w:tcPr>
          <w:p w14:paraId="2F724C1A"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category is designed to capture the refusal to provide medical treatment, particularly with respect to the AIDS epidemic</w:t>
            </w:r>
          </w:p>
        </w:tc>
      </w:tr>
      <w:tr w:rsidR="00E30848" w:rsidRPr="00E30848" w14:paraId="1C449A8E" w14:textId="77777777" w:rsidTr="00F33871">
        <w:tc>
          <w:tcPr>
            <w:tcW w:w="2802" w:type="dxa"/>
            <w:tcBorders>
              <w:top w:val="single" w:sz="4" w:space="0" w:color="auto"/>
              <w:bottom w:val="single" w:sz="4" w:space="0" w:color="auto"/>
            </w:tcBorders>
          </w:tcPr>
          <w:p w14:paraId="40A370BF" w14:textId="327F49BF"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Military</w:t>
            </w:r>
          </w:p>
        </w:tc>
        <w:tc>
          <w:tcPr>
            <w:tcW w:w="5714" w:type="dxa"/>
            <w:tcBorders>
              <w:top w:val="single" w:sz="4" w:space="0" w:color="auto"/>
              <w:bottom w:val="single" w:sz="4" w:space="0" w:color="auto"/>
            </w:tcBorders>
          </w:tcPr>
          <w:p w14:paraId="592930DE"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Discrimination in the military setting of all kinds including, but not limited to the Don’t Ask Don’t Tell policy, employment discrimination and benefits related discrimination.</w:t>
            </w:r>
          </w:p>
        </w:tc>
      </w:tr>
      <w:tr w:rsidR="00E30848" w:rsidRPr="00E30848" w14:paraId="52DB1CB0" w14:textId="77777777" w:rsidTr="00F33871">
        <w:tc>
          <w:tcPr>
            <w:tcW w:w="2802" w:type="dxa"/>
            <w:tcBorders>
              <w:top w:val="single" w:sz="4" w:space="0" w:color="auto"/>
              <w:bottom w:val="single" w:sz="4" w:space="0" w:color="auto"/>
            </w:tcBorders>
          </w:tcPr>
          <w:p w14:paraId="0EE9EE44" w14:textId="583CEB6B"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Police Trouble/Brutality</w:t>
            </w:r>
          </w:p>
        </w:tc>
        <w:tc>
          <w:tcPr>
            <w:tcW w:w="5714" w:type="dxa"/>
            <w:tcBorders>
              <w:top w:val="single" w:sz="4" w:space="0" w:color="auto"/>
              <w:bottom w:val="single" w:sz="4" w:space="0" w:color="auto"/>
            </w:tcBorders>
          </w:tcPr>
          <w:p w14:paraId="3F664E6A"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category is designed to include all events or incidents that have to do with police harassment.  Include all arrests in this category (although arrests may apply to multiple categories – for instance, Stonewall Raids – arrests are would be placed under police trouble and discrimination service).</w:t>
            </w:r>
          </w:p>
        </w:tc>
      </w:tr>
      <w:tr w:rsidR="00E30848" w:rsidRPr="00E30848" w14:paraId="2D485B52" w14:textId="77777777" w:rsidTr="00F33871">
        <w:tc>
          <w:tcPr>
            <w:tcW w:w="2802" w:type="dxa"/>
            <w:tcBorders>
              <w:top w:val="single" w:sz="4" w:space="0" w:color="auto"/>
              <w:bottom w:val="single" w:sz="4" w:space="0" w:color="auto"/>
            </w:tcBorders>
          </w:tcPr>
          <w:p w14:paraId="3AE86028" w14:textId="34204934"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Prison</w:t>
            </w:r>
          </w:p>
        </w:tc>
        <w:tc>
          <w:tcPr>
            <w:tcW w:w="5714" w:type="dxa"/>
            <w:tcBorders>
              <w:top w:val="single" w:sz="4" w:space="0" w:color="auto"/>
              <w:bottom w:val="single" w:sz="4" w:space="0" w:color="auto"/>
            </w:tcBorders>
          </w:tcPr>
          <w:p w14:paraId="7FBDBEA9"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category encompasses all grievances that are specific to the prison environment, including but not limited to: discriminatory practices, mail policies, prison guard violence, and prison inmate violence.</w:t>
            </w:r>
          </w:p>
        </w:tc>
      </w:tr>
      <w:tr w:rsidR="00E30848" w:rsidRPr="00E30848" w14:paraId="6C198C08" w14:textId="77777777" w:rsidTr="00F33871">
        <w:tc>
          <w:tcPr>
            <w:tcW w:w="2802" w:type="dxa"/>
            <w:tcBorders>
              <w:top w:val="single" w:sz="4" w:space="0" w:color="auto"/>
              <w:bottom w:val="single" w:sz="4" w:space="0" w:color="auto"/>
            </w:tcBorders>
          </w:tcPr>
          <w:p w14:paraId="4BE4316E" w14:textId="55A527DB"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Sexual (Man/Boy)</w:t>
            </w:r>
          </w:p>
        </w:tc>
        <w:tc>
          <w:tcPr>
            <w:tcW w:w="5714" w:type="dxa"/>
            <w:tcBorders>
              <w:top w:val="single" w:sz="4" w:space="0" w:color="auto"/>
              <w:bottom w:val="single" w:sz="4" w:space="0" w:color="auto"/>
            </w:tcBorders>
          </w:tcPr>
          <w:p w14:paraId="0C491E3C"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category refers to all issues related to man/boy sexual practices by authors who both support and oppose these practices.</w:t>
            </w:r>
          </w:p>
        </w:tc>
      </w:tr>
      <w:tr w:rsidR="00E30848" w:rsidRPr="00E30848" w14:paraId="78D6E18D" w14:textId="77777777" w:rsidTr="00F33871">
        <w:tc>
          <w:tcPr>
            <w:tcW w:w="2802" w:type="dxa"/>
            <w:tcBorders>
              <w:top w:val="single" w:sz="4" w:space="0" w:color="auto"/>
              <w:bottom w:val="single" w:sz="4" w:space="0" w:color="auto"/>
            </w:tcBorders>
          </w:tcPr>
          <w:p w14:paraId="2B1DFD81" w14:textId="3BF6DFD7"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sz w:val="20"/>
                <w:szCs w:val="20"/>
              </w:rPr>
            </w:pPr>
            <w:r w:rsidRPr="00E30848">
              <w:rPr>
                <w:rFonts w:ascii="Times New Roman" w:eastAsia="Times New Roman" w:hAnsi="Times New Roman" w:cs="Times New Roman"/>
                <w:b w:val="0"/>
                <w:bCs w:val="0"/>
                <w:sz w:val="20"/>
                <w:szCs w:val="20"/>
              </w:rPr>
              <w:t>Sexual (Marriage)</w:t>
            </w:r>
          </w:p>
        </w:tc>
        <w:tc>
          <w:tcPr>
            <w:tcW w:w="5714" w:type="dxa"/>
            <w:tcBorders>
              <w:top w:val="single" w:sz="4" w:space="0" w:color="auto"/>
              <w:bottom w:val="single" w:sz="4" w:space="0" w:color="auto"/>
            </w:tcBorders>
          </w:tcPr>
          <w:p w14:paraId="3892F53C" w14:textId="20FC666F"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This category includes all attempts and failures to legally recognize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legally relationships as marriages (non-marital relationships are included in item 11 below)</w:t>
            </w:r>
          </w:p>
        </w:tc>
      </w:tr>
      <w:tr w:rsidR="00E30848" w:rsidRPr="00E30848" w14:paraId="4673F6C9" w14:textId="77777777" w:rsidTr="00F33871">
        <w:tc>
          <w:tcPr>
            <w:tcW w:w="2802" w:type="dxa"/>
            <w:tcBorders>
              <w:top w:val="single" w:sz="4" w:space="0" w:color="auto"/>
              <w:bottom w:val="single" w:sz="4" w:space="0" w:color="auto"/>
            </w:tcBorders>
          </w:tcPr>
          <w:p w14:paraId="6697C77F" w14:textId="08F6086F"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Sexual (Non-Marital Relationships)</w:t>
            </w:r>
          </w:p>
        </w:tc>
        <w:tc>
          <w:tcPr>
            <w:tcW w:w="5714" w:type="dxa"/>
            <w:tcBorders>
              <w:top w:val="single" w:sz="4" w:space="0" w:color="auto"/>
              <w:bottom w:val="single" w:sz="4" w:space="0" w:color="auto"/>
            </w:tcBorders>
          </w:tcPr>
          <w:p w14:paraId="67CD34EB" w14:textId="29ABC176"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This category encompasses all attempts for the legal recognition of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relationships outside of marriage, including: civil unions, domestic partnerships, and designated beneficiaries.  </w:t>
            </w:r>
          </w:p>
        </w:tc>
      </w:tr>
      <w:tr w:rsidR="00E30848" w:rsidRPr="00E30848" w14:paraId="36C7C9EA" w14:textId="77777777" w:rsidTr="00F33871">
        <w:tc>
          <w:tcPr>
            <w:tcW w:w="2802" w:type="dxa"/>
            <w:tcBorders>
              <w:top w:val="single" w:sz="4" w:space="0" w:color="auto"/>
              <w:bottom w:val="single" w:sz="4" w:space="0" w:color="auto"/>
            </w:tcBorders>
          </w:tcPr>
          <w:p w14:paraId="69CF4792" w14:textId="61AE4F2E"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Sexual (Public)</w:t>
            </w:r>
          </w:p>
        </w:tc>
        <w:tc>
          <w:tcPr>
            <w:tcW w:w="5714" w:type="dxa"/>
            <w:tcBorders>
              <w:top w:val="single" w:sz="4" w:space="0" w:color="auto"/>
              <w:bottom w:val="single" w:sz="4" w:space="0" w:color="auto"/>
            </w:tcBorders>
          </w:tcPr>
          <w:p w14:paraId="4FF9A1FA"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issue includes all references to public sexual relations, specifically sexual relations in public parks, public restrooms, bars, bathhouses, and other places of public accommodation.</w:t>
            </w:r>
          </w:p>
        </w:tc>
      </w:tr>
      <w:tr w:rsidR="00E30848" w:rsidRPr="00E30848" w14:paraId="4A239DC3" w14:textId="77777777" w:rsidTr="00F33871">
        <w:tc>
          <w:tcPr>
            <w:tcW w:w="2802" w:type="dxa"/>
            <w:tcBorders>
              <w:top w:val="single" w:sz="4" w:space="0" w:color="auto"/>
              <w:bottom w:val="single" w:sz="4" w:space="0" w:color="auto"/>
            </w:tcBorders>
          </w:tcPr>
          <w:p w14:paraId="2999E489" w14:textId="77209523"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Sexual (S &amp;M)</w:t>
            </w:r>
          </w:p>
        </w:tc>
        <w:tc>
          <w:tcPr>
            <w:tcW w:w="5714" w:type="dxa"/>
            <w:tcBorders>
              <w:top w:val="single" w:sz="4" w:space="0" w:color="auto"/>
              <w:bottom w:val="single" w:sz="4" w:space="0" w:color="auto"/>
            </w:tcBorders>
          </w:tcPr>
          <w:p w14:paraId="0FE11D09"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issue encompasses all references to bondage and discipline, dominance and submission, and sadomasochism or sadism and masochism sexual practices.  It includes discussions that both support and opposes these practices.</w:t>
            </w:r>
          </w:p>
        </w:tc>
      </w:tr>
      <w:tr w:rsidR="00E30848" w:rsidRPr="00E30848" w14:paraId="572EE607" w14:textId="77777777" w:rsidTr="00F33871">
        <w:tc>
          <w:tcPr>
            <w:tcW w:w="2802" w:type="dxa"/>
            <w:tcBorders>
              <w:top w:val="single" w:sz="4" w:space="0" w:color="auto"/>
              <w:bottom w:val="single" w:sz="4" w:space="0" w:color="auto"/>
            </w:tcBorders>
          </w:tcPr>
          <w:p w14:paraId="53682438" w14:textId="38066277"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Sexual (Sodomy)</w:t>
            </w:r>
          </w:p>
        </w:tc>
        <w:tc>
          <w:tcPr>
            <w:tcW w:w="5714" w:type="dxa"/>
            <w:tcBorders>
              <w:top w:val="single" w:sz="4" w:space="0" w:color="auto"/>
              <w:bottom w:val="single" w:sz="4" w:space="0" w:color="auto"/>
            </w:tcBorders>
          </w:tcPr>
          <w:p w14:paraId="5D426523"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issue refers to all references to sodomy specifically including struggles for the decriminalization of sodomy, including the sodomy cases (</w:t>
            </w:r>
            <w:r w:rsidRPr="00E30848">
              <w:rPr>
                <w:rFonts w:ascii="Times New Roman" w:eastAsia="Times New Roman" w:hAnsi="Times New Roman" w:cs="Times New Roman"/>
                <w:b w:val="0"/>
                <w:color w:val="auto"/>
                <w:sz w:val="20"/>
                <w:szCs w:val="20"/>
              </w:rPr>
              <w:t>Bowers v. Hardwick</w:t>
            </w:r>
            <w:r w:rsidRPr="00E30848">
              <w:rPr>
                <w:rFonts w:ascii="Times New Roman" w:eastAsia="Times New Roman" w:hAnsi="Times New Roman" w:cs="Times New Roman"/>
                <w:b w:val="0"/>
                <w:i w:val="0"/>
                <w:color w:val="auto"/>
                <w:sz w:val="20"/>
                <w:szCs w:val="20"/>
              </w:rPr>
              <w:t xml:space="preserve"> and </w:t>
            </w:r>
            <w:r w:rsidRPr="00E30848">
              <w:rPr>
                <w:rFonts w:ascii="Times New Roman" w:eastAsia="Times New Roman" w:hAnsi="Times New Roman" w:cs="Times New Roman"/>
                <w:b w:val="0"/>
                <w:color w:val="auto"/>
                <w:sz w:val="20"/>
                <w:szCs w:val="20"/>
              </w:rPr>
              <w:t>Lawrence v. Texas</w:t>
            </w:r>
            <w:r w:rsidRPr="00E30848">
              <w:rPr>
                <w:rFonts w:ascii="Times New Roman" w:eastAsia="Times New Roman" w:hAnsi="Times New Roman" w:cs="Times New Roman"/>
                <w:b w:val="0"/>
                <w:i w:val="0"/>
                <w:color w:val="auto"/>
                <w:sz w:val="20"/>
                <w:szCs w:val="20"/>
              </w:rPr>
              <w:t>).  Although the sexual issues listed above obviously encompass sodomy, this category is limited to discussions of sodomy alone.</w:t>
            </w:r>
          </w:p>
        </w:tc>
      </w:tr>
      <w:tr w:rsidR="00E30848" w:rsidRPr="00E30848" w14:paraId="44DF286D" w14:textId="77777777" w:rsidTr="00F33871">
        <w:tc>
          <w:tcPr>
            <w:tcW w:w="2802" w:type="dxa"/>
            <w:tcBorders>
              <w:top w:val="single" w:sz="4" w:space="0" w:color="auto"/>
              <w:bottom w:val="single" w:sz="4" w:space="0" w:color="auto"/>
            </w:tcBorders>
          </w:tcPr>
          <w:p w14:paraId="3D3B6D1D" w14:textId="67FC47B8"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Sexual (Generally)</w:t>
            </w:r>
          </w:p>
        </w:tc>
        <w:tc>
          <w:tcPr>
            <w:tcW w:w="5714" w:type="dxa"/>
            <w:tcBorders>
              <w:top w:val="single" w:sz="4" w:space="0" w:color="auto"/>
              <w:bottom w:val="single" w:sz="4" w:space="0" w:color="auto"/>
            </w:tcBorders>
          </w:tcPr>
          <w:p w14:paraId="2BD5D1D2"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This category is reserved for discussions of sexual liberty or sexual intercourse generally.  </w:t>
            </w:r>
          </w:p>
        </w:tc>
      </w:tr>
      <w:tr w:rsidR="00E30848" w:rsidRPr="00E30848" w14:paraId="44BB51CE"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401EADD9" w14:textId="5CCB6E0C" w:rsidR="00E30848" w:rsidRPr="00E30848" w:rsidRDefault="00E30848" w:rsidP="00A72156">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Transgender</w:t>
            </w:r>
            <w:r w:rsidR="00A72156">
              <w:rPr>
                <w:rFonts w:ascii="Times New Roman" w:eastAsia="Times New Roman" w:hAnsi="Times New Roman" w:cs="Times New Roman"/>
                <w:b w:val="0"/>
                <w:bCs w:val="0"/>
                <w:sz w:val="20"/>
                <w:szCs w:val="20"/>
              </w:rPr>
              <w:t xml:space="preserve"> Persons </w:t>
            </w:r>
          </w:p>
        </w:tc>
        <w:tc>
          <w:tcPr>
            <w:tcW w:w="5714" w:type="dxa"/>
            <w:tcBorders>
              <w:top w:val="single" w:sz="4" w:space="0" w:color="auto"/>
              <w:left w:val="nil"/>
              <w:bottom w:val="single" w:sz="4" w:space="0" w:color="auto"/>
              <w:right w:val="nil"/>
            </w:tcBorders>
          </w:tcPr>
          <w:p w14:paraId="740025E9" w14:textId="200A7915"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category refers</w:t>
            </w:r>
            <w:r w:rsidR="00A72156">
              <w:rPr>
                <w:rFonts w:ascii="Times New Roman" w:eastAsia="Times New Roman" w:hAnsi="Times New Roman" w:cs="Times New Roman"/>
                <w:b w:val="0"/>
                <w:i w:val="0"/>
                <w:color w:val="auto"/>
                <w:sz w:val="20"/>
                <w:szCs w:val="20"/>
              </w:rPr>
              <w:t xml:space="preserve"> to all issues relating to the trans*</w:t>
            </w:r>
            <w:r w:rsidRPr="00E30848">
              <w:rPr>
                <w:rFonts w:ascii="Times New Roman" w:eastAsia="Times New Roman" w:hAnsi="Times New Roman" w:cs="Times New Roman"/>
                <w:b w:val="0"/>
                <w:i w:val="0"/>
                <w:color w:val="auto"/>
                <w:sz w:val="20"/>
                <w:szCs w:val="20"/>
              </w:rPr>
              <w:t xml:space="preserve"> community, inclu</w:t>
            </w:r>
            <w:r w:rsidR="004E34AC">
              <w:rPr>
                <w:rFonts w:ascii="Times New Roman" w:eastAsia="Times New Roman" w:hAnsi="Times New Roman" w:cs="Times New Roman"/>
                <w:b w:val="0"/>
                <w:i w:val="0"/>
                <w:color w:val="auto"/>
                <w:sz w:val="20"/>
                <w:szCs w:val="20"/>
              </w:rPr>
              <w:t>ding references to transgender</w:t>
            </w:r>
            <w:r w:rsidRPr="00E30848">
              <w:rPr>
                <w:rFonts w:ascii="Times New Roman" w:eastAsia="Times New Roman" w:hAnsi="Times New Roman" w:cs="Times New Roman"/>
                <w:b w:val="0"/>
                <w:i w:val="0"/>
                <w:color w:val="auto"/>
                <w:sz w:val="20"/>
                <w:szCs w:val="20"/>
              </w:rPr>
              <w:t xml:space="preserve"> persons, </w:t>
            </w:r>
            <w:r w:rsidR="00A72156">
              <w:rPr>
                <w:rFonts w:ascii="Times New Roman" w:eastAsia="Times New Roman" w:hAnsi="Times New Roman" w:cs="Times New Roman"/>
                <w:b w:val="0"/>
                <w:i w:val="0"/>
                <w:color w:val="auto"/>
                <w:sz w:val="20"/>
                <w:szCs w:val="20"/>
              </w:rPr>
              <w:t xml:space="preserve">those who identify as transsexuals or </w:t>
            </w:r>
            <w:r w:rsidRPr="00E30848">
              <w:rPr>
                <w:rFonts w:ascii="Times New Roman" w:eastAsia="Times New Roman" w:hAnsi="Times New Roman" w:cs="Times New Roman"/>
                <w:b w:val="0"/>
                <w:i w:val="0"/>
                <w:color w:val="auto"/>
                <w:sz w:val="20"/>
                <w:szCs w:val="20"/>
              </w:rPr>
              <w:t>transvestites</w:t>
            </w:r>
            <w:r w:rsidR="00A72156">
              <w:rPr>
                <w:rFonts w:ascii="Times New Roman" w:eastAsia="Times New Roman" w:hAnsi="Times New Roman" w:cs="Times New Roman"/>
                <w:b w:val="0"/>
                <w:i w:val="0"/>
                <w:color w:val="auto"/>
                <w:sz w:val="20"/>
                <w:szCs w:val="20"/>
              </w:rPr>
              <w:t>, and gender-fluid persons who identify with the trans* community</w:t>
            </w:r>
            <w:r w:rsidRPr="00E30848">
              <w:rPr>
                <w:rFonts w:ascii="Times New Roman" w:eastAsia="Times New Roman" w:hAnsi="Times New Roman" w:cs="Times New Roman"/>
                <w:b w:val="0"/>
                <w:i w:val="0"/>
                <w:color w:val="auto"/>
                <w:sz w:val="20"/>
                <w:szCs w:val="20"/>
              </w:rPr>
              <w:t xml:space="preserve">. </w:t>
            </w:r>
          </w:p>
        </w:tc>
      </w:tr>
      <w:tr w:rsidR="00E30848" w:rsidRPr="00E30848" w14:paraId="21C6FD90"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613E36E8" w14:textId="6AA30FC0"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Violence Against Women</w:t>
            </w:r>
          </w:p>
        </w:tc>
        <w:tc>
          <w:tcPr>
            <w:tcW w:w="5714" w:type="dxa"/>
            <w:tcBorders>
              <w:top w:val="single" w:sz="4" w:space="0" w:color="auto"/>
              <w:left w:val="nil"/>
              <w:bottom w:val="single" w:sz="4" w:space="0" w:color="auto"/>
              <w:right w:val="nil"/>
            </w:tcBorders>
          </w:tcPr>
          <w:p w14:paraId="2ACD51C7"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Events concerning violence against women such as: domestic violence, rape, sex trafficking, date rape, etc.</w:t>
            </w:r>
          </w:p>
        </w:tc>
      </w:tr>
      <w:tr w:rsidR="00E30848" w:rsidRPr="00E30848" w14:paraId="1C05FEA6"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69FA2E9D" w14:textId="0CA01E5B"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Violence General</w:t>
            </w:r>
          </w:p>
        </w:tc>
        <w:tc>
          <w:tcPr>
            <w:tcW w:w="5714" w:type="dxa"/>
            <w:tcBorders>
              <w:top w:val="single" w:sz="4" w:space="0" w:color="auto"/>
              <w:left w:val="nil"/>
              <w:bottom w:val="single" w:sz="4" w:space="0" w:color="auto"/>
              <w:right w:val="nil"/>
            </w:tcBorders>
          </w:tcPr>
          <w:p w14:paraId="3DDB2ACE"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category is designed to account for all violent events/incidents that do not clearly fall within the other categories.  Specifically, this category is meant to encompass private hate crimes.  Public hate crimes (i.e., hate crimes carried out by police agencies) should be coded under #17 –Police Trouble/Brutality.</w:t>
            </w:r>
          </w:p>
        </w:tc>
      </w:tr>
      <w:tr w:rsidR="00E30848" w:rsidRPr="00E30848" w14:paraId="7585E3B9"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2D06E9AB" w14:textId="75B94838"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Feminism/Women’s Issues Generally</w:t>
            </w:r>
          </w:p>
        </w:tc>
        <w:tc>
          <w:tcPr>
            <w:tcW w:w="5714" w:type="dxa"/>
            <w:tcBorders>
              <w:top w:val="single" w:sz="4" w:space="0" w:color="auto"/>
              <w:left w:val="nil"/>
              <w:bottom w:val="single" w:sz="4" w:space="0" w:color="auto"/>
              <w:right w:val="nil"/>
            </w:tcBorders>
          </w:tcPr>
          <w:p w14:paraId="7D3F03E8"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is designed to pick up those discourses that appear to exclusively represent the interests of the Women’s Rights Movement.  This includes discussions of feminism/feminist ideals, violence against women, sexist portrayals of women, etc.  Does Not Include Discrimination Sex or Violence Against Women (may collapse these into this category later)</w:t>
            </w:r>
          </w:p>
        </w:tc>
      </w:tr>
      <w:tr w:rsidR="00E30848" w:rsidRPr="00E30848" w14:paraId="458B2516"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2C7E2792" w14:textId="60149144"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Political (Candidate; Party)</w:t>
            </w:r>
          </w:p>
        </w:tc>
        <w:tc>
          <w:tcPr>
            <w:tcW w:w="5714" w:type="dxa"/>
            <w:tcBorders>
              <w:top w:val="single" w:sz="4" w:space="0" w:color="auto"/>
              <w:left w:val="nil"/>
              <w:bottom w:val="single" w:sz="4" w:space="0" w:color="auto"/>
              <w:right w:val="nil"/>
            </w:tcBorders>
          </w:tcPr>
          <w:p w14:paraId="7EC0CD26" w14:textId="7440EDDD"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This category encompasses all references to political candidates and parties, specifically, discussions of political candidates and parties that represent, do not represent, and/or partially represent the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community (or parts of the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community).  Also included in this category are references to socialism and communism.</w:t>
            </w:r>
          </w:p>
        </w:tc>
      </w:tr>
      <w:tr w:rsidR="00E30848" w:rsidRPr="00E30848" w14:paraId="7197E29E"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061AA79E" w14:textId="1015C089"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Political (Legislation)</w:t>
            </w:r>
          </w:p>
        </w:tc>
        <w:tc>
          <w:tcPr>
            <w:tcW w:w="5714" w:type="dxa"/>
            <w:tcBorders>
              <w:top w:val="single" w:sz="4" w:space="0" w:color="auto"/>
              <w:left w:val="nil"/>
              <w:bottom w:val="single" w:sz="4" w:space="0" w:color="auto"/>
              <w:right w:val="nil"/>
            </w:tcBorders>
          </w:tcPr>
          <w:p w14:paraId="479D1E15" w14:textId="5D21FE54"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category encompasses all references to pro and anti-</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legislation.  I primarily created this category in order to code for discussions of gay rights legislation that do not clearly fall within any of the above categories.  However, discussions of anti-discrimination legislation or pro-sodomy legislation are also included in this category.  These discussions will, thus, be coded under two categories (or more depending on the number of issues mentioned).</w:t>
            </w:r>
          </w:p>
        </w:tc>
      </w:tr>
      <w:tr w:rsidR="00E30848" w:rsidRPr="00E30848" w14:paraId="7DFE8F4F"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6ADDC32D" w14:textId="2D8811A6"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Political (Movement)</w:t>
            </w:r>
          </w:p>
        </w:tc>
        <w:tc>
          <w:tcPr>
            <w:tcW w:w="5714" w:type="dxa"/>
            <w:tcBorders>
              <w:top w:val="single" w:sz="4" w:space="0" w:color="auto"/>
              <w:left w:val="nil"/>
              <w:bottom w:val="single" w:sz="4" w:space="0" w:color="auto"/>
              <w:right w:val="nil"/>
            </w:tcBorders>
          </w:tcPr>
          <w:p w14:paraId="5895983F" w14:textId="743A1236"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This category encompasses all discussions that specifically mention the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or gay movement as well as criticisms of the movement and its perceived focus.  I primarily created this category in order to code for movement discussions that do not clearly fall within any of the other categories.  However, as with the Political (Legislation) issue, it is possible for a discussion to receive two codes – both for Political (Movement) and another issue, such as one of the Discrimination or Sexual issue categories.  </w:t>
            </w:r>
          </w:p>
        </w:tc>
      </w:tr>
      <w:tr w:rsidR="00E30848" w:rsidRPr="00E30848" w14:paraId="43AF7B0A"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29CCD584" w14:textId="5819EAE4"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Political (Protest)</w:t>
            </w:r>
          </w:p>
        </w:tc>
        <w:tc>
          <w:tcPr>
            <w:tcW w:w="5714" w:type="dxa"/>
            <w:tcBorders>
              <w:top w:val="single" w:sz="4" w:space="0" w:color="auto"/>
              <w:left w:val="nil"/>
              <w:bottom w:val="single" w:sz="4" w:space="0" w:color="auto"/>
              <w:right w:val="nil"/>
            </w:tcBorders>
          </w:tcPr>
          <w:p w14:paraId="322800B2"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category encompasses all discussions of political protests.  It serves the same function as the Political (Legislation) category with respect to political protests.</w:t>
            </w:r>
          </w:p>
        </w:tc>
      </w:tr>
      <w:tr w:rsidR="00E30848" w:rsidRPr="00E30848" w14:paraId="3966B519"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3E100853" w14:textId="755501A5"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Race</w:t>
            </w:r>
          </w:p>
        </w:tc>
        <w:tc>
          <w:tcPr>
            <w:tcW w:w="5714" w:type="dxa"/>
            <w:tcBorders>
              <w:top w:val="single" w:sz="4" w:space="0" w:color="auto"/>
              <w:left w:val="nil"/>
              <w:bottom w:val="single" w:sz="4" w:space="0" w:color="auto"/>
              <w:right w:val="nil"/>
            </w:tcBorders>
          </w:tcPr>
          <w:p w14:paraId="081C1BE4" w14:textId="02DB98F4"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This category includes all discussions of race as it relates to the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community, specifically, discussions of racial minorities within the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community and comparisons of struggles for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and racial minority rights.</w:t>
            </w:r>
          </w:p>
        </w:tc>
      </w:tr>
      <w:tr w:rsidR="00E30848" w:rsidRPr="00E30848" w14:paraId="02DE2337"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343E4D8F" w14:textId="057B997A"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Religion</w:t>
            </w:r>
          </w:p>
        </w:tc>
        <w:tc>
          <w:tcPr>
            <w:tcW w:w="5714" w:type="dxa"/>
            <w:tcBorders>
              <w:top w:val="single" w:sz="4" w:space="0" w:color="auto"/>
              <w:left w:val="nil"/>
              <w:bottom w:val="single" w:sz="4" w:space="0" w:color="auto"/>
              <w:right w:val="nil"/>
            </w:tcBorders>
          </w:tcPr>
          <w:p w14:paraId="553239BE" w14:textId="148928BE"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This issue encompasses all references to religion as it relates to the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community, including both criticism of a religion’s impact on the community and letters from religious leaders that discuss the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community.</w:t>
            </w:r>
          </w:p>
        </w:tc>
      </w:tr>
      <w:tr w:rsidR="00E30848" w:rsidRPr="00E30848" w14:paraId="659D7BED"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1EF9ABC1" w14:textId="71BB82C8"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 xml:space="preserve">Other </w:t>
            </w:r>
          </w:p>
        </w:tc>
        <w:tc>
          <w:tcPr>
            <w:tcW w:w="5714" w:type="dxa"/>
            <w:tcBorders>
              <w:top w:val="single" w:sz="4" w:space="0" w:color="auto"/>
              <w:left w:val="nil"/>
              <w:bottom w:val="single" w:sz="4" w:space="0" w:color="auto"/>
              <w:right w:val="nil"/>
            </w:tcBorders>
          </w:tcPr>
          <w:p w14:paraId="6B3EDC7C"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category is meant to include all discussions of issues that do not seem to fit clearly within the above categories.</w:t>
            </w:r>
          </w:p>
        </w:tc>
      </w:tr>
      <w:tr w:rsidR="00E30848" w:rsidRPr="00E30848" w14:paraId="7CD08373"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65A82F1A" w14:textId="41952BF7"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Sexual (Pornography)</w:t>
            </w:r>
          </w:p>
        </w:tc>
        <w:tc>
          <w:tcPr>
            <w:tcW w:w="5714" w:type="dxa"/>
            <w:tcBorders>
              <w:top w:val="single" w:sz="4" w:space="0" w:color="auto"/>
              <w:left w:val="nil"/>
              <w:bottom w:val="single" w:sz="4" w:space="0" w:color="auto"/>
              <w:right w:val="nil"/>
            </w:tcBorders>
          </w:tcPr>
          <w:p w14:paraId="0023E9E4"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This category refers to all discussions of attempts to censure pornography and all criticisms of attempts to censure pornography.  </w:t>
            </w:r>
          </w:p>
        </w:tc>
      </w:tr>
      <w:tr w:rsidR="00E30848" w:rsidRPr="00E30848" w14:paraId="16DF43B4"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664FD8C0" w14:textId="12C47F92"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Youth</w:t>
            </w:r>
          </w:p>
        </w:tc>
        <w:tc>
          <w:tcPr>
            <w:tcW w:w="5714" w:type="dxa"/>
            <w:tcBorders>
              <w:top w:val="single" w:sz="4" w:space="0" w:color="auto"/>
              <w:left w:val="nil"/>
              <w:bottom w:val="single" w:sz="4" w:space="0" w:color="auto"/>
              <w:right w:val="nil"/>
            </w:tcBorders>
          </w:tcPr>
          <w:p w14:paraId="203B1D49" w14:textId="538FB93C"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This issue includes all references to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youth, including discussions of bullying.</w:t>
            </w:r>
          </w:p>
        </w:tc>
      </w:tr>
      <w:tr w:rsidR="00E30848" w:rsidRPr="00E30848" w14:paraId="15304206"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0E34FD20" w14:textId="175EB98A"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Sexual (Prostitution)</w:t>
            </w:r>
          </w:p>
        </w:tc>
        <w:tc>
          <w:tcPr>
            <w:tcW w:w="5714" w:type="dxa"/>
            <w:tcBorders>
              <w:top w:val="single" w:sz="4" w:space="0" w:color="auto"/>
              <w:left w:val="nil"/>
              <w:bottom w:val="single" w:sz="4" w:space="0" w:color="auto"/>
              <w:right w:val="nil"/>
            </w:tcBorders>
          </w:tcPr>
          <w:p w14:paraId="21DF78F6" w14:textId="77777777"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This category encompasses all references to prostitution, including both pro and ant-prostitution rallies and conferences.</w:t>
            </w:r>
          </w:p>
        </w:tc>
      </w:tr>
      <w:tr w:rsidR="00E30848" w:rsidRPr="00E30848" w14:paraId="7E380C05" w14:textId="77777777" w:rsidTr="00F33871">
        <w:tblPrEx>
          <w:tblBorders>
            <w:left w:val="single" w:sz="4" w:space="0" w:color="auto"/>
            <w:right w:val="single" w:sz="4" w:space="0" w:color="auto"/>
            <w:insideH w:val="single" w:sz="4" w:space="0" w:color="auto"/>
            <w:insideV w:val="single" w:sz="4" w:space="0" w:color="auto"/>
          </w:tblBorders>
        </w:tblPrEx>
        <w:tc>
          <w:tcPr>
            <w:tcW w:w="2802" w:type="dxa"/>
            <w:tcBorders>
              <w:top w:val="single" w:sz="4" w:space="0" w:color="auto"/>
              <w:left w:val="nil"/>
              <w:bottom w:val="single" w:sz="4" w:space="0" w:color="auto"/>
              <w:right w:val="nil"/>
            </w:tcBorders>
          </w:tcPr>
          <w:p w14:paraId="77618CAF" w14:textId="3D984290" w:rsidR="00E30848" w:rsidRPr="00E30848" w:rsidRDefault="00E30848" w:rsidP="00F33871">
            <w:pPr>
              <w:pStyle w:val="Heading3"/>
              <w:spacing w:before="120" w:beforeAutospacing="0" w:after="120" w:afterAutospacing="0"/>
              <w:outlineLvl w:val="2"/>
              <w:rPr>
                <w:rFonts w:ascii="Times New Roman" w:eastAsia="Times New Roman" w:hAnsi="Times New Roman" w:cs="Times New Roman"/>
                <w:b w:val="0"/>
                <w:bCs w:val="0"/>
                <w:sz w:val="20"/>
                <w:szCs w:val="20"/>
              </w:rPr>
            </w:pPr>
            <w:r w:rsidRPr="00E30848">
              <w:rPr>
                <w:rFonts w:ascii="Times New Roman" w:eastAsia="Times New Roman" w:hAnsi="Times New Roman" w:cs="Times New Roman"/>
                <w:b w:val="0"/>
                <w:bCs w:val="0"/>
                <w:sz w:val="20"/>
                <w:szCs w:val="20"/>
              </w:rPr>
              <w:t>Substance Abuse</w:t>
            </w:r>
          </w:p>
        </w:tc>
        <w:tc>
          <w:tcPr>
            <w:tcW w:w="5714" w:type="dxa"/>
            <w:tcBorders>
              <w:top w:val="single" w:sz="4" w:space="0" w:color="auto"/>
              <w:left w:val="nil"/>
              <w:bottom w:val="single" w:sz="4" w:space="0" w:color="auto"/>
              <w:right w:val="nil"/>
            </w:tcBorders>
          </w:tcPr>
          <w:p w14:paraId="745F11BA" w14:textId="704E8528" w:rsidR="00E30848" w:rsidRPr="00E30848" w:rsidRDefault="00E30848" w:rsidP="00F33871">
            <w:pPr>
              <w:pStyle w:val="Heading4"/>
              <w:spacing w:before="120" w:after="120"/>
              <w:outlineLvl w:val="3"/>
              <w:rPr>
                <w:rFonts w:ascii="Times New Roman" w:eastAsia="Times New Roman" w:hAnsi="Times New Roman" w:cs="Times New Roman"/>
                <w:b w:val="0"/>
                <w:i w:val="0"/>
                <w:color w:val="auto"/>
                <w:sz w:val="20"/>
                <w:szCs w:val="20"/>
              </w:rPr>
            </w:pPr>
            <w:r w:rsidRPr="00E30848">
              <w:rPr>
                <w:rFonts w:ascii="Times New Roman" w:eastAsia="Times New Roman" w:hAnsi="Times New Roman" w:cs="Times New Roman"/>
                <w:b w:val="0"/>
                <w:i w:val="0"/>
                <w:color w:val="auto"/>
                <w:sz w:val="20"/>
                <w:szCs w:val="20"/>
              </w:rPr>
              <w:t xml:space="preserve">This issue includes all references to substance abuse in the </w:t>
            </w:r>
            <w:r w:rsidR="00BB6B31">
              <w:rPr>
                <w:rFonts w:ascii="Times New Roman" w:eastAsia="Times New Roman" w:hAnsi="Times New Roman" w:cs="Times New Roman"/>
                <w:b w:val="0"/>
                <w:i w:val="0"/>
                <w:color w:val="auto"/>
                <w:sz w:val="20"/>
                <w:szCs w:val="20"/>
              </w:rPr>
              <w:t>LGBTQ</w:t>
            </w:r>
            <w:r w:rsidRPr="00E30848">
              <w:rPr>
                <w:rFonts w:ascii="Times New Roman" w:eastAsia="Times New Roman" w:hAnsi="Times New Roman" w:cs="Times New Roman"/>
                <w:b w:val="0"/>
                <w:i w:val="0"/>
                <w:color w:val="auto"/>
                <w:sz w:val="20"/>
                <w:szCs w:val="20"/>
              </w:rPr>
              <w:t xml:space="preserve"> community, including discussions of Lesbians and Gay men who contract HIV/AIDS through substance abuse.</w:t>
            </w:r>
          </w:p>
        </w:tc>
      </w:tr>
    </w:tbl>
    <w:p w14:paraId="07FADAF2" w14:textId="77777777" w:rsidR="00E30848" w:rsidRDefault="00E30848" w:rsidP="00E30848">
      <w:pPr>
        <w:spacing w:line="480" w:lineRule="auto"/>
        <w:rPr>
          <w:rFonts w:cs="Times New Roman"/>
        </w:rPr>
      </w:pPr>
    </w:p>
    <w:p w14:paraId="268A6DA0" w14:textId="77777777" w:rsidR="00A70CFE" w:rsidRDefault="00A70CFE" w:rsidP="00E30848">
      <w:pPr>
        <w:spacing w:line="480" w:lineRule="auto"/>
        <w:rPr>
          <w:rFonts w:cs="Times New Roman"/>
        </w:rPr>
      </w:pPr>
    </w:p>
    <w:p w14:paraId="279C5810" w14:textId="77777777" w:rsidR="00A70CFE" w:rsidRDefault="00A70CFE" w:rsidP="00E30848">
      <w:pPr>
        <w:spacing w:line="480" w:lineRule="auto"/>
        <w:rPr>
          <w:rFonts w:cs="Times New Roman"/>
        </w:rPr>
      </w:pPr>
    </w:p>
    <w:p w14:paraId="33EB157C" w14:textId="77777777" w:rsidR="00A70CFE" w:rsidRDefault="00A70CFE" w:rsidP="00E30848">
      <w:pPr>
        <w:spacing w:line="480" w:lineRule="auto"/>
        <w:rPr>
          <w:rFonts w:cs="Times New Roman"/>
        </w:rPr>
      </w:pPr>
    </w:p>
    <w:p w14:paraId="5CA40E50" w14:textId="77777777" w:rsidR="00A70CFE" w:rsidRDefault="00A70CFE" w:rsidP="00E30848">
      <w:pPr>
        <w:spacing w:line="480" w:lineRule="auto"/>
        <w:rPr>
          <w:rFonts w:cs="Times New Roman"/>
        </w:rPr>
      </w:pPr>
    </w:p>
    <w:p w14:paraId="1CC5EBDB" w14:textId="77777777" w:rsidR="00A70CFE" w:rsidRDefault="00A70CFE" w:rsidP="00E30848">
      <w:pPr>
        <w:spacing w:line="480" w:lineRule="auto"/>
        <w:rPr>
          <w:rFonts w:cs="Times New Roman"/>
        </w:rPr>
      </w:pPr>
    </w:p>
    <w:p w14:paraId="6FF5ED66" w14:textId="77777777" w:rsidR="00A70CFE" w:rsidRDefault="00A70CFE" w:rsidP="00E30848">
      <w:pPr>
        <w:spacing w:line="480" w:lineRule="auto"/>
        <w:rPr>
          <w:rFonts w:cs="Times New Roman"/>
        </w:rPr>
      </w:pPr>
    </w:p>
    <w:p w14:paraId="48A14EC7" w14:textId="77777777" w:rsidR="00A70CFE" w:rsidRDefault="00A70CFE" w:rsidP="00E30848">
      <w:pPr>
        <w:spacing w:line="480" w:lineRule="auto"/>
        <w:rPr>
          <w:rFonts w:cs="Times New Roman"/>
        </w:rPr>
      </w:pPr>
    </w:p>
    <w:p w14:paraId="6F57F158" w14:textId="77777777" w:rsidR="00A70CFE" w:rsidRDefault="00A70CFE" w:rsidP="00E30848">
      <w:pPr>
        <w:spacing w:line="480" w:lineRule="auto"/>
        <w:rPr>
          <w:rFonts w:cs="Times New Roman"/>
        </w:rPr>
      </w:pPr>
    </w:p>
    <w:p w14:paraId="7F42AC35" w14:textId="77777777" w:rsidR="00A70CFE" w:rsidRPr="00E30848" w:rsidRDefault="00A70CFE" w:rsidP="00E30848">
      <w:pPr>
        <w:spacing w:line="480" w:lineRule="auto"/>
        <w:rPr>
          <w:rFonts w:cs="Times New Roman"/>
        </w:rPr>
      </w:pPr>
    </w:p>
    <w:p w14:paraId="2DD84BBC" w14:textId="7BC89C05" w:rsidR="00762B0E" w:rsidRPr="00B528FD" w:rsidRDefault="00BE48D0" w:rsidP="00B528FD">
      <w:pPr>
        <w:spacing w:line="480" w:lineRule="auto"/>
        <w:jc w:val="center"/>
        <w:rPr>
          <w:rFonts w:cs="Times New Roman"/>
        </w:rPr>
      </w:pPr>
      <w:r>
        <w:rPr>
          <w:rFonts w:cs="Times New Roman"/>
          <w:b/>
        </w:rPr>
        <w:t>REFERENCES</w:t>
      </w:r>
    </w:p>
    <w:p w14:paraId="27F6EE6B" w14:textId="7B123BBA" w:rsidR="007F6A01" w:rsidRDefault="007F6A01" w:rsidP="007F6A01">
      <w:pPr>
        <w:spacing w:line="480" w:lineRule="auto"/>
        <w:ind w:left="720" w:hanging="720"/>
      </w:pPr>
      <w:r>
        <w:t xml:space="preserve">Brown, W. (1995). </w:t>
      </w:r>
      <w:r>
        <w:rPr>
          <w:i/>
        </w:rPr>
        <w:t>States of injury: Power and freedom in late modernity</w:t>
      </w:r>
      <w:r>
        <w:t xml:space="preserve">. Princeton, NJ: </w:t>
      </w:r>
      <w:r>
        <w:tab/>
        <w:t>Princeton University Press.</w:t>
      </w:r>
    </w:p>
    <w:p w14:paraId="793DF965" w14:textId="2BA65DBB" w:rsidR="00EC7B2E" w:rsidRPr="00EC7B2E" w:rsidRDefault="00EC7B2E" w:rsidP="007F6A01">
      <w:pPr>
        <w:spacing w:line="480" w:lineRule="auto"/>
        <w:ind w:left="720" w:hanging="720"/>
      </w:pPr>
      <w:r>
        <w:t xml:space="preserve">Buell, E. H. (1975). “Eccentrics or gladiators? People who write about politics in letters to the editor.” </w:t>
      </w:r>
      <w:r>
        <w:rPr>
          <w:i/>
        </w:rPr>
        <w:t>Social Science Quarterly</w:t>
      </w:r>
      <w:r>
        <w:t>, 56: 440-449.</w:t>
      </w:r>
    </w:p>
    <w:p w14:paraId="57D52B9C" w14:textId="6A86B0FA" w:rsidR="007F6A01" w:rsidRDefault="007F6A01" w:rsidP="007F6A01">
      <w:pPr>
        <w:spacing w:line="480" w:lineRule="auto"/>
        <w:ind w:left="720" w:hanging="720"/>
      </w:pPr>
      <w:r>
        <w:t xml:space="preserve">Butler, J. (2004). </w:t>
      </w:r>
      <w:r>
        <w:rPr>
          <w:i/>
        </w:rPr>
        <w:t>Undoing gender</w:t>
      </w:r>
      <w:r>
        <w:t>. New York, NY: Routledge.</w:t>
      </w:r>
    </w:p>
    <w:p w14:paraId="62854559" w14:textId="77777777" w:rsidR="001C077B" w:rsidRDefault="008E62A3" w:rsidP="001C077B">
      <w:pPr>
        <w:spacing w:line="480" w:lineRule="auto"/>
        <w:ind w:left="720" w:hanging="720"/>
      </w:pPr>
      <w:r>
        <w:t xml:space="preserve">Califia, P. (1994). “Turing point: Introduction.”  In </w:t>
      </w:r>
      <w:r>
        <w:rPr>
          <w:i/>
        </w:rPr>
        <w:t>Long road to freedom: The advocate history of the gay and lesbian movement</w:t>
      </w:r>
      <w:r>
        <w:t>, Mark Thompson Ed. New York, NY: St. Martin’s Press.</w:t>
      </w:r>
    </w:p>
    <w:p w14:paraId="067CED9C" w14:textId="7482A01B" w:rsidR="001C077B" w:rsidRDefault="008E62A3" w:rsidP="001C077B">
      <w:pPr>
        <w:spacing w:line="480" w:lineRule="auto"/>
        <w:ind w:left="720" w:hanging="720"/>
      </w:pPr>
      <w:r>
        <w:t xml:space="preserve">Cicchino, P. M.; Deming, B. R.; Nicholson, K. M.; Mariner, R.; </w:t>
      </w:r>
      <w:proofErr w:type="spellStart"/>
      <w:r>
        <w:t>Jehl</w:t>
      </w:r>
      <w:proofErr w:type="spellEnd"/>
      <w:r>
        <w:t xml:space="preserve">, L. E.; &amp; </w:t>
      </w:r>
      <w:proofErr w:type="spellStart"/>
      <w:r>
        <w:t>Thurm</w:t>
      </w:r>
      <w:proofErr w:type="spellEnd"/>
      <w:r>
        <w:t xml:space="preserve">, W. J. (1991). “Sex, lies, and civil rights: A critical history of the Massachusetts Gay Civil Rights Bill.” </w:t>
      </w:r>
      <w:r>
        <w:rPr>
          <w:i/>
        </w:rPr>
        <w:t>Harvard Civil Rights-Civil Liberties Law Review</w:t>
      </w:r>
      <w:r>
        <w:t>, 26</w:t>
      </w:r>
      <w:r w:rsidR="0001393E">
        <w:t xml:space="preserve">: </w:t>
      </w:r>
      <w:r>
        <w:t>549-631.</w:t>
      </w:r>
    </w:p>
    <w:p w14:paraId="201EABAF" w14:textId="77777777" w:rsidR="001C077B" w:rsidRDefault="00740B07" w:rsidP="001C077B">
      <w:pPr>
        <w:spacing w:line="480" w:lineRule="auto"/>
        <w:ind w:left="720" w:hanging="720"/>
      </w:pPr>
      <w:proofErr w:type="gramStart"/>
      <w:r>
        <w:t>Clendinen D. &amp; Nagourney A. (1999).</w:t>
      </w:r>
      <w:proofErr w:type="gramEnd"/>
      <w:r>
        <w:t xml:space="preserve"> </w:t>
      </w:r>
      <w:r>
        <w:rPr>
          <w:i/>
        </w:rPr>
        <w:t>Out for good: The struggle to build a gay rights movement in America</w:t>
      </w:r>
      <w:r>
        <w:t>. New York, NY: Simon &amp; Schuster.</w:t>
      </w:r>
    </w:p>
    <w:p w14:paraId="1569ECE4" w14:textId="77777777" w:rsidR="001C077B" w:rsidRDefault="009D7EAC" w:rsidP="001C077B">
      <w:pPr>
        <w:spacing w:line="480" w:lineRule="auto"/>
        <w:ind w:left="720" w:hanging="720"/>
      </w:pPr>
      <w:r>
        <w:t xml:space="preserve">Brigham, J. (1996). </w:t>
      </w:r>
      <w:r>
        <w:rPr>
          <w:i/>
        </w:rPr>
        <w:t>The constitution of interests: Beyond the politics of rights</w:t>
      </w:r>
      <w:r>
        <w:t>.  New York</w:t>
      </w:r>
      <w:r w:rsidR="00B528FD">
        <w:t>, NY: New York University Press.</w:t>
      </w:r>
    </w:p>
    <w:p w14:paraId="7AC87F53" w14:textId="77777777" w:rsidR="001C077B" w:rsidRDefault="007C2252" w:rsidP="001C077B">
      <w:pPr>
        <w:spacing w:line="480" w:lineRule="auto"/>
        <w:ind w:left="720" w:hanging="720"/>
      </w:pPr>
      <w:proofErr w:type="gramStart"/>
      <w:r w:rsidRPr="007C2252">
        <w:rPr>
          <w:i/>
        </w:rPr>
        <w:t>Bromfield Street Educational Foundation Records</w:t>
      </w:r>
      <w:r>
        <w:t>.</w:t>
      </w:r>
      <w:proofErr w:type="gramEnd"/>
      <w:r>
        <w:t xml:space="preserve">  Northeastern University.  </w:t>
      </w:r>
      <w:proofErr w:type="gramStart"/>
      <w:r>
        <w:t xml:space="preserve">Available online at </w:t>
      </w:r>
      <w:r w:rsidRPr="007C2252">
        <w:t>http://www.lib.neu.edu/archives/collect/findaids/m64findseries.htm#series-4</w:t>
      </w:r>
      <w:r>
        <w:t>.</w:t>
      </w:r>
      <w:proofErr w:type="gramEnd"/>
      <w:r>
        <w:t xml:space="preserve"> Last accessed Feb. 3, 2012.</w:t>
      </w:r>
    </w:p>
    <w:p w14:paraId="5E327499" w14:textId="77777777" w:rsidR="001C077B" w:rsidRDefault="00532E17" w:rsidP="001C077B">
      <w:pPr>
        <w:spacing w:line="480" w:lineRule="auto"/>
        <w:ind w:left="720" w:hanging="720"/>
      </w:pPr>
      <w:r w:rsidRPr="00674C5B">
        <w:t>Dudas, J. R. (2005). “In the name of rights: “Special” rights and the politics of resentment in post-civil rights America.”</w:t>
      </w:r>
      <w:r w:rsidRPr="00674C5B">
        <w:rPr>
          <w:i/>
        </w:rPr>
        <w:t xml:space="preserve"> </w:t>
      </w:r>
      <w:proofErr w:type="gramStart"/>
      <w:r w:rsidRPr="00674C5B">
        <w:rPr>
          <w:i/>
        </w:rPr>
        <w:t xml:space="preserve">Law &amp; Society Review, </w:t>
      </w:r>
      <w:r w:rsidRPr="00674C5B">
        <w:t>39: 4, 723-757.</w:t>
      </w:r>
      <w:proofErr w:type="gramEnd"/>
    </w:p>
    <w:p w14:paraId="1F0D7F41" w14:textId="77777777" w:rsidR="001C077B" w:rsidRDefault="0027250E" w:rsidP="001C077B">
      <w:pPr>
        <w:spacing w:line="480" w:lineRule="auto"/>
        <w:ind w:left="720" w:hanging="720"/>
      </w:pPr>
      <w:r>
        <w:t xml:space="preserve">Eaklor, V. L. (2008). </w:t>
      </w:r>
      <w:r>
        <w:rPr>
          <w:i/>
        </w:rPr>
        <w:t>Queer America: A GLBT history of the 20th Century</w:t>
      </w:r>
      <w:r>
        <w:t>. Westport, CT: Greenwood Press.</w:t>
      </w:r>
    </w:p>
    <w:p w14:paraId="0429C2BB" w14:textId="63D7B50E" w:rsidR="00E73E8E" w:rsidRDefault="00E73E8E" w:rsidP="001C077B">
      <w:pPr>
        <w:spacing w:line="480" w:lineRule="auto"/>
        <w:ind w:left="720" w:hanging="720"/>
      </w:pPr>
      <w:proofErr w:type="gramStart"/>
      <w:r>
        <w:t>Eng, D. L. (2010</w:t>
      </w:r>
      <w:r w:rsidR="00A52535">
        <w:t>)</w:t>
      </w:r>
      <w:r>
        <w:t>.</w:t>
      </w:r>
      <w:proofErr w:type="gramEnd"/>
      <w:r>
        <w:t xml:space="preserve"> </w:t>
      </w:r>
      <w:r>
        <w:rPr>
          <w:i/>
        </w:rPr>
        <w:t>The feeling of kinship: Queer liberalism and the racialization of intimacy</w:t>
      </w:r>
      <w:r>
        <w:t>. Durham, CT: Duke University Press.</w:t>
      </w:r>
    </w:p>
    <w:p w14:paraId="0333F145" w14:textId="77777777" w:rsidR="001C077B" w:rsidRDefault="00D56509" w:rsidP="001C077B">
      <w:pPr>
        <w:spacing w:line="480" w:lineRule="auto"/>
        <w:ind w:left="720" w:hanging="720"/>
      </w:pPr>
      <w:r>
        <w:t xml:space="preserve">Ewick, P. &amp; Silbey, J. (2000). </w:t>
      </w:r>
      <w:r>
        <w:rPr>
          <w:i/>
        </w:rPr>
        <w:t>The common place of law: Stories from everyday life</w:t>
      </w:r>
      <w:r>
        <w:t>. Chicago, IL: University of Chicago Press.</w:t>
      </w:r>
    </w:p>
    <w:p w14:paraId="5518D6DB" w14:textId="126F4703" w:rsidR="007F6A01" w:rsidRDefault="007F6A01" w:rsidP="001C077B">
      <w:pPr>
        <w:spacing w:line="480" w:lineRule="auto"/>
        <w:ind w:left="720" w:hanging="720"/>
      </w:pPr>
      <w:r>
        <w:t xml:space="preserve">Gabel, P. (1984). “The phenomenology of rights-consciousness and the pact of the withdrawn selves.” </w:t>
      </w:r>
      <w:r>
        <w:rPr>
          <w:i/>
        </w:rPr>
        <w:t>Texas Law Review</w:t>
      </w:r>
      <w:r w:rsidR="0001393E">
        <w:t xml:space="preserve"> 62 (8):</w:t>
      </w:r>
      <w:r>
        <w:t xml:space="preserve"> 1563-1599.</w:t>
      </w:r>
    </w:p>
    <w:p w14:paraId="5238FAA0" w14:textId="77777777" w:rsidR="001C077B" w:rsidRDefault="00532E17" w:rsidP="001C077B">
      <w:pPr>
        <w:spacing w:line="480" w:lineRule="auto"/>
        <w:ind w:left="720" w:hanging="720"/>
      </w:pPr>
      <w:proofErr w:type="gramStart"/>
      <w:r w:rsidRPr="00674C5B">
        <w:t>Goldberg-Hiller, J. (2002).</w:t>
      </w:r>
      <w:proofErr w:type="gramEnd"/>
      <w:r w:rsidRPr="00674C5B">
        <w:t xml:space="preserve"> </w:t>
      </w:r>
      <w:r w:rsidRPr="00674C5B">
        <w:rPr>
          <w:i/>
        </w:rPr>
        <w:t>The limits to union: Same-sex marriage and the politics of civil rights</w:t>
      </w:r>
      <w:r w:rsidRPr="00674C5B">
        <w:t>. Ann Arbor, MI: The University of Michigan Press.</w:t>
      </w:r>
    </w:p>
    <w:p w14:paraId="4E3D8233" w14:textId="3493F526" w:rsidR="001C077B" w:rsidRDefault="00532E17" w:rsidP="001C077B">
      <w:pPr>
        <w:spacing w:line="480" w:lineRule="auto"/>
        <w:ind w:left="720" w:hanging="720"/>
      </w:pPr>
      <w:proofErr w:type="gramStart"/>
      <w:r>
        <w:rPr>
          <w:bCs/>
        </w:rPr>
        <w:t>Goldberg-Hiller, J. &amp; Milner, N. (2003).</w:t>
      </w:r>
      <w:proofErr w:type="gramEnd"/>
      <w:r>
        <w:rPr>
          <w:bCs/>
        </w:rPr>
        <w:t xml:space="preserve"> “Rights as excess: Understanding the politics of special rights.” </w:t>
      </w:r>
      <w:r>
        <w:rPr>
          <w:bCs/>
          <w:i/>
        </w:rPr>
        <w:t>Law &amp; Social Inquiry</w:t>
      </w:r>
      <w:r>
        <w:rPr>
          <w:bCs/>
        </w:rPr>
        <w:t xml:space="preserve">, </w:t>
      </w:r>
      <w:r w:rsidR="0001393E">
        <w:rPr>
          <w:bCs/>
        </w:rPr>
        <w:t xml:space="preserve">28: </w:t>
      </w:r>
      <w:r>
        <w:rPr>
          <w:bCs/>
        </w:rPr>
        <w:t>1075-1118.</w:t>
      </w:r>
    </w:p>
    <w:p w14:paraId="4A244F9F" w14:textId="0F5A96AB" w:rsidR="007F6A01" w:rsidRDefault="007F6A01" w:rsidP="001C077B">
      <w:pPr>
        <w:spacing w:line="480" w:lineRule="auto"/>
        <w:ind w:left="720" w:hanging="720"/>
      </w:pPr>
      <w:r>
        <w:rPr>
          <w:shd w:val="clear" w:color="auto" w:fill="FFFFFF"/>
        </w:rPr>
        <w:t xml:space="preserve">Herman, D. (1993). “Beyond the rights debate.” </w:t>
      </w:r>
      <w:proofErr w:type="gramStart"/>
      <w:r>
        <w:rPr>
          <w:i/>
          <w:shd w:val="clear" w:color="auto" w:fill="FFFFFF"/>
        </w:rPr>
        <w:t>Social &amp; Legal Studies</w:t>
      </w:r>
      <w:r>
        <w:rPr>
          <w:shd w:val="clear" w:color="auto" w:fill="FFFFFF"/>
        </w:rPr>
        <w:t xml:space="preserve"> 2 (2): 25-43.</w:t>
      </w:r>
      <w:proofErr w:type="gramEnd"/>
    </w:p>
    <w:p w14:paraId="3E90D0C6" w14:textId="585F775A" w:rsidR="007F6A01" w:rsidRPr="007F6A01" w:rsidRDefault="007F6A01" w:rsidP="001C077B">
      <w:pPr>
        <w:spacing w:line="480" w:lineRule="auto"/>
        <w:ind w:left="720" w:hanging="720"/>
      </w:pPr>
      <w:r>
        <w:t xml:space="preserve">Hoffman, A. (2007). </w:t>
      </w:r>
      <w:r>
        <w:rPr>
          <w:i/>
        </w:rPr>
        <w:t>An army of ex-lovers: My life at Gay Community News</w:t>
      </w:r>
      <w:r>
        <w:t>. Amherst, MA: University of Michigan Press.</w:t>
      </w:r>
    </w:p>
    <w:p w14:paraId="60954705" w14:textId="50BE86CC" w:rsidR="001C077B" w:rsidRDefault="00BE48D0" w:rsidP="001C077B">
      <w:pPr>
        <w:spacing w:line="480" w:lineRule="auto"/>
        <w:ind w:left="720" w:hanging="720"/>
      </w:pPr>
      <w:r w:rsidRPr="00674C5B">
        <w:t xml:space="preserve">Hull, K. E. (2001).  “The political limits of the rights frame: the case of same-sex marriage in Hawaii.”  </w:t>
      </w:r>
      <w:r w:rsidRPr="00674C5B">
        <w:rPr>
          <w:i/>
        </w:rPr>
        <w:t>Social Perspectives</w:t>
      </w:r>
      <w:r w:rsidR="0001393E">
        <w:t>, 44 (2):</w:t>
      </w:r>
      <w:r w:rsidRPr="00674C5B">
        <w:t xml:space="preserve"> 207-232.</w:t>
      </w:r>
    </w:p>
    <w:p w14:paraId="1AE84C0A" w14:textId="4F1E4921" w:rsidR="00C6430D" w:rsidRPr="001C077B" w:rsidRDefault="002F6BD0" w:rsidP="001C077B">
      <w:pPr>
        <w:spacing w:line="480" w:lineRule="auto"/>
        <w:ind w:left="720" w:hanging="720"/>
      </w:pPr>
      <w:proofErr w:type="gramStart"/>
      <w:r>
        <w:rPr>
          <w:rFonts w:cs="Times New Roman"/>
        </w:rPr>
        <w:t>Hutchinson, D. L. (2000).</w:t>
      </w:r>
      <w:proofErr w:type="gramEnd"/>
      <w:r>
        <w:rPr>
          <w:rFonts w:cs="Times New Roman"/>
        </w:rPr>
        <w:t xml:space="preserve"> “ ‘Gay rights’ for gay whites?’: Race, sexual identity, and equal protection discourse.” </w:t>
      </w:r>
      <w:r>
        <w:rPr>
          <w:rFonts w:cs="Times New Roman"/>
          <w:i/>
        </w:rPr>
        <w:t>Cornell Law Review</w:t>
      </w:r>
      <w:r>
        <w:rPr>
          <w:rFonts w:cs="Times New Roman"/>
        </w:rPr>
        <w:t>, 85</w:t>
      </w:r>
      <w:r w:rsidR="0001393E">
        <w:rPr>
          <w:rFonts w:cs="Times New Roman"/>
        </w:rPr>
        <w:t xml:space="preserve">: </w:t>
      </w:r>
      <w:r>
        <w:rPr>
          <w:rFonts w:cs="Times New Roman"/>
        </w:rPr>
        <w:t>1358-1391.</w:t>
      </w:r>
      <w:r w:rsidR="00C6430D">
        <w:rPr>
          <w:shd w:val="clear" w:color="auto" w:fill="FFFFFF"/>
        </w:rPr>
        <w:t xml:space="preserve"> </w:t>
      </w:r>
    </w:p>
    <w:p w14:paraId="589B4BB3" w14:textId="7ADDCB79" w:rsidR="00D56509" w:rsidRPr="00D56509" w:rsidRDefault="00D56509" w:rsidP="00D56509">
      <w:pPr>
        <w:spacing w:line="480" w:lineRule="auto"/>
        <w:ind w:left="720" w:hanging="720"/>
      </w:pPr>
      <w:r>
        <w:t>Lovell, G</w:t>
      </w:r>
      <w:r w:rsidR="001C077B">
        <w:t>.</w:t>
      </w:r>
      <w:r>
        <w:t xml:space="preserve"> I. (2012) </w:t>
      </w:r>
      <w:proofErr w:type="gramStart"/>
      <w:r>
        <w:rPr>
          <w:i/>
        </w:rPr>
        <w:t>This</w:t>
      </w:r>
      <w:proofErr w:type="gramEnd"/>
      <w:r>
        <w:rPr>
          <w:i/>
        </w:rPr>
        <w:t xml:space="preserve"> is not civil rights: Discovering rights talk in 1939 America</w:t>
      </w:r>
      <w:r>
        <w:t>. Chicago, IL: The Chicago University Press.</w:t>
      </w:r>
    </w:p>
    <w:p w14:paraId="7A659D21" w14:textId="77777777" w:rsidR="001C077B" w:rsidRDefault="009D19C7" w:rsidP="001C077B">
      <w:pPr>
        <w:spacing w:line="480" w:lineRule="auto"/>
        <w:ind w:left="720" w:hanging="720"/>
      </w:pPr>
      <w:r w:rsidRPr="00674C5B">
        <w:t xml:space="preserve">McCann, M. (1994). </w:t>
      </w:r>
      <w:r w:rsidRPr="00674C5B">
        <w:rPr>
          <w:i/>
        </w:rPr>
        <w:t>Rights at work: Pay equity reform and the politics of legal mobilization</w:t>
      </w:r>
      <w:r w:rsidRPr="00674C5B">
        <w:t xml:space="preserve">. Chicago, IL: </w:t>
      </w:r>
      <w:r w:rsidR="001C077B">
        <w:t>The University of Chicago Press.</w:t>
      </w:r>
    </w:p>
    <w:p w14:paraId="72F29F4F" w14:textId="63CFF83F" w:rsidR="007F6A01" w:rsidRDefault="007F6A01" w:rsidP="001C077B">
      <w:pPr>
        <w:spacing w:line="480" w:lineRule="auto"/>
        <w:ind w:left="720" w:hanging="720"/>
        <w:rPr>
          <w:rFonts w:cs="Times New Roman"/>
        </w:rPr>
      </w:pPr>
      <w:proofErr w:type="gramStart"/>
      <w:r>
        <w:t>Merry, S. E. (2000).</w:t>
      </w:r>
      <w:proofErr w:type="gramEnd"/>
      <w:r>
        <w:t xml:space="preserve"> </w:t>
      </w:r>
      <w:r>
        <w:rPr>
          <w:i/>
        </w:rPr>
        <w:t>Colonizing Hawai’i: The cultural power of law</w:t>
      </w:r>
      <w:r>
        <w:t>. Princeton, NJ: Princeton University Press.</w:t>
      </w:r>
    </w:p>
    <w:p w14:paraId="5B76DB9E" w14:textId="77777777" w:rsidR="007F6A01" w:rsidRDefault="00093465" w:rsidP="007F6A01">
      <w:pPr>
        <w:spacing w:line="480" w:lineRule="auto"/>
        <w:ind w:left="720" w:hanging="720"/>
        <w:rPr>
          <w:shd w:val="clear" w:color="auto" w:fill="FFFFFF"/>
        </w:rPr>
      </w:pPr>
      <w:r>
        <w:rPr>
          <w:shd w:val="clear" w:color="auto" w:fill="FFFFFF"/>
        </w:rPr>
        <w:t xml:space="preserve">Northeastern University (2012). “Historical Note: Bromfield Street Educational Foundation Records.” </w:t>
      </w:r>
      <w:proofErr w:type="gramStart"/>
      <w:r>
        <w:rPr>
          <w:shd w:val="clear" w:color="auto" w:fill="FFFFFF"/>
        </w:rPr>
        <w:t xml:space="preserve">Available online at </w:t>
      </w:r>
      <w:r w:rsidRPr="00DE5061">
        <w:rPr>
          <w:rFonts w:cs="Times New Roman"/>
        </w:rPr>
        <w:t>http://www.lib.neu.edu/archives/collect/findaids/m64findbioghist.htm</w:t>
      </w:r>
      <w:r>
        <w:rPr>
          <w:rFonts w:cs="Times New Roman"/>
        </w:rPr>
        <w:t>.</w:t>
      </w:r>
      <w:proofErr w:type="gramEnd"/>
      <w:r>
        <w:rPr>
          <w:rFonts w:cs="Times New Roman"/>
        </w:rPr>
        <w:t xml:space="preserve">  Retrieved September 10, 2012.</w:t>
      </w:r>
    </w:p>
    <w:p w14:paraId="544CE9A0" w14:textId="77777777" w:rsidR="007F6A01" w:rsidRDefault="00B96C97" w:rsidP="007F6A01">
      <w:pPr>
        <w:spacing w:line="480" w:lineRule="auto"/>
        <w:ind w:left="720" w:hanging="720"/>
      </w:pPr>
      <w:r>
        <w:rPr>
          <w:rFonts w:cs="Times New Roman"/>
        </w:rPr>
        <w:t>Osborn, T. (1994). “Calm before the storm: Introduction.”</w:t>
      </w:r>
      <w:r w:rsidR="00074E0B">
        <w:rPr>
          <w:rFonts w:cs="Times New Roman"/>
        </w:rPr>
        <w:t xml:space="preserve"> </w:t>
      </w:r>
      <w:r w:rsidR="00074E0B">
        <w:t xml:space="preserve">In </w:t>
      </w:r>
      <w:r w:rsidR="00074E0B">
        <w:rPr>
          <w:i/>
        </w:rPr>
        <w:t>Long road to freedom: The advocate history of the gay and lesbian movement</w:t>
      </w:r>
      <w:r w:rsidR="00074E0B">
        <w:t>, Mark Thompson Ed. New York, NY: St. Martin’s Press.</w:t>
      </w:r>
      <w:r w:rsidR="00093465">
        <w:tab/>
      </w:r>
    </w:p>
    <w:p w14:paraId="3949B20A" w14:textId="6979F9C8" w:rsidR="007F6A01" w:rsidRPr="007F6A01" w:rsidRDefault="007F6A01" w:rsidP="007F6A01">
      <w:pPr>
        <w:spacing w:line="480" w:lineRule="auto"/>
        <w:ind w:left="720" w:hanging="720"/>
      </w:pPr>
      <w:r>
        <w:t xml:space="preserve">Polletta, F. (2000). “The structural context of novel rights claims: Southern civil rights organizing, 1961-1966.” </w:t>
      </w:r>
      <w:r>
        <w:rPr>
          <w:i/>
        </w:rPr>
        <w:t>Law &amp; Society Review</w:t>
      </w:r>
      <w:r>
        <w:t xml:space="preserve"> 34 (2): 367-406.</w:t>
      </w:r>
    </w:p>
    <w:p w14:paraId="66AF8C71" w14:textId="77777777" w:rsidR="007F6A01" w:rsidRDefault="00093465" w:rsidP="007F6A01">
      <w:pPr>
        <w:spacing w:line="480" w:lineRule="auto"/>
        <w:ind w:left="720" w:hanging="720"/>
        <w:rPr>
          <w:shd w:val="clear" w:color="auto" w:fill="FFFFFF"/>
        </w:rPr>
      </w:pPr>
      <w:proofErr w:type="gramStart"/>
      <w:r>
        <w:t>Rofes, E. (2001).</w:t>
      </w:r>
      <w:proofErr w:type="gramEnd"/>
      <w:r>
        <w:t xml:space="preserve"> “</w:t>
      </w:r>
      <w:r>
        <w:rPr>
          <w:i/>
        </w:rPr>
        <w:t>Gay Community News</w:t>
      </w:r>
      <w:r>
        <w:t>: The first gay and lesbian weekly newspaper in the United St</w:t>
      </w:r>
      <w:r w:rsidR="00345031">
        <w:t>at</w:t>
      </w:r>
      <w:r>
        <w:t>es</w:t>
      </w:r>
      <w:r w:rsidR="00345031">
        <w:t xml:space="preserve">.” PowerPoint Presentation presented at the Annual Meeting of the American Historical Association on </w:t>
      </w:r>
      <w:proofErr w:type="gramStart"/>
      <w:r w:rsidR="00345031">
        <w:t>January,</w:t>
      </w:r>
      <w:proofErr w:type="gramEnd"/>
      <w:r w:rsidR="00345031">
        <w:t xml:space="preserve"> 4 2001.  </w:t>
      </w:r>
      <w:proofErr w:type="gramStart"/>
      <w:r w:rsidR="00345031">
        <w:t xml:space="preserve">Available online at </w:t>
      </w:r>
      <w:proofErr w:type="gramEnd"/>
      <w:r w:rsidR="00345031" w:rsidRPr="00DE5061">
        <w:rPr>
          <w:rFonts w:cs="Times New Roman"/>
        </w:rPr>
        <w:t>http://www.ericrofes.com/speaking/Gay_Community_News.pdf</w:t>
      </w:r>
      <w:proofErr w:type="gramStart"/>
      <w:r w:rsidR="00345031">
        <w:rPr>
          <w:rFonts w:cs="Times New Roman"/>
        </w:rPr>
        <w:t>.</w:t>
      </w:r>
      <w:proofErr w:type="gramEnd"/>
    </w:p>
    <w:p w14:paraId="4EAE6A81" w14:textId="77777777" w:rsidR="007F6A01" w:rsidRDefault="00914EC2" w:rsidP="007F6A01">
      <w:pPr>
        <w:spacing w:line="480" w:lineRule="auto"/>
        <w:ind w:left="720" w:hanging="720"/>
        <w:rPr>
          <w:shd w:val="clear" w:color="auto" w:fill="FFFFFF"/>
        </w:rPr>
      </w:pPr>
      <w:proofErr w:type="gramStart"/>
      <w:r>
        <w:t>Spade, D. (2011).</w:t>
      </w:r>
      <w:proofErr w:type="gramEnd"/>
      <w:r>
        <w:t xml:space="preserve"> </w:t>
      </w:r>
      <w:r>
        <w:rPr>
          <w:i/>
        </w:rPr>
        <w:t>Normal life: Administrative violence, critical trans politics, and the limits of law</w:t>
      </w:r>
      <w:r>
        <w:t>. Brooklyn, NY: South End Press.</w:t>
      </w:r>
    </w:p>
    <w:p w14:paraId="4023717D" w14:textId="77777777" w:rsidR="007F6A01" w:rsidRDefault="005E4ED6" w:rsidP="007F6A01">
      <w:pPr>
        <w:spacing w:line="480" w:lineRule="auto"/>
        <w:ind w:left="720" w:hanging="720"/>
        <w:rPr>
          <w:shd w:val="clear" w:color="auto" w:fill="FFFFFF"/>
        </w:rPr>
      </w:pPr>
      <w:r>
        <w:t xml:space="preserve">Streitmatter, R. (1995). </w:t>
      </w:r>
      <w:r w:rsidR="00763996">
        <w:rPr>
          <w:rFonts w:cs="Times New Roman"/>
        </w:rPr>
        <w:t xml:space="preserve">λ </w:t>
      </w:r>
      <w:r w:rsidR="00763996">
        <w:rPr>
          <w:rFonts w:cs="Times New Roman"/>
          <w:i/>
        </w:rPr>
        <w:t xml:space="preserve">Unspeakable: The rise of </w:t>
      </w:r>
      <w:proofErr w:type="gramStart"/>
      <w:r w:rsidR="00763996">
        <w:rPr>
          <w:rFonts w:cs="Times New Roman"/>
          <w:i/>
        </w:rPr>
        <w:t xml:space="preserve">the </w:t>
      </w:r>
      <w:r w:rsidR="009B3326">
        <w:rPr>
          <w:rFonts w:cs="Times New Roman"/>
          <w:i/>
        </w:rPr>
        <w:t xml:space="preserve"> </w:t>
      </w:r>
      <w:r w:rsidR="00763996">
        <w:rPr>
          <w:rFonts w:cs="Times New Roman"/>
          <w:i/>
        </w:rPr>
        <w:t>gay</w:t>
      </w:r>
      <w:proofErr w:type="gramEnd"/>
      <w:r w:rsidR="00763996">
        <w:rPr>
          <w:rFonts w:cs="Times New Roman"/>
          <w:i/>
        </w:rPr>
        <w:t xml:space="preserve"> and lesbian press in America</w:t>
      </w:r>
      <w:r w:rsidR="00763996">
        <w:rPr>
          <w:rFonts w:cs="Times New Roman"/>
        </w:rPr>
        <w:t>. Boston, MA: Faber and Faber.</w:t>
      </w:r>
    </w:p>
    <w:p w14:paraId="34EEF990" w14:textId="77777777" w:rsidR="007F6A01" w:rsidRDefault="00C04AD2" w:rsidP="007F6A01">
      <w:pPr>
        <w:spacing w:line="480" w:lineRule="auto"/>
        <w:ind w:left="720" w:hanging="720"/>
        <w:rPr>
          <w:shd w:val="clear" w:color="auto" w:fill="FFFFFF"/>
        </w:rPr>
      </w:pPr>
      <w:proofErr w:type="gramStart"/>
      <w:r>
        <w:t>The</w:t>
      </w:r>
      <w:r w:rsidR="007F6A01">
        <w:t xml:space="preserve"> </w:t>
      </w:r>
      <w:r>
        <w:t>History</w:t>
      </w:r>
      <w:r w:rsidR="007F6A01">
        <w:t xml:space="preserve"> </w:t>
      </w:r>
      <w:r>
        <w:t>Project (2011).</w:t>
      </w:r>
      <w:proofErr w:type="gramEnd"/>
      <w:r>
        <w:t xml:space="preserve"> “</w:t>
      </w:r>
      <w:r>
        <w:rPr>
          <w:i/>
        </w:rPr>
        <w:t>Gay Community News</w:t>
      </w:r>
      <w:r w:rsidR="007F6A01">
        <w:t xml:space="preserve">, the 2012 recipient of The </w:t>
      </w:r>
      <w:r>
        <w:t>History</w:t>
      </w:r>
      <w:r w:rsidR="007F6A01">
        <w:t xml:space="preserve"> </w:t>
      </w:r>
      <w:r>
        <w:t xml:space="preserve">Maker Award.” Video uploaded on </w:t>
      </w:r>
      <w:r w:rsidR="00F01C8E">
        <w:t xml:space="preserve">August 14, 2011, available online at </w:t>
      </w:r>
      <w:r w:rsidR="00F01C8E" w:rsidRPr="00F01C8E">
        <w:t>http://www.youtube.com/watch?v=mMAMNUmlUww</w:t>
      </w:r>
      <w:r w:rsidR="00F01C8E">
        <w:t>.</w:t>
      </w:r>
    </w:p>
    <w:p w14:paraId="4FF52F15" w14:textId="7411DE23" w:rsidR="0001393E" w:rsidRPr="0001393E" w:rsidRDefault="0001393E" w:rsidP="007F6A01">
      <w:pPr>
        <w:spacing w:line="480" w:lineRule="auto"/>
        <w:ind w:left="720" w:hanging="720"/>
      </w:pPr>
      <w:r>
        <w:t xml:space="preserve">Tushnet, M. (1984). “An essay on rights.” </w:t>
      </w:r>
      <w:r>
        <w:rPr>
          <w:i/>
        </w:rPr>
        <w:t>Texas Law Review</w:t>
      </w:r>
      <w:r>
        <w:t>, 62 (8): 1363-1403.</w:t>
      </w:r>
    </w:p>
    <w:p w14:paraId="28668FE6" w14:textId="2B57657A" w:rsidR="00EC7B2E" w:rsidRPr="00EC7B2E" w:rsidRDefault="00EC7B2E" w:rsidP="0001393E">
      <w:pPr>
        <w:spacing w:line="480" w:lineRule="auto"/>
        <w:ind w:left="720" w:hanging="720"/>
      </w:pPr>
      <w:proofErr w:type="gramStart"/>
      <w:r>
        <w:t>Vogly, T. J.; Krigbaum, M.; Langan, M. K.; &amp; Moshier, V. (1977).</w:t>
      </w:r>
      <w:proofErr w:type="gramEnd"/>
      <w:r>
        <w:t xml:space="preserve"> “Some of my best friends are letter writers: Eccentrics and Gladiators revisited.” </w:t>
      </w:r>
      <w:r>
        <w:rPr>
          <w:i/>
        </w:rPr>
        <w:t>Social Science Quarterly</w:t>
      </w:r>
      <w:r>
        <w:t>, 58: 321-327.</w:t>
      </w:r>
    </w:p>
    <w:p w14:paraId="19FD6658" w14:textId="0507CCC1" w:rsidR="00B26F1A" w:rsidRPr="00B26F1A" w:rsidRDefault="00B26F1A" w:rsidP="0001393E">
      <w:pPr>
        <w:spacing w:line="480" w:lineRule="auto"/>
        <w:ind w:left="720" w:hanging="720"/>
      </w:pPr>
      <w:r>
        <w:t xml:space="preserve">West, R. (2011). “Tragic rights; </w:t>
      </w:r>
      <w:proofErr w:type="gramStart"/>
      <w:r>
        <w:t>The</w:t>
      </w:r>
      <w:proofErr w:type="gramEnd"/>
      <w:r>
        <w:t xml:space="preserve"> rights critique in the age of Obama.” </w:t>
      </w:r>
      <w:r>
        <w:rPr>
          <w:i/>
        </w:rPr>
        <w:t>William and Mary Law Review</w:t>
      </w:r>
      <w:r>
        <w:t>, 53 (2): 713-746.</w:t>
      </w:r>
    </w:p>
    <w:p w14:paraId="078EA50C" w14:textId="6C83D960" w:rsidR="00BE48D0" w:rsidRDefault="00616E6B" w:rsidP="0001393E">
      <w:pPr>
        <w:spacing w:line="480" w:lineRule="auto"/>
        <w:ind w:left="720" w:hanging="720"/>
      </w:pPr>
      <w:r>
        <w:t xml:space="preserve">Wittgenstein, L. (1967). </w:t>
      </w:r>
      <w:proofErr w:type="gramStart"/>
      <w:r>
        <w:rPr>
          <w:i/>
        </w:rPr>
        <w:t>Philosophical investigations</w:t>
      </w:r>
      <w:r>
        <w:t xml:space="preserve"> (3rd ed.)</w:t>
      </w:r>
      <w:r>
        <w:rPr>
          <w:i/>
        </w:rPr>
        <w:t>.</w:t>
      </w:r>
      <w:proofErr w:type="gramEnd"/>
      <w:r>
        <w:rPr>
          <w:i/>
        </w:rPr>
        <w:t xml:space="preserve">  </w:t>
      </w:r>
      <w:r>
        <w:t>(G. E. M. Anscombe, Trans.). Oxford, UK: Basil Blackwell. (Original work published in 1953).</w:t>
      </w:r>
    </w:p>
    <w:p w14:paraId="19373109" w14:textId="3CF3167F" w:rsidR="0001393E" w:rsidRPr="0001393E" w:rsidRDefault="0001393E" w:rsidP="0001393E">
      <w:pPr>
        <w:spacing w:line="480" w:lineRule="auto"/>
        <w:ind w:left="720" w:hanging="720"/>
        <w:rPr>
          <w:shd w:val="clear" w:color="auto" w:fill="FFFFFF"/>
        </w:rPr>
      </w:pPr>
      <w:r>
        <w:t xml:space="preserve">Yngvesson, B. (1989). “Inventing law in local settings: Rethinking popular legal culture.” </w:t>
      </w:r>
      <w:r>
        <w:rPr>
          <w:i/>
        </w:rPr>
        <w:t>Yale Law Journal</w:t>
      </w:r>
      <w:r>
        <w:t>, 98: 1689-1709.</w:t>
      </w:r>
    </w:p>
    <w:sectPr w:rsidR="0001393E" w:rsidRPr="0001393E" w:rsidSect="00296456">
      <w:headerReference w:type="default" r:id="rId9"/>
      <w:footerReference w:type="even" r:id="rId10"/>
      <w:footerReference w:type="default" r:id="rId1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9AFD3" w14:textId="77777777" w:rsidR="00296456" w:rsidRDefault="00296456" w:rsidP="00046F98">
      <w:r>
        <w:separator/>
      </w:r>
    </w:p>
  </w:endnote>
  <w:endnote w:type="continuationSeparator" w:id="0">
    <w:p w14:paraId="56544078" w14:textId="77777777" w:rsidR="00296456" w:rsidRDefault="00296456" w:rsidP="0004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D4A70" w14:textId="77777777" w:rsidR="00296456" w:rsidRDefault="00296456" w:rsidP="002964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F014E" w14:textId="77777777" w:rsidR="00296456" w:rsidRDefault="002964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D73D1" w14:textId="77777777" w:rsidR="00296456" w:rsidRDefault="00296456" w:rsidP="002964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6B9F">
      <w:rPr>
        <w:rStyle w:val="PageNumber"/>
        <w:noProof/>
      </w:rPr>
      <w:t>1</w:t>
    </w:r>
    <w:r>
      <w:rPr>
        <w:rStyle w:val="PageNumber"/>
      </w:rPr>
      <w:fldChar w:fldCharType="end"/>
    </w:r>
  </w:p>
  <w:p w14:paraId="733E46E8" w14:textId="2953F778" w:rsidR="00296456" w:rsidRDefault="00296456" w:rsidP="00046F98">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8AF9F" w14:textId="77777777" w:rsidR="00296456" w:rsidRDefault="00296456" w:rsidP="00046F98">
      <w:r>
        <w:separator/>
      </w:r>
    </w:p>
  </w:footnote>
  <w:footnote w:type="continuationSeparator" w:id="0">
    <w:p w14:paraId="7C0E0DB4" w14:textId="77777777" w:rsidR="00296456" w:rsidRDefault="00296456" w:rsidP="00046F98">
      <w:r>
        <w:continuationSeparator/>
      </w:r>
    </w:p>
  </w:footnote>
  <w:footnote w:id="1">
    <w:p w14:paraId="25F3375E" w14:textId="3FF0CBEE" w:rsidR="00296456" w:rsidRPr="00F85ADB" w:rsidRDefault="00296456">
      <w:pPr>
        <w:pStyle w:val="FootnoteText"/>
      </w:pPr>
      <w:r>
        <w:rPr>
          <w:rStyle w:val="FootnoteReference"/>
        </w:rPr>
        <w:footnoteRef/>
      </w:r>
      <w:r>
        <w:t xml:space="preserve"> Even though </w:t>
      </w:r>
      <w:r>
        <w:rPr>
          <w:i/>
        </w:rPr>
        <w:t>GCN</w:t>
      </w:r>
      <w:r>
        <w:t xml:space="preserve"> included letters to the editor from historically marginalized members of the LGBTQ community, </w:t>
      </w:r>
      <w:proofErr w:type="gramStart"/>
      <w:r>
        <w:t>it’s</w:t>
      </w:r>
      <w:proofErr w:type="gramEnd"/>
      <w:r>
        <w:t xml:space="preserve"> staff members were not very diverse in terms of race (Hoffman, 2007).</w:t>
      </w:r>
    </w:p>
  </w:footnote>
  <w:footnote w:id="2">
    <w:p w14:paraId="64B73A9B" w14:textId="3B922E8E" w:rsidR="00296456" w:rsidRPr="0043785E" w:rsidRDefault="00296456">
      <w:pPr>
        <w:pStyle w:val="FootnoteText"/>
      </w:pPr>
      <w:r>
        <w:rPr>
          <w:rStyle w:val="FootnoteReference"/>
        </w:rPr>
        <w:footnoteRef/>
      </w:r>
      <w:r>
        <w:t xml:space="preserve"> </w:t>
      </w:r>
      <w:r w:rsidRPr="0043785E">
        <w:t>The Bromfield Educational Foundation was originally called Gay Community News, the same name as the paper, in 1973; however, the organization was forced to change its name in 1982, to eliminate the word “gay,” when it had difficulty achieving non-profit status.  It is believed that this is the reason that it took the organization so long to achieve non-profit status (Northeastern University, 2012)</w:t>
      </w:r>
      <w:r>
        <w:t>.</w:t>
      </w:r>
      <w:r w:rsidRPr="0043785E">
        <w:t xml:space="preserve">   </w:t>
      </w:r>
    </w:p>
  </w:footnote>
  <w:footnote w:id="3">
    <w:p w14:paraId="01919376" w14:textId="4B7F3CF9" w:rsidR="00296456" w:rsidRPr="0043785E" w:rsidRDefault="00296456" w:rsidP="00727929">
      <w:pPr>
        <w:pStyle w:val="FootnoteText"/>
        <w:rPr>
          <w:rFonts w:cs="Times New Roman"/>
        </w:rPr>
      </w:pPr>
      <w:r>
        <w:rPr>
          <w:rStyle w:val="FootnoteReference"/>
        </w:rPr>
        <w:footnoteRef/>
      </w:r>
      <w:r>
        <w:t xml:space="preserve"> </w:t>
      </w:r>
      <w:r w:rsidRPr="0043785E">
        <w:t>I coded for the following issues: a</w:t>
      </w:r>
      <w:r w:rsidRPr="0043785E">
        <w:rPr>
          <w:rFonts w:cs="Times New Roman"/>
        </w:rPr>
        <w:t xml:space="preserve">doption; AIDS/HIV; custody; anti-marriage; discrimination in education, employment, housing, service, sex discrimination, and discrimination generally (collapsed into discrimination overall in the results section); hospital visitation; immigration; media; medical access; military; police trouble and brutality; prison; man/boy love, marriage, non-marital relationships, public sex, dominance and submission or sadism and masochism sexual practices, sodomy, pornography, prostitution, and sexual practices generally (collapsed into sexuality overall in the results section); transgender issues; violence against women; violence generally (i.e., non-police hate crimes); feminism and women’s issues; political party or candidate, legislation, political movement, and political protest (collapsed into political overall in the results section); race; religion; youth; and substance abuse.  I also included an “other” category for those issues that did not clearly fall within a category.  The anti-marriage and custody issues did not appear in any letters in </w:t>
      </w:r>
      <w:r w:rsidRPr="0043785E">
        <w:rPr>
          <w:rFonts w:cs="Times New Roman"/>
          <w:i/>
        </w:rPr>
        <w:t>GCN</w:t>
      </w:r>
      <w:r w:rsidRPr="0043785E">
        <w:rPr>
          <w:rFonts w:cs="Times New Roman"/>
        </w:rPr>
        <w:t>, so they are not reported in the results section below.</w:t>
      </w:r>
    </w:p>
  </w:footnote>
  <w:footnote w:id="4">
    <w:p w14:paraId="454D00DF" w14:textId="054F435F" w:rsidR="00296456" w:rsidRPr="00FB2A3C" w:rsidRDefault="00296456">
      <w:pPr>
        <w:pStyle w:val="FootnoteText"/>
        <w:rPr>
          <w:sz w:val="20"/>
          <w:szCs w:val="20"/>
        </w:rPr>
      </w:pPr>
      <w:r>
        <w:rPr>
          <w:rStyle w:val="FootnoteReference"/>
        </w:rPr>
        <w:footnoteRef/>
      </w:r>
      <w:r>
        <w:t xml:space="preserve"> </w:t>
      </w:r>
      <w:r>
        <w:rPr>
          <w:i/>
          <w:sz w:val="20"/>
          <w:szCs w:val="20"/>
        </w:rPr>
        <w:t>GCN</w:t>
      </w:r>
      <w:r>
        <w:rPr>
          <w:sz w:val="20"/>
          <w:szCs w:val="20"/>
        </w:rPr>
        <w:t xml:space="preserve"> included a prison pen pals section and published letters from LGBTQ prison inmates in its letters to the editor column.  Prisoner’s who wrote to </w:t>
      </w:r>
      <w:r>
        <w:rPr>
          <w:i/>
          <w:sz w:val="20"/>
          <w:szCs w:val="20"/>
        </w:rPr>
        <w:t>GCN</w:t>
      </w:r>
      <w:r>
        <w:rPr>
          <w:sz w:val="20"/>
          <w:szCs w:val="20"/>
        </w:rPr>
        <w:t xml:space="preserve"> sometimes identified with man/boy love segments of the LGBTQ community.  However, it is entirely possible that these prisoners were, in fact, in prison for child sex crimes and wrote into the paper with the hopes of obtaining sympathy from the LGBTQ community.  As a result, it is possible that man/boy love segments of the LGBTQ community would have rejected any alignment with these prison inmates.  </w:t>
      </w:r>
    </w:p>
  </w:footnote>
  <w:footnote w:id="5">
    <w:p w14:paraId="4E2B1400" w14:textId="224DE776" w:rsidR="00296456" w:rsidRPr="008E62A3" w:rsidRDefault="00296456">
      <w:pPr>
        <w:pStyle w:val="FootnoteText"/>
        <w:rPr>
          <w:sz w:val="20"/>
          <w:szCs w:val="20"/>
        </w:rPr>
      </w:pPr>
      <w:r>
        <w:rPr>
          <w:rStyle w:val="FootnoteReference"/>
        </w:rPr>
        <w:footnoteRef/>
      </w:r>
      <w:r>
        <w:t xml:space="preserve"> </w:t>
      </w:r>
      <w:r>
        <w:rPr>
          <w:sz w:val="20"/>
          <w:szCs w:val="20"/>
        </w:rPr>
        <w:t xml:space="preserve">Because my I sampled letters from 1980 to 1988, the </w:t>
      </w:r>
      <w:r>
        <w:rPr>
          <w:i/>
          <w:sz w:val="20"/>
          <w:szCs w:val="20"/>
        </w:rPr>
        <w:t>GCN</w:t>
      </w:r>
      <w:r>
        <w:rPr>
          <w:sz w:val="20"/>
          <w:szCs w:val="20"/>
        </w:rPr>
        <w:t xml:space="preserve"> letter writers did not discuss the Massachusetts Gay Civil Rights Bill, which Dukakis signed into law in 1989 (Cicchino, et al., 1991, p. 590).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8713F" w14:textId="77777777" w:rsidR="00296456" w:rsidRDefault="00296456" w:rsidP="00046F98">
    <w:pPr>
      <w:pStyle w:val="Header"/>
      <w:jc w:val="right"/>
    </w:pPr>
    <w:r>
      <w:t>Adam</w:t>
    </w:r>
  </w:p>
  <w:p w14:paraId="0D0D52EF" w14:textId="6DA01EF7" w:rsidR="00296456" w:rsidRPr="00D56509" w:rsidRDefault="00296456" w:rsidP="00046F98">
    <w:pPr>
      <w:pStyle w:val="Header"/>
      <w:jc w:val="right"/>
    </w:pPr>
    <w:r>
      <w:t>Draft Please Do Not Circulate or Cite Without Permission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FCCB5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59B4523"/>
    <w:multiLevelType w:val="hybridMultilevel"/>
    <w:tmpl w:val="35FE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50F08"/>
    <w:multiLevelType w:val="hybridMultilevel"/>
    <w:tmpl w:val="B61A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D736D"/>
    <w:multiLevelType w:val="hybridMultilevel"/>
    <w:tmpl w:val="EAEC1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913828"/>
    <w:multiLevelType w:val="hybridMultilevel"/>
    <w:tmpl w:val="1E2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60840"/>
    <w:multiLevelType w:val="hybridMultilevel"/>
    <w:tmpl w:val="7500E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3B3361"/>
    <w:multiLevelType w:val="hybridMultilevel"/>
    <w:tmpl w:val="B4582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C354A5"/>
    <w:multiLevelType w:val="hybridMultilevel"/>
    <w:tmpl w:val="10A2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376054"/>
    <w:multiLevelType w:val="hybridMultilevel"/>
    <w:tmpl w:val="5E86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D66DBD"/>
    <w:multiLevelType w:val="hybridMultilevel"/>
    <w:tmpl w:val="7ADE1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A55313"/>
    <w:multiLevelType w:val="hybridMultilevel"/>
    <w:tmpl w:val="7E0A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116E49"/>
    <w:multiLevelType w:val="hybridMultilevel"/>
    <w:tmpl w:val="580E7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F145FE"/>
    <w:multiLevelType w:val="hybridMultilevel"/>
    <w:tmpl w:val="EED87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4"/>
  </w:num>
  <w:num w:numId="5">
    <w:abstractNumId w:val="8"/>
  </w:num>
  <w:num w:numId="6">
    <w:abstractNumId w:val="7"/>
  </w:num>
  <w:num w:numId="7">
    <w:abstractNumId w:val="11"/>
  </w:num>
  <w:num w:numId="8">
    <w:abstractNumId w:val="12"/>
  </w:num>
  <w:num w:numId="9">
    <w:abstractNumId w:val="1"/>
  </w:num>
  <w:num w:numId="10">
    <w:abstractNumId w:val="3"/>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CA"/>
    <w:rsid w:val="00007DD9"/>
    <w:rsid w:val="000101F3"/>
    <w:rsid w:val="0001393E"/>
    <w:rsid w:val="00013B45"/>
    <w:rsid w:val="00013D8B"/>
    <w:rsid w:val="00014B05"/>
    <w:rsid w:val="00017848"/>
    <w:rsid w:val="000248AE"/>
    <w:rsid w:val="00024C14"/>
    <w:rsid w:val="00031883"/>
    <w:rsid w:val="000363F2"/>
    <w:rsid w:val="0004387A"/>
    <w:rsid w:val="00046123"/>
    <w:rsid w:val="00046F98"/>
    <w:rsid w:val="00047C96"/>
    <w:rsid w:val="00050ACC"/>
    <w:rsid w:val="000540F6"/>
    <w:rsid w:val="000628B9"/>
    <w:rsid w:val="00062C4C"/>
    <w:rsid w:val="0006421A"/>
    <w:rsid w:val="00065A7F"/>
    <w:rsid w:val="00066970"/>
    <w:rsid w:val="00066C5F"/>
    <w:rsid w:val="0007410A"/>
    <w:rsid w:val="00074E0B"/>
    <w:rsid w:val="000757D4"/>
    <w:rsid w:val="00080496"/>
    <w:rsid w:val="0008776E"/>
    <w:rsid w:val="0009091E"/>
    <w:rsid w:val="00093465"/>
    <w:rsid w:val="000937C2"/>
    <w:rsid w:val="00096D39"/>
    <w:rsid w:val="000A6A6D"/>
    <w:rsid w:val="000A7AD7"/>
    <w:rsid w:val="000B491C"/>
    <w:rsid w:val="000B50EB"/>
    <w:rsid w:val="000B7FF2"/>
    <w:rsid w:val="000C337F"/>
    <w:rsid w:val="000C3BA5"/>
    <w:rsid w:val="000C6117"/>
    <w:rsid w:val="000C7852"/>
    <w:rsid w:val="000D1186"/>
    <w:rsid w:val="000D3142"/>
    <w:rsid w:val="000E0DFC"/>
    <w:rsid w:val="000E285F"/>
    <w:rsid w:val="000E2B2E"/>
    <w:rsid w:val="000E6427"/>
    <w:rsid w:val="000E7A71"/>
    <w:rsid w:val="00100701"/>
    <w:rsid w:val="00102DB5"/>
    <w:rsid w:val="00103E6B"/>
    <w:rsid w:val="00111145"/>
    <w:rsid w:val="00111A48"/>
    <w:rsid w:val="001140F2"/>
    <w:rsid w:val="00116264"/>
    <w:rsid w:val="00117345"/>
    <w:rsid w:val="001179C1"/>
    <w:rsid w:val="00120D6A"/>
    <w:rsid w:val="00122A36"/>
    <w:rsid w:val="00122D29"/>
    <w:rsid w:val="001271CF"/>
    <w:rsid w:val="0012743A"/>
    <w:rsid w:val="00130074"/>
    <w:rsid w:val="00133D93"/>
    <w:rsid w:val="0013584E"/>
    <w:rsid w:val="00142CA3"/>
    <w:rsid w:val="00143A11"/>
    <w:rsid w:val="00145744"/>
    <w:rsid w:val="0014606C"/>
    <w:rsid w:val="001465EB"/>
    <w:rsid w:val="00152BC3"/>
    <w:rsid w:val="00153827"/>
    <w:rsid w:val="00156BF7"/>
    <w:rsid w:val="00156CAA"/>
    <w:rsid w:val="00157ABC"/>
    <w:rsid w:val="00161B5F"/>
    <w:rsid w:val="00165DCD"/>
    <w:rsid w:val="001773D6"/>
    <w:rsid w:val="00177AD0"/>
    <w:rsid w:val="00180D29"/>
    <w:rsid w:val="0018303D"/>
    <w:rsid w:val="00190403"/>
    <w:rsid w:val="00190484"/>
    <w:rsid w:val="00196CCB"/>
    <w:rsid w:val="00197099"/>
    <w:rsid w:val="001A1170"/>
    <w:rsid w:val="001A62A9"/>
    <w:rsid w:val="001A7071"/>
    <w:rsid w:val="001B2504"/>
    <w:rsid w:val="001B305F"/>
    <w:rsid w:val="001B3EB7"/>
    <w:rsid w:val="001B717A"/>
    <w:rsid w:val="001C077B"/>
    <w:rsid w:val="001C3060"/>
    <w:rsid w:val="001C3E9E"/>
    <w:rsid w:val="001C443F"/>
    <w:rsid w:val="001C6E24"/>
    <w:rsid w:val="001D60AE"/>
    <w:rsid w:val="001E08E9"/>
    <w:rsid w:val="001E680E"/>
    <w:rsid w:val="001E7194"/>
    <w:rsid w:val="001E75B6"/>
    <w:rsid w:val="001F06DE"/>
    <w:rsid w:val="001F298C"/>
    <w:rsid w:val="001F3091"/>
    <w:rsid w:val="00201036"/>
    <w:rsid w:val="00203418"/>
    <w:rsid w:val="0020444A"/>
    <w:rsid w:val="00204A66"/>
    <w:rsid w:val="00207568"/>
    <w:rsid w:val="00212558"/>
    <w:rsid w:val="002131AD"/>
    <w:rsid w:val="00215071"/>
    <w:rsid w:val="0022188A"/>
    <w:rsid w:val="00223A61"/>
    <w:rsid w:val="00231297"/>
    <w:rsid w:val="00231A25"/>
    <w:rsid w:val="00231E69"/>
    <w:rsid w:val="00236EA7"/>
    <w:rsid w:val="00242D72"/>
    <w:rsid w:val="00247912"/>
    <w:rsid w:val="002542F4"/>
    <w:rsid w:val="00254412"/>
    <w:rsid w:val="00254FF8"/>
    <w:rsid w:val="00255E54"/>
    <w:rsid w:val="00257E5F"/>
    <w:rsid w:val="00261C7C"/>
    <w:rsid w:val="002621C8"/>
    <w:rsid w:val="00266AB7"/>
    <w:rsid w:val="002673F7"/>
    <w:rsid w:val="0026781B"/>
    <w:rsid w:val="0027250E"/>
    <w:rsid w:val="00280CA6"/>
    <w:rsid w:val="002834BB"/>
    <w:rsid w:val="0028508C"/>
    <w:rsid w:val="0029565D"/>
    <w:rsid w:val="00296456"/>
    <w:rsid w:val="002A22F1"/>
    <w:rsid w:val="002B0002"/>
    <w:rsid w:val="002B490D"/>
    <w:rsid w:val="002C01B4"/>
    <w:rsid w:val="002C02D8"/>
    <w:rsid w:val="002C3391"/>
    <w:rsid w:val="002D2EE6"/>
    <w:rsid w:val="002D792F"/>
    <w:rsid w:val="002E3AA2"/>
    <w:rsid w:val="002E48A5"/>
    <w:rsid w:val="002F206F"/>
    <w:rsid w:val="002F49DB"/>
    <w:rsid w:val="002F54C9"/>
    <w:rsid w:val="002F6BD0"/>
    <w:rsid w:val="003005F6"/>
    <w:rsid w:val="003031A4"/>
    <w:rsid w:val="00303E20"/>
    <w:rsid w:val="00317A21"/>
    <w:rsid w:val="00320605"/>
    <w:rsid w:val="00321385"/>
    <w:rsid w:val="00323ACA"/>
    <w:rsid w:val="0033756D"/>
    <w:rsid w:val="003408FC"/>
    <w:rsid w:val="00345031"/>
    <w:rsid w:val="00346FD1"/>
    <w:rsid w:val="00347DA6"/>
    <w:rsid w:val="00351DB4"/>
    <w:rsid w:val="00352FAE"/>
    <w:rsid w:val="00357A95"/>
    <w:rsid w:val="00361E6B"/>
    <w:rsid w:val="00362B98"/>
    <w:rsid w:val="0036391A"/>
    <w:rsid w:val="00370898"/>
    <w:rsid w:val="00371079"/>
    <w:rsid w:val="0037423E"/>
    <w:rsid w:val="00382B1E"/>
    <w:rsid w:val="003867E5"/>
    <w:rsid w:val="00392022"/>
    <w:rsid w:val="003930E6"/>
    <w:rsid w:val="00393E07"/>
    <w:rsid w:val="003974B1"/>
    <w:rsid w:val="003A1DE1"/>
    <w:rsid w:val="003A39AD"/>
    <w:rsid w:val="003B0844"/>
    <w:rsid w:val="003C7AF1"/>
    <w:rsid w:val="003D03A7"/>
    <w:rsid w:val="003D15FA"/>
    <w:rsid w:val="003D270A"/>
    <w:rsid w:val="003D3621"/>
    <w:rsid w:val="003D3C24"/>
    <w:rsid w:val="003D50FF"/>
    <w:rsid w:val="003D5C01"/>
    <w:rsid w:val="003E0383"/>
    <w:rsid w:val="003E0C99"/>
    <w:rsid w:val="003E5AD2"/>
    <w:rsid w:val="003E6709"/>
    <w:rsid w:val="003F0E19"/>
    <w:rsid w:val="003F5590"/>
    <w:rsid w:val="003F6560"/>
    <w:rsid w:val="00403B18"/>
    <w:rsid w:val="00406853"/>
    <w:rsid w:val="004068D5"/>
    <w:rsid w:val="00410DD6"/>
    <w:rsid w:val="00411384"/>
    <w:rsid w:val="00412066"/>
    <w:rsid w:val="00415628"/>
    <w:rsid w:val="00424625"/>
    <w:rsid w:val="00426AD0"/>
    <w:rsid w:val="00432BE9"/>
    <w:rsid w:val="00435033"/>
    <w:rsid w:val="004372C6"/>
    <w:rsid w:val="0043785E"/>
    <w:rsid w:val="004416B6"/>
    <w:rsid w:val="00444463"/>
    <w:rsid w:val="0045040C"/>
    <w:rsid w:val="00452852"/>
    <w:rsid w:val="00452CA1"/>
    <w:rsid w:val="00453F8A"/>
    <w:rsid w:val="00460966"/>
    <w:rsid w:val="004618FF"/>
    <w:rsid w:val="00467E21"/>
    <w:rsid w:val="004738F0"/>
    <w:rsid w:val="0047414B"/>
    <w:rsid w:val="0049757B"/>
    <w:rsid w:val="004A1148"/>
    <w:rsid w:val="004A68E3"/>
    <w:rsid w:val="004B2594"/>
    <w:rsid w:val="004B28A8"/>
    <w:rsid w:val="004B3232"/>
    <w:rsid w:val="004B3C2E"/>
    <w:rsid w:val="004B7669"/>
    <w:rsid w:val="004C38DF"/>
    <w:rsid w:val="004C3D67"/>
    <w:rsid w:val="004C6D6A"/>
    <w:rsid w:val="004C7370"/>
    <w:rsid w:val="004D2514"/>
    <w:rsid w:val="004D473F"/>
    <w:rsid w:val="004D50AC"/>
    <w:rsid w:val="004D5B94"/>
    <w:rsid w:val="004E1BEB"/>
    <w:rsid w:val="004E245F"/>
    <w:rsid w:val="004E28B2"/>
    <w:rsid w:val="004E34AC"/>
    <w:rsid w:val="004E5781"/>
    <w:rsid w:val="004E57BD"/>
    <w:rsid w:val="004E59CE"/>
    <w:rsid w:val="004F1065"/>
    <w:rsid w:val="004F1A97"/>
    <w:rsid w:val="004F5CD9"/>
    <w:rsid w:val="004F65A7"/>
    <w:rsid w:val="004F7A86"/>
    <w:rsid w:val="00501D95"/>
    <w:rsid w:val="00506312"/>
    <w:rsid w:val="00506BF1"/>
    <w:rsid w:val="00506D87"/>
    <w:rsid w:val="00514095"/>
    <w:rsid w:val="00524E6C"/>
    <w:rsid w:val="00532700"/>
    <w:rsid w:val="00532E17"/>
    <w:rsid w:val="0053456D"/>
    <w:rsid w:val="00534A54"/>
    <w:rsid w:val="0053661E"/>
    <w:rsid w:val="00536B9F"/>
    <w:rsid w:val="00542A53"/>
    <w:rsid w:val="005437ED"/>
    <w:rsid w:val="00543BC4"/>
    <w:rsid w:val="005466FA"/>
    <w:rsid w:val="00546FEC"/>
    <w:rsid w:val="0054708C"/>
    <w:rsid w:val="00551EB5"/>
    <w:rsid w:val="005524E2"/>
    <w:rsid w:val="005531D7"/>
    <w:rsid w:val="005538FA"/>
    <w:rsid w:val="005555F1"/>
    <w:rsid w:val="00556F5B"/>
    <w:rsid w:val="00562E34"/>
    <w:rsid w:val="00564DA8"/>
    <w:rsid w:val="00576F19"/>
    <w:rsid w:val="00583612"/>
    <w:rsid w:val="00584220"/>
    <w:rsid w:val="00584B79"/>
    <w:rsid w:val="00586558"/>
    <w:rsid w:val="00592337"/>
    <w:rsid w:val="00592F57"/>
    <w:rsid w:val="00596655"/>
    <w:rsid w:val="005A32F8"/>
    <w:rsid w:val="005A37A7"/>
    <w:rsid w:val="005A615F"/>
    <w:rsid w:val="005A6C34"/>
    <w:rsid w:val="005B09C6"/>
    <w:rsid w:val="005B0A87"/>
    <w:rsid w:val="005C25AC"/>
    <w:rsid w:val="005C2EE9"/>
    <w:rsid w:val="005C567E"/>
    <w:rsid w:val="005C6D5B"/>
    <w:rsid w:val="005D0E7C"/>
    <w:rsid w:val="005D27F9"/>
    <w:rsid w:val="005D39B0"/>
    <w:rsid w:val="005D5188"/>
    <w:rsid w:val="005D7410"/>
    <w:rsid w:val="005E4ED6"/>
    <w:rsid w:val="005E77CD"/>
    <w:rsid w:val="005F1569"/>
    <w:rsid w:val="006016DB"/>
    <w:rsid w:val="0060224F"/>
    <w:rsid w:val="00602992"/>
    <w:rsid w:val="00603BA7"/>
    <w:rsid w:val="00605CD3"/>
    <w:rsid w:val="00605F50"/>
    <w:rsid w:val="00616E6B"/>
    <w:rsid w:val="00617EED"/>
    <w:rsid w:val="006251FD"/>
    <w:rsid w:val="00625FDC"/>
    <w:rsid w:val="00626374"/>
    <w:rsid w:val="006304D5"/>
    <w:rsid w:val="00635574"/>
    <w:rsid w:val="00640607"/>
    <w:rsid w:val="00644CFF"/>
    <w:rsid w:val="00646388"/>
    <w:rsid w:val="006569A5"/>
    <w:rsid w:val="00657988"/>
    <w:rsid w:val="00664860"/>
    <w:rsid w:val="0066682B"/>
    <w:rsid w:val="006700E1"/>
    <w:rsid w:val="0068173E"/>
    <w:rsid w:val="0068205C"/>
    <w:rsid w:val="00683FFA"/>
    <w:rsid w:val="00684811"/>
    <w:rsid w:val="00684C45"/>
    <w:rsid w:val="00684F33"/>
    <w:rsid w:val="00694812"/>
    <w:rsid w:val="006A09EE"/>
    <w:rsid w:val="006A0F7C"/>
    <w:rsid w:val="006A1390"/>
    <w:rsid w:val="006A2D0B"/>
    <w:rsid w:val="006A6E2C"/>
    <w:rsid w:val="006A78D2"/>
    <w:rsid w:val="006B21D5"/>
    <w:rsid w:val="006B3F84"/>
    <w:rsid w:val="006B7EBA"/>
    <w:rsid w:val="006C37D0"/>
    <w:rsid w:val="006C54A2"/>
    <w:rsid w:val="006C6408"/>
    <w:rsid w:val="006C780B"/>
    <w:rsid w:val="006D27D9"/>
    <w:rsid w:val="006D36E7"/>
    <w:rsid w:val="006D45A2"/>
    <w:rsid w:val="006D5705"/>
    <w:rsid w:val="006F1037"/>
    <w:rsid w:val="006F4949"/>
    <w:rsid w:val="006F73D6"/>
    <w:rsid w:val="00700354"/>
    <w:rsid w:val="00701EDD"/>
    <w:rsid w:val="007048B2"/>
    <w:rsid w:val="00706311"/>
    <w:rsid w:val="00707164"/>
    <w:rsid w:val="007075F2"/>
    <w:rsid w:val="00707A45"/>
    <w:rsid w:val="007114AD"/>
    <w:rsid w:val="007138A1"/>
    <w:rsid w:val="00715B16"/>
    <w:rsid w:val="0071750E"/>
    <w:rsid w:val="0072014C"/>
    <w:rsid w:val="00723E63"/>
    <w:rsid w:val="00725339"/>
    <w:rsid w:val="00727929"/>
    <w:rsid w:val="00734938"/>
    <w:rsid w:val="00737031"/>
    <w:rsid w:val="007406AA"/>
    <w:rsid w:val="00740B07"/>
    <w:rsid w:val="007417A2"/>
    <w:rsid w:val="00741B8C"/>
    <w:rsid w:val="00742D82"/>
    <w:rsid w:val="00744846"/>
    <w:rsid w:val="007466D5"/>
    <w:rsid w:val="00751A6F"/>
    <w:rsid w:val="00751D8F"/>
    <w:rsid w:val="007532E4"/>
    <w:rsid w:val="00755C0E"/>
    <w:rsid w:val="00761100"/>
    <w:rsid w:val="00762B0E"/>
    <w:rsid w:val="00763996"/>
    <w:rsid w:val="00763B3C"/>
    <w:rsid w:val="00763FB0"/>
    <w:rsid w:val="007657E1"/>
    <w:rsid w:val="007667ED"/>
    <w:rsid w:val="00772712"/>
    <w:rsid w:val="00773427"/>
    <w:rsid w:val="00773E19"/>
    <w:rsid w:val="00774AE4"/>
    <w:rsid w:val="0078024B"/>
    <w:rsid w:val="00780E8D"/>
    <w:rsid w:val="007828B3"/>
    <w:rsid w:val="0078337E"/>
    <w:rsid w:val="007835C5"/>
    <w:rsid w:val="00784447"/>
    <w:rsid w:val="00787650"/>
    <w:rsid w:val="00793CED"/>
    <w:rsid w:val="00796EE0"/>
    <w:rsid w:val="007A0938"/>
    <w:rsid w:val="007A6D28"/>
    <w:rsid w:val="007B2E28"/>
    <w:rsid w:val="007B3380"/>
    <w:rsid w:val="007C1191"/>
    <w:rsid w:val="007C219F"/>
    <w:rsid w:val="007C2252"/>
    <w:rsid w:val="007C2378"/>
    <w:rsid w:val="007C2DB2"/>
    <w:rsid w:val="007C3301"/>
    <w:rsid w:val="007C35FF"/>
    <w:rsid w:val="007C3BDC"/>
    <w:rsid w:val="007C51F5"/>
    <w:rsid w:val="007C577B"/>
    <w:rsid w:val="007C5A21"/>
    <w:rsid w:val="007D1958"/>
    <w:rsid w:val="007D4AB6"/>
    <w:rsid w:val="007D533A"/>
    <w:rsid w:val="007D5846"/>
    <w:rsid w:val="007D5B0A"/>
    <w:rsid w:val="007D623F"/>
    <w:rsid w:val="007E3DEF"/>
    <w:rsid w:val="007E6F13"/>
    <w:rsid w:val="007E74B0"/>
    <w:rsid w:val="007F6A01"/>
    <w:rsid w:val="007F7753"/>
    <w:rsid w:val="00804A85"/>
    <w:rsid w:val="00807C3B"/>
    <w:rsid w:val="0082394E"/>
    <w:rsid w:val="0082400B"/>
    <w:rsid w:val="00824E1B"/>
    <w:rsid w:val="00827611"/>
    <w:rsid w:val="0083129F"/>
    <w:rsid w:val="0084147E"/>
    <w:rsid w:val="008443AA"/>
    <w:rsid w:val="00852B8A"/>
    <w:rsid w:val="00853683"/>
    <w:rsid w:val="00853A21"/>
    <w:rsid w:val="00862EC4"/>
    <w:rsid w:val="008636BA"/>
    <w:rsid w:val="008641E6"/>
    <w:rsid w:val="00866F92"/>
    <w:rsid w:val="008713A9"/>
    <w:rsid w:val="00874B71"/>
    <w:rsid w:val="00892447"/>
    <w:rsid w:val="008929C5"/>
    <w:rsid w:val="00894045"/>
    <w:rsid w:val="008956AA"/>
    <w:rsid w:val="00897BBE"/>
    <w:rsid w:val="008A21A2"/>
    <w:rsid w:val="008B06FE"/>
    <w:rsid w:val="008B121A"/>
    <w:rsid w:val="008B3A43"/>
    <w:rsid w:val="008B3D1A"/>
    <w:rsid w:val="008B4227"/>
    <w:rsid w:val="008B6338"/>
    <w:rsid w:val="008B6B77"/>
    <w:rsid w:val="008C7201"/>
    <w:rsid w:val="008C789E"/>
    <w:rsid w:val="008C7F69"/>
    <w:rsid w:val="008D5B36"/>
    <w:rsid w:val="008D62B4"/>
    <w:rsid w:val="008E62A3"/>
    <w:rsid w:val="008F03A4"/>
    <w:rsid w:val="008F205B"/>
    <w:rsid w:val="008F2F08"/>
    <w:rsid w:val="008F317D"/>
    <w:rsid w:val="008F76D5"/>
    <w:rsid w:val="00900205"/>
    <w:rsid w:val="00901E05"/>
    <w:rsid w:val="00904EEF"/>
    <w:rsid w:val="0090522A"/>
    <w:rsid w:val="00906233"/>
    <w:rsid w:val="0091037B"/>
    <w:rsid w:val="00910435"/>
    <w:rsid w:val="00914EC2"/>
    <w:rsid w:val="009269DC"/>
    <w:rsid w:val="00927354"/>
    <w:rsid w:val="00931D68"/>
    <w:rsid w:val="009338AB"/>
    <w:rsid w:val="009339E7"/>
    <w:rsid w:val="00933D27"/>
    <w:rsid w:val="00935A48"/>
    <w:rsid w:val="00937F06"/>
    <w:rsid w:val="009423D6"/>
    <w:rsid w:val="009438AE"/>
    <w:rsid w:val="00945AF7"/>
    <w:rsid w:val="00950EE6"/>
    <w:rsid w:val="009519A4"/>
    <w:rsid w:val="00952EBC"/>
    <w:rsid w:val="0095426C"/>
    <w:rsid w:val="00955739"/>
    <w:rsid w:val="00957F2D"/>
    <w:rsid w:val="00964F62"/>
    <w:rsid w:val="009659BF"/>
    <w:rsid w:val="0097097D"/>
    <w:rsid w:val="00972065"/>
    <w:rsid w:val="0097607E"/>
    <w:rsid w:val="009827DA"/>
    <w:rsid w:val="0099014E"/>
    <w:rsid w:val="00992D9A"/>
    <w:rsid w:val="00996255"/>
    <w:rsid w:val="00996BE8"/>
    <w:rsid w:val="009A7D5A"/>
    <w:rsid w:val="009B1102"/>
    <w:rsid w:val="009B16AF"/>
    <w:rsid w:val="009B3326"/>
    <w:rsid w:val="009C1AE1"/>
    <w:rsid w:val="009C7E8B"/>
    <w:rsid w:val="009D19C7"/>
    <w:rsid w:val="009D544D"/>
    <w:rsid w:val="009D7EAC"/>
    <w:rsid w:val="009E044F"/>
    <w:rsid w:val="009E0755"/>
    <w:rsid w:val="009E46A3"/>
    <w:rsid w:val="009E5D1C"/>
    <w:rsid w:val="009F0B0B"/>
    <w:rsid w:val="009F0B77"/>
    <w:rsid w:val="009F19F5"/>
    <w:rsid w:val="009F4375"/>
    <w:rsid w:val="009F4AEB"/>
    <w:rsid w:val="009F4DDB"/>
    <w:rsid w:val="009F51CB"/>
    <w:rsid w:val="009F53B0"/>
    <w:rsid w:val="009F580D"/>
    <w:rsid w:val="009F641C"/>
    <w:rsid w:val="009F78DE"/>
    <w:rsid w:val="00A02696"/>
    <w:rsid w:val="00A0599D"/>
    <w:rsid w:val="00A079D0"/>
    <w:rsid w:val="00A1071F"/>
    <w:rsid w:val="00A12E64"/>
    <w:rsid w:val="00A151FC"/>
    <w:rsid w:val="00A155B8"/>
    <w:rsid w:val="00A27175"/>
    <w:rsid w:val="00A27A39"/>
    <w:rsid w:val="00A3209B"/>
    <w:rsid w:val="00A44D2B"/>
    <w:rsid w:val="00A45707"/>
    <w:rsid w:val="00A46B84"/>
    <w:rsid w:val="00A52535"/>
    <w:rsid w:val="00A54DD2"/>
    <w:rsid w:val="00A610CE"/>
    <w:rsid w:val="00A61A6D"/>
    <w:rsid w:val="00A63C0B"/>
    <w:rsid w:val="00A64340"/>
    <w:rsid w:val="00A6447B"/>
    <w:rsid w:val="00A70CFE"/>
    <w:rsid w:val="00A72156"/>
    <w:rsid w:val="00A7555D"/>
    <w:rsid w:val="00A775C4"/>
    <w:rsid w:val="00A8757B"/>
    <w:rsid w:val="00A875C3"/>
    <w:rsid w:val="00A87F90"/>
    <w:rsid w:val="00A944A0"/>
    <w:rsid w:val="00AA025F"/>
    <w:rsid w:val="00AA32D3"/>
    <w:rsid w:val="00AA6263"/>
    <w:rsid w:val="00AA7186"/>
    <w:rsid w:val="00AB0080"/>
    <w:rsid w:val="00AB1BA5"/>
    <w:rsid w:val="00AB2217"/>
    <w:rsid w:val="00AB4145"/>
    <w:rsid w:val="00AB7AFD"/>
    <w:rsid w:val="00AC3087"/>
    <w:rsid w:val="00AC3685"/>
    <w:rsid w:val="00AC7C04"/>
    <w:rsid w:val="00AC7C63"/>
    <w:rsid w:val="00AD33EE"/>
    <w:rsid w:val="00AD3D9A"/>
    <w:rsid w:val="00AD45ED"/>
    <w:rsid w:val="00AE38F2"/>
    <w:rsid w:val="00AE5071"/>
    <w:rsid w:val="00AE6D94"/>
    <w:rsid w:val="00AE75C9"/>
    <w:rsid w:val="00AF3CE2"/>
    <w:rsid w:val="00AF43E2"/>
    <w:rsid w:val="00AF4712"/>
    <w:rsid w:val="00AF6EA9"/>
    <w:rsid w:val="00B055A6"/>
    <w:rsid w:val="00B05952"/>
    <w:rsid w:val="00B202CB"/>
    <w:rsid w:val="00B20645"/>
    <w:rsid w:val="00B26889"/>
    <w:rsid w:val="00B26A5D"/>
    <w:rsid w:val="00B26F1A"/>
    <w:rsid w:val="00B36487"/>
    <w:rsid w:val="00B37092"/>
    <w:rsid w:val="00B41A35"/>
    <w:rsid w:val="00B5036E"/>
    <w:rsid w:val="00B50439"/>
    <w:rsid w:val="00B51F20"/>
    <w:rsid w:val="00B51F4A"/>
    <w:rsid w:val="00B528FD"/>
    <w:rsid w:val="00B537AC"/>
    <w:rsid w:val="00B54A1E"/>
    <w:rsid w:val="00B6108A"/>
    <w:rsid w:val="00B630FF"/>
    <w:rsid w:val="00B6370B"/>
    <w:rsid w:val="00B640CD"/>
    <w:rsid w:val="00B65828"/>
    <w:rsid w:val="00B67C1F"/>
    <w:rsid w:val="00B71C9F"/>
    <w:rsid w:val="00B729C4"/>
    <w:rsid w:val="00B80F87"/>
    <w:rsid w:val="00B82C33"/>
    <w:rsid w:val="00B86326"/>
    <w:rsid w:val="00B92155"/>
    <w:rsid w:val="00B95061"/>
    <w:rsid w:val="00B9559A"/>
    <w:rsid w:val="00B964B1"/>
    <w:rsid w:val="00B96C97"/>
    <w:rsid w:val="00B971E3"/>
    <w:rsid w:val="00BA2810"/>
    <w:rsid w:val="00BA514D"/>
    <w:rsid w:val="00BB030C"/>
    <w:rsid w:val="00BB2143"/>
    <w:rsid w:val="00BB262A"/>
    <w:rsid w:val="00BB2C4B"/>
    <w:rsid w:val="00BB4E06"/>
    <w:rsid w:val="00BB6B31"/>
    <w:rsid w:val="00BC1ED4"/>
    <w:rsid w:val="00BC3713"/>
    <w:rsid w:val="00BC6263"/>
    <w:rsid w:val="00BD04B0"/>
    <w:rsid w:val="00BD4933"/>
    <w:rsid w:val="00BD6191"/>
    <w:rsid w:val="00BD62BF"/>
    <w:rsid w:val="00BD6A91"/>
    <w:rsid w:val="00BE153C"/>
    <w:rsid w:val="00BE3535"/>
    <w:rsid w:val="00BE48D0"/>
    <w:rsid w:val="00BF1640"/>
    <w:rsid w:val="00BF1796"/>
    <w:rsid w:val="00BF3688"/>
    <w:rsid w:val="00BF375E"/>
    <w:rsid w:val="00BF7DED"/>
    <w:rsid w:val="00C00C09"/>
    <w:rsid w:val="00C04AD2"/>
    <w:rsid w:val="00C20E49"/>
    <w:rsid w:val="00C21E70"/>
    <w:rsid w:val="00C237FB"/>
    <w:rsid w:val="00C238E1"/>
    <w:rsid w:val="00C2410E"/>
    <w:rsid w:val="00C24A2F"/>
    <w:rsid w:val="00C3011B"/>
    <w:rsid w:val="00C32715"/>
    <w:rsid w:val="00C349AE"/>
    <w:rsid w:val="00C44542"/>
    <w:rsid w:val="00C47204"/>
    <w:rsid w:val="00C51C66"/>
    <w:rsid w:val="00C55594"/>
    <w:rsid w:val="00C565E0"/>
    <w:rsid w:val="00C56BCD"/>
    <w:rsid w:val="00C57D56"/>
    <w:rsid w:val="00C57EC3"/>
    <w:rsid w:val="00C6430D"/>
    <w:rsid w:val="00C67FA1"/>
    <w:rsid w:val="00C72831"/>
    <w:rsid w:val="00C7612C"/>
    <w:rsid w:val="00C778C8"/>
    <w:rsid w:val="00C779AB"/>
    <w:rsid w:val="00C8227A"/>
    <w:rsid w:val="00C8385F"/>
    <w:rsid w:val="00C855E3"/>
    <w:rsid w:val="00C90D92"/>
    <w:rsid w:val="00C90FFA"/>
    <w:rsid w:val="00C914C2"/>
    <w:rsid w:val="00C92C5E"/>
    <w:rsid w:val="00C93E88"/>
    <w:rsid w:val="00C979E7"/>
    <w:rsid w:val="00CA1AC7"/>
    <w:rsid w:val="00CA2508"/>
    <w:rsid w:val="00CA4394"/>
    <w:rsid w:val="00CB4A40"/>
    <w:rsid w:val="00CB5B31"/>
    <w:rsid w:val="00CB79E3"/>
    <w:rsid w:val="00CB7B2E"/>
    <w:rsid w:val="00CC1787"/>
    <w:rsid w:val="00CC185C"/>
    <w:rsid w:val="00CC4507"/>
    <w:rsid w:val="00CC47E7"/>
    <w:rsid w:val="00CC5959"/>
    <w:rsid w:val="00CC7C78"/>
    <w:rsid w:val="00CD0B1C"/>
    <w:rsid w:val="00CD11F1"/>
    <w:rsid w:val="00CD4C10"/>
    <w:rsid w:val="00CD4D9C"/>
    <w:rsid w:val="00CD54A0"/>
    <w:rsid w:val="00CE70B3"/>
    <w:rsid w:val="00CF3F90"/>
    <w:rsid w:val="00CF5A6B"/>
    <w:rsid w:val="00CF5B56"/>
    <w:rsid w:val="00CF7BCB"/>
    <w:rsid w:val="00D06544"/>
    <w:rsid w:val="00D10874"/>
    <w:rsid w:val="00D14E95"/>
    <w:rsid w:val="00D20F25"/>
    <w:rsid w:val="00D2108C"/>
    <w:rsid w:val="00D2193A"/>
    <w:rsid w:val="00D247F8"/>
    <w:rsid w:val="00D30273"/>
    <w:rsid w:val="00D3088B"/>
    <w:rsid w:val="00D32D44"/>
    <w:rsid w:val="00D3617A"/>
    <w:rsid w:val="00D4119E"/>
    <w:rsid w:val="00D41D1D"/>
    <w:rsid w:val="00D43D10"/>
    <w:rsid w:val="00D46DEC"/>
    <w:rsid w:val="00D52234"/>
    <w:rsid w:val="00D56509"/>
    <w:rsid w:val="00D57471"/>
    <w:rsid w:val="00D57E55"/>
    <w:rsid w:val="00D64E66"/>
    <w:rsid w:val="00D67296"/>
    <w:rsid w:val="00D707C8"/>
    <w:rsid w:val="00D746C6"/>
    <w:rsid w:val="00D74E7F"/>
    <w:rsid w:val="00D77832"/>
    <w:rsid w:val="00D80D5F"/>
    <w:rsid w:val="00D854C9"/>
    <w:rsid w:val="00D87470"/>
    <w:rsid w:val="00D87BFB"/>
    <w:rsid w:val="00D906D8"/>
    <w:rsid w:val="00D935A5"/>
    <w:rsid w:val="00D93DD8"/>
    <w:rsid w:val="00D96E3D"/>
    <w:rsid w:val="00DA2CC2"/>
    <w:rsid w:val="00DA2CFC"/>
    <w:rsid w:val="00DA2D7F"/>
    <w:rsid w:val="00DB4F98"/>
    <w:rsid w:val="00DB5D3A"/>
    <w:rsid w:val="00DB642B"/>
    <w:rsid w:val="00DB7D44"/>
    <w:rsid w:val="00DC2B25"/>
    <w:rsid w:val="00DC31C8"/>
    <w:rsid w:val="00DC70BB"/>
    <w:rsid w:val="00DD25E9"/>
    <w:rsid w:val="00DD5857"/>
    <w:rsid w:val="00DD59D4"/>
    <w:rsid w:val="00DD7A6D"/>
    <w:rsid w:val="00DE41DC"/>
    <w:rsid w:val="00DE4AE7"/>
    <w:rsid w:val="00DE62BA"/>
    <w:rsid w:val="00DE7B69"/>
    <w:rsid w:val="00DF1BFA"/>
    <w:rsid w:val="00DF350E"/>
    <w:rsid w:val="00DF3ABD"/>
    <w:rsid w:val="00DF5F84"/>
    <w:rsid w:val="00DF7620"/>
    <w:rsid w:val="00E06B5D"/>
    <w:rsid w:val="00E246FA"/>
    <w:rsid w:val="00E30381"/>
    <w:rsid w:val="00E30848"/>
    <w:rsid w:val="00E30A31"/>
    <w:rsid w:val="00E31080"/>
    <w:rsid w:val="00E32546"/>
    <w:rsid w:val="00E330AA"/>
    <w:rsid w:val="00E35B8A"/>
    <w:rsid w:val="00E47102"/>
    <w:rsid w:val="00E4798D"/>
    <w:rsid w:val="00E517EB"/>
    <w:rsid w:val="00E548E4"/>
    <w:rsid w:val="00E54F17"/>
    <w:rsid w:val="00E566FA"/>
    <w:rsid w:val="00E5673E"/>
    <w:rsid w:val="00E66C95"/>
    <w:rsid w:val="00E71097"/>
    <w:rsid w:val="00E7185F"/>
    <w:rsid w:val="00E72625"/>
    <w:rsid w:val="00E73E8E"/>
    <w:rsid w:val="00E750D1"/>
    <w:rsid w:val="00E86078"/>
    <w:rsid w:val="00E8708B"/>
    <w:rsid w:val="00E91897"/>
    <w:rsid w:val="00E930A0"/>
    <w:rsid w:val="00EA174D"/>
    <w:rsid w:val="00EA7CD6"/>
    <w:rsid w:val="00EB490E"/>
    <w:rsid w:val="00EB4F9A"/>
    <w:rsid w:val="00EB54B8"/>
    <w:rsid w:val="00EB7ECF"/>
    <w:rsid w:val="00EB7F90"/>
    <w:rsid w:val="00EC5C15"/>
    <w:rsid w:val="00EC7B2E"/>
    <w:rsid w:val="00EC7C8C"/>
    <w:rsid w:val="00ED34CE"/>
    <w:rsid w:val="00ED759E"/>
    <w:rsid w:val="00EE2251"/>
    <w:rsid w:val="00EF0176"/>
    <w:rsid w:val="00EF01FE"/>
    <w:rsid w:val="00EF4712"/>
    <w:rsid w:val="00EF49E1"/>
    <w:rsid w:val="00EF6B7B"/>
    <w:rsid w:val="00EF70B5"/>
    <w:rsid w:val="00EF71D4"/>
    <w:rsid w:val="00F01C8E"/>
    <w:rsid w:val="00F025DC"/>
    <w:rsid w:val="00F0419F"/>
    <w:rsid w:val="00F056D9"/>
    <w:rsid w:val="00F17733"/>
    <w:rsid w:val="00F23883"/>
    <w:rsid w:val="00F30AE4"/>
    <w:rsid w:val="00F33871"/>
    <w:rsid w:val="00F3689C"/>
    <w:rsid w:val="00F42561"/>
    <w:rsid w:val="00F42A60"/>
    <w:rsid w:val="00F50556"/>
    <w:rsid w:val="00F51490"/>
    <w:rsid w:val="00F5345F"/>
    <w:rsid w:val="00F5365C"/>
    <w:rsid w:val="00F538CF"/>
    <w:rsid w:val="00F54CB1"/>
    <w:rsid w:val="00F6561E"/>
    <w:rsid w:val="00F6697A"/>
    <w:rsid w:val="00F70FD8"/>
    <w:rsid w:val="00F72197"/>
    <w:rsid w:val="00F747C6"/>
    <w:rsid w:val="00F76875"/>
    <w:rsid w:val="00F834EC"/>
    <w:rsid w:val="00F85ADB"/>
    <w:rsid w:val="00F871E9"/>
    <w:rsid w:val="00F915CA"/>
    <w:rsid w:val="00F915DE"/>
    <w:rsid w:val="00F916CB"/>
    <w:rsid w:val="00F9634B"/>
    <w:rsid w:val="00F96DD5"/>
    <w:rsid w:val="00FA2B79"/>
    <w:rsid w:val="00FA34A7"/>
    <w:rsid w:val="00FA3900"/>
    <w:rsid w:val="00FA42D2"/>
    <w:rsid w:val="00FA4D90"/>
    <w:rsid w:val="00FB10F4"/>
    <w:rsid w:val="00FB1DEB"/>
    <w:rsid w:val="00FB2A3C"/>
    <w:rsid w:val="00FB56BF"/>
    <w:rsid w:val="00FB6A97"/>
    <w:rsid w:val="00FC5024"/>
    <w:rsid w:val="00FC7C2E"/>
    <w:rsid w:val="00FD1ABA"/>
    <w:rsid w:val="00FD210D"/>
    <w:rsid w:val="00FD3CF6"/>
    <w:rsid w:val="00FD51C7"/>
    <w:rsid w:val="00FD7E24"/>
    <w:rsid w:val="00FE3849"/>
    <w:rsid w:val="00FE4C82"/>
    <w:rsid w:val="00FF0EEB"/>
    <w:rsid w:val="00FF558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D9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69"/>
    <w:rPr>
      <w:rFonts w:ascii="Times New Roman" w:hAnsi="Times New Roman"/>
    </w:rPr>
  </w:style>
  <w:style w:type="paragraph" w:styleId="Heading2">
    <w:name w:val="heading 2"/>
    <w:basedOn w:val="Normal"/>
    <w:next w:val="Normal"/>
    <w:link w:val="Heading2Char"/>
    <w:uiPriority w:val="9"/>
    <w:unhideWhenUsed/>
    <w:qFormat/>
    <w:rsid w:val="00065A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30848"/>
    <w:pPr>
      <w:spacing w:before="100" w:beforeAutospacing="1" w:after="100" w:afterAutospacing="1"/>
      <w:outlineLvl w:val="2"/>
    </w:pPr>
    <w:rPr>
      <w:rFonts w:ascii="Times" w:hAnsi="Times"/>
      <w:b/>
      <w:bCs/>
      <w:sz w:val="27"/>
      <w:szCs w:val="27"/>
      <w:lang w:eastAsia="en-US"/>
    </w:rPr>
  </w:style>
  <w:style w:type="paragraph" w:styleId="Heading4">
    <w:name w:val="heading 4"/>
    <w:basedOn w:val="Normal"/>
    <w:next w:val="Normal"/>
    <w:link w:val="Heading4Char"/>
    <w:uiPriority w:val="9"/>
    <w:unhideWhenUsed/>
    <w:qFormat/>
    <w:rsid w:val="00E30848"/>
    <w:pPr>
      <w:keepNext/>
      <w:keepLines/>
      <w:spacing w:before="20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3F6560"/>
    <w:pPr>
      <w:keepNext/>
      <w:numPr>
        <w:numId w:val="1"/>
      </w:numPr>
      <w:contextualSpacing/>
      <w:outlineLvl w:val="0"/>
    </w:pPr>
    <w:rPr>
      <w:rFonts w:eastAsia="ＭＳ ゴシック"/>
      <w:sz w:val="28"/>
    </w:rPr>
  </w:style>
  <w:style w:type="paragraph" w:styleId="NoteLevel2">
    <w:name w:val="Note Level 2"/>
    <w:basedOn w:val="Normal"/>
    <w:uiPriority w:val="99"/>
    <w:semiHidden/>
    <w:unhideWhenUsed/>
    <w:rsid w:val="003F6560"/>
    <w:pPr>
      <w:keepNext/>
      <w:numPr>
        <w:ilvl w:val="1"/>
        <w:numId w:val="1"/>
      </w:numPr>
      <w:contextualSpacing/>
      <w:outlineLvl w:val="1"/>
    </w:pPr>
    <w:rPr>
      <w:rFonts w:eastAsia="ＭＳ ゴシック"/>
      <w:sz w:val="28"/>
    </w:rPr>
  </w:style>
  <w:style w:type="paragraph" w:styleId="NoteLevel3">
    <w:name w:val="Note Level 3"/>
    <w:basedOn w:val="Normal"/>
    <w:uiPriority w:val="99"/>
    <w:semiHidden/>
    <w:unhideWhenUsed/>
    <w:rsid w:val="003F6560"/>
    <w:pPr>
      <w:keepNext/>
      <w:numPr>
        <w:ilvl w:val="2"/>
        <w:numId w:val="1"/>
      </w:numPr>
      <w:contextualSpacing/>
      <w:outlineLvl w:val="2"/>
    </w:pPr>
    <w:rPr>
      <w:rFonts w:eastAsia="ＭＳ ゴシック"/>
      <w:sz w:val="28"/>
    </w:rPr>
  </w:style>
  <w:style w:type="paragraph" w:styleId="NoteLevel4">
    <w:name w:val="Note Level 4"/>
    <w:basedOn w:val="Normal"/>
    <w:uiPriority w:val="99"/>
    <w:semiHidden/>
    <w:unhideWhenUsed/>
    <w:rsid w:val="003F6560"/>
    <w:pPr>
      <w:keepNext/>
      <w:numPr>
        <w:ilvl w:val="3"/>
        <w:numId w:val="1"/>
      </w:numPr>
      <w:contextualSpacing/>
      <w:outlineLvl w:val="3"/>
    </w:pPr>
    <w:rPr>
      <w:rFonts w:eastAsia="ＭＳ ゴシック"/>
      <w:sz w:val="28"/>
    </w:rPr>
  </w:style>
  <w:style w:type="paragraph" w:styleId="NoteLevel5">
    <w:name w:val="Note Level 5"/>
    <w:basedOn w:val="Normal"/>
    <w:uiPriority w:val="99"/>
    <w:semiHidden/>
    <w:unhideWhenUsed/>
    <w:rsid w:val="003F6560"/>
    <w:pPr>
      <w:keepNext/>
      <w:numPr>
        <w:ilvl w:val="4"/>
        <w:numId w:val="1"/>
      </w:numPr>
      <w:contextualSpacing/>
      <w:outlineLvl w:val="4"/>
    </w:pPr>
    <w:rPr>
      <w:rFonts w:eastAsia="ＭＳ ゴシック"/>
      <w:sz w:val="28"/>
    </w:rPr>
  </w:style>
  <w:style w:type="paragraph" w:styleId="NoteLevel6">
    <w:name w:val="Note Level 6"/>
    <w:basedOn w:val="Normal"/>
    <w:uiPriority w:val="99"/>
    <w:semiHidden/>
    <w:unhideWhenUsed/>
    <w:rsid w:val="003F6560"/>
    <w:pPr>
      <w:keepNext/>
      <w:numPr>
        <w:ilvl w:val="5"/>
        <w:numId w:val="1"/>
      </w:numPr>
      <w:contextualSpacing/>
      <w:outlineLvl w:val="5"/>
    </w:pPr>
    <w:rPr>
      <w:rFonts w:eastAsia="ＭＳ ゴシック"/>
      <w:sz w:val="28"/>
    </w:rPr>
  </w:style>
  <w:style w:type="paragraph" w:styleId="NoteLevel7">
    <w:name w:val="Note Level 7"/>
    <w:basedOn w:val="Normal"/>
    <w:uiPriority w:val="99"/>
    <w:semiHidden/>
    <w:unhideWhenUsed/>
    <w:rsid w:val="003F6560"/>
    <w:pPr>
      <w:keepNext/>
      <w:numPr>
        <w:ilvl w:val="6"/>
        <w:numId w:val="1"/>
      </w:numPr>
      <w:contextualSpacing/>
      <w:outlineLvl w:val="6"/>
    </w:pPr>
    <w:rPr>
      <w:rFonts w:eastAsia="ＭＳ ゴシック"/>
      <w:sz w:val="28"/>
    </w:rPr>
  </w:style>
  <w:style w:type="paragraph" w:styleId="NoteLevel8">
    <w:name w:val="Note Level 8"/>
    <w:basedOn w:val="Normal"/>
    <w:uiPriority w:val="99"/>
    <w:semiHidden/>
    <w:unhideWhenUsed/>
    <w:rsid w:val="003F6560"/>
    <w:pPr>
      <w:keepNext/>
      <w:numPr>
        <w:ilvl w:val="7"/>
        <w:numId w:val="1"/>
      </w:numPr>
      <w:contextualSpacing/>
      <w:outlineLvl w:val="7"/>
    </w:pPr>
    <w:rPr>
      <w:rFonts w:eastAsia="ＭＳ ゴシック"/>
      <w:sz w:val="28"/>
    </w:rPr>
  </w:style>
  <w:style w:type="paragraph" w:styleId="NoteLevel9">
    <w:name w:val="Note Level 9"/>
    <w:basedOn w:val="Normal"/>
    <w:uiPriority w:val="99"/>
    <w:semiHidden/>
    <w:unhideWhenUsed/>
    <w:rsid w:val="003F6560"/>
    <w:pPr>
      <w:keepNext/>
      <w:numPr>
        <w:ilvl w:val="8"/>
        <w:numId w:val="1"/>
      </w:numPr>
      <w:contextualSpacing/>
      <w:outlineLvl w:val="8"/>
    </w:pPr>
    <w:rPr>
      <w:rFonts w:eastAsia="ＭＳ ゴシック"/>
      <w:sz w:val="28"/>
    </w:rPr>
  </w:style>
  <w:style w:type="paragraph" w:styleId="Header">
    <w:name w:val="header"/>
    <w:basedOn w:val="Normal"/>
    <w:link w:val="HeaderChar"/>
    <w:uiPriority w:val="99"/>
    <w:unhideWhenUsed/>
    <w:rsid w:val="00046F98"/>
    <w:pPr>
      <w:tabs>
        <w:tab w:val="center" w:pos="4320"/>
        <w:tab w:val="right" w:pos="8640"/>
      </w:tabs>
    </w:pPr>
  </w:style>
  <w:style w:type="character" w:customStyle="1" w:styleId="HeaderChar">
    <w:name w:val="Header Char"/>
    <w:basedOn w:val="DefaultParagraphFont"/>
    <w:link w:val="Header"/>
    <w:uiPriority w:val="99"/>
    <w:rsid w:val="00046F98"/>
    <w:rPr>
      <w:rFonts w:ascii="Times New Roman" w:hAnsi="Times New Roman"/>
    </w:rPr>
  </w:style>
  <w:style w:type="paragraph" w:styleId="Footer">
    <w:name w:val="footer"/>
    <w:basedOn w:val="Normal"/>
    <w:link w:val="FooterChar"/>
    <w:uiPriority w:val="99"/>
    <w:unhideWhenUsed/>
    <w:rsid w:val="00046F98"/>
    <w:pPr>
      <w:tabs>
        <w:tab w:val="center" w:pos="4320"/>
        <w:tab w:val="right" w:pos="8640"/>
      </w:tabs>
    </w:pPr>
  </w:style>
  <w:style w:type="character" w:customStyle="1" w:styleId="FooterChar">
    <w:name w:val="Footer Char"/>
    <w:basedOn w:val="DefaultParagraphFont"/>
    <w:link w:val="Footer"/>
    <w:uiPriority w:val="99"/>
    <w:rsid w:val="00046F98"/>
    <w:rPr>
      <w:rFonts w:ascii="Times New Roman" w:hAnsi="Times New Roman"/>
    </w:rPr>
  </w:style>
  <w:style w:type="character" w:styleId="PageNumber">
    <w:name w:val="page number"/>
    <w:basedOn w:val="DefaultParagraphFont"/>
    <w:uiPriority w:val="99"/>
    <w:semiHidden/>
    <w:unhideWhenUsed/>
    <w:rsid w:val="00046F98"/>
  </w:style>
  <w:style w:type="paragraph" w:styleId="FootnoteText">
    <w:name w:val="footnote text"/>
    <w:basedOn w:val="Normal"/>
    <w:link w:val="FootnoteTextChar"/>
    <w:uiPriority w:val="99"/>
    <w:unhideWhenUsed/>
    <w:rsid w:val="00452CA1"/>
  </w:style>
  <w:style w:type="character" w:customStyle="1" w:styleId="FootnoteTextChar">
    <w:name w:val="Footnote Text Char"/>
    <w:basedOn w:val="DefaultParagraphFont"/>
    <w:link w:val="FootnoteText"/>
    <w:uiPriority w:val="99"/>
    <w:rsid w:val="00452CA1"/>
    <w:rPr>
      <w:rFonts w:ascii="Times New Roman" w:hAnsi="Times New Roman"/>
    </w:rPr>
  </w:style>
  <w:style w:type="character" w:styleId="FootnoteReference">
    <w:name w:val="footnote reference"/>
    <w:basedOn w:val="DefaultParagraphFont"/>
    <w:uiPriority w:val="99"/>
    <w:unhideWhenUsed/>
    <w:rsid w:val="00452CA1"/>
    <w:rPr>
      <w:vertAlign w:val="superscript"/>
    </w:rPr>
  </w:style>
  <w:style w:type="character" w:customStyle="1" w:styleId="Heading3Char">
    <w:name w:val="Heading 3 Char"/>
    <w:basedOn w:val="DefaultParagraphFont"/>
    <w:link w:val="Heading3"/>
    <w:uiPriority w:val="9"/>
    <w:rsid w:val="00E30848"/>
    <w:rPr>
      <w:rFonts w:ascii="Times" w:hAnsi="Times"/>
      <w:b/>
      <w:bCs/>
      <w:sz w:val="27"/>
      <w:szCs w:val="27"/>
      <w:lang w:eastAsia="en-US"/>
    </w:rPr>
  </w:style>
  <w:style w:type="character" w:customStyle="1" w:styleId="Heading4Char">
    <w:name w:val="Heading 4 Char"/>
    <w:basedOn w:val="DefaultParagraphFont"/>
    <w:link w:val="Heading4"/>
    <w:uiPriority w:val="9"/>
    <w:rsid w:val="00E30848"/>
    <w:rPr>
      <w:rFonts w:asciiTheme="majorHAnsi" w:eastAsiaTheme="majorEastAsia" w:hAnsiTheme="majorHAnsi" w:cstheme="majorBidi"/>
      <w:b/>
      <w:bCs/>
      <w:i/>
      <w:iCs/>
      <w:color w:val="4F81BD" w:themeColor="accent1"/>
      <w:lang w:eastAsia="en-US"/>
    </w:rPr>
  </w:style>
  <w:style w:type="table" w:styleId="TableGrid">
    <w:name w:val="Table Grid"/>
    <w:basedOn w:val="TableNormal"/>
    <w:uiPriority w:val="59"/>
    <w:rsid w:val="00E3084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30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3060"/>
    <w:rPr>
      <w:rFonts w:ascii="Lucida Grande" w:hAnsi="Lucida Grande" w:cs="Lucida Grande"/>
      <w:sz w:val="18"/>
      <w:szCs w:val="18"/>
    </w:rPr>
  </w:style>
  <w:style w:type="paragraph" w:styleId="ListParagraph">
    <w:name w:val="List Paragraph"/>
    <w:basedOn w:val="Normal"/>
    <w:uiPriority w:val="34"/>
    <w:qFormat/>
    <w:rsid w:val="004416B6"/>
    <w:pPr>
      <w:ind w:left="720"/>
      <w:contextualSpacing/>
    </w:pPr>
  </w:style>
  <w:style w:type="character" w:customStyle="1" w:styleId="Heading2Char">
    <w:name w:val="Heading 2 Char"/>
    <w:basedOn w:val="DefaultParagraphFont"/>
    <w:link w:val="Heading2"/>
    <w:uiPriority w:val="9"/>
    <w:rsid w:val="00065A7F"/>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B79E3"/>
    <w:rPr>
      <w:sz w:val="18"/>
      <w:szCs w:val="18"/>
    </w:rPr>
  </w:style>
  <w:style w:type="paragraph" w:styleId="CommentText">
    <w:name w:val="annotation text"/>
    <w:basedOn w:val="Normal"/>
    <w:link w:val="CommentTextChar"/>
    <w:uiPriority w:val="99"/>
    <w:semiHidden/>
    <w:unhideWhenUsed/>
    <w:rsid w:val="00CB79E3"/>
  </w:style>
  <w:style w:type="character" w:customStyle="1" w:styleId="CommentTextChar">
    <w:name w:val="Comment Text Char"/>
    <w:basedOn w:val="DefaultParagraphFont"/>
    <w:link w:val="CommentText"/>
    <w:uiPriority w:val="99"/>
    <w:semiHidden/>
    <w:rsid w:val="00CB79E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B79E3"/>
    <w:rPr>
      <w:b/>
      <w:bCs/>
      <w:sz w:val="20"/>
      <w:szCs w:val="20"/>
    </w:rPr>
  </w:style>
  <w:style w:type="character" w:customStyle="1" w:styleId="CommentSubjectChar">
    <w:name w:val="Comment Subject Char"/>
    <w:basedOn w:val="CommentTextChar"/>
    <w:link w:val="CommentSubject"/>
    <w:uiPriority w:val="99"/>
    <w:semiHidden/>
    <w:rsid w:val="00CB79E3"/>
    <w:rPr>
      <w:rFonts w:ascii="Times New Roman" w:hAnsi="Times New Roman"/>
      <w:b/>
      <w:bCs/>
      <w:sz w:val="20"/>
      <w:szCs w:val="20"/>
    </w:rPr>
  </w:style>
  <w:style w:type="paragraph" w:styleId="Revision">
    <w:name w:val="Revision"/>
    <w:hidden/>
    <w:uiPriority w:val="99"/>
    <w:semiHidden/>
    <w:rsid w:val="00CF5A6B"/>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69"/>
    <w:rPr>
      <w:rFonts w:ascii="Times New Roman" w:hAnsi="Times New Roman"/>
    </w:rPr>
  </w:style>
  <w:style w:type="paragraph" w:styleId="Heading2">
    <w:name w:val="heading 2"/>
    <w:basedOn w:val="Normal"/>
    <w:next w:val="Normal"/>
    <w:link w:val="Heading2Char"/>
    <w:uiPriority w:val="9"/>
    <w:unhideWhenUsed/>
    <w:qFormat/>
    <w:rsid w:val="00065A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30848"/>
    <w:pPr>
      <w:spacing w:before="100" w:beforeAutospacing="1" w:after="100" w:afterAutospacing="1"/>
      <w:outlineLvl w:val="2"/>
    </w:pPr>
    <w:rPr>
      <w:rFonts w:ascii="Times" w:hAnsi="Times"/>
      <w:b/>
      <w:bCs/>
      <w:sz w:val="27"/>
      <w:szCs w:val="27"/>
      <w:lang w:eastAsia="en-US"/>
    </w:rPr>
  </w:style>
  <w:style w:type="paragraph" w:styleId="Heading4">
    <w:name w:val="heading 4"/>
    <w:basedOn w:val="Normal"/>
    <w:next w:val="Normal"/>
    <w:link w:val="Heading4Char"/>
    <w:uiPriority w:val="9"/>
    <w:unhideWhenUsed/>
    <w:qFormat/>
    <w:rsid w:val="00E30848"/>
    <w:pPr>
      <w:keepNext/>
      <w:keepLines/>
      <w:spacing w:before="20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semiHidden/>
    <w:unhideWhenUsed/>
    <w:rsid w:val="003F6560"/>
    <w:pPr>
      <w:keepNext/>
      <w:numPr>
        <w:numId w:val="1"/>
      </w:numPr>
      <w:contextualSpacing/>
      <w:outlineLvl w:val="0"/>
    </w:pPr>
    <w:rPr>
      <w:rFonts w:eastAsia="ＭＳ ゴシック"/>
      <w:sz w:val="28"/>
    </w:rPr>
  </w:style>
  <w:style w:type="paragraph" w:styleId="NoteLevel2">
    <w:name w:val="Note Level 2"/>
    <w:basedOn w:val="Normal"/>
    <w:uiPriority w:val="99"/>
    <w:semiHidden/>
    <w:unhideWhenUsed/>
    <w:rsid w:val="003F6560"/>
    <w:pPr>
      <w:keepNext/>
      <w:numPr>
        <w:ilvl w:val="1"/>
        <w:numId w:val="1"/>
      </w:numPr>
      <w:contextualSpacing/>
      <w:outlineLvl w:val="1"/>
    </w:pPr>
    <w:rPr>
      <w:rFonts w:eastAsia="ＭＳ ゴシック"/>
      <w:sz w:val="28"/>
    </w:rPr>
  </w:style>
  <w:style w:type="paragraph" w:styleId="NoteLevel3">
    <w:name w:val="Note Level 3"/>
    <w:basedOn w:val="Normal"/>
    <w:uiPriority w:val="99"/>
    <w:semiHidden/>
    <w:unhideWhenUsed/>
    <w:rsid w:val="003F6560"/>
    <w:pPr>
      <w:keepNext/>
      <w:numPr>
        <w:ilvl w:val="2"/>
        <w:numId w:val="1"/>
      </w:numPr>
      <w:contextualSpacing/>
      <w:outlineLvl w:val="2"/>
    </w:pPr>
    <w:rPr>
      <w:rFonts w:eastAsia="ＭＳ ゴシック"/>
      <w:sz w:val="28"/>
    </w:rPr>
  </w:style>
  <w:style w:type="paragraph" w:styleId="NoteLevel4">
    <w:name w:val="Note Level 4"/>
    <w:basedOn w:val="Normal"/>
    <w:uiPriority w:val="99"/>
    <w:semiHidden/>
    <w:unhideWhenUsed/>
    <w:rsid w:val="003F6560"/>
    <w:pPr>
      <w:keepNext/>
      <w:numPr>
        <w:ilvl w:val="3"/>
        <w:numId w:val="1"/>
      </w:numPr>
      <w:contextualSpacing/>
      <w:outlineLvl w:val="3"/>
    </w:pPr>
    <w:rPr>
      <w:rFonts w:eastAsia="ＭＳ ゴシック"/>
      <w:sz w:val="28"/>
    </w:rPr>
  </w:style>
  <w:style w:type="paragraph" w:styleId="NoteLevel5">
    <w:name w:val="Note Level 5"/>
    <w:basedOn w:val="Normal"/>
    <w:uiPriority w:val="99"/>
    <w:semiHidden/>
    <w:unhideWhenUsed/>
    <w:rsid w:val="003F6560"/>
    <w:pPr>
      <w:keepNext/>
      <w:numPr>
        <w:ilvl w:val="4"/>
        <w:numId w:val="1"/>
      </w:numPr>
      <w:contextualSpacing/>
      <w:outlineLvl w:val="4"/>
    </w:pPr>
    <w:rPr>
      <w:rFonts w:eastAsia="ＭＳ ゴシック"/>
      <w:sz w:val="28"/>
    </w:rPr>
  </w:style>
  <w:style w:type="paragraph" w:styleId="NoteLevel6">
    <w:name w:val="Note Level 6"/>
    <w:basedOn w:val="Normal"/>
    <w:uiPriority w:val="99"/>
    <w:semiHidden/>
    <w:unhideWhenUsed/>
    <w:rsid w:val="003F6560"/>
    <w:pPr>
      <w:keepNext/>
      <w:numPr>
        <w:ilvl w:val="5"/>
        <w:numId w:val="1"/>
      </w:numPr>
      <w:contextualSpacing/>
      <w:outlineLvl w:val="5"/>
    </w:pPr>
    <w:rPr>
      <w:rFonts w:eastAsia="ＭＳ ゴシック"/>
      <w:sz w:val="28"/>
    </w:rPr>
  </w:style>
  <w:style w:type="paragraph" w:styleId="NoteLevel7">
    <w:name w:val="Note Level 7"/>
    <w:basedOn w:val="Normal"/>
    <w:uiPriority w:val="99"/>
    <w:semiHidden/>
    <w:unhideWhenUsed/>
    <w:rsid w:val="003F6560"/>
    <w:pPr>
      <w:keepNext/>
      <w:numPr>
        <w:ilvl w:val="6"/>
        <w:numId w:val="1"/>
      </w:numPr>
      <w:contextualSpacing/>
      <w:outlineLvl w:val="6"/>
    </w:pPr>
    <w:rPr>
      <w:rFonts w:eastAsia="ＭＳ ゴシック"/>
      <w:sz w:val="28"/>
    </w:rPr>
  </w:style>
  <w:style w:type="paragraph" w:styleId="NoteLevel8">
    <w:name w:val="Note Level 8"/>
    <w:basedOn w:val="Normal"/>
    <w:uiPriority w:val="99"/>
    <w:semiHidden/>
    <w:unhideWhenUsed/>
    <w:rsid w:val="003F6560"/>
    <w:pPr>
      <w:keepNext/>
      <w:numPr>
        <w:ilvl w:val="7"/>
        <w:numId w:val="1"/>
      </w:numPr>
      <w:contextualSpacing/>
      <w:outlineLvl w:val="7"/>
    </w:pPr>
    <w:rPr>
      <w:rFonts w:eastAsia="ＭＳ ゴシック"/>
      <w:sz w:val="28"/>
    </w:rPr>
  </w:style>
  <w:style w:type="paragraph" w:styleId="NoteLevel9">
    <w:name w:val="Note Level 9"/>
    <w:basedOn w:val="Normal"/>
    <w:uiPriority w:val="99"/>
    <w:semiHidden/>
    <w:unhideWhenUsed/>
    <w:rsid w:val="003F6560"/>
    <w:pPr>
      <w:keepNext/>
      <w:numPr>
        <w:ilvl w:val="8"/>
        <w:numId w:val="1"/>
      </w:numPr>
      <w:contextualSpacing/>
      <w:outlineLvl w:val="8"/>
    </w:pPr>
    <w:rPr>
      <w:rFonts w:eastAsia="ＭＳ ゴシック"/>
      <w:sz w:val="28"/>
    </w:rPr>
  </w:style>
  <w:style w:type="paragraph" w:styleId="Header">
    <w:name w:val="header"/>
    <w:basedOn w:val="Normal"/>
    <w:link w:val="HeaderChar"/>
    <w:uiPriority w:val="99"/>
    <w:unhideWhenUsed/>
    <w:rsid w:val="00046F98"/>
    <w:pPr>
      <w:tabs>
        <w:tab w:val="center" w:pos="4320"/>
        <w:tab w:val="right" w:pos="8640"/>
      </w:tabs>
    </w:pPr>
  </w:style>
  <w:style w:type="character" w:customStyle="1" w:styleId="HeaderChar">
    <w:name w:val="Header Char"/>
    <w:basedOn w:val="DefaultParagraphFont"/>
    <w:link w:val="Header"/>
    <w:uiPriority w:val="99"/>
    <w:rsid w:val="00046F98"/>
    <w:rPr>
      <w:rFonts w:ascii="Times New Roman" w:hAnsi="Times New Roman"/>
    </w:rPr>
  </w:style>
  <w:style w:type="paragraph" w:styleId="Footer">
    <w:name w:val="footer"/>
    <w:basedOn w:val="Normal"/>
    <w:link w:val="FooterChar"/>
    <w:uiPriority w:val="99"/>
    <w:unhideWhenUsed/>
    <w:rsid w:val="00046F98"/>
    <w:pPr>
      <w:tabs>
        <w:tab w:val="center" w:pos="4320"/>
        <w:tab w:val="right" w:pos="8640"/>
      </w:tabs>
    </w:pPr>
  </w:style>
  <w:style w:type="character" w:customStyle="1" w:styleId="FooterChar">
    <w:name w:val="Footer Char"/>
    <w:basedOn w:val="DefaultParagraphFont"/>
    <w:link w:val="Footer"/>
    <w:uiPriority w:val="99"/>
    <w:rsid w:val="00046F98"/>
    <w:rPr>
      <w:rFonts w:ascii="Times New Roman" w:hAnsi="Times New Roman"/>
    </w:rPr>
  </w:style>
  <w:style w:type="character" w:styleId="PageNumber">
    <w:name w:val="page number"/>
    <w:basedOn w:val="DefaultParagraphFont"/>
    <w:uiPriority w:val="99"/>
    <w:semiHidden/>
    <w:unhideWhenUsed/>
    <w:rsid w:val="00046F98"/>
  </w:style>
  <w:style w:type="paragraph" w:styleId="FootnoteText">
    <w:name w:val="footnote text"/>
    <w:basedOn w:val="Normal"/>
    <w:link w:val="FootnoteTextChar"/>
    <w:uiPriority w:val="99"/>
    <w:unhideWhenUsed/>
    <w:rsid w:val="00452CA1"/>
  </w:style>
  <w:style w:type="character" w:customStyle="1" w:styleId="FootnoteTextChar">
    <w:name w:val="Footnote Text Char"/>
    <w:basedOn w:val="DefaultParagraphFont"/>
    <w:link w:val="FootnoteText"/>
    <w:uiPriority w:val="99"/>
    <w:rsid w:val="00452CA1"/>
    <w:rPr>
      <w:rFonts w:ascii="Times New Roman" w:hAnsi="Times New Roman"/>
    </w:rPr>
  </w:style>
  <w:style w:type="character" w:styleId="FootnoteReference">
    <w:name w:val="footnote reference"/>
    <w:basedOn w:val="DefaultParagraphFont"/>
    <w:uiPriority w:val="99"/>
    <w:unhideWhenUsed/>
    <w:rsid w:val="00452CA1"/>
    <w:rPr>
      <w:vertAlign w:val="superscript"/>
    </w:rPr>
  </w:style>
  <w:style w:type="character" w:customStyle="1" w:styleId="Heading3Char">
    <w:name w:val="Heading 3 Char"/>
    <w:basedOn w:val="DefaultParagraphFont"/>
    <w:link w:val="Heading3"/>
    <w:uiPriority w:val="9"/>
    <w:rsid w:val="00E30848"/>
    <w:rPr>
      <w:rFonts w:ascii="Times" w:hAnsi="Times"/>
      <w:b/>
      <w:bCs/>
      <w:sz w:val="27"/>
      <w:szCs w:val="27"/>
      <w:lang w:eastAsia="en-US"/>
    </w:rPr>
  </w:style>
  <w:style w:type="character" w:customStyle="1" w:styleId="Heading4Char">
    <w:name w:val="Heading 4 Char"/>
    <w:basedOn w:val="DefaultParagraphFont"/>
    <w:link w:val="Heading4"/>
    <w:uiPriority w:val="9"/>
    <w:rsid w:val="00E30848"/>
    <w:rPr>
      <w:rFonts w:asciiTheme="majorHAnsi" w:eastAsiaTheme="majorEastAsia" w:hAnsiTheme="majorHAnsi" w:cstheme="majorBidi"/>
      <w:b/>
      <w:bCs/>
      <w:i/>
      <w:iCs/>
      <w:color w:val="4F81BD" w:themeColor="accent1"/>
      <w:lang w:eastAsia="en-US"/>
    </w:rPr>
  </w:style>
  <w:style w:type="table" w:styleId="TableGrid">
    <w:name w:val="Table Grid"/>
    <w:basedOn w:val="TableNormal"/>
    <w:uiPriority w:val="59"/>
    <w:rsid w:val="00E3084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30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3060"/>
    <w:rPr>
      <w:rFonts w:ascii="Lucida Grande" w:hAnsi="Lucida Grande" w:cs="Lucida Grande"/>
      <w:sz w:val="18"/>
      <w:szCs w:val="18"/>
    </w:rPr>
  </w:style>
  <w:style w:type="paragraph" w:styleId="ListParagraph">
    <w:name w:val="List Paragraph"/>
    <w:basedOn w:val="Normal"/>
    <w:uiPriority w:val="34"/>
    <w:qFormat/>
    <w:rsid w:val="004416B6"/>
    <w:pPr>
      <w:ind w:left="720"/>
      <w:contextualSpacing/>
    </w:pPr>
  </w:style>
  <w:style w:type="character" w:customStyle="1" w:styleId="Heading2Char">
    <w:name w:val="Heading 2 Char"/>
    <w:basedOn w:val="DefaultParagraphFont"/>
    <w:link w:val="Heading2"/>
    <w:uiPriority w:val="9"/>
    <w:rsid w:val="00065A7F"/>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B79E3"/>
    <w:rPr>
      <w:sz w:val="18"/>
      <w:szCs w:val="18"/>
    </w:rPr>
  </w:style>
  <w:style w:type="paragraph" w:styleId="CommentText">
    <w:name w:val="annotation text"/>
    <w:basedOn w:val="Normal"/>
    <w:link w:val="CommentTextChar"/>
    <w:uiPriority w:val="99"/>
    <w:semiHidden/>
    <w:unhideWhenUsed/>
    <w:rsid w:val="00CB79E3"/>
  </w:style>
  <w:style w:type="character" w:customStyle="1" w:styleId="CommentTextChar">
    <w:name w:val="Comment Text Char"/>
    <w:basedOn w:val="DefaultParagraphFont"/>
    <w:link w:val="CommentText"/>
    <w:uiPriority w:val="99"/>
    <w:semiHidden/>
    <w:rsid w:val="00CB79E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B79E3"/>
    <w:rPr>
      <w:b/>
      <w:bCs/>
      <w:sz w:val="20"/>
      <w:szCs w:val="20"/>
    </w:rPr>
  </w:style>
  <w:style w:type="character" w:customStyle="1" w:styleId="CommentSubjectChar">
    <w:name w:val="Comment Subject Char"/>
    <w:basedOn w:val="CommentTextChar"/>
    <w:link w:val="CommentSubject"/>
    <w:uiPriority w:val="99"/>
    <w:semiHidden/>
    <w:rsid w:val="00CB79E3"/>
    <w:rPr>
      <w:rFonts w:ascii="Times New Roman" w:hAnsi="Times New Roman"/>
      <w:b/>
      <w:bCs/>
      <w:sz w:val="20"/>
      <w:szCs w:val="20"/>
    </w:rPr>
  </w:style>
  <w:style w:type="paragraph" w:styleId="Revision">
    <w:name w:val="Revision"/>
    <w:hidden/>
    <w:uiPriority w:val="99"/>
    <w:semiHidden/>
    <w:rsid w:val="00CF5A6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9543">
      <w:bodyDiv w:val="1"/>
      <w:marLeft w:val="0"/>
      <w:marRight w:val="0"/>
      <w:marTop w:val="0"/>
      <w:marBottom w:val="0"/>
      <w:divBdr>
        <w:top w:val="none" w:sz="0" w:space="0" w:color="auto"/>
        <w:left w:val="none" w:sz="0" w:space="0" w:color="auto"/>
        <w:bottom w:val="none" w:sz="0" w:space="0" w:color="auto"/>
        <w:right w:val="none" w:sz="0" w:space="0" w:color="auto"/>
      </w:divBdr>
    </w:div>
    <w:div w:id="271740542">
      <w:bodyDiv w:val="1"/>
      <w:marLeft w:val="0"/>
      <w:marRight w:val="0"/>
      <w:marTop w:val="0"/>
      <w:marBottom w:val="0"/>
      <w:divBdr>
        <w:top w:val="none" w:sz="0" w:space="0" w:color="auto"/>
        <w:left w:val="none" w:sz="0" w:space="0" w:color="auto"/>
        <w:bottom w:val="none" w:sz="0" w:space="0" w:color="auto"/>
        <w:right w:val="none" w:sz="0" w:space="0" w:color="auto"/>
      </w:divBdr>
    </w:div>
    <w:div w:id="519199558">
      <w:bodyDiv w:val="1"/>
      <w:marLeft w:val="0"/>
      <w:marRight w:val="0"/>
      <w:marTop w:val="0"/>
      <w:marBottom w:val="0"/>
      <w:divBdr>
        <w:top w:val="none" w:sz="0" w:space="0" w:color="auto"/>
        <w:left w:val="none" w:sz="0" w:space="0" w:color="auto"/>
        <w:bottom w:val="none" w:sz="0" w:space="0" w:color="auto"/>
        <w:right w:val="none" w:sz="0" w:space="0" w:color="auto"/>
      </w:divBdr>
    </w:div>
    <w:div w:id="602764726">
      <w:bodyDiv w:val="1"/>
      <w:marLeft w:val="0"/>
      <w:marRight w:val="0"/>
      <w:marTop w:val="0"/>
      <w:marBottom w:val="0"/>
      <w:divBdr>
        <w:top w:val="none" w:sz="0" w:space="0" w:color="auto"/>
        <w:left w:val="none" w:sz="0" w:space="0" w:color="auto"/>
        <w:bottom w:val="none" w:sz="0" w:space="0" w:color="auto"/>
        <w:right w:val="none" w:sz="0" w:space="0" w:color="auto"/>
      </w:divBdr>
    </w:div>
    <w:div w:id="765686937">
      <w:bodyDiv w:val="1"/>
      <w:marLeft w:val="0"/>
      <w:marRight w:val="0"/>
      <w:marTop w:val="0"/>
      <w:marBottom w:val="0"/>
      <w:divBdr>
        <w:top w:val="none" w:sz="0" w:space="0" w:color="auto"/>
        <w:left w:val="none" w:sz="0" w:space="0" w:color="auto"/>
        <w:bottom w:val="none" w:sz="0" w:space="0" w:color="auto"/>
        <w:right w:val="none" w:sz="0" w:space="0" w:color="auto"/>
      </w:divBdr>
    </w:div>
    <w:div w:id="1018853458">
      <w:bodyDiv w:val="1"/>
      <w:marLeft w:val="0"/>
      <w:marRight w:val="0"/>
      <w:marTop w:val="0"/>
      <w:marBottom w:val="0"/>
      <w:divBdr>
        <w:top w:val="none" w:sz="0" w:space="0" w:color="auto"/>
        <w:left w:val="none" w:sz="0" w:space="0" w:color="auto"/>
        <w:bottom w:val="none" w:sz="0" w:space="0" w:color="auto"/>
        <w:right w:val="none" w:sz="0" w:space="0" w:color="auto"/>
      </w:divBdr>
    </w:div>
    <w:div w:id="1059866504">
      <w:bodyDiv w:val="1"/>
      <w:marLeft w:val="0"/>
      <w:marRight w:val="0"/>
      <w:marTop w:val="0"/>
      <w:marBottom w:val="0"/>
      <w:divBdr>
        <w:top w:val="none" w:sz="0" w:space="0" w:color="auto"/>
        <w:left w:val="none" w:sz="0" w:space="0" w:color="auto"/>
        <w:bottom w:val="none" w:sz="0" w:space="0" w:color="auto"/>
        <w:right w:val="none" w:sz="0" w:space="0" w:color="auto"/>
      </w:divBdr>
    </w:div>
    <w:div w:id="1064569114">
      <w:bodyDiv w:val="1"/>
      <w:marLeft w:val="0"/>
      <w:marRight w:val="0"/>
      <w:marTop w:val="0"/>
      <w:marBottom w:val="0"/>
      <w:divBdr>
        <w:top w:val="none" w:sz="0" w:space="0" w:color="auto"/>
        <w:left w:val="none" w:sz="0" w:space="0" w:color="auto"/>
        <w:bottom w:val="none" w:sz="0" w:space="0" w:color="auto"/>
        <w:right w:val="none" w:sz="0" w:space="0" w:color="auto"/>
      </w:divBdr>
    </w:div>
    <w:div w:id="1121341875">
      <w:bodyDiv w:val="1"/>
      <w:marLeft w:val="0"/>
      <w:marRight w:val="0"/>
      <w:marTop w:val="0"/>
      <w:marBottom w:val="0"/>
      <w:divBdr>
        <w:top w:val="none" w:sz="0" w:space="0" w:color="auto"/>
        <w:left w:val="none" w:sz="0" w:space="0" w:color="auto"/>
        <w:bottom w:val="none" w:sz="0" w:space="0" w:color="auto"/>
        <w:right w:val="none" w:sz="0" w:space="0" w:color="auto"/>
      </w:divBdr>
    </w:div>
    <w:div w:id="1241021498">
      <w:bodyDiv w:val="1"/>
      <w:marLeft w:val="0"/>
      <w:marRight w:val="0"/>
      <w:marTop w:val="0"/>
      <w:marBottom w:val="0"/>
      <w:divBdr>
        <w:top w:val="none" w:sz="0" w:space="0" w:color="auto"/>
        <w:left w:val="none" w:sz="0" w:space="0" w:color="auto"/>
        <w:bottom w:val="none" w:sz="0" w:space="0" w:color="auto"/>
        <w:right w:val="none" w:sz="0" w:space="0" w:color="auto"/>
      </w:divBdr>
    </w:div>
    <w:div w:id="1327900938">
      <w:bodyDiv w:val="1"/>
      <w:marLeft w:val="0"/>
      <w:marRight w:val="0"/>
      <w:marTop w:val="0"/>
      <w:marBottom w:val="0"/>
      <w:divBdr>
        <w:top w:val="none" w:sz="0" w:space="0" w:color="auto"/>
        <w:left w:val="none" w:sz="0" w:space="0" w:color="auto"/>
        <w:bottom w:val="none" w:sz="0" w:space="0" w:color="auto"/>
        <w:right w:val="none" w:sz="0" w:space="0" w:color="auto"/>
      </w:divBdr>
    </w:div>
    <w:div w:id="1334456503">
      <w:bodyDiv w:val="1"/>
      <w:marLeft w:val="0"/>
      <w:marRight w:val="0"/>
      <w:marTop w:val="0"/>
      <w:marBottom w:val="0"/>
      <w:divBdr>
        <w:top w:val="none" w:sz="0" w:space="0" w:color="auto"/>
        <w:left w:val="none" w:sz="0" w:space="0" w:color="auto"/>
        <w:bottom w:val="none" w:sz="0" w:space="0" w:color="auto"/>
        <w:right w:val="none" w:sz="0" w:space="0" w:color="auto"/>
      </w:divBdr>
    </w:div>
    <w:div w:id="1359551687">
      <w:bodyDiv w:val="1"/>
      <w:marLeft w:val="0"/>
      <w:marRight w:val="0"/>
      <w:marTop w:val="0"/>
      <w:marBottom w:val="0"/>
      <w:divBdr>
        <w:top w:val="none" w:sz="0" w:space="0" w:color="auto"/>
        <w:left w:val="none" w:sz="0" w:space="0" w:color="auto"/>
        <w:bottom w:val="none" w:sz="0" w:space="0" w:color="auto"/>
        <w:right w:val="none" w:sz="0" w:space="0" w:color="auto"/>
      </w:divBdr>
    </w:div>
    <w:div w:id="1451587403">
      <w:bodyDiv w:val="1"/>
      <w:marLeft w:val="0"/>
      <w:marRight w:val="0"/>
      <w:marTop w:val="0"/>
      <w:marBottom w:val="0"/>
      <w:divBdr>
        <w:top w:val="none" w:sz="0" w:space="0" w:color="auto"/>
        <w:left w:val="none" w:sz="0" w:space="0" w:color="auto"/>
        <w:bottom w:val="none" w:sz="0" w:space="0" w:color="auto"/>
        <w:right w:val="none" w:sz="0" w:space="0" w:color="auto"/>
      </w:divBdr>
    </w:div>
    <w:div w:id="1585726633">
      <w:bodyDiv w:val="1"/>
      <w:marLeft w:val="0"/>
      <w:marRight w:val="0"/>
      <w:marTop w:val="0"/>
      <w:marBottom w:val="0"/>
      <w:divBdr>
        <w:top w:val="none" w:sz="0" w:space="0" w:color="auto"/>
        <w:left w:val="none" w:sz="0" w:space="0" w:color="auto"/>
        <w:bottom w:val="none" w:sz="0" w:space="0" w:color="auto"/>
        <w:right w:val="none" w:sz="0" w:space="0" w:color="auto"/>
      </w:divBdr>
    </w:div>
    <w:div w:id="1685279159">
      <w:bodyDiv w:val="1"/>
      <w:marLeft w:val="0"/>
      <w:marRight w:val="0"/>
      <w:marTop w:val="0"/>
      <w:marBottom w:val="0"/>
      <w:divBdr>
        <w:top w:val="none" w:sz="0" w:space="0" w:color="auto"/>
        <w:left w:val="none" w:sz="0" w:space="0" w:color="auto"/>
        <w:bottom w:val="none" w:sz="0" w:space="0" w:color="auto"/>
        <w:right w:val="none" w:sz="0" w:space="0" w:color="auto"/>
      </w:divBdr>
    </w:div>
    <w:div w:id="1854955256">
      <w:bodyDiv w:val="1"/>
      <w:marLeft w:val="0"/>
      <w:marRight w:val="0"/>
      <w:marTop w:val="0"/>
      <w:marBottom w:val="0"/>
      <w:divBdr>
        <w:top w:val="none" w:sz="0" w:space="0" w:color="auto"/>
        <w:left w:val="none" w:sz="0" w:space="0" w:color="auto"/>
        <w:bottom w:val="none" w:sz="0" w:space="0" w:color="auto"/>
        <w:right w:val="none" w:sz="0" w:space="0" w:color="auto"/>
      </w:divBdr>
    </w:div>
    <w:div w:id="2069450751">
      <w:bodyDiv w:val="1"/>
      <w:marLeft w:val="0"/>
      <w:marRight w:val="0"/>
      <w:marTop w:val="0"/>
      <w:marBottom w:val="0"/>
      <w:divBdr>
        <w:top w:val="none" w:sz="0" w:space="0" w:color="auto"/>
        <w:left w:val="none" w:sz="0" w:space="0" w:color="auto"/>
        <w:bottom w:val="none" w:sz="0" w:space="0" w:color="auto"/>
        <w:right w:val="none" w:sz="0" w:space="0" w:color="auto"/>
      </w:divBdr>
    </w:div>
    <w:div w:id="21201035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8FE8-3E16-7940-8C05-0303ED48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43</Pages>
  <Words>12108</Words>
  <Characters>69016</Characters>
  <Application>Microsoft Macintosh Word</Application>
  <DocSecurity>0</DocSecurity>
  <Lines>575</Lines>
  <Paragraphs>161</Paragraphs>
  <ScaleCrop>false</ScaleCrop>
  <Company/>
  <LinksUpToDate>false</LinksUpToDate>
  <CharactersWithSpaces>80963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Adam</dc:creator>
  <cp:keywords/>
  <dc:description/>
  <cp:lastModifiedBy>Erin Adam</cp:lastModifiedBy>
  <cp:revision>3</cp:revision>
  <cp:lastPrinted>2013-01-17T17:15:00Z</cp:lastPrinted>
  <dcterms:created xsi:type="dcterms:W3CDTF">2014-04-09T03:19:00Z</dcterms:created>
  <dcterms:modified xsi:type="dcterms:W3CDTF">2014-04-09T03:44:00Z</dcterms:modified>
</cp:coreProperties>
</file>