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C4B7" w14:textId="5B7FFC84" w:rsidR="00A41BC0" w:rsidRPr="00606B72" w:rsidRDefault="00A41BC0" w:rsidP="00D921CA">
      <w:pPr>
        <w:jc w:val="center"/>
        <w:rPr>
          <w:b/>
          <w:bCs/>
          <w:color w:val="000000" w:themeColor="text1"/>
        </w:rPr>
      </w:pPr>
    </w:p>
    <w:p w14:paraId="68AB8BC9" w14:textId="181E9921" w:rsidR="00C43661" w:rsidRPr="00606B72" w:rsidRDefault="00C43661" w:rsidP="00F80E30">
      <w:pPr>
        <w:rPr>
          <w:b/>
          <w:bCs/>
          <w:color w:val="000000" w:themeColor="text1"/>
        </w:rPr>
      </w:pPr>
    </w:p>
    <w:p w14:paraId="6F188CEC" w14:textId="1BE33525" w:rsidR="00C43661" w:rsidRPr="00606B72" w:rsidRDefault="00C43661" w:rsidP="00A41BC0">
      <w:pPr>
        <w:jc w:val="center"/>
        <w:rPr>
          <w:b/>
          <w:bCs/>
          <w:color w:val="000000" w:themeColor="text1"/>
        </w:rPr>
      </w:pPr>
    </w:p>
    <w:p w14:paraId="23DF94DF" w14:textId="02A1D438" w:rsidR="00C43661" w:rsidRDefault="00C43661" w:rsidP="00A41BC0">
      <w:pPr>
        <w:jc w:val="center"/>
        <w:rPr>
          <w:b/>
          <w:bCs/>
          <w:color w:val="000000" w:themeColor="text1"/>
        </w:rPr>
      </w:pPr>
    </w:p>
    <w:p w14:paraId="269372ED" w14:textId="20AF4549" w:rsidR="00A41BC0" w:rsidRDefault="00A41BC0" w:rsidP="00FF1760">
      <w:pPr>
        <w:rPr>
          <w:b/>
          <w:bCs/>
          <w:color w:val="000000" w:themeColor="text1"/>
        </w:rPr>
      </w:pPr>
    </w:p>
    <w:p w14:paraId="7F01B4C4" w14:textId="77777777" w:rsidR="00CE110C" w:rsidRDefault="00CE110C" w:rsidP="00FF1760">
      <w:pPr>
        <w:rPr>
          <w:b/>
          <w:bCs/>
          <w:color w:val="000000" w:themeColor="text1"/>
        </w:rPr>
      </w:pPr>
    </w:p>
    <w:p w14:paraId="03F37984" w14:textId="147C3C9B" w:rsidR="00A41BC0" w:rsidRDefault="00A41BC0" w:rsidP="00B4131D">
      <w:pPr>
        <w:rPr>
          <w:b/>
          <w:bCs/>
          <w:color w:val="000000" w:themeColor="text1"/>
        </w:rPr>
      </w:pPr>
    </w:p>
    <w:p w14:paraId="7D2DC8EB" w14:textId="28192D7D" w:rsidR="00F91E32" w:rsidRDefault="00F91E32" w:rsidP="00B4131D">
      <w:pPr>
        <w:rPr>
          <w:b/>
          <w:bCs/>
          <w:color w:val="000000" w:themeColor="text1"/>
        </w:rPr>
      </w:pPr>
    </w:p>
    <w:p w14:paraId="68F2CB7B" w14:textId="77777777" w:rsidR="00F91E32" w:rsidRPr="00606B72" w:rsidRDefault="00F91E32" w:rsidP="00B4131D">
      <w:pPr>
        <w:rPr>
          <w:b/>
          <w:bCs/>
          <w:color w:val="000000" w:themeColor="text1"/>
        </w:rPr>
      </w:pPr>
      <w:bookmarkStart w:id="0" w:name="_GoBack"/>
      <w:bookmarkEnd w:id="0"/>
    </w:p>
    <w:p w14:paraId="0AA72A11" w14:textId="4CED1B64" w:rsidR="00A41BC0" w:rsidRPr="00606B72" w:rsidRDefault="00A41BC0" w:rsidP="00A41BC0">
      <w:pPr>
        <w:spacing w:line="480" w:lineRule="auto"/>
        <w:jc w:val="center"/>
        <w:rPr>
          <w:b/>
          <w:bCs/>
          <w:color w:val="000000" w:themeColor="text1"/>
        </w:rPr>
      </w:pPr>
    </w:p>
    <w:p w14:paraId="13ECC2B6" w14:textId="3B95593A" w:rsidR="00717680" w:rsidRPr="00606B72" w:rsidRDefault="003F4989" w:rsidP="003E2372">
      <w:pPr>
        <w:jc w:val="center"/>
        <w:rPr>
          <w:b/>
          <w:bCs/>
          <w:color w:val="000000" w:themeColor="text1"/>
        </w:rPr>
      </w:pPr>
      <w:r w:rsidRPr="00606B72">
        <w:rPr>
          <w:b/>
          <w:bCs/>
          <w:color w:val="000000" w:themeColor="text1"/>
        </w:rPr>
        <w:t>Rif</w:t>
      </w:r>
      <w:r w:rsidR="00C41B09">
        <w:rPr>
          <w:b/>
          <w:bCs/>
          <w:color w:val="000000" w:themeColor="text1"/>
        </w:rPr>
        <w:t>a</w:t>
      </w:r>
      <w:r w:rsidR="00E52079" w:rsidRPr="00606B72">
        <w:rPr>
          <w:b/>
          <w:bCs/>
          <w:color w:val="000000" w:themeColor="text1"/>
        </w:rPr>
        <w:t>ʿ</w:t>
      </w:r>
      <w:r w:rsidRPr="00606B72">
        <w:rPr>
          <w:b/>
          <w:bCs/>
          <w:color w:val="000000" w:themeColor="text1"/>
        </w:rPr>
        <w:t xml:space="preserve">a </w:t>
      </w:r>
      <w:r w:rsidR="00C41B09">
        <w:rPr>
          <w:b/>
          <w:bCs/>
          <w:color w:val="000000" w:themeColor="text1"/>
        </w:rPr>
        <w:t>a</w:t>
      </w:r>
      <w:r w:rsidR="00BC574A" w:rsidRPr="00606B72">
        <w:rPr>
          <w:b/>
          <w:bCs/>
          <w:color w:val="000000" w:themeColor="text1"/>
        </w:rPr>
        <w:t>l-Tahtawi</w:t>
      </w:r>
      <w:r w:rsidRPr="00606B72">
        <w:rPr>
          <w:b/>
          <w:bCs/>
          <w:color w:val="000000" w:themeColor="text1"/>
        </w:rPr>
        <w:t xml:space="preserve">’s </w:t>
      </w:r>
      <w:r w:rsidR="000C718F" w:rsidRPr="00606B72">
        <w:rPr>
          <w:b/>
          <w:bCs/>
          <w:color w:val="000000" w:themeColor="text1"/>
        </w:rPr>
        <w:t xml:space="preserve">Mirror for </w:t>
      </w:r>
      <w:r w:rsidR="00C41B09">
        <w:rPr>
          <w:b/>
          <w:bCs/>
          <w:color w:val="000000" w:themeColor="text1"/>
        </w:rPr>
        <w:t>Muhammad</w:t>
      </w:r>
      <w:r w:rsidR="000C718F" w:rsidRPr="00606B72">
        <w:rPr>
          <w:b/>
          <w:bCs/>
          <w:color w:val="000000" w:themeColor="text1"/>
        </w:rPr>
        <w:t xml:space="preserve"> </w:t>
      </w:r>
      <w:r w:rsidR="003B4254" w:rsidRPr="00606B72">
        <w:rPr>
          <w:b/>
          <w:bCs/>
          <w:color w:val="000000" w:themeColor="text1"/>
        </w:rPr>
        <w:t>ʿ</w:t>
      </w:r>
      <w:r w:rsidR="000C718F" w:rsidRPr="00606B72">
        <w:rPr>
          <w:b/>
          <w:bCs/>
          <w:color w:val="000000" w:themeColor="text1"/>
        </w:rPr>
        <w:t>Ali</w:t>
      </w:r>
    </w:p>
    <w:p w14:paraId="6A22974F" w14:textId="2FAFCD53" w:rsidR="00A41BC0" w:rsidRPr="000D7F4B" w:rsidRDefault="00C41B09" w:rsidP="00C41B09">
      <w:pPr>
        <w:spacing w:line="480" w:lineRule="auto"/>
        <w:jc w:val="center"/>
        <w:rPr>
          <w:rFonts w:ascii="Cambria Math" w:hAnsi="Cambria Math"/>
          <w:b/>
          <w:bCs/>
          <w:color w:val="000000" w:themeColor="text1"/>
        </w:rPr>
      </w:pPr>
      <w:r>
        <w:rPr>
          <w:i/>
          <w:iCs/>
          <w:color w:val="000000" w:themeColor="text1"/>
        </w:rPr>
        <w:t>Takhlis al-Ibriz fi Talkhis Bariz</w:t>
      </w:r>
      <w:r w:rsidR="000D7F4B">
        <w:rPr>
          <w:color w:val="000000" w:themeColor="text1"/>
        </w:rPr>
        <w:t xml:space="preserve"> Between Tradition and Change</w:t>
      </w:r>
    </w:p>
    <w:p w14:paraId="56CB0FF5" w14:textId="77777777" w:rsidR="004D2EE6" w:rsidRDefault="004D2EE6" w:rsidP="004D2EE6">
      <w:pPr>
        <w:spacing w:line="480" w:lineRule="auto"/>
        <w:rPr>
          <w:b/>
          <w:bCs/>
          <w:color w:val="000000" w:themeColor="text1"/>
        </w:rPr>
      </w:pPr>
    </w:p>
    <w:p w14:paraId="5FD2AE77" w14:textId="6081CB91" w:rsidR="00F511E0" w:rsidRDefault="00F511E0" w:rsidP="00A41BC0">
      <w:pPr>
        <w:spacing w:line="480" w:lineRule="auto"/>
        <w:jc w:val="center"/>
        <w:rPr>
          <w:b/>
          <w:bCs/>
          <w:color w:val="000000" w:themeColor="text1"/>
        </w:rPr>
      </w:pPr>
    </w:p>
    <w:p w14:paraId="6E6B5E9A" w14:textId="77777777" w:rsidR="00F91E32" w:rsidRDefault="00F91E32" w:rsidP="00A41BC0">
      <w:pPr>
        <w:spacing w:line="480" w:lineRule="auto"/>
        <w:jc w:val="center"/>
        <w:rPr>
          <w:b/>
          <w:bCs/>
          <w:color w:val="000000" w:themeColor="text1"/>
        </w:rPr>
      </w:pPr>
    </w:p>
    <w:p w14:paraId="3D76C781" w14:textId="77777777" w:rsidR="00996189" w:rsidRPr="00606B72" w:rsidRDefault="00996189" w:rsidP="00A41BC0">
      <w:pPr>
        <w:spacing w:line="480" w:lineRule="auto"/>
        <w:jc w:val="center"/>
        <w:rPr>
          <w:b/>
          <w:bCs/>
          <w:color w:val="000000" w:themeColor="text1"/>
        </w:rPr>
      </w:pPr>
    </w:p>
    <w:p w14:paraId="42D60192" w14:textId="415F1C21" w:rsidR="00823831" w:rsidRDefault="00CE110C" w:rsidP="004D2EE6">
      <w:pPr>
        <w:spacing w:line="480" w:lineRule="auto"/>
        <w:rPr>
          <w:color w:val="000000" w:themeColor="text1"/>
        </w:rPr>
      </w:pPr>
      <w:r>
        <w:rPr>
          <w:b/>
          <w:bCs/>
          <w:color w:val="000000" w:themeColor="text1"/>
        </w:rPr>
        <w:t xml:space="preserve">Abstract: </w:t>
      </w:r>
      <w:r w:rsidR="000B7502">
        <w:rPr>
          <w:color w:val="000000" w:themeColor="text1"/>
        </w:rPr>
        <w:t xml:space="preserve">This paper argues </w:t>
      </w:r>
      <w:r w:rsidR="00D45F31">
        <w:rPr>
          <w:color w:val="000000" w:themeColor="text1"/>
        </w:rPr>
        <w:t>for a reinterpretation of</w:t>
      </w:r>
      <w:r w:rsidR="00796BD9">
        <w:rPr>
          <w:color w:val="000000" w:themeColor="text1"/>
        </w:rPr>
        <w:t xml:space="preserve"> </w:t>
      </w:r>
      <w:r w:rsidR="00C71F57">
        <w:rPr>
          <w:i/>
          <w:iCs/>
          <w:color w:val="000000" w:themeColor="text1"/>
        </w:rPr>
        <w:t xml:space="preserve">Takhlis </w:t>
      </w:r>
      <w:r w:rsidR="000B7502">
        <w:rPr>
          <w:i/>
          <w:iCs/>
          <w:color w:val="000000" w:themeColor="text1"/>
        </w:rPr>
        <w:t>al-Ibriz fi Talkhis Bariz</w:t>
      </w:r>
      <w:r w:rsidR="000B7502">
        <w:rPr>
          <w:color w:val="000000" w:themeColor="text1"/>
        </w:rPr>
        <w:t xml:space="preserve"> </w:t>
      </w:r>
      <w:r w:rsidR="00F80E30">
        <w:rPr>
          <w:color w:val="000000" w:themeColor="text1"/>
        </w:rPr>
        <w:t xml:space="preserve">by </w:t>
      </w:r>
      <w:r w:rsidR="00F80E30" w:rsidRPr="00F80E30">
        <w:rPr>
          <w:color w:val="000000" w:themeColor="text1"/>
        </w:rPr>
        <w:t>Rifaʿa al-Tahtawi</w:t>
      </w:r>
      <w:r w:rsidR="00F80E30">
        <w:rPr>
          <w:color w:val="000000" w:themeColor="text1"/>
        </w:rPr>
        <w:t xml:space="preserve"> (1801-1873)</w:t>
      </w:r>
      <w:r w:rsidR="00F80E30" w:rsidRPr="00F80E30">
        <w:rPr>
          <w:color w:val="000000" w:themeColor="text1"/>
        </w:rPr>
        <w:t xml:space="preserve"> </w:t>
      </w:r>
      <w:r w:rsidR="00D45F31" w:rsidRPr="00F80E30">
        <w:rPr>
          <w:color w:val="000000" w:themeColor="text1"/>
        </w:rPr>
        <w:t xml:space="preserve">based on the fact that </w:t>
      </w:r>
      <w:r w:rsidR="00F80E30">
        <w:rPr>
          <w:color w:val="000000" w:themeColor="text1"/>
        </w:rPr>
        <w:t>the text</w:t>
      </w:r>
      <w:r w:rsidR="00D45F31" w:rsidRPr="00F80E30">
        <w:rPr>
          <w:color w:val="000000" w:themeColor="text1"/>
        </w:rPr>
        <w:t xml:space="preserve"> should be read as belonging to the genre of </w:t>
      </w:r>
      <w:r w:rsidR="00D45F31" w:rsidRPr="00F80E30">
        <w:rPr>
          <w:i/>
          <w:iCs/>
          <w:color w:val="000000" w:themeColor="text1"/>
        </w:rPr>
        <w:t>naṣīḥa</w:t>
      </w:r>
      <w:r w:rsidR="00D45F31" w:rsidRPr="00F80E30">
        <w:rPr>
          <w:color w:val="000000" w:themeColor="text1"/>
        </w:rPr>
        <w:t xml:space="preserve"> (advice literature) rather</w:t>
      </w:r>
      <w:r w:rsidR="00D45F31">
        <w:rPr>
          <w:color w:val="000000" w:themeColor="text1"/>
        </w:rPr>
        <w:t xml:space="preserve"> than</w:t>
      </w:r>
      <w:r w:rsidR="00F80E30">
        <w:rPr>
          <w:color w:val="000000" w:themeColor="text1"/>
        </w:rPr>
        <w:t xml:space="preserve"> </w:t>
      </w:r>
      <w:r w:rsidR="004D2EE6">
        <w:rPr>
          <w:color w:val="000000" w:themeColor="text1"/>
        </w:rPr>
        <w:t xml:space="preserve">solely as a </w:t>
      </w:r>
      <w:r w:rsidR="00AA631C">
        <w:rPr>
          <w:i/>
          <w:iCs/>
          <w:color w:val="000000" w:themeColor="text1"/>
        </w:rPr>
        <w:t>riḥl</w:t>
      </w:r>
      <w:r w:rsidR="004D2EE6">
        <w:rPr>
          <w:i/>
          <w:iCs/>
          <w:color w:val="000000" w:themeColor="text1"/>
        </w:rPr>
        <w:t xml:space="preserve">a </w:t>
      </w:r>
      <w:r w:rsidR="004D2EE6">
        <w:rPr>
          <w:color w:val="000000" w:themeColor="text1"/>
        </w:rPr>
        <w:t xml:space="preserve">(travel literature) about his journey to Paris in 1826.  </w:t>
      </w:r>
      <w:r w:rsidR="00AA631C">
        <w:rPr>
          <w:color w:val="000000" w:themeColor="text1"/>
        </w:rPr>
        <w:t xml:space="preserve">While </w:t>
      </w:r>
      <w:r w:rsidR="001A0069">
        <w:rPr>
          <w:color w:val="000000" w:themeColor="text1"/>
        </w:rPr>
        <w:t>many understand the text</w:t>
      </w:r>
      <w:r w:rsidR="00AA631C">
        <w:rPr>
          <w:color w:val="000000" w:themeColor="text1"/>
        </w:rPr>
        <w:t xml:space="preserve"> to </w:t>
      </w:r>
      <w:r w:rsidR="00D7643A">
        <w:rPr>
          <w:color w:val="000000" w:themeColor="text1"/>
        </w:rPr>
        <w:t xml:space="preserve">be a </w:t>
      </w:r>
      <w:r w:rsidR="001A0069">
        <w:rPr>
          <w:color w:val="000000" w:themeColor="text1"/>
        </w:rPr>
        <w:t>self-interested</w:t>
      </w:r>
      <w:r w:rsidR="00CC5F93">
        <w:rPr>
          <w:color w:val="000000" w:themeColor="text1"/>
        </w:rPr>
        <w:t xml:space="preserve"> </w:t>
      </w:r>
      <w:r w:rsidR="00D7643A">
        <w:rPr>
          <w:color w:val="000000" w:themeColor="text1"/>
        </w:rPr>
        <w:t>justification of</w:t>
      </w:r>
      <w:r w:rsidR="00AA631C" w:rsidRPr="00F80E30">
        <w:rPr>
          <w:color w:val="000000" w:themeColor="text1"/>
        </w:rPr>
        <w:t xml:space="preserve"> the </w:t>
      </w:r>
      <w:r w:rsidR="00F80E30" w:rsidRPr="00F80E30">
        <w:rPr>
          <w:color w:val="000000" w:themeColor="text1"/>
        </w:rPr>
        <w:t>rule of Muhammad ʿAli</w:t>
      </w:r>
      <w:r w:rsidR="00F80E30">
        <w:rPr>
          <w:color w:val="000000" w:themeColor="text1"/>
        </w:rPr>
        <w:t xml:space="preserve">, the governor of Egypt and </w:t>
      </w:r>
      <w:r w:rsidR="00D7643A">
        <w:rPr>
          <w:color w:val="000000" w:themeColor="text1"/>
        </w:rPr>
        <w:t>al-Tahtawi’s</w:t>
      </w:r>
      <w:r w:rsidR="00F80E30">
        <w:rPr>
          <w:color w:val="000000" w:themeColor="text1"/>
        </w:rPr>
        <w:t xml:space="preserve"> patron, </w:t>
      </w:r>
      <w:r w:rsidR="00CC5F93">
        <w:rPr>
          <w:color w:val="000000" w:themeColor="text1"/>
        </w:rPr>
        <w:t>I read the text to be a</w:t>
      </w:r>
      <w:r w:rsidR="00902C6F">
        <w:rPr>
          <w:color w:val="000000" w:themeColor="text1"/>
        </w:rPr>
        <w:t xml:space="preserve"> genuine criticism of the cultural and political milieu of the time and a</w:t>
      </w:r>
      <w:r w:rsidR="00CC5F93">
        <w:rPr>
          <w:color w:val="000000" w:themeColor="text1"/>
        </w:rPr>
        <w:t xml:space="preserve">n articulation of Islam as </w:t>
      </w:r>
      <w:r w:rsidR="001A0069">
        <w:rPr>
          <w:color w:val="000000" w:themeColor="text1"/>
        </w:rPr>
        <w:t>a</w:t>
      </w:r>
      <w:r w:rsidR="00CC5F93">
        <w:rPr>
          <w:color w:val="000000" w:themeColor="text1"/>
        </w:rPr>
        <w:t xml:space="preserve"> tradition that, at is core, is heteronomous and open to influence from the non-Muslim world.  Through his </w:t>
      </w:r>
      <w:r w:rsidR="006E0782">
        <w:rPr>
          <w:color w:val="000000" w:themeColor="text1"/>
        </w:rPr>
        <w:t xml:space="preserve">engagement in the tradition </w:t>
      </w:r>
      <w:r w:rsidR="00CC5F93">
        <w:rPr>
          <w:color w:val="000000" w:themeColor="text1"/>
        </w:rPr>
        <w:t xml:space="preserve">of </w:t>
      </w:r>
      <w:r w:rsidR="006E0782">
        <w:rPr>
          <w:color w:val="000000" w:themeColor="text1"/>
        </w:rPr>
        <w:t xml:space="preserve">the </w:t>
      </w:r>
      <w:r w:rsidR="00CC5F93">
        <w:rPr>
          <w:i/>
          <w:iCs/>
          <w:color w:val="000000" w:themeColor="text1"/>
        </w:rPr>
        <w:t>naṣīḥa</w:t>
      </w:r>
      <w:r w:rsidR="006E0782">
        <w:rPr>
          <w:color w:val="000000" w:themeColor="text1"/>
        </w:rPr>
        <w:t xml:space="preserve"> genre</w:t>
      </w:r>
      <w:r w:rsidR="00CC5F93">
        <w:rPr>
          <w:color w:val="000000" w:themeColor="text1"/>
        </w:rPr>
        <w:t xml:space="preserve">, al-Tahtawi charts a </w:t>
      </w:r>
      <w:r w:rsidR="002918E8">
        <w:rPr>
          <w:color w:val="000000" w:themeColor="text1"/>
        </w:rPr>
        <w:t xml:space="preserve">middle ground between tradition and change, defining Islamic tradition as one that inherently involves the incorporation of difference.  </w:t>
      </w:r>
      <w:r w:rsidR="00CC5F93">
        <w:rPr>
          <w:color w:val="000000" w:themeColor="text1"/>
        </w:rPr>
        <w:t xml:space="preserve"> </w:t>
      </w:r>
    </w:p>
    <w:p w14:paraId="10A77E23" w14:textId="07A0DD1F" w:rsidR="004D2EE6" w:rsidRDefault="004D2EE6" w:rsidP="00CC5F93">
      <w:pPr>
        <w:spacing w:line="480" w:lineRule="auto"/>
        <w:rPr>
          <w:color w:val="000000" w:themeColor="text1"/>
        </w:rPr>
      </w:pPr>
    </w:p>
    <w:p w14:paraId="1336CD43" w14:textId="5DADE305" w:rsidR="00F80E30" w:rsidRPr="002918E8" w:rsidRDefault="00823831" w:rsidP="00CC5F93">
      <w:pPr>
        <w:spacing w:line="480" w:lineRule="auto"/>
        <w:rPr>
          <w:color w:val="000000" w:themeColor="text1"/>
        </w:rPr>
      </w:pPr>
      <w:r>
        <w:rPr>
          <w:color w:val="000000" w:themeColor="text1"/>
        </w:rPr>
        <w:t>All</w:t>
      </w:r>
      <w:r w:rsidR="002918E8">
        <w:rPr>
          <w:color w:val="000000" w:themeColor="text1"/>
        </w:rPr>
        <w:t xml:space="preserve"> transliterations follow the International Journal for Middle East Studies </w:t>
      </w:r>
      <w:r>
        <w:rPr>
          <w:color w:val="000000" w:themeColor="text1"/>
        </w:rPr>
        <w:t xml:space="preserve">(IJMES) </w:t>
      </w:r>
      <w:r w:rsidR="002918E8">
        <w:rPr>
          <w:color w:val="000000" w:themeColor="text1"/>
        </w:rPr>
        <w:t xml:space="preserve">guidelines.  </w:t>
      </w:r>
    </w:p>
    <w:p w14:paraId="5CEBB27C" w14:textId="6CDA713B" w:rsidR="0083764A" w:rsidRPr="00606B72" w:rsidRDefault="0083764A" w:rsidP="0083764A">
      <w:pPr>
        <w:spacing w:before="240" w:after="240" w:line="480" w:lineRule="auto"/>
        <w:jc w:val="center"/>
        <w:rPr>
          <w:color w:val="000000" w:themeColor="text1"/>
          <w:u w:val="single"/>
        </w:rPr>
      </w:pPr>
      <w:r w:rsidRPr="00606B72">
        <w:rPr>
          <w:color w:val="000000" w:themeColor="text1"/>
          <w:u w:val="single"/>
        </w:rPr>
        <w:lastRenderedPageBreak/>
        <w:t>Introduction</w:t>
      </w:r>
    </w:p>
    <w:p w14:paraId="592B2F10" w14:textId="055FB672" w:rsidR="0083764A" w:rsidRPr="00DA793A" w:rsidRDefault="0083764A" w:rsidP="00DA793A">
      <w:pPr>
        <w:pStyle w:val="FootnoteText"/>
        <w:spacing w:line="480" w:lineRule="auto"/>
        <w:ind w:firstLine="720"/>
        <w:rPr>
          <w:color w:val="000000" w:themeColor="text1"/>
          <w:sz w:val="24"/>
          <w:szCs w:val="24"/>
        </w:rPr>
      </w:pPr>
      <w:r w:rsidRPr="00DA793A">
        <w:rPr>
          <w:color w:val="000000" w:themeColor="text1"/>
          <w:sz w:val="24"/>
          <w:szCs w:val="24"/>
        </w:rPr>
        <w:t>In 1826, Rif</w:t>
      </w:r>
      <w:r w:rsidR="00C84876" w:rsidRPr="00DA793A">
        <w:rPr>
          <w:color w:val="000000" w:themeColor="text1"/>
          <w:sz w:val="24"/>
          <w:szCs w:val="24"/>
        </w:rPr>
        <w:t>a</w:t>
      </w:r>
      <w:r w:rsidR="00E52079" w:rsidRPr="00DA793A">
        <w:rPr>
          <w:color w:val="000000" w:themeColor="text1"/>
          <w:sz w:val="24"/>
          <w:szCs w:val="24"/>
        </w:rPr>
        <w:t>ʿ</w:t>
      </w:r>
      <w:r w:rsidRPr="00DA793A">
        <w:rPr>
          <w:color w:val="000000" w:themeColor="text1"/>
          <w:sz w:val="24"/>
          <w:szCs w:val="24"/>
        </w:rPr>
        <w:t>a R</w:t>
      </w:r>
      <w:r w:rsidR="00C84876" w:rsidRPr="00DA793A">
        <w:rPr>
          <w:color w:val="000000" w:themeColor="text1"/>
          <w:sz w:val="24"/>
          <w:szCs w:val="24"/>
        </w:rPr>
        <w:t>a</w:t>
      </w:r>
      <w:r w:rsidRPr="00DA793A">
        <w:rPr>
          <w:color w:val="000000" w:themeColor="text1"/>
          <w:sz w:val="24"/>
          <w:szCs w:val="24"/>
        </w:rPr>
        <w:t>fi</w:t>
      </w:r>
      <w:r w:rsidR="00E52079" w:rsidRPr="00DA793A">
        <w:rPr>
          <w:color w:val="000000" w:themeColor="text1"/>
          <w:sz w:val="24"/>
          <w:szCs w:val="24"/>
        </w:rPr>
        <w:t>ʿ</w:t>
      </w:r>
      <w:r w:rsidRPr="00DA793A">
        <w:rPr>
          <w:color w:val="000000" w:themeColor="text1"/>
          <w:sz w:val="24"/>
          <w:szCs w:val="24"/>
        </w:rPr>
        <w:t xml:space="preserve"> </w:t>
      </w:r>
      <w:r w:rsidR="00BC574A" w:rsidRPr="00DA793A">
        <w:rPr>
          <w:color w:val="000000" w:themeColor="text1"/>
          <w:sz w:val="24"/>
          <w:szCs w:val="24"/>
        </w:rPr>
        <w:t>al-Tahtawi</w:t>
      </w:r>
      <w:r w:rsidR="00E17796" w:rsidRPr="00DA793A">
        <w:rPr>
          <w:color w:val="000000" w:themeColor="text1"/>
          <w:sz w:val="24"/>
          <w:szCs w:val="24"/>
        </w:rPr>
        <w:t xml:space="preserve"> (1801-1873)</w:t>
      </w:r>
      <w:r w:rsidRPr="00DA793A">
        <w:rPr>
          <w:color w:val="000000" w:themeColor="text1"/>
          <w:sz w:val="24"/>
          <w:szCs w:val="24"/>
        </w:rPr>
        <w:t xml:space="preserve">, a young and recent graduate of </w:t>
      </w:r>
      <w:r w:rsidR="00C347E4" w:rsidRPr="00DA793A">
        <w:rPr>
          <w:color w:val="000000" w:themeColor="text1"/>
          <w:sz w:val="24"/>
          <w:szCs w:val="24"/>
        </w:rPr>
        <w:t>the</w:t>
      </w:r>
      <w:r w:rsidR="00EC5245" w:rsidRPr="00DA793A">
        <w:rPr>
          <w:color w:val="000000" w:themeColor="text1"/>
          <w:sz w:val="24"/>
          <w:szCs w:val="24"/>
        </w:rPr>
        <w:t xml:space="preserve"> </w:t>
      </w:r>
      <w:r w:rsidR="00C347E4" w:rsidRPr="00DA793A">
        <w:rPr>
          <w:color w:val="000000" w:themeColor="text1"/>
          <w:sz w:val="24"/>
          <w:szCs w:val="24"/>
        </w:rPr>
        <w:t>prestigious</w:t>
      </w:r>
      <w:r w:rsidR="00EC5245" w:rsidRPr="00DA793A">
        <w:rPr>
          <w:color w:val="000000" w:themeColor="text1"/>
          <w:sz w:val="24"/>
          <w:szCs w:val="24"/>
        </w:rPr>
        <w:t xml:space="preserve"> universit</w:t>
      </w:r>
      <w:r w:rsidR="00C347E4" w:rsidRPr="00DA793A">
        <w:rPr>
          <w:color w:val="000000" w:themeColor="text1"/>
          <w:sz w:val="24"/>
          <w:szCs w:val="24"/>
        </w:rPr>
        <w:t>y-mosque of</w:t>
      </w:r>
      <w:r w:rsidR="001E0100" w:rsidRPr="00DA793A">
        <w:rPr>
          <w:color w:val="000000" w:themeColor="text1"/>
          <w:sz w:val="24"/>
          <w:szCs w:val="24"/>
        </w:rPr>
        <w:t xml:space="preserve"> </w:t>
      </w:r>
      <w:r w:rsidRPr="00DA793A">
        <w:rPr>
          <w:color w:val="000000" w:themeColor="text1"/>
          <w:sz w:val="24"/>
          <w:szCs w:val="24"/>
        </w:rPr>
        <w:t xml:space="preserve">al-Azhar in Cairo, secured an appointment as the religious attaché to a military expedition sent to France to study military technologies and tactics.  Upon his return to Egypt, </w:t>
      </w:r>
      <w:r w:rsidR="00BC574A" w:rsidRPr="00DA793A">
        <w:rPr>
          <w:color w:val="000000" w:themeColor="text1"/>
          <w:sz w:val="24"/>
          <w:szCs w:val="24"/>
        </w:rPr>
        <w:t>Al-Tahtawi</w:t>
      </w:r>
      <w:r w:rsidRPr="00DA793A">
        <w:rPr>
          <w:color w:val="000000" w:themeColor="text1"/>
          <w:sz w:val="24"/>
          <w:szCs w:val="24"/>
        </w:rPr>
        <w:t xml:space="preserve"> wrote his </w:t>
      </w:r>
      <w:r w:rsidR="00EE0477" w:rsidRPr="00DA793A">
        <w:rPr>
          <w:color w:val="000000" w:themeColor="text1"/>
          <w:sz w:val="24"/>
          <w:szCs w:val="24"/>
        </w:rPr>
        <w:t>best</w:t>
      </w:r>
      <w:r w:rsidRPr="00DA793A">
        <w:rPr>
          <w:color w:val="000000" w:themeColor="text1"/>
          <w:sz w:val="24"/>
          <w:szCs w:val="24"/>
        </w:rPr>
        <w:t xml:space="preserve">-known work, </w:t>
      </w:r>
      <w:r w:rsidR="00C84876" w:rsidRPr="00DA793A">
        <w:rPr>
          <w:i/>
          <w:iCs/>
          <w:color w:val="000000" w:themeColor="text1"/>
          <w:sz w:val="24"/>
          <w:szCs w:val="24"/>
        </w:rPr>
        <w:t>Takhlis al-Ibriz fi Talkhis Bariz</w:t>
      </w:r>
      <w:r w:rsidRPr="00DA793A">
        <w:rPr>
          <w:i/>
          <w:iCs/>
          <w:color w:val="000000" w:themeColor="text1"/>
          <w:sz w:val="24"/>
          <w:szCs w:val="24"/>
        </w:rPr>
        <w:t xml:space="preserve"> </w:t>
      </w:r>
      <w:r w:rsidRPr="00DA793A">
        <w:rPr>
          <w:color w:val="000000" w:themeColor="text1"/>
          <w:sz w:val="24"/>
          <w:szCs w:val="24"/>
        </w:rPr>
        <w:t>(</w:t>
      </w:r>
      <w:r w:rsidR="00DA793A" w:rsidRPr="00DA793A">
        <w:rPr>
          <w:color w:val="000000" w:themeColor="text1"/>
          <w:sz w:val="24"/>
          <w:szCs w:val="24"/>
        </w:rPr>
        <w:t xml:space="preserve">in English, </w:t>
      </w:r>
      <w:r w:rsidR="00DA793A" w:rsidRPr="00DA793A">
        <w:rPr>
          <w:sz w:val="24"/>
          <w:szCs w:val="24"/>
        </w:rPr>
        <w:t>“</w:t>
      </w:r>
      <w:r w:rsidR="00DA793A" w:rsidRPr="00DA793A">
        <w:rPr>
          <w:color w:val="000000" w:themeColor="text1"/>
          <w:sz w:val="24"/>
          <w:szCs w:val="24"/>
        </w:rPr>
        <w:t>The Extraction of Pure Gold from a Summary of Paris”</w:t>
      </w:r>
      <w:r w:rsidRPr="00DA793A">
        <w:rPr>
          <w:color w:val="000000" w:themeColor="text1"/>
          <w:sz w:val="24"/>
          <w:szCs w:val="24"/>
        </w:rPr>
        <w:t xml:space="preserve">), </w:t>
      </w:r>
      <w:r w:rsidR="00E9337C" w:rsidRPr="00DA793A">
        <w:rPr>
          <w:color w:val="000000" w:themeColor="text1"/>
          <w:sz w:val="24"/>
          <w:szCs w:val="24"/>
        </w:rPr>
        <w:t xml:space="preserve">an account that </w:t>
      </w:r>
      <w:r w:rsidRPr="00DA793A">
        <w:rPr>
          <w:color w:val="000000" w:themeColor="text1"/>
          <w:sz w:val="24"/>
          <w:szCs w:val="24"/>
        </w:rPr>
        <w:t xml:space="preserve">describes in vivid detail the mannerisms, customs, and mores of the French people, implicitly </w:t>
      </w:r>
      <w:r w:rsidR="005C3E3C" w:rsidRPr="00DA793A">
        <w:rPr>
          <w:color w:val="000000" w:themeColor="text1"/>
          <w:sz w:val="24"/>
          <w:szCs w:val="24"/>
        </w:rPr>
        <w:t>juxtaposing</w:t>
      </w:r>
      <w:r w:rsidRPr="00DA793A">
        <w:rPr>
          <w:color w:val="000000" w:themeColor="text1"/>
          <w:sz w:val="24"/>
          <w:szCs w:val="24"/>
        </w:rPr>
        <w:t xml:space="preserve"> them with the customs of Egypt and </w:t>
      </w:r>
      <w:r w:rsidR="00C84876" w:rsidRPr="00DA793A">
        <w:rPr>
          <w:color w:val="000000" w:themeColor="text1"/>
          <w:sz w:val="24"/>
          <w:szCs w:val="24"/>
        </w:rPr>
        <w:t>the Islamic world</w:t>
      </w:r>
      <w:r w:rsidR="00DA793A">
        <w:rPr>
          <w:color w:val="000000" w:themeColor="text1"/>
          <w:sz w:val="24"/>
          <w:szCs w:val="24"/>
        </w:rPr>
        <w:t>.</w:t>
      </w:r>
      <w:r w:rsidR="00464441" w:rsidRPr="00DA793A">
        <w:rPr>
          <w:color w:val="000000" w:themeColor="text1"/>
          <w:sz w:val="24"/>
          <w:szCs w:val="24"/>
        </w:rPr>
        <w:t xml:space="preserve">  </w:t>
      </w:r>
      <w:r w:rsidRPr="00DA793A">
        <w:rPr>
          <w:color w:val="000000" w:themeColor="text1"/>
          <w:sz w:val="24"/>
          <w:szCs w:val="24"/>
        </w:rPr>
        <w:t>The work</w:t>
      </w:r>
      <w:r w:rsidR="00675195" w:rsidRPr="00DA793A">
        <w:rPr>
          <w:color w:val="000000" w:themeColor="text1"/>
          <w:sz w:val="24"/>
          <w:szCs w:val="24"/>
        </w:rPr>
        <w:t>, originally published in 1834,</w:t>
      </w:r>
      <w:r w:rsidRPr="00DA793A">
        <w:rPr>
          <w:color w:val="000000" w:themeColor="text1"/>
          <w:sz w:val="24"/>
          <w:szCs w:val="24"/>
        </w:rPr>
        <w:t xml:space="preserve"> is notable because, </w:t>
      </w:r>
      <w:r w:rsidR="009A3F1D" w:rsidRPr="00DA793A">
        <w:rPr>
          <w:color w:val="000000" w:themeColor="text1"/>
          <w:sz w:val="24"/>
          <w:szCs w:val="24"/>
        </w:rPr>
        <w:t>later in life</w:t>
      </w:r>
      <w:r w:rsidRPr="00DA793A">
        <w:rPr>
          <w:color w:val="000000" w:themeColor="text1"/>
          <w:sz w:val="24"/>
          <w:szCs w:val="24"/>
        </w:rPr>
        <w:t xml:space="preserve">, </w:t>
      </w:r>
      <w:r w:rsidR="00BC574A" w:rsidRPr="00DA793A">
        <w:rPr>
          <w:color w:val="000000" w:themeColor="text1"/>
          <w:sz w:val="24"/>
          <w:szCs w:val="24"/>
        </w:rPr>
        <w:t>al-Tahtawi</w:t>
      </w:r>
      <w:r w:rsidRPr="00DA793A">
        <w:rPr>
          <w:color w:val="000000" w:themeColor="text1"/>
          <w:sz w:val="24"/>
          <w:szCs w:val="24"/>
        </w:rPr>
        <w:t xml:space="preserve"> became a government official, </w:t>
      </w:r>
      <w:r w:rsidR="007D34AC" w:rsidRPr="00DA793A">
        <w:rPr>
          <w:color w:val="000000" w:themeColor="text1"/>
          <w:sz w:val="24"/>
          <w:szCs w:val="24"/>
        </w:rPr>
        <w:t>responsible</w:t>
      </w:r>
      <w:r w:rsidRPr="00DA793A">
        <w:rPr>
          <w:color w:val="000000" w:themeColor="text1"/>
          <w:sz w:val="24"/>
          <w:szCs w:val="24"/>
        </w:rPr>
        <w:t xml:space="preserve"> for advising </w:t>
      </w:r>
      <w:r w:rsidR="00706D7F" w:rsidRPr="00DA793A">
        <w:rPr>
          <w:color w:val="000000" w:themeColor="text1"/>
          <w:sz w:val="24"/>
          <w:szCs w:val="24"/>
        </w:rPr>
        <w:t>Muhammad</w:t>
      </w:r>
      <w:r w:rsidRPr="00DA793A">
        <w:rPr>
          <w:color w:val="000000" w:themeColor="text1"/>
          <w:sz w:val="24"/>
          <w:szCs w:val="24"/>
        </w:rPr>
        <w:t xml:space="preserve"> </w:t>
      </w:r>
      <w:r w:rsidR="005C42DB" w:rsidRPr="00DA793A">
        <w:rPr>
          <w:color w:val="000000" w:themeColor="text1"/>
          <w:sz w:val="24"/>
          <w:szCs w:val="24"/>
        </w:rPr>
        <w:t>ʿ</w:t>
      </w:r>
      <w:r w:rsidRPr="00DA793A">
        <w:rPr>
          <w:color w:val="000000" w:themeColor="text1"/>
          <w:sz w:val="24"/>
          <w:szCs w:val="24"/>
        </w:rPr>
        <w:t xml:space="preserve">Ali, the reigning </w:t>
      </w:r>
      <w:r w:rsidRPr="00DA793A">
        <w:rPr>
          <w:i/>
          <w:iCs/>
          <w:color w:val="000000" w:themeColor="text1"/>
          <w:sz w:val="24"/>
          <w:szCs w:val="24"/>
        </w:rPr>
        <w:t>wāl</w:t>
      </w:r>
      <w:r w:rsidR="00C84876" w:rsidRPr="00DA793A">
        <w:rPr>
          <w:i/>
          <w:iCs/>
          <w:color w:val="000000" w:themeColor="text1"/>
          <w:sz w:val="24"/>
          <w:szCs w:val="24"/>
        </w:rPr>
        <w:t>ī</w:t>
      </w:r>
      <w:r w:rsidRPr="00DA793A">
        <w:rPr>
          <w:color w:val="000000" w:themeColor="text1"/>
          <w:sz w:val="24"/>
          <w:szCs w:val="24"/>
        </w:rPr>
        <w:t xml:space="preserve"> (governor), </w:t>
      </w:r>
      <w:r w:rsidR="00EE0477" w:rsidRPr="00DA793A">
        <w:rPr>
          <w:color w:val="000000" w:themeColor="text1"/>
          <w:sz w:val="24"/>
          <w:szCs w:val="24"/>
        </w:rPr>
        <w:t xml:space="preserve">on how </w:t>
      </w:r>
      <w:r w:rsidRPr="00DA793A">
        <w:rPr>
          <w:color w:val="000000" w:themeColor="text1"/>
          <w:sz w:val="24"/>
          <w:szCs w:val="24"/>
        </w:rPr>
        <w:t>to reform and modernize the Egyptian government</w:t>
      </w:r>
      <w:r w:rsidR="003B7D2F" w:rsidRPr="00DA793A">
        <w:rPr>
          <w:color w:val="000000" w:themeColor="text1"/>
          <w:sz w:val="24"/>
          <w:szCs w:val="24"/>
        </w:rPr>
        <w:t xml:space="preserve"> and economy.</w:t>
      </w:r>
    </w:p>
    <w:p w14:paraId="2BD21DBE" w14:textId="7E309A43" w:rsidR="0083764A" w:rsidRPr="00606B72" w:rsidRDefault="0083764A" w:rsidP="00675195">
      <w:pPr>
        <w:spacing w:line="480" w:lineRule="auto"/>
        <w:ind w:firstLine="720"/>
        <w:rPr>
          <w:color w:val="000000" w:themeColor="text1"/>
        </w:rPr>
      </w:pPr>
      <w:r w:rsidRPr="00DA793A">
        <w:rPr>
          <w:color w:val="000000" w:themeColor="text1"/>
        </w:rPr>
        <w:t xml:space="preserve">At first glance, the </w:t>
      </w:r>
      <w:r w:rsidR="00C84876" w:rsidRPr="00DA793A">
        <w:rPr>
          <w:i/>
          <w:iCs/>
          <w:color w:val="000000" w:themeColor="text1"/>
        </w:rPr>
        <w:t>Takhlis</w:t>
      </w:r>
      <w:r w:rsidR="00E23918" w:rsidRPr="00DA793A">
        <w:rPr>
          <w:color w:val="000000" w:themeColor="text1"/>
        </w:rPr>
        <w:t xml:space="preserve"> seems to be a f</w:t>
      </w:r>
      <w:r w:rsidRPr="00DA793A">
        <w:rPr>
          <w:color w:val="000000" w:themeColor="text1"/>
        </w:rPr>
        <w:t>airly straightforward</w:t>
      </w:r>
      <w:r w:rsidR="00E23918" w:rsidRPr="00DA793A">
        <w:rPr>
          <w:color w:val="000000" w:themeColor="text1"/>
        </w:rPr>
        <w:t xml:space="preserve"> </w:t>
      </w:r>
      <w:r w:rsidRPr="00DA793A">
        <w:rPr>
          <w:color w:val="000000" w:themeColor="text1"/>
        </w:rPr>
        <w:t xml:space="preserve">example of a </w:t>
      </w:r>
      <w:r w:rsidRPr="00DA793A">
        <w:rPr>
          <w:i/>
          <w:iCs/>
          <w:color w:val="000000" w:themeColor="text1"/>
        </w:rPr>
        <w:t>riḥla</w:t>
      </w:r>
      <w:r w:rsidRPr="00DA793A">
        <w:rPr>
          <w:color w:val="000000" w:themeColor="text1"/>
        </w:rPr>
        <w:t xml:space="preserve"> (travel literature</w:t>
      </w:r>
      <w:r w:rsidR="00281BE6" w:rsidRPr="00DA793A">
        <w:rPr>
          <w:color w:val="000000" w:themeColor="text1"/>
        </w:rPr>
        <w:t>)</w:t>
      </w:r>
      <w:r w:rsidR="00592BD6" w:rsidRPr="00DA793A">
        <w:rPr>
          <w:color w:val="000000" w:themeColor="text1"/>
        </w:rPr>
        <w:t>—</w:t>
      </w:r>
      <w:r w:rsidR="00BC574A" w:rsidRPr="00DA793A">
        <w:rPr>
          <w:color w:val="000000" w:themeColor="text1"/>
        </w:rPr>
        <w:t>al-Tahtawi</w:t>
      </w:r>
      <w:r w:rsidR="00F62E3E" w:rsidRPr="00DA793A">
        <w:rPr>
          <w:color w:val="000000" w:themeColor="text1"/>
        </w:rPr>
        <w:t xml:space="preserve"> </w:t>
      </w:r>
      <w:r w:rsidR="00592BD6" w:rsidRPr="00DA793A">
        <w:rPr>
          <w:color w:val="000000" w:themeColor="text1"/>
        </w:rPr>
        <w:t xml:space="preserve">even </w:t>
      </w:r>
      <w:r w:rsidRPr="00DA793A">
        <w:rPr>
          <w:color w:val="000000" w:themeColor="text1"/>
        </w:rPr>
        <w:t>describes the work as</w:t>
      </w:r>
      <w:r w:rsidR="00E23918" w:rsidRPr="00DA793A">
        <w:rPr>
          <w:color w:val="000000" w:themeColor="text1"/>
        </w:rPr>
        <w:t xml:space="preserve"> such</w:t>
      </w:r>
      <w:r w:rsidR="00E52079" w:rsidRPr="00DA793A">
        <w:rPr>
          <w:color w:val="000000" w:themeColor="text1"/>
        </w:rPr>
        <w:t xml:space="preserve"> (20</w:t>
      </w:r>
      <w:r w:rsidR="00130286" w:rsidRPr="00DA793A">
        <w:rPr>
          <w:color w:val="000000" w:themeColor="text1"/>
        </w:rPr>
        <w:t>11</w:t>
      </w:r>
      <w:r w:rsidR="00513C8A">
        <w:rPr>
          <w:color w:val="000000" w:themeColor="text1"/>
        </w:rPr>
        <w:t>:</w:t>
      </w:r>
      <w:r w:rsidR="00E52079" w:rsidRPr="00DA793A">
        <w:rPr>
          <w:color w:val="000000" w:themeColor="text1"/>
        </w:rPr>
        <w:t xml:space="preserve"> 106)</w:t>
      </w:r>
      <w:r w:rsidR="00502125" w:rsidRPr="00DA793A">
        <w:rPr>
          <w:color w:val="000000" w:themeColor="text1"/>
        </w:rPr>
        <w:t>.</w:t>
      </w:r>
      <w:r w:rsidR="00E23918" w:rsidRPr="00DA793A">
        <w:rPr>
          <w:color w:val="000000" w:themeColor="text1"/>
        </w:rPr>
        <w:t xml:space="preserve"> </w:t>
      </w:r>
      <w:r w:rsidR="00502125" w:rsidRPr="00DA793A">
        <w:rPr>
          <w:color w:val="000000" w:themeColor="text1"/>
        </w:rPr>
        <w:t xml:space="preserve"> Thi</w:t>
      </w:r>
      <w:r w:rsidR="00281BE6" w:rsidRPr="00DA793A">
        <w:rPr>
          <w:color w:val="000000" w:themeColor="text1"/>
        </w:rPr>
        <w:t xml:space="preserve">s authorial designation </w:t>
      </w:r>
      <w:r w:rsidR="00502125" w:rsidRPr="00DA793A">
        <w:rPr>
          <w:color w:val="000000" w:themeColor="text1"/>
        </w:rPr>
        <w:t>has led</w:t>
      </w:r>
      <w:r w:rsidR="00E23918" w:rsidRPr="00DA793A">
        <w:rPr>
          <w:color w:val="000000" w:themeColor="text1"/>
        </w:rPr>
        <w:t xml:space="preserve"> </w:t>
      </w:r>
      <w:r w:rsidRPr="00DA793A">
        <w:rPr>
          <w:color w:val="000000" w:themeColor="text1"/>
        </w:rPr>
        <w:t xml:space="preserve">many scholars to emphasize </w:t>
      </w:r>
      <w:r w:rsidR="00502125" w:rsidRPr="00DA793A">
        <w:rPr>
          <w:color w:val="000000" w:themeColor="text1"/>
        </w:rPr>
        <w:t>his</w:t>
      </w:r>
      <w:r w:rsidRPr="00DA793A">
        <w:rPr>
          <w:color w:val="000000" w:themeColor="text1"/>
        </w:rPr>
        <w:t xml:space="preserve"> status as a traveler in a foreign, unknown</w:t>
      </w:r>
      <w:r w:rsidR="0044040B" w:rsidRPr="00DA793A">
        <w:rPr>
          <w:color w:val="000000" w:themeColor="text1"/>
        </w:rPr>
        <w:t>,</w:t>
      </w:r>
      <w:r w:rsidRPr="00DA793A">
        <w:rPr>
          <w:color w:val="000000" w:themeColor="text1"/>
        </w:rPr>
        <w:t xml:space="preserve"> and unintelligible lan</w:t>
      </w:r>
      <w:r w:rsidR="00626E9B" w:rsidRPr="00DA793A">
        <w:rPr>
          <w:color w:val="000000" w:themeColor="text1"/>
        </w:rPr>
        <w:t xml:space="preserve">d, and what </w:t>
      </w:r>
      <w:r w:rsidRPr="00DA793A">
        <w:rPr>
          <w:color w:val="000000" w:themeColor="text1"/>
        </w:rPr>
        <w:t>emerges is a stereotypical account of the relationship between East and West: the preternaturally</w:t>
      </w:r>
      <w:r w:rsidR="0044040B" w:rsidRPr="00DA793A">
        <w:rPr>
          <w:color w:val="000000" w:themeColor="text1"/>
        </w:rPr>
        <w:t xml:space="preserve"> </w:t>
      </w:r>
      <w:r w:rsidRPr="00DA793A">
        <w:rPr>
          <w:color w:val="000000" w:themeColor="text1"/>
        </w:rPr>
        <w:t xml:space="preserve">liberty-averse Arab-Muslim goes to France and discovers </w:t>
      </w:r>
      <w:r w:rsidR="00FC31D7" w:rsidRPr="00DA793A">
        <w:rPr>
          <w:color w:val="000000" w:themeColor="text1"/>
        </w:rPr>
        <w:t>W</w:t>
      </w:r>
      <w:r w:rsidRPr="00DA793A">
        <w:rPr>
          <w:color w:val="000000" w:themeColor="text1"/>
        </w:rPr>
        <w:t>estern values, which he then attempts to transport back to the Islamic world—an attempt that is inevitably unsuccessful.</w:t>
      </w:r>
      <w:r w:rsidRPr="00DA793A">
        <w:rPr>
          <w:rStyle w:val="FootnoteReference"/>
          <w:color w:val="000000" w:themeColor="text1"/>
        </w:rPr>
        <w:footnoteReference w:id="1"/>
      </w:r>
      <w:r w:rsidRPr="00DA793A">
        <w:rPr>
          <w:color w:val="000000" w:themeColor="text1"/>
        </w:rPr>
        <w:t xml:space="preserve">  In the</w:t>
      </w:r>
      <w:r w:rsidRPr="00606B72">
        <w:rPr>
          <w:color w:val="000000" w:themeColor="text1"/>
        </w:rPr>
        <w:t xml:space="preserve"> words of Peter Gran, for such scholars, the </w:t>
      </w:r>
      <w:r w:rsidR="006A1BAA">
        <w:rPr>
          <w:i/>
          <w:iCs/>
          <w:color w:val="000000" w:themeColor="text1"/>
        </w:rPr>
        <w:t>Takhlis</w:t>
      </w:r>
      <w:r w:rsidRPr="00606B72">
        <w:rPr>
          <w:color w:val="000000" w:themeColor="text1"/>
        </w:rPr>
        <w:t>’ importance “rests on the fact, or more precisely, on the scholarly assumption of its being an early if not the first example of the Arab discovery of modern Europe”</w:t>
      </w:r>
      <w:r w:rsidR="008C6DF8" w:rsidRPr="00606B72">
        <w:rPr>
          <w:color w:val="000000" w:themeColor="text1"/>
        </w:rPr>
        <w:t xml:space="preserve"> (2013</w:t>
      </w:r>
      <w:r w:rsidR="000C4FA2">
        <w:rPr>
          <w:color w:val="000000" w:themeColor="text1"/>
        </w:rPr>
        <w:t>:</w:t>
      </w:r>
      <w:r w:rsidR="008C6DF8" w:rsidRPr="00606B72">
        <w:rPr>
          <w:color w:val="000000" w:themeColor="text1"/>
        </w:rPr>
        <w:t xml:space="preserve"> 190).</w:t>
      </w:r>
      <w:r w:rsidR="00675195" w:rsidRPr="00606B72">
        <w:rPr>
          <w:color w:val="000000" w:themeColor="text1"/>
        </w:rPr>
        <w:t xml:space="preserve">  </w:t>
      </w:r>
      <w:r w:rsidRPr="00606B72">
        <w:rPr>
          <w:color w:val="000000" w:themeColor="text1"/>
        </w:rPr>
        <w:t xml:space="preserve">However, as is almost </w:t>
      </w:r>
      <w:r w:rsidRPr="00606B72">
        <w:rPr>
          <w:color w:val="000000" w:themeColor="text1"/>
        </w:rPr>
        <w:lastRenderedPageBreak/>
        <w:t>always the case, the reality is significantly more complex.  To begin</w:t>
      </w:r>
      <w:r w:rsidR="00680412" w:rsidRPr="00606B72">
        <w:rPr>
          <w:color w:val="000000" w:themeColor="text1"/>
        </w:rPr>
        <w:t xml:space="preserve">, </w:t>
      </w:r>
      <w:r w:rsidRPr="00606B72">
        <w:rPr>
          <w:color w:val="000000" w:themeColor="text1"/>
        </w:rPr>
        <w:t>we must dispense with the notion that</w:t>
      </w:r>
      <w:r w:rsidR="00154D00" w:rsidRPr="00606B72">
        <w:rPr>
          <w:color w:val="000000" w:themeColor="text1"/>
        </w:rPr>
        <w:t xml:space="preserve"> in the early nineteenth century </w:t>
      </w:r>
      <w:r w:rsidRPr="00606B72">
        <w:rPr>
          <w:color w:val="000000" w:themeColor="text1"/>
        </w:rPr>
        <w:t>the Islamic world and Europe were completely isolated from each othe</w:t>
      </w:r>
      <w:r w:rsidR="00885537" w:rsidRPr="00606B72">
        <w:rPr>
          <w:color w:val="000000" w:themeColor="text1"/>
        </w:rPr>
        <w:t>r:</w:t>
      </w:r>
      <w:r w:rsidR="00154D00" w:rsidRPr="00606B72">
        <w:rPr>
          <w:color w:val="000000" w:themeColor="text1"/>
        </w:rPr>
        <w:t xml:space="preserve"> since Napoleon’s expedition to Egypt in 1798 there had been regular exchange between Egypt and France, and</w:t>
      </w:r>
      <w:r w:rsidR="00885537" w:rsidRPr="00606B72">
        <w:rPr>
          <w:color w:val="000000" w:themeColor="text1"/>
        </w:rPr>
        <w:t xml:space="preserve"> </w:t>
      </w:r>
      <w:r w:rsidR="00BC574A" w:rsidRPr="00606B72">
        <w:rPr>
          <w:color w:val="000000" w:themeColor="text1"/>
        </w:rPr>
        <w:t>al-Tahtawi</w:t>
      </w:r>
      <w:r w:rsidRPr="00606B72">
        <w:rPr>
          <w:color w:val="000000" w:themeColor="text1"/>
        </w:rPr>
        <w:t xml:space="preserve"> </w:t>
      </w:r>
      <w:r w:rsidR="00154D00" w:rsidRPr="00606B72">
        <w:rPr>
          <w:color w:val="000000" w:themeColor="text1"/>
        </w:rPr>
        <w:t xml:space="preserve">himself </w:t>
      </w:r>
      <w:r w:rsidR="00675195" w:rsidRPr="00606B72">
        <w:rPr>
          <w:color w:val="000000" w:themeColor="text1"/>
        </w:rPr>
        <w:t>records</w:t>
      </w:r>
      <w:r w:rsidRPr="00606B72">
        <w:rPr>
          <w:color w:val="000000" w:themeColor="text1"/>
        </w:rPr>
        <w:t xml:space="preserve"> that there were a number of Egyptians and Muslims living in France upon his arrival, many of whom had wholeheartedly adopted </w:t>
      </w:r>
      <w:r w:rsidR="00675195" w:rsidRPr="00606B72">
        <w:rPr>
          <w:color w:val="000000" w:themeColor="text1"/>
        </w:rPr>
        <w:t>French</w:t>
      </w:r>
      <w:r w:rsidRPr="00606B72">
        <w:rPr>
          <w:color w:val="000000" w:themeColor="text1"/>
        </w:rPr>
        <w:t xml:space="preserve"> customs and mores, some even going so far as to convert to Christianity</w:t>
      </w:r>
      <w:r w:rsidR="008C6DF8" w:rsidRPr="00606B72">
        <w:rPr>
          <w:color w:val="000000" w:themeColor="text1"/>
        </w:rPr>
        <w:t xml:space="preserve"> (20</w:t>
      </w:r>
      <w:r w:rsidR="00CD5867">
        <w:rPr>
          <w:color w:val="000000" w:themeColor="text1"/>
        </w:rPr>
        <w:t>11</w:t>
      </w:r>
      <w:r w:rsidR="000C4FA2">
        <w:rPr>
          <w:color w:val="000000" w:themeColor="text1"/>
        </w:rPr>
        <w:t xml:space="preserve">: </w:t>
      </w:r>
      <w:r w:rsidR="008C6DF8" w:rsidRPr="00606B72">
        <w:rPr>
          <w:color w:val="000000" w:themeColor="text1"/>
        </w:rPr>
        <w:t>158-9)</w:t>
      </w:r>
      <w:r w:rsidRPr="00606B72">
        <w:rPr>
          <w:color w:val="000000" w:themeColor="text1"/>
        </w:rPr>
        <w:t>.</w:t>
      </w:r>
      <w:r w:rsidR="008C6DF8" w:rsidRPr="00606B72">
        <w:rPr>
          <w:color w:val="000000" w:themeColor="text1"/>
        </w:rPr>
        <w:t xml:space="preserve"> </w:t>
      </w:r>
      <w:r w:rsidRPr="00606B72">
        <w:rPr>
          <w:color w:val="000000" w:themeColor="text1"/>
        </w:rPr>
        <w:t xml:space="preserve">  </w:t>
      </w:r>
    </w:p>
    <w:p w14:paraId="78FC9B5B" w14:textId="37B35206" w:rsidR="00675195" w:rsidRPr="0029381D" w:rsidRDefault="00797DD8" w:rsidP="00675195">
      <w:pPr>
        <w:spacing w:line="480" w:lineRule="auto"/>
        <w:ind w:firstLine="720"/>
        <w:rPr>
          <w:b/>
          <w:bCs/>
          <w:color w:val="000000" w:themeColor="text1"/>
        </w:rPr>
      </w:pPr>
      <w:r>
        <w:rPr>
          <w:color w:val="000000" w:themeColor="text1"/>
        </w:rPr>
        <w:t xml:space="preserve">The goals of this article are twofold.  </w:t>
      </w:r>
      <w:r w:rsidR="006D7600">
        <w:rPr>
          <w:color w:val="000000" w:themeColor="text1"/>
        </w:rPr>
        <w:t xml:space="preserve">The first goal concerns this literary, generic classification of the </w:t>
      </w:r>
      <w:r w:rsidR="006D7600">
        <w:rPr>
          <w:i/>
          <w:iCs/>
          <w:color w:val="000000" w:themeColor="text1"/>
        </w:rPr>
        <w:t>Takhlis</w:t>
      </w:r>
      <w:r w:rsidR="006D7600">
        <w:rPr>
          <w:color w:val="000000" w:themeColor="text1"/>
        </w:rPr>
        <w:t xml:space="preserve">.  </w:t>
      </w:r>
      <w:r w:rsidR="00EE0477" w:rsidRPr="00606B72">
        <w:rPr>
          <w:color w:val="000000" w:themeColor="text1"/>
        </w:rPr>
        <w:t xml:space="preserve">I </w:t>
      </w:r>
      <w:r w:rsidR="0044040B">
        <w:rPr>
          <w:color w:val="000000" w:themeColor="text1"/>
        </w:rPr>
        <w:t>argue</w:t>
      </w:r>
      <w:r w:rsidR="00A45EDF" w:rsidRPr="00606B72">
        <w:rPr>
          <w:color w:val="000000" w:themeColor="text1"/>
        </w:rPr>
        <w:t xml:space="preserve"> </w:t>
      </w:r>
      <w:r w:rsidR="00621F68">
        <w:rPr>
          <w:color w:val="000000" w:themeColor="text1"/>
        </w:rPr>
        <w:t xml:space="preserve">that the </w:t>
      </w:r>
      <w:r w:rsidR="00621F68">
        <w:rPr>
          <w:i/>
          <w:iCs/>
          <w:color w:val="000000" w:themeColor="text1"/>
        </w:rPr>
        <w:t>Takhlis</w:t>
      </w:r>
      <w:r w:rsidR="00A45EDF" w:rsidRPr="00606B72">
        <w:rPr>
          <w:color w:val="000000" w:themeColor="text1"/>
        </w:rPr>
        <w:t xml:space="preserve"> </w:t>
      </w:r>
      <w:r w:rsidR="008E7DF0">
        <w:rPr>
          <w:color w:val="000000" w:themeColor="text1"/>
        </w:rPr>
        <w:t xml:space="preserve">is more than a conventional </w:t>
      </w:r>
      <w:r w:rsidR="008E7DF0">
        <w:rPr>
          <w:i/>
          <w:iCs/>
          <w:color w:val="000000" w:themeColor="text1"/>
        </w:rPr>
        <w:t>riḥla</w:t>
      </w:r>
      <w:r w:rsidR="008E7DF0">
        <w:rPr>
          <w:color w:val="000000" w:themeColor="text1"/>
        </w:rPr>
        <w:t xml:space="preserve"> as it</w:t>
      </w:r>
      <w:r w:rsidR="008E7DF0">
        <w:rPr>
          <w:i/>
          <w:iCs/>
          <w:color w:val="000000" w:themeColor="text1"/>
        </w:rPr>
        <w:t xml:space="preserve"> </w:t>
      </w:r>
      <w:r w:rsidR="00621F68">
        <w:rPr>
          <w:color w:val="000000" w:themeColor="text1"/>
        </w:rPr>
        <w:t>engages</w:t>
      </w:r>
      <w:r w:rsidR="00A45EDF" w:rsidRPr="00606B72">
        <w:rPr>
          <w:color w:val="000000" w:themeColor="text1"/>
        </w:rPr>
        <w:t xml:space="preserve"> in recognizable conventions characteristic of the genre of advice literature, or </w:t>
      </w:r>
      <w:r w:rsidR="00A45EDF" w:rsidRPr="00606B72">
        <w:rPr>
          <w:i/>
          <w:iCs/>
          <w:color w:val="000000" w:themeColor="text1"/>
        </w:rPr>
        <w:t>naṣīḥa</w:t>
      </w:r>
      <w:r w:rsidR="008C6DF8" w:rsidRPr="00606B72">
        <w:rPr>
          <w:color w:val="000000" w:themeColor="text1"/>
        </w:rPr>
        <w:t>.</w:t>
      </w:r>
      <w:r w:rsidR="00A45EDF" w:rsidRPr="00606B72">
        <w:rPr>
          <w:rStyle w:val="FootnoteReference"/>
          <w:color w:val="000000" w:themeColor="text1"/>
        </w:rPr>
        <w:footnoteReference w:id="2"/>
      </w:r>
      <w:r w:rsidR="00A45EDF" w:rsidRPr="00606B72">
        <w:rPr>
          <w:color w:val="000000" w:themeColor="text1"/>
        </w:rPr>
        <w:t xml:space="preserve">  While the </w:t>
      </w:r>
      <w:r w:rsidR="00EE0477" w:rsidRPr="00606B72">
        <w:rPr>
          <w:color w:val="000000" w:themeColor="text1"/>
        </w:rPr>
        <w:t>best-</w:t>
      </w:r>
      <w:r w:rsidR="00A45EDF" w:rsidRPr="00606B72">
        <w:rPr>
          <w:color w:val="000000" w:themeColor="text1"/>
        </w:rPr>
        <w:t>known European example of</w:t>
      </w:r>
      <w:r w:rsidR="00E23918" w:rsidRPr="00606B72">
        <w:rPr>
          <w:color w:val="000000" w:themeColor="text1"/>
        </w:rPr>
        <w:t xml:space="preserve"> </w:t>
      </w:r>
      <w:r w:rsidR="00E23918" w:rsidRPr="00606B72">
        <w:rPr>
          <w:i/>
          <w:iCs/>
          <w:color w:val="000000" w:themeColor="text1"/>
        </w:rPr>
        <w:t>naṣīḥa</w:t>
      </w:r>
      <w:r w:rsidR="00E23918" w:rsidRPr="00606B72">
        <w:rPr>
          <w:color w:val="000000" w:themeColor="text1"/>
        </w:rPr>
        <w:t>, or the</w:t>
      </w:r>
      <w:r w:rsidR="00A45EDF" w:rsidRPr="00606B72">
        <w:rPr>
          <w:color w:val="000000" w:themeColor="text1"/>
        </w:rPr>
        <w:t xml:space="preserve"> “mirrors for princes” genre</w:t>
      </w:r>
      <w:r w:rsidR="00E23918" w:rsidRPr="00606B72">
        <w:rPr>
          <w:color w:val="000000" w:themeColor="text1"/>
        </w:rPr>
        <w:t xml:space="preserve"> </w:t>
      </w:r>
      <w:r w:rsidR="00A45EDF" w:rsidRPr="00606B72">
        <w:rPr>
          <w:color w:val="000000" w:themeColor="text1"/>
        </w:rPr>
        <w:t xml:space="preserve">as it is sometimes called, is Machiavelli’s </w:t>
      </w:r>
      <w:r w:rsidR="00A45EDF" w:rsidRPr="00606B72">
        <w:rPr>
          <w:i/>
          <w:iCs/>
          <w:color w:val="000000" w:themeColor="text1"/>
        </w:rPr>
        <w:t>The Prince</w:t>
      </w:r>
      <w:r w:rsidR="00A45EDF" w:rsidRPr="00606B72">
        <w:rPr>
          <w:color w:val="000000" w:themeColor="text1"/>
        </w:rPr>
        <w:t xml:space="preserve">, </w:t>
      </w:r>
      <w:r w:rsidR="00675195" w:rsidRPr="00606B72">
        <w:rPr>
          <w:color w:val="000000" w:themeColor="text1"/>
        </w:rPr>
        <w:t>the genre</w:t>
      </w:r>
      <w:r w:rsidR="00675195" w:rsidRPr="00606B72">
        <w:rPr>
          <w:i/>
          <w:iCs/>
          <w:color w:val="000000" w:themeColor="text1"/>
        </w:rPr>
        <w:t xml:space="preserve"> </w:t>
      </w:r>
      <w:r w:rsidR="00675195" w:rsidRPr="00606B72">
        <w:rPr>
          <w:color w:val="000000" w:themeColor="text1"/>
        </w:rPr>
        <w:t>has a long and rich history</w:t>
      </w:r>
      <w:r w:rsidR="001214A9" w:rsidRPr="00606B72">
        <w:rPr>
          <w:color w:val="000000" w:themeColor="text1"/>
        </w:rPr>
        <w:t xml:space="preserve"> across the Mediterranean</w:t>
      </w:r>
      <w:r w:rsidR="00675195" w:rsidRPr="00606B72">
        <w:rPr>
          <w:color w:val="000000" w:themeColor="text1"/>
        </w:rPr>
        <w:t xml:space="preserve">, dating back to the Byzantine Empire in </w:t>
      </w:r>
      <w:r w:rsidR="00154D00" w:rsidRPr="00606B72">
        <w:rPr>
          <w:color w:val="000000" w:themeColor="text1"/>
        </w:rPr>
        <w:t>late antiquity</w:t>
      </w:r>
      <w:r w:rsidR="00675195" w:rsidRPr="00606B72">
        <w:rPr>
          <w:color w:val="000000" w:themeColor="text1"/>
        </w:rPr>
        <w:t xml:space="preserve">.  </w:t>
      </w:r>
      <w:r w:rsidR="00D3199F" w:rsidRPr="00606B72">
        <w:rPr>
          <w:color w:val="000000" w:themeColor="text1"/>
        </w:rPr>
        <w:t>The</w:t>
      </w:r>
      <w:r w:rsidR="00675195" w:rsidRPr="00606B72">
        <w:rPr>
          <w:color w:val="000000" w:themeColor="text1"/>
        </w:rPr>
        <w:t xml:space="preserve"> Byzantine tradition</w:t>
      </w:r>
      <w:r w:rsidR="00D3199F" w:rsidRPr="00606B72">
        <w:rPr>
          <w:color w:val="000000" w:themeColor="text1"/>
        </w:rPr>
        <w:t xml:space="preserve"> of advice literature</w:t>
      </w:r>
      <w:r w:rsidR="00675195" w:rsidRPr="00606B72">
        <w:rPr>
          <w:color w:val="000000" w:themeColor="text1"/>
        </w:rPr>
        <w:t xml:space="preserve">, like many others, was incorporated into the cultural milieu of early Islam.  </w:t>
      </w:r>
      <w:r w:rsidR="009030C7" w:rsidRPr="00606B72">
        <w:rPr>
          <w:color w:val="000000" w:themeColor="text1"/>
        </w:rPr>
        <w:t>Many</w:t>
      </w:r>
      <w:r w:rsidR="00675195" w:rsidRPr="00606B72">
        <w:rPr>
          <w:color w:val="000000" w:themeColor="text1"/>
        </w:rPr>
        <w:t xml:space="preserve"> prophets in the Qur</w:t>
      </w:r>
      <w:r w:rsidR="00AA4B4C" w:rsidRPr="00606B72">
        <w:rPr>
          <w:color w:val="000000" w:themeColor="text1"/>
        </w:rPr>
        <w:t>ʾ</w:t>
      </w:r>
      <w:r w:rsidR="00383256" w:rsidRPr="00606B72">
        <w:rPr>
          <w:color w:val="000000" w:themeColor="text1"/>
        </w:rPr>
        <w:t>a</w:t>
      </w:r>
      <w:r w:rsidR="00675195" w:rsidRPr="00606B72">
        <w:rPr>
          <w:color w:val="000000" w:themeColor="text1"/>
        </w:rPr>
        <w:t xml:space="preserve">n present themselves as “advisors,” using the </w:t>
      </w:r>
      <w:r w:rsidR="00675195" w:rsidRPr="00606B72">
        <w:rPr>
          <w:i/>
          <w:iCs/>
          <w:color w:val="000000" w:themeColor="text1"/>
        </w:rPr>
        <w:t>n-ṣ-ḥ</w:t>
      </w:r>
      <w:r w:rsidR="00675195" w:rsidRPr="00606B72">
        <w:rPr>
          <w:color w:val="000000" w:themeColor="text1"/>
        </w:rPr>
        <w:t xml:space="preserve"> root of the word “</w:t>
      </w:r>
      <w:r w:rsidR="00675195" w:rsidRPr="00606B72">
        <w:rPr>
          <w:i/>
          <w:iCs/>
          <w:color w:val="000000" w:themeColor="text1"/>
        </w:rPr>
        <w:t>naṣīḥa</w:t>
      </w:r>
      <w:r w:rsidR="00675195" w:rsidRPr="00606B72">
        <w:rPr>
          <w:color w:val="000000" w:themeColor="text1"/>
        </w:rPr>
        <w:t xml:space="preserve">.” </w:t>
      </w:r>
      <w:r w:rsidR="00675195" w:rsidRPr="00606B72">
        <w:rPr>
          <w:i/>
          <w:iCs/>
          <w:color w:val="000000" w:themeColor="text1"/>
        </w:rPr>
        <w:t xml:space="preserve"> </w:t>
      </w:r>
      <w:r w:rsidR="00675195" w:rsidRPr="00606B72">
        <w:rPr>
          <w:color w:val="000000" w:themeColor="text1"/>
        </w:rPr>
        <w:t>For example, the prophet N</w:t>
      </w:r>
      <w:r w:rsidR="00C41B09">
        <w:rPr>
          <w:color w:val="000000" w:themeColor="text1"/>
        </w:rPr>
        <w:t>u</w:t>
      </w:r>
      <w:r w:rsidR="00675195" w:rsidRPr="00606B72">
        <w:rPr>
          <w:color w:val="000000" w:themeColor="text1"/>
        </w:rPr>
        <w:t>h (Noah) says</w:t>
      </w:r>
      <w:r w:rsidR="009C703D" w:rsidRPr="00606B72">
        <w:rPr>
          <w:color w:val="000000" w:themeColor="text1"/>
        </w:rPr>
        <w:t>,</w:t>
      </w:r>
      <w:r w:rsidR="00675195" w:rsidRPr="00606B72">
        <w:rPr>
          <w:color w:val="000000" w:themeColor="text1"/>
        </w:rPr>
        <w:t xml:space="preserve"> “I convey to you the messages of my Lord and advise you [</w:t>
      </w:r>
      <w:r w:rsidR="00675195" w:rsidRPr="00606B72">
        <w:rPr>
          <w:i/>
          <w:iCs/>
          <w:color w:val="000000" w:themeColor="text1"/>
        </w:rPr>
        <w:t>anṣaḥ lakum</w:t>
      </w:r>
      <w:r w:rsidR="00675195" w:rsidRPr="00606B72">
        <w:rPr>
          <w:color w:val="000000" w:themeColor="text1"/>
        </w:rPr>
        <w:t>]”</w:t>
      </w:r>
      <w:r w:rsidR="00F748A5" w:rsidRPr="00606B72">
        <w:rPr>
          <w:color w:val="000000" w:themeColor="text1"/>
        </w:rPr>
        <w:t xml:space="preserve"> (Qu</w:t>
      </w:r>
      <w:r w:rsidR="00383256" w:rsidRPr="00606B72">
        <w:rPr>
          <w:color w:val="000000" w:themeColor="text1"/>
        </w:rPr>
        <w:t>ʾ</w:t>
      </w:r>
      <w:r w:rsidR="00F748A5" w:rsidRPr="00606B72">
        <w:rPr>
          <w:color w:val="000000" w:themeColor="text1"/>
        </w:rPr>
        <w:t>ran 7:62),</w:t>
      </w:r>
      <w:r w:rsidR="009C703D" w:rsidRPr="00606B72">
        <w:rPr>
          <w:color w:val="000000" w:themeColor="text1"/>
        </w:rPr>
        <w:t xml:space="preserve"> and a</w:t>
      </w:r>
      <w:r w:rsidR="00675195" w:rsidRPr="00606B72">
        <w:rPr>
          <w:color w:val="000000" w:themeColor="text1"/>
        </w:rPr>
        <w:t xml:space="preserve"> well-known hadith</w:t>
      </w:r>
      <w:r w:rsidR="00C92540" w:rsidRPr="00606B72">
        <w:rPr>
          <w:color w:val="000000" w:themeColor="text1"/>
        </w:rPr>
        <w:t xml:space="preserve">—an account of </w:t>
      </w:r>
      <w:r w:rsidR="00267B5C" w:rsidRPr="00606B72">
        <w:rPr>
          <w:color w:val="000000" w:themeColor="text1"/>
        </w:rPr>
        <w:t>something</w:t>
      </w:r>
      <w:r w:rsidR="00C92540" w:rsidRPr="00606B72">
        <w:rPr>
          <w:color w:val="000000" w:themeColor="text1"/>
        </w:rPr>
        <w:t xml:space="preserve"> the Prophet or his companions</w:t>
      </w:r>
      <w:r w:rsidR="00267B5C" w:rsidRPr="00606B72">
        <w:rPr>
          <w:color w:val="000000" w:themeColor="text1"/>
        </w:rPr>
        <w:t xml:space="preserve"> said or did</w:t>
      </w:r>
      <w:r w:rsidR="00C92540" w:rsidRPr="00606B72">
        <w:rPr>
          <w:color w:val="000000" w:themeColor="text1"/>
        </w:rPr>
        <w:t>—</w:t>
      </w:r>
      <w:r w:rsidR="00675195" w:rsidRPr="00606B72">
        <w:rPr>
          <w:color w:val="000000" w:themeColor="text1"/>
        </w:rPr>
        <w:t xml:space="preserve">similarly invokes the term: “Religion is </w:t>
      </w:r>
      <w:r w:rsidR="00675195" w:rsidRPr="00606B72">
        <w:rPr>
          <w:color w:val="000000" w:themeColor="text1"/>
        </w:rPr>
        <w:lastRenderedPageBreak/>
        <w:t>sincerity [</w:t>
      </w:r>
      <w:r w:rsidR="00675195" w:rsidRPr="00606B72">
        <w:rPr>
          <w:i/>
          <w:iCs/>
          <w:color w:val="000000" w:themeColor="text1"/>
        </w:rPr>
        <w:t>naṣīḥa</w:t>
      </w:r>
      <w:r w:rsidR="00675195" w:rsidRPr="00606B72">
        <w:rPr>
          <w:color w:val="000000" w:themeColor="text1"/>
        </w:rPr>
        <w:t>]”</w:t>
      </w:r>
      <w:r w:rsidR="0026776A" w:rsidRPr="00606B72">
        <w:rPr>
          <w:color w:val="000000" w:themeColor="text1"/>
        </w:rPr>
        <w:t xml:space="preserve"> (</w:t>
      </w:r>
      <w:r w:rsidR="00F748A5" w:rsidRPr="00606B72">
        <w:rPr>
          <w:color w:val="000000" w:themeColor="text1"/>
        </w:rPr>
        <w:t>al-Nawaw</w:t>
      </w:r>
      <w:r w:rsidR="006A1BAA">
        <w:rPr>
          <w:color w:val="000000" w:themeColor="text1"/>
        </w:rPr>
        <w:t>i</w:t>
      </w:r>
      <w:r w:rsidR="00F403B7">
        <w:rPr>
          <w:color w:val="000000" w:themeColor="text1"/>
        </w:rPr>
        <w:t>,</w:t>
      </w:r>
      <w:r w:rsidR="00F748A5" w:rsidRPr="00606B72">
        <w:rPr>
          <w:color w:val="000000" w:themeColor="text1"/>
        </w:rPr>
        <w:t xml:space="preserve"> 1977</w:t>
      </w:r>
      <w:r w:rsidR="000C4FA2">
        <w:rPr>
          <w:color w:val="000000" w:themeColor="text1"/>
        </w:rPr>
        <w:t>:</w:t>
      </w:r>
      <w:r w:rsidR="00F748A5" w:rsidRPr="00606B72">
        <w:rPr>
          <w:color w:val="000000" w:themeColor="text1"/>
        </w:rPr>
        <w:t xml:space="preserve"> 44).</w:t>
      </w:r>
      <w:r w:rsidR="00EC5CC0" w:rsidRPr="00606B72">
        <w:rPr>
          <w:rStyle w:val="FootnoteReference"/>
          <w:color w:val="000000" w:themeColor="text1"/>
        </w:rPr>
        <w:footnoteReference w:id="3"/>
      </w:r>
      <w:r w:rsidR="002D474E">
        <w:rPr>
          <w:color w:val="000000" w:themeColor="text1"/>
        </w:rPr>
        <w:t xml:space="preserve">  </w:t>
      </w:r>
      <w:r w:rsidR="002D474E" w:rsidRPr="00606B72">
        <w:rPr>
          <w:color w:val="000000" w:themeColor="text1"/>
        </w:rPr>
        <w:t xml:space="preserve">If we assume a more robust definition of </w:t>
      </w:r>
      <w:r w:rsidR="002D474E" w:rsidRPr="00606B72">
        <w:rPr>
          <w:i/>
          <w:iCs/>
          <w:color w:val="000000" w:themeColor="text1"/>
        </w:rPr>
        <w:t>naṣīḥa</w:t>
      </w:r>
      <w:r w:rsidR="002D474E" w:rsidRPr="00606B72">
        <w:rPr>
          <w:color w:val="000000" w:themeColor="text1"/>
        </w:rPr>
        <w:t xml:space="preserve"> that considers the literary conventions that I</w:t>
      </w:r>
      <w:r w:rsidR="003A2B22">
        <w:rPr>
          <w:color w:val="000000" w:themeColor="text1"/>
        </w:rPr>
        <w:t xml:space="preserve"> will</w:t>
      </w:r>
      <w:r w:rsidR="002D474E" w:rsidRPr="00606B72">
        <w:rPr>
          <w:color w:val="000000" w:themeColor="text1"/>
        </w:rPr>
        <w:t xml:space="preserve"> identify as emblematic of the genre, it becomes clear that the </w:t>
      </w:r>
      <w:r w:rsidR="002D474E">
        <w:rPr>
          <w:i/>
          <w:iCs/>
          <w:color w:val="000000" w:themeColor="text1"/>
        </w:rPr>
        <w:t>Takhlis</w:t>
      </w:r>
      <w:r w:rsidR="002D474E" w:rsidRPr="00606B72">
        <w:rPr>
          <w:color w:val="000000" w:themeColor="text1"/>
        </w:rPr>
        <w:t xml:space="preserve"> should be read as belonging to the </w:t>
      </w:r>
      <w:r w:rsidR="002D474E" w:rsidRPr="00606B72">
        <w:rPr>
          <w:i/>
          <w:iCs/>
          <w:color w:val="000000" w:themeColor="text1"/>
        </w:rPr>
        <w:t>naṣīḥa</w:t>
      </w:r>
      <w:r w:rsidR="002D474E" w:rsidRPr="00606B72">
        <w:rPr>
          <w:color w:val="000000" w:themeColor="text1"/>
        </w:rPr>
        <w:t xml:space="preserve"> tradition.</w:t>
      </w:r>
      <w:r w:rsidR="00F779A6">
        <w:rPr>
          <w:color w:val="000000" w:themeColor="text1"/>
        </w:rPr>
        <w:t xml:space="preserve">  </w:t>
      </w:r>
    </w:p>
    <w:p w14:paraId="677A0913" w14:textId="7DEB1C57" w:rsidR="00C832BA" w:rsidRPr="00F779A6" w:rsidRDefault="00AF1B32" w:rsidP="0077353E">
      <w:pPr>
        <w:spacing w:line="480" w:lineRule="auto"/>
        <w:ind w:firstLine="720"/>
        <w:rPr>
          <w:color w:val="000000" w:themeColor="text1"/>
        </w:rPr>
      </w:pPr>
      <w:r>
        <w:rPr>
          <w:color w:val="000000" w:themeColor="text1"/>
        </w:rPr>
        <w:t xml:space="preserve">The second goal of this paper regards my interpretation of the text of the </w:t>
      </w:r>
      <w:r w:rsidRPr="00AF1B32">
        <w:rPr>
          <w:i/>
          <w:iCs/>
          <w:color w:val="000000" w:themeColor="text1"/>
        </w:rPr>
        <w:t>Takhlis</w:t>
      </w:r>
      <w:r>
        <w:rPr>
          <w:color w:val="000000" w:themeColor="text1"/>
        </w:rPr>
        <w:t xml:space="preserve"> itself</w:t>
      </w:r>
      <w:r w:rsidR="004A0CC5">
        <w:rPr>
          <w:color w:val="000000" w:themeColor="text1"/>
        </w:rPr>
        <w:t xml:space="preserve">.  </w:t>
      </w:r>
      <w:r w:rsidR="00013D42">
        <w:rPr>
          <w:color w:val="000000" w:themeColor="text1"/>
        </w:rPr>
        <w:t xml:space="preserve">Reading the </w:t>
      </w:r>
      <w:r w:rsidR="00013D42">
        <w:rPr>
          <w:i/>
          <w:iCs/>
          <w:color w:val="000000" w:themeColor="text1"/>
        </w:rPr>
        <w:t>Taklhis</w:t>
      </w:r>
      <w:r w:rsidR="00013D42">
        <w:rPr>
          <w:color w:val="000000" w:themeColor="text1"/>
        </w:rPr>
        <w:t xml:space="preserve"> as </w:t>
      </w:r>
      <w:r w:rsidR="00013D42">
        <w:rPr>
          <w:i/>
          <w:iCs/>
          <w:color w:val="000000" w:themeColor="text1"/>
        </w:rPr>
        <w:t>naṣīḥa</w:t>
      </w:r>
      <w:r w:rsidR="00013D42">
        <w:rPr>
          <w:color w:val="000000" w:themeColor="text1"/>
        </w:rPr>
        <w:t xml:space="preserve"> rather than as a </w:t>
      </w:r>
      <w:r w:rsidR="00013D42">
        <w:rPr>
          <w:i/>
          <w:iCs/>
          <w:color w:val="000000" w:themeColor="text1"/>
        </w:rPr>
        <w:t>riḥla</w:t>
      </w:r>
      <w:r w:rsidR="00013D42">
        <w:rPr>
          <w:color w:val="000000" w:themeColor="text1"/>
        </w:rPr>
        <w:t xml:space="preserve"> accentuates and draws attention to the moments of political analysis within the text</w:t>
      </w:r>
      <w:r w:rsidR="004A0CC5">
        <w:rPr>
          <w:color w:val="000000" w:themeColor="text1"/>
        </w:rPr>
        <w:t>.  Rather</w:t>
      </w:r>
      <w:r w:rsidR="00013D42">
        <w:rPr>
          <w:color w:val="000000" w:themeColor="text1"/>
        </w:rPr>
        <w:t xml:space="preserve"> than a straightforward description of his trip to France</w:t>
      </w:r>
      <w:r w:rsidR="004A0CC5">
        <w:rPr>
          <w:color w:val="000000" w:themeColor="text1"/>
        </w:rPr>
        <w:t xml:space="preserve">, </w:t>
      </w:r>
      <w:r w:rsidR="00C832BA">
        <w:rPr>
          <w:color w:val="000000" w:themeColor="text1"/>
        </w:rPr>
        <w:t>al-Tahtawi</w:t>
      </w:r>
      <w:r w:rsidR="004A0CC5">
        <w:rPr>
          <w:color w:val="000000" w:themeColor="text1"/>
        </w:rPr>
        <w:t xml:space="preserve"> is offering </w:t>
      </w:r>
      <w:r w:rsidR="004A0CC5" w:rsidRPr="00606B72">
        <w:rPr>
          <w:color w:val="000000" w:themeColor="text1"/>
        </w:rPr>
        <w:t>a genuine criticism of the political milieu of the Ottoman Empire in the 19</w:t>
      </w:r>
      <w:r w:rsidR="004A0CC5" w:rsidRPr="00606B72">
        <w:rPr>
          <w:color w:val="000000" w:themeColor="text1"/>
          <w:vertAlign w:val="superscript"/>
        </w:rPr>
        <w:t>th</w:t>
      </w:r>
      <w:r w:rsidR="004A0CC5" w:rsidRPr="00606B72">
        <w:rPr>
          <w:color w:val="000000" w:themeColor="text1"/>
        </w:rPr>
        <w:t xml:space="preserve"> century</w:t>
      </w:r>
      <w:r w:rsidR="004A0CC5">
        <w:rPr>
          <w:color w:val="000000" w:themeColor="text1"/>
        </w:rPr>
        <w:t>—</w:t>
      </w:r>
      <w:r w:rsidR="00C832BA">
        <w:rPr>
          <w:color w:val="000000" w:themeColor="text1"/>
        </w:rPr>
        <w:t>he</w:t>
      </w:r>
      <w:r w:rsidR="004A0CC5">
        <w:rPr>
          <w:color w:val="000000" w:themeColor="text1"/>
        </w:rPr>
        <w:t xml:space="preserve"> is adamant that the Ottoman Empire must make certain reforms in order to maintain its political and military prowess in the face of the growing threats of European colonialism.  </w:t>
      </w:r>
      <w:r w:rsidR="004A0CC5" w:rsidRPr="00CA7753">
        <w:rPr>
          <w:color w:val="000000" w:themeColor="text1"/>
        </w:rPr>
        <w:t>I</w:t>
      </w:r>
      <w:r w:rsidR="00C832BA">
        <w:rPr>
          <w:color w:val="000000" w:themeColor="text1"/>
        </w:rPr>
        <w:t xml:space="preserve"> additionally</w:t>
      </w:r>
      <w:r w:rsidR="004A0CC5" w:rsidRPr="00CA7753">
        <w:rPr>
          <w:color w:val="000000" w:themeColor="text1"/>
        </w:rPr>
        <w:t xml:space="preserve"> argue that i</w:t>
      </w:r>
      <w:r w:rsidR="004A0CC5">
        <w:rPr>
          <w:color w:val="000000" w:themeColor="text1"/>
        </w:rPr>
        <w:t xml:space="preserve">n doing so, he </w:t>
      </w:r>
      <w:r w:rsidR="004A0CC5" w:rsidRPr="009507BF">
        <w:rPr>
          <w:color w:val="000000" w:themeColor="text1"/>
        </w:rPr>
        <w:t>makes</w:t>
      </w:r>
      <w:r w:rsidR="004A0CC5">
        <w:rPr>
          <w:color w:val="000000" w:themeColor="text1"/>
        </w:rPr>
        <w:t xml:space="preserve"> an implicit argument about the nature of Islamic tradition, </w:t>
      </w:r>
      <w:r w:rsidR="00C832BA">
        <w:rPr>
          <w:color w:val="000000" w:themeColor="text1"/>
        </w:rPr>
        <w:t xml:space="preserve">suggesting that </w:t>
      </w:r>
      <w:r w:rsidR="005D63FA">
        <w:rPr>
          <w:color w:val="000000" w:themeColor="text1"/>
        </w:rPr>
        <w:t xml:space="preserve">it is a heteronomous tradition that can and should be accommodating of the new forms of knowledge that he found in France.  </w:t>
      </w:r>
      <w:r w:rsidR="00F779A6">
        <w:rPr>
          <w:color w:val="000000" w:themeColor="text1"/>
        </w:rPr>
        <w:t xml:space="preserve">Al-Tahtawi’s </w:t>
      </w:r>
      <w:r w:rsidR="00F779A6">
        <w:rPr>
          <w:i/>
          <w:iCs/>
          <w:color w:val="000000" w:themeColor="text1"/>
        </w:rPr>
        <w:t>naṣīḥa</w:t>
      </w:r>
      <w:r w:rsidR="00F779A6">
        <w:rPr>
          <w:color w:val="000000" w:themeColor="text1"/>
        </w:rPr>
        <w:t xml:space="preserve"> is that his sovereign, </w:t>
      </w:r>
      <w:r w:rsidR="00F779A6">
        <w:t>Muhammad</w:t>
      </w:r>
      <w:r w:rsidR="00F779A6" w:rsidRPr="00606B72">
        <w:t xml:space="preserve"> ʿAli</w:t>
      </w:r>
      <w:r w:rsidR="00F779A6">
        <w:t xml:space="preserve">, can and should incorporate foreign sciences into Egyptian society without fear that doing so would be un-Islamic.  In fact, to not do so would be un-Islamic as it would leave the Islamic world at the mercy of the rapidly-advancing European colonial powers.  </w:t>
      </w:r>
    </w:p>
    <w:p w14:paraId="1317903A" w14:textId="6480EAC7" w:rsidR="00422972" w:rsidRDefault="00EA1ED0" w:rsidP="0077353E">
      <w:pPr>
        <w:spacing w:line="480" w:lineRule="auto"/>
        <w:ind w:firstLine="720"/>
        <w:rPr>
          <w:color w:val="000000" w:themeColor="text1"/>
        </w:rPr>
      </w:pPr>
      <w:r>
        <w:rPr>
          <w:color w:val="000000" w:themeColor="text1"/>
        </w:rPr>
        <w:t>It</w:t>
      </w:r>
      <w:r w:rsidR="00AF1B32">
        <w:rPr>
          <w:color w:val="000000" w:themeColor="text1"/>
        </w:rPr>
        <w:t xml:space="preserve"> is here that the political stakes of my argument are most acute</w:t>
      </w:r>
      <w:r w:rsidR="00C20FE7">
        <w:rPr>
          <w:color w:val="000000" w:themeColor="text1"/>
        </w:rPr>
        <w:t>, as it concerns the relationship between al-Tahtawi’s vision of Islam and</w:t>
      </w:r>
      <w:r w:rsidR="002C3A85">
        <w:rPr>
          <w:color w:val="000000" w:themeColor="text1"/>
        </w:rPr>
        <w:t xml:space="preserve"> its relation to the non-Muslim world </w:t>
      </w:r>
      <w:r w:rsidR="005D63FA">
        <w:rPr>
          <w:color w:val="000000" w:themeColor="text1"/>
        </w:rPr>
        <w:lastRenderedPageBreak/>
        <w:t xml:space="preserve">Regarding the question of change and difference in the Islamic intellectual tradition, </w:t>
      </w:r>
      <w:r w:rsidR="00A77942">
        <w:rPr>
          <w:color w:val="000000" w:themeColor="text1"/>
        </w:rPr>
        <w:t>Ebrahim Moosa, a prominent scholar of Islamic studies, notes</w:t>
      </w:r>
      <w:r w:rsidR="00422972">
        <w:rPr>
          <w:color w:val="000000" w:themeColor="text1"/>
        </w:rPr>
        <w:t>:</w:t>
      </w:r>
    </w:p>
    <w:p w14:paraId="3807A134" w14:textId="77777777" w:rsidR="001F3EA3" w:rsidRDefault="001F3EA3" w:rsidP="001F3EA3">
      <w:pPr>
        <w:spacing w:after="240"/>
        <w:ind w:left="720"/>
        <w:rPr>
          <w:color w:val="000000" w:themeColor="text1"/>
        </w:rPr>
      </w:pPr>
      <w:r>
        <w:rPr>
          <w:color w:val="000000" w:themeColor="text1"/>
        </w:rPr>
        <w:t xml:space="preserve">The question of innovation and continuity in tradition has never been an unproblematic one in Muslim societies.  From Islam’s very inception in the seventh century and afterwards, Muslim intellectuals have found themselves embattled by this question.  It has </w:t>
      </w:r>
      <w:proofErr w:type="gramStart"/>
      <w:r>
        <w:rPr>
          <w:color w:val="000000" w:themeColor="text1"/>
        </w:rPr>
        <w:t>its</w:t>
      </w:r>
      <w:proofErr w:type="gramEnd"/>
      <w:r>
        <w:rPr>
          <w:color w:val="000000" w:themeColor="text1"/>
        </w:rPr>
        <w:t xml:space="preserve"> roots in the furious debates about the legitimacy of borrowing knowledge and insights from the Greeks, Indians, Persians, especially Aristotelian philosophy and Neoplatonic mystical knowledge.  Intellectuals have found themselves on both sides of the debate (2003, 112).  </w:t>
      </w:r>
    </w:p>
    <w:p w14:paraId="3E095511" w14:textId="12A46D47" w:rsidR="001F3EA3" w:rsidRDefault="00DB5184" w:rsidP="00022D00">
      <w:pPr>
        <w:spacing w:line="480" w:lineRule="auto"/>
        <w:rPr>
          <w:color w:val="000000" w:themeColor="text1"/>
        </w:rPr>
      </w:pPr>
      <w:r>
        <w:rPr>
          <w:color w:val="000000" w:themeColor="text1"/>
        </w:rPr>
        <w:t xml:space="preserve">This question is particularly relevant in the modern period.  </w:t>
      </w:r>
      <w:r w:rsidR="00564FB1">
        <w:rPr>
          <w:color w:val="000000" w:themeColor="text1"/>
        </w:rPr>
        <w:t>As a result</w:t>
      </w:r>
      <w:r w:rsidR="00FC40FF">
        <w:rPr>
          <w:color w:val="000000" w:themeColor="text1"/>
        </w:rPr>
        <w:t xml:space="preserve"> of the tension between </w:t>
      </w:r>
      <w:r w:rsidR="009373C1">
        <w:rPr>
          <w:color w:val="000000" w:themeColor="text1"/>
        </w:rPr>
        <w:t xml:space="preserve">those calling for continuity with Islam’s past and those calling for rupture and </w:t>
      </w:r>
      <w:r w:rsidR="00F05311">
        <w:rPr>
          <w:color w:val="000000" w:themeColor="text1"/>
        </w:rPr>
        <w:t>change</w:t>
      </w:r>
      <w:r w:rsidR="00EE75A8">
        <w:rPr>
          <w:color w:val="000000" w:themeColor="text1"/>
        </w:rPr>
        <w:t xml:space="preserve">, Moosa notes, Muslims </w:t>
      </w:r>
      <w:r w:rsidR="00564FB1">
        <w:rPr>
          <w:color w:val="000000" w:themeColor="text1"/>
        </w:rPr>
        <w:t xml:space="preserve">today </w:t>
      </w:r>
      <w:r w:rsidR="00EE75A8">
        <w:rPr>
          <w:color w:val="000000" w:themeColor="text1"/>
        </w:rPr>
        <w:t xml:space="preserve">are paradoxically called to </w:t>
      </w:r>
      <w:r w:rsidR="00405269">
        <w:rPr>
          <w:color w:val="000000" w:themeColor="text1"/>
        </w:rPr>
        <w:t>“modernize”</w:t>
      </w:r>
      <w:r w:rsidR="00564FB1">
        <w:rPr>
          <w:color w:val="000000" w:themeColor="text1"/>
        </w:rPr>
        <w:t xml:space="preserve"> </w:t>
      </w:r>
      <w:r w:rsidR="00405269">
        <w:rPr>
          <w:color w:val="000000" w:themeColor="text1"/>
        </w:rPr>
        <w:t>Islam</w:t>
      </w:r>
      <w:r w:rsidR="00EE75A8">
        <w:rPr>
          <w:color w:val="000000" w:themeColor="text1"/>
        </w:rPr>
        <w:t xml:space="preserve"> </w:t>
      </w:r>
      <w:r w:rsidR="00897FF8">
        <w:rPr>
          <w:color w:val="000000" w:themeColor="text1"/>
        </w:rPr>
        <w:t xml:space="preserve">and </w:t>
      </w:r>
      <w:r w:rsidR="00EE75A8">
        <w:rPr>
          <w:color w:val="000000" w:themeColor="text1"/>
        </w:rPr>
        <w:t xml:space="preserve">distance </w:t>
      </w:r>
      <w:r w:rsidR="003D5EDA">
        <w:rPr>
          <w:color w:val="000000" w:themeColor="text1"/>
        </w:rPr>
        <w:t>themselves</w:t>
      </w:r>
      <w:r w:rsidR="00EE75A8">
        <w:rPr>
          <w:color w:val="000000" w:themeColor="text1"/>
        </w:rPr>
        <w:t xml:space="preserve"> from </w:t>
      </w:r>
      <w:r w:rsidR="009959CD">
        <w:rPr>
          <w:color w:val="000000" w:themeColor="text1"/>
        </w:rPr>
        <w:t>fundame</w:t>
      </w:r>
      <w:r w:rsidR="00D13F29">
        <w:rPr>
          <w:color w:val="000000" w:themeColor="text1"/>
        </w:rPr>
        <w:t>ntalist groups</w:t>
      </w:r>
      <w:r w:rsidR="00865C96">
        <w:rPr>
          <w:color w:val="000000" w:themeColor="text1"/>
        </w:rPr>
        <w:t xml:space="preserve"> </w:t>
      </w:r>
      <w:r w:rsidR="00F05311">
        <w:rPr>
          <w:color w:val="000000" w:themeColor="text1"/>
        </w:rPr>
        <w:t xml:space="preserve">who adamantly and sometimes violently reject any attempts to reform Islam, </w:t>
      </w:r>
      <w:r w:rsidR="00EE75A8">
        <w:rPr>
          <w:color w:val="000000" w:themeColor="text1"/>
        </w:rPr>
        <w:t>while</w:t>
      </w:r>
      <w:r w:rsidR="00F05311">
        <w:rPr>
          <w:color w:val="000000" w:themeColor="text1"/>
        </w:rPr>
        <w:t xml:space="preserve"> </w:t>
      </w:r>
      <w:r w:rsidR="00865C96">
        <w:rPr>
          <w:color w:val="000000" w:themeColor="text1"/>
        </w:rPr>
        <w:t>at the same time</w:t>
      </w:r>
      <w:r w:rsidR="00801D98">
        <w:rPr>
          <w:color w:val="000000" w:themeColor="text1"/>
        </w:rPr>
        <w:t xml:space="preserve"> feeling</w:t>
      </w:r>
      <w:r w:rsidR="00F05311">
        <w:rPr>
          <w:color w:val="000000" w:themeColor="text1"/>
        </w:rPr>
        <w:t xml:space="preserve"> </w:t>
      </w:r>
      <w:r w:rsidR="00801D98">
        <w:rPr>
          <w:color w:val="000000" w:themeColor="text1"/>
        </w:rPr>
        <w:t>compelled</w:t>
      </w:r>
      <w:r w:rsidR="00F05311">
        <w:rPr>
          <w:color w:val="000000" w:themeColor="text1"/>
        </w:rPr>
        <w:t xml:space="preserve"> to resist</w:t>
      </w:r>
      <w:r w:rsidR="00EE75A8">
        <w:rPr>
          <w:color w:val="000000" w:themeColor="text1"/>
        </w:rPr>
        <w:t xml:space="preserve"> the </w:t>
      </w:r>
      <w:r w:rsidR="00022D00">
        <w:rPr>
          <w:color w:val="000000" w:themeColor="text1"/>
        </w:rPr>
        <w:t xml:space="preserve">cultural hegemony of the West by remaining </w:t>
      </w:r>
      <w:r w:rsidR="00A02CCF">
        <w:rPr>
          <w:color w:val="000000" w:themeColor="text1"/>
        </w:rPr>
        <w:t>meaningfully</w:t>
      </w:r>
      <w:r w:rsidR="002C01F6">
        <w:rPr>
          <w:color w:val="000000" w:themeColor="text1"/>
        </w:rPr>
        <w:t xml:space="preserve"> </w:t>
      </w:r>
      <w:r w:rsidR="00022D00">
        <w:rPr>
          <w:color w:val="000000" w:themeColor="text1"/>
        </w:rPr>
        <w:t xml:space="preserve">connected to Islamic tradition: “Muslim thinkers are </w:t>
      </w:r>
      <w:r w:rsidR="001F3EA3">
        <w:rPr>
          <w:color w:val="000000" w:themeColor="text1"/>
        </w:rPr>
        <w:t>not only challenged to be innovative, but they are also simultaneously required to engage with tradition” (2003</w:t>
      </w:r>
      <w:r w:rsidR="000C4FA2">
        <w:rPr>
          <w:color w:val="000000" w:themeColor="text1"/>
        </w:rPr>
        <w:t>:</w:t>
      </w:r>
      <w:r w:rsidR="001F3EA3">
        <w:rPr>
          <w:color w:val="000000" w:themeColor="text1"/>
        </w:rPr>
        <w:t xml:space="preserve"> 111).  Muslims are demanded to be simultaneously autonomous and heteronomous, engaging meaningfully with Islamic tradition while also reforming it and modernizing it.  </w:t>
      </w:r>
    </w:p>
    <w:p w14:paraId="5B1FC194" w14:textId="52F326AA" w:rsidR="00A858B5" w:rsidRPr="00D67C3C" w:rsidRDefault="003B452E" w:rsidP="004A0CC5">
      <w:pPr>
        <w:spacing w:line="480" w:lineRule="auto"/>
        <w:ind w:firstLine="720"/>
        <w:rPr>
          <w:b/>
          <w:bCs/>
          <w:color w:val="000000" w:themeColor="text1"/>
        </w:rPr>
      </w:pPr>
      <w:r>
        <w:rPr>
          <w:color w:val="000000" w:themeColor="text1"/>
        </w:rPr>
        <w:t xml:space="preserve">Because I read the </w:t>
      </w:r>
      <w:r>
        <w:rPr>
          <w:i/>
          <w:iCs/>
          <w:color w:val="000000" w:themeColor="text1"/>
        </w:rPr>
        <w:t>Takhlis</w:t>
      </w:r>
      <w:r>
        <w:rPr>
          <w:color w:val="000000" w:themeColor="text1"/>
        </w:rPr>
        <w:t xml:space="preserve"> as </w:t>
      </w:r>
      <w:r w:rsidR="003D3ED6">
        <w:rPr>
          <w:color w:val="000000" w:themeColor="text1"/>
        </w:rPr>
        <w:t xml:space="preserve">engaging in the genre </w:t>
      </w:r>
      <w:r>
        <w:rPr>
          <w:i/>
          <w:iCs/>
          <w:color w:val="000000" w:themeColor="text1"/>
        </w:rPr>
        <w:t>nasīha</w:t>
      </w:r>
      <w:r>
        <w:rPr>
          <w:color w:val="000000" w:themeColor="text1"/>
        </w:rPr>
        <w:t xml:space="preserve"> rather than </w:t>
      </w:r>
      <w:r w:rsidR="00F346F6">
        <w:rPr>
          <w:color w:val="000000" w:themeColor="text1"/>
        </w:rPr>
        <w:t xml:space="preserve">exclusively as a </w:t>
      </w:r>
      <w:r>
        <w:rPr>
          <w:i/>
          <w:iCs/>
          <w:color w:val="000000" w:themeColor="text1"/>
        </w:rPr>
        <w:t>riḥla</w:t>
      </w:r>
      <w:r>
        <w:rPr>
          <w:color w:val="000000" w:themeColor="text1"/>
        </w:rPr>
        <w:t xml:space="preserve">, I </w:t>
      </w:r>
      <w:r w:rsidR="003D3ED6">
        <w:rPr>
          <w:color w:val="000000" w:themeColor="text1"/>
        </w:rPr>
        <w:t>understand</w:t>
      </w:r>
      <w:r w:rsidR="00272C78">
        <w:rPr>
          <w:color w:val="000000" w:themeColor="text1"/>
        </w:rPr>
        <w:t xml:space="preserve"> </w:t>
      </w:r>
      <w:r>
        <w:rPr>
          <w:color w:val="000000" w:themeColor="text1"/>
        </w:rPr>
        <w:t xml:space="preserve">al-Tahtawi to be </w:t>
      </w:r>
      <w:r w:rsidR="00724D8B">
        <w:rPr>
          <w:color w:val="000000" w:themeColor="text1"/>
        </w:rPr>
        <w:t xml:space="preserve">offering a resolution to the </w:t>
      </w:r>
      <w:r w:rsidR="00292820">
        <w:rPr>
          <w:color w:val="000000" w:themeColor="text1"/>
        </w:rPr>
        <w:t>paradox</w:t>
      </w:r>
      <w:r w:rsidR="003348AF">
        <w:rPr>
          <w:color w:val="000000" w:themeColor="text1"/>
        </w:rPr>
        <w:t xml:space="preserve"> that</w:t>
      </w:r>
      <w:r w:rsidR="00724D8B">
        <w:rPr>
          <w:color w:val="000000" w:themeColor="text1"/>
        </w:rPr>
        <w:t xml:space="preserve"> Moosa mentions</w:t>
      </w:r>
      <w:r w:rsidR="004657B9">
        <w:rPr>
          <w:color w:val="000000" w:themeColor="text1"/>
        </w:rPr>
        <w:t xml:space="preserve">, and </w:t>
      </w:r>
      <w:r w:rsidR="00EE75A8">
        <w:rPr>
          <w:color w:val="000000" w:themeColor="text1"/>
        </w:rPr>
        <w:t xml:space="preserve">I </w:t>
      </w:r>
      <w:r w:rsidR="00022D00">
        <w:rPr>
          <w:color w:val="000000" w:themeColor="text1"/>
        </w:rPr>
        <w:t>push against</w:t>
      </w:r>
      <w:r w:rsidR="00EE75A8">
        <w:rPr>
          <w:color w:val="000000" w:themeColor="text1"/>
        </w:rPr>
        <w:t xml:space="preserve"> de Bellaigue’s characterization of al-Tahtawi as a </w:t>
      </w:r>
      <w:r w:rsidR="00022D00">
        <w:rPr>
          <w:color w:val="000000" w:themeColor="text1"/>
        </w:rPr>
        <w:t>representative of an “Islamic Enlightenment</w:t>
      </w:r>
      <w:r w:rsidR="00B67AB6">
        <w:rPr>
          <w:color w:val="000000" w:themeColor="text1"/>
        </w:rPr>
        <w:t>.”</w:t>
      </w:r>
      <w:r w:rsidR="00022D00">
        <w:rPr>
          <w:color w:val="000000" w:themeColor="text1"/>
        </w:rPr>
        <w:t xml:space="preserve">  </w:t>
      </w:r>
      <w:r w:rsidR="004A0CC5">
        <w:rPr>
          <w:color w:val="000000" w:themeColor="text1"/>
        </w:rPr>
        <w:t xml:space="preserve">Al-Tahtawi defies categorization as either </w:t>
      </w:r>
      <w:r w:rsidR="003D42C9">
        <w:rPr>
          <w:color w:val="000000" w:themeColor="text1"/>
        </w:rPr>
        <w:t xml:space="preserve">a hard-core </w:t>
      </w:r>
      <w:r w:rsidR="004A0CC5">
        <w:rPr>
          <w:color w:val="000000" w:themeColor="text1"/>
        </w:rPr>
        <w:t>orthodox traditionalist</w:t>
      </w:r>
      <w:r w:rsidR="003D42C9">
        <w:rPr>
          <w:color w:val="000000" w:themeColor="text1"/>
        </w:rPr>
        <w:t xml:space="preserve"> demanding complete adherence to Islamic tradition or as a </w:t>
      </w:r>
      <w:r w:rsidR="00564FB1">
        <w:rPr>
          <w:color w:val="000000" w:themeColor="text1"/>
        </w:rPr>
        <w:t xml:space="preserve">radical </w:t>
      </w:r>
      <w:r w:rsidR="00EE75A8">
        <w:rPr>
          <w:color w:val="000000" w:themeColor="text1"/>
        </w:rPr>
        <w:t>reformist hoping to promote liberal values in Egypt</w:t>
      </w:r>
      <w:r w:rsidR="007A2D78">
        <w:rPr>
          <w:color w:val="000000" w:themeColor="text1"/>
        </w:rPr>
        <w:t xml:space="preserve"> and make it more “modern</w:t>
      </w:r>
      <w:r w:rsidR="004A0CC5">
        <w:rPr>
          <w:color w:val="000000" w:themeColor="text1"/>
        </w:rPr>
        <w:t>.</w:t>
      </w:r>
      <w:r w:rsidR="007A2D78">
        <w:rPr>
          <w:color w:val="000000" w:themeColor="text1"/>
        </w:rPr>
        <w:t>”</w:t>
      </w:r>
      <w:r w:rsidR="004A0CC5">
        <w:rPr>
          <w:color w:val="000000" w:themeColor="text1"/>
        </w:rPr>
        <w:t xml:space="preserve">  </w:t>
      </w:r>
      <w:r w:rsidR="003D42C9">
        <w:rPr>
          <w:color w:val="000000" w:themeColor="text1"/>
        </w:rPr>
        <w:t>He</w:t>
      </w:r>
      <w:r w:rsidR="00A858B5">
        <w:rPr>
          <w:color w:val="000000" w:themeColor="text1"/>
        </w:rPr>
        <w:t xml:space="preserve"> argues in</w:t>
      </w:r>
      <w:r w:rsidR="003D42C9">
        <w:rPr>
          <w:color w:val="000000" w:themeColor="text1"/>
        </w:rPr>
        <w:t xml:space="preserve">stead </w:t>
      </w:r>
      <w:r w:rsidR="00A858B5">
        <w:rPr>
          <w:color w:val="000000" w:themeColor="text1"/>
        </w:rPr>
        <w:t>that th</w:t>
      </w:r>
      <w:r w:rsidR="00A858B5" w:rsidRPr="00606B72">
        <w:rPr>
          <w:color w:val="000000" w:themeColor="text1"/>
        </w:rPr>
        <w:t xml:space="preserve">e Islamic tradition does not need to be replaced by </w:t>
      </w:r>
      <w:r w:rsidR="009A5BF7">
        <w:rPr>
          <w:color w:val="000000" w:themeColor="text1"/>
        </w:rPr>
        <w:t>liberal</w:t>
      </w:r>
      <w:r w:rsidR="00A858B5" w:rsidRPr="00606B72">
        <w:rPr>
          <w:color w:val="000000" w:themeColor="text1"/>
        </w:rPr>
        <w:t xml:space="preserve"> values because, in its most authentic form, it is already defined by a degree of malleability and adaptability in the face of the contingencies of the changing world around it. </w:t>
      </w:r>
      <w:r w:rsidR="004A0CC5">
        <w:rPr>
          <w:color w:val="000000" w:themeColor="text1"/>
        </w:rPr>
        <w:t xml:space="preserve"> </w:t>
      </w:r>
      <w:r w:rsidR="00A858B5" w:rsidRPr="00606B72">
        <w:rPr>
          <w:color w:val="000000" w:themeColor="text1"/>
        </w:rPr>
        <w:t xml:space="preserve">Through his use of </w:t>
      </w:r>
      <w:r w:rsidR="00A858B5" w:rsidRPr="00606B72">
        <w:rPr>
          <w:i/>
          <w:iCs/>
          <w:color w:val="000000" w:themeColor="text1"/>
        </w:rPr>
        <w:t>nasīha</w:t>
      </w:r>
      <w:r w:rsidR="00A858B5" w:rsidRPr="00606B72">
        <w:rPr>
          <w:color w:val="000000" w:themeColor="text1"/>
        </w:rPr>
        <w:t xml:space="preserve">, </w:t>
      </w:r>
      <w:r w:rsidR="00D40ED6">
        <w:rPr>
          <w:color w:val="000000" w:themeColor="text1"/>
        </w:rPr>
        <w:t xml:space="preserve">a traditional genre of </w:t>
      </w:r>
      <w:r w:rsidR="00D40ED6">
        <w:rPr>
          <w:color w:val="000000" w:themeColor="text1"/>
        </w:rPr>
        <w:lastRenderedPageBreak/>
        <w:t xml:space="preserve">Islamic political writing, </w:t>
      </w:r>
      <w:r w:rsidR="004A0CC5">
        <w:rPr>
          <w:color w:val="000000" w:themeColor="text1"/>
        </w:rPr>
        <w:t>al-Tahtawi troubles the strict division between tradition and change by arguing that cer</w:t>
      </w:r>
      <w:r w:rsidR="00A858B5" w:rsidRPr="00606B72">
        <w:rPr>
          <w:color w:val="000000" w:themeColor="text1"/>
        </w:rPr>
        <w:t xml:space="preserve">tain changes, even those of European provenance, can be incorporated into Egyptian and Ottoman society without compromising its Islamic identity—Islamic tradition is more than rote repetition of a particular idyllic past, but rather is sustained and propelled forward through dialogue and interaction with the rest of the world.  </w:t>
      </w:r>
    </w:p>
    <w:p w14:paraId="568FAF33" w14:textId="00098A3A" w:rsidR="00F53AFC" w:rsidRPr="00606B72" w:rsidRDefault="00F53AFC" w:rsidP="00822E02">
      <w:pPr>
        <w:spacing w:before="240" w:after="240" w:line="480" w:lineRule="auto"/>
        <w:jc w:val="center"/>
        <w:rPr>
          <w:u w:val="single"/>
        </w:rPr>
      </w:pPr>
      <w:r w:rsidRPr="00606B72">
        <w:rPr>
          <w:u w:val="single"/>
        </w:rPr>
        <w:t>Historical Context</w:t>
      </w:r>
      <w:r w:rsidR="001C560F" w:rsidRPr="00606B72">
        <w:rPr>
          <w:u w:val="single"/>
        </w:rPr>
        <w:t>:</w:t>
      </w:r>
      <w:r w:rsidR="001304AD">
        <w:rPr>
          <w:u w:val="single"/>
        </w:rPr>
        <w:t xml:space="preserve"> E</w:t>
      </w:r>
      <w:r w:rsidR="001C560F" w:rsidRPr="00606B72">
        <w:rPr>
          <w:u w:val="single"/>
        </w:rPr>
        <w:t>gypt in Flux</w:t>
      </w:r>
    </w:p>
    <w:p w14:paraId="12A84CDE" w14:textId="4CB162CB" w:rsidR="00633A3F" w:rsidRPr="00606B72" w:rsidRDefault="008C30E4" w:rsidP="00795644">
      <w:pPr>
        <w:spacing w:line="480" w:lineRule="auto"/>
      </w:pPr>
      <w:r w:rsidRPr="00606B72">
        <w:tab/>
      </w:r>
      <w:r w:rsidR="00AC2069">
        <w:t>A</w:t>
      </w:r>
      <w:r w:rsidR="00BC574A" w:rsidRPr="00606B72">
        <w:t>l-Tahtawi</w:t>
      </w:r>
      <w:r w:rsidR="00A0516A" w:rsidRPr="00606B72">
        <w:t xml:space="preserve"> </w:t>
      </w:r>
      <w:r w:rsidR="00154D00" w:rsidRPr="00606B72">
        <w:t xml:space="preserve">was </w:t>
      </w:r>
      <w:r w:rsidR="00A0516A" w:rsidRPr="00606B72">
        <w:t>born</w:t>
      </w:r>
      <w:r w:rsidR="00AC2069">
        <w:t xml:space="preserve"> into a historical milieu</w:t>
      </w:r>
      <w:r w:rsidR="00154D00" w:rsidRPr="00606B72">
        <w:t xml:space="preserve"> </w:t>
      </w:r>
      <w:r w:rsidR="00974DDB" w:rsidRPr="00606B72">
        <w:t xml:space="preserve">defined by </w:t>
      </w:r>
      <w:r w:rsidR="00410A05" w:rsidRPr="00606B72">
        <w:t>political, cultural, and military transition</w:t>
      </w:r>
      <w:r w:rsidR="00A0516A" w:rsidRPr="00606B72">
        <w:t xml:space="preserve">. </w:t>
      </w:r>
      <w:r w:rsidR="00795644" w:rsidRPr="00606B72">
        <w:t xml:space="preserve"> </w:t>
      </w:r>
      <w:r w:rsidR="00617747" w:rsidRPr="00606B72">
        <w:t xml:space="preserve">In </w:t>
      </w:r>
      <w:r w:rsidR="00795644" w:rsidRPr="00606B72">
        <w:t>Egypt, the nineteenth century began in the midst of</w:t>
      </w:r>
      <w:r w:rsidR="00617747" w:rsidRPr="00606B72">
        <w:t xml:space="preserve"> Napoleon Bonaparte</w:t>
      </w:r>
      <w:r w:rsidR="00795644" w:rsidRPr="00606B72">
        <w:t>’s ill-fated</w:t>
      </w:r>
      <w:r w:rsidR="00986BA4" w:rsidRPr="00606B72">
        <w:t xml:space="preserve"> </w:t>
      </w:r>
      <w:r w:rsidRPr="00606B72">
        <w:t>occupation</w:t>
      </w:r>
      <w:r w:rsidR="00795644" w:rsidRPr="00606B72">
        <w:t xml:space="preserve"> of the </w:t>
      </w:r>
      <w:r w:rsidR="001304AD">
        <w:t xml:space="preserve">Ottoman </w:t>
      </w:r>
      <w:r w:rsidR="00795644" w:rsidRPr="00606B72">
        <w:t>province</w:t>
      </w:r>
      <w:r w:rsidR="00D159D1" w:rsidRPr="00606B72">
        <w:t>, which, despite lasting</w:t>
      </w:r>
      <w:r w:rsidR="00250555" w:rsidRPr="00606B72">
        <w:t xml:space="preserve"> only from 1798 to 1801, h</w:t>
      </w:r>
      <w:r w:rsidR="00814411" w:rsidRPr="00606B72">
        <w:t xml:space="preserve">ad a lasting impact on Egyptian society and politics.  </w:t>
      </w:r>
      <w:r w:rsidR="00413CE7" w:rsidRPr="00606B72">
        <w:t>Justifying the invasion as an extensio</w:t>
      </w:r>
      <w:r w:rsidR="004E347B" w:rsidRPr="00606B72">
        <w:t xml:space="preserve">n of the </w:t>
      </w:r>
      <w:r w:rsidR="00413CE7" w:rsidRPr="00606B72">
        <w:t xml:space="preserve">liberating ideals of the </w:t>
      </w:r>
      <w:r w:rsidR="00945CA0" w:rsidRPr="00606B72">
        <w:t>French R</w:t>
      </w:r>
      <w:r w:rsidR="00413CE7" w:rsidRPr="00606B72">
        <w:t xml:space="preserve">evolution to </w:t>
      </w:r>
      <w:r w:rsidR="00B9718B" w:rsidRPr="00606B72">
        <w:t xml:space="preserve">a </w:t>
      </w:r>
      <w:r w:rsidR="00413CE7" w:rsidRPr="00606B72">
        <w:t xml:space="preserve">new land, Napoleon recognized the importance of emphasizing the compatibility of revolutionary </w:t>
      </w:r>
      <w:r w:rsidR="00CA3432" w:rsidRPr="00606B72">
        <w:t>ideals</w:t>
      </w:r>
      <w:r w:rsidR="00413CE7" w:rsidRPr="00606B72">
        <w:t xml:space="preserve"> with</w:t>
      </w:r>
      <w:r w:rsidR="004E347B" w:rsidRPr="00606B72">
        <w:t xml:space="preserve"> traditional Islamic values.</w:t>
      </w:r>
      <w:r w:rsidR="00413CE7" w:rsidRPr="00606B72">
        <w:t xml:space="preserve">  </w:t>
      </w:r>
      <w:r w:rsidR="00BB2E2C" w:rsidRPr="00606B72">
        <w:t>The French</w:t>
      </w:r>
      <w:r w:rsidR="009A3F1D" w:rsidRPr="00606B72">
        <w:t xml:space="preserve"> claimed that they</w:t>
      </w:r>
      <w:r w:rsidR="00D71035" w:rsidRPr="00606B72">
        <w:t xml:space="preserve"> </w:t>
      </w:r>
      <w:r w:rsidR="00B9718B" w:rsidRPr="00606B72">
        <w:t>had no intent</w:t>
      </w:r>
      <w:r w:rsidR="00C64AA5" w:rsidRPr="00606B72">
        <w:t xml:space="preserve">ion </w:t>
      </w:r>
      <w:r w:rsidR="00B9718B" w:rsidRPr="00606B72">
        <w:t>of overthrowing traditional Islamic practices: rather,</w:t>
      </w:r>
      <w:r w:rsidR="00D71035" w:rsidRPr="00606B72">
        <w:t xml:space="preserve"> they</w:t>
      </w:r>
      <w:r w:rsidR="00BB2E2C" w:rsidRPr="00606B72">
        <w:t xml:space="preserve"> were merely freeing the Egyptian people from the clutches of the </w:t>
      </w:r>
      <w:r w:rsidR="00AA1B1A">
        <w:t>M</w:t>
      </w:r>
      <w:r w:rsidR="00BD6A19">
        <w:t>amluks</w:t>
      </w:r>
      <w:r w:rsidR="00BB2E2C" w:rsidRPr="00606B72">
        <w:t xml:space="preserve">, the dynasty </w:t>
      </w:r>
      <w:r w:rsidR="00C77393" w:rsidRPr="00606B72">
        <w:t xml:space="preserve">of typically foreign-born slave-soldiers </w:t>
      </w:r>
      <w:r w:rsidR="00BB2E2C" w:rsidRPr="00606B72">
        <w:t xml:space="preserve">that </w:t>
      </w:r>
      <w:r w:rsidR="001646D6" w:rsidRPr="00606B72">
        <w:t xml:space="preserve">had </w:t>
      </w:r>
      <w:r w:rsidR="00BB2E2C" w:rsidRPr="00606B72">
        <w:t>ruled</w:t>
      </w:r>
      <w:r w:rsidR="00D37C09">
        <w:t xml:space="preserve"> Egypt</w:t>
      </w:r>
      <w:r w:rsidR="00BB2E2C" w:rsidRPr="00606B72">
        <w:t xml:space="preserve"> semi-independent</w:t>
      </w:r>
      <w:r w:rsidR="00D37C09">
        <w:t>ly</w:t>
      </w:r>
      <w:r w:rsidR="00BB2E2C" w:rsidRPr="00606B72">
        <w:t xml:space="preserve"> of the Ottoman Empire</w:t>
      </w:r>
      <w:r w:rsidR="00664FF4">
        <w:t xml:space="preserve"> for centuries</w:t>
      </w:r>
      <w:r w:rsidR="00BB2E2C" w:rsidRPr="00606B72">
        <w:t xml:space="preserve">.  </w:t>
      </w:r>
      <w:r w:rsidR="00C22638" w:rsidRPr="00606B72">
        <w:t xml:space="preserve">Upon arrival, </w:t>
      </w:r>
      <w:r w:rsidR="003C1BF0" w:rsidRPr="00606B72">
        <w:t xml:space="preserve">Napoleon published these justifications in a series of letters intended to reassure the local population of his affinity for Islam and his benevolent political intentions.  </w:t>
      </w:r>
    </w:p>
    <w:p w14:paraId="08699407" w14:textId="7CBA4A35" w:rsidR="00C22638" w:rsidRPr="00606B72" w:rsidRDefault="00633A3F" w:rsidP="00C93F8A">
      <w:pPr>
        <w:spacing w:line="480" w:lineRule="auto"/>
      </w:pPr>
      <w:r w:rsidRPr="00606B72">
        <w:tab/>
      </w:r>
      <w:r w:rsidR="00412812" w:rsidRPr="00606B72">
        <w:t>Of course, Napoleon</w:t>
      </w:r>
      <w:r w:rsidR="00E71B4A" w:rsidRPr="00606B72">
        <w:t>’</w:t>
      </w:r>
      <w:r w:rsidR="00412812" w:rsidRPr="00606B72">
        <w:t xml:space="preserve">s apparent Islamic piety </w:t>
      </w:r>
      <w:r w:rsidR="007A0BF2" w:rsidRPr="00606B72">
        <w:t xml:space="preserve">and </w:t>
      </w:r>
      <w:r w:rsidR="00307D40" w:rsidRPr="00606B72">
        <w:t xml:space="preserve">his </w:t>
      </w:r>
      <w:r w:rsidR="007A0BF2" w:rsidRPr="00606B72">
        <w:t xml:space="preserve">emancipatory claims </w:t>
      </w:r>
      <w:r w:rsidR="00412812" w:rsidRPr="00606B72">
        <w:t>w</w:t>
      </w:r>
      <w:r w:rsidR="007A0BF2" w:rsidRPr="00606B72">
        <w:t>ere</w:t>
      </w:r>
      <w:r w:rsidR="00412812" w:rsidRPr="00606B72">
        <w:t xml:space="preserve"> a thinly veiled attempt to curry favor with the local religious elite</w:t>
      </w:r>
      <w:r w:rsidR="001C37A6" w:rsidRPr="00606B72">
        <w:t xml:space="preserve">, known in Arabic as the </w:t>
      </w:r>
      <w:r w:rsidR="001559FD" w:rsidRPr="00606B72">
        <w:t>ʿ</w:t>
      </w:r>
      <w:r w:rsidR="001C37A6" w:rsidRPr="00606B72">
        <w:t>ulam</w:t>
      </w:r>
      <w:r w:rsidR="00BF1E7C" w:rsidRPr="00606B72">
        <w:t>a</w:t>
      </w:r>
      <w:r w:rsidR="001559FD" w:rsidRPr="00606B72">
        <w:t>ʾ</w:t>
      </w:r>
      <w:r w:rsidR="001C37A6" w:rsidRPr="00606B72">
        <w:t>,</w:t>
      </w:r>
      <w:r w:rsidR="007A0BF2" w:rsidRPr="00606B72">
        <w:t xml:space="preserve"> and </w:t>
      </w:r>
      <w:r w:rsidR="001C37A6" w:rsidRPr="00606B72">
        <w:t xml:space="preserve">to </w:t>
      </w:r>
      <w:r w:rsidR="008F7A2B" w:rsidRPr="00606B72">
        <w:t>preempt</w:t>
      </w:r>
      <w:r w:rsidR="00AC60DD" w:rsidRPr="00606B72">
        <w:t xml:space="preserve"> the formation of </w:t>
      </w:r>
      <w:r w:rsidR="007A0BF2" w:rsidRPr="00606B72">
        <w:t xml:space="preserve">any </w:t>
      </w:r>
      <w:r w:rsidR="008F7A2B" w:rsidRPr="00606B72">
        <w:t xml:space="preserve">potential popular </w:t>
      </w:r>
      <w:r w:rsidR="007A0BF2" w:rsidRPr="00606B72">
        <w:t>insurgency</w:t>
      </w:r>
      <w:r w:rsidR="00412812" w:rsidRPr="00606B72">
        <w:t xml:space="preserve">.  </w:t>
      </w:r>
      <w:r w:rsidR="008C792B" w:rsidRPr="00606B72">
        <w:t>In the words of</w:t>
      </w:r>
      <w:r w:rsidR="00412812" w:rsidRPr="00606B72">
        <w:t xml:space="preserve"> Dominique Martin Dupuy, one of Napoleon</w:t>
      </w:r>
      <w:r w:rsidR="008735A0" w:rsidRPr="00606B72">
        <w:t xml:space="preserve">’s </w:t>
      </w:r>
      <w:r w:rsidR="00412812" w:rsidRPr="00606B72">
        <w:t xml:space="preserve">officers, </w:t>
      </w:r>
      <w:r w:rsidR="008E16AC" w:rsidRPr="00606B72">
        <w:t>“</w:t>
      </w:r>
      <w:r w:rsidR="00412812" w:rsidRPr="00606B72">
        <w:t>Nous trompons les Egyptiens par notre simili-attachement à leur religion, à laquelle Bonaparte et nous ne croyons pas plus qu</w:t>
      </w:r>
      <w:r w:rsidR="00FD7D96" w:rsidRPr="00606B72">
        <w:t>’</w:t>
      </w:r>
      <w:r w:rsidR="00412812" w:rsidRPr="00606B72">
        <w:t>à celle de Pie le défunt</w:t>
      </w:r>
      <w:r w:rsidR="008E16AC" w:rsidRPr="00606B72">
        <w:t>”</w:t>
      </w:r>
      <w:r w:rsidR="00EC5CC0" w:rsidRPr="00606B72">
        <w:t xml:space="preserve"> </w:t>
      </w:r>
      <w:r w:rsidR="00EC5CC0" w:rsidRPr="00606B72">
        <w:lastRenderedPageBreak/>
        <w:t>(Bainville</w:t>
      </w:r>
      <w:r w:rsidR="00024666">
        <w:t>,</w:t>
      </w:r>
      <w:r w:rsidR="00EC5CC0" w:rsidRPr="00606B72">
        <w:t xml:space="preserve"> 1931</w:t>
      </w:r>
      <w:r w:rsidR="00024666">
        <w:t>:</w:t>
      </w:r>
      <w:r w:rsidR="00EC5CC0" w:rsidRPr="00606B72">
        <w:t xml:space="preserve"> 119).</w:t>
      </w:r>
      <w:r w:rsidR="00412812" w:rsidRPr="00606B72">
        <w:rPr>
          <w:rStyle w:val="FootnoteReference"/>
        </w:rPr>
        <w:footnoteReference w:id="4"/>
      </w:r>
      <w:r w:rsidR="008C792B" w:rsidRPr="00606B72">
        <w:t xml:space="preserve">  </w:t>
      </w:r>
      <w:r w:rsidR="00207A0D" w:rsidRPr="00606B72">
        <w:t>The local Egyptians recognized Napoleon</w:t>
      </w:r>
      <w:r w:rsidR="000D3861" w:rsidRPr="00606B72">
        <w:t>’</w:t>
      </w:r>
      <w:r w:rsidR="00207A0D" w:rsidRPr="00606B72">
        <w:t xml:space="preserve">s piety as false, as the chronicler </w:t>
      </w:r>
      <w:r w:rsidR="008E1A94" w:rsidRPr="00606B72">
        <w:t>ʿ</w:t>
      </w:r>
      <w:r w:rsidR="00207A0D" w:rsidRPr="00606B72">
        <w:t>Abd al-Rahman al-</w:t>
      </w:r>
      <w:r w:rsidR="00BD6A19">
        <w:t>Jabarti</w:t>
      </w:r>
      <w:r w:rsidR="00C8026E" w:rsidRPr="00606B72">
        <w:t xml:space="preserve">, a first-hand witness of the invasion, </w:t>
      </w:r>
      <w:r w:rsidR="00207A0D" w:rsidRPr="00606B72">
        <w:t xml:space="preserve">attests in his rather amusingly meticulous, line-by-line </w:t>
      </w:r>
      <w:r w:rsidR="00E331C1" w:rsidRPr="00606B72">
        <w:t>excoriation</w:t>
      </w:r>
      <w:r w:rsidR="00207A0D" w:rsidRPr="00606B72">
        <w:t xml:space="preserve"> of </w:t>
      </w:r>
      <w:r w:rsidR="007F3660" w:rsidRPr="00606B72">
        <w:t>the first epistle published by Napoleon to the Egyptian people</w:t>
      </w:r>
      <w:r w:rsidR="00207A0D" w:rsidRPr="00606B72">
        <w:t xml:space="preserve">, </w:t>
      </w:r>
      <w:r w:rsidR="009702F7" w:rsidRPr="00606B72">
        <w:t xml:space="preserve">viciously </w:t>
      </w:r>
      <w:r w:rsidR="00207A0D" w:rsidRPr="00606B72">
        <w:t xml:space="preserve">mocking him for a </w:t>
      </w:r>
      <w:r w:rsidR="008F7A2B" w:rsidRPr="00606B72">
        <w:t>litany</w:t>
      </w:r>
      <w:r w:rsidR="00207A0D" w:rsidRPr="00606B72">
        <w:t xml:space="preserve"> of reasons</w:t>
      </w:r>
      <w:r w:rsidR="00835696" w:rsidRPr="00606B72">
        <w:t>,</w:t>
      </w:r>
      <w:r w:rsidR="00207A0D" w:rsidRPr="00606B72">
        <w:t xml:space="preserve"> from </w:t>
      </w:r>
      <w:r w:rsidR="00A4590F" w:rsidRPr="00606B72">
        <w:t xml:space="preserve">the </w:t>
      </w:r>
      <w:r w:rsidR="006C5D63" w:rsidRPr="00606B72">
        <w:t xml:space="preserve">blatantly </w:t>
      </w:r>
      <w:r w:rsidR="00A4590F" w:rsidRPr="00606B72">
        <w:t>un-Islamic practices of the French people</w:t>
      </w:r>
      <w:r w:rsidR="00207A0D" w:rsidRPr="00606B72">
        <w:t xml:space="preserve"> to </w:t>
      </w:r>
      <w:r w:rsidR="00835696" w:rsidRPr="00606B72">
        <w:t xml:space="preserve">the many grammatical </w:t>
      </w:r>
      <w:r w:rsidR="00946729" w:rsidRPr="00606B72">
        <w:t xml:space="preserve">and linguistic </w:t>
      </w:r>
      <w:r w:rsidR="00835696" w:rsidRPr="00606B72">
        <w:t>errors contained within the letter</w:t>
      </w:r>
      <w:r w:rsidR="00EC5CC0" w:rsidRPr="00606B72">
        <w:t xml:space="preserve"> (2003, 27-33).</w:t>
      </w:r>
      <w:r w:rsidR="00207A0D" w:rsidRPr="00606B72">
        <w:t xml:space="preserve">  </w:t>
      </w:r>
    </w:p>
    <w:p w14:paraId="5093B677" w14:textId="771771EC" w:rsidR="00814411" w:rsidRPr="00606B72" w:rsidRDefault="00C22638" w:rsidP="00C93F8A">
      <w:pPr>
        <w:spacing w:line="480" w:lineRule="auto"/>
      </w:pPr>
      <w:r w:rsidRPr="00606B72">
        <w:tab/>
      </w:r>
      <w:r w:rsidR="00814411" w:rsidRPr="00606B72">
        <w:t xml:space="preserve">The </w:t>
      </w:r>
      <w:r w:rsidR="00C67B32" w:rsidRPr="00606B72">
        <w:t xml:space="preserve">military </w:t>
      </w:r>
      <w:r w:rsidR="009B7D27" w:rsidRPr="00606B72">
        <w:t>invasion</w:t>
      </w:r>
      <w:r w:rsidR="00814411" w:rsidRPr="00606B72">
        <w:t xml:space="preserve"> </w:t>
      </w:r>
      <w:r w:rsidR="009B7D27" w:rsidRPr="00606B72">
        <w:t>brought with it a cultural</w:t>
      </w:r>
      <w:r w:rsidR="009435E2" w:rsidRPr="00606B72">
        <w:t xml:space="preserve"> one: </w:t>
      </w:r>
      <w:r w:rsidR="00835696" w:rsidRPr="00606B72">
        <w:t>Napoleon</w:t>
      </w:r>
      <w:r w:rsidR="00C706BB" w:rsidRPr="00606B72">
        <w:t>’</w:t>
      </w:r>
      <w:r w:rsidR="00835696" w:rsidRPr="00606B72">
        <w:t xml:space="preserve">s goal was not merely to overthrow the </w:t>
      </w:r>
      <w:r w:rsidR="00BD6A19">
        <w:t>Mamluk</w:t>
      </w:r>
      <w:r w:rsidR="00835696" w:rsidRPr="00606B72">
        <w:t xml:space="preserve"> dynasty but</w:t>
      </w:r>
      <w:r w:rsidR="009B7D27" w:rsidRPr="00606B72">
        <w:t xml:space="preserve"> </w:t>
      </w:r>
      <w:r w:rsidR="00835696" w:rsidRPr="00606B72">
        <w:t xml:space="preserve">to establish an </w:t>
      </w:r>
      <w:r w:rsidR="00C90189" w:rsidRPr="00606B72">
        <w:t>e</w:t>
      </w:r>
      <w:r w:rsidR="00835696" w:rsidRPr="00606B72">
        <w:t>nlightened, revolutionary</w:t>
      </w:r>
      <w:r w:rsidR="00C90189" w:rsidRPr="00606B72">
        <w:t>, and republican</w:t>
      </w:r>
      <w:r w:rsidR="00835696" w:rsidRPr="00606B72">
        <w:t xml:space="preserve"> state.  </w:t>
      </w:r>
      <w:r w:rsidR="00AD02B0" w:rsidRPr="00606B72">
        <w:t xml:space="preserve">According to </w:t>
      </w:r>
      <w:r w:rsidR="007456AA" w:rsidRPr="00606B72">
        <w:t>Jacques Bainville, a</w:t>
      </w:r>
      <w:r w:rsidR="003D42C9">
        <w:t>n early-20</w:t>
      </w:r>
      <w:r w:rsidR="003D42C9" w:rsidRPr="003D42C9">
        <w:rPr>
          <w:vertAlign w:val="superscript"/>
        </w:rPr>
        <w:t>th</w:t>
      </w:r>
      <w:r w:rsidR="003D42C9">
        <w:t xml:space="preserve"> century</w:t>
      </w:r>
      <w:r w:rsidR="0029110B" w:rsidRPr="00606B72">
        <w:t xml:space="preserve"> </w:t>
      </w:r>
      <w:r w:rsidR="00577C6B" w:rsidRPr="00606B72">
        <w:t xml:space="preserve">French </w:t>
      </w:r>
      <w:r w:rsidR="00351943" w:rsidRPr="00606B72">
        <w:t>monarchist and</w:t>
      </w:r>
      <w:r w:rsidR="007456AA" w:rsidRPr="00606B72">
        <w:t xml:space="preserve"> </w:t>
      </w:r>
      <w:r w:rsidR="0031445B" w:rsidRPr="00606B72">
        <w:t xml:space="preserve">critical </w:t>
      </w:r>
      <w:r w:rsidR="007456AA" w:rsidRPr="00606B72">
        <w:t>biographer of Napoleon</w:t>
      </w:r>
      <w:r w:rsidR="00AD02B0" w:rsidRPr="00606B72">
        <w:t xml:space="preserve">, </w:t>
      </w:r>
      <w:r w:rsidR="008E16AC" w:rsidRPr="00606B72">
        <w:t>“</w:t>
      </w:r>
      <w:r w:rsidR="00AD02B0" w:rsidRPr="00606B72">
        <w:t>Il part pour l</w:t>
      </w:r>
      <w:r w:rsidR="00C814B0" w:rsidRPr="00606B72">
        <w:t>’</w:t>
      </w:r>
      <w:r w:rsidR="00AD02B0" w:rsidRPr="00606B72">
        <w:t xml:space="preserve">Egypte avec des soldats et aussi avec des savants, des artistes, des ingénieurs, des naturalists, des jurists, de quoi composer une administration, fonder un Etat, render </w:t>
      </w:r>
      <w:r w:rsidR="00C814B0" w:rsidRPr="00606B72">
        <w:t>à</w:t>
      </w:r>
      <w:r w:rsidR="00AD02B0" w:rsidRPr="00606B72">
        <w:t xml:space="preserve"> la lumière ce qui dort sous la terre des Pharaons, mettre en valeur les richesses du pays, preparer le percement de l</w:t>
      </w:r>
      <w:r w:rsidR="00C814B0" w:rsidRPr="00606B72">
        <w:t>’</w:t>
      </w:r>
      <w:r w:rsidR="00AD02B0" w:rsidRPr="00606B72">
        <w:t>isthme de Suez</w:t>
      </w:r>
      <w:r w:rsidR="008E16AC" w:rsidRPr="00606B72">
        <w:t>”</w:t>
      </w:r>
      <w:r w:rsidR="00EC5CC0" w:rsidRPr="00606B72">
        <w:t xml:space="preserve"> (1931</w:t>
      </w:r>
      <w:r w:rsidR="00F403B7">
        <w:t>:</w:t>
      </w:r>
      <w:r w:rsidR="00EC5CC0" w:rsidRPr="00606B72">
        <w:t xml:space="preserve"> 119).</w:t>
      </w:r>
      <w:r w:rsidR="00835696" w:rsidRPr="00606B72">
        <w:t xml:space="preserve">  </w:t>
      </w:r>
      <w:r w:rsidR="008D6FD5" w:rsidRPr="00606B72">
        <w:t xml:space="preserve">These </w:t>
      </w:r>
      <w:r w:rsidR="008E16AC" w:rsidRPr="00606B72">
        <w:t>“</w:t>
      </w:r>
      <w:r w:rsidR="008D6FD5" w:rsidRPr="00606B72">
        <w:t>cultural ambassadors</w:t>
      </w:r>
      <w:r w:rsidR="008E16AC" w:rsidRPr="00606B72">
        <w:t xml:space="preserve">” </w:t>
      </w:r>
      <w:r w:rsidR="008D6FD5" w:rsidRPr="00606B72">
        <w:t xml:space="preserve">led to the production of a variety of fascinating cultural artifacts, including </w:t>
      </w:r>
      <w:r w:rsidR="00814411" w:rsidRPr="00606B72">
        <w:t>the massive</w:t>
      </w:r>
      <w:r w:rsidR="008F7A2B" w:rsidRPr="00606B72">
        <w:t>,</w:t>
      </w:r>
      <w:r w:rsidR="00485116" w:rsidRPr="00606B72">
        <w:t xml:space="preserve"> </w:t>
      </w:r>
      <w:r w:rsidR="00CF6325" w:rsidRPr="00606B72">
        <w:t>multi</w:t>
      </w:r>
      <w:r w:rsidR="00485116" w:rsidRPr="00606B72">
        <w:t>-volume</w:t>
      </w:r>
      <w:r w:rsidR="00814411" w:rsidRPr="00606B72">
        <w:t xml:space="preserve"> </w:t>
      </w:r>
      <w:r w:rsidR="00485116" w:rsidRPr="00606B72">
        <w:rPr>
          <w:i/>
          <w:iCs/>
        </w:rPr>
        <w:t>Description de l’Égypte</w:t>
      </w:r>
      <w:r w:rsidR="003132C1" w:rsidRPr="00606B72">
        <w:t xml:space="preserve"> </w:t>
      </w:r>
      <w:r w:rsidR="008D6FD5" w:rsidRPr="00606B72">
        <w:t xml:space="preserve">and </w:t>
      </w:r>
      <w:r w:rsidR="00485116" w:rsidRPr="00606B72">
        <w:t xml:space="preserve">the </w:t>
      </w:r>
      <w:r w:rsidR="007A5BCF" w:rsidRPr="00606B72">
        <w:t>establishment</w:t>
      </w:r>
      <w:r w:rsidR="00485116" w:rsidRPr="00606B72">
        <w:t xml:space="preserve"> of </w:t>
      </w:r>
      <w:r w:rsidR="00F65959" w:rsidRPr="00606B72">
        <w:t>a French-style Egyptological society,</w:t>
      </w:r>
      <w:r w:rsidR="00485116" w:rsidRPr="00606B72">
        <w:t xml:space="preserve"> </w:t>
      </w:r>
      <w:r w:rsidR="00376C65" w:rsidRPr="00606B72">
        <w:t xml:space="preserve">the </w:t>
      </w:r>
      <w:r w:rsidR="00485116" w:rsidRPr="00606B72">
        <w:t>Institut d</w:t>
      </w:r>
      <w:r w:rsidR="00C814B0" w:rsidRPr="00606B72">
        <w:t>’E</w:t>
      </w:r>
      <w:r w:rsidR="00485116" w:rsidRPr="00606B72">
        <w:t>gypte</w:t>
      </w:r>
      <w:r w:rsidR="00376C65" w:rsidRPr="00606B72">
        <w:t>,</w:t>
      </w:r>
      <w:r w:rsidR="00F65959" w:rsidRPr="00606B72">
        <w:t xml:space="preserve"> </w:t>
      </w:r>
      <w:r w:rsidR="00485116" w:rsidRPr="00606B72">
        <w:t>in Cairo</w:t>
      </w:r>
      <w:r w:rsidR="00EC5CC0" w:rsidRPr="00606B72">
        <w:t xml:space="preserve"> (Tageldin</w:t>
      </w:r>
      <w:r w:rsidR="00571825">
        <w:t>,</w:t>
      </w:r>
      <w:r w:rsidR="00EC5CC0" w:rsidRPr="00606B72">
        <w:t xml:space="preserve"> 2011</w:t>
      </w:r>
      <w:r w:rsidR="00571825">
        <w:t>:</w:t>
      </w:r>
      <w:r w:rsidR="00EC5CC0" w:rsidRPr="00606B72">
        <w:t xml:space="preserve"> 111)</w:t>
      </w:r>
      <w:r w:rsidR="00485116" w:rsidRPr="00606B72">
        <w:t>.</w:t>
      </w:r>
      <w:r w:rsidR="000339B2" w:rsidRPr="00606B72">
        <w:rPr>
          <w:rStyle w:val="FootnoteReference"/>
        </w:rPr>
        <w:footnoteReference w:id="5"/>
      </w:r>
    </w:p>
    <w:p w14:paraId="26E56FFA" w14:textId="59229400" w:rsidR="00A970A5" w:rsidRPr="00606B72" w:rsidRDefault="00464A10" w:rsidP="00464A10">
      <w:pPr>
        <w:spacing w:line="480" w:lineRule="auto"/>
        <w:rPr>
          <w:i/>
          <w:iCs/>
        </w:rPr>
      </w:pPr>
      <w:r w:rsidRPr="00606B72">
        <w:tab/>
      </w:r>
      <w:r w:rsidR="00E41A5A" w:rsidRPr="00606B72">
        <w:t>Napoleon</w:t>
      </w:r>
      <w:r w:rsidR="00BE1F7C" w:rsidRPr="00606B72">
        <w:t>’</w:t>
      </w:r>
      <w:r w:rsidR="00E41A5A" w:rsidRPr="00606B72">
        <w:t>s desire to create a new</w:t>
      </w:r>
      <w:r w:rsidR="0014648B" w:rsidRPr="00606B72">
        <w:t>,</w:t>
      </w:r>
      <w:r w:rsidR="00E41A5A" w:rsidRPr="00606B72">
        <w:t xml:space="preserve"> enlightened state in Egypt, however, was cut short by a </w:t>
      </w:r>
      <w:r w:rsidR="00B2463E" w:rsidRPr="00606B72">
        <w:t>myriad</w:t>
      </w:r>
      <w:r w:rsidR="00E41A5A" w:rsidRPr="00606B72">
        <w:t xml:space="preserve"> of </w:t>
      </w:r>
      <w:r w:rsidR="004B5E66" w:rsidRPr="00606B72">
        <w:t xml:space="preserve">military </w:t>
      </w:r>
      <w:r w:rsidR="00BC7E4C" w:rsidRPr="00606B72">
        <w:t>blunders</w:t>
      </w:r>
      <w:r w:rsidR="004B5E66" w:rsidRPr="00606B72">
        <w:t>:</w:t>
      </w:r>
      <w:r w:rsidR="00624B93" w:rsidRPr="00606B72">
        <w:rPr>
          <w:color w:val="FF0000"/>
        </w:rPr>
        <w:t xml:space="preserve"> </w:t>
      </w:r>
      <w:r w:rsidR="00E41A5A" w:rsidRPr="00606B72">
        <w:t xml:space="preserve">the British </w:t>
      </w:r>
      <w:r w:rsidR="002C34B6" w:rsidRPr="00606B72">
        <w:t xml:space="preserve">fleet, under the command of </w:t>
      </w:r>
      <w:r w:rsidR="00E41A5A" w:rsidRPr="00606B72">
        <w:t xml:space="preserve">Admiral </w:t>
      </w:r>
      <w:r w:rsidR="00B91D93" w:rsidRPr="00606B72">
        <w:t xml:space="preserve">Horatio </w:t>
      </w:r>
      <w:r w:rsidR="00E41A5A" w:rsidRPr="00606B72">
        <w:t>Nelso</w:t>
      </w:r>
      <w:r w:rsidR="004C74B2" w:rsidRPr="00606B72">
        <w:t>n</w:t>
      </w:r>
      <w:r w:rsidR="00B91D93" w:rsidRPr="00606B72">
        <w:t>,</w:t>
      </w:r>
      <w:r w:rsidR="00E41A5A" w:rsidRPr="00606B72">
        <w:t xml:space="preserve"> </w:t>
      </w:r>
      <w:r w:rsidR="00E41A5A" w:rsidRPr="00606B72">
        <w:lastRenderedPageBreak/>
        <w:t xml:space="preserve">destroyed the French fleet at the Battle of the Nile </w:t>
      </w:r>
      <w:r w:rsidR="008B2DB2" w:rsidRPr="00606B72">
        <w:t>one month after Napoleon</w:t>
      </w:r>
      <w:r w:rsidR="002664DC" w:rsidRPr="00606B72">
        <w:t>’</w:t>
      </w:r>
      <w:r w:rsidR="008B2DB2" w:rsidRPr="00606B72">
        <w:t>s troops landed in Alexandria</w:t>
      </w:r>
      <w:r w:rsidR="00E41A5A" w:rsidRPr="00606B72">
        <w:t xml:space="preserve">, leaving </w:t>
      </w:r>
      <w:r w:rsidR="008B2DB2" w:rsidRPr="00606B72">
        <w:t>them</w:t>
      </w:r>
      <w:r w:rsidR="00E41A5A" w:rsidRPr="00606B72">
        <w:t xml:space="preserve"> cut off from France</w:t>
      </w:r>
      <w:r w:rsidR="00AC60DD" w:rsidRPr="00606B72">
        <w:t xml:space="preserve">.  </w:t>
      </w:r>
      <w:r w:rsidR="00563F30">
        <w:t>The</w:t>
      </w:r>
      <w:r w:rsidR="00E41A5A" w:rsidRPr="00606B72">
        <w:t xml:space="preserve"> French </w:t>
      </w:r>
      <w:r w:rsidR="00AC60DD" w:rsidRPr="00606B72">
        <w:t xml:space="preserve">also </w:t>
      </w:r>
      <w:r w:rsidR="00E41A5A" w:rsidRPr="00606B72">
        <w:t xml:space="preserve">faced </w:t>
      </w:r>
      <w:r w:rsidR="00912C9E">
        <w:t>indigenous</w:t>
      </w:r>
      <w:r w:rsidR="00E41A5A" w:rsidRPr="00606B72">
        <w:t xml:space="preserve"> harassment, both in the form of </w:t>
      </w:r>
      <w:r w:rsidR="008B2DB2" w:rsidRPr="00606B72">
        <w:t>popular</w:t>
      </w:r>
      <w:r w:rsidR="00E41A5A" w:rsidRPr="00606B72">
        <w:t xml:space="preserve"> uprisings in Cairo and from leftover </w:t>
      </w:r>
      <w:r w:rsidR="00AA4692">
        <w:t>mamluk</w:t>
      </w:r>
      <w:r w:rsidR="008B2DB2" w:rsidRPr="00606B72">
        <w:t xml:space="preserve"> </w:t>
      </w:r>
      <w:r w:rsidR="00E41A5A" w:rsidRPr="00606B72">
        <w:t xml:space="preserve">troops who </w:t>
      </w:r>
      <w:r w:rsidR="001B334E" w:rsidRPr="00606B72">
        <w:t>launched</w:t>
      </w:r>
      <w:r w:rsidR="00E41A5A" w:rsidRPr="00606B72">
        <w:t xml:space="preserve"> an insurgency from the desert</w:t>
      </w:r>
      <w:r w:rsidR="001444E6" w:rsidRPr="00606B72">
        <w:t xml:space="preserve"> regions</w:t>
      </w:r>
      <w:r w:rsidR="00E41A5A" w:rsidRPr="00606B72">
        <w:t xml:space="preserve">.  </w:t>
      </w:r>
      <w:r w:rsidR="0044040B">
        <w:t>After</w:t>
      </w:r>
      <w:r w:rsidR="005D2BCC" w:rsidRPr="00606B72">
        <w:t xml:space="preserve"> the departure of the French armies in </w:t>
      </w:r>
      <w:r w:rsidR="00C67B32" w:rsidRPr="00606B72">
        <w:t>180</w:t>
      </w:r>
      <w:r w:rsidR="00AC60DD" w:rsidRPr="00606B72">
        <w:t xml:space="preserve">1, </w:t>
      </w:r>
      <w:r w:rsidR="00E93E50" w:rsidRPr="00606B72">
        <w:t>a</w:t>
      </w:r>
      <w:r w:rsidR="008C30E4" w:rsidRPr="00606B72">
        <w:t xml:space="preserve"> </w:t>
      </w:r>
      <w:r w:rsidRPr="00606B72">
        <w:t>mercenary</w:t>
      </w:r>
      <w:r w:rsidR="008C30E4" w:rsidRPr="00606B72">
        <w:t xml:space="preserve"> named </w:t>
      </w:r>
      <w:r w:rsidR="00AA4692">
        <w:t>Muhammad</w:t>
      </w:r>
      <w:r w:rsidR="008C30E4" w:rsidRPr="00606B72">
        <w:t xml:space="preserve"> </w:t>
      </w:r>
      <w:r w:rsidR="000B739A" w:rsidRPr="00606B72">
        <w:t>ʿ</w:t>
      </w:r>
      <w:r w:rsidR="008C30E4" w:rsidRPr="00606B72">
        <w:t>Ali</w:t>
      </w:r>
      <w:r w:rsidRPr="00606B72">
        <w:t xml:space="preserve">, </w:t>
      </w:r>
      <w:r w:rsidR="00806B39" w:rsidRPr="00606B72">
        <w:t>who had been s</w:t>
      </w:r>
      <w:r w:rsidRPr="00606B72">
        <w:t xml:space="preserve">ent by the </w:t>
      </w:r>
      <w:r w:rsidR="00EB2AD5" w:rsidRPr="00606B72">
        <w:t xml:space="preserve">Ottoman </w:t>
      </w:r>
      <w:r w:rsidRPr="00606B72">
        <w:t>sultan to help defeat the French,</w:t>
      </w:r>
      <w:r w:rsidR="008C30E4" w:rsidRPr="00606B72">
        <w:t xml:space="preserve"> </w:t>
      </w:r>
      <w:r w:rsidR="005D4E6D" w:rsidRPr="00606B72">
        <w:t>seized</w:t>
      </w:r>
      <w:r w:rsidR="00941D61" w:rsidRPr="00606B72">
        <w:t xml:space="preserve"> power from </w:t>
      </w:r>
      <w:r w:rsidR="008C30E4" w:rsidRPr="00606B72">
        <w:t xml:space="preserve">the </w:t>
      </w:r>
      <w:r w:rsidR="00D758CC">
        <w:t>M</w:t>
      </w:r>
      <w:r w:rsidR="00FB5392">
        <w:t>amluks</w:t>
      </w:r>
      <w:r w:rsidR="00941D61" w:rsidRPr="00606B72">
        <w:t xml:space="preserve"> </w:t>
      </w:r>
      <w:r w:rsidR="000E3950" w:rsidRPr="00606B72">
        <w:t xml:space="preserve">in a violent struggle </w:t>
      </w:r>
      <w:r w:rsidRPr="00606B72">
        <w:t xml:space="preserve">and was named </w:t>
      </w:r>
      <w:r w:rsidRPr="00606B72">
        <w:rPr>
          <w:i/>
          <w:iCs/>
        </w:rPr>
        <w:t>w</w:t>
      </w:r>
      <w:r w:rsidR="00AA4692">
        <w:rPr>
          <w:i/>
          <w:iCs/>
        </w:rPr>
        <w:t>ā</w:t>
      </w:r>
      <w:r w:rsidRPr="00606B72">
        <w:rPr>
          <w:i/>
          <w:iCs/>
        </w:rPr>
        <w:t>lī</w:t>
      </w:r>
      <w:r w:rsidR="005D4E6D" w:rsidRPr="00606B72">
        <w:t xml:space="preserve"> </w:t>
      </w:r>
      <w:r w:rsidR="00AA4692">
        <w:t>(</w:t>
      </w:r>
      <w:r w:rsidR="00FB5392">
        <w:t xml:space="preserve">local </w:t>
      </w:r>
      <w:r w:rsidR="00AA4692">
        <w:t xml:space="preserve">governor) </w:t>
      </w:r>
      <w:r w:rsidRPr="00606B72">
        <w:t xml:space="preserve">of Egypt by the </w:t>
      </w:r>
      <w:r w:rsidR="008F2B59" w:rsidRPr="00606B72">
        <w:t>s</w:t>
      </w:r>
      <w:r w:rsidR="00E74DFF" w:rsidRPr="00606B72">
        <w:t>ultan</w:t>
      </w:r>
      <w:r w:rsidRPr="00606B72">
        <w:t xml:space="preserve"> in 1805</w:t>
      </w:r>
      <w:r w:rsidR="008C30E4" w:rsidRPr="00606B72">
        <w:t xml:space="preserve">.  </w:t>
      </w:r>
      <w:r w:rsidR="00CA2954" w:rsidRPr="00606B72">
        <w:t>Immensely impressed</w:t>
      </w:r>
      <w:r w:rsidR="008C30E4" w:rsidRPr="00606B72">
        <w:t xml:space="preserve"> by the </w:t>
      </w:r>
      <w:r w:rsidR="00084685" w:rsidRPr="00606B72">
        <w:t xml:space="preserve">hegemonic </w:t>
      </w:r>
      <w:r w:rsidR="008C30E4" w:rsidRPr="00606B72">
        <w:t>French military-political</w:t>
      </w:r>
      <w:r w:rsidR="00AB518C" w:rsidRPr="00606B72">
        <w:t>-</w:t>
      </w:r>
      <w:r w:rsidR="00CA2954" w:rsidRPr="00606B72">
        <w:t xml:space="preserve">scientific </w:t>
      </w:r>
      <w:r w:rsidR="008C30E4" w:rsidRPr="00606B72">
        <w:t>machine</w:t>
      </w:r>
      <w:r w:rsidR="00CA2954" w:rsidRPr="00606B72">
        <w:t xml:space="preserve">, </w:t>
      </w:r>
      <w:r w:rsidR="00FB5392">
        <w:t>Muhammad</w:t>
      </w:r>
      <w:r w:rsidR="000E3950" w:rsidRPr="00606B72">
        <w:t xml:space="preserve"> </w:t>
      </w:r>
      <w:r w:rsidR="000B739A" w:rsidRPr="00606B72">
        <w:t>ʿ</w:t>
      </w:r>
      <w:r w:rsidR="000E3950" w:rsidRPr="00606B72">
        <w:t xml:space="preserve">Ali </w:t>
      </w:r>
      <w:r w:rsidR="00AB518C" w:rsidRPr="00606B72">
        <w:t>was convinced</w:t>
      </w:r>
      <w:r w:rsidR="000E3950" w:rsidRPr="00606B72">
        <w:t xml:space="preserve"> that the Ottoman Empire was in danger of being overwhelmed by a rapidly-advancing Europe.  In response, </w:t>
      </w:r>
      <w:r w:rsidR="001A3053" w:rsidRPr="00606B72">
        <w:rPr>
          <w:color w:val="000000" w:themeColor="text1"/>
        </w:rPr>
        <w:t>he</w:t>
      </w:r>
      <w:r w:rsidR="00624B93" w:rsidRPr="00606B72">
        <w:rPr>
          <w:color w:val="000000" w:themeColor="text1"/>
        </w:rPr>
        <w:t xml:space="preserve"> engaged in several decisive moves: </w:t>
      </w:r>
      <w:r w:rsidR="008E3516" w:rsidRPr="00606B72">
        <w:rPr>
          <w:color w:val="000000" w:themeColor="text1"/>
        </w:rPr>
        <w:t>he began</w:t>
      </w:r>
      <w:r w:rsidR="001F79D4" w:rsidRPr="00606B72">
        <w:rPr>
          <w:color w:val="000000" w:themeColor="text1"/>
        </w:rPr>
        <w:t xml:space="preserve"> </w:t>
      </w:r>
      <w:r w:rsidR="003F5F4B" w:rsidRPr="00606B72">
        <w:rPr>
          <w:color w:val="000000" w:themeColor="text1"/>
        </w:rPr>
        <w:t xml:space="preserve">investing </w:t>
      </w:r>
      <w:r w:rsidR="003F5F4B" w:rsidRPr="00606B72">
        <w:t>resources in the Institut</w:t>
      </w:r>
      <w:r w:rsidR="00E72D71" w:rsidRPr="00606B72">
        <w:t xml:space="preserve"> d</w:t>
      </w:r>
      <w:r w:rsidR="008E16AC" w:rsidRPr="00606B72">
        <w:t>’E</w:t>
      </w:r>
      <w:r w:rsidR="00E72D71" w:rsidRPr="00606B72">
        <w:t>gypte and</w:t>
      </w:r>
      <w:r w:rsidR="00957752" w:rsidRPr="00606B72">
        <w:t xml:space="preserve"> other scientific and educational organizations, </w:t>
      </w:r>
      <w:r w:rsidR="00E72D71" w:rsidRPr="00606B72">
        <w:t xml:space="preserve">he encouraged the </w:t>
      </w:r>
      <w:r w:rsidR="00AA58CB" w:rsidRPr="00606B72">
        <w:t>liberalization of the Egyptian economy and the development of industry and modern factories</w:t>
      </w:r>
      <w:r w:rsidR="00A1009E" w:rsidRPr="00606B72">
        <w:t xml:space="preserve">, </w:t>
      </w:r>
      <w:r w:rsidR="00E72D71" w:rsidRPr="00606B72">
        <w:t>he invited</w:t>
      </w:r>
      <w:r w:rsidR="003F5F4B" w:rsidRPr="00606B72">
        <w:t xml:space="preserve"> military innovators from France and Italy</w:t>
      </w:r>
      <w:r w:rsidR="00712ADC" w:rsidRPr="00606B72">
        <w:t xml:space="preserve"> to</w:t>
      </w:r>
      <w:r w:rsidR="003F5F4B" w:rsidRPr="00606B72">
        <w:t xml:space="preserve"> </w:t>
      </w:r>
      <w:r w:rsidR="00A1009E" w:rsidRPr="00606B72">
        <w:t xml:space="preserve">instruct and train Egyptian soldiers, </w:t>
      </w:r>
      <w:r w:rsidR="00E72D71" w:rsidRPr="00606B72">
        <w:t>and he began to develop stronger</w:t>
      </w:r>
      <w:r w:rsidR="00A1009E" w:rsidRPr="00606B72">
        <w:t xml:space="preserve"> political ties with European powers</w:t>
      </w:r>
      <w:r w:rsidR="00B04DC4" w:rsidRPr="00606B72">
        <w:t xml:space="preserve"> (Newman</w:t>
      </w:r>
      <w:r w:rsidR="00517D0B">
        <w:t>,</w:t>
      </w:r>
      <w:r w:rsidR="00B04DC4" w:rsidRPr="00606B72">
        <w:t xml:space="preserve"> 2011</w:t>
      </w:r>
      <w:r w:rsidR="00517D0B">
        <w:t>:</w:t>
      </w:r>
      <w:r w:rsidR="00B04DC4" w:rsidRPr="00606B72">
        <w:t xml:space="preserve"> 18-20)</w:t>
      </w:r>
      <w:r w:rsidR="003F5F4B" w:rsidRPr="00606B72">
        <w:t xml:space="preserve">.  </w:t>
      </w:r>
    </w:p>
    <w:p w14:paraId="4057D4D8" w14:textId="6D6DE557" w:rsidR="00E902B0" w:rsidRPr="00606B72" w:rsidRDefault="00B933DC" w:rsidP="00464A10">
      <w:pPr>
        <w:spacing w:line="480" w:lineRule="auto"/>
        <w:rPr>
          <w:color w:val="FF0000"/>
        </w:rPr>
      </w:pPr>
      <w:r w:rsidRPr="00606B72">
        <w:tab/>
      </w:r>
      <w:r w:rsidR="006A28FC" w:rsidRPr="00606B72">
        <w:t xml:space="preserve">These innovations came at </w:t>
      </w:r>
      <w:r w:rsidR="003F43C0" w:rsidRPr="00606B72">
        <w:t xml:space="preserve">both </w:t>
      </w:r>
      <w:r w:rsidR="006A28FC" w:rsidRPr="00606B72">
        <w:t xml:space="preserve">the </w:t>
      </w:r>
      <w:r w:rsidR="00507E34" w:rsidRPr="00606B72">
        <w:t xml:space="preserve">material </w:t>
      </w:r>
      <w:r w:rsidR="003F43C0" w:rsidRPr="00606B72">
        <w:t xml:space="preserve">and cultural </w:t>
      </w:r>
      <w:r w:rsidR="006A28FC" w:rsidRPr="00606B72">
        <w:t xml:space="preserve">expense of the </w:t>
      </w:r>
      <w:r w:rsidR="008778C8" w:rsidRPr="00606B72">
        <w:t>ʿ</w:t>
      </w:r>
      <w:r w:rsidR="006A28FC" w:rsidRPr="00606B72">
        <w:t>ulam</w:t>
      </w:r>
      <w:r w:rsidR="00BF1E7C" w:rsidRPr="00606B72">
        <w:t>a</w:t>
      </w:r>
      <w:r w:rsidR="008778C8" w:rsidRPr="00606B72">
        <w:t>ʾ</w:t>
      </w:r>
      <w:r w:rsidR="006A28FC" w:rsidRPr="00606B72">
        <w:t xml:space="preserve">, </w:t>
      </w:r>
      <w:r w:rsidR="00507E34" w:rsidRPr="00606B72">
        <w:t xml:space="preserve">who </w:t>
      </w:r>
      <w:r w:rsidR="00074340" w:rsidRPr="00606B72">
        <w:t xml:space="preserve">had </w:t>
      </w:r>
      <w:r w:rsidR="00807C86" w:rsidRPr="00606B72">
        <w:t xml:space="preserve">possessed a great deal of political power and cultural clout under the </w:t>
      </w:r>
      <w:r w:rsidR="00FB5392">
        <w:t>mamluks</w:t>
      </w:r>
      <w:r w:rsidR="00807C86" w:rsidRPr="00606B72">
        <w:t xml:space="preserve"> and who </w:t>
      </w:r>
      <w:r w:rsidR="00403457" w:rsidRPr="00606B72">
        <w:t xml:space="preserve">relied on traditional forms of taxation that were </w:t>
      </w:r>
      <w:r w:rsidR="00074340" w:rsidRPr="00606B72">
        <w:t>abolished</w:t>
      </w:r>
      <w:r w:rsidR="00726111" w:rsidRPr="00606B72">
        <w:t xml:space="preserve"> of</w:t>
      </w:r>
      <w:r w:rsidR="00403457" w:rsidRPr="00606B72">
        <w:t xml:space="preserve"> as part of </w:t>
      </w:r>
      <w:r w:rsidR="00FB5392">
        <w:t>Muhammad</w:t>
      </w:r>
      <w:r w:rsidR="00403457" w:rsidRPr="00606B72">
        <w:t xml:space="preserve"> </w:t>
      </w:r>
      <w:r w:rsidR="008778C8" w:rsidRPr="00606B72">
        <w:t>ʿ</w:t>
      </w:r>
      <w:r w:rsidR="00403457" w:rsidRPr="00606B72">
        <w:t xml:space="preserve">Ali’s </w:t>
      </w:r>
      <w:r w:rsidR="00921C7D" w:rsidRPr="00606B72">
        <w:t xml:space="preserve">economic </w:t>
      </w:r>
      <w:r w:rsidR="00403457" w:rsidRPr="00606B72">
        <w:t>reforms</w:t>
      </w:r>
      <w:r w:rsidR="00B04DC4" w:rsidRPr="00606B72">
        <w:t xml:space="preserve"> (Hourani</w:t>
      </w:r>
      <w:r w:rsidR="00F7789F">
        <w:t>,</w:t>
      </w:r>
      <w:r w:rsidR="00B04DC4" w:rsidRPr="00606B72">
        <w:t xml:space="preserve"> 1981</w:t>
      </w:r>
      <w:r w:rsidR="00F7789F">
        <w:t>:</w:t>
      </w:r>
      <w:r w:rsidR="00B04DC4" w:rsidRPr="00606B72">
        <w:t xml:space="preserve"> 51-52).</w:t>
      </w:r>
      <w:r w:rsidR="00403457" w:rsidRPr="00606B72">
        <w:t xml:space="preserve">  </w:t>
      </w:r>
      <w:r w:rsidR="00BF2410" w:rsidRPr="00606B72">
        <w:t xml:space="preserve">As a result, we see a tension emerging between </w:t>
      </w:r>
      <w:r w:rsidR="00FB5392">
        <w:t>Muhammad</w:t>
      </w:r>
      <w:r w:rsidR="00BF2410" w:rsidRPr="00606B72">
        <w:t xml:space="preserve"> </w:t>
      </w:r>
      <w:r w:rsidR="0055769E" w:rsidRPr="00606B72">
        <w:t>ʿ</w:t>
      </w:r>
      <w:r w:rsidR="00BF2410" w:rsidRPr="00606B72">
        <w:t xml:space="preserve">Ali and his partisans, who supported a </w:t>
      </w:r>
      <w:r w:rsidR="00FF0817" w:rsidRPr="00606B72">
        <w:t xml:space="preserve">more </w:t>
      </w:r>
      <w:r w:rsidR="00A8385B" w:rsidRPr="00606B72">
        <w:t>liberal</w:t>
      </w:r>
      <w:r w:rsidR="00BF2410" w:rsidRPr="00606B72">
        <w:t xml:space="preserve"> economy, the industrialization of Egypt, and moderate political reforms, and the “conservative” </w:t>
      </w:r>
      <w:r w:rsidR="004E2D0B" w:rsidRPr="00606B72">
        <w:t>ʿ</w:t>
      </w:r>
      <w:r w:rsidR="00BF2410" w:rsidRPr="00606B72">
        <w:t>ulam</w:t>
      </w:r>
      <w:r w:rsidR="00BF1E7C" w:rsidRPr="00606B72">
        <w:t>a</w:t>
      </w:r>
      <w:r w:rsidR="004E2D0B" w:rsidRPr="00606B72">
        <w:t>ʾ</w:t>
      </w:r>
      <w:r w:rsidR="00BF2410" w:rsidRPr="00606B72">
        <w:t xml:space="preserve">, who appealed to traditional forms of Islamic governance.  </w:t>
      </w:r>
      <w:r w:rsidR="00037C66" w:rsidRPr="00606B72">
        <w:t>That said</w:t>
      </w:r>
      <w:r w:rsidR="00E908A2" w:rsidRPr="00606B72">
        <w:t xml:space="preserve">, it would be overly-simplistic to assert that </w:t>
      </w:r>
      <w:r w:rsidR="00706D7F" w:rsidRPr="00606B72">
        <w:t>Muhammad</w:t>
      </w:r>
      <w:r w:rsidR="00E908A2" w:rsidRPr="00606B72">
        <w:t xml:space="preserve"> </w:t>
      </w:r>
      <w:r w:rsidR="0055769E" w:rsidRPr="00606B72">
        <w:t>ʿ</w:t>
      </w:r>
      <w:r w:rsidR="00E908A2" w:rsidRPr="00606B72">
        <w:t xml:space="preserve">Ali </w:t>
      </w:r>
      <w:r w:rsidR="00FF0817" w:rsidRPr="00606B72">
        <w:t>was</w:t>
      </w:r>
      <w:r w:rsidR="00E908A2" w:rsidRPr="00606B72">
        <w:t xml:space="preserve"> a liberal, enlightened, and forward-looking ruler while </w:t>
      </w:r>
      <w:r w:rsidR="00E908A2" w:rsidRPr="00606B72">
        <w:rPr>
          <w:color w:val="000000" w:themeColor="text1"/>
        </w:rPr>
        <w:t>the</w:t>
      </w:r>
      <w:r w:rsidR="00A57835" w:rsidRPr="00606B72">
        <w:rPr>
          <w:color w:val="000000" w:themeColor="text1"/>
        </w:rPr>
        <w:t xml:space="preserve"> Egyptian </w:t>
      </w:r>
      <w:r w:rsidR="00BF1E7C" w:rsidRPr="00606B72">
        <w:rPr>
          <w:color w:val="000000" w:themeColor="text1"/>
        </w:rPr>
        <w:t>ʿ</w:t>
      </w:r>
      <w:r w:rsidR="00E908A2" w:rsidRPr="00606B72">
        <w:rPr>
          <w:color w:val="000000" w:themeColor="text1"/>
        </w:rPr>
        <w:t>ulam</w:t>
      </w:r>
      <w:r w:rsidR="00BF1E7C" w:rsidRPr="00606B72">
        <w:rPr>
          <w:color w:val="000000" w:themeColor="text1"/>
        </w:rPr>
        <w:t xml:space="preserve">aʾ </w:t>
      </w:r>
      <w:r w:rsidR="00A57835" w:rsidRPr="00606B72">
        <w:rPr>
          <w:color w:val="000000" w:themeColor="text1"/>
        </w:rPr>
        <w:t>were</w:t>
      </w:r>
      <w:r w:rsidR="00E908A2" w:rsidRPr="00606B72">
        <w:rPr>
          <w:color w:val="000000" w:themeColor="text1"/>
        </w:rPr>
        <w:t xml:space="preserve"> an exclusively </w:t>
      </w:r>
      <w:r w:rsidR="00E908A2" w:rsidRPr="00606B72">
        <w:t>conservative group attempting to maintain the status quo</w:t>
      </w:r>
      <w:r w:rsidR="009F5C4C" w:rsidRPr="00606B72">
        <w:t xml:space="preserve">.  </w:t>
      </w:r>
      <w:r w:rsidR="00706D7F" w:rsidRPr="00606B72">
        <w:t>Muhammad</w:t>
      </w:r>
      <w:r w:rsidR="00E908A2" w:rsidRPr="00606B72">
        <w:t xml:space="preserve"> </w:t>
      </w:r>
      <w:r w:rsidR="00991F82" w:rsidRPr="00606B72">
        <w:t>ʿ</w:t>
      </w:r>
      <w:r w:rsidR="00E908A2" w:rsidRPr="00606B72">
        <w:t xml:space="preserve">Ali himself appealed </w:t>
      </w:r>
      <w:r w:rsidR="009F5C4C" w:rsidRPr="00606B72">
        <w:t xml:space="preserve">in </w:t>
      </w:r>
      <w:r w:rsidR="009F5C4C" w:rsidRPr="00606B72">
        <w:lastRenderedPageBreak/>
        <w:t xml:space="preserve">many ways </w:t>
      </w:r>
      <w:r w:rsidR="00E908A2" w:rsidRPr="00606B72">
        <w:t xml:space="preserve">to medieval Islamic models of kingship, and certain members of the </w:t>
      </w:r>
      <w:r w:rsidR="000B3DFD" w:rsidRPr="00606B72">
        <w:t>ʿ</w:t>
      </w:r>
      <w:r w:rsidR="00E908A2" w:rsidRPr="00606B72">
        <w:t>ulam</w:t>
      </w:r>
      <w:r w:rsidR="00BF1E7C" w:rsidRPr="00606B72">
        <w:t>a</w:t>
      </w:r>
      <w:r w:rsidR="000B3DFD" w:rsidRPr="00606B72">
        <w:t>ʾ</w:t>
      </w:r>
      <w:r w:rsidR="00E908A2" w:rsidRPr="00606B72">
        <w:t xml:space="preserve">, such as </w:t>
      </w:r>
      <w:r w:rsidR="00BC574A" w:rsidRPr="00606B72">
        <w:rPr>
          <w:color w:val="000000" w:themeColor="text1"/>
        </w:rPr>
        <w:t>al-Tahtawi</w:t>
      </w:r>
      <w:r w:rsidR="008E16AC" w:rsidRPr="00606B72">
        <w:rPr>
          <w:color w:val="000000" w:themeColor="text1"/>
        </w:rPr>
        <w:t>’</w:t>
      </w:r>
      <w:r w:rsidR="006F1AD8" w:rsidRPr="00606B72">
        <w:rPr>
          <w:color w:val="000000" w:themeColor="text1"/>
        </w:rPr>
        <w:t xml:space="preserve">s </w:t>
      </w:r>
      <w:r w:rsidR="00E908A2" w:rsidRPr="00606B72">
        <w:t xml:space="preserve">mentor </w:t>
      </w:r>
      <w:r w:rsidR="00706D7F" w:rsidRPr="00606B72">
        <w:t>Hasan</w:t>
      </w:r>
      <w:r w:rsidR="00E908A2" w:rsidRPr="00606B72">
        <w:t xml:space="preserve"> al-</w:t>
      </w:r>
      <w:r w:rsidR="00706D7F" w:rsidRPr="00606B72">
        <w:t>ʿA</w:t>
      </w:r>
      <w:r w:rsidR="00706D7F">
        <w:t>ta</w:t>
      </w:r>
      <w:r w:rsidR="00706D7F" w:rsidRPr="00606B72">
        <w:t>r</w:t>
      </w:r>
      <w:r w:rsidR="00C60802" w:rsidRPr="00606B72">
        <w:t xml:space="preserve">, </w:t>
      </w:r>
      <w:r w:rsidR="00076DC4" w:rsidRPr="00606B72">
        <w:t xml:space="preserve">vocally </w:t>
      </w:r>
      <w:r w:rsidR="00C60802" w:rsidRPr="00606B72">
        <w:t>supported liberal reforms.</w:t>
      </w:r>
      <w:r w:rsidR="00E908A2" w:rsidRPr="00606B72">
        <w:t xml:space="preserve">  Nevertheless, </w:t>
      </w:r>
      <w:r w:rsidR="009F5C4C" w:rsidRPr="00606B72">
        <w:t>it is possible to see</w:t>
      </w:r>
      <w:r w:rsidR="00E908A2" w:rsidRPr="00606B72">
        <w:t xml:space="preserve"> a general tension between </w:t>
      </w:r>
      <w:r w:rsidR="00CA106E" w:rsidRPr="00606B72">
        <w:t xml:space="preserve">what we might call </w:t>
      </w:r>
      <w:r w:rsidR="009219FB" w:rsidRPr="00606B72">
        <w:t>“</w:t>
      </w:r>
      <w:r w:rsidR="00CA106E" w:rsidRPr="00606B72">
        <w:t>reformist</w:t>
      </w:r>
      <w:r w:rsidR="009219FB" w:rsidRPr="00606B72">
        <w:t>”</w:t>
      </w:r>
      <w:r w:rsidR="00E908A2" w:rsidRPr="00606B72">
        <w:t xml:space="preserve"> Egyptians, inspired by their encounters with Europe, pushing for innovation and change, and those Egyptians who rejected any European cultural, scientific, or social influence as inherently a </w:t>
      </w:r>
      <w:r w:rsidR="002A21CD" w:rsidRPr="00606B72">
        <w:t xml:space="preserve">foreign </w:t>
      </w:r>
      <w:r w:rsidR="00E908A2" w:rsidRPr="00606B72">
        <w:t xml:space="preserve">threat to an authentic, autonomous Islamic tradition.  </w:t>
      </w:r>
      <w:r w:rsidR="00BC574A" w:rsidRPr="00606B72">
        <w:t>Al-Tahtawi</w:t>
      </w:r>
      <w:r w:rsidR="004B5E66" w:rsidRPr="00606B72">
        <w:t xml:space="preserve"> </w:t>
      </w:r>
      <w:r w:rsidR="00B63FDB" w:rsidRPr="00606B72">
        <w:t>emerges from this tension with a foot in both camps</w:t>
      </w:r>
      <w:r w:rsidR="00F260F1" w:rsidRPr="00606B72">
        <w:t xml:space="preserve">.  </w:t>
      </w:r>
    </w:p>
    <w:p w14:paraId="06405688" w14:textId="4D748F19" w:rsidR="007D15DD" w:rsidRPr="00606B72" w:rsidRDefault="00BC574A" w:rsidP="005916F7">
      <w:pPr>
        <w:spacing w:before="240" w:after="240" w:line="480" w:lineRule="auto"/>
        <w:jc w:val="center"/>
        <w:rPr>
          <w:color w:val="FF0000"/>
          <w:u w:val="single"/>
        </w:rPr>
      </w:pPr>
      <w:r w:rsidRPr="00606B72">
        <w:rPr>
          <w:u w:val="single"/>
        </w:rPr>
        <w:t>Al-Tahtawi</w:t>
      </w:r>
      <w:r w:rsidR="00E324D5" w:rsidRPr="00606B72">
        <w:rPr>
          <w:u w:val="single"/>
        </w:rPr>
        <w:t xml:space="preserve"> and </w:t>
      </w:r>
      <w:r w:rsidR="00D749A5" w:rsidRPr="00606B72">
        <w:rPr>
          <w:i/>
          <w:iCs/>
          <w:u w:val="single"/>
        </w:rPr>
        <w:t>Naṣīḥa</w:t>
      </w:r>
      <w:r w:rsidR="00E324D5" w:rsidRPr="00606B72">
        <w:rPr>
          <w:u w:val="single"/>
        </w:rPr>
        <w:t xml:space="preserve"> in </w:t>
      </w:r>
      <w:r w:rsidR="006B4D0E" w:rsidRPr="00606B72">
        <w:rPr>
          <w:u w:val="single"/>
        </w:rPr>
        <w:t xml:space="preserve">the </w:t>
      </w:r>
      <w:r w:rsidR="00E324D5" w:rsidRPr="00606B72">
        <w:rPr>
          <w:u w:val="single"/>
        </w:rPr>
        <w:t>Existing Scholarship</w:t>
      </w:r>
    </w:p>
    <w:p w14:paraId="5DB9C965" w14:textId="6BB5270C" w:rsidR="005916F7" w:rsidRPr="00606B72" w:rsidRDefault="00C246A1" w:rsidP="00C246A1">
      <w:pPr>
        <w:spacing w:line="480" w:lineRule="auto"/>
        <w:ind w:firstLine="720"/>
        <w:rPr>
          <w:color w:val="000000" w:themeColor="text1"/>
        </w:rPr>
      </w:pPr>
      <w:r w:rsidRPr="00606B72">
        <w:rPr>
          <w:color w:val="000000" w:themeColor="text1"/>
        </w:rPr>
        <w:t xml:space="preserve">To my knowledge, </w:t>
      </w:r>
      <w:r w:rsidR="0033669C" w:rsidRPr="00606B72">
        <w:rPr>
          <w:color w:val="000000" w:themeColor="text1"/>
        </w:rPr>
        <w:t xml:space="preserve">only </w:t>
      </w:r>
      <w:r w:rsidR="005916F7" w:rsidRPr="00606B72">
        <w:rPr>
          <w:color w:val="000000" w:themeColor="text1"/>
        </w:rPr>
        <w:t>three</w:t>
      </w:r>
      <w:r w:rsidRPr="00606B72">
        <w:rPr>
          <w:color w:val="000000" w:themeColor="text1"/>
        </w:rPr>
        <w:t xml:space="preserve"> </w:t>
      </w:r>
      <w:r w:rsidR="00E61FB3" w:rsidRPr="00606B72">
        <w:rPr>
          <w:color w:val="000000" w:themeColor="text1"/>
        </w:rPr>
        <w:t>scholars have considered</w:t>
      </w:r>
      <w:r w:rsidR="005916F7" w:rsidRPr="00606B72">
        <w:rPr>
          <w:color w:val="000000" w:themeColor="text1"/>
        </w:rPr>
        <w:t xml:space="preserve"> the possibility that the </w:t>
      </w:r>
      <w:r w:rsidR="00706D7F">
        <w:rPr>
          <w:i/>
          <w:iCs/>
          <w:color w:val="000000" w:themeColor="text1"/>
        </w:rPr>
        <w:t>Takhlis</w:t>
      </w:r>
      <w:r w:rsidR="005916F7" w:rsidRPr="00606B72">
        <w:rPr>
          <w:color w:val="000000" w:themeColor="text1"/>
        </w:rPr>
        <w:t xml:space="preserve"> might be</w:t>
      </w:r>
      <w:r w:rsidR="00672942" w:rsidRPr="00606B72">
        <w:rPr>
          <w:color w:val="000000" w:themeColor="text1"/>
        </w:rPr>
        <w:t xml:space="preserve"> a</w:t>
      </w:r>
      <w:r w:rsidR="005916F7" w:rsidRPr="00606B72">
        <w:rPr>
          <w:color w:val="000000" w:themeColor="text1"/>
        </w:rPr>
        <w:t xml:space="preserve"> </w:t>
      </w:r>
      <w:r w:rsidR="005916F7" w:rsidRPr="00606B72">
        <w:rPr>
          <w:i/>
          <w:iCs/>
          <w:color w:val="000000" w:themeColor="text1"/>
        </w:rPr>
        <w:t>naṣīḥa</w:t>
      </w:r>
      <w:r w:rsidR="00EB771F" w:rsidRPr="00606B72">
        <w:rPr>
          <w:color w:val="000000" w:themeColor="text1"/>
        </w:rPr>
        <w:t>.</w:t>
      </w:r>
      <w:r w:rsidR="005916F7" w:rsidRPr="00606B72">
        <w:rPr>
          <w:color w:val="000000" w:themeColor="text1"/>
        </w:rPr>
        <w:t xml:space="preserve"> </w:t>
      </w:r>
      <w:r w:rsidR="00EB771F" w:rsidRPr="00606B72">
        <w:rPr>
          <w:color w:val="000000" w:themeColor="text1"/>
        </w:rPr>
        <w:t xml:space="preserve"> O</w:t>
      </w:r>
      <w:r w:rsidR="005916F7" w:rsidRPr="00606B72">
        <w:rPr>
          <w:color w:val="000000" w:themeColor="text1"/>
        </w:rPr>
        <w:t xml:space="preserve">f these, only </w:t>
      </w:r>
      <w:r w:rsidRPr="00606B72">
        <w:rPr>
          <w:color w:val="000000" w:themeColor="text1"/>
        </w:rPr>
        <w:t>Peter Gran’s “</w:t>
      </w:r>
      <w:r w:rsidR="00BC574A" w:rsidRPr="00606B72">
        <w:rPr>
          <w:color w:val="000000" w:themeColor="text1"/>
        </w:rPr>
        <w:t>Al-Tahtawi</w:t>
      </w:r>
      <w:r w:rsidRPr="00606B72">
        <w:rPr>
          <w:color w:val="000000" w:themeColor="text1"/>
        </w:rPr>
        <w:t>’s Trip to Paris in Light of Recent Historical Analysis: Travel Literature or Mirror for Princes?”</w:t>
      </w:r>
      <w:r w:rsidR="005916F7" w:rsidRPr="00606B72">
        <w:rPr>
          <w:color w:val="000000" w:themeColor="text1"/>
        </w:rPr>
        <w:t xml:space="preserve"> </w:t>
      </w:r>
      <w:r w:rsidR="009702F7" w:rsidRPr="00606B72">
        <w:rPr>
          <w:color w:val="000000" w:themeColor="text1"/>
        </w:rPr>
        <w:t>concludes</w:t>
      </w:r>
      <w:r w:rsidR="0012082B" w:rsidRPr="00606B72">
        <w:rPr>
          <w:color w:val="000000" w:themeColor="text1"/>
        </w:rPr>
        <w:t xml:space="preserve"> definitively</w:t>
      </w:r>
      <w:r w:rsidR="005916F7" w:rsidRPr="00606B72">
        <w:rPr>
          <w:color w:val="000000" w:themeColor="text1"/>
        </w:rPr>
        <w:t xml:space="preserve"> that it should indeed be considered </w:t>
      </w:r>
      <w:r w:rsidR="005916F7" w:rsidRPr="00606B72">
        <w:rPr>
          <w:i/>
          <w:iCs/>
          <w:color w:val="000000" w:themeColor="text1"/>
        </w:rPr>
        <w:t>naṣīḥa</w:t>
      </w:r>
      <w:r w:rsidR="005916F7" w:rsidRPr="00606B72">
        <w:rPr>
          <w:color w:val="000000" w:themeColor="text1"/>
        </w:rPr>
        <w:t>.</w:t>
      </w:r>
      <w:r w:rsidR="00630DC1" w:rsidRPr="00606B72">
        <w:rPr>
          <w:color w:val="FF0000"/>
        </w:rPr>
        <w:t xml:space="preserve"> </w:t>
      </w:r>
      <w:r w:rsidR="002F6CBE" w:rsidRPr="00606B72">
        <w:rPr>
          <w:color w:val="FF0000"/>
        </w:rPr>
        <w:t xml:space="preserve"> </w:t>
      </w:r>
      <w:r w:rsidR="005916F7" w:rsidRPr="00606B72">
        <w:rPr>
          <w:color w:val="000000" w:themeColor="text1"/>
        </w:rPr>
        <w:t>However, each of these accounts, includin</w:t>
      </w:r>
      <w:r w:rsidR="00623179" w:rsidRPr="00606B72">
        <w:rPr>
          <w:color w:val="000000" w:themeColor="text1"/>
        </w:rPr>
        <w:t xml:space="preserve">g that of </w:t>
      </w:r>
      <w:r w:rsidR="005916F7" w:rsidRPr="00606B72">
        <w:rPr>
          <w:color w:val="000000" w:themeColor="text1"/>
        </w:rPr>
        <w:t xml:space="preserve">Gran, </w:t>
      </w:r>
      <w:r w:rsidR="00623179" w:rsidRPr="00606B72">
        <w:rPr>
          <w:color w:val="000000" w:themeColor="text1"/>
        </w:rPr>
        <w:t>demonstrates</w:t>
      </w:r>
      <w:r w:rsidR="005916F7" w:rsidRPr="00606B72">
        <w:rPr>
          <w:color w:val="FF0000"/>
        </w:rPr>
        <w:t xml:space="preserve"> </w:t>
      </w:r>
      <w:r w:rsidR="0033669C" w:rsidRPr="00606B72">
        <w:rPr>
          <w:color w:val="000000" w:themeColor="text1"/>
        </w:rPr>
        <w:t xml:space="preserve">an incomplete </w:t>
      </w:r>
      <w:r w:rsidR="005916F7" w:rsidRPr="00606B72">
        <w:rPr>
          <w:color w:val="000000" w:themeColor="text1"/>
        </w:rPr>
        <w:t xml:space="preserve">understanding of </w:t>
      </w:r>
      <w:r w:rsidR="005916F7" w:rsidRPr="00606B72">
        <w:rPr>
          <w:i/>
          <w:iCs/>
          <w:color w:val="000000" w:themeColor="text1"/>
        </w:rPr>
        <w:t>naṣīḥa</w:t>
      </w:r>
      <w:r w:rsidR="00B56F45" w:rsidRPr="00606B72">
        <w:rPr>
          <w:color w:val="000000" w:themeColor="text1"/>
        </w:rPr>
        <w:t xml:space="preserve">, suggesting that it is </w:t>
      </w:r>
      <w:r w:rsidR="005916F7" w:rsidRPr="00606B72">
        <w:rPr>
          <w:color w:val="000000" w:themeColor="text1"/>
        </w:rPr>
        <w:t>a genre that is</w:t>
      </w:r>
      <w:r w:rsidR="00EC4D5D" w:rsidRPr="00606B72">
        <w:rPr>
          <w:color w:val="000000" w:themeColor="text1"/>
        </w:rPr>
        <w:t>, at its core, defined by sycophancy</w:t>
      </w:r>
      <w:r w:rsidR="00CA47CD" w:rsidRPr="00606B72">
        <w:rPr>
          <w:color w:val="000000" w:themeColor="text1"/>
        </w:rPr>
        <w:t xml:space="preserve">, in which </w:t>
      </w:r>
      <w:r w:rsidR="00EC4D5D" w:rsidRPr="00606B72">
        <w:rPr>
          <w:color w:val="000000" w:themeColor="text1"/>
        </w:rPr>
        <w:t xml:space="preserve">the author of the </w:t>
      </w:r>
      <w:r w:rsidR="00D81B83" w:rsidRPr="00606B72">
        <w:rPr>
          <w:color w:val="000000" w:themeColor="text1"/>
        </w:rPr>
        <w:t>text</w:t>
      </w:r>
      <w:r w:rsidR="00EC4D5D" w:rsidRPr="00606B72">
        <w:rPr>
          <w:i/>
          <w:iCs/>
          <w:color w:val="000000" w:themeColor="text1"/>
        </w:rPr>
        <w:t xml:space="preserve"> </w:t>
      </w:r>
      <w:r w:rsidR="00623179" w:rsidRPr="00606B72">
        <w:rPr>
          <w:color w:val="000000" w:themeColor="text1"/>
        </w:rPr>
        <w:t xml:space="preserve">solely </w:t>
      </w:r>
      <w:r w:rsidR="005916F7" w:rsidRPr="00606B72">
        <w:rPr>
          <w:color w:val="000000" w:themeColor="text1"/>
        </w:rPr>
        <w:t>hope</w:t>
      </w:r>
      <w:r w:rsidR="00623179" w:rsidRPr="00606B72">
        <w:rPr>
          <w:color w:val="000000" w:themeColor="text1"/>
        </w:rPr>
        <w:t>s to procure the</w:t>
      </w:r>
      <w:r w:rsidR="00CD0C8F" w:rsidRPr="00606B72">
        <w:rPr>
          <w:color w:val="000000" w:themeColor="text1"/>
        </w:rPr>
        <w:t xml:space="preserve"> favor of the </w:t>
      </w:r>
      <w:r w:rsidR="00206F8F">
        <w:rPr>
          <w:color w:val="000000" w:themeColor="text1"/>
        </w:rPr>
        <w:t>ruler</w:t>
      </w:r>
      <w:r w:rsidR="005916F7" w:rsidRPr="00606B72">
        <w:rPr>
          <w:color w:val="000000" w:themeColor="text1"/>
        </w:rPr>
        <w:t xml:space="preserve">. </w:t>
      </w:r>
      <w:r w:rsidR="00591B58" w:rsidRPr="00606B72">
        <w:rPr>
          <w:color w:val="000000" w:themeColor="text1"/>
        </w:rPr>
        <w:t xml:space="preserve"> </w:t>
      </w:r>
      <w:r w:rsidR="00D03CA2">
        <w:rPr>
          <w:color w:val="000000" w:themeColor="text1"/>
        </w:rPr>
        <w:t xml:space="preserve">Drawing on Talal Asad’s analysis of </w:t>
      </w:r>
      <w:r w:rsidR="00D03CA2">
        <w:rPr>
          <w:i/>
          <w:iCs/>
          <w:color w:val="000000" w:themeColor="text1"/>
        </w:rPr>
        <w:t>naṣīḥa</w:t>
      </w:r>
      <w:r w:rsidR="00D03CA2">
        <w:rPr>
          <w:color w:val="000000" w:themeColor="text1"/>
        </w:rPr>
        <w:t xml:space="preserve"> in a chapter in </w:t>
      </w:r>
      <w:r w:rsidR="00D03CA2">
        <w:rPr>
          <w:i/>
          <w:iCs/>
          <w:color w:val="000000" w:themeColor="text1"/>
        </w:rPr>
        <w:t>Genealogies of Religion</w:t>
      </w:r>
      <w:r w:rsidR="00D03CA2">
        <w:rPr>
          <w:color w:val="000000" w:themeColor="text1"/>
        </w:rPr>
        <w:t xml:space="preserve">, </w:t>
      </w:r>
      <w:r w:rsidR="00591B58" w:rsidRPr="00606B72">
        <w:rPr>
          <w:color w:val="000000" w:themeColor="text1"/>
        </w:rPr>
        <w:t>I</w:t>
      </w:r>
      <w:r w:rsidR="00E61FB3" w:rsidRPr="00606B72">
        <w:rPr>
          <w:color w:val="000000" w:themeColor="text1"/>
        </w:rPr>
        <w:t xml:space="preserve"> suggest</w:t>
      </w:r>
      <w:r w:rsidR="00206F8F">
        <w:rPr>
          <w:color w:val="000000" w:themeColor="text1"/>
        </w:rPr>
        <w:t xml:space="preserve"> instead</w:t>
      </w:r>
      <w:r w:rsidR="00E61FB3" w:rsidRPr="00606B72">
        <w:rPr>
          <w:color w:val="000000" w:themeColor="text1"/>
        </w:rPr>
        <w:t xml:space="preserve"> a</w:t>
      </w:r>
      <w:r w:rsidR="00D03CA2">
        <w:rPr>
          <w:color w:val="000000" w:themeColor="text1"/>
        </w:rPr>
        <w:t>n alternative and</w:t>
      </w:r>
      <w:r w:rsidR="00E61FB3" w:rsidRPr="00606B72">
        <w:rPr>
          <w:color w:val="000000" w:themeColor="text1"/>
        </w:rPr>
        <w:t xml:space="preserve"> </w:t>
      </w:r>
      <w:r w:rsidR="00043095" w:rsidRPr="00606B72">
        <w:rPr>
          <w:color w:val="000000" w:themeColor="text1"/>
        </w:rPr>
        <w:t>more robust</w:t>
      </w:r>
      <w:r w:rsidR="00591B58" w:rsidRPr="00606B72">
        <w:rPr>
          <w:color w:val="000000" w:themeColor="text1"/>
        </w:rPr>
        <w:t xml:space="preserve"> </w:t>
      </w:r>
      <w:r w:rsidR="00043095" w:rsidRPr="00606B72">
        <w:rPr>
          <w:color w:val="000000" w:themeColor="text1"/>
        </w:rPr>
        <w:t>definition</w:t>
      </w:r>
      <w:r w:rsidR="00591B58" w:rsidRPr="00606B72">
        <w:rPr>
          <w:color w:val="000000" w:themeColor="text1"/>
        </w:rPr>
        <w:t xml:space="preserve"> of </w:t>
      </w:r>
      <w:r w:rsidR="00591B58" w:rsidRPr="00606B72">
        <w:rPr>
          <w:i/>
          <w:iCs/>
          <w:color w:val="000000" w:themeColor="text1"/>
        </w:rPr>
        <w:t>naṣīḥa</w:t>
      </w:r>
      <w:r w:rsidR="00591B58" w:rsidRPr="00606B72">
        <w:rPr>
          <w:color w:val="000000" w:themeColor="text1"/>
        </w:rPr>
        <w:t>.</w:t>
      </w:r>
      <w:r w:rsidR="00591B58" w:rsidRPr="00606B72">
        <w:rPr>
          <w:i/>
          <w:iCs/>
          <w:color w:val="000000" w:themeColor="text1"/>
        </w:rPr>
        <w:t xml:space="preserve"> </w:t>
      </w:r>
      <w:r w:rsidR="00591B58" w:rsidRPr="00606B72">
        <w:rPr>
          <w:color w:val="000000" w:themeColor="text1"/>
        </w:rPr>
        <w:t xml:space="preserve"> </w:t>
      </w:r>
      <w:r w:rsidR="00E61FB3" w:rsidRPr="00606B72">
        <w:rPr>
          <w:color w:val="000000" w:themeColor="text1"/>
        </w:rPr>
        <w:t>W</w:t>
      </w:r>
      <w:r w:rsidR="005916F7" w:rsidRPr="00606B72">
        <w:rPr>
          <w:color w:val="000000" w:themeColor="text1"/>
        </w:rPr>
        <w:t xml:space="preserve">hile </w:t>
      </w:r>
      <w:r w:rsidR="00E61FB3" w:rsidRPr="00606B72">
        <w:rPr>
          <w:color w:val="000000" w:themeColor="text1"/>
        </w:rPr>
        <w:t xml:space="preserve">it is certainly true that </w:t>
      </w:r>
      <w:r w:rsidR="005916F7" w:rsidRPr="00606B72">
        <w:rPr>
          <w:color w:val="000000" w:themeColor="text1"/>
        </w:rPr>
        <w:t xml:space="preserve">works of </w:t>
      </w:r>
      <w:r w:rsidR="005916F7" w:rsidRPr="00606B72">
        <w:rPr>
          <w:i/>
          <w:iCs/>
          <w:color w:val="000000" w:themeColor="text1"/>
        </w:rPr>
        <w:t>naṣīḥa</w:t>
      </w:r>
      <w:r w:rsidR="005916F7" w:rsidRPr="00606B72">
        <w:rPr>
          <w:color w:val="000000" w:themeColor="text1"/>
        </w:rPr>
        <w:t xml:space="preserve"> </w:t>
      </w:r>
      <w:r w:rsidR="00E61FB3" w:rsidRPr="00606B72">
        <w:rPr>
          <w:color w:val="000000" w:themeColor="text1"/>
        </w:rPr>
        <w:t>tend to be</w:t>
      </w:r>
      <w:r w:rsidR="005916F7" w:rsidRPr="00606B72">
        <w:rPr>
          <w:color w:val="000000" w:themeColor="text1"/>
        </w:rPr>
        <w:t xml:space="preserve"> deferent</w:t>
      </w:r>
      <w:r w:rsidR="00E61FB3" w:rsidRPr="00606B72">
        <w:rPr>
          <w:color w:val="000000" w:themeColor="text1"/>
        </w:rPr>
        <w:t>ial</w:t>
      </w:r>
      <w:r w:rsidR="005916F7" w:rsidRPr="00606B72">
        <w:rPr>
          <w:color w:val="000000" w:themeColor="text1"/>
        </w:rPr>
        <w:t xml:space="preserve"> to the authorities to which they are addressed,</w:t>
      </w:r>
      <w:r w:rsidR="00E61FB3" w:rsidRPr="00606B72">
        <w:rPr>
          <w:color w:val="000000" w:themeColor="text1"/>
        </w:rPr>
        <w:t xml:space="preserve"> this </w:t>
      </w:r>
      <w:r w:rsidR="005916F7" w:rsidRPr="00606B72">
        <w:rPr>
          <w:color w:val="000000" w:themeColor="text1"/>
        </w:rPr>
        <w:t xml:space="preserve">should not be mistaken for </w:t>
      </w:r>
      <w:r w:rsidR="00E61FB3" w:rsidRPr="00606B72">
        <w:rPr>
          <w:color w:val="000000" w:themeColor="text1"/>
        </w:rPr>
        <w:t xml:space="preserve">mere </w:t>
      </w:r>
      <w:r w:rsidR="005916F7" w:rsidRPr="00606B72">
        <w:rPr>
          <w:color w:val="000000" w:themeColor="text1"/>
        </w:rPr>
        <w:t>sycophancy.  Rather,</w:t>
      </w:r>
      <w:r w:rsidR="00623179" w:rsidRPr="00606B72">
        <w:rPr>
          <w:color w:val="000000" w:themeColor="text1"/>
        </w:rPr>
        <w:t xml:space="preserve"> true </w:t>
      </w:r>
      <w:r w:rsidR="00623179" w:rsidRPr="00606B72">
        <w:rPr>
          <w:i/>
          <w:iCs/>
          <w:color w:val="000000" w:themeColor="text1"/>
        </w:rPr>
        <w:t>naṣīḥa</w:t>
      </w:r>
      <w:r w:rsidR="00623179" w:rsidRPr="00606B72">
        <w:rPr>
          <w:color w:val="000000" w:themeColor="text1"/>
        </w:rPr>
        <w:t xml:space="preserve"> m</w:t>
      </w:r>
      <w:r w:rsidR="005916F7" w:rsidRPr="00606B72">
        <w:rPr>
          <w:color w:val="000000" w:themeColor="text1"/>
        </w:rPr>
        <w:t xml:space="preserve">ust be given out of a legitimate desire to correct improper </w:t>
      </w:r>
      <w:r w:rsidR="00D818AF" w:rsidRPr="00606B72">
        <w:rPr>
          <w:color w:val="000000" w:themeColor="text1"/>
        </w:rPr>
        <w:t xml:space="preserve">and un-Islamic </w:t>
      </w:r>
      <w:r w:rsidR="005916F7" w:rsidRPr="00606B72">
        <w:rPr>
          <w:color w:val="000000" w:themeColor="text1"/>
        </w:rPr>
        <w:t>behavior</w:t>
      </w:r>
      <w:r w:rsidR="00623179" w:rsidRPr="00606B72">
        <w:rPr>
          <w:color w:val="000000" w:themeColor="text1"/>
        </w:rPr>
        <w:t xml:space="preserve"> of the ruler.</w:t>
      </w:r>
      <w:r w:rsidR="008F7E03" w:rsidRPr="00606B72">
        <w:rPr>
          <w:color w:val="000000" w:themeColor="text1"/>
        </w:rPr>
        <w:t xml:space="preserve">  </w:t>
      </w:r>
    </w:p>
    <w:p w14:paraId="0ED9E3D8" w14:textId="765B06D1" w:rsidR="0071570D" w:rsidRPr="00606B72" w:rsidRDefault="00C246A1" w:rsidP="00ED6B14">
      <w:pPr>
        <w:spacing w:line="480" w:lineRule="auto"/>
        <w:ind w:firstLine="720"/>
        <w:rPr>
          <w:color w:val="000000" w:themeColor="text1"/>
        </w:rPr>
      </w:pPr>
      <w:r w:rsidRPr="00606B72">
        <w:rPr>
          <w:color w:val="000000" w:themeColor="text1"/>
        </w:rPr>
        <w:t xml:space="preserve">Gran reaches </w:t>
      </w:r>
      <w:r w:rsidR="005916F7" w:rsidRPr="00606B72">
        <w:rPr>
          <w:color w:val="000000" w:themeColor="text1"/>
        </w:rPr>
        <w:t>his</w:t>
      </w:r>
      <w:r w:rsidRPr="00606B72">
        <w:rPr>
          <w:color w:val="000000" w:themeColor="text1"/>
        </w:rPr>
        <w:t xml:space="preserve"> conclusion</w:t>
      </w:r>
      <w:r w:rsidR="005916F7" w:rsidRPr="00606B72">
        <w:rPr>
          <w:color w:val="000000" w:themeColor="text1"/>
        </w:rPr>
        <w:t xml:space="preserve"> that the </w:t>
      </w:r>
      <w:r w:rsidR="00706D7F" w:rsidRPr="00606B72">
        <w:rPr>
          <w:i/>
          <w:iCs/>
          <w:color w:val="000000" w:themeColor="text1"/>
        </w:rPr>
        <w:t>Takhlis</w:t>
      </w:r>
      <w:r w:rsidR="005916F7" w:rsidRPr="00606B72">
        <w:rPr>
          <w:color w:val="000000" w:themeColor="text1"/>
        </w:rPr>
        <w:t xml:space="preserve"> </w:t>
      </w:r>
      <w:r w:rsidR="00DB090E" w:rsidRPr="00606B72">
        <w:rPr>
          <w:color w:val="000000" w:themeColor="text1"/>
        </w:rPr>
        <w:t xml:space="preserve">should be read as </w:t>
      </w:r>
      <w:r w:rsidR="00DB090E" w:rsidRPr="00606B72">
        <w:rPr>
          <w:i/>
          <w:iCs/>
          <w:color w:val="000000" w:themeColor="text1"/>
        </w:rPr>
        <w:t>naṣīḥa</w:t>
      </w:r>
      <w:r w:rsidRPr="00606B72">
        <w:rPr>
          <w:color w:val="000000" w:themeColor="text1"/>
        </w:rPr>
        <w:t xml:space="preserve"> based on biographical and historical information about </w:t>
      </w:r>
      <w:r w:rsidR="00BC574A" w:rsidRPr="00606B72">
        <w:rPr>
          <w:color w:val="000000" w:themeColor="text1"/>
        </w:rPr>
        <w:t>al-Tahtawi</w:t>
      </w:r>
      <w:r w:rsidRPr="00606B72">
        <w:rPr>
          <w:color w:val="000000" w:themeColor="text1"/>
        </w:rPr>
        <w:t xml:space="preserve"> and 19</w:t>
      </w:r>
      <w:r w:rsidRPr="00606B72">
        <w:rPr>
          <w:color w:val="000000" w:themeColor="text1"/>
          <w:vertAlign w:val="superscript"/>
        </w:rPr>
        <w:t>th</w:t>
      </w:r>
      <w:r w:rsidRPr="00606B72">
        <w:rPr>
          <w:color w:val="000000" w:themeColor="text1"/>
        </w:rPr>
        <w:t xml:space="preserve">-century Egypt.  </w:t>
      </w:r>
      <w:r w:rsidR="003A3AA0" w:rsidRPr="00606B72">
        <w:rPr>
          <w:color w:val="000000" w:themeColor="text1"/>
        </w:rPr>
        <w:t>He</w:t>
      </w:r>
      <w:r w:rsidR="00DB090E" w:rsidRPr="00606B72">
        <w:rPr>
          <w:color w:val="000000" w:themeColor="text1"/>
        </w:rPr>
        <w:t xml:space="preserve"> argues that the Egyptian political system of the 19</w:t>
      </w:r>
      <w:r w:rsidR="00DB090E" w:rsidRPr="00606B72">
        <w:rPr>
          <w:color w:val="000000" w:themeColor="text1"/>
          <w:vertAlign w:val="superscript"/>
        </w:rPr>
        <w:t>th</w:t>
      </w:r>
      <w:r w:rsidR="00DB090E" w:rsidRPr="00606B72">
        <w:rPr>
          <w:color w:val="000000" w:themeColor="text1"/>
        </w:rPr>
        <w:t xml:space="preserve"> century follows what </w:t>
      </w:r>
      <w:r w:rsidR="00A15FE9" w:rsidRPr="00606B72">
        <w:rPr>
          <w:color w:val="000000" w:themeColor="text1"/>
        </w:rPr>
        <w:t>he</w:t>
      </w:r>
      <w:r w:rsidR="00DB090E" w:rsidRPr="00606B72">
        <w:rPr>
          <w:color w:val="000000" w:themeColor="text1"/>
        </w:rPr>
        <w:t xml:space="preserve"> </w:t>
      </w:r>
      <w:r w:rsidR="00E61FB3" w:rsidRPr="00606B72">
        <w:rPr>
          <w:color w:val="000000" w:themeColor="text1"/>
        </w:rPr>
        <w:t xml:space="preserve">describes as </w:t>
      </w:r>
      <w:r w:rsidR="00DB090E" w:rsidRPr="00606B72">
        <w:rPr>
          <w:color w:val="000000" w:themeColor="text1"/>
        </w:rPr>
        <w:t xml:space="preserve">the “Italian Road” model, based on the work of the </w:t>
      </w:r>
      <w:r w:rsidR="00294670" w:rsidRPr="00606B72">
        <w:rPr>
          <w:color w:val="000000" w:themeColor="text1"/>
        </w:rPr>
        <w:t>early-20</w:t>
      </w:r>
      <w:r w:rsidR="00294670" w:rsidRPr="00606B72">
        <w:rPr>
          <w:color w:val="000000" w:themeColor="text1"/>
          <w:vertAlign w:val="superscript"/>
        </w:rPr>
        <w:t>th</w:t>
      </w:r>
      <w:r w:rsidR="00294670" w:rsidRPr="00606B72">
        <w:rPr>
          <w:color w:val="000000" w:themeColor="text1"/>
        </w:rPr>
        <w:t xml:space="preserve">-century </w:t>
      </w:r>
      <w:r w:rsidR="00DB090E" w:rsidRPr="00606B72">
        <w:rPr>
          <w:color w:val="000000" w:themeColor="text1"/>
        </w:rPr>
        <w:t xml:space="preserve">Marxist </w:t>
      </w:r>
      <w:r w:rsidR="009F3F11" w:rsidRPr="00606B72">
        <w:rPr>
          <w:color w:val="000000" w:themeColor="text1"/>
        </w:rPr>
        <w:t xml:space="preserve">theorist </w:t>
      </w:r>
      <w:r w:rsidRPr="00606B72">
        <w:rPr>
          <w:color w:val="000000" w:themeColor="text1"/>
        </w:rPr>
        <w:t>Antonio Gramsci</w:t>
      </w:r>
      <w:r w:rsidR="00CE3769" w:rsidRPr="00606B72">
        <w:rPr>
          <w:color w:val="000000" w:themeColor="text1"/>
        </w:rPr>
        <w:t xml:space="preserve"> (Gramsci</w:t>
      </w:r>
      <w:r w:rsidR="00445124">
        <w:rPr>
          <w:color w:val="000000" w:themeColor="text1"/>
        </w:rPr>
        <w:t xml:space="preserve">, </w:t>
      </w:r>
      <w:r w:rsidR="00CE3769" w:rsidRPr="00606B72">
        <w:rPr>
          <w:color w:val="000000" w:themeColor="text1"/>
        </w:rPr>
        <w:lastRenderedPageBreak/>
        <w:t>1978</w:t>
      </w:r>
      <w:r w:rsidR="00445124">
        <w:rPr>
          <w:color w:val="000000" w:themeColor="text1"/>
        </w:rPr>
        <w:t>:</w:t>
      </w:r>
      <w:r w:rsidR="00CE3769" w:rsidRPr="00606B72">
        <w:rPr>
          <w:color w:val="000000" w:themeColor="text1"/>
        </w:rPr>
        <w:t xml:space="preserve"> </w:t>
      </w:r>
      <w:r w:rsidR="00732871">
        <w:rPr>
          <w:color w:val="000000" w:themeColor="text1"/>
        </w:rPr>
        <w:t>c</w:t>
      </w:r>
      <w:r w:rsidR="00597035">
        <w:rPr>
          <w:color w:val="000000" w:themeColor="text1"/>
        </w:rPr>
        <w:t>h.</w:t>
      </w:r>
      <w:r w:rsidR="00E54590">
        <w:rPr>
          <w:color w:val="000000" w:themeColor="text1"/>
        </w:rPr>
        <w:t xml:space="preserve"> 76</w:t>
      </w:r>
      <w:r w:rsidR="00CE3769" w:rsidRPr="00606B72">
        <w:rPr>
          <w:color w:val="000000" w:themeColor="text1"/>
        </w:rPr>
        <w:t>).</w:t>
      </w:r>
      <w:r w:rsidR="00DB090E" w:rsidRPr="00606B72">
        <w:rPr>
          <w:color w:val="000000" w:themeColor="text1"/>
        </w:rPr>
        <w:t xml:space="preserve">  </w:t>
      </w:r>
      <w:r w:rsidR="008F0FB8" w:rsidRPr="00606B72">
        <w:rPr>
          <w:color w:val="000000" w:themeColor="text1"/>
        </w:rPr>
        <w:t xml:space="preserve">According to Gran’s model, </w:t>
      </w:r>
      <w:r w:rsidR="00BC574A" w:rsidRPr="00606B72">
        <w:rPr>
          <w:color w:val="000000" w:themeColor="text1"/>
        </w:rPr>
        <w:t>al-Tahtawi</w:t>
      </w:r>
      <w:r w:rsidR="008F0FB8" w:rsidRPr="00606B72">
        <w:rPr>
          <w:color w:val="000000" w:themeColor="text1"/>
        </w:rPr>
        <w:t xml:space="preserve"> takes on the role of the “Southern Intellectual,” a distinct scholarly type who, according to Gramsci, </w:t>
      </w:r>
      <w:r w:rsidR="00E42D98" w:rsidRPr="00606B72">
        <w:rPr>
          <w:color w:val="000000" w:themeColor="text1"/>
        </w:rPr>
        <w:t>is</w:t>
      </w:r>
      <w:r w:rsidR="008F0FB8" w:rsidRPr="00606B72">
        <w:rPr>
          <w:color w:val="000000" w:themeColor="text1"/>
        </w:rPr>
        <w:t xml:space="preserve"> born into the impoverished agrarian south, </w:t>
      </w:r>
      <w:r w:rsidR="00E42D98" w:rsidRPr="00606B72">
        <w:rPr>
          <w:color w:val="000000" w:themeColor="text1"/>
        </w:rPr>
        <w:t>is</w:t>
      </w:r>
      <w:r w:rsidR="008F0FB8" w:rsidRPr="00606B72">
        <w:rPr>
          <w:color w:val="000000" w:themeColor="text1"/>
        </w:rPr>
        <w:t xml:space="preserve"> forced to find work as </w:t>
      </w:r>
      <w:r w:rsidR="00AF08A3" w:rsidRPr="00606B72">
        <w:rPr>
          <w:color w:val="000000" w:themeColor="text1"/>
        </w:rPr>
        <w:t xml:space="preserve">a </w:t>
      </w:r>
      <w:r w:rsidR="008F0FB8" w:rsidRPr="00606B72">
        <w:rPr>
          <w:color w:val="000000" w:themeColor="text1"/>
        </w:rPr>
        <w:t>state official, and as a result, serve</w:t>
      </w:r>
      <w:r w:rsidR="00AF08A3" w:rsidRPr="00606B72">
        <w:rPr>
          <w:color w:val="000000" w:themeColor="text1"/>
        </w:rPr>
        <w:t>s</w:t>
      </w:r>
      <w:r w:rsidR="008F0FB8" w:rsidRPr="00606B72">
        <w:rPr>
          <w:color w:val="000000" w:themeColor="text1"/>
        </w:rPr>
        <w:t xml:space="preserve"> as </w:t>
      </w:r>
      <w:r w:rsidR="00AF08A3" w:rsidRPr="00606B72">
        <w:rPr>
          <w:color w:val="000000" w:themeColor="text1"/>
        </w:rPr>
        <w:t xml:space="preserve">a </w:t>
      </w:r>
      <w:r w:rsidR="008F0FB8" w:rsidRPr="00606B72">
        <w:rPr>
          <w:color w:val="000000" w:themeColor="text1"/>
        </w:rPr>
        <w:t>class traitor who justif</w:t>
      </w:r>
      <w:r w:rsidR="008D3A4E" w:rsidRPr="00606B72">
        <w:rPr>
          <w:color w:val="000000" w:themeColor="text1"/>
        </w:rPr>
        <w:t>ies</w:t>
      </w:r>
      <w:r w:rsidR="008F0FB8" w:rsidRPr="00606B72">
        <w:rPr>
          <w:color w:val="000000" w:themeColor="text1"/>
        </w:rPr>
        <w:t xml:space="preserve"> </w:t>
      </w:r>
      <w:r w:rsidRPr="00606B72">
        <w:rPr>
          <w:color w:val="000000" w:themeColor="text1"/>
        </w:rPr>
        <w:t>the preservation of the status quo</w:t>
      </w:r>
      <w:r w:rsidR="008F0FB8" w:rsidRPr="00606B72">
        <w:rPr>
          <w:color w:val="000000" w:themeColor="text1"/>
        </w:rPr>
        <w:t xml:space="preserve"> on the part of the state</w:t>
      </w:r>
      <w:r w:rsidR="00BC35AF" w:rsidRPr="00606B72">
        <w:rPr>
          <w:color w:val="000000" w:themeColor="text1"/>
        </w:rPr>
        <w:t xml:space="preserve"> </w:t>
      </w:r>
      <w:r w:rsidRPr="00606B72">
        <w:rPr>
          <w:color w:val="000000" w:themeColor="text1"/>
        </w:rPr>
        <w:t>against the express material interest of the peasant class</w:t>
      </w:r>
      <w:r w:rsidR="00ED6B14" w:rsidRPr="00606B72">
        <w:rPr>
          <w:color w:val="000000" w:themeColor="text1"/>
        </w:rPr>
        <w:t>.</w:t>
      </w:r>
      <w:r w:rsidRPr="00606B72">
        <w:rPr>
          <w:color w:val="000000" w:themeColor="text1"/>
        </w:rPr>
        <w:t xml:space="preserve">  </w:t>
      </w:r>
    </w:p>
    <w:p w14:paraId="0737819F" w14:textId="006DA9A1" w:rsidR="00C246A1" w:rsidRPr="00606B72" w:rsidRDefault="00706D7F" w:rsidP="00ED6B14">
      <w:pPr>
        <w:spacing w:line="480" w:lineRule="auto"/>
        <w:ind w:firstLine="720"/>
        <w:rPr>
          <w:b/>
          <w:bCs/>
          <w:color w:val="000000" w:themeColor="text1"/>
        </w:rPr>
      </w:pPr>
      <w:r w:rsidRPr="00606B72">
        <w:rPr>
          <w:color w:val="000000" w:themeColor="text1"/>
        </w:rPr>
        <w:t xml:space="preserve">Gran argues that al-Tahtawi’s biography lends credence to such a model: a product of the intellectual class of the small village of </w:t>
      </w:r>
      <w:r>
        <w:rPr>
          <w:color w:val="000000" w:themeColor="text1"/>
        </w:rPr>
        <w:t>Tahta</w:t>
      </w:r>
      <w:r w:rsidRPr="00606B72">
        <w:rPr>
          <w:color w:val="000000" w:themeColor="text1"/>
        </w:rPr>
        <w:t xml:space="preserve"> in the agrarian regions of southern Egypt, al-Tahtawi moved north to Cairo to attend al-Azhar and, eventually, became a government official.  </w:t>
      </w:r>
      <w:r w:rsidR="00C246A1" w:rsidRPr="00606B72">
        <w:rPr>
          <w:color w:val="000000" w:themeColor="text1"/>
        </w:rPr>
        <w:t xml:space="preserve">According to Gran, as a southern intellectual, </w:t>
      </w:r>
      <w:r w:rsidR="00BC574A" w:rsidRPr="00606B72">
        <w:rPr>
          <w:color w:val="000000" w:themeColor="text1"/>
        </w:rPr>
        <w:t>al-Tahtawi</w:t>
      </w:r>
      <w:r w:rsidR="00C246A1" w:rsidRPr="00606B72">
        <w:rPr>
          <w:color w:val="000000" w:themeColor="text1"/>
        </w:rPr>
        <w:t>’s successful entrance into government service came “at a certain price.  He would have to defend the regime and not directly acknowledge that it was oppressing the people of his home region.  In return, he would be honored for his services”</w:t>
      </w:r>
      <w:r w:rsidR="00CE3769" w:rsidRPr="00606B72">
        <w:rPr>
          <w:color w:val="000000" w:themeColor="text1"/>
        </w:rPr>
        <w:t xml:space="preserve"> (2013</w:t>
      </w:r>
      <w:r w:rsidR="00BB4641">
        <w:rPr>
          <w:color w:val="000000" w:themeColor="text1"/>
        </w:rPr>
        <w:t>:</w:t>
      </w:r>
      <w:r w:rsidR="00CE3769" w:rsidRPr="00606B72">
        <w:rPr>
          <w:color w:val="000000" w:themeColor="text1"/>
        </w:rPr>
        <w:t xml:space="preserve"> 199-200).</w:t>
      </w:r>
      <w:r w:rsidR="00C246A1" w:rsidRPr="00606B72">
        <w:rPr>
          <w:color w:val="000000" w:themeColor="text1"/>
        </w:rPr>
        <w:t xml:space="preserve">  </w:t>
      </w:r>
      <w:r w:rsidR="00576511" w:rsidRPr="00606B72">
        <w:rPr>
          <w:color w:val="000000" w:themeColor="text1"/>
        </w:rPr>
        <w:t>We</w:t>
      </w:r>
      <w:r w:rsidR="00C246A1" w:rsidRPr="00606B72">
        <w:rPr>
          <w:color w:val="000000" w:themeColor="text1"/>
        </w:rPr>
        <w:t xml:space="preserve"> must read the </w:t>
      </w:r>
      <w:r w:rsidRPr="00606B72">
        <w:rPr>
          <w:i/>
          <w:iCs/>
          <w:color w:val="000000" w:themeColor="text1"/>
        </w:rPr>
        <w:t>Takhlis</w:t>
      </w:r>
      <w:r w:rsidR="00C246A1" w:rsidRPr="00606B72">
        <w:rPr>
          <w:color w:val="000000" w:themeColor="text1"/>
        </w:rPr>
        <w:t xml:space="preserve"> as a work of </w:t>
      </w:r>
      <w:r w:rsidR="00273B54" w:rsidRPr="00606B72">
        <w:rPr>
          <w:i/>
          <w:iCs/>
          <w:color w:val="000000" w:themeColor="text1"/>
        </w:rPr>
        <w:t>naṣīḥa</w:t>
      </w:r>
      <w:r w:rsidR="00273B54" w:rsidRPr="00606B72">
        <w:rPr>
          <w:color w:val="000000" w:themeColor="text1"/>
        </w:rPr>
        <w:t>, according to Gran</w:t>
      </w:r>
      <w:r w:rsidR="0007734A" w:rsidRPr="00606B72">
        <w:rPr>
          <w:color w:val="000000" w:themeColor="text1"/>
        </w:rPr>
        <w:t>,</w:t>
      </w:r>
      <w:r w:rsidR="00C246A1" w:rsidRPr="00606B72">
        <w:rPr>
          <w:color w:val="000000" w:themeColor="text1"/>
        </w:rPr>
        <w:t xml:space="preserve"> precisely because of</w:t>
      </w:r>
      <w:r w:rsidR="00D52AF3" w:rsidRPr="00606B72">
        <w:rPr>
          <w:color w:val="000000" w:themeColor="text1"/>
        </w:rPr>
        <w:t xml:space="preserve"> its author’s </w:t>
      </w:r>
      <w:r w:rsidR="00C246A1" w:rsidRPr="00606B72">
        <w:rPr>
          <w:color w:val="000000" w:themeColor="text1"/>
        </w:rPr>
        <w:t>desire to procure a government position and his attachment to the state and its</w:t>
      </w:r>
      <w:r w:rsidR="00F17667" w:rsidRPr="00606B72">
        <w:rPr>
          <w:color w:val="000000" w:themeColor="text1"/>
        </w:rPr>
        <w:t xml:space="preserve"> ru</w:t>
      </w:r>
      <w:r w:rsidR="00C246A1" w:rsidRPr="00606B72">
        <w:rPr>
          <w:color w:val="000000" w:themeColor="text1"/>
        </w:rPr>
        <w:t xml:space="preserve">ler, </w:t>
      </w:r>
      <w:r w:rsidRPr="00606B72">
        <w:rPr>
          <w:color w:val="000000" w:themeColor="text1"/>
        </w:rPr>
        <w:t>Muhammad</w:t>
      </w:r>
      <w:r w:rsidR="00C246A1" w:rsidRPr="00606B72">
        <w:rPr>
          <w:color w:val="000000" w:themeColor="text1"/>
        </w:rPr>
        <w:t xml:space="preserve"> </w:t>
      </w:r>
      <w:r w:rsidR="004551DB" w:rsidRPr="00606B72">
        <w:rPr>
          <w:color w:val="000000" w:themeColor="text1"/>
        </w:rPr>
        <w:t>ʿ</w:t>
      </w:r>
      <w:r w:rsidR="00C246A1" w:rsidRPr="00606B72">
        <w:rPr>
          <w:color w:val="000000" w:themeColor="text1"/>
        </w:rPr>
        <w:t xml:space="preserve">Ali.  </w:t>
      </w:r>
      <w:r w:rsidR="00AF1633" w:rsidRPr="00606B72">
        <w:rPr>
          <w:color w:val="000000" w:themeColor="text1"/>
        </w:rPr>
        <w:t>Gran</w:t>
      </w:r>
      <w:r w:rsidR="008E16AC" w:rsidRPr="00606B72">
        <w:rPr>
          <w:color w:val="000000" w:themeColor="text1"/>
        </w:rPr>
        <w:t>’</w:t>
      </w:r>
      <w:r w:rsidR="00AF1633" w:rsidRPr="00606B72">
        <w:rPr>
          <w:color w:val="000000" w:themeColor="text1"/>
        </w:rPr>
        <w:t>s conclusion</w:t>
      </w:r>
      <w:r w:rsidR="009E5C8C" w:rsidRPr="00606B72">
        <w:rPr>
          <w:color w:val="000000" w:themeColor="text1"/>
        </w:rPr>
        <w:t xml:space="preserve">, then, is that </w:t>
      </w:r>
      <w:r w:rsidR="009E5C8C" w:rsidRPr="00606B72">
        <w:rPr>
          <w:i/>
          <w:iCs/>
          <w:color w:val="000000" w:themeColor="text1"/>
        </w:rPr>
        <w:t>because</w:t>
      </w:r>
      <w:r w:rsidR="009E5C8C" w:rsidRPr="00606B72">
        <w:rPr>
          <w:color w:val="000000" w:themeColor="text1"/>
        </w:rPr>
        <w:t xml:space="preserve"> he allies himself with </w:t>
      </w:r>
      <w:r w:rsidRPr="00606B72">
        <w:rPr>
          <w:color w:val="000000" w:themeColor="text1"/>
        </w:rPr>
        <w:t>Muhammad</w:t>
      </w:r>
      <w:r w:rsidR="009E5C8C" w:rsidRPr="00606B72">
        <w:rPr>
          <w:color w:val="000000" w:themeColor="text1"/>
        </w:rPr>
        <w:t xml:space="preserve"> </w:t>
      </w:r>
      <w:r w:rsidR="0091548F" w:rsidRPr="00606B72">
        <w:rPr>
          <w:color w:val="000000" w:themeColor="text1"/>
        </w:rPr>
        <w:t>ʿ</w:t>
      </w:r>
      <w:r w:rsidR="009E5C8C" w:rsidRPr="00606B72">
        <w:rPr>
          <w:color w:val="000000" w:themeColor="text1"/>
        </w:rPr>
        <w:t xml:space="preserve">Ali and offers him </w:t>
      </w:r>
      <w:r w:rsidR="009E5C8C" w:rsidRPr="00606B72">
        <w:rPr>
          <w:i/>
          <w:iCs/>
          <w:color w:val="000000" w:themeColor="text1"/>
        </w:rPr>
        <w:t>naṣīḥa</w:t>
      </w:r>
      <w:r w:rsidR="009E5C8C" w:rsidRPr="00606B72">
        <w:rPr>
          <w:color w:val="000000" w:themeColor="text1"/>
        </w:rPr>
        <w:t>,</w:t>
      </w:r>
      <w:r w:rsidR="009E5C8C" w:rsidRPr="00606B72">
        <w:rPr>
          <w:i/>
          <w:iCs/>
          <w:color w:val="000000" w:themeColor="text1"/>
        </w:rPr>
        <w:t xml:space="preserve"> </w:t>
      </w:r>
      <w:r w:rsidR="00BC574A" w:rsidRPr="00606B72">
        <w:rPr>
          <w:color w:val="000000" w:themeColor="text1"/>
        </w:rPr>
        <w:t>al-Tahtawi</w:t>
      </w:r>
      <w:r w:rsidR="009E5C8C" w:rsidRPr="00606B72">
        <w:rPr>
          <w:color w:val="000000" w:themeColor="text1"/>
        </w:rPr>
        <w:t xml:space="preserve"> is a traitor to his own people, the </w:t>
      </w:r>
      <w:r w:rsidR="009655D3" w:rsidRPr="00606B72">
        <w:rPr>
          <w:color w:val="000000" w:themeColor="text1"/>
        </w:rPr>
        <w:t>pre-in</w:t>
      </w:r>
      <w:r w:rsidR="009E5C8C" w:rsidRPr="00606B72">
        <w:rPr>
          <w:color w:val="000000" w:themeColor="text1"/>
        </w:rPr>
        <w:t>dustrialized</w:t>
      </w:r>
      <w:r w:rsidR="0040132C" w:rsidRPr="00606B72">
        <w:rPr>
          <w:color w:val="000000" w:themeColor="text1"/>
        </w:rPr>
        <w:t xml:space="preserve"> and </w:t>
      </w:r>
      <w:r w:rsidR="009E5C8C" w:rsidRPr="00606B72">
        <w:rPr>
          <w:color w:val="000000" w:themeColor="text1"/>
        </w:rPr>
        <w:t xml:space="preserve">agrarian southern Egyptians.  </w:t>
      </w:r>
      <w:r w:rsidR="00AE6C0F" w:rsidRPr="00606B72">
        <w:rPr>
          <w:color w:val="000000" w:themeColor="text1"/>
        </w:rPr>
        <w:t xml:space="preserve">It appears that </w:t>
      </w:r>
      <w:r w:rsidR="00AE6C0F" w:rsidRPr="00606B72">
        <w:rPr>
          <w:i/>
          <w:iCs/>
          <w:color w:val="000000" w:themeColor="text1"/>
        </w:rPr>
        <w:t>n</w:t>
      </w:r>
      <w:r w:rsidR="005445C0" w:rsidRPr="00606B72">
        <w:rPr>
          <w:i/>
          <w:iCs/>
          <w:color w:val="000000" w:themeColor="text1"/>
        </w:rPr>
        <w:t>aṣīḥa</w:t>
      </w:r>
      <w:r w:rsidR="005445C0" w:rsidRPr="00606B72">
        <w:rPr>
          <w:color w:val="000000" w:themeColor="text1"/>
        </w:rPr>
        <w:t xml:space="preserve">, </w:t>
      </w:r>
      <w:r w:rsidR="000A370C" w:rsidRPr="00606B72">
        <w:rPr>
          <w:color w:val="000000" w:themeColor="text1"/>
        </w:rPr>
        <w:t>at least according to</w:t>
      </w:r>
      <w:r w:rsidR="005445C0" w:rsidRPr="00606B72">
        <w:rPr>
          <w:color w:val="000000" w:themeColor="text1"/>
        </w:rPr>
        <w:t xml:space="preserve"> Gran, </w:t>
      </w:r>
      <w:r w:rsidR="004F360B" w:rsidRPr="00606B72">
        <w:rPr>
          <w:color w:val="000000" w:themeColor="text1"/>
        </w:rPr>
        <w:t>is defined by</w:t>
      </w:r>
      <w:r w:rsidR="005445C0" w:rsidRPr="00606B72">
        <w:rPr>
          <w:color w:val="000000" w:themeColor="text1"/>
        </w:rPr>
        <w:t xml:space="preserve"> a degree of sycophancy</w:t>
      </w:r>
      <w:r w:rsidR="00567D7C" w:rsidRPr="00606B72">
        <w:rPr>
          <w:color w:val="000000" w:themeColor="text1"/>
        </w:rPr>
        <w:t xml:space="preserve"> and careerism</w:t>
      </w:r>
      <w:r w:rsidR="00BA0F8E" w:rsidRPr="00606B72">
        <w:rPr>
          <w:color w:val="000000" w:themeColor="text1"/>
        </w:rPr>
        <w:t xml:space="preserve"> at the expense of any </w:t>
      </w:r>
      <w:r w:rsidR="008A75D5" w:rsidRPr="00606B72">
        <w:rPr>
          <w:color w:val="000000" w:themeColor="text1"/>
        </w:rPr>
        <w:t>abstract, non-material</w:t>
      </w:r>
      <w:r w:rsidR="00BA0F8E" w:rsidRPr="00606B72">
        <w:rPr>
          <w:color w:val="000000" w:themeColor="text1"/>
        </w:rPr>
        <w:t xml:space="preserve"> moral concern.  </w:t>
      </w:r>
    </w:p>
    <w:p w14:paraId="77746A87" w14:textId="6D8F8A38" w:rsidR="00C246A1" w:rsidRPr="00606B72" w:rsidRDefault="00C246A1" w:rsidP="005D2BCC">
      <w:pPr>
        <w:spacing w:line="480" w:lineRule="auto"/>
        <w:rPr>
          <w:color w:val="000000" w:themeColor="text1"/>
        </w:rPr>
      </w:pPr>
      <w:r w:rsidRPr="00606B72">
        <w:rPr>
          <w:b/>
          <w:bCs/>
          <w:color w:val="000000" w:themeColor="text1"/>
        </w:rPr>
        <w:tab/>
      </w:r>
      <w:r w:rsidRPr="00606B72">
        <w:rPr>
          <w:color w:val="000000" w:themeColor="text1"/>
        </w:rPr>
        <w:t xml:space="preserve">In </w:t>
      </w:r>
      <w:r w:rsidRPr="00606B72">
        <w:rPr>
          <w:i/>
          <w:iCs/>
          <w:color w:val="000000" w:themeColor="text1"/>
        </w:rPr>
        <w:t>Journeys to the Other Shore</w:t>
      </w:r>
      <w:r w:rsidRPr="00606B72">
        <w:rPr>
          <w:color w:val="000000" w:themeColor="text1"/>
        </w:rPr>
        <w:t xml:space="preserve">, Roxanne Euben gives a different reading of </w:t>
      </w:r>
      <w:r w:rsidR="00BC574A" w:rsidRPr="00606B72">
        <w:rPr>
          <w:color w:val="000000" w:themeColor="text1"/>
        </w:rPr>
        <w:t>al-Tahtawi</w:t>
      </w:r>
      <w:r w:rsidRPr="00606B72">
        <w:rPr>
          <w:color w:val="000000" w:themeColor="text1"/>
        </w:rPr>
        <w:t xml:space="preserve">’s </w:t>
      </w:r>
      <w:r w:rsidR="00706D7F" w:rsidRPr="00606B72">
        <w:rPr>
          <w:i/>
          <w:iCs/>
          <w:color w:val="000000" w:themeColor="text1"/>
        </w:rPr>
        <w:t>Takhlis</w:t>
      </w:r>
      <w:r w:rsidRPr="00606B72">
        <w:rPr>
          <w:color w:val="000000" w:themeColor="text1"/>
        </w:rPr>
        <w:t xml:space="preserve">.  She concludes that the </w:t>
      </w:r>
      <w:r w:rsidR="00706D7F" w:rsidRPr="00606B72">
        <w:rPr>
          <w:i/>
          <w:iCs/>
          <w:color w:val="000000" w:themeColor="text1"/>
        </w:rPr>
        <w:t>Takhlis</w:t>
      </w:r>
      <w:r w:rsidRPr="00606B72">
        <w:rPr>
          <w:i/>
          <w:iCs/>
          <w:color w:val="000000" w:themeColor="text1"/>
        </w:rPr>
        <w:t xml:space="preserve"> </w:t>
      </w:r>
      <w:r w:rsidRPr="00606B72">
        <w:rPr>
          <w:color w:val="000000" w:themeColor="text1"/>
        </w:rPr>
        <w:t xml:space="preserve">is explicitly </w:t>
      </w:r>
      <w:r w:rsidRPr="00606B72">
        <w:rPr>
          <w:i/>
          <w:iCs/>
          <w:color w:val="000000" w:themeColor="text1"/>
        </w:rPr>
        <w:t>not</w:t>
      </w:r>
      <w:r w:rsidRPr="00606B72">
        <w:rPr>
          <w:color w:val="000000" w:themeColor="text1"/>
        </w:rPr>
        <w:t xml:space="preserve"> an example of </w:t>
      </w:r>
      <w:r w:rsidRPr="00606B72">
        <w:rPr>
          <w:i/>
          <w:iCs/>
          <w:color w:val="000000" w:themeColor="text1"/>
        </w:rPr>
        <w:t>naṣīḥa</w:t>
      </w:r>
      <w:r w:rsidRPr="00606B72">
        <w:rPr>
          <w:color w:val="000000" w:themeColor="text1"/>
        </w:rPr>
        <w:t xml:space="preserve">, precisely because </w:t>
      </w:r>
      <w:r w:rsidR="00BC574A" w:rsidRPr="00606B72">
        <w:rPr>
          <w:color w:val="000000" w:themeColor="text1"/>
        </w:rPr>
        <w:t>al-Tahtawi</w:t>
      </w:r>
      <w:r w:rsidRPr="00606B72">
        <w:rPr>
          <w:color w:val="000000" w:themeColor="text1"/>
        </w:rPr>
        <w:t xml:space="preserve"> was </w:t>
      </w:r>
      <w:r w:rsidRPr="00606B72">
        <w:rPr>
          <w:i/>
          <w:iCs/>
          <w:color w:val="000000" w:themeColor="text1"/>
        </w:rPr>
        <w:t>not</w:t>
      </w:r>
      <w:r w:rsidRPr="00606B72">
        <w:rPr>
          <w:color w:val="000000" w:themeColor="text1"/>
        </w:rPr>
        <w:t xml:space="preserve"> a sycophant looking to curry favor with </w:t>
      </w:r>
      <w:r w:rsidR="00706D7F" w:rsidRPr="00606B72">
        <w:rPr>
          <w:color w:val="000000" w:themeColor="text1"/>
        </w:rPr>
        <w:t>Muhammad</w:t>
      </w:r>
      <w:r w:rsidRPr="00606B72">
        <w:rPr>
          <w:color w:val="000000" w:themeColor="text1"/>
        </w:rPr>
        <w:t xml:space="preserve"> </w:t>
      </w:r>
      <w:r w:rsidR="004A7A7D" w:rsidRPr="00606B72">
        <w:rPr>
          <w:color w:val="000000" w:themeColor="text1"/>
        </w:rPr>
        <w:t>ʿ</w:t>
      </w:r>
      <w:r w:rsidRPr="00606B72">
        <w:rPr>
          <w:color w:val="000000" w:themeColor="text1"/>
        </w:rPr>
        <w:t xml:space="preserve">Ali.  </w:t>
      </w:r>
      <w:r w:rsidR="00706D7F" w:rsidRPr="00606B72">
        <w:rPr>
          <w:color w:val="000000" w:themeColor="text1"/>
        </w:rPr>
        <w:t xml:space="preserve">We should not, she writes, “characterize his entire corpus as an ‘elaborate legitimation’ for Muhammad ʿAli’s policies, casting </w:t>
      </w:r>
      <w:r w:rsidR="00706D7F">
        <w:rPr>
          <w:color w:val="000000" w:themeColor="text1"/>
        </w:rPr>
        <w:t xml:space="preserve">Tahtawi </w:t>
      </w:r>
      <w:r w:rsidR="00706D7F" w:rsidRPr="00606B72">
        <w:rPr>
          <w:color w:val="000000" w:themeColor="text1"/>
        </w:rPr>
        <w:t xml:space="preserve">as little more than a writer in the ‘Mirror for Princes’ tradition eager to </w:t>
      </w:r>
      <w:r w:rsidR="00706D7F" w:rsidRPr="00606B72">
        <w:rPr>
          <w:color w:val="000000" w:themeColor="text1"/>
        </w:rPr>
        <w:lastRenderedPageBreak/>
        <w:t>justify, rationalize, and solidify absolutist rule, administrative centralization, and Egyptian autonomy” (2006</w:t>
      </w:r>
      <w:r w:rsidR="00371C59">
        <w:rPr>
          <w:color w:val="000000" w:themeColor="text1"/>
        </w:rPr>
        <w:t>:</w:t>
      </w:r>
      <w:r w:rsidR="00706D7F" w:rsidRPr="00606B72">
        <w:rPr>
          <w:color w:val="000000" w:themeColor="text1"/>
        </w:rPr>
        <w:t xml:space="preserve"> 123).  </w:t>
      </w:r>
      <w:r w:rsidR="006F26EE" w:rsidRPr="00606B72">
        <w:rPr>
          <w:i/>
          <w:iCs/>
          <w:color w:val="000000" w:themeColor="text1"/>
        </w:rPr>
        <w:t>Naṣīḥa</w:t>
      </w:r>
      <w:r w:rsidR="0041097D" w:rsidRPr="00606B72">
        <w:rPr>
          <w:color w:val="000000" w:themeColor="text1"/>
        </w:rPr>
        <w:t xml:space="preserve"> is nothing more than an “elaborate legitimation” for the rule</w:t>
      </w:r>
      <w:r w:rsidR="00F22E4E" w:rsidRPr="00606B72">
        <w:rPr>
          <w:color w:val="000000" w:themeColor="text1"/>
        </w:rPr>
        <w:t xml:space="preserve">r, Euben suggests.  </w:t>
      </w:r>
      <w:r w:rsidR="003C3C21" w:rsidRPr="00606B72">
        <w:rPr>
          <w:color w:val="000000" w:themeColor="text1"/>
        </w:rPr>
        <w:t xml:space="preserve">In her discussion of the </w:t>
      </w:r>
      <w:r w:rsidR="00706D7F">
        <w:rPr>
          <w:i/>
          <w:iCs/>
          <w:color w:val="000000" w:themeColor="text1"/>
        </w:rPr>
        <w:t>Takhlis</w:t>
      </w:r>
      <w:r w:rsidR="003C3C21" w:rsidRPr="00606B72">
        <w:rPr>
          <w:color w:val="000000" w:themeColor="text1"/>
        </w:rPr>
        <w:t>, Euben</w:t>
      </w:r>
      <w:r w:rsidRPr="00606B72">
        <w:rPr>
          <w:color w:val="000000" w:themeColor="text1"/>
        </w:rPr>
        <w:t xml:space="preserve"> cites a conceptualization of </w:t>
      </w:r>
      <w:r w:rsidRPr="00606B72">
        <w:rPr>
          <w:i/>
          <w:iCs/>
          <w:color w:val="000000" w:themeColor="text1"/>
        </w:rPr>
        <w:t>naṣīḥa</w:t>
      </w:r>
      <w:r w:rsidRPr="00606B72">
        <w:rPr>
          <w:color w:val="000000" w:themeColor="text1"/>
        </w:rPr>
        <w:t xml:space="preserve"> established by Israel Altman in his unpublished dissertation examining </w:t>
      </w:r>
      <w:r w:rsidR="00BC574A" w:rsidRPr="00606B72">
        <w:rPr>
          <w:color w:val="000000" w:themeColor="text1"/>
        </w:rPr>
        <w:t>al-Tahtawi</w:t>
      </w:r>
      <w:r w:rsidRPr="00606B72">
        <w:rPr>
          <w:color w:val="000000" w:themeColor="text1"/>
        </w:rPr>
        <w:t xml:space="preserve">’s contributions to political thought.  According to Altman, the purpose of </w:t>
      </w:r>
      <w:r w:rsidRPr="00606B72">
        <w:rPr>
          <w:i/>
          <w:iCs/>
          <w:color w:val="000000" w:themeColor="text1"/>
        </w:rPr>
        <w:t xml:space="preserve">naṣīḥa </w:t>
      </w:r>
      <w:r w:rsidRPr="00606B72">
        <w:rPr>
          <w:color w:val="000000" w:themeColor="text1"/>
        </w:rPr>
        <w:t xml:space="preserve">is </w:t>
      </w:r>
      <w:r w:rsidR="00EF25E6" w:rsidRPr="00606B72">
        <w:rPr>
          <w:color w:val="000000" w:themeColor="text1"/>
        </w:rPr>
        <w:t>solely</w:t>
      </w:r>
      <w:r w:rsidRPr="00606B72">
        <w:rPr>
          <w:color w:val="000000" w:themeColor="text1"/>
        </w:rPr>
        <w:t xml:space="preserve"> to justify the rule of the </w:t>
      </w:r>
      <w:r w:rsidR="00C66760" w:rsidRPr="00606B72">
        <w:rPr>
          <w:color w:val="000000" w:themeColor="text1"/>
        </w:rPr>
        <w:t>sovereign</w:t>
      </w:r>
      <w:r w:rsidR="0056781D" w:rsidRPr="00606B72">
        <w:rPr>
          <w:color w:val="000000" w:themeColor="text1"/>
        </w:rPr>
        <w:t xml:space="preserve"> power</w:t>
      </w:r>
      <w:r w:rsidRPr="00606B72">
        <w:rPr>
          <w:color w:val="000000" w:themeColor="text1"/>
        </w:rPr>
        <w:t xml:space="preserve">: “The only incentive for the king to rule justly is a utilitarian one—that his subjects’ happiness is also his own.  From this point of view, namely the </w:t>
      </w:r>
      <w:r w:rsidRPr="00206F8F">
        <w:rPr>
          <w:color w:val="000000" w:themeColor="text1"/>
        </w:rPr>
        <w:t xml:space="preserve">justification of just </w:t>
      </w:r>
      <w:r w:rsidRPr="00606B72">
        <w:rPr>
          <w:color w:val="000000" w:themeColor="text1"/>
        </w:rPr>
        <w:t>conduct on the ruler’s part by visible, earthly advantages, rather than by absolute moral principles, this approach resembles the attitude of the ‘mirrors for princes’ literature in Islam and elsewhere”</w:t>
      </w:r>
      <w:r w:rsidR="0043385B" w:rsidRPr="00606B72">
        <w:rPr>
          <w:color w:val="000000" w:themeColor="text1"/>
        </w:rPr>
        <w:t xml:space="preserve"> (</w:t>
      </w:r>
      <w:r w:rsidR="00892A6F" w:rsidRPr="00606B72">
        <w:rPr>
          <w:color w:val="000000" w:themeColor="text1"/>
        </w:rPr>
        <w:t>1976</w:t>
      </w:r>
      <w:r w:rsidR="00C85088">
        <w:rPr>
          <w:color w:val="000000" w:themeColor="text1"/>
        </w:rPr>
        <w:t>:</w:t>
      </w:r>
      <w:r w:rsidR="00892A6F" w:rsidRPr="00606B72">
        <w:rPr>
          <w:color w:val="000000" w:themeColor="text1"/>
        </w:rPr>
        <w:t xml:space="preserve"> 203).</w:t>
      </w:r>
      <w:r w:rsidRPr="00606B72">
        <w:rPr>
          <w:color w:val="000000" w:themeColor="text1"/>
        </w:rPr>
        <w:t xml:space="preserve"> </w:t>
      </w:r>
      <w:r w:rsidR="005378EF" w:rsidRPr="00606B72">
        <w:rPr>
          <w:color w:val="000000" w:themeColor="text1"/>
        </w:rPr>
        <w:t xml:space="preserve"> </w:t>
      </w:r>
      <w:r w:rsidRPr="00606B72">
        <w:rPr>
          <w:color w:val="000000" w:themeColor="text1"/>
        </w:rPr>
        <w:t xml:space="preserve">For Altman, </w:t>
      </w:r>
      <w:r w:rsidR="00BC574A" w:rsidRPr="00606B72">
        <w:rPr>
          <w:color w:val="000000" w:themeColor="text1"/>
        </w:rPr>
        <w:t>al-Tahtawi</w:t>
      </w:r>
      <w:r w:rsidR="00237204" w:rsidRPr="00606B72">
        <w:rPr>
          <w:color w:val="000000" w:themeColor="text1"/>
        </w:rPr>
        <w:t xml:space="preserve">’s </w:t>
      </w:r>
      <w:r w:rsidRPr="00606B72">
        <w:rPr>
          <w:color w:val="000000" w:themeColor="text1"/>
        </w:rPr>
        <w:t>“justification of just conduct on the ruler’s part</w:t>
      </w:r>
      <w:r w:rsidR="00237204" w:rsidRPr="00606B72">
        <w:rPr>
          <w:color w:val="000000" w:themeColor="text1"/>
        </w:rPr>
        <w:t xml:space="preserve">” is evidence of his use of </w:t>
      </w:r>
      <w:r w:rsidR="00237204" w:rsidRPr="00606B72">
        <w:rPr>
          <w:i/>
          <w:iCs/>
          <w:color w:val="000000" w:themeColor="text1"/>
        </w:rPr>
        <w:t>naṣīḥa</w:t>
      </w:r>
      <w:r w:rsidR="00237204" w:rsidRPr="00606B72">
        <w:rPr>
          <w:color w:val="000000" w:themeColor="text1"/>
        </w:rPr>
        <w:t xml:space="preserve">, suggesting that </w:t>
      </w:r>
      <w:r w:rsidR="00237204" w:rsidRPr="00606B72">
        <w:rPr>
          <w:i/>
          <w:iCs/>
          <w:color w:val="000000" w:themeColor="text1"/>
        </w:rPr>
        <w:t>naṣīḥa</w:t>
      </w:r>
      <w:r w:rsidR="00237204" w:rsidRPr="00606B72">
        <w:rPr>
          <w:color w:val="000000" w:themeColor="text1"/>
        </w:rPr>
        <w:t>, once again, is defined merely as a sycophantic genre</w:t>
      </w:r>
      <w:r w:rsidR="00467607">
        <w:rPr>
          <w:color w:val="000000" w:themeColor="text1"/>
        </w:rPr>
        <w:t xml:space="preserve"> in which the author curries favor with the sovereign by justifying the sovereign’s actions.  </w:t>
      </w:r>
    </w:p>
    <w:p w14:paraId="388673A0" w14:textId="1B698B5C" w:rsidR="0047125D" w:rsidRPr="00606B72" w:rsidRDefault="00C246A1" w:rsidP="0047125D">
      <w:pPr>
        <w:spacing w:line="480" w:lineRule="auto"/>
        <w:ind w:firstLine="720"/>
        <w:rPr>
          <w:i/>
          <w:iCs/>
          <w:color w:val="000000" w:themeColor="text1"/>
        </w:rPr>
      </w:pPr>
      <w:r w:rsidRPr="00606B72">
        <w:rPr>
          <w:color w:val="000000" w:themeColor="text1"/>
        </w:rPr>
        <w:t>Thus, Gran, Euben, and Altman each operat</w:t>
      </w:r>
      <w:r w:rsidR="00CE76E6" w:rsidRPr="00606B72">
        <w:rPr>
          <w:color w:val="000000" w:themeColor="text1"/>
        </w:rPr>
        <w:t>e under a</w:t>
      </w:r>
      <w:r w:rsidRPr="00606B72">
        <w:rPr>
          <w:color w:val="000000" w:themeColor="text1"/>
        </w:rPr>
        <w:t xml:space="preserve"> similar conceptualization of </w:t>
      </w:r>
      <w:r w:rsidRPr="00606B72">
        <w:rPr>
          <w:i/>
          <w:iCs/>
          <w:color w:val="000000" w:themeColor="text1"/>
        </w:rPr>
        <w:t>naṣīḥa</w:t>
      </w:r>
      <w:r w:rsidR="0042135D" w:rsidRPr="00606B72">
        <w:rPr>
          <w:color w:val="000000" w:themeColor="text1"/>
        </w:rPr>
        <w:t xml:space="preserve">, </w:t>
      </w:r>
      <w:r w:rsidRPr="00606B72">
        <w:rPr>
          <w:color w:val="000000" w:themeColor="text1"/>
        </w:rPr>
        <w:t xml:space="preserve">despite the fact that they do not agree about whether or not we should read the </w:t>
      </w:r>
      <w:r w:rsidR="00706D7F" w:rsidRPr="00606B72">
        <w:rPr>
          <w:i/>
          <w:iCs/>
          <w:color w:val="000000" w:themeColor="text1"/>
        </w:rPr>
        <w:t>Takhlis</w:t>
      </w:r>
      <w:r w:rsidRPr="00606B72">
        <w:rPr>
          <w:color w:val="000000" w:themeColor="text1"/>
        </w:rPr>
        <w:t xml:space="preserve"> </w:t>
      </w:r>
      <w:r w:rsidR="00237204" w:rsidRPr="00606B72">
        <w:rPr>
          <w:color w:val="000000" w:themeColor="text1"/>
        </w:rPr>
        <w:t xml:space="preserve">as </w:t>
      </w:r>
      <w:r w:rsidR="00237204" w:rsidRPr="00606B72">
        <w:rPr>
          <w:i/>
          <w:iCs/>
          <w:color w:val="000000" w:themeColor="text1"/>
        </w:rPr>
        <w:t>naṣīḥa</w:t>
      </w:r>
      <w:r w:rsidR="0042135D" w:rsidRPr="00606B72">
        <w:rPr>
          <w:color w:val="000000" w:themeColor="text1"/>
        </w:rPr>
        <w:t xml:space="preserve">: </w:t>
      </w:r>
      <w:r w:rsidR="00237204" w:rsidRPr="00606B72">
        <w:rPr>
          <w:color w:val="000000" w:themeColor="text1"/>
        </w:rPr>
        <w:t>all three</w:t>
      </w:r>
      <w:r w:rsidRPr="00606B72">
        <w:rPr>
          <w:color w:val="000000" w:themeColor="text1"/>
        </w:rPr>
        <w:t xml:space="preserve"> assume that the genre requires that the writer be, essentially, a sycophant, attempting to ingratiate himself to the powers that </w:t>
      </w:r>
      <w:r w:rsidR="00237204" w:rsidRPr="00606B72">
        <w:rPr>
          <w:color w:val="000000" w:themeColor="text1"/>
        </w:rPr>
        <w:t>be.</w:t>
      </w:r>
      <w:r w:rsidR="00CE76E6" w:rsidRPr="00606B72">
        <w:rPr>
          <w:color w:val="FF0000"/>
        </w:rPr>
        <w:t xml:space="preserve">  </w:t>
      </w:r>
      <w:r w:rsidR="000D2AC2" w:rsidRPr="00606B72">
        <w:rPr>
          <w:color w:val="000000" w:themeColor="text1"/>
        </w:rPr>
        <w:t>This</w:t>
      </w:r>
      <w:r w:rsidR="00CE76E6" w:rsidRPr="00606B72">
        <w:rPr>
          <w:color w:val="000000" w:themeColor="text1"/>
        </w:rPr>
        <w:t xml:space="preserve"> is a</w:t>
      </w:r>
      <w:r w:rsidRPr="00606B72">
        <w:rPr>
          <w:color w:val="000000" w:themeColor="text1"/>
        </w:rPr>
        <w:t xml:space="preserve">n extremely limited understanding of </w:t>
      </w:r>
      <w:r w:rsidRPr="00606B72">
        <w:rPr>
          <w:i/>
          <w:iCs/>
          <w:color w:val="000000" w:themeColor="text1"/>
        </w:rPr>
        <w:t>naṣīḥa</w:t>
      </w:r>
      <w:r w:rsidR="00CE76E6" w:rsidRPr="00606B72">
        <w:rPr>
          <w:i/>
          <w:iCs/>
          <w:color w:val="000000" w:themeColor="text1"/>
        </w:rPr>
        <w:t xml:space="preserve"> </w:t>
      </w:r>
      <w:r w:rsidRPr="00606B72">
        <w:rPr>
          <w:color w:val="000000" w:themeColor="text1"/>
        </w:rPr>
        <w:t xml:space="preserve">that does not account for the complexity of the genre.  Indeed, throughout Islamic history, </w:t>
      </w:r>
      <w:r w:rsidR="00A70863" w:rsidRPr="00606B72">
        <w:rPr>
          <w:color w:val="000000" w:themeColor="text1"/>
        </w:rPr>
        <w:t xml:space="preserve">the importance of </w:t>
      </w:r>
      <w:r w:rsidRPr="00606B72">
        <w:rPr>
          <w:i/>
          <w:iCs/>
          <w:color w:val="000000" w:themeColor="text1"/>
        </w:rPr>
        <w:t>naṣīḥa</w:t>
      </w:r>
      <w:r w:rsidR="00A70863" w:rsidRPr="00606B72">
        <w:rPr>
          <w:color w:val="000000" w:themeColor="text1"/>
        </w:rPr>
        <w:t xml:space="preserve"> </w:t>
      </w:r>
      <w:r w:rsidR="00206F8F">
        <w:rPr>
          <w:color w:val="000000" w:themeColor="text1"/>
        </w:rPr>
        <w:t>i</w:t>
      </w:r>
      <w:r w:rsidR="00A70863" w:rsidRPr="00606B72">
        <w:rPr>
          <w:color w:val="000000" w:themeColor="text1"/>
        </w:rPr>
        <w:t>s</w:t>
      </w:r>
      <w:r w:rsidRPr="00606B72">
        <w:rPr>
          <w:color w:val="000000" w:themeColor="text1"/>
        </w:rPr>
        <w:t xml:space="preserve"> due, in large part, to its ability to serve as a subtle yet subversive form of protest, one that would register the writers’ </w:t>
      </w:r>
      <w:r w:rsidR="00815497" w:rsidRPr="00606B72">
        <w:rPr>
          <w:color w:val="000000" w:themeColor="text1"/>
        </w:rPr>
        <w:t>desires</w:t>
      </w:r>
      <w:r w:rsidRPr="00606B72">
        <w:rPr>
          <w:color w:val="000000" w:themeColor="text1"/>
        </w:rPr>
        <w:t xml:space="preserve"> for political change without (the author hopes) upsetting the head of state.  </w:t>
      </w:r>
    </w:p>
    <w:p w14:paraId="0C8CC291" w14:textId="2F657946" w:rsidR="00F74D88" w:rsidRPr="00606B72" w:rsidRDefault="00F74D88" w:rsidP="00F74D88">
      <w:pPr>
        <w:spacing w:line="480" w:lineRule="auto"/>
        <w:ind w:firstLine="720"/>
        <w:rPr>
          <w:b/>
          <w:bCs/>
        </w:rPr>
      </w:pPr>
      <w:r w:rsidRPr="00606B72">
        <w:t>A competing</w:t>
      </w:r>
      <w:r w:rsidR="00CA3432" w:rsidRPr="00606B72">
        <w:t xml:space="preserve"> </w:t>
      </w:r>
      <w:r w:rsidR="00092424" w:rsidRPr="00606B72">
        <w:t>and much more robus</w:t>
      </w:r>
      <w:r w:rsidR="00CA3432" w:rsidRPr="00606B72">
        <w:t>t</w:t>
      </w:r>
      <w:r w:rsidRPr="00606B72">
        <w:t xml:space="preserve"> </w:t>
      </w:r>
      <w:r w:rsidR="00C83141" w:rsidRPr="00606B72">
        <w:t>account</w:t>
      </w:r>
      <w:r w:rsidRPr="00606B72">
        <w:t xml:space="preserve"> of </w:t>
      </w:r>
      <w:r w:rsidRPr="00606B72">
        <w:rPr>
          <w:i/>
          <w:iCs/>
        </w:rPr>
        <w:t>naṣīḥa</w:t>
      </w:r>
      <w:r w:rsidRPr="00606B72">
        <w:t xml:space="preserve"> is offered by Talal Asad</w:t>
      </w:r>
      <w:r w:rsidR="00D64779" w:rsidRPr="00606B72">
        <w:t xml:space="preserve"> in </w:t>
      </w:r>
      <w:r w:rsidR="00D64779" w:rsidRPr="00606B72">
        <w:rPr>
          <w:i/>
          <w:iCs/>
        </w:rPr>
        <w:t>Genealogies of Religion</w:t>
      </w:r>
      <w:r w:rsidR="00F057D1" w:rsidRPr="00606B72">
        <w:t xml:space="preserve"> (1993</w:t>
      </w:r>
      <w:r w:rsidR="00395D6D">
        <w:t>:</w:t>
      </w:r>
      <w:r w:rsidR="00F057D1" w:rsidRPr="00606B72">
        <w:t xml:space="preserve"> ch.6)</w:t>
      </w:r>
      <w:r w:rsidR="00D64779" w:rsidRPr="00606B72">
        <w:t>.</w:t>
      </w:r>
      <w:r w:rsidRPr="00606B72">
        <w:t xml:space="preserve">  According to Asad, “</w:t>
      </w:r>
      <w:r w:rsidRPr="00606B72">
        <w:rPr>
          <w:i/>
          <w:iCs/>
        </w:rPr>
        <w:t>Naṣīḥa</w:t>
      </w:r>
      <w:r w:rsidRPr="00606B72">
        <w:t xml:space="preserve"> signifies advice that is given </w:t>
      </w:r>
      <w:r w:rsidRPr="00606B72">
        <w:lastRenderedPageBreak/>
        <w:t xml:space="preserve">for someone’s good, honestly and faithfully.  It also has the meaning of sincerity, integrity, and doing justice to a situation.  </w:t>
      </w:r>
      <w:r w:rsidRPr="00606B72">
        <w:rPr>
          <w:i/>
          <w:iCs/>
        </w:rPr>
        <w:t>Naṣīḥa</w:t>
      </w:r>
      <w:r w:rsidRPr="00606B72">
        <w:t>, then, is much more than an expression of good intention on the part of the advice giver (</w:t>
      </w:r>
      <w:r w:rsidRPr="00606B72">
        <w:rPr>
          <w:i/>
          <w:iCs/>
        </w:rPr>
        <w:t>nā</w:t>
      </w:r>
      <w:r w:rsidR="00CD2301">
        <w:rPr>
          <w:i/>
          <w:iCs/>
        </w:rPr>
        <w:t>ṣ</w:t>
      </w:r>
      <w:r w:rsidRPr="00606B72">
        <w:rPr>
          <w:i/>
          <w:iCs/>
        </w:rPr>
        <w:t>i</w:t>
      </w:r>
      <w:r w:rsidR="00CD2301">
        <w:rPr>
          <w:i/>
          <w:iCs/>
        </w:rPr>
        <w:t>ḥ</w:t>
      </w:r>
      <w:r w:rsidRPr="00606B72">
        <w:t>): since in this context it carries the sense of offering moral advice to an erring fellow Muslim (</w:t>
      </w:r>
      <w:r w:rsidRPr="00606B72">
        <w:rPr>
          <w:i/>
          <w:iCs/>
        </w:rPr>
        <w:t>man</w:t>
      </w:r>
      <w:r w:rsidR="00CD2301">
        <w:rPr>
          <w:i/>
          <w:iCs/>
        </w:rPr>
        <w:t>ṣ</w:t>
      </w:r>
      <w:r w:rsidRPr="00606B72">
        <w:rPr>
          <w:i/>
          <w:iCs/>
        </w:rPr>
        <w:t>ū</w:t>
      </w:r>
      <w:r w:rsidR="00CD2301">
        <w:rPr>
          <w:i/>
          <w:iCs/>
        </w:rPr>
        <w:t>ḥ</w:t>
      </w:r>
      <w:r w:rsidRPr="00606B72">
        <w:t>), it is at once an obligation to be fulfilled and a virtue to be cultivated by all Muslims”</w:t>
      </w:r>
      <w:r w:rsidR="00D73302" w:rsidRPr="00606B72">
        <w:t xml:space="preserve"> (1993</w:t>
      </w:r>
      <w:r w:rsidR="00F47A2D">
        <w:t>:</w:t>
      </w:r>
      <w:r w:rsidR="00D73302" w:rsidRPr="00606B72">
        <w:t xml:space="preserve"> 214).</w:t>
      </w:r>
      <w:r w:rsidRPr="00606B72">
        <w:t xml:space="preserve">  </w:t>
      </w:r>
      <w:r w:rsidRPr="00606B72">
        <w:rPr>
          <w:i/>
          <w:iCs/>
        </w:rPr>
        <w:t>Naṣīḥa</w:t>
      </w:r>
      <w:r w:rsidR="00D52AF3" w:rsidRPr="00606B72">
        <w:t>,</w:t>
      </w:r>
      <w:r w:rsidRPr="00606B72">
        <w:t xml:space="preserve"> </w:t>
      </w:r>
      <w:r w:rsidR="00D52AF3" w:rsidRPr="00606B72">
        <w:t xml:space="preserve">therefore, </w:t>
      </w:r>
      <w:r w:rsidR="00323C44" w:rsidRPr="00606B72">
        <w:t xml:space="preserve">requires more than mere sycophancy.  </w:t>
      </w:r>
      <w:r w:rsidR="003F78A7" w:rsidRPr="00606B72">
        <w:t xml:space="preserve">If one were to give counsel out of a </w:t>
      </w:r>
      <w:r w:rsidR="001A1F98" w:rsidRPr="00606B72">
        <w:t>base</w:t>
      </w:r>
      <w:r w:rsidR="00316C36" w:rsidRPr="00606B72">
        <w:t xml:space="preserve"> </w:t>
      </w:r>
      <w:r w:rsidR="003F78A7" w:rsidRPr="00606B72">
        <w:t xml:space="preserve">desire to </w:t>
      </w:r>
      <w:r w:rsidR="00C0737F" w:rsidRPr="00606B72">
        <w:t xml:space="preserve">earn praise </w:t>
      </w:r>
      <w:r w:rsidR="003F78A7" w:rsidRPr="00606B72">
        <w:t xml:space="preserve">rather than out of a desire to provide useful, </w:t>
      </w:r>
      <w:r w:rsidR="00C7548F" w:rsidRPr="00606B72">
        <w:t>moral</w:t>
      </w:r>
      <w:r w:rsidR="003F78A7" w:rsidRPr="00606B72">
        <w:t xml:space="preserve"> advice, this would not be true </w:t>
      </w:r>
      <w:r w:rsidR="003F78A7" w:rsidRPr="00606B72">
        <w:rPr>
          <w:i/>
          <w:iCs/>
        </w:rPr>
        <w:t>naṣīḥa</w:t>
      </w:r>
      <w:r w:rsidR="003F78A7" w:rsidRPr="00606B72">
        <w:t xml:space="preserve">.  Rather, </w:t>
      </w:r>
      <w:r w:rsidR="009D44D2" w:rsidRPr="00606B72">
        <w:rPr>
          <w:i/>
          <w:iCs/>
        </w:rPr>
        <w:t>naṣīḥa</w:t>
      </w:r>
      <w:r w:rsidR="003F78A7" w:rsidRPr="00606B72">
        <w:rPr>
          <w:i/>
          <w:iCs/>
        </w:rPr>
        <w:t xml:space="preserve"> </w:t>
      </w:r>
      <w:r w:rsidR="00323C44" w:rsidRPr="00606B72">
        <w:t xml:space="preserve">must be </w:t>
      </w:r>
      <w:r w:rsidRPr="00606B72">
        <w:t xml:space="preserve">a sincere, good-faith critique meant to genuinely aid the </w:t>
      </w:r>
      <w:r w:rsidRPr="00606B72">
        <w:rPr>
          <w:i/>
          <w:iCs/>
        </w:rPr>
        <w:t>man</w:t>
      </w:r>
      <w:r w:rsidR="00EC334D">
        <w:rPr>
          <w:i/>
          <w:iCs/>
        </w:rPr>
        <w:t>ṣ</w:t>
      </w:r>
      <w:r w:rsidRPr="00606B72">
        <w:rPr>
          <w:i/>
          <w:iCs/>
        </w:rPr>
        <w:t>ū</w:t>
      </w:r>
      <w:r w:rsidR="00EC334D">
        <w:rPr>
          <w:i/>
          <w:iCs/>
        </w:rPr>
        <w:t>ḥ</w:t>
      </w:r>
      <w:r w:rsidRPr="00606B72">
        <w:t>, the receiver of the</w:t>
      </w:r>
      <w:r w:rsidR="00716726" w:rsidRPr="00606B72">
        <w:t xml:space="preserve"> ad</w:t>
      </w:r>
      <w:r w:rsidR="000B387F" w:rsidRPr="00606B72">
        <w:t>vice</w:t>
      </w:r>
      <w:r w:rsidRPr="00606B72">
        <w:t xml:space="preserve">, by correcting immoral and un-Islamic behavior.  </w:t>
      </w:r>
    </w:p>
    <w:p w14:paraId="0F10DD24" w14:textId="4E3E73BB" w:rsidR="00F74D88" w:rsidRPr="00606B72" w:rsidRDefault="00F74D88" w:rsidP="00F74D88">
      <w:pPr>
        <w:spacing w:line="480" w:lineRule="auto"/>
        <w:ind w:firstLine="720"/>
        <w:rPr>
          <w:b/>
          <w:bCs/>
        </w:rPr>
      </w:pPr>
      <w:r w:rsidRPr="00606B72">
        <w:t xml:space="preserve">Because the purpose of </w:t>
      </w:r>
      <w:r w:rsidRPr="00606B72">
        <w:rPr>
          <w:i/>
          <w:iCs/>
        </w:rPr>
        <w:t>naṣīḥa</w:t>
      </w:r>
      <w:r w:rsidRPr="00606B72">
        <w:t xml:space="preserve"> is to correct immoral behavior, it is intimately connected with </w:t>
      </w:r>
      <w:r w:rsidR="00C47996" w:rsidRPr="00606B72">
        <w:t>the author</w:t>
      </w:r>
      <w:r w:rsidR="00D52AF3" w:rsidRPr="00606B72">
        <w:t>’s</w:t>
      </w:r>
      <w:r w:rsidRPr="00606B72">
        <w:t xml:space="preserve"> conce</w:t>
      </w:r>
      <w:r w:rsidR="00D52AF3" w:rsidRPr="00606B72">
        <w:t xml:space="preserve">ption of </w:t>
      </w:r>
      <w:r w:rsidR="00B63AC2" w:rsidRPr="00606B72">
        <w:t>Islam</w:t>
      </w:r>
      <w:r w:rsidRPr="00606B72">
        <w:t xml:space="preserve">.  In asserting that a certain behavior is un-Islamic, the </w:t>
      </w:r>
      <w:r w:rsidRPr="00606B72">
        <w:rPr>
          <w:i/>
          <w:iCs/>
        </w:rPr>
        <w:t>nāṣi</w:t>
      </w:r>
      <w:r w:rsidR="00102FB9" w:rsidRPr="00606B72">
        <w:rPr>
          <w:i/>
          <w:iCs/>
        </w:rPr>
        <w:t xml:space="preserve">ḥ </w:t>
      </w:r>
      <w:r w:rsidRPr="00606B72">
        <w:t>(the advice-giver) implicitly articulates a</w:t>
      </w:r>
      <w:r w:rsidR="00237204" w:rsidRPr="00606B72">
        <w:t xml:space="preserve"> corrective that suggests a </w:t>
      </w:r>
      <w:r w:rsidRPr="00606B72">
        <w:t xml:space="preserve">more authentically Islamic </w:t>
      </w:r>
      <w:r w:rsidR="00ED20B1">
        <w:t>one</w:t>
      </w:r>
      <w:r w:rsidRPr="00606B72">
        <w:t xml:space="preserve">.  </w:t>
      </w:r>
      <w:r w:rsidR="00CB246E">
        <w:t>According</w:t>
      </w:r>
      <w:r w:rsidRPr="00606B72">
        <w:t xml:space="preserve"> to Asad, </w:t>
      </w:r>
      <w:r w:rsidR="00CB246E">
        <w:t xml:space="preserve">then, </w:t>
      </w:r>
      <w:r w:rsidRPr="00606B72">
        <w:t xml:space="preserve">what implicitly occurs in the act of giving </w:t>
      </w:r>
      <w:r w:rsidR="005E66D5" w:rsidRPr="00606B72">
        <w:rPr>
          <w:i/>
          <w:iCs/>
        </w:rPr>
        <w:t>naṣīḥa</w:t>
      </w:r>
      <w:r w:rsidRPr="00606B72">
        <w:t xml:space="preserve"> is an articulation of “a definition of orthodoxy—a (re)ordering of knowledge that governs the ‘correct’ form of Islamic practices”</w:t>
      </w:r>
      <w:r w:rsidR="00D73302" w:rsidRPr="00606B72">
        <w:t xml:space="preserve"> (1993</w:t>
      </w:r>
      <w:r w:rsidR="00BA37D1">
        <w:t>:</w:t>
      </w:r>
      <w:r w:rsidR="00D73302" w:rsidRPr="00606B72">
        <w:t xml:space="preserve"> 210).</w:t>
      </w:r>
      <w:r w:rsidRPr="00606B72">
        <w:t xml:space="preserve">  </w:t>
      </w:r>
      <w:r w:rsidR="009272B9" w:rsidRPr="00606B72">
        <w:t xml:space="preserve">When an individual gives </w:t>
      </w:r>
      <w:r w:rsidR="009272B9" w:rsidRPr="00606B72">
        <w:rPr>
          <w:i/>
          <w:iCs/>
        </w:rPr>
        <w:t>naṣīḥa</w:t>
      </w:r>
      <w:r w:rsidR="009272B9" w:rsidRPr="00606B72">
        <w:t xml:space="preserve">, he or she </w:t>
      </w:r>
      <w:r w:rsidR="0026445E" w:rsidRPr="00606B72">
        <w:t>implicitly</w:t>
      </w:r>
      <w:r w:rsidR="009272B9" w:rsidRPr="00606B72">
        <w:t xml:space="preserve"> articulates</w:t>
      </w:r>
      <w:r w:rsidR="0026445E" w:rsidRPr="00606B72">
        <w:t xml:space="preserve"> a vision of how he or she understands</w:t>
      </w:r>
      <w:r w:rsidR="009272B9" w:rsidRPr="00606B72">
        <w:t xml:space="preserve"> </w:t>
      </w:r>
      <w:r w:rsidR="0026445E" w:rsidRPr="00606B72">
        <w:t>Islam</w:t>
      </w:r>
      <w:r w:rsidR="00F26642" w:rsidRPr="00606B72">
        <w:t>ic tradition</w:t>
      </w:r>
      <w:r w:rsidR="0026445E" w:rsidRPr="00606B72">
        <w:t xml:space="preserve">. </w:t>
      </w:r>
      <w:r w:rsidR="009272B9" w:rsidRPr="00606B72">
        <w:t xml:space="preserve"> </w:t>
      </w:r>
      <w:r w:rsidRPr="00606B72">
        <w:t xml:space="preserve">If I were to provide </w:t>
      </w:r>
      <w:r w:rsidRPr="00606B72">
        <w:rPr>
          <w:i/>
          <w:iCs/>
        </w:rPr>
        <w:t>naṣīḥa</w:t>
      </w:r>
      <w:r w:rsidRPr="00606B72">
        <w:t xml:space="preserve"> to a ruler to be thriftier with public funds, for example, I would </w:t>
      </w:r>
      <w:r w:rsidR="005754F2" w:rsidRPr="00606B72">
        <w:t xml:space="preserve">implicitly </w:t>
      </w:r>
      <w:r w:rsidRPr="00606B72">
        <w:t xml:space="preserve">be making a claim that the misuse of public funds is un-Islamic.  Thus, </w:t>
      </w:r>
      <w:r w:rsidRPr="00606B72">
        <w:rPr>
          <w:i/>
          <w:iCs/>
        </w:rPr>
        <w:t>naṣīḥa</w:t>
      </w:r>
      <w:r w:rsidRPr="00606B72">
        <w:t xml:space="preserve"> becomes an opportunity to publicly articulate one’s relationship with the broader Islamic tradition.  </w:t>
      </w:r>
    </w:p>
    <w:p w14:paraId="150064DB" w14:textId="7D422607" w:rsidR="00F74D88" w:rsidRPr="00606B72" w:rsidRDefault="00F74D88" w:rsidP="00F74D88">
      <w:pPr>
        <w:spacing w:line="480" w:lineRule="auto"/>
        <w:ind w:firstLine="720"/>
      </w:pPr>
      <w:r w:rsidRPr="00606B72">
        <w:t>Such a</w:t>
      </w:r>
      <w:r w:rsidR="003E16BD" w:rsidRPr="00606B72">
        <w:t xml:space="preserve"> “definition of orthodoxy”</w:t>
      </w:r>
      <w:r w:rsidRPr="00606B72">
        <w:t xml:space="preserve"> is </w:t>
      </w:r>
      <w:r w:rsidR="00BC574A" w:rsidRPr="00606B72">
        <w:t>al-Tahtawi</w:t>
      </w:r>
      <w:r w:rsidRPr="00606B72">
        <w:t xml:space="preserve">’s project in the </w:t>
      </w:r>
      <w:r w:rsidR="00706D7F" w:rsidRPr="00606B72">
        <w:rPr>
          <w:i/>
          <w:iCs/>
        </w:rPr>
        <w:t>Takhlis</w:t>
      </w:r>
      <w:r w:rsidRPr="00606B72">
        <w:t xml:space="preserve">.  He </w:t>
      </w:r>
      <w:r w:rsidR="00C81C27" w:rsidRPr="00606B72">
        <w:t>provides</w:t>
      </w:r>
      <w:r w:rsidRPr="00606B72">
        <w:t xml:space="preserve"> </w:t>
      </w:r>
      <w:r w:rsidR="00706D7F" w:rsidRPr="00606B72">
        <w:t>Muhammad</w:t>
      </w:r>
      <w:r w:rsidRPr="00606B72">
        <w:t xml:space="preserve"> ‘Ali and the Egyptian </w:t>
      </w:r>
      <w:r w:rsidR="00D55EBE" w:rsidRPr="00606B72">
        <w:t>ʿ</w:t>
      </w:r>
      <w:r w:rsidRPr="00606B72">
        <w:t>ulam</w:t>
      </w:r>
      <w:r w:rsidR="00BF1E7C" w:rsidRPr="00606B72">
        <w:t>a</w:t>
      </w:r>
      <w:r w:rsidR="00D55EBE" w:rsidRPr="00606B72">
        <w:t>ʾ</w:t>
      </w:r>
      <w:r w:rsidRPr="00606B72">
        <w:rPr>
          <w:i/>
          <w:iCs/>
        </w:rPr>
        <w:t xml:space="preserve"> </w:t>
      </w:r>
      <w:r w:rsidRPr="00606B72">
        <w:t>of al-Azhar</w:t>
      </w:r>
      <w:r w:rsidR="007D5105" w:rsidRPr="00606B72">
        <w:t xml:space="preserve"> </w:t>
      </w:r>
      <w:r w:rsidRPr="00606B72">
        <w:t xml:space="preserve">with his own definition of Islam, informed by his experiences in Paris.  </w:t>
      </w:r>
      <w:r w:rsidR="00BC574A" w:rsidRPr="00606B72">
        <w:rPr>
          <w:color w:val="000000" w:themeColor="text1"/>
        </w:rPr>
        <w:t>Al-Tahtawi</w:t>
      </w:r>
      <w:r w:rsidRPr="00606B72">
        <w:rPr>
          <w:color w:val="000000" w:themeColor="text1"/>
        </w:rPr>
        <w:t xml:space="preserve"> is clear that he</w:t>
      </w:r>
      <w:r w:rsidR="008D4587" w:rsidRPr="00606B72">
        <w:rPr>
          <w:color w:val="000000" w:themeColor="text1"/>
        </w:rPr>
        <w:t xml:space="preserve"> is not advocating</w:t>
      </w:r>
      <w:r w:rsidRPr="00606B72">
        <w:rPr>
          <w:color w:val="000000" w:themeColor="text1"/>
        </w:rPr>
        <w:t xml:space="preserve"> a blind imitation of French society—he complains bitterly throughout the </w:t>
      </w:r>
      <w:r w:rsidR="00706D7F" w:rsidRPr="00606B72">
        <w:rPr>
          <w:i/>
          <w:iCs/>
          <w:color w:val="000000" w:themeColor="text1"/>
        </w:rPr>
        <w:t>T</w:t>
      </w:r>
      <w:r w:rsidR="00706D7F" w:rsidRPr="00606B72">
        <w:rPr>
          <w:i/>
          <w:iCs/>
        </w:rPr>
        <w:t>akhlis</w:t>
      </w:r>
      <w:r w:rsidRPr="00606B72">
        <w:t xml:space="preserve"> that the French are a </w:t>
      </w:r>
      <w:r w:rsidRPr="00606B72">
        <w:lastRenderedPageBreak/>
        <w:t xml:space="preserve">deeply immoral people.  Instead, he </w:t>
      </w:r>
      <w:r w:rsidRPr="00606B72">
        <w:rPr>
          <w:color w:val="000000" w:themeColor="text1"/>
        </w:rPr>
        <w:t xml:space="preserve">calls for a more fluid articulation of Islamic </w:t>
      </w:r>
      <w:r w:rsidR="00A336C2" w:rsidRPr="00606B72">
        <w:rPr>
          <w:color w:val="000000" w:themeColor="text1"/>
        </w:rPr>
        <w:t>orthodoxy</w:t>
      </w:r>
      <w:r w:rsidRPr="00606B72">
        <w:rPr>
          <w:color w:val="000000" w:themeColor="text1"/>
        </w:rPr>
        <w:t xml:space="preserve">, one that can remain authentically Islamic </w:t>
      </w:r>
      <w:r w:rsidRPr="00606B72">
        <w:t>while simultaneously incorporating elements, ideas, and knowledge from Europe.</w:t>
      </w:r>
    </w:p>
    <w:p w14:paraId="1AAB7C80" w14:textId="1165E28F" w:rsidR="00D749A5" w:rsidRPr="00606B72" w:rsidRDefault="00914467" w:rsidP="00ED74D4">
      <w:pPr>
        <w:spacing w:before="240" w:after="240" w:line="480" w:lineRule="auto"/>
        <w:jc w:val="center"/>
        <w:rPr>
          <w:u w:val="single"/>
        </w:rPr>
      </w:pPr>
      <w:r w:rsidRPr="00606B72">
        <w:rPr>
          <w:u w:val="single"/>
        </w:rPr>
        <w:t xml:space="preserve">Literary Analysis: </w:t>
      </w:r>
      <w:r w:rsidR="00BC574A" w:rsidRPr="00606B72">
        <w:rPr>
          <w:u w:val="single"/>
        </w:rPr>
        <w:t>al-Tahtawi</w:t>
      </w:r>
      <w:r w:rsidR="00E34C93" w:rsidRPr="00606B72">
        <w:rPr>
          <w:u w:val="single"/>
        </w:rPr>
        <w:t xml:space="preserve">’s </w:t>
      </w:r>
      <w:r w:rsidR="00706D7F" w:rsidRPr="00606B72">
        <w:rPr>
          <w:i/>
          <w:iCs/>
          <w:u w:val="single"/>
        </w:rPr>
        <w:t>Takhlis</w:t>
      </w:r>
      <w:r w:rsidRPr="00606B72">
        <w:rPr>
          <w:u w:val="single"/>
        </w:rPr>
        <w:t xml:space="preserve"> as </w:t>
      </w:r>
      <w:r w:rsidRPr="00606B72">
        <w:rPr>
          <w:i/>
          <w:iCs/>
          <w:u w:val="single"/>
        </w:rPr>
        <w:t>Naṣīḥa</w:t>
      </w:r>
    </w:p>
    <w:p w14:paraId="37D608BC" w14:textId="265E980D" w:rsidR="00C246A1" w:rsidRPr="00606B72" w:rsidRDefault="00ED20B1" w:rsidP="00C246A1">
      <w:pPr>
        <w:spacing w:line="480" w:lineRule="auto"/>
        <w:ind w:firstLine="720"/>
        <w:rPr>
          <w:color w:val="000000" w:themeColor="text1"/>
        </w:rPr>
      </w:pPr>
      <w:r>
        <w:rPr>
          <w:color w:val="000000" w:themeColor="text1"/>
        </w:rPr>
        <w:t>T</w:t>
      </w:r>
      <w:r w:rsidR="00A86A51" w:rsidRPr="00606B72">
        <w:rPr>
          <w:color w:val="000000" w:themeColor="text1"/>
        </w:rPr>
        <w:t xml:space="preserve">hree themes and characteristics emblematic of works of </w:t>
      </w:r>
      <w:r w:rsidR="00A86A51" w:rsidRPr="00606B72">
        <w:rPr>
          <w:i/>
          <w:iCs/>
          <w:color w:val="000000" w:themeColor="text1"/>
        </w:rPr>
        <w:t>naṣīḥa</w:t>
      </w:r>
      <w:r w:rsidR="00237204" w:rsidRPr="00606B72">
        <w:rPr>
          <w:color w:val="000000" w:themeColor="text1"/>
        </w:rPr>
        <w:t xml:space="preserve"> feature heavily in the </w:t>
      </w:r>
      <w:r w:rsidR="00706D7F" w:rsidRPr="00606B72">
        <w:rPr>
          <w:i/>
          <w:iCs/>
          <w:color w:val="000000" w:themeColor="text1"/>
        </w:rPr>
        <w:t>Takhlis</w:t>
      </w:r>
      <w:r w:rsidR="00A86A51" w:rsidRPr="00606B72">
        <w:rPr>
          <w:color w:val="000000" w:themeColor="text1"/>
        </w:rPr>
        <w:t xml:space="preserve">: the authors’ claims to have access to authoritative and proprietary knowledge, literary and aesthetic uses of poetry and storytelling, and most importantly, the authors’ invocations and descriptions of the ruler to whom the text is addressed.  </w:t>
      </w:r>
      <w:r w:rsidR="00C246A1" w:rsidRPr="00606B72">
        <w:rPr>
          <w:color w:val="000000" w:themeColor="text1"/>
        </w:rPr>
        <w:t xml:space="preserve">Unlike Gran, who contends that the </w:t>
      </w:r>
      <w:r w:rsidR="00706D7F" w:rsidRPr="00606B72">
        <w:rPr>
          <w:i/>
          <w:iCs/>
          <w:color w:val="000000" w:themeColor="text1"/>
        </w:rPr>
        <w:t>Takhlis</w:t>
      </w:r>
      <w:r w:rsidR="00C246A1" w:rsidRPr="00606B72">
        <w:rPr>
          <w:color w:val="000000" w:themeColor="text1"/>
        </w:rPr>
        <w:t xml:space="preserve"> is </w:t>
      </w:r>
      <w:r w:rsidR="00C246A1" w:rsidRPr="00606B72">
        <w:rPr>
          <w:i/>
          <w:iCs/>
          <w:color w:val="000000" w:themeColor="text1"/>
        </w:rPr>
        <w:t>naṣīḥa</w:t>
      </w:r>
      <w:r w:rsidR="008D4587" w:rsidRPr="00606B72">
        <w:rPr>
          <w:color w:val="000000" w:themeColor="text1"/>
        </w:rPr>
        <w:t xml:space="preserve"> is </w:t>
      </w:r>
      <w:r w:rsidR="00C246A1" w:rsidRPr="00606B72">
        <w:rPr>
          <w:color w:val="000000" w:themeColor="text1"/>
        </w:rPr>
        <w:t>based</w:t>
      </w:r>
      <w:r w:rsidR="008D4587" w:rsidRPr="00606B72">
        <w:rPr>
          <w:color w:val="000000" w:themeColor="text1"/>
        </w:rPr>
        <w:t xml:space="preserve"> solely </w:t>
      </w:r>
      <w:r w:rsidR="00C246A1" w:rsidRPr="00606B72">
        <w:rPr>
          <w:color w:val="000000" w:themeColor="text1"/>
        </w:rPr>
        <w:t xml:space="preserve">on biographical details about </w:t>
      </w:r>
      <w:r w:rsidR="00BC574A" w:rsidRPr="00606B72">
        <w:rPr>
          <w:color w:val="000000" w:themeColor="text1"/>
        </w:rPr>
        <w:t>al-Tahtawi</w:t>
      </w:r>
      <w:r w:rsidR="00C246A1" w:rsidRPr="00606B72">
        <w:rPr>
          <w:color w:val="000000" w:themeColor="text1"/>
        </w:rPr>
        <w:t xml:space="preserve"> and historiographical information about 19</w:t>
      </w:r>
      <w:r w:rsidR="00C246A1" w:rsidRPr="00606B72">
        <w:rPr>
          <w:color w:val="000000" w:themeColor="text1"/>
          <w:vertAlign w:val="superscript"/>
        </w:rPr>
        <w:t>th</w:t>
      </w:r>
      <w:r w:rsidR="00C246A1" w:rsidRPr="00606B72">
        <w:rPr>
          <w:color w:val="000000" w:themeColor="text1"/>
        </w:rPr>
        <w:t xml:space="preserve">-century Egypt, I argue that evidence that the </w:t>
      </w:r>
      <w:r w:rsidR="00706D7F" w:rsidRPr="00606B72">
        <w:rPr>
          <w:i/>
          <w:iCs/>
          <w:color w:val="000000" w:themeColor="text1"/>
        </w:rPr>
        <w:t>Takhlis</w:t>
      </w:r>
      <w:r w:rsidR="00C246A1" w:rsidRPr="00606B72">
        <w:rPr>
          <w:color w:val="000000" w:themeColor="text1"/>
        </w:rPr>
        <w:t xml:space="preserve"> is </w:t>
      </w:r>
      <w:r w:rsidR="00C246A1" w:rsidRPr="00606B72">
        <w:rPr>
          <w:i/>
          <w:iCs/>
          <w:color w:val="000000" w:themeColor="text1"/>
        </w:rPr>
        <w:t>naṣīḥa</w:t>
      </w:r>
      <w:r w:rsidR="00C246A1" w:rsidRPr="00606B72">
        <w:rPr>
          <w:color w:val="000000" w:themeColor="text1"/>
        </w:rPr>
        <w:t xml:space="preserve"> can be found </w:t>
      </w:r>
      <w:r w:rsidR="00721C43">
        <w:rPr>
          <w:color w:val="000000" w:themeColor="text1"/>
        </w:rPr>
        <w:t>by identifying these three characteristics through</w:t>
      </w:r>
      <w:r w:rsidR="00C246A1" w:rsidRPr="00606B72">
        <w:rPr>
          <w:color w:val="000000" w:themeColor="text1"/>
        </w:rPr>
        <w:t xml:space="preserve"> a close textual analysis of the work itself.  </w:t>
      </w:r>
    </w:p>
    <w:p w14:paraId="1E3FDF34" w14:textId="19130572" w:rsidR="0023281D" w:rsidRPr="00606B72" w:rsidRDefault="00C246A1" w:rsidP="00C246A1">
      <w:pPr>
        <w:spacing w:line="480" w:lineRule="auto"/>
        <w:rPr>
          <w:color w:val="000000" w:themeColor="text1"/>
        </w:rPr>
      </w:pPr>
      <w:r w:rsidRPr="00606B72">
        <w:rPr>
          <w:color w:val="000000" w:themeColor="text1"/>
        </w:rPr>
        <w:tab/>
        <w:t xml:space="preserve">The trope of secret knowledge is </w:t>
      </w:r>
      <w:r w:rsidR="004D09FF" w:rsidRPr="00606B72">
        <w:rPr>
          <w:color w:val="000000" w:themeColor="text1"/>
        </w:rPr>
        <w:t>widespread</w:t>
      </w:r>
      <w:r w:rsidRPr="00606B72">
        <w:rPr>
          <w:color w:val="000000" w:themeColor="text1"/>
        </w:rPr>
        <w:t xml:space="preserve"> in the </w:t>
      </w:r>
      <w:r w:rsidRPr="00606B72">
        <w:rPr>
          <w:i/>
          <w:iCs/>
          <w:color w:val="000000" w:themeColor="text1"/>
        </w:rPr>
        <w:t>naṣīḥa</w:t>
      </w:r>
      <w:r w:rsidRPr="00606B72">
        <w:rPr>
          <w:color w:val="000000" w:themeColor="text1"/>
        </w:rPr>
        <w:t xml:space="preserve"> tradition.  </w:t>
      </w:r>
      <w:r w:rsidR="00706D7F" w:rsidRPr="00606B72">
        <w:rPr>
          <w:color w:val="000000" w:themeColor="text1"/>
        </w:rPr>
        <w:t xml:space="preserve">By far the most obvious example of this is </w:t>
      </w:r>
      <w:r w:rsidR="00706D7F" w:rsidRPr="00606B72">
        <w:rPr>
          <w:i/>
          <w:iCs/>
          <w:color w:val="000000" w:themeColor="text1"/>
        </w:rPr>
        <w:t>Sirr al-Asr</w:t>
      </w:r>
      <w:r w:rsidR="00706D7F">
        <w:rPr>
          <w:i/>
          <w:iCs/>
          <w:color w:val="000000" w:themeColor="text1"/>
        </w:rPr>
        <w:t>a</w:t>
      </w:r>
      <w:r w:rsidR="00706D7F" w:rsidRPr="00606B72">
        <w:rPr>
          <w:i/>
          <w:iCs/>
          <w:color w:val="000000" w:themeColor="text1"/>
        </w:rPr>
        <w:t>r</w:t>
      </w:r>
      <w:r w:rsidR="00706D7F" w:rsidRPr="00606B72">
        <w:rPr>
          <w:color w:val="000000" w:themeColor="text1"/>
        </w:rPr>
        <w:t xml:space="preserve"> (commonly known in Europe by its Latin name, </w:t>
      </w:r>
      <w:r w:rsidR="00706D7F" w:rsidRPr="00606B72">
        <w:rPr>
          <w:i/>
          <w:iCs/>
          <w:color w:val="000000" w:themeColor="text1"/>
        </w:rPr>
        <w:t>Secreta Secretorum</w:t>
      </w:r>
      <w:r w:rsidR="00706D7F" w:rsidRPr="00606B72">
        <w:rPr>
          <w:color w:val="000000" w:themeColor="text1"/>
        </w:rPr>
        <w:t xml:space="preserve">, or “The Secret of Secrets”).  </w:t>
      </w:r>
      <w:r w:rsidRPr="00606B72">
        <w:rPr>
          <w:color w:val="000000" w:themeColor="text1"/>
        </w:rPr>
        <w:t>Although the text claims that it is a letter written by Aristotle to Alexander the Great, most scholars date the text to the 10</w:t>
      </w:r>
      <w:r w:rsidRPr="00606B72">
        <w:rPr>
          <w:color w:val="000000" w:themeColor="text1"/>
          <w:vertAlign w:val="superscript"/>
        </w:rPr>
        <w:t>th</w:t>
      </w:r>
      <w:r w:rsidRPr="00606B72">
        <w:rPr>
          <w:color w:val="000000" w:themeColor="text1"/>
        </w:rPr>
        <w:t xml:space="preserve"> century and place its origins somewhere within the Islamic Empire</w:t>
      </w:r>
      <w:r w:rsidR="00A71856" w:rsidRPr="00606B72">
        <w:rPr>
          <w:color w:val="000000" w:themeColor="text1"/>
        </w:rPr>
        <w:t xml:space="preserve"> (Micheau, n.d.).</w:t>
      </w:r>
      <w:r w:rsidRPr="00606B72">
        <w:rPr>
          <w:color w:val="000000" w:themeColor="text1"/>
        </w:rPr>
        <w:t xml:space="preserve">  Through</w:t>
      </w:r>
      <w:r w:rsidR="00DF7B4D" w:rsidRPr="00606B72">
        <w:rPr>
          <w:color w:val="000000" w:themeColor="text1"/>
        </w:rPr>
        <w:t>out</w:t>
      </w:r>
      <w:r w:rsidRPr="00606B72">
        <w:rPr>
          <w:color w:val="000000" w:themeColor="text1"/>
        </w:rPr>
        <w:t xml:space="preserve"> the text, </w:t>
      </w:r>
      <w:r w:rsidR="00482568" w:rsidRPr="00606B72">
        <w:rPr>
          <w:color w:val="000000" w:themeColor="text1"/>
        </w:rPr>
        <w:t xml:space="preserve">the </w:t>
      </w:r>
      <w:r w:rsidRPr="00606B72">
        <w:rPr>
          <w:color w:val="000000" w:themeColor="text1"/>
        </w:rPr>
        <w:t xml:space="preserve">pseudo-Aristotle </w:t>
      </w:r>
      <w:r w:rsidR="00D735C9" w:rsidRPr="00606B72">
        <w:rPr>
          <w:color w:val="000000" w:themeColor="text1"/>
        </w:rPr>
        <w:t>offers</w:t>
      </w:r>
      <w:r w:rsidRPr="00606B72">
        <w:rPr>
          <w:color w:val="000000" w:themeColor="text1"/>
        </w:rPr>
        <w:t xml:space="preserve"> Alexander secret knowledge</w:t>
      </w:r>
      <w:r w:rsidR="00044D1B" w:rsidRPr="00606B72">
        <w:rPr>
          <w:color w:val="000000" w:themeColor="text1"/>
        </w:rPr>
        <w:t xml:space="preserve"> </w:t>
      </w:r>
      <w:r w:rsidRPr="00606B72">
        <w:rPr>
          <w:color w:val="000000" w:themeColor="text1"/>
        </w:rPr>
        <w:t xml:space="preserve">to which </w:t>
      </w:r>
      <w:r w:rsidR="00DF7B4D" w:rsidRPr="00606B72">
        <w:rPr>
          <w:color w:val="000000" w:themeColor="text1"/>
        </w:rPr>
        <w:t>he</w:t>
      </w:r>
      <w:r w:rsidRPr="00606B72">
        <w:rPr>
          <w:color w:val="000000" w:themeColor="text1"/>
        </w:rPr>
        <w:t xml:space="preserve"> </w:t>
      </w:r>
      <w:r w:rsidR="00044D1B" w:rsidRPr="00606B72">
        <w:rPr>
          <w:color w:val="000000" w:themeColor="text1"/>
        </w:rPr>
        <w:t>has</w:t>
      </w:r>
      <w:r w:rsidR="000A01BF" w:rsidRPr="00606B72">
        <w:rPr>
          <w:color w:val="000000" w:themeColor="text1"/>
        </w:rPr>
        <w:t xml:space="preserve"> </w:t>
      </w:r>
      <w:r w:rsidRPr="00606B72">
        <w:rPr>
          <w:color w:val="000000" w:themeColor="text1"/>
        </w:rPr>
        <w:t>exclusive access, and which is meant for Alexander’s eyes only</w:t>
      </w:r>
      <w:r w:rsidR="00E47359" w:rsidRPr="00606B72">
        <w:rPr>
          <w:color w:val="000000" w:themeColor="text1"/>
        </w:rPr>
        <w:t xml:space="preserve">.  </w:t>
      </w:r>
      <w:r w:rsidR="008D4587" w:rsidRPr="00606B72">
        <w:rPr>
          <w:color w:val="000000" w:themeColor="text1"/>
        </w:rPr>
        <w:t>Thereafter, t</w:t>
      </w:r>
      <w:r w:rsidRPr="00606B72">
        <w:rPr>
          <w:color w:val="000000" w:themeColor="text1"/>
        </w:rPr>
        <w:t>his</w:t>
      </w:r>
      <w:r w:rsidR="00044D1B" w:rsidRPr="00606B72">
        <w:rPr>
          <w:color w:val="000000" w:themeColor="text1"/>
        </w:rPr>
        <w:t xml:space="preserve"> </w:t>
      </w:r>
      <w:r w:rsidR="0023281D" w:rsidRPr="00606B72">
        <w:rPr>
          <w:color w:val="000000" w:themeColor="text1"/>
        </w:rPr>
        <w:t>trope of secret or proprietary knowledge</w:t>
      </w:r>
      <w:r w:rsidRPr="00606B72">
        <w:rPr>
          <w:color w:val="000000" w:themeColor="text1"/>
        </w:rPr>
        <w:t xml:space="preserve"> becomes a running theme in subsequent works of </w:t>
      </w:r>
      <w:r w:rsidR="00CA5297" w:rsidRPr="00606B72">
        <w:rPr>
          <w:color w:val="000000" w:themeColor="text1"/>
        </w:rPr>
        <w:t>advice literature</w:t>
      </w:r>
      <w:r w:rsidR="00BF7D41" w:rsidRPr="00606B72">
        <w:rPr>
          <w:color w:val="000000" w:themeColor="text1"/>
        </w:rPr>
        <w:t xml:space="preserve"> within the Islamic context</w:t>
      </w:r>
      <w:r w:rsidR="00BD1CC4" w:rsidRPr="00606B72">
        <w:rPr>
          <w:color w:val="000000" w:themeColor="text1"/>
        </w:rPr>
        <w:t xml:space="preserve">.  </w:t>
      </w:r>
      <w:r w:rsidR="00706D7F" w:rsidRPr="00606B72">
        <w:rPr>
          <w:color w:val="000000" w:themeColor="text1"/>
        </w:rPr>
        <w:t xml:space="preserve">In </w:t>
      </w:r>
      <w:r w:rsidR="00706D7F" w:rsidRPr="00606B72">
        <w:rPr>
          <w:i/>
          <w:iCs/>
          <w:color w:val="000000" w:themeColor="text1"/>
        </w:rPr>
        <w:t>Tarikh al-</w:t>
      </w:r>
      <w:r w:rsidR="00706D7F">
        <w:rPr>
          <w:i/>
          <w:iCs/>
          <w:color w:val="000000" w:themeColor="text1"/>
        </w:rPr>
        <w:t>Tabari</w:t>
      </w:r>
      <w:r w:rsidR="00706D7F" w:rsidRPr="00606B72">
        <w:rPr>
          <w:color w:val="000000" w:themeColor="text1"/>
        </w:rPr>
        <w:t>, for example, the author relates a story about the Caliph al-Mans</w:t>
      </w:r>
      <w:r w:rsidR="00706D7F">
        <w:rPr>
          <w:color w:val="000000" w:themeColor="text1"/>
        </w:rPr>
        <w:t>u</w:t>
      </w:r>
      <w:r w:rsidR="00706D7F" w:rsidRPr="00606B72">
        <w:rPr>
          <w:color w:val="000000" w:themeColor="text1"/>
        </w:rPr>
        <w:t xml:space="preserve">r passing on his political know-how to his son and heir, al-Mahdi, by literally giving him access to notebooks full of secret, proprietary knowledge that nobody else is permitted to see: “He had a container in </w:t>
      </w:r>
      <w:r w:rsidR="00706D7F" w:rsidRPr="00606B72">
        <w:rPr>
          <w:color w:val="000000" w:themeColor="text1"/>
        </w:rPr>
        <w:lastRenderedPageBreak/>
        <w:t>which he kept the notebooks (</w:t>
      </w:r>
      <w:r w:rsidR="00706D7F" w:rsidRPr="00606B72">
        <w:rPr>
          <w:i/>
          <w:iCs/>
          <w:color w:val="000000" w:themeColor="text1"/>
        </w:rPr>
        <w:t>dafātīr</w:t>
      </w:r>
      <w:r w:rsidR="00706D7F" w:rsidRPr="00606B72">
        <w:rPr>
          <w:color w:val="000000" w:themeColor="text1"/>
        </w:rPr>
        <w:t>) of his knowledge, and it was locked and he trusted no one to open it and he kept its keys in the sleeve of his shirt” (al-Ṭabarī</w:t>
      </w:r>
      <w:r w:rsidR="00614AB9">
        <w:rPr>
          <w:color w:val="000000" w:themeColor="text1"/>
        </w:rPr>
        <w:t>,</w:t>
      </w:r>
      <w:r w:rsidR="00706D7F" w:rsidRPr="00606B72">
        <w:rPr>
          <w:color w:val="000000" w:themeColor="text1"/>
        </w:rPr>
        <w:t xml:space="preserve"> 1990</w:t>
      </w:r>
      <w:r w:rsidR="00614AB9">
        <w:rPr>
          <w:color w:val="000000" w:themeColor="text1"/>
        </w:rPr>
        <w:t>:</w:t>
      </w:r>
      <w:r w:rsidR="00706D7F" w:rsidRPr="00606B72">
        <w:rPr>
          <w:color w:val="000000" w:themeColor="text1"/>
        </w:rPr>
        <w:t xml:space="preserve"> 150).  </w:t>
      </w:r>
    </w:p>
    <w:p w14:paraId="2919E991" w14:textId="3B4969A2" w:rsidR="00C246A1" w:rsidRPr="00606B72" w:rsidRDefault="0023281D" w:rsidP="00C246A1">
      <w:pPr>
        <w:spacing w:line="480" w:lineRule="auto"/>
        <w:rPr>
          <w:b/>
          <w:bCs/>
          <w:color w:val="FF0000"/>
        </w:rPr>
      </w:pPr>
      <w:r w:rsidRPr="00606B72">
        <w:rPr>
          <w:color w:val="000000" w:themeColor="text1"/>
        </w:rPr>
        <w:tab/>
      </w:r>
      <w:r w:rsidR="00BC574A" w:rsidRPr="00606B72">
        <w:rPr>
          <w:color w:val="000000" w:themeColor="text1"/>
        </w:rPr>
        <w:t>Al-Tahtawi</w:t>
      </w:r>
      <w:r w:rsidR="002B6852" w:rsidRPr="00606B72">
        <w:rPr>
          <w:color w:val="000000" w:themeColor="text1"/>
        </w:rPr>
        <w:t xml:space="preserve"> similarly claims to have access to a form of proprietary knowledge</w:t>
      </w:r>
      <w:r w:rsidR="00C246A1" w:rsidRPr="00606B72">
        <w:rPr>
          <w:color w:val="000000" w:themeColor="text1"/>
        </w:rPr>
        <w:t xml:space="preserve"> in the </w:t>
      </w:r>
      <w:r w:rsidR="00E47359" w:rsidRPr="00606B72">
        <w:rPr>
          <w:color w:val="000000" w:themeColor="text1"/>
        </w:rPr>
        <w:t xml:space="preserve">full </w:t>
      </w:r>
      <w:r w:rsidR="00C246A1" w:rsidRPr="00606B72">
        <w:rPr>
          <w:color w:val="000000" w:themeColor="text1"/>
        </w:rPr>
        <w:t>title</w:t>
      </w:r>
      <w:r w:rsidR="00044D1B" w:rsidRPr="00606B72">
        <w:rPr>
          <w:color w:val="FF0000"/>
        </w:rPr>
        <w:t xml:space="preserve"> </w:t>
      </w:r>
      <w:r w:rsidR="00C246A1" w:rsidRPr="00606B72">
        <w:rPr>
          <w:color w:val="000000" w:themeColor="text1"/>
        </w:rPr>
        <w:t xml:space="preserve">of the </w:t>
      </w:r>
      <w:r w:rsidR="00706D7F" w:rsidRPr="00606B72">
        <w:rPr>
          <w:i/>
          <w:iCs/>
          <w:color w:val="000000" w:themeColor="text1"/>
        </w:rPr>
        <w:t>Takhlis</w:t>
      </w:r>
      <w:r w:rsidR="00C246A1" w:rsidRPr="00606B72">
        <w:rPr>
          <w:color w:val="000000" w:themeColor="text1"/>
        </w:rPr>
        <w:t>, which</w:t>
      </w:r>
      <w:r w:rsidR="00C0737F" w:rsidRPr="00606B72">
        <w:rPr>
          <w:color w:val="000000" w:themeColor="text1"/>
        </w:rPr>
        <w:t>, as previously noted,</w:t>
      </w:r>
      <w:r w:rsidR="00C246A1" w:rsidRPr="00606B72">
        <w:rPr>
          <w:color w:val="000000" w:themeColor="text1"/>
        </w:rPr>
        <w:t xml:space="preserve"> can be translated as “The Extraction of Pure Gold from a Summary of Paris.”  Like</w:t>
      </w:r>
      <w:r w:rsidR="00F604DB" w:rsidRPr="00606B72">
        <w:rPr>
          <w:color w:val="000000" w:themeColor="text1"/>
        </w:rPr>
        <w:t xml:space="preserve"> the</w:t>
      </w:r>
      <w:r w:rsidR="00C246A1" w:rsidRPr="00606B72">
        <w:rPr>
          <w:color w:val="000000" w:themeColor="text1"/>
        </w:rPr>
        <w:t xml:space="preserve"> pseudo-Aristotle’s claim to secret knowledge in </w:t>
      </w:r>
      <w:r w:rsidR="00C246A1" w:rsidRPr="00606B72">
        <w:rPr>
          <w:i/>
          <w:iCs/>
          <w:color w:val="000000" w:themeColor="text1"/>
        </w:rPr>
        <w:t>Sirr al-Asrar</w:t>
      </w:r>
      <w:r w:rsidR="002B6852" w:rsidRPr="00606B72">
        <w:rPr>
          <w:color w:val="000000" w:themeColor="text1"/>
        </w:rPr>
        <w:t xml:space="preserve"> and al-</w:t>
      </w:r>
      <w:r w:rsidR="00706D7F" w:rsidRPr="00606B72">
        <w:rPr>
          <w:color w:val="000000" w:themeColor="text1"/>
        </w:rPr>
        <w:t>Mansur’s</w:t>
      </w:r>
      <w:r w:rsidR="002B6852" w:rsidRPr="00606B72">
        <w:rPr>
          <w:color w:val="000000" w:themeColor="text1"/>
        </w:rPr>
        <w:t xml:space="preserve"> secret trove of notebooks,</w:t>
      </w:r>
      <w:r w:rsidR="00C246A1" w:rsidRPr="00606B72">
        <w:rPr>
          <w:color w:val="000000" w:themeColor="text1"/>
        </w:rPr>
        <w:t xml:space="preserve"> </w:t>
      </w:r>
      <w:r w:rsidR="00BC574A" w:rsidRPr="00606B72">
        <w:rPr>
          <w:color w:val="000000" w:themeColor="text1"/>
        </w:rPr>
        <w:t>al-Tahtawi</w:t>
      </w:r>
      <w:r w:rsidR="00C246A1" w:rsidRPr="00606B72">
        <w:rPr>
          <w:color w:val="000000" w:themeColor="text1"/>
        </w:rPr>
        <w:t xml:space="preserve"> claims</w:t>
      </w:r>
      <w:r w:rsidR="00EC53BB" w:rsidRPr="00606B72">
        <w:rPr>
          <w:color w:val="000000" w:themeColor="text1"/>
        </w:rPr>
        <w:t xml:space="preserve"> </w:t>
      </w:r>
      <w:r w:rsidR="00C246A1" w:rsidRPr="00606B72">
        <w:rPr>
          <w:color w:val="000000" w:themeColor="text1"/>
        </w:rPr>
        <w:t xml:space="preserve">to have sifted through the filth that he found in Paris to uncover the nuggets of </w:t>
      </w:r>
      <w:r w:rsidR="00BD3934" w:rsidRPr="00606B72">
        <w:rPr>
          <w:color w:val="000000" w:themeColor="text1"/>
        </w:rPr>
        <w:t>“pure gold”</w:t>
      </w:r>
      <w:r w:rsidR="00C246A1" w:rsidRPr="00606B72">
        <w:rPr>
          <w:color w:val="000000" w:themeColor="text1"/>
        </w:rPr>
        <w:t xml:space="preserve"> that he wishes to present as a gift to </w:t>
      </w:r>
      <w:r w:rsidR="00706D7F" w:rsidRPr="00606B72">
        <w:rPr>
          <w:color w:val="000000" w:themeColor="text1"/>
        </w:rPr>
        <w:t>Muhammad</w:t>
      </w:r>
      <w:r w:rsidR="00C246A1" w:rsidRPr="00606B72">
        <w:rPr>
          <w:color w:val="000000" w:themeColor="text1"/>
        </w:rPr>
        <w:t xml:space="preserve"> ‘Ali</w:t>
      </w:r>
      <w:r w:rsidR="00996410" w:rsidRPr="00606B72">
        <w:rPr>
          <w:color w:val="000000" w:themeColor="text1"/>
        </w:rPr>
        <w:t xml:space="preserve">.  </w:t>
      </w:r>
      <w:r w:rsidR="002B26AE" w:rsidRPr="00606B72">
        <w:rPr>
          <w:color w:val="000000" w:themeColor="text1"/>
        </w:rPr>
        <w:t>Even more fundamentally</w:t>
      </w:r>
      <w:r w:rsidR="00996410" w:rsidRPr="00606B72">
        <w:rPr>
          <w:color w:val="000000" w:themeColor="text1"/>
        </w:rPr>
        <w:t xml:space="preserve">, </w:t>
      </w:r>
      <w:r w:rsidR="00BC574A" w:rsidRPr="00606B72">
        <w:rPr>
          <w:color w:val="000000" w:themeColor="text1"/>
        </w:rPr>
        <w:t>al-Tahtawi</w:t>
      </w:r>
      <w:r w:rsidR="008E16AC" w:rsidRPr="00606B72">
        <w:rPr>
          <w:color w:val="000000" w:themeColor="text1"/>
        </w:rPr>
        <w:t>’</w:t>
      </w:r>
      <w:r w:rsidR="00996410" w:rsidRPr="00606B72">
        <w:rPr>
          <w:color w:val="000000" w:themeColor="text1"/>
        </w:rPr>
        <w:t xml:space="preserve">s engagement with a </w:t>
      </w:r>
      <w:r w:rsidR="00996410" w:rsidRPr="00606B72">
        <w:rPr>
          <w:i/>
          <w:iCs/>
          <w:color w:val="000000" w:themeColor="text1"/>
        </w:rPr>
        <w:t>foreign</w:t>
      </w:r>
      <w:r w:rsidR="00996410" w:rsidRPr="00606B72">
        <w:rPr>
          <w:color w:val="000000" w:themeColor="text1"/>
        </w:rPr>
        <w:t xml:space="preserve"> </w:t>
      </w:r>
      <w:r w:rsidR="00D97241" w:rsidRPr="00606B72">
        <w:rPr>
          <w:color w:val="000000" w:themeColor="text1"/>
        </w:rPr>
        <w:t>culture</w:t>
      </w:r>
      <w:r w:rsidR="00996410" w:rsidRPr="00606B72">
        <w:rPr>
          <w:color w:val="000000" w:themeColor="text1"/>
        </w:rPr>
        <w:t xml:space="preserve"> that was </w:t>
      </w:r>
      <w:r w:rsidR="009973F4" w:rsidRPr="00606B72">
        <w:rPr>
          <w:color w:val="000000" w:themeColor="text1"/>
        </w:rPr>
        <w:t xml:space="preserve">largely </w:t>
      </w:r>
      <w:r w:rsidR="00996410" w:rsidRPr="00606B72">
        <w:rPr>
          <w:color w:val="000000" w:themeColor="text1"/>
        </w:rPr>
        <w:t xml:space="preserve">unknown to the Egyptian scholarly class cements his </w:t>
      </w:r>
      <w:r w:rsidR="00195C0D" w:rsidRPr="00606B72">
        <w:rPr>
          <w:color w:val="000000" w:themeColor="text1"/>
        </w:rPr>
        <w:t>proprietary</w:t>
      </w:r>
      <w:r w:rsidR="00996410" w:rsidRPr="00606B72">
        <w:rPr>
          <w:color w:val="000000" w:themeColor="text1"/>
        </w:rPr>
        <w:t xml:space="preserve"> claims to the</w:t>
      </w:r>
      <w:r w:rsidR="00195C0D" w:rsidRPr="00606B72">
        <w:rPr>
          <w:color w:val="000000" w:themeColor="text1"/>
        </w:rPr>
        <w:t xml:space="preserve"> secret</w:t>
      </w:r>
      <w:r w:rsidR="00996410" w:rsidRPr="00606B72">
        <w:rPr>
          <w:color w:val="000000" w:themeColor="text1"/>
        </w:rPr>
        <w:t xml:space="preserve"> knowledge that France offers.</w:t>
      </w:r>
      <w:r w:rsidR="00D97241" w:rsidRPr="00606B72">
        <w:rPr>
          <w:color w:val="000000" w:themeColor="text1"/>
        </w:rPr>
        <w:t xml:space="preserve">  </w:t>
      </w:r>
      <w:r w:rsidR="00BC574A" w:rsidRPr="00606B72">
        <w:rPr>
          <w:color w:val="000000" w:themeColor="text1"/>
        </w:rPr>
        <w:t>Al-Tahtawi</w:t>
      </w:r>
      <w:r w:rsidR="008E16AC" w:rsidRPr="00606B72">
        <w:rPr>
          <w:color w:val="000000" w:themeColor="text1"/>
        </w:rPr>
        <w:t>’</w:t>
      </w:r>
      <w:r w:rsidR="002F588A" w:rsidRPr="00606B72">
        <w:rPr>
          <w:color w:val="000000" w:themeColor="text1"/>
        </w:rPr>
        <w:t xml:space="preserve">s claims to exclusive knowledge are made concrete in the preface, where he states: </w:t>
      </w:r>
      <w:r w:rsidR="008E16AC" w:rsidRPr="00606B72">
        <w:rPr>
          <w:color w:val="000000" w:themeColor="text1"/>
        </w:rPr>
        <w:t>“</w:t>
      </w:r>
      <w:r w:rsidR="002F588A" w:rsidRPr="00606B72">
        <w:rPr>
          <w:color w:val="000000" w:themeColor="text1"/>
        </w:rPr>
        <w:t>as far as I know, nothing has appeared in Arabic up until now on the history of the city of Paris, the seat of the Kingdom of the French, nor is there any information on its condition or the condition of its people</w:t>
      </w:r>
      <w:r w:rsidR="008E16AC" w:rsidRPr="00606B72">
        <w:rPr>
          <w:color w:val="000000" w:themeColor="text1"/>
        </w:rPr>
        <w:t>”</w:t>
      </w:r>
      <w:r w:rsidR="00334046" w:rsidRPr="00606B72">
        <w:rPr>
          <w:color w:val="000000" w:themeColor="text1"/>
        </w:rPr>
        <w:t xml:space="preserve"> (20</w:t>
      </w:r>
      <w:r w:rsidR="00B70EBC" w:rsidRPr="00606B72">
        <w:rPr>
          <w:color w:val="000000" w:themeColor="text1"/>
        </w:rPr>
        <w:t>11</w:t>
      </w:r>
      <w:r w:rsidR="0010339D">
        <w:rPr>
          <w:color w:val="000000" w:themeColor="text1"/>
        </w:rPr>
        <w:t>:</w:t>
      </w:r>
      <w:r w:rsidR="00334046" w:rsidRPr="00606B72">
        <w:rPr>
          <w:color w:val="000000" w:themeColor="text1"/>
        </w:rPr>
        <w:t xml:space="preserve"> 105).</w:t>
      </w:r>
      <w:r w:rsidR="00A15A8F" w:rsidRPr="00606B72">
        <w:rPr>
          <w:color w:val="000000" w:themeColor="text1"/>
        </w:rPr>
        <w:t xml:space="preserve">  Because of his status as a learned scholar in a foreign and unfamiliar land, </w:t>
      </w:r>
      <w:r w:rsidR="00BC574A" w:rsidRPr="00606B72">
        <w:rPr>
          <w:color w:val="000000" w:themeColor="text1"/>
        </w:rPr>
        <w:t>al-Tahtawi</w:t>
      </w:r>
      <w:r w:rsidR="00A15A8F" w:rsidRPr="00606B72">
        <w:rPr>
          <w:color w:val="000000" w:themeColor="text1"/>
        </w:rPr>
        <w:t xml:space="preserve"> has exclusive access to </w:t>
      </w:r>
      <w:r w:rsidR="00741988" w:rsidRPr="00606B72">
        <w:rPr>
          <w:color w:val="000000" w:themeColor="text1"/>
        </w:rPr>
        <w:t xml:space="preserve">the beneficial information that he has discovered in France.  </w:t>
      </w:r>
    </w:p>
    <w:p w14:paraId="54562206" w14:textId="68C2FCA3" w:rsidR="00C246A1" w:rsidRPr="00606B72" w:rsidRDefault="00C246A1" w:rsidP="00C246A1">
      <w:pPr>
        <w:spacing w:line="480" w:lineRule="auto"/>
        <w:ind w:firstLine="720"/>
        <w:rPr>
          <w:color w:val="000000" w:themeColor="text1"/>
        </w:rPr>
      </w:pPr>
      <w:r w:rsidRPr="00606B72">
        <w:rPr>
          <w:color w:val="000000" w:themeColor="text1"/>
        </w:rPr>
        <w:t xml:space="preserve">A striking feature of the </w:t>
      </w:r>
      <w:r w:rsidR="00706D7F" w:rsidRPr="00606B72">
        <w:rPr>
          <w:i/>
          <w:iCs/>
          <w:color w:val="000000" w:themeColor="text1"/>
        </w:rPr>
        <w:t>Takhlis</w:t>
      </w:r>
      <w:r w:rsidRPr="00606B72">
        <w:rPr>
          <w:color w:val="000000" w:themeColor="text1"/>
        </w:rPr>
        <w:t xml:space="preserve"> is </w:t>
      </w:r>
      <w:r w:rsidR="00BC574A" w:rsidRPr="00606B72">
        <w:rPr>
          <w:color w:val="000000" w:themeColor="text1"/>
        </w:rPr>
        <w:t>al-Tahtawi</w:t>
      </w:r>
      <w:r w:rsidRPr="00606B72">
        <w:rPr>
          <w:color w:val="000000" w:themeColor="text1"/>
        </w:rPr>
        <w:t xml:space="preserve">’s frequent use of poetry to support his political </w:t>
      </w:r>
      <w:r w:rsidR="008D4587" w:rsidRPr="00606B72">
        <w:rPr>
          <w:color w:val="000000" w:themeColor="text1"/>
        </w:rPr>
        <w:t>claims</w:t>
      </w:r>
      <w:r w:rsidRPr="00606B72">
        <w:rPr>
          <w:color w:val="000000" w:themeColor="text1"/>
        </w:rPr>
        <w:t xml:space="preserve">.  When discussing the importance of travel, for example, </w:t>
      </w:r>
      <w:r w:rsidR="00BC574A" w:rsidRPr="00606B72">
        <w:rPr>
          <w:color w:val="000000" w:themeColor="text1"/>
        </w:rPr>
        <w:t>al-Tahtawi</w:t>
      </w:r>
      <w:r w:rsidRPr="00606B72">
        <w:rPr>
          <w:color w:val="000000" w:themeColor="text1"/>
        </w:rPr>
        <w:t xml:space="preserve"> cites as evidence the following verse: “</w:t>
      </w:r>
      <w:r w:rsidRPr="00606B72">
        <w:rPr>
          <w:i/>
          <w:iCs/>
          <w:color w:val="000000" w:themeColor="text1"/>
        </w:rPr>
        <w:t>Traversing other countries—even in destitution— / is preferable for me to high rank</w:t>
      </w:r>
      <w:r w:rsidRPr="00606B72">
        <w:rPr>
          <w:color w:val="000000" w:themeColor="text1"/>
        </w:rPr>
        <w:t>”</w:t>
      </w:r>
      <w:r w:rsidR="00334046" w:rsidRPr="00606B72">
        <w:rPr>
          <w:color w:val="000000" w:themeColor="text1"/>
        </w:rPr>
        <w:t xml:space="preserve"> (2</w:t>
      </w:r>
      <w:r w:rsidR="007E5663" w:rsidRPr="00606B72">
        <w:rPr>
          <w:color w:val="000000" w:themeColor="text1"/>
        </w:rPr>
        <w:t>011</w:t>
      </w:r>
      <w:r w:rsidR="00334046" w:rsidRPr="00606B72">
        <w:rPr>
          <w:color w:val="000000" w:themeColor="text1"/>
        </w:rPr>
        <w:t>, 128).</w:t>
      </w:r>
      <w:r w:rsidRPr="00606B72">
        <w:rPr>
          <w:color w:val="000000" w:themeColor="text1"/>
        </w:rPr>
        <w:t xml:space="preserve">  </w:t>
      </w:r>
      <w:r w:rsidR="00E30054" w:rsidRPr="00606B72">
        <w:rPr>
          <w:color w:val="000000" w:themeColor="text1"/>
        </w:rPr>
        <w:t xml:space="preserve">The incorporation of poetry and </w:t>
      </w:r>
      <w:r w:rsidR="00C87654" w:rsidRPr="00606B72">
        <w:rPr>
          <w:color w:val="000000" w:themeColor="text1"/>
        </w:rPr>
        <w:t>vivid, descriptive imagery</w:t>
      </w:r>
      <w:r w:rsidRPr="00606B72">
        <w:rPr>
          <w:i/>
          <w:iCs/>
          <w:color w:val="000000" w:themeColor="text1"/>
        </w:rPr>
        <w:t xml:space="preserve"> </w:t>
      </w:r>
      <w:r w:rsidRPr="00606B72">
        <w:rPr>
          <w:color w:val="000000" w:themeColor="text1"/>
        </w:rPr>
        <w:t xml:space="preserve">is an essential characteristic of works of </w:t>
      </w:r>
      <w:r w:rsidRPr="00606B72">
        <w:rPr>
          <w:i/>
          <w:iCs/>
          <w:color w:val="000000" w:themeColor="text1"/>
        </w:rPr>
        <w:t xml:space="preserve">naṣīḥa.  </w:t>
      </w:r>
      <w:r w:rsidRPr="00606B72">
        <w:rPr>
          <w:color w:val="000000" w:themeColor="text1"/>
        </w:rPr>
        <w:t xml:space="preserve">Regarding </w:t>
      </w:r>
      <w:r w:rsidR="00B0359E" w:rsidRPr="00606B72">
        <w:rPr>
          <w:color w:val="000000" w:themeColor="text1"/>
        </w:rPr>
        <w:t xml:space="preserve">its use </w:t>
      </w:r>
      <w:r w:rsidRPr="00606B72">
        <w:rPr>
          <w:color w:val="000000" w:themeColor="text1"/>
        </w:rPr>
        <w:t xml:space="preserve">in works of </w:t>
      </w:r>
      <w:r w:rsidRPr="00606B72">
        <w:rPr>
          <w:i/>
          <w:iCs/>
          <w:color w:val="000000" w:themeColor="text1"/>
        </w:rPr>
        <w:t>naṣīḥa</w:t>
      </w:r>
      <w:r w:rsidRPr="00606B72">
        <w:rPr>
          <w:color w:val="000000" w:themeColor="text1"/>
        </w:rPr>
        <w:t xml:space="preserve">, </w:t>
      </w:r>
      <w:r w:rsidR="008D4587" w:rsidRPr="00606B72">
        <w:rPr>
          <w:color w:val="000000" w:themeColor="text1"/>
        </w:rPr>
        <w:t xml:space="preserve">the </w:t>
      </w:r>
      <w:r w:rsidR="00111A55" w:rsidRPr="00606B72">
        <w:rPr>
          <w:color w:val="000000" w:themeColor="text1"/>
        </w:rPr>
        <w:t>historian of Islam</w:t>
      </w:r>
      <w:r w:rsidR="00EE57A6" w:rsidRPr="00606B72">
        <w:rPr>
          <w:color w:val="000000" w:themeColor="text1"/>
        </w:rPr>
        <w:t xml:space="preserve"> Louise </w:t>
      </w:r>
      <w:r w:rsidRPr="00606B72">
        <w:rPr>
          <w:color w:val="000000" w:themeColor="text1"/>
        </w:rPr>
        <w:t xml:space="preserve">Marlow </w:t>
      </w:r>
      <w:r w:rsidR="008D4587" w:rsidRPr="00606B72">
        <w:rPr>
          <w:color w:val="000000" w:themeColor="text1"/>
        </w:rPr>
        <w:t xml:space="preserve">has argued that </w:t>
      </w:r>
      <w:r w:rsidRPr="00606B72">
        <w:rPr>
          <w:color w:val="000000" w:themeColor="text1"/>
        </w:rPr>
        <w:t>“</w:t>
      </w:r>
      <w:r w:rsidR="008D4587" w:rsidRPr="00606B72">
        <w:rPr>
          <w:rFonts w:eastAsia="Times New Roman"/>
          <w:color w:val="000000" w:themeColor="text1"/>
          <w:shd w:val="clear" w:color="auto" w:fill="FFFFFF"/>
        </w:rPr>
        <w:t>[m]</w:t>
      </w:r>
      <w:r w:rsidRPr="00606B72">
        <w:rPr>
          <w:rFonts w:eastAsia="Times New Roman"/>
          <w:color w:val="000000" w:themeColor="text1"/>
          <w:shd w:val="clear" w:color="auto" w:fill="FFFFFF"/>
        </w:rPr>
        <w:t>any authors of mirrors set out not only to impart advice, but to delight their audiences with the subtle use of illustrative Qur</w:t>
      </w:r>
      <w:r w:rsidR="00383256" w:rsidRPr="00606B72">
        <w:rPr>
          <w:rFonts w:eastAsia="Times New Roman"/>
          <w:color w:val="000000" w:themeColor="text1"/>
          <w:shd w:val="clear" w:color="auto" w:fill="FFFFFF"/>
        </w:rPr>
        <w:t>ʾa</w:t>
      </w:r>
      <w:r w:rsidRPr="00606B72">
        <w:rPr>
          <w:rFonts w:eastAsia="Times New Roman"/>
          <w:color w:val="000000" w:themeColor="text1"/>
          <w:shd w:val="clear" w:color="auto" w:fill="FFFFFF"/>
        </w:rPr>
        <w:t>nic quotations and </w:t>
      </w:r>
      <w:r w:rsidR="00706D7F" w:rsidRPr="00606B72">
        <w:rPr>
          <w:rFonts w:eastAsia="Times New Roman"/>
          <w:color w:val="000000" w:themeColor="text1"/>
        </w:rPr>
        <w:t>hadith</w:t>
      </w:r>
      <w:r w:rsidRPr="00606B72">
        <w:rPr>
          <w:rFonts w:eastAsia="Times New Roman"/>
          <w:color w:val="000000" w:themeColor="text1"/>
          <w:shd w:val="clear" w:color="auto" w:fill="FFFFFF"/>
        </w:rPr>
        <w:t xml:space="preserve">, narrative accounts concerning caliphs and sultans, pleasing stories, wise and witty </w:t>
      </w:r>
      <w:r w:rsidRPr="00606B72">
        <w:rPr>
          <w:rFonts w:eastAsia="Times New Roman"/>
          <w:color w:val="000000" w:themeColor="text1"/>
          <w:shd w:val="clear" w:color="auto" w:fill="FFFFFF"/>
        </w:rPr>
        <w:lastRenderedPageBreak/>
        <w:t>proverbs, and verses of poetry; such writers aimed to provide aesthetic pleasure as well as gentle edification”</w:t>
      </w:r>
      <w:r w:rsidR="008A640B" w:rsidRPr="00606B72">
        <w:rPr>
          <w:rFonts w:eastAsia="Times New Roman"/>
          <w:color w:val="000000" w:themeColor="text1"/>
          <w:shd w:val="clear" w:color="auto" w:fill="FFFFFF"/>
        </w:rPr>
        <w:t xml:space="preserve"> (Marlow</w:t>
      </w:r>
      <w:r w:rsidR="0093741F">
        <w:rPr>
          <w:rFonts w:eastAsia="Times New Roman"/>
          <w:color w:val="000000" w:themeColor="text1"/>
          <w:shd w:val="clear" w:color="auto" w:fill="FFFFFF"/>
        </w:rPr>
        <w:t>,</w:t>
      </w:r>
      <w:r w:rsidR="008A640B" w:rsidRPr="00606B72">
        <w:rPr>
          <w:rFonts w:eastAsia="Times New Roman"/>
          <w:color w:val="000000" w:themeColor="text1"/>
          <w:shd w:val="clear" w:color="auto" w:fill="FFFFFF"/>
        </w:rPr>
        <w:t xml:space="preserve"> n.d.).</w:t>
      </w:r>
      <w:r w:rsidR="0034249E" w:rsidRPr="00606B72">
        <w:rPr>
          <w:rFonts w:eastAsia="Times New Roman"/>
          <w:b/>
          <w:bCs/>
          <w:color w:val="000000" w:themeColor="text1"/>
        </w:rPr>
        <w:t xml:space="preserve">  </w:t>
      </w:r>
      <w:r w:rsidRPr="00606B72">
        <w:rPr>
          <w:color w:val="000000" w:themeColor="text1"/>
        </w:rPr>
        <w:t xml:space="preserve">Authors of </w:t>
      </w:r>
      <w:r w:rsidRPr="00606B72">
        <w:rPr>
          <w:i/>
          <w:iCs/>
          <w:color w:val="000000" w:themeColor="text1"/>
        </w:rPr>
        <w:t>naṣīḥa</w:t>
      </w:r>
      <w:r w:rsidRPr="00606B72">
        <w:rPr>
          <w:color w:val="000000" w:themeColor="text1"/>
        </w:rPr>
        <w:t xml:space="preserve"> occasionally even acknowledge that rulers are busy, and that they must employ </w:t>
      </w:r>
      <w:r w:rsidR="00C75712" w:rsidRPr="00606B72">
        <w:rPr>
          <w:color w:val="000000" w:themeColor="text1"/>
        </w:rPr>
        <w:t xml:space="preserve">a beautiful </w:t>
      </w:r>
      <w:r w:rsidRPr="00606B72">
        <w:rPr>
          <w:color w:val="000000" w:themeColor="text1"/>
        </w:rPr>
        <w:t xml:space="preserve">style </w:t>
      </w:r>
      <w:r w:rsidR="00C75712" w:rsidRPr="00606B72">
        <w:rPr>
          <w:color w:val="000000" w:themeColor="text1"/>
        </w:rPr>
        <w:t xml:space="preserve">and </w:t>
      </w:r>
      <w:r w:rsidR="008A03E2" w:rsidRPr="00606B72">
        <w:rPr>
          <w:color w:val="000000" w:themeColor="text1"/>
        </w:rPr>
        <w:t xml:space="preserve">good </w:t>
      </w:r>
      <w:r w:rsidRPr="00606B72">
        <w:rPr>
          <w:color w:val="000000" w:themeColor="text1"/>
        </w:rPr>
        <w:t xml:space="preserve">storytelling in order to keep the ruler interested and invested in what the </w:t>
      </w:r>
      <w:r w:rsidR="00164EC8" w:rsidRPr="00606B72">
        <w:rPr>
          <w:color w:val="000000" w:themeColor="text1"/>
        </w:rPr>
        <w:t>advisor</w:t>
      </w:r>
      <w:r w:rsidRPr="00606B72">
        <w:rPr>
          <w:color w:val="000000" w:themeColor="text1"/>
        </w:rPr>
        <w:t xml:space="preserve"> is saying.  </w:t>
      </w:r>
      <w:r w:rsidR="00BC574A" w:rsidRPr="00606B72">
        <w:rPr>
          <w:color w:val="000000" w:themeColor="text1"/>
        </w:rPr>
        <w:t>Al-Tahtawi</w:t>
      </w:r>
      <w:r w:rsidR="001F6F5A" w:rsidRPr="00606B72">
        <w:rPr>
          <w:color w:val="000000" w:themeColor="text1"/>
        </w:rPr>
        <w:t xml:space="preserve"> notes in the preface to the </w:t>
      </w:r>
      <w:r w:rsidR="001F6F5A" w:rsidRPr="00606B72">
        <w:rPr>
          <w:i/>
          <w:iCs/>
          <w:color w:val="000000" w:themeColor="text1"/>
        </w:rPr>
        <w:t>Takhlis</w:t>
      </w:r>
      <w:r w:rsidR="00044D1B" w:rsidRPr="00606B72">
        <w:rPr>
          <w:color w:val="000000" w:themeColor="text1"/>
        </w:rPr>
        <w:t xml:space="preserve">, for example, </w:t>
      </w:r>
      <w:r w:rsidR="001F6F5A" w:rsidRPr="00606B72">
        <w:rPr>
          <w:color w:val="000000" w:themeColor="text1"/>
        </w:rPr>
        <w:t xml:space="preserve">that he has </w:t>
      </w:r>
      <w:r w:rsidR="008E16AC" w:rsidRPr="00606B72">
        <w:rPr>
          <w:color w:val="000000" w:themeColor="text1"/>
        </w:rPr>
        <w:t>“</w:t>
      </w:r>
      <w:r w:rsidR="001F6F5A" w:rsidRPr="00606B72">
        <w:rPr>
          <w:color w:val="000000" w:themeColor="text1"/>
        </w:rPr>
        <w:t>adorned</w:t>
      </w:r>
      <w:r w:rsidR="008E16AC" w:rsidRPr="00606B72">
        <w:rPr>
          <w:color w:val="000000" w:themeColor="text1"/>
        </w:rPr>
        <w:t>”</w:t>
      </w:r>
      <w:r w:rsidR="001F6F5A" w:rsidRPr="00606B72">
        <w:rPr>
          <w:color w:val="000000" w:themeColor="text1"/>
        </w:rPr>
        <w:t xml:space="preserve"> his account of his time in </w:t>
      </w:r>
      <w:r w:rsidR="00E82579" w:rsidRPr="00606B72">
        <w:rPr>
          <w:color w:val="000000" w:themeColor="text1"/>
        </w:rPr>
        <w:t>Paris</w:t>
      </w:r>
      <w:r w:rsidR="001F6F5A" w:rsidRPr="00606B72">
        <w:rPr>
          <w:color w:val="000000" w:themeColor="text1"/>
        </w:rPr>
        <w:t xml:space="preserve"> with </w:t>
      </w:r>
      <w:r w:rsidR="008E16AC" w:rsidRPr="00606B72">
        <w:rPr>
          <w:color w:val="000000" w:themeColor="text1"/>
        </w:rPr>
        <w:t>“</w:t>
      </w:r>
      <w:r w:rsidR="001F6F5A" w:rsidRPr="00606B72">
        <w:rPr>
          <w:color w:val="000000" w:themeColor="text1"/>
        </w:rPr>
        <w:t>some useful digressions and convincing</w:t>
      </w:r>
      <w:r w:rsidR="00536F07" w:rsidRPr="00606B72">
        <w:rPr>
          <w:color w:val="000000" w:themeColor="text1"/>
        </w:rPr>
        <w:t xml:space="preserve"> </w:t>
      </w:r>
      <w:r w:rsidR="001F6F5A" w:rsidRPr="00606B72">
        <w:rPr>
          <w:color w:val="000000" w:themeColor="text1"/>
        </w:rPr>
        <w:t>corroborations</w:t>
      </w:r>
      <w:r w:rsidR="008E16AC" w:rsidRPr="00606B72">
        <w:rPr>
          <w:color w:val="000000" w:themeColor="text1"/>
        </w:rPr>
        <w:t>”</w:t>
      </w:r>
      <w:r w:rsidR="008B48E6" w:rsidRPr="00606B72">
        <w:rPr>
          <w:color w:val="000000" w:themeColor="text1"/>
        </w:rPr>
        <w:t xml:space="preserve"> (2011</w:t>
      </w:r>
      <w:r w:rsidR="004B4771">
        <w:rPr>
          <w:color w:val="000000" w:themeColor="text1"/>
        </w:rPr>
        <w:t>:</w:t>
      </w:r>
      <w:r w:rsidR="008B48E6" w:rsidRPr="00606B72">
        <w:rPr>
          <w:color w:val="000000" w:themeColor="text1"/>
        </w:rPr>
        <w:t xml:space="preserve"> 105).</w:t>
      </w:r>
      <w:r w:rsidR="00E9226B" w:rsidRPr="00606B72">
        <w:rPr>
          <w:color w:val="000000" w:themeColor="text1"/>
        </w:rPr>
        <w:t xml:space="preserve">  These adornments, digressions, and corroborations serve to keep the reader of the </w:t>
      </w:r>
      <w:r w:rsidR="00706C9F" w:rsidRPr="00606B72">
        <w:rPr>
          <w:rFonts w:eastAsia="Times New Roman"/>
          <w:i/>
          <w:iCs/>
          <w:color w:val="000000" w:themeColor="text1"/>
          <w:shd w:val="clear" w:color="auto" w:fill="FFFFFF"/>
        </w:rPr>
        <w:t>naṣīḥa</w:t>
      </w:r>
      <w:r w:rsidR="00706C9F" w:rsidRPr="00606B72">
        <w:rPr>
          <w:color w:val="000000" w:themeColor="text1"/>
        </w:rPr>
        <w:t xml:space="preserve"> </w:t>
      </w:r>
      <w:r w:rsidR="00E9226B" w:rsidRPr="00606B72">
        <w:rPr>
          <w:color w:val="000000" w:themeColor="text1"/>
        </w:rPr>
        <w:t xml:space="preserve">entertained and invested in the text.  </w:t>
      </w:r>
    </w:p>
    <w:p w14:paraId="7CBE777C" w14:textId="27D14F63" w:rsidR="00224903" w:rsidRPr="00606B72" w:rsidRDefault="00224903" w:rsidP="00C246A1">
      <w:pPr>
        <w:spacing w:line="480" w:lineRule="auto"/>
        <w:ind w:firstLine="720"/>
        <w:rPr>
          <w:rFonts w:eastAsia="Times New Roman"/>
          <w:color w:val="FF0000"/>
          <w:shd w:val="clear" w:color="auto" w:fill="FFFFFF"/>
        </w:rPr>
      </w:pPr>
      <w:r w:rsidRPr="00606B72">
        <w:rPr>
          <w:color w:val="000000" w:themeColor="text1"/>
        </w:rPr>
        <w:t>Perhaps more importantly, the incorporation of poetic language serve</w:t>
      </w:r>
      <w:r w:rsidR="0095123F" w:rsidRPr="00606B72">
        <w:rPr>
          <w:color w:val="000000" w:themeColor="text1"/>
        </w:rPr>
        <w:t>s</w:t>
      </w:r>
      <w:r w:rsidRPr="00606B72">
        <w:rPr>
          <w:color w:val="000000" w:themeColor="text1"/>
        </w:rPr>
        <w:t xml:space="preserve"> to soften the blow of the criticism contained within the </w:t>
      </w:r>
      <w:r w:rsidR="001220DF" w:rsidRPr="00606B72">
        <w:rPr>
          <w:rFonts w:eastAsia="Times New Roman"/>
          <w:i/>
          <w:iCs/>
          <w:color w:val="000000" w:themeColor="text1"/>
          <w:shd w:val="clear" w:color="auto" w:fill="FFFFFF"/>
        </w:rPr>
        <w:t>naṣīḥa</w:t>
      </w:r>
      <w:r w:rsidRPr="00606B72">
        <w:rPr>
          <w:color w:val="000000" w:themeColor="text1"/>
        </w:rPr>
        <w:t xml:space="preserve">, a crucial move when the </w:t>
      </w:r>
      <w:r w:rsidRPr="00606B72">
        <w:rPr>
          <w:i/>
          <w:iCs/>
          <w:color w:val="000000" w:themeColor="text1"/>
        </w:rPr>
        <w:t>mansūh</w:t>
      </w:r>
      <w:r w:rsidRPr="00606B72">
        <w:rPr>
          <w:color w:val="000000" w:themeColor="text1"/>
        </w:rPr>
        <w:t xml:space="preserve"> is a powerful figure such as </w:t>
      </w:r>
      <w:r w:rsidR="00706D7F" w:rsidRPr="00606B72">
        <w:t>Muhammad</w:t>
      </w:r>
      <w:r w:rsidRPr="00606B72">
        <w:t xml:space="preserve"> ‘Ali.  </w:t>
      </w:r>
      <w:r w:rsidRPr="00606B72">
        <w:rPr>
          <w:color w:val="000000" w:themeColor="text1"/>
        </w:rPr>
        <w:t>According to Marlow, “</w:t>
      </w:r>
      <w:r w:rsidRPr="00606B72">
        <w:rPr>
          <w:rFonts w:eastAsia="Times New Roman"/>
          <w:color w:val="000000" w:themeColor="text1"/>
          <w:shd w:val="clear" w:color="auto" w:fill="FFFFFF"/>
        </w:rPr>
        <w:t>mirrors employ direct or oblique forms of address and a range of discursive techniques, in an effort to persuade. The offering of advice to a ruler was by its nature a somewhat delicate exercise; several authors go so far as to state explicitly that their recipients already embody the ideals of justice, wisdom, and generosity and therefore stand in no need of the advice proffered”</w:t>
      </w:r>
      <w:r w:rsidR="002C3718" w:rsidRPr="00606B72">
        <w:rPr>
          <w:rFonts w:eastAsia="Times New Roman"/>
          <w:color w:val="000000" w:themeColor="text1"/>
          <w:shd w:val="clear" w:color="auto" w:fill="FFFFFF"/>
        </w:rPr>
        <w:t xml:space="preserve"> (Marlow, n.d.).</w:t>
      </w:r>
      <w:r w:rsidRPr="00606B72">
        <w:rPr>
          <w:rFonts w:eastAsia="Times New Roman"/>
          <w:color w:val="000000" w:themeColor="text1"/>
          <w:shd w:val="clear" w:color="auto" w:fill="FFFFFF"/>
        </w:rPr>
        <w:t xml:space="preserve">  Works of </w:t>
      </w:r>
      <w:r w:rsidRPr="00606B72">
        <w:rPr>
          <w:rFonts w:eastAsia="Times New Roman"/>
          <w:i/>
          <w:iCs/>
          <w:color w:val="000000" w:themeColor="text1"/>
          <w:shd w:val="clear" w:color="auto" w:fill="FFFFFF"/>
        </w:rPr>
        <w:t>naṣīḥa</w:t>
      </w:r>
      <w:r w:rsidRPr="00606B72">
        <w:rPr>
          <w:rFonts w:eastAsia="Times New Roman"/>
          <w:color w:val="000000" w:themeColor="text1"/>
          <w:shd w:val="clear" w:color="auto" w:fill="FFFFFF"/>
        </w:rPr>
        <w:t xml:space="preserve">, </w:t>
      </w:r>
      <w:r w:rsidR="0095123F" w:rsidRPr="00606B72">
        <w:rPr>
          <w:rFonts w:eastAsia="Times New Roman"/>
          <w:color w:val="000000" w:themeColor="text1"/>
          <w:shd w:val="clear" w:color="auto" w:fill="FFFFFF"/>
        </w:rPr>
        <w:t xml:space="preserve">take </w:t>
      </w:r>
      <w:r w:rsidRPr="00606B72">
        <w:rPr>
          <w:rFonts w:eastAsia="Times New Roman"/>
          <w:color w:val="000000" w:themeColor="text1"/>
          <w:shd w:val="clear" w:color="auto" w:fill="FFFFFF"/>
        </w:rPr>
        <w:t>advantage of stylistic and poetic language</w:t>
      </w:r>
      <w:r w:rsidRPr="00606B72">
        <w:rPr>
          <w:rFonts w:eastAsia="Times New Roman"/>
          <w:color w:val="FF0000"/>
          <w:shd w:val="clear" w:color="auto" w:fill="FFFFFF"/>
        </w:rPr>
        <w:t xml:space="preserve"> </w:t>
      </w:r>
      <w:r w:rsidRPr="00606B72">
        <w:rPr>
          <w:rFonts w:eastAsia="Times New Roman"/>
          <w:color w:val="000000" w:themeColor="text1"/>
          <w:shd w:val="clear" w:color="auto" w:fill="FFFFFF"/>
        </w:rPr>
        <w:t xml:space="preserve">to frame the advice given as polite suggestion to the ruler rather than overt (and potentially inflammatory) criticism.  Of course, the </w:t>
      </w:r>
      <w:r w:rsidR="00164EC8" w:rsidRPr="00606B72">
        <w:rPr>
          <w:rFonts w:eastAsia="Times New Roman"/>
          <w:color w:val="000000" w:themeColor="text1"/>
          <w:shd w:val="clear" w:color="auto" w:fill="FFFFFF"/>
        </w:rPr>
        <w:t>advisor</w:t>
      </w:r>
      <w:r w:rsidRPr="00606B72">
        <w:rPr>
          <w:rFonts w:eastAsia="Times New Roman"/>
          <w:color w:val="000000" w:themeColor="text1"/>
          <w:shd w:val="clear" w:color="auto" w:fill="FFFFFF"/>
        </w:rPr>
        <w:t xml:space="preserve"> is wordlessly acknowledging the fact that the recipient is </w:t>
      </w:r>
      <w:r w:rsidRPr="00606B72">
        <w:rPr>
          <w:rFonts w:eastAsia="Times New Roman"/>
          <w:i/>
          <w:iCs/>
          <w:color w:val="000000" w:themeColor="text1"/>
          <w:shd w:val="clear" w:color="auto" w:fill="FFFFFF"/>
        </w:rPr>
        <w:t>not</w:t>
      </w:r>
      <w:r w:rsidRPr="00606B72">
        <w:rPr>
          <w:rFonts w:eastAsia="Times New Roman"/>
          <w:color w:val="000000" w:themeColor="text1"/>
          <w:shd w:val="clear" w:color="auto" w:fill="FFFFFF"/>
        </w:rPr>
        <w:t xml:space="preserve"> a paragon of virtue, despite claims within the text to the contrary—otherwise they would </w:t>
      </w:r>
      <w:r w:rsidR="00E76E18" w:rsidRPr="00606B72">
        <w:rPr>
          <w:rFonts w:eastAsia="Times New Roman"/>
          <w:color w:val="000000" w:themeColor="text1"/>
          <w:shd w:val="clear" w:color="auto" w:fill="FFFFFF"/>
        </w:rPr>
        <w:t xml:space="preserve">have </w:t>
      </w:r>
      <w:r w:rsidRPr="00606B72">
        <w:rPr>
          <w:rFonts w:eastAsia="Times New Roman"/>
          <w:color w:val="000000" w:themeColor="text1"/>
          <w:shd w:val="clear" w:color="auto" w:fill="FFFFFF"/>
        </w:rPr>
        <w:t>no need</w:t>
      </w:r>
      <w:r w:rsidR="00E76E18" w:rsidRPr="00606B72">
        <w:rPr>
          <w:rFonts w:eastAsia="Times New Roman"/>
          <w:color w:val="000000" w:themeColor="text1"/>
          <w:shd w:val="clear" w:color="auto" w:fill="FFFFFF"/>
        </w:rPr>
        <w:t xml:space="preserve"> of </w:t>
      </w:r>
      <w:r w:rsidRPr="00606B72">
        <w:rPr>
          <w:rFonts w:eastAsia="Times New Roman"/>
          <w:color w:val="000000" w:themeColor="text1"/>
          <w:shd w:val="clear" w:color="auto" w:fill="FFFFFF"/>
        </w:rPr>
        <w:t>advi</w:t>
      </w:r>
      <w:r w:rsidR="00E76E18" w:rsidRPr="00606B72">
        <w:rPr>
          <w:rFonts w:eastAsia="Times New Roman"/>
          <w:color w:val="000000" w:themeColor="text1"/>
          <w:shd w:val="clear" w:color="auto" w:fill="FFFFFF"/>
        </w:rPr>
        <w:t>ce</w:t>
      </w:r>
      <w:r w:rsidRPr="00606B72">
        <w:rPr>
          <w:rFonts w:eastAsia="Times New Roman"/>
          <w:color w:val="000000" w:themeColor="text1"/>
          <w:shd w:val="clear" w:color="auto" w:fill="FFFFFF"/>
        </w:rPr>
        <w:t xml:space="preserve">.  </w:t>
      </w:r>
      <w:r w:rsidR="00E76E18" w:rsidRPr="00606B72">
        <w:rPr>
          <w:rFonts w:eastAsia="Times New Roman"/>
          <w:color w:val="000000" w:themeColor="text1"/>
          <w:shd w:val="clear" w:color="auto" w:fill="FFFFFF"/>
        </w:rPr>
        <w:t>S</w:t>
      </w:r>
      <w:r w:rsidRPr="00606B72">
        <w:rPr>
          <w:rFonts w:eastAsia="Times New Roman"/>
          <w:color w:val="000000" w:themeColor="text1"/>
          <w:shd w:val="clear" w:color="auto" w:fill="FFFFFF"/>
        </w:rPr>
        <w:t xml:space="preserve">uch </w:t>
      </w:r>
      <w:r w:rsidR="00E76E18" w:rsidRPr="00606B72">
        <w:rPr>
          <w:rFonts w:eastAsia="Times New Roman"/>
          <w:color w:val="000000" w:themeColor="text1"/>
          <w:shd w:val="clear" w:color="auto" w:fill="FFFFFF"/>
        </w:rPr>
        <w:t xml:space="preserve">stylistic devices therefore serve </w:t>
      </w:r>
      <w:r w:rsidRPr="00606B72">
        <w:rPr>
          <w:rFonts w:eastAsia="Times New Roman"/>
          <w:color w:val="000000" w:themeColor="text1"/>
          <w:shd w:val="clear" w:color="auto" w:fill="FFFFFF"/>
        </w:rPr>
        <w:t xml:space="preserve">to delicately straddle the fine line between polite, helpful advice and overt, incendiary criticism that might </w:t>
      </w:r>
      <w:r w:rsidR="00E76E18" w:rsidRPr="00606B72">
        <w:rPr>
          <w:rFonts w:eastAsia="Times New Roman"/>
          <w:color w:val="000000" w:themeColor="text1"/>
          <w:shd w:val="clear" w:color="auto" w:fill="FFFFFF"/>
        </w:rPr>
        <w:t xml:space="preserve">anger </w:t>
      </w:r>
      <w:r w:rsidRPr="00606B72">
        <w:rPr>
          <w:rFonts w:eastAsia="Times New Roman"/>
          <w:color w:val="000000" w:themeColor="text1"/>
          <w:shd w:val="clear" w:color="auto" w:fill="FFFFFF"/>
        </w:rPr>
        <w:t>the ruler.</w:t>
      </w:r>
      <w:r w:rsidR="00986C66" w:rsidRPr="00606B72">
        <w:rPr>
          <w:rFonts w:eastAsia="Times New Roman"/>
          <w:color w:val="000000" w:themeColor="text1"/>
          <w:shd w:val="clear" w:color="auto" w:fill="FFFFFF"/>
        </w:rPr>
        <w:t xml:space="preserve">  </w:t>
      </w:r>
    </w:p>
    <w:p w14:paraId="26198BE1" w14:textId="56D12E30" w:rsidR="003A5D04" w:rsidRPr="00606B72" w:rsidRDefault="00EC53BB" w:rsidP="003A5D04">
      <w:pPr>
        <w:spacing w:line="480" w:lineRule="auto"/>
        <w:ind w:firstLine="720"/>
        <w:rPr>
          <w:color w:val="FF0000"/>
        </w:rPr>
      </w:pPr>
      <w:r w:rsidRPr="00606B72">
        <w:rPr>
          <w:color w:val="000000" w:themeColor="text1"/>
        </w:rPr>
        <w:t xml:space="preserve">Although she does not recognize it as a characteristic of </w:t>
      </w:r>
      <w:r w:rsidRPr="00606B72">
        <w:rPr>
          <w:rFonts w:eastAsia="Times New Roman"/>
          <w:i/>
          <w:iCs/>
          <w:color w:val="000000" w:themeColor="text1"/>
          <w:shd w:val="clear" w:color="auto" w:fill="FFFFFF"/>
        </w:rPr>
        <w:t>naṣīḥa</w:t>
      </w:r>
      <w:r w:rsidRPr="00606B72">
        <w:rPr>
          <w:rFonts w:eastAsia="Times New Roman"/>
          <w:color w:val="000000" w:themeColor="text1"/>
          <w:shd w:val="clear" w:color="auto" w:fill="FFFFFF"/>
        </w:rPr>
        <w:t xml:space="preserve">, </w:t>
      </w:r>
      <w:r w:rsidR="003A5D04" w:rsidRPr="00606B72">
        <w:rPr>
          <w:color w:val="000000" w:themeColor="text1"/>
        </w:rPr>
        <w:t xml:space="preserve">Euben </w:t>
      </w:r>
      <w:r w:rsidR="0096043E">
        <w:rPr>
          <w:color w:val="000000" w:themeColor="text1"/>
        </w:rPr>
        <w:t xml:space="preserve">draws attention to </w:t>
      </w:r>
      <w:r w:rsidR="001B5AC2" w:rsidRPr="00606B72">
        <w:rPr>
          <w:color w:val="000000" w:themeColor="text1"/>
        </w:rPr>
        <w:t xml:space="preserve">what she calls </w:t>
      </w:r>
      <w:r w:rsidR="003A5D04" w:rsidRPr="00606B72">
        <w:rPr>
          <w:color w:val="000000" w:themeColor="text1"/>
        </w:rPr>
        <w:t xml:space="preserve">the </w:t>
      </w:r>
      <w:r w:rsidR="008E16AC" w:rsidRPr="00606B72">
        <w:rPr>
          <w:color w:val="000000" w:themeColor="text1"/>
        </w:rPr>
        <w:t>“</w:t>
      </w:r>
      <w:r w:rsidR="003A5D04" w:rsidRPr="00606B72">
        <w:rPr>
          <w:color w:val="000000" w:themeColor="text1"/>
        </w:rPr>
        <w:t>multivocal</w:t>
      </w:r>
      <w:r w:rsidR="008E16AC" w:rsidRPr="00606B72">
        <w:rPr>
          <w:color w:val="000000" w:themeColor="text1"/>
        </w:rPr>
        <w:t>”</w:t>
      </w:r>
      <w:r w:rsidR="003A5D04" w:rsidRPr="00606B72">
        <w:rPr>
          <w:color w:val="000000" w:themeColor="text1"/>
        </w:rPr>
        <w:t xml:space="preserve"> character that develops in </w:t>
      </w:r>
      <w:r w:rsidR="00BC574A" w:rsidRPr="00606B72">
        <w:rPr>
          <w:color w:val="000000" w:themeColor="text1"/>
        </w:rPr>
        <w:t>al-Tahtawi</w:t>
      </w:r>
      <w:r w:rsidR="008E16AC" w:rsidRPr="00606B72">
        <w:rPr>
          <w:color w:val="000000" w:themeColor="text1"/>
        </w:rPr>
        <w:t>’</w:t>
      </w:r>
      <w:r w:rsidR="003A5D04" w:rsidRPr="00606B72">
        <w:rPr>
          <w:color w:val="000000" w:themeColor="text1"/>
        </w:rPr>
        <w:t>s writing</w:t>
      </w:r>
      <w:r w:rsidR="00683B31" w:rsidRPr="00606B72">
        <w:rPr>
          <w:color w:val="000000" w:themeColor="text1"/>
        </w:rPr>
        <w:t xml:space="preserve">, referring to his </w:t>
      </w:r>
      <w:r w:rsidR="00E76E18" w:rsidRPr="00606B72">
        <w:rPr>
          <w:color w:val="000000" w:themeColor="text1"/>
        </w:rPr>
        <w:t xml:space="preserve">use of </w:t>
      </w:r>
      <w:r w:rsidR="00683B31" w:rsidRPr="00606B72">
        <w:rPr>
          <w:color w:val="000000" w:themeColor="text1"/>
        </w:rPr>
        <w:t>several different styles</w:t>
      </w:r>
      <w:r w:rsidR="003A5D04" w:rsidRPr="00606B72">
        <w:rPr>
          <w:color w:val="000000" w:themeColor="text1"/>
        </w:rPr>
        <w:t xml:space="preserve">.  For Euben, the </w:t>
      </w:r>
      <w:r w:rsidR="00706D7F" w:rsidRPr="00606B72">
        <w:rPr>
          <w:i/>
          <w:iCs/>
          <w:color w:val="000000" w:themeColor="text1"/>
        </w:rPr>
        <w:t>Takhlis</w:t>
      </w:r>
      <w:r w:rsidR="003A5D04" w:rsidRPr="00606B72">
        <w:rPr>
          <w:color w:val="000000" w:themeColor="text1"/>
        </w:rPr>
        <w:t xml:space="preserve"> is a combination of three different literary </w:t>
      </w:r>
      <w:r w:rsidR="003A5D04" w:rsidRPr="00606B72">
        <w:rPr>
          <w:color w:val="000000" w:themeColor="text1"/>
        </w:rPr>
        <w:lastRenderedPageBreak/>
        <w:t xml:space="preserve">traditions, making it “multiply hybrid, bearing the imprint of nineteenth-century French thought, the conventions of the </w:t>
      </w:r>
      <w:r w:rsidR="003A5D04" w:rsidRPr="00606B72">
        <w:rPr>
          <w:i/>
          <w:iCs/>
          <w:color w:val="000000" w:themeColor="text1"/>
        </w:rPr>
        <w:t>ri</w:t>
      </w:r>
      <w:r w:rsidR="00AE0CB9" w:rsidRPr="00606B72">
        <w:rPr>
          <w:i/>
          <w:iCs/>
          <w:color w:val="000000" w:themeColor="text1"/>
        </w:rPr>
        <w:t>ḥ</w:t>
      </w:r>
      <w:r w:rsidR="003A5D04" w:rsidRPr="00606B72">
        <w:rPr>
          <w:i/>
          <w:iCs/>
          <w:color w:val="000000" w:themeColor="text1"/>
        </w:rPr>
        <w:t>la</w:t>
      </w:r>
      <w:r w:rsidR="003A5D04" w:rsidRPr="00606B72">
        <w:rPr>
          <w:color w:val="000000" w:themeColor="text1"/>
        </w:rPr>
        <w:t xml:space="preserve"> genre in which an emphasis on </w:t>
      </w:r>
      <w:r w:rsidR="00E65331" w:rsidRPr="00606B72">
        <w:rPr>
          <w:i/>
          <w:iCs/>
          <w:color w:val="000000" w:themeColor="text1"/>
        </w:rPr>
        <w:t>ʿ</w:t>
      </w:r>
      <w:r w:rsidR="003A5D04" w:rsidRPr="00606B72">
        <w:rPr>
          <w:i/>
          <w:iCs/>
          <w:color w:val="000000" w:themeColor="text1"/>
        </w:rPr>
        <w:t>aja</w:t>
      </w:r>
      <w:r w:rsidR="00E65331" w:rsidRPr="00606B72">
        <w:rPr>
          <w:i/>
          <w:iCs/>
          <w:color w:val="000000" w:themeColor="text1"/>
        </w:rPr>
        <w:t>ʾ</w:t>
      </w:r>
      <w:r w:rsidR="003A5D04" w:rsidRPr="00606B72">
        <w:rPr>
          <w:i/>
          <w:iCs/>
          <w:color w:val="000000" w:themeColor="text1"/>
        </w:rPr>
        <w:t>ib</w:t>
      </w:r>
      <w:r w:rsidR="003A5D04" w:rsidRPr="00606B72">
        <w:rPr>
          <w:color w:val="000000" w:themeColor="text1"/>
        </w:rPr>
        <w:t xml:space="preserve"> (things that are marvelous, strange, or unusual) is central, and an ecumenical </w:t>
      </w:r>
      <w:r w:rsidR="003A5D04" w:rsidRPr="00606B72">
        <w:rPr>
          <w:i/>
          <w:iCs/>
          <w:color w:val="000000" w:themeColor="text1"/>
        </w:rPr>
        <w:t>adab</w:t>
      </w:r>
      <w:r w:rsidR="003A5D04" w:rsidRPr="00606B72">
        <w:rPr>
          <w:color w:val="000000" w:themeColor="text1"/>
        </w:rPr>
        <w:t xml:space="preserve"> style”</w:t>
      </w:r>
      <w:r w:rsidR="00AB0FC8" w:rsidRPr="00606B72">
        <w:rPr>
          <w:color w:val="000000" w:themeColor="text1"/>
        </w:rPr>
        <w:t xml:space="preserve"> (2006</w:t>
      </w:r>
      <w:r w:rsidR="002F5F85">
        <w:rPr>
          <w:color w:val="000000" w:themeColor="text1"/>
        </w:rPr>
        <w:t>:</w:t>
      </w:r>
      <w:r w:rsidR="00AB0FC8" w:rsidRPr="00606B72">
        <w:rPr>
          <w:color w:val="000000" w:themeColor="text1"/>
        </w:rPr>
        <w:t xml:space="preserve"> 115).</w:t>
      </w:r>
      <w:r w:rsidR="003A5D04" w:rsidRPr="00606B72">
        <w:rPr>
          <w:color w:val="000000" w:themeColor="text1"/>
        </w:rPr>
        <w:t xml:space="preserve">  </w:t>
      </w:r>
      <w:r w:rsidR="00D61952" w:rsidRPr="00606B72">
        <w:rPr>
          <w:color w:val="000000" w:themeColor="text1"/>
        </w:rPr>
        <w:t>Euben is right to emphasize t</w:t>
      </w:r>
      <w:r w:rsidR="003A5D04" w:rsidRPr="00606B72">
        <w:rPr>
          <w:color w:val="000000" w:themeColor="text1"/>
        </w:rPr>
        <w:t>he hybridity of the text</w:t>
      </w:r>
      <w:r w:rsidR="00D61952" w:rsidRPr="00606B72">
        <w:rPr>
          <w:color w:val="000000" w:themeColor="text1"/>
        </w:rPr>
        <w:t>, which</w:t>
      </w:r>
      <w:r w:rsidR="003A5D04" w:rsidRPr="00606B72">
        <w:rPr>
          <w:color w:val="000000" w:themeColor="text1"/>
        </w:rPr>
        <w:t xml:space="preserve"> serves to obfuscate </w:t>
      </w:r>
      <w:r w:rsidR="00BC574A" w:rsidRPr="00606B72">
        <w:rPr>
          <w:color w:val="000000" w:themeColor="text1"/>
        </w:rPr>
        <w:t>al-Tahtawi</w:t>
      </w:r>
      <w:r w:rsidR="003A5D04" w:rsidRPr="00606B72">
        <w:rPr>
          <w:color w:val="000000" w:themeColor="text1"/>
        </w:rPr>
        <w:t xml:space="preserve">’s actual </w:t>
      </w:r>
      <w:r w:rsidR="005B124A">
        <w:rPr>
          <w:color w:val="000000" w:themeColor="text1"/>
        </w:rPr>
        <w:t>opinion</w:t>
      </w:r>
      <w:r w:rsidR="003A5D04" w:rsidRPr="00606B72">
        <w:rPr>
          <w:color w:val="000000" w:themeColor="text1"/>
        </w:rPr>
        <w:t xml:space="preserve"> on the issues he describes.  Given his </w:t>
      </w:r>
      <w:r w:rsidR="00D2351B">
        <w:rPr>
          <w:color w:val="000000" w:themeColor="text1"/>
        </w:rPr>
        <w:t xml:space="preserve">potentially tenuous </w:t>
      </w:r>
      <w:r w:rsidR="003A5D04" w:rsidRPr="00606B72">
        <w:rPr>
          <w:color w:val="000000" w:themeColor="text1"/>
        </w:rPr>
        <w:t xml:space="preserve">relation to </w:t>
      </w:r>
      <w:r w:rsidR="00706D7F" w:rsidRPr="00606B72">
        <w:rPr>
          <w:color w:val="000000" w:themeColor="text1"/>
        </w:rPr>
        <w:t>Muhammad</w:t>
      </w:r>
      <w:r w:rsidR="003A5D04" w:rsidRPr="00606B72">
        <w:rPr>
          <w:color w:val="000000" w:themeColor="text1"/>
        </w:rPr>
        <w:t xml:space="preserve"> ‘Ali, </w:t>
      </w:r>
      <w:r w:rsidR="00E76E18" w:rsidRPr="00606B72">
        <w:rPr>
          <w:color w:val="000000" w:themeColor="text1"/>
        </w:rPr>
        <w:t xml:space="preserve">Euben claims that </w:t>
      </w:r>
      <w:r w:rsidR="003A5D04" w:rsidRPr="00606B72">
        <w:rPr>
          <w:color w:val="000000" w:themeColor="text1"/>
        </w:rPr>
        <w:t>such obfuscation may have been intentional</w:t>
      </w:r>
      <w:r w:rsidR="00E76E18" w:rsidRPr="00606B72">
        <w:rPr>
          <w:color w:val="000000" w:themeColor="text1"/>
        </w:rPr>
        <w:t xml:space="preserve">.  </w:t>
      </w:r>
      <w:r w:rsidR="003A5D04" w:rsidRPr="00606B72">
        <w:rPr>
          <w:color w:val="000000" w:themeColor="text1"/>
        </w:rPr>
        <w:t>“Tahtawi’s own position</w:t>
      </w:r>
      <w:r w:rsidR="00E76E18" w:rsidRPr="00606B72">
        <w:rPr>
          <w:color w:val="000000" w:themeColor="text1"/>
        </w:rPr>
        <w:t>,” she writes,</w:t>
      </w:r>
      <w:r w:rsidR="003A5D04" w:rsidRPr="00606B72">
        <w:rPr>
          <w:color w:val="000000" w:themeColor="text1"/>
        </w:rPr>
        <w:t xml:space="preserve"> </w:t>
      </w:r>
      <w:r w:rsidR="00E76E18" w:rsidRPr="00606B72">
        <w:rPr>
          <w:color w:val="000000" w:themeColor="text1"/>
        </w:rPr>
        <w:t>“</w:t>
      </w:r>
      <w:r w:rsidR="003A5D04" w:rsidRPr="00606B72">
        <w:rPr>
          <w:color w:val="000000" w:themeColor="text1"/>
        </w:rPr>
        <w:t xml:space="preserve">is further obscured by the many textual gestures designed to please or at least avoid offending his powerful patron, who not only sponsored the student mission to Paris but, as </w:t>
      </w:r>
      <w:r w:rsidR="003A5D04" w:rsidRPr="00606B72">
        <w:rPr>
          <w:i/>
          <w:iCs/>
          <w:color w:val="000000" w:themeColor="text1"/>
        </w:rPr>
        <w:t>Takhlis</w:t>
      </w:r>
      <w:r w:rsidR="003A5D04" w:rsidRPr="00606B72">
        <w:rPr>
          <w:color w:val="000000" w:themeColor="text1"/>
        </w:rPr>
        <w:t xml:space="preserve"> attests, exercised a fair amount of control over what the visitors studied and how hard they worked from his perch in distant Cairo”</w:t>
      </w:r>
      <w:r w:rsidR="00AB0FC8" w:rsidRPr="00606B72">
        <w:rPr>
          <w:color w:val="000000" w:themeColor="text1"/>
        </w:rPr>
        <w:t xml:space="preserve"> (2006</w:t>
      </w:r>
      <w:r w:rsidR="00D819A9">
        <w:rPr>
          <w:color w:val="000000" w:themeColor="text1"/>
        </w:rPr>
        <w:t>:</w:t>
      </w:r>
      <w:r w:rsidR="00AB0FC8" w:rsidRPr="00606B72">
        <w:rPr>
          <w:color w:val="000000" w:themeColor="text1"/>
        </w:rPr>
        <w:t xml:space="preserve"> 116).</w:t>
      </w:r>
      <w:r w:rsidR="003A5D04" w:rsidRPr="00606B72">
        <w:rPr>
          <w:color w:val="000000" w:themeColor="text1"/>
        </w:rPr>
        <w:t xml:space="preserve">  </w:t>
      </w:r>
      <w:r w:rsidR="00B45339" w:rsidRPr="00606B72">
        <w:rPr>
          <w:color w:val="000000" w:themeColor="text1"/>
        </w:rPr>
        <w:t>The generic hybridity and textual multivocality that Euben describes, I</w:t>
      </w:r>
      <w:r w:rsidR="00F562BF" w:rsidRPr="00606B72">
        <w:rPr>
          <w:color w:val="000000" w:themeColor="text1"/>
        </w:rPr>
        <w:t xml:space="preserve"> would argue, are precisely the </w:t>
      </w:r>
      <w:r w:rsidR="00B45339" w:rsidRPr="00606B72">
        <w:rPr>
          <w:color w:val="000000" w:themeColor="text1"/>
        </w:rPr>
        <w:t xml:space="preserve">hallmarks of </w:t>
      </w:r>
      <w:r w:rsidR="00B45339" w:rsidRPr="00606B72">
        <w:rPr>
          <w:rFonts w:eastAsia="Times New Roman"/>
          <w:i/>
          <w:iCs/>
          <w:color w:val="000000" w:themeColor="text1"/>
          <w:shd w:val="clear" w:color="auto" w:fill="FFFFFF"/>
        </w:rPr>
        <w:t>naṣīḥa</w:t>
      </w:r>
      <w:r w:rsidR="00B45339" w:rsidRPr="00606B72">
        <w:rPr>
          <w:rFonts w:eastAsia="Times New Roman"/>
          <w:color w:val="000000" w:themeColor="text1"/>
          <w:shd w:val="clear" w:color="auto" w:fill="FFFFFF"/>
        </w:rPr>
        <w:t xml:space="preserve">, in which poetic language and flowery prose are incorporated </w:t>
      </w:r>
      <w:r w:rsidR="00167189" w:rsidRPr="00606B72">
        <w:rPr>
          <w:rFonts w:eastAsia="Times New Roman"/>
          <w:color w:val="000000" w:themeColor="text1"/>
          <w:shd w:val="clear" w:color="auto" w:fill="FFFFFF"/>
        </w:rPr>
        <w:t>as a way of entertaining the audience, but more importantly</w:t>
      </w:r>
      <w:r w:rsidR="0079413D" w:rsidRPr="00606B72">
        <w:rPr>
          <w:rFonts w:eastAsia="Times New Roman"/>
          <w:color w:val="000000" w:themeColor="text1"/>
          <w:shd w:val="clear" w:color="auto" w:fill="FFFFFF"/>
        </w:rPr>
        <w:t>,</w:t>
      </w:r>
      <w:r w:rsidR="00167189" w:rsidRPr="00606B72">
        <w:rPr>
          <w:rFonts w:eastAsia="Times New Roman"/>
          <w:color w:val="000000" w:themeColor="text1"/>
          <w:shd w:val="clear" w:color="auto" w:fill="FFFFFF"/>
        </w:rPr>
        <w:t xml:space="preserve"> in order </w:t>
      </w:r>
      <w:r w:rsidR="00B45339" w:rsidRPr="00606B72">
        <w:rPr>
          <w:rFonts w:eastAsia="Times New Roman"/>
          <w:color w:val="000000" w:themeColor="text1"/>
          <w:shd w:val="clear" w:color="auto" w:fill="FFFFFF"/>
        </w:rPr>
        <w:t>to slightly obfuscate the writer</w:t>
      </w:r>
      <w:r w:rsidR="008E16AC" w:rsidRPr="00606B72">
        <w:rPr>
          <w:rFonts w:eastAsia="Times New Roman"/>
          <w:color w:val="000000" w:themeColor="text1"/>
          <w:shd w:val="clear" w:color="auto" w:fill="FFFFFF"/>
        </w:rPr>
        <w:t>’</w:t>
      </w:r>
      <w:r w:rsidR="00B45339" w:rsidRPr="00606B72">
        <w:rPr>
          <w:rFonts w:eastAsia="Times New Roman"/>
          <w:color w:val="000000" w:themeColor="text1"/>
          <w:shd w:val="clear" w:color="auto" w:fill="FFFFFF"/>
        </w:rPr>
        <w:t xml:space="preserve">s argument so as to lessen the blow of the advice being given.  </w:t>
      </w:r>
    </w:p>
    <w:p w14:paraId="07641DEB" w14:textId="0169C5EE" w:rsidR="00C246A1" w:rsidRPr="00606B72" w:rsidRDefault="003A5D04" w:rsidP="00063057">
      <w:pPr>
        <w:spacing w:line="480" w:lineRule="auto"/>
        <w:rPr>
          <w:color w:val="000000" w:themeColor="text1"/>
        </w:rPr>
      </w:pPr>
      <w:r w:rsidRPr="00606B72">
        <w:rPr>
          <w:color w:val="000000" w:themeColor="text1"/>
        </w:rPr>
        <w:tab/>
      </w:r>
      <w:r w:rsidR="00D412A2" w:rsidRPr="00606B72">
        <w:rPr>
          <w:color w:val="000000" w:themeColor="text1"/>
        </w:rPr>
        <w:t>Arguably the</w:t>
      </w:r>
      <w:r w:rsidR="00C246A1" w:rsidRPr="00606B72">
        <w:rPr>
          <w:color w:val="000000" w:themeColor="text1"/>
        </w:rPr>
        <w:t xml:space="preserve"> most </w:t>
      </w:r>
      <w:r w:rsidR="00741988" w:rsidRPr="00606B72">
        <w:rPr>
          <w:color w:val="000000" w:themeColor="text1"/>
        </w:rPr>
        <w:t>recognizable</w:t>
      </w:r>
      <w:r w:rsidR="00C246A1" w:rsidRPr="00606B72">
        <w:rPr>
          <w:color w:val="000000" w:themeColor="text1"/>
        </w:rPr>
        <w:t xml:space="preserve"> characteristic of </w:t>
      </w:r>
      <w:r w:rsidR="00C246A1" w:rsidRPr="00606B72">
        <w:rPr>
          <w:i/>
          <w:iCs/>
          <w:color w:val="000000" w:themeColor="text1"/>
        </w:rPr>
        <w:t>naṣīḥa</w:t>
      </w:r>
      <w:r w:rsidR="00C246A1" w:rsidRPr="00606B72">
        <w:rPr>
          <w:color w:val="000000" w:themeColor="text1"/>
        </w:rPr>
        <w:t xml:space="preserve"> is one that can b</w:t>
      </w:r>
      <w:r w:rsidR="00B45339" w:rsidRPr="00606B72">
        <w:rPr>
          <w:color w:val="000000" w:themeColor="text1"/>
        </w:rPr>
        <w:t xml:space="preserve">e identified </w:t>
      </w:r>
      <w:r w:rsidR="00C246A1" w:rsidRPr="00606B72">
        <w:rPr>
          <w:color w:val="000000" w:themeColor="text1"/>
        </w:rPr>
        <w:t xml:space="preserve">throughout the </w:t>
      </w:r>
      <w:r w:rsidR="00706D7F" w:rsidRPr="00606B72">
        <w:rPr>
          <w:i/>
          <w:iCs/>
          <w:color w:val="000000" w:themeColor="text1"/>
        </w:rPr>
        <w:t>Takhlis</w:t>
      </w:r>
      <w:r w:rsidR="00C246A1" w:rsidRPr="00606B72">
        <w:rPr>
          <w:color w:val="000000" w:themeColor="text1"/>
        </w:rPr>
        <w:t xml:space="preserve"> and </w:t>
      </w:r>
      <w:r w:rsidR="00CA2268" w:rsidRPr="00606B72">
        <w:rPr>
          <w:color w:val="000000" w:themeColor="text1"/>
        </w:rPr>
        <w:t>concerns</w:t>
      </w:r>
      <w:r w:rsidR="00C246A1" w:rsidRPr="00606B72">
        <w:rPr>
          <w:color w:val="000000" w:themeColor="text1"/>
        </w:rPr>
        <w:t xml:space="preserve"> the author’s insecure and potentially unstable relationship with the </w:t>
      </w:r>
      <w:r w:rsidR="00D77D11" w:rsidRPr="00606B72">
        <w:rPr>
          <w:color w:val="000000" w:themeColor="text1"/>
        </w:rPr>
        <w:t>audience</w:t>
      </w:r>
      <w:r w:rsidR="00C246A1" w:rsidRPr="00606B72">
        <w:rPr>
          <w:color w:val="000000" w:themeColor="text1"/>
        </w:rPr>
        <w:t xml:space="preserve"> to whom the counsel is directed.  According to Marlow, “</w:t>
      </w:r>
      <w:r w:rsidR="00A23DE2" w:rsidRPr="00606B72">
        <w:rPr>
          <w:color w:val="000000" w:themeColor="text1"/>
        </w:rPr>
        <w:t>[n]</w:t>
      </w:r>
      <w:r w:rsidR="00C246A1" w:rsidRPr="00606B72">
        <w:rPr>
          <w:color w:val="000000" w:themeColor="text1"/>
        </w:rPr>
        <w:t>ot infrequently, authors of advice literature were themselves attached to the courts to whom their books were addressed, and in some cases their works were clearly designed to portray a specific image of the ruler and to promote particular claims to sovereignty and legitimacy”</w:t>
      </w:r>
      <w:r w:rsidR="00AB0FC8" w:rsidRPr="00606B72">
        <w:rPr>
          <w:color w:val="000000" w:themeColor="text1"/>
        </w:rPr>
        <w:t xml:space="preserve"> (Marlow, n.d.).</w:t>
      </w:r>
      <w:r w:rsidR="00C246A1" w:rsidRPr="00606B72">
        <w:rPr>
          <w:color w:val="000000" w:themeColor="text1"/>
        </w:rPr>
        <w:t xml:space="preserve">  </w:t>
      </w:r>
      <w:r w:rsidR="00C1234A" w:rsidRPr="00606B72">
        <w:rPr>
          <w:color w:val="000000" w:themeColor="text1"/>
        </w:rPr>
        <w:t xml:space="preserve">An excellent example of this characteristic can be seen in the prologue to </w:t>
      </w:r>
      <w:r w:rsidR="00706D7F" w:rsidRPr="00606B72">
        <w:rPr>
          <w:color w:val="000000" w:themeColor="text1"/>
        </w:rPr>
        <w:t>Nizam</w:t>
      </w:r>
      <w:r w:rsidR="00C1234A" w:rsidRPr="00606B72">
        <w:rPr>
          <w:color w:val="000000" w:themeColor="text1"/>
        </w:rPr>
        <w:t xml:space="preserve"> al-Mulk</w:t>
      </w:r>
      <w:r w:rsidR="008E16AC" w:rsidRPr="00606B72">
        <w:rPr>
          <w:color w:val="000000" w:themeColor="text1"/>
        </w:rPr>
        <w:t>’</w:t>
      </w:r>
      <w:r w:rsidR="00C1234A" w:rsidRPr="00606B72">
        <w:rPr>
          <w:color w:val="000000" w:themeColor="text1"/>
        </w:rPr>
        <w:t xml:space="preserve">s </w:t>
      </w:r>
      <w:r w:rsidR="00706D7F">
        <w:rPr>
          <w:i/>
          <w:iCs/>
          <w:color w:val="000000" w:themeColor="text1"/>
        </w:rPr>
        <w:t>Siyasatnameh</w:t>
      </w:r>
      <w:r w:rsidR="00C1234A" w:rsidRPr="00606B72">
        <w:rPr>
          <w:color w:val="000000" w:themeColor="text1"/>
        </w:rPr>
        <w:t xml:space="preserve">, arguably the </w:t>
      </w:r>
      <w:r w:rsidR="00F562BF" w:rsidRPr="00606B72">
        <w:rPr>
          <w:color w:val="000000" w:themeColor="text1"/>
        </w:rPr>
        <w:t>best</w:t>
      </w:r>
      <w:r w:rsidR="00C1234A" w:rsidRPr="00606B72">
        <w:rPr>
          <w:color w:val="000000" w:themeColor="text1"/>
        </w:rPr>
        <w:t xml:space="preserve">-known example of </w:t>
      </w:r>
      <w:r w:rsidR="00C1234A" w:rsidRPr="00606B72">
        <w:rPr>
          <w:i/>
          <w:iCs/>
          <w:color w:val="000000" w:themeColor="text1"/>
        </w:rPr>
        <w:t>nasīha</w:t>
      </w:r>
      <w:r w:rsidR="00C1234A" w:rsidRPr="00606B72">
        <w:rPr>
          <w:color w:val="000000" w:themeColor="text1"/>
        </w:rPr>
        <w:t xml:space="preserve"> from the Islamic world.  </w:t>
      </w:r>
      <w:r w:rsidR="00706D7F" w:rsidRPr="00606B72">
        <w:rPr>
          <w:color w:val="000000" w:themeColor="text1"/>
        </w:rPr>
        <w:t>Nizam</w:t>
      </w:r>
      <w:r w:rsidR="00E55BCE" w:rsidRPr="00606B72">
        <w:rPr>
          <w:color w:val="000000" w:themeColor="text1"/>
        </w:rPr>
        <w:t xml:space="preserve"> al-Mulk, an influential vizier attached to the court of the Seljuk sultan Malik-Shah I, introduces his </w:t>
      </w:r>
      <w:r w:rsidR="00E55BCE" w:rsidRPr="00606B72">
        <w:rPr>
          <w:i/>
          <w:iCs/>
          <w:color w:val="000000" w:themeColor="text1"/>
        </w:rPr>
        <w:t>naṣīḥa</w:t>
      </w:r>
      <w:r w:rsidR="00E55BCE" w:rsidRPr="00606B72">
        <w:rPr>
          <w:color w:val="000000" w:themeColor="text1"/>
        </w:rPr>
        <w:t xml:space="preserve"> </w:t>
      </w:r>
      <w:r w:rsidR="00924D04" w:rsidRPr="00606B72">
        <w:rPr>
          <w:color w:val="000000" w:themeColor="text1"/>
        </w:rPr>
        <w:t xml:space="preserve">by lavishing </w:t>
      </w:r>
      <w:r w:rsidR="00E55BCE" w:rsidRPr="00606B72">
        <w:rPr>
          <w:color w:val="000000" w:themeColor="text1"/>
        </w:rPr>
        <w:t>over-the-top adoration</w:t>
      </w:r>
      <w:r w:rsidR="000A4E91" w:rsidRPr="00606B72">
        <w:rPr>
          <w:color w:val="000000" w:themeColor="text1"/>
        </w:rPr>
        <w:t xml:space="preserve"> on</w:t>
      </w:r>
      <w:r w:rsidR="00E55BCE" w:rsidRPr="00606B72">
        <w:rPr>
          <w:color w:val="000000" w:themeColor="text1"/>
        </w:rPr>
        <w:t xml:space="preserve"> his lofty sultan: </w:t>
      </w:r>
      <w:r w:rsidR="008E16AC" w:rsidRPr="00606B72">
        <w:rPr>
          <w:color w:val="000000" w:themeColor="text1"/>
        </w:rPr>
        <w:t>“</w:t>
      </w:r>
      <w:r w:rsidR="00E55BCE" w:rsidRPr="00606B72">
        <w:rPr>
          <w:color w:val="000000" w:themeColor="text1"/>
        </w:rPr>
        <w:t xml:space="preserve">The wisdom of the Master of the </w:t>
      </w:r>
      <w:r w:rsidR="00E55BCE" w:rsidRPr="00606B72">
        <w:rPr>
          <w:color w:val="000000" w:themeColor="text1"/>
        </w:rPr>
        <w:lastRenderedPageBreak/>
        <w:t>World is like a taper from which many lamps have been lighted; by its light men find their way and emerge from darkness.  He has no need of any counsellor or guide; nevertheless, he is not without cares, and perhaps he wishes to test his servants, and assess their intelligence and wisdom</w:t>
      </w:r>
      <w:r w:rsidR="008E16AC" w:rsidRPr="00606B72">
        <w:rPr>
          <w:color w:val="000000" w:themeColor="text1"/>
        </w:rPr>
        <w:t>”</w:t>
      </w:r>
      <w:r w:rsidR="00E61E85" w:rsidRPr="00606B72">
        <w:rPr>
          <w:color w:val="000000" w:themeColor="text1"/>
        </w:rPr>
        <w:t xml:space="preserve"> (</w:t>
      </w:r>
      <w:r w:rsidR="00706D7F" w:rsidRPr="00606B72">
        <w:rPr>
          <w:color w:val="000000" w:themeColor="text1"/>
        </w:rPr>
        <w:t>Nizam</w:t>
      </w:r>
      <w:r w:rsidR="00634CBC" w:rsidRPr="00606B72">
        <w:rPr>
          <w:color w:val="000000" w:themeColor="text1"/>
        </w:rPr>
        <w:t xml:space="preserve"> </w:t>
      </w:r>
      <w:r w:rsidR="00E61E85" w:rsidRPr="00606B72">
        <w:rPr>
          <w:color w:val="000000" w:themeColor="text1"/>
        </w:rPr>
        <w:t>al-Mulk</w:t>
      </w:r>
      <w:r w:rsidR="00F81ADB">
        <w:rPr>
          <w:color w:val="000000" w:themeColor="text1"/>
        </w:rPr>
        <w:t>,</w:t>
      </w:r>
      <w:r w:rsidR="00E61E85" w:rsidRPr="00606B72">
        <w:rPr>
          <w:color w:val="000000" w:themeColor="text1"/>
        </w:rPr>
        <w:t xml:space="preserve"> 1960</w:t>
      </w:r>
      <w:r w:rsidR="00F81ADB">
        <w:rPr>
          <w:color w:val="000000" w:themeColor="text1"/>
        </w:rPr>
        <w:t>:</w:t>
      </w:r>
      <w:r w:rsidR="00E61E85" w:rsidRPr="00606B72">
        <w:rPr>
          <w:color w:val="000000" w:themeColor="text1"/>
        </w:rPr>
        <w:t xml:space="preserve"> 11).</w:t>
      </w:r>
      <w:r w:rsidR="005B4222" w:rsidRPr="00606B72">
        <w:rPr>
          <w:color w:val="000000" w:themeColor="text1"/>
        </w:rPr>
        <w:t xml:space="preserve">  It is this laudatory aspect</w:t>
      </w:r>
      <w:r w:rsidR="00C246A1" w:rsidRPr="00606B72">
        <w:rPr>
          <w:color w:val="000000" w:themeColor="text1"/>
        </w:rPr>
        <w:t xml:space="preserve"> of </w:t>
      </w:r>
      <w:r w:rsidR="00C246A1" w:rsidRPr="00606B72">
        <w:rPr>
          <w:i/>
          <w:iCs/>
          <w:color w:val="000000" w:themeColor="text1"/>
        </w:rPr>
        <w:t>naṣīḥa</w:t>
      </w:r>
      <w:r w:rsidR="00C246A1" w:rsidRPr="00606B72">
        <w:rPr>
          <w:color w:val="000000" w:themeColor="text1"/>
        </w:rPr>
        <w:t xml:space="preserve"> that likely led Gran, Euben, and Altman to conclude that </w:t>
      </w:r>
      <w:r w:rsidR="00C246A1" w:rsidRPr="00606B72">
        <w:rPr>
          <w:i/>
          <w:iCs/>
          <w:color w:val="000000" w:themeColor="text1"/>
        </w:rPr>
        <w:t>naṣīḥa</w:t>
      </w:r>
      <w:r w:rsidR="00C246A1" w:rsidRPr="00606B72">
        <w:rPr>
          <w:color w:val="000000" w:themeColor="text1"/>
        </w:rPr>
        <w:t xml:space="preserve"> works are necessarily sycophantic.  And this element of </w:t>
      </w:r>
      <w:r w:rsidR="00C246A1" w:rsidRPr="00606B72">
        <w:rPr>
          <w:i/>
          <w:iCs/>
          <w:color w:val="000000" w:themeColor="text1"/>
        </w:rPr>
        <w:t>naṣīḥa</w:t>
      </w:r>
      <w:r w:rsidR="00C246A1" w:rsidRPr="00606B72">
        <w:rPr>
          <w:color w:val="000000" w:themeColor="text1"/>
        </w:rPr>
        <w:t xml:space="preserve"> can</w:t>
      </w:r>
      <w:r w:rsidR="00F562BF" w:rsidRPr="00606B72">
        <w:rPr>
          <w:color w:val="000000" w:themeColor="text1"/>
        </w:rPr>
        <w:t>, indeed,</w:t>
      </w:r>
      <w:r w:rsidR="00C246A1" w:rsidRPr="00606B72">
        <w:rPr>
          <w:color w:val="000000" w:themeColor="text1"/>
        </w:rPr>
        <w:t xml:space="preserve"> be seen quite clearly in the </w:t>
      </w:r>
      <w:r w:rsidR="00706D7F" w:rsidRPr="00606B72">
        <w:rPr>
          <w:i/>
          <w:iCs/>
          <w:color w:val="000000" w:themeColor="text1"/>
        </w:rPr>
        <w:t>Takhlis</w:t>
      </w:r>
      <w:r w:rsidR="00C246A1" w:rsidRPr="00606B72">
        <w:rPr>
          <w:color w:val="000000" w:themeColor="text1"/>
        </w:rPr>
        <w:t xml:space="preserve">.  For example, </w:t>
      </w:r>
      <w:r w:rsidR="00BC574A" w:rsidRPr="00606B72">
        <w:rPr>
          <w:color w:val="000000" w:themeColor="text1"/>
        </w:rPr>
        <w:t>al-Tahtawi</w:t>
      </w:r>
      <w:r w:rsidR="00C246A1" w:rsidRPr="00606B72">
        <w:rPr>
          <w:color w:val="000000" w:themeColor="text1"/>
        </w:rPr>
        <w:t xml:space="preserve"> begins the work with an exhortation to </w:t>
      </w:r>
      <w:r w:rsidR="00706D7F" w:rsidRPr="00606B72">
        <w:rPr>
          <w:color w:val="000000" w:themeColor="text1"/>
        </w:rPr>
        <w:t>Muhammad</w:t>
      </w:r>
      <w:r w:rsidR="00C246A1" w:rsidRPr="00606B72">
        <w:rPr>
          <w:color w:val="000000" w:themeColor="text1"/>
        </w:rPr>
        <w:t xml:space="preserve"> </w:t>
      </w:r>
      <w:r w:rsidR="00FC38E3" w:rsidRPr="00606B72">
        <w:rPr>
          <w:color w:val="000000" w:themeColor="text1"/>
        </w:rPr>
        <w:t>ʿ</w:t>
      </w:r>
      <w:r w:rsidR="00C246A1" w:rsidRPr="00606B72">
        <w:rPr>
          <w:color w:val="000000" w:themeColor="text1"/>
        </w:rPr>
        <w:t>Ali, whom he refers to throughout the text as “the Benefactor”: “I implore God—praise to Him the Exalted—that this book be favourably received by his Excellency, the Benefactor, the source of virtue and generosity, and that with it He will arouse all Islamic nations—both Arab and non-Arab—from their sleep of indifference”</w:t>
      </w:r>
      <w:r w:rsidR="00E61E85" w:rsidRPr="00606B72">
        <w:rPr>
          <w:color w:val="000000" w:themeColor="text1"/>
        </w:rPr>
        <w:t xml:space="preserve"> (2011</w:t>
      </w:r>
      <w:r w:rsidR="0006322F">
        <w:rPr>
          <w:color w:val="000000" w:themeColor="text1"/>
        </w:rPr>
        <w:t xml:space="preserve">: </w:t>
      </w:r>
      <w:r w:rsidR="00E61E85" w:rsidRPr="00606B72">
        <w:rPr>
          <w:color w:val="000000" w:themeColor="text1"/>
        </w:rPr>
        <w:t>106).</w:t>
      </w:r>
      <w:r w:rsidR="00C246A1" w:rsidRPr="00606B72">
        <w:rPr>
          <w:color w:val="000000" w:themeColor="text1"/>
        </w:rPr>
        <w:t xml:space="preserve">  </w:t>
      </w:r>
      <w:r w:rsidR="00063057" w:rsidRPr="00606B72">
        <w:rPr>
          <w:color w:val="000000" w:themeColor="text1"/>
        </w:rPr>
        <w:t xml:space="preserve"> </w:t>
      </w:r>
    </w:p>
    <w:p w14:paraId="26DC7CC4" w14:textId="2CD832BF" w:rsidR="00C246A1" w:rsidRPr="00606B72" w:rsidRDefault="00706D7F" w:rsidP="00C246A1">
      <w:pPr>
        <w:spacing w:line="480" w:lineRule="auto"/>
        <w:ind w:firstLine="720"/>
        <w:rPr>
          <w:color w:val="000000" w:themeColor="text1"/>
        </w:rPr>
      </w:pPr>
      <w:r w:rsidRPr="00606B72">
        <w:rPr>
          <w:color w:val="000000" w:themeColor="text1"/>
        </w:rPr>
        <w:t xml:space="preserve">In addition to this conventional </w:t>
      </w:r>
      <w:r w:rsidRPr="00606B72">
        <w:rPr>
          <w:i/>
          <w:iCs/>
          <w:color w:val="000000" w:themeColor="text1"/>
        </w:rPr>
        <w:t>captatio benevolentiae</w:t>
      </w:r>
      <w:r w:rsidRPr="00606B72">
        <w:rPr>
          <w:color w:val="000000" w:themeColor="text1"/>
        </w:rPr>
        <w:t>, al-</w:t>
      </w:r>
      <w:r>
        <w:rPr>
          <w:color w:val="000000" w:themeColor="text1"/>
        </w:rPr>
        <w:t xml:space="preserve">Tahtawi </w:t>
      </w:r>
      <w:r w:rsidRPr="00606B72">
        <w:rPr>
          <w:color w:val="000000" w:themeColor="text1"/>
        </w:rPr>
        <w:t xml:space="preserve">flatters Muhammad ʿAli for more genuine reasons, namely the ruler’s willingness to send al-Tahtawi to France and his receptivity to European sciences.  </w:t>
      </w:r>
      <w:r w:rsidR="00BC574A" w:rsidRPr="00606B72">
        <w:rPr>
          <w:color w:val="000000" w:themeColor="text1"/>
        </w:rPr>
        <w:t>Al-Tahtawi</w:t>
      </w:r>
      <w:r w:rsidR="00C246A1" w:rsidRPr="00606B72">
        <w:rPr>
          <w:color w:val="000000" w:themeColor="text1"/>
        </w:rPr>
        <w:t xml:space="preserve"> goes so far as to claim that </w:t>
      </w:r>
      <w:r w:rsidR="0047125D" w:rsidRPr="00606B72">
        <w:rPr>
          <w:color w:val="000000" w:themeColor="text1"/>
        </w:rPr>
        <w:t xml:space="preserve">the political and cultural clout of Islam </w:t>
      </w:r>
      <w:r w:rsidR="00C246A1" w:rsidRPr="00606B72">
        <w:rPr>
          <w:color w:val="000000" w:themeColor="text1"/>
        </w:rPr>
        <w:t>declined due to the</w:t>
      </w:r>
      <w:r w:rsidR="007354A5" w:rsidRPr="00606B72">
        <w:rPr>
          <w:color w:val="000000" w:themeColor="text1"/>
        </w:rPr>
        <w:t xml:space="preserve"> failure of </w:t>
      </w:r>
      <w:r w:rsidR="00A9136A">
        <w:rPr>
          <w:color w:val="000000" w:themeColor="text1"/>
        </w:rPr>
        <w:t>previous</w:t>
      </w:r>
      <w:r w:rsidR="007354A5" w:rsidRPr="00606B72">
        <w:rPr>
          <w:color w:val="000000" w:themeColor="text1"/>
        </w:rPr>
        <w:t xml:space="preserve"> </w:t>
      </w:r>
      <w:r w:rsidR="00C246A1" w:rsidRPr="00606B72">
        <w:rPr>
          <w:color w:val="000000" w:themeColor="text1"/>
        </w:rPr>
        <w:t xml:space="preserve">leaders to sponsor scientific ventures. </w:t>
      </w:r>
      <w:r w:rsidR="00A9136A">
        <w:rPr>
          <w:color w:val="000000" w:themeColor="text1"/>
        </w:rPr>
        <w:t xml:space="preserve"> In</w:t>
      </w:r>
      <w:r w:rsidR="007354A5" w:rsidRPr="00606B72">
        <w:rPr>
          <w:color w:val="000000" w:themeColor="text1"/>
        </w:rPr>
        <w:t xml:space="preserve"> contrast, he </w:t>
      </w:r>
      <w:r w:rsidR="00C246A1" w:rsidRPr="00606B72">
        <w:rPr>
          <w:color w:val="000000" w:themeColor="text1"/>
        </w:rPr>
        <w:t xml:space="preserve">cites legendary caliphs from the history of Islam who, like </w:t>
      </w:r>
      <w:r w:rsidRPr="00606B72">
        <w:rPr>
          <w:color w:val="000000" w:themeColor="text1"/>
        </w:rPr>
        <w:t>Muhammad</w:t>
      </w:r>
      <w:r w:rsidR="00C246A1" w:rsidRPr="00606B72">
        <w:rPr>
          <w:color w:val="000000" w:themeColor="text1"/>
        </w:rPr>
        <w:t xml:space="preserve"> </w:t>
      </w:r>
      <w:r w:rsidR="00F449A2" w:rsidRPr="00606B72">
        <w:rPr>
          <w:color w:val="000000" w:themeColor="text1"/>
        </w:rPr>
        <w:t>ʿ</w:t>
      </w:r>
      <w:r w:rsidR="00C246A1" w:rsidRPr="00606B72">
        <w:rPr>
          <w:color w:val="000000" w:themeColor="text1"/>
        </w:rPr>
        <w:t xml:space="preserve">Ali, were patrons of the sciences and encouraged their courtiers to pursue knowledge: </w:t>
      </w:r>
    </w:p>
    <w:p w14:paraId="73AB2E1C" w14:textId="115DD851" w:rsidR="00C246A1" w:rsidRPr="00606B72" w:rsidRDefault="00C246A1" w:rsidP="00C246A1">
      <w:pPr>
        <w:spacing w:after="240"/>
        <w:ind w:left="720"/>
        <w:rPr>
          <w:color w:val="000000" w:themeColor="text1"/>
        </w:rPr>
      </w:pPr>
      <w:r w:rsidRPr="00606B72">
        <w:rPr>
          <w:color w:val="000000" w:themeColor="text1"/>
        </w:rPr>
        <w:t xml:space="preserve">Indeed, in the time of the caliphs we were the most perfect of all countries.  The reason for this is that the caliphs helped scholars, artists and others like them.  Some of the caliphs even got personally involved in these pursuits.  </w:t>
      </w:r>
      <w:r w:rsidR="00706D7F" w:rsidRPr="00606B72">
        <w:rPr>
          <w:color w:val="000000" w:themeColor="text1"/>
        </w:rPr>
        <w:t>Take for instance al-Maʾm</w:t>
      </w:r>
      <w:r w:rsidR="00706D7F">
        <w:rPr>
          <w:color w:val="000000" w:themeColor="text1"/>
        </w:rPr>
        <w:t>u</w:t>
      </w:r>
      <w:r w:rsidR="00706D7F" w:rsidRPr="00606B72">
        <w:rPr>
          <w:color w:val="000000" w:themeColor="text1"/>
        </w:rPr>
        <w:t xml:space="preserve">n, the son of </w:t>
      </w:r>
      <w:r w:rsidR="00706D7F">
        <w:rPr>
          <w:color w:val="000000" w:themeColor="text1"/>
        </w:rPr>
        <w:t xml:space="preserve">Harun </w:t>
      </w:r>
      <w:r w:rsidR="00706D7F" w:rsidRPr="00606B72">
        <w:rPr>
          <w:color w:val="000000" w:themeColor="text1"/>
        </w:rPr>
        <w:t>al-Rash</w:t>
      </w:r>
      <w:r w:rsidR="00706D7F">
        <w:rPr>
          <w:color w:val="000000" w:themeColor="text1"/>
        </w:rPr>
        <w:t>i</w:t>
      </w:r>
      <w:r w:rsidR="00706D7F" w:rsidRPr="00606B72">
        <w:rPr>
          <w:color w:val="000000" w:themeColor="text1"/>
        </w:rPr>
        <w:t xml:space="preserve">d, who in addition to his support of the timekeepers in his realm was himself engaged in astronomy.  </w:t>
      </w:r>
      <w:r w:rsidRPr="00606B72">
        <w:rPr>
          <w:color w:val="000000" w:themeColor="text1"/>
        </w:rPr>
        <w:t xml:space="preserve">And look at how he determined the angle between the zodiac and the equator, finding, after examination, that it amounted to 23 degrees, 35 minutes.  The </w:t>
      </w:r>
      <w:r w:rsidR="00706D7F">
        <w:rPr>
          <w:color w:val="000000" w:themeColor="text1"/>
        </w:rPr>
        <w:t>Abbasid</w:t>
      </w:r>
      <w:r w:rsidRPr="00606B72">
        <w:rPr>
          <w:color w:val="000000" w:themeColor="text1"/>
        </w:rPr>
        <w:t xml:space="preserve"> Ja</w:t>
      </w:r>
      <w:r w:rsidR="004D162D" w:rsidRPr="00606B72">
        <w:rPr>
          <w:color w:val="000000" w:themeColor="text1"/>
        </w:rPr>
        <w:t>ʿ</w:t>
      </w:r>
      <w:r w:rsidRPr="00606B72">
        <w:rPr>
          <w:color w:val="000000" w:themeColor="text1"/>
        </w:rPr>
        <w:t>far al-Mutawakkil encouraged Stephen (</w:t>
      </w:r>
      <w:r w:rsidR="00706D7F" w:rsidRPr="00706D7F">
        <w:rPr>
          <w:color w:val="000000" w:themeColor="text1"/>
        </w:rPr>
        <w:t>Istifan</w:t>
      </w:r>
      <w:r w:rsidRPr="00606B72">
        <w:rPr>
          <w:color w:val="000000" w:themeColor="text1"/>
        </w:rPr>
        <w:t>) to translate Greek books like that of Dioscorides on medicines, while the ruler of al-Andalus, ‘Abd al-</w:t>
      </w:r>
      <w:r w:rsidR="00706D7F">
        <w:rPr>
          <w:color w:val="000000" w:themeColor="text1"/>
        </w:rPr>
        <w:t>Rahman</w:t>
      </w:r>
      <w:r w:rsidRPr="00606B72">
        <w:rPr>
          <w:color w:val="000000" w:themeColor="text1"/>
        </w:rPr>
        <w:t xml:space="preserve"> al-</w:t>
      </w:r>
      <w:r w:rsidR="00706D7F">
        <w:rPr>
          <w:color w:val="000000" w:themeColor="text1"/>
        </w:rPr>
        <w:t>Nasir</w:t>
      </w:r>
      <w:r w:rsidRPr="00606B72">
        <w:rPr>
          <w:color w:val="000000" w:themeColor="text1"/>
        </w:rPr>
        <w:t>, asked the King of Constantinople, Armanius (</w:t>
      </w:r>
      <w:r w:rsidR="00706D7F">
        <w:rPr>
          <w:color w:val="000000" w:themeColor="text1"/>
        </w:rPr>
        <w:t>Armaniyus</w:t>
      </w:r>
      <w:r w:rsidRPr="00606B72">
        <w:rPr>
          <w:color w:val="000000" w:themeColor="text1"/>
        </w:rPr>
        <w:t>), to send him a man who could speak Greek and Latin to train his slaves as translators, after which a monk by the name of Nicolas was sent</w:t>
      </w:r>
      <w:r w:rsidR="007E54C5" w:rsidRPr="00606B72">
        <w:rPr>
          <w:color w:val="000000" w:themeColor="text1"/>
        </w:rPr>
        <w:t xml:space="preserve"> (2011</w:t>
      </w:r>
      <w:r w:rsidR="00DA63DC">
        <w:rPr>
          <w:color w:val="000000" w:themeColor="text1"/>
        </w:rPr>
        <w:t>:</w:t>
      </w:r>
      <w:r w:rsidR="007E54C5" w:rsidRPr="00606B72">
        <w:rPr>
          <w:color w:val="000000" w:themeColor="text1"/>
        </w:rPr>
        <w:t xml:space="preserve"> 112-113)</w:t>
      </w:r>
      <w:r w:rsidRPr="00606B72">
        <w:rPr>
          <w:color w:val="000000" w:themeColor="text1"/>
        </w:rPr>
        <w:t>.</w:t>
      </w:r>
    </w:p>
    <w:p w14:paraId="49C4E306" w14:textId="4442EED0" w:rsidR="00BD1479" w:rsidRPr="00606B72" w:rsidRDefault="00BC574A" w:rsidP="00AA7EF4">
      <w:pPr>
        <w:spacing w:line="480" w:lineRule="auto"/>
        <w:rPr>
          <w:color w:val="000000" w:themeColor="text1"/>
        </w:rPr>
      </w:pPr>
      <w:r w:rsidRPr="00606B72">
        <w:rPr>
          <w:color w:val="000000" w:themeColor="text1"/>
        </w:rPr>
        <w:lastRenderedPageBreak/>
        <w:t>Al-Tahtawi</w:t>
      </w:r>
      <w:r w:rsidR="00C246A1" w:rsidRPr="00606B72">
        <w:rPr>
          <w:color w:val="000000" w:themeColor="text1"/>
        </w:rPr>
        <w:t>’s allusion to legendary Islamic caliphs such as al-Ma</w:t>
      </w:r>
      <w:r w:rsidR="006342E6" w:rsidRPr="00606B72">
        <w:rPr>
          <w:color w:val="000000" w:themeColor="text1"/>
        </w:rPr>
        <w:t>ʾ</w:t>
      </w:r>
      <w:r w:rsidR="00C246A1" w:rsidRPr="00606B72">
        <w:rPr>
          <w:color w:val="000000" w:themeColor="text1"/>
        </w:rPr>
        <w:t>m</w:t>
      </w:r>
      <w:r w:rsidR="00706D7F">
        <w:rPr>
          <w:color w:val="000000" w:themeColor="text1"/>
        </w:rPr>
        <w:t>u</w:t>
      </w:r>
      <w:r w:rsidR="00C246A1" w:rsidRPr="00606B72">
        <w:rPr>
          <w:color w:val="000000" w:themeColor="text1"/>
        </w:rPr>
        <w:t xml:space="preserve">n, </w:t>
      </w:r>
      <w:r w:rsidR="00706D7F">
        <w:rPr>
          <w:color w:val="000000" w:themeColor="text1"/>
        </w:rPr>
        <w:t>Harun</w:t>
      </w:r>
      <w:r w:rsidR="00C246A1" w:rsidRPr="00606B72">
        <w:rPr>
          <w:color w:val="000000" w:themeColor="text1"/>
        </w:rPr>
        <w:t xml:space="preserve"> al-</w:t>
      </w:r>
      <w:r w:rsidR="00706D7F">
        <w:rPr>
          <w:color w:val="000000" w:themeColor="text1"/>
        </w:rPr>
        <w:t>Rashid</w:t>
      </w:r>
      <w:r w:rsidR="00C246A1" w:rsidRPr="00606B72">
        <w:rPr>
          <w:color w:val="000000" w:themeColor="text1"/>
        </w:rPr>
        <w:t xml:space="preserve">, and </w:t>
      </w:r>
      <w:r w:rsidR="00A650C0" w:rsidRPr="00606B72">
        <w:rPr>
          <w:color w:val="000000" w:themeColor="text1"/>
        </w:rPr>
        <w:t>ʿ</w:t>
      </w:r>
      <w:r w:rsidR="00C246A1" w:rsidRPr="00606B72">
        <w:rPr>
          <w:color w:val="000000" w:themeColor="text1"/>
        </w:rPr>
        <w:t>Abd al-</w:t>
      </w:r>
      <w:r w:rsidR="00706D7F">
        <w:rPr>
          <w:color w:val="000000" w:themeColor="text1"/>
        </w:rPr>
        <w:t>Rahman</w:t>
      </w:r>
      <w:r w:rsidR="00C246A1" w:rsidRPr="00606B72">
        <w:rPr>
          <w:color w:val="000000" w:themeColor="text1"/>
        </w:rPr>
        <w:t xml:space="preserve"> is extremely politically charged because </w:t>
      </w:r>
      <w:r w:rsidR="00706D7F" w:rsidRPr="00606B72">
        <w:rPr>
          <w:color w:val="000000" w:themeColor="text1"/>
        </w:rPr>
        <w:t>Muhammad</w:t>
      </w:r>
      <w:r w:rsidR="00C246A1" w:rsidRPr="00606B72">
        <w:rPr>
          <w:color w:val="000000" w:themeColor="text1"/>
        </w:rPr>
        <w:t xml:space="preserve"> </w:t>
      </w:r>
      <w:r w:rsidR="00A650C0" w:rsidRPr="00606B72">
        <w:rPr>
          <w:color w:val="000000" w:themeColor="text1"/>
        </w:rPr>
        <w:t>ʿ</w:t>
      </w:r>
      <w:r w:rsidR="00C246A1" w:rsidRPr="00606B72">
        <w:rPr>
          <w:color w:val="000000" w:themeColor="text1"/>
        </w:rPr>
        <w:t xml:space="preserve">Ali was, at that time, beginning to assert Egypt’s independence from the Ottoman caliph in Istanbul.  In placing </w:t>
      </w:r>
      <w:r w:rsidR="00BF1E7C" w:rsidRPr="00606B72">
        <w:rPr>
          <w:color w:val="000000" w:themeColor="text1"/>
        </w:rPr>
        <w:t>Muhammad</w:t>
      </w:r>
      <w:r w:rsidR="00C246A1" w:rsidRPr="00606B72">
        <w:rPr>
          <w:color w:val="000000" w:themeColor="text1"/>
        </w:rPr>
        <w:t xml:space="preserve"> </w:t>
      </w:r>
      <w:r w:rsidR="0087441C" w:rsidRPr="00606B72">
        <w:rPr>
          <w:color w:val="000000" w:themeColor="text1"/>
        </w:rPr>
        <w:t>ʿ</w:t>
      </w:r>
      <w:r w:rsidR="00C246A1" w:rsidRPr="00606B72">
        <w:rPr>
          <w:color w:val="000000" w:themeColor="text1"/>
        </w:rPr>
        <w:t xml:space="preserve">Ali in the same circle as the great, legendary caliphs of old, </w:t>
      </w:r>
      <w:r w:rsidRPr="00606B72">
        <w:rPr>
          <w:color w:val="000000" w:themeColor="text1"/>
        </w:rPr>
        <w:t>al-Tahtawi</w:t>
      </w:r>
      <w:r w:rsidR="00C246A1" w:rsidRPr="00606B72">
        <w:rPr>
          <w:color w:val="000000" w:themeColor="text1"/>
        </w:rPr>
        <w:t xml:space="preserve"> is asserting </w:t>
      </w:r>
      <w:r w:rsidR="00BF1E7C" w:rsidRPr="00606B72">
        <w:rPr>
          <w:color w:val="000000" w:themeColor="text1"/>
        </w:rPr>
        <w:t>Muhammad</w:t>
      </w:r>
      <w:r w:rsidR="00C246A1" w:rsidRPr="00606B72">
        <w:rPr>
          <w:color w:val="000000" w:themeColor="text1"/>
        </w:rPr>
        <w:t xml:space="preserve"> </w:t>
      </w:r>
      <w:r w:rsidR="0087441C" w:rsidRPr="00606B72">
        <w:rPr>
          <w:color w:val="000000" w:themeColor="text1"/>
        </w:rPr>
        <w:t>ʿ</w:t>
      </w:r>
      <w:r w:rsidR="00C246A1" w:rsidRPr="00606B72">
        <w:rPr>
          <w:color w:val="000000" w:themeColor="text1"/>
        </w:rPr>
        <w:t xml:space="preserve">Ali’s claim to political authority and legitimacy.  </w:t>
      </w:r>
      <w:r w:rsidR="0020521A" w:rsidRPr="00606B72">
        <w:rPr>
          <w:color w:val="000000" w:themeColor="text1"/>
        </w:rPr>
        <w:t xml:space="preserve">Furthermore, </w:t>
      </w:r>
      <w:r w:rsidRPr="00606B72">
        <w:rPr>
          <w:color w:val="000000" w:themeColor="text1"/>
        </w:rPr>
        <w:t>al-Tahtawi</w:t>
      </w:r>
      <w:r w:rsidR="00E3035E" w:rsidRPr="00606B72">
        <w:rPr>
          <w:color w:val="000000" w:themeColor="text1"/>
        </w:rPr>
        <w:t>’</w:t>
      </w:r>
      <w:r w:rsidR="0020521A" w:rsidRPr="00606B72">
        <w:rPr>
          <w:color w:val="000000" w:themeColor="text1"/>
        </w:rPr>
        <w:t xml:space="preserve">s invocations of these legendary caliphs demonstrates that </w:t>
      </w:r>
      <w:r w:rsidR="008E16AC" w:rsidRPr="00606B72">
        <w:rPr>
          <w:color w:val="000000" w:themeColor="text1"/>
        </w:rPr>
        <w:t>“</w:t>
      </w:r>
      <w:r w:rsidR="000761F1" w:rsidRPr="00606B72">
        <w:rPr>
          <w:color w:val="000000" w:themeColor="text1"/>
        </w:rPr>
        <w:t>foreign</w:t>
      </w:r>
      <w:r w:rsidR="008E16AC" w:rsidRPr="00606B72">
        <w:rPr>
          <w:color w:val="000000" w:themeColor="text1"/>
        </w:rPr>
        <w:t>”</w:t>
      </w:r>
      <w:r w:rsidR="000761F1" w:rsidRPr="00606B72">
        <w:rPr>
          <w:color w:val="000000" w:themeColor="text1"/>
        </w:rPr>
        <w:t xml:space="preserve"> science was welcomed by the caliphs </w:t>
      </w:r>
      <w:r w:rsidR="001A7D3C" w:rsidRPr="00606B72">
        <w:rPr>
          <w:color w:val="000000" w:themeColor="text1"/>
        </w:rPr>
        <w:t xml:space="preserve">who were </w:t>
      </w:r>
      <w:r w:rsidR="00CF3239" w:rsidRPr="00606B72">
        <w:rPr>
          <w:color w:val="000000" w:themeColor="text1"/>
        </w:rPr>
        <w:t xml:space="preserve">upheld as </w:t>
      </w:r>
      <w:r w:rsidR="00CA07BF" w:rsidRPr="00606B72">
        <w:rPr>
          <w:color w:val="000000" w:themeColor="text1"/>
        </w:rPr>
        <w:t>ideal Islamic rulers</w:t>
      </w:r>
      <w:r w:rsidR="00CF3239" w:rsidRPr="00606B72">
        <w:rPr>
          <w:color w:val="000000" w:themeColor="text1"/>
        </w:rPr>
        <w:t xml:space="preserve"> </w:t>
      </w:r>
      <w:r w:rsidR="000761F1" w:rsidRPr="00606B72">
        <w:rPr>
          <w:color w:val="000000" w:themeColor="text1"/>
        </w:rPr>
        <w:t xml:space="preserve">by the conservative </w:t>
      </w:r>
      <w:r w:rsidR="00A650C0" w:rsidRPr="00606B72">
        <w:rPr>
          <w:color w:val="000000" w:themeColor="text1"/>
        </w:rPr>
        <w:t>ʿ</w:t>
      </w:r>
      <w:r w:rsidR="000761F1" w:rsidRPr="00606B72">
        <w:rPr>
          <w:color w:val="000000" w:themeColor="text1"/>
        </w:rPr>
        <w:t>ulam</w:t>
      </w:r>
      <w:r w:rsidR="00BF1E7C" w:rsidRPr="00606B72">
        <w:rPr>
          <w:color w:val="000000" w:themeColor="text1"/>
        </w:rPr>
        <w:t>a</w:t>
      </w:r>
      <w:r w:rsidR="00A650C0" w:rsidRPr="00606B72">
        <w:rPr>
          <w:color w:val="000000" w:themeColor="text1"/>
        </w:rPr>
        <w:t>ʾ</w:t>
      </w:r>
      <w:r w:rsidR="000761F1" w:rsidRPr="00606B72">
        <w:rPr>
          <w:color w:val="000000" w:themeColor="text1"/>
        </w:rPr>
        <w:t xml:space="preserve">––investing in the European sciences could not possibly be </w:t>
      </w:r>
      <w:r w:rsidR="00467607">
        <w:rPr>
          <w:color w:val="000000" w:themeColor="text1"/>
        </w:rPr>
        <w:t>un-Islamic</w:t>
      </w:r>
      <w:r w:rsidR="000761F1" w:rsidRPr="00606B72">
        <w:rPr>
          <w:color w:val="000000" w:themeColor="text1"/>
        </w:rPr>
        <w:t xml:space="preserve"> if </w:t>
      </w:r>
      <w:r w:rsidR="00B86348" w:rsidRPr="00606B72">
        <w:rPr>
          <w:color w:val="000000" w:themeColor="text1"/>
        </w:rPr>
        <w:t>al</w:t>
      </w:r>
      <w:r w:rsidR="000761F1" w:rsidRPr="00606B72">
        <w:rPr>
          <w:color w:val="000000" w:themeColor="text1"/>
        </w:rPr>
        <w:t>-Ma</w:t>
      </w:r>
      <w:r w:rsidR="00A43BAF" w:rsidRPr="00606B72">
        <w:rPr>
          <w:color w:val="000000" w:themeColor="text1"/>
        </w:rPr>
        <w:t>ʾ</w:t>
      </w:r>
      <w:r w:rsidR="000761F1" w:rsidRPr="00606B72">
        <w:rPr>
          <w:color w:val="000000" w:themeColor="text1"/>
        </w:rPr>
        <w:t>m</w:t>
      </w:r>
      <w:r w:rsidR="00BF1E7C" w:rsidRPr="00606B72">
        <w:rPr>
          <w:color w:val="000000" w:themeColor="text1"/>
        </w:rPr>
        <w:t>u</w:t>
      </w:r>
      <w:r w:rsidR="000761F1" w:rsidRPr="00606B72">
        <w:rPr>
          <w:color w:val="000000" w:themeColor="text1"/>
        </w:rPr>
        <w:t>n, H</w:t>
      </w:r>
      <w:r w:rsidR="00BF1E7C" w:rsidRPr="00606B72">
        <w:rPr>
          <w:color w:val="000000" w:themeColor="text1"/>
        </w:rPr>
        <w:t>a</w:t>
      </w:r>
      <w:r w:rsidR="000761F1" w:rsidRPr="00606B72">
        <w:rPr>
          <w:color w:val="000000" w:themeColor="text1"/>
        </w:rPr>
        <w:t>r</w:t>
      </w:r>
      <w:r w:rsidR="00BF1E7C" w:rsidRPr="00606B72">
        <w:rPr>
          <w:color w:val="000000" w:themeColor="text1"/>
        </w:rPr>
        <w:t>u</w:t>
      </w:r>
      <w:r w:rsidR="000761F1" w:rsidRPr="00606B72">
        <w:rPr>
          <w:color w:val="000000" w:themeColor="text1"/>
        </w:rPr>
        <w:t>n al-Rash</w:t>
      </w:r>
      <w:r w:rsidR="00BF1E7C" w:rsidRPr="00606B72">
        <w:rPr>
          <w:color w:val="000000" w:themeColor="text1"/>
        </w:rPr>
        <w:t>i</w:t>
      </w:r>
      <w:r w:rsidR="000761F1" w:rsidRPr="00606B72">
        <w:rPr>
          <w:color w:val="000000" w:themeColor="text1"/>
        </w:rPr>
        <w:t xml:space="preserve">d, and </w:t>
      </w:r>
      <w:r w:rsidR="00A43BAF" w:rsidRPr="00606B72">
        <w:rPr>
          <w:color w:val="000000" w:themeColor="text1"/>
        </w:rPr>
        <w:t>ʿ</w:t>
      </w:r>
      <w:r w:rsidR="000761F1" w:rsidRPr="00606B72">
        <w:rPr>
          <w:color w:val="000000" w:themeColor="text1"/>
        </w:rPr>
        <w:t>Abd</w:t>
      </w:r>
      <w:r w:rsidR="00BF1E7C" w:rsidRPr="00606B72">
        <w:rPr>
          <w:color w:val="000000" w:themeColor="text1"/>
        </w:rPr>
        <w:t xml:space="preserve"> </w:t>
      </w:r>
      <w:r w:rsidR="000761F1" w:rsidRPr="00606B72">
        <w:rPr>
          <w:color w:val="000000" w:themeColor="text1"/>
        </w:rPr>
        <w:t>al-</w:t>
      </w:r>
      <w:r w:rsidR="00BF1E7C" w:rsidRPr="00606B72">
        <w:rPr>
          <w:color w:val="000000" w:themeColor="text1"/>
        </w:rPr>
        <w:t>Rahman</w:t>
      </w:r>
      <w:r w:rsidR="000761F1" w:rsidRPr="00606B72">
        <w:rPr>
          <w:color w:val="000000" w:themeColor="text1"/>
        </w:rPr>
        <w:t xml:space="preserve"> did the same.  </w:t>
      </w:r>
      <w:r w:rsidR="00C246A1" w:rsidRPr="00606B72">
        <w:rPr>
          <w:color w:val="000000" w:themeColor="text1"/>
        </w:rPr>
        <w:t xml:space="preserve">Thus, in praising </w:t>
      </w:r>
      <w:r w:rsidR="00706D7F" w:rsidRPr="00606B72">
        <w:rPr>
          <w:color w:val="000000" w:themeColor="text1"/>
        </w:rPr>
        <w:t>Muhammad</w:t>
      </w:r>
      <w:r w:rsidR="00C246A1" w:rsidRPr="00606B72">
        <w:rPr>
          <w:color w:val="000000" w:themeColor="text1"/>
        </w:rPr>
        <w:t xml:space="preserve"> ‘Ali’s openness to counsel and his support of scientific inquiry, </w:t>
      </w:r>
      <w:r w:rsidRPr="00606B72">
        <w:rPr>
          <w:color w:val="000000" w:themeColor="text1"/>
        </w:rPr>
        <w:t>al-Tahtawi</w:t>
      </w:r>
      <w:r w:rsidR="00C246A1" w:rsidRPr="00606B72">
        <w:rPr>
          <w:color w:val="000000" w:themeColor="text1"/>
        </w:rPr>
        <w:t xml:space="preserve"> is subtly participating in the </w:t>
      </w:r>
      <w:r w:rsidR="00C246A1" w:rsidRPr="00606B72">
        <w:rPr>
          <w:i/>
          <w:iCs/>
          <w:color w:val="000000" w:themeColor="text1"/>
        </w:rPr>
        <w:t>naṣīḥa</w:t>
      </w:r>
      <w:r w:rsidR="00C246A1" w:rsidRPr="00606B72">
        <w:rPr>
          <w:color w:val="000000" w:themeColor="text1"/>
        </w:rPr>
        <w:t xml:space="preserve"> tradition of emphasizing the ruler’s lofty claims to political legitimacy and authority</w:t>
      </w:r>
      <w:r w:rsidR="00F96664" w:rsidRPr="00606B72">
        <w:rPr>
          <w:color w:val="000000" w:themeColor="text1"/>
        </w:rPr>
        <w:t xml:space="preserve">, </w:t>
      </w:r>
      <w:r w:rsidR="00F0422F" w:rsidRPr="00606B72">
        <w:rPr>
          <w:color w:val="000000" w:themeColor="text1"/>
        </w:rPr>
        <w:t xml:space="preserve">asserting </w:t>
      </w:r>
      <w:r w:rsidR="00BF1E7C" w:rsidRPr="00606B72">
        <w:rPr>
          <w:color w:val="000000" w:themeColor="text1"/>
        </w:rPr>
        <w:t>Muhammad</w:t>
      </w:r>
      <w:r w:rsidR="00F0422F" w:rsidRPr="00606B72">
        <w:rPr>
          <w:color w:val="000000" w:themeColor="text1"/>
        </w:rPr>
        <w:t xml:space="preserve"> </w:t>
      </w:r>
      <w:r w:rsidR="003A6CD7" w:rsidRPr="00606B72">
        <w:rPr>
          <w:color w:val="000000" w:themeColor="text1"/>
        </w:rPr>
        <w:t>ʿ</w:t>
      </w:r>
      <w:r w:rsidR="00F0422F" w:rsidRPr="00606B72">
        <w:rPr>
          <w:color w:val="000000" w:themeColor="text1"/>
        </w:rPr>
        <w:t>Ali</w:t>
      </w:r>
      <w:r w:rsidR="008E16AC" w:rsidRPr="00606B72">
        <w:rPr>
          <w:color w:val="000000" w:themeColor="text1"/>
        </w:rPr>
        <w:t>’</w:t>
      </w:r>
      <w:r w:rsidR="00F0422F" w:rsidRPr="00606B72">
        <w:rPr>
          <w:color w:val="000000" w:themeColor="text1"/>
        </w:rPr>
        <w:t xml:space="preserve">s claims to independence from the Ottoman Empire </w:t>
      </w:r>
      <w:r w:rsidR="00F96664" w:rsidRPr="00606B72">
        <w:rPr>
          <w:color w:val="000000" w:themeColor="text1"/>
        </w:rPr>
        <w:t xml:space="preserve">in addition to reinforcing </w:t>
      </w:r>
      <w:r w:rsidRPr="00606B72">
        <w:rPr>
          <w:color w:val="000000" w:themeColor="text1"/>
        </w:rPr>
        <w:t>al-Tahtawi</w:t>
      </w:r>
      <w:r w:rsidR="008E16AC" w:rsidRPr="00606B72">
        <w:rPr>
          <w:color w:val="000000" w:themeColor="text1"/>
        </w:rPr>
        <w:t>’</w:t>
      </w:r>
      <w:r w:rsidR="00F96664" w:rsidRPr="00606B72">
        <w:rPr>
          <w:color w:val="000000" w:themeColor="text1"/>
        </w:rPr>
        <w:t xml:space="preserve">s desire for </w:t>
      </w:r>
      <w:r w:rsidR="00F0422F" w:rsidRPr="00606B72">
        <w:rPr>
          <w:color w:val="000000" w:themeColor="text1"/>
        </w:rPr>
        <w:t>continued support for</w:t>
      </w:r>
      <w:r w:rsidR="00F96664" w:rsidRPr="00606B72">
        <w:rPr>
          <w:color w:val="000000" w:themeColor="text1"/>
        </w:rPr>
        <w:t xml:space="preserve"> the sciences, regardless of their origins.  </w:t>
      </w:r>
    </w:p>
    <w:p w14:paraId="652B2FC5" w14:textId="6B2CD886" w:rsidR="003760A6" w:rsidRPr="00606B72" w:rsidRDefault="00BD1479" w:rsidP="00BD1479">
      <w:pPr>
        <w:spacing w:line="480" w:lineRule="auto"/>
        <w:ind w:firstLine="720"/>
        <w:rPr>
          <w:color w:val="000000" w:themeColor="text1"/>
        </w:rPr>
      </w:pPr>
      <w:r w:rsidRPr="00606B72">
        <w:rPr>
          <w:color w:val="000000" w:themeColor="text1"/>
        </w:rPr>
        <w:t xml:space="preserve">While </w:t>
      </w:r>
      <w:r w:rsidR="00BC574A" w:rsidRPr="00606B72">
        <w:rPr>
          <w:color w:val="000000" w:themeColor="text1"/>
        </w:rPr>
        <w:t>al-Tahtawi</w:t>
      </w:r>
      <w:r w:rsidRPr="00606B72">
        <w:rPr>
          <w:color w:val="000000" w:themeColor="text1"/>
        </w:rPr>
        <w:t xml:space="preserve">’s over-the-top praise for </w:t>
      </w:r>
      <w:r w:rsidR="00BF1E7C" w:rsidRPr="00606B72">
        <w:rPr>
          <w:color w:val="000000" w:themeColor="text1"/>
        </w:rPr>
        <w:t>Muhammad</w:t>
      </w:r>
      <w:r w:rsidRPr="00606B72">
        <w:rPr>
          <w:color w:val="000000" w:themeColor="text1"/>
        </w:rPr>
        <w:t xml:space="preserve"> </w:t>
      </w:r>
      <w:r w:rsidR="00515307" w:rsidRPr="00606B72">
        <w:rPr>
          <w:color w:val="000000" w:themeColor="text1"/>
        </w:rPr>
        <w:t>ʿ</w:t>
      </w:r>
      <w:r w:rsidRPr="00606B72">
        <w:rPr>
          <w:color w:val="000000" w:themeColor="text1"/>
        </w:rPr>
        <w:t>Ali might</w:t>
      </w:r>
      <w:r w:rsidR="00833313">
        <w:rPr>
          <w:color w:val="000000" w:themeColor="text1"/>
        </w:rPr>
        <w:t xml:space="preserve"> seem excessive to some readers,</w:t>
      </w:r>
      <w:r w:rsidRPr="00606B72">
        <w:rPr>
          <w:color w:val="000000" w:themeColor="text1"/>
        </w:rPr>
        <w:t xml:space="preserve"> </w:t>
      </w:r>
      <w:r w:rsidR="003760A6" w:rsidRPr="00606B72">
        <w:rPr>
          <w:color w:val="000000" w:themeColor="text1"/>
        </w:rPr>
        <w:t xml:space="preserve">it would be inappropriate to assume that </w:t>
      </w:r>
      <w:r w:rsidR="00846ED3" w:rsidRPr="00606B72">
        <w:rPr>
          <w:color w:val="000000" w:themeColor="text1"/>
        </w:rPr>
        <w:t>writers</w:t>
      </w:r>
      <w:r w:rsidR="003760A6" w:rsidRPr="00606B72">
        <w:rPr>
          <w:color w:val="000000" w:themeColor="text1"/>
        </w:rPr>
        <w:t xml:space="preserve"> of </w:t>
      </w:r>
      <w:r w:rsidR="003760A6" w:rsidRPr="00606B72">
        <w:rPr>
          <w:i/>
          <w:iCs/>
          <w:color w:val="000000" w:themeColor="text1"/>
        </w:rPr>
        <w:t>naṣīḥa</w:t>
      </w:r>
      <w:r w:rsidR="003760A6" w:rsidRPr="00606B72">
        <w:rPr>
          <w:color w:val="000000" w:themeColor="text1"/>
        </w:rPr>
        <w:t xml:space="preserve"> are </w:t>
      </w:r>
      <w:r w:rsidR="00FE172D" w:rsidRPr="00606B72">
        <w:rPr>
          <w:color w:val="000000" w:themeColor="text1"/>
        </w:rPr>
        <w:t>merely</w:t>
      </w:r>
      <w:r w:rsidR="003760A6" w:rsidRPr="00606B72">
        <w:rPr>
          <w:color w:val="000000" w:themeColor="text1"/>
        </w:rPr>
        <w:t xml:space="preserve"> </w:t>
      </w:r>
      <w:r w:rsidR="00202123" w:rsidRPr="00606B72">
        <w:rPr>
          <w:color w:val="000000" w:themeColor="text1"/>
        </w:rPr>
        <w:t>sycophant</w:t>
      </w:r>
      <w:r w:rsidR="00846ED3" w:rsidRPr="00606B72">
        <w:rPr>
          <w:color w:val="000000" w:themeColor="text1"/>
        </w:rPr>
        <w:t xml:space="preserve">s </w:t>
      </w:r>
      <w:r w:rsidR="00202123" w:rsidRPr="00606B72">
        <w:rPr>
          <w:color w:val="000000" w:themeColor="text1"/>
        </w:rPr>
        <w:t>due to their</w:t>
      </w:r>
      <w:r w:rsidR="003760A6" w:rsidRPr="00606B72">
        <w:rPr>
          <w:color w:val="000000" w:themeColor="text1"/>
        </w:rPr>
        <w:t xml:space="preserve"> submissive </w:t>
      </w:r>
      <w:r w:rsidR="00202123" w:rsidRPr="00606B72">
        <w:rPr>
          <w:color w:val="000000" w:themeColor="text1"/>
        </w:rPr>
        <w:t xml:space="preserve">and deferential approach </w:t>
      </w:r>
      <w:r w:rsidR="008073EC" w:rsidRPr="00606B72">
        <w:rPr>
          <w:color w:val="000000" w:themeColor="text1"/>
        </w:rPr>
        <w:t>to</w:t>
      </w:r>
      <w:r w:rsidR="003760A6" w:rsidRPr="00606B72">
        <w:rPr>
          <w:color w:val="000000" w:themeColor="text1"/>
        </w:rPr>
        <w:t xml:space="preserve"> </w:t>
      </w:r>
      <w:r w:rsidR="007C7678" w:rsidRPr="00606B72">
        <w:rPr>
          <w:color w:val="000000" w:themeColor="text1"/>
        </w:rPr>
        <w:t>their benefactors</w:t>
      </w:r>
      <w:r w:rsidR="003760A6" w:rsidRPr="00606B72">
        <w:rPr>
          <w:color w:val="000000" w:themeColor="text1"/>
        </w:rPr>
        <w:t xml:space="preserve">, as the act of giving meaningful counsel </w:t>
      </w:r>
      <w:r w:rsidR="00E44155" w:rsidRPr="00606B72">
        <w:rPr>
          <w:color w:val="000000" w:themeColor="text1"/>
        </w:rPr>
        <w:t xml:space="preserve">itself </w:t>
      </w:r>
      <w:r w:rsidR="003760A6" w:rsidRPr="00606B72">
        <w:rPr>
          <w:color w:val="000000" w:themeColor="text1"/>
        </w:rPr>
        <w:t>is inherently rathe</w:t>
      </w:r>
      <w:r w:rsidR="00651D76" w:rsidRPr="00606B72">
        <w:rPr>
          <w:color w:val="000000" w:themeColor="text1"/>
        </w:rPr>
        <w:t xml:space="preserve">r subversive. </w:t>
      </w:r>
      <w:r w:rsidR="009670BB" w:rsidRPr="00606B72">
        <w:rPr>
          <w:color w:val="000000" w:themeColor="text1"/>
        </w:rPr>
        <w:t>That</w:t>
      </w:r>
      <w:r w:rsidR="009D26E9" w:rsidRPr="00606B72">
        <w:rPr>
          <w:color w:val="000000" w:themeColor="text1"/>
        </w:rPr>
        <w:t xml:space="preserve">, as Talal Asad reminds us, </w:t>
      </w:r>
      <w:r w:rsidR="009670BB" w:rsidRPr="00606B72">
        <w:rPr>
          <w:color w:val="000000" w:themeColor="text1"/>
        </w:rPr>
        <w:t xml:space="preserve">the goal of </w:t>
      </w:r>
      <w:r w:rsidR="009670BB" w:rsidRPr="00606B72">
        <w:rPr>
          <w:i/>
          <w:iCs/>
          <w:color w:val="000000" w:themeColor="text1"/>
        </w:rPr>
        <w:t>naṣīḥa</w:t>
      </w:r>
      <w:r w:rsidR="009670BB" w:rsidRPr="00606B72">
        <w:rPr>
          <w:color w:val="000000" w:themeColor="text1"/>
        </w:rPr>
        <w:t xml:space="preserve"> is to genuinely aid the </w:t>
      </w:r>
      <w:r w:rsidR="009670BB" w:rsidRPr="00606B72">
        <w:rPr>
          <w:i/>
          <w:iCs/>
          <w:color w:val="000000" w:themeColor="text1"/>
        </w:rPr>
        <w:t>man</w:t>
      </w:r>
      <w:r w:rsidR="00E12763">
        <w:rPr>
          <w:i/>
          <w:iCs/>
          <w:color w:val="000000" w:themeColor="text1"/>
        </w:rPr>
        <w:t>ṣ</w:t>
      </w:r>
      <w:r w:rsidR="009670BB" w:rsidRPr="00606B72">
        <w:rPr>
          <w:i/>
          <w:iCs/>
          <w:color w:val="000000" w:themeColor="text1"/>
        </w:rPr>
        <w:t>ū</w:t>
      </w:r>
      <w:r w:rsidR="00E12763">
        <w:rPr>
          <w:i/>
          <w:iCs/>
          <w:color w:val="000000" w:themeColor="text1"/>
        </w:rPr>
        <w:t>ḥ</w:t>
      </w:r>
      <w:r w:rsidR="009670BB" w:rsidRPr="00606B72">
        <w:rPr>
          <w:color w:val="000000" w:themeColor="text1"/>
        </w:rPr>
        <w:t xml:space="preserve"> </w:t>
      </w:r>
      <w:r w:rsidR="00741988" w:rsidRPr="00606B72">
        <w:rPr>
          <w:color w:val="000000" w:themeColor="text1"/>
        </w:rPr>
        <w:t xml:space="preserve">(the advisee) </w:t>
      </w:r>
      <w:r w:rsidR="009670BB" w:rsidRPr="00606B72">
        <w:rPr>
          <w:color w:val="000000" w:themeColor="text1"/>
        </w:rPr>
        <w:t xml:space="preserve">in correcting bad behavior does not detract from </w:t>
      </w:r>
      <w:r w:rsidR="009670BB" w:rsidRPr="00606B72">
        <w:rPr>
          <w:i/>
          <w:iCs/>
          <w:color w:val="000000" w:themeColor="text1"/>
        </w:rPr>
        <w:t>naṣīḥa</w:t>
      </w:r>
      <w:r w:rsidR="008E16AC" w:rsidRPr="00606B72">
        <w:rPr>
          <w:color w:val="000000" w:themeColor="text1"/>
        </w:rPr>
        <w:t>’</w:t>
      </w:r>
      <w:r w:rsidR="009670BB" w:rsidRPr="00606B72">
        <w:rPr>
          <w:color w:val="000000" w:themeColor="text1"/>
        </w:rPr>
        <w:t xml:space="preserve">s </w:t>
      </w:r>
      <w:r w:rsidR="00E44155" w:rsidRPr="00606B72">
        <w:rPr>
          <w:color w:val="000000" w:themeColor="text1"/>
        </w:rPr>
        <w:t>subversive</w:t>
      </w:r>
      <w:r w:rsidR="00AF39D9" w:rsidRPr="00606B72">
        <w:rPr>
          <w:color w:val="000000" w:themeColor="text1"/>
        </w:rPr>
        <w:t>-</w:t>
      </w:r>
      <w:r w:rsidR="00E44155" w:rsidRPr="00606B72">
        <w:rPr>
          <w:color w:val="000000" w:themeColor="text1"/>
        </w:rPr>
        <w:t>ness</w:t>
      </w:r>
      <w:r w:rsidR="009670BB" w:rsidRPr="00606B72">
        <w:rPr>
          <w:color w:val="000000" w:themeColor="text1"/>
        </w:rPr>
        <w:t>––if anything, it reinforces it.</w:t>
      </w:r>
      <w:r w:rsidR="001237C8" w:rsidRPr="00606B72">
        <w:rPr>
          <w:color w:val="000000" w:themeColor="text1"/>
        </w:rPr>
        <w:t xml:space="preserve">  </w:t>
      </w:r>
      <w:r w:rsidR="003760A6" w:rsidRPr="00606B72">
        <w:rPr>
          <w:color w:val="000000" w:themeColor="text1"/>
        </w:rPr>
        <w:t>If al-</w:t>
      </w:r>
      <w:r w:rsidR="00BC574A" w:rsidRPr="00606B72">
        <w:rPr>
          <w:color w:val="000000" w:themeColor="text1"/>
        </w:rPr>
        <w:t>Tahtawi</w:t>
      </w:r>
      <w:r w:rsidR="003760A6" w:rsidRPr="00606B72">
        <w:rPr>
          <w:color w:val="000000" w:themeColor="text1"/>
        </w:rPr>
        <w:t xml:space="preserve"> sincerely hopes to give good advice to </w:t>
      </w:r>
      <w:r w:rsidR="00100312" w:rsidRPr="00606B72">
        <w:rPr>
          <w:color w:val="000000" w:themeColor="text1"/>
        </w:rPr>
        <w:t xml:space="preserve">his </w:t>
      </w:r>
      <w:r w:rsidR="00100312" w:rsidRPr="00606B72">
        <w:rPr>
          <w:i/>
          <w:iCs/>
          <w:color w:val="000000" w:themeColor="text1"/>
        </w:rPr>
        <w:t>man</w:t>
      </w:r>
      <w:r w:rsidR="00E12763">
        <w:rPr>
          <w:i/>
          <w:iCs/>
          <w:color w:val="000000" w:themeColor="text1"/>
        </w:rPr>
        <w:t>ṣ</w:t>
      </w:r>
      <w:r w:rsidR="00100312" w:rsidRPr="00606B72">
        <w:rPr>
          <w:i/>
          <w:iCs/>
          <w:color w:val="000000" w:themeColor="text1"/>
        </w:rPr>
        <w:t>ū</w:t>
      </w:r>
      <w:r w:rsidR="00E12763">
        <w:rPr>
          <w:i/>
          <w:iCs/>
          <w:color w:val="000000" w:themeColor="text1"/>
        </w:rPr>
        <w:t>ḥ</w:t>
      </w:r>
      <w:r w:rsidR="00100312" w:rsidRPr="00606B72">
        <w:rPr>
          <w:color w:val="000000" w:themeColor="text1"/>
        </w:rPr>
        <w:t xml:space="preserve">, </w:t>
      </w:r>
      <w:r w:rsidR="00BF1E7C" w:rsidRPr="00606B72">
        <w:rPr>
          <w:color w:val="000000" w:themeColor="text1"/>
        </w:rPr>
        <w:t>Muhammad</w:t>
      </w:r>
      <w:r w:rsidR="003760A6" w:rsidRPr="00606B72">
        <w:rPr>
          <w:color w:val="000000" w:themeColor="text1"/>
        </w:rPr>
        <w:t xml:space="preserve"> </w:t>
      </w:r>
      <w:r w:rsidR="00917CAF" w:rsidRPr="00606B72">
        <w:rPr>
          <w:color w:val="000000" w:themeColor="text1"/>
        </w:rPr>
        <w:t>ʿ</w:t>
      </w:r>
      <w:r w:rsidR="003760A6" w:rsidRPr="00606B72">
        <w:rPr>
          <w:color w:val="000000" w:themeColor="text1"/>
        </w:rPr>
        <w:t xml:space="preserve">Ali, he </w:t>
      </w:r>
      <w:r w:rsidR="004A4CA5" w:rsidRPr="00606B72">
        <w:rPr>
          <w:color w:val="000000" w:themeColor="text1"/>
        </w:rPr>
        <w:t xml:space="preserve">is </w:t>
      </w:r>
      <w:r w:rsidR="007354A5" w:rsidRPr="00606B72">
        <w:rPr>
          <w:color w:val="000000" w:themeColor="text1"/>
        </w:rPr>
        <w:t xml:space="preserve">first </w:t>
      </w:r>
      <w:r w:rsidR="004A4CA5" w:rsidRPr="00606B72">
        <w:rPr>
          <w:color w:val="000000" w:themeColor="text1"/>
        </w:rPr>
        <w:t>oblig</w:t>
      </w:r>
      <w:r w:rsidR="007354A5" w:rsidRPr="00606B72">
        <w:rPr>
          <w:color w:val="000000" w:themeColor="text1"/>
        </w:rPr>
        <w:t xml:space="preserve">ed </w:t>
      </w:r>
      <w:r w:rsidR="00FC0463" w:rsidRPr="00606B72">
        <w:rPr>
          <w:color w:val="000000" w:themeColor="text1"/>
        </w:rPr>
        <w:t>to</w:t>
      </w:r>
      <w:r w:rsidR="003760A6" w:rsidRPr="00606B72">
        <w:rPr>
          <w:color w:val="000000" w:themeColor="text1"/>
        </w:rPr>
        <w:t xml:space="preserve"> </w:t>
      </w:r>
      <w:r w:rsidR="00AF5E12" w:rsidRPr="00606B72">
        <w:rPr>
          <w:color w:val="000000" w:themeColor="text1"/>
        </w:rPr>
        <w:t xml:space="preserve">offer a public criticism of him by </w:t>
      </w:r>
      <w:r w:rsidR="00E34A2D" w:rsidRPr="00606B72">
        <w:rPr>
          <w:color w:val="000000" w:themeColor="text1"/>
        </w:rPr>
        <w:t>articulating</w:t>
      </w:r>
      <w:r w:rsidR="003760A6" w:rsidRPr="00606B72">
        <w:rPr>
          <w:color w:val="000000" w:themeColor="text1"/>
        </w:rPr>
        <w:t xml:space="preserve"> the policies that are holding Egypt back and encourag</w:t>
      </w:r>
      <w:r w:rsidR="0080739B" w:rsidRPr="00606B72">
        <w:rPr>
          <w:color w:val="000000" w:themeColor="text1"/>
        </w:rPr>
        <w:t>ing</w:t>
      </w:r>
      <w:r w:rsidR="003760A6" w:rsidRPr="00606B72">
        <w:rPr>
          <w:color w:val="000000" w:themeColor="text1"/>
        </w:rPr>
        <w:t xml:space="preserve"> </w:t>
      </w:r>
      <w:r w:rsidR="0080739B" w:rsidRPr="00606B72">
        <w:rPr>
          <w:color w:val="000000" w:themeColor="text1"/>
        </w:rPr>
        <w:t xml:space="preserve">the </w:t>
      </w:r>
      <w:r w:rsidR="0080739B" w:rsidRPr="00606B72">
        <w:rPr>
          <w:i/>
          <w:iCs/>
          <w:color w:val="000000" w:themeColor="text1"/>
        </w:rPr>
        <w:t>man</w:t>
      </w:r>
      <w:r w:rsidR="00E12763">
        <w:rPr>
          <w:i/>
          <w:iCs/>
          <w:color w:val="000000" w:themeColor="text1"/>
        </w:rPr>
        <w:t>ṣ</w:t>
      </w:r>
      <w:r w:rsidR="0080739B" w:rsidRPr="00606B72">
        <w:rPr>
          <w:i/>
          <w:iCs/>
          <w:color w:val="000000" w:themeColor="text1"/>
        </w:rPr>
        <w:t>ū</w:t>
      </w:r>
      <w:r w:rsidR="00E12763">
        <w:rPr>
          <w:i/>
          <w:iCs/>
          <w:color w:val="000000" w:themeColor="text1"/>
        </w:rPr>
        <w:t>ḥ</w:t>
      </w:r>
      <w:r w:rsidR="003760A6" w:rsidRPr="00606B72">
        <w:rPr>
          <w:color w:val="000000" w:themeColor="text1"/>
        </w:rPr>
        <w:t xml:space="preserve"> to change them.  </w:t>
      </w:r>
    </w:p>
    <w:p w14:paraId="4B1E8565" w14:textId="1C68B356" w:rsidR="0098072B" w:rsidRPr="00B53E7D" w:rsidRDefault="00AA7EF4" w:rsidP="004E215B">
      <w:pPr>
        <w:spacing w:line="480" w:lineRule="auto"/>
        <w:ind w:firstLine="720"/>
        <w:rPr>
          <w:color w:val="000000" w:themeColor="text1"/>
        </w:rPr>
      </w:pPr>
      <w:r w:rsidRPr="00606B72">
        <w:rPr>
          <w:color w:val="000000" w:themeColor="text1"/>
        </w:rPr>
        <w:lastRenderedPageBreak/>
        <w:t>Finally, a</w:t>
      </w:r>
      <w:r w:rsidR="00FA6222" w:rsidRPr="00606B72">
        <w:rPr>
          <w:color w:val="000000" w:themeColor="text1"/>
        </w:rPr>
        <w:t xml:space="preserve">s </w:t>
      </w:r>
      <w:r w:rsidR="007354A5" w:rsidRPr="00606B72">
        <w:rPr>
          <w:color w:val="000000" w:themeColor="text1"/>
        </w:rPr>
        <w:t xml:space="preserve">I have already pointed out, </w:t>
      </w:r>
      <w:r w:rsidR="00FA6222" w:rsidRPr="00606B72">
        <w:rPr>
          <w:color w:val="000000" w:themeColor="text1"/>
        </w:rPr>
        <w:t>al-</w:t>
      </w:r>
      <w:r w:rsidR="00BF1E7C" w:rsidRPr="00606B72">
        <w:rPr>
          <w:color w:val="000000" w:themeColor="text1"/>
        </w:rPr>
        <w:t>Tahtawi</w:t>
      </w:r>
      <w:r w:rsidR="00FA6222" w:rsidRPr="00606B72">
        <w:rPr>
          <w:color w:val="000000" w:themeColor="text1"/>
        </w:rPr>
        <w:t xml:space="preserve"> describes his text as a </w:t>
      </w:r>
      <w:r w:rsidR="00FA6222" w:rsidRPr="00606B72">
        <w:rPr>
          <w:i/>
          <w:iCs/>
          <w:color w:val="000000" w:themeColor="text1"/>
        </w:rPr>
        <w:t>riḥla</w:t>
      </w:r>
      <w:r w:rsidR="00FA6222" w:rsidRPr="00606B72">
        <w:rPr>
          <w:color w:val="000000" w:themeColor="text1"/>
        </w:rPr>
        <w:t xml:space="preserve">, or travel literature.  </w:t>
      </w:r>
      <w:r w:rsidR="008B63DA">
        <w:rPr>
          <w:color w:val="000000" w:themeColor="text1"/>
        </w:rPr>
        <w:t xml:space="preserve">However, there are marked differences </w:t>
      </w:r>
      <w:r w:rsidR="004E215B">
        <w:rPr>
          <w:color w:val="000000" w:themeColor="text1"/>
        </w:rPr>
        <w:t>in</w:t>
      </w:r>
      <w:r w:rsidR="008B63DA">
        <w:rPr>
          <w:color w:val="000000" w:themeColor="text1"/>
        </w:rPr>
        <w:t xml:space="preserve"> the language and the tone used in the </w:t>
      </w:r>
      <w:r w:rsidR="008B63DA">
        <w:rPr>
          <w:i/>
          <w:iCs/>
          <w:color w:val="000000" w:themeColor="text1"/>
        </w:rPr>
        <w:t xml:space="preserve">Taklhis </w:t>
      </w:r>
      <w:r w:rsidR="008B63DA">
        <w:rPr>
          <w:color w:val="000000" w:themeColor="text1"/>
        </w:rPr>
        <w:t xml:space="preserve">by al-Tahtawi and that used </w:t>
      </w:r>
      <w:r w:rsidR="00B3784F">
        <w:rPr>
          <w:color w:val="000000" w:themeColor="text1"/>
        </w:rPr>
        <w:t xml:space="preserve">in other </w:t>
      </w:r>
      <w:r w:rsidR="00B3784F">
        <w:rPr>
          <w:i/>
          <w:iCs/>
          <w:color w:val="000000" w:themeColor="text1"/>
        </w:rPr>
        <w:t>riḥlāt</w:t>
      </w:r>
      <w:r w:rsidR="00B3784F">
        <w:rPr>
          <w:color w:val="000000" w:themeColor="text1"/>
        </w:rPr>
        <w:t xml:space="preserve"> (plural of</w:t>
      </w:r>
      <w:r w:rsidR="00B3784F">
        <w:rPr>
          <w:i/>
          <w:iCs/>
          <w:color w:val="000000" w:themeColor="text1"/>
        </w:rPr>
        <w:t xml:space="preserve"> riḥla</w:t>
      </w:r>
      <w:r w:rsidR="00B3784F">
        <w:rPr>
          <w:color w:val="000000" w:themeColor="text1"/>
        </w:rPr>
        <w:t>)</w:t>
      </w:r>
      <w:r w:rsidR="008B63DA">
        <w:rPr>
          <w:color w:val="000000" w:themeColor="text1"/>
        </w:rPr>
        <w:t xml:space="preserve">.  </w:t>
      </w:r>
      <w:r w:rsidR="004E215B">
        <w:rPr>
          <w:color w:val="000000" w:themeColor="text1"/>
        </w:rPr>
        <w:t>The</w:t>
      </w:r>
      <w:r w:rsidR="008B63DA">
        <w:rPr>
          <w:color w:val="000000" w:themeColor="text1"/>
        </w:rPr>
        <w:t xml:space="preserve"> archetypal </w:t>
      </w:r>
      <w:r w:rsidR="008B63DA">
        <w:rPr>
          <w:i/>
          <w:iCs/>
          <w:color w:val="000000" w:themeColor="text1"/>
        </w:rPr>
        <w:t>riḥla</w:t>
      </w:r>
      <w:r w:rsidR="008B63DA">
        <w:rPr>
          <w:color w:val="000000" w:themeColor="text1"/>
        </w:rPr>
        <w:t xml:space="preserve"> of the prolific North African explorer</w:t>
      </w:r>
      <w:r w:rsidR="00EF25B7">
        <w:rPr>
          <w:color w:val="000000" w:themeColor="text1"/>
        </w:rPr>
        <w:t xml:space="preserve"> Ibn Battuta</w:t>
      </w:r>
      <w:r w:rsidR="004E215B">
        <w:rPr>
          <w:color w:val="000000" w:themeColor="text1"/>
        </w:rPr>
        <w:t>, for example, contains</w:t>
      </w:r>
      <w:r w:rsidR="00A02544">
        <w:rPr>
          <w:color w:val="000000" w:themeColor="text1"/>
        </w:rPr>
        <w:t xml:space="preserve"> of a number of anecdotes that depict and describe the diverse Muslim communities that the author visited across the world.  While</w:t>
      </w:r>
      <w:r w:rsidR="004E215B">
        <w:rPr>
          <w:color w:val="000000" w:themeColor="text1"/>
        </w:rPr>
        <w:t xml:space="preserve"> the reader may see glimpses of</w:t>
      </w:r>
      <w:r w:rsidR="00A02544">
        <w:rPr>
          <w:color w:val="000000" w:themeColor="text1"/>
        </w:rPr>
        <w:t xml:space="preserve"> Ibn Battuta</w:t>
      </w:r>
      <w:r w:rsidR="004E215B">
        <w:rPr>
          <w:color w:val="000000" w:themeColor="text1"/>
        </w:rPr>
        <w:t>’s opinions about specific political and theological matters,</w:t>
      </w:r>
      <w:r w:rsidR="004E215B">
        <w:rPr>
          <w:rStyle w:val="FootnoteReference"/>
          <w:color w:val="000000" w:themeColor="text1"/>
        </w:rPr>
        <w:footnoteReference w:id="6"/>
      </w:r>
      <w:r w:rsidR="004E215B">
        <w:rPr>
          <w:color w:val="000000" w:themeColor="text1"/>
        </w:rPr>
        <w:t xml:space="preserve"> the language of his </w:t>
      </w:r>
      <w:r w:rsidR="004E215B">
        <w:rPr>
          <w:i/>
          <w:iCs/>
          <w:color w:val="000000" w:themeColor="text1"/>
        </w:rPr>
        <w:t>riḥla</w:t>
      </w:r>
      <w:r w:rsidR="004E215B">
        <w:rPr>
          <w:color w:val="000000" w:themeColor="text1"/>
        </w:rPr>
        <w:t xml:space="preserve"> is, generally speaking, </w:t>
      </w:r>
      <w:r w:rsidR="005F6868">
        <w:rPr>
          <w:color w:val="000000" w:themeColor="text1"/>
        </w:rPr>
        <w:t xml:space="preserve">meant to be </w:t>
      </w:r>
      <w:r w:rsidR="004E215B">
        <w:rPr>
          <w:color w:val="000000" w:themeColor="text1"/>
        </w:rPr>
        <w:t>descriptive, and he</w:t>
      </w:r>
      <w:r w:rsidR="00A02544">
        <w:rPr>
          <w:color w:val="000000" w:themeColor="text1"/>
        </w:rPr>
        <w:t xml:space="preserve"> does not </w:t>
      </w:r>
      <w:r w:rsidR="004E215B">
        <w:rPr>
          <w:color w:val="000000" w:themeColor="text1"/>
        </w:rPr>
        <w:t>advance</w:t>
      </w:r>
      <w:r w:rsidR="00A02544">
        <w:rPr>
          <w:color w:val="000000" w:themeColor="text1"/>
        </w:rPr>
        <w:t xml:space="preserve"> a cohesive political messag</w:t>
      </w:r>
      <w:r w:rsidR="004E215B">
        <w:rPr>
          <w:color w:val="000000" w:themeColor="text1"/>
        </w:rPr>
        <w:t>e</w:t>
      </w:r>
      <w:r w:rsidR="005F6868">
        <w:rPr>
          <w:color w:val="000000" w:themeColor="text1"/>
        </w:rPr>
        <w:t xml:space="preserve"> throughout the work</w:t>
      </w:r>
      <w:r w:rsidR="004E215B">
        <w:rPr>
          <w:color w:val="000000" w:themeColor="text1"/>
        </w:rPr>
        <w:t xml:space="preserve">.  </w:t>
      </w:r>
      <w:r w:rsidR="00A02544">
        <w:rPr>
          <w:color w:val="000000" w:themeColor="text1"/>
        </w:rPr>
        <w:t>By contrast</w:t>
      </w:r>
      <w:r w:rsidR="00EF25B7">
        <w:rPr>
          <w:color w:val="000000" w:themeColor="text1"/>
        </w:rPr>
        <w:t xml:space="preserve">, al-Tahtawi’s </w:t>
      </w:r>
      <w:r w:rsidR="00EF25B7">
        <w:rPr>
          <w:i/>
          <w:iCs/>
          <w:color w:val="000000" w:themeColor="text1"/>
        </w:rPr>
        <w:t>Taklhis</w:t>
      </w:r>
      <w:r w:rsidR="00EF25B7">
        <w:rPr>
          <w:color w:val="000000" w:themeColor="text1"/>
        </w:rPr>
        <w:t xml:space="preserve"> carries through it a consistent </w:t>
      </w:r>
      <w:r w:rsidR="004E215B">
        <w:rPr>
          <w:color w:val="000000" w:themeColor="text1"/>
        </w:rPr>
        <w:t>critical</w:t>
      </w:r>
      <w:r w:rsidR="005F6868">
        <w:rPr>
          <w:color w:val="000000" w:themeColor="text1"/>
        </w:rPr>
        <w:t>,</w:t>
      </w:r>
      <w:r w:rsidR="004E215B">
        <w:rPr>
          <w:color w:val="000000" w:themeColor="text1"/>
        </w:rPr>
        <w:t xml:space="preserve"> </w:t>
      </w:r>
      <w:r w:rsidR="00EF25B7">
        <w:rPr>
          <w:color w:val="000000" w:themeColor="text1"/>
        </w:rPr>
        <w:t xml:space="preserve">political message.  </w:t>
      </w:r>
      <w:r w:rsidR="004E215B">
        <w:rPr>
          <w:color w:val="000000" w:themeColor="text1"/>
        </w:rPr>
        <w:t>Additionally</w:t>
      </w:r>
      <w:r w:rsidR="008B63DA">
        <w:rPr>
          <w:color w:val="000000" w:themeColor="text1"/>
        </w:rPr>
        <w:t xml:space="preserve">, </w:t>
      </w:r>
      <w:r w:rsidR="009E1D4B">
        <w:rPr>
          <w:color w:val="000000" w:themeColor="text1"/>
        </w:rPr>
        <w:t xml:space="preserve">it would be wrong to assume that the </w:t>
      </w:r>
      <w:r w:rsidR="009E1D4B">
        <w:rPr>
          <w:i/>
          <w:iCs/>
          <w:color w:val="000000" w:themeColor="text1"/>
        </w:rPr>
        <w:t xml:space="preserve">Taklhis </w:t>
      </w:r>
      <w:r w:rsidR="009E1D4B">
        <w:rPr>
          <w:color w:val="000000" w:themeColor="text1"/>
        </w:rPr>
        <w:t xml:space="preserve">is a </w:t>
      </w:r>
      <w:r w:rsidR="009E1D4B">
        <w:rPr>
          <w:i/>
          <w:iCs/>
          <w:color w:val="000000" w:themeColor="text1"/>
        </w:rPr>
        <w:t>riḥla</w:t>
      </w:r>
      <w:r w:rsidR="009E1D4B">
        <w:rPr>
          <w:color w:val="000000" w:themeColor="text1"/>
        </w:rPr>
        <w:t xml:space="preserve"> because</w:t>
      </w:r>
      <w:r w:rsidR="009E1D4B">
        <w:rPr>
          <w:i/>
          <w:iCs/>
          <w:color w:val="000000" w:themeColor="text1"/>
        </w:rPr>
        <w:t xml:space="preserve"> </w:t>
      </w:r>
      <w:r w:rsidR="008B63DA">
        <w:rPr>
          <w:color w:val="000000" w:themeColor="text1"/>
        </w:rPr>
        <w:t>al-Tahtawi</w:t>
      </w:r>
      <w:r w:rsidR="00FA6222" w:rsidRPr="00606B72">
        <w:rPr>
          <w:color w:val="000000" w:themeColor="text1"/>
        </w:rPr>
        <w:t xml:space="preserve"> </w:t>
      </w:r>
      <w:r w:rsidR="009E1D4B">
        <w:rPr>
          <w:color w:val="000000" w:themeColor="text1"/>
        </w:rPr>
        <w:t xml:space="preserve">himself </w:t>
      </w:r>
      <w:r w:rsidR="00B07CB1" w:rsidRPr="00606B72">
        <w:rPr>
          <w:color w:val="000000" w:themeColor="text1"/>
        </w:rPr>
        <w:t>explicitly</w:t>
      </w:r>
      <w:r w:rsidR="00FA6222" w:rsidRPr="00606B72">
        <w:rPr>
          <w:color w:val="000000" w:themeColor="text1"/>
        </w:rPr>
        <w:t xml:space="preserve"> notes </w:t>
      </w:r>
      <w:r w:rsidR="0098072B" w:rsidRPr="00606B72">
        <w:rPr>
          <w:color w:val="000000" w:themeColor="text1"/>
        </w:rPr>
        <w:t xml:space="preserve">that his analyses of the European sciences and philosophies go beyond the scope of pure </w:t>
      </w:r>
      <w:r w:rsidR="0098072B" w:rsidRPr="00606B72">
        <w:rPr>
          <w:i/>
          <w:iCs/>
          <w:color w:val="000000" w:themeColor="text1"/>
        </w:rPr>
        <w:t>riḥla</w:t>
      </w:r>
      <w:r w:rsidR="0098072B" w:rsidRPr="00606B72">
        <w:rPr>
          <w:color w:val="000000" w:themeColor="text1"/>
        </w:rPr>
        <w:t xml:space="preserve">: “This short </w:t>
      </w:r>
      <w:r w:rsidR="0098072B" w:rsidRPr="00606B72">
        <w:rPr>
          <w:i/>
          <w:iCs/>
          <w:color w:val="000000" w:themeColor="text1"/>
        </w:rPr>
        <w:t>riḥla</w:t>
      </w:r>
      <w:r w:rsidR="0098072B" w:rsidRPr="00606B72">
        <w:rPr>
          <w:color w:val="000000" w:themeColor="text1"/>
        </w:rPr>
        <w:t xml:space="preserve"> is not just an account of the journey and its events; rather, it also includes its fruits and goals.  It also contains a short exposé on the sought-after sciences and skills, presented in the way that the Franks use to record, conceive, and establish them”</w:t>
      </w:r>
      <w:r w:rsidR="001C32A8" w:rsidRPr="00606B72">
        <w:rPr>
          <w:color w:val="000000" w:themeColor="text1"/>
        </w:rPr>
        <w:t xml:space="preserve"> (2011</w:t>
      </w:r>
      <w:r w:rsidR="003703DB">
        <w:rPr>
          <w:color w:val="000000" w:themeColor="text1"/>
        </w:rPr>
        <w:t>:</w:t>
      </w:r>
      <w:r w:rsidR="001C32A8" w:rsidRPr="00606B72">
        <w:rPr>
          <w:color w:val="000000" w:themeColor="text1"/>
        </w:rPr>
        <w:t xml:space="preserve"> 106).</w:t>
      </w:r>
      <w:r w:rsidR="0098072B" w:rsidRPr="00606B72">
        <w:rPr>
          <w:color w:val="000000" w:themeColor="text1"/>
        </w:rPr>
        <w:t xml:space="preserve">  The “fruits and goals” that al-</w:t>
      </w:r>
      <w:r w:rsidR="00BF1E7C" w:rsidRPr="00606B72">
        <w:rPr>
          <w:color w:val="000000" w:themeColor="text1"/>
        </w:rPr>
        <w:t>Tahtawi</w:t>
      </w:r>
      <w:r w:rsidR="0098072B" w:rsidRPr="00606B72">
        <w:rPr>
          <w:color w:val="000000" w:themeColor="text1"/>
        </w:rPr>
        <w:t xml:space="preserve"> here describes are, I </w:t>
      </w:r>
      <w:r w:rsidR="008E317A" w:rsidRPr="00606B72">
        <w:rPr>
          <w:color w:val="000000" w:themeColor="text1"/>
        </w:rPr>
        <w:t>argue</w:t>
      </w:r>
      <w:r w:rsidR="0098072B" w:rsidRPr="00606B72">
        <w:rPr>
          <w:color w:val="000000" w:themeColor="text1"/>
        </w:rPr>
        <w:t xml:space="preserve">, moments of </w:t>
      </w:r>
      <w:r w:rsidR="0098072B" w:rsidRPr="00606B72">
        <w:rPr>
          <w:i/>
          <w:iCs/>
          <w:color w:val="000000" w:themeColor="text1"/>
        </w:rPr>
        <w:t>naṣīḥa</w:t>
      </w:r>
      <w:r w:rsidR="0098072B" w:rsidRPr="00606B72">
        <w:rPr>
          <w:color w:val="000000" w:themeColor="text1"/>
        </w:rPr>
        <w:t xml:space="preserve">, the “pure gold” </w:t>
      </w:r>
      <w:r w:rsidR="00CE3B18">
        <w:rPr>
          <w:color w:val="000000" w:themeColor="text1"/>
        </w:rPr>
        <w:t xml:space="preserve">that are referred to in the subtitle of the work (“The Extraction of Pure Gold from a Summary of Paris), and </w:t>
      </w:r>
      <w:r w:rsidR="0098072B" w:rsidRPr="00606B72">
        <w:rPr>
          <w:color w:val="000000" w:themeColor="text1"/>
        </w:rPr>
        <w:t>which al-</w:t>
      </w:r>
      <w:r w:rsidR="00BF1E7C" w:rsidRPr="00606B72">
        <w:rPr>
          <w:color w:val="000000" w:themeColor="text1"/>
        </w:rPr>
        <w:t>Tahtawi</w:t>
      </w:r>
      <w:r w:rsidR="0098072B" w:rsidRPr="00606B72">
        <w:rPr>
          <w:color w:val="000000" w:themeColor="text1"/>
        </w:rPr>
        <w:t xml:space="preserve"> is presenting as a gift to his patron, </w:t>
      </w:r>
      <w:r w:rsidR="00BF1E7C" w:rsidRPr="00606B72">
        <w:rPr>
          <w:color w:val="000000" w:themeColor="text1"/>
        </w:rPr>
        <w:t>Muhammad</w:t>
      </w:r>
      <w:r w:rsidR="0098072B" w:rsidRPr="00606B72">
        <w:rPr>
          <w:color w:val="000000" w:themeColor="text1"/>
        </w:rPr>
        <w:t xml:space="preserve"> </w:t>
      </w:r>
      <w:r w:rsidR="00B55454" w:rsidRPr="00606B72">
        <w:rPr>
          <w:color w:val="000000" w:themeColor="text1"/>
        </w:rPr>
        <w:t>ʿ</w:t>
      </w:r>
      <w:r w:rsidR="0098072B" w:rsidRPr="00606B72">
        <w:rPr>
          <w:color w:val="000000" w:themeColor="text1"/>
        </w:rPr>
        <w:t xml:space="preserve">Ali.  </w:t>
      </w:r>
    </w:p>
    <w:p w14:paraId="1325E00B" w14:textId="20DD048E" w:rsidR="00113D7A" w:rsidRPr="00606B72" w:rsidRDefault="00BC574A" w:rsidP="004A67D5">
      <w:pPr>
        <w:spacing w:before="240" w:after="240" w:line="480" w:lineRule="auto"/>
        <w:jc w:val="center"/>
        <w:rPr>
          <w:u w:val="single"/>
        </w:rPr>
      </w:pPr>
      <w:r w:rsidRPr="00606B72">
        <w:rPr>
          <w:u w:val="single"/>
        </w:rPr>
        <w:t>Al-Tahtawi</w:t>
      </w:r>
      <w:r w:rsidR="004A67D5" w:rsidRPr="00606B72">
        <w:rPr>
          <w:u w:val="single"/>
        </w:rPr>
        <w:t xml:space="preserve">’s </w:t>
      </w:r>
      <w:r w:rsidR="00CA539A" w:rsidRPr="00606B72">
        <w:rPr>
          <w:u w:val="single"/>
        </w:rPr>
        <w:t>Counsel</w:t>
      </w:r>
      <w:r w:rsidR="00C946BA" w:rsidRPr="00606B72">
        <w:rPr>
          <w:u w:val="single"/>
        </w:rPr>
        <w:t xml:space="preserve">: the </w:t>
      </w:r>
      <w:r w:rsidR="00C946BA" w:rsidRPr="00606B72">
        <w:rPr>
          <w:i/>
          <w:iCs/>
          <w:u w:val="single"/>
        </w:rPr>
        <w:t xml:space="preserve">Naṣīḥa </w:t>
      </w:r>
      <w:r w:rsidR="00CA539A" w:rsidRPr="00606B72">
        <w:rPr>
          <w:u w:val="single"/>
        </w:rPr>
        <w:t>within</w:t>
      </w:r>
      <w:r w:rsidR="00C946BA" w:rsidRPr="00606B72">
        <w:rPr>
          <w:u w:val="single"/>
        </w:rPr>
        <w:t xml:space="preserve"> the </w:t>
      </w:r>
      <w:r w:rsidR="009D3A7C">
        <w:rPr>
          <w:i/>
          <w:iCs/>
          <w:u w:val="single"/>
        </w:rPr>
        <w:t>Takhlis</w:t>
      </w:r>
    </w:p>
    <w:p w14:paraId="504A6518" w14:textId="4886D0A1" w:rsidR="006100EB" w:rsidRPr="00606B72" w:rsidRDefault="00833313" w:rsidP="00365555">
      <w:pPr>
        <w:spacing w:line="480" w:lineRule="auto"/>
        <w:ind w:firstLine="720"/>
      </w:pPr>
      <w:r>
        <w:lastRenderedPageBreak/>
        <w:t xml:space="preserve">Given that al-Tahtawi engages in recognizable </w:t>
      </w:r>
      <w:r w:rsidRPr="00606B72">
        <w:t xml:space="preserve">characteristics of </w:t>
      </w:r>
      <w:r w:rsidRPr="00606B72">
        <w:rPr>
          <w:i/>
          <w:iCs/>
        </w:rPr>
        <w:t xml:space="preserve">naṣīḥa </w:t>
      </w:r>
      <w:r w:rsidRPr="00606B72">
        <w:t xml:space="preserve">in the </w:t>
      </w:r>
      <w:r>
        <w:rPr>
          <w:i/>
          <w:iCs/>
        </w:rPr>
        <w:t>Takhlis</w:t>
      </w:r>
      <w:r>
        <w:t>, and k</w:t>
      </w:r>
      <w:r w:rsidR="004F2A43" w:rsidRPr="00606B72">
        <w:t xml:space="preserve">eeping in mind Asad’s argument </w:t>
      </w:r>
      <w:r w:rsidR="00E37BFB" w:rsidRPr="00606B72">
        <w:t xml:space="preserve">that </w:t>
      </w:r>
      <w:r w:rsidR="00E37BFB" w:rsidRPr="00606B72">
        <w:rPr>
          <w:i/>
          <w:iCs/>
        </w:rPr>
        <w:t>naṣīḥa</w:t>
      </w:r>
      <w:r w:rsidR="00E37BFB" w:rsidRPr="00606B72">
        <w:t xml:space="preserve"> </w:t>
      </w:r>
      <w:r w:rsidR="0062081B" w:rsidRPr="00606B72">
        <w:t>can</w:t>
      </w:r>
      <w:r w:rsidR="00E37BFB" w:rsidRPr="00606B72">
        <w:t xml:space="preserve"> be understood as an attempt at a definition of Islam, I now turn to the content </w:t>
      </w:r>
      <w:r w:rsidR="00F94FF2" w:rsidRPr="00606B72">
        <w:t xml:space="preserve">of the </w:t>
      </w:r>
      <w:r w:rsidR="00BF1E7C" w:rsidRPr="00606B72">
        <w:rPr>
          <w:i/>
          <w:iCs/>
        </w:rPr>
        <w:t>Takhlis</w:t>
      </w:r>
      <w:r w:rsidR="00F94FF2" w:rsidRPr="00606B72">
        <w:rPr>
          <w:i/>
          <w:iCs/>
        </w:rPr>
        <w:t xml:space="preserve"> </w:t>
      </w:r>
      <w:r w:rsidR="00E37BFB" w:rsidRPr="00606B72">
        <w:t xml:space="preserve">in order to clarify </w:t>
      </w:r>
      <w:r w:rsidR="00BC574A" w:rsidRPr="00606B72">
        <w:t>al-Tahtawi</w:t>
      </w:r>
      <w:r w:rsidR="00F94FF2" w:rsidRPr="00606B72">
        <w:t>’s</w:t>
      </w:r>
      <w:r w:rsidR="00E37BFB" w:rsidRPr="00606B72">
        <w:t xml:space="preserve"> particular articulation of Islam.  </w:t>
      </w:r>
      <w:r w:rsidR="00F94FF2" w:rsidRPr="00606B72">
        <w:t>The text</w:t>
      </w:r>
      <w:r w:rsidR="00C246A1" w:rsidRPr="00606B72">
        <w:t xml:space="preserve"> focuses</w:t>
      </w:r>
      <w:r w:rsidR="00F94FF2" w:rsidRPr="00606B72">
        <w:t xml:space="preserve">, primarily, </w:t>
      </w:r>
      <w:r w:rsidR="00C246A1" w:rsidRPr="00606B72">
        <w:t xml:space="preserve">on the lack of sciences and practical </w:t>
      </w:r>
      <w:r w:rsidR="00CF1B9C" w:rsidRPr="00606B72">
        <w:t>technologies</w:t>
      </w:r>
      <w:r w:rsidR="00C246A1" w:rsidRPr="00606B72">
        <w:t xml:space="preserve"> in Egypt.</w:t>
      </w:r>
      <w:r w:rsidR="004F2A43" w:rsidRPr="00606B72">
        <w:t xml:space="preserve">  </w:t>
      </w:r>
      <w:r w:rsidR="00BC574A" w:rsidRPr="00606B72">
        <w:t>Al-Tahtawi</w:t>
      </w:r>
      <w:r w:rsidR="004F2A43" w:rsidRPr="00606B72">
        <w:t xml:space="preserve"> </w:t>
      </w:r>
      <w:r w:rsidR="00C246A1" w:rsidRPr="00606B72">
        <w:t xml:space="preserve">suggests that the comparative disadvantage of </w:t>
      </w:r>
      <w:r w:rsidR="00721103">
        <w:t>the Ottoman Empire</w:t>
      </w:r>
      <w:r w:rsidR="00C246A1" w:rsidRPr="00606B72">
        <w:t xml:space="preserve"> in this regard is due to its focus on the religious sciences, specifically </w:t>
      </w:r>
      <w:r w:rsidR="00C246A1" w:rsidRPr="00606B72">
        <w:rPr>
          <w:i/>
          <w:iCs/>
        </w:rPr>
        <w:t>fiqh</w:t>
      </w:r>
      <w:r w:rsidR="00C246A1" w:rsidRPr="00606B72">
        <w:t xml:space="preserve"> (Islamic jurisprudence), at the expense of the other sciences.  </w:t>
      </w:r>
      <w:r w:rsidR="009D26E9" w:rsidRPr="00606B72">
        <w:t xml:space="preserve">It is this comparative advantage that worries al-Tahtawi, as it leaves the Ottoman Empire at the mercy of Europe’s </w:t>
      </w:r>
      <w:r w:rsidR="00E12763">
        <w:t>military and cultural might</w:t>
      </w:r>
      <w:r w:rsidR="009D26E9" w:rsidRPr="00606B72">
        <w:t xml:space="preserve">.  </w:t>
      </w:r>
      <w:r w:rsidR="006100EB" w:rsidRPr="00606B72">
        <w:t xml:space="preserve">Thus, we can understand </w:t>
      </w:r>
      <w:r w:rsidR="00BC574A" w:rsidRPr="00606B72">
        <w:t>al-Tahtawi</w:t>
      </w:r>
      <w:r w:rsidR="006100EB" w:rsidRPr="00606B72">
        <w:t xml:space="preserve"> to be directing his </w:t>
      </w:r>
      <w:r w:rsidR="006100EB" w:rsidRPr="00606B72">
        <w:rPr>
          <w:i/>
          <w:iCs/>
        </w:rPr>
        <w:t>naṣīḥa</w:t>
      </w:r>
      <w:r w:rsidR="001B5689" w:rsidRPr="00606B72">
        <w:t xml:space="preserve"> on </w:t>
      </w:r>
      <w:r w:rsidR="006100EB" w:rsidRPr="00606B72">
        <w:t>the one hand</w:t>
      </w:r>
      <w:r w:rsidR="001B5689" w:rsidRPr="00606B72">
        <w:t xml:space="preserve"> to</w:t>
      </w:r>
      <w:r w:rsidR="006100EB" w:rsidRPr="00606B72">
        <w:t xml:space="preserve"> </w:t>
      </w:r>
      <w:r w:rsidR="00BF1E7C" w:rsidRPr="00606B72">
        <w:t>Muhammad</w:t>
      </w:r>
      <w:r w:rsidR="006100EB" w:rsidRPr="00606B72">
        <w:t xml:space="preserve"> </w:t>
      </w:r>
      <w:r w:rsidR="00F64267" w:rsidRPr="00606B72">
        <w:t>ʿ</w:t>
      </w:r>
      <w:r w:rsidR="006100EB" w:rsidRPr="00606B72">
        <w:t>Ali, who could be convinced to invest more public money in the sciences, but on the other ha</w:t>
      </w:r>
      <w:r w:rsidR="00E81DE5" w:rsidRPr="00606B72">
        <w:t>nd to</w:t>
      </w:r>
      <w:r w:rsidR="006100EB" w:rsidRPr="00606B72">
        <w:t xml:space="preserve"> the conservative members of the </w:t>
      </w:r>
      <w:r w:rsidR="001305C3" w:rsidRPr="00606B72">
        <w:t>ʿ</w:t>
      </w:r>
      <w:r w:rsidR="006100EB" w:rsidRPr="00606B72">
        <w:t>ulam</w:t>
      </w:r>
      <w:r w:rsidR="00BF1E7C" w:rsidRPr="00606B72">
        <w:t>a</w:t>
      </w:r>
      <w:r w:rsidR="001305C3" w:rsidRPr="00606B72">
        <w:t>ʾ</w:t>
      </w:r>
      <w:r w:rsidR="006100EB" w:rsidRPr="00606B72">
        <w:t>, who al-</w:t>
      </w:r>
      <w:r w:rsidR="00BF1E7C" w:rsidRPr="00606B72">
        <w:t>Tahtawi</w:t>
      </w:r>
      <w:r w:rsidR="006100EB" w:rsidRPr="00606B72">
        <w:t xml:space="preserve"> hopes to convince that the sciences, even those that are “foreign,” are not diametrically opposed to Islam</w:t>
      </w:r>
      <w:r w:rsidR="00E81DE5" w:rsidRPr="00606B72">
        <w:t xml:space="preserve"> and thus a threat</w:t>
      </w:r>
      <w:r w:rsidR="006100EB" w:rsidRPr="00606B72">
        <w:t xml:space="preserve">.  </w:t>
      </w:r>
    </w:p>
    <w:p w14:paraId="045EEDCA" w14:textId="60AE6B74" w:rsidR="00C246A1" w:rsidRPr="00606B72" w:rsidRDefault="00BC574A" w:rsidP="006100EB">
      <w:pPr>
        <w:spacing w:line="480" w:lineRule="auto"/>
        <w:ind w:firstLine="720"/>
      </w:pPr>
      <w:r w:rsidRPr="00606B72">
        <w:t>Al-Tahtawi</w:t>
      </w:r>
      <w:r w:rsidR="00C246A1" w:rsidRPr="00606B72">
        <w:t xml:space="preserve"> begins his description of the people of Paris by noting their love of science</w:t>
      </w:r>
      <w:r w:rsidR="00710FB1" w:rsidRPr="00606B72">
        <w:t xml:space="preserve">, and </w:t>
      </w:r>
      <w:r w:rsidR="00A939EB" w:rsidRPr="00606B72">
        <w:t>claiming</w:t>
      </w:r>
      <w:r w:rsidR="00710FB1" w:rsidRPr="00606B72">
        <w:t xml:space="preserve"> that </w:t>
      </w:r>
      <w:r w:rsidR="00C246A1" w:rsidRPr="00606B72">
        <w:t>“they are in no ways prisoners of tradition.  Rather, they wish to always know the origin of things, while seeking proof to support it”</w:t>
      </w:r>
      <w:r w:rsidR="007550B7" w:rsidRPr="00606B72">
        <w:t xml:space="preserve"> (2011</w:t>
      </w:r>
      <w:r w:rsidR="00D64283">
        <w:t>:</w:t>
      </w:r>
      <w:r w:rsidR="007550B7" w:rsidRPr="00606B72">
        <w:t xml:space="preserve"> 177).</w:t>
      </w:r>
      <w:r w:rsidR="00C246A1" w:rsidRPr="00606B72">
        <w:t xml:space="preserve">  This implicit critique of the </w:t>
      </w:r>
      <w:r w:rsidR="00D552A1" w:rsidRPr="00606B72">
        <w:t>ʿ</w:t>
      </w:r>
      <w:r w:rsidR="00C246A1" w:rsidRPr="00606B72">
        <w:t>ulam</w:t>
      </w:r>
      <w:r w:rsidR="00BF1E7C" w:rsidRPr="00606B72">
        <w:t>a</w:t>
      </w:r>
      <w:r w:rsidR="00D552A1" w:rsidRPr="00606B72">
        <w:t>ʾ</w:t>
      </w:r>
      <w:r w:rsidR="00EC3C28" w:rsidRPr="00606B72">
        <w:t xml:space="preserve"> and their exclusive concern with abstract</w:t>
      </w:r>
      <w:r w:rsidR="00A939EB" w:rsidRPr="00606B72">
        <w:t xml:space="preserve">, </w:t>
      </w:r>
      <w:r w:rsidR="006E6DB0" w:rsidRPr="00606B72">
        <w:t>esoteric</w:t>
      </w:r>
      <w:r w:rsidR="00EC3C28" w:rsidRPr="00606B72">
        <w:t xml:space="preserve"> religious questions</w:t>
      </w:r>
      <w:r w:rsidR="005456E8" w:rsidRPr="00606B72">
        <w:t xml:space="preserve"> </w:t>
      </w:r>
      <w:r w:rsidR="00C246A1" w:rsidRPr="00606B72">
        <w:t xml:space="preserve">becomes more explicit in a </w:t>
      </w:r>
      <w:r w:rsidR="00D06E85" w:rsidRPr="00606B72">
        <w:t>passage</w:t>
      </w:r>
      <w:r w:rsidR="00C246A1" w:rsidRPr="00606B72">
        <w:t xml:space="preserve"> in which </w:t>
      </w:r>
      <w:r w:rsidRPr="00606B72">
        <w:t>al-Tahtawi</w:t>
      </w:r>
      <w:r w:rsidR="00C246A1" w:rsidRPr="00606B72">
        <w:t xml:space="preserve"> discusses the differences between scholars and priests in France.  According to </w:t>
      </w:r>
      <w:r w:rsidRPr="00606B72">
        <w:t>al-Tahtawi</w:t>
      </w:r>
      <w:r w:rsidR="00C246A1" w:rsidRPr="00606B72">
        <w:t>, in France, “when one talks of learned men, this refers to people who have a knowledge of the rational sciences, since their scholars are not very conversant with the branches of Christian theology.  If in France people say, ‘this is a learned man,’ they do not mean by this that he is knowledgeable about his religion, rather that he has knowledge of one of the other sciences</w:t>
      </w:r>
      <w:r w:rsidR="007550B7" w:rsidRPr="00606B72">
        <w:t>” (2011</w:t>
      </w:r>
      <w:r w:rsidR="00627395">
        <w:t>:</w:t>
      </w:r>
      <w:r w:rsidR="007550B7" w:rsidRPr="00606B72">
        <w:t xml:space="preserve"> 259).</w:t>
      </w:r>
      <w:r w:rsidR="00C246A1" w:rsidRPr="00606B72">
        <w:t xml:space="preserve">  The division between priests and scholars </w:t>
      </w:r>
      <w:r w:rsidR="00C246A1" w:rsidRPr="00606B72">
        <w:lastRenderedPageBreak/>
        <w:t xml:space="preserve">is significant because the term “scholar” in Egypt would </w:t>
      </w:r>
      <w:r w:rsidR="005A1922" w:rsidRPr="00606B72">
        <w:t xml:space="preserve">traditionally </w:t>
      </w:r>
      <w:r w:rsidR="00C246A1" w:rsidRPr="00606B72">
        <w:t xml:space="preserve">refer to the </w:t>
      </w:r>
      <w:r w:rsidR="00B35B21" w:rsidRPr="00606B72">
        <w:t>ʿ</w:t>
      </w:r>
      <w:r w:rsidR="00C246A1" w:rsidRPr="00606B72">
        <w:t>ulam</w:t>
      </w:r>
      <w:r w:rsidR="00BF1E7C" w:rsidRPr="00606B72">
        <w:t>a</w:t>
      </w:r>
      <w:r w:rsidR="00B35B21" w:rsidRPr="00606B72">
        <w:t>ʾ</w:t>
      </w:r>
      <w:r w:rsidR="00C246A1" w:rsidRPr="00606B72">
        <w:t xml:space="preserve"> who explicitly avoid studying the rational sciences.  The implication, then, </w:t>
      </w:r>
      <w:r w:rsidR="00D71A65" w:rsidRPr="00606B72">
        <w:t xml:space="preserve">is </w:t>
      </w:r>
      <w:r w:rsidR="00C246A1" w:rsidRPr="00606B72">
        <w:t xml:space="preserve">that the </w:t>
      </w:r>
      <w:r w:rsidR="00B35B21" w:rsidRPr="00606B72">
        <w:t>ʿ</w:t>
      </w:r>
      <w:r w:rsidR="00C246A1" w:rsidRPr="00606B72">
        <w:t>ulam</w:t>
      </w:r>
      <w:r w:rsidR="00BF1E7C" w:rsidRPr="00606B72">
        <w:t>a</w:t>
      </w:r>
      <w:r w:rsidR="00B35B21" w:rsidRPr="00606B72">
        <w:t>ʾ</w:t>
      </w:r>
      <w:r w:rsidR="00E92E2C" w:rsidRPr="00606B72">
        <w:t>, by French standards,</w:t>
      </w:r>
      <w:r w:rsidR="00C246A1" w:rsidRPr="00606B72">
        <w:t xml:space="preserve"> are not true scholars and</w:t>
      </w:r>
      <w:r w:rsidR="00E92E2C" w:rsidRPr="00606B72">
        <w:t xml:space="preserve"> do</w:t>
      </w:r>
      <w:r w:rsidR="00C246A1" w:rsidRPr="00606B72">
        <w:t xml:space="preserve"> not even count as “learned men.” </w:t>
      </w:r>
    </w:p>
    <w:p w14:paraId="48D5020C" w14:textId="42D3BBFD" w:rsidR="00C246A1" w:rsidRPr="00606B72" w:rsidRDefault="00C246A1" w:rsidP="00E226BE">
      <w:pPr>
        <w:spacing w:line="480" w:lineRule="auto"/>
      </w:pPr>
      <w:r w:rsidRPr="00606B72">
        <w:rPr>
          <w:color w:val="000000" w:themeColor="text1"/>
        </w:rPr>
        <w:tab/>
      </w:r>
      <w:r w:rsidR="00BC574A" w:rsidRPr="00606B72">
        <w:rPr>
          <w:color w:val="000000" w:themeColor="text1"/>
        </w:rPr>
        <w:t>Al-Tahtawi</w:t>
      </w:r>
      <w:r w:rsidR="00BC2952" w:rsidRPr="00606B72">
        <w:rPr>
          <w:color w:val="000000" w:themeColor="text1"/>
        </w:rPr>
        <w:t xml:space="preserve">’s criticism of the </w:t>
      </w:r>
      <w:r w:rsidR="00EF1B2B" w:rsidRPr="00606B72">
        <w:rPr>
          <w:color w:val="000000" w:themeColor="text1"/>
        </w:rPr>
        <w:t>ʿ</w:t>
      </w:r>
      <w:r w:rsidR="00BC2952" w:rsidRPr="00606B72">
        <w:rPr>
          <w:color w:val="000000" w:themeColor="text1"/>
        </w:rPr>
        <w:t>ulam</w:t>
      </w:r>
      <w:r w:rsidR="00BF1E7C" w:rsidRPr="00606B72">
        <w:rPr>
          <w:color w:val="000000" w:themeColor="text1"/>
        </w:rPr>
        <w:t>a</w:t>
      </w:r>
      <w:r w:rsidR="00EF1B2B" w:rsidRPr="00606B72">
        <w:rPr>
          <w:color w:val="000000" w:themeColor="text1"/>
        </w:rPr>
        <w:t>ʾ</w:t>
      </w:r>
      <w:r w:rsidR="00BC2952" w:rsidRPr="00606B72">
        <w:rPr>
          <w:color w:val="000000" w:themeColor="text1"/>
        </w:rPr>
        <w:t>, however,</w:t>
      </w:r>
      <w:r w:rsidR="00E226BE" w:rsidRPr="00606B72">
        <w:rPr>
          <w:color w:val="000000" w:themeColor="text1"/>
        </w:rPr>
        <w:t xml:space="preserve"> should not be taken to mean that he was </w:t>
      </w:r>
      <w:r w:rsidR="00A71833" w:rsidRPr="00606B72">
        <w:rPr>
          <w:color w:val="000000" w:themeColor="text1"/>
        </w:rPr>
        <w:t xml:space="preserve">an </w:t>
      </w:r>
      <w:r w:rsidRPr="00606B72">
        <w:t xml:space="preserve">adversary </w:t>
      </w:r>
      <w:r w:rsidR="00E226BE" w:rsidRPr="00606B72">
        <w:t xml:space="preserve">of </w:t>
      </w:r>
      <w:r w:rsidRPr="00606B72">
        <w:t xml:space="preserve">Islam </w:t>
      </w:r>
      <w:r w:rsidR="007B3E35" w:rsidRPr="00606B72">
        <w:t xml:space="preserve">as a </w:t>
      </w:r>
      <w:r w:rsidR="00E226BE" w:rsidRPr="00606B72">
        <w:t xml:space="preserve">whole.  Indeed, he </w:t>
      </w:r>
      <w:r w:rsidRPr="00606B72">
        <w:t>dedicates</w:t>
      </w:r>
      <w:r w:rsidR="00E226BE" w:rsidRPr="00606B72">
        <w:t xml:space="preserve"> a great deal </w:t>
      </w:r>
      <w:r w:rsidRPr="00606B72">
        <w:t xml:space="preserve">of the text to proving his religious </w:t>
      </w:r>
      <w:r w:rsidRPr="00606B72">
        <w:rPr>
          <w:i/>
          <w:iCs/>
        </w:rPr>
        <w:t>bona fides</w:t>
      </w:r>
      <w:r w:rsidRPr="00606B72">
        <w:t xml:space="preserve">.  </w:t>
      </w:r>
      <w:r w:rsidR="00E226BE" w:rsidRPr="00606B72">
        <w:t xml:space="preserve">The </w:t>
      </w:r>
      <w:r w:rsidR="00447D56" w:rsidRPr="00606B72">
        <w:t>criticism of the</w:t>
      </w:r>
      <w:r w:rsidR="00EC1423" w:rsidRPr="00606B72">
        <w:t xml:space="preserve"> </w:t>
      </w:r>
      <w:r w:rsidR="001A407E" w:rsidRPr="00606B72">
        <w:t>ʿ</w:t>
      </w:r>
      <w:r w:rsidR="00447D56" w:rsidRPr="00606B72">
        <w:t>ulam</w:t>
      </w:r>
      <w:r w:rsidR="00BF1E7C" w:rsidRPr="00606B72">
        <w:t>a</w:t>
      </w:r>
      <w:r w:rsidR="001A407E" w:rsidRPr="00606B72">
        <w:t>ʾ</w:t>
      </w:r>
      <w:r w:rsidRPr="00606B72">
        <w:t xml:space="preserve"> </w:t>
      </w:r>
      <w:r w:rsidR="00447D56" w:rsidRPr="00606B72">
        <w:t>is not d</w:t>
      </w:r>
      <w:r w:rsidR="00E226BE" w:rsidRPr="00606B72">
        <w:t xml:space="preserve">irected at </w:t>
      </w:r>
      <w:r w:rsidR="00447D56" w:rsidRPr="00606B72">
        <w:t xml:space="preserve">their </w:t>
      </w:r>
      <w:r w:rsidR="00EC1423" w:rsidRPr="00606B72">
        <w:t>virtuous dedication to the Islamic religion</w:t>
      </w:r>
      <w:r w:rsidR="00DD4A4D" w:rsidRPr="00606B72">
        <w:t xml:space="preserve">, but rather </w:t>
      </w:r>
      <w:r w:rsidR="00EC1423" w:rsidRPr="00606B72">
        <w:t>to</w:t>
      </w:r>
      <w:r w:rsidR="00DD4A4D" w:rsidRPr="00606B72">
        <w:t xml:space="preserve"> their </w:t>
      </w:r>
      <w:r w:rsidR="00EC1423" w:rsidRPr="00606B72">
        <w:t>blanket rejection of anything foreign and scientific as un-Islamic</w:t>
      </w:r>
      <w:r w:rsidR="00DD4A4D" w:rsidRPr="00606B72">
        <w:t xml:space="preserve">.  </w:t>
      </w:r>
      <w:r w:rsidR="00BC574A" w:rsidRPr="00606B72">
        <w:t>Al-Tahtawi</w:t>
      </w:r>
      <w:r w:rsidRPr="00606B72">
        <w:t xml:space="preserve"> </w:t>
      </w:r>
      <w:r w:rsidR="00E226BE" w:rsidRPr="00606B72">
        <w:t xml:space="preserve">goes to great length to stress that, </w:t>
      </w:r>
      <w:r w:rsidRPr="00606B72">
        <w:t xml:space="preserve">despite their advanced knowledge of the practical sciences, most French people are morally bankrupt </w:t>
      </w:r>
      <w:r w:rsidR="00E226BE" w:rsidRPr="00606B72">
        <w:t>precisely because of</w:t>
      </w:r>
      <w:r w:rsidRPr="00606B72">
        <w:t xml:space="preserve"> their irreligiosity.  </w:t>
      </w:r>
      <w:r w:rsidR="00E226BE" w:rsidRPr="00606B72">
        <w:t xml:space="preserve">He </w:t>
      </w:r>
      <w:r w:rsidRPr="00606B72">
        <w:t xml:space="preserve">is shocked, for example, that </w:t>
      </w:r>
      <w:r w:rsidR="00E226BE" w:rsidRPr="00606B72">
        <w:t xml:space="preserve">the </w:t>
      </w:r>
      <w:r w:rsidRPr="00606B72">
        <w:t>French “reject anything that transcends the rational,” and that they “claim that the intellect of their philosophers and physicists is greater and more perceptive than that of prophets”</w:t>
      </w:r>
      <w:r w:rsidR="00CD02AB" w:rsidRPr="00606B72">
        <w:t xml:space="preserve"> (2011</w:t>
      </w:r>
      <w:r w:rsidR="003E767D">
        <w:t>:</w:t>
      </w:r>
      <w:r w:rsidR="00CD02AB" w:rsidRPr="00606B72">
        <w:t xml:space="preserve"> 183).</w:t>
      </w:r>
      <w:r w:rsidRPr="00606B72">
        <w:t xml:space="preserve">  The French err, he argues, in the fact that they define the good, the bad, and moral principles in general </w:t>
      </w:r>
      <w:r w:rsidR="00E226BE" w:rsidRPr="00606B72">
        <w:t xml:space="preserve">on the basis of </w:t>
      </w:r>
      <w:r w:rsidRPr="00606B72">
        <w:t xml:space="preserve">reason alone rather than on divine revelation.  He includes an original poem </w:t>
      </w:r>
      <w:r w:rsidR="00BC2952" w:rsidRPr="00606B72">
        <w:rPr>
          <w:color w:val="000000" w:themeColor="text1"/>
        </w:rPr>
        <w:t>pointing to the</w:t>
      </w:r>
      <w:r w:rsidRPr="00606B72">
        <w:rPr>
          <w:color w:val="000000" w:themeColor="text1"/>
        </w:rPr>
        <w:t xml:space="preserve"> </w:t>
      </w:r>
      <w:r w:rsidR="00581022" w:rsidRPr="00606B72">
        <w:rPr>
          <w:color w:val="000000" w:themeColor="text1"/>
        </w:rPr>
        <w:t>absurdity</w:t>
      </w:r>
      <w:r w:rsidRPr="00606B72">
        <w:rPr>
          <w:color w:val="000000" w:themeColor="text1"/>
        </w:rPr>
        <w:t xml:space="preserve"> </w:t>
      </w:r>
      <w:r w:rsidRPr="00606B72">
        <w:t xml:space="preserve">that the French are so advanced in the realm of knowledge, and yet so lacking in the realm of morals and religion: </w:t>
      </w:r>
    </w:p>
    <w:p w14:paraId="2EBC71E2" w14:textId="77777777" w:rsidR="00C246A1" w:rsidRPr="00606B72" w:rsidRDefault="00C246A1" w:rsidP="00C246A1">
      <w:pPr>
        <w:ind w:left="720"/>
        <w:rPr>
          <w:i/>
          <w:iCs/>
        </w:rPr>
      </w:pPr>
      <w:r w:rsidRPr="00606B72">
        <w:rPr>
          <w:i/>
          <w:iCs/>
        </w:rPr>
        <w:t xml:space="preserve">Is there another place like </w:t>
      </w:r>
      <w:proofErr w:type="gramStart"/>
      <w:r w:rsidRPr="00606B72">
        <w:rPr>
          <w:i/>
          <w:iCs/>
        </w:rPr>
        <w:t>Paris</w:t>
      </w:r>
      <w:proofErr w:type="gramEnd"/>
    </w:p>
    <w:p w14:paraId="0E69B7AE" w14:textId="77777777" w:rsidR="00C246A1" w:rsidRPr="00606B72" w:rsidRDefault="00C246A1" w:rsidP="00C246A1">
      <w:pPr>
        <w:ind w:left="720"/>
        <w:rPr>
          <w:i/>
          <w:iCs/>
        </w:rPr>
      </w:pPr>
      <w:r w:rsidRPr="00606B72">
        <w:rPr>
          <w:i/>
          <w:iCs/>
        </w:rPr>
        <w:t>where the suns of knowledge never set</w:t>
      </w:r>
    </w:p>
    <w:p w14:paraId="08B85A1E" w14:textId="77777777" w:rsidR="00C246A1" w:rsidRPr="00606B72" w:rsidRDefault="00C246A1" w:rsidP="00C246A1">
      <w:pPr>
        <w:ind w:left="720"/>
        <w:rPr>
          <w:i/>
          <w:iCs/>
        </w:rPr>
      </w:pPr>
      <w:r w:rsidRPr="00606B72">
        <w:rPr>
          <w:i/>
          <w:iCs/>
        </w:rPr>
        <w:t xml:space="preserve">where the night of unbelief has no mornings? </w:t>
      </w:r>
    </w:p>
    <w:p w14:paraId="2365E474" w14:textId="372B1D2C" w:rsidR="00C246A1" w:rsidRPr="00606B72" w:rsidRDefault="00C246A1" w:rsidP="00C246A1">
      <w:pPr>
        <w:spacing w:line="480" w:lineRule="auto"/>
        <w:ind w:left="720"/>
      </w:pPr>
      <w:r w:rsidRPr="00606B72">
        <w:rPr>
          <w:i/>
          <w:iCs/>
        </w:rPr>
        <w:t>Forsooth, is this not the strangest of things!</w:t>
      </w:r>
      <w:r w:rsidR="00341737" w:rsidRPr="00606B72">
        <w:rPr>
          <w:i/>
          <w:iCs/>
        </w:rPr>
        <w:t xml:space="preserve"> </w:t>
      </w:r>
      <w:r w:rsidR="00341737" w:rsidRPr="00606B72">
        <w:t>(2011</w:t>
      </w:r>
      <w:r w:rsidR="00DF4C1A">
        <w:t>:</w:t>
      </w:r>
      <w:r w:rsidR="00341737" w:rsidRPr="00606B72">
        <w:t xml:space="preserve"> 256).</w:t>
      </w:r>
    </w:p>
    <w:p w14:paraId="5CAF24AD" w14:textId="77777777" w:rsidR="0096043E" w:rsidRDefault="003D1926" w:rsidP="0096043E">
      <w:pPr>
        <w:spacing w:line="480" w:lineRule="auto"/>
      </w:pPr>
      <w:r w:rsidRPr="00606B72">
        <w:t xml:space="preserve">In </w:t>
      </w:r>
      <w:r w:rsidR="007E292B" w:rsidRPr="00606B72">
        <w:t>positing multiple</w:t>
      </w:r>
      <w:r w:rsidRPr="00606B72">
        <w:t xml:space="preserve"> “suns,” </w:t>
      </w:r>
      <w:r w:rsidR="00BC574A" w:rsidRPr="00606B72">
        <w:t>al-Tahtawi</w:t>
      </w:r>
      <w:r w:rsidRPr="00606B72">
        <w:t xml:space="preserve"> </w:t>
      </w:r>
      <w:r w:rsidR="004C0C3A" w:rsidRPr="00606B72">
        <w:t xml:space="preserve">is claiming </w:t>
      </w:r>
      <w:r w:rsidRPr="00606B72">
        <w:t xml:space="preserve">that there </w:t>
      </w:r>
      <w:r w:rsidR="004C0C3A" w:rsidRPr="00606B72">
        <w:t xml:space="preserve">exist </w:t>
      </w:r>
      <w:r w:rsidR="00785189" w:rsidRPr="00606B72">
        <w:t>a variety</w:t>
      </w:r>
      <w:r w:rsidR="00540BC4" w:rsidRPr="00606B72">
        <w:t xml:space="preserve"> </w:t>
      </w:r>
      <w:r w:rsidR="004C0C3A" w:rsidRPr="00606B72">
        <w:t xml:space="preserve">of </w:t>
      </w:r>
      <w:r w:rsidR="00540BC4" w:rsidRPr="00606B72">
        <w:t>different</w:t>
      </w:r>
      <w:r w:rsidRPr="00606B72">
        <w:t xml:space="preserve"> sources of knowledge</w:t>
      </w:r>
      <w:r w:rsidR="00E226BE" w:rsidRPr="00606B72">
        <w:t>, but that a</w:t>
      </w:r>
      <w:r w:rsidR="00F0111E" w:rsidRPr="00606B72">
        <w:t>ll knowledge, regardless of its origin, is potentially moral</w:t>
      </w:r>
      <w:r w:rsidR="00E226BE" w:rsidRPr="00606B72">
        <w:t>, and that the existence of a science</w:t>
      </w:r>
      <w:r w:rsidR="00A83163" w:rsidRPr="00606B72">
        <w:t xml:space="preserve"> in the absence of a coherent moral system</w:t>
      </w:r>
      <w:r w:rsidR="00FA1D7A" w:rsidRPr="00606B72">
        <w:t xml:space="preserve"> based on the teachings of Islam</w:t>
      </w:r>
      <w:r w:rsidR="009F69F5" w:rsidRPr="00606B72">
        <w:t xml:space="preserve"> </w:t>
      </w:r>
      <w:r w:rsidR="00A83163" w:rsidRPr="00606B72">
        <w:t xml:space="preserve">is </w:t>
      </w:r>
      <w:r w:rsidR="00B036CA" w:rsidRPr="00606B72">
        <w:t xml:space="preserve">as </w:t>
      </w:r>
      <w:r w:rsidR="00A83163" w:rsidRPr="00606B72">
        <w:t>paradoxical</w:t>
      </w:r>
      <w:r w:rsidR="00B036CA" w:rsidRPr="00606B72">
        <w:t xml:space="preserve"> as </w:t>
      </w:r>
      <w:r w:rsidR="004C0C3A" w:rsidRPr="00606B72">
        <w:t xml:space="preserve">there </w:t>
      </w:r>
      <w:r w:rsidR="00B036CA" w:rsidRPr="00606B72">
        <w:t xml:space="preserve">being both night and day at the same time.  </w:t>
      </w:r>
      <w:r w:rsidR="00C2741B" w:rsidRPr="00606B72">
        <w:t>The provenance of knowledge does not make it either good or bad,</w:t>
      </w:r>
      <w:r w:rsidR="00A51309" w:rsidRPr="00606B72">
        <w:t xml:space="preserve"> but</w:t>
      </w:r>
      <w:r w:rsidR="00C2741B" w:rsidRPr="00606B72">
        <w:t xml:space="preserve"> the manner in which it is used does.  </w:t>
      </w:r>
      <w:r w:rsidR="006C03C2" w:rsidRPr="00606B72">
        <w:t>The</w:t>
      </w:r>
      <w:r w:rsidR="00FA1D7A" w:rsidRPr="00606B72">
        <w:t xml:space="preserve"> </w:t>
      </w:r>
      <w:r w:rsidR="00FA1D7A" w:rsidRPr="00606B72">
        <w:lastRenderedPageBreak/>
        <w:t>sciences</w:t>
      </w:r>
      <w:r w:rsidR="00B036CA" w:rsidRPr="00606B72">
        <w:t xml:space="preserve">, broadly conceived and of diverse </w:t>
      </w:r>
      <w:r w:rsidR="00975664" w:rsidRPr="00606B72">
        <w:t>origins</w:t>
      </w:r>
      <w:r w:rsidR="00B036CA" w:rsidRPr="00606B72">
        <w:t>,</w:t>
      </w:r>
      <w:r w:rsidR="00FA1D7A" w:rsidRPr="00606B72">
        <w:t xml:space="preserve"> can certainly be accommodated within </w:t>
      </w:r>
      <w:r w:rsidR="00BC574A" w:rsidRPr="00606B72">
        <w:t>al-Tahtawi</w:t>
      </w:r>
      <w:r w:rsidR="00FA1D7A" w:rsidRPr="00606B72">
        <w:t>’s vision of an Islamic world</w:t>
      </w:r>
      <w:r w:rsidR="006C03C2" w:rsidRPr="00606B72">
        <w:t xml:space="preserve">—indeed, they are necessary to ensure the survival of the Islamic world in the face of the rapidly-advancing Europeans.  However, </w:t>
      </w:r>
      <w:r w:rsidR="00FA1D7A" w:rsidRPr="00606B72">
        <w:t xml:space="preserve">they are insufficient </w:t>
      </w:r>
      <w:r w:rsidR="004C0C3A" w:rsidRPr="00606B72">
        <w:t xml:space="preserve">for the creation of </w:t>
      </w:r>
      <w:r w:rsidR="00FA1D7A" w:rsidRPr="00606B72">
        <w:t>such a world if they are not paired with the moral teachings of the Qur</w:t>
      </w:r>
      <w:r w:rsidR="00383256" w:rsidRPr="00606B72">
        <w:t>ʾ</w:t>
      </w:r>
      <w:r w:rsidR="000B5942" w:rsidRPr="00606B72">
        <w:t>a</w:t>
      </w:r>
      <w:r w:rsidR="00FA1D7A" w:rsidRPr="00606B72">
        <w:t>n, the hadith, and</w:t>
      </w:r>
      <w:r w:rsidR="006C03C2" w:rsidRPr="00606B72">
        <w:t xml:space="preserve"> </w:t>
      </w:r>
      <w:r w:rsidR="00FA1D7A" w:rsidRPr="00606B72">
        <w:t xml:space="preserve">the religious scholarship of the </w:t>
      </w:r>
      <w:r w:rsidR="000B5942" w:rsidRPr="00606B72">
        <w:t>ʿ</w:t>
      </w:r>
      <w:r w:rsidR="00FA1D7A" w:rsidRPr="00606B72">
        <w:t>ulam</w:t>
      </w:r>
      <w:r w:rsidR="00BF1E7C" w:rsidRPr="00606B72">
        <w:t>a</w:t>
      </w:r>
      <w:r w:rsidR="000B5942" w:rsidRPr="00606B72">
        <w:t>ʾ</w:t>
      </w:r>
      <w:r w:rsidR="00FA1D7A" w:rsidRPr="00606B72">
        <w:t xml:space="preserve">.  </w:t>
      </w:r>
      <w:r w:rsidR="0014632D">
        <w:t xml:space="preserve">One without the other is insufficient: without the material benefits of the European sciences, Islam will likely be overcome by the </w:t>
      </w:r>
      <w:r w:rsidR="00F4514E">
        <w:t xml:space="preserve">colonial ambitions </w:t>
      </w:r>
      <w:r w:rsidR="00F4514E" w:rsidRPr="00163E4F">
        <w:t>of the European powers, but without the moral and spiritual guidance of Islam, the European sciences will inevitably lead to sin and</w:t>
      </w:r>
      <w:r w:rsidR="00DE135F" w:rsidRPr="00163E4F">
        <w:t xml:space="preserve"> distance from God.   </w:t>
      </w:r>
    </w:p>
    <w:p w14:paraId="16F9E86C" w14:textId="05E39F51" w:rsidR="00C246A1" w:rsidRPr="00163E4F" w:rsidRDefault="00D95915" w:rsidP="0096043E">
      <w:pPr>
        <w:spacing w:line="480" w:lineRule="auto"/>
        <w:ind w:firstLine="720"/>
      </w:pPr>
      <w:r w:rsidRPr="00163E4F">
        <w:rPr>
          <w:color w:val="000000" w:themeColor="text1"/>
        </w:rPr>
        <w:t>As a result, d</w:t>
      </w:r>
      <w:r w:rsidR="008A758A" w:rsidRPr="00163E4F">
        <w:rPr>
          <w:color w:val="000000" w:themeColor="text1"/>
        </w:rPr>
        <w:t>espite</w:t>
      </w:r>
      <w:r w:rsidR="0001302A" w:rsidRPr="00163E4F">
        <w:rPr>
          <w:color w:val="000000" w:themeColor="text1"/>
        </w:rPr>
        <w:t xml:space="preserve"> their obvious moral shortcomings, </w:t>
      </w:r>
      <w:r w:rsidR="00BC574A" w:rsidRPr="00163E4F">
        <w:rPr>
          <w:color w:val="000000" w:themeColor="text1"/>
        </w:rPr>
        <w:t>al-Tahtawi</w:t>
      </w:r>
      <w:r w:rsidR="00BC2952" w:rsidRPr="00163E4F">
        <w:rPr>
          <w:color w:val="000000" w:themeColor="text1"/>
        </w:rPr>
        <w:t xml:space="preserve"> </w:t>
      </w:r>
      <w:r w:rsidR="00C246A1" w:rsidRPr="00163E4F">
        <w:rPr>
          <w:color w:val="000000" w:themeColor="text1"/>
        </w:rPr>
        <w:t xml:space="preserve">does not </w:t>
      </w:r>
      <w:r w:rsidR="00385E96" w:rsidRPr="00163E4F">
        <w:rPr>
          <w:color w:val="000000" w:themeColor="text1"/>
        </w:rPr>
        <w:t>believe</w:t>
      </w:r>
      <w:r w:rsidR="00C246A1" w:rsidRPr="00163E4F">
        <w:rPr>
          <w:color w:val="000000" w:themeColor="text1"/>
        </w:rPr>
        <w:t xml:space="preserve"> that the </w:t>
      </w:r>
      <w:r w:rsidR="00C246A1" w:rsidRPr="00163E4F">
        <w:t>knowledge imparted by French scholars should be thrown out wholesale</w:t>
      </w:r>
      <w:r w:rsidR="001F2770" w:rsidRPr="00163E4F">
        <w:t>, as a conservative</w:t>
      </w:r>
      <w:r w:rsidR="00940A97" w:rsidRPr="00163E4F">
        <w:t xml:space="preserve"> </w:t>
      </w:r>
      <w:r w:rsidR="0019773F" w:rsidRPr="00163E4F">
        <w:t xml:space="preserve">member </w:t>
      </w:r>
      <w:r w:rsidR="001F2770" w:rsidRPr="00163E4F">
        <w:t xml:space="preserve">of the </w:t>
      </w:r>
      <w:r w:rsidR="000B5942" w:rsidRPr="00163E4F">
        <w:t>ʿulam</w:t>
      </w:r>
      <w:r w:rsidR="00BF1E7C" w:rsidRPr="00163E4F">
        <w:t>a</w:t>
      </w:r>
      <w:r w:rsidR="000B5942" w:rsidRPr="00163E4F">
        <w:t xml:space="preserve">ʾ </w:t>
      </w:r>
      <w:r w:rsidR="004C0C3A" w:rsidRPr="00163E4F">
        <w:t>would insist</w:t>
      </w:r>
      <w:r w:rsidR="000F331C" w:rsidRPr="00163E4F">
        <w:t xml:space="preserve">.  </w:t>
      </w:r>
      <w:r w:rsidR="00363E8A" w:rsidRPr="00163E4F">
        <w:t xml:space="preserve">Instead, </w:t>
      </w:r>
      <w:r w:rsidR="004C0C3A" w:rsidRPr="00163E4F">
        <w:t xml:space="preserve">he </w:t>
      </w:r>
      <w:r w:rsidR="00385E96" w:rsidRPr="00163E4F">
        <w:t>suggests</w:t>
      </w:r>
      <w:r w:rsidR="000F331C" w:rsidRPr="00163E4F">
        <w:t xml:space="preserve"> that the beneficial elements of the European scientific project can be incorporated into an Islamic country without fear, as long as steps are taken to preserve the central moral characteristics of Islam.</w:t>
      </w:r>
      <w:r w:rsidR="00B330CB" w:rsidRPr="00163E4F">
        <w:t xml:space="preserve">  </w:t>
      </w:r>
      <w:r w:rsidR="00163E4F" w:rsidRPr="00163E4F">
        <w:t>For example, al-Tahtawi encourages the study of the French language with the following caveat: “It is therefore necessary for anyone wishing to delve into the French language, which includes some philosophical elements, to be well versed in the Qurʾan and the sunna, in order to prevent him from being misled by this and his belief from weakening, and lest he should lose his footing” (2011</w:t>
      </w:r>
      <w:r w:rsidR="004C1770">
        <w:t>:</w:t>
      </w:r>
      <w:r w:rsidR="00163E4F" w:rsidRPr="00163E4F">
        <w:t xml:space="preserve"> 255-256).  </w:t>
      </w:r>
      <w:r w:rsidR="00EE3695" w:rsidRPr="00163E4F">
        <w:t>So, w</w:t>
      </w:r>
      <w:r w:rsidR="003A630F" w:rsidRPr="00163E4F">
        <w:t>hile</w:t>
      </w:r>
      <w:r w:rsidR="00C246A1" w:rsidRPr="00163E4F">
        <w:t xml:space="preserve"> </w:t>
      </w:r>
      <w:r w:rsidR="00BC574A" w:rsidRPr="00163E4F">
        <w:t>al-Tahtawi</w:t>
      </w:r>
      <w:r w:rsidR="00C246A1" w:rsidRPr="00163E4F">
        <w:t xml:space="preserve"> is certainly offering a critique of the </w:t>
      </w:r>
      <w:r w:rsidR="009637A4" w:rsidRPr="00163E4F">
        <w:t>ʿulam</w:t>
      </w:r>
      <w:r w:rsidR="00BF1E7C" w:rsidRPr="00163E4F">
        <w:t>a</w:t>
      </w:r>
      <w:r w:rsidR="009637A4" w:rsidRPr="00163E4F">
        <w:t>ʾ</w:t>
      </w:r>
      <w:r w:rsidR="00C246A1" w:rsidRPr="00163E4F">
        <w:t xml:space="preserve">, it is a limited critique, and he clearly acknowledges the importance of the religious sciences in general.  </w:t>
      </w:r>
      <w:r w:rsidR="00D748D2" w:rsidRPr="00163E4F">
        <w:t xml:space="preserve">It would be wrong to suggest that </w:t>
      </w:r>
      <w:r w:rsidR="005F394C" w:rsidRPr="00163E4F">
        <w:t>he</w:t>
      </w:r>
      <w:r w:rsidR="00D748D2" w:rsidRPr="00163E4F">
        <w:t xml:space="preserve"> hopes to </w:t>
      </w:r>
      <w:r w:rsidR="00E226BE" w:rsidRPr="00163E4F">
        <w:t>supplant traditional Egyptian and Islamic values with liberal, French ones</w:t>
      </w:r>
      <w:r w:rsidR="00D748D2" w:rsidRPr="00163E4F">
        <w:t xml:space="preserve">.  </w:t>
      </w:r>
    </w:p>
    <w:p w14:paraId="0C562625" w14:textId="354054CE" w:rsidR="00C246A1" w:rsidRPr="00020C2E" w:rsidRDefault="00C246A1" w:rsidP="00020C2E">
      <w:pPr>
        <w:pStyle w:val="FootnoteText"/>
        <w:spacing w:line="480" w:lineRule="auto"/>
        <w:rPr>
          <w:b/>
          <w:bCs/>
          <w:sz w:val="24"/>
          <w:szCs w:val="24"/>
        </w:rPr>
      </w:pPr>
      <w:r w:rsidRPr="00163E4F">
        <w:rPr>
          <w:sz w:val="24"/>
          <w:szCs w:val="24"/>
        </w:rPr>
        <w:tab/>
      </w:r>
      <w:r w:rsidR="008004F0" w:rsidRPr="00163E4F">
        <w:rPr>
          <w:color w:val="000000" w:themeColor="text1"/>
          <w:sz w:val="24"/>
          <w:szCs w:val="24"/>
        </w:rPr>
        <w:t xml:space="preserve">In addition to the compatibility of the French sciences with Islam, </w:t>
      </w:r>
      <w:r w:rsidR="00BC574A" w:rsidRPr="00163E4F">
        <w:rPr>
          <w:color w:val="000000" w:themeColor="text1"/>
          <w:sz w:val="24"/>
          <w:szCs w:val="24"/>
        </w:rPr>
        <w:t>al-Tahtawi</w:t>
      </w:r>
      <w:r w:rsidR="008004F0" w:rsidRPr="00163E4F">
        <w:rPr>
          <w:color w:val="000000" w:themeColor="text1"/>
          <w:sz w:val="24"/>
          <w:szCs w:val="24"/>
        </w:rPr>
        <w:t xml:space="preserve"> asserts that the French political reforms are similarly compatible with proper Islamic forms of</w:t>
      </w:r>
      <w:r w:rsidR="00A71833" w:rsidRPr="00163E4F">
        <w:rPr>
          <w:color w:val="000000" w:themeColor="text1"/>
          <w:sz w:val="24"/>
          <w:szCs w:val="24"/>
        </w:rPr>
        <w:t xml:space="preserve"> government.  </w:t>
      </w:r>
      <w:r w:rsidR="00573B66" w:rsidRPr="00020C2E">
        <w:rPr>
          <w:color w:val="000000" w:themeColor="text1"/>
          <w:sz w:val="24"/>
          <w:szCs w:val="24"/>
        </w:rPr>
        <w:lastRenderedPageBreak/>
        <w:t xml:space="preserve">For example, in </w:t>
      </w:r>
      <w:r w:rsidR="00E226BE" w:rsidRPr="00020C2E">
        <w:rPr>
          <w:color w:val="000000" w:themeColor="text1"/>
          <w:sz w:val="24"/>
          <w:szCs w:val="24"/>
        </w:rPr>
        <w:t xml:space="preserve">his </w:t>
      </w:r>
      <w:r w:rsidR="00573B66" w:rsidRPr="00020C2E">
        <w:rPr>
          <w:color w:val="000000" w:themeColor="text1"/>
          <w:sz w:val="24"/>
          <w:szCs w:val="24"/>
        </w:rPr>
        <w:t>discussion of the appearance of the concepts of freedom and equality in the French Constitutional Charter of 1814, he</w:t>
      </w:r>
      <w:r w:rsidR="00573B66" w:rsidRPr="00020C2E">
        <w:rPr>
          <w:sz w:val="24"/>
          <w:szCs w:val="24"/>
        </w:rPr>
        <w:t xml:space="preserve"> notes: “That which they call freedom and which they crave is what we call ‘justice’ [</w:t>
      </w:r>
      <w:r w:rsidR="0019693B" w:rsidRPr="00020C2E">
        <w:rPr>
          <w:i/>
          <w:iCs/>
          <w:sz w:val="24"/>
          <w:szCs w:val="24"/>
        </w:rPr>
        <w:t>ʿ</w:t>
      </w:r>
      <w:r w:rsidR="00573B66" w:rsidRPr="00020C2E">
        <w:rPr>
          <w:i/>
          <w:iCs/>
          <w:sz w:val="24"/>
          <w:szCs w:val="24"/>
        </w:rPr>
        <w:t>adl</w:t>
      </w:r>
      <w:r w:rsidR="00573B66" w:rsidRPr="00020C2E">
        <w:rPr>
          <w:sz w:val="24"/>
          <w:szCs w:val="24"/>
        </w:rPr>
        <w:t>] and ‘equity’ [</w:t>
      </w:r>
      <w:r w:rsidR="00573B66" w:rsidRPr="00020C2E">
        <w:rPr>
          <w:i/>
          <w:iCs/>
          <w:sz w:val="24"/>
          <w:szCs w:val="24"/>
        </w:rPr>
        <w:t>inṣāf</w:t>
      </w:r>
      <w:r w:rsidR="00573B66" w:rsidRPr="00020C2E">
        <w:rPr>
          <w:sz w:val="24"/>
          <w:szCs w:val="24"/>
        </w:rPr>
        <w:t>], inasmuch as ‘rule by freedom’ means establishing equality in judgments and laws so that the ruler cannot oppress any human being”</w:t>
      </w:r>
      <w:r w:rsidR="00D233F9" w:rsidRPr="00020C2E">
        <w:rPr>
          <w:sz w:val="24"/>
          <w:szCs w:val="24"/>
        </w:rPr>
        <w:t xml:space="preserve"> (</w:t>
      </w:r>
      <w:r w:rsidR="00BF01E2" w:rsidRPr="00020C2E">
        <w:rPr>
          <w:sz w:val="24"/>
          <w:szCs w:val="24"/>
        </w:rPr>
        <w:t>2011</w:t>
      </w:r>
      <w:r w:rsidR="00AF1148">
        <w:rPr>
          <w:sz w:val="24"/>
          <w:szCs w:val="24"/>
        </w:rPr>
        <w:t>:</w:t>
      </w:r>
      <w:r w:rsidR="00BF01E2" w:rsidRPr="00020C2E">
        <w:rPr>
          <w:sz w:val="24"/>
          <w:szCs w:val="24"/>
        </w:rPr>
        <w:t xml:space="preserve"> 208).</w:t>
      </w:r>
      <w:r w:rsidR="00573B66" w:rsidRPr="00020C2E">
        <w:rPr>
          <w:sz w:val="24"/>
          <w:szCs w:val="24"/>
        </w:rPr>
        <w:t xml:space="preserve">  </w:t>
      </w:r>
      <w:r w:rsidR="00020C2E" w:rsidRPr="00020C2E">
        <w:rPr>
          <w:sz w:val="24"/>
          <w:szCs w:val="24"/>
        </w:rPr>
        <w:t xml:space="preserve">As the translator, Daniel L. Newman, clarifies in a footnote, “[t]he </w:t>
      </w:r>
      <w:proofErr w:type="gramStart"/>
      <w:r w:rsidR="00020C2E" w:rsidRPr="00020C2E">
        <w:rPr>
          <w:sz w:val="24"/>
          <w:szCs w:val="24"/>
        </w:rPr>
        <w:t>use</w:t>
      </w:r>
      <w:proofErr w:type="gramEnd"/>
      <w:r w:rsidR="00020C2E" w:rsidRPr="00020C2E">
        <w:rPr>
          <w:sz w:val="24"/>
          <w:szCs w:val="24"/>
        </w:rPr>
        <w:t xml:space="preserve"> of the Arabic terms </w:t>
      </w:r>
      <w:r w:rsidR="00020C2E" w:rsidRPr="00020C2E">
        <w:rPr>
          <w:i/>
          <w:iCs/>
          <w:sz w:val="24"/>
          <w:szCs w:val="24"/>
        </w:rPr>
        <w:t>ʿadl</w:t>
      </w:r>
      <w:r w:rsidR="00020C2E" w:rsidRPr="00020C2E">
        <w:rPr>
          <w:sz w:val="24"/>
          <w:szCs w:val="24"/>
        </w:rPr>
        <w:t xml:space="preserve"> and </w:t>
      </w:r>
      <w:r w:rsidR="00020C2E" w:rsidRPr="00020C2E">
        <w:rPr>
          <w:i/>
          <w:iCs/>
          <w:sz w:val="24"/>
          <w:szCs w:val="24"/>
        </w:rPr>
        <w:t>inṣāf</w:t>
      </w:r>
      <w:r w:rsidR="00020C2E" w:rsidRPr="00020C2E">
        <w:rPr>
          <w:sz w:val="24"/>
          <w:szCs w:val="24"/>
        </w:rPr>
        <w:t xml:space="preserve"> is of some significance since it relates the European concept of ‘freedom’ to classical Islamic notions of governance, in which the ruler is enjoined to eschew oppression (</w:t>
      </w:r>
      <w:r w:rsidR="00020C2E" w:rsidRPr="00020C2E">
        <w:rPr>
          <w:i/>
          <w:iCs/>
          <w:sz w:val="24"/>
          <w:szCs w:val="24"/>
        </w:rPr>
        <w:t>ẓulm</w:t>
      </w:r>
      <w:r w:rsidR="00020C2E" w:rsidRPr="00020C2E">
        <w:rPr>
          <w:sz w:val="24"/>
          <w:szCs w:val="24"/>
        </w:rPr>
        <w:t>), to act justly and lawfully and to ensure the welfare of his subjects” (2011</w:t>
      </w:r>
      <w:r w:rsidR="003C4BFA">
        <w:rPr>
          <w:sz w:val="24"/>
          <w:szCs w:val="24"/>
        </w:rPr>
        <w:t>:</w:t>
      </w:r>
      <w:r w:rsidR="00020C2E" w:rsidRPr="00020C2E">
        <w:rPr>
          <w:sz w:val="24"/>
          <w:szCs w:val="24"/>
        </w:rPr>
        <w:t xml:space="preserve"> n.4, 208).  </w:t>
      </w:r>
      <w:r w:rsidR="00020C2E">
        <w:rPr>
          <w:sz w:val="24"/>
          <w:szCs w:val="24"/>
        </w:rPr>
        <w:t>Thus, in</w:t>
      </w:r>
      <w:r w:rsidR="000360CF" w:rsidRPr="00020C2E">
        <w:rPr>
          <w:sz w:val="24"/>
          <w:szCs w:val="24"/>
        </w:rPr>
        <w:t xml:space="preserve"> connecting the modern, liberal values of liberty and equality to the traditional Islamic ideals of </w:t>
      </w:r>
      <w:r w:rsidR="0019693B" w:rsidRPr="00020C2E">
        <w:rPr>
          <w:i/>
          <w:iCs/>
          <w:sz w:val="24"/>
          <w:szCs w:val="24"/>
        </w:rPr>
        <w:t>ʿ</w:t>
      </w:r>
      <w:r w:rsidR="000360CF" w:rsidRPr="00020C2E">
        <w:rPr>
          <w:i/>
          <w:iCs/>
          <w:sz w:val="24"/>
          <w:szCs w:val="24"/>
        </w:rPr>
        <w:t>adl</w:t>
      </w:r>
      <w:r w:rsidR="000360CF" w:rsidRPr="00020C2E">
        <w:rPr>
          <w:sz w:val="24"/>
          <w:szCs w:val="24"/>
        </w:rPr>
        <w:t xml:space="preserve"> and </w:t>
      </w:r>
      <w:r w:rsidR="000360CF" w:rsidRPr="00020C2E">
        <w:rPr>
          <w:i/>
          <w:iCs/>
          <w:sz w:val="24"/>
          <w:szCs w:val="24"/>
        </w:rPr>
        <w:t>inṣāf</w:t>
      </w:r>
      <w:r w:rsidR="000360CF" w:rsidRPr="00020C2E">
        <w:rPr>
          <w:sz w:val="24"/>
          <w:szCs w:val="24"/>
        </w:rPr>
        <w:t xml:space="preserve">, ideals which are at the core of any Islamic form of government, </w:t>
      </w:r>
      <w:r w:rsidR="00BC574A" w:rsidRPr="00020C2E">
        <w:rPr>
          <w:color w:val="000000" w:themeColor="text1"/>
          <w:sz w:val="24"/>
          <w:szCs w:val="24"/>
        </w:rPr>
        <w:t>al-Tahtawi</w:t>
      </w:r>
      <w:r w:rsidR="000360CF" w:rsidRPr="00020C2E">
        <w:rPr>
          <w:color w:val="000000" w:themeColor="text1"/>
          <w:sz w:val="24"/>
          <w:szCs w:val="24"/>
        </w:rPr>
        <w:t xml:space="preserve"> </w:t>
      </w:r>
      <w:r w:rsidR="00E226BE" w:rsidRPr="00020C2E">
        <w:rPr>
          <w:color w:val="000000" w:themeColor="text1"/>
          <w:sz w:val="24"/>
          <w:szCs w:val="24"/>
        </w:rPr>
        <w:t xml:space="preserve">is attempting to draw a specific analogy </w:t>
      </w:r>
      <w:r w:rsidR="000360CF" w:rsidRPr="00020C2E">
        <w:rPr>
          <w:color w:val="000000" w:themeColor="text1"/>
          <w:sz w:val="24"/>
          <w:szCs w:val="24"/>
        </w:rPr>
        <w:t xml:space="preserve">between the Charter of 1814 and Islamic </w:t>
      </w:r>
      <w:r w:rsidR="00E226BE" w:rsidRPr="00020C2E">
        <w:rPr>
          <w:color w:val="000000" w:themeColor="text1"/>
          <w:sz w:val="24"/>
          <w:szCs w:val="24"/>
        </w:rPr>
        <w:t>juridical norms.</w:t>
      </w:r>
      <w:r w:rsidR="006E5D1F" w:rsidRPr="00020C2E">
        <w:rPr>
          <w:color w:val="000000" w:themeColor="text1"/>
          <w:sz w:val="24"/>
          <w:szCs w:val="24"/>
        </w:rPr>
        <w:t xml:space="preserve">  </w:t>
      </w:r>
    </w:p>
    <w:p w14:paraId="57F6172E" w14:textId="7027C260" w:rsidR="006E2837" w:rsidRPr="00606B72" w:rsidRDefault="00C246A1" w:rsidP="00651B7D">
      <w:pPr>
        <w:spacing w:line="480" w:lineRule="auto"/>
        <w:rPr>
          <w:color w:val="000000" w:themeColor="text1"/>
        </w:rPr>
      </w:pPr>
      <w:r w:rsidRPr="00606B72">
        <w:tab/>
        <w:t xml:space="preserve">The most explicit </w:t>
      </w:r>
      <w:r w:rsidR="00215DC7" w:rsidRPr="00606B72">
        <w:t>critique</w:t>
      </w:r>
      <w:r w:rsidRPr="00606B72">
        <w:t xml:space="preserve"> directed at </w:t>
      </w:r>
      <w:r w:rsidR="00706D7F" w:rsidRPr="00606B72">
        <w:t>Muhammad</w:t>
      </w:r>
      <w:r w:rsidRPr="00606B72">
        <w:t xml:space="preserve"> </w:t>
      </w:r>
      <w:r w:rsidR="00E251BA" w:rsidRPr="00606B72">
        <w:t>ʿ</w:t>
      </w:r>
      <w:r w:rsidRPr="00606B72">
        <w:t xml:space="preserve">Ali comes in </w:t>
      </w:r>
      <w:r w:rsidRPr="00606B72">
        <w:rPr>
          <w:color w:val="000000" w:themeColor="text1"/>
        </w:rPr>
        <w:t xml:space="preserve">one of the most poignant moments of the work, a chapter in which </w:t>
      </w:r>
      <w:r w:rsidR="00BC574A" w:rsidRPr="00606B72">
        <w:rPr>
          <w:color w:val="000000" w:themeColor="text1"/>
        </w:rPr>
        <w:t>al-Tahtawi</w:t>
      </w:r>
      <w:r w:rsidRPr="00606B72">
        <w:rPr>
          <w:color w:val="000000" w:themeColor="text1"/>
        </w:rPr>
        <w:t xml:space="preserve"> gives</w:t>
      </w:r>
      <w:r w:rsidR="00A71833" w:rsidRPr="00606B72">
        <w:rPr>
          <w:color w:val="000000" w:themeColor="text1"/>
        </w:rPr>
        <w:t xml:space="preserve"> a</w:t>
      </w:r>
      <w:r w:rsidRPr="00606B72">
        <w:rPr>
          <w:color w:val="000000" w:themeColor="text1"/>
        </w:rPr>
        <w:t xml:space="preserve"> </w:t>
      </w:r>
      <w:r w:rsidR="009D2465" w:rsidRPr="00606B72">
        <w:rPr>
          <w:color w:val="000000" w:themeColor="text1"/>
        </w:rPr>
        <w:t>first-ha</w:t>
      </w:r>
      <w:r w:rsidR="00182BD8" w:rsidRPr="00606B72">
        <w:rPr>
          <w:color w:val="000000" w:themeColor="text1"/>
        </w:rPr>
        <w:t>nd</w:t>
      </w:r>
      <w:r w:rsidRPr="00606B72">
        <w:rPr>
          <w:color w:val="000000" w:themeColor="text1"/>
        </w:rPr>
        <w:t xml:space="preserve"> account of the July Revolution</w:t>
      </w:r>
      <w:r w:rsidR="00637689" w:rsidRPr="00606B72">
        <w:rPr>
          <w:color w:val="000000" w:themeColor="text1"/>
        </w:rPr>
        <w:t xml:space="preserve"> of 1830</w:t>
      </w:r>
      <w:r w:rsidRPr="00606B72">
        <w:rPr>
          <w:color w:val="000000" w:themeColor="text1"/>
        </w:rPr>
        <w:t xml:space="preserve"> that ended the reign of King Charles X </w:t>
      </w:r>
      <w:r w:rsidR="009D2465" w:rsidRPr="00606B72">
        <w:rPr>
          <w:color w:val="000000" w:themeColor="text1"/>
        </w:rPr>
        <w:t xml:space="preserve">and </w:t>
      </w:r>
      <w:r w:rsidR="00C84950" w:rsidRPr="00606B72">
        <w:rPr>
          <w:color w:val="000000" w:themeColor="text1"/>
        </w:rPr>
        <w:t>led to the coronation of</w:t>
      </w:r>
      <w:r w:rsidR="009D2465" w:rsidRPr="00606B72">
        <w:rPr>
          <w:color w:val="000000" w:themeColor="text1"/>
        </w:rPr>
        <w:t xml:space="preserve"> </w:t>
      </w:r>
      <w:r w:rsidR="00800DCC" w:rsidRPr="00606B72">
        <w:rPr>
          <w:color w:val="000000" w:themeColor="text1"/>
        </w:rPr>
        <w:t>Louis Philippe I</w:t>
      </w:r>
      <w:r w:rsidR="009D2465" w:rsidRPr="00606B72">
        <w:rPr>
          <w:color w:val="000000" w:themeColor="text1"/>
        </w:rPr>
        <w:t>, who would later become known as the “bourgeois king</w:t>
      </w:r>
      <w:r w:rsidR="006D1827" w:rsidRPr="00606B72">
        <w:rPr>
          <w:color w:val="000000" w:themeColor="text1"/>
        </w:rPr>
        <w:t>.</w:t>
      </w:r>
      <w:r w:rsidR="009D2465" w:rsidRPr="00606B72">
        <w:rPr>
          <w:color w:val="000000" w:themeColor="text1"/>
        </w:rPr>
        <w:t xml:space="preserve">”  </w:t>
      </w:r>
      <w:r w:rsidR="000620D6" w:rsidRPr="00606B72">
        <w:rPr>
          <w:color w:val="000000" w:themeColor="text1"/>
        </w:rPr>
        <w:t>Al-</w:t>
      </w:r>
      <w:r w:rsidR="00923414">
        <w:rPr>
          <w:color w:val="000000" w:themeColor="text1"/>
        </w:rPr>
        <w:t xml:space="preserve">Tahtawi </w:t>
      </w:r>
      <w:r w:rsidRPr="00606B72">
        <w:rPr>
          <w:color w:val="000000" w:themeColor="text1"/>
        </w:rPr>
        <w:t>begins with a description of the warring factions of the revolt: on the one hand are the royalists, the majority of whom are “priests and their followers,” while on the other, are the liberals, who “have a predilection for freedom,” and are “philosophers, scholars, doctors and the majority of the population”</w:t>
      </w:r>
      <w:r w:rsidR="000F7ACF" w:rsidRPr="00606B72">
        <w:rPr>
          <w:color w:val="000000" w:themeColor="text1"/>
        </w:rPr>
        <w:t xml:space="preserve"> (2011</w:t>
      </w:r>
      <w:r w:rsidR="00F77988">
        <w:rPr>
          <w:color w:val="000000" w:themeColor="text1"/>
        </w:rPr>
        <w:t>:</w:t>
      </w:r>
      <w:r w:rsidR="000F7ACF" w:rsidRPr="00606B72">
        <w:rPr>
          <w:color w:val="000000" w:themeColor="text1"/>
        </w:rPr>
        <w:t xml:space="preserve"> 306).</w:t>
      </w:r>
      <w:r w:rsidRPr="00606B72">
        <w:rPr>
          <w:color w:val="000000" w:themeColor="text1"/>
        </w:rPr>
        <w:t xml:space="preserve">  </w:t>
      </w:r>
      <w:r w:rsidR="00552AD7" w:rsidRPr="00606B72">
        <w:rPr>
          <w:color w:val="000000" w:themeColor="text1"/>
        </w:rPr>
        <w:t xml:space="preserve">Given </w:t>
      </w:r>
      <w:r w:rsidR="00BC574A" w:rsidRPr="00606B72">
        <w:rPr>
          <w:color w:val="000000" w:themeColor="text1"/>
        </w:rPr>
        <w:t>al-Tahtawi</w:t>
      </w:r>
      <w:r w:rsidR="00552AD7" w:rsidRPr="00606B72">
        <w:rPr>
          <w:color w:val="000000" w:themeColor="text1"/>
        </w:rPr>
        <w:t xml:space="preserve">’s association with prominent French </w:t>
      </w:r>
      <w:r w:rsidR="000813A8" w:rsidRPr="00606B72">
        <w:rPr>
          <w:i/>
          <w:iCs/>
          <w:color w:val="000000" w:themeColor="text1"/>
        </w:rPr>
        <w:t>philosophes</w:t>
      </w:r>
      <w:r w:rsidR="00552AD7" w:rsidRPr="00606B72">
        <w:rPr>
          <w:color w:val="000000" w:themeColor="text1"/>
        </w:rPr>
        <w:t xml:space="preserve"> and scholar</w:t>
      </w:r>
      <w:r w:rsidR="000813A8" w:rsidRPr="00606B72">
        <w:rPr>
          <w:color w:val="000000" w:themeColor="text1"/>
        </w:rPr>
        <w:t>s</w:t>
      </w:r>
      <w:r w:rsidR="004E12EC" w:rsidRPr="00606B72">
        <w:rPr>
          <w:color w:val="000000" w:themeColor="text1"/>
        </w:rPr>
        <w:t>,</w:t>
      </w:r>
      <w:r w:rsidR="000813A8" w:rsidRPr="00606B72">
        <w:rPr>
          <w:color w:val="000000" w:themeColor="text1"/>
        </w:rPr>
        <w:t xml:space="preserve"> such as the </w:t>
      </w:r>
      <w:r w:rsidR="00EF33A5" w:rsidRPr="00606B72">
        <w:rPr>
          <w:color w:val="000000" w:themeColor="text1"/>
        </w:rPr>
        <w:t>o</w:t>
      </w:r>
      <w:r w:rsidR="000813A8" w:rsidRPr="00606B72">
        <w:rPr>
          <w:color w:val="000000" w:themeColor="text1"/>
        </w:rPr>
        <w:t>rientalists Silvestre de Sacy and Edme-François Jomard</w:t>
      </w:r>
      <w:r w:rsidR="004E12EC" w:rsidRPr="00606B72">
        <w:rPr>
          <w:color w:val="000000" w:themeColor="text1"/>
        </w:rPr>
        <w:t xml:space="preserve"> (the supervisor of </w:t>
      </w:r>
      <w:r w:rsidR="004E12EC" w:rsidRPr="00606B72">
        <w:rPr>
          <w:color w:val="000000" w:themeColor="text1"/>
        </w:rPr>
        <w:lastRenderedPageBreak/>
        <w:t>the Egyptian mission to France)</w:t>
      </w:r>
      <w:r w:rsidR="000813A8" w:rsidRPr="00606B72">
        <w:rPr>
          <w:color w:val="000000" w:themeColor="text1"/>
        </w:rPr>
        <w:t xml:space="preserve">, </w:t>
      </w:r>
      <w:r w:rsidR="00955BF5" w:rsidRPr="00606B72">
        <w:rPr>
          <w:color w:val="000000" w:themeColor="text1"/>
        </w:rPr>
        <w:t>in addition to</w:t>
      </w:r>
      <w:r w:rsidR="00552AD7" w:rsidRPr="00606B72">
        <w:rPr>
          <w:color w:val="000000" w:themeColor="text1"/>
        </w:rPr>
        <w:t xml:space="preserve"> his above-mentioned disdain for the French priestly class, we </w:t>
      </w:r>
      <w:r w:rsidR="00E226BE" w:rsidRPr="00606B72">
        <w:rPr>
          <w:color w:val="000000" w:themeColor="text1"/>
        </w:rPr>
        <w:t xml:space="preserve">need hardly </w:t>
      </w:r>
      <w:r w:rsidR="00552AD7" w:rsidRPr="00606B72">
        <w:rPr>
          <w:color w:val="000000" w:themeColor="text1"/>
        </w:rPr>
        <w:t xml:space="preserve">guess where </w:t>
      </w:r>
      <w:r w:rsidR="00BC574A" w:rsidRPr="00606B72">
        <w:rPr>
          <w:color w:val="000000" w:themeColor="text1"/>
        </w:rPr>
        <w:t>al-Tahtawi</w:t>
      </w:r>
      <w:r w:rsidR="00552AD7" w:rsidRPr="00606B72">
        <w:rPr>
          <w:color w:val="000000" w:themeColor="text1"/>
        </w:rPr>
        <w:t>’s loyalties l</w:t>
      </w:r>
      <w:r w:rsidR="00E226BE" w:rsidRPr="00606B72">
        <w:rPr>
          <w:color w:val="000000" w:themeColor="text1"/>
        </w:rPr>
        <w:t>ay</w:t>
      </w:r>
      <w:r w:rsidR="00552AD7" w:rsidRPr="00606B72">
        <w:rPr>
          <w:color w:val="000000" w:themeColor="text1"/>
        </w:rPr>
        <w:t>.</w:t>
      </w:r>
      <w:r w:rsidR="00E925DE" w:rsidRPr="00606B72">
        <w:rPr>
          <w:rStyle w:val="FootnoteReference"/>
          <w:color w:val="000000" w:themeColor="text1"/>
        </w:rPr>
        <w:footnoteReference w:id="7"/>
      </w:r>
      <w:r w:rsidR="00552AD7" w:rsidRPr="00606B72">
        <w:rPr>
          <w:color w:val="000000" w:themeColor="text1"/>
        </w:rPr>
        <w:t xml:space="preserve">  </w:t>
      </w:r>
    </w:p>
    <w:p w14:paraId="600201AD" w14:textId="0E5537D6" w:rsidR="00C246A1" w:rsidRPr="00606B72" w:rsidRDefault="007F246E" w:rsidP="00E50F48">
      <w:pPr>
        <w:spacing w:line="480" w:lineRule="auto"/>
        <w:ind w:firstLine="720"/>
        <w:rPr>
          <w:b/>
          <w:bCs/>
          <w:color w:val="FF0000"/>
        </w:rPr>
      </w:pPr>
      <w:r w:rsidRPr="00606B72">
        <w:rPr>
          <w:color w:val="000000" w:themeColor="text1"/>
        </w:rPr>
        <w:t>Interestingly,</w:t>
      </w:r>
      <w:r w:rsidR="00C246A1" w:rsidRPr="00606B72">
        <w:rPr>
          <w:color w:val="000000" w:themeColor="text1"/>
        </w:rPr>
        <w:t xml:space="preserve"> </w:t>
      </w:r>
      <w:r w:rsidR="00BC574A" w:rsidRPr="00606B72">
        <w:rPr>
          <w:color w:val="000000" w:themeColor="text1"/>
        </w:rPr>
        <w:t>al-Tahtawi</w:t>
      </w:r>
      <w:r w:rsidR="00CC1D1C" w:rsidRPr="00606B72">
        <w:rPr>
          <w:color w:val="000000" w:themeColor="text1"/>
        </w:rPr>
        <w:t xml:space="preserve"> </w:t>
      </w:r>
      <w:r w:rsidR="00457618" w:rsidRPr="00606B72">
        <w:rPr>
          <w:color w:val="000000" w:themeColor="text1"/>
        </w:rPr>
        <w:t xml:space="preserve">attempts </w:t>
      </w:r>
      <w:r w:rsidR="00CC1D1C" w:rsidRPr="00606B72">
        <w:rPr>
          <w:color w:val="000000" w:themeColor="text1"/>
        </w:rPr>
        <w:t>to justify</w:t>
      </w:r>
      <w:r w:rsidR="00C246A1" w:rsidRPr="00606B72">
        <w:rPr>
          <w:color w:val="000000" w:themeColor="text1"/>
        </w:rPr>
        <w:t xml:space="preserve"> the representative </w:t>
      </w:r>
      <w:r w:rsidR="000B34CE" w:rsidRPr="00606B72">
        <w:rPr>
          <w:color w:val="000000" w:themeColor="text1"/>
        </w:rPr>
        <w:t>government</w:t>
      </w:r>
      <w:r w:rsidR="00C246A1" w:rsidRPr="00606B72">
        <w:rPr>
          <w:color w:val="000000" w:themeColor="text1"/>
        </w:rPr>
        <w:t xml:space="preserve"> that the liberals hope for </w:t>
      </w:r>
      <w:r w:rsidR="00816CD9" w:rsidRPr="00606B72">
        <w:rPr>
          <w:color w:val="000000" w:themeColor="text1"/>
        </w:rPr>
        <w:t>by noting its similarity</w:t>
      </w:r>
      <w:r w:rsidR="00C246A1" w:rsidRPr="00606B72">
        <w:rPr>
          <w:color w:val="000000" w:themeColor="text1"/>
        </w:rPr>
        <w:t xml:space="preserve"> to the</w:t>
      </w:r>
      <w:r w:rsidR="008A35D0" w:rsidRPr="00606B72">
        <w:rPr>
          <w:color w:val="000000" w:themeColor="text1"/>
        </w:rPr>
        <w:t xml:space="preserve"> </w:t>
      </w:r>
      <w:r w:rsidR="00C246A1" w:rsidRPr="00606B72">
        <w:rPr>
          <w:i/>
          <w:iCs/>
          <w:color w:val="000000" w:themeColor="text1"/>
        </w:rPr>
        <w:t>jumhūriyya iltizāmiyya</w:t>
      </w:r>
      <w:r w:rsidR="007F3774" w:rsidRPr="00606B72">
        <w:rPr>
          <w:i/>
          <w:iCs/>
          <w:color w:val="000000" w:themeColor="text1"/>
        </w:rPr>
        <w:t xml:space="preserve"> </w:t>
      </w:r>
      <w:r w:rsidR="00045D1B" w:rsidRPr="00606B72">
        <w:rPr>
          <w:color w:val="000000" w:themeColor="text1"/>
        </w:rPr>
        <w:t>[</w:t>
      </w:r>
      <w:r w:rsidR="00045D1B" w:rsidRPr="00606B72">
        <w:rPr>
          <w:i/>
          <w:iCs/>
          <w:color w:val="000000" w:themeColor="text1"/>
        </w:rPr>
        <w:t>iltizām</w:t>
      </w:r>
      <w:r w:rsidR="00045D1B" w:rsidRPr="00606B72">
        <w:rPr>
          <w:color w:val="000000" w:themeColor="text1"/>
        </w:rPr>
        <w:t>-based republic</w:t>
      </w:r>
      <w:r w:rsidR="00A9136A">
        <w:rPr>
          <w:rStyle w:val="FootnoteReference"/>
          <w:color w:val="000000" w:themeColor="text1"/>
        </w:rPr>
        <w:footnoteReference w:id="8"/>
      </w:r>
      <w:r w:rsidR="00045D1B" w:rsidRPr="00606B72">
        <w:rPr>
          <w:color w:val="000000" w:themeColor="text1"/>
        </w:rPr>
        <w:t xml:space="preserve">] </w:t>
      </w:r>
      <w:r w:rsidR="00C246A1" w:rsidRPr="00606B72">
        <w:rPr>
          <w:color w:val="000000" w:themeColor="text1"/>
        </w:rPr>
        <w:t xml:space="preserve">created by </w:t>
      </w:r>
      <w:r w:rsidR="00923414">
        <w:rPr>
          <w:color w:val="000000" w:themeColor="text1"/>
        </w:rPr>
        <w:t>Hammam</w:t>
      </w:r>
      <w:r w:rsidR="00C246A1" w:rsidRPr="00606B72">
        <w:rPr>
          <w:color w:val="000000" w:themeColor="text1"/>
        </w:rPr>
        <w:t xml:space="preserve"> ibn </w:t>
      </w:r>
      <w:r w:rsidR="00923414">
        <w:rPr>
          <w:color w:val="000000" w:themeColor="text1"/>
        </w:rPr>
        <w:t>Yusuf</w:t>
      </w:r>
      <w:r w:rsidR="00C246A1" w:rsidRPr="00606B72">
        <w:rPr>
          <w:color w:val="000000" w:themeColor="text1"/>
        </w:rPr>
        <w:t xml:space="preserve"> al-</w:t>
      </w:r>
      <w:r w:rsidR="00923414">
        <w:rPr>
          <w:color w:val="000000" w:themeColor="text1"/>
        </w:rPr>
        <w:t>Hawari</w:t>
      </w:r>
      <w:r w:rsidR="00C246A1" w:rsidRPr="00606B72">
        <w:rPr>
          <w:color w:val="000000" w:themeColor="text1"/>
        </w:rPr>
        <w:t xml:space="preserve">, a sheikh who led a revolt against the </w:t>
      </w:r>
      <w:r w:rsidR="00923414">
        <w:rPr>
          <w:color w:val="000000" w:themeColor="text1"/>
        </w:rPr>
        <w:t>mamluks</w:t>
      </w:r>
      <w:r w:rsidR="00C246A1" w:rsidRPr="00606B72">
        <w:rPr>
          <w:color w:val="000000" w:themeColor="text1"/>
        </w:rPr>
        <w:t xml:space="preserve"> in the 18</w:t>
      </w:r>
      <w:r w:rsidR="00C246A1" w:rsidRPr="00606B72">
        <w:rPr>
          <w:color w:val="000000" w:themeColor="text1"/>
          <w:vertAlign w:val="superscript"/>
        </w:rPr>
        <w:t>th</w:t>
      </w:r>
      <w:r w:rsidR="00C246A1" w:rsidRPr="00606B72">
        <w:rPr>
          <w:color w:val="000000" w:themeColor="text1"/>
        </w:rPr>
        <w:t xml:space="preserve"> century</w:t>
      </w:r>
      <w:r w:rsidR="004776C7" w:rsidRPr="00606B72">
        <w:rPr>
          <w:color w:val="000000" w:themeColor="text1"/>
        </w:rPr>
        <w:t>: “</w:t>
      </w:r>
      <w:r w:rsidR="004776C7" w:rsidRPr="00606B72">
        <w:t xml:space="preserve">However, as the people cannot simultaneously govern and be governed, there must be people who represent them and are chosen by them to rule; this is ‘republican government’, and the leading members are called ‘senators’.  This is similar to what happened in Egypt during the </w:t>
      </w:r>
      <w:r w:rsidR="00CB202B">
        <w:t>Hammam</w:t>
      </w:r>
      <w:r w:rsidR="004776C7" w:rsidRPr="00606B72">
        <w:t xml:space="preserve"> regime, when Upper Egypt was governed through </w:t>
      </w:r>
      <w:r w:rsidR="004776C7" w:rsidRPr="00606B72">
        <w:rPr>
          <w:i/>
          <w:iCs/>
        </w:rPr>
        <w:t>iltizām</w:t>
      </w:r>
      <w:r w:rsidR="004776C7" w:rsidRPr="00606B72">
        <w:t>-based majority rule [</w:t>
      </w:r>
      <w:r w:rsidR="004776C7" w:rsidRPr="00606B72">
        <w:rPr>
          <w:i/>
          <w:iCs/>
        </w:rPr>
        <w:t>jumhūriyya iltizāmiyya</w:t>
      </w:r>
      <w:r w:rsidR="004776C7" w:rsidRPr="00606B72">
        <w:t>]”</w:t>
      </w:r>
      <w:r w:rsidR="00A1575C" w:rsidRPr="00606B72">
        <w:t xml:space="preserve"> (2011</w:t>
      </w:r>
      <w:r w:rsidR="00ED5003">
        <w:t>:</w:t>
      </w:r>
      <w:r w:rsidR="00A1575C" w:rsidRPr="00606B72">
        <w:t xml:space="preserve"> 306-307).</w:t>
      </w:r>
      <w:r w:rsidR="00C246A1" w:rsidRPr="00606B72">
        <w:rPr>
          <w:rStyle w:val="FootnoteReference"/>
          <w:color w:val="000000" w:themeColor="text1"/>
        </w:rPr>
        <w:footnoteReference w:id="9"/>
      </w:r>
      <w:r w:rsidR="007864FE" w:rsidRPr="00606B72">
        <w:rPr>
          <w:color w:val="000000" w:themeColor="text1"/>
        </w:rPr>
        <w:t xml:space="preserve">  </w:t>
      </w:r>
      <w:r w:rsidR="00062A86" w:rsidRPr="00606B72">
        <w:t xml:space="preserve">In the case of </w:t>
      </w:r>
      <w:r w:rsidR="00062A86" w:rsidRPr="00606B72">
        <w:rPr>
          <w:color w:val="000000" w:themeColor="text1"/>
        </w:rPr>
        <w:t>al-</w:t>
      </w:r>
      <w:r w:rsidR="00CB202B">
        <w:rPr>
          <w:color w:val="000000" w:themeColor="text1"/>
        </w:rPr>
        <w:t>Hawari</w:t>
      </w:r>
      <w:r w:rsidR="00062A86" w:rsidRPr="00606B72">
        <w:rPr>
          <w:color w:val="000000" w:themeColor="text1"/>
        </w:rPr>
        <w:t xml:space="preserve">, a group </w:t>
      </w:r>
      <w:r w:rsidR="00CB202B">
        <w:rPr>
          <w:i/>
          <w:iCs/>
          <w:color w:val="000000" w:themeColor="text1"/>
        </w:rPr>
        <w:t>shuyūkh</w:t>
      </w:r>
      <w:r w:rsidR="00062A86" w:rsidRPr="00606B72">
        <w:rPr>
          <w:color w:val="000000" w:themeColor="text1"/>
        </w:rPr>
        <w:t xml:space="preserve"> </w:t>
      </w:r>
      <w:r w:rsidR="00FC7CE6">
        <w:rPr>
          <w:color w:val="000000" w:themeColor="text1"/>
        </w:rPr>
        <w:t>(</w:t>
      </w:r>
      <w:r w:rsidR="00062A86" w:rsidRPr="00606B72">
        <w:rPr>
          <w:color w:val="000000" w:themeColor="text1"/>
        </w:rPr>
        <w:t>or village elders</w:t>
      </w:r>
      <w:r w:rsidR="00FC7CE6">
        <w:rPr>
          <w:color w:val="000000" w:themeColor="text1"/>
        </w:rPr>
        <w:t>)</w:t>
      </w:r>
      <w:r w:rsidR="00062A86" w:rsidRPr="00606B72">
        <w:rPr>
          <w:color w:val="000000" w:themeColor="text1"/>
        </w:rPr>
        <w:t xml:space="preserve"> take the place of senators in the French system, and are charged with representing </w:t>
      </w:r>
      <w:r w:rsidR="00062A86" w:rsidRPr="00606B72">
        <w:rPr>
          <w:color w:val="000000" w:themeColor="text1"/>
        </w:rPr>
        <w:lastRenderedPageBreak/>
        <w:t>the interests of their communities.  It should be noted that a</w:t>
      </w:r>
      <w:r w:rsidR="00395271" w:rsidRPr="00606B72">
        <w:rPr>
          <w:color w:val="000000" w:themeColor="text1"/>
        </w:rPr>
        <w:t xml:space="preserve">lthough </w:t>
      </w:r>
      <w:r w:rsidR="00BC574A" w:rsidRPr="00606B72">
        <w:rPr>
          <w:color w:val="000000" w:themeColor="text1"/>
        </w:rPr>
        <w:t>al-Tahtawi</w:t>
      </w:r>
      <w:r w:rsidR="00395271" w:rsidRPr="00606B72">
        <w:rPr>
          <w:color w:val="000000" w:themeColor="text1"/>
        </w:rPr>
        <w:t xml:space="preserve"> uses the term </w:t>
      </w:r>
      <w:r w:rsidR="00395271" w:rsidRPr="00606B72">
        <w:rPr>
          <w:i/>
          <w:iCs/>
          <w:color w:val="000000" w:themeColor="text1"/>
        </w:rPr>
        <w:t>jumhūriyya</w:t>
      </w:r>
      <w:r w:rsidR="00395271" w:rsidRPr="00606B72">
        <w:rPr>
          <w:color w:val="000000" w:themeColor="text1"/>
        </w:rPr>
        <w:t xml:space="preserve">, which nowadays is translated as “republic,” </w:t>
      </w:r>
      <w:r w:rsidR="00BC574A" w:rsidRPr="00606B72">
        <w:rPr>
          <w:color w:val="000000" w:themeColor="text1"/>
        </w:rPr>
        <w:t>al-Tahtawi</w:t>
      </w:r>
      <w:r w:rsidR="00395271" w:rsidRPr="00606B72">
        <w:rPr>
          <w:color w:val="000000" w:themeColor="text1"/>
        </w:rPr>
        <w:t xml:space="preserve"> is only vaguely referring to any form of representative government rather than referring specifically to the </w:t>
      </w:r>
      <w:r w:rsidR="008547B1" w:rsidRPr="00606B72">
        <w:rPr>
          <w:color w:val="000000" w:themeColor="text1"/>
        </w:rPr>
        <w:t xml:space="preserve">European </w:t>
      </w:r>
      <w:r w:rsidR="00395271" w:rsidRPr="00606B72">
        <w:rPr>
          <w:color w:val="000000" w:themeColor="text1"/>
        </w:rPr>
        <w:t>republican political tradition</w:t>
      </w:r>
      <w:r w:rsidR="00E50F48" w:rsidRPr="00606B72">
        <w:rPr>
          <w:color w:val="000000" w:themeColor="text1"/>
        </w:rPr>
        <w:t>.</w:t>
      </w:r>
      <w:r w:rsidR="00E50F48" w:rsidRPr="00606B72">
        <w:rPr>
          <w:b/>
          <w:bCs/>
          <w:color w:val="000000" w:themeColor="text1"/>
        </w:rPr>
        <w:t xml:space="preserve"> </w:t>
      </w:r>
    </w:p>
    <w:p w14:paraId="10510C37" w14:textId="47049523" w:rsidR="00A406B1" w:rsidRPr="00606B72" w:rsidRDefault="00BC574A" w:rsidP="008B6C09">
      <w:pPr>
        <w:spacing w:line="480" w:lineRule="auto"/>
        <w:ind w:firstLine="720"/>
        <w:rPr>
          <w:color w:val="000000" w:themeColor="text1"/>
        </w:rPr>
      </w:pPr>
      <w:r w:rsidRPr="00606B72">
        <w:rPr>
          <w:color w:val="000000" w:themeColor="text1"/>
        </w:rPr>
        <w:t>Al-Tahtawi</w:t>
      </w:r>
      <w:r w:rsidR="00C246A1" w:rsidRPr="00606B72">
        <w:rPr>
          <w:color w:val="000000" w:themeColor="text1"/>
        </w:rPr>
        <w:t>’s loyalties are mad</w:t>
      </w:r>
      <w:r w:rsidR="00430D0F" w:rsidRPr="00606B72">
        <w:rPr>
          <w:color w:val="000000" w:themeColor="text1"/>
        </w:rPr>
        <w:t>e even more</w:t>
      </w:r>
      <w:r w:rsidR="00C246A1" w:rsidRPr="00606B72">
        <w:rPr>
          <w:color w:val="000000" w:themeColor="text1"/>
        </w:rPr>
        <w:t xml:space="preserve"> explicit in his discussion of the events of the revolt.  He blames the </w:t>
      </w:r>
      <w:r w:rsidR="00E226BE" w:rsidRPr="00606B72">
        <w:rPr>
          <w:color w:val="000000" w:themeColor="text1"/>
        </w:rPr>
        <w:t xml:space="preserve">collapse </w:t>
      </w:r>
      <w:r w:rsidR="00C246A1" w:rsidRPr="00606B72">
        <w:rPr>
          <w:color w:val="000000" w:themeColor="text1"/>
        </w:rPr>
        <w:t>of the monarchy directly on the failure of King Charles X to uphold and abide by the Charter</w:t>
      </w:r>
      <w:r w:rsidR="00C84950" w:rsidRPr="00606B72">
        <w:rPr>
          <w:color w:val="000000" w:themeColor="text1"/>
        </w:rPr>
        <w:t xml:space="preserve"> of 1814</w:t>
      </w:r>
      <w:r w:rsidR="00C246A1" w:rsidRPr="00606B72">
        <w:rPr>
          <w:color w:val="000000" w:themeColor="text1"/>
        </w:rPr>
        <w:t xml:space="preserve">, </w:t>
      </w:r>
      <w:r w:rsidR="00C71E67" w:rsidRPr="00606B72">
        <w:rPr>
          <w:color w:val="000000" w:themeColor="text1"/>
        </w:rPr>
        <w:t>especially</w:t>
      </w:r>
      <w:r w:rsidR="009960E9" w:rsidRPr="00606B72">
        <w:rPr>
          <w:color w:val="000000" w:themeColor="text1"/>
        </w:rPr>
        <w:t xml:space="preserve"> </w:t>
      </w:r>
      <w:r w:rsidR="00C246A1" w:rsidRPr="00606B72">
        <w:rPr>
          <w:color w:val="000000" w:themeColor="text1"/>
        </w:rPr>
        <w:t xml:space="preserve">the ordinances protecting the freedom of speech and the freedom of the press.  King Charles’ </w:t>
      </w:r>
      <w:r w:rsidR="00917BD3" w:rsidRPr="00606B72">
        <w:rPr>
          <w:color w:val="000000" w:themeColor="text1"/>
        </w:rPr>
        <w:t>political blunders</w:t>
      </w:r>
      <w:r w:rsidR="00C246A1" w:rsidRPr="00606B72">
        <w:rPr>
          <w:color w:val="000000" w:themeColor="text1"/>
        </w:rPr>
        <w:t xml:space="preserve"> began when he appointed Auguste-Jules-Armand-Marie, Prince de Polignac, who</w:t>
      </w:r>
      <w:r w:rsidR="00156122">
        <w:rPr>
          <w:color w:val="000000" w:themeColor="text1"/>
        </w:rPr>
        <w:t>,</w:t>
      </w:r>
      <w:r w:rsidR="00C246A1" w:rsidRPr="00606B72">
        <w:rPr>
          <w:color w:val="000000" w:themeColor="text1"/>
        </w:rPr>
        <w:t xml:space="preserve"> </w:t>
      </w:r>
      <w:r w:rsidR="005C45E4" w:rsidRPr="00606B72">
        <w:rPr>
          <w:color w:val="000000" w:themeColor="text1"/>
        </w:rPr>
        <w:t xml:space="preserve">according to </w:t>
      </w:r>
      <w:r w:rsidRPr="00606B72">
        <w:rPr>
          <w:color w:val="000000" w:themeColor="text1"/>
        </w:rPr>
        <w:t>al-Tahtawi</w:t>
      </w:r>
      <w:r w:rsidR="005C45E4" w:rsidRPr="00606B72">
        <w:rPr>
          <w:color w:val="000000" w:themeColor="text1"/>
        </w:rPr>
        <w:t xml:space="preserve">, </w:t>
      </w:r>
      <w:r w:rsidR="00C246A1" w:rsidRPr="00606B72">
        <w:rPr>
          <w:color w:val="000000" w:themeColor="text1"/>
        </w:rPr>
        <w:t>“is famous for being unjust and oppressive</w:t>
      </w:r>
      <w:r w:rsidR="000D5F4F" w:rsidRPr="00606B72">
        <w:rPr>
          <w:color w:val="000000" w:themeColor="text1"/>
        </w:rPr>
        <w:t>,</w:t>
      </w:r>
      <w:r w:rsidR="00C246A1" w:rsidRPr="00606B72">
        <w:rPr>
          <w:color w:val="000000" w:themeColor="text1"/>
        </w:rPr>
        <w:t>”</w:t>
      </w:r>
      <w:r w:rsidR="000D5F4F" w:rsidRPr="00606B72">
        <w:rPr>
          <w:color w:val="000000" w:themeColor="text1"/>
        </w:rPr>
        <w:t xml:space="preserve"> as prime minister.</w:t>
      </w:r>
      <w:r w:rsidR="00917BD3" w:rsidRPr="00606B72">
        <w:rPr>
          <w:color w:val="000000" w:themeColor="text1"/>
        </w:rPr>
        <w:t xml:space="preserve">  Additionally, al</w:t>
      </w:r>
      <w:r w:rsidR="004200C5">
        <w:rPr>
          <w:color w:val="000000" w:themeColor="text1"/>
        </w:rPr>
        <w:t xml:space="preserve">-Tahtawi </w:t>
      </w:r>
      <w:r w:rsidR="00917BD3" w:rsidRPr="00606B72">
        <w:t>insinuates that Polignac is King Charles’ illegitimate son, subtly emphasizing King Charles’ lack of moral credibility while also making Polignac’s appointment as prime minister an act of nepotism</w:t>
      </w:r>
      <w:r w:rsidR="002524D7" w:rsidRPr="00606B72">
        <w:t xml:space="preserve"> (2011</w:t>
      </w:r>
      <w:r w:rsidR="002533EA">
        <w:t>:</w:t>
      </w:r>
      <w:r w:rsidR="002524D7" w:rsidRPr="00606B72">
        <w:t xml:space="preserve"> 309).</w:t>
      </w:r>
      <w:r w:rsidR="00C246A1" w:rsidRPr="00606B72">
        <w:rPr>
          <w:color w:val="000000" w:themeColor="text1"/>
        </w:rPr>
        <w:t xml:space="preserve">  Fascinatingly, </w:t>
      </w:r>
      <w:r w:rsidRPr="00606B72">
        <w:rPr>
          <w:color w:val="000000" w:themeColor="text1"/>
        </w:rPr>
        <w:t>al-Tahtawi</w:t>
      </w:r>
      <w:r w:rsidR="00C246A1" w:rsidRPr="00606B72">
        <w:rPr>
          <w:color w:val="000000" w:themeColor="text1"/>
        </w:rPr>
        <w:t xml:space="preserve"> cites a </w:t>
      </w:r>
      <w:r w:rsidR="003606AE">
        <w:rPr>
          <w:color w:val="000000" w:themeColor="text1"/>
        </w:rPr>
        <w:t>hadith</w:t>
      </w:r>
      <w:r w:rsidR="00C246A1" w:rsidRPr="00606B72">
        <w:rPr>
          <w:color w:val="000000" w:themeColor="text1"/>
        </w:rPr>
        <w:t xml:space="preserve"> to justify the revolution: “In a </w:t>
      </w:r>
      <w:r w:rsidR="003606AE">
        <w:rPr>
          <w:color w:val="000000" w:themeColor="text1"/>
        </w:rPr>
        <w:t>hadith</w:t>
      </w:r>
      <w:r w:rsidR="00C246A1" w:rsidRPr="00606B72">
        <w:rPr>
          <w:color w:val="000000" w:themeColor="text1"/>
        </w:rPr>
        <w:t>, we find the following: ‘</w:t>
      </w:r>
      <w:r w:rsidR="00C246A1" w:rsidRPr="00606B72">
        <w:rPr>
          <w:i/>
          <w:iCs/>
          <w:color w:val="000000" w:themeColor="text1"/>
        </w:rPr>
        <w:t>He who pulls out the sword of injustice, against him the sword of defeat is drawn, and sorrow will stay with him for ever</w:t>
      </w:r>
      <w:r w:rsidR="00C246A1" w:rsidRPr="00606B72">
        <w:rPr>
          <w:color w:val="000000" w:themeColor="text1"/>
        </w:rPr>
        <w:t>’”</w:t>
      </w:r>
      <w:r w:rsidR="00125A3D" w:rsidRPr="00606B72">
        <w:rPr>
          <w:color w:val="000000" w:themeColor="text1"/>
        </w:rPr>
        <w:t xml:space="preserve"> (2011</w:t>
      </w:r>
      <w:r w:rsidR="002533EA">
        <w:rPr>
          <w:color w:val="000000" w:themeColor="text1"/>
        </w:rPr>
        <w:t>:</w:t>
      </w:r>
      <w:r w:rsidR="00125A3D" w:rsidRPr="00606B72">
        <w:rPr>
          <w:color w:val="000000" w:themeColor="text1"/>
        </w:rPr>
        <w:t xml:space="preserve"> 309).</w:t>
      </w:r>
      <w:r w:rsidR="00C246A1" w:rsidRPr="00606B72">
        <w:rPr>
          <w:color w:val="000000" w:themeColor="text1"/>
        </w:rPr>
        <w:t xml:space="preserve">  Despite the fact that Polignac, not King Charles, committed the</w:t>
      </w:r>
      <w:r w:rsidR="000620D6" w:rsidRPr="00606B72">
        <w:rPr>
          <w:color w:val="000000" w:themeColor="text1"/>
        </w:rPr>
        <w:t xml:space="preserve"> crimes</w:t>
      </w:r>
      <w:r w:rsidR="00C246A1" w:rsidRPr="00606B72">
        <w:rPr>
          <w:color w:val="000000" w:themeColor="text1"/>
        </w:rPr>
        <w:t>,</w:t>
      </w:r>
      <w:r w:rsidR="00413FDE" w:rsidRPr="00606B72">
        <w:rPr>
          <w:color w:val="000000" w:themeColor="text1"/>
        </w:rPr>
        <w:t xml:space="preserve"> </w:t>
      </w:r>
      <w:r w:rsidR="00C246A1" w:rsidRPr="00606B72">
        <w:rPr>
          <w:color w:val="000000" w:themeColor="text1"/>
        </w:rPr>
        <w:t>the revolution is justified based on the fact that King Charles “pulls out the sword of injustice”</w:t>
      </w:r>
      <w:r w:rsidR="001A567A" w:rsidRPr="00606B72">
        <w:rPr>
          <w:color w:val="000000" w:themeColor="text1"/>
        </w:rPr>
        <w:t xml:space="preserve"> by appointing </w:t>
      </w:r>
      <w:r w:rsidR="005E4D5D" w:rsidRPr="00606B72">
        <w:rPr>
          <w:color w:val="000000" w:themeColor="text1"/>
        </w:rPr>
        <w:t>Polignac</w:t>
      </w:r>
      <w:r w:rsidR="001A567A" w:rsidRPr="00606B72">
        <w:rPr>
          <w:color w:val="000000" w:themeColor="text1"/>
        </w:rPr>
        <w:t xml:space="preserve"> to such a prominent position.</w:t>
      </w:r>
      <w:r w:rsidR="00C246A1" w:rsidRPr="00606B72">
        <w:rPr>
          <w:color w:val="000000" w:themeColor="text1"/>
        </w:rPr>
        <w:t xml:space="preserve">  That King Charles’ ultimate downfall was caused by his reliance on an unreliable counsellor, Polignac, is significant.  </w:t>
      </w:r>
      <w:r w:rsidRPr="00606B72">
        <w:rPr>
          <w:color w:val="000000" w:themeColor="text1"/>
        </w:rPr>
        <w:t>Al-Tahtawi</w:t>
      </w:r>
      <w:r w:rsidR="00C246A1" w:rsidRPr="00606B72">
        <w:rPr>
          <w:color w:val="000000" w:themeColor="text1"/>
        </w:rPr>
        <w:t xml:space="preserve"> implicitly suggests that </w:t>
      </w:r>
      <w:r w:rsidR="00706D7F" w:rsidRPr="00606B72">
        <w:rPr>
          <w:color w:val="000000" w:themeColor="text1"/>
        </w:rPr>
        <w:t>Muhammad</w:t>
      </w:r>
      <w:r w:rsidR="00C246A1" w:rsidRPr="00606B72">
        <w:rPr>
          <w:color w:val="000000" w:themeColor="text1"/>
        </w:rPr>
        <w:t xml:space="preserve"> </w:t>
      </w:r>
      <w:r w:rsidR="0014128A">
        <w:rPr>
          <w:color w:val="000000" w:themeColor="text1"/>
        </w:rPr>
        <w:t>ʿ</w:t>
      </w:r>
      <w:r w:rsidR="00C246A1" w:rsidRPr="00606B72">
        <w:rPr>
          <w:color w:val="000000" w:themeColor="text1"/>
        </w:rPr>
        <w:t xml:space="preserve">Ali will suffer the same fate as King Charles if he does not uphold the principles of good governance (freedom, justice, and equity), and if he relies on bad counsellors rather than good counsellors (presumably, like </w:t>
      </w:r>
      <w:r w:rsidRPr="00606B72">
        <w:rPr>
          <w:color w:val="000000" w:themeColor="text1"/>
        </w:rPr>
        <w:t>al-Tahtawi</w:t>
      </w:r>
      <w:r w:rsidR="00C246A1" w:rsidRPr="00606B72">
        <w:rPr>
          <w:color w:val="000000" w:themeColor="text1"/>
        </w:rPr>
        <w:t xml:space="preserve">).  </w:t>
      </w:r>
    </w:p>
    <w:p w14:paraId="38789DB0" w14:textId="61B4C203" w:rsidR="009306E7" w:rsidRPr="00606B72" w:rsidRDefault="009306E7" w:rsidP="00D77C01">
      <w:pPr>
        <w:spacing w:before="240" w:after="240" w:line="480" w:lineRule="auto"/>
        <w:jc w:val="center"/>
        <w:rPr>
          <w:rFonts w:eastAsia="Times New Roman"/>
          <w:color w:val="000000" w:themeColor="text1"/>
          <w:u w:val="single"/>
        </w:rPr>
      </w:pPr>
      <w:r w:rsidRPr="00606B72">
        <w:rPr>
          <w:rFonts w:eastAsia="Times New Roman"/>
          <w:color w:val="000000" w:themeColor="text1"/>
          <w:u w:val="single"/>
        </w:rPr>
        <w:t>Conclusion</w:t>
      </w:r>
      <w:r w:rsidR="000D50F0">
        <w:rPr>
          <w:rFonts w:eastAsia="Times New Roman"/>
          <w:color w:val="000000" w:themeColor="text1"/>
          <w:u w:val="single"/>
        </w:rPr>
        <w:t>: Tradition and Change</w:t>
      </w:r>
    </w:p>
    <w:p w14:paraId="44AD50ED" w14:textId="4FDCB0EF" w:rsidR="00363A14" w:rsidRDefault="00817A3A" w:rsidP="00F8662A">
      <w:pPr>
        <w:spacing w:line="480" w:lineRule="auto"/>
        <w:ind w:firstLine="720"/>
        <w:rPr>
          <w:rFonts w:eastAsia="Times New Roman"/>
          <w:color w:val="000000" w:themeColor="text1"/>
        </w:rPr>
      </w:pPr>
      <w:r w:rsidRPr="00606B72">
        <w:rPr>
          <w:rFonts w:eastAsia="Times New Roman"/>
          <w:i/>
          <w:iCs/>
          <w:color w:val="000000" w:themeColor="text1"/>
        </w:rPr>
        <w:lastRenderedPageBreak/>
        <w:t>Na</w:t>
      </w:r>
      <w:r w:rsidR="00252B35" w:rsidRPr="00606B72">
        <w:rPr>
          <w:rFonts w:eastAsia="Times New Roman"/>
          <w:i/>
          <w:iCs/>
          <w:color w:val="000000" w:themeColor="text1"/>
        </w:rPr>
        <w:t>ṣīḥa</w:t>
      </w:r>
      <w:r w:rsidR="00252B35" w:rsidRPr="00606B72">
        <w:rPr>
          <w:rFonts w:eastAsia="Times New Roman"/>
          <w:color w:val="000000" w:themeColor="text1"/>
        </w:rPr>
        <w:t xml:space="preserve"> is a fascinatingly complex genre that</w:t>
      </w:r>
      <w:r w:rsidR="00AE5BBA">
        <w:rPr>
          <w:rFonts w:eastAsia="Times New Roman"/>
          <w:color w:val="000000" w:themeColor="text1"/>
        </w:rPr>
        <w:t xml:space="preserve"> </w:t>
      </w:r>
      <w:r w:rsidR="00CE27C0" w:rsidRPr="00606B72">
        <w:rPr>
          <w:rFonts w:eastAsia="Times New Roman"/>
          <w:color w:val="000000" w:themeColor="text1"/>
        </w:rPr>
        <w:t xml:space="preserve">implies the articulation of </w:t>
      </w:r>
      <w:r w:rsidR="005B7149" w:rsidRPr="00606B72">
        <w:rPr>
          <w:rFonts w:eastAsia="Times New Roman"/>
          <w:color w:val="000000" w:themeColor="text1"/>
        </w:rPr>
        <w:t>a</w:t>
      </w:r>
      <w:r w:rsidR="00CE27C0" w:rsidRPr="00606B72">
        <w:rPr>
          <w:rFonts w:eastAsia="Times New Roman"/>
          <w:color w:val="000000" w:themeColor="text1"/>
        </w:rPr>
        <w:t xml:space="preserve"> definition of Islam o</w:t>
      </w:r>
      <w:r w:rsidR="00B466B8" w:rsidRPr="00606B72">
        <w:rPr>
          <w:rFonts w:eastAsia="Times New Roman"/>
          <w:color w:val="000000" w:themeColor="text1"/>
        </w:rPr>
        <w:t xml:space="preserve">n the part of </w:t>
      </w:r>
      <w:r w:rsidR="00FE2F92" w:rsidRPr="00606B72">
        <w:rPr>
          <w:rFonts w:eastAsia="Times New Roman"/>
          <w:color w:val="000000" w:themeColor="text1"/>
        </w:rPr>
        <w:t>the advice giver</w:t>
      </w:r>
      <w:r w:rsidR="00252B35" w:rsidRPr="00606B72">
        <w:rPr>
          <w:rFonts w:eastAsia="Times New Roman"/>
          <w:color w:val="000000" w:themeColor="text1"/>
        </w:rPr>
        <w:t xml:space="preserve">.  </w:t>
      </w:r>
      <w:r w:rsidR="00AF5871" w:rsidRPr="00606B72">
        <w:rPr>
          <w:rFonts w:eastAsia="Times New Roman"/>
          <w:color w:val="000000" w:themeColor="text1"/>
        </w:rPr>
        <w:t xml:space="preserve">As we have seen, </w:t>
      </w:r>
      <w:r w:rsidR="005511C2" w:rsidRPr="00606B72">
        <w:rPr>
          <w:rFonts w:eastAsia="Times New Roman"/>
          <w:color w:val="000000" w:themeColor="text1"/>
        </w:rPr>
        <w:t xml:space="preserve">this genre operates through </w:t>
      </w:r>
      <w:r w:rsidR="00BC574A" w:rsidRPr="00606B72">
        <w:rPr>
          <w:rFonts w:eastAsia="Times New Roman"/>
          <w:color w:val="000000" w:themeColor="text1"/>
        </w:rPr>
        <w:t>al-Tahtawi</w:t>
      </w:r>
      <w:r w:rsidR="005511C2" w:rsidRPr="00606B72">
        <w:rPr>
          <w:rFonts w:eastAsia="Times New Roman"/>
          <w:color w:val="000000" w:themeColor="text1"/>
        </w:rPr>
        <w:t xml:space="preserve">’s </w:t>
      </w:r>
      <w:r w:rsidR="00DB66A8">
        <w:rPr>
          <w:rFonts w:eastAsia="Times New Roman"/>
          <w:i/>
          <w:iCs/>
          <w:color w:val="000000" w:themeColor="text1"/>
        </w:rPr>
        <w:t>Takhlis</w:t>
      </w:r>
      <w:r w:rsidR="005511C2" w:rsidRPr="00606B72">
        <w:rPr>
          <w:rFonts w:eastAsia="Times New Roman"/>
          <w:color w:val="000000" w:themeColor="text1"/>
        </w:rPr>
        <w:t xml:space="preserve">, </w:t>
      </w:r>
      <w:r w:rsidR="00AF5871" w:rsidRPr="00606B72">
        <w:rPr>
          <w:rFonts w:eastAsia="Times New Roman"/>
          <w:color w:val="000000" w:themeColor="text1"/>
        </w:rPr>
        <w:t xml:space="preserve">not as a </w:t>
      </w:r>
      <w:r w:rsidR="00F25093" w:rsidRPr="00606B72">
        <w:rPr>
          <w:rFonts w:eastAsia="Times New Roman"/>
          <w:color w:val="000000" w:themeColor="text1"/>
        </w:rPr>
        <w:t>kowtowing</w:t>
      </w:r>
      <w:r w:rsidR="00A57040" w:rsidRPr="00606B72">
        <w:rPr>
          <w:rFonts w:eastAsia="Times New Roman"/>
          <w:color w:val="000000" w:themeColor="text1"/>
        </w:rPr>
        <w:t xml:space="preserve"> </w:t>
      </w:r>
      <w:r w:rsidR="00AF5871" w:rsidRPr="00606B72">
        <w:rPr>
          <w:rFonts w:eastAsia="Times New Roman"/>
          <w:color w:val="000000" w:themeColor="text1"/>
        </w:rPr>
        <w:t>means</w:t>
      </w:r>
      <w:r w:rsidR="005511C2" w:rsidRPr="00606B72">
        <w:rPr>
          <w:rFonts w:eastAsia="Times New Roman"/>
          <w:color w:val="000000" w:themeColor="text1"/>
        </w:rPr>
        <w:t xml:space="preserve"> to justify </w:t>
      </w:r>
      <w:r w:rsidR="00537061" w:rsidRPr="00606B72">
        <w:rPr>
          <w:rFonts w:eastAsia="Times New Roman"/>
          <w:color w:val="000000" w:themeColor="text1"/>
        </w:rPr>
        <w:t xml:space="preserve">authoritarianism </w:t>
      </w:r>
      <w:r w:rsidR="005511C2" w:rsidRPr="00606B72">
        <w:rPr>
          <w:rFonts w:eastAsia="Times New Roman"/>
          <w:color w:val="000000" w:themeColor="text1"/>
        </w:rPr>
        <w:t>and absolute monarchy</w:t>
      </w:r>
      <w:r w:rsidR="00AF5871" w:rsidRPr="00606B72">
        <w:rPr>
          <w:rFonts w:eastAsia="Times New Roman"/>
          <w:color w:val="000000" w:themeColor="text1"/>
        </w:rPr>
        <w:t>, as some critics argu</w:t>
      </w:r>
      <w:r w:rsidR="00181BA8" w:rsidRPr="00606B72">
        <w:rPr>
          <w:rFonts w:eastAsia="Times New Roman"/>
          <w:color w:val="000000" w:themeColor="text1"/>
        </w:rPr>
        <w:t>e, but as a</w:t>
      </w:r>
      <w:r w:rsidR="0080757F" w:rsidRPr="00606B72">
        <w:rPr>
          <w:rFonts w:eastAsia="Times New Roman"/>
          <w:color w:val="000000" w:themeColor="text1"/>
        </w:rPr>
        <w:t xml:space="preserve"> genuine</w:t>
      </w:r>
      <w:r w:rsidR="00181BA8" w:rsidRPr="00606B72">
        <w:rPr>
          <w:rFonts w:eastAsia="Times New Roman"/>
          <w:color w:val="000000" w:themeColor="text1"/>
        </w:rPr>
        <w:t xml:space="preserve"> attempt to assert an articulation of Islamic tradition as something that </w:t>
      </w:r>
      <w:r w:rsidR="00E72E01" w:rsidRPr="00606B72">
        <w:rPr>
          <w:rFonts w:eastAsia="Times New Roman"/>
          <w:color w:val="000000" w:themeColor="text1"/>
        </w:rPr>
        <w:t xml:space="preserve">can </w:t>
      </w:r>
      <w:r w:rsidR="00885212" w:rsidRPr="00606B72">
        <w:rPr>
          <w:rFonts w:eastAsia="Times New Roman"/>
          <w:color w:val="000000" w:themeColor="text1"/>
        </w:rPr>
        <w:t>accommodate and integrate newnes</w:t>
      </w:r>
      <w:r w:rsidR="008003B0" w:rsidRPr="00606B72">
        <w:rPr>
          <w:rFonts w:eastAsia="Times New Roman"/>
          <w:color w:val="000000" w:themeColor="text1"/>
        </w:rPr>
        <w:t>s and difference</w:t>
      </w:r>
      <w:r w:rsidR="00181BA8" w:rsidRPr="00606B72">
        <w:rPr>
          <w:rFonts w:eastAsia="Times New Roman"/>
          <w:color w:val="000000" w:themeColor="text1"/>
        </w:rPr>
        <w:t xml:space="preserve">.  </w:t>
      </w:r>
      <w:r w:rsidR="00D324D3" w:rsidRPr="00606B72">
        <w:rPr>
          <w:rFonts w:eastAsia="Times New Roman"/>
          <w:color w:val="000000" w:themeColor="text1"/>
        </w:rPr>
        <w:t xml:space="preserve">Because of their </w:t>
      </w:r>
      <w:r w:rsidR="0094295C">
        <w:rPr>
          <w:rFonts w:eastAsia="Times New Roman"/>
          <w:color w:val="000000" w:themeColor="text1"/>
        </w:rPr>
        <w:t>characterization</w:t>
      </w:r>
      <w:r w:rsidR="00D324D3" w:rsidRPr="00606B72">
        <w:rPr>
          <w:rFonts w:eastAsia="Times New Roman"/>
          <w:color w:val="000000" w:themeColor="text1"/>
        </w:rPr>
        <w:t xml:space="preserve"> of </w:t>
      </w:r>
      <w:r w:rsidR="00D324D3" w:rsidRPr="00606B72">
        <w:rPr>
          <w:rFonts w:eastAsia="Times New Roman"/>
          <w:i/>
          <w:iCs/>
          <w:color w:val="000000" w:themeColor="text1"/>
        </w:rPr>
        <w:t>naṣīḥa</w:t>
      </w:r>
      <w:r w:rsidR="00D324D3" w:rsidRPr="00606B72">
        <w:rPr>
          <w:rFonts w:eastAsia="Times New Roman"/>
          <w:color w:val="000000" w:themeColor="text1"/>
        </w:rPr>
        <w:t xml:space="preserve"> as sycophantic, for</w:t>
      </w:r>
      <w:r w:rsidR="00FF3981" w:rsidRPr="00606B72">
        <w:rPr>
          <w:rFonts w:eastAsia="Times New Roman"/>
          <w:color w:val="000000" w:themeColor="text1"/>
        </w:rPr>
        <w:t xml:space="preserve"> </w:t>
      </w:r>
      <w:r w:rsidR="00437AF3" w:rsidRPr="00606B72">
        <w:rPr>
          <w:rFonts w:eastAsia="Times New Roman"/>
          <w:color w:val="000000" w:themeColor="text1"/>
        </w:rPr>
        <w:t>Gran, Euben, and Altman</w:t>
      </w:r>
      <w:r w:rsidR="00D324D3" w:rsidRPr="00606B72">
        <w:rPr>
          <w:rFonts w:eastAsia="Times New Roman"/>
          <w:color w:val="000000" w:themeColor="text1"/>
        </w:rPr>
        <w:t xml:space="preserve">, </w:t>
      </w:r>
      <w:r w:rsidR="00BC574A" w:rsidRPr="00606B72">
        <w:rPr>
          <w:rFonts w:eastAsia="Times New Roman"/>
          <w:color w:val="000000" w:themeColor="text1"/>
        </w:rPr>
        <w:t>al-Tahtawi</w:t>
      </w:r>
      <w:r w:rsidR="00D324D3" w:rsidRPr="00606B72">
        <w:rPr>
          <w:rFonts w:eastAsia="Times New Roman"/>
          <w:color w:val="000000" w:themeColor="text1"/>
        </w:rPr>
        <w:t xml:space="preserve"> either can be or cannot be described as a </w:t>
      </w:r>
      <w:r w:rsidR="00D324D3" w:rsidRPr="00606B72">
        <w:rPr>
          <w:rFonts w:eastAsia="Times New Roman"/>
          <w:i/>
          <w:iCs/>
          <w:color w:val="000000" w:themeColor="text1"/>
        </w:rPr>
        <w:t>nāsiḥ</w:t>
      </w:r>
      <w:r w:rsidR="00D324D3" w:rsidRPr="00606B72">
        <w:rPr>
          <w:rFonts w:eastAsia="Times New Roman"/>
          <w:color w:val="000000" w:themeColor="text1"/>
        </w:rPr>
        <w:t xml:space="preserve"> depending on the degree to which they understand him to be a </w:t>
      </w:r>
      <w:r w:rsidR="00394FC9" w:rsidRPr="00606B72">
        <w:rPr>
          <w:rFonts w:eastAsia="Times New Roman"/>
          <w:color w:val="000000" w:themeColor="text1"/>
        </w:rPr>
        <w:t>sycophant</w:t>
      </w:r>
      <w:r w:rsidR="00CC01E8" w:rsidRPr="00606B72">
        <w:rPr>
          <w:rFonts w:eastAsia="Times New Roman"/>
          <w:color w:val="000000" w:themeColor="text1"/>
        </w:rPr>
        <w:t xml:space="preserve">.  This leads all three of them </w:t>
      </w:r>
      <w:r w:rsidR="00D324D3" w:rsidRPr="00606B72">
        <w:rPr>
          <w:rFonts w:eastAsia="Times New Roman"/>
          <w:color w:val="000000" w:themeColor="text1"/>
        </w:rPr>
        <w:t xml:space="preserve">to an </w:t>
      </w:r>
      <w:r w:rsidR="00655E85" w:rsidRPr="00606B72">
        <w:rPr>
          <w:rFonts w:eastAsia="Times New Roman"/>
          <w:color w:val="000000" w:themeColor="text1"/>
        </w:rPr>
        <w:t xml:space="preserve">account of the text that is too heavily invested in the </w:t>
      </w:r>
      <w:r w:rsidR="00AD5F90" w:rsidRPr="00606B72">
        <w:rPr>
          <w:rFonts w:eastAsia="Times New Roman"/>
          <w:color w:val="000000" w:themeColor="text1"/>
        </w:rPr>
        <w:t xml:space="preserve">deference </w:t>
      </w:r>
      <w:r w:rsidR="00BC574A" w:rsidRPr="00606B72">
        <w:rPr>
          <w:rFonts w:eastAsia="Times New Roman"/>
          <w:color w:val="000000" w:themeColor="text1"/>
        </w:rPr>
        <w:t>al-Tahtawi</w:t>
      </w:r>
      <w:r w:rsidR="00AD5F90" w:rsidRPr="00606B72">
        <w:rPr>
          <w:rFonts w:eastAsia="Times New Roman"/>
          <w:color w:val="000000" w:themeColor="text1"/>
        </w:rPr>
        <w:t xml:space="preserve"> shows to </w:t>
      </w:r>
      <w:r w:rsidR="00706D7F" w:rsidRPr="00606B72">
        <w:rPr>
          <w:rFonts w:eastAsia="Times New Roman"/>
          <w:color w:val="000000" w:themeColor="text1"/>
        </w:rPr>
        <w:t>Muhammad</w:t>
      </w:r>
      <w:r w:rsidR="00AD5F90" w:rsidRPr="00606B72">
        <w:rPr>
          <w:rFonts w:eastAsia="Times New Roman"/>
          <w:color w:val="000000" w:themeColor="text1"/>
        </w:rPr>
        <w:t xml:space="preserve"> </w:t>
      </w:r>
      <w:r w:rsidR="00F27AA5" w:rsidRPr="00606B72">
        <w:rPr>
          <w:rFonts w:eastAsia="Times New Roman"/>
          <w:color w:val="000000" w:themeColor="text1"/>
        </w:rPr>
        <w:t>ʿ</w:t>
      </w:r>
      <w:r w:rsidR="00AD5F90" w:rsidRPr="00606B72">
        <w:rPr>
          <w:rFonts w:eastAsia="Times New Roman"/>
          <w:color w:val="000000" w:themeColor="text1"/>
        </w:rPr>
        <w:t>Ali and the apparent submissiveness of his character</w:t>
      </w:r>
      <w:r w:rsidR="00D324D3" w:rsidRPr="00606B72">
        <w:rPr>
          <w:rFonts w:eastAsia="Times New Roman"/>
          <w:color w:val="000000" w:themeColor="text1"/>
        </w:rPr>
        <w:t xml:space="preserve">.  </w:t>
      </w:r>
      <w:r w:rsidR="00655E85" w:rsidRPr="00606B72">
        <w:rPr>
          <w:rFonts w:eastAsia="Times New Roman"/>
          <w:color w:val="000000" w:themeColor="text1"/>
        </w:rPr>
        <w:t xml:space="preserve">Approaching the text with a more nuanced understanding of </w:t>
      </w:r>
      <w:r w:rsidR="00655E85" w:rsidRPr="00606B72">
        <w:rPr>
          <w:rFonts w:eastAsia="Times New Roman"/>
          <w:i/>
          <w:iCs/>
          <w:color w:val="000000" w:themeColor="text1"/>
        </w:rPr>
        <w:t>naṣīḥa</w:t>
      </w:r>
      <w:r w:rsidR="009437AE" w:rsidRPr="00606B72">
        <w:rPr>
          <w:rFonts w:eastAsia="Times New Roman"/>
          <w:color w:val="000000" w:themeColor="text1"/>
        </w:rPr>
        <w:t xml:space="preserve">, I </w:t>
      </w:r>
      <w:r w:rsidR="00E226BE" w:rsidRPr="00606B72">
        <w:rPr>
          <w:rFonts w:eastAsia="Times New Roman"/>
          <w:color w:val="000000" w:themeColor="text1"/>
        </w:rPr>
        <w:t xml:space="preserve">have </w:t>
      </w:r>
      <w:r w:rsidR="009437AE" w:rsidRPr="00606B72">
        <w:rPr>
          <w:rFonts w:eastAsia="Times New Roman"/>
          <w:color w:val="000000" w:themeColor="text1"/>
        </w:rPr>
        <w:t>argue</w:t>
      </w:r>
      <w:r w:rsidR="00E226BE" w:rsidRPr="00606B72">
        <w:rPr>
          <w:rFonts w:eastAsia="Times New Roman"/>
          <w:color w:val="000000" w:themeColor="text1"/>
        </w:rPr>
        <w:t>d</w:t>
      </w:r>
      <w:r w:rsidR="009437AE" w:rsidRPr="00606B72">
        <w:rPr>
          <w:rFonts w:eastAsia="Times New Roman"/>
          <w:color w:val="000000" w:themeColor="text1"/>
        </w:rPr>
        <w:t xml:space="preserve">, </w:t>
      </w:r>
      <w:r w:rsidR="00655E85" w:rsidRPr="00606B72">
        <w:rPr>
          <w:rFonts w:eastAsia="Times New Roman"/>
          <w:color w:val="000000" w:themeColor="text1"/>
        </w:rPr>
        <w:t>significantly</w:t>
      </w:r>
      <w:r w:rsidR="00D324D3" w:rsidRPr="00606B72">
        <w:rPr>
          <w:rFonts w:eastAsia="Times New Roman"/>
          <w:color w:val="000000" w:themeColor="text1"/>
        </w:rPr>
        <w:t xml:space="preserve"> affects the way that we might read </w:t>
      </w:r>
      <w:r w:rsidR="00AD5F90" w:rsidRPr="00606B72">
        <w:rPr>
          <w:rFonts w:eastAsia="Times New Roman"/>
          <w:color w:val="000000" w:themeColor="text1"/>
        </w:rPr>
        <w:t>it</w:t>
      </w:r>
      <w:r w:rsidR="00D324D3" w:rsidRPr="00606B72">
        <w:rPr>
          <w:rFonts w:eastAsia="Times New Roman"/>
          <w:color w:val="000000" w:themeColor="text1"/>
        </w:rPr>
        <w:t>.</w:t>
      </w:r>
      <w:r w:rsidR="00AD5F90" w:rsidRPr="00606B72">
        <w:rPr>
          <w:rFonts w:eastAsia="Times New Roman"/>
          <w:color w:val="000000" w:themeColor="text1"/>
        </w:rPr>
        <w:t xml:space="preserve">  </w:t>
      </w:r>
      <w:r w:rsidR="00B944C1" w:rsidRPr="00606B72">
        <w:rPr>
          <w:rFonts w:eastAsia="Times New Roman"/>
          <w:color w:val="000000" w:themeColor="text1"/>
        </w:rPr>
        <w:t xml:space="preserve">Rather than merely looking to curry favor with his liege, </w:t>
      </w:r>
      <w:r w:rsidR="00BC574A" w:rsidRPr="00606B72">
        <w:rPr>
          <w:rFonts w:eastAsia="Times New Roman"/>
          <w:color w:val="000000" w:themeColor="text1"/>
        </w:rPr>
        <w:t>al-Tahtawi</w:t>
      </w:r>
      <w:r w:rsidR="00B944C1" w:rsidRPr="00606B72">
        <w:rPr>
          <w:rFonts w:eastAsia="Times New Roman"/>
          <w:color w:val="000000" w:themeColor="text1"/>
        </w:rPr>
        <w:t xml:space="preserve"> takes on a much more active role, subtly criticizing the guiding principles of Egypt and asserting his own conceptualization of Islam.  </w:t>
      </w:r>
    </w:p>
    <w:p w14:paraId="6C425199" w14:textId="2BC6889D" w:rsidR="009600CC" w:rsidRPr="00606B72" w:rsidRDefault="00FD0840" w:rsidP="00FD0840">
      <w:pPr>
        <w:spacing w:line="480" w:lineRule="auto"/>
        <w:ind w:firstLine="720"/>
        <w:rPr>
          <w:rFonts w:eastAsia="Times New Roman"/>
          <w:color w:val="000000" w:themeColor="text1"/>
        </w:rPr>
      </w:pPr>
      <w:r>
        <w:rPr>
          <w:rFonts w:eastAsia="Times New Roman"/>
          <w:color w:val="000000" w:themeColor="text1"/>
        </w:rPr>
        <w:t>A reconsideration of al-Tahtawi’s and other 19</w:t>
      </w:r>
      <w:r w:rsidRPr="00363A14">
        <w:rPr>
          <w:rFonts w:eastAsia="Times New Roman"/>
          <w:color w:val="000000" w:themeColor="text1"/>
          <w:vertAlign w:val="superscript"/>
        </w:rPr>
        <w:t>th</w:t>
      </w:r>
      <w:r>
        <w:rPr>
          <w:rFonts w:eastAsia="Times New Roman"/>
          <w:color w:val="000000" w:themeColor="text1"/>
        </w:rPr>
        <w:t xml:space="preserve"> century thinkers allows us to move away from an assumption that many bring to the field in political theory that Islam is static and opposed to modernity and liberal values.  </w:t>
      </w:r>
      <w:r w:rsidR="00C0634D">
        <w:rPr>
          <w:rFonts w:eastAsia="Times New Roman"/>
          <w:color w:val="000000" w:themeColor="text1"/>
        </w:rPr>
        <w:t>Critics</w:t>
      </w:r>
      <w:r w:rsidR="008003B0" w:rsidRPr="00606B72">
        <w:rPr>
          <w:rFonts w:eastAsia="Times New Roman"/>
          <w:color w:val="000000" w:themeColor="text1"/>
        </w:rPr>
        <w:t xml:space="preserve"> of Islam see it as </w:t>
      </w:r>
      <w:r w:rsidR="009437AE" w:rsidRPr="00606B72">
        <w:rPr>
          <w:rFonts w:eastAsia="Times New Roman"/>
          <w:color w:val="000000" w:themeColor="text1"/>
        </w:rPr>
        <w:t>a religion that places too much emphasis on tradition</w:t>
      </w:r>
      <w:r>
        <w:rPr>
          <w:rFonts w:eastAsia="Times New Roman"/>
          <w:color w:val="000000" w:themeColor="text1"/>
        </w:rPr>
        <w:t xml:space="preserve"> and claim that </w:t>
      </w:r>
      <w:r w:rsidR="009437AE" w:rsidRPr="00606B72">
        <w:rPr>
          <w:rFonts w:eastAsia="Times New Roman"/>
          <w:color w:val="000000" w:themeColor="text1"/>
        </w:rPr>
        <w:t>Islam must be refashioned</w:t>
      </w:r>
      <w:r w:rsidR="00370C66" w:rsidRPr="00606B72">
        <w:rPr>
          <w:rFonts w:eastAsia="Times New Roman"/>
          <w:color w:val="000000" w:themeColor="text1"/>
        </w:rPr>
        <w:t xml:space="preserve"> to </w:t>
      </w:r>
      <w:r w:rsidR="009437AE" w:rsidRPr="00606B72">
        <w:rPr>
          <w:rFonts w:eastAsia="Times New Roman"/>
          <w:color w:val="000000" w:themeColor="text1"/>
        </w:rPr>
        <w:t>de-emp</w:t>
      </w:r>
      <w:r w:rsidR="00370C66" w:rsidRPr="00606B72">
        <w:rPr>
          <w:rFonts w:eastAsia="Times New Roman"/>
          <w:color w:val="000000" w:themeColor="text1"/>
        </w:rPr>
        <w:t xml:space="preserve">hasize </w:t>
      </w:r>
      <w:r w:rsidR="009437AE" w:rsidRPr="00606B72">
        <w:rPr>
          <w:rFonts w:eastAsia="Times New Roman"/>
          <w:color w:val="000000" w:themeColor="text1"/>
        </w:rPr>
        <w:t>its past an</w:t>
      </w:r>
      <w:r w:rsidR="00370C66" w:rsidRPr="00606B72">
        <w:rPr>
          <w:rFonts w:eastAsia="Times New Roman"/>
          <w:color w:val="000000" w:themeColor="text1"/>
        </w:rPr>
        <w:t xml:space="preserve">d accept </w:t>
      </w:r>
      <w:r w:rsidR="009437AE" w:rsidRPr="00606B72">
        <w:rPr>
          <w:rFonts w:eastAsia="Times New Roman"/>
          <w:color w:val="000000" w:themeColor="text1"/>
        </w:rPr>
        <w:t xml:space="preserve">the values demanded of it by Westerners.  </w:t>
      </w:r>
      <w:r w:rsidR="00F8662A">
        <w:rPr>
          <w:rFonts w:eastAsia="Times New Roman"/>
          <w:color w:val="000000" w:themeColor="text1"/>
        </w:rPr>
        <w:t xml:space="preserve">By being attentive to the moments of </w:t>
      </w:r>
      <w:r w:rsidR="00F8662A">
        <w:rPr>
          <w:rFonts w:eastAsia="Times New Roman"/>
          <w:i/>
          <w:iCs/>
          <w:color w:val="000000" w:themeColor="text1"/>
        </w:rPr>
        <w:t xml:space="preserve">naṣīḥa </w:t>
      </w:r>
      <w:r w:rsidR="00F8662A">
        <w:rPr>
          <w:rFonts w:eastAsia="Times New Roman"/>
          <w:color w:val="000000" w:themeColor="text1"/>
        </w:rPr>
        <w:t xml:space="preserve"> in the </w:t>
      </w:r>
      <w:r w:rsidR="00F8662A" w:rsidRPr="00F8662A">
        <w:rPr>
          <w:rFonts w:eastAsia="Times New Roman"/>
          <w:i/>
          <w:iCs/>
          <w:color w:val="000000" w:themeColor="text1"/>
        </w:rPr>
        <w:t>Takhlis</w:t>
      </w:r>
      <w:r w:rsidR="00F8662A">
        <w:rPr>
          <w:rFonts w:eastAsia="Times New Roman"/>
          <w:color w:val="000000" w:themeColor="text1"/>
        </w:rPr>
        <w:t>, it becomes clear that a</w:t>
      </w:r>
      <w:r w:rsidR="00BC574A" w:rsidRPr="00F8662A">
        <w:rPr>
          <w:rFonts w:eastAsia="Times New Roman"/>
          <w:color w:val="000000" w:themeColor="text1"/>
        </w:rPr>
        <w:t>l</w:t>
      </w:r>
      <w:r w:rsidR="00BC574A" w:rsidRPr="00606B72">
        <w:rPr>
          <w:rFonts w:eastAsia="Times New Roman"/>
          <w:color w:val="000000" w:themeColor="text1"/>
        </w:rPr>
        <w:t>-Tahtawi</w:t>
      </w:r>
      <w:r w:rsidR="00E17ADB" w:rsidRPr="00606B72">
        <w:rPr>
          <w:rFonts w:eastAsia="Times New Roman"/>
          <w:color w:val="000000" w:themeColor="text1"/>
        </w:rPr>
        <w:t xml:space="preserve"> offers a competing vision of Islam.  </w:t>
      </w:r>
      <w:r w:rsidR="006E064C" w:rsidRPr="00606B72">
        <w:rPr>
          <w:rFonts w:eastAsia="Times New Roman"/>
          <w:color w:val="000000" w:themeColor="text1"/>
        </w:rPr>
        <w:t xml:space="preserve">Rather than replacing Islamic tradition with an Islam that is friendlier to </w:t>
      </w:r>
      <w:r w:rsidR="00721A86" w:rsidRPr="00606B72">
        <w:rPr>
          <w:rFonts w:eastAsia="Times New Roman"/>
          <w:color w:val="000000" w:themeColor="text1"/>
        </w:rPr>
        <w:t>the West</w:t>
      </w:r>
      <w:r w:rsidR="006E064C" w:rsidRPr="00606B72">
        <w:rPr>
          <w:rFonts w:eastAsia="Times New Roman"/>
          <w:color w:val="000000" w:themeColor="text1"/>
        </w:rPr>
        <w:t xml:space="preserve">, he conceives of Islamic tradition as something that, at its core, </w:t>
      </w:r>
      <w:r w:rsidR="00F76BDF" w:rsidRPr="00606B72">
        <w:rPr>
          <w:rFonts w:eastAsia="Times New Roman"/>
          <w:color w:val="000000" w:themeColor="text1"/>
        </w:rPr>
        <w:t xml:space="preserve">is </w:t>
      </w:r>
      <w:r w:rsidR="006E064C" w:rsidRPr="00606B72">
        <w:rPr>
          <w:rFonts w:eastAsia="Times New Roman"/>
          <w:color w:val="000000" w:themeColor="text1"/>
        </w:rPr>
        <w:t>open to tweaks and modifications over the centuries.  These tweaks are not imposed from the outside, but rather develop from within the Islamic community</w:t>
      </w:r>
      <w:r w:rsidR="000A1E24" w:rsidRPr="00606B72">
        <w:rPr>
          <w:rFonts w:eastAsia="Times New Roman"/>
          <w:color w:val="000000" w:themeColor="text1"/>
        </w:rPr>
        <w:t xml:space="preserve"> </w:t>
      </w:r>
      <w:r w:rsidR="006E064C" w:rsidRPr="00606B72">
        <w:rPr>
          <w:rFonts w:eastAsia="Times New Roman"/>
          <w:color w:val="000000" w:themeColor="text1"/>
        </w:rPr>
        <w:t xml:space="preserve">in response to its interactions with </w:t>
      </w:r>
      <w:r w:rsidR="000A1E24" w:rsidRPr="00606B72">
        <w:rPr>
          <w:rFonts w:eastAsia="Times New Roman"/>
          <w:color w:val="000000" w:themeColor="text1"/>
        </w:rPr>
        <w:t>non-Muslims</w:t>
      </w:r>
      <w:r w:rsidR="00265778" w:rsidRPr="00606B72">
        <w:rPr>
          <w:rFonts w:eastAsia="Times New Roman"/>
          <w:color w:val="000000" w:themeColor="text1"/>
        </w:rPr>
        <w:t>.</w:t>
      </w:r>
      <w:r w:rsidR="00A17439" w:rsidRPr="00606B72">
        <w:rPr>
          <w:rFonts w:eastAsia="Times New Roman"/>
          <w:color w:val="000000" w:themeColor="text1"/>
        </w:rPr>
        <w:t xml:space="preserve">  </w:t>
      </w:r>
    </w:p>
    <w:p w14:paraId="53ACA2FE" w14:textId="636FD0BB" w:rsidR="00157658" w:rsidRPr="00606B72" w:rsidRDefault="00157658" w:rsidP="00B944C1">
      <w:pPr>
        <w:spacing w:line="480" w:lineRule="auto"/>
        <w:ind w:firstLine="720"/>
        <w:rPr>
          <w:rFonts w:eastAsia="Times New Roman"/>
          <w:color w:val="000000" w:themeColor="text1"/>
        </w:rPr>
      </w:pPr>
      <w:r w:rsidRPr="00606B72">
        <w:rPr>
          <w:rFonts w:eastAsia="Times New Roman"/>
          <w:color w:val="000000" w:themeColor="text1"/>
        </w:rPr>
        <w:lastRenderedPageBreak/>
        <w:t xml:space="preserve">The history of the genre of </w:t>
      </w:r>
      <w:r w:rsidRPr="00606B72">
        <w:rPr>
          <w:rFonts w:eastAsia="Times New Roman"/>
          <w:i/>
          <w:iCs/>
          <w:color w:val="000000" w:themeColor="text1"/>
        </w:rPr>
        <w:t>naṣīḥa</w:t>
      </w:r>
      <w:r w:rsidR="004747B1" w:rsidRPr="00606B72">
        <w:rPr>
          <w:rFonts w:eastAsia="Times New Roman"/>
          <w:color w:val="000000" w:themeColor="text1"/>
        </w:rPr>
        <w:t>, which has its roots primarily in the Byzantine Empire,</w:t>
      </w:r>
      <w:r w:rsidRPr="00606B72">
        <w:rPr>
          <w:rFonts w:eastAsia="Times New Roman"/>
          <w:color w:val="000000" w:themeColor="text1"/>
        </w:rPr>
        <w:t xml:space="preserve"> lends credence to </w:t>
      </w:r>
      <w:r w:rsidR="002966BF" w:rsidRPr="00606B72">
        <w:rPr>
          <w:rFonts w:eastAsia="Times New Roman"/>
          <w:color w:val="000000" w:themeColor="text1"/>
        </w:rPr>
        <w:t>such an</w:t>
      </w:r>
      <w:r w:rsidRPr="00606B72">
        <w:rPr>
          <w:rFonts w:eastAsia="Times New Roman"/>
          <w:color w:val="000000" w:themeColor="text1"/>
        </w:rPr>
        <w:t xml:space="preserve"> articulation of Islamic tradition.  As Marlow notes, </w:t>
      </w:r>
      <w:r w:rsidR="00435FDE" w:rsidRPr="00606B72">
        <w:rPr>
          <w:rFonts w:eastAsia="Times New Roman"/>
          <w:color w:val="000000" w:themeColor="text1"/>
        </w:rPr>
        <w:t>it</w:t>
      </w:r>
      <w:r w:rsidRPr="00606B72">
        <w:rPr>
          <w:rFonts w:eastAsia="Times New Roman"/>
          <w:color w:val="000000" w:themeColor="text1"/>
        </w:rPr>
        <w:t xml:space="preserve"> is a deeply syncretic genre</w:t>
      </w:r>
      <w:r w:rsidR="004C505B" w:rsidRPr="00606B72">
        <w:rPr>
          <w:rFonts w:eastAsia="Times New Roman"/>
          <w:color w:val="000000" w:themeColor="text1"/>
        </w:rPr>
        <w:t>: “The later Umayyad period saw the initiation of a large-scale movement in which many works of advice were translated from Greek (usually via Syriac), Pahlavi and Sanskrit (via Pahlavi) into Arabic…The processes of transposition and adaptation continued within the Islamic world and beyond it, as works in Arabic passed into Hebrew, Latin, and European languages as well as into Persian, Turkish, and Urdu”</w:t>
      </w:r>
      <w:r w:rsidR="00125A3D" w:rsidRPr="00606B72">
        <w:rPr>
          <w:rFonts w:eastAsia="Times New Roman"/>
          <w:color w:val="000000" w:themeColor="text1"/>
        </w:rPr>
        <w:t xml:space="preserve"> (Marlow, n.d.).</w:t>
      </w:r>
      <w:r w:rsidR="00E1628B" w:rsidRPr="00606B72">
        <w:rPr>
          <w:rFonts w:eastAsia="Times New Roman"/>
          <w:color w:val="000000" w:themeColor="text1"/>
        </w:rPr>
        <w:t xml:space="preserve">  </w:t>
      </w:r>
      <w:r w:rsidR="00E42E39" w:rsidRPr="00606B72">
        <w:rPr>
          <w:rFonts w:eastAsia="Times New Roman"/>
          <w:color w:val="000000" w:themeColor="text1"/>
        </w:rPr>
        <w:t xml:space="preserve">A litany of cultures, stretching from Spain to </w:t>
      </w:r>
      <w:r w:rsidR="00C9520D" w:rsidRPr="00606B72">
        <w:rPr>
          <w:rFonts w:eastAsia="Times New Roman"/>
          <w:color w:val="000000" w:themeColor="text1"/>
        </w:rPr>
        <w:t xml:space="preserve">western China and </w:t>
      </w:r>
      <w:r w:rsidR="00E42E39" w:rsidRPr="00606B72">
        <w:rPr>
          <w:rFonts w:eastAsia="Times New Roman"/>
          <w:color w:val="000000" w:themeColor="text1"/>
        </w:rPr>
        <w:t xml:space="preserve">the Indian subcontinent, have left an imprint on </w:t>
      </w:r>
      <w:r w:rsidR="00E42E39" w:rsidRPr="00606B72">
        <w:rPr>
          <w:rFonts w:eastAsia="Times New Roman"/>
          <w:i/>
          <w:iCs/>
          <w:color w:val="000000" w:themeColor="text1"/>
        </w:rPr>
        <w:t>naṣīḥa</w:t>
      </w:r>
      <w:r w:rsidR="00E42E39" w:rsidRPr="00606B72">
        <w:rPr>
          <w:rFonts w:eastAsia="Times New Roman"/>
          <w:color w:val="000000" w:themeColor="text1"/>
        </w:rPr>
        <w:t xml:space="preserve">.  That </w:t>
      </w:r>
      <w:r w:rsidR="00E42E39" w:rsidRPr="00606B72">
        <w:rPr>
          <w:rFonts w:eastAsia="Times New Roman"/>
          <w:i/>
          <w:iCs/>
          <w:color w:val="000000" w:themeColor="text1"/>
        </w:rPr>
        <w:t>naṣīḥa</w:t>
      </w:r>
      <w:r w:rsidR="00E42E39" w:rsidRPr="00606B72">
        <w:rPr>
          <w:rFonts w:eastAsia="Times New Roman"/>
          <w:color w:val="000000" w:themeColor="text1"/>
        </w:rPr>
        <w:t xml:space="preserve"> remains to this day an important genre of Islamic writing is a testament to the fact that Islam itself</w:t>
      </w:r>
      <w:r w:rsidR="00C60BE9" w:rsidRPr="00606B72">
        <w:rPr>
          <w:rFonts w:eastAsia="Times New Roman"/>
          <w:color w:val="000000" w:themeColor="text1"/>
        </w:rPr>
        <w:t xml:space="preserve"> is</w:t>
      </w:r>
      <w:r w:rsidR="00CE762C" w:rsidRPr="00606B72">
        <w:rPr>
          <w:rFonts w:eastAsia="Times New Roman"/>
          <w:color w:val="000000" w:themeColor="text1"/>
        </w:rPr>
        <w:t xml:space="preserve"> such a rich </w:t>
      </w:r>
      <w:r w:rsidR="005A0CF7" w:rsidRPr="00606B72">
        <w:rPr>
          <w:rFonts w:eastAsia="Times New Roman"/>
          <w:color w:val="000000" w:themeColor="text1"/>
        </w:rPr>
        <w:t xml:space="preserve">tradition </w:t>
      </w:r>
      <w:r w:rsidR="00D167A4" w:rsidRPr="00606B72">
        <w:rPr>
          <w:rFonts w:eastAsia="Times New Roman"/>
          <w:color w:val="000000" w:themeColor="text1"/>
        </w:rPr>
        <w:t xml:space="preserve">due to its integration of </w:t>
      </w:r>
      <w:r w:rsidR="003569B3" w:rsidRPr="00606B72">
        <w:rPr>
          <w:rFonts w:eastAsia="Times New Roman"/>
          <w:color w:val="000000" w:themeColor="text1"/>
        </w:rPr>
        <w:t xml:space="preserve">ideas and practices </w:t>
      </w:r>
      <w:r w:rsidR="000D17A6" w:rsidRPr="00606B72">
        <w:rPr>
          <w:rFonts w:eastAsia="Times New Roman"/>
          <w:color w:val="000000" w:themeColor="text1"/>
        </w:rPr>
        <w:t>of diverse origins</w:t>
      </w:r>
      <w:r w:rsidR="00007757" w:rsidRPr="00606B72">
        <w:rPr>
          <w:rFonts w:eastAsia="Times New Roman"/>
          <w:color w:val="000000" w:themeColor="text1"/>
        </w:rPr>
        <w:t xml:space="preserve">.  </w:t>
      </w:r>
    </w:p>
    <w:p w14:paraId="699DF403" w14:textId="21C0A856" w:rsidR="00E730C4" w:rsidRPr="00606B72" w:rsidRDefault="00BC574A" w:rsidP="00424783">
      <w:pPr>
        <w:spacing w:line="480" w:lineRule="auto"/>
        <w:ind w:firstLine="720"/>
        <w:rPr>
          <w:rFonts w:eastAsia="Times New Roman"/>
          <w:color w:val="000000" w:themeColor="text1"/>
        </w:rPr>
      </w:pPr>
      <w:r w:rsidRPr="00606B72">
        <w:rPr>
          <w:rFonts w:eastAsia="Times New Roman"/>
          <w:color w:val="000000" w:themeColor="text1"/>
        </w:rPr>
        <w:t>Al-Tahtawi</w:t>
      </w:r>
      <w:r w:rsidR="003569B3" w:rsidRPr="00606B72">
        <w:rPr>
          <w:rFonts w:eastAsia="Times New Roman"/>
          <w:color w:val="000000" w:themeColor="text1"/>
        </w:rPr>
        <w:t xml:space="preserve"> </w:t>
      </w:r>
      <w:r w:rsidR="00865A32" w:rsidRPr="00606B72">
        <w:rPr>
          <w:rFonts w:eastAsia="Times New Roman"/>
          <w:color w:val="000000" w:themeColor="text1"/>
        </w:rPr>
        <w:t xml:space="preserve">offers </w:t>
      </w:r>
      <w:r w:rsidR="00865A32" w:rsidRPr="00606B72">
        <w:rPr>
          <w:rFonts w:eastAsia="Times New Roman"/>
          <w:i/>
          <w:iCs/>
          <w:color w:val="000000" w:themeColor="text1"/>
        </w:rPr>
        <w:t>naṣīḥa</w:t>
      </w:r>
      <w:r w:rsidR="00865A32" w:rsidRPr="00606B72">
        <w:rPr>
          <w:rFonts w:eastAsia="Times New Roman"/>
          <w:color w:val="000000" w:themeColor="text1"/>
        </w:rPr>
        <w:t xml:space="preserve"> to the leaders of Egypt that Islam</w:t>
      </w:r>
      <w:r w:rsidR="00B54A3D" w:rsidRPr="00606B72">
        <w:rPr>
          <w:rFonts w:eastAsia="Times New Roman"/>
          <w:color w:val="000000" w:themeColor="text1"/>
        </w:rPr>
        <w:t xml:space="preserve"> </w:t>
      </w:r>
      <w:r w:rsidR="00615741" w:rsidRPr="00606B72">
        <w:rPr>
          <w:rFonts w:eastAsia="Times New Roman"/>
          <w:color w:val="000000" w:themeColor="text1"/>
        </w:rPr>
        <w:t>provides</w:t>
      </w:r>
      <w:r w:rsidR="00B54A3D" w:rsidRPr="00606B72">
        <w:rPr>
          <w:rFonts w:eastAsia="Times New Roman"/>
          <w:color w:val="000000" w:themeColor="text1"/>
        </w:rPr>
        <w:t xml:space="preserve"> a coherent worldview that can </w:t>
      </w:r>
      <w:r w:rsidR="004A0DFD" w:rsidRPr="00606B72">
        <w:rPr>
          <w:rFonts w:eastAsia="Times New Roman"/>
          <w:color w:val="000000" w:themeColor="text1"/>
        </w:rPr>
        <w:t>accommodate</w:t>
      </w:r>
      <w:r w:rsidR="00B54A3D" w:rsidRPr="00606B72">
        <w:rPr>
          <w:rFonts w:eastAsia="Times New Roman"/>
          <w:color w:val="000000" w:themeColor="text1"/>
        </w:rPr>
        <w:t xml:space="preserve"> change and the development of new </w:t>
      </w:r>
      <w:r w:rsidR="00A66AD7" w:rsidRPr="00606B72">
        <w:rPr>
          <w:rFonts w:eastAsia="Times New Roman"/>
          <w:color w:val="000000" w:themeColor="text1"/>
        </w:rPr>
        <w:t xml:space="preserve">and foreign </w:t>
      </w:r>
      <w:r w:rsidR="00B54A3D" w:rsidRPr="00606B72">
        <w:rPr>
          <w:rFonts w:eastAsia="Times New Roman"/>
          <w:color w:val="000000" w:themeColor="text1"/>
        </w:rPr>
        <w:t xml:space="preserve">sciences and forms of political organization.  </w:t>
      </w:r>
      <w:r w:rsidRPr="00606B72">
        <w:rPr>
          <w:rFonts w:eastAsia="Times New Roman"/>
          <w:color w:val="000000" w:themeColor="text1"/>
        </w:rPr>
        <w:t>Al-Tahtawi</w:t>
      </w:r>
      <w:r w:rsidR="00CC413E" w:rsidRPr="00606B72">
        <w:rPr>
          <w:rFonts w:eastAsia="Times New Roman"/>
          <w:color w:val="000000" w:themeColor="text1"/>
        </w:rPr>
        <w:t>’s goal is, fundamentally, to preserve the Islamic tradition</w:t>
      </w:r>
      <w:r w:rsidR="00372001" w:rsidRPr="00606B72">
        <w:rPr>
          <w:rFonts w:eastAsia="Times New Roman"/>
          <w:color w:val="000000" w:themeColor="text1"/>
        </w:rPr>
        <w:t xml:space="preserve"> at all costs</w:t>
      </w:r>
      <w:r w:rsidR="00CC413E" w:rsidRPr="00606B72">
        <w:rPr>
          <w:rFonts w:eastAsia="Times New Roman"/>
          <w:color w:val="000000" w:themeColor="text1"/>
        </w:rPr>
        <w:t>—</w:t>
      </w:r>
      <w:r w:rsidR="000620D6" w:rsidRPr="00606B72">
        <w:rPr>
          <w:rFonts w:eastAsia="Times New Roman"/>
          <w:color w:val="000000" w:themeColor="text1"/>
        </w:rPr>
        <w:t xml:space="preserve">he suggests that </w:t>
      </w:r>
      <w:r w:rsidR="00CC413E" w:rsidRPr="00606B72">
        <w:rPr>
          <w:rFonts w:eastAsia="Times New Roman"/>
          <w:color w:val="000000" w:themeColor="text1"/>
        </w:rPr>
        <w:t xml:space="preserve">if the Islamic world continues to lag behind Europe, it will be completely subsumed by it. </w:t>
      </w:r>
      <w:r w:rsidR="00386606" w:rsidRPr="00606B72">
        <w:rPr>
          <w:rFonts w:eastAsia="Times New Roman"/>
          <w:color w:val="000000" w:themeColor="text1"/>
        </w:rPr>
        <w:t xml:space="preserve"> </w:t>
      </w:r>
      <w:r w:rsidR="001C4444" w:rsidRPr="00606B72">
        <w:rPr>
          <w:rFonts w:eastAsia="Times New Roman"/>
          <w:color w:val="000000" w:themeColor="text1"/>
        </w:rPr>
        <w:t xml:space="preserve">However, </w:t>
      </w:r>
      <w:r w:rsidR="006D2657" w:rsidRPr="00606B72">
        <w:rPr>
          <w:rFonts w:eastAsia="Times New Roman"/>
          <w:color w:val="000000" w:themeColor="text1"/>
        </w:rPr>
        <w:t>he</w:t>
      </w:r>
      <w:r w:rsidR="000C0151" w:rsidRPr="00606B72">
        <w:rPr>
          <w:rFonts w:eastAsia="Times New Roman"/>
          <w:color w:val="000000" w:themeColor="text1"/>
        </w:rPr>
        <w:t xml:space="preserve"> </w:t>
      </w:r>
      <w:r w:rsidR="002334B0" w:rsidRPr="00606B72">
        <w:rPr>
          <w:rFonts w:eastAsia="Times New Roman"/>
          <w:color w:val="000000" w:themeColor="text1"/>
        </w:rPr>
        <w:t xml:space="preserve">simultaneously </w:t>
      </w:r>
      <w:r w:rsidR="006D2657" w:rsidRPr="00606B72">
        <w:rPr>
          <w:rFonts w:eastAsia="Times New Roman"/>
          <w:color w:val="000000" w:themeColor="text1"/>
        </w:rPr>
        <w:t xml:space="preserve">does </w:t>
      </w:r>
      <w:r w:rsidR="006D2657" w:rsidRPr="00606B72">
        <w:rPr>
          <w:rFonts w:eastAsia="Times New Roman"/>
          <w:i/>
          <w:iCs/>
          <w:color w:val="000000" w:themeColor="text1"/>
        </w:rPr>
        <w:t xml:space="preserve">not </w:t>
      </w:r>
      <w:r w:rsidR="006D2657" w:rsidRPr="00606B72">
        <w:rPr>
          <w:rFonts w:eastAsia="Times New Roman"/>
          <w:color w:val="000000" w:themeColor="text1"/>
        </w:rPr>
        <w:t>wish</w:t>
      </w:r>
      <w:r w:rsidR="000C0151" w:rsidRPr="00606B72">
        <w:rPr>
          <w:rFonts w:eastAsia="Times New Roman"/>
          <w:color w:val="000000" w:themeColor="text1"/>
        </w:rPr>
        <w:t xml:space="preserve"> to reform or refashion Islam so as to make it more liberal</w:t>
      </w:r>
      <w:r w:rsidR="006D2657" w:rsidRPr="00606B72">
        <w:rPr>
          <w:rFonts w:eastAsia="Times New Roman"/>
          <w:color w:val="000000" w:themeColor="text1"/>
        </w:rPr>
        <w:t xml:space="preserve">, </w:t>
      </w:r>
      <w:r w:rsidR="000C0151" w:rsidRPr="00606B72">
        <w:rPr>
          <w:rFonts w:eastAsia="Times New Roman"/>
          <w:color w:val="000000" w:themeColor="text1"/>
        </w:rPr>
        <w:t>more enlightened</w:t>
      </w:r>
      <w:r w:rsidR="006D2657" w:rsidRPr="00606B72">
        <w:rPr>
          <w:rFonts w:eastAsia="Times New Roman"/>
          <w:color w:val="000000" w:themeColor="text1"/>
        </w:rPr>
        <w:t>, or more European</w:t>
      </w:r>
      <w:r w:rsidR="000C0151" w:rsidRPr="00606B72">
        <w:rPr>
          <w:rFonts w:eastAsia="Times New Roman"/>
          <w:color w:val="000000" w:themeColor="text1"/>
        </w:rPr>
        <w:t xml:space="preserve">.  Rather, </w:t>
      </w:r>
      <w:r w:rsidRPr="00606B72">
        <w:rPr>
          <w:rFonts w:eastAsia="Times New Roman"/>
          <w:color w:val="000000" w:themeColor="text1"/>
        </w:rPr>
        <w:t>al-Tahtawi</w:t>
      </w:r>
      <w:r w:rsidR="00754270" w:rsidRPr="00606B72">
        <w:rPr>
          <w:rFonts w:eastAsia="Times New Roman"/>
          <w:color w:val="000000" w:themeColor="text1"/>
        </w:rPr>
        <w:t xml:space="preserve"> mediates between </w:t>
      </w:r>
      <w:r w:rsidR="0022755D" w:rsidRPr="00606B72">
        <w:rPr>
          <w:rFonts w:eastAsia="Times New Roman"/>
          <w:color w:val="000000" w:themeColor="text1"/>
        </w:rPr>
        <w:t>tradition and progress</w:t>
      </w:r>
      <w:r w:rsidR="00754270" w:rsidRPr="00606B72">
        <w:rPr>
          <w:rFonts w:eastAsia="Times New Roman"/>
          <w:color w:val="000000" w:themeColor="text1"/>
        </w:rPr>
        <w:t xml:space="preserve"> so as to trouble a strictly defined boundary between the two.  </w:t>
      </w:r>
      <w:r w:rsidR="00BF443D" w:rsidRPr="00606B72">
        <w:rPr>
          <w:rFonts w:eastAsia="Times New Roman"/>
          <w:color w:val="000000" w:themeColor="text1"/>
        </w:rPr>
        <w:t xml:space="preserve">If </w:t>
      </w:r>
      <w:r w:rsidR="00441C6E" w:rsidRPr="00606B72">
        <w:rPr>
          <w:rFonts w:eastAsia="Times New Roman"/>
          <w:color w:val="000000" w:themeColor="text1"/>
        </w:rPr>
        <w:t>Muslims</w:t>
      </w:r>
      <w:r w:rsidR="00BF443D" w:rsidRPr="00606B72">
        <w:rPr>
          <w:rFonts w:eastAsia="Times New Roman"/>
          <w:color w:val="000000" w:themeColor="text1"/>
        </w:rPr>
        <w:t xml:space="preserve"> conceive of </w:t>
      </w:r>
      <w:r w:rsidR="00441C6E" w:rsidRPr="00606B72">
        <w:rPr>
          <w:rFonts w:eastAsia="Times New Roman"/>
          <w:color w:val="000000" w:themeColor="text1"/>
        </w:rPr>
        <w:t xml:space="preserve">Islamic </w:t>
      </w:r>
      <w:r w:rsidR="00BF443D" w:rsidRPr="00606B72">
        <w:rPr>
          <w:rFonts w:eastAsia="Times New Roman"/>
          <w:color w:val="000000" w:themeColor="text1"/>
        </w:rPr>
        <w:t xml:space="preserve">tradition properly, </w:t>
      </w:r>
      <w:r w:rsidR="00441C6E" w:rsidRPr="00606B72">
        <w:rPr>
          <w:rFonts w:eastAsia="Times New Roman"/>
          <w:color w:val="000000" w:themeColor="text1"/>
        </w:rPr>
        <w:t>they</w:t>
      </w:r>
      <w:r w:rsidR="00BF443D" w:rsidRPr="00606B72">
        <w:rPr>
          <w:rFonts w:eastAsia="Times New Roman"/>
          <w:color w:val="000000" w:themeColor="text1"/>
        </w:rPr>
        <w:t xml:space="preserve"> are not forced to choose between either tradition or progress</w:t>
      </w:r>
      <w:r w:rsidR="00A2301E" w:rsidRPr="00606B72">
        <w:rPr>
          <w:rFonts w:eastAsia="Times New Roman"/>
          <w:color w:val="000000" w:themeColor="text1"/>
        </w:rPr>
        <w:t>, either religion or science</w:t>
      </w:r>
      <w:r w:rsidR="00BF443D" w:rsidRPr="00606B72">
        <w:rPr>
          <w:rFonts w:eastAsia="Times New Roman"/>
          <w:color w:val="000000" w:themeColor="text1"/>
        </w:rPr>
        <w:t>––</w:t>
      </w:r>
      <w:r w:rsidR="004D3662" w:rsidRPr="00606B72">
        <w:rPr>
          <w:rFonts w:eastAsia="Times New Roman"/>
          <w:color w:val="000000" w:themeColor="text1"/>
        </w:rPr>
        <w:t>they</w:t>
      </w:r>
      <w:r w:rsidR="00BF443D" w:rsidRPr="00606B72">
        <w:rPr>
          <w:rFonts w:eastAsia="Times New Roman"/>
          <w:color w:val="000000" w:themeColor="text1"/>
        </w:rPr>
        <w:t xml:space="preserve"> can have both.  </w:t>
      </w:r>
      <w:r w:rsidR="00E730C4" w:rsidRPr="00606B72">
        <w:rPr>
          <w:rFonts w:eastAsia="Times New Roman"/>
          <w:color w:val="000000" w:themeColor="text1"/>
        </w:rPr>
        <w:br w:type="page"/>
      </w:r>
    </w:p>
    <w:p w14:paraId="1248654E" w14:textId="6C562EDA" w:rsidR="00E730C4" w:rsidRPr="00606B72" w:rsidRDefault="00885CA2" w:rsidP="00E730C4">
      <w:pPr>
        <w:spacing w:after="240" w:line="480" w:lineRule="auto"/>
        <w:jc w:val="center"/>
        <w:rPr>
          <w:rFonts w:eastAsia="Times New Roman"/>
          <w:color w:val="000000" w:themeColor="text1"/>
          <w:u w:val="single"/>
        </w:rPr>
      </w:pPr>
      <w:r>
        <w:rPr>
          <w:rFonts w:eastAsia="Times New Roman"/>
          <w:color w:val="000000" w:themeColor="text1"/>
          <w:u w:val="single"/>
        </w:rPr>
        <w:lastRenderedPageBreak/>
        <w:t>References</w:t>
      </w:r>
    </w:p>
    <w:p w14:paraId="7D24B1D7" w14:textId="64BE1706" w:rsidR="00A17C37" w:rsidRPr="00606B72" w:rsidRDefault="00A17C37" w:rsidP="00A17C37">
      <w:pPr>
        <w:spacing w:line="480" w:lineRule="auto"/>
        <w:ind w:left="720" w:hanging="720"/>
      </w:pPr>
      <w:r>
        <w:t>A</w:t>
      </w:r>
      <w:r w:rsidRPr="00606B72">
        <w:t>l-Jabarti</w:t>
      </w:r>
      <w:r>
        <w:t xml:space="preserve"> (</w:t>
      </w:r>
      <w:r w:rsidRPr="00606B72">
        <w:t>2003</w:t>
      </w:r>
      <w:r>
        <w:t>)</w:t>
      </w:r>
      <w:r w:rsidR="00501C49">
        <w:t>.</w:t>
      </w:r>
      <w:r w:rsidRPr="00606B72">
        <w:t xml:space="preserve"> </w:t>
      </w:r>
      <w:r w:rsidRPr="00606B72">
        <w:rPr>
          <w:i/>
          <w:iCs/>
        </w:rPr>
        <w:t>Napoleon in Egypt: al-Jabarti’s Chronicle of the French Occupation, 1798</w:t>
      </w:r>
      <w:r w:rsidR="00402A0F">
        <w:t>. T</w:t>
      </w:r>
      <w:r w:rsidRPr="00606B72">
        <w:t xml:space="preserve">ranslated by </w:t>
      </w:r>
      <w:r w:rsidR="00E3602D">
        <w:t>S.</w:t>
      </w:r>
      <w:r w:rsidRPr="00606B72">
        <w:t xml:space="preserve"> Moreh. Princeton, NJ: Markus Wiener Publishing, Inc. </w:t>
      </w:r>
    </w:p>
    <w:p w14:paraId="22EBC875" w14:textId="6B862C40" w:rsidR="0050518B" w:rsidRDefault="0050518B" w:rsidP="0050518B">
      <w:pPr>
        <w:spacing w:line="480" w:lineRule="auto"/>
        <w:ind w:left="720" w:hanging="720"/>
      </w:pPr>
      <w:r>
        <w:t>A</w:t>
      </w:r>
      <w:r w:rsidRPr="00606B72">
        <w:t>l-Nawaw</w:t>
      </w:r>
      <w:r>
        <w:t>i</w:t>
      </w:r>
      <w:r w:rsidRPr="00606B72">
        <w:t xml:space="preserve"> </w:t>
      </w:r>
      <w:r>
        <w:t>(</w:t>
      </w:r>
      <w:r w:rsidRPr="00606B72">
        <w:t>1977</w:t>
      </w:r>
      <w:r>
        <w:t>)</w:t>
      </w:r>
      <w:r w:rsidR="00501C49">
        <w:t>.</w:t>
      </w:r>
      <w:r w:rsidRPr="00606B72">
        <w:t xml:space="preserve"> </w:t>
      </w:r>
      <w:r w:rsidRPr="00606B72">
        <w:rPr>
          <w:i/>
          <w:iCs/>
        </w:rPr>
        <w:t>An-Nawaw</w:t>
      </w:r>
      <w:r>
        <w:rPr>
          <w:i/>
          <w:iCs/>
        </w:rPr>
        <w:t>i</w:t>
      </w:r>
      <w:r w:rsidRPr="00606B72">
        <w:rPr>
          <w:i/>
          <w:iCs/>
        </w:rPr>
        <w:t>’s Forty Hadith</w:t>
      </w:r>
      <w:r>
        <w:t>. T</w:t>
      </w:r>
      <w:r w:rsidRPr="00606B72">
        <w:t xml:space="preserve">ranslated by </w:t>
      </w:r>
      <w:r w:rsidR="00DA15F7">
        <w:t xml:space="preserve">E. </w:t>
      </w:r>
      <w:r>
        <w:t>I</w:t>
      </w:r>
      <w:r w:rsidRPr="00606B72">
        <w:t xml:space="preserve">brahim and </w:t>
      </w:r>
      <w:r w:rsidR="00E3602D">
        <w:t xml:space="preserve">D. </w:t>
      </w:r>
      <w:r w:rsidRPr="00606B72">
        <w:t>Johnson-Davies. Damascus</w:t>
      </w:r>
      <w:r>
        <w:t>:</w:t>
      </w:r>
      <w:r w:rsidRPr="00606B72">
        <w:t xml:space="preserve"> The Holy Koran Publishing House. </w:t>
      </w:r>
    </w:p>
    <w:p w14:paraId="0831C303" w14:textId="155C82BF" w:rsidR="00A2196A" w:rsidRPr="00A2196A" w:rsidRDefault="00A2196A" w:rsidP="00A2196A">
      <w:pPr>
        <w:pStyle w:val="FootnoteText"/>
        <w:spacing w:line="480" w:lineRule="auto"/>
        <w:ind w:left="720" w:hanging="720"/>
        <w:rPr>
          <w:sz w:val="24"/>
          <w:szCs w:val="24"/>
        </w:rPr>
      </w:pPr>
      <w:r>
        <w:rPr>
          <w:sz w:val="24"/>
          <w:szCs w:val="24"/>
        </w:rPr>
        <w:t>A</w:t>
      </w:r>
      <w:r w:rsidRPr="00606B72">
        <w:rPr>
          <w:sz w:val="24"/>
          <w:szCs w:val="24"/>
        </w:rPr>
        <w:t>l-Tabar</w:t>
      </w:r>
      <w:r>
        <w:rPr>
          <w:sz w:val="24"/>
          <w:szCs w:val="24"/>
        </w:rPr>
        <w:t>i (</w:t>
      </w:r>
      <w:r w:rsidRPr="00606B72">
        <w:rPr>
          <w:sz w:val="24"/>
          <w:szCs w:val="24"/>
        </w:rPr>
        <w:t>1990</w:t>
      </w:r>
      <w:r>
        <w:rPr>
          <w:sz w:val="24"/>
          <w:szCs w:val="24"/>
        </w:rPr>
        <w:t>)</w:t>
      </w:r>
      <w:r w:rsidR="00501C49">
        <w:rPr>
          <w:sz w:val="24"/>
          <w:szCs w:val="24"/>
        </w:rPr>
        <w:t>.</w:t>
      </w:r>
      <w:r>
        <w:rPr>
          <w:sz w:val="24"/>
          <w:szCs w:val="24"/>
        </w:rPr>
        <w:t xml:space="preserve"> </w:t>
      </w:r>
      <w:r w:rsidRPr="00606B72">
        <w:rPr>
          <w:i/>
          <w:iCs/>
          <w:sz w:val="24"/>
          <w:szCs w:val="24"/>
        </w:rPr>
        <w:t>The History of al-Tabari (Tarikh al-rusul wa’l muluk), Volume XXIX: Al-Mansur and al-Mahdi</w:t>
      </w:r>
      <w:r>
        <w:rPr>
          <w:sz w:val="24"/>
          <w:szCs w:val="24"/>
        </w:rPr>
        <w:t xml:space="preserve">. Translated </w:t>
      </w:r>
      <w:r w:rsidRPr="00606B72">
        <w:rPr>
          <w:sz w:val="24"/>
          <w:szCs w:val="24"/>
        </w:rPr>
        <w:t xml:space="preserve">by </w:t>
      </w:r>
      <w:r w:rsidR="00BE3EC4">
        <w:rPr>
          <w:sz w:val="24"/>
          <w:szCs w:val="24"/>
        </w:rPr>
        <w:t xml:space="preserve">H. </w:t>
      </w:r>
      <w:r w:rsidRPr="00606B72">
        <w:rPr>
          <w:sz w:val="24"/>
          <w:szCs w:val="24"/>
        </w:rPr>
        <w:t xml:space="preserve">Kennedy. Albany, NY: State University of New York Press. </w:t>
      </w:r>
    </w:p>
    <w:p w14:paraId="0275C8DE" w14:textId="191097A8" w:rsidR="000B7912" w:rsidRPr="00606B72" w:rsidRDefault="000B7912" w:rsidP="000B7912">
      <w:pPr>
        <w:spacing w:line="480" w:lineRule="auto"/>
        <w:ind w:left="720" w:hanging="720"/>
      </w:pPr>
      <w:r>
        <w:t>A</w:t>
      </w:r>
      <w:r w:rsidRPr="00606B72">
        <w:t>l-Tahtawi</w:t>
      </w:r>
      <w:r>
        <w:t xml:space="preserve"> (</w:t>
      </w:r>
      <w:r w:rsidRPr="00606B72">
        <w:t>2011</w:t>
      </w:r>
      <w:r>
        <w:t>)</w:t>
      </w:r>
      <w:r w:rsidR="00501C49">
        <w:t>.</w:t>
      </w:r>
      <w:r w:rsidRPr="00606B72">
        <w:t xml:space="preserve"> </w:t>
      </w:r>
      <w:r>
        <w:rPr>
          <w:i/>
          <w:iCs/>
        </w:rPr>
        <w:t>Takhlis al-Ibriz fi Talkhis Bariz aw al-Diwan al-Nafis bi-Iwan Baris</w:t>
      </w:r>
      <w:r w:rsidRPr="00606B72">
        <w:rPr>
          <w:color w:val="000000" w:themeColor="text1"/>
        </w:rPr>
        <w:t>. In</w:t>
      </w:r>
      <w:r>
        <w:rPr>
          <w:color w:val="000000" w:themeColor="text1"/>
        </w:rPr>
        <w:t xml:space="preserve"> </w:t>
      </w:r>
      <w:r w:rsidR="00074C27">
        <w:rPr>
          <w:color w:val="000000" w:themeColor="text1"/>
        </w:rPr>
        <w:t xml:space="preserve">D. </w:t>
      </w:r>
      <w:r>
        <w:rPr>
          <w:color w:val="000000" w:themeColor="text1"/>
        </w:rPr>
        <w:t>Newman</w:t>
      </w:r>
      <w:r w:rsidR="00074C27">
        <w:rPr>
          <w:color w:val="000000" w:themeColor="text1"/>
        </w:rPr>
        <w:t>,</w:t>
      </w:r>
      <w:r>
        <w:rPr>
          <w:color w:val="000000" w:themeColor="text1"/>
        </w:rPr>
        <w:t xml:space="preserve"> ed</w:t>
      </w:r>
      <w:r w:rsidR="00074C27">
        <w:rPr>
          <w:color w:val="000000" w:themeColor="text1"/>
        </w:rPr>
        <w:t xml:space="preserve">., </w:t>
      </w:r>
      <w:r w:rsidRPr="00606B72">
        <w:rPr>
          <w:i/>
          <w:iCs/>
          <w:color w:val="000000" w:themeColor="text1"/>
        </w:rPr>
        <w:t>An Imam in Paris: Account of a Stay in France by an Egyptian Cleric (1826-1831)</w:t>
      </w:r>
      <w:r w:rsidRPr="00606B72">
        <w:rPr>
          <w:color w:val="000000" w:themeColor="text1"/>
        </w:rPr>
        <w:t xml:space="preserve">, </w:t>
      </w:r>
      <w:r w:rsidR="00D73DB5" w:rsidRPr="00606B72">
        <w:t>London: Saqi Books</w:t>
      </w:r>
      <w:r w:rsidR="00D73DB5">
        <w:rPr>
          <w:color w:val="000000" w:themeColor="text1"/>
        </w:rPr>
        <w:t xml:space="preserve">, </w:t>
      </w:r>
      <w:r w:rsidR="00AC3DC5">
        <w:rPr>
          <w:color w:val="000000" w:themeColor="text1"/>
        </w:rPr>
        <w:t xml:space="preserve">pp. </w:t>
      </w:r>
      <w:r w:rsidRPr="00606B72">
        <w:rPr>
          <w:color w:val="000000" w:themeColor="text1"/>
        </w:rPr>
        <w:t>101-</w:t>
      </w:r>
      <w:proofErr w:type="gramStart"/>
      <w:r w:rsidRPr="00606B72">
        <w:rPr>
          <w:color w:val="000000" w:themeColor="text1"/>
        </w:rPr>
        <w:t>378</w:t>
      </w:r>
      <w:r w:rsidRPr="00606B72">
        <w:t>..</w:t>
      </w:r>
      <w:proofErr w:type="gramEnd"/>
      <w:r w:rsidRPr="00606B72">
        <w:t xml:space="preserve"> </w:t>
      </w:r>
    </w:p>
    <w:p w14:paraId="7E631F39" w14:textId="2C96B956" w:rsidR="00E730C4" w:rsidRPr="00606B72" w:rsidRDefault="00E730C4" w:rsidP="00E730C4">
      <w:pPr>
        <w:spacing w:line="480" w:lineRule="auto"/>
        <w:ind w:left="720" w:hanging="720"/>
      </w:pPr>
      <w:r w:rsidRPr="00606B72">
        <w:t>Altman</w:t>
      </w:r>
      <w:r w:rsidR="006E3F1D">
        <w:t>,</w:t>
      </w:r>
      <w:r w:rsidRPr="00606B72">
        <w:t xml:space="preserve"> </w:t>
      </w:r>
      <w:r w:rsidR="00132401">
        <w:t>I</w:t>
      </w:r>
      <w:r w:rsidR="00DA15F7">
        <w:t>.</w:t>
      </w:r>
      <w:r w:rsidRPr="00606B72">
        <w:t xml:space="preserve"> </w:t>
      </w:r>
      <w:r w:rsidR="0008748B">
        <w:t>(</w:t>
      </w:r>
      <w:r w:rsidR="00B42774" w:rsidRPr="00606B72">
        <w:t>1976</w:t>
      </w:r>
      <w:r w:rsidR="0008748B">
        <w:t>)</w:t>
      </w:r>
      <w:r w:rsidR="00501C49">
        <w:t>.</w:t>
      </w:r>
      <w:r w:rsidR="001C3155" w:rsidRPr="00606B72">
        <w:t xml:space="preserve"> </w:t>
      </w:r>
      <w:r w:rsidRPr="0008748B">
        <w:rPr>
          <w:i/>
          <w:iCs/>
        </w:rPr>
        <w:t>The Political Thought of Rifā</w:t>
      </w:r>
      <w:r w:rsidR="005428A0" w:rsidRPr="0008748B">
        <w:rPr>
          <w:i/>
          <w:iCs/>
        </w:rPr>
        <w:t>ʿ</w:t>
      </w:r>
      <w:r w:rsidRPr="0008748B">
        <w:rPr>
          <w:i/>
          <w:iCs/>
        </w:rPr>
        <w:t>ah Rāfi</w:t>
      </w:r>
      <w:r w:rsidR="005428A0" w:rsidRPr="0008748B">
        <w:rPr>
          <w:i/>
          <w:iCs/>
        </w:rPr>
        <w:t>ʿ</w:t>
      </w:r>
      <w:r w:rsidRPr="0008748B">
        <w:rPr>
          <w:i/>
          <w:iCs/>
        </w:rPr>
        <w:t xml:space="preserve"> a</w:t>
      </w:r>
      <w:r w:rsidRPr="0008748B">
        <w:rPr>
          <w:i/>
          <w:iCs/>
          <w:rtl/>
        </w:rPr>
        <w:t>‏</w:t>
      </w:r>
      <w:r w:rsidRPr="0008748B">
        <w:rPr>
          <w:i/>
          <w:iCs/>
        </w:rPr>
        <w:t>ṭ-Ṭahṭāwi, A Nineteenth Century Egyptian Reformer</w:t>
      </w:r>
      <w:r w:rsidR="00155F6C">
        <w:t>,</w:t>
      </w:r>
      <w:r w:rsidRPr="00606B72">
        <w:t xml:space="preserve"> </w:t>
      </w:r>
      <w:r w:rsidR="00155F6C">
        <w:t>Dissertation</w:t>
      </w:r>
      <w:r w:rsidR="00D8448C" w:rsidRPr="00606B72">
        <w:t>,</w:t>
      </w:r>
      <w:r w:rsidRPr="00606B72">
        <w:t xml:space="preserve"> </w:t>
      </w:r>
      <w:r w:rsidR="00155F6C">
        <w:t xml:space="preserve">Department of Islamic Studies, </w:t>
      </w:r>
      <w:r w:rsidRPr="00606B72">
        <w:t>University of California, Los Angeles</w:t>
      </w:r>
      <w:r w:rsidR="00B42774" w:rsidRPr="00606B72">
        <w:t xml:space="preserve">. </w:t>
      </w:r>
    </w:p>
    <w:p w14:paraId="4BD9D513" w14:textId="2D50DFA6" w:rsidR="003B5B18" w:rsidRPr="00606B72" w:rsidRDefault="003B5B18" w:rsidP="00E730C4">
      <w:pPr>
        <w:spacing w:line="480" w:lineRule="auto"/>
        <w:ind w:left="720" w:hanging="720"/>
      </w:pPr>
      <w:r w:rsidRPr="00606B72">
        <w:t>Asad</w:t>
      </w:r>
      <w:r w:rsidR="006E3F1D">
        <w:t>,</w:t>
      </w:r>
      <w:r w:rsidRPr="00606B72">
        <w:t xml:space="preserve"> </w:t>
      </w:r>
      <w:r w:rsidR="00132401">
        <w:t>T</w:t>
      </w:r>
      <w:r w:rsidR="00DA15F7">
        <w:t>.</w:t>
      </w:r>
      <w:r w:rsidRPr="00606B72">
        <w:t xml:space="preserve"> </w:t>
      </w:r>
      <w:r w:rsidR="00FC5265">
        <w:t>(</w:t>
      </w:r>
      <w:r w:rsidR="00B42774" w:rsidRPr="00606B72">
        <w:t>1993</w:t>
      </w:r>
      <w:r w:rsidR="00FC5265">
        <w:t>)</w:t>
      </w:r>
      <w:r w:rsidR="00501C49">
        <w:t>.</w:t>
      </w:r>
      <w:r w:rsidR="00AD5336" w:rsidRPr="00606B72">
        <w:t xml:space="preserve"> </w:t>
      </w:r>
      <w:r w:rsidRPr="00606B72">
        <w:rPr>
          <w:i/>
          <w:iCs/>
        </w:rPr>
        <w:t>Genealogies of Religio</w:t>
      </w:r>
      <w:r w:rsidR="00957CAE" w:rsidRPr="00606B72">
        <w:rPr>
          <w:i/>
          <w:iCs/>
        </w:rPr>
        <w:t>n: Discipline and Reasons of Power in Christianity and Islam</w:t>
      </w:r>
      <w:r w:rsidR="00957CAE" w:rsidRPr="00606B72">
        <w:t xml:space="preserve">. Baltimore, MD: Johns Hopkins University Press. </w:t>
      </w:r>
    </w:p>
    <w:p w14:paraId="3BB1CF42" w14:textId="12A0C11E" w:rsidR="00E730C4" w:rsidRPr="00606B72" w:rsidRDefault="00E730C4" w:rsidP="00E730C4">
      <w:pPr>
        <w:spacing w:line="480" w:lineRule="auto"/>
        <w:ind w:left="720" w:hanging="720"/>
      </w:pPr>
      <w:r w:rsidRPr="00606B72">
        <w:t>Bainville</w:t>
      </w:r>
      <w:r w:rsidR="00230D6A">
        <w:t>,</w:t>
      </w:r>
      <w:r w:rsidRPr="00606B72">
        <w:t xml:space="preserve"> </w:t>
      </w:r>
      <w:r w:rsidR="00132401">
        <w:t>J</w:t>
      </w:r>
      <w:r w:rsidR="00DA15F7">
        <w:t>.</w:t>
      </w:r>
      <w:r w:rsidR="00F34ECC">
        <w:t xml:space="preserve"> (</w:t>
      </w:r>
      <w:r w:rsidR="00AD5336" w:rsidRPr="00606B72">
        <w:t>1931</w:t>
      </w:r>
      <w:r w:rsidR="00F34ECC">
        <w:t>)</w:t>
      </w:r>
      <w:r w:rsidR="00501C49">
        <w:t>.</w:t>
      </w:r>
      <w:r w:rsidR="00AD5336" w:rsidRPr="00606B72">
        <w:t xml:space="preserve"> </w:t>
      </w:r>
      <w:r w:rsidRPr="00606B72">
        <w:rPr>
          <w:i/>
          <w:iCs/>
        </w:rPr>
        <w:t>Napoléon</w:t>
      </w:r>
      <w:r w:rsidRPr="00606B72">
        <w:t xml:space="preserve">. Paris: Fayard. </w:t>
      </w:r>
    </w:p>
    <w:p w14:paraId="04E6004E" w14:textId="3C1D5F42" w:rsidR="00773D72" w:rsidRPr="00773D72" w:rsidRDefault="007A22FF" w:rsidP="00E730C4">
      <w:pPr>
        <w:spacing w:line="480" w:lineRule="auto"/>
        <w:ind w:left="720" w:hanging="720"/>
      </w:pPr>
      <w:r>
        <w:t>D</w:t>
      </w:r>
      <w:r w:rsidR="00773D72">
        <w:t>e Bellaigue</w:t>
      </w:r>
      <w:r w:rsidR="00230D6A">
        <w:t>,</w:t>
      </w:r>
      <w:r w:rsidR="00D2448B">
        <w:t xml:space="preserve"> </w:t>
      </w:r>
      <w:r w:rsidR="00132401">
        <w:t>C</w:t>
      </w:r>
      <w:r w:rsidR="00DA15F7">
        <w:t>.</w:t>
      </w:r>
      <w:r w:rsidR="00773D72">
        <w:t xml:space="preserve"> </w:t>
      </w:r>
      <w:r w:rsidR="0024432A">
        <w:t>(</w:t>
      </w:r>
      <w:r w:rsidR="00773D72">
        <w:t>2017</w:t>
      </w:r>
      <w:r w:rsidR="0024432A">
        <w:t>)</w:t>
      </w:r>
      <w:r w:rsidR="00501C49">
        <w:t>.</w:t>
      </w:r>
      <w:r w:rsidR="00773D72">
        <w:t xml:space="preserve"> </w:t>
      </w:r>
      <w:r w:rsidR="00773D72">
        <w:rPr>
          <w:i/>
          <w:iCs/>
        </w:rPr>
        <w:t>The Islamic Enlightenment: The Struggle between Faith and Reason, 1798 to Modern Times</w:t>
      </w:r>
      <w:r w:rsidR="00773D72">
        <w:t xml:space="preserve">. New York: Liveright Publishing Corporation. </w:t>
      </w:r>
    </w:p>
    <w:p w14:paraId="68418FB7" w14:textId="4DDC4C21" w:rsidR="00E730C4" w:rsidRPr="00606B72" w:rsidRDefault="00E730C4" w:rsidP="00E730C4">
      <w:pPr>
        <w:spacing w:line="480" w:lineRule="auto"/>
        <w:ind w:left="720" w:hanging="720"/>
      </w:pPr>
      <w:r w:rsidRPr="00606B72">
        <w:t>Euben</w:t>
      </w:r>
      <w:r w:rsidR="00230D6A">
        <w:t>,</w:t>
      </w:r>
      <w:r w:rsidRPr="00606B72">
        <w:t xml:space="preserve"> </w:t>
      </w:r>
      <w:r w:rsidR="0062176D">
        <w:t>R</w:t>
      </w:r>
      <w:r w:rsidR="00DA15F7">
        <w:t>.</w:t>
      </w:r>
      <w:r w:rsidRPr="00606B72">
        <w:t xml:space="preserve"> </w:t>
      </w:r>
      <w:r w:rsidR="00631029">
        <w:t>(</w:t>
      </w:r>
      <w:r w:rsidR="00993085" w:rsidRPr="00606B72">
        <w:t>2006</w:t>
      </w:r>
      <w:r w:rsidR="00631029">
        <w:t>)</w:t>
      </w:r>
      <w:r w:rsidR="00501C49">
        <w:t>.</w:t>
      </w:r>
      <w:r w:rsidR="00993085" w:rsidRPr="00606B72">
        <w:t xml:space="preserve"> </w:t>
      </w:r>
      <w:r w:rsidRPr="00606B72">
        <w:rPr>
          <w:i/>
          <w:iCs/>
        </w:rPr>
        <w:t>Journeys to the Other Shore: Muslim and Western Travelers in Search of Knowledge</w:t>
      </w:r>
      <w:r w:rsidRPr="00606B72">
        <w:t>. Princeton University Press</w:t>
      </w:r>
      <w:r w:rsidR="00993085" w:rsidRPr="00606B72">
        <w:t xml:space="preserve">. </w:t>
      </w:r>
    </w:p>
    <w:p w14:paraId="63B2FDFC" w14:textId="3C2B393B" w:rsidR="007663E9" w:rsidRPr="00606B72" w:rsidRDefault="007663E9" w:rsidP="006A71E6">
      <w:pPr>
        <w:spacing w:line="480" w:lineRule="auto"/>
        <w:ind w:left="720" w:hanging="720"/>
      </w:pPr>
      <w:r w:rsidRPr="00606B72">
        <w:lastRenderedPageBreak/>
        <w:t>Gramsci</w:t>
      </w:r>
      <w:r w:rsidR="00230D6A">
        <w:t>,</w:t>
      </w:r>
      <w:r w:rsidRPr="00606B72">
        <w:t xml:space="preserve"> </w:t>
      </w:r>
      <w:r w:rsidR="0062176D">
        <w:t>A</w:t>
      </w:r>
      <w:r w:rsidR="00D60CA7">
        <w:t>.</w:t>
      </w:r>
      <w:r w:rsidR="00BF3730">
        <w:t xml:space="preserve"> (</w:t>
      </w:r>
      <w:r w:rsidR="0079313F" w:rsidRPr="00606B72">
        <w:t>1978</w:t>
      </w:r>
      <w:r w:rsidR="00BF3730">
        <w:t>)</w:t>
      </w:r>
      <w:r w:rsidR="00501C49">
        <w:t>.</w:t>
      </w:r>
      <w:r w:rsidR="0079313F" w:rsidRPr="00606B72">
        <w:t xml:space="preserve"> </w:t>
      </w:r>
      <w:r w:rsidRPr="00606B72">
        <w:t>Some Aspects of the Southern Question. In</w:t>
      </w:r>
      <w:r w:rsidR="00BF3730">
        <w:t xml:space="preserve">: </w:t>
      </w:r>
      <w:r w:rsidR="002E30B0">
        <w:t>Q</w:t>
      </w:r>
      <w:r w:rsidR="0035766E">
        <w:t>.</w:t>
      </w:r>
      <w:r w:rsidR="002E30B0">
        <w:t xml:space="preserve"> Hoare</w:t>
      </w:r>
      <w:r w:rsidR="0035766E">
        <w:t xml:space="preserve">, </w:t>
      </w:r>
      <w:r w:rsidR="002E30B0">
        <w:t>ed</w:t>
      </w:r>
      <w:r w:rsidR="0035766E">
        <w:t>.,</w:t>
      </w:r>
      <w:r w:rsidRPr="00606B72">
        <w:t xml:space="preserve"> </w:t>
      </w:r>
      <w:r w:rsidRPr="00606B72">
        <w:rPr>
          <w:i/>
          <w:iCs/>
        </w:rPr>
        <w:t>Antonio Gramsci: Selections from Political Writings, 1921-1926</w:t>
      </w:r>
      <w:r w:rsidR="00AF4E8D">
        <w:t>,</w:t>
      </w:r>
      <w:r w:rsidRPr="00606B72">
        <w:t xml:space="preserve"> London: Lawrence and Wishart Ltd</w:t>
      </w:r>
      <w:r w:rsidR="00E45B76">
        <w:t>., pp. 441-462</w:t>
      </w:r>
      <w:r w:rsidR="00141C7C">
        <w:t xml:space="preserve">. </w:t>
      </w:r>
    </w:p>
    <w:p w14:paraId="6D10F1DD" w14:textId="79C65EFA" w:rsidR="00AC364B" w:rsidRPr="00606B72" w:rsidRDefault="00E31F50" w:rsidP="00E730C4">
      <w:pPr>
        <w:spacing w:line="480" w:lineRule="auto"/>
        <w:ind w:left="720" w:hanging="720"/>
      </w:pPr>
      <w:r w:rsidRPr="00606B72">
        <w:t>Gran</w:t>
      </w:r>
      <w:r w:rsidR="00230D6A">
        <w:t>,</w:t>
      </w:r>
      <w:r w:rsidRPr="00606B72">
        <w:t xml:space="preserve"> </w:t>
      </w:r>
      <w:r w:rsidR="00132401">
        <w:t>P</w:t>
      </w:r>
      <w:r w:rsidR="00541A2A">
        <w:t>.</w:t>
      </w:r>
      <w:r w:rsidR="00132401">
        <w:t xml:space="preserve"> (</w:t>
      </w:r>
      <w:r w:rsidR="00105439" w:rsidRPr="00606B72">
        <w:t>2013</w:t>
      </w:r>
      <w:r w:rsidR="00132401">
        <w:t>)</w:t>
      </w:r>
      <w:r w:rsidR="00501C49">
        <w:t>.</w:t>
      </w:r>
      <w:r w:rsidR="00105439" w:rsidRPr="00606B72">
        <w:t xml:space="preserve"> </w:t>
      </w:r>
      <w:r w:rsidR="00AC364B" w:rsidRPr="00606B72">
        <w:t>Al-Ṭahṭāwī</w:t>
      </w:r>
      <w:r w:rsidR="008E16AC" w:rsidRPr="00606B72">
        <w:t>’</w:t>
      </w:r>
      <w:r w:rsidR="00AC364B" w:rsidRPr="00606B72">
        <w:t>s Trip to Paris in Light of Recent Historical Analysis: Travel Literature or Mirror for Princes? In</w:t>
      </w:r>
      <w:r w:rsidR="0062176D">
        <w:t xml:space="preserve">: </w:t>
      </w:r>
      <w:r w:rsidR="000C2F45">
        <w:t xml:space="preserve">M. </w:t>
      </w:r>
      <w:r w:rsidR="0062176D">
        <w:t>Boroujedi</w:t>
      </w:r>
      <w:r w:rsidR="000C2F45">
        <w:t xml:space="preserve">, </w:t>
      </w:r>
      <w:r w:rsidR="0062176D">
        <w:t>ed</w:t>
      </w:r>
      <w:r w:rsidR="000C2F45">
        <w:t>.,</w:t>
      </w:r>
      <w:r w:rsidR="00AC364B" w:rsidRPr="00606B72">
        <w:t xml:space="preserve"> </w:t>
      </w:r>
      <w:r w:rsidR="00AC364B" w:rsidRPr="00606B72">
        <w:rPr>
          <w:i/>
          <w:iCs/>
        </w:rPr>
        <w:t>Mirror for the Muslim Prince: Islam and the Theory of Statecraft</w:t>
      </w:r>
      <w:r w:rsidR="00651357">
        <w:t>,</w:t>
      </w:r>
      <w:r w:rsidR="00C148E7" w:rsidRPr="00606B72">
        <w:t xml:space="preserve"> </w:t>
      </w:r>
      <w:r w:rsidR="00AC364B" w:rsidRPr="00606B72">
        <w:t>Syracuse University Press</w:t>
      </w:r>
      <w:r w:rsidR="00105439" w:rsidRPr="00606B72">
        <w:t>.</w:t>
      </w:r>
    </w:p>
    <w:p w14:paraId="03A7B5FB" w14:textId="4F27F32C" w:rsidR="00877C46" w:rsidRPr="00606B72" w:rsidRDefault="00877C46" w:rsidP="00E730C4">
      <w:pPr>
        <w:spacing w:line="480" w:lineRule="auto"/>
        <w:ind w:left="720" w:hanging="720"/>
      </w:pPr>
      <w:r w:rsidRPr="00606B72">
        <w:t>Heyworth-Dunne</w:t>
      </w:r>
      <w:r w:rsidR="00230D6A">
        <w:t>,</w:t>
      </w:r>
      <w:r w:rsidRPr="00606B72">
        <w:t xml:space="preserve"> J</w:t>
      </w:r>
      <w:r w:rsidR="006E3F1D">
        <w:t>.</w:t>
      </w:r>
      <w:r w:rsidRPr="00606B72">
        <w:t xml:space="preserve"> </w:t>
      </w:r>
      <w:r w:rsidR="00132401">
        <w:t>(</w:t>
      </w:r>
      <w:r w:rsidR="00663E49" w:rsidRPr="00606B72">
        <w:t>1940</w:t>
      </w:r>
      <w:r w:rsidR="00132401">
        <w:t>)</w:t>
      </w:r>
      <w:r w:rsidR="00501C49">
        <w:t>.</w:t>
      </w:r>
      <w:r w:rsidR="00663E49" w:rsidRPr="00606B72">
        <w:t xml:space="preserve"> </w:t>
      </w:r>
      <w:r w:rsidRPr="00606B72">
        <w:t>Rifā</w:t>
      </w:r>
      <w:r w:rsidR="006D2A5C" w:rsidRPr="00606B72">
        <w:t>ʿ</w:t>
      </w:r>
      <w:r w:rsidRPr="00606B72">
        <w:t>ah Badawī aṭ-Ṭahṭāwī: the Egyptian Revivalist (Continued).</w:t>
      </w:r>
      <w:r w:rsidR="0062176D">
        <w:t xml:space="preserve"> </w:t>
      </w:r>
      <w:r w:rsidRPr="00606B72">
        <w:rPr>
          <w:i/>
          <w:iCs/>
        </w:rPr>
        <w:t>Bulletin of the School of Oriental and African Studies, University of London</w:t>
      </w:r>
      <w:r w:rsidRPr="00606B72">
        <w:t xml:space="preserve"> 10</w:t>
      </w:r>
      <w:r w:rsidR="00430BB5">
        <w:t>, pp.</w:t>
      </w:r>
      <w:r w:rsidR="005C0378" w:rsidRPr="00606B72">
        <w:t xml:space="preserve"> 399-415. </w:t>
      </w:r>
    </w:p>
    <w:p w14:paraId="0927DC67" w14:textId="0CD183FB" w:rsidR="00491E80" w:rsidRDefault="00E730C4" w:rsidP="00840297">
      <w:pPr>
        <w:spacing w:line="480" w:lineRule="auto"/>
        <w:ind w:left="720" w:hanging="720"/>
      </w:pPr>
      <w:r w:rsidRPr="00606B72">
        <w:t>Hourani, A</w:t>
      </w:r>
      <w:r w:rsidR="00230D6A">
        <w:t>.</w:t>
      </w:r>
      <w:r w:rsidR="008E4E94">
        <w:t xml:space="preserve"> (</w:t>
      </w:r>
      <w:r w:rsidR="007870EC" w:rsidRPr="00606B72">
        <w:t>1981</w:t>
      </w:r>
      <w:r w:rsidR="008E4E94">
        <w:t>)</w:t>
      </w:r>
      <w:r w:rsidR="00501C49">
        <w:t>.</w:t>
      </w:r>
      <w:r w:rsidR="007870EC" w:rsidRPr="00606B72">
        <w:t xml:space="preserve"> </w:t>
      </w:r>
      <w:r w:rsidRPr="00606B72">
        <w:rPr>
          <w:i/>
          <w:iCs/>
        </w:rPr>
        <w:t>The Emergence of the Modern Middle East</w:t>
      </w:r>
      <w:r w:rsidRPr="00606B72">
        <w:t xml:space="preserve">. Berkeley and Los Angeles: University of California Press. </w:t>
      </w:r>
    </w:p>
    <w:p w14:paraId="6237FE1C" w14:textId="5CC0FCF0" w:rsidR="002E20DE" w:rsidRPr="00DD62D6" w:rsidRDefault="0008748B" w:rsidP="00840297">
      <w:pPr>
        <w:spacing w:line="480" w:lineRule="auto"/>
        <w:ind w:left="720" w:hanging="720"/>
      </w:pPr>
      <w:r>
        <w:t xml:space="preserve">Hourani, </w:t>
      </w:r>
      <w:r w:rsidR="00957130">
        <w:t>A</w:t>
      </w:r>
      <w:r w:rsidR="00230D6A">
        <w:t>.</w:t>
      </w:r>
      <w:r w:rsidR="002E20DE">
        <w:t xml:space="preserve"> </w:t>
      </w:r>
      <w:r>
        <w:t>(</w:t>
      </w:r>
      <w:r w:rsidR="002E20DE">
        <w:t>1983</w:t>
      </w:r>
      <w:r>
        <w:t>)</w:t>
      </w:r>
      <w:r w:rsidR="00501C49">
        <w:t>.</w:t>
      </w:r>
      <w:r w:rsidR="002E20DE">
        <w:t xml:space="preserve"> </w:t>
      </w:r>
      <w:r w:rsidR="002E20DE">
        <w:rPr>
          <w:i/>
          <w:iCs/>
        </w:rPr>
        <w:t xml:space="preserve">Arabic Thought in the Liberal Age, </w:t>
      </w:r>
      <w:r w:rsidR="00DD62D6">
        <w:rPr>
          <w:i/>
          <w:iCs/>
        </w:rPr>
        <w:t>17</w:t>
      </w:r>
      <w:r w:rsidR="001F10FC">
        <w:rPr>
          <w:i/>
          <w:iCs/>
        </w:rPr>
        <w:t>98</w:t>
      </w:r>
      <w:r w:rsidR="00DD62D6">
        <w:rPr>
          <w:i/>
          <w:iCs/>
        </w:rPr>
        <w:t>-1939</w:t>
      </w:r>
      <w:r w:rsidR="00DD62D6">
        <w:t xml:space="preserve">. Cambridge University Press. </w:t>
      </w:r>
    </w:p>
    <w:p w14:paraId="0799D8DA" w14:textId="10A96942" w:rsidR="0008748B" w:rsidRDefault="00A17C37" w:rsidP="0008748B">
      <w:pPr>
        <w:spacing w:line="480" w:lineRule="auto"/>
        <w:ind w:left="720" w:hanging="720"/>
      </w:pPr>
      <w:r>
        <w:t>I</w:t>
      </w:r>
      <w:r w:rsidR="0008748B">
        <w:t xml:space="preserve">bn Battuta </w:t>
      </w:r>
      <w:r>
        <w:t>(</w:t>
      </w:r>
      <w:r w:rsidR="0008748B">
        <w:t>1958</w:t>
      </w:r>
      <w:r>
        <w:t>)</w:t>
      </w:r>
      <w:r w:rsidR="00AA3E15">
        <w:t>.</w:t>
      </w:r>
      <w:r w:rsidR="0008748B">
        <w:t xml:space="preserve"> </w:t>
      </w:r>
      <w:r w:rsidR="0008748B">
        <w:rPr>
          <w:i/>
          <w:iCs/>
        </w:rPr>
        <w:t xml:space="preserve">The Travels of </w:t>
      </w:r>
      <w:proofErr w:type="gramStart"/>
      <w:r w:rsidR="0008748B">
        <w:rPr>
          <w:i/>
          <w:iCs/>
        </w:rPr>
        <w:t>Ibn</w:t>
      </w:r>
      <w:proofErr w:type="gramEnd"/>
      <w:r w:rsidR="0008748B">
        <w:rPr>
          <w:i/>
          <w:iCs/>
        </w:rPr>
        <w:t xml:space="preserve"> Battuta</w:t>
      </w:r>
      <w:r w:rsidR="0008748B">
        <w:t xml:space="preserve">, </w:t>
      </w:r>
      <w:r w:rsidR="008C6B47" w:rsidRPr="008C6B47">
        <w:rPr>
          <w:i/>
          <w:iCs/>
        </w:rPr>
        <w:t>V</w:t>
      </w:r>
      <w:r w:rsidR="0008748B" w:rsidRPr="008C6B47">
        <w:rPr>
          <w:i/>
          <w:iCs/>
        </w:rPr>
        <w:t xml:space="preserve">olume </w:t>
      </w:r>
      <w:r w:rsidR="008C6B47">
        <w:rPr>
          <w:i/>
          <w:iCs/>
        </w:rPr>
        <w:t>O</w:t>
      </w:r>
      <w:r w:rsidR="0008748B" w:rsidRPr="008C6B47">
        <w:rPr>
          <w:i/>
          <w:iCs/>
        </w:rPr>
        <w:t>ne</w:t>
      </w:r>
      <w:r w:rsidR="00C8541B">
        <w:t>.</w:t>
      </w:r>
      <w:r w:rsidR="0008748B">
        <w:t xml:space="preserve"> </w:t>
      </w:r>
      <w:r w:rsidR="00C8541B">
        <w:t>T</w:t>
      </w:r>
      <w:r w:rsidR="0008748B">
        <w:t xml:space="preserve">ranslated by </w:t>
      </w:r>
      <w:r w:rsidR="00430BB5">
        <w:t xml:space="preserve">HAR </w:t>
      </w:r>
      <w:r w:rsidR="0008748B">
        <w:t>Gibb.</w:t>
      </w:r>
      <w:r w:rsidR="00C8541B">
        <w:t xml:space="preserve"> </w:t>
      </w:r>
      <w:r w:rsidR="0008748B">
        <w:t xml:space="preserve">Cambridge University Press. </w:t>
      </w:r>
    </w:p>
    <w:p w14:paraId="24CDAFA3" w14:textId="7EBFCB5F" w:rsidR="003B5B18" w:rsidRPr="00606B72" w:rsidRDefault="00A36B11" w:rsidP="003B5B18">
      <w:pPr>
        <w:spacing w:line="480" w:lineRule="auto"/>
        <w:ind w:left="720" w:hanging="720"/>
      </w:pPr>
      <w:r>
        <w:t>Lewis</w:t>
      </w:r>
      <w:r w:rsidR="00230D6A">
        <w:t>,</w:t>
      </w:r>
      <w:r>
        <w:t xml:space="preserve"> </w:t>
      </w:r>
      <w:r w:rsidR="00986BDD">
        <w:t>B</w:t>
      </w:r>
      <w:r w:rsidR="00230D6A">
        <w:t>.</w:t>
      </w:r>
      <w:r w:rsidR="00986BDD">
        <w:t xml:space="preserve"> (</w:t>
      </w:r>
      <w:r w:rsidR="00634CBC" w:rsidRPr="00606B72">
        <w:t>2005</w:t>
      </w:r>
      <w:r w:rsidR="00986BDD">
        <w:t>)</w:t>
      </w:r>
      <w:r w:rsidR="00AA3E15">
        <w:t>.</w:t>
      </w:r>
      <w:r w:rsidR="00634CBC" w:rsidRPr="00606B72">
        <w:t xml:space="preserve"> </w:t>
      </w:r>
      <w:r w:rsidR="003B5B18" w:rsidRPr="00606B72">
        <w:t xml:space="preserve">Freedom and Justice in the Modern Middle East. </w:t>
      </w:r>
      <w:r w:rsidR="003B5B18" w:rsidRPr="00606B72">
        <w:rPr>
          <w:i/>
          <w:iCs/>
        </w:rPr>
        <w:t>Foreign Affairs</w:t>
      </w:r>
      <w:r w:rsidR="003B5B18" w:rsidRPr="00606B72">
        <w:t xml:space="preserve">, May/June 2005. https://www.foreignaffairs.com/artricles/middle-east/2005-05-01/freedom-and-justice-modern-middle-east. </w:t>
      </w:r>
    </w:p>
    <w:p w14:paraId="65AE962A" w14:textId="1EE9EB88" w:rsidR="007663E9" w:rsidRPr="00606B72" w:rsidRDefault="007663E9" w:rsidP="003B5B18">
      <w:pPr>
        <w:spacing w:line="480" w:lineRule="auto"/>
        <w:ind w:left="720" w:hanging="720"/>
      </w:pPr>
      <w:r w:rsidRPr="00606B72">
        <w:t>Marlow</w:t>
      </w:r>
      <w:r w:rsidR="00230D6A">
        <w:t>,</w:t>
      </w:r>
      <w:r w:rsidRPr="00606B72">
        <w:t xml:space="preserve"> </w:t>
      </w:r>
      <w:r w:rsidR="00B906FB">
        <w:t>L</w:t>
      </w:r>
      <w:r w:rsidR="00230D6A">
        <w:t>.</w:t>
      </w:r>
      <w:r w:rsidR="008C6B47">
        <w:t xml:space="preserve"> (n.d.)</w:t>
      </w:r>
      <w:r w:rsidR="00AA3E15">
        <w:t>.</w:t>
      </w:r>
      <w:r w:rsidR="008C6B47">
        <w:t xml:space="preserve"> </w:t>
      </w:r>
      <w:r w:rsidRPr="00606B72">
        <w:rPr>
          <w:color w:val="000000" w:themeColor="text1"/>
        </w:rPr>
        <w:t xml:space="preserve">Advice and advice literature. </w:t>
      </w:r>
      <w:r w:rsidRPr="00606B72">
        <w:rPr>
          <w:i/>
          <w:iCs/>
          <w:color w:val="000000" w:themeColor="text1"/>
        </w:rPr>
        <w:t>Encyclopaedia of Islam, Third Edition</w:t>
      </w:r>
      <w:r w:rsidR="008C6B47">
        <w:rPr>
          <w:color w:val="000000" w:themeColor="text1"/>
        </w:rPr>
        <w:t>.</w:t>
      </w:r>
      <w:r w:rsidRPr="00606B72">
        <w:rPr>
          <w:color w:val="000000" w:themeColor="text1"/>
        </w:rPr>
        <w:t xml:space="preserve"> </w:t>
      </w:r>
      <w:r w:rsidR="008C6B47">
        <w:rPr>
          <w:color w:val="000000" w:themeColor="text1"/>
        </w:rPr>
        <w:t>E</w:t>
      </w:r>
      <w:r w:rsidRPr="00606B72">
        <w:rPr>
          <w:color w:val="000000" w:themeColor="text1"/>
        </w:rPr>
        <w:t xml:space="preserve">dited by </w:t>
      </w:r>
      <w:r w:rsidRPr="00606B72">
        <w:rPr>
          <w:rFonts w:eastAsia="Times New Roman"/>
          <w:color w:val="000000" w:themeColor="text1"/>
          <w:shd w:val="clear" w:color="auto" w:fill="FFFFFF"/>
        </w:rPr>
        <w:t>Fleet</w:t>
      </w:r>
      <w:r w:rsidR="008C6B47">
        <w:rPr>
          <w:rFonts w:eastAsia="Times New Roman"/>
          <w:color w:val="000000" w:themeColor="text1"/>
          <w:shd w:val="clear" w:color="auto" w:fill="FFFFFF"/>
        </w:rPr>
        <w:t xml:space="preserve"> K et al.</w:t>
      </w:r>
      <w:r w:rsidRPr="00606B72">
        <w:rPr>
          <w:rFonts w:eastAsia="Times New Roman"/>
          <w:color w:val="000000" w:themeColor="text1"/>
          <w:shd w:val="clear" w:color="auto" w:fill="FFFFFF"/>
        </w:rPr>
        <w:t xml:space="preserve"> doi:http://dx.doi.org/10.1163/1573-3912_ei3_COM_0026</w:t>
      </w:r>
    </w:p>
    <w:p w14:paraId="6F49582C" w14:textId="0EFD892A" w:rsidR="003B5B18" w:rsidRPr="00840297" w:rsidRDefault="003B5B18" w:rsidP="003B5B18">
      <w:pPr>
        <w:spacing w:line="480" w:lineRule="auto"/>
        <w:ind w:left="720" w:hanging="720"/>
        <w:rPr>
          <w:rFonts w:eastAsia="Times New Roman"/>
          <w:color w:val="000000" w:themeColor="text1"/>
        </w:rPr>
      </w:pPr>
      <w:r w:rsidRPr="00606B72">
        <w:t>Micheau</w:t>
      </w:r>
      <w:r w:rsidR="00230D6A">
        <w:t>,</w:t>
      </w:r>
      <w:r w:rsidRPr="00606B72">
        <w:t xml:space="preserve"> F</w:t>
      </w:r>
      <w:r w:rsidR="00230D6A">
        <w:t>.</w:t>
      </w:r>
      <w:r w:rsidR="008C6B47">
        <w:t xml:space="preserve"> (n.d.)</w:t>
      </w:r>
      <w:r w:rsidR="00AA3E15">
        <w:t>.</w:t>
      </w:r>
      <w:r w:rsidR="008C6B47">
        <w:t xml:space="preserve"> </w:t>
      </w:r>
      <w:r w:rsidRPr="00606B72">
        <w:rPr>
          <w:color w:val="000000" w:themeColor="text1"/>
        </w:rPr>
        <w:t>Yaḥyā (or Yuḥannā) b. Al-Biṭrīḳ.</w:t>
      </w:r>
      <w:r w:rsidR="008C6B47">
        <w:rPr>
          <w:color w:val="000000" w:themeColor="text1"/>
        </w:rPr>
        <w:t xml:space="preserve"> </w:t>
      </w:r>
      <w:r w:rsidRPr="00606B72">
        <w:rPr>
          <w:i/>
          <w:iCs/>
          <w:color w:val="000000" w:themeColor="text1"/>
        </w:rPr>
        <w:t>Encyclopaedia of Islam, Second Edition</w:t>
      </w:r>
      <w:r w:rsidR="0050518B">
        <w:rPr>
          <w:color w:val="000000" w:themeColor="text1"/>
        </w:rPr>
        <w:t>. E</w:t>
      </w:r>
      <w:r w:rsidRPr="00606B72">
        <w:rPr>
          <w:color w:val="000000" w:themeColor="text1"/>
        </w:rPr>
        <w:t xml:space="preserve">dited by </w:t>
      </w:r>
      <w:r w:rsidRPr="00606B72">
        <w:rPr>
          <w:rFonts w:eastAsia="Times New Roman"/>
          <w:color w:val="000000" w:themeColor="text1"/>
          <w:shd w:val="clear" w:color="auto" w:fill="FFFFFF"/>
        </w:rPr>
        <w:t>Bearman</w:t>
      </w:r>
      <w:r w:rsidR="0050518B">
        <w:rPr>
          <w:rFonts w:eastAsia="Times New Roman"/>
          <w:color w:val="000000" w:themeColor="text1"/>
          <w:shd w:val="clear" w:color="auto" w:fill="FFFFFF"/>
        </w:rPr>
        <w:t xml:space="preserve"> P et al.</w:t>
      </w:r>
      <w:r w:rsidRPr="00840297">
        <w:rPr>
          <w:rFonts w:eastAsia="Times New Roman"/>
          <w:color w:val="000000" w:themeColor="text1"/>
          <w:shd w:val="clear" w:color="auto" w:fill="FFFFFF"/>
        </w:rPr>
        <w:t xml:space="preserve"> doi:http://dx.doi.org/10.1163/1573-3912_islam_SIM_7951</w:t>
      </w:r>
      <w:r w:rsidR="00390C5E">
        <w:rPr>
          <w:rFonts w:eastAsia="Times New Roman"/>
          <w:color w:val="000000" w:themeColor="text1"/>
          <w:shd w:val="clear" w:color="auto" w:fill="FFFFFF"/>
        </w:rPr>
        <w:t>.</w:t>
      </w:r>
    </w:p>
    <w:p w14:paraId="0F709470" w14:textId="2F83D20C" w:rsidR="009702F7" w:rsidRPr="00606B72" w:rsidRDefault="007663E9" w:rsidP="009702F7">
      <w:pPr>
        <w:spacing w:line="480" w:lineRule="auto"/>
        <w:ind w:left="720" w:hanging="720"/>
      </w:pPr>
      <w:r w:rsidRPr="00606B72">
        <w:t>Newman</w:t>
      </w:r>
      <w:r w:rsidR="00347A05">
        <w:t>,</w:t>
      </w:r>
      <w:r w:rsidR="00A614B9">
        <w:t xml:space="preserve"> D</w:t>
      </w:r>
      <w:r w:rsidR="00347A05">
        <w:t>.</w:t>
      </w:r>
      <w:r w:rsidR="00A614B9">
        <w:t xml:space="preserve"> (</w:t>
      </w:r>
      <w:r w:rsidR="00634CBC" w:rsidRPr="00606B72">
        <w:t>2011</w:t>
      </w:r>
      <w:r w:rsidR="00A614B9">
        <w:t>)</w:t>
      </w:r>
      <w:r w:rsidR="00AA3E15">
        <w:t>.</w:t>
      </w:r>
      <w:r w:rsidR="00A614B9">
        <w:t xml:space="preserve"> </w:t>
      </w:r>
      <w:r w:rsidR="00957CAE" w:rsidRPr="00606B72">
        <w:t>Introduction</w:t>
      </w:r>
      <w:r w:rsidR="00E564A7" w:rsidRPr="00606B72">
        <w:t>.</w:t>
      </w:r>
      <w:r w:rsidR="0082347B" w:rsidRPr="00606B72">
        <w:t xml:space="preserve"> </w:t>
      </w:r>
      <w:r w:rsidR="00E564A7" w:rsidRPr="00606B72">
        <w:t xml:space="preserve">In </w:t>
      </w:r>
      <w:proofErr w:type="gramStart"/>
      <w:r w:rsidRPr="00606B72">
        <w:rPr>
          <w:i/>
          <w:iCs/>
        </w:rPr>
        <w:t>An</w:t>
      </w:r>
      <w:proofErr w:type="gramEnd"/>
      <w:r w:rsidRPr="00606B72">
        <w:rPr>
          <w:i/>
          <w:iCs/>
        </w:rPr>
        <w:t xml:space="preserve"> Imam in Paris: Account of a Stay in France by an Egyptian Cleric (1826-1831)</w:t>
      </w:r>
      <w:r w:rsidR="00E564A7" w:rsidRPr="00606B72">
        <w:t>, 17-97</w:t>
      </w:r>
      <w:r w:rsidRPr="00606B72">
        <w:t xml:space="preserve">. London: Saqi Books. </w:t>
      </w:r>
    </w:p>
    <w:p w14:paraId="4902279B" w14:textId="7A5C0B87" w:rsidR="00B243C0" w:rsidRPr="00606B72" w:rsidRDefault="00606B72" w:rsidP="00B243C0">
      <w:pPr>
        <w:spacing w:line="480" w:lineRule="auto"/>
        <w:ind w:left="720" w:hanging="720"/>
      </w:pPr>
      <w:r w:rsidRPr="00606B72">
        <w:lastRenderedPageBreak/>
        <w:t>Nizam</w:t>
      </w:r>
      <w:r w:rsidR="00B243C0" w:rsidRPr="00606B72">
        <w:t xml:space="preserve"> al-Mulk</w:t>
      </w:r>
      <w:r w:rsidR="00A614B9">
        <w:t xml:space="preserve"> (</w:t>
      </w:r>
      <w:r w:rsidR="003567BF" w:rsidRPr="00606B72">
        <w:t>1960</w:t>
      </w:r>
      <w:r w:rsidR="00A614B9">
        <w:t>)</w:t>
      </w:r>
      <w:r w:rsidR="00AA3E15">
        <w:t>.</w:t>
      </w:r>
      <w:r w:rsidR="003567BF" w:rsidRPr="00606B72">
        <w:t xml:space="preserve"> </w:t>
      </w:r>
      <w:r w:rsidR="00B243C0" w:rsidRPr="00606B72">
        <w:rPr>
          <w:i/>
          <w:iCs/>
        </w:rPr>
        <w:t>The Book of Government or Rules for Kings: The Siy</w:t>
      </w:r>
      <w:r w:rsidRPr="00606B72">
        <w:rPr>
          <w:i/>
          <w:iCs/>
        </w:rPr>
        <w:t>a</w:t>
      </w:r>
      <w:r w:rsidR="00B243C0" w:rsidRPr="00606B72">
        <w:rPr>
          <w:i/>
          <w:iCs/>
        </w:rPr>
        <w:t>sat-n</w:t>
      </w:r>
      <w:r w:rsidRPr="00606B72">
        <w:rPr>
          <w:i/>
          <w:iCs/>
        </w:rPr>
        <w:t>a</w:t>
      </w:r>
      <w:r w:rsidR="00B243C0" w:rsidRPr="00606B72">
        <w:rPr>
          <w:i/>
          <w:iCs/>
        </w:rPr>
        <w:t>ma or Siyar al-Mul</w:t>
      </w:r>
      <w:r w:rsidRPr="00606B72">
        <w:rPr>
          <w:i/>
          <w:iCs/>
        </w:rPr>
        <w:t>u</w:t>
      </w:r>
      <w:r w:rsidR="00B243C0" w:rsidRPr="00606B72">
        <w:rPr>
          <w:i/>
          <w:iCs/>
        </w:rPr>
        <w:t xml:space="preserve">k of </w:t>
      </w:r>
      <w:r w:rsidRPr="00606B72">
        <w:rPr>
          <w:i/>
          <w:iCs/>
        </w:rPr>
        <w:t>Nizam</w:t>
      </w:r>
      <w:r w:rsidR="00B243C0" w:rsidRPr="00606B72">
        <w:rPr>
          <w:i/>
          <w:iCs/>
        </w:rPr>
        <w:t xml:space="preserve"> al-Mulk</w:t>
      </w:r>
      <w:r w:rsidR="00A614B9">
        <w:t>.</w:t>
      </w:r>
      <w:r w:rsidR="00B243C0" w:rsidRPr="00606B72">
        <w:t xml:space="preserve"> </w:t>
      </w:r>
      <w:r w:rsidR="00A614B9">
        <w:t>T</w:t>
      </w:r>
      <w:r w:rsidR="00B243C0" w:rsidRPr="00606B72">
        <w:t xml:space="preserve">ranslated by </w:t>
      </w:r>
      <w:r w:rsidR="00016AF7">
        <w:t xml:space="preserve">H. </w:t>
      </w:r>
      <w:r w:rsidR="00B243C0" w:rsidRPr="00606B72">
        <w:t>Darke</w:t>
      </w:r>
      <w:r w:rsidR="00016AF7">
        <w:t>.</w:t>
      </w:r>
      <w:r w:rsidR="00B243C0" w:rsidRPr="00606B72">
        <w:t xml:space="preserve"> New Haven, CT: Yale University Press. </w:t>
      </w:r>
    </w:p>
    <w:p w14:paraId="5806ECA8" w14:textId="67980899" w:rsidR="00697A49" w:rsidRPr="00606B72" w:rsidRDefault="00697A49" w:rsidP="00E01D3F">
      <w:pPr>
        <w:spacing w:line="480" w:lineRule="auto"/>
        <w:ind w:left="720" w:hanging="720"/>
      </w:pPr>
      <w:r w:rsidRPr="00606B72">
        <w:t>Tageldi</w:t>
      </w:r>
      <w:r w:rsidR="008A1284">
        <w:t>n</w:t>
      </w:r>
      <w:r w:rsidR="00347A05">
        <w:t>,</w:t>
      </w:r>
      <w:r w:rsidR="008A1284">
        <w:t xml:space="preserve"> S</w:t>
      </w:r>
      <w:r w:rsidR="00347A05">
        <w:t>.</w:t>
      </w:r>
      <w:r w:rsidRPr="00606B72">
        <w:t xml:space="preserve"> </w:t>
      </w:r>
      <w:r w:rsidR="008A1284">
        <w:t>(</w:t>
      </w:r>
      <w:r w:rsidR="003567BF" w:rsidRPr="00606B72">
        <w:t>2011</w:t>
      </w:r>
      <w:r w:rsidR="008A1284">
        <w:t>)</w:t>
      </w:r>
      <w:r w:rsidR="00AA3E15">
        <w:t>.</w:t>
      </w:r>
      <w:r w:rsidR="00A32E90">
        <w:t xml:space="preserve"> </w:t>
      </w:r>
      <w:r w:rsidRPr="00606B72">
        <w:rPr>
          <w:i/>
          <w:iCs/>
        </w:rPr>
        <w:t>Disarming Words: Empire and the Seduction of Translation in Egypt</w:t>
      </w:r>
      <w:r w:rsidRPr="00606B72">
        <w:t xml:space="preserve">. Berkeley and Los Angeles: University of California Press. </w:t>
      </w:r>
    </w:p>
    <w:sectPr w:rsidR="00697A49" w:rsidRPr="00606B72" w:rsidSect="00C00825">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C814" w16cex:dateUtc="2020-09-04T02:52:00Z"/>
  <w16cex:commentExtensible w16cex:durableId="22FBC7EA" w16cex:dateUtc="2020-09-04T02:52:00Z"/>
  <w16cex:commentExtensible w16cex:durableId="22FBC84F" w16cex:dateUtc="2020-09-04T02:53:00Z"/>
  <w16cex:commentExtensible w16cex:durableId="22FBC8C5" w16cex:dateUtc="2020-09-04T02:55:00Z"/>
  <w16cex:commentExtensible w16cex:durableId="22FBC994" w16cex:dateUtc="2020-09-04T02:59:00Z"/>
  <w16cex:commentExtensible w16cex:durableId="22FBCA68" w16cex:dateUtc="2020-09-04T03:02:00Z"/>
  <w16cex:commentExtensible w16cex:durableId="22FBCB09" w16cex:dateUtc="2020-09-04T03:05:00Z"/>
  <w16cex:commentExtensible w16cex:durableId="22FBCB20" w16cex:dateUtc="2020-09-04T03:05:00Z"/>
  <w16cex:commentExtensible w16cex:durableId="22FBCB97" w16cex:dateUtc="2020-09-04T03:07:00Z"/>
  <w16cex:commentExtensible w16cex:durableId="22FBCBE4" w16cex:dateUtc="2020-09-04T03:09:00Z"/>
  <w16cex:commentExtensible w16cex:durableId="22FBCC73" w16cex:dateUtc="2020-09-04T03:11:00Z"/>
  <w16cex:commentExtensible w16cex:durableId="22FBCD54" w16cex:dateUtc="2020-09-04T03:15:00Z"/>
  <w16cex:commentExtensible w16cex:durableId="22FBCDC6" w16cex:dateUtc="2020-09-04T03:17:00Z"/>
  <w16cex:commentExtensible w16cex:durableId="22FBCE56" w16cex:dateUtc="2020-09-04T03:19:00Z"/>
  <w16cex:commentExtensible w16cex:durableId="22FBCE98" w16cex:dateUtc="2020-09-04T03:20:00Z"/>
  <w16cex:commentExtensible w16cex:durableId="22FBCF5C" w16cex:dateUtc="2020-09-04T03:23:00Z"/>
  <w16cex:commentExtensible w16cex:durableId="22FBCFCF" w16cex:dateUtc="2020-09-04T03:25:00Z"/>
  <w16cex:commentExtensible w16cex:durableId="22FBD260" w16cex:dateUtc="2020-09-04T03:36:00Z"/>
  <w16cex:commentExtensible w16cex:durableId="22FBD313" w16cex:dateUtc="2020-09-04T03:39:00Z"/>
  <w16cex:commentExtensible w16cex:durableId="22FBD55D" w16cex:dateUtc="2020-09-04T03:49:00Z"/>
  <w16cex:commentExtensible w16cex:durableId="22FBD5EC" w16cex:dateUtc="2020-09-04T03:51:00Z"/>
  <w16cex:commentExtensible w16cex:durableId="22FBD884" w16cex:dateUtc="2020-09-04T04:03:00Z"/>
  <w16cex:commentExtensible w16cex:durableId="22FBD914" w16cex:dateUtc="2020-09-04T0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FC59B" w14:textId="77777777" w:rsidR="005F7EC3" w:rsidRDefault="005F7EC3" w:rsidP="0083764A">
      <w:r>
        <w:separator/>
      </w:r>
    </w:p>
  </w:endnote>
  <w:endnote w:type="continuationSeparator" w:id="0">
    <w:p w14:paraId="563661ED" w14:textId="77777777" w:rsidR="005F7EC3" w:rsidRDefault="005F7EC3" w:rsidP="0083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8162980"/>
      <w:docPartObj>
        <w:docPartGallery w:val="Page Numbers (Bottom of Page)"/>
        <w:docPartUnique/>
      </w:docPartObj>
    </w:sdtPr>
    <w:sdtEndPr>
      <w:rPr>
        <w:rStyle w:val="PageNumber"/>
      </w:rPr>
    </w:sdtEndPr>
    <w:sdtContent>
      <w:p w14:paraId="3008023B" w14:textId="4442194C" w:rsidR="00796BD9" w:rsidRDefault="00796BD9" w:rsidP="00634B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339A9" w14:textId="77777777" w:rsidR="00796BD9" w:rsidRDefault="0079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2630610"/>
      <w:docPartObj>
        <w:docPartGallery w:val="Page Numbers (Bottom of Page)"/>
        <w:docPartUnique/>
      </w:docPartObj>
    </w:sdtPr>
    <w:sdtEndPr>
      <w:rPr>
        <w:rStyle w:val="PageNumber"/>
      </w:rPr>
    </w:sdtEndPr>
    <w:sdtContent>
      <w:p w14:paraId="0BBCEE8E" w14:textId="238E0FBF" w:rsidR="00796BD9" w:rsidRDefault="00796BD9" w:rsidP="00634B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0B68B5" w14:textId="77777777" w:rsidR="00796BD9" w:rsidRDefault="0079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FCC14" w14:textId="77777777" w:rsidR="005F7EC3" w:rsidRDefault="005F7EC3" w:rsidP="0083764A">
      <w:r>
        <w:separator/>
      </w:r>
    </w:p>
  </w:footnote>
  <w:footnote w:type="continuationSeparator" w:id="0">
    <w:p w14:paraId="5F2E6D7B" w14:textId="77777777" w:rsidR="005F7EC3" w:rsidRDefault="005F7EC3" w:rsidP="0083764A">
      <w:r>
        <w:continuationSeparator/>
      </w:r>
    </w:p>
  </w:footnote>
  <w:footnote w:id="1">
    <w:p w14:paraId="072E1423" w14:textId="3427A446" w:rsidR="00B26608" w:rsidRPr="00EC5CC0" w:rsidRDefault="00B26608" w:rsidP="00EC5CC0">
      <w:pPr>
        <w:pStyle w:val="FootnoteText"/>
        <w:spacing w:line="480" w:lineRule="auto"/>
        <w:rPr>
          <w:color w:val="000000" w:themeColor="text1"/>
          <w:sz w:val="24"/>
          <w:szCs w:val="24"/>
        </w:rPr>
      </w:pPr>
      <w:r w:rsidRPr="00EC5CC0">
        <w:rPr>
          <w:rStyle w:val="FootnoteReference"/>
          <w:color w:val="000000" w:themeColor="text1"/>
          <w:sz w:val="24"/>
          <w:szCs w:val="24"/>
        </w:rPr>
        <w:footnoteRef/>
      </w:r>
      <w:r w:rsidRPr="00EC5CC0">
        <w:rPr>
          <w:color w:val="000000" w:themeColor="text1"/>
          <w:sz w:val="24"/>
          <w:szCs w:val="24"/>
        </w:rPr>
        <w:t xml:space="preserve"> For an example of such an interpretation of </w:t>
      </w:r>
      <w:r w:rsidR="00BC574A">
        <w:rPr>
          <w:color w:val="000000" w:themeColor="text1"/>
          <w:sz w:val="24"/>
          <w:szCs w:val="24"/>
        </w:rPr>
        <w:t>al-Tahtawi</w:t>
      </w:r>
      <w:r w:rsidRPr="00EC5CC0">
        <w:rPr>
          <w:color w:val="000000" w:themeColor="text1"/>
          <w:sz w:val="24"/>
          <w:szCs w:val="24"/>
        </w:rPr>
        <w:t>’s significance, see Heyworth-Dunne</w:t>
      </w:r>
      <w:r w:rsidR="000B4175" w:rsidRPr="00EC5CC0">
        <w:rPr>
          <w:color w:val="000000" w:themeColor="text1"/>
          <w:sz w:val="24"/>
          <w:szCs w:val="24"/>
        </w:rPr>
        <w:t xml:space="preserve"> 1940; </w:t>
      </w:r>
      <w:r w:rsidRPr="00EC5CC0">
        <w:rPr>
          <w:color w:val="000000" w:themeColor="text1"/>
          <w:sz w:val="24"/>
          <w:szCs w:val="24"/>
        </w:rPr>
        <w:t>Lewis</w:t>
      </w:r>
      <w:r w:rsidR="000B4175" w:rsidRPr="00EC5CC0">
        <w:rPr>
          <w:color w:val="000000" w:themeColor="text1"/>
          <w:sz w:val="24"/>
          <w:szCs w:val="24"/>
        </w:rPr>
        <w:t xml:space="preserve"> 2005</w:t>
      </w:r>
      <w:r w:rsidRPr="00EC5CC0">
        <w:rPr>
          <w:color w:val="000000" w:themeColor="text1"/>
          <w:sz w:val="24"/>
          <w:szCs w:val="24"/>
        </w:rPr>
        <w:t xml:space="preserve">.  </w:t>
      </w:r>
    </w:p>
  </w:footnote>
  <w:footnote w:id="2">
    <w:p w14:paraId="04892E96" w14:textId="40C33390" w:rsidR="00B26608" w:rsidRPr="00EC5CC0" w:rsidRDefault="00B26608" w:rsidP="00EC5CC0">
      <w:pPr>
        <w:spacing w:line="480" w:lineRule="auto"/>
        <w:rPr>
          <w:rFonts w:eastAsia="Times New Roman"/>
          <w:color w:val="000000" w:themeColor="text1"/>
        </w:rPr>
      </w:pPr>
      <w:r w:rsidRPr="00EC5CC0">
        <w:rPr>
          <w:rStyle w:val="FootnoteReference"/>
          <w:color w:val="000000" w:themeColor="text1"/>
        </w:rPr>
        <w:footnoteRef/>
      </w:r>
      <w:r w:rsidRPr="00EC5CC0">
        <w:rPr>
          <w:color w:val="000000" w:themeColor="text1"/>
        </w:rPr>
        <w:t xml:space="preserve"> For a more detailed discussions of </w:t>
      </w:r>
      <w:r w:rsidRPr="00EC5CC0">
        <w:rPr>
          <w:i/>
          <w:iCs/>
          <w:color w:val="000000" w:themeColor="text1"/>
        </w:rPr>
        <w:t>naṣīḥa</w:t>
      </w:r>
      <w:r w:rsidRPr="00EC5CC0">
        <w:rPr>
          <w:color w:val="000000" w:themeColor="text1"/>
        </w:rPr>
        <w:t xml:space="preserve"> as a genre within the history of Islam, see Marlow</w:t>
      </w:r>
      <w:r w:rsidR="00996189">
        <w:rPr>
          <w:color w:val="000000" w:themeColor="text1"/>
        </w:rPr>
        <w:t xml:space="preserve">, </w:t>
      </w:r>
      <w:r w:rsidR="0026776A" w:rsidRPr="00EC5CC0">
        <w:rPr>
          <w:color w:val="000000" w:themeColor="text1"/>
        </w:rPr>
        <w:t>n.d.</w:t>
      </w:r>
    </w:p>
  </w:footnote>
  <w:footnote w:id="3">
    <w:p w14:paraId="2215B9A8" w14:textId="5768ED78" w:rsidR="00EC5CC0" w:rsidRPr="00EC5CC0" w:rsidRDefault="00EC5CC0" w:rsidP="00EC5CC0">
      <w:pPr>
        <w:pStyle w:val="FootnoteText"/>
        <w:spacing w:line="480" w:lineRule="auto"/>
        <w:rPr>
          <w:sz w:val="24"/>
          <w:szCs w:val="24"/>
        </w:rPr>
      </w:pPr>
      <w:r w:rsidRPr="00EC5CC0">
        <w:rPr>
          <w:rStyle w:val="FootnoteReference"/>
          <w:sz w:val="24"/>
          <w:szCs w:val="24"/>
        </w:rPr>
        <w:footnoteRef/>
      </w:r>
      <w:r w:rsidRPr="00EC5CC0">
        <w:rPr>
          <w:sz w:val="24"/>
          <w:szCs w:val="24"/>
        </w:rPr>
        <w:t xml:space="preserve"> </w:t>
      </w:r>
      <w:r w:rsidRPr="00EC5CC0">
        <w:rPr>
          <w:color w:val="000000" w:themeColor="text1"/>
          <w:sz w:val="24"/>
          <w:szCs w:val="24"/>
        </w:rPr>
        <w:t xml:space="preserve">Fascinatingly, Napoleon Bonaparte cites this </w:t>
      </w:r>
      <w:r w:rsidRPr="00BF1E7C">
        <w:rPr>
          <w:color w:val="000000" w:themeColor="text1"/>
          <w:sz w:val="24"/>
          <w:szCs w:val="24"/>
        </w:rPr>
        <w:t>hadith</w:t>
      </w:r>
      <w:r w:rsidRPr="00EC5CC0">
        <w:rPr>
          <w:color w:val="000000" w:themeColor="text1"/>
          <w:sz w:val="24"/>
          <w:szCs w:val="24"/>
        </w:rPr>
        <w:t xml:space="preserve"> in a letter written to local Egyptian leaders in an attempt to assure them of the invading French army’s good intentions (al-</w:t>
      </w:r>
      <w:r w:rsidR="00C41B09">
        <w:rPr>
          <w:color w:val="000000" w:themeColor="text1"/>
          <w:sz w:val="24"/>
          <w:szCs w:val="24"/>
        </w:rPr>
        <w:t>Jabarti</w:t>
      </w:r>
      <w:r w:rsidRPr="00EC5CC0">
        <w:rPr>
          <w:color w:val="000000" w:themeColor="text1"/>
          <w:sz w:val="24"/>
          <w:szCs w:val="24"/>
        </w:rPr>
        <w:t xml:space="preserve"> 2003, 103).  </w:t>
      </w:r>
    </w:p>
  </w:footnote>
  <w:footnote w:id="4">
    <w:p w14:paraId="5F854659" w14:textId="330717FD" w:rsidR="00B26608" w:rsidRPr="00EC5CC0" w:rsidRDefault="00B26608" w:rsidP="00EC5CC0">
      <w:pPr>
        <w:pStyle w:val="FootnoteText"/>
        <w:spacing w:line="480" w:lineRule="auto"/>
        <w:rPr>
          <w:sz w:val="24"/>
          <w:szCs w:val="24"/>
        </w:rPr>
      </w:pPr>
      <w:r w:rsidRPr="00EC5CC0">
        <w:rPr>
          <w:rStyle w:val="FootnoteReference"/>
          <w:sz w:val="24"/>
          <w:szCs w:val="24"/>
        </w:rPr>
        <w:footnoteRef/>
      </w:r>
      <w:r w:rsidRPr="00EC5CC0">
        <w:rPr>
          <w:sz w:val="24"/>
          <w:szCs w:val="24"/>
        </w:rPr>
        <w:t xml:space="preserve"> “Pie le défunt” refers to Pope Pius VI, who was deposed by Napoleon in 1798 and died in prison the following year. </w:t>
      </w:r>
    </w:p>
  </w:footnote>
  <w:footnote w:id="5">
    <w:p w14:paraId="63B518A9" w14:textId="1E5DA945" w:rsidR="00B26608" w:rsidRPr="00EC5CC0" w:rsidRDefault="00B26608" w:rsidP="00EC5CC0">
      <w:pPr>
        <w:pStyle w:val="FootnoteText"/>
        <w:spacing w:line="480" w:lineRule="auto"/>
        <w:rPr>
          <w:sz w:val="24"/>
          <w:szCs w:val="24"/>
        </w:rPr>
      </w:pPr>
      <w:r w:rsidRPr="00EC5CC0">
        <w:rPr>
          <w:rStyle w:val="FootnoteReference"/>
          <w:sz w:val="24"/>
          <w:szCs w:val="24"/>
        </w:rPr>
        <w:footnoteRef/>
      </w:r>
      <w:r w:rsidRPr="00EC5CC0">
        <w:rPr>
          <w:sz w:val="24"/>
          <w:szCs w:val="24"/>
        </w:rPr>
        <w:t xml:space="preserve"> Al-</w:t>
      </w:r>
      <w:r w:rsidR="00C46736">
        <w:rPr>
          <w:sz w:val="24"/>
          <w:szCs w:val="24"/>
        </w:rPr>
        <w:t>Jabarti</w:t>
      </w:r>
      <w:r w:rsidRPr="00EC5CC0">
        <w:rPr>
          <w:sz w:val="24"/>
          <w:szCs w:val="24"/>
        </w:rPr>
        <w:t xml:space="preserve"> also provides a fascinating account of his own personal experiences with the Institut d’Egypte</w:t>
      </w:r>
      <w:r w:rsidR="00EC5CC0">
        <w:rPr>
          <w:sz w:val="24"/>
          <w:szCs w:val="24"/>
        </w:rPr>
        <w:t xml:space="preserve"> (2003</w:t>
      </w:r>
      <w:r w:rsidR="00A917A1">
        <w:rPr>
          <w:sz w:val="24"/>
          <w:szCs w:val="24"/>
        </w:rPr>
        <w:t>:</w:t>
      </w:r>
      <w:r w:rsidR="00EC5CC0">
        <w:rPr>
          <w:sz w:val="24"/>
          <w:szCs w:val="24"/>
        </w:rPr>
        <w:t xml:space="preserve"> 109-110)</w:t>
      </w:r>
      <w:r w:rsidRPr="00EC5CC0">
        <w:rPr>
          <w:sz w:val="24"/>
          <w:szCs w:val="24"/>
        </w:rPr>
        <w:t>.</w:t>
      </w:r>
      <w:r w:rsidR="005F5D24" w:rsidRPr="00EC5CC0">
        <w:rPr>
          <w:sz w:val="24"/>
          <w:szCs w:val="24"/>
        </w:rPr>
        <w:t xml:space="preserve">  </w:t>
      </w:r>
    </w:p>
  </w:footnote>
  <w:footnote w:id="6">
    <w:p w14:paraId="78078669" w14:textId="7279F5B0" w:rsidR="004E215B" w:rsidRPr="009E1D4B" w:rsidRDefault="004E215B" w:rsidP="009E1D4B">
      <w:pPr>
        <w:pStyle w:val="FootnoteText"/>
        <w:spacing w:line="480" w:lineRule="auto"/>
        <w:rPr>
          <w:sz w:val="24"/>
          <w:szCs w:val="24"/>
        </w:rPr>
      </w:pPr>
      <w:r w:rsidRPr="009E1D4B">
        <w:rPr>
          <w:rStyle w:val="FootnoteReference"/>
          <w:sz w:val="24"/>
          <w:szCs w:val="24"/>
        </w:rPr>
        <w:footnoteRef/>
      </w:r>
      <w:r w:rsidRPr="009E1D4B">
        <w:rPr>
          <w:sz w:val="24"/>
          <w:szCs w:val="24"/>
        </w:rPr>
        <w:t xml:space="preserve"> For example, ibn Battuta makes clear his opinion of the popular yet controversial scholar, ibn Taymiyya, in the process of describing the city of Damascus: “There was living in Damascus [a certain] Taqīal-Dīn Ibn Taimīya, one of the principal Ḥanbalite doctors there, a man greatly esteemed and able to discourse on various sciences, but with some kink in his brain” (1958</w:t>
      </w:r>
      <w:r w:rsidR="00C02FA5">
        <w:rPr>
          <w:sz w:val="24"/>
          <w:szCs w:val="24"/>
        </w:rPr>
        <w:t>:</w:t>
      </w:r>
      <w:r w:rsidRPr="009E1D4B">
        <w:rPr>
          <w:sz w:val="24"/>
          <w:szCs w:val="24"/>
        </w:rPr>
        <w:t xml:space="preserve"> 135).  </w:t>
      </w:r>
    </w:p>
  </w:footnote>
  <w:footnote w:id="7">
    <w:p w14:paraId="4DB141B1" w14:textId="2AA51E9F" w:rsidR="00E925DE" w:rsidRPr="00EC5CC0" w:rsidRDefault="00E925DE" w:rsidP="00A9136A">
      <w:pPr>
        <w:pStyle w:val="FootnoteText"/>
        <w:spacing w:line="480" w:lineRule="auto"/>
        <w:rPr>
          <w:sz w:val="24"/>
          <w:szCs w:val="24"/>
        </w:rPr>
      </w:pPr>
      <w:r w:rsidRPr="00EC5CC0">
        <w:rPr>
          <w:rStyle w:val="FootnoteReference"/>
          <w:sz w:val="24"/>
          <w:szCs w:val="24"/>
        </w:rPr>
        <w:footnoteRef/>
      </w:r>
      <w:r w:rsidRPr="00EC5CC0">
        <w:rPr>
          <w:sz w:val="24"/>
          <w:szCs w:val="24"/>
        </w:rPr>
        <w:t xml:space="preserve"> </w:t>
      </w:r>
      <w:r w:rsidR="00617AE1" w:rsidRPr="00EC5CC0">
        <w:rPr>
          <w:sz w:val="24"/>
          <w:szCs w:val="24"/>
        </w:rPr>
        <w:t xml:space="preserve">In addition to discussing at length his relationship with </w:t>
      </w:r>
      <w:r w:rsidR="00617AE1" w:rsidRPr="00EC5CC0">
        <w:rPr>
          <w:color w:val="000000" w:themeColor="text1"/>
          <w:sz w:val="24"/>
          <w:szCs w:val="24"/>
        </w:rPr>
        <w:t>Edme-François Jomard</w:t>
      </w:r>
      <w:r w:rsidR="000C28BD" w:rsidRPr="00EC5CC0">
        <w:rPr>
          <w:color w:val="000000" w:themeColor="text1"/>
          <w:sz w:val="24"/>
          <w:szCs w:val="24"/>
        </w:rPr>
        <w:t xml:space="preserve"> throughout the text</w:t>
      </w:r>
      <w:r w:rsidR="00673B75" w:rsidRPr="00EC5CC0">
        <w:rPr>
          <w:sz w:val="24"/>
          <w:szCs w:val="24"/>
        </w:rPr>
        <w:t xml:space="preserve">, </w:t>
      </w:r>
      <w:r w:rsidR="00BC574A">
        <w:rPr>
          <w:sz w:val="24"/>
          <w:szCs w:val="24"/>
        </w:rPr>
        <w:t>al-Tahtawi</w:t>
      </w:r>
      <w:r w:rsidR="00673B75" w:rsidRPr="00EC5CC0">
        <w:rPr>
          <w:sz w:val="24"/>
          <w:szCs w:val="24"/>
        </w:rPr>
        <w:t xml:space="preserve"> includes in the </w:t>
      </w:r>
      <w:r w:rsidR="006D42D6">
        <w:rPr>
          <w:i/>
          <w:iCs/>
          <w:sz w:val="24"/>
          <w:szCs w:val="24"/>
        </w:rPr>
        <w:t>Takhlis</w:t>
      </w:r>
      <w:r w:rsidR="00673B75" w:rsidRPr="00EC5CC0">
        <w:rPr>
          <w:sz w:val="24"/>
          <w:szCs w:val="24"/>
        </w:rPr>
        <w:t xml:space="preserve"> a number of correspondences between him and a variety of French scholars including Silvestre de Sacy, </w:t>
      </w:r>
      <w:r w:rsidR="00617AE1" w:rsidRPr="00EC5CC0">
        <w:rPr>
          <w:sz w:val="24"/>
          <w:szCs w:val="24"/>
        </w:rPr>
        <w:t>Caussin de Perceval, Jules Saladin, and Joseph-Toussaint Reinaud</w:t>
      </w:r>
      <w:r w:rsidR="000F7ACF">
        <w:rPr>
          <w:sz w:val="24"/>
          <w:szCs w:val="24"/>
        </w:rPr>
        <w:t xml:space="preserve"> (2011</w:t>
      </w:r>
      <w:r w:rsidR="00FD71A7">
        <w:rPr>
          <w:sz w:val="24"/>
          <w:szCs w:val="24"/>
        </w:rPr>
        <w:t>:</w:t>
      </w:r>
      <w:r w:rsidR="000F7ACF">
        <w:rPr>
          <w:sz w:val="24"/>
          <w:szCs w:val="24"/>
        </w:rPr>
        <w:t xml:space="preserve"> 284-291)</w:t>
      </w:r>
      <w:r w:rsidR="00617AE1" w:rsidRPr="00EC5CC0">
        <w:rPr>
          <w:sz w:val="24"/>
          <w:szCs w:val="24"/>
        </w:rPr>
        <w:t>.</w:t>
      </w:r>
      <w:r w:rsidR="00CF4B00" w:rsidRPr="00EC5CC0">
        <w:rPr>
          <w:sz w:val="24"/>
          <w:szCs w:val="24"/>
        </w:rPr>
        <w:t xml:space="preserve">  </w:t>
      </w:r>
      <w:r w:rsidR="0000045D" w:rsidRPr="00EC5CC0">
        <w:rPr>
          <w:sz w:val="24"/>
          <w:szCs w:val="24"/>
        </w:rPr>
        <w:t xml:space="preserve">He also explicitly mentions that he read the work of French </w:t>
      </w:r>
      <w:r w:rsidR="0000045D" w:rsidRPr="00EC5CC0">
        <w:rPr>
          <w:i/>
          <w:iCs/>
          <w:sz w:val="24"/>
          <w:szCs w:val="24"/>
        </w:rPr>
        <w:t>philosophes</w:t>
      </w:r>
      <w:r w:rsidR="0000045D" w:rsidRPr="00EC5CC0">
        <w:rPr>
          <w:sz w:val="24"/>
          <w:szCs w:val="24"/>
        </w:rPr>
        <w:t xml:space="preserve"> </w:t>
      </w:r>
      <w:r w:rsidR="000C28BD" w:rsidRPr="00EC5CC0">
        <w:rPr>
          <w:sz w:val="24"/>
          <w:szCs w:val="24"/>
        </w:rPr>
        <w:t>like</w:t>
      </w:r>
      <w:r w:rsidR="0000045D" w:rsidRPr="00EC5CC0">
        <w:rPr>
          <w:sz w:val="24"/>
          <w:szCs w:val="24"/>
        </w:rPr>
        <w:t xml:space="preserve"> Rousseau, Voltaire, and Montesquieu, and expresses admiration for their erudition</w:t>
      </w:r>
      <w:r w:rsidR="000F7ACF">
        <w:rPr>
          <w:sz w:val="24"/>
          <w:szCs w:val="24"/>
        </w:rPr>
        <w:t xml:space="preserve"> (2011</w:t>
      </w:r>
      <w:r w:rsidR="00BD1590">
        <w:rPr>
          <w:sz w:val="24"/>
          <w:szCs w:val="24"/>
        </w:rPr>
        <w:t>:</w:t>
      </w:r>
      <w:r w:rsidR="000F7ACF">
        <w:rPr>
          <w:sz w:val="24"/>
          <w:szCs w:val="24"/>
        </w:rPr>
        <w:t xml:space="preserve"> </w:t>
      </w:r>
      <w:r w:rsidR="0000045D" w:rsidRPr="00EC5CC0">
        <w:rPr>
          <w:sz w:val="24"/>
          <w:szCs w:val="24"/>
        </w:rPr>
        <w:t>295-297</w:t>
      </w:r>
      <w:r w:rsidR="000F7ACF">
        <w:rPr>
          <w:sz w:val="24"/>
          <w:szCs w:val="24"/>
        </w:rPr>
        <w:t>)</w:t>
      </w:r>
      <w:r w:rsidR="0000045D" w:rsidRPr="00EC5CC0">
        <w:rPr>
          <w:sz w:val="24"/>
          <w:szCs w:val="24"/>
        </w:rPr>
        <w:t xml:space="preserve">.  </w:t>
      </w:r>
    </w:p>
  </w:footnote>
  <w:footnote w:id="8">
    <w:p w14:paraId="339ECB54" w14:textId="1ADE8BB3" w:rsidR="00A9136A" w:rsidRDefault="00A9136A" w:rsidP="00A9136A">
      <w:pPr>
        <w:pStyle w:val="FootnoteText"/>
        <w:spacing w:line="480" w:lineRule="auto"/>
      </w:pPr>
      <w:r>
        <w:rPr>
          <w:rStyle w:val="FootnoteReference"/>
        </w:rPr>
        <w:footnoteRef/>
      </w:r>
      <w:r>
        <w:t xml:space="preserve"> </w:t>
      </w:r>
      <w:r w:rsidRPr="00EC5CC0">
        <w:rPr>
          <w:sz w:val="24"/>
          <w:szCs w:val="24"/>
        </w:rPr>
        <w:t xml:space="preserve">The </w:t>
      </w:r>
      <w:r w:rsidRPr="00EC5CC0">
        <w:rPr>
          <w:i/>
          <w:iCs/>
          <w:sz w:val="24"/>
          <w:szCs w:val="24"/>
        </w:rPr>
        <w:t>iltizām</w:t>
      </w:r>
      <w:r w:rsidRPr="00EC5CC0">
        <w:rPr>
          <w:sz w:val="24"/>
          <w:szCs w:val="24"/>
        </w:rPr>
        <w:t xml:space="preserve"> system was the Ottoman tax farming method that began in the 16</w:t>
      </w:r>
      <w:r w:rsidRPr="00EC5CC0">
        <w:rPr>
          <w:sz w:val="24"/>
          <w:szCs w:val="24"/>
          <w:vertAlign w:val="superscript"/>
        </w:rPr>
        <w:t>th</w:t>
      </w:r>
      <w:r w:rsidRPr="00EC5CC0">
        <w:rPr>
          <w:sz w:val="24"/>
          <w:szCs w:val="24"/>
        </w:rPr>
        <w:t xml:space="preserve"> century and was abolished during the </w:t>
      </w:r>
      <w:r>
        <w:rPr>
          <w:sz w:val="24"/>
          <w:szCs w:val="24"/>
        </w:rPr>
        <w:t>Tanzimat</w:t>
      </w:r>
      <w:r w:rsidRPr="00EC5CC0">
        <w:rPr>
          <w:i/>
          <w:iCs/>
          <w:sz w:val="24"/>
          <w:szCs w:val="24"/>
        </w:rPr>
        <w:t xml:space="preserve"> </w:t>
      </w:r>
      <w:r w:rsidRPr="00EC5CC0">
        <w:rPr>
          <w:sz w:val="24"/>
          <w:szCs w:val="24"/>
        </w:rPr>
        <w:t>reforms of the 19</w:t>
      </w:r>
      <w:r w:rsidRPr="00EC5CC0">
        <w:rPr>
          <w:sz w:val="24"/>
          <w:szCs w:val="24"/>
          <w:vertAlign w:val="superscript"/>
        </w:rPr>
        <w:t>th</w:t>
      </w:r>
      <w:r w:rsidRPr="00EC5CC0">
        <w:rPr>
          <w:sz w:val="24"/>
          <w:szCs w:val="24"/>
        </w:rPr>
        <w:t xml:space="preserve"> century.  </w:t>
      </w:r>
    </w:p>
  </w:footnote>
  <w:footnote w:id="9">
    <w:p w14:paraId="6D5898DF" w14:textId="257ECEF0" w:rsidR="00B26608" w:rsidRPr="00EC5CC0" w:rsidRDefault="00B26608" w:rsidP="00A9136A">
      <w:pPr>
        <w:pStyle w:val="FootnoteText"/>
        <w:spacing w:line="480" w:lineRule="auto"/>
        <w:rPr>
          <w:sz w:val="24"/>
          <w:szCs w:val="24"/>
        </w:rPr>
      </w:pPr>
      <w:r w:rsidRPr="00EC5CC0">
        <w:rPr>
          <w:rStyle w:val="FootnoteReference"/>
          <w:sz w:val="24"/>
          <w:szCs w:val="24"/>
        </w:rPr>
        <w:footnoteRef/>
      </w:r>
      <w:r w:rsidRPr="00EC5CC0">
        <w:rPr>
          <w:sz w:val="24"/>
          <w:szCs w:val="24"/>
        </w:rPr>
        <w:t xml:space="preserve"> According to Daniel Newman, this </w:t>
      </w:r>
      <w:r w:rsidR="007A2D86" w:rsidRPr="00EC5CC0">
        <w:rPr>
          <w:sz w:val="24"/>
          <w:szCs w:val="24"/>
        </w:rPr>
        <w:t xml:space="preserve">passage </w:t>
      </w:r>
      <w:r w:rsidRPr="00EC5CC0">
        <w:rPr>
          <w:sz w:val="24"/>
          <w:szCs w:val="24"/>
        </w:rPr>
        <w:t xml:space="preserve">is </w:t>
      </w:r>
      <w:r w:rsidR="009605EF" w:rsidRPr="00EC5CC0">
        <w:rPr>
          <w:sz w:val="24"/>
          <w:szCs w:val="24"/>
        </w:rPr>
        <w:t xml:space="preserve">notable for being </w:t>
      </w:r>
      <w:r w:rsidRPr="00EC5CC0">
        <w:rPr>
          <w:sz w:val="24"/>
          <w:szCs w:val="24"/>
        </w:rPr>
        <w:t xml:space="preserve">the first instance in which the Arabic word </w:t>
      </w:r>
      <w:r w:rsidRPr="00EC5CC0">
        <w:rPr>
          <w:i/>
          <w:iCs/>
          <w:sz w:val="24"/>
          <w:szCs w:val="24"/>
        </w:rPr>
        <w:t>jumhūriyya</w:t>
      </w:r>
      <w:r w:rsidRPr="00EC5CC0">
        <w:rPr>
          <w:sz w:val="24"/>
          <w:szCs w:val="24"/>
        </w:rPr>
        <w:t xml:space="preserve"> is used in its modern sense to mean the word “republic” </w:t>
      </w:r>
      <w:r w:rsidR="00743BE6">
        <w:rPr>
          <w:sz w:val="24"/>
          <w:szCs w:val="24"/>
        </w:rPr>
        <w:t>(2011</w:t>
      </w:r>
      <w:r w:rsidR="00662A71">
        <w:rPr>
          <w:sz w:val="24"/>
          <w:szCs w:val="24"/>
        </w:rPr>
        <w:t>:</w:t>
      </w:r>
      <w:r w:rsidR="00743BE6">
        <w:rPr>
          <w:sz w:val="24"/>
          <w:szCs w:val="24"/>
        </w:rPr>
        <w:t xml:space="preserve"> n.3, 307).</w:t>
      </w:r>
      <w:r w:rsidRPr="00EC5CC0">
        <w:rPr>
          <w:color w:val="000000" w:themeColor="text1"/>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9797521"/>
      <w:docPartObj>
        <w:docPartGallery w:val="Page Numbers (Top of Page)"/>
        <w:docPartUnique/>
      </w:docPartObj>
    </w:sdtPr>
    <w:sdtEndPr>
      <w:rPr>
        <w:rStyle w:val="PageNumber"/>
      </w:rPr>
    </w:sdtEndPr>
    <w:sdtContent>
      <w:p w14:paraId="0EC5BC68" w14:textId="7E7F6AD2" w:rsidR="00B26608" w:rsidRDefault="00B26608" w:rsidP="00940B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7078D" w14:textId="77777777" w:rsidR="00B26608" w:rsidRDefault="00B26608" w:rsidP="00C008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6000" w14:textId="2CF86D76" w:rsidR="00B26608" w:rsidRDefault="00B26608" w:rsidP="00C00825">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6D0"/>
    <w:multiLevelType w:val="hybridMultilevel"/>
    <w:tmpl w:val="A806A07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18791B8F"/>
    <w:multiLevelType w:val="hybridMultilevel"/>
    <w:tmpl w:val="CBEC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01DB4"/>
    <w:multiLevelType w:val="hybridMultilevel"/>
    <w:tmpl w:val="702C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C61DB"/>
    <w:multiLevelType w:val="hybridMultilevel"/>
    <w:tmpl w:val="BE70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4A"/>
    <w:rsid w:val="0000045D"/>
    <w:rsid w:val="00000853"/>
    <w:rsid w:val="00001AA4"/>
    <w:rsid w:val="00003497"/>
    <w:rsid w:val="000043C3"/>
    <w:rsid w:val="000045C4"/>
    <w:rsid w:val="00004789"/>
    <w:rsid w:val="00004F4E"/>
    <w:rsid w:val="000068C2"/>
    <w:rsid w:val="00007738"/>
    <w:rsid w:val="00007757"/>
    <w:rsid w:val="00007F45"/>
    <w:rsid w:val="00010DB4"/>
    <w:rsid w:val="00011082"/>
    <w:rsid w:val="00012D3B"/>
    <w:rsid w:val="0001302A"/>
    <w:rsid w:val="00013D42"/>
    <w:rsid w:val="00014193"/>
    <w:rsid w:val="00016AF7"/>
    <w:rsid w:val="00020C2E"/>
    <w:rsid w:val="00022D00"/>
    <w:rsid w:val="00024666"/>
    <w:rsid w:val="000249CE"/>
    <w:rsid w:val="00030077"/>
    <w:rsid w:val="000311F8"/>
    <w:rsid w:val="000339B2"/>
    <w:rsid w:val="00034E79"/>
    <w:rsid w:val="000360CF"/>
    <w:rsid w:val="00036227"/>
    <w:rsid w:val="0003689B"/>
    <w:rsid w:val="00037375"/>
    <w:rsid w:val="00037C66"/>
    <w:rsid w:val="00037ECC"/>
    <w:rsid w:val="00040BBD"/>
    <w:rsid w:val="00041714"/>
    <w:rsid w:val="00042CFE"/>
    <w:rsid w:val="00043095"/>
    <w:rsid w:val="0004333F"/>
    <w:rsid w:val="00043DA0"/>
    <w:rsid w:val="00044B3E"/>
    <w:rsid w:val="00044D1B"/>
    <w:rsid w:val="00045B38"/>
    <w:rsid w:val="00045D1B"/>
    <w:rsid w:val="00045DA9"/>
    <w:rsid w:val="000477EA"/>
    <w:rsid w:val="00047A1B"/>
    <w:rsid w:val="00051465"/>
    <w:rsid w:val="00052CF5"/>
    <w:rsid w:val="00055145"/>
    <w:rsid w:val="00060CF5"/>
    <w:rsid w:val="0006123E"/>
    <w:rsid w:val="0006153A"/>
    <w:rsid w:val="000620D6"/>
    <w:rsid w:val="00062A86"/>
    <w:rsid w:val="00063057"/>
    <w:rsid w:val="0006322F"/>
    <w:rsid w:val="000633FF"/>
    <w:rsid w:val="0006433C"/>
    <w:rsid w:val="000646E5"/>
    <w:rsid w:val="0007384A"/>
    <w:rsid w:val="00074340"/>
    <w:rsid w:val="00074C27"/>
    <w:rsid w:val="0007507A"/>
    <w:rsid w:val="000761F1"/>
    <w:rsid w:val="00076DC4"/>
    <w:rsid w:val="0007734A"/>
    <w:rsid w:val="0008013F"/>
    <w:rsid w:val="000813A8"/>
    <w:rsid w:val="000819B6"/>
    <w:rsid w:val="000825B0"/>
    <w:rsid w:val="00084685"/>
    <w:rsid w:val="00084D91"/>
    <w:rsid w:val="00086B4B"/>
    <w:rsid w:val="0008748B"/>
    <w:rsid w:val="000900D2"/>
    <w:rsid w:val="00090A03"/>
    <w:rsid w:val="00090A55"/>
    <w:rsid w:val="00092424"/>
    <w:rsid w:val="00092EEB"/>
    <w:rsid w:val="000951A3"/>
    <w:rsid w:val="00095F7E"/>
    <w:rsid w:val="000A016B"/>
    <w:rsid w:val="000A01BF"/>
    <w:rsid w:val="000A1E24"/>
    <w:rsid w:val="000A32C0"/>
    <w:rsid w:val="000A370C"/>
    <w:rsid w:val="000A4E91"/>
    <w:rsid w:val="000A6A31"/>
    <w:rsid w:val="000B1B49"/>
    <w:rsid w:val="000B2F3F"/>
    <w:rsid w:val="000B34CE"/>
    <w:rsid w:val="000B387F"/>
    <w:rsid w:val="000B3DFD"/>
    <w:rsid w:val="000B4175"/>
    <w:rsid w:val="000B5942"/>
    <w:rsid w:val="000B666F"/>
    <w:rsid w:val="000B739A"/>
    <w:rsid w:val="000B7502"/>
    <w:rsid w:val="000B7912"/>
    <w:rsid w:val="000B7AEF"/>
    <w:rsid w:val="000C0151"/>
    <w:rsid w:val="000C28BD"/>
    <w:rsid w:val="000C2F45"/>
    <w:rsid w:val="000C4FA2"/>
    <w:rsid w:val="000C4FC1"/>
    <w:rsid w:val="000C718F"/>
    <w:rsid w:val="000C7C39"/>
    <w:rsid w:val="000D147A"/>
    <w:rsid w:val="000D17A6"/>
    <w:rsid w:val="000D1F2E"/>
    <w:rsid w:val="000D2AC2"/>
    <w:rsid w:val="000D347E"/>
    <w:rsid w:val="000D3861"/>
    <w:rsid w:val="000D50F0"/>
    <w:rsid w:val="000D5B97"/>
    <w:rsid w:val="000D5F4F"/>
    <w:rsid w:val="000D6503"/>
    <w:rsid w:val="000D7AA0"/>
    <w:rsid w:val="000D7F4B"/>
    <w:rsid w:val="000E011A"/>
    <w:rsid w:val="000E1807"/>
    <w:rsid w:val="000E3950"/>
    <w:rsid w:val="000E5E8B"/>
    <w:rsid w:val="000E6D73"/>
    <w:rsid w:val="000F331C"/>
    <w:rsid w:val="000F464C"/>
    <w:rsid w:val="000F5DD7"/>
    <w:rsid w:val="000F670E"/>
    <w:rsid w:val="000F6937"/>
    <w:rsid w:val="000F7ACF"/>
    <w:rsid w:val="00100312"/>
    <w:rsid w:val="00101B52"/>
    <w:rsid w:val="00101C8C"/>
    <w:rsid w:val="00102FB9"/>
    <w:rsid w:val="0010339D"/>
    <w:rsid w:val="00105439"/>
    <w:rsid w:val="0010662E"/>
    <w:rsid w:val="001078D8"/>
    <w:rsid w:val="00111A55"/>
    <w:rsid w:val="00112978"/>
    <w:rsid w:val="00113D7A"/>
    <w:rsid w:val="0011589F"/>
    <w:rsid w:val="00116431"/>
    <w:rsid w:val="001174A8"/>
    <w:rsid w:val="00120089"/>
    <w:rsid w:val="0012082B"/>
    <w:rsid w:val="001214A9"/>
    <w:rsid w:val="001220DF"/>
    <w:rsid w:val="0012302D"/>
    <w:rsid w:val="001237C8"/>
    <w:rsid w:val="00123826"/>
    <w:rsid w:val="0012541C"/>
    <w:rsid w:val="00125A3D"/>
    <w:rsid w:val="00126A83"/>
    <w:rsid w:val="00130286"/>
    <w:rsid w:val="001304AD"/>
    <w:rsid w:val="001305C3"/>
    <w:rsid w:val="0013121E"/>
    <w:rsid w:val="00132401"/>
    <w:rsid w:val="00133D1D"/>
    <w:rsid w:val="0013550A"/>
    <w:rsid w:val="00140125"/>
    <w:rsid w:val="00140CA8"/>
    <w:rsid w:val="0014128A"/>
    <w:rsid w:val="00141968"/>
    <w:rsid w:val="00141C7C"/>
    <w:rsid w:val="00142F13"/>
    <w:rsid w:val="0014384A"/>
    <w:rsid w:val="001444E6"/>
    <w:rsid w:val="0014632D"/>
    <w:rsid w:val="0014648B"/>
    <w:rsid w:val="001464A4"/>
    <w:rsid w:val="001508C9"/>
    <w:rsid w:val="00151036"/>
    <w:rsid w:val="00151BC4"/>
    <w:rsid w:val="00154B88"/>
    <w:rsid w:val="00154D00"/>
    <w:rsid w:val="001559FD"/>
    <w:rsid w:val="00155F6C"/>
    <w:rsid w:val="00156122"/>
    <w:rsid w:val="00157658"/>
    <w:rsid w:val="00162AEB"/>
    <w:rsid w:val="00162EC9"/>
    <w:rsid w:val="00163E4F"/>
    <w:rsid w:val="001646D6"/>
    <w:rsid w:val="00164EC8"/>
    <w:rsid w:val="00166775"/>
    <w:rsid w:val="00167189"/>
    <w:rsid w:val="00171FA6"/>
    <w:rsid w:val="001723C0"/>
    <w:rsid w:val="001727CB"/>
    <w:rsid w:val="0017328C"/>
    <w:rsid w:val="00174A68"/>
    <w:rsid w:val="00175730"/>
    <w:rsid w:val="00175C9C"/>
    <w:rsid w:val="00176861"/>
    <w:rsid w:val="00177C1D"/>
    <w:rsid w:val="00181BA8"/>
    <w:rsid w:val="00182092"/>
    <w:rsid w:val="00182BD8"/>
    <w:rsid w:val="00185790"/>
    <w:rsid w:val="001877DB"/>
    <w:rsid w:val="001907EE"/>
    <w:rsid w:val="00195C0D"/>
    <w:rsid w:val="0019693B"/>
    <w:rsid w:val="00197003"/>
    <w:rsid w:val="0019773F"/>
    <w:rsid w:val="001A0069"/>
    <w:rsid w:val="001A0956"/>
    <w:rsid w:val="001A10DB"/>
    <w:rsid w:val="001A1B67"/>
    <w:rsid w:val="001A1F98"/>
    <w:rsid w:val="001A3053"/>
    <w:rsid w:val="001A407E"/>
    <w:rsid w:val="001A4321"/>
    <w:rsid w:val="001A55DD"/>
    <w:rsid w:val="001A567A"/>
    <w:rsid w:val="001A5895"/>
    <w:rsid w:val="001A7D3C"/>
    <w:rsid w:val="001B1DB3"/>
    <w:rsid w:val="001B334E"/>
    <w:rsid w:val="001B5689"/>
    <w:rsid w:val="001B586C"/>
    <w:rsid w:val="001B5AC2"/>
    <w:rsid w:val="001B6CC8"/>
    <w:rsid w:val="001B6E20"/>
    <w:rsid w:val="001C001F"/>
    <w:rsid w:val="001C3155"/>
    <w:rsid w:val="001C32A8"/>
    <w:rsid w:val="001C37A6"/>
    <w:rsid w:val="001C4444"/>
    <w:rsid w:val="001C560F"/>
    <w:rsid w:val="001D0E00"/>
    <w:rsid w:val="001D38F2"/>
    <w:rsid w:val="001D7F06"/>
    <w:rsid w:val="001E0100"/>
    <w:rsid w:val="001E16C6"/>
    <w:rsid w:val="001E5B0C"/>
    <w:rsid w:val="001F0CF7"/>
    <w:rsid w:val="001F10FC"/>
    <w:rsid w:val="001F1B6D"/>
    <w:rsid w:val="001F21BC"/>
    <w:rsid w:val="001F2770"/>
    <w:rsid w:val="001F3EA3"/>
    <w:rsid w:val="001F4761"/>
    <w:rsid w:val="001F6F5A"/>
    <w:rsid w:val="001F7797"/>
    <w:rsid w:val="001F79D4"/>
    <w:rsid w:val="00201D4E"/>
    <w:rsid w:val="00201DD6"/>
    <w:rsid w:val="00202123"/>
    <w:rsid w:val="00202D1D"/>
    <w:rsid w:val="0020521A"/>
    <w:rsid w:val="00206F8F"/>
    <w:rsid w:val="00207A0D"/>
    <w:rsid w:val="002102B3"/>
    <w:rsid w:val="0021215B"/>
    <w:rsid w:val="0021286F"/>
    <w:rsid w:val="0021412B"/>
    <w:rsid w:val="002153BD"/>
    <w:rsid w:val="00215DC7"/>
    <w:rsid w:val="002246E4"/>
    <w:rsid w:val="00224903"/>
    <w:rsid w:val="002249E5"/>
    <w:rsid w:val="0022755D"/>
    <w:rsid w:val="00230D6A"/>
    <w:rsid w:val="00231532"/>
    <w:rsid w:val="0023281D"/>
    <w:rsid w:val="002334B0"/>
    <w:rsid w:val="00233734"/>
    <w:rsid w:val="00234032"/>
    <w:rsid w:val="00234537"/>
    <w:rsid w:val="00235854"/>
    <w:rsid w:val="00237204"/>
    <w:rsid w:val="002417A6"/>
    <w:rsid w:val="00242182"/>
    <w:rsid w:val="002430EF"/>
    <w:rsid w:val="0024432A"/>
    <w:rsid w:val="00245B7B"/>
    <w:rsid w:val="00246A8B"/>
    <w:rsid w:val="00250555"/>
    <w:rsid w:val="002509A9"/>
    <w:rsid w:val="002524D7"/>
    <w:rsid w:val="00252B35"/>
    <w:rsid w:val="002533EA"/>
    <w:rsid w:val="0025370B"/>
    <w:rsid w:val="00255702"/>
    <w:rsid w:val="00262623"/>
    <w:rsid w:val="0026445E"/>
    <w:rsid w:val="00264B35"/>
    <w:rsid w:val="00265778"/>
    <w:rsid w:val="002664DC"/>
    <w:rsid w:val="0026776A"/>
    <w:rsid w:val="00267B5C"/>
    <w:rsid w:val="00270AC0"/>
    <w:rsid w:val="0027257F"/>
    <w:rsid w:val="00272C78"/>
    <w:rsid w:val="00273B54"/>
    <w:rsid w:val="00273F3D"/>
    <w:rsid w:val="0027529D"/>
    <w:rsid w:val="002771E9"/>
    <w:rsid w:val="002779C6"/>
    <w:rsid w:val="00277D33"/>
    <w:rsid w:val="00280AC6"/>
    <w:rsid w:val="00281BE6"/>
    <w:rsid w:val="002835EC"/>
    <w:rsid w:val="00287548"/>
    <w:rsid w:val="00287605"/>
    <w:rsid w:val="002876F2"/>
    <w:rsid w:val="00290215"/>
    <w:rsid w:val="0029110B"/>
    <w:rsid w:val="0029141A"/>
    <w:rsid w:val="002918E8"/>
    <w:rsid w:val="00292820"/>
    <w:rsid w:val="00292EC3"/>
    <w:rsid w:val="0029381D"/>
    <w:rsid w:val="00293EA2"/>
    <w:rsid w:val="00294670"/>
    <w:rsid w:val="0029634F"/>
    <w:rsid w:val="002966BF"/>
    <w:rsid w:val="002A21CD"/>
    <w:rsid w:val="002A334C"/>
    <w:rsid w:val="002A6CF3"/>
    <w:rsid w:val="002A6FCA"/>
    <w:rsid w:val="002A7AC3"/>
    <w:rsid w:val="002B2131"/>
    <w:rsid w:val="002B26AE"/>
    <w:rsid w:val="002B2DA0"/>
    <w:rsid w:val="002B5711"/>
    <w:rsid w:val="002B6852"/>
    <w:rsid w:val="002B68BB"/>
    <w:rsid w:val="002C01F6"/>
    <w:rsid w:val="002C12C7"/>
    <w:rsid w:val="002C13A3"/>
    <w:rsid w:val="002C2D51"/>
    <w:rsid w:val="002C3441"/>
    <w:rsid w:val="002C34B6"/>
    <w:rsid w:val="002C3718"/>
    <w:rsid w:val="002C3A85"/>
    <w:rsid w:val="002C3FE8"/>
    <w:rsid w:val="002C4DEF"/>
    <w:rsid w:val="002D0050"/>
    <w:rsid w:val="002D06CA"/>
    <w:rsid w:val="002D1A8D"/>
    <w:rsid w:val="002D2942"/>
    <w:rsid w:val="002D3D46"/>
    <w:rsid w:val="002D474E"/>
    <w:rsid w:val="002D49D2"/>
    <w:rsid w:val="002E136F"/>
    <w:rsid w:val="002E20DE"/>
    <w:rsid w:val="002E30B0"/>
    <w:rsid w:val="002E41DE"/>
    <w:rsid w:val="002E4C8F"/>
    <w:rsid w:val="002E78E8"/>
    <w:rsid w:val="002E7E83"/>
    <w:rsid w:val="002F1C80"/>
    <w:rsid w:val="002F588A"/>
    <w:rsid w:val="002F5F85"/>
    <w:rsid w:val="002F6045"/>
    <w:rsid w:val="002F6CBE"/>
    <w:rsid w:val="003015F9"/>
    <w:rsid w:val="0030163E"/>
    <w:rsid w:val="00302863"/>
    <w:rsid w:val="00307D40"/>
    <w:rsid w:val="00310724"/>
    <w:rsid w:val="0031129D"/>
    <w:rsid w:val="003122DF"/>
    <w:rsid w:val="003132C1"/>
    <w:rsid w:val="0031445B"/>
    <w:rsid w:val="00314985"/>
    <w:rsid w:val="00314E7D"/>
    <w:rsid w:val="00316C36"/>
    <w:rsid w:val="003210F0"/>
    <w:rsid w:val="003216EC"/>
    <w:rsid w:val="00321C07"/>
    <w:rsid w:val="00323C44"/>
    <w:rsid w:val="00325FEC"/>
    <w:rsid w:val="0032667E"/>
    <w:rsid w:val="003327F2"/>
    <w:rsid w:val="00334046"/>
    <w:rsid w:val="003348AF"/>
    <w:rsid w:val="0033669C"/>
    <w:rsid w:val="00341737"/>
    <w:rsid w:val="00341995"/>
    <w:rsid w:val="0034249E"/>
    <w:rsid w:val="003424DC"/>
    <w:rsid w:val="003429BC"/>
    <w:rsid w:val="00347A05"/>
    <w:rsid w:val="00351368"/>
    <w:rsid w:val="003517D8"/>
    <w:rsid w:val="00351943"/>
    <w:rsid w:val="00354539"/>
    <w:rsid w:val="003567BF"/>
    <w:rsid w:val="003569B3"/>
    <w:rsid w:val="0035766E"/>
    <w:rsid w:val="00360414"/>
    <w:rsid w:val="003606AE"/>
    <w:rsid w:val="00362BD3"/>
    <w:rsid w:val="00363A14"/>
    <w:rsid w:val="00363E8A"/>
    <w:rsid w:val="0036422C"/>
    <w:rsid w:val="00365555"/>
    <w:rsid w:val="0036787D"/>
    <w:rsid w:val="00367A6B"/>
    <w:rsid w:val="003703DB"/>
    <w:rsid w:val="00370C66"/>
    <w:rsid w:val="00370D65"/>
    <w:rsid w:val="0037195D"/>
    <w:rsid w:val="00371C59"/>
    <w:rsid w:val="00372001"/>
    <w:rsid w:val="003760A6"/>
    <w:rsid w:val="00376C65"/>
    <w:rsid w:val="003776EB"/>
    <w:rsid w:val="00380696"/>
    <w:rsid w:val="0038198A"/>
    <w:rsid w:val="00383256"/>
    <w:rsid w:val="003832C8"/>
    <w:rsid w:val="003854A1"/>
    <w:rsid w:val="00385E96"/>
    <w:rsid w:val="00386606"/>
    <w:rsid w:val="00386719"/>
    <w:rsid w:val="00387ACD"/>
    <w:rsid w:val="00390B54"/>
    <w:rsid w:val="00390C5E"/>
    <w:rsid w:val="00393689"/>
    <w:rsid w:val="00393BA5"/>
    <w:rsid w:val="00394FC9"/>
    <w:rsid w:val="00395271"/>
    <w:rsid w:val="00395D6D"/>
    <w:rsid w:val="003A049C"/>
    <w:rsid w:val="003A06CB"/>
    <w:rsid w:val="003A0845"/>
    <w:rsid w:val="003A2B22"/>
    <w:rsid w:val="003A3AA0"/>
    <w:rsid w:val="003A4B3F"/>
    <w:rsid w:val="003A5D04"/>
    <w:rsid w:val="003A630F"/>
    <w:rsid w:val="003A6CD7"/>
    <w:rsid w:val="003A795B"/>
    <w:rsid w:val="003B4254"/>
    <w:rsid w:val="003B452E"/>
    <w:rsid w:val="003B5141"/>
    <w:rsid w:val="003B5B18"/>
    <w:rsid w:val="003B7D2F"/>
    <w:rsid w:val="003C1BF0"/>
    <w:rsid w:val="003C3C21"/>
    <w:rsid w:val="003C4BFA"/>
    <w:rsid w:val="003C6395"/>
    <w:rsid w:val="003D06A0"/>
    <w:rsid w:val="003D15BE"/>
    <w:rsid w:val="003D1926"/>
    <w:rsid w:val="003D2B26"/>
    <w:rsid w:val="003D3ED6"/>
    <w:rsid w:val="003D40A8"/>
    <w:rsid w:val="003D42C9"/>
    <w:rsid w:val="003D5CDC"/>
    <w:rsid w:val="003D5EDA"/>
    <w:rsid w:val="003E16BD"/>
    <w:rsid w:val="003E2372"/>
    <w:rsid w:val="003E2D54"/>
    <w:rsid w:val="003E767D"/>
    <w:rsid w:val="003F09BE"/>
    <w:rsid w:val="003F25D9"/>
    <w:rsid w:val="003F367D"/>
    <w:rsid w:val="003F43C0"/>
    <w:rsid w:val="003F4989"/>
    <w:rsid w:val="003F5F4B"/>
    <w:rsid w:val="003F636D"/>
    <w:rsid w:val="003F6D3C"/>
    <w:rsid w:val="003F78A7"/>
    <w:rsid w:val="0040132C"/>
    <w:rsid w:val="00401492"/>
    <w:rsid w:val="00402A0F"/>
    <w:rsid w:val="00403457"/>
    <w:rsid w:val="004041FE"/>
    <w:rsid w:val="00405269"/>
    <w:rsid w:val="00405E38"/>
    <w:rsid w:val="0041097D"/>
    <w:rsid w:val="00410A05"/>
    <w:rsid w:val="00411455"/>
    <w:rsid w:val="00412812"/>
    <w:rsid w:val="00413CE7"/>
    <w:rsid w:val="00413FD0"/>
    <w:rsid w:val="00413FDE"/>
    <w:rsid w:val="0041672E"/>
    <w:rsid w:val="00417EF0"/>
    <w:rsid w:val="004200C5"/>
    <w:rsid w:val="0042135D"/>
    <w:rsid w:val="00422972"/>
    <w:rsid w:val="0042455C"/>
    <w:rsid w:val="00424783"/>
    <w:rsid w:val="0042502F"/>
    <w:rsid w:val="00430BB5"/>
    <w:rsid w:val="00430D0F"/>
    <w:rsid w:val="00431065"/>
    <w:rsid w:val="00432C7E"/>
    <w:rsid w:val="0043385B"/>
    <w:rsid w:val="00435FDE"/>
    <w:rsid w:val="00436BCE"/>
    <w:rsid w:val="0043751E"/>
    <w:rsid w:val="00437AF3"/>
    <w:rsid w:val="00437B57"/>
    <w:rsid w:val="0044040B"/>
    <w:rsid w:val="00441C6E"/>
    <w:rsid w:val="004435B4"/>
    <w:rsid w:val="00445124"/>
    <w:rsid w:val="00447D56"/>
    <w:rsid w:val="00452CDF"/>
    <w:rsid w:val="00453EAA"/>
    <w:rsid w:val="004551DB"/>
    <w:rsid w:val="00457456"/>
    <w:rsid w:val="00457618"/>
    <w:rsid w:val="004613E8"/>
    <w:rsid w:val="00463470"/>
    <w:rsid w:val="00463791"/>
    <w:rsid w:val="00463B17"/>
    <w:rsid w:val="00464441"/>
    <w:rsid w:val="00464A10"/>
    <w:rsid w:val="00465584"/>
    <w:rsid w:val="004657B9"/>
    <w:rsid w:val="00467005"/>
    <w:rsid w:val="0046719B"/>
    <w:rsid w:val="00467607"/>
    <w:rsid w:val="0047125D"/>
    <w:rsid w:val="00474094"/>
    <w:rsid w:val="00474470"/>
    <w:rsid w:val="0047474C"/>
    <w:rsid w:val="004747B1"/>
    <w:rsid w:val="004776C7"/>
    <w:rsid w:val="00481551"/>
    <w:rsid w:val="00482568"/>
    <w:rsid w:val="00484CAB"/>
    <w:rsid w:val="00485116"/>
    <w:rsid w:val="0049060A"/>
    <w:rsid w:val="00491E80"/>
    <w:rsid w:val="00494BA1"/>
    <w:rsid w:val="00495A2C"/>
    <w:rsid w:val="004979E1"/>
    <w:rsid w:val="004A0CC5"/>
    <w:rsid w:val="004A0DFD"/>
    <w:rsid w:val="004A4B52"/>
    <w:rsid w:val="004A4CA5"/>
    <w:rsid w:val="004A67D5"/>
    <w:rsid w:val="004A7983"/>
    <w:rsid w:val="004A7A7D"/>
    <w:rsid w:val="004B2471"/>
    <w:rsid w:val="004B3655"/>
    <w:rsid w:val="004B4771"/>
    <w:rsid w:val="004B534A"/>
    <w:rsid w:val="004B5E66"/>
    <w:rsid w:val="004B6E8F"/>
    <w:rsid w:val="004C0C3A"/>
    <w:rsid w:val="004C110B"/>
    <w:rsid w:val="004C1770"/>
    <w:rsid w:val="004C2728"/>
    <w:rsid w:val="004C48B1"/>
    <w:rsid w:val="004C505B"/>
    <w:rsid w:val="004C682E"/>
    <w:rsid w:val="004C74B2"/>
    <w:rsid w:val="004C75E0"/>
    <w:rsid w:val="004D01BD"/>
    <w:rsid w:val="004D09FF"/>
    <w:rsid w:val="004D162D"/>
    <w:rsid w:val="004D2EE6"/>
    <w:rsid w:val="004D3662"/>
    <w:rsid w:val="004D4A71"/>
    <w:rsid w:val="004D692F"/>
    <w:rsid w:val="004E12EC"/>
    <w:rsid w:val="004E215B"/>
    <w:rsid w:val="004E2D0B"/>
    <w:rsid w:val="004E347B"/>
    <w:rsid w:val="004E35D4"/>
    <w:rsid w:val="004E4E1E"/>
    <w:rsid w:val="004E4E95"/>
    <w:rsid w:val="004E53AA"/>
    <w:rsid w:val="004E5E7E"/>
    <w:rsid w:val="004F2A43"/>
    <w:rsid w:val="004F360B"/>
    <w:rsid w:val="004F5E7C"/>
    <w:rsid w:val="004F6FBB"/>
    <w:rsid w:val="004F7BCC"/>
    <w:rsid w:val="00501C49"/>
    <w:rsid w:val="00502125"/>
    <w:rsid w:val="00502523"/>
    <w:rsid w:val="0050518B"/>
    <w:rsid w:val="0050575F"/>
    <w:rsid w:val="0050654B"/>
    <w:rsid w:val="00506D8C"/>
    <w:rsid w:val="0050795C"/>
    <w:rsid w:val="00507E34"/>
    <w:rsid w:val="005127CC"/>
    <w:rsid w:val="00513C8A"/>
    <w:rsid w:val="00515307"/>
    <w:rsid w:val="005176E7"/>
    <w:rsid w:val="00517D0B"/>
    <w:rsid w:val="00527611"/>
    <w:rsid w:val="00527B53"/>
    <w:rsid w:val="00527D7B"/>
    <w:rsid w:val="00530118"/>
    <w:rsid w:val="005321FF"/>
    <w:rsid w:val="00532A20"/>
    <w:rsid w:val="00535445"/>
    <w:rsid w:val="00535DF9"/>
    <w:rsid w:val="00536F07"/>
    <w:rsid w:val="00537061"/>
    <w:rsid w:val="005378EF"/>
    <w:rsid w:val="00537F23"/>
    <w:rsid w:val="00540BC4"/>
    <w:rsid w:val="00541A2A"/>
    <w:rsid w:val="005428A0"/>
    <w:rsid w:val="005445C0"/>
    <w:rsid w:val="00544DCF"/>
    <w:rsid w:val="005456E8"/>
    <w:rsid w:val="00550105"/>
    <w:rsid w:val="005503A2"/>
    <w:rsid w:val="005511C2"/>
    <w:rsid w:val="00552077"/>
    <w:rsid w:val="00552AD7"/>
    <w:rsid w:val="00556D5F"/>
    <w:rsid w:val="0055769E"/>
    <w:rsid w:val="00562DFD"/>
    <w:rsid w:val="005635CC"/>
    <w:rsid w:val="00563F30"/>
    <w:rsid w:val="00564FB1"/>
    <w:rsid w:val="0056781D"/>
    <w:rsid w:val="00567D7C"/>
    <w:rsid w:val="00571825"/>
    <w:rsid w:val="005721B1"/>
    <w:rsid w:val="00573B66"/>
    <w:rsid w:val="00573CAF"/>
    <w:rsid w:val="00574473"/>
    <w:rsid w:val="005754F2"/>
    <w:rsid w:val="005762DF"/>
    <w:rsid w:val="00576511"/>
    <w:rsid w:val="005771A5"/>
    <w:rsid w:val="00577C6B"/>
    <w:rsid w:val="0058090E"/>
    <w:rsid w:val="00580E88"/>
    <w:rsid w:val="00581022"/>
    <w:rsid w:val="005863B1"/>
    <w:rsid w:val="005916F7"/>
    <w:rsid w:val="00591B58"/>
    <w:rsid w:val="00592BD6"/>
    <w:rsid w:val="00593349"/>
    <w:rsid w:val="00593893"/>
    <w:rsid w:val="005961E4"/>
    <w:rsid w:val="005963D4"/>
    <w:rsid w:val="00597035"/>
    <w:rsid w:val="005A0CF7"/>
    <w:rsid w:val="005A152A"/>
    <w:rsid w:val="005A1922"/>
    <w:rsid w:val="005B124A"/>
    <w:rsid w:val="005B2546"/>
    <w:rsid w:val="005B3180"/>
    <w:rsid w:val="005B4222"/>
    <w:rsid w:val="005B4360"/>
    <w:rsid w:val="005B5BC4"/>
    <w:rsid w:val="005B7149"/>
    <w:rsid w:val="005C0378"/>
    <w:rsid w:val="005C2BCD"/>
    <w:rsid w:val="005C3E3C"/>
    <w:rsid w:val="005C42DB"/>
    <w:rsid w:val="005C45E4"/>
    <w:rsid w:val="005D17F8"/>
    <w:rsid w:val="005D2403"/>
    <w:rsid w:val="005D2BCC"/>
    <w:rsid w:val="005D3EFE"/>
    <w:rsid w:val="005D4E6D"/>
    <w:rsid w:val="005D5B84"/>
    <w:rsid w:val="005D63FA"/>
    <w:rsid w:val="005E07D3"/>
    <w:rsid w:val="005E1368"/>
    <w:rsid w:val="005E2BC1"/>
    <w:rsid w:val="005E3BCE"/>
    <w:rsid w:val="005E4D5D"/>
    <w:rsid w:val="005E4D60"/>
    <w:rsid w:val="005E66D5"/>
    <w:rsid w:val="005E6991"/>
    <w:rsid w:val="005F3415"/>
    <w:rsid w:val="005F394C"/>
    <w:rsid w:val="005F5D24"/>
    <w:rsid w:val="005F6868"/>
    <w:rsid w:val="005F6CAD"/>
    <w:rsid w:val="005F7EC3"/>
    <w:rsid w:val="00601D91"/>
    <w:rsid w:val="00602651"/>
    <w:rsid w:val="00603A11"/>
    <w:rsid w:val="0060453F"/>
    <w:rsid w:val="006047F0"/>
    <w:rsid w:val="00606404"/>
    <w:rsid w:val="00606B52"/>
    <w:rsid w:val="00606B72"/>
    <w:rsid w:val="006100EB"/>
    <w:rsid w:val="00610CAC"/>
    <w:rsid w:val="00611BDE"/>
    <w:rsid w:val="00614AB9"/>
    <w:rsid w:val="00615290"/>
    <w:rsid w:val="00615741"/>
    <w:rsid w:val="006171D1"/>
    <w:rsid w:val="00617747"/>
    <w:rsid w:val="00617AE1"/>
    <w:rsid w:val="00620100"/>
    <w:rsid w:val="0062081B"/>
    <w:rsid w:val="00620AE7"/>
    <w:rsid w:val="006215DE"/>
    <w:rsid w:val="0062176D"/>
    <w:rsid w:val="00621F68"/>
    <w:rsid w:val="00622CDA"/>
    <w:rsid w:val="00623179"/>
    <w:rsid w:val="006237FF"/>
    <w:rsid w:val="00624AE9"/>
    <w:rsid w:val="00624B93"/>
    <w:rsid w:val="00626E9B"/>
    <w:rsid w:val="00627395"/>
    <w:rsid w:val="006308CD"/>
    <w:rsid w:val="00630DC1"/>
    <w:rsid w:val="00631029"/>
    <w:rsid w:val="00632591"/>
    <w:rsid w:val="006334F2"/>
    <w:rsid w:val="00633A3F"/>
    <w:rsid w:val="006342E6"/>
    <w:rsid w:val="00634CBC"/>
    <w:rsid w:val="00635125"/>
    <w:rsid w:val="0063691D"/>
    <w:rsid w:val="0063753D"/>
    <w:rsid w:val="00637689"/>
    <w:rsid w:val="006401A8"/>
    <w:rsid w:val="00641747"/>
    <w:rsid w:val="00644279"/>
    <w:rsid w:val="006467EA"/>
    <w:rsid w:val="00646B89"/>
    <w:rsid w:val="006505B5"/>
    <w:rsid w:val="0065108F"/>
    <w:rsid w:val="00651357"/>
    <w:rsid w:val="00651B7D"/>
    <w:rsid w:val="00651D76"/>
    <w:rsid w:val="00652129"/>
    <w:rsid w:val="00653327"/>
    <w:rsid w:val="006544EC"/>
    <w:rsid w:val="00654749"/>
    <w:rsid w:val="00655E85"/>
    <w:rsid w:val="00655F9E"/>
    <w:rsid w:val="0065629C"/>
    <w:rsid w:val="00657111"/>
    <w:rsid w:val="00660679"/>
    <w:rsid w:val="00662A71"/>
    <w:rsid w:val="00663E49"/>
    <w:rsid w:val="006647E7"/>
    <w:rsid w:val="00664FF4"/>
    <w:rsid w:val="0066737D"/>
    <w:rsid w:val="006677B2"/>
    <w:rsid w:val="00670611"/>
    <w:rsid w:val="00671EF9"/>
    <w:rsid w:val="00672942"/>
    <w:rsid w:val="00673B75"/>
    <w:rsid w:val="00675195"/>
    <w:rsid w:val="006752FB"/>
    <w:rsid w:val="00675AB8"/>
    <w:rsid w:val="00676F7E"/>
    <w:rsid w:val="006770BE"/>
    <w:rsid w:val="00680412"/>
    <w:rsid w:val="0068195F"/>
    <w:rsid w:val="00682011"/>
    <w:rsid w:val="00683B31"/>
    <w:rsid w:val="0069161D"/>
    <w:rsid w:val="00694AD2"/>
    <w:rsid w:val="00695F81"/>
    <w:rsid w:val="006971EC"/>
    <w:rsid w:val="00697A49"/>
    <w:rsid w:val="00697B8E"/>
    <w:rsid w:val="006A1BAA"/>
    <w:rsid w:val="006A1F51"/>
    <w:rsid w:val="006A28FC"/>
    <w:rsid w:val="006A4FC6"/>
    <w:rsid w:val="006A5376"/>
    <w:rsid w:val="006A71E6"/>
    <w:rsid w:val="006A7990"/>
    <w:rsid w:val="006B19FF"/>
    <w:rsid w:val="006B1EB5"/>
    <w:rsid w:val="006B3640"/>
    <w:rsid w:val="006B4D0E"/>
    <w:rsid w:val="006B4D1E"/>
    <w:rsid w:val="006B5862"/>
    <w:rsid w:val="006B669D"/>
    <w:rsid w:val="006C03C2"/>
    <w:rsid w:val="006C5D63"/>
    <w:rsid w:val="006C69CC"/>
    <w:rsid w:val="006C7AA1"/>
    <w:rsid w:val="006D03EA"/>
    <w:rsid w:val="006D1827"/>
    <w:rsid w:val="006D245C"/>
    <w:rsid w:val="006D2657"/>
    <w:rsid w:val="006D2A5C"/>
    <w:rsid w:val="006D30ED"/>
    <w:rsid w:val="006D3E28"/>
    <w:rsid w:val="006D42D6"/>
    <w:rsid w:val="006D562E"/>
    <w:rsid w:val="006D5C1A"/>
    <w:rsid w:val="006D7600"/>
    <w:rsid w:val="006D79F4"/>
    <w:rsid w:val="006E064C"/>
    <w:rsid w:val="006E0782"/>
    <w:rsid w:val="006E2837"/>
    <w:rsid w:val="006E3F1D"/>
    <w:rsid w:val="006E5D1F"/>
    <w:rsid w:val="006E6DB0"/>
    <w:rsid w:val="006F1AD8"/>
    <w:rsid w:val="006F26EE"/>
    <w:rsid w:val="006F2C70"/>
    <w:rsid w:val="006F40D6"/>
    <w:rsid w:val="006F67E2"/>
    <w:rsid w:val="00700134"/>
    <w:rsid w:val="00700DB8"/>
    <w:rsid w:val="007013E9"/>
    <w:rsid w:val="00706C9F"/>
    <w:rsid w:val="00706D7F"/>
    <w:rsid w:val="00707D8C"/>
    <w:rsid w:val="00707E2B"/>
    <w:rsid w:val="00710FB1"/>
    <w:rsid w:val="0071223E"/>
    <w:rsid w:val="00712ADC"/>
    <w:rsid w:val="007139A9"/>
    <w:rsid w:val="0071570D"/>
    <w:rsid w:val="0071611F"/>
    <w:rsid w:val="00716726"/>
    <w:rsid w:val="00717680"/>
    <w:rsid w:val="00721103"/>
    <w:rsid w:val="00721A86"/>
    <w:rsid w:val="00721C43"/>
    <w:rsid w:val="00721FC0"/>
    <w:rsid w:val="00723182"/>
    <w:rsid w:val="00724D8B"/>
    <w:rsid w:val="00725C07"/>
    <w:rsid w:val="00726111"/>
    <w:rsid w:val="00727101"/>
    <w:rsid w:val="0073101D"/>
    <w:rsid w:val="00732871"/>
    <w:rsid w:val="00733A12"/>
    <w:rsid w:val="00733B72"/>
    <w:rsid w:val="0073463C"/>
    <w:rsid w:val="007354A5"/>
    <w:rsid w:val="0073649D"/>
    <w:rsid w:val="00741988"/>
    <w:rsid w:val="00742799"/>
    <w:rsid w:val="00743BE6"/>
    <w:rsid w:val="00744E40"/>
    <w:rsid w:val="007456AA"/>
    <w:rsid w:val="007503B2"/>
    <w:rsid w:val="007524BC"/>
    <w:rsid w:val="00754270"/>
    <w:rsid w:val="0075438D"/>
    <w:rsid w:val="007550B7"/>
    <w:rsid w:val="007614AF"/>
    <w:rsid w:val="00762FD4"/>
    <w:rsid w:val="0076371C"/>
    <w:rsid w:val="00763AF9"/>
    <w:rsid w:val="00765038"/>
    <w:rsid w:val="007657D1"/>
    <w:rsid w:val="007663E9"/>
    <w:rsid w:val="00770A4F"/>
    <w:rsid w:val="00771486"/>
    <w:rsid w:val="00772A06"/>
    <w:rsid w:val="0077353E"/>
    <w:rsid w:val="00773D72"/>
    <w:rsid w:val="0077497A"/>
    <w:rsid w:val="00776DBE"/>
    <w:rsid w:val="00777EC0"/>
    <w:rsid w:val="00784371"/>
    <w:rsid w:val="00785189"/>
    <w:rsid w:val="007864FE"/>
    <w:rsid w:val="007870EC"/>
    <w:rsid w:val="00787A10"/>
    <w:rsid w:val="0079313F"/>
    <w:rsid w:val="0079413D"/>
    <w:rsid w:val="00794E53"/>
    <w:rsid w:val="00794FFD"/>
    <w:rsid w:val="00795644"/>
    <w:rsid w:val="00795B58"/>
    <w:rsid w:val="00796BD9"/>
    <w:rsid w:val="00797DD8"/>
    <w:rsid w:val="00797DF0"/>
    <w:rsid w:val="007A00CE"/>
    <w:rsid w:val="007A06FE"/>
    <w:rsid w:val="007A0BF2"/>
    <w:rsid w:val="007A22FF"/>
    <w:rsid w:val="007A2586"/>
    <w:rsid w:val="007A2D78"/>
    <w:rsid w:val="007A2D86"/>
    <w:rsid w:val="007A2ED1"/>
    <w:rsid w:val="007A31FE"/>
    <w:rsid w:val="007A5BCF"/>
    <w:rsid w:val="007A749C"/>
    <w:rsid w:val="007B27B1"/>
    <w:rsid w:val="007B3620"/>
    <w:rsid w:val="007B3E35"/>
    <w:rsid w:val="007B418E"/>
    <w:rsid w:val="007B708F"/>
    <w:rsid w:val="007B78E9"/>
    <w:rsid w:val="007C1DC0"/>
    <w:rsid w:val="007C27B5"/>
    <w:rsid w:val="007C5078"/>
    <w:rsid w:val="007C6477"/>
    <w:rsid w:val="007C7678"/>
    <w:rsid w:val="007D0E9C"/>
    <w:rsid w:val="007D15DD"/>
    <w:rsid w:val="007D25A0"/>
    <w:rsid w:val="007D34AC"/>
    <w:rsid w:val="007D5105"/>
    <w:rsid w:val="007E0C1A"/>
    <w:rsid w:val="007E1EAC"/>
    <w:rsid w:val="007E2680"/>
    <w:rsid w:val="007E292B"/>
    <w:rsid w:val="007E4212"/>
    <w:rsid w:val="007E54A1"/>
    <w:rsid w:val="007E54C5"/>
    <w:rsid w:val="007E5663"/>
    <w:rsid w:val="007E5989"/>
    <w:rsid w:val="007E5BE9"/>
    <w:rsid w:val="007E6286"/>
    <w:rsid w:val="007E6ECB"/>
    <w:rsid w:val="007F246E"/>
    <w:rsid w:val="007F350D"/>
    <w:rsid w:val="007F3660"/>
    <w:rsid w:val="007F3774"/>
    <w:rsid w:val="007F3D25"/>
    <w:rsid w:val="007F6ABE"/>
    <w:rsid w:val="007F6EF5"/>
    <w:rsid w:val="008003B0"/>
    <w:rsid w:val="008004F0"/>
    <w:rsid w:val="00800DCC"/>
    <w:rsid w:val="00800E01"/>
    <w:rsid w:val="00801D98"/>
    <w:rsid w:val="008047B8"/>
    <w:rsid w:val="00805055"/>
    <w:rsid w:val="00806B39"/>
    <w:rsid w:val="008070E7"/>
    <w:rsid w:val="0080739B"/>
    <w:rsid w:val="008073EC"/>
    <w:rsid w:val="0080757F"/>
    <w:rsid w:val="00807C86"/>
    <w:rsid w:val="00812541"/>
    <w:rsid w:val="00813442"/>
    <w:rsid w:val="00814411"/>
    <w:rsid w:val="00815497"/>
    <w:rsid w:val="00816CD9"/>
    <w:rsid w:val="00817A3A"/>
    <w:rsid w:val="008208F3"/>
    <w:rsid w:val="00820BC0"/>
    <w:rsid w:val="00822E02"/>
    <w:rsid w:val="0082347B"/>
    <w:rsid w:val="00823831"/>
    <w:rsid w:val="0082490A"/>
    <w:rsid w:val="00833313"/>
    <w:rsid w:val="008346D6"/>
    <w:rsid w:val="00835696"/>
    <w:rsid w:val="0083764A"/>
    <w:rsid w:val="00840297"/>
    <w:rsid w:val="008423AE"/>
    <w:rsid w:val="0084317E"/>
    <w:rsid w:val="00843836"/>
    <w:rsid w:val="00844C3B"/>
    <w:rsid w:val="008467FA"/>
    <w:rsid w:val="00846ED3"/>
    <w:rsid w:val="008513FA"/>
    <w:rsid w:val="008547B1"/>
    <w:rsid w:val="008600B6"/>
    <w:rsid w:val="0086186C"/>
    <w:rsid w:val="008639F4"/>
    <w:rsid w:val="00863E87"/>
    <w:rsid w:val="00865A32"/>
    <w:rsid w:val="00865C96"/>
    <w:rsid w:val="00866640"/>
    <w:rsid w:val="008701F7"/>
    <w:rsid w:val="00872C62"/>
    <w:rsid w:val="0087307E"/>
    <w:rsid w:val="008734C8"/>
    <w:rsid w:val="008735A0"/>
    <w:rsid w:val="00873E57"/>
    <w:rsid w:val="0087441C"/>
    <w:rsid w:val="008747B5"/>
    <w:rsid w:val="00877151"/>
    <w:rsid w:val="008778C8"/>
    <w:rsid w:val="00877C46"/>
    <w:rsid w:val="00881E75"/>
    <w:rsid w:val="008846DF"/>
    <w:rsid w:val="00885212"/>
    <w:rsid w:val="00885537"/>
    <w:rsid w:val="00885CA2"/>
    <w:rsid w:val="00892A6F"/>
    <w:rsid w:val="00892F7A"/>
    <w:rsid w:val="008953E0"/>
    <w:rsid w:val="00897FF8"/>
    <w:rsid w:val="008A03E2"/>
    <w:rsid w:val="008A1284"/>
    <w:rsid w:val="008A35D0"/>
    <w:rsid w:val="008A3BD2"/>
    <w:rsid w:val="008A50F0"/>
    <w:rsid w:val="008A5FDB"/>
    <w:rsid w:val="008A640B"/>
    <w:rsid w:val="008A6E37"/>
    <w:rsid w:val="008A758A"/>
    <w:rsid w:val="008A75D5"/>
    <w:rsid w:val="008B0405"/>
    <w:rsid w:val="008B07D3"/>
    <w:rsid w:val="008B0AA7"/>
    <w:rsid w:val="008B2510"/>
    <w:rsid w:val="008B2C34"/>
    <w:rsid w:val="008B2DB2"/>
    <w:rsid w:val="008B3C31"/>
    <w:rsid w:val="008B48E6"/>
    <w:rsid w:val="008B5363"/>
    <w:rsid w:val="008B61B8"/>
    <w:rsid w:val="008B63DA"/>
    <w:rsid w:val="008B6C09"/>
    <w:rsid w:val="008B70F0"/>
    <w:rsid w:val="008C12FA"/>
    <w:rsid w:val="008C1349"/>
    <w:rsid w:val="008C2FCD"/>
    <w:rsid w:val="008C30E4"/>
    <w:rsid w:val="008C3819"/>
    <w:rsid w:val="008C4898"/>
    <w:rsid w:val="008C54CE"/>
    <w:rsid w:val="008C5518"/>
    <w:rsid w:val="008C5632"/>
    <w:rsid w:val="008C565F"/>
    <w:rsid w:val="008C6B47"/>
    <w:rsid w:val="008C6DF8"/>
    <w:rsid w:val="008C78AF"/>
    <w:rsid w:val="008C792B"/>
    <w:rsid w:val="008C7A33"/>
    <w:rsid w:val="008D3A4E"/>
    <w:rsid w:val="008D4587"/>
    <w:rsid w:val="008D5C9D"/>
    <w:rsid w:val="008D6FD5"/>
    <w:rsid w:val="008E16AC"/>
    <w:rsid w:val="008E1A20"/>
    <w:rsid w:val="008E1A94"/>
    <w:rsid w:val="008E317A"/>
    <w:rsid w:val="008E3516"/>
    <w:rsid w:val="008E35CD"/>
    <w:rsid w:val="008E4E94"/>
    <w:rsid w:val="008E55BA"/>
    <w:rsid w:val="008E61A6"/>
    <w:rsid w:val="008E7DF0"/>
    <w:rsid w:val="008F0FB8"/>
    <w:rsid w:val="008F2B59"/>
    <w:rsid w:val="008F4537"/>
    <w:rsid w:val="008F5200"/>
    <w:rsid w:val="008F6A27"/>
    <w:rsid w:val="008F7A2B"/>
    <w:rsid w:val="008F7E03"/>
    <w:rsid w:val="0090030E"/>
    <w:rsid w:val="00900930"/>
    <w:rsid w:val="00902C6F"/>
    <w:rsid w:val="00902F64"/>
    <w:rsid w:val="009030C7"/>
    <w:rsid w:val="009036CC"/>
    <w:rsid w:val="00904CAD"/>
    <w:rsid w:val="00904F79"/>
    <w:rsid w:val="00906CD8"/>
    <w:rsid w:val="00911037"/>
    <w:rsid w:val="00912C0D"/>
    <w:rsid w:val="00912C9E"/>
    <w:rsid w:val="00913D28"/>
    <w:rsid w:val="00914467"/>
    <w:rsid w:val="0091548F"/>
    <w:rsid w:val="00915652"/>
    <w:rsid w:val="00915BFB"/>
    <w:rsid w:val="009163D7"/>
    <w:rsid w:val="00917BD3"/>
    <w:rsid w:val="00917C18"/>
    <w:rsid w:val="00917CAF"/>
    <w:rsid w:val="009219FB"/>
    <w:rsid w:val="00921C7D"/>
    <w:rsid w:val="00923414"/>
    <w:rsid w:val="00924D04"/>
    <w:rsid w:val="00926EF2"/>
    <w:rsid w:val="009272B9"/>
    <w:rsid w:val="009306E7"/>
    <w:rsid w:val="00931191"/>
    <w:rsid w:val="009329C4"/>
    <w:rsid w:val="009347A6"/>
    <w:rsid w:val="00934D85"/>
    <w:rsid w:val="009373C1"/>
    <w:rsid w:val="0093741F"/>
    <w:rsid w:val="00940A64"/>
    <w:rsid w:val="00940A97"/>
    <w:rsid w:val="00940BB5"/>
    <w:rsid w:val="0094138A"/>
    <w:rsid w:val="00941D61"/>
    <w:rsid w:val="0094209A"/>
    <w:rsid w:val="0094295C"/>
    <w:rsid w:val="00943293"/>
    <w:rsid w:val="009432CF"/>
    <w:rsid w:val="009435E2"/>
    <w:rsid w:val="009437AE"/>
    <w:rsid w:val="009457F0"/>
    <w:rsid w:val="00945CA0"/>
    <w:rsid w:val="009462E3"/>
    <w:rsid w:val="00946729"/>
    <w:rsid w:val="00947EF1"/>
    <w:rsid w:val="009507BF"/>
    <w:rsid w:val="0095123F"/>
    <w:rsid w:val="00951805"/>
    <w:rsid w:val="009547F7"/>
    <w:rsid w:val="00955BF5"/>
    <w:rsid w:val="00955FDB"/>
    <w:rsid w:val="00957130"/>
    <w:rsid w:val="00957752"/>
    <w:rsid w:val="00957CAE"/>
    <w:rsid w:val="009600CC"/>
    <w:rsid w:val="0096043E"/>
    <w:rsid w:val="009605EF"/>
    <w:rsid w:val="00960DA3"/>
    <w:rsid w:val="009615CC"/>
    <w:rsid w:val="0096221D"/>
    <w:rsid w:val="009637A4"/>
    <w:rsid w:val="00964873"/>
    <w:rsid w:val="009655D3"/>
    <w:rsid w:val="009666CF"/>
    <w:rsid w:val="009670BB"/>
    <w:rsid w:val="00967396"/>
    <w:rsid w:val="0096760B"/>
    <w:rsid w:val="009677E2"/>
    <w:rsid w:val="00967899"/>
    <w:rsid w:val="009702F7"/>
    <w:rsid w:val="00970719"/>
    <w:rsid w:val="00970F4A"/>
    <w:rsid w:val="00972FD6"/>
    <w:rsid w:val="00974DDB"/>
    <w:rsid w:val="00974F2E"/>
    <w:rsid w:val="00975664"/>
    <w:rsid w:val="00976A66"/>
    <w:rsid w:val="0098072B"/>
    <w:rsid w:val="00980CEE"/>
    <w:rsid w:val="009833DD"/>
    <w:rsid w:val="0098414D"/>
    <w:rsid w:val="00986BA4"/>
    <w:rsid w:val="00986BDD"/>
    <w:rsid w:val="00986C66"/>
    <w:rsid w:val="00986F93"/>
    <w:rsid w:val="009877E6"/>
    <w:rsid w:val="009905DB"/>
    <w:rsid w:val="00991E05"/>
    <w:rsid w:val="00991E61"/>
    <w:rsid w:val="00991F82"/>
    <w:rsid w:val="00992035"/>
    <w:rsid w:val="00992D25"/>
    <w:rsid w:val="00993085"/>
    <w:rsid w:val="00993219"/>
    <w:rsid w:val="009958BA"/>
    <w:rsid w:val="009959CD"/>
    <w:rsid w:val="009960E9"/>
    <w:rsid w:val="00996189"/>
    <w:rsid w:val="0099636F"/>
    <w:rsid w:val="009963EF"/>
    <w:rsid w:val="00996410"/>
    <w:rsid w:val="009973F4"/>
    <w:rsid w:val="009A3F1D"/>
    <w:rsid w:val="009A44B4"/>
    <w:rsid w:val="009A4C0B"/>
    <w:rsid w:val="009A5BF7"/>
    <w:rsid w:val="009A6EF0"/>
    <w:rsid w:val="009A769C"/>
    <w:rsid w:val="009B0D2C"/>
    <w:rsid w:val="009B1254"/>
    <w:rsid w:val="009B5D72"/>
    <w:rsid w:val="009B7D27"/>
    <w:rsid w:val="009C0B04"/>
    <w:rsid w:val="009C0CF6"/>
    <w:rsid w:val="009C1369"/>
    <w:rsid w:val="009C26D4"/>
    <w:rsid w:val="009C448E"/>
    <w:rsid w:val="009C703D"/>
    <w:rsid w:val="009C7CC8"/>
    <w:rsid w:val="009D01F4"/>
    <w:rsid w:val="009D0770"/>
    <w:rsid w:val="009D2465"/>
    <w:rsid w:val="009D26E9"/>
    <w:rsid w:val="009D2E80"/>
    <w:rsid w:val="009D3A7C"/>
    <w:rsid w:val="009D44D2"/>
    <w:rsid w:val="009D485B"/>
    <w:rsid w:val="009D7511"/>
    <w:rsid w:val="009E1D4B"/>
    <w:rsid w:val="009E4BD9"/>
    <w:rsid w:val="009E5140"/>
    <w:rsid w:val="009E5C8C"/>
    <w:rsid w:val="009F054F"/>
    <w:rsid w:val="009F3F11"/>
    <w:rsid w:val="009F5A7F"/>
    <w:rsid w:val="009F5C4C"/>
    <w:rsid w:val="009F60C8"/>
    <w:rsid w:val="009F6137"/>
    <w:rsid w:val="009F69F5"/>
    <w:rsid w:val="00A01A64"/>
    <w:rsid w:val="00A02544"/>
    <w:rsid w:val="00A02CCF"/>
    <w:rsid w:val="00A037D3"/>
    <w:rsid w:val="00A0516A"/>
    <w:rsid w:val="00A1009E"/>
    <w:rsid w:val="00A1070C"/>
    <w:rsid w:val="00A12101"/>
    <w:rsid w:val="00A13A83"/>
    <w:rsid w:val="00A1575C"/>
    <w:rsid w:val="00A15A8F"/>
    <w:rsid w:val="00A15FE9"/>
    <w:rsid w:val="00A17439"/>
    <w:rsid w:val="00A17C37"/>
    <w:rsid w:val="00A2196A"/>
    <w:rsid w:val="00A223CE"/>
    <w:rsid w:val="00A22F99"/>
    <w:rsid w:val="00A2301E"/>
    <w:rsid w:val="00A23DE2"/>
    <w:rsid w:val="00A25269"/>
    <w:rsid w:val="00A25CEB"/>
    <w:rsid w:val="00A324C5"/>
    <w:rsid w:val="00A32E90"/>
    <w:rsid w:val="00A336C2"/>
    <w:rsid w:val="00A3498C"/>
    <w:rsid w:val="00A34A2B"/>
    <w:rsid w:val="00A366E3"/>
    <w:rsid w:val="00A36A19"/>
    <w:rsid w:val="00A36B11"/>
    <w:rsid w:val="00A36F8A"/>
    <w:rsid w:val="00A36FF3"/>
    <w:rsid w:val="00A406B1"/>
    <w:rsid w:val="00A40D27"/>
    <w:rsid w:val="00A41BC0"/>
    <w:rsid w:val="00A4233E"/>
    <w:rsid w:val="00A435E1"/>
    <w:rsid w:val="00A43BAF"/>
    <w:rsid w:val="00A44C74"/>
    <w:rsid w:val="00A4590F"/>
    <w:rsid w:val="00A45EDF"/>
    <w:rsid w:val="00A51309"/>
    <w:rsid w:val="00A525D8"/>
    <w:rsid w:val="00A5298A"/>
    <w:rsid w:val="00A55DBA"/>
    <w:rsid w:val="00A57040"/>
    <w:rsid w:val="00A571E4"/>
    <w:rsid w:val="00A57835"/>
    <w:rsid w:val="00A611FD"/>
    <w:rsid w:val="00A614B9"/>
    <w:rsid w:val="00A63840"/>
    <w:rsid w:val="00A650C0"/>
    <w:rsid w:val="00A65426"/>
    <w:rsid w:val="00A66AD7"/>
    <w:rsid w:val="00A700A7"/>
    <w:rsid w:val="00A70863"/>
    <w:rsid w:val="00A71833"/>
    <w:rsid w:val="00A71856"/>
    <w:rsid w:val="00A75220"/>
    <w:rsid w:val="00A75D77"/>
    <w:rsid w:val="00A76FB1"/>
    <w:rsid w:val="00A77942"/>
    <w:rsid w:val="00A77A8A"/>
    <w:rsid w:val="00A77D65"/>
    <w:rsid w:val="00A803A8"/>
    <w:rsid w:val="00A806C4"/>
    <w:rsid w:val="00A821B0"/>
    <w:rsid w:val="00A82CB2"/>
    <w:rsid w:val="00A8300C"/>
    <w:rsid w:val="00A83163"/>
    <w:rsid w:val="00A835B7"/>
    <w:rsid w:val="00A8385B"/>
    <w:rsid w:val="00A8395E"/>
    <w:rsid w:val="00A84FB4"/>
    <w:rsid w:val="00A858B5"/>
    <w:rsid w:val="00A867B5"/>
    <w:rsid w:val="00A86A51"/>
    <w:rsid w:val="00A90283"/>
    <w:rsid w:val="00A90F97"/>
    <w:rsid w:val="00A9136A"/>
    <w:rsid w:val="00A917A1"/>
    <w:rsid w:val="00A9181E"/>
    <w:rsid w:val="00A931A5"/>
    <w:rsid w:val="00A939CB"/>
    <w:rsid w:val="00A939EB"/>
    <w:rsid w:val="00A94296"/>
    <w:rsid w:val="00A94ED9"/>
    <w:rsid w:val="00A9649A"/>
    <w:rsid w:val="00A970A5"/>
    <w:rsid w:val="00AA1A58"/>
    <w:rsid w:val="00AA1B1A"/>
    <w:rsid w:val="00AA1BD4"/>
    <w:rsid w:val="00AA21B3"/>
    <w:rsid w:val="00AA25A1"/>
    <w:rsid w:val="00AA2796"/>
    <w:rsid w:val="00AA3E15"/>
    <w:rsid w:val="00AA4692"/>
    <w:rsid w:val="00AA4B4C"/>
    <w:rsid w:val="00AA58CB"/>
    <w:rsid w:val="00AA5956"/>
    <w:rsid w:val="00AA631C"/>
    <w:rsid w:val="00AA711C"/>
    <w:rsid w:val="00AA72F9"/>
    <w:rsid w:val="00AA7EF4"/>
    <w:rsid w:val="00AB0FC8"/>
    <w:rsid w:val="00AB1CFC"/>
    <w:rsid w:val="00AB518C"/>
    <w:rsid w:val="00AB5EB9"/>
    <w:rsid w:val="00AB6836"/>
    <w:rsid w:val="00AB6865"/>
    <w:rsid w:val="00AB7CA1"/>
    <w:rsid w:val="00AC130E"/>
    <w:rsid w:val="00AC13F2"/>
    <w:rsid w:val="00AC2069"/>
    <w:rsid w:val="00AC364B"/>
    <w:rsid w:val="00AC3B13"/>
    <w:rsid w:val="00AC3DC5"/>
    <w:rsid w:val="00AC60DD"/>
    <w:rsid w:val="00AD02B0"/>
    <w:rsid w:val="00AD0B18"/>
    <w:rsid w:val="00AD3AF5"/>
    <w:rsid w:val="00AD517E"/>
    <w:rsid w:val="00AD5336"/>
    <w:rsid w:val="00AD5F90"/>
    <w:rsid w:val="00AD7097"/>
    <w:rsid w:val="00AD7703"/>
    <w:rsid w:val="00AE0CB9"/>
    <w:rsid w:val="00AE1CDB"/>
    <w:rsid w:val="00AE2366"/>
    <w:rsid w:val="00AE2CC9"/>
    <w:rsid w:val="00AE31EE"/>
    <w:rsid w:val="00AE39D6"/>
    <w:rsid w:val="00AE5BBA"/>
    <w:rsid w:val="00AE6C0F"/>
    <w:rsid w:val="00AF08A3"/>
    <w:rsid w:val="00AF1148"/>
    <w:rsid w:val="00AF1633"/>
    <w:rsid w:val="00AF1B32"/>
    <w:rsid w:val="00AF27DB"/>
    <w:rsid w:val="00AF39D9"/>
    <w:rsid w:val="00AF4E8D"/>
    <w:rsid w:val="00AF5871"/>
    <w:rsid w:val="00AF5E12"/>
    <w:rsid w:val="00AF6FA1"/>
    <w:rsid w:val="00AF766C"/>
    <w:rsid w:val="00B002F8"/>
    <w:rsid w:val="00B01043"/>
    <w:rsid w:val="00B027B8"/>
    <w:rsid w:val="00B0359E"/>
    <w:rsid w:val="00B036CA"/>
    <w:rsid w:val="00B037F2"/>
    <w:rsid w:val="00B0450E"/>
    <w:rsid w:val="00B04DC4"/>
    <w:rsid w:val="00B0514C"/>
    <w:rsid w:val="00B07CB1"/>
    <w:rsid w:val="00B141F1"/>
    <w:rsid w:val="00B162DD"/>
    <w:rsid w:val="00B201F8"/>
    <w:rsid w:val="00B21A2E"/>
    <w:rsid w:val="00B22E48"/>
    <w:rsid w:val="00B243C0"/>
    <w:rsid w:val="00B2463E"/>
    <w:rsid w:val="00B26519"/>
    <w:rsid w:val="00B26608"/>
    <w:rsid w:val="00B32BA8"/>
    <w:rsid w:val="00B330CB"/>
    <w:rsid w:val="00B3388E"/>
    <w:rsid w:val="00B341B1"/>
    <w:rsid w:val="00B34BC9"/>
    <w:rsid w:val="00B35B21"/>
    <w:rsid w:val="00B36726"/>
    <w:rsid w:val="00B367CE"/>
    <w:rsid w:val="00B36AE3"/>
    <w:rsid w:val="00B3784F"/>
    <w:rsid w:val="00B406D4"/>
    <w:rsid w:val="00B4131D"/>
    <w:rsid w:val="00B42774"/>
    <w:rsid w:val="00B43867"/>
    <w:rsid w:val="00B45339"/>
    <w:rsid w:val="00B466B8"/>
    <w:rsid w:val="00B4672C"/>
    <w:rsid w:val="00B53E7D"/>
    <w:rsid w:val="00B54A3D"/>
    <w:rsid w:val="00B55454"/>
    <w:rsid w:val="00B55913"/>
    <w:rsid w:val="00B55D7A"/>
    <w:rsid w:val="00B566B4"/>
    <w:rsid w:val="00B56F45"/>
    <w:rsid w:val="00B57D52"/>
    <w:rsid w:val="00B63603"/>
    <w:rsid w:val="00B63AC2"/>
    <w:rsid w:val="00B63FDB"/>
    <w:rsid w:val="00B67AB6"/>
    <w:rsid w:val="00B708C4"/>
    <w:rsid w:val="00B70EBC"/>
    <w:rsid w:val="00B7305A"/>
    <w:rsid w:val="00B730B1"/>
    <w:rsid w:val="00B731ED"/>
    <w:rsid w:val="00B73562"/>
    <w:rsid w:val="00B74ED8"/>
    <w:rsid w:val="00B7578B"/>
    <w:rsid w:val="00B77204"/>
    <w:rsid w:val="00B774B1"/>
    <w:rsid w:val="00B77828"/>
    <w:rsid w:val="00B812EC"/>
    <w:rsid w:val="00B8131A"/>
    <w:rsid w:val="00B85B14"/>
    <w:rsid w:val="00B86348"/>
    <w:rsid w:val="00B86778"/>
    <w:rsid w:val="00B90478"/>
    <w:rsid w:val="00B906FB"/>
    <w:rsid w:val="00B91CC3"/>
    <w:rsid w:val="00B91D93"/>
    <w:rsid w:val="00B9224A"/>
    <w:rsid w:val="00B933DC"/>
    <w:rsid w:val="00B939BF"/>
    <w:rsid w:val="00B944C1"/>
    <w:rsid w:val="00B94C0A"/>
    <w:rsid w:val="00B9718B"/>
    <w:rsid w:val="00BA0F8E"/>
    <w:rsid w:val="00BA1A25"/>
    <w:rsid w:val="00BA2706"/>
    <w:rsid w:val="00BA2F51"/>
    <w:rsid w:val="00BA37D1"/>
    <w:rsid w:val="00BA5662"/>
    <w:rsid w:val="00BB2E2C"/>
    <w:rsid w:val="00BB3577"/>
    <w:rsid w:val="00BB4641"/>
    <w:rsid w:val="00BC28BC"/>
    <w:rsid w:val="00BC2952"/>
    <w:rsid w:val="00BC35AF"/>
    <w:rsid w:val="00BC574A"/>
    <w:rsid w:val="00BC5C39"/>
    <w:rsid w:val="00BC6193"/>
    <w:rsid w:val="00BC63D9"/>
    <w:rsid w:val="00BC7E4C"/>
    <w:rsid w:val="00BD0CE3"/>
    <w:rsid w:val="00BD1479"/>
    <w:rsid w:val="00BD1590"/>
    <w:rsid w:val="00BD1CC4"/>
    <w:rsid w:val="00BD3934"/>
    <w:rsid w:val="00BD3F18"/>
    <w:rsid w:val="00BD5E3C"/>
    <w:rsid w:val="00BD69B1"/>
    <w:rsid w:val="00BD6A19"/>
    <w:rsid w:val="00BE0F60"/>
    <w:rsid w:val="00BE1F7C"/>
    <w:rsid w:val="00BE31B2"/>
    <w:rsid w:val="00BE3BA8"/>
    <w:rsid w:val="00BE3EC4"/>
    <w:rsid w:val="00BE40A3"/>
    <w:rsid w:val="00BF01E2"/>
    <w:rsid w:val="00BF1E7C"/>
    <w:rsid w:val="00BF2202"/>
    <w:rsid w:val="00BF2410"/>
    <w:rsid w:val="00BF3730"/>
    <w:rsid w:val="00BF443D"/>
    <w:rsid w:val="00BF5EB2"/>
    <w:rsid w:val="00BF6530"/>
    <w:rsid w:val="00BF68F7"/>
    <w:rsid w:val="00BF7D41"/>
    <w:rsid w:val="00C00825"/>
    <w:rsid w:val="00C01B40"/>
    <w:rsid w:val="00C02FA5"/>
    <w:rsid w:val="00C0634D"/>
    <w:rsid w:val="00C0652B"/>
    <w:rsid w:val="00C0737F"/>
    <w:rsid w:val="00C1234A"/>
    <w:rsid w:val="00C1434C"/>
    <w:rsid w:val="00C148E7"/>
    <w:rsid w:val="00C16432"/>
    <w:rsid w:val="00C20FE7"/>
    <w:rsid w:val="00C2146B"/>
    <w:rsid w:val="00C21FDF"/>
    <w:rsid w:val="00C2257F"/>
    <w:rsid w:val="00C22638"/>
    <w:rsid w:val="00C246A1"/>
    <w:rsid w:val="00C25163"/>
    <w:rsid w:val="00C253F3"/>
    <w:rsid w:val="00C2553A"/>
    <w:rsid w:val="00C2741B"/>
    <w:rsid w:val="00C30AD6"/>
    <w:rsid w:val="00C30F96"/>
    <w:rsid w:val="00C30FA0"/>
    <w:rsid w:val="00C30FF4"/>
    <w:rsid w:val="00C333A7"/>
    <w:rsid w:val="00C347E4"/>
    <w:rsid w:val="00C35676"/>
    <w:rsid w:val="00C36632"/>
    <w:rsid w:val="00C374D0"/>
    <w:rsid w:val="00C40D47"/>
    <w:rsid w:val="00C410C8"/>
    <w:rsid w:val="00C41B09"/>
    <w:rsid w:val="00C43661"/>
    <w:rsid w:val="00C43AAD"/>
    <w:rsid w:val="00C451A2"/>
    <w:rsid w:val="00C4535C"/>
    <w:rsid w:val="00C46736"/>
    <w:rsid w:val="00C47996"/>
    <w:rsid w:val="00C47F5D"/>
    <w:rsid w:val="00C56745"/>
    <w:rsid w:val="00C572C2"/>
    <w:rsid w:val="00C60242"/>
    <w:rsid w:val="00C60802"/>
    <w:rsid w:val="00C60BE9"/>
    <w:rsid w:val="00C625F6"/>
    <w:rsid w:val="00C63E48"/>
    <w:rsid w:val="00C64AA5"/>
    <w:rsid w:val="00C6617D"/>
    <w:rsid w:val="00C66760"/>
    <w:rsid w:val="00C67B32"/>
    <w:rsid w:val="00C706BB"/>
    <w:rsid w:val="00C71E67"/>
    <w:rsid w:val="00C71F57"/>
    <w:rsid w:val="00C733B0"/>
    <w:rsid w:val="00C7378C"/>
    <w:rsid w:val="00C7548F"/>
    <w:rsid w:val="00C75712"/>
    <w:rsid w:val="00C75CF5"/>
    <w:rsid w:val="00C765C1"/>
    <w:rsid w:val="00C77393"/>
    <w:rsid w:val="00C8026E"/>
    <w:rsid w:val="00C80EE5"/>
    <w:rsid w:val="00C811EF"/>
    <w:rsid w:val="00C814B0"/>
    <w:rsid w:val="00C81C27"/>
    <w:rsid w:val="00C83141"/>
    <w:rsid w:val="00C832BA"/>
    <w:rsid w:val="00C843E5"/>
    <w:rsid w:val="00C84876"/>
    <w:rsid w:val="00C84950"/>
    <w:rsid w:val="00C85088"/>
    <w:rsid w:val="00C8541B"/>
    <w:rsid w:val="00C856D2"/>
    <w:rsid w:val="00C87654"/>
    <w:rsid w:val="00C90189"/>
    <w:rsid w:val="00C919BC"/>
    <w:rsid w:val="00C92540"/>
    <w:rsid w:val="00C9312A"/>
    <w:rsid w:val="00C93F8A"/>
    <w:rsid w:val="00C93FDC"/>
    <w:rsid w:val="00C946BA"/>
    <w:rsid w:val="00C9520D"/>
    <w:rsid w:val="00C953A2"/>
    <w:rsid w:val="00C96B61"/>
    <w:rsid w:val="00C9701F"/>
    <w:rsid w:val="00C9745B"/>
    <w:rsid w:val="00CA0442"/>
    <w:rsid w:val="00CA07BF"/>
    <w:rsid w:val="00CA106E"/>
    <w:rsid w:val="00CA2268"/>
    <w:rsid w:val="00CA2825"/>
    <w:rsid w:val="00CA2954"/>
    <w:rsid w:val="00CA2E19"/>
    <w:rsid w:val="00CA3432"/>
    <w:rsid w:val="00CA47CD"/>
    <w:rsid w:val="00CA4E0E"/>
    <w:rsid w:val="00CA5297"/>
    <w:rsid w:val="00CA539A"/>
    <w:rsid w:val="00CA63D4"/>
    <w:rsid w:val="00CA6D86"/>
    <w:rsid w:val="00CA7753"/>
    <w:rsid w:val="00CA7C8A"/>
    <w:rsid w:val="00CB0CE5"/>
    <w:rsid w:val="00CB202B"/>
    <w:rsid w:val="00CB246E"/>
    <w:rsid w:val="00CB35E8"/>
    <w:rsid w:val="00CB3F46"/>
    <w:rsid w:val="00CB5D11"/>
    <w:rsid w:val="00CB6A60"/>
    <w:rsid w:val="00CB6BA0"/>
    <w:rsid w:val="00CC01E8"/>
    <w:rsid w:val="00CC1D1C"/>
    <w:rsid w:val="00CC413E"/>
    <w:rsid w:val="00CC449C"/>
    <w:rsid w:val="00CC58A2"/>
    <w:rsid w:val="00CC5F93"/>
    <w:rsid w:val="00CD02AB"/>
    <w:rsid w:val="00CD0C8F"/>
    <w:rsid w:val="00CD2301"/>
    <w:rsid w:val="00CD34A5"/>
    <w:rsid w:val="00CD53E0"/>
    <w:rsid w:val="00CD5867"/>
    <w:rsid w:val="00CD5D4E"/>
    <w:rsid w:val="00CE0A0F"/>
    <w:rsid w:val="00CE110C"/>
    <w:rsid w:val="00CE1269"/>
    <w:rsid w:val="00CE139A"/>
    <w:rsid w:val="00CE27C0"/>
    <w:rsid w:val="00CE3769"/>
    <w:rsid w:val="00CE3906"/>
    <w:rsid w:val="00CE3B18"/>
    <w:rsid w:val="00CE3D7D"/>
    <w:rsid w:val="00CE645F"/>
    <w:rsid w:val="00CE762C"/>
    <w:rsid w:val="00CE76E6"/>
    <w:rsid w:val="00CF100A"/>
    <w:rsid w:val="00CF10DF"/>
    <w:rsid w:val="00CF1B9C"/>
    <w:rsid w:val="00CF25F5"/>
    <w:rsid w:val="00CF3239"/>
    <w:rsid w:val="00CF4B00"/>
    <w:rsid w:val="00CF6325"/>
    <w:rsid w:val="00D0117E"/>
    <w:rsid w:val="00D03CA2"/>
    <w:rsid w:val="00D042A1"/>
    <w:rsid w:val="00D04328"/>
    <w:rsid w:val="00D05200"/>
    <w:rsid w:val="00D0676E"/>
    <w:rsid w:val="00D06E85"/>
    <w:rsid w:val="00D1322E"/>
    <w:rsid w:val="00D13F29"/>
    <w:rsid w:val="00D14E0D"/>
    <w:rsid w:val="00D159D1"/>
    <w:rsid w:val="00D16353"/>
    <w:rsid w:val="00D167A4"/>
    <w:rsid w:val="00D20E89"/>
    <w:rsid w:val="00D21052"/>
    <w:rsid w:val="00D233F9"/>
    <w:rsid w:val="00D2351B"/>
    <w:rsid w:val="00D23A60"/>
    <w:rsid w:val="00D2448B"/>
    <w:rsid w:val="00D27F66"/>
    <w:rsid w:val="00D3199F"/>
    <w:rsid w:val="00D323A4"/>
    <w:rsid w:val="00D324D3"/>
    <w:rsid w:val="00D32F1D"/>
    <w:rsid w:val="00D33650"/>
    <w:rsid w:val="00D33760"/>
    <w:rsid w:val="00D356C3"/>
    <w:rsid w:val="00D35806"/>
    <w:rsid w:val="00D37C09"/>
    <w:rsid w:val="00D40ED6"/>
    <w:rsid w:val="00D412A2"/>
    <w:rsid w:val="00D41D23"/>
    <w:rsid w:val="00D433F8"/>
    <w:rsid w:val="00D44327"/>
    <w:rsid w:val="00D4519D"/>
    <w:rsid w:val="00D45F31"/>
    <w:rsid w:val="00D471C6"/>
    <w:rsid w:val="00D52AF3"/>
    <w:rsid w:val="00D52BCF"/>
    <w:rsid w:val="00D54A92"/>
    <w:rsid w:val="00D552A1"/>
    <w:rsid w:val="00D55EBE"/>
    <w:rsid w:val="00D60CA7"/>
    <w:rsid w:val="00D61952"/>
    <w:rsid w:val="00D6196D"/>
    <w:rsid w:val="00D63688"/>
    <w:rsid w:val="00D64283"/>
    <w:rsid w:val="00D64779"/>
    <w:rsid w:val="00D64A9F"/>
    <w:rsid w:val="00D6691B"/>
    <w:rsid w:val="00D67A2A"/>
    <w:rsid w:val="00D67C3C"/>
    <w:rsid w:val="00D71035"/>
    <w:rsid w:val="00D71A65"/>
    <w:rsid w:val="00D71B12"/>
    <w:rsid w:val="00D73302"/>
    <w:rsid w:val="00D735C9"/>
    <w:rsid w:val="00D73DB5"/>
    <w:rsid w:val="00D748D2"/>
    <w:rsid w:val="00D749A5"/>
    <w:rsid w:val="00D7527A"/>
    <w:rsid w:val="00D758CC"/>
    <w:rsid w:val="00D75980"/>
    <w:rsid w:val="00D7643A"/>
    <w:rsid w:val="00D7735E"/>
    <w:rsid w:val="00D77C01"/>
    <w:rsid w:val="00D77D11"/>
    <w:rsid w:val="00D80460"/>
    <w:rsid w:val="00D80BC1"/>
    <w:rsid w:val="00D80DED"/>
    <w:rsid w:val="00D818AF"/>
    <w:rsid w:val="00D819A9"/>
    <w:rsid w:val="00D81B83"/>
    <w:rsid w:val="00D8448C"/>
    <w:rsid w:val="00D84EEC"/>
    <w:rsid w:val="00D852FC"/>
    <w:rsid w:val="00D85D2E"/>
    <w:rsid w:val="00D90BB1"/>
    <w:rsid w:val="00D916A4"/>
    <w:rsid w:val="00D921CA"/>
    <w:rsid w:val="00D9356C"/>
    <w:rsid w:val="00D95915"/>
    <w:rsid w:val="00D96DB6"/>
    <w:rsid w:val="00D9704C"/>
    <w:rsid w:val="00D97241"/>
    <w:rsid w:val="00DA15F7"/>
    <w:rsid w:val="00DA2DB3"/>
    <w:rsid w:val="00DA3831"/>
    <w:rsid w:val="00DA4A04"/>
    <w:rsid w:val="00DA63DC"/>
    <w:rsid w:val="00DA6961"/>
    <w:rsid w:val="00DA6F9F"/>
    <w:rsid w:val="00DA7817"/>
    <w:rsid w:val="00DA793A"/>
    <w:rsid w:val="00DB090E"/>
    <w:rsid w:val="00DB1841"/>
    <w:rsid w:val="00DB329E"/>
    <w:rsid w:val="00DB3526"/>
    <w:rsid w:val="00DB3713"/>
    <w:rsid w:val="00DB5184"/>
    <w:rsid w:val="00DB66A8"/>
    <w:rsid w:val="00DB7261"/>
    <w:rsid w:val="00DC041D"/>
    <w:rsid w:val="00DC29D0"/>
    <w:rsid w:val="00DC39DA"/>
    <w:rsid w:val="00DC4B2E"/>
    <w:rsid w:val="00DC4FD2"/>
    <w:rsid w:val="00DC5EBA"/>
    <w:rsid w:val="00DC61DC"/>
    <w:rsid w:val="00DD30BF"/>
    <w:rsid w:val="00DD3A04"/>
    <w:rsid w:val="00DD4A4D"/>
    <w:rsid w:val="00DD4A63"/>
    <w:rsid w:val="00DD5BE8"/>
    <w:rsid w:val="00DD62D6"/>
    <w:rsid w:val="00DD6530"/>
    <w:rsid w:val="00DD66B2"/>
    <w:rsid w:val="00DE058C"/>
    <w:rsid w:val="00DE135F"/>
    <w:rsid w:val="00DE3FC2"/>
    <w:rsid w:val="00DE5D7E"/>
    <w:rsid w:val="00DE5ED0"/>
    <w:rsid w:val="00DF063C"/>
    <w:rsid w:val="00DF0B29"/>
    <w:rsid w:val="00DF1763"/>
    <w:rsid w:val="00DF39AE"/>
    <w:rsid w:val="00DF4C1A"/>
    <w:rsid w:val="00DF6CA3"/>
    <w:rsid w:val="00DF7B4D"/>
    <w:rsid w:val="00E01D3F"/>
    <w:rsid w:val="00E039DA"/>
    <w:rsid w:val="00E0443B"/>
    <w:rsid w:val="00E04714"/>
    <w:rsid w:val="00E053EB"/>
    <w:rsid w:val="00E070B8"/>
    <w:rsid w:val="00E07677"/>
    <w:rsid w:val="00E104AB"/>
    <w:rsid w:val="00E10564"/>
    <w:rsid w:val="00E12763"/>
    <w:rsid w:val="00E14713"/>
    <w:rsid w:val="00E150D1"/>
    <w:rsid w:val="00E15C4D"/>
    <w:rsid w:val="00E1628B"/>
    <w:rsid w:val="00E17796"/>
    <w:rsid w:val="00E17ADB"/>
    <w:rsid w:val="00E17D10"/>
    <w:rsid w:val="00E17E6E"/>
    <w:rsid w:val="00E20426"/>
    <w:rsid w:val="00E20E7D"/>
    <w:rsid w:val="00E226BE"/>
    <w:rsid w:val="00E23918"/>
    <w:rsid w:val="00E251BA"/>
    <w:rsid w:val="00E25203"/>
    <w:rsid w:val="00E257AD"/>
    <w:rsid w:val="00E30054"/>
    <w:rsid w:val="00E3035E"/>
    <w:rsid w:val="00E31F50"/>
    <w:rsid w:val="00E324D5"/>
    <w:rsid w:val="00E331C1"/>
    <w:rsid w:val="00E3379B"/>
    <w:rsid w:val="00E34A2D"/>
    <w:rsid w:val="00E34C93"/>
    <w:rsid w:val="00E3602D"/>
    <w:rsid w:val="00E36970"/>
    <w:rsid w:val="00E37B40"/>
    <w:rsid w:val="00E37BFB"/>
    <w:rsid w:val="00E40EAB"/>
    <w:rsid w:val="00E412C5"/>
    <w:rsid w:val="00E4198F"/>
    <w:rsid w:val="00E41A5A"/>
    <w:rsid w:val="00E42D98"/>
    <w:rsid w:val="00E42E39"/>
    <w:rsid w:val="00E44155"/>
    <w:rsid w:val="00E44FB3"/>
    <w:rsid w:val="00E45B76"/>
    <w:rsid w:val="00E462AA"/>
    <w:rsid w:val="00E47359"/>
    <w:rsid w:val="00E50F48"/>
    <w:rsid w:val="00E51052"/>
    <w:rsid w:val="00E5190A"/>
    <w:rsid w:val="00E51D5C"/>
    <w:rsid w:val="00E5206D"/>
    <w:rsid w:val="00E52079"/>
    <w:rsid w:val="00E54590"/>
    <w:rsid w:val="00E55BCE"/>
    <w:rsid w:val="00E564A7"/>
    <w:rsid w:val="00E571C4"/>
    <w:rsid w:val="00E61E85"/>
    <w:rsid w:val="00E61FB3"/>
    <w:rsid w:val="00E6299D"/>
    <w:rsid w:val="00E642AF"/>
    <w:rsid w:val="00E65331"/>
    <w:rsid w:val="00E66A38"/>
    <w:rsid w:val="00E71B4A"/>
    <w:rsid w:val="00E72D71"/>
    <w:rsid w:val="00E72E01"/>
    <w:rsid w:val="00E730C4"/>
    <w:rsid w:val="00E738C3"/>
    <w:rsid w:val="00E73AC0"/>
    <w:rsid w:val="00E74DFF"/>
    <w:rsid w:val="00E76E18"/>
    <w:rsid w:val="00E81DE5"/>
    <w:rsid w:val="00E82579"/>
    <w:rsid w:val="00E84909"/>
    <w:rsid w:val="00E84DBC"/>
    <w:rsid w:val="00E85E8C"/>
    <w:rsid w:val="00E875A2"/>
    <w:rsid w:val="00E902B0"/>
    <w:rsid w:val="00E908A2"/>
    <w:rsid w:val="00E9226B"/>
    <w:rsid w:val="00E925DE"/>
    <w:rsid w:val="00E92E2C"/>
    <w:rsid w:val="00E9337C"/>
    <w:rsid w:val="00E93E50"/>
    <w:rsid w:val="00E940DF"/>
    <w:rsid w:val="00E96601"/>
    <w:rsid w:val="00EA1BD3"/>
    <w:rsid w:val="00EA1ED0"/>
    <w:rsid w:val="00EA32CD"/>
    <w:rsid w:val="00EA33C4"/>
    <w:rsid w:val="00EA659F"/>
    <w:rsid w:val="00EB06F7"/>
    <w:rsid w:val="00EB141D"/>
    <w:rsid w:val="00EB2AD5"/>
    <w:rsid w:val="00EB3C54"/>
    <w:rsid w:val="00EB4A66"/>
    <w:rsid w:val="00EB7271"/>
    <w:rsid w:val="00EB74A9"/>
    <w:rsid w:val="00EB771F"/>
    <w:rsid w:val="00EC0CA6"/>
    <w:rsid w:val="00EC1423"/>
    <w:rsid w:val="00EC1475"/>
    <w:rsid w:val="00EC334D"/>
    <w:rsid w:val="00EC346B"/>
    <w:rsid w:val="00EC3960"/>
    <w:rsid w:val="00EC3C28"/>
    <w:rsid w:val="00EC41DF"/>
    <w:rsid w:val="00EC4D5D"/>
    <w:rsid w:val="00EC4F86"/>
    <w:rsid w:val="00EC5245"/>
    <w:rsid w:val="00EC53BB"/>
    <w:rsid w:val="00EC5525"/>
    <w:rsid w:val="00EC5903"/>
    <w:rsid w:val="00EC5CC0"/>
    <w:rsid w:val="00EC6C79"/>
    <w:rsid w:val="00ED11F6"/>
    <w:rsid w:val="00ED16C8"/>
    <w:rsid w:val="00ED1EC1"/>
    <w:rsid w:val="00ED20B1"/>
    <w:rsid w:val="00ED3A26"/>
    <w:rsid w:val="00ED5003"/>
    <w:rsid w:val="00ED6B14"/>
    <w:rsid w:val="00ED74D4"/>
    <w:rsid w:val="00EE0477"/>
    <w:rsid w:val="00EE1A25"/>
    <w:rsid w:val="00EE2179"/>
    <w:rsid w:val="00EE3695"/>
    <w:rsid w:val="00EE57A6"/>
    <w:rsid w:val="00EE5DE1"/>
    <w:rsid w:val="00EE75A8"/>
    <w:rsid w:val="00EF0057"/>
    <w:rsid w:val="00EF0CD6"/>
    <w:rsid w:val="00EF0EDE"/>
    <w:rsid w:val="00EF1B2B"/>
    <w:rsid w:val="00EF25B7"/>
    <w:rsid w:val="00EF25E6"/>
    <w:rsid w:val="00EF25FF"/>
    <w:rsid w:val="00EF33A5"/>
    <w:rsid w:val="00EF347B"/>
    <w:rsid w:val="00EF3B03"/>
    <w:rsid w:val="00EF5D64"/>
    <w:rsid w:val="00EF6301"/>
    <w:rsid w:val="00F0111E"/>
    <w:rsid w:val="00F022D4"/>
    <w:rsid w:val="00F0422F"/>
    <w:rsid w:val="00F04ED9"/>
    <w:rsid w:val="00F05311"/>
    <w:rsid w:val="00F057D1"/>
    <w:rsid w:val="00F13259"/>
    <w:rsid w:val="00F15F1D"/>
    <w:rsid w:val="00F16DCF"/>
    <w:rsid w:val="00F17667"/>
    <w:rsid w:val="00F21C8C"/>
    <w:rsid w:val="00F21F4C"/>
    <w:rsid w:val="00F22E4E"/>
    <w:rsid w:val="00F25093"/>
    <w:rsid w:val="00F260F1"/>
    <w:rsid w:val="00F26642"/>
    <w:rsid w:val="00F26955"/>
    <w:rsid w:val="00F269E7"/>
    <w:rsid w:val="00F27AA5"/>
    <w:rsid w:val="00F27BDA"/>
    <w:rsid w:val="00F34147"/>
    <w:rsid w:val="00F346F6"/>
    <w:rsid w:val="00F34ECC"/>
    <w:rsid w:val="00F35167"/>
    <w:rsid w:val="00F35422"/>
    <w:rsid w:val="00F403B7"/>
    <w:rsid w:val="00F4287D"/>
    <w:rsid w:val="00F439C9"/>
    <w:rsid w:val="00F449A2"/>
    <w:rsid w:val="00F4514E"/>
    <w:rsid w:val="00F457E5"/>
    <w:rsid w:val="00F45E66"/>
    <w:rsid w:val="00F47A2D"/>
    <w:rsid w:val="00F511E0"/>
    <w:rsid w:val="00F535E1"/>
    <w:rsid w:val="00F53AFC"/>
    <w:rsid w:val="00F562BF"/>
    <w:rsid w:val="00F56FDA"/>
    <w:rsid w:val="00F579CF"/>
    <w:rsid w:val="00F604DB"/>
    <w:rsid w:val="00F629BD"/>
    <w:rsid w:val="00F62E3E"/>
    <w:rsid w:val="00F64267"/>
    <w:rsid w:val="00F65959"/>
    <w:rsid w:val="00F67B75"/>
    <w:rsid w:val="00F70A58"/>
    <w:rsid w:val="00F748A5"/>
    <w:rsid w:val="00F74D88"/>
    <w:rsid w:val="00F76BDF"/>
    <w:rsid w:val="00F77268"/>
    <w:rsid w:val="00F7789F"/>
    <w:rsid w:val="00F77988"/>
    <w:rsid w:val="00F779A6"/>
    <w:rsid w:val="00F8062C"/>
    <w:rsid w:val="00F80E30"/>
    <w:rsid w:val="00F81ADB"/>
    <w:rsid w:val="00F8216B"/>
    <w:rsid w:val="00F8276B"/>
    <w:rsid w:val="00F83168"/>
    <w:rsid w:val="00F83770"/>
    <w:rsid w:val="00F84CD0"/>
    <w:rsid w:val="00F85E6E"/>
    <w:rsid w:val="00F8662A"/>
    <w:rsid w:val="00F867F9"/>
    <w:rsid w:val="00F90BC1"/>
    <w:rsid w:val="00F91E32"/>
    <w:rsid w:val="00F931E3"/>
    <w:rsid w:val="00F93857"/>
    <w:rsid w:val="00F94FF2"/>
    <w:rsid w:val="00F953F5"/>
    <w:rsid w:val="00F96664"/>
    <w:rsid w:val="00F96D78"/>
    <w:rsid w:val="00F9739A"/>
    <w:rsid w:val="00F977BB"/>
    <w:rsid w:val="00F97C00"/>
    <w:rsid w:val="00FA01BD"/>
    <w:rsid w:val="00FA1B25"/>
    <w:rsid w:val="00FA1D7A"/>
    <w:rsid w:val="00FA6222"/>
    <w:rsid w:val="00FB0CA7"/>
    <w:rsid w:val="00FB28FA"/>
    <w:rsid w:val="00FB5392"/>
    <w:rsid w:val="00FB5EE0"/>
    <w:rsid w:val="00FB6F15"/>
    <w:rsid w:val="00FB7294"/>
    <w:rsid w:val="00FC0463"/>
    <w:rsid w:val="00FC0533"/>
    <w:rsid w:val="00FC074F"/>
    <w:rsid w:val="00FC18DF"/>
    <w:rsid w:val="00FC31D7"/>
    <w:rsid w:val="00FC3211"/>
    <w:rsid w:val="00FC38E3"/>
    <w:rsid w:val="00FC3C10"/>
    <w:rsid w:val="00FC3F32"/>
    <w:rsid w:val="00FC40FF"/>
    <w:rsid w:val="00FC5265"/>
    <w:rsid w:val="00FC5A63"/>
    <w:rsid w:val="00FC6FCB"/>
    <w:rsid w:val="00FC72C7"/>
    <w:rsid w:val="00FC7CE6"/>
    <w:rsid w:val="00FC7FE0"/>
    <w:rsid w:val="00FD0840"/>
    <w:rsid w:val="00FD0D65"/>
    <w:rsid w:val="00FD25FE"/>
    <w:rsid w:val="00FD39B1"/>
    <w:rsid w:val="00FD42F7"/>
    <w:rsid w:val="00FD49FD"/>
    <w:rsid w:val="00FD71A7"/>
    <w:rsid w:val="00FD7D96"/>
    <w:rsid w:val="00FE162E"/>
    <w:rsid w:val="00FE172D"/>
    <w:rsid w:val="00FE2F92"/>
    <w:rsid w:val="00FE4E69"/>
    <w:rsid w:val="00FE5371"/>
    <w:rsid w:val="00FE7736"/>
    <w:rsid w:val="00FF02CC"/>
    <w:rsid w:val="00FF0817"/>
    <w:rsid w:val="00FF0C7F"/>
    <w:rsid w:val="00FF114A"/>
    <w:rsid w:val="00FF1760"/>
    <w:rsid w:val="00FF2B22"/>
    <w:rsid w:val="00FF3981"/>
    <w:rsid w:val="00FF3E09"/>
    <w:rsid w:val="00FF4B36"/>
    <w:rsid w:val="00FF4EDC"/>
    <w:rsid w:val="00FF587D"/>
    <w:rsid w:val="00FF6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EDB83"/>
  <w15:chartTrackingRefBased/>
  <w15:docId w15:val="{6BA3C1F7-A75F-524D-8A54-7F666410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64A"/>
  </w:style>
  <w:style w:type="paragraph" w:styleId="Heading1">
    <w:name w:val="heading 1"/>
    <w:basedOn w:val="Normal"/>
    <w:next w:val="Normal"/>
    <w:link w:val="Heading1Char"/>
    <w:uiPriority w:val="9"/>
    <w:qFormat/>
    <w:rsid w:val="00BA56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5ED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764A"/>
    <w:rPr>
      <w:sz w:val="20"/>
      <w:szCs w:val="20"/>
    </w:rPr>
  </w:style>
  <w:style w:type="character" w:customStyle="1" w:styleId="FootnoteTextChar">
    <w:name w:val="Footnote Text Char"/>
    <w:basedOn w:val="DefaultParagraphFont"/>
    <w:link w:val="FootnoteText"/>
    <w:uiPriority w:val="99"/>
    <w:rsid w:val="0083764A"/>
    <w:rPr>
      <w:sz w:val="20"/>
      <w:szCs w:val="20"/>
    </w:rPr>
  </w:style>
  <w:style w:type="character" w:styleId="FootnoteReference">
    <w:name w:val="footnote reference"/>
    <w:basedOn w:val="DefaultParagraphFont"/>
    <w:uiPriority w:val="99"/>
    <w:semiHidden/>
    <w:unhideWhenUsed/>
    <w:rsid w:val="0083764A"/>
    <w:rPr>
      <w:vertAlign w:val="superscript"/>
    </w:rPr>
  </w:style>
  <w:style w:type="paragraph" w:styleId="ListParagraph">
    <w:name w:val="List Paragraph"/>
    <w:basedOn w:val="Normal"/>
    <w:uiPriority w:val="34"/>
    <w:qFormat/>
    <w:rsid w:val="00C246A1"/>
    <w:pPr>
      <w:ind w:left="720"/>
      <w:contextualSpacing/>
    </w:pPr>
  </w:style>
  <w:style w:type="paragraph" w:styleId="Header">
    <w:name w:val="header"/>
    <w:basedOn w:val="Normal"/>
    <w:link w:val="HeaderChar"/>
    <w:uiPriority w:val="99"/>
    <w:unhideWhenUsed/>
    <w:rsid w:val="00C00825"/>
    <w:pPr>
      <w:tabs>
        <w:tab w:val="center" w:pos="4680"/>
        <w:tab w:val="right" w:pos="9360"/>
      </w:tabs>
    </w:pPr>
  </w:style>
  <w:style w:type="character" w:customStyle="1" w:styleId="HeaderChar">
    <w:name w:val="Header Char"/>
    <w:basedOn w:val="DefaultParagraphFont"/>
    <w:link w:val="Header"/>
    <w:uiPriority w:val="99"/>
    <w:rsid w:val="00C00825"/>
  </w:style>
  <w:style w:type="paragraph" w:styleId="Footer">
    <w:name w:val="footer"/>
    <w:basedOn w:val="Normal"/>
    <w:link w:val="FooterChar"/>
    <w:uiPriority w:val="99"/>
    <w:unhideWhenUsed/>
    <w:rsid w:val="00C00825"/>
    <w:pPr>
      <w:tabs>
        <w:tab w:val="center" w:pos="4680"/>
        <w:tab w:val="right" w:pos="9360"/>
      </w:tabs>
    </w:pPr>
  </w:style>
  <w:style w:type="character" w:customStyle="1" w:styleId="FooterChar">
    <w:name w:val="Footer Char"/>
    <w:basedOn w:val="DefaultParagraphFont"/>
    <w:link w:val="Footer"/>
    <w:uiPriority w:val="99"/>
    <w:rsid w:val="00C00825"/>
  </w:style>
  <w:style w:type="character" w:styleId="PageNumber">
    <w:name w:val="page number"/>
    <w:basedOn w:val="DefaultParagraphFont"/>
    <w:uiPriority w:val="99"/>
    <w:semiHidden/>
    <w:unhideWhenUsed/>
    <w:rsid w:val="00C00825"/>
  </w:style>
  <w:style w:type="character" w:customStyle="1" w:styleId="Heading2Char">
    <w:name w:val="Heading 2 Char"/>
    <w:basedOn w:val="DefaultParagraphFont"/>
    <w:link w:val="Heading2"/>
    <w:uiPriority w:val="9"/>
    <w:rsid w:val="00A45EDF"/>
    <w:rPr>
      <w:rFonts w:eastAsia="Times New Roman"/>
      <w:b/>
      <w:bCs/>
      <w:sz w:val="36"/>
      <w:szCs w:val="36"/>
    </w:rPr>
  </w:style>
  <w:style w:type="character" w:styleId="CommentReference">
    <w:name w:val="annotation reference"/>
    <w:basedOn w:val="DefaultParagraphFont"/>
    <w:uiPriority w:val="99"/>
    <w:semiHidden/>
    <w:unhideWhenUsed/>
    <w:rsid w:val="00F74D88"/>
    <w:rPr>
      <w:sz w:val="16"/>
      <w:szCs w:val="16"/>
    </w:rPr>
  </w:style>
  <w:style w:type="paragraph" w:styleId="CommentText">
    <w:name w:val="annotation text"/>
    <w:basedOn w:val="Normal"/>
    <w:link w:val="CommentTextChar"/>
    <w:uiPriority w:val="99"/>
    <w:semiHidden/>
    <w:unhideWhenUsed/>
    <w:rsid w:val="00F74D88"/>
    <w:rPr>
      <w:sz w:val="20"/>
      <w:szCs w:val="20"/>
    </w:rPr>
  </w:style>
  <w:style w:type="character" w:customStyle="1" w:styleId="CommentTextChar">
    <w:name w:val="Comment Text Char"/>
    <w:basedOn w:val="DefaultParagraphFont"/>
    <w:link w:val="CommentText"/>
    <w:uiPriority w:val="99"/>
    <w:semiHidden/>
    <w:rsid w:val="00F74D88"/>
    <w:rPr>
      <w:sz w:val="20"/>
      <w:szCs w:val="20"/>
    </w:rPr>
  </w:style>
  <w:style w:type="paragraph" w:styleId="BalloonText">
    <w:name w:val="Balloon Text"/>
    <w:basedOn w:val="Normal"/>
    <w:link w:val="BalloonTextChar"/>
    <w:uiPriority w:val="99"/>
    <w:semiHidden/>
    <w:unhideWhenUsed/>
    <w:rsid w:val="00F74D88"/>
    <w:rPr>
      <w:sz w:val="18"/>
      <w:szCs w:val="18"/>
    </w:rPr>
  </w:style>
  <w:style w:type="character" w:customStyle="1" w:styleId="BalloonTextChar">
    <w:name w:val="Balloon Text Char"/>
    <w:basedOn w:val="DefaultParagraphFont"/>
    <w:link w:val="BalloonText"/>
    <w:uiPriority w:val="99"/>
    <w:semiHidden/>
    <w:rsid w:val="00F74D88"/>
    <w:rPr>
      <w:sz w:val="18"/>
      <w:szCs w:val="18"/>
    </w:rPr>
  </w:style>
  <w:style w:type="character" w:styleId="Hyperlink">
    <w:name w:val="Hyperlink"/>
    <w:basedOn w:val="DefaultParagraphFont"/>
    <w:uiPriority w:val="99"/>
    <w:unhideWhenUsed/>
    <w:rsid w:val="0029634F"/>
    <w:rPr>
      <w:color w:val="0563C1" w:themeColor="hyperlink"/>
      <w:u w:val="single"/>
    </w:rPr>
  </w:style>
  <w:style w:type="character" w:styleId="UnresolvedMention">
    <w:name w:val="Unresolved Mention"/>
    <w:basedOn w:val="DefaultParagraphFont"/>
    <w:uiPriority w:val="99"/>
    <w:semiHidden/>
    <w:unhideWhenUsed/>
    <w:rsid w:val="002963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32CD"/>
    <w:rPr>
      <w:b/>
      <w:bCs/>
    </w:rPr>
  </w:style>
  <w:style w:type="character" w:customStyle="1" w:styleId="CommentSubjectChar">
    <w:name w:val="Comment Subject Char"/>
    <w:basedOn w:val="CommentTextChar"/>
    <w:link w:val="CommentSubject"/>
    <w:uiPriority w:val="99"/>
    <w:semiHidden/>
    <w:rsid w:val="00EA32CD"/>
    <w:rPr>
      <w:b/>
      <w:bCs/>
      <w:sz w:val="20"/>
      <w:szCs w:val="20"/>
    </w:rPr>
  </w:style>
  <w:style w:type="paragraph" w:styleId="Revision">
    <w:name w:val="Revision"/>
    <w:hidden/>
    <w:uiPriority w:val="99"/>
    <w:semiHidden/>
    <w:rsid w:val="00C43661"/>
  </w:style>
  <w:style w:type="character" w:customStyle="1" w:styleId="Heading1Char">
    <w:name w:val="Heading 1 Char"/>
    <w:basedOn w:val="DefaultParagraphFont"/>
    <w:link w:val="Heading1"/>
    <w:uiPriority w:val="9"/>
    <w:rsid w:val="00BA56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5215">
      <w:bodyDiv w:val="1"/>
      <w:marLeft w:val="0"/>
      <w:marRight w:val="0"/>
      <w:marTop w:val="0"/>
      <w:marBottom w:val="0"/>
      <w:divBdr>
        <w:top w:val="none" w:sz="0" w:space="0" w:color="auto"/>
        <w:left w:val="none" w:sz="0" w:space="0" w:color="auto"/>
        <w:bottom w:val="none" w:sz="0" w:space="0" w:color="auto"/>
        <w:right w:val="none" w:sz="0" w:space="0" w:color="auto"/>
      </w:divBdr>
    </w:div>
    <w:div w:id="384066173">
      <w:bodyDiv w:val="1"/>
      <w:marLeft w:val="0"/>
      <w:marRight w:val="0"/>
      <w:marTop w:val="0"/>
      <w:marBottom w:val="0"/>
      <w:divBdr>
        <w:top w:val="none" w:sz="0" w:space="0" w:color="auto"/>
        <w:left w:val="none" w:sz="0" w:space="0" w:color="auto"/>
        <w:bottom w:val="none" w:sz="0" w:space="0" w:color="auto"/>
        <w:right w:val="none" w:sz="0" w:space="0" w:color="auto"/>
      </w:divBdr>
    </w:div>
    <w:div w:id="3867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8AEB-910E-294D-8653-37C598F3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8245</Words>
  <Characters>47003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Muench</dc:creator>
  <cp:keywords/>
  <dc:description/>
  <cp:lastModifiedBy>Microsoft Office User</cp:lastModifiedBy>
  <cp:revision>3</cp:revision>
  <cp:lastPrinted>2020-09-10T16:20:00Z</cp:lastPrinted>
  <dcterms:created xsi:type="dcterms:W3CDTF">2021-03-24T19:59:00Z</dcterms:created>
  <dcterms:modified xsi:type="dcterms:W3CDTF">2021-03-24T19:59:00Z</dcterms:modified>
</cp:coreProperties>
</file>