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4D08C" w14:textId="352B0AD8" w:rsidR="008152FA" w:rsidRPr="004E575C" w:rsidRDefault="008152FA" w:rsidP="007220C1">
      <w:pPr>
        <w:rPr>
          <w:rFonts w:ascii="Times New Roman" w:hAnsi="Times New Roman" w:cs="Times New Roman"/>
        </w:rPr>
      </w:pPr>
    </w:p>
    <w:p w14:paraId="565E8AA3" w14:textId="48B41458" w:rsidR="008152FA" w:rsidRPr="00B16C5A" w:rsidRDefault="008152FA" w:rsidP="007220C1">
      <w:pPr>
        <w:rPr>
          <w:rFonts w:ascii="Times New Roman" w:hAnsi="Times New Roman" w:cs="Times New Roman"/>
          <w:i/>
          <w:iCs/>
        </w:rPr>
      </w:pPr>
      <w:r w:rsidRPr="00B16C5A">
        <w:rPr>
          <w:rFonts w:ascii="Times New Roman" w:hAnsi="Times New Roman" w:cs="Times New Roman"/>
          <w:i/>
          <w:iCs/>
        </w:rPr>
        <w:t xml:space="preserve">“Methods of Undoing: Integrating </w:t>
      </w:r>
      <w:proofErr w:type="spellStart"/>
      <w:r w:rsidRPr="00B16C5A">
        <w:rPr>
          <w:rFonts w:ascii="Times New Roman" w:hAnsi="Times New Roman" w:cs="Times New Roman"/>
          <w:i/>
          <w:iCs/>
        </w:rPr>
        <w:t>eco</w:t>
      </w:r>
      <w:r w:rsidR="002000CA" w:rsidRPr="00B16C5A">
        <w:rPr>
          <w:rFonts w:ascii="Times New Roman" w:hAnsi="Times New Roman" w:cs="Times New Roman"/>
          <w:i/>
          <w:iCs/>
        </w:rPr>
        <w:t>semiotic</w:t>
      </w:r>
      <w:proofErr w:type="spellEnd"/>
      <w:r w:rsidRPr="00B16C5A">
        <w:rPr>
          <w:rFonts w:ascii="Times New Roman" w:hAnsi="Times New Roman" w:cs="Times New Roman"/>
          <w:i/>
          <w:iCs/>
        </w:rPr>
        <w:t xml:space="preserve"> methodologies in food studies”</w:t>
      </w:r>
      <w:r w:rsidR="002C25C2" w:rsidRPr="00B16C5A">
        <w:rPr>
          <w:rFonts w:ascii="Times New Roman" w:hAnsi="Times New Roman" w:cs="Times New Roman"/>
          <w:i/>
          <w:iCs/>
        </w:rPr>
        <w:br/>
      </w:r>
      <w:r w:rsidR="004E575C" w:rsidRPr="00B16C5A">
        <w:rPr>
          <w:rFonts w:ascii="Times New Roman" w:hAnsi="Times New Roman" w:cs="Times New Roman"/>
          <w:i/>
          <w:iCs/>
        </w:rPr>
        <w:t xml:space="preserve">Author: Reed </w:t>
      </w:r>
      <w:proofErr w:type="spellStart"/>
      <w:r w:rsidR="004E575C" w:rsidRPr="00B16C5A">
        <w:rPr>
          <w:rFonts w:ascii="Times New Roman" w:hAnsi="Times New Roman" w:cs="Times New Roman"/>
          <w:i/>
          <w:iCs/>
        </w:rPr>
        <w:t>Byg</w:t>
      </w:r>
      <w:proofErr w:type="spellEnd"/>
      <w:r w:rsidR="004E575C" w:rsidRPr="00B16C5A">
        <w:rPr>
          <w:rFonts w:ascii="Times New Roman" w:hAnsi="Times New Roman" w:cs="Times New Roman"/>
          <w:i/>
          <w:iCs/>
        </w:rPr>
        <w:t>, Virginia Tech</w:t>
      </w:r>
    </w:p>
    <w:p w14:paraId="78EDE28F" w14:textId="20F3435E" w:rsidR="004E575C" w:rsidRDefault="004E575C" w:rsidP="007220C1">
      <w:pPr>
        <w:rPr>
          <w:rFonts w:ascii="Times New Roman" w:hAnsi="Times New Roman" w:cs="Times New Roman"/>
        </w:rPr>
      </w:pPr>
    </w:p>
    <w:p w14:paraId="2F6C3502" w14:textId="3927D0C6" w:rsidR="00ED4FC3" w:rsidRPr="00ED4FC3" w:rsidRDefault="00ED4FC3" w:rsidP="00ED4FC3">
      <w:pPr>
        <w:spacing w:line="480" w:lineRule="auto"/>
        <w:rPr>
          <w:rFonts w:ascii="Times New Roman" w:hAnsi="Times New Roman" w:cs="Times New Roman"/>
          <w:b/>
          <w:bCs/>
          <w:u w:val="single"/>
        </w:rPr>
      </w:pPr>
      <w:r w:rsidRPr="00ED4FC3">
        <w:rPr>
          <w:rFonts w:ascii="Times New Roman" w:hAnsi="Times New Roman" w:cs="Times New Roman"/>
          <w:b/>
          <w:bCs/>
          <w:u w:val="single"/>
        </w:rPr>
        <w:t>Abstract:</w:t>
      </w:r>
    </w:p>
    <w:p w14:paraId="23CBBD14" w14:textId="252D17FF" w:rsidR="004E575C" w:rsidRDefault="004E575C" w:rsidP="00ED4FC3">
      <w:pPr>
        <w:spacing w:line="480" w:lineRule="auto"/>
        <w:rPr>
          <w:rFonts w:ascii="Times New Roman" w:hAnsi="Times New Roman" w:cs="Times New Roman"/>
        </w:rPr>
      </w:pPr>
      <w:r w:rsidRPr="004E575C">
        <w:rPr>
          <w:rFonts w:ascii="Times New Roman" w:hAnsi="Times New Roman" w:cs="Times New Roman"/>
        </w:rPr>
        <w:tab/>
      </w:r>
      <w:r>
        <w:rPr>
          <w:rFonts w:ascii="Times New Roman" w:hAnsi="Times New Roman" w:cs="Times New Roman"/>
        </w:rPr>
        <w:t xml:space="preserve">Drawing on </w:t>
      </w:r>
      <w:r w:rsidR="00657F62">
        <w:rPr>
          <w:rFonts w:ascii="Times New Roman" w:hAnsi="Times New Roman" w:cs="Times New Roman"/>
        </w:rPr>
        <w:t xml:space="preserve">contemporary </w:t>
      </w:r>
      <w:r>
        <w:rPr>
          <w:rFonts w:ascii="Times New Roman" w:hAnsi="Times New Roman" w:cs="Times New Roman"/>
        </w:rPr>
        <w:t>work in food studies</w:t>
      </w:r>
      <w:r w:rsidR="00657F62">
        <w:rPr>
          <w:rFonts w:ascii="Times New Roman" w:hAnsi="Times New Roman" w:cs="Times New Roman"/>
        </w:rPr>
        <w:t>, t</w:t>
      </w:r>
      <w:r>
        <w:rPr>
          <w:rFonts w:ascii="Times New Roman" w:hAnsi="Times New Roman" w:cs="Times New Roman"/>
        </w:rPr>
        <w:t xml:space="preserve">his paper develops a methodology of undoing. </w:t>
      </w:r>
      <w:r w:rsidR="00657F62">
        <w:rPr>
          <w:rFonts w:ascii="Times New Roman" w:hAnsi="Times New Roman" w:cs="Times New Roman"/>
        </w:rPr>
        <w:t xml:space="preserve">Scholars in food studies have drawn attention to questions of equity, access, and well-being in the production, distribution, and consumption of food. Yet, as scholars in semiotics and political ecology have shown, the descriptions of and interests in our global food system develop </w:t>
      </w:r>
      <w:r w:rsidR="00657F62">
        <w:rPr>
          <w:rFonts w:ascii="Times New Roman" w:hAnsi="Times New Roman" w:cs="Times New Roman"/>
          <w:i/>
          <w:iCs/>
        </w:rPr>
        <w:t xml:space="preserve">bounded </w:t>
      </w:r>
      <w:r w:rsidR="00657F62">
        <w:rPr>
          <w:rFonts w:ascii="Times New Roman" w:hAnsi="Times New Roman" w:cs="Times New Roman"/>
        </w:rPr>
        <w:t>understandings of where food comes from and who it benefits. This paper contributes to the conversation by employing a method engaged in recognizing the permeability of boundaries</w:t>
      </w:r>
      <w:r w:rsidR="00ED4FC3">
        <w:rPr>
          <w:rFonts w:ascii="Times New Roman" w:hAnsi="Times New Roman" w:cs="Times New Roman"/>
        </w:rPr>
        <w:t xml:space="preserve"> both conceptual and material</w:t>
      </w:r>
      <w:r w:rsidR="00657F62">
        <w:rPr>
          <w:rFonts w:ascii="Times New Roman" w:hAnsi="Times New Roman" w:cs="Times New Roman"/>
        </w:rPr>
        <w:t>: a method of tracing the various forces that all at once create, maintain, and make sense of realities that are often held separate conceptually and narratively. In acknowledging that there are points of flexibility that come with permeable boundaries, this paper uses a process of undoing to locate these pliable points as spaces for creative potential</w:t>
      </w:r>
      <w:r w:rsidR="006C290F">
        <w:rPr>
          <w:rFonts w:ascii="Times New Roman" w:hAnsi="Times New Roman" w:cs="Times New Roman"/>
        </w:rPr>
        <w:t xml:space="preserve"> </w:t>
      </w:r>
      <w:r w:rsidR="006C290F" w:rsidRPr="00E84798">
        <w:rPr>
          <w:rFonts w:ascii="Times New Roman" w:hAnsi="Times New Roman" w:cs="Times New Roman"/>
          <w:i/>
          <w:iCs/>
        </w:rPr>
        <w:t>whereby subj</w:t>
      </w:r>
      <w:r w:rsidR="00657F62" w:rsidRPr="00E84798">
        <w:rPr>
          <w:rFonts w:ascii="Times New Roman" w:hAnsi="Times New Roman" w:cs="Times New Roman"/>
          <w:i/>
          <w:iCs/>
        </w:rPr>
        <w:t>ects</w:t>
      </w:r>
      <w:r w:rsidR="006C290F" w:rsidRPr="00E84798">
        <w:rPr>
          <w:rFonts w:ascii="Times New Roman" w:hAnsi="Times New Roman" w:cs="Times New Roman"/>
          <w:i/>
          <w:iCs/>
        </w:rPr>
        <w:t xml:space="preserve"> and obj</w:t>
      </w:r>
      <w:r w:rsidR="00657F62" w:rsidRPr="00E84798">
        <w:rPr>
          <w:rFonts w:ascii="Times New Roman" w:hAnsi="Times New Roman" w:cs="Times New Roman"/>
          <w:i/>
          <w:iCs/>
        </w:rPr>
        <w:t>ects</w:t>
      </w:r>
      <w:r w:rsidR="006C290F" w:rsidRPr="00E84798">
        <w:rPr>
          <w:rFonts w:ascii="Times New Roman" w:hAnsi="Times New Roman" w:cs="Times New Roman"/>
          <w:i/>
          <w:iCs/>
        </w:rPr>
        <w:t xml:space="preserve"> are repositioned in relation to a broader whole.</w:t>
      </w:r>
      <w:r w:rsidR="00657F62">
        <w:rPr>
          <w:rFonts w:ascii="Times New Roman" w:hAnsi="Times New Roman" w:cs="Times New Roman"/>
        </w:rPr>
        <w:t xml:space="preserve"> Undoing, thus, is first a process of identifying boundaries that are meant to contain, regulate, and order and, second, a process of bringing attention to and working with the flexibility of these boundaries. </w:t>
      </w:r>
    </w:p>
    <w:p w14:paraId="2CDF5175" w14:textId="15B6E156" w:rsidR="00D1047C" w:rsidRDefault="004E575C" w:rsidP="00ED4FC3">
      <w:pPr>
        <w:spacing w:line="480" w:lineRule="auto"/>
        <w:rPr>
          <w:rFonts w:ascii="Times New Roman" w:hAnsi="Times New Roman" w:cs="Times New Roman"/>
        </w:rPr>
      </w:pPr>
      <w:r>
        <w:rPr>
          <w:rFonts w:ascii="Times New Roman" w:hAnsi="Times New Roman" w:cs="Times New Roman"/>
        </w:rPr>
        <w:tab/>
      </w:r>
      <w:r w:rsidR="006C290F">
        <w:rPr>
          <w:rFonts w:ascii="Times New Roman" w:hAnsi="Times New Roman" w:cs="Times New Roman"/>
        </w:rPr>
        <w:t>T</w:t>
      </w:r>
      <w:r>
        <w:rPr>
          <w:rFonts w:ascii="Times New Roman" w:hAnsi="Times New Roman" w:cs="Times New Roman"/>
        </w:rPr>
        <w:t xml:space="preserve">his method is especially useful in when working to understand the complex realities of food (in)access in urban areas. </w:t>
      </w:r>
      <w:r w:rsidR="006C290F">
        <w:rPr>
          <w:rFonts w:ascii="Times New Roman" w:hAnsi="Times New Roman" w:cs="Times New Roman"/>
        </w:rPr>
        <w:t xml:space="preserve">In the paper, </w:t>
      </w:r>
      <w:r>
        <w:rPr>
          <w:rFonts w:ascii="Times New Roman" w:hAnsi="Times New Roman" w:cs="Times New Roman"/>
        </w:rPr>
        <w:t>I examine the way food is conceptualized by various communities and individuals in urban spaces and placed into various social, political, and economic relations</w:t>
      </w:r>
      <w:r w:rsidR="006C290F">
        <w:rPr>
          <w:rFonts w:ascii="Times New Roman" w:hAnsi="Times New Roman" w:cs="Times New Roman"/>
        </w:rPr>
        <w:t>.</w:t>
      </w:r>
      <w:r>
        <w:rPr>
          <w:rFonts w:ascii="Times New Roman" w:hAnsi="Times New Roman" w:cs="Times New Roman"/>
        </w:rPr>
        <w:t xml:space="preserve"> </w:t>
      </w:r>
      <w:r w:rsidR="006C290F">
        <w:rPr>
          <w:rFonts w:ascii="Times New Roman" w:hAnsi="Times New Roman" w:cs="Times New Roman"/>
        </w:rPr>
        <w:t>Developing a methodology</w:t>
      </w:r>
      <w:r w:rsidR="00657F62">
        <w:rPr>
          <w:rFonts w:ascii="Times New Roman" w:hAnsi="Times New Roman" w:cs="Times New Roman"/>
        </w:rPr>
        <w:t xml:space="preserve"> that accounts for the complexity of urban food ecologies is thus </w:t>
      </w:r>
      <w:r>
        <w:rPr>
          <w:rFonts w:ascii="Times New Roman" w:hAnsi="Times New Roman" w:cs="Times New Roman"/>
        </w:rPr>
        <w:t xml:space="preserve">a key element in understanding both the struggles and potentials of urban food systems. </w:t>
      </w:r>
    </w:p>
    <w:p w14:paraId="41F42A12" w14:textId="77777777" w:rsidR="00ED4FC3" w:rsidRDefault="00ED4FC3" w:rsidP="00ED4FC3">
      <w:pPr>
        <w:spacing w:line="480" w:lineRule="auto"/>
        <w:rPr>
          <w:rFonts w:ascii="Times New Roman" w:hAnsi="Times New Roman" w:cs="Times New Roman"/>
          <w:b/>
          <w:bCs/>
          <w:u w:val="single"/>
        </w:rPr>
      </w:pPr>
    </w:p>
    <w:p w14:paraId="1A1FC4F1" w14:textId="4EFED9B1" w:rsidR="001500FD" w:rsidRDefault="001500FD" w:rsidP="00ED4FC3">
      <w:pPr>
        <w:spacing w:line="480" w:lineRule="auto"/>
        <w:rPr>
          <w:rFonts w:ascii="Times New Roman" w:hAnsi="Times New Roman" w:cs="Times New Roman"/>
          <w:b/>
          <w:bCs/>
          <w:u w:val="single"/>
        </w:rPr>
      </w:pPr>
      <w:r>
        <w:rPr>
          <w:rFonts w:ascii="Times New Roman" w:hAnsi="Times New Roman" w:cs="Times New Roman"/>
          <w:b/>
          <w:bCs/>
          <w:u w:val="single"/>
        </w:rPr>
        <w:lastRenderedPageBreak/>
        <w:t>Introduction:</w:t>
      </w:r>
    </w:p>
    <w:p w14:paraId="0E239518" w14:textId="4345805F" w:rsidR="00ED4FC3" w:rsidRDefault="001500FD" w:rsidP="00ED4FC3">
      <w:pPr>
        <w:spacing w:line="480" w:lineRule="auto"/>
        <w:rPr>
          <w:rFonts w:ascii="Times New Roman" w:hAnsi="Times New Roman" w:cs="Times New Roman"/>
        </w:rPr>
      </w:pPr>
      <w:r>
        <w:rPr>
          <w:rFonts w:ascii="Times New Roman" w:hAnsi="Times New Roman" w:cs="Times New Roman"/>
        </w:rPr>
        <w:tab/>
      </w:r>
      <w:r w:rsidR="00ED4FC3">
        <w:rPr>
          <w:rFonts w:ascii="Times New Roman" w:hAnsi="Times New Roman" w:cs="Times New Roman"/>
        </w:rPr>
        <w:t>This paper is grounded in my ongoing interest in research on food in-access in urban spaces. Food access, or lack of access, gets a lot of attention in media, in academic settings, in international, national, and local policy and governance, and in conversations on climate change. And many scholars have critically outlined the ways in which the production, distribution, and consumption of food is interwoven with the development of capitalism, the maintenance of capitalism, and with political power. When we talk about food access, we tend towards these frameworks</w:t>
      </w:r>
      <w:r w:rsidR="00EB383B">
        <w:rPr>
          <w:rFonts w:ascii="Times New Roman" w:hAnsi="Times New Roman" w:cs="Times New Roman"/>
        </w:rPr>
        <w:t>, which focus on food as commodity,</w:t>
      </w:r>
      <w:r w:rsidR="00ED4FC3">
        <w:rPr>
          <w:rFonts w:ascii="Times New Roman" w:hAnsi="Times New Roman" w:cs="Times New Roman"/>
        </w:rPr>
        <w:t xml:space="preserve"> for understanding the root of food (in)access.</w:t>
      </w:r>
      <w:r w:rsidR="00EB383B">
        <w:rPr>
          <w:rFonts w:ascii="Times New Roman" w:hAnsi="Times New Roman" w:cs="Times New Roman"/>
        </w:rPr>
        <w:t xml:space="preserve"> </w:t>
      </w:r>
      <w:r w:rsidR="00ED4FC3">
        <w:rPr>
          <w:rFonts w:ascii="Times New Roman" w:hAnsi="Times New Roman" w:cs="Times New Roman"/>
        </w:rPr>
        <w:t xml:space="preserve"> </w:t>
      </w:r>
    </w:p>
    <w:p w14:paraId="7D788FB2" w14:textId="67EA0B94" w:rsidR="00ED4FC3" w:rsidRDefault="00ED4FC3" w:rsidP="00ED4FC3">
      <w:pPr>
        <w:spacing w:line="480" w:lineRule="auto"/>
        <w:rPr>
          <w:rFonts w:ascii="Times New Roman" w:hAnsi="Times New Roman" w:cs="Times New Roman"/>
        </w:rPr>
      </w:pPr>
      <w:r>
        <w:rPr>
          <w:rFonts w:ascii="Times New Roman" w:hAnsi="Times New Roman" w:cs="Times New Roman"/>
        </w:rPr>
        <w:tab/>
        <w:t xml:space="preserve">At its basis, food is a basic condition for life </w:t>
      </w:r>
      <w:r w:rsidRPr="00ED4FC3">
        <w:rPr>
          <w:rFonts w:ascii="Times New Roman" w:hAnsi="Times New Roman" w:cs="Times New Roman"/>
          <w:i/>
          <w:iCs/>
        </w:rPr>
        <w:t>in addition</w:t>
      </w:r>
      <w:r>
        <w:rPr>
          <w:rFonts w:ascii="Times New Roman" w:hAnsi="Times New Roman" w:cs="Times New Roman"/>
        </w:rPr>
        <w:t xml:space="preserve"> to being a commodity, an energy source for labor, and a political means of support or punishment. Yet, these frameworks have done little to help establish solutions to food in-access that go beyond emergency food strategies. And while emergency food aid is important in that they get food to people who need to eat it (some of the time), it is a reactive treatment that does not address the problem of in-access itself. How might we better address problems of food access? </w:t>
      </w:r>
    </w:p>
    <w:p w14:paraId="6FEF1A56" w14:textId="51070ED4" w:rsidR="00ED4FC3" w:rsidRDefault="00ED4FC3" w:rsidP="00ED4FC3">
      <w:pPr>
        <w:spacing w:line="480" w:lineRule="auto"/>
        <w:rPr>
          <w:rFonts w:ascii="Times New Roman" w:hAnsi="Times New Roman" w:cs="Times New Roman"/>
        </w:rPr>
      </w:pPr>
      <w:r>
        <w:rPr>
          <w:rFonts w:ascii="Times New Roman" w:hAnsi="Times New Roman" w:cs="Times New Roman"/>
        </w:rPr>
        <w:tab/>
        <w:t xml:space="preserve">As scholars in semiotics and political ecology have shown, often descriptions of and interests in our global food system develop </w:t>
      </w:r>
      <w:r>
        <w:rPr>
          <w:rFonts w:ascii="Times New Roman" w:hAnsi="Times New Roman" w:cs="Times New Roman"/>
          <w:i/>
          <w:iCs/>
        </w:rPr>
        <w:t xml:space="preserve">bounded </w:t>
      </w:r>
      <w:r>
        <w:rPr>
          <w:rFonts w:ascii="Times New Roman" w:hAnsi="Times New Roman" w:cs="Times New Roman"/>
        </w:rPr>
        <w:t xml:space="preserve">understandings of where food comes from and who it benefits. This paper contributes to the conversation by employing a method engaged in recognizing the permeability of boundaries both conceptual and material: a method of tracing the various forces that all at once create, maintain, and make sense of realities that are often held separate conceptually and narratively. In acknowledging that there are points of flexibility that come with permeable boundaries, this paper uses a process of undoing to locate these pliable points as spaces for creative potential </w:t>
      </w:r>
      <w:r w:rsidRPr="00E84798">
        <w:rPr>
          <w:rFonts w:ascii="Times New Roman" w:hAnsi="Times New Roman" w:cs="Times New Roman"/>
          <w:i/>
          <w:iCs/>
        </w:rPr>
        <w:t>whereby subjects and objects are repositioned in relation to a broader whole.</w:t>
      </w:r>
      <w:r>
        <w:rPr>
          <w:rFonts w:ascii="Times New Roman" w:hAnsi="Times New Roman" w:cs="Times New Roman"/>
        </w:rPr>
        <w:t xml:space="preserve"> Undoing, thus, is first a process of identifying boundaries that are meant to </w:t>
      </w:r>
      <w:r>
        <w:rPr>
          <w:rFonts w:ascii="Times New Roman" w:hAnsi="Times New Roman" w:cs="Times New Roman"/>
        </w:rPr>
        <w:lastRenderedPageBreak/>
        <w:t>contain, regulate, and order and, second, a process of bringing attention to and working with the flexibility of these boundaries.</w:t>
      </w:r>
    </w:p>
    <w:p w14:paraId="6BA2E380" w14:textId="0163BDF1" w:rsidR="001500FD" w:rsidRDefault="00ED4FC3" w:rsidP="00ED4FC3">
      <w:pPr>
        <w:spacing w:line="480" w:lineRule="auto"/>
        <w:rPr>
          <w:rFonts w:ascii="Times New Roman" w:hAnsi="Times New Roman" w:cs="Times New Roman"/>
        </w:rPr>
      </w:pPr>
      <w:r>
        <w:rPr>
          <w:rFonts w:ascii="Times New Roman" w:hAnsi="Times New Roman" w:cs="Times New Roman"/>
        </w:rPr>
        <w:tab/>
        <w:t xml:space="preserve">I </w:t>
      </w:r>
      <w:r w:rsidR="001500FD">
        <w:rPr>
          <w:rFonts w:ascii="Times New Roman" w:hAnsi="Times New Roman" w:cs="Times New Roman"/>
        </w:rPr>
        <w:t>begin this paper with an examination of three bodies of food studies literature that work to specifically address the rural/urban divide in some way, whether to critique or uphold it. My contention is that these veins of research are similar in their use of bound</w:t>
      </w:r>
      <w:r>
        <w:rPr>
          <w:rFonts w:ascii="Times New Roman" w:hAnsi="Times New Roman" w:cs="Times New Roman"/>
        </w:rPr>
        <w:t>aries that uphold dominant ways of both conceptualizing and acting within the world</w:t>
      </w:r>
      <w:r w:rsidR="00EB383B">
        <w:rPr>
          <w:rFonts w:ascii="Times New Roman" w:hAnsi="Times New Roman" w:cs="Times New Roman"/>
        </w:rPr>
        <w:t>, however there are possibilities that are left open within the third body of literature</w:t>
      </w:r>
      <w:r>
        <w:rPr>
          <w:rFonts w:ascii="Times New Roman" w:hAnsi="Times New Roman" w:cs="Times New Roman"/>
        </w:rPr>
        <w:t>. Often used are</w:t>
      </w:r>
      <w:r w:rsidR="001500FD">
        <w:rPr>
          <w:rFonts w:ascii="Times New Roman" w:hAnsi="Times New Roman" w:cs="Times New Roman"/>
        </w:rPr>
        <w:t xml:space="preserve"> frameworks predicated on reified concepts and assumptions that are left unquestioned. In many ways, my foundation for this paper assumes Foucault’s concept of governmentality, which puts forth the notion that governance is a process by which the actions, objectives, and pursuits of individuals are ordered and controlled, thus rendered governable.</w:t>
      </w:r>
      <w:r w:rsidR="001500FD">
        <w:rPr>
          <w:rStyle w:val="FootnoteReference"/>
          <w:rFonts w:ascii="Times New Roman" w:hAnsi="Times New Roman" w:cs="Times New Roman"/>
        </w:rPr>
        <w:footnoteReference w:id="1"/>
      </w:r>
      <w:r w:rsidR="001500FD">
        <w:rPr>
          <w:rFonts w:ascii="Times New Roman" w:hAnsi="Times New Roman" w:cs="Times New Roman"/>
        </w:rPr>
        <w:t xml:space="preserve"> While research has been conducted </w:t>
      </w:r>
      <w:r>
        <w:rPr>
          <w:rFonts w:ascii="Times New Roman" w:hAnsi="Times New Roman" w:cs="Times New Roman"/>
        </w:rPr>
        <w:t>that raises questions of power, interests, and order in relation to</w:t>
      </w:r>
      <w:r w:rsidR="001500FD">
        <w:rPr>
          <w:rFonts w:ascii="Times New Roman" w:hAnsi="Times New Roman" w:cs="Times New Roman"/>
        </w:rPr>
        <w:t xml:space="preserve"> policies, actions within, and institutions of food systems, </w:t>
      </w:r>
      <w:r>
        <w:rPr>
          <w:rFonts w:ascii="Times New Roman" w:hAnsi="Times New Roman" w:cs="Times New Roman"/>
        </w:rPr>
        <w:t xml:space="preserve">there is </w:t>
      </w:r>
      <w:r w:rsidR="001500FD">
        <w:rPr>
          <w:rFonts w:ascii="Times New Roman" w:hAnsi="Times New Roman" w:cs="Times New Roman"/>
        </w:rPr>
        <w:t xml:space="preserve">a significantly smaller body of research on the ways in which food system </w:t>
      </w:r>
      <w:r w:rsidR="001500FD">
        <w:rPr>
          <w:rFonts w:ascii="Times New Roman" w:hAnsi="Times New Roman" w:cs="Times New Roman"/>
          <w:i/>
          <w:iCs/>
        </w:rPr>
        <w:t xml:space="preserve">concepts </w:t>
      </w:r>
      <w:r w:rsidR="001500FD">
        <w:rPr>
          <w:rFonts w:ascii="Times New Roman" w:hAnsi="Times New Roman" w:cs="Times New Roman"/>
        </w:rPr>
        <w:t xml:space="preserve">play a role in rendering individuals, communities, and spaces governable and manageable under dominant political food regimes. </w:t>
      </w:r>
    </w:p>
    <w:p w14:paraId="1E6AF970" w14:textId="10F05FCB" w:rsidR="001500FD" w:rsidRDefault="001500FD" w:rsidP="00ED4FC3">
      <w:pPr>
        <w:spacing w:line="480" w:lineRule="auto"/>
        <w:rPr>
          <w:rFonts w:ascii="Times New Roman" w:hAnsi="Times New Roman" w:cs="Times New Roman"/>
        </w:rPr>
      </w:pPr>
      <w:r>
        <w:rPr>
          <w:rFonts w:ascii="Times New Roman" w:hAnsi="Times New Roman" w:cs="Times New Roman"/>
        </w:rPr>
        <w:tab/>
        <w:t>Thus, if scholars seek to identify ways in which the current food regime</w:t>
      </w:r>
      <w:r>
        <w:rPr>
          <w:rStyle w:val="FootnoteReference"/>
          <w:rFonts w:ascii="Times New Roman" w:hAnsi="Times New Roman" w:cs="Times New Roman"/>
        </w:rPr>
        <w:footnoteReference w:id="2"/>
      </w:r>
      <w:r>
        <w:rPr>
          <w:rFonts w:ascii="Times New Roman" w:hAnsi="Times New Roman" w:cs="Times New Roman"/>
        </w:rPr>
        <w:t xml:space="preserve"> can be </w:t>
      </w:r>
      <w:r w:rsidR="00EB383B">
        <w:rPr>
          <w:rFonts w:ascii="Times New Roman" w:hAnsi="Times New Roman" w:cs="Times New Roman"/>
        </w:rPr>
        <w:t>changed,</w:t>
      </w:r>
      <w:r>
        <w:rPr>
          <w:rFonts w:ascii="Times New Roman" w:hAnsi="Times New Roman" w:cs="Times New Roman"/>
        </w:rPr>
        <w:t xml:space="preserve"> </w:t>
      </w:r>
      <w:r w:rsidR="00ED4FC3">
        <w:rPr>
          <w:rFonts w:ascii="Times New Roman" w:hAnsi="Times New Roman" w:cs="Times New Roman"/>
        </w:rPr>
        <w:t>there is a need to examine</w:t>
      </w:r>
      <w:r>
        <w:rPr>
          <w:rFonts w:ascii="Times New Roman" w:hAnsi="Times New Roman" w:cs="Times New Roman"/>
        </w:rPr>
        <w:t xml:space="preserve"> the ways in which a political vocabulary of food interacts with and helps to provided bounded conceptions of the production and consumption of food. As Sophia </w:t>
      </w:r>
      <w:r w:rsidRPr="00EB383B">
        <w:rPr>
          <w:rFonts w:ascii="Times New Roman" w:hAnsi="Times New Roman" w:cs="Times New Roman"/>
          <w:color w:val="000000" w:themeColor="text1"/>
          <w:highlight w:val="yellow"/>
        </w:rPr>
        <w:lastRenderedPageBreak/>
        <w:t>Buggs of Lady Buggs Farm emphasizes in her work</w:t>
      </w:r>
      <w:r w:rsidR="00ED4FC3" w:rsidRPr="00EB383B">
        <w:rPr>
          <w:rFonts w:ascii="Times New Roman" w:hAnsi="Times New Roman" w:cs="Times New Roman"/>
          <w:color w:val="000000" w:themeColor="text1"/>
          <w:highlight w:val="yellow"/>
        </w:rPr>
        <w:t xml:space="preserve">, </w:t>
      </w:r>
      <w:r w:rsidRPr="00EB383B">
        <w:rPr>
          <w:rFonts w:ascii="Times New Roman" w:hAnsi="Times New Roman" w:cs="Times New Roman"/>
          <w:color w:val="000000" w:themeColor="text1"/>
          <w:highlight w:val="yellow"/>
        </w:rPr>
        <w:t>if we want to understand how food production and consumption affects our lives- if we want to encourage improvements in food access- we must re-define food as greater than the physical substance we put in our mouths for our bodies to digest as a form of substance.</w:t>
      </w:r>
      <w:r w:rsidRPr="00EB383B">
        <w:rPr>
          <w:rStyle w:val="FootnoteReference"/>
          <w:rFonts w:ascii="Times New Roman" w:hAnsi="Times New Roman" w:cs="Times New Roman"/>
          <w:color w:val="000000" w:themeColor="text1"/>
          <w:highlight w:val="yellow"/>
        </w:rPr>
        <w:footnoteReference w:id="3"/>
      </w:r>
      <w:r w:rsidRPr="00EB383B">
        <w:rPr>
          <w:rFonts w:ascii="Times New Roman" w:hAnsi="Times New Roman" w:cs="Times New Roman"/>
          <w:color w:val="000000" w:themeColor="text1"/>
          <w:highlight w:val="yellow"/>
        </w:rPr>
        <w:t xml:space="preserve"> ‘Food’ must first be unbound from the conceptual constraints that currently direct our thinking about it.</w:t>
      </w:r>
      <w:r w:rsidR="00ED4FC3" w:rsidRPr="00EB383B">
        <w:rPr>
          <w:rFonts w:ascii="Times New Roman" w:hAnsi="Times New Roman" w:cs="Times New Roman"/>
          <w:color w:val="000000" w:themeColor="text1"/>
          <w:highlight w:val="yellow"/>
        </w:rPr>
        <w:t xml:space="preserve"> The concept cannot be separated from action.</w:t>
      </w:r>
      <w:r w:rsidR="00ED4FC3">
        <w:rPr>
          <w:rFonts w:ascii="Times New Roman" w:hAnsi="Times New Roman" w:cs="Times New Roman"/>
        </w:rPr>
        <w:t xml:space="preserve"> </w:t>
      </w:r>
      <w:r>
        <w:rPr>
          <w:rFonts w:ascii="Times New Roman" w:hAnsi="Times New Roman" w:cs="Times New Roman"/>
        </w:rPr>
        <w:t xml:space="preserve"> </w:t>
      </w:r>
    </w:p>
    <w:p w14:paraId="6AD72650" w14:textId="7BFBCC9A" w:rsidR="00791A56" w:rsidRDefault="001500FD" w:rsidP="00ED4FC3">
      <w:pPr>
        <w:spacing w:line="480" w:lineRule="auto"/>
        <w:rPr>
          <w:rFonts w:ascii="Times New Roman" w:hAnsi="Times New Roman" w:cs="Times New Roman"/>
        </w:rPr>
      </w:pPr>
      <w:r>
        <w:rPr>
          <w:rFonts w:ascii="Times New Roman" w:hAnsi="Times New Roman" w:cs="Times New Roman"/>
        </w:rPr>
        <w:tab/>
        <w:t>While there are multiple interventions that might be made</w:t>
      </w:r>
      <w:r w:rsidR="00ED4FC3">
        <w:rPr>
          <w:rFonts w:ascii="Times New Roman" w:hAnsi="Times New Roman" w:cs="Times New Roman"/>
        </w:rPr>
        <w:t xml:space="preserve"> to illustrate the conceptual boundaries of food</w:t>
      </w:r>
      <w:r>
        <w:rPr>
          <w:rFonts w:ascii="Times New Roman" w:hAnsi="Times New Roman" w:cs="Times New Roman"/>
        </w:rPr>
        <w:t>, in this paper</w:t>
      </w:r>
      <w:r w:rsidR="00ED4FC3">
        <w:rPr>
          <w:rFonts w:ascii="Times New Roman" w:hAnsi="Times New Roman" w:cs="Times New Roman"/>
        </w:rPr>
        <w:t xml:space="preserve"> </w:t>
      </w:r>
      <w:r>
        <w:rPr>
          <w:rFonts w:ascii="Times New Roman" w:hAnsi="Times New Roman" w:cs="Times New Roman"/>
        </w:rPr>
        <w:t xml:space="preserve">I take up the pervasive rural-urban divide (conceptual and physical) as my focus. </w:t>
      </w:r>
      <w:r w:rsidRPr="00B5586B">
        <w:rPr>
          <w:rFonts w:ascii="Times New Roman" w:hAnsi="Times New Roman" w:cs="Times New Roman"/>
        </w:rPr>
        <w:t xml:space="preserve">I </w:t>
      </w:r>
      <w:r w:rsidR="00ED4FC3" w:rsidRPr="00B5586B">
        <w:rPr>
          <w:rFonts w:ascii="Times New Roman" w:hAnsi="Times New Roman" w:cs="Times New Roman"/>
        </w:rPr>
        <w:t>analyze this</w:t>
      </w:r>
      <w:r w:rsidRPr="00B5586B">
        <w:rPr>
          <w:rFonts w:ascii="Times New Roman" w:hAnsi="Times New Roman" w:cs="Times New Roman"/>
        </w:rPr>
        <w:t xml:space="preserve"> binary </w:t>
      </w:r>
      <w:r w:rsidR="00ED4FC3" w:rsidRPr="00B5586B">
        <w:rPr>
          <w:rFonts w:ascii="Times New Roman" w:hAnsi="Times New Roman" w:cs="Times New Roman"/>
        </w:rPr>
        <w:t xml:space="preserve">as </w:t>
      </w:r>
      <w:r w:rsidRPr="00B5586B">
        <w:rPr>
          <w:rFonts w:ascii="Times New Roman" w:hAnsi="Times New Roman" w:cs="Times New Roman"/>
        </w:rPr>
        <w:t>a way of establishing what might be considered a framework for food studies scholars who want to explore the various ways conceptual and material disruptions can be fermented in local, regional, and national food-ways.  My contention is this: if scholars are to take seriously an understanding of the world as dynamic</w:t>
      </w:r>
      <w:r w:rsidR="00B5586B">
        <w:rPr>
          <w:rFonts w:ascii="Times New Roman" w:hAnsi="Times New Roman" w:cs="Times New Roman"/>
        </w:rPr>
        <w:t xml:space="preserve">, </w:t>
      </w:r>
      <w:r w:rsidRPr="00B5586B">
        <w:rPr>
          <w:rFonts w:ascii="Times New Roman" w:hAnsi="Times New Roman" w:cs="Times New Roman"/>
        </w:rPr>
        <w:t>complex,</w:t>
      </w:r>
      <w:r w:rsidR="00B5586B">
        <w:rPr>
          <w:rFonts w:ascii="Times New Roman" w:hAnsi="Times New Roman" w:cs="Times New Roman"/>
        </w:rPr>
        <w:t xml:space="preserve"> and entangled,</w:t>
      </w:r>
      <w:r w:rsidRPr="00B5586B">
        <w:rPr>
          <w:rStyle w:val="FootnoteReference"/>
          <w:rFonts w:ascii="Times New Roman" w:hAnsi="Times New Roman" w:cs="Times New Roman"/>
        </w:rPr>
        <w:footnoteReference w:id="4"/>
      </w:r>
      <w:r w:rsidRPr="00B5586B">
        <w:rPr>
          <w:rFonts w:ascii="Times New Roman" w:hAnsi="Times New Roman" w:cs="Times New Roman"/>
        </w:rPr>
        <w:t xml:space="preserve"> ways of thinking about and writing about the wicked problems of our time require dynamic and complexified vocabularies and theoretical frameworks. In other words, there are conceptual categories that bound and define our understanding of ‘food’ and food systems. These bounded concepts enact specific material realities. These bounded concepts</w:t>
      </w:r>
      <w:r w:rsidR="00ED4FC3" w:rsidRPr="00B5586B">
        <w:rPr>
          <w:rFonts w:ascii="Times New Roman" w:hAnsi="Times New Roman" w:cs="Times New Roman"/>
        </w:rPr>
        <w:t>, while not inherently good or bad,</w:t>
      </w:r>
      <w:r w:rsidRPr="00B5586B">
        <w:rPr>
          <w:rFonts w:ascii="Times New Roman" w:hAnsi="Times New Roman" w:cs="Times New Roman"/>
        </w:rPr>
        <w:t xml:space="preserve"> are only </w:t>
      </w:r>
      <w:r w:rsidRPr="00B5586B">
        <w:rPr>
          <w:rFonts w:ascii="Times New Roman" w:hAnsi="Times New Roman" w:cs="Times New Roman"/>
          <w:i/>
          <w:iCs/>
        </w:rPr>
        <w:t>one</w:t>
      </w:r>
      <w:r w:rsidRPr="00B5586B">
        <w:rPr>
          <w:rFonts w:ascii="Times New Roman" w:hAnsi="Times New Roman" w:cs="Times New Roman"/>
        </w:rPr>
        <w:t xml:space="preserve"> way of understanding, describing, and brin</w:t>
      </w:r>
      <w:r w:rsidR="00ED4FC3" w:rsidRPr="00B5586B">
        <w:rPr>
          <w:rFonts w:ascii="Times New Roman" w:hAnsi="Times New Roman" w:cs="Times New Roman"/>
        </w:rPr>
        <w:t>g</w:t>
      </w:r>
      <w:r w:rsidRPr="00B5586B">
        <w:rPr>
          <w:rFonts w:ascii="Times New Roman" w:hAnsi="Times New Roman" w:cs="Times New Roman"/>
        </w:rPr>
        <w:t>ing into existence food realities, thus these conceptual categories might be (and often are) challenged by a plurality of experiences and actions. I ask, are there ways to unbound food vocabularies as a means of enacting or promoting food relations that are more attuned to specific social and ecological needs?</w:t>
      </w:r>
      <w:r>
        <w:rPr>
          <w:rFonts w:ascii="Times New Roman" w:hAnsi="Times New Roman" w:cs="Times New Roman"/>
        </w:rPr>
        <w:t xml:space="preserve"> </w:t>
      </w:r>
      <w:r w:rsidR="00791A56">
        <w:rPr>
          <w:rFonts w:ascii="Times New Roman" w:hAnsi="Times New Roman" w:cs="Times New Roman"/>
        </w:rPr>
        <w:t xml:space="preserve"> </w:t>
      </w:r>
    </w:p>
    <w:p w14:paraId="2A5543BA" w14:textId="6C9D0E38" w:rsidR="00D1047C" w:rsidRPr="006F0726" w:rsidRDefault="001500FD" w:rsidP="00ED4FC3">
      <w:pPr>
        <w:spacing w:line="480" w:lineRule="auto"/>
        <w:rPr>
          <w:rFonts w:ascii="Times New Roman" w:hAnsi="Times New Roman" w:cs="Times New Roman"/>
          <w:b/>
          <w:bCs/>
          <w:u w:val="single"/>
        </w:rPr>
      </w:pPr>
      <w:r>
        <w:rPr>
          <w:rFonts w:ascii="Times New Roman" w:hAnsi="Times New Roman" w:cs="Times New Roman"/>
          <w:b/>
          <w:bCs/>
          <w:u w:val="single"/>
        </w:rPr>
        <w:lastRenderedPageBreak/>
        <w:t>T</w:t>
      </w:r>
      <w:r w:rsidR="006F0726">
        <w:rPr>
          <w:rFonts w:ascii="Times New Roman" w:hAnsi="Times New Roman" w:cs="Times New Roman"/>
          <w:b/>
          <w:bCs/>
          <w:u w:val="single"/>
        </w:rPr>
        <w:t xml:space="preserve">he rural/urban divide in food studies </w:t>
      </w:r>
      <w:r w:rsidR="00ED4FC3">
        <w:rPr>
          <w:rFonts w:ascii="Times New Roman" w:hAnsi="Times New Roman" w:cs="Times New Roman"/>
          <w:b/>
          <w:bCs/>
          <w:u w:val="single"/>
        </w:rPr>
        <w:t>scholarship</w:t>
      </w:r>
      <w:r>
        <w:rPr>
          <w:rFonts w:ascii="Times New Roman" w:hAnsi="Times New Roman" w:cs="Times New Roman"/>
          <w:b/>
          <w:bCs/>
          <w:u w:val="single"/>
        </w:rPr>
        <w:t>:</w:t>
      </w:r>
    </w:p>
    <w:p w14:paraId="23B48A54" w14:textId="58FF129C" w:rsidR="00D1047C" w:rsidRDefault="00791A56" w:rsidP="00ED4FC3">
      <w:pPr>
        <w:spacing w:line="480" w:lineRule="auto"/>
        <w:rPr>
          <w:rFonts w:ascii="Times New Roman" w:hAnsi="Times New Roman" w:cs="Times New Roman"/>
        </w:rPr>
      </w:pPr>
      <w:r>
        <w:rPr>
          <w:rFonts w:ascii="Times New Roman" w:hAnsi="Times New Roman" w:cs="Times New Roman"/>
        </w:rPr>
        <w:tab/>
        <w:t xml:space="preserve">How have concepts of ‘rural’ and ‘urban’ been mobilized in food studies literature to understand the current food system including its downfalls and potentials? </w:t>
      </w:r>
      <w:r w:rsidR="00ED4FC3">
        <w:rPr>
          <w:rFonts w:ascii="Times New Roman" w:hAnsi="Times New Roman" w:cs="Times New Roman"/>
        </w:rPr>
        <w:t xml:space="preserve">I argue that there are three ways food studies literature approach the ‘rural’ and ‘urban’ division. </w:t>
      </w:r>
      <w:r>
        <w:rPr>
          <w:rFonts w:ascii="Times New Roman" w:hAnsi="Times New Roman" w:cs="Times New Roman"/>
        </w:rPr>
        <w:t>While I acknowledge that my categorization of food studies is neither complete nor the only way of understanding this body of scholarship, I employ these divisions as a means of</w:t>
      </w:r>
      <w:r w:rsidR="00ED4FC3">
        <w:rPr>
          <w:rFonts w:ascii="Times New Roman" w:hAnsi="Times New Roman" w:cs="Times New Roman"/>
        </w:rPr>
        <w:t xml:space="preserve"> </w:t>
      </w:r>
      <w:r>
        <w:rPr>
          <w:rFonts w:ascii="Times New Roman" w:hAnsi="Times New Roman" w:cs="Times New Roman"/>
        </w:rPr>
        <w:t xml:space="preserve">highlighting veins of literature that express explicitly political understandings of food systems and food access and </w:t>
      </w:r>
      <w:proofErr w:type="spellStart"/>
      <w:r>
        <w:rPr>
          <w:rFonts w:ascii="Times New Roman" w:hAnsi="Times New Roman" w:cs="Times New Roman"/>
        </w:rPr>
        <w:t>forefronting</w:t>
      </w:r>
      <w:proofErr w:type="spellEnd"/>
      <w:r>
        <w:rPr>
          <w:rFonts w:ascii="Times New Roman" w:hAnsi="Times New Roman" w:cs="Times New Roman"/>
        </w:rPr>
        <w:t xml:space="preserve"> the pervasiveness of the rural/urban divide in food studies literature</w:t>
      </w:r>
      <w:r w:rsidR="00C76802">
        <w:rPr>
          <w:rFonts w:ascii="Times New Roman" w:hAnsi="Times New Roman" w:cs="Times New Roman"/>
        </w:rPr>
        <w:t>.</w:t>
      </w:r>
      <w:r>
        <w:rPr>
          <w:rFonts w:ascii="Times New Roman" w:hAnsi="Times New Roman" w:cs="Times New Roman"/>
        </w:rPr>
        <w:t xml:space="preserve"> </w:t>
      </w:r>
      <w:r w:rsidR="00ED4FC3">
        <w:rPr>
          <w:rFonts w:ascii="Times New Roman" w:hAnsi="Times New Roman" w:cs="Times New Roman"/>
        </w:rPr>
        <w:t>First, I engage with</w:t>
      </w:r>
      <w:r>
        <w:rPr>
          <w:rFonts w:ascii="Times New Roman" w:hAnsi="Times New Roman" w:cs="Times New Roman"/>
        </w:rPr>
        <w:t xml:space="preserve"> scholars who </w:t>
      </w:r>
      <w:r w:rsidR="00ED4FC3">
        <w:rPr>
          <w:rFonts w:ascii="Times New Roman" w:hAnsi="Times New Roman" w:cs="Times New Roman"/>
        </w:rPr>
        <w:t>mobilize</w:t>
      </w:r>
      <w:r>
        <w:rPr>
          <w:rFonts w:ascii="Times New Roman" w:hAnsi="Times New Roman" w:cs="Times New Roman"/>
        </w:rPr>
        <w:t xml:space="preserve"> M</w:t>
      </w:r>
      <w:r w:rsidR="00EB5DFA">
        <w:rPr>
          <w:rFonts w:ascii="Times New Roman" w:hAnsi="Times New Roman" w:cs="Times New Roman"/>
        </w:rPr>
        <w:t>arxist concepts of alienation</w:t>
      </w:r>
      <w:r>
        <w:rPr>
          <w:rFonts w:ascii="Times New Roman" w:hAnsi="Times New Roman" w:cs="Times New Roman"/>
        </w:rPr>
        <w:t xml:space="preserve"> </w:t>
      </w:r>
      <w:r w:rsidR="00ED4FC3">
        <w:rPr>
          <w:rFonts w:ascii="Times New Roman" w:hAnsi="Times New Roman" w:cs="Times New Roman"/>
        </w:rPr>
        <w:t>in the</w:t>
      </w:r>
      <w:r>
        <w:rPr>
          <w:rFonts w:ascii="Times New Roman" w:hAnsi="Times New Roman" w:cs="Times New Roman"/>
        </w:rPr>
        <w:t xml:space="preserve"> political economy of food</w:t>
      </w:r>
      <w:r w:rsidR="00ED4FC3">
        <w:rPr>
          <w:rFonts w:ascii="Times New Roman" w:hAnsi="Times New Roman" w:cs="Times New Roman"/>
        </w:rPr>
        <w:t>. Second, I look to</w:t>
      </w:r>
      <w:r>
        <w:rPr>
          <w:rFonts w:ascii="Times New Roman" w:hAnsi="Times New Roman" w:cs="Times New Roman"/>
        </w:rPr>
        <w:t xml:space="preserve"> scholars active in debates on green governance and sustainable urban planning</w:t>
      </w:r>
      <w:r w:rsidR="00ED4FC3">
        <w:rPr>
          <w:rFonts w:ascii="Times New Roman" w:hAnsi="Times New Roman" w:cs="Times New Roman"/>
        </w:rPr>
        <w:t>. Finally, I turn to</w:t>
      </w:r>
      <w:r>
        <w:rPr>
          <w:rFonts w:ascii="Times New Roman" w:hAnsi="Times New Roman" w:cs="Times New Roman"/>
        </w:rPr>
        <w:t xml:space="preserve"> scholars working within the realm of food and social justice. </w:t>
      </w:r>
    </w:p>
    <w:p w14:paraId="7CE6406D" w14:textId="34DA2607" w:rsidR="00D1047C" w:rsidRDefault="00965BC9" w:rsidP="00ED4FC3">
      <w:pPr>
        <w:spacing w:line="480" w:lineRule="auto"/>
        <w:rPr>
          <w:rFonts w:ascii="Times New Roman" w:hAnsi="Times New Roman" w:cs="Times New Roman"/>
        </w:rPr>
      </w:pPr>
      <w:r>
        <w:rPr>
          <w:rFonts w:ascii="Times New Roman" w:hAnsi="Times New Roman" w:cs="Times New Roman"/>
        </w:rPr>
        <w:tab/>
      </w:r>
      <w:r w:rsidR="00D1047C">
        <w:rPr>
          <w:rFonts w:ascii="Times New Roman" w:hAnsi="Times New Roman" w:cs="Times New Roman"/>
        </w:rPr>
        <w:t xml:space="preserve">Some of the key literature that discusses the </w:t>
      </w:r>
      <w:r>
        <w:rPr>
          <w:rFonts w:ascii="Times New Roman" w:hAnsi="Times New Roman" w:cs="Times New Roman"/>
        </w:rPr>
        <w:t>constitution</w:t>
      </w:r>
      <w:r w:rsidR="00D1047C">
        <w:rPr>
          <w:rFonts w:ascii="Times New Roman" w:hAnsi="Times New Roman" w:cs="Times New Roman"/>
        </w:rPr>
        <w:t xml:space="preserve"> of food </w:t>
      </w:r>
      <w:r w:rsidR="00ED4FC3">
        <w:rPr>
          <w:rFonts w:ascii="Times New Roman" w:hAnsi="Times New Roman" w:cs="Times New Roman"/>
        </w:rPr>
        <w:t>along the rural/urban divide</w:t>
      </w:r>
      <w:r w:rsidR="00D1047C">
        <w:rPr>
          <w:rFonts w:ascii="Times New Roman" w:hAnsi="Times New Roman" w:cs="Times New Roman"/>
        </w:rPr>
        <w:t xml:space="preserve"> draws on Marx’s understanding of ‘metabolism’ which he used to describe the increasing separation of humans and nature through a bifurcation of </w:t>
      </w:r>
      <w:r w:rsidR="000B1D1B">
        <w:rPr>
          <w:rFonts w:ascii="Times New Roman" w:hAnsi="Times New Roman" w:cs="Times New Roman"/>
        </w:rPr>
        <w:t>countryside and city and the resulting rupture in ecological metabolism of nutrients. However, this analysis pivots around the notion that humans are both different from and thus removable from ‘nature.’ In other words, Marx’s work, and subsequent extensions of his theory of metabolism are beholden to the assumption that the world of the ‘human’ is ultimately different from the world of ‘nature.’</w:t>
      </w:r>
      <w:r w:rsidR="00ED4FC3" w:rsidRPr="00ED4FC3">
        <w:rPr>
          <w:rStyle w:val="FootnoteReference"/>
          <w:rFonts w:ascii="Times New Roman" w:hAnsi="Times New Roman" w:cs="Times New Roman"/>
        </w:rPr>
        <w:t xml:space="preserve"> </w:t>
      </w:r>
      <w:r w:rsidR="00ED4FC3">
        <w:rPr>
          <w:rStyle w:val="FootnoteReference"/>
          <w:rFonts w:ascii="Times New Roman" w:hAnsi="Times New Roman" w:cs="Times New Roman"/>
        </w:rPr>
        <w:footnoteReference w:id="5"/>
      </w:r>
      <w:r w:rsidR="000B1D1B">
        <w:rPr>
          <w:rFonts w:ascii="Times New Roman" w:hAnsi="Times New Roman" w:cs="Times New Roman"/>
        </w:rPr>
        <w:t xml:space="preserve"> This assumption reaffirms the very schism it deals with (rural/urban)</w:t>
      </w:r>
      <w:r w:rsidR="00C76802">
        <w:rPr>
          <w:rFonts w:ascii="Times New Roman" w:hAnsi="Times New Roman" w:cs="Times New Roman"/>
        </w:rPr>
        <w:t xml:space="preserve"> which promotes bounded </w:t>
      </w:r>
      <w:r w:rsidR="007220C1">
        <w:rPr>
          <w:rFonts w:ascii="Times New Roman" w:hAnsi="Times New Roman" w:cs="Times New Roman"/>
        </w:rPr>
        <w:t>understandings</w:t>
      </w:r>
      <w:r w:rsidR="00C76802">
        <w:rPr>
          <w:rFonts w:ascii="Times New Roman" w:hAnsi="Times New Roman" w:cs="Times New Roman"/>
        </w:rPr>
        <w:t xml:space="preserve"> of how food ‘works’ in rural spaces of production and how food ‘works’ in urban spaces of consumption. </w:t>
      </w:r>
      <w:r w:rsidR="000B1D1B">
        <w:rPr>
          <w:rFonts w:ascii="Times New Roman" w:hAnsi="Times New Roman" w:cs="Times New Roman"/>
        </w:rPr>
        <w:t xml:space="preserve"> </w:t>
      </w:r>
    </w:p>
    <w:p w14:paraId="462DCDA5" w14:textId="622BF215" w:rsidR="00D36688" w:rsidRDefault="00D36688" w:rsidP="00ED4FC3">
      <w:pPr>
        <w:spacing w:line="480" w:lineRule="auto"/>
        <w:rPr>
          <w:rFonts w:ascii="Times New Roman" w:hAnsi="Times New Roman" w:cs="Times New Roman"/>
        </w:rPr>
      </w:pPr>
      <w:r>
        <w:rPr>
          <w:rFonts w:ascii="Times New Roman" w:hAnsi="Times New Roman" w:cs="Times New Roman"/>
        </w:rPr>
        <w:lastRenderedPageBreak/>
        <w:tab/>
        <w:t xml:space="preserve">The concept of the </w:t>
      </w:r>
      <w:r w:rsidR="00C76802">
        <w:rPr>
          <w:rFonts w:ascii="Times New Roman" w:hAnsi="Times New Roman" w:cs="Times New Roman"/>
        </w:rPr>
        <w:t>m</w:t>
      </w:r>
      <w:r>
        <w:rPr>
          <w:rFonts w:ascii="Times New Roman" w:hAnsi="Times New Roman" w:cs="Times New Roman"/>
        </w:rPr>
        <w:t xml:space="preserve">etabolic </w:t>
      </w:r>
      <w:r w:rsidR="00C76802">
        <w:rPr>
          <w:rFonts w:ascii="Times New Roman" w:hAnsi="Times New Roman" w:cs="Times New Roman"/>
        </w:rPr>
        <w:t>r</w:t>
      </w:r>
      <w:r>
        <w:rPr>
          <w:rFonts w:ascii="Times New Roman" w:hAnsi="Times New Roman" w:cs="Times New Roman"/>
        </w:rPr>
        <w:t>ift was developed by John Bellamy Foster to point to the ecological offerings of Marx’s work. This concept is useful as it</w:t>
      </w:r>
      <w:r w:rsidR="00A011F3">
        <w:rPr>
          <w:rFonts w:ascii="Times New Roman" w:hAnsi="Times New Roman" w:cs="Times New Roman"/>
        </w:rPr>
        <w:t xml:space="preserve"> describes one way rural and urban spaces </w:t>
      </w:r>
      <w:r w:rsidR="00C76802">
        <w:rPr>
          <w:rFonts w:ascii="Times New Roman" w:hAnsi="Times New Roman" w:cs="Times New Roman"/>
        </w:rPr>
        <w:t xml:space="preserve">are understood </w:t>
      </w:r>
      <w:r w:rsidR="00A011F3">
        <w:rPr>
          <w:rFonts w:ascii="Times New Roman" w:hAnsi="Times New Roman" w:cs="Times New Roman"/>
        </w:rPr>
        <w:t xml:space="preserve">as being both conceptually and materially bounded </w:t>
      </w:r>
      <w:r w:rsidR="00C76802">
        <w:rPr>
          <w:rFonts w:ascii="Times New Roman" w:hAnsi="Times New Roman" w:cs="Times New Roman"/>
        </w:rPr>
        <w:t xml:space="preserve">thus separate, </w:t>
      </w:r>
      <w:r w:rsidR="00A011F3">
        <w:rPr>
          <w:rFonts w:ascii="Times New Roman" w:hAnsi="Times New Roman" w:cs="Times New Roman"/>
        </w:rPr>
        <w:t>and what this means for the ways scholars consider ecological, agricultural, and consumptive practices specifically in relation to food. However</w:t>
      </w:r>
      <w:r w:rsidR="00C76802">
        <w:rPr>
          <w:rFonts w:ascii="Times New Roman" w:hAnsi="Times New Roman" w:cs="Times New Roman"/>
        </w:rPr>
        <w:t>,</w:t>
      </w:r>
      <w:r w:rsidR="00A011F3">
        <w:rPr>
          <w:rFonts w:ascii="Times New Roman" w:hAnsi="Times New Roman" w:cs="Times New Roman"/>
        </w:rPr>
        <w:t xml:space="preserve"> Foster’s theorization of the metabolic rift does not help us to move beyond the bounded spaces of rural and urban in our research, a boundedness that, I argue, needs to be critically re-considered in food studies research. Foster brings Marx back into sociology as a means of </w:t>
      </w:r>
      <w:r w:rsidR="00B16C5A">
        <w:rPr>
          <w:rFonts w:ascii="Times New Roman" w:hAnsi="Times New Roman" w:cs="Times New Roman"/>
        </w:rPr>
        <w:t>intervening into the disciplinary split in socio-environmental literature between anthropocentric approaches and eco</w:t>
      </w:r>
      <w:r w:rsidR="007220C1">
        <w:rPr>
          <w:rFonts w:ascii="Times New Roman" w:hAnsi="Times New Roman" w:cs="Times New Roman"/>
        </w:rPr>
        <w:t>-</w:t>
      </w:r>
      <w:r w:rsidR="00B16C5A">
        <w:rPr>
          <w:rFonts w:ascii="Times New Roman" w:hAnsi="Times New Roman" w:cs="Times New Roman"/>
        </w:rPr>
        <w:t xml:space="preserve">centric approaches. For Foster, Marx’s later work in political economy bridges this theoretical gap in sociology. </w:t>
      </w:r>
    </w:p>
    <w:p w14:paraId="0685EFC9" w14:textId="77777777" w:rsidR="00C76802" w:rsidRDefault="00B16C5A" w:rsidP="00ED4FC3">
      <w:pPr>
        <w:spacing w:line="480" w:lineRule="auto"/>
        <w:rPr>
          <w:rFonts w:ascii="Times New Roman" w:hAnsi="Times New Roman" w:cs="Times New Roman"/>
        </w:rPr>
      </w:pPr>
      <w:r>
        <w:rPr>
          <w:rFonts w:ascii="Times New Roman" w:hAnsi="Times New Roman" w:cs="Times New Roman"/>
        </w:rPr>
        <w:tab/>
        <w:t>The metabolic rift develops Marx’s writing on the soil science of Justus von Liebig, who focused on the nutrient needs of soil in agricultural production</w:t>
      </w:r>
      <w:r w:rsidR="007D40EF">
        <w:rPr>
          <w:rFonts w:ascii="Times New Roman" w:hAnsi="Times New Roman" w:cs="Times New Roman"/>
        </w:rPr>
        <w:t>. Liebig was a key figure in the development of the fertilizer industry, which occurred during what some call the ‘Second Agricultural Revolution.’</w:t>
      </w:r>
      <w:r w:rsidR="007D40EF">
        <w:rPr>
          <w:rStyle w:val="FootnoteReference"/>
          <w:rFonts w:ascii="Times New Roman" w:hAnsi="Times New Roman" w:cs="Times New Roman"/>
        </w:rPr>
        <w:footnoteReference w:id="6"/>
      </w:r>
      <w:r w:rsidR="007D40EF">
        <w:rPr>
          <w:rFonts w:ascii="Times New Roman" w:hAnsi="Times New Roman" w:cs="Times New Roman"/>
        </w:rPr>
        <w:t xml:space="preserve"> Marx writes, “The actual causes of the exhaustion of the land… were unknown to any of the economists who wrote about differential rent, on account of the state of agricultural chemistry of their time.”</w:t>
      </w:r>
      <w:r w:rsidR="007D40EF">
        <w:rPr>
          <w:rStyle w:val="FootnoteReference"/>
          <w:rFonts w:ascii="Times New Roman" w:hAnsi="Times New Roman" w:cs="Times New Roman"/>
        </w:rPr>
        <w:footnoteReference w:id="7"/>
      </w:r>
      <w:r w:rsidR="003439EC">
        <w:rPr>
          <w:rFonts w:ascii="Times New Roman" w:hAnsi="Times New Roman" w:cs="Times New Roman"/>
        </w:rPr>
        <w:t xml:space="preserve"> In short, while political economists of the time were dealing with soil fertility in relation to economic production, there was little critical engagement from these scholars with that observation. Instead, this observation was used as a </w:t>
      </w:r>
      <w:r w:rsidR="002F4CB7">
        <w:rPr>
          <w:rFonts w:ascii="Times New Roman" w:hAnsi="Times New Roman" w:cs="Times New Roman"/>
        </w:rPr>
        <w:t>framework for deciding which lands were best suited for cultivation and agricultural improvement and how the relation of soil fertility to population density, thus labor availability (</w:t>
      </w:r>
      <w:proofErr w:type="gramStart"/>
      <w:r w:rsidR="002F4CB7">
        <w:rPr>
          <w:rFonts w:ascii="Times New Roman" w:hAnsi="Times New Roman" w:cs="Times New Roman"/>
        </w:rPr>
        <w:t>i.e.</w:t>
      </w:r>
      <w:proofErr w:type="gramEnd"/>
      <w:r w:rsidR="002F4CB7">
        <w:rPr>
          <w:rFonts w:ascii="Times New Roman" w:hAnsi="Times New Roman" w:cs="Times New Roman"/>
        </w:rPr>
        <w:t xml:space="preserve"> the Malthusian dilemma). </w:t>
      </w:r>
    </w:p>
    <w:p w14:paraId="6B5BDADB" w14:textId="5B4CABF0" w:rsidR="00875E46" w:rsidRDefault="00C76802" w:rsidP="00ED4FC3">
      <w:pPr>
        <w:spacing w:line="480" w:lineRule="auto"/>
        <w:rPr>
          <w:rFonts w:ascii="Times New Roman" w:hAnsi="Times New Roman" w:cs="Times New Roman"/>
        </w:rPr>
      </w:pPr>
      <w:r>
        <w:rPr>
          <w:rFonts w:ascii="Times New Roman" w:hAnsi="Times New Roman" w:cs="Times New Roman"/>
        </w:rPr>
        <w:lastRenderedPageBreak/>
        <w:tab/>
      </w:r>
      <w:r w:rsidR="002F4CB7">
        <w:rPr>
          <w:rFonts w:ascii="Times New Roman" w:hAnsi="Times New Roman" w:cs="Times New Roman"/>
        </w:rPr>
        <w:t xml:space="preserve">Marx rightly observed that the fertility of the soil is not outside of social relations but is very much bound up within them. However, unlike his predecessors, Marx argued that capitalist agriculture would not necessarily motivate an </w:t>
      </w:r>
      <w:r w:rsidR="002F4CB7">
        <w:rPr>
          <w:rFonts w:ascii="Times New Roman" w:hAnsi="Times New Roman" w:cs="Times New Roman"/>
          <w:i/>
          <w:iCs/>
        </w:rPr>
        <w:t xml:space="preserve">improvement </w:t>
      </w:r>
      <w:r w:rsidR="002F4CB7">
        <w:rPr>
          <w:rFonts w:ascii="Times New Roman" w:hAnsi="Times New Roman" w:cs="Times New Roman"/>
        </w:rPr>
        <w:t>in soil fertility, but rather could</w:t>
      </w:r>
      <w:r w:rsidR="002F4CB7" w:rsidRPr="00875E46">
        <w:rPr>
          <w:rFonts w:ascii="Times New Roman" w:hAnsi="Times New Roman" w:cs="Times New Roman"/>
          <w:i/>
          <w:iCs/>
        </w:rPr>
        <w:t xml:space="preserve"> harm</w:t>
      </w:r>
      <w:r w:rsidR="002F4CB7">
        <w:rPr>
          <w:rFonts w:ascii="Times New Roman" w:hAnsi="Times New Roman" w:cs="Times New Roman"/>
        </w:rPr>
        <w:t xml:space="preserve"> soil fertility</w:t>
      </w:r>
      <w:r w:rsidR="00875E46">
        <w:rPr>
          <w:rFonts w:ascii="Times New Roman" w:hAnsi="Times New Roman" w:cs="Times New Roman"/>
        </w:rPr>
        <w:t xml:space="preserve"> because of a disruption of the soil nutrient cycle.</w:t>
      </w:r>
      <w:r w:rsidR="00875E46" w:rsidRPr="00875E46">
        <w:rPr>
          <w:rStyle w:val="FootnoteReference"/>
          <w:rFonts w:ascii="Times New Roman" w:hAnsi="Times New Roman" w:cs="Times New Roman"/>
        </w:rPr>
        <w:t xml:space="preserve"> </w:t>
      </w:r>
      <w:r w:rsidR="00875E46">
        <w:rPr>
          <w:rStyle w:val="FootnoteReference"/>
          <w:rFonts w:ascii="Times New Roman" w:hAnsi="Times New Roman" w:cs="Times New Roman"/>
        </w:rPr>
        <w:footnoteReference w:id="8"/>
      </w:r>
      <w:r w:rsidR="00875E46">
        <w:rPr>
          <w:rFonts w:ascii="Times New Roman" w:hAnsi="Times New Roman" w:cs="Times New Roman"/>
        </w:rPr>
        <w:t xml:space="preserve">  Thus, Marx draws a connection between the exploitation of the labor of the land and the labor of an individual leading to the ultimate impoverishment of both. </w:t>
      </w:r>
      <w:r w:rsidR="0060528F">
        <w:rPr>
          <w:rFonts w:ascii="Times New Roman" w:hAnsi="Times New Roman" w:cs="Times New Roman"/>
        </w:rPr>
        <w:t xml:space="preserve">Importantly, </w:t>
      </w:r>
      <w:r w:rsidR="00875E46">
        <w:rPr>
          <w:rFonts w:ascii="Times New Roman" w:hAnsi="Times New Roman" w:cs="Times New Roman"/>
        </w:rPr>
        <w:t xml:space="preserve">Marx </w:t>
      </w:r>
      <w:r w:rsidR="0060528F">
        <w:rPr>
          <w:rFonts w:ascii="Times New Roman" w:hAnsi="Times New Roman" w:cs="Times New Roman"/>
        </w:rPr>
        <w:t>points to the schism between urban industrial centers and rural agricultural spaces as a source of this dual impoverishment.</w:t>
      </w:r>
      <w:r w:rsidR="0060528F">
        <w:rPr>
          <w:rStyle w:val="FootnoteReference"/>
          <w:rFonts w:ascii="Times New Roman" w:hAnsi="Times New Roman" w:cs="Times New Roman"/>
        </w:rPr>
        <w:footnoteReference w:id="9"/>
      </w:r>
      <w:r w:rsidR="0060528F">
        <w:rPr>
          <w:rFonts w:ascii="Times New Roman" w:hAnsi="Times New Roman" w:cs="Times New Roman"/>
        </w:rPr>
        <w:t xml:space="preserve"> </w:t>
      </w:r>
    </w:p>
    <w:p w14:paraId="78443C2B" w14:textId="203D5F9B" w:rsidR="00ED4FC3" w:rsidRDefault="00A0284B" w:rsidP="00ED4FC3">
      <w:pPr>
        <w:spacing w:line="480" w:lineRule="auto"/>
        <w:rPr>
          <w:rFonts w:ascii="Times New Roman" w:hAnsi="Times New Roman" w:cs="Times New Roman"/>
        </w:rPr>
      </w:pPr>
      <w:r>
        <w:rPr>
          <w:rFonts w:ascii="Times New Roman" w:hAnsi="Times New Roman" w:cs="Times New Roman"/>
        </w:rPr>
        <w:tab/>
        <w:t xml:space="preserve">Thus, in Marx there is the concept of a disruption in natural processes that humans (and other lifeforms) are dependent upon for survival. This disruption is spatial in its very constitution: it is the ever-present, ever-critiqued rural/urban divide. </w:t>
      </w:r>
      <w:r w:rsidR="008E4734">
        <w:rPr>
          <w:rFonts w:ascii="Times New Roman" w:hAnsi="Times New Roman" w:cs="Times New Roman"/>
        </w:rPr>
        <w:t xml:space="preserve">However, what goes unstated or at least underemphasized by both Marx and Foster, is that this spatial divide between </w:t>
      </w:r>
      <w:r w:rsidR="008E4734">
        <w:rPr>
          <w:rFonts w:ascii="Times New Roman" w:hAnsi="Times New Roman" w:cs="Times New Roman"/>
        </w:rPr>
        <w:lastRenderedPageBreak/>
        <w:t xml:space="preserve">urban and rural is that these two spaces, even </w:t>
      </w:r>
      <w:proofErr w:type="spellStart"/>
      <w:r w:rsidR="008E4734">
        <w:rPr>
          <w:rFonts w:ascii="Times New Roman" w:hAnsi="Times New Roman" w:cs="Times New Roman"/>
        </w:rPr>
        <w:t>through</w:t>
      </w:r>
      <w:proofErr w:type="spellEnd"/>
      <w:r w:rsidR="008E4734">
        <w:rPr>
          <w:rFonts w:ascii="Times New Roman" w:hAnsi="Times New Roman" w:cs="Times New Roman"/>
        </w:rPr>
        <w:t xml:space="preserve"> spatial and conceptual bounding, can never be held apart in full. This, perhaps, is the key characteristic of dualistic thinking: that </w:t>
      </w:r>
      <w:r w:rsidR="00EE1E89">
        <w:rPr>
          <w:rFonts w:ascii="Times New Roman" w:hAnsi="Times New Roman" w:cs="Times New Roman"/>
        </w:rPr>
        <w:t xml:space="preserve">one side cannot exist without the other, as, conceptually, each half requires the other for defining of the self. </w:t>
      </w:r>
    </w:p>
    <w:p w14:paraId="1B99D330" w14:textId="45E11963" w:rsidR="00C76802" w:rsidRPr="002F4CB7" w:rsidRDefault="00ED4FC3" w:rsidP="00ED4FC3">
      <w:pPr>
        <w:spacing w:line="480" w:lineRule="auto"/>
        <w:rPr>
          <w:rFonts w:ascii="Times New Roman" w:hAnsi="Times New Roman" w:cs="Times New Roman"/>
        </w:rPr>
      </w:pPr>
      <w:r>
        <w:rPr>
          <w:rFonts w:ascii="Times New Roman" w:hAnsi="Times New Roman" w:cs="Times New Roman"/>
        </w:rPr>
        <w:tab/>
      </w:r>
      <w:r w:rsidR="00EE1E89">
        <w:rPr>
          <w:rFonts w:ascii="Times New Roman" w:hAnsi="Times New Roman" w:cs="Times New Roman"/>
        </w:rPr>
        <w:t>This may seem like a rather straightforward claim that perhaps does not need to be stated by Marx or Foster. Howeve</w:t>
      </w:r>
      <w:r w:rsidR="00BD4763">
        <w:rPr>
          <w:rFonts w:ascii="Times New Roman" w:hAnsi="Times New Roman" w:cs="Times New Roman"/>
        </w:rPr>
        <w:t>r,</w:t>
      </w:r>
      <w:r w:rsidR="00EE1E89">
        <w:rPr>
          <w:rFonts w:ascii="Times New Roman" w:hAnsi="Times New Roman" w:cs="Times New Roman"/>
        </w:rPr>
        <w:t xml:space="preserve"> I argue that this point is at the heart of difficulties in this vein of food studies to move beyond this dualistic distinction- to not continue to replicate it- in the framing of agriculture and food related problems and solutions. </w:t>
      </w:r>
      <w:r w:rsidR="00BD4763">
        <w:rPr>
          <w:rFonts w:ascii="Times New Roman" w:hAnsi="Times New Roman" w:cs="Times New Roman"/>
        </w:rPr>
        <w:t xml:space="preserve">If the urban sphere remains separate and bounded from the rural sphere in both the processes of diagnosing and treating issues of food production, distribution, and consumption, the heart of the issue, the rift itself, goes unaddressed. </w:t>
      </w:r>
      <w:r w:rsidR="00B316A0">
        <w:rPr>
          <w:rFonts w:ascii="Times New Roman" w:hAnsi="Times New Roman" w:cs="Times New Roman"/>
        </w:rPr>
        <w:t>It</w:t>
      </w:r>
      <w:r w:rsidR="00BD4763">
        <w:rPr>
          <w:rFonts w:ascii="Times New Roman" w:hAnsi="Times New Roman" w:cs="Times New Roman"/>
        </w:rPr>
        <w:t xml:space="preserve"> remains irreparable. </w:t>
      </w:r>
      <w:r>
        <w:rPr>
          <w:rFonts w:ascii="Times New Roman" w:hAnsi="Times New Roman" w:cs="Times New Roman"/>
        </w:rPr>
        <w:t>In this body of literature, rural spaces of production become the primary point of focus, as production is the heart of the Marxist enterprise and rural spaces are centers of food production. O</w:t>
      </w:r>
      <w:r w:rsidR="00C76802">
        <w:rPr>
          <w:rFonts w:ascii="Times New Roman" w:hAnsi="Times New Roman" w:cs="Times New Roman"/>
        </w:rPr>
        <w:t>ne of the fundamental spatial orderings of the industrial-capitalist food regime is upheld</w:t>
      </w:r>
      <w:r>
        <w:rPr>
          <w:rFonts w:ascii="Times New Roman" w:hAnsi="Times New Roman" w:cs="Times New Roman"/>
        </w:rPr>
        <w:t xml:space="preserve"> in notions of rural as producer, urban as consumer. </w:t>
      </w:r>
      <w:r w:rsidR="00C76802">
        <w:rPr>
          <w:rFonts w:ascii="Times New Roman" w:hAnsi="Times New Roman" w:cs="Times New Roman"/>
        </w:rPr>
        <w:t xml:space="preserve">And if the goal is to disrupt the current food regime- to highlight other possibilities for food systems- the rural/urban divide must be addressed more </w:t>
      </w:r>
      <w:proofErr w:type="gramStart"/>
      <w:r w:rsidR="00C76802">
        <w:rPr>
          <w:rFonts w:ascii="Times New Roman" w:hAnsi="Times New Roman" w:cs="Times New Roman"/>
        </w:rPr>
        <w:t>thoroughly</w:t>
      </w:r>
      <w:proofErr w:type="gramEnd"/>
      <w:r>
        <w:rPr>
          <w:rFonts w:ascii="Times New Roman" w:hAnsi="Times New Roman" w:cs="Times New Roman"/>
        </w:rPr>
        <w:t xml:space="preserve"> and urban spaces need to be theorized in the process. </w:t>
      </w:r>
    </w:p>
    <w:p w14:paraId="0E4F7B02" w14:textId="05E5377F" w:rsidR="000B1D1B" w:rsidRDefault="00965BC9" w:rsidP="00ED4FC3">
      <w:pPr>
        <w:spacing w:line="480" w:lineRule="auto"/>
        <w:rPr>
          <w:rFonts w:ascii="Times New Roman" w:hAnsi="Times New Roman" w:cs="Times New Roman"/>
        </w:rPr>
      </w:pPr>
      <w:r>
        <w:rPr>
          <w:rFonts w:ascii="Times New Roman" w:hAnsi="Times New Roman" w:cs="Times New Roman"/>
        </w:rPr>
        <w:tab/>
      </w:r>
      <w:r w:rsidR="00CF1620">
        <w:rPr>
          <w:rFonts w:ascii="Times New Roman" w:hAnsi="Times New Roman" w:cs="Times New Roman"/>
        </w:rPr>
        <w:t>Another prevalent line of research, largely located within sustainability studies, accept</w:t>
      </w:r>
      <w:r w:rsidR="00BD4763">
        <w:rPr>
          <w:rFonts w:ascii="Times New Roman" w:hAnsi="Times New Roman" w:cs="Times New Roman"/>
        </w:rPr>
        <w:t>s</w:t>
      </w:r>
      <w:r w:rsidR="00CF1620">
        <w:rPr>
          <w:rFonts w:ascii="Times New Roman" w:hAnsi="Times New Roman" w:cs="Times New Roman"/>
        </w:rPr>
        <w:t xml:space="preserve"> this divide as both conceptually and materially true, maintaining the belief that cities are the “</w:t>
      </w:r>
      <w:r>
        <w:rPr>
          <w:rFonts w:ascii="Times New Roman" w:hAnsi="Times New Roman" w:cs="Times New Roman"/>
        </w:rPr>
        <w:t xml:space="preserve">spaces where civil society, private actors, and local governments come together to </w:t>
      </w:r>
      <w:r w:rsidR="00611426">
        <w:rPr>
          <w:rFonts w:ascii="Times New Roman" w:hAnsi="Times New Roman" w:cs="Times New Roman"/>
        </w:rPr>
        <w:t>strategize</w:t>
      </w:r>
      <w:r>
        <w:rPr>
          <w:rFonts w:ascii="Times New Roman" w:hAnsi="Times New Roman" w:cs="Times New Roman"/>
        </w:rPr>
        <w:t xml:space="preserve"> toward more sustainable food futures and experiment with new forms of food governance.</w:t>
      </w:r>
      <w:r w:rsidR="00BD4763">
        <w:rPr>
          <w:rFonts w:ascii="Times New Roman" w:hAnsi="Times New Roman" w:cs="Times New Roman"/>
        </w:rPr>
        <w:t>”</w:t>
      </w:r>
      <w:r>
        <w:rPr>
          <w:rStyle w:val="FootnoteReference"/>
          <w:rFonts w:ascii="Times New Roman" w:hAnsi="Times New Roman" w:cs="Times New Roman"/>
        </w:rPr>
        <w:footnoteReference w:id="10"/>
      </w:r>
      <w:r w:rsidR="00CF1620">
        <w:rPr>
          <w:rFonts w:ascii="Times New Roman" w:hAnsi="Times New Roman" w:cs="Times New Roman"/>
        </w:rPr>
        <w:t xml:space="preserve"> </w:t>
      </w:r>
      <w:r w:rsidR="00CF1620">
        <w:rPr>
          <w:rFonts w:ascii="Times New Roman" w:hAnsi="Times New Roman" w:cs="Times New Roman"/>
        </w:rPr>
        <w:lastRenderedPageBreak/>
        <w:t>This second body of literature often puts forth arguments and ideas for the ‘greening’ of urban spaces as a means of promoting the abstract ideal of ‘sustainability.’</w:t>
      </w:r>
      <w:r w:rsidR="00CF1620">
        <w:rPr>
          <w:rStyle w:val="FootnoteReference"/>
          <w:rFonts w:ascii="Times New Roman" w:hAnsi="Times New Roman" w:cs="Times New Roman"/>
        </w:rPr>
        <w:footnoteReference w:id="11"/>
      </w:r>
      <w:r w:rsidR="00A4317F">
        <w:rPr>
          <w:rFonts w:ascii="Times New Roman" w:hAnsi="Times New Roman" w:cs="Times New Roman"/>
        </w:rPr>
        <w:t xml:space="preserve"> The underlying</w:t>
      </w:r>
      <w:r w:rsidR="00F251FA">
        <w:rPr>
          <w:rFonts w:ascii="Times New Roman" w:hAnsi="Times New Roman" w:cs="Times New Roman"/>
        </w:rPr>
        <w:t xml:space="preserve"> narrative</w:t>
      </w:r>
      <w:r w:rsidR="00A4317F">
        <w:rPr>
          <w:rFonts w:ascii="Times New Roman" w:hAnsi="Times New Roman" w:cs="Times New Roman"/>
        </w:rPr>
        <w:t xml:space="preserve"> of this second body of literature </w:t>
      </w:r>
      <w:r w:rsidR="00F251FA">
        <w:rPr>
          <w:rFonts w:ascii="Times New Roman" w:hAnsi="Times New Roman" w:cs="Times New Roman"/>
        </w:rPr>
        <w:t xml:space="preserve">is that with good planning and new technologies, we can make efficient use of urban spaces for sustainable practices. </w:t>
      </w:r>
      <w:r w:rsidR="00BD4763">
        <w:rPr>
          <w:rFonts w:ascii="Times New Roman" w:hAnsi="Times New Roman" w:cs="Times New Roman"/>
        </w:rPr>
        <w:t xml:space="preserve">In many ways, this is a vein of literature that is reminiscent of the very work Marx critiqued. Specifically, these were the writings of Malthus and Ricardo, who </w:t>
      </w:r>
      <w:r w:rsidR="00C31596">
        <w:rPr>
          <w:rFonts w:ascii="Times New Roman" w:hAnsi="Times New Roman" w:cs="Times New Roman"/>
        </w:rPr>
        <w:t>held to the idea that capitalist advancement hand the potential to improve soil fertility through technological advancement. While the arguments in this vein of literature are more nuanced than this</w:t>
      </w:r>
      <w:r w:rsidR="00E84798">
        <w:rPr>
          <w:rFonts w:ascii="Times New Roman" w:hAnsi="Times New Roman" w:cs="Times New Roman"/>
        </w:rPr>
        <w:t xml:space="preserve"> and often put forth varied conclusions, </w:t>
      </w:r>
      <w:r w:rsidR="00C31596">
        <w:rPr>
          <w:rFonts w:ascii="Times New Roman" w:hAnsi="Times New Roman" w:cs="Times New Roman"/>
        </w:rPr>
        <w:t xml:space="preserve">it is worth pointing out the </w:t>
      </w:r>
      <w:r w:rsidR="00C31596" w:rsidRPr="00B5586B">
        <w:rPr>
          <w:rFonts w:ascii="Times New Roman" w:hAnsi="Times New Roman" w:cs="Times New Roman"/>
        </w:rPr>
        <w:t xml:space="preserve">underlying assumptions here of linear progress through several avenues: technological advancements, refined use of technology, or </w:t>
      </w:r>
      <w:r w:rsidR="00E84798" w:rsidRPr="00B5586B">
        <w:rPr>
          <w:rFonts w:ascii="Times New Roman" w:hAnsi="Times New Roman" w:cs="Times New Roman"/>
        </w:rPr>
        <w:t>increased efficiency of use of space.</w:t>
      </w:r>
    </w:p>
    <w:p w14:paraId="4DDCB410" w14:textId="77777777" w:rsidR="004A48B4" w:rsidRDefault="00E84798" w:rsidP="00ED4FC3">
      <w:pPr>
        <w:spacing w:line="480" w:lineRule="auto"/>
        <w:rPr>
          <w:rFonts w:ascii="Times New Roman" w:hAnsi="Times New Roman" w:cs="Times New Roman"/>
        </w:rPr>
      </w:pPr>
      <w:r>
        <w:rPr>
          <w:rFonts w:ascii="Times New Roman" w:hAnsi="Times New Roman" w:cs="Times New Roman"/>
        </w:rPr>
        <w:tab/>
        <w:t xml:space="preserve">It is important to address these </w:t>
      </w:r>
      <w:r w:rsidR="008B4E06">
        <w:rPr>
          <w:rFonts w:ascii="Times New Roman" w:hAnsi="Times New Roman" w:cs="Times New Roman"/>
        </w:rPr>
        <w:t>arguments for urban greening and urban sustainability becaus</w:t>
      </w:r>
      <w:r w:rsidR="00B316A0">
        <w:rPr>
          <w:rFonts w:ascii="Times New Roman" w:hAnsi="Times New Roman" w:cs="Times New Roman"/>
        </w:rPr>
        <w:t xml:space="preserve">e they are often used as the basis for gentrification projects that work to attract outsiders to urban, previously ‘undesirable,’ spaces and often result in higher costs of living which forces previous residents out. This is a line of reasoning </w:t>
      </w:r>
      <w:proofErr w:type="gramStart"/>
      <w:r w:rsidR="00B316A0">
        <w:rPr>
          <w:rFonts w:ascii="Times New Roman" w:hAnsi="Times New Roman" w:cs="Times New Roman"/>
        </w:rPr>
        <w:t>similar to</w:t>
      </w:r>
      <w:proofErr w:type="gramEnd"/>
      <w:r w:rsidR="00B316A0">
        <w:rPr>
          <w:rFonts w:ascii="Times New Roman" w:hAnsi="Times New Roman" w:cs="Times New Roman"/>
        </w:rPr>
        <w:t xml:space="preserve"> that used by Ricardo and Malthus,</w:t>
      </w:r>
      <w:r w:rsidR="004A48B4">
        <w:rPr>
          <w:rFonts w:ascii="Times New Roman" w:hAnsi="Times New Roman" w:cs="Times New Roman"/>
        </w:rPr>
        <w:t xml:space="preserve"> one that puts forth an assumption of technological advancement and refinement as inherently good and capable of resolving the ecological issues we (collective we?) face. </w:t>
      </w:r>
    </w:p>
    <w:p w14:paraId="565EE389" w14:textId="510836B1" w:rsidR="00E84798" w:rsidRDefault="004A48B4" w:rsidP="00ED4FC3">
      <w:pPr>
        <w:spacing w:line="480" w:lineRule="auto"/>
        <w:rPr>
          <w:rFonts w:ascii="Times New Roman" w:hAnsi="Times New Roman" w:cs="Times New Roman"/>
        </w:rPr>
      </w:pPr>
      <w:r>
        <w:rPr>
          <w:rFonts w:ascii="Times New Roman" w:hAnsi="Times New Roman" w:cs="Times New Roman"/>
        </w:rPr>
        <w:tab/>
        <w:t xml:space="preserve">It is, perhaps, in this vein of literature where the use of discourse analysis comes in, as sustainability is so often enmeshed or co-opted by dominant economic and political ideologies and agendas. </w:t>
      </w:r>
      <w:r w:rsidR="00B316A0">
        <w:rPr>
          <w:rFonts w:ascii="Times New Roman" w:hAnsi="Times New Roman" w:cs="Times New Roman"/>
        </w:rPr>
        <w:t xml:space="preserve"> </w:t>
      </w:r>
      <w:r w:rsidR="00BB43FE">
        <w:rPr>
          <w:rFonts w:ascii="Times New Roman" w:hAnsi="Times New Roman" w:cs="Times New Roman"/>
        </w:rPr>
        <w:t xml:space="preserve">Thus, looking at the ways in which ‘sustainability’ is simultaneously used as an ideal, a catalyst, and a measurement helps to trace the various power relations that are interwoven into urban food studies literature that espouse ‘urban greening,’ ‘sustainability,’ and </w:t>
      </w:r>
      <w:r w:rsidR="00BB43FE">
        <w:rPr>
          <w:rFonts w:ascii="Times New Roman" w:hAnsi="Times New Roman" w:cs="Times New Roman"/>
        </w:rPr>
        <w:lastRenderedPageBreak/>
        <w:t xml:space="preserve">‘resilience’ as the ideal foci of urban food projects. </w:t>
      </w:r>
      <w:r w:rsidR="009D2EDF">
        <w:rPr>
          <w:rFonts w:ascii="Times New Roman" w:hAnsi="Times New Roman" w:cs="Times New Roman"/>
        </w:rPr>
        <w:t>While the use of sustainability metrics has been critiqued by scholars who are weary of its use at an international level,</w:t>
      </w:r>
      <w:r w:rsidR="009D2EDF">
        <w:rPr>
          <w:rStyle w:val="FootnoteReference"/>
          <w:rFonts w:ascii="Times New Roman" w:hAnsi="Times New Roman" w:cs="Times New Roman"/>
        </w:rPr>
        <w:footnoteReference w:id="12"/>
      </w:r>
      <w:r w:rsidR="009D2EDF">
        <w:rPr>
          <w:rFonts w:ascii="Times New Roman" w:hAnsi="Times New Roman" w:cs="Times New Roman"/>
        </w:rPr>
        <w:t xml:space="preserve"> less attention has been paid to its use in smaller-scale economic-political projects. </w:t>
      </w:r>
      <w:r w:rsidR="009D2EDF" w:rsidRPr="00B5586B">
        <w:rPr>
          <w:rFonts w:ascii="Times New Roman" w:hAnsi="Times New Roman" w:cs="Times New Roman"/>
        </w:rPr>
        <w:t xml:space="preserve">However, similar critiques </w:t>
      </w:r>
      <w:r w:rsidR="002B7139" w:rsidRPr="00B5586B">
        <w:rPr>
          <w:rFonts w:ascii="Times New Roman" w:hAnsi="Times New Roman" w:cs="Times New Roman"/>
        </w:rPr>
        <w:t>of sustainability hold at these various scales</w:t>
      </w:r>
      <w:r w:rsidR="0049137D">
        <w:rPr>
          <w:rFonts w:ascii="Times New Roman" w:hAnsi="Times New Roman" w:cs="Times New Roman"/>
        </w:rPr>
        <w:t xml:space="preserve"> and, again, this body of literature maintains the rural/urban divide in its identification of the problem (the unsustainability of cities) and the solutions proposed (for example, greening urban spaces). </w:t>
      </w:r>
    </w:p>
    <w:p w14:paraId="2767874D" w14:textId="764609C0" w:rsidR="00A02BFD" w:rsidRDefault="00F251FA" w:rsidP="00ED4FC3">
      <w:pPr>
        <w:spacing w:line="480" w:lineRule="auto"/>
        <w:rPr>
          <w:rFonts w:ascii="Times New Roman" w:hAnsi="Times New Roman" w:cs="Times New Roman"/>
        </w:rPr>
      </w:pPr>
      <w:r>
        <w:rPr>
          <w:rFonts w:ascii="Times New Roman" w:hAnsi="Times New Roman" w:cs="Times New Roman"/>
        </w:rPr>
        <w:tab/>
        <w:t xml:space="preserve">Finally, there is a third body of food studies literature that espouses a narrative of food as a human right, food as social justice. </w:t>
      </w:r>
      <w:r w:rsidR="00BB43FE">
        <w:rPr>
          <w:rFonts w:ascii="Times New Roman" w:hAnsi="Times New Roman" w:cs="Times New Roman"/>
        </w:rPr>
        <w:t xml:space="preserve">I place this body of literature in contrast to the body of work that focuses on sustainability and greening, in a juxtaposition </w:t>
      </w:r>
      <w:proofErr w:type="gramStart"/>
      <w:r w:rsidR="002B7139">
        <w:rPr>
          <w:rFonts w:ascii="Times New Roman" w:hAnsi="Times New Roman" w:cs="Times New Roman"/>
        </w:rPr>
        <w:t xml:space="preserve">similar </w:t>
      </w:r>
      <w:r w:rsidR="00BB43FE">
        <w:rPr>
          <w:rFonts w:ascii="Times New Roman" w:hAnsi="Times New Roman" w:cs="Times New Roman"/>
        </w:rPr>
        <w:t>to</w:t>
      </w:r>
      <w:proofErr w:type="gramEnd"/>
      <w:r w:rsidR="00BB43FE">
        <w:rPr>
          <w:rFonts w:ascii="Times New Roman" w:hAnsi="Times New Roman" w:cs="Times New Roman"/>
        </w:rPr>
        <w:t xml:space="preserve"> the Malthus/Ricardo and Marx </w:t>
      </w:r>
      <w:r w:rsidR="009D2EDF">
        <w:rPr>
          <w:rFonts w:ascii="Times New Roman" w:hAnsi="Times New Roman" w:cs="Times New Roman"/>
        </w:rPr>
        <w:t xml:space="preserve">pairing. </w:t>
      </w:r>
      <w:r w:rsidR="002B7139">
        <w:rPr>
          <w:rFonts w:ascii="Times New Roman" w:hAnsi="Times New Roman" w:cs="Times New Roman"/>
        </w:rPr>
        <w:t>Food justice</w:t>
      </w:r>
      <w:r w:rsidR="009113B5">
        <w:rPr>
          <w:rFonts w:ascii="Times New Roman" w:hAnsi="Times New Roman" w:cs="Times New Roman"/>
        </w:rPr>
        <w:t xml:space="preserve"> literature often focuses in on the community level, where food in</w:t>
      </w:r>
      <w:r w:rsidR="00A0284B">
        <w:rPr>
          <w:rFonts w:ascii="Times New Roman" w:hAnsi="Times New Roman" w:cs="Times New Roman"/>
        </w:rPr>
        <w:t>-</w:t>
      </w:r>
      <w:r w:rsidR="009113B5">
        <w:rPr>
          <w:rFonts w:ascii="Times New Roman" w:hAnsi="Times New Roman" w:cs="Times New Roman"/>
        </w:rPr>
        <w:t>access might be or has been the catalyst for both urban agriculture projects and projects of neighborhood greening (gentrification). Scholars approaching food (in)access in urban areas as questions of social justice highlight the structural and systemic patterns of inequality and the intersections of food access, structural and historical racism, socioeconomic disparities, and gendered disparities.</w:t>
      </w:r>
      <w:r w:rsidR="00737750">
        <w:rPr>
          <w:rStyle w:val="FootnoteReference"/>
          <w:rFonts w:ascii="Times New Roman" w:hAnsi="Times New Roman" w:cs="Times New Roman"/>
        </w:rPr>
        <w:footnoteReference w:id="13"/>
      </w:r>
      <w:r w:rsidR="009113B5">
        <w:rPr>
          <w:rFonts w:ascii="Times New Roman" w:hAnsi="Times New Roman" w:cs="Times New Roman"/>
        </w:rPr>
        <w:t xml:space="preserve"> </w:t>
      </w:r>
      <w:r w:rsidR="009D2EDF">
        <w:rPr>
          <w:rFonts w:ascii="Times New Roman" w:hAnsi="Times New Roman" w:cs="Times New Roman"/>
        </w:rPr>
        <w:t>This focus on structural power relations allows this</w:t>
      </w:r>
      <w:r w:rsidR="00291918">
        <w:rPr>
          <w:rFonts w:ascii="Times New Roman" w:hAnsi="Times New Roman" w:cs="Times New Roman"/>
        </w:rPr>
        <w:t xml:space="preserve"> body of literature confronts the tension between urban agricultural projects as liberatory and as gentrifying but there seems to be an attempt to clearly designate between the two. Is this possible? </w:t>
      </w:r>
      <w:r w:rsidR="00611426">
        <w:rPr>
          <w:rFonts w:ascii="Times New Roman" w:hAnsi="Times New Roman" w:cs="Times New Roman"/>
        </w:rPr>
        <w:t xml:space="preserve">Or are their other ways of considering the dynamics of late capitalism, </w:t>
      </w:r>
      <w:r w:rsidR="00F458B2">
        <w:rPr>
          <w:rFonts w:ascii="Times New Roman" w:hAnsi="Times New Roman" w:cs="Times New Roman"/>
        </w:rPr>
        <w:t>community wellbeing, and urban agriculture?</w:t>
      </w:r>
      <w:r w:rsidR="00030A98">
        <w:rPr>
          <w:rFonts w:ascii="Times New Roman" w:hAnsi="Times New Roman" w:cs="Times New Roman"/>
        </w:rPr>
        <w:t xml:space="preserve"> Finally, are the concepts of “community food security, food sovereignty, and urban agriculture” </w:t>
      </w:r>
      <w:r w:rsidR="00D87C8E">
        <w:rPr>
          <w:rFonts w:ascii="Times New Roman" w:hAnsi="Times New Roman" w:cs="Times New Roman"/>
        </w:rPr>
        <w:t xml:space="preserve">sufficient in “conceptually linking food, justice, and </w:t>
      </w:r>
      <w:r w:rsidR="00D87C8E">
        <w:rPr>
          <w:rFonts w:ascii="Times New Roman" w:hAnsi="Times New Roman" w:cs="Times New Roman"/>
        </w:rPr>
        <w:lastRenderedPageBreak/>
        <w:t>cities?”</w:t>
      </w:r>
      <w:r w:rsidR="00D87C8E">
        <w:rPr>
          <w:rStyle w:val="FootnoteReference"/>
          <w:rFonts w:ascii="Times New Roman" w:hAnsi="Times New Roman" w:cs="Times New Roman"/>
        </w:rPr>
        <w:footnoteReference w:id="14"/>
      </w:r>
      <w:r w:rsidR="00ED4FC3">
        <w:rPr>
          <w:rFonts w:ascii="Times New Roman" w:hAnsi="Times New Roman" w:cs="Times New Roman"/>
        </w:rPr>
        <w:t xml:space="preserve"> </w:t>
      </w:r>
      <w:r w:rsidR="00D87C8E">
        <w:rPr>
          <w:rFonts w:ascii="Times New Roman" w:hAnsi="Times New Roman" w:cs="Times New Roman"/>
        </w:rPr>
        <w:t xml:space="preserve">Or does food justice still maintain a separation of urban and rural? Can this binary be </w:t>
      </w:r>
      <w:proofErr w:type="gramStart"/>
      <w:r w:rsidR="00D87C8E">
        <w:rPr>
          <w:rFonts w:ascii="Times New Roman" w:hAnsi="Times New Roman" w:cs="Times New Roman"/>
        </w:rPr>
        <w:t>ignored</w:t>
      </w:r>
      <w:proofErr w:type="gramEnd"/>
      <w:r w:rsidR="00D87C8E">
        <w:rPr>
          <w:rFonts w:ascii="Times New Roman" w:hAnsi="Times New Roman" w:cs="Times New Roman"/>
        </w:rPr>
        <w:t xml:space="preserve"> or does it need to be critiqued? </w:t>
      </w:r>
    </w:p>
    <w:p w14:paraId="0545702E" w14:textId="4529E661" w:rsidR="006F0726" w:rsidRPr="006F0726" w:rsidRDefault="00A02BFD" w:rsidP="00ED4FC3">
      <w:pPr>
        <w:spacing w:line="480" w:lineRule="auto"/>
        <w:rPr>
          <w:rFonts w:ascii="Times New Roman" w:hAnsi="Times New Roman" w:cs="Times New Roman"/>
          <w:b/>
          <w:bCs/>
          <w:u w:val="single"/>
        </w:rPr>
      </w:pPr>
      <w:r w:rsidRPr="006F0726">
        <w:rPr>
          <w:rFonts w:ascii="Times New Roman" w:hAnsi="Times New Roman" w:cs="Times New Roman"/>
          <w:b/>
          <w:bCs/>
          <w:u w:val="single"/>
        </w:rPr>
        <w:t xml:space="preserve">Methods of Undoing in </w:t>
      </w:r>
      <w:proofErr w:type="spellStart"/>
      <w:r w:rsidRPr="006F0726">
        <w:rPr>
          <w:rFonts w:ascii="Times New Roman" w:hAnsi="Times New Roman" w:cs="Times New Roman"/>
          <w:b/>
          <w:bCs/>
          <w:u w:val="single"/>
        </w:rPr>
        <w:t>Ecosemiotics</w:t>
      </w:r>
      <w:proofErr w:type="spellEnd"/>
      <w:r w:rsidR="007166F0">
        <w:rPr>
          <w:rFonts w:ascii="Times New Roman" w:hAnsi="Times New Roman" w:cs="Times New Roman"/>
          <w:b/>
          <w:bCs/>
          <w:u w:val="single"/>
        </w:rPr>
        <w:t xml:space="preserve"> and Political Ecology</w:t>
      </w:r>
      <w:r w:rsidRPr="006F0726">
        <w:rPr>
          <w:rFonts w:ascii="Times New Roman" w:hAnsi="Times New Roman" w:cs="Times New Roman"/>
          <w:b/>
          <w:bCs/>
          <w:u w:val="single"/>
        </w:rPr>
        <w:t xml:space="preserve">: Foundations for food studies </w:t>
      </w:r>
      <w:r w:rsidR="006F0726" w:rsidRPr="006F0726">
        <w:rPr>
          <w:rFonts w:ascii="Times New Roman" w:hAnsi="Times New Roman" w:cs="Times New Roman"/>
          <w:b/>
          <w:bCs/>
          <w:u w:val="single"/>
        </w:rPr>
        <w:t>research</w:t>
      </w:r>
    </w:p>
    <w:p w14:paraId="3C4ED833" w14:textId="71A34DF9" w:rsidR="00965BC9" w:rsidRDefault="00A02BFD" w:rsidP="00ED4FC3">
      <w:pPr>
        <w:spacing w:line="480" w:lineRule="auto"/>
        <w:rPr>
          <w:rFonts w:ascii="Times New Roman" w:hAnsi="Times New Roman" w:cs="Times New Roman"/>
        </w:rPr>
      </w:pPr>
      <w:r>
        <w:rPr>
          <w:rFonts w:ascii="Times New Roman" w:hAnsi="Times New Roman" w:cs="Times New Roman"/>
        </w:rPr>
        <w:tab/>
      </w:r>
      <w:r w:rsidR="00965BC9">
        <w:rPr>
          <w:rFonts w:ascii="Times New Roman" w:hAnsi="Times New Roman" w:cs="Times New Roman"/>
        </w:rPr>
        <w:t xml:space="preserve">These seem to be the primary forms that research on urban food systems take. What are </w:t>
      </w:r>
      <w:r w:rsidR="0049137D">
        <w:rPr>
          <w:rFonts w:ascii="Times New Roman" w:hAnsi="Times New Roman" w:cs="Times New Roman"/>
        </w:rPr>
        <w:t>scholars</w:t>
      </w:r>
      <w:r w:rsidR="00965BC9">
        <w:rPr>
          <w:rFonts w:ascii="Times New Roman" w:hAnsi="Times New Roman" w:cs="Times New Roman"/>
        </w:rPr>
        <w:t xml:space="preserve"> missing? </w:t>
      </w:r>
      <w:r w:rsidR="007166F0">
        <w:rPr>
          <w:rFonts w:ascii="Times New Roman" w:hAnsi="Times New Roman" w:cs="Times New Roman"/>
        </w:rPr>
        <w:t>As feminist thinkers have pointed out, the acts of ‘doing’ and ‘undoing’ is an important focus for scholars wanting to understand the dynamics of change, resistance, and power in political and social spheres.</w:t>
      </w:r>
      <w:r w:rsidR="007166F0">
        <w:rPr>
          <w:rStyle w:val="FootnoteReference"/>
          <w:rFonts w:ascii="Times New Roman" w:hAnsi="Times New Roman" w:cs="Times New Roman"/>
        </w:rPr>
        <w:footnoteReference w:id="15"/>
      </w:r>
      <w:r w:rsidR="007166F0">
        <w:rPr>
          <w:rFonts w:ascii="Times New Roman" w:hAnsi="Times New Roman" w:cs="Times New Roman"/>
        </w:rPr>
        <w:t xml:space="preserve"> I also draw on the work of design theorists who forefront the design of contexts and spaces as acts of demarcating/bounding human action within these spaces. Thus, I argue that there is room to consider these theories more broadly, to unbound design theories from thinking about distinctly built spaces to thinking about constituted spaces where a plurality of beings, things, and ideas are at work in defining spatial and conceptual possibilities.</w:t>
      </w:r>
      <w:r w:rsidR="007166F0">
        <w:rPr>
          <w:rStyle w:val="FootnoteReference"/>
          <w:rFonts w:ascii="Times New Roman" w:hAnsi="Times New Roman" w:cs="Times New Roman"/>
        </w:rPr>
        <w:footnoteReference w:id="16"/>
      </w:r>
      <w:r w:rsidR="007166F0">
        <w:rPr>
          <w:rFonts w:ascii="Times New Roman" w:hAnsi="Times New Roman" w:cs="Times New Roman"/>
        </w:rPr>
        <w:t xml:space="preserve"> This work is the partial foundation for my research, where I locate practices of conceptual undoing and doing at the center of political change, especially as it relates to research on food systems and food access. </w:t>
      </w:r>
      <w:r w:rsidR="005A51D2">
        <w:rPr>
          <w:rFonts w:ascii="Times New Roman" w:hAnsi="Times New Roman" w:cs="Times New Roman"/>
        </w:rPr>
        <w:t xml:space="preserve">How do we account for possibility and emergence in designs of food-specific spaces and practices? </w:t>
      </w:r>
    </w:p>
    <w:p w14:paraId="4F8FFD50" w14:textId="5A0120A8" w:rsidR="00EE69F6" w:rsidRDefault="00AB5A3A" w:rsidP="00ED4FC3">
      <w:pPr>
        <w:spacing w:line="480" w:lineRule="auto"/>
        <w:rPr>
          <w:rFonts w:ascii="Times New Roman" w:hAnsi="Times New Roman" w:cs="Times New Roman"/>
        </w:rPr>
      </w:pPr>
      <w:r>
        <w:rPr>
          <w:rFonts w:ascii="Times New Roman" w:hAnsi="Times New Roman" w:cs="Times New Roman"/>
        </w:rPr>
        <w:tab/>
        <w:t xml:space="preserve">Of course, as with any research that moves to challenge assumptions in our thinking, this process is not an instantaneous overhaul of methods, vocabularies, and engagements. Instead, I consider it to be an exploration of sorts, where </w:t>
      </w:r>
      <w:r w:rsidR="00611426">
        <w:rPr>
          <w:rFonts w:ascii="Times New Roman" w:hAnsi="Times New Roman" w:cs="Times New Roman"/>
        </w:rPr>
        <w:t>disciplinary and conceptual</w:t>
      </w:r>
      <w:r>
        <w:rPr>
          <w:rFonts w:ascii="Times New Roman" w:hAnsi="Times New Roman" w:cs="Times New Roman"/>
        </w:rPr>
        <w:t xml:space="preserve"> boundaries are first identified and then tested for points of flexibility. To put it simply, this is a process of asking, “what might we miss when we define the world</w:t>
      </w:r>
      <w:r w:rsidR="005A51D2">
        <w:rPr>
          <w:rFonts w:ascii="Times New Roman" w:hAnsi="Times New Roman" w:cs="Times New Roman"/>
        </w:rPr>
        <w:t>, conceptually and materially,</w:t>
      </w:r>
      <w:r>
        <w:rPr>
          <w:rFonts w:ascii="Times New Roman" w:hAnsi="Times New Roman" w:cs="Times New Roman"/>
        </w:rPr>
        <w:t xml:space="preserve"> in these terms?” </w:t>
      </w:r>
      <w:r>
        <w:rPr>
          <w:rFonts w:ascii="Times New Roman" w:hAnsi="Times New Roman" w:cs="Times New Roman"/>
        </w:rPr>
        <w:lastRenderedPageBreak/>
        <w:t xml:space="preserve">Thus, I draw heavily on research in </w:t>
      </w:r>
      <w:proofErr w:type="spellStart"/>
      <w:r w:rsidR="00256967">
        <w:rPr>
          <w:rFonts w:ascii="Times New Roman" w:hAnsi="Times New Roman" w:cs="Times New Roman"/>
        </w:rPr>
        <w:t>eco</w:t>
      </w:r>
      <w:r>
        <w:rPr>
          <w:rFonts w:ascii="Times New Roman" w:hAnsi="Times New Roman" w:cs="Times New Roman"/>
        </w:rPr>
        <w:t>semiotics</w:t>
      </w:r>
      <w:proofErr w:type="spellEnd"/>
      <w:r>
        <w:rPr>
          <w:rFonts w:ascii="Times New Roman" w:hAnsi="Times New Roman" w:cs="Times New Roman"/>
        </w:rPr>
        <w:t>, where language use is a primary means of apprehending (</w:t>
      </w:r>
      <w:r w:rsidR="00256967">
        <w:rPr>
          <w:rFonts w:ascii="Times New Roman" w:hAnsi="Times New Roman" w:cs="Times New Roman"/>
        </w:rPr>
        <w:t>describing, understanding, knowing, and creating</w:t>
      </w:r>
      <w:r>
        <w:rPr>
          <w:rFonts w:ascii="Times New Roman" w:hAnsi="Times New Roman" w:cs="Times New Roman"/>
        </w:rPr>
        <w:t>) the world(s) we occupy.</w:t>
      </w:r>
      <w:r w:rsidR="001F78B3">
        <w:rPr>
          <w:rFonts w:ascii="Times New Roman" w:hAnsi="Times New Roman" w:cs="Times New Roman"/>
        </w:rPr>
        <w:t xml:space="preserve"> </w:t>
      </w:r>
    </w:p>
    <w:p w14:paraId="464BE467" w14:textId="4C6A3341" w:rsidR="00AB5A3A" w:rsidRDefault="00EE69F6" w:rsidP="00ED4FC3">
      <w:pPr>
        <w:spacing w:line="480" w:lineRule="auto"/>
        <w:rPr>
          <w:rFonts w:ascii="Times New Roman" w:hAnsi="Times New Roman" w:cs="Times New Roman"/>
        </w:rPr>
      </w:pPr>
      <w:r>
        <w:rPr>
          <w:rFonts w:ascii="Times New Roman" w:hAnsi="Times New Roman" w:cs="Times New Roman"/>
        </w:rPr>
        <w:tab/>
      </w:r>
      <w:r w:rsidR="001F78B3">
        <w:rPr>
          <w:rFonts w:ascii="Times New Roman" w:hAnsi="Times New Roman" w:cs="Times New Roman"/>
        </w:rPr>
        <w:t xml:space="preserve">In this </w:t>
      </w:r>
      <w:r w:rsidR="00291918">
        <w:rPr>
          <w:rFonts w:ascii="Times New Roman" w:hAnsi="Times New Roman" w:cs="Times New Roman"/>
        </w:rPr>
        <w:t>section</w:t>
      </w:r>
      <w:r w:rsidR="001F78B3">
        <w:rPr>
          <w:rFonts w:ascii="Times New Roman" w:hAnsi="Times New Roman" w:cs="Times New Roman"/>
        </w:rPr>
        <w:t xml:space="preserve"> I explore 1) how we might understand </w:t>
      </w:r>
      <w:proofErr w:type="spellStart"/>
      <w:r w:rsidR="001F78B3">
        <w:rPr>
          <w:rFonts w:ascii="Times New Roman" w:hAnsi="Times New Roman" w:cs="Times New Roman"/>
        </w:rPr>
        <w:t>ecosemiotics</w:t>
      </w:r>
      <w:proofErr w:type="spellEnd"/>
      <w:r w:rsidR="001F78B3">
        <w:rPr>
          <w:rFonts w:ascii="Times New Roman" w:hAnsi="Times New Roman" w:cs="Times New Roman"/>
        </w:rPr>
        <w:t xml:space="preserve"> as putting forth a method of undoing, 2) how this relates to political ecology</w:t>
      </w:r>
      <w:r w:rsidR="002000CA">
        <w:rPr>
          <w:rFonts w:ascii="Times New Roman" w:hAnsi="Times New Roman" w:cs="Times New Roman"/>
        </w:rPr>
        <w:t xml:space="preserve">, and 3) how this then can be understood in relation of food access in urban spaces. </w:t>
      </w:r>
      <w:proofErr w:type="spellStart"/>
      <w:r w:rsidR="00256967">
        <w:rPr>
          <w:rFonts w:ascii="Times New Roman" w:hAnsi="Times New Roman" w:cs="Times New Roman"/>
        </w:rPr>
        <w:t>Ecosemiotics</w:t>
      </w:r>
      <w:proofErr w:type="spellEnd"/>
      <w:r w:rsidR="00256967">
        <w:rPr>
          <w:rFonts w:ascii="Times New Roman" w:hAnsi="Times New Roman" w:cs="Times New Roman"/>
        </w:rPr>
        <w:t xml:space="preserve">, I argue, develops concepts and methodologies in a way that avoids the rural/urban divide that is so pervasive in food studies literature. Thus, starting here offers a means of overcoming or circumventing food access strategies that re-entrench dualistic distinctions and the normative meanings associated with them. These dualisms </w:t>
      </w:r>
      <w:r w:rsidR="00B5586B">
        <w:rPr>
          <w:rFonts w:ascii="Times New Roman" w:hAnsi="Times New Roman" w:cs="Times New Roman"/>
        </w:rPr>
        <w:t xml:space="preserve">work to </w:t>
      </w:r>
      <w:r>
        <w:rPr>
          <w:rFonts w:ascii="Times New Roman" w:hAnsi="Times New Roman" w:cs="Times New Roman"/>
        </w:rPr>
        <w:t xml:space="preserve">constrain/bound/restrict the ways scholars identify and solve problems. </w:t>
      </w:r>
      <w:proofErr w:type="spellStart"/>
      <w:r>
        <w:rPr>
          <w:rFonts w:ascii="Times New Roman" w:hAnsi="Times New Roman" w:cs="Times New Roman"/>
        </w:rPr>
        <w:t>Ecosemiotics</w:t>
      </w:r>
      <w:proofErr w:type="spellEnd"/>
      <w:r>
        <w:rPr>
          <w:rFonts w:ascii="Times New Roman" w:hAnsi="Times New Roman" w:cs="Times New Roman"/>
        </w:rPr>
        <w:t xml:space="preserve"> offers a means of undoing these conceptual and material constraints. </w:t>
      </w:r>
    </w:p>
    <w:p w14:paraId="120874F3" w14:textId="438EF9BD" w:rsidR="004A3EF4" w:rsidRPr="004A3EF4" w:rsidRDefault="006F0726" w:rsidP="00B5586B">
      <w:pPr>
        <w:spacing w:line="480" w:lineRule="auto"/>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rPr>
        <w:t>Ecosemiotics</w:t>
      </w:r>
      <w:proofErr w:type="spellEnd"/>
      <w:r w:rsidR="00D86EB6">
        <w:rPr>
          <w:rFonts w:ascii="Times New Roman" w:hAnsi="Times New Roman" w:cs="Times New Roman"/>
        </w:rPr>
        <w:t>, broadly defined, is “a branch of semiotics that studies sign processes as responsible for ecological phenomena (</w:t>
      </w:r>
      <w:r w:rsidR="00ED4FC3">
        <w:rPr>
          <w:rFonts w:ascii="Times New Roman" w:hAnsi="Times New Roman" w:cs="Times New Roman"/>
        </w:rPr>
        <w:t>relations</w:t>
      </w:r>
      <w:r w:rsidR="00D86EB6">
        <w:rPr>
          <w:rFonts w:ascii="Times New Roman" w:hAnsi="Times New Roman" w:cs="Times New Roman"/>
        </w:rPr>
        <w:t xml:space="preserve"> between species, population patterns, and structures). </w:t>
      </w:r>
      <w:proofErr w:type="gramStart"/>
      <w:r w:rsidR="00D86EB6">
        <w:rPr>
          <w:rFonts w:ascii="Times New Roman" w:hAnsi="Times New Roman" w:cs="Times New Roman"/>
        </w:rPr>
        <w:t>In particular, it</w:t>
      </w:r>
      <w:proofErr w:type="gramEnd"/>
      <w:r w:rsidR="00D86EB6">
        <w:rPr>
          <w:rFonts w:ascii="Times New Roman" w:hAnsi="Times New Roman" w:cs="Times New Roman"/>
        </w:rPr>
        <w:t xml:space="preserve"> studies the role of environmental perception and conceptual categorization in the design, construction, and transformation of environmental structures.”</w:t>
      </w:r>
      <w:r w:rsidR="00D86EB6">
        <w:rPr>
          <w:rStyle w:val="FootnoteReference"/>
          <w:rFonts w:ascii="Times New Roman" w:hAnsi="Times New Roman" w:cs="Times New Roman"/>
        </w:rPr>
        <w:footnoteReference w:id="17"/>
      </w:r>
      <w:r w:rsidR="00D86EB6">
        <w:rPr>
          <w:rFonts w:ascii="Times New Roman" w:hAnsi="Times New Roman" w:cs="Times New Roman"/>
        </w:rPr>
        <w:t xml:space="preserve"> Importantly, </w:t>
      </w:r>
      <w:proofErr w:type="spellStart"/>
      <w:r w:rsidR="00D86EB6">
        <w:rPr>
          <w:rFonts w:ascii="Times New Roman" w:hAnsi="Times New Roman" w:cs="Times New Roman"/>
        </w:rPr>
        <w:t>ecosemiotics</w:t>
      </w:r>
      <w:proofErr w:type="spellEnd"/>
      <w:r w:rsidR="00D86EB6">
        <w:rPr>
          <w:rFonts w:ascii="Times New Roman" w:hAnsi="Times New Roman" w:cs="Times New Roman"/>
        </w:rPr>
        <w:t xml:space="preserve"> acknowledges that meaning making, signification, and </w:t>
      </w:r>
      <w:r w:rsidR="00EC3A26">
        <w:rPr>
          <w:rFonts w:ascii="Times New Roman" w:hAnsi="Times New Roman" w:cs="Times New Roman"/>
        </w:rPr>
        <w:t>control/creation is not fully a pursuit of humans. It is always only partial, even in what might be considered non-natural or artificial settings,</w:t>
      </w:r>
      <w:r w:rsidR="00EC3A26">
        <w:rPr>
          <w:rStyle w:val="FootnoteReference"/>
          <w:rFonts w:ascii="Times New Roman" w:hAnsi="Times New Roman" w:cs="Times New Roman"/>
        </w:rPr>
        <w:footnoteReference w:id="18"/>
      </w:r>
      <w:r w:rsidR="00EC3A26">
        <w:rPr>
          <w:rFonts w:ascii="Times New Roman" w:hAnsi="Times New Roman" w:cs="Times New Roman"/>
        </w:rPr>
        <w:t xml:space="preserve"> like urban spaces. </w:t>
      </w:r>
      <w:r w:rsidR="00B81F1C">
        <w:rPr>
          <w:rFonts w:ascii="Times New Roman" w:hAnsi="Times New Roman" w:cs="Times New Roman"/>
        </w:rPr>
        <w:t>Notably, t</w:t>
      </w:r>
      <w:r w:rsidR="00EC3A26">
        <w:rPr>
          <w:rFonts w:ascii="Times New Roman" w:hAnsi="Times New Roman" w:cs="Times New Roman"/>
        </w:rPr>
        <w:t>his approach allows fo</w:t>
      </w:r>
      <w:r w:rsidR="00B81F1C">
        <w:rPr>
          <w:rFonts w:ascii="Times New Roman" w:hAnsi="Times New Roman" w:cs="Times New Roman"/>
        </w:rPr>
        <w:t xml:space="preserve">r an acknowledgement of the various capacities of beings </w:t>
      </w:r>
      <w:r w:rsidR="00A4317F">
        <w:rPr>
          <w:rFonts w:ascii="Times New Roman" w:hAnsi="Times New Roman" w:cs="Times New Roman"/>
        </w:rPr>
        <w:t xml:space="preserve">and things to co-constitute their worlds in a way </w:t>
      </w:r>
      <w:r w:rsidR="00B81F1C">
        <w:rPr>
          <w:rFonts w:ascii="Times New Roman" w:hAnsi="Times New Roman" w:cs="Times New Roman"/>
        </w:rPr>
        <w:t xml:space="preserve">that holds </w:t>
      </w:r>
      <w:r w:rsidR="00A4317F">
        <w:rPr>
          <w:rFonts w:ascii="Times New Roman" w:hAnsi="Times New Roman" w:cs="Times New Roman"/>
        </w:rPr>
        <w:t>beings</w:t>
      </w:r>
      <w:r w:rsidR="00B81F1C">
        <w:rPr>
          <w:rFonts w:ascii="Times New Roman" w:hAnsi="Times New Roman" w:cs="Times New Roman"/>
        </w:rPr>
        <w:t xml:space="preserve"> apart</w:t>
      </w:r>
      <w:r w:rsidR="00A4317F">
        <w:rPr>
          <w:rFonts w:ascii="Times New Roman" w:hAnsi="Times New Roman" w:cs="Times New Roman"/>
        </w:rPr>
        <w:t xml:space="preserve">, as they </w:t>
      </w:r>
      <w:r w:rsidR="00A4317F">
        <w:rPr>
          <w:rFonts w:ascii="Times New Roman" w:hAnsi="Times New Roman" w:cs="Times New Roman"/>
          <w:i/>
          <w:iCs/>
        </w:rPr>
        <w:t xml:space="preserve">are </w:t>
      </w:r>
      <w:r w:rsidR="00A4317F">
        <w:rPr>
          <w:rFonts w:ascii="Times New Roman" w:hAnsi="Times New Roman" w:cs="Times New Roman"/>
        </w:rPr>
        <w:t>different and importantly so,</w:t>
      </w:r>
      <w:r w:rsidR="00B81F1C">
        <w:rPr>
          <w:rFonts w:ascii="Times New Roman" w:hAnsi="Times New Roman" w:cs="Times New Roman"/>
        </w:rPr>
        <w:t xml:space="preserve"> but not in a hierarchical sense. </w:t>
      </w:r>
    </w:p>
    <w:p w14:paraId="2AD924DD" w14:textId="6767F5F1" w:rsidR="00AB5A3A" w:rsidRPr="00D1047C" w:rsidRDefault="00AB5A3A" w:rsidP="007166F0">
      <w:pPr>
        <w:rPr>
          <w:rFonts w:ascii="Times New Roman" w:hAnsi="Times New Roman" w:cs="Times New Roman"/>
        </w:rPr>
      </w:pPr>
      <w:r>
        <w:rPr>
          <w:rFonts w:ascii="Times New Roman" w:hAnsi="Times New Roman" w:cs="Times New Roman"/>
        </w:rPr>
        <w:tab/>
      </w:r>
    </w:p>
    <w:sectPr w:rsidR="00AB5A3A" w:rsidRPr="00D104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25819" w14:textId="77777777" w:rsidR="00EA63CE" w:rsidRDefault="00EA63CE" w:rsidP="000B1D1B">
      <w:r>
        <w:separator/>
      </w:r>
    </w:p>
  </w:endnote>
  <w:endnote w:type="continuationSeparator" w:id="0">
    <w:p w14:paraId="689D7A1E" w14:textId="77777777" w:rsidR="00EA63CE" w:rsidRDefault="00EA63CE" w:rsidP="000B1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BB972" w14:textId="77777777" w:rsidR="00EA63CE" w:rsidRDefault="00EA63CE" w:rsidP="000B1D1B">
      <w:r>
        <w:separator/>
      </w:r>
    </w:p>
  </w:footnote>
  <w:footnote w:type="continuationSeparator" w:id="0">
    <w:p w14:paraId="45A160D8" w14:textId="77777777" w:rsidR="00EA63CE" w:rsidRDefault="00EA63CE" w:rsidP="000B1D1B">
      <w:r>
        <w:continuationSeparator/>
      </w:r>
    </w:p>
  </w:footnote>
  <w:footnote w:id="1">
    <w:p w14:paraId="48C9FCDA" w14:textId="1C9359F4" w:rsidR="001500FD" w:rsidRPr="001500FD" w:rsidRDefault="001500FD">
      <w:pPr>
        <w:pStyle w:val="FootnoteText"/>
      </w:pPr>
      <w:r>
        <w:rPr>
          <w:rStyle w:val="FootnoteReference"/>
        </w:rPr>
        <w:footnoteRef/>
      </w:r>
      <w:r>
        <w:t xml:space="preserve"> Tania Murray Li, “Governmentality,” </w:t>
      </w:r>
      <w:proofErr w:type="spellStart"/>
      <w:r>
        <w:rPr>
          <w:i/>
          <w:iCs/>
        </w:rPr>
        <w:t>Anthropologica</w:t>
      </w:r>
      <w:proofErr w:type="spellEnd"/>
      <w:r>
        <w:rPr>
          <w:i/>
          <w:iCs/>
        </w:rPr>
        <w:t xml:space="preserve">. </w:t>
      </w:r>
      <w:r>
        <w:t xml:space="preserve">Vol 49, No. 2 (2007), pp. 275-281. </w:t>
      </w:r>
    </w:p>
  </w:footnote>
  <w:footnote w:id="2">
    <w:p w14:paraId="7CEBD169" w14:textId="22DA03A2" w:rsidR="001500FD" w:rsidRDefault="001500FD" w:rsidP="001500FD">
      <w:pPr>
        <w:pStyle w:val="FootnoteText"/>
      </w:pPr>
      <w:r>
        <w:rPr>
          <w:rStyle w:val="FootnoteReference"/>
        </w:rPr>
        <w:footnoteRef/>
      </w:r>
      <w:r>
        <w:t xml:space="preserve"> </w:t>
      </w:r>
      <w:r w:rsidR="00C76802">
        <w:t>I follow Eric Hole-</w:t>
      </w:r>
      <w:proofErr w:type="spellStart"/>
      <w:r w:rsidR="00C76802">
        <w:t>Giménez</w:t>
      </w:r>
      <w:proofErr w:type="spellEnd"/>
      <w:r w:rsidR="00C76802">
        <w:t xml:space="preserve"> (2019, p. 30) in his definition of the current food regime, the “corporate food regime,” in which “the global food system is governed according to a small number of corporate interests.” This regime follows several others including the colonial food regime and a Keynesian food regime, but it is important to note the interrelations between these various shifts and framings of food systems. They are not paradigms that are completely overthrown in favor of a newer one, but instead maintain various legacies and assumptions in their various iterations. In reading changes in food systems as a lineage of various food regimes, one </w:t>
      </w:r>
      <w:proofErr w:type="gramStart"/>
      <w:r w:rsidR="00C76802">
        <w:t>is able to</w:t>
      </w:r>
      <w:proofErr w:type="gramEnd"/>
      <w:r w:rsidR="00C76802">
        <w:t xml:space="preserve"> forefront the ways in which food has been and continues to be a means of ordering political, social, and economic relations. In other words, Holt-</w:t>
      </w:r>
      <w:proofErr w:type="spellStart"/>
      <w:r w:rsidR="00C76802">
        <w:t>Giménez’s</w:t>
      </w:r>
      <w:proofErr w:type="spellEnd"/>
      <w:r w:rsidR="00C76802">
        <w:t xml:space="preserve"> description of food regimes helps to see food systems as a practice of governmentality. </w:t>
      </w:r>
    </w:p>
  </w:footnote>
  <w:footnote w:id="3">
    <w:p w14:paraId="7DCDAB11" w14:textId="77777777" w:rsidR="001500FD" w:rsidRDefault="001500FD" w:rsidP="001500FD">
      <w:pPr>
        <w:pStyle w:val="FootnoteText"/>
      </w:pPr>
      <w:r>
        <w:rPr>
          <w:rStyle w:val="FootnoteReference"/>
        </w:rPr>
        <w:footnoteRef/>
      </w:r>
      <w:r>
        <w:t xml:space="preserve"> Sophia Buggs, OEFFA Conference, 2022</w:t>
      </w:r>
    </w:p>
  </w:footnote>
  <w:footnote w:id="4">
    <w:p w14:paraId="5628AA2E" w14:textId="780FDC5F" w:rsidR="001500FD" w:rsidRPr="00B5586B" w:rsidRDefault="001500FD" w:rsidP="001500FD">
      <w:pPr>
        <w:pStyle w:val="FootnoteText"/>
      </w:pPr>
      <w:r>
        <w:rPr>
          <w:rStyle w:val="FootnoteReference"/>
        </w:rPr>
        <w:footnoteRef/>
      </w:r>
      <w:r>
        <w:t xml:space="preserve"> </w:t>
      </w:r>
      <w:r w:rsidR="00B5586B">
        <w:t xml:space="preserve">Erika </w:t>
      </w:r>
      <w:r>
        <w:t>Cudworth and</w:t>
      </w:r>
      <w:r w:rsidR="00B5586B">
        <w:t xml:space="preserve"> Stephen</w:t>
      </w:r>
      <w:r>
        <w:t xml:space="preserve"> </w:t>
      </w:r>
      <w:proofErr w:type="spellStart"/>
      <w:r>
        <w:t>Hobden</w:t>
      </w:r>
      <w:proofErr w:type="spellEnd"/>
      <w:r>
        <w:t>,</w:t>
      </w:r>
      <w:r w:rsidR="00B5586B">
        <w:t xml:space="preserve"> </w:t>
      </w:r>
      <w:r w:rsidR="00B5586B">
        <w:rPr>
          <w:i/>
          <w:iCs/>
        </w:rPr>
        <w:t xml:space="preserve">Posthuman International Relations: Complexity, Ecologism, and Global Politics. </w:t>
      </w:r>
      <w:r w:rsidR="00B5586B">
        <w:t>Zed Books, 2011. Karen</w:t>
      </w:r>
      <w:r>
        <w:t xml:space="preserve"> Barad</w:t>
      </w:r>
      <w:r w:rsidR="00B5586B">
        <w:t xml:space="preserve">, </w:t>
      </w:r>
      <w:r w:rsidR="00B5586B">
        <w:rPr>
          <w:i/>
          <w:iCs/>
        </w:rPr>
        <w:t>Meeting the Universe Halfway</w:t>
      </w:r>
      <w:r w:rsidR="00B5586B" w:rsidRPr="00B5586B">
        <w:rPr>
          <w:i/>
          <w:iCs/>
        </w:rPr>
        <w:t>: Quantum Physics and the Entanglement of Matter and Meaning</w:t>
      </w:r>
      <w:r w:rsidR="00B5586B">
        <w:rPr>
          <w:i/>
          <w:iCs/>
        </w:rPr>
        <w:t xml:space="preserve">, </w:t>
      </w:r>
      <w:r w:rsidR="00B5586B">
        <w:t xml:space="preserve">2007. </w:t>
      </w:r>
    </w:p>
  </w:footnote>
  <w:footnote w:id="5">
    <w:p w14:paraId="18955B3E" w14:textId="6916E55A" w:rsidR="00ED4FC3" w:rsidRPr="00ED4FC3" w:rsidRDefault="00ED4FC3" w:rsidP="00ED4FC3">
      <w:pPr>
        <w:pStyle w:val="FootnoteText"/>
      </w:pPr>
      <w:r>
        <w:rPr>
          <w:rStyle w:val="FootnoteReference"/>
        </w:rPr>
        <w:footnoteRef/>
      </w:r>
      <w:r>
        <w:t xml:space="preserve"> Karl Marx, </w:t>
      </w:r>
      <w:r>
        <w:rPr>
          <w:i/>
          <w:iCs/>
        </w:rPr>
        <w:t xml:space="preserve">Economic &amp; Philosophic Manuscripts of 1844. </w:t>
      </w:r>
      <w:r>
        <w:t xml:space="preserve">Edited by David </w:t>
      </w:r>
      <w:proofErr w:type="spellStart"/>
      <w:r>
        <w:t>Riazanov</w:t>
      </w:r>
      <w:proofErr w:type="spellEnd"/>
      <w:r>
        <w:t xml:space="preserve">. Moscow: Progress Publishers, 1959. John Bellamy Foster, </w:t>
      </w:r>
      <w:r>
        <w:rPr>
          <w:i/>
          <w:iCs/>
        </w:rPr>
        <w:t>Marx’s Ecology: Materialism and nature.</w:t>
      </w:r>
      <w:r>
        <w:t xml:space="preserve"> New York: Monthly Review Press, 2000, David </w:t>
      </w:r>
      <w:proofErr w:type="spellStart"/>
      <w:r>
        <w:t>Wachsmuth</w:t>
      </w:r>
      <w:proofErr w:type="spellEnd"/>
      <w:r>
        <w:t xml:space="preserve">, “Three Ecologies: Urban Metabolism and the Society-Nature Opposition.” </w:t>
      </w:r>
      <w:r>
        <w:rPr>
          <w:i/>
          <w:iCs/>
        </w:rPr>
        <w:t xml:space="preserve">The Sociological Quarterly </w:t>
      </w:r>
      <w:r>
        <w:t xml:space="preserve">54, no. 4, (2012): 506-523. </w:t>
      </w:r>
    </w:p>
  </w:footnote>
  <w:footnote w:id="6">
    <w:p w14:paraId="2ABF560D" w14:textId="473EAA61" w:rsidR="007D40EF" w:rsidRDefault="007D40EF">
      <w:pPr>
        <w:pStyle w:val="FootnoteText"/>
      </w:pPr>
      <w:r>
        <w:rPr>
          <w:rStyle w:val="FootnoteReference"/>
        </w:rPr>
        <w:footnoteRef/>
      </w:r>
      <w:r>
        <w:t xml:space="preserve"> </w:t>
      </w:r>
      <w:r w:rsidR="00ED4FC3">
        <w:t xml:space="preserve">John Bellamy </w:t>
      </w:r>
      <w:r>
        <w:t xml:space="preserve">Foster, </w:t>
      </w:r>
      <w:r w:rsidR="00ED4FC3">
        <w:t xml:space="preserve">“Marx’s Theory of </w:t>
      </w:r>
      <w:r>
        <w:t>Metabolic Rift</w:t>
      </w:r>
      <w:r w:rsidR="00ED4FC3">
        <w:t xml:space="preserve">: Classical Foundations for Environmental Sociology.” </w:t>
      </w:r>
      <w:r w:rsidR="00ED4FC3">
        <w:rPr>
          <w:i/>
          <w:iCs/>
        </w:rPr>
        <w:t xml:space="preserve">American Journal of Sociology </w:t>
      </w:r>
      <w:r w:rsidR="00ED4FC3">
        <w:t>105, no. 2 (1999)</w:t>
      </w:r>
      <w:r>
        <w:t>, p. 373</w:t>
      </w:r>
    </w:p>
  </w:footnote>
  <w:footnote w:id="7">
    <w:p w14:paraId="6C18E0C6" w14:textId="373C4588" w:rsidR="007D40EF" w:rsidRDefault="007D40EF">
      <w:pPr>
        <w:pStyle w:val="FootnoteText"/>
      </w:pPr>
      <w:r>
        <w:rPr>
          <w:rStyle w:val="FootnoteReference"/>
        </w:rPr>
        <w:footnoteRef/>
      </w:r>
      <w:r>
        <w:t xml:space="preserve"> As </w:t>
      </w:r>
      <w:r w:rsidR="00ED4FC3">
        <w:t xml:space="preserve">quoted in Foster (1999) </w:t>
      </w:r>
      <w:r>
        <w:t xml:space="preserve">p. 373. </w:t>
      </w:r>
    </w:p>
  </w:footnote>
  <w:footnote w:id="8">
    <w:p w14:paraId="43DA0427" w14:textId="3422340F" w:rsidR="00875E46" w:rsidRDefault="00875E46" w:rsidP="00875E46">
      <w:pPr>
        <w:pStyle w:val="FootnoteText"/>
      </w:pPr>
      <w:r>
        <w:rPr>
          <w:rStyle w:val="FootnoteReference"/>
        </w:rPr>
        <w:footnoteRef/>
      </w:r>
      <w:r>
        <w:t xml:space="preserve"> </w:t>
      </w:r>
      <w:r w:rsidR="00ED4FC3">
        <w:t xml:space="preserve">John Bellamy Foster, “Marx’s Theory of Metabolic Rift: Classical Foundations for Environmental Sociology.” </w:t>
      </w:r>
      <w:r w:rsidR="00ED4FC3">
        <w:rPr>
          <w:i/>
          <w:iCs/>
        </w:rPr>
        <w:t xml:space="preserve">American Journal of Sociology </w:t>
      </w:r>
      <w:r w:rsidR="00ED4FC3">
        <w:t xml:space="preserve">105, no. 2 (1999), </w:t>
      </w:r>
      <w:r>
        <w:t>p. 375.</w:t>
      </w:r>
    </w:p>
  </w:footnote>
  <w:footnote w:id="9">
    <w:p w14:paraId="68393BD0" w14:textId="48D97B23" w:rsidR="0060528F" w:rsidRDefault="0060528F">
      <w:pPr>
        <w:pStyle w:val="FootnoteText"/>
      </w:pPr>
      <w:r>
        <w:rPr>
          <w:rStyle w:val="FootnoteReference"/>
        </w:rPr>
        <w:footnoteRef/>
      </w:r>
      <w:r>
        <w:t xml:space="preserve"> Marx offers two passages specifically on this matter. The first is from Capital Volume 1,</w:t>
      </w:r>
      <w:r w:rsidR="00A0284B">
        <w:t xml:space="preserve"> 1976, p. 637-638,</w:t>
      </w:r>
      <w:r>
        <w:t xml:space="preserve"> where he states, “Capitalist production collects the population together in great </w:t>
      </w:r>
      <w:proofErr w:type="spellStart"/>
      <w:proofErr w:type="gramStart"/>
      <w:r>
        <w:t>centres</w:t>
      </w:r>
      <w:proofErr w:type="spellEnd"/>
      <w:r>
        <w:t>, and</w:t>
      </w:r>
      <w:proofErr w:type="gramEnd"/>
      <w:r>
        <w:t xml:space="preserve"> causes the urban population to achieve an ever-growing preponderance. This has two results. On the one hand it concentrates the historical motive force of society; on the other hand, it disturbs the metabolic interaction between man and the earth, </w:t>
      </w:r>
      <w:proofErr w:type="gramStart"/>
      <w:r>
        <w:t>i.e.</w:t>
      </w:r>
      <w:proofErr w:type="gramEnd"/>
      <w:r>
        <w:t xml:space="preserve"> it prevents the return to the soil of its constituent elements consumed by man in the form of food and clothing; hence it hinders the operation of the eternal natural condition for the lasting fertility of the soil… But by destroying the circumstances surrounding that metabolism… it compels its systematic restoration as a regulative law of social production, and in a form adequate to the full development of </w:t>
      </w:r>
      <w:proofErr w:type="gramStart"/>
      <w:r>
        <w:t>the human race</w:t>
      </w:r>
      <w:proofErr w:type="gramEnd"/>
      <w:r>
        <w:t xml:space="preserve">… All progress in capitalist agriculture is a progress in the art, not only of robbing the worker, but of robbing the soil; all progress in increasing the fertility of the soil for a given time is a progress toward ruining the more long-lasting sources of that fertility… Capitalist production, therefore, only develops the techniques and the degree of combination of the social process of production by simultaneously undermining the original sources of all wealth- the soil and the worker.” </w:t>
      </w:r>
    </w:p>
    <w:p w14:paraId="1AD84CB4" w14:textId="321B67E4" w:rsidR="00A0284B" w:rsidRPr="00A0284B" w:rsidRDefault="00A0284B" w:rsidP="00A0284B">
      <w:pPr>
        <w:pStyle w:val="FootnoteText"/>
      </w:pPr>
      <w:r>
        <w:t>The second passage is from Capital, Volume 3, p. 949-950. Marx states, “</w:t>
      </w:r>
      <w:r w:rsidRPr="00A0284B">
        <w:t xml:space="preserve">Large landed property reduces the agricultural population to an ever decreasing minimum and confronts it with an </w:t>
      </w:r>
      <w:proofErr w:type="gramStart"/>
      <w:r w:rsidRPr="00A0284B">
        <w:t>ever growing</w:t>
      </w:r>
      <w:proofErr w:type="gramEnd"/>
      <w:r w:rsidRPr="00A0284B">
        <w:t xml:space="preserve"> industrial population crammed together in large towns; in this way it produces conditions that provoke an irreparable rift in the interdependent process of the social metabolism, a metabolism prescribed by the natural laws of life itself. The result of this is a squandering of the vitality of the soil, which is carried by trade far beyond the bounds of a single country. (Liebig.) . . . Large-scale industry and industrially pursued large-scale agriculture have the same effect. If they are originally distinguished by the fact that the former lays waste and ruins the </w:t>
      </w:r>
      <w:proofErr w:type="spellStart"/>
      <w:r w:rsidRPr="00A0284B">
        <w:t>labour</w:t>
      </w:r>
      <w:proofErr w:type="spellEnd"/>
      <w:r w:rsidRPr="00A0284B">
        <w:t>-power and thus the natural power of man, whereas the latter does the same to the natural power of the soil, they link up in the later course of development, since the industrial system applied to agriculture also enervates the workers there, while industry and trade for their part provide agriculture with the means of exhausting the soil.</w:t>
      </w:r>
      <w:r>
        <w:t>”</w:t>
      </w:r>
      <w:r w:rsidRPr="00A0284B">
        <w:t xml:space="preserve"> </w:t>
      </w:r>
    </w:p>
    <w:p w14:paraId="5A55B99E" w14:textId="7703511B" w:rsidR="00A0284B" w:rsidRDefault="00A0284B">
      <w:pPr>
        <w:pStyle w:val="FootnoteText"/>
      </w:pPr>
    </w:p>
  </w:footnote>
  <w:footnote w:id="10">
    <w:p w14:paraId="1A3C810A" w14:textId="43BABFED" w:rsidR="00965BC9" w:rsidRDefault="00965BC9">
      <w:pPr>
        <w:pStyle w:val="FootnoteText"/>
      </w:pPr>
      <w:r>
        <w:rPr>
          <w:rStyle w:val="FootnoteReference"/>
        </w:rPr>
        <w:footnoteRef/>
      </w:r>
      <w:r>
        <w:t xml:space="preserve"> </w:t>
      </w:r>
      <w:r w:rsidR="00ED4FC3">
        <w:t xml:space="preserve">Astrid C. </w:t>
      </w:r>
      <w:proofErr w:type="spellStart"/>
      <w:r>
        <w:t>Mangnus</w:t>
      </w:r>
      <w:proofErr w:type="spellEnd"/>
      <w:r>
        <w:t xml:space="preserve">, </w:t>
      </w:r>
      <w:r w:rsidR="00ED4FC3">
        <w:t xml:space="preserve">et al. “New pathways for governing food system transformations: a pluralistic practice-based futures approach using visioning, back-casting, and serious gaming,” </w:t>
      </w:r>
      <w:r w:rsidR="00ED4FC3">
        <w:rPr>
          <w:i/>
          <w:iCs/>
        </w:rPr>
        <w:t xml:space="preserve">Ecology and Society </w:t>
      </w:r>
      <w:r w:rsidR="00ED4FC3">
        <w:t>24, no. 4</w:t>
      </w:r>
      <w:r>
        <w:t xml:space="preserve"> (2019)</w:t>
      </w:r>
      <w:r w:rsidR="00ED4FC3">
        <w:t>: p.1.</w:t>
      </w:r>
      <w:r>
        <w:t xml:space="preserve"> This idea is a continuation of the normative associations that have long been identified with the rural/urban divide. Namely, that urban spaces are sites of invention, progress, modernity, whereas rural spaces are sites of history: outdated, stagnant, old-fashioned. </w:t>
      </w:r>
    </w:p>
  </w:footnote>
  <w:footnote w:id="11">
    <w:p w14:paraId="27D9CEA0" w14:textId="080EC868" w:rsidR="00CF1620" w:rsidRDefault="00CF1620">
      <w:pPr>
        <w:pStyle w:val="FootnoteText"/>
      </w:pPr>
      <w:r>
        <w:rPr>
          <w:rStyle w:val="FootnoteReference"/>
        </w:rPr>
        <w:footnoteRef/>
      </w:r>
      <w:r>
        <w:t xml:space="preserve"> </w:t>
      </w:r>
      <w:proofErr w:type="spellStart"/>
      <w:r w:rsidR="00ED4FC3">
        <w:t>Aniek</w:t>
      </w:r>
      <w:proofErr w:type="spellEnd"/>
      <w:r w:rsidR="00ED4FC3">
        <w:t xml:space="preserve"> </w:t>
      </w:r>
      <w:proofErr w:type="spellStart"/>
      <w:r>
        <w:t>Hebinck</w:t>
      </w:r>
      <w:proofErr w:type="spellEnd"/>
      <w:r>
        <w:t>, et al</w:t>
      </w:r>
      <w:r w:rsidR="00ED4FC3">
        <w:t xml:space="preserve">. “Beyond food for thought- Directing sustainability transitions research to address fundamental change in agri-food systems.” </w:t>
      </w:r>
      <w:r w:rsidR="00ED4FC3">
        <w:rPr>
          <w:i/>
          <w:iCs/>
        </w:rPr>
        <w:t>Environmental Innovation and Societal Transitions</w:t>
      </w:r>
      <w:r w:rsidR="00ED4FC3">
        <w:t xml:space="preserve"> 41</w:t>
      </w:r>
      <w:r>
        <w:t xml:space="preserve"> (2021)</w:t>
      </w:r>
      <w:r w:rsidR="00ED4FC3">
        <w:t xml:space="preserve">. </w:t>
      </w:r>
    </w:p>
  </w:footnote>
  <w:footnote w:id="12">
    <w:p w14:paraId="3D237056" w14:textId="2309F93D" w:rsidR="009D2EDF" w:rsidRPr="00B5586B" w:rsidRDefault="009D2EDF">
      <w:pPr>
        <w:pStyle w:val="FootnoteText"/>
        <w:rPr>
          <w:i/>
          <w:iCs/>
        </w:rPr>
      </w:pPr>
      <w:r>
        <w:rPr>
          <w:rStyle w:val="FootnoteReference"/>
        </w:rPr>
        <w:footnoteRef/>
      </w:r>
      <w:r>
        <w:t xml:space="preserve"> </w:t>
      </w:r>
      <w:r w:rsidR="00B5586B">
        <w:t>Ingmar Lippert, “An Introduction to the Criticism of Sustainable Development,” Brandenburg University of Technology Cottbus. 2004. 1-51</w:t>
      </w:r>
      <w:r w:rsidR="00B5586B">
        <w:rPr>
          <w:i/>
          <w:iCs/>
        </w:rPr>
        <w:t xml:space="preserve"> </w:t>
      </w:r>
    </w:p>
  </w:footnote>
  <w:footnote w:id="13">
    <w:p w14:paraId="223C77E1" w14:textId="1C5EB383" w:rsidR="00737750" w:rsidRDefault="00737750">
      <w:pPr>
        <w:pStyle w:val="FootnoteText"/>
      </w:pPr>
      <w:r>
        <w:rPr>
          <w:rStyle w:val="FootnoteReference"/>
        </w:rPr>
        <w:footnoteRef/>
      </w:r>
      <w:r>
        <w:t xml:space="preserve"> </w:t>
      </w:r>
      <w:r w:rsidR="00ED4FC3">
        <w:t xml:space="preserve">Megan </w:t>
      </w:r>
      <w:r>
        <w:t xml:space="preserve">Horst, </w:t>
      </w:r>
      <w:r w:rsidR="00ED4FC3">
        <w:t xml:space="preserve">et al. “The Intersection of Planning, Urban Agriculture, and Food Justice: A Review of the Literature.” </w:t>
      </w:r>
      <w:r w:rsidR="00ED4FC3">
        <w:rPr>
          <w:i/>
          <w:iCs/>
        </w:rPr>
        <w:t>Journal of the American Planning Association</w:t>
      </w:r>
      <w:r w:rsidR="00ED4FC3">
        <w:t xml:space="preserve"> 83, issue 3</w:t>
      </w:r>
      <w:r w:rsidR="00B83281">
        <w:t xml:space="preserve"> (2017). </w:t>
      </w:r>
    </w:p>
  </w:footnote>
  <w:footnote w:id="14">
    <w:p w14:paraId="41B074B3" w14:textId="231E8DE8" w:rsidR="00D87C8E" w:rsidRDefault="00D87C8E">
      <w:pPr>
        <w:pStyle w:val="FootnoteText"/>
      </w:pPr>
      <w:r>
        <w:rPr>
          <w:rStyle w:val="FootnoteReference"/>
        </w:rPr>
        <w:footnoteRef/>
      </w:r>
      <w:r>
        <w:t xml:space="preserve"> </w:t>
      </w:r>
      <w:r w:rsidR="00ED4FC3">
        <w:t xml:space="preserve">Nik </w:t>
      </w:r>
      <w:proofErr w:type="spellStart"/>
      <w:r>
        <w:t>Heynen</w:t>
      </w:r>
      <w:proofErr w:type="spellEnd"/>
      <w:r>
        <w:t xml:space="preserve">, </w:t>
      </w:r>
      <w:r w:rsidR="00ED4FC3">
        <w:t xml:space="preserve">et al. “Food Justice, Hunger, and the </w:t>
      </w:r>
      <w:proofErr w:type="gramStart"/>
      <w:r w:rsidR="00ED4FC3">
        <w:t>City</w:t>
      </w:r>
      <w:proofErr w:type="gramEnd"/>
      <w:r w:rsidR="00ED4FC3">
        <w:t xml:space="preserve">. </w:t>
      </w:r>
      <w:r w:rsidR="00ED4FC3">
        <w:rPr>
          <w:i/>
          <w:iCs/>
        </w:rPr>
        <w:t xml:space="preserve">Geography Compass </w:t>
      </w:r>
      <w:r w:rsidR="00ED4FC3">
        <w:t>6, no. 5</w:t>
      </w:r>
      <w:r>
        <w:t xml:space="preserve"> (2012)</w:t>
      </w:r>
      <w:r w:rsidR="00ED4FC3">
        <w:t xml:space="preserve">: </w:t>
      </w:r>
      <w:r>
        <w:t>p. 304</w:t>
      </w:r>
    </w:p>
  </w:footnote>
  <w:footnote w:id="15">
    <w:p w14:paraId="39D6B9E7" w14:textId="04E5D224" w:rsidR="007166F0" w:rsidRPr="007166F0" w:rsidRDefault="007166F0">
      <w:pPr>
        <w:pStyle w:val="FootnoteText"/>
      </w:pPr>
      <w:r>
        <w:rPr>
          <w:rStyle w:val="FootnoteReference"/>
        </w:rPr>
        <w:footnoteRef/>
      </w:r>
      <w:r>
        <w:t xml:space="preserve"> Judith Butler, </w:t>
      </w:r>
      <w:r>
        <w:rPr>
          <w:i/>
          <w:iCs/>
        </w:rPr>
        <w:t>Undoing Gender</w:t>
      </w:r>
      <w:r w:rsidR="00ED4FC3">
        <w:t xml:space="preserve">. </w:t>
      </w:r>
      <w:proofErr w:type="spellStart"/>
      <w:r w:rsidR="00ED4FC3">
        <w:t>Routedge</w:t>
      </w:r>
      <w:proofErr w:type="spellEnd"/>
      <w:r w:rsidR="00ED4FC3">
        <w:t xml:space="preserve">, </w:t>
      </w:r>
      <w:r>
        <w:t>2004</w:t>
      </w:r>
    </w:p>
  </w:footnote>
  <w:footnote w:id="16">
    <w:p w14:paraId="61A392EE" w14:textId="1EC2AB61" w:rsidR="007166F0" w:rsidRPr="007166F0" w:rsidRDefault="007166F0">
      <w:pPr>
        <w:pStyle w:val="FootnoteText"/>
      </w:pPr>
      <w:r>
        <w:rPr>
          <w:rStyle w:val="FootnoteReference"/>
        </w:rPr>
        <w:footnoteRef/>
      </w:r>
      <w:r>
        <w:t xml:space="preserve"> Ann M. Pendleton-</w:t>
      </w:r>
      <w:proofErr w:type="spellStart"/>
      <w:r>
        <w:t>Jullian</w:t>
      </w:r>
      <w:proofErr w:type="spellEnd"/>
      <w:r>
        <w:t xml:space="preserve"> and John Seely Brown, </w:t>
      </w:r>
      <w:r>
        <w:rPr>
          <w:i/>
          <w:iCs/>
        </w:rPr>
        <w:t xml:space="preserve">Design Unbound: designing for Emergence in a </w:t>
      </w:r>
      <w:proofErr w:type="gramStart"/>
      <w:r>
        <w:rPr>
          <w:i/>
          <w:iCs/>
        </w:rPr>
        <w:t>White Water</w:t>
      </w:r>
      <w:proofErr w:type="gramEnd"/>
      <w:r>
        <w:rPr>
          <w:i/>
          <w:iCs/>
        </w:rPr>
        <w:t xml:space="preserve"> World, </w:t>
      </w:r>
      <w:r w:rsidRPr="00ED4FC3">
        <w:t>Volume 2</w:t>
      </w:r>
      <w:r w:rsidR="00ED4FC3">
        <w:t>. MIT Press,</w:t>
      </w:r>
      <w:r>
        <w:rPr>
          <w:i/>
          <w:iCs/>
        </w:rPr>
        <w:t xml:space="preserve"> </w:t>
      </w:r>
      <w:r>
        <w:t xml:space="preserve">2018. </w:t>
      </w:r>
    </w:p>
  </w:footnote>
  <w:footnote w:id="17">
    <w:p w14:paraId="6644F5AC" w14:textId="5B4A29C9" w:rsidR="00D86EB6" w:rsidRDefault="00D86EB6">
      <w:pPr>
        <w:pStyle w:val="FootnoteText"/>
      </w:pPr>
      <w:r>
        <w:rPr>
          <w:rStyle w:val="FootnoteReference"/>
        </w:rPr>
        <w:footnoteRef/>
      </w:r>
      <w:r>
        <w:t xml:space="preserve"> </w:t>
      </w:r>
      <w:r w:rsidR="00ED4FC3">
        <w:t xml:space="preserve">Timo </w:t>
      </w:r>
      <w:r>
        <w:t>Maran,</w:t>
      </w:r>
      <w:r w:rsidR="00ED4FC3">
        <w:t xml:space="preserve"> </w:t>
      </w:r>
      <w:proofErr w:type="spellStart"/>
      <w:r w:rsidR="00ED4FC3">
        <w:t>Kalevi</w:t>
      </w:r>
      <w:proofErr w:type="spellEnd"/>
      <w:r>
        <w:t xml:space="preserve"> Kull</w:t>
      </w:r>
      <w:r w:rsidR="00ED4FC3">
        <w:t>. “</w:t>
      </w:r>
      <w:proofErr w:type="spellStart"/>
      <w:r w:rsidR="00ED4FC3">
        <w:t>Ecosemiotics</w:t>
      </w:r>
      <w:proofErr w:type="spellEnd"/>
      <w:r w:rsidR="00ED4FC3">
        <w:t xml:space="preserve">: Main principles and current developments.” </w:t>
      </w:r>
      <w:proofErr w:type="spellStart"/>
      <w:r w:rsidR="00ED4FC3">
        <w:rPr>
          <w:i/>
          <w:iCs/>
        </w:rPr>
        <w:t>Geografiska</w:t>
      </w:r>
      <w:proofErr w:type="spellEnd"/>
      <w:r w:rsidR="00ED4FC3">
        <w:rPr>
          <w:i/>
          <w:iCs/>
        </w:rPr>
        <w:t xml:space="preserve"> </w:t>
      </w:r>
      <w:proofErr w:type="spellStart"/>
      <w:r w:rsidR="00ED4FC3">
        <w:rPr>
          <w:i/>
          <w:iCs/>
        </w:rPr>
        <w:t>Annaler</w:t>
      </w:r>
      <w:proofErr w:type="spellEnd"/>
      <w:r w:rsidR="00ED4FC3">
        <w:rPr>
          <w:i/>
          <w:iCs/>
        </w:rPr>
        <w:t xml:space="preserve"> Series B Human Geography</w:t>
      </w:r>
      <w:r w:rsidR="00ED4FC3">
        <w:t xml:space="preserve"> 96, no 1 </w:t>
      </w:r>
      <w:r>
        <w:t>(2014)</w:t>
      </w:r>
      <w:r w:rsidR="00ED4FC3">
        <w:t xml:space="preserve">: </w:t>
      </w:r>
      <w:r w:rsidR="00EC3A26">
        <w:t>p. 41</w:t>
      </w:r>
      <w:r>
        <w:t xml:space="preserve"> </w:t>
      </w:r>
    </w:p>
  </w:footnote>
  <w:footnote w:id="18">
    <w:p w14:paraId="63488887" w14:textId="1E99E792" w:rsidR="00EC3A26" w:rsidRDefault="00EC3A26">
      <w:pPr>
        <w:pStyle w:val="FootnoteText"/>
      </w:pPr>
      <w:r>
        <w:rPr>
          <w:rStyle w:val="FootnoteReference"/>
        </w:rPr>
        <w:footnoteRef/>
      </w:r>
      <w:r>
        <w:t xml:space="preserve"> </w:t>
      </w:r>
      <w:r w:rsidR="00ED4FC3">
        <w:t>ibid</w:t>
      </w:r>
      <w:r>
        <w:t xml:space="preserve"> p. 42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2FA"/>
    <w:rsid w:val="00030A98"/>
    <w:rsid w:val="000B1D1B"/>
    <w:rsid w:val="001126C1"/>
    <w:rsid w:val="001500FD"/>
    <w:rsid w:val="00180FCE"/>
    <w:rsid w:val="001F78B3"/>
    <w:rsid w:val="002000CA"/>
    <w:rsid w:val="00256967"/>
    <w:rsid w:val="00291918"/>
    <w:rsid w:val="002B7139"/>
    <w:rsid w:val="002C25C2"/>
    <w:rsid w:val="002F4CB7"/>
    <w:rsid w:val="003067B9"/>
    <w:rsid w:val="003439EC"/>
    <w:rsid w:val="00367A36"/>
    <w:rsid w:val="003E50BB"/>
    <w:rsid w:val="0049137D"/>
    <w:rsid w:val="004A3EF4"/>
    <w:rsid w:val="004A48B4"/>
    <w:rsid w:val="004E575C"/>
    <w:rsid w:val="005A16F7"/>
    <w:rsid w:val="005A51D2"/>
    <w:rsid w:val="0060528F"/>
    <w:rsid w:val="00611426"/>
    <w:rsid w:val="00657F62"/>
    <w:rsid w:val="00676169"/>
    <w:rsid w:val="006C290F"/>
    <w:rsid w:val="006F0726"/>
    <w:rsid w:val="007166F0"/>
    <w:rsid w:val="007220C1"/>
    <w:rsid w:val="00737750"/>
    <w:rsid w:val="00791A56"/>
    <w:rsid w:val="007D40EF"/>
    <w:rsid w:val="007D5BDE"/>
    <w:rsid w:val="008152FA"/>
    <w:rsid w:val="00854D0B"/>
    <w:rsid w:val="00875E46"/>
    <w:rsid w:val="008B4E06"/>
    <w:rsid w:val="008E4734"/>
    <w:rsid w:val="009113B5"/>
    <w:rsid w:val="00965BC9"/>
    <w:rsid w:val="009C04B6"/>
    <w:rsid w:val="009D2EDF"/>
    <w:rsid w:val="009E1E58"/>
    <w:rsid w:val="00A011F3"/>
    <w:rsid w:val="00A0284B"/>
    <w:rsid w:val="00A02BFD"/>
    <w:rsid w:val="00A15195"/>
    <w:rsid w:val="00A4317F"/>
    <w:rsid w:val="00A564A7"/>
    <w:rsid w:val="00AB5A3A"/>
    <w:rsid w:val="00B16C5A"/>
    <w:rsid w:val="00B316A0"/>
    <w:rsid w:val="00B5586B"/>
    <w:rsid w:val="00B81F1C"/>
    <w:rsid w:val="00B83281"/>
    <w:rsid w:val="00B83955"/>
    <w:rsid w:val="00B866C6"/>
    <w:rsid w:val="00BB43FE"/>
    <w:rsid w:val="00BD4763"/>
    <w:rsid w:val="00C31596"/>
    <w:rsid w:val="00C76802"/>
    <w:rsid w:val="00C91DF8"/>
    <w:rsid w:val="00CF1620"/>
    <w:rsid w:val="00D1047C"/>
    <w:rsid w:val="00D36688"/>
    <w:rsid w:val="00D50DB6"/>
    <w:rsid w:val="00D86EB6"/>
    <w:rsid w:val="00D87C8E"/>
    <w:rsid w:val="00E84798"/>
    <w:rsid w:val="00EA63CE"/>
    <w:rsid w:val="00EB383B"/>
    <w:rsid w:val="00EB5DFA"/>
    <w:rsid w:val="00EC3A26"/>
    <w:rsid w:val="00ED4FC3"/>
    <w:rsid w:val="00EE1E89"/>
    <w:rsid w:val="00EE69F6"/>
    <w:rsid w:val="00F251FA"/>
    <w:rsid w:val="00F45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2E6266"/>
  <w15:chartTrackingRefBased/>
  <w15:docId w15:val="{AAAFC535-6254-8E47-82E4-38F4212E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B1D1B"/>
    <w:rPr>
      <w:sz w:val="20"/>
      <w:szCs w:val="20"/>
    </w:rPr>
  </w:style>
  <w:style w:type="character" w:customStyle="1" w:styleId="FootnoteTextChar">
    <w:name w:val="Footnote Text Char"/>
    <w:basedOn w:val="DefaultParagraphFont"/>
    <w:link w:val="FootnoteText"/>
    <w:uiPriority w:val="99"/>
    <w:semiHidden/>
    <w:rsid w:val="000B1D1B"/>
    <w:rPr>
      <w:sz w:val="20"/>
      <w:szCs w:val="20"/>
    </w:rPr>
  </w:style>
  <w:style w:type="character" w:styleId="FootnoteReference">
    <w:name w:val="footnote reference"/>
    <w:basedOn w:val="DefaultParagraphFont"/>
    <w:uiPriority w:val="99"/>
    <w:semiHidden/>
    <w:unhideWhenUsed/>
    <w:rsid w:val="000B1D1B"/>
    <w:rPr>
      <w:vertAlign w:val="superscript"/>
    </w:rPr>
  </w:style>
  <w:style w:type="paragraph" w:styleId="NormalWeb">
    <w:name w:val="Normal (Web)"/>
    <w:basedOn w:val="Normal"/>
    <w:uiPriority w:val="99"/>
    <w:semiHidden/>
    <w:unhideWhenUsed/>
    <w:rsid w:val="00A0284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476383">
      <w:bodyDiv w:val="1"/>
      <w:marLeft w:val="0"/>
      <w:marRight w:val="0"/>
      <w:marTop w:val="0"/>
      <w:marBottom w:val="0"/>
      <w:divBdr>
        <w:top w:val="none" w:sz="0" w:space="0" w:color="auto"/>
        <w:left w:val="none" w:sz="0" w:space="0" w:color="auto"/>
        <w:bottom w:val="none" w:sz="0" w:space="0" w:color="auto"/>
        <w:right w:val="none" w:sz="0" w:space="0" w:color="auto"/>
      </w:divBdr>
      <w:divsChild>
        <w:div w:id="554700535">
          <w:marLeft w:val="0"/>
          <w:marRight w:val="0"/>
          <w:marTop w:val="0"/>
          <w:marBottom w:val="0"/>
          <w:divBdr>
            <w:top w:val="none" w:sz="0" w:space="0" w:color="auto"/>
            <w:left w:val="none" w:sz="0" w:space="0" w:color="auto"/>
            <w:bottom w:val="none" w:sz="0" w:space="0" w:color="auto"/>
            <w:right w:val="none" w:sz="0" w:space="0" w:color="auto"/>
          </w:divBdr>
          <w:divsChild>
            <w:div w:id="856194137">
              <w:marLeft w:val="0"/>
              <w:marRight w:val="0"/>
              <w:marTop w:val="0"/>
              <w:marBottom w:val="0"/>
              <w:divBdr>
                <w:top w:val="none" w:sz="0" w:space="0" w:color="auto"/>
                <w:left w:val="none" w:sz="0" w:space="0" w:color="auto"/>
                <w:bottom w:val="none" w:sz="0" w:space="0" w:color="auto"/>
                <w:right w:val="none" w:sz="0" w:space="0" w:color="auto"/>
              </w:divBdr>
              <w:divsChild>
                <w:div w:id="11988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234007">
      <w:bodyDiv w:val="1"/>
      <w:marLeft w:val="0"/>
      <w:marRight w:val="0"/>
      <w:marTop w:val="0"/>
      <w:marBottom w:val="0"/>
      <w:divBdr>
        <w:top w:val="none" w:sz="0" w:space="0" w:color="auto"/>
        <w:left w:val="none" w:sz="0" w:space="0" w:color="auto"/>
        <w:bottom w:val="none" w:sz="0" w:space="0" w:color="auto"/>
        <w:right w:val="none" w:sz="0" w:space="0" w:color="auto"/>
      </w:divBdr>
      <w:divsChild>
        <w:div w:id="205417067">
          <w:marLeft w:val="0"/>
          <w:marRight w:val="0"/>
          <w:marTop w:val="0"/>
          <w:marBottom w:val="0"/>
          <w:divBdr>
            <w:top w:val="none" w:sz="0" w:space="0" w:color="auto"/>
            <w:left w:val="none" w:sz="0" w:space="0" w:color="auto"/>
            <w:bottom w:val="none" w:sz="0" w:space="0" w:color="auto"/>
            <w:right w:val="none" w:sz="0" w:space="0" w:color="auto"/>
          </w:divBdr>
          <w:divsChild>
            <w:div w:id="1080106426">
              <w:marLeft w:val="0"/>
              <w:marRight w:val="0"/>
              <w:marTop w:val="0"/>
              <w:marBottom w:val="0"/>
              <w:divBdr>
                <w:top w:val="none" w:sz="0" w:space="0" w:color="auto"/>
                <w:left w:val="none" w:sz="0" w:space="0" w:color="auto"/>
                <w:bottom w:val="none" w:sz="0" w:space="0" w:color="auto"/>
                <w:right w:val="none" w:sz="0" w:space="0" w:color="auto"/>
              </w:divBdr>
              <w:divsChild>
                <w:div w:id="206066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B4EB245-EEF1-D348-AB78-9AB89975B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3174</Words>
  <Characters>18094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Byg, Reed</dc:creator>
  <cp:keywords/>
  <dc:description/>
  <cp:lastModifiedBy>Byg, Reed</cp:lastModifiedBy>
  <cp:revision>3</cp:revision>
  <dcterms:created xsi:type="dcterms:W3CDTF">2022-03-06T13:05:00Z</dcterms:created>
  <dcterms:modified xsi:type="dcterms:W3CDTF">2022-03-06T13:19:00Z</dcterms:modified>
</cp:coreProperties>
</file>