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8681A" w14:textId="77777777" w:rsidR="006E3352" w:rsidRPr="006E3352" w:rsidRDefault="006E3352" w:rsidP="006E3352">
      <w:pPr>
        <w:jc w:val="center"/>
        <w:rPr>
          <w:rFonts w:cs="Times New Roman"/>
          <w:sz w:val="40"/>
          <w:szCs w:val="40"/>
        </w:rPr>
      </w:pPr>
      <w:r w:rsidRPr="006E3352">
        <w:rPr>
          <w:rFonts w:cs="Times New Roman"/>
          <w:sz w:val="40"/>
          <w:szCs w:val="40"/>
        </w:rPr>
        <w:t>The Impact of Vote-By-Mail Policy on Turnout and Vote Share in the 2020 Election</w:t>
      </w:r>
    </w:p>
    <w:p w14:paraId="672EA15B" w14:textId="77777777" w:rsidR="006E3352" w:rsidRPr="006E3352" w:rsidRDefault="006E3352" w:rsidP="006E3352">
      <w:pPr>
        <w:jc w:val="center"/>
        <w:rPr>
          <w:rFonts w:cs="Times New Roman"/>
          <w:sz w:val="22"/>
        </w:rPr>
      </w:pPr>
    </w:p>
    <w:p w14:paraId="02F12031" w14:textId="77777777" w:rsidR="006E3352" w:rsidRPr="006E3352" w:rsidRDefault="00A341BE" w:rsidP="006E3352">
      <w:pPr>
        <w:jc w:val="center"/>
        <w:rPr>
          <w:rFonts w:cs="Times New Roman"/>
          <w:sz w:val="28"/>
          <w:szCs w:val="28"/>
        </w:rPr>
      </w:pPr>
      <w:hyperlink r:id="rId7" w:history="1">
        <w:r w:rsidR="006E3352" w:rsidRPr="006E3352">
          <w:rPr>
            <w:rFonts w:cs="Times New Roman"/>
            <w:color w:val="0563C1" w:themeColor="hyperlink"/>
            <w:sz w:val="28"/>
            <w:szCs w:val="28"/>
            <w:u w:val="single"/>
          </w:rPr>
          <w:t>Sharif Amlani</w:t>
        </w:r>
      </w:hyperlink>
      <w:r w:rsidR="006E3352" w:rsidRPr="006E3352">
        <w:rPr>
          <w:rFonts w:cs="Times New Roman"/>
          <w:sz w:val="28"/>
          <w:szCs w:val="28"/>
        </w:rPr>
        <w:t xml:space="preserve"> and </w:t>
      </w:r>
      <w:hyperlink r:id="rId8" w:history="1">
        <w:r w:rsidR="006E3352" w:rsidRPr="006E3352">
          <w:rPr>
            <w:rFonts w:cs="Times New Roman"/>
            <w:color w:val="0563C1" w:themeColor="hyperlink"/>
            <w:sz w:val="28"/>
            <w:szCs w:val="28"/>
            <w:u w:val="single"/>
          </w:rPr>
          <w:t>Samuel Collitt</w:t>
        </w:r>
      </w:hyperlink>
      <w:r w:rsidR="006E3352" w:rsidRPr="006E3352">
        <w:rPr>
          <w:rFonts w:cs="Times New Roman"/>
          <w:sz w:val="28"/>
          <w:szCs w:val="28"/>
          <w:vertAlign w:val="superscript"/>
        </w:rPr>
        <w:footnoteReference w:customMarkFollows="1" w:id="1"/>
        <w:t>*</w:t>
      </w:r>
      <w:r w:rsidR="006E3352" w:rsidRPr="006E3352">
        <w:rPr>
          <w:rFonts w:cs="Times New Roman"/>
          <w:sz w:val="28"/>
          <w:szCs w:val="28"/>
          <w:vertAlign w:val="superscript"/>
        </w:rPr>
        <w:footnoteReference w:customMarkFollows="1" w:id="2"/>
        <w:t>^</w:t>
      </w:r>
    </w:p>
    <w:p w14:paraId="776C9C23" w14:textId="77777777" w:rsidR="006E3352" w:rsidRPr="006E3352" w:rsidRDefault="006E3352" w:rsidP="006E3352">
      <w:pPr>
        <w:jc w:val="center"/>
        <w:rPr>
          <w:rFonts w:cs="Times New Roman"/>
          <w:szCs w:val="24"/>
        </w:rPr>
      </w:pPr>
    </w:p>
    <w:p w14:paraId="1CAEEE98" w14:textId="77777777" w:rsidR="006E3352" w:rsidRPr="006E3352" w:rsidRDefault="006E3352" w:rsidP="006E3352">
      <w:pPr>
        <w:jc w:val="center"/>
        <w:rPr>
          <w:rFonts w:cs="Times New Roman"/>
          <w:sz w:val="28"/>
          <w:szCs w:val="28"/>
        </w:rPr>
      </w:pPr>
      <w:r w:rsidRPr="006E3352">
        <w:rPr>
          <w:rFonts w:cs="Times New Roman"/>
          <w:sz w:val="28"/>
          <w:szCs w:val="28"/>
        </w:rPr>
        <w:t>March 2021</w:t>
      </w:r>
    </w:p>
    <w:p w14:paraId="7E03FBC8" w14:textId="77777777" w:rsidR="006E3352" w:rsidRPr="006E3352" w:rsidRDefault="006E3352" w:rsidP="006E3352">
      <w:pPr>
        <w:rPr>
          <w:rFonts w:cs="Times New Roman"/>
          <w:szCs w:val="24"/>
        </w:rPr>
      </w:pPr>
    </w:p>
    <w:p w14:paraId="79DF1B31" w14:textId="77777777" w:rsidR="006E3352" w:rsidRPr="006E3352" w:rsidRDefault="006E3352" w:rsidP="006E3352">
      <w:pPr>
        <w:jc w:val="center"/>
        <w:rPr>
          <w:rFonts w:cs="Times New Roman"/>
          <w:szCs w:val="24"/>
        </w:rPr>
      </w:pPr>
      <w:r w:rsidRPr="006E3352">
        <w:rPr>
          <w:rFonts w:cs="Times New Roman"/>
          <w:b/>
          <w:bCs/>
          <w:szCs w:val="24"/>
        </w:rPr>
        <w:t>Abstract</w:t>
      </w:r>
    </w:p>
    <w:p w14:paraId="7F232A99" w14:textId="77777777" w:rsidR="006E3352" w:rsidRPr="006E3352" w:rsidRDefault="006E3352" w:rsidP="006E3352">
      <w:pPr>
        <w:jc w:val="both"/>
        <w:rPr>
          <w:rFonts w:cs="Times New Roman"/>
          <w:szCs w:val="24"/>
        </w:rPr>
      </w:pPr>
      <w:r w:rsidRPr="006E3352">
        <w:rPr>
          <w:rFonts w:cs="Times New Roman"/>
          <w:szCs w:val="24"/>
        </w:rPr>
        <w:t>The COVID-19 pandemic spurred many states and counties to reduce public health risks by adopting policies that made voting by mail easier in the 2020 general election. Employing a difference-in-difference research design, this paper investigates how these policy changes affected turnout and presidential vote shares. We find that counties that moved to send registered voters mail-in ballots ahead of Election Day experienced 2.4 percent higher turnout compared to counties that made no change. We also find no evidence that making voting by mail easier – to any degree – conferred any partisan advantage. Our findings suggest an obvious step for policymakers and advocates that seek to improve the democratic quality of elections: make voting by mail as easy as possible.</w:t>
      </w:r>
    </w:p>
    <w:p w14:paraId="03261CE8" w14:textId="77777777" w:rsidR="006E3352" w:rsidRPr="006E3352" w:rsidRDefault="006E3352" w:rsidP="006E3352">
      <w:pPr>
        <w:jc w:val="center"/>
        <w:rPr>
          <w:rFonts w:cs="Times New Roman"/>
          <w:szCs w:val="24"/>
        </w:rPr>
      </w:pPr>
    </w:p>
    <w:p w14:paraId="682FA45B" w14:textId="77777777" w:rsidR="006E3352" w:rsidRPr="006E3352" w:rsidRDefault="006E3352" w:rsidP="006E3352">
      <w:pPr>
        <w:jc w:val="center"/>
        <w:rPr>
          <w:rFonts w:cs="Times New Roman"/>
          <w:szCs w:val="24"/>
        </w:rPr>
      </w:pPr>
      <w:r w:rsidRPr="006E3352">
        <w:rPr>
          <w:rFonts w:cs="Times New Roman"/>
          <w:szCs w:val="24"/>
        </w:rPr>
        <w:t>Keywords: American Elections, Vote-By-Mail Policy, 2020 Election, Turnout, Vote Share, Difference-in-Difference</w:t>
      </w:r>
    </w:p>
    <w:p w14:paraId="62F117BC" w14:textId="77777777" w:rsidR="006E3352" w:rsidRDefault="006E3352">
      <w:pPr>
        <w:rPr>
          <w:rFonts w:eastAsiaTheme="majorEastAsia" w:cstheme="majorBidi"/>
          <w:b/>
          <w:szCs w:val="24"/>
          <w:u w:val="single"/>
        </w:rPr>
      </w:pPr>
      <w:r>
        <w:rPr>
          <w:rFonts w:eastAsiaTheme="majorEastAsia" w:cstheme="majorBidi"/>
          <w:b/>
          <w:szCs w:val="24"/>
          <w:u w:val="single"/>
        </w:rPr>
        <w:br w:type="page"/>
      </w:r>
    </w:p>
    <w:p w14:paraId="7F11A4CA" w14:textId="3B3B09BB" w:rsidR="001218CF" w:rsidRPr="001218CF" w:rsidRDefault="001218CF" w:rsidP="001218CF">
      <w:pPr>
        <w:keepNext/>
        <w:keepLines/>
        <w:spacing w:before="240" w:after="0" w:line="480" w:lineRule="auto"/>
        <w:outlineLvl w:val="0"/>
        <w:rPr>
          <w:rFonts w:eastAsiaTheme="majorEastAsia" w:cstheme="majorBidi"/>
          <w:b/>
          <w:szCs w:val="24"/>
          <w:u w:val="single"/>
        </w:rPr>
      </w:pPr>
      <w:r w:rsidRPr="001218CF">
        <w:rPr>
          <w:rFonts w:eastAsiaTheme="majorEastAsia" w:cstheme="majorBidi"/>
          <w:b/>
          <w:szCs w:val="24"/>
          <w:u w:val="single"/>
        </w:rPr>
        <w:lastRenderedPageBreak/>
        <w:t>Introduction</w:t>
      </w:r>
    </w:p>
    <w:p w14:paraId="62EBC521" w14:textId="06565BF2" w:rsidR="001218CF" w:rsidRPr="001218CF" w:rsidRDefault="001218CF" w:rsidP="001218CF">
      <w:pPr>
        <w:spacing w:line="480" w:lineRule="auto"/>
        <w:rPr>
          <w:szCs w:val="24"/>
        </w:rPr>
      </w:pPr>
      <w:r w:rsidRPr="001218CF">
        <w:rPr>
          <w:szCs w:val="24"/>
        </w:rPr>
        <w:t xml:space="preserve">Elected representatives harp to their constituents that exercising the right to vote is the most important democratic action they can perform. Yet most state governments have traditionally made voting more difficult for their residents than in almost all other developed democracies, contributing to relatively lower electoral turnout </w:t>
      </w:r>
      <w:r w:rsidRPr="001218CF">
        <w:rPr>
          <w:szCs w:val="24"/>
        </w:rPr>
        <w:fldChar w:fldCharType="begin"/>
      </w:r>
      <w:r>
        <w:rPr>
          <w:szCs w:val="24"/>
        </w:rPr>
        <w:instrText xml:space="preserve"> ADDIN ZOTERO_ITEM CSL_CITATION {"citationID":"RazeWSJi","properties":{"formattedCitation":"(Blais, Massicotte, and Dobrzynska 2003; Franklin 1996; Jackman 1987; Powell 1986)","plainCitation":"(Blais, Massicotte, and Dobrzynska 2003; Franklin 1996; Jackman 1987; Powell 1986)","noteIndex":0},"citationItems":[{"id":"P3SEzVlU/e3IoqqDr","uris":["http://zotero.org/users/5709912/items/52V7XEMI"],"uri":["http://zotero.org/users/5709912/items/52V7XEMI"],"itemData":{"id":2426,"type":"book","publisher":"Environment Canada Montreal","title":"Why is Turnout Higher in Some Countries than in Others?","author":[{"family":"Blais","given":"André"},{"family":"Massicotte","given":"Louis"},{"family":"Dobrzynska","given":"Agnieszka"}],"issued":{"date-parts":[["2003"]]}}},{"id":"P3SEzVlU/yzaRhcc3","uris":["http://zotero.org/users/5709912/items/V3MDW9UD"],"uri":["http://zotero.org/users/5709912/items/V3MDW9UD"],"itemData":{"id":2425,"type":"article-journal","container-title":"Comparing democracies: Elections and voting in global perspective","note":"publisher: Sage Thousand Oaks, CA","page":"216–235","title":"Electoral participation","author":[{"family":"Franklin","given":"Mark N"}],"issued":{"date-parts":[["1996"]]}}},{"id":"P3SEzVlU/EiHcx9EZ","uris":["http://zotero.org/users/5709912/items/PTDEELEZ"],"uri":["http://zotero.org/users/5709912/items/PTDEELEZ"],"itemData":{"id":2422,"type":"article-journal","abstract":"Differences in voter turnout among industrial democracies are a function of political institutions and electoral law. Specifically, the presence of nationally competitive electoral districts provides incentives for parties and candidates to mobilize voters everywhere, thereby increasing turnout. Disproportionality in the translation of votes into legislative seats provides a disincentive to voting, which lowers turnout. Multipartyism assigns elections a less decisive role in government formation, depressing turnout. By generating more decisive governments, unicameralism provides a clearer link between elections and legislation, increasing turnout. Finally, mandatory voting laws produce a disincentive to not vote. Empirical analyses of average voter-turnout levels in the 1970s and 1960s across 19 democracies are consistent with these expectations, although Switzerland and the United States appear to be outliers. The results have major implications for the way we interpret national differences in voter-turnout rates.","container-title":"The American Political Science Review","DOI":"10.2307/1961959","ISSN":"0003-0554","issue":"2","note":"publisher: [American Political Science Association, Cambridge University Press]","page":"405-423","source":"JSTOR","title":"Political Institutions and Voter Turnout in the Industrial Democracies","volume":"81","author":[{"family":"Jackman","given":"Robert W."}],"issued":{"date-parts":[["1987"]]}}},{"id":"P3SEzVlU/DvGMK2f6","uris":["http://zotero.org/users/5709912/items/FXCLNB2B"],"uri":["http://zotero.org/users/5709912/items/FXCLNB2B"],"itemData":{"id":2418,"type":"article-journal","abstract":"Despite relatively favorable citizen attitudes, voter turnout in American national elections is far below the average of 80% of the eligible electorate that votes in other industrialized democracies. The American institutional setting--particularly the party system and the registration laws--severely inhibits voter turnout, and probably also accounts for the unusual degree to which education and other socioeconomic resources are directly linked to voting participation in the United States. Using a combination of aggregate and comparative survey data, the present analysis suggests that in comparative perspective, turnout in the United States is advantaged about 5% by political attitudes, but disadvantaged 13% by the party system and institutional factors, and up to 14% by the registration laws. The experience of other democracies suggests that encouraging voter participation would contribute to channeling discontent through the electoral process. Even a significantly expanded American electorate would be more interested and involved in political activity than are present voters in most other democracies.","container-title":"The American Political Science Review","DOI":"10.2307/1957082","ISSN":"0003-0554","issue":"1","note":"publisher: [American Political Science Association, Cambridge University Press]","page":"17-43","source":"JSTOR","title":"American Voter Turnout in Comparative Perspective","volume":"80","author":[{"family":"Powell","given":"G. Bingham"}],"issued":{"date-parts":[["1986"]]}}}],"schema":"https://github.com/citation-style-language/schema/raw/master/csl-citation.json"} </w:instrText>
      </w:r>
      <w:r w:rsidRPr="001218CF">
        <w:rPr>
          <w:szCs w:val="24"/>
        </w:rPr>
        <w:fldChar w:fldCharType="separate"/>
      </w:r>
      <w:r w:rsidRPr="001218CF">
        <w:rPr>
          <w:rFonts w:cs="Times New Roman"/>
          <w:szCs w:val="24"/>
        </w:rPr>
        <w:t>(Blais, Massicotte, and Dobrzynska 2003; Franklin 1996; Jackman 1987; Powell 1986)</w:t>
      </w:r>
      <w:r w:rsidRPr="001218CF">
        <w:rPr>
          <w:szCs w:val="24"/>
        </w:rPr>
        <w:fldChar w:fldCharType="end"/>
      </w:r>
      <w:r w:rsidRPr="001218CF">
        <w:rPr>
          <w:szCs w:val="24"/>
        </w:rPr>
        <w:t xml:space="preserve">. A notable reversal occurred as the COVID-19 pandemic precipitated a historic development whereby </w:t>
      </w:r>
      <w:proofErr w:type="gramStart"/>
      <w:r w:rsidRPr="001218CF">
        <w:rPr>
          <w:szCs w:val="24"/>
        </w:rPr>
        <w:t>a majority of</w:t>
      </w:r>
      <w:proofErr w:type="gramEnd"/>
      <w:r w:rsidRPr="001218CF">
        <w:rPr>
          <w:szCs w:val="24"/>
        </w:rPr>
        <w:t xml:space="preserve"> states, intending to make voting safer in the 2020 general election, made voting easier through policies aimed at encouraging voters to cast mail-in ballots instead of voting in person. </w:t>
      </w:r>
    </w:p>
    <w:p w14:paraId="09F664A0" w14:textId="53BD8574" w:rsidR="001218CF" w:rsidRPr="001218CF" w:rsidRDefault="001218CF" w:rsidP="001218CF">
      <w:pPr>
        <w:spacing w:line="480" w:lineRule="auto"/>
        <w:rPr>
          <w:szCs w:val="24"/>
        </w:rPr>
      </w:pPr>
      <w:r w:rsidRPr="001218CF">
        <w:rPr>
          <w:szCs w:val="24"/>
        </w:rPr>
        <w:t xml:space="preserve">Our study examines how turnout changes as a function of making voting by mail easier, and whether there was a partisan electoral advantage from doing so. While there is already much work on the subject, previous to the 2020 general election, studies that sought to evaluate these relationships were limited to a handful of states that conducted elections exclusively by mail </w:t>
      </w:r>
      <w:r w:rsidRPr="001218CF">
        <w:rPr>
          <w:szCs w:val="24"/>
        </w:rPr>
        <w:fldChar w:fldCharType="begin"/>
      </w:r>
      <w:r>
        <w:rPr>
          <w:szCs w:val="24"/>
        </w:rPr>
        <w:instrText xml:space="preserve"> ADDIN ZOTERO_ITEM CSL_CITATION {"citationID":"FIUBhVnS","properties":{"formattedCitation":"(Barber and Holbein 2020; Berinsky, Burns, and Traugott 2001; Gerber, Huber, and Hill 2013; Gronke and Miller 2012; Kousser and Mullin 2007; McGhee, Paluch, and Romero 2020; P. L. Southwell 2009; P. L. Southwell and Burchett 2000)","plainCitation":"(Barber and Holbein 2020; Berinsky, Burns, and Traugott 2001; Gerber, Huber, and Hill 2013; Gronke and Miller 2012; Kousser and Mullin 2007; McGhee, Paluch, and Romero 2020; P. L. Southwell 2009; P. L. Southwell and Burchett 2000)","dontUpdate":true,"noteIndex":0},"citationItems":[{"id":"P3SEzVlU/BxF15WpT","uris":["http://zotero.org/users/5709912/items/NI8XI4T5"],"uri":["http://zotero.org/users/5709912/items/NI8XI4T5"],"itemData":{"id":2158,"type":"article-journal","abstract":"Recently, mandatory vote-by-mail has received a great deal of attention as a means of administering elections in the United States. However, policy-makers disagree on the merits of this approach. Many of these debates hinge on whether mandatory vote-by-mail advantages one political party over the other. Using a unique pairing of historical county-level data that covers the past three decades and more than 40 million voting records from the two states that have conducted a staggered rollout of mandatory vote-by-mail (Washington and Utah), we use several methods for causal inference to show that mandatory vote-by-mail slightly increases voter turnout but has no effect on election outcomes at various levels of government. Our results find meaning given contemporary debates about the merits of mandatory vote-by-mail. Mandatory vote-by-mail ensures that citizens are given a safe means of casting their ballot while simultaneously not advantaging one political party over the other.\nThis paper shows that mandatory vote-by-mail increases voter turnout but does not advantage one political party over the other.\nThis paper shows that mandatory vote-by-mail increases voter turnout but does not advantage one political party over the other.","container-title":"Science Advances","DOI":"10.1126/sciadv.abc7685","ISSN":"2375-2548","issue":"35","language":"en","note":"publisher: American Association for the Advancement of Science\nsection: Research Article","page":"eabc7685","source":"advances.sciencemag.org","title":"The participatory and partisan impacts of mandatory vote-by-mail","volume":"6","author":[{"family":"Barber","given":"Michael"},{"family":"Holbein","given":"John B."}],"issued":{"date-parts":[["2020",8,1]]}}},{"id":"P3SEzVlU/F31jsvAS","uris":["http://zotero.org/users/5709912/items/S25ZAXS2"],"uri":["http://zotero.org/users/5709912/items/S25ZAXS2"],"itemData":{"id":2165,"type":"article-journal","abstract":"Abstract.  Election administrators and public officials often consider changes in electoral laws, hoping that these changes will increase voter turnout and make","container-title":"Public Opinion Quarterly","DOI":"10.1086/322196","ISSN":"0033-362X","issue":"2","journalAbbreviation":"Public Opin Q","language":"en","note":"publisher: Oxford Academic","page":"178-197","source":"academic.oup.com","title":"Who Votes by Mail?: A Dynamic Model of the Individual-Level Consequences of Voting-by-Mail Systems","title-short":"Who Votes by Mail?","volume":"65","author":[{"family":"Berinsky","given":"Adam J."},{"family":"Burns","given":"Nancy"},{"family":"Traugott","given":"Michael W."}],"issued":{"date-parts":[["2001",6,1]]}}},{"id":"P3SEzVlU/zoxsSqWW","uris":["http://zotero.org/users/5709912/items/7UEJPWV2"],"uri":["http://zotero.org/users/5709912/items/7UEJPWV2"],"itemData":{"id":2171,"type":"article-journal","abstract":"What effect does moving to all-mail elections have on participation? On one hand, all registered voters automatically receive a ballot to return by mail at their convenience. On the other hand, the social aspect of the polling place, and the focal point of election day, is lost. Current estimates of the effect of all-mail elections on turnout are ambiguous. This article offers an improved design and new estimates of the effect of moving to all-mail elections. Exploiting cross-sectional and temporal variation in county-level implementation of all-mail elections in Washington State, we find that the reform increased aggregate participation by two to four percentage points. Using individual observations from the state voter file, we also find that the reform increased turnout more for lower-participating registrants than for frequent voters, suggesting that all-mail voting reduces turnout disparities between these groups.","container-title":"Political Science Research and Methods","DOI":"10.1017/psrm.2013.5","ISSN":"2049-8470, 2049-8489","issue":"1","language":"en","note":"publisher: Cambridge University Press","page":"91-116","source":"Cambridge University Press","title":"Identifying the Effect of All-Mail Elections on Turnout: Staggered Reform in the Evergreen State*","title-short":"Identifying the Effect of All-Mail Elections on Turnout","volume":"1","author":[{"family":"Gerber","given":"Alan S."},{"family":"Huber","given":"Gregory A."},{"family":"Hill","given":"Seth J."}],"issued":{"date-parts":[["2013",6]]}}},{"id":"P3SEzVlU/EYst1NCX","uris":["http://zotero.org/users/5709912/items/CM44UPI3"],"uri":["http://zotero.org/users/5709912/items/CM44UPI3"],"itemData":{"id":2174,"type":"article-journal","abstract":"In the most widely cited result on the turnout effects of voting by mail, Southwell and Burchett report that Oregon’s system increased turnout by 10 percentage points. We attempt to replicate this finding and extend the analysis to additional years to test whether the originally reported effect is due to the novelty of the first three voting by mail elections in 1995 and 1996. We are unable to reproduce earlier findings, either via replication or extending the time series to include 2010 electoral data. We find evidence for a novelty effect when all elections between 1960 and 2010 are included in our analysis, and a consistent impact of voting by mail on turnout only in special elections.","container-title":"American Politics Research","DOI":"10.1177/1532673X12457809","ISSN":"1532-673X","issue":"6","journalAbbreviation":"American Politics Research","language":"en","note":"publisher: SAGE Publications Inc","page":"976-997","source":"SAGE Journals","title":"Voting by Mail and Turnout in Oregon: Revisiting Southwell and Burchett","title-short":"Voting by Mail and Turnout in Oregon","volume":"40","author":[{"family":"Gronke","given":"Paul"},{"family":"Miller","given":"Peter"}],"issued":{"date-parts":[["2012",11,1]]}}},{"id":"P3SEzVlU/CIHsG8NC","uris":["http://zotero.org/users/5709912/items/ZM35IDZY"],"uri":["http://zotero.org/users/5709912/items/ZM35IDZY"],"itemData":{"id":2170,"type":"article-journal","abstract":"Would holding elections by mail increase voter turnout? Many electoral reform advocates predict that mail ballot elections will boost participation, basing their prediction on the high turnout rate among absentee voters and on the rise in voter turnout after Oregon switched to voting by mail. However, selection problems inherent to studies of absentee voters and Oregon give us important reasons to doubt whether their results would extend to more general applications of voting by mail. In this paper, we isolate the effects of voting in mail ballot elections by taking advantage of a natural experiment in which voters are assigned in a nearly random process to cast their ballots by mail. We use matching methods to ensure that, in our analysis, the demographic characteristics of these voters mirror those of polling-place voters who take part in the same elections. Drawing on data from a large sample of California counties in two general elections, we find that voting by mail does not deliver on the promise of greater participation in general elections. In fact, voters who are assigned to vote by mail turn out at lower rates than those who are sent to a polling place. Analysis of a sample of local special elections, by contrast, indicates that voting by mail can increase turnout in these otherwise low-participation contests.","container-title":"Political Analysis","ISSN":"1047-1987","issue":"4","note":"publisher: [Oxford University Press, Society for Political Methodology]","page":"428-445","source":"JSTOR","title":"Does Voting by Mail Increase Participation? Using Matching to Analyze a Natural Experiment","title-short":"Does Voting by Mail Increase Participation?","volume":"15","author":[{"family":"Kousser","given":"Thad"},{"family":"Mullin","given":"Megan"}],"issued":{"date-parts":[["2007"]]}}},{"id":1247,"uris":["http://zotero.org/groups/2573990/items/8XE2YX2H"],"uri":["http://zotero.org/groups/2573990/items/8XE2YX2H"],"itemData":{"id":1247,"type":"post-weblog","abstract":"With COVID-19 threatening the November election, many states are working to increase voting by mail. In California, 15 counties have already expanded alternatives to in-person voting, and while overall voter turnout was higher, groups such as foreign-language and young voters sometimes saw declines. Outreach by trusted messengers may help in targeting low-turnout groups.","container-title":"Public Policy Institute of California","language":"en-US","title":"How Greater Vote-by-Mail Influences California Voter Turnout","URL":"https://www.ppic.org/publication/how-greater-vote-by-mail-influences-california-voter-turnout/","author":[{"family":"McGhee","given":"Eric"},{"family":"Paluch","given":"Jennifer"},{"family":"Romero","given":"Mindy"}],"accessed":{"date-parts":[["2020",9,25]]},"issued":{"date-parts":[["2020",9]]}}},{"id":1228,"uris":["http://zotero.org/groups/2573990/items/IMZGD227"],"uri":["http://zotero.org/groups/2573990/items/IMZGD227"],"itemData":{"id":1228,"type":"article-journal","abstract":"Proponents of vote by mail elections often argue that this type of election facilitates participation such that elevated levels of turnout occur. The research tests this assumption by analyzing 44 statewide elections (1980–2007) in the state of Oregon—the only state that conducts all of its elections by mail. The results of this analysis suggest that the vote by mail format is a major stimulus to voter participation in special elections in Oregon, while its effect on turnout in primary and general elections is positive, but fairly minimal.","container-title":"The Social Science Journal","DOI":"10.1016/j.soscij.2008.12.010","ISSN":"0362-3319, 1873-5355","issue":"1","journalAbbreviation":"The Social Science Journal","language":"en","page":"211-216","source":"DOI.org (Crossref)","title":"Analysis of the turnout effects of vote by mail elections, 1980–2007","volume":"46","author":[{"family":"Southwell","given":"Priscilla L."}],"issued":{"date-parts":[["2009",3,1]]}}},{"id":1232,"uris":["http://zotero.org/groups/2573990/items/LKJFMDKH"],"uri":["http://zotero.org/groups/2573990/items/LKJFMDKH"],"itemData":{"id":1232,"type":"article-journal","abstract":"Proponents of all-mail elections argue that this type of election facilitates participation such that elevated levels of turnout occur. The research tests this assumption by analyzing 48 statewide elections from the state of Oregon. This analysis suggests that the all-mail format is a major stimulus to voter participation, second only to the impact of a presidential contest. Previous research on the effect of systemic factors on voter turnout has distinguished between short-term influences (i.e., perceived closeness of the election) and long-term characteristics of the state or district (i.e., party competition). Legal requirements are usually in the","container-title":"American Politics Quarterly","issue":"1","page":"72-79","source":"CiteSeer","title":"The Effect of All-Mail Elections on Voter Turnout","volume":"28","author":[{"family":"Southwell","given":"Priscilla L."},{"family":"Burchett","given":"Justin I."}],"issued":{"date-parts":[["2000"]]}}}],"schema":"https://github.com/citation-style-language/schema/raw/master/csl-citation.json"} </w:instrText>
      </w:r>
      <w:r w:rsidRPr="001218CF">
        <w:rPr>
          <w:szCs w:val="24"/>
        </w:rPr>
        <w:fldChar w:fldCharType="separate"/>
      </w:r>
      <w:r w:rsidRPr="001218CF">
        <w:rPr>
          <w:szCs w:val="24"/>
        </w:rPr>
        <w:t>(Barber and Holbein 2020; Berinsky, Burns, and Traugott 2001; Gerber, Huber, and Hill 2013; Gronke and Miller 2012; Kousser and Mullin 2007; McGhee, Paluch, and Romero 2020; Southwell 2009; Southwell and Burchett 2000a, 2000b)</w:t>
      </w:r>
      <w:r w:rsidRPr="001218CF">
        <w:rPr>
          <w:szCs w:val="24"/>
        </w:rPr>
        <w:fldChar w:fldCharType="end"/>
      </w:r>
      <w:r w:rsidRPr="001218CF">
        <w:rPr>
          <w:szCs w:val="24"/>
        </w:rPr>
        <w:t>. In contrast, 1,664 counties across 30 states made it easier, by varying degrees, for their residents to vote by mail in 2020 general election.</w:t>
      </w:r>
      <w:r w:rsidRPr="001218CF">
        <w:rPr>
          <w:szCs w:val="24"/>
          <w:vertAlign w:val="superscript"/>
        </w:rPr>
        <w:footnoteReference w:id="3"/>
      </w:r>
      <w:r w:rsidRPr="001218CF">
        <w:rPr>
          <w:szCs w:val="24"/>
        </w:rPr>
        <w:t xml:space="preserve"> Figure 1 panels a and b illustrate the county-level vote-by-mail (VBM) policies in 2016 and 2020, respectively. The unprecedented sample size and variation in the restrictiveness of VBM policies across jurisdictions allows for a unique analysis of making voting by mail easier on turnout and vote share. </w:t>
      </w:r>
    </w:p>
    <w:p w14:paraId="4C7EF53D" w14:textId="77777777" w:rsidR="001218CF" w:rsidRPr="001218CF" w:rsidRDefault="001218CF" w:rsidP="001218CF">
      <w:pPr>
        <w:spacing w:line="480" w:lineRule="auto"/>
        <w:jc w:val="center"/>
        <w:rPr>
          <w:szCs w:val="24"/>
        </w:rPr>
      </w:pPr>
      <w:r w:rsidRPr="001218CF">
        <w:rPr>
          <w:szCs w:val="24"/>
        </w:rPr>
        <w:lastRenderedPageBreak/>
        <w:t>[Figure 1 here]</w:t>
      </w:r>
    </w:p>
    <w:p w14:paraId="3D92F7F5" w14:textId="420F1022" w:rsidR="001218CF" w:rsidRPr="001218CF" w:rsidRDefault="001218CF" w:rsidP="001218CF">
      <w:pPr>
        <w:spacing w:line="480" w:lineRule="auto"/>
        <w:rPr>
          <w:szCs w:val="24"/>
        </w:rPr>
      </w:pPr>
      <w:r w:rsidRPr="001218CF">
        <w:rPr>
          <w:szCs w:val="24"/>
        </w:rPr>
        <w:t xml:space="preserve">We investigate these relationships using a difference-in-difference (DID) design, evaluating, in turn, how turnout and presidential vote share changed at the county level between the 2016 and 2020 general elections as a function of the change in the restrictiveness of a county’s VBM policy. We find that counties that moved from not requiring an excuse to vote by mail to automatically sending their registered voters mail-in ballots experienced a turnout increase of 2.4 percent compared to those that did not change their VBM policy.  In contrast, counties that moved from requiring a valid excuse from residents to vote by mail to not requiring an excuse experienced a smaller increase in turnout, compared to counties that did not change their policy, by about 1.7 percent. We speculate that this may be due to the information costs that changing voting laws may place on prospective voters, counteracting any net benefit that making voting by mail easier may provide (Brady and </w:t>
      </w:r>
      <w:proofErr w:type="spellStart"/>
      <w:r w:rsidRPr="001218CF">
        <w:rPr>
          <w:szCs w:val="24"/>
        </w:rPr>
        <w:t>Mcnulty</w:t>
      </w:r>
      <w:proofErr w:type="spellEnd"/>
      <w:r w:rsidRPr="001218CF">
        <w:rPr>
          <w:szCs w:val="24"/>
        </w:rPr>
        <w:t xml:space="preserve"> 2011; </w:t>
      </w:r>
      <w:proofErr w:type="spellStart"/>
      <w:r w:rsidRPr="001218CF">
        <w:rPr>
          <w:szCs w:val="24"/>
        </w:rPr>
        <w:t>Corvalan</w:t>
      </w:r>
      <w:proofErr w:type="spellEnd"/>
      <w:r w:rsidRPr="001218CF">
        <w:rPr>
          <w:szCs w:val="24"/>
        </w:rPr>
        <w:t xml:space="preserve"> and Cox 2018). Future studies should seek to determine the effects of these changes in subsequent elections as voters become accustomed to them.</w:t>
      </w:r>
    </w:p>
    <w:p w14:paraId="4A3F40D4" w14:textId="5EDEB7EC" w:rsidR="001218CF" w:rsidRPr="001218CF" w:rsidRDefault="001218CF" w:rsidP="001218CF">
      <w:pPr>
        <w:spacing w:line="480" w:lineRule="auto"/>
        <w:rPr>
          <w:szCs w:val="24"/>
        </w:rPr>
      </w:pPr>
      <w:r w:rsidRPr="001218CF">
        <w:rPr>
          <w:szCs w:val="24"/>
        </w:rPr>
        <w:t xml:space="preserve">Consistent with previous findings </w:t>
      </w:r>
      <w:r w:rsidRPr="001218CF">
        <w:rPr>
          <w:szCs w:val="24"/>
        </w:rPr>
        <w:fldChar w:fldCharType="begin"/>
      </w:r>
      <w:r>
        <w:rPr>
          <w:szCs w:val="24"/>
        </w:rPr>
        <w:instrText xml:space="preserve"> ADDIN ZOTERO_ITEM CSL_CITATION {"citationID":"rSu28NYC","properties":{"formattedCitation":"(Barber and Holbein 2020; P. L. Southwell and Burchett 2000; Thompson et al. 2020)","plainCitation":"(Barber and Holbein 2020; P. L. Southwell and Burchett 2000; Thompson et al. 2020)","dontUpdate":true,"noteIndex":0},"citationItems":[{"id":"P3SEzVlU/BxF15WpT","uris":["http://zotero.org/users/5709912/items/NI8XI4T5"],"uri":["http://zotero.org/users/5709912/items/NI8XI4T5"],"itemData":{"id":2158,"type":"article-journal","abstract":"Recently, mandatory vote-by-mail has received a great deal of attention as a means of administering elections in the United States. However, policy-makers disagree on the merits of this approach. Many of these debates hinge on whether mandatory vote-by-mail advantages one political party over the other. Using a unique pairing of historical county-level data that covers the past three decades and more than 40 million voting records from the two states that have conducted a staggered rollout of mandatory vote-by-mail (Washington and Utah), we use several methods for causal inference to show that mandatory vote-by-mail slightly increases voter turnout but has no effect on election outcomes at various levels of government. Our results find meaning given contemporary debates about the merits of mandatory vote-by-mail. Mandatory vote-by-mail ensures that citizens are given a safe means of casting their ballot while simultaneously not advantaging one political party over the other.\nThis paper shows that mandatory vote-by-mail increases voter turnout but does not advantage one political party over the other.\nThis paper shows that mandatory vote-by-mail increases voter turnout but does not advantage one political party over the other.","container-title":"Science Advances","DOI":"10.1126/sciadv.abc7685","ISSN":"2375-2548","issue":"35","language":"en","note":"publisher: American Association for the Advancement of Science\nsection: Research Article","page":"eabc7685","source":"advances.sciencemag.org","title":"The participatory and partisan impacts of mandatory vote-by-mail","volume":"6","author":[{"family":"Barber","given":"Michael"},{"family":"Holbein","given":"John B."}],"issued":{"date-parts":[["2020",8,1]]}}},{"id":"P3SEzVlU/x3hdXzpD","uris":["http://zotero.org/users/5709912/items/EUFHYDLJ"],"uri":["http://zotero.org/users/5709912/items/EUFHYDLJ"],"itemData":{"id":2187,"type":"article-journal","abstract":"Objective. The all-mail format of the 1996 special Senate election in the state of Oregon provides an opportunity to test previous assumptions about the effect of elevated voter turnout on the composition of the electorate, as well as reexamine the conventional wisdom regarding Republican advantage among absentee voters. Methods. This research involves multivariate analysis of 1996 data obtained from a telephone survey conducted immediately following this special election. Results. This analysis reveals that \"vote-by-mail\" voters in Oregon differed only slightly from \"traditional\" voters who went to the polls in previous elections—they were older, more urban, and less partisan. Vote-by-mail voters were as informed, educated, and involved as traditional voters. Additionally, vote-by-mail voters were similar demographically to registered nonvoters but were better educated, and informed about politics. Conclusions. In some manner, all-mail elections provide a method of converting peripheral voters into core voters even in low-stimulus contests.","container-title":"Social Science Quarterly","ISSN":"0038-4941","issue":"3","note":"publisher: [University of Texas Press, Wiley]","page":"837-845","source":"JSTOR","title":"Does Changing the Rules Change the Players? The Effect of All-Mail Elections on the Composition of the Electorate","title-short":"Does Changing the Rules Change the Players?","volume":"81","author":[{"family":"Southwell","given":"Priscilla L."},{"family":"Burchett","given":"Justin I."}],"issued":{"date-parts":[["2000"]]}}},{"id":"P3SEzVlU/PENpb83r","uris":["http://zotero.org/users/5709912/items/6VB4J3VL"],"uri":["http://zotero.org/users/5709912/items/6VB4J3VL"],"itemData":{"id":2176,"type":"article-journal","abstract":"In response to coronavirus disease 2019 (COVID-19), many scholars and policy makers are urging the United States to expand voting-by-mail programs to safeguard the electoral process. What are the effects of vote-by-mail? In this paper, we provide a comprehensive design-based analysis of the effect of universal vote-by-mail—a policy under which every voter is mailed a ballot in advance of the election—on electoral outcomes. We collect data from 1996 to 2018 on all three US states that implemented universal vote-by-mail in a staggered fashion across counties, allowing us to use a difference-in-differences design at the county level to estimate causal effects. We find that 1) universal vote-by-mail does not appear to affect either party’s share of turnout, 2) universal vote-by-mail does not appear to increase either party’s vote share, and 3) universal vote-by-mail modestly increases overall average turnout rates, in line with previous estimates. All three conclusions support the conventional wisdom of election administration experts and contradict many popular claims in the media.","container-title":"Proceedings of the National Academy of Sciences","DOI":"10.1073/pnas.2007249117","ISSN":"0027-8424, 1091-6490","issue":"25","journalAbbreviation":"PNAS","language":"en","note":"publisher: National Academy of Sciences\nsection: Social Sciences\nPMID: 32518108","page":"14052-14056","source":"www.pnas.org","title":"Universal vote-by-mail has no impact on partisan turnout or vote share","volume":"117","author":[{"family":"Thompson","given":"Daniel M."},{"family":"Wu","given":"Jennifer A."},{"family":"Yoder","given":"Jesse"},{"family":"Hall","given":"Andrew B."}],"issued":{"date-parts":[["2020",6,23]]}}}],"schema":"https://github.com/citation-style-language/schema/raw/master/csl-citation.json"} </w:instrText>
      </w:r>
      <w:r w:rsidRPr="001218CF">
        <w:rPr>
          <w:szCs w:val="24"/>
        </w:rPr>
        <w:fldChar w:fldCharType="separate"/>
      </w:r>
      <w:r w:rsidRPr="001218CF">
        <w:rPr>
          <w:szCs w:val="24"/>
        </w:rPr>
        <w:t>(Barber and Holbein 2020; Southwell and Burchett 2000b; Thompson et al. 2020)</w:t>
      </w:r>
      <w:r w:rsidRPr="001218CF">
        <w:rPr>
          <w:szCs w:val="24"/>
        </w:rPr>
        <w:fldChar w:fldCharType="end"/>
      </w:r>
      <w:r w:rsidRPr="001218CF">
        <w:rPr>
          <w:szCs w:val="24"/>
        </w:rPr>
        <w:t>, we find no partisan advantage associated with making voting by mail easier. Presidential vote share at the county level does not appear to be functionally related to the ease with which voters can cast their ballots by mail.</w:t>
      </w:r>
    </w:p>
    <w:p w14:paraId="77A6E226" w14:textId="7D38AD4D" w:rsidR="001218CF" w:rsidRPr="001218CF" w:rsidRDefault="001218CF" w:rsidP="001218CF">
      <w:pPr>
        <w:spacing w:line="480" w:lineRule="auto"/>
        <w:rPr>
          <w:szCs w:val="24"/>
        </w:rPr>
      </w:pPr>
      <w:r w:rsidRPr="001218CF">
        <w:rPr>
          <w:szCs w:val="24"/>
        </w:rPr>
        <w:t xml:space="preserve">In sum, we identify costs to voting that can be brought down through less restrictive VBM policy. Policymakers that seek to improve (small “d”) democratic electoral outcomes in their jurisdictions should move to send their voters mail-in ballots. More at stake, our findings should serve as tools for democratic advocates in a political era of growing anti-democratic and </w:t>
      </w:r>
      <w:r w:rsidRPr="001218CF">
        <w:rPr>
          <w:szCs w:val="24"/>
        </w:rPr>
        <w:lastRenderedPageBreak/>
        <w:t xml:space="preserve">authoritarian sentiment </w:t>
      </w:r>
      <w:r w:rsidRPr="001218CF">
        <w:rPr>
          <w:szCs w:val="24"/>
        </w:rPr>
        <w:fldChar w:fldCharType="begin"/>
      </w:r>
      <w:r>
        <w:rPr>
          <w:szCs w:val="24"/>
        </w:rPr>
        <w:instrText xml:space="preserve"> ADDIN ZOTERO_ITEM CSL_CITATION {"citationID":"dgZkXH4A","properties":{"formattedCitation":"(Ballard-Rosa, Jensen, and Scheve 2018; Inglehart and Norris 2017; Malka et al. 2020; Norris and Inglehart 2019)","plainCitation":"(Ballard-Rosa, Jensen, and Scheve 2018; Inglehart and Norris 2017; Malka et al. 2020; Norris and Inglehart 2019)","noteIndex":0},"citationItems":[{"id":"P3SEzVlU/N45FBjLI","uris":["http://zotero.org/users/5709912/items/F4UEUC7U"],"uri":["http://zotero.org/users/5709912/items/F4UEUC7U"],"itemData":{"id":2545,"type":"article-journal","container-title":"American Political Science Association, Boston","title":"Economic decline, social identity, and authoritarian values in the United States","author":[{"family":"Ballard-Rosa","given":"Cameron"},{"family":"Jensen","given":"Amalie"},{"family":"Scheve","given":"Kenneth"}],"issued":{"date-parts":[["2018"]]}}},{"id":"P3SEzVlU/i2Omj4jy","uris":["http://zotero.org/users/5709912/items/H2JJM67B"],"uri":["http://zotero.org/users/5709912/items/H2JJM67B"],"itemData":{"id":2543,"type":"article-journal","abstract":"Growing up taking survival for granted makes people more open to new ideas and more tolerant of outgroups. Insecurity has the opposite effect, stimulating an Authoritarian Reflex in which people close ranks behind strong leaders, with strong in-group solidarity, rejection of outsiders, and rigid conformity to group norms. The 35 years of exceptional security experienced by developed democracies after WWII brought pervasive cultural changes, including the rise of Green parties and the spread of democracy. During the past 35 years, economic growth continued, but virtually all of the gains went to those at the top; the less-educated experienced declining existential security, fueling support for Populist Authoritarian phenomena such as Brexit, France’s National Front and Trump’s takeover of the Republican party. This raises two questions: (1) “What motivates people to support Populist Authoritarian movements?” And (2) “Why is the populist authoritarian vote so much higher now than it was several decades ago in high-income countries?” The two questions have different answers. Support for populist authoritarian parties is motivated by a backlash against cultural change. From the start, younger Postmaterialist birth cohorts supported environmentalist parties, while older, less secure cohorts supported authoritarian xenophobic parties, in an enduring intergenerational value clash. But for the past three decades, strong period effects have been working to increase support for xenophobic parties: economic gains have gone almost entirely to those at the top, while a large share of the population experienced declining real income and job security, along with a large influx of immigrants and refugees. Cultural backlash explains why given individuals support Populist Authoritarian movements. Declining existential security explains why support for these movements is greater now than it was thirty years ago.","container-title":"Perspectives on Politics","DOI":"10.1017/S1537592717000111","ISSN":"1537-5927, 1541-0986","issue":"2","language":"en","note":"publisher: Cambridge University Press","page":"443-454","source":"Cambridge University Press","title":"Trump and the Populist Authoritarian Parties: The Silent Revolution in Reverse","title-short":"Trump and the Populist Authoritarian Parties","volume":"15","author":[{"family":"Inglehart","given":"Ronald"},{"family":"Norris","given":"Pippa"}],"issued":{"date-parts":[["2017",6]]}}},{"id":"P3SEzVlU/SiB3zqCG","uris":["http://zotero.org/users/5709912/items/HDZ23DDM"],"uri":["http://zotero.org/users/5709912/items/HDZ23DDM"],"itemData":{"id":2537,"type":"article-journal","abstract":"Recent events have raised concern about potential threats to democracy within Western countries. If Western citizens who are open to authoritarian governance share a common set of political preferences, then authoritarian elites can attract mass coalitions that are willing to subvert democracy to achieve shared ideological goals. With this in mind, we explored which ideological groups are most open to authoritarian governance within Western general publics using World Values Survey data from fourteen Western democracies and three recent Latin American Public Opinion Project samples from Canada and the United States. Two key findings emerged. First, cultural conservatism was consistently associated with openness to authoritarian governance. Second, within half of the democracies studied, including all of the English-speaking ones, Western citizens holding a protection-based attitude package⸺combining cultural conservatism with left economic attitudes⸺were the most open to authoritarian governance. Within other countries, protection-based and consistently right-wing attitude packages were associated with similarly high levels of openness to authoritarian governance. We discuss implications for radical right populism and the possibility of splitting potentially undemocratic mass coalitions along economic lines.","container-title":"Perspectives on Politics","DOI":"10.1017/S1537592720002091","ISSN":"1537-5927, 1541-0986","language":"en","note":"publisher: Cambridge University Press","page":"1-20","source":"Cambridge University Press","title":"Who Is Open to Authoritarian Governance within Western Democracies?","author":[{"family":"Malka","given":"Ariel"},{"family":"Lelkes","given":"Yphtach"},{"family":"Bakker","given":"Bert N."},{"family":"Spivack","given":"Eliyahu"}],"issued":{"date-parts":[["2020"]]}}},{"id":"P3SEzVlU/ZUWlSaSw","uris":["http://zotero.org/users/5709912/items/U2HXLQW3"],"uri":["http://zotero.org/users/5709912/items/U2HXLQW3"],"itemData":{"id":2541,"type":"book","abstract":"Authoritarian populist parties have advanced in many countries, and entered government in states as diverse as Austria, Italy, the Netherlands, Poland, and Switzerland. Even small parties can still shift the policy agenda, as demonstrated by UKIP's role in catalyzing Brexit. Drawing on new evidence, the book advances a general theory why the silent revolution in values triggered a backlash fuelling support for Authoritarian-Populist parties and leaders in the US and Europe. The conclusion highlights the dangers of this development and what could be done to mitigate the risks to liberal democracy.","ISBN":"978-1-108-60655-4","language":"en","note":"Google-Books-ID: I8aGDwAAQBAJ","number-of-pages":"555","publisher":"Cambridge University Press","source":"Google Books","title":"Cultural Backlash: Trump, Brexit, and Authoritarian Populism","title-short":"Cultural Backlash","author":[{"family":"Norris","given":"Pippa"},{"family":"Inglehart","given":"Ronald"}],"issued":{"date-parts":[["2019",2,14]]}}}],"schema":"https://github.com/citation-style-language/schema/raw/master/csl-citation.json"} </w:instrText>
      </w:r>
      <w:r w:rsidRPr="001218CF">
        <w:rPr>
          <w:szCs w:val="24"/>
        </w:rPr>
        <w:fldChar w:fldCharType="separate"/>
      </w:r>
      <w:r w:rsidRPr="001218CF">
        <w:rPr>
          <w:szCs w:val="24"/>
        </w:rPr>
        <w:t>(Ballard-Rosa, Jensen, and Scheve 2018; Inglehart and Norris 2017; Malka et al. 2020; Norris and Inglehart 2019)</w:t>
      </w:r>
      <w:r w:rsidRPr="001218CF">
        <w:rPr>
          <w:szCs w:val="24"/>
        </w:rPr>
        <w:fldChar w:fldCharType="end"/>
      </w:r>
      <w:r w:rsidRPr="001218CF">
        <w:rPr>
          <w:szCs w:val="24"/>
        </w:rPr>
        <w:t xml:space="preserve">. </w:t>
      </w:r>
    </w:p>
    <w:p w14:paraId="583EC38A" w14:textId="77777777" w:rsidR="001218CF" w:rsidRPr="001218CF" w:rsidRDefault="001218CF" w:rsidP="001218CF">
      <w:pPr>
        <w:keepNext/>
        <w:keepLines/>
        <w:spacing w:before="240" w:after="0" w:line="480" w:lineRule="auto"/>
        <w:outlineLvl w:val="0"/>
        <w:rPr>
          <w:rFonts w:eastAsiaTheme="majorEastAsia" w:cstheme="majorBidi"/>
          <w:b/>
          <w:szCs w:val="24"/>
          <w:u w:val="single"/>
        </w:rPr>
      </w:pPr>
      <w:r w:rsidRPr="001218CF">
        <w:rPr>
          <w:rFonts w:eastAsiaTheme="majorEastAsia" w:cstheme="majorBidi"/>
          <w:b/>
          <w:szCs w:val="24"/>
          <w:u w:val="single"/>
        </w:rPr>
        <w:t>Literature and Hypotheses</w:t>
      </w:r>
    </w:p>
    <w:p w14:paraId="7AE06929" w14:textId="60536192" w:rsidR="001218CF" w:rsidRPr="001218CF" w:rsidRDefault="001218CF" w:rsidP="001218CF">
      <w:pPr>
        <w:spacing w:line="480" w:lineRule="auto"/>
        <w:rPr>
          <w:szCs w:val="24"/>
        </w:rPr>
      </w:pPr>
      <w:r w:rsidRPr="001218CF">
        <w:rPr>
          <w:szCs w:val="24"/>
        </w:rPr>
        <w:t>Theoretically, by eliminating a trip to a polling place on Election Day, voting by mail is less costly for a prospective voter than voting in person, making them more likely to turn out (</w:t>
      </w:r>
      <w:r w:rsidRPr="001218CF">
        <w:rPr>
          <w:szCs w:val="24"/>
        </w:rPr>
        <w:fldChar w:fldCharType="begin"/>
      </w:r>
      <w:r>
        <w:rPr>
          <w:szCs w:val="24"/>
        </w:rPr>
        <w:instrText xml:space="preserve"> ADDIN ZOTERO_ITEM CSL_CITATION {"citationID":"ZKCCtLjC","properties":{"formattedCitation":"(Downs 1957)","plainCitation":"(Downs 1957)","dontUpdate":true,"noteIndex":0},"citationItems":[{"id":"P3SEzVlU/QyDyWKel","uris":["http://zotero.org/users/5709912/items/TRPKVFJG"],"uri":["http://zotero.org/users/5709912/items/TRPKVFJG"],"itemData":{"id":1971,"type":"article-journal","note":"publisher: New York","title":"An economic theory of democracy","author":[{"family":"Downs","given":"Anthony"}],"issued":{"date-parts":[["1957"]]}}}],"schema":"https://github.com/citation-style-language/schema/raw/master/csl-citation.json"} </w:instrText>
      </w:r>
      <w:r w:rsidRPr="001218CF">
        <w:rPr>
          <w:szCs w:val="24"/>
        </w:rPr>
        <w:fldChar w:fldCharType="separate"/>
      </w:r>
      <w:r w:rsidRPr="001218CF">
        <w:rPr>
          <w:szCs w:val="24"/>
        </w:rPr>
        <w:t>Downs 1957)</w:t>
      </w:r>
      <w:r w:rsidRPr="001218CF">
        <w:rPr>
          <w:szCs w:val="24"/>
        </w:rPr>
        <w:fldChar w:fldCharType="end"/>
      </w:r>
      <w:r w:rsidRPr="001218CF">
        <w:rPr>
          <w:szCs w:val="24"/>
        </w:rPr>
        <w:t xml:space="preserve">. There is much empirical support for this proposition, with documentations of small and positive impacts of moving to VBM-only elections on turnout in Colorado, Washington, Utah, and Oregon </w:t>
      </w:r>
      <w:r w:rsidRPr="001218CF">
        <w:rPr>
          <w:szCs w:val="24"/>
        </w:rPr>
        <w:fldChar w:fldCharType="begin"/>
      </w:r>
      <w:r>
        <w:rPr>
          <w:szCs w:val="24"/>
        </w:rPr>
        <w:instrText xml:space="preserve"> ADDIN ZOTERO_ITEM CSL_CITATION {"citationID":"fo07hC2Q","properties":{"formattedCitation":"(Barber and Holbein 2020; Berinsky, Burns, and Traugott 2001; Gerber, Huber, and Hill 2013; Gronke and Miller 2012; Kousser and Mullin 2007; McGhee, Paluch, and Romero 2020; P. L. Southwell 2009; P. L. Southwell and Burchett 2000)","plainCitation":"(Barber and Holbein 2020; Berinsky, Burns, and Traugott 2001; Gerber, Huber, and Hill 2013; Gronke and Miller 2012; Kousser and Mullin 2007; McGhee, Paluch, and Romero 2020; P. L. Southwell 2009; P. L. Southwell and Burchett 2000)","dontUpdate":true,"noteIndex":0},"citationItems":[{"id":"P3SEzVlU/BxF15WpT","uris":["http://zotero.org/users/5709912/items/NI8XI4T5"],"uri":["http://zotero.org/users/5709912/items/NI8XI4T5"],"itemData":{"id":2158,"type":"article-journal","abstract":"Recently, mandatory vote-by-mail has received a great deal of attention as a means of administering elections in the United States. However, policy-makers disagree on the merits of this approach. Many of these debates hinge on whether mandatory vote-by-mail advantages one political party over the other. Using a unique pairing of historical county-level data that covers the past three decades and more than 40 million voting records from the two states that have conducted a staggered rollout of mandatory vote-by-mail (Washington and Utah), we use several methods for causal inference to show that mandatory vote-by-mail slightly increases voter turnout but has no effect on election outcomes at various levels of government. Our results find meaning given contemporary debates about the merits of mandatory vote-by-mail. Mandatory vote-by-mail ensures that citizens are given a safe means of casting their ballot while simultaneously not advantaging one political party over the other.\nThis paper shows that mandatory vote-by-mail increases voter turnout but does not advantage one political party over the other.\nThis paper shows that mandatory vote-by-mail increases voter turnout but does not advantage one political party over the other.","container-title":"Science Advances","DOI":"10.1126/sciadv.abc7685","ISSN":"2375-2548","issue":"35","language":"en","note":"publisher: American Association for the Advancement of Science\nsection: Research Article","page":"eabc7685","source":"advances.sciencemag.org","title":"The participatory and partisan impacts of mandatory vote-by-mail","volume":"6","author":[{"family":"Barber","given":"Michael"},{"family":"Holbein","given":"John B."}],"issued":{"date-parts":[["2020",8,1]]}}},{"id":"P3SEzVlU/F31jsvAS","uris":["http://zotero.org/users/5709912/items/S25ZAXS2"],"uri":["http://zotero.org/users/5709912/items/S25ZAXS2"],"itemData":{"id":2165,"type":"article-journal","abstract":"Abstract.  Election administrators and public officials often consider changes in electoral laws, hoping that these changes will increase voter turnout and make","container-title":"Public Opinion Quarterly","DOI":"10.1086/322196","ISSN":"0033-362X","issue":"2","journalAbbreviation":"Public Opin Q","language":"en","note":"publisher: Oxford Academic","page":"178-197","source":"academic.oup.com","title":"Who Votes by Mail?: A Dynamic Model of the Individual-Level Consequences of Voting-by-Mail Systems","title-short":"Who Votes by Mail?","volume":"65","author":[{"family":"Berinsky","given":"Adam J."},{"family":"Burns","given":"Nancy"},{"family":"Traugott","given":"Michael W."}],"issued":{"date-parts":[["2001",6,1]]}}},{"id":"P3SEzVlU/zoxsSqWW","uris":["http://zotero.org/users/5709912/items/7UEJPWV2"],"uri":["http://zotero.org/users/5709912/items/7UEJPWV2"],"itemData":{"id":2171,"type":"article-journal","abstract":"What effect does moving to all-mail elections have on participation? On one hand, all registered voters automatically receive a ballot to return by mail at their convenience. On the other hand, the social aspect of the polling place, and the focal point of election day, is lost. Current estimates of the effect of all-mail elections on turnout are ambiguous. This article offers an improved design and new estimates of the effect of moving to all-mail elections. Exploiting cross-sectional and temporal variation in county-level implementation of all-mail elections in Washington State, we find that the reform increased aggregate participation by two to four percentage points. Using individual observations from the state voter file, we also find that the reform increased turnout more for lower-participating registrants than for frequent voters, suggesting that all-mail voting reduces turnout disparities between these groups.","container-title":"Political Science Research and Methods","DOI":"10.1017/psrm.2013.5","ISSN":"2049-8470, 2049-8489","issue":"1","language":"en","note":"publisher: Cambridge University Press","page":"91-116","source":"Cambridge University Press","title":"Identifying the Effect of All-Mail Elections on Turnout: Staggered Reform in the Evergreen State*","title-short":"Identifying the Effect of All-Mail Elections on Turnout","volume":"1","author":[{"family":"Gerber","given":"Alan S."},{"family":"Huber","given":"Gregory A."},{"family":"Hill","given":"Seth J."}],"issued":{"date-parts":[["2013",6]]}}},{"id":"P3SEzVlU/EYst1NCX","uris":["http://zotero.org/users/5709912/items/CM44UPI3"],"uri":["http://zotero.org/users/5709912/items/CM44UPI3"],"itemData":{"id":2174,"type":"article-journal","abstract":"In the most widely cited result on the turnout effects of voting by mail, Southwell and Burchett report that Oregon’s system increased turnout by 10 percentage points. We attempt to replicate this finding and extend the analysis to additional years to test whether the originally reported effect is due to the novelty of the first three voting by mail elections in 1995 and 1996. We are unable to reproduce earlier findings, either via replication or extending the time series to include 2010 electoral data. We find evidence for a novelty effect when all elections between 1960 and 2010 are included in our analysis, and a consistent impact of voting by mail on turnout only in special elections.","container-title":"American Politics Research","DOI":"10.1177/1532673X12457809","ISSN":"1532-673X","issue":"6","journalAbbreviation":"American Politics Research","language":"en","note":"publisher: SAGE Publications Inc","page":"976-997","source":"SAGE Journals","title":"Voting by Mail and Turnout in Oregon: Revisiting Southwell and Burchett","title-short":"Voting by Mail and Turnout in Oregon","volume":"40","author":[{"family":"Gronke","given":"Paul"},{"family":"Miller","given":"Peter"}],"issued":{"date-parts":[["2012",11,1]]}}},{"id":"P3SEzVlU/CIHsG8NC","uris":["http://zotero.org/users/5709912/items/ZM35IDZY"],"uri":["http://zotero.org/users/5709912/items/ZM35IDZY"],"itemData":{"id":2170,"type":"article-journal","abstract":"Would holding elections by mail increase voter turnout? Many electoral reform advocates predict that mail ballot elections will boost participation, basing their prediction on the high turnout rate among absentee voters and on the rise in voter turnout after Oregon switched to voting by mail. However, selection problems inherent to studies of absentee voters and Oregon give us important reasons to doubt whether their results would extend to more general applications of voting by mail. In this paper, we isolate the effects of voting in mail ballot elections by taking advantage of a natural experiment in which voters are assigned in a nearly random process to cast their ballots by mail. We use matching methods to ensure that, in our analysis, the demographic characteristics of these voters mirror those of polling-place voters who take part in the same elections. Drawing on data from a large sample of California counties in two general elections, we find that voting by mail does not deliver on the promise of greater participation in general elections. In fact, voters who are assigned to vote by mail turn out at lower rates than those who are sent to a polling place. Analysis of a sample of local special elections, by contrast, indicates that voting by mail can increase turnout in these otherwise low-participation contests.","container-title":"Political Analysis","ISSN":"1047-1987","issue":"4","note":"publisher: [Oxford University Press, Society for Political Methodology]","page":"428-445","source":"JSTOR","title":"Does Voting by Mail Increase Participation? Using Matching to Analyze a Natural Experiment","title-short":"Does Voting by Mail Increase Participation?","volume":"15","author":[{"family":"Kousser","given":"Thad"},{"family":"Mullin","given":"Megan"}],"issued":{"date-parts":[["2007"]]}}},{"id":1247,"uris":["http://zotero.org/groups/2573990/items/8XE2YX2H"],"uri":["http://zotero.org/groups/2573990/items/8XE2YX2H"],"itemData":{"id":1247,"type":"post-weblog","abstract":"With COVID-19 threatening the November election, many states are working to increase voting by mail. In California, 15 counties have already expanded alternatives to in-person voting, and while overall voter turnout was higher, groups such as foreign-language and young voters sometimes saw declines. Outreach by trusted messengers may help in targeting low-turnout groups.","container-title":"Public Policy Institute of California","language":"en-US","title":"How Greater Vote-by-Mail Influences California Voter Turnout","URL":"https://www.ppic.org/publication/how-greater-vote-by-mail-influences-california-voter-turnout/","author":[{"family":"McGhee","given":"Eric"},{"family":"Paluch","given":"Jennifer"},{"family":"Romero","given":"Mindy"}],"accessed":{"date-parts":[["2020",9,25]]},"issued":{"date-parts":[["2020",9]]}}},{"id":1228,"uris":["http://zotero.org/groups/2573990/items/IMZGD227"],"uri":["http://zotero.org/groups/2573990/items/IMZGD227"],"itemData":{"id":1228,"type":"article-journal","abstract":"Proponents of vote by mail elections often argue that this type of election facilitates participation such that elevated levels of turnout occur. The research tests this assumption by analyzing 44 statewide elections (1980–2007) in the state of Oregon—the only state that conducts all of its elections by mail. The results of this analysis suggest that the vote by mail format is a major stimulus to voter participation in special elections in Oregon, while its effect on turnout in primary and general elections is positive, but fairly minimal.","container-title":"The Social Science Journal","DOI":"10.1016/j.soscij.2008.12.010","ISSN":"0362-3319, 1873-5355","issue":"1","journalAbbreviation":"The Social Science Journal","language":"en","page":"211-216","source":"DOI.org (Crossref)","title":"Analysis of the turnout effects of vote by mail elections, 1980–2007","volume":"46","author":[{"family":"Southwell","given":"Priscilla L."}],"issued":{"date-parts":[["2009",3,1]]}}},{"id":1232,"uris":["http://zotero.org/groups/2573990/items/LKJFMDKH"],"uri":["http://zotero.org/groups/2573990/items/LKJFMDKH"],"itemData":{"id":1232,"type":"article-journal","abstract":"Proponents of all-mail elections argue that this type of election facilitates participation such that elevated levels of turnout occur. The research tests this assumption by analyzing 48 statewide elections from the state of Oregon. This analysis suggests that the all-mail format is a major stimulus to voter participation, second only to the impact of a presidential contest. Previous research on the effect of systemic factors on voter turnout has distinguished between short-term influences (i.e., perceived closeness of the election) and long-term characteristics of the state or district (i.e., party competition). Legal requirements are usually in the","container-title":"American Politics Quarterly","issue":"1","page":"72-79","source":"CiteSeer","title":"The Effect of All-Mail Elections on Voter Turnout","volume":"28","author":[{"family":"Southwell","given":"Priscilla L."},{"family":"Burchett","given":"Justin I."}],"issued":{"date-parts":[["2000"]]}}}],"schema":"https://github.com/citation-style-language/schema/raw/master/csl-citation.json"} </w:instrText>
      </w:r>
      <w:r w:rsidRPr="001218CF">
        <w:rPr>
          <w:szCs w:val="24"/>
        </w:rPr>
        <w:fldChar w:fldCharType="separate"/>
      </w:r>
      <w:r w:rsidRPr="001218CF">
        <w:rPr>
          <w:szCs w:val="24"/>
        </w:rPr>
        <w:t>(Barber and Holbein 2020; Berinsky, Burns, and Traugott 2001; Gerber, Huber, and Hill 2013; Gronke and Miller 2012; Kousser and Mullin 2007; McGhee, Paluch, and Romero 2020; Southwell 2009; Southwell and Burchett 2000a, 2000b)</w:t>
      </w:r>
      <w:r w:rsidRPr="001218CF">
        <w:rPr>
          <w:szCs w:val="24"/>
        </w:rPr>
        <w:fldChar w:fldCharType="end"/>
      </w:r>
      <w:r w:rsidRPr="001218CF">
        <w:rPr>
          <w:szCs w:val="24"/>
        </w:rPr>
        <w:t xml:space="preserve">.  However, other than analyzing the effects of moving to a complete VBM system, there is little empirical evidence regarding the different ways voting costs may be reduced by making voting by mail easier. Additionally, there have been no assessments of VBM policy effects outside of four Western states. </w:t>
      </w:r>
    </w:p>
    <w:p w14:paraId="0E2F368B" w14:textId="068F7B42" w:rsidR="001218CF" w:rsidRPr="001218CF" w:rsidRDefault="001218CF" w:rsidP="001218CF">
      <w:pPr>
        <w:spacing w:line="480" w:lineRule="auto"/>
        <w:rPr>
          <w:szCs w:val="24"/>
        </w:rPr>
      </w:pPr>
      <w:r w:rsidRPr="001218CF">
        <w:rPr>
          <w:szCs w:val="24"/>
        </w:rPr>
        <w:t xml:space="preserve">While the conventional wisdom is that eligible non-voters, which are primarily poorer, less educated, and nonwhite, would vote for Democratic candidates if they did vote, there is little evidence suggesting that increasing the convenience of voting or, specifically, moving to VBM-only elections, significantly alter parties’ vote shares </w:t>
      </w:r>
      <w:r w:rsidRPr="001218CF">
        <w:rPr>
          <w:szCs w:val="24"/>
        </w:rPr>
        <w:fldChar w:fldCharType="begin"/>
      </w:r>
      <w:r>
        <w:rPr>
          <w:szCs w:val="24"/>
        </w:rPr>
        <w:instrText xml:space="preserve"> ADDIN ZOTERO_ITEM CSL_CITATION {"citationID":"Mo3YpsVl","properties":{"formattedCitation":"(Alvarez, Levin, and Sinclair 2012; Barber and Holbein 2020a; Martinez and Gill 2005; Southwell and Burchett 2000a; Thompson et al. 2020a)","plainCitation":"(Alvarez, Levin, and Sinclair 2012; Barber and Holbein 2020a; Martinez and Gill 2005; Southwell and Burchett 2000a; Thompson et al. 2020a)","noteIndex":0},"citationItems":[{"id":"P3SEzVlU/KTLIsV1q","uris":["http://zotero.org/users/5709912/items/YPLM9UVW"],"uri":["http://zotero.org/users/5709912/items/YPLM9UVW"],"itemData":{"id":2190,"type":"article-journal","abstract":"The authors analyze the choice of voting mode in the 2008 presidential election using a large-sample survey with national coverage that allows a new perspective of convenience voting. Most importantly, they make clear distinctions among the major forms of convenience voting and demonstrate that not all “convenience voters” share the same attributes. In addition, the authors find little support for the hypothesis that convenience voting methods have partisan implications, despite the differences among mail, early, and election-day voters. Results like these have important implications for future moves toward convenience voting and the design of new outreach campaigns.","container-title":"Political Research Quarterly","DOI":"10.1177/1065912911398048","ISSN":"1065-9129","issue":"2","journalAbbreviation":"Political Research Quarterly","language":"en","note":"publisher: SAGE Publications Inc","page":"248-262","source":"SAGE Journals","title":"Making Voting Easier: Convenience Voting in the 2008 Presidential Election","title-short":"Making Voting Easier","volume":"65","author":[{"family":"Alvarez","given":"R. Michael"},{"family":"Levin","given":"Ines"},{"family":"Sinclair","given":"J. Andrew"}],"issued":{"date-parts":[["2012",6,1]]}}},{"id":"P3SEzVlU/BxF15WpT","uris":["http://zotero.org/users/5709912/items/NI8XI4T5"],"uri":["http://zotero.org/users/5709912/items/NI8XI4T5"],"itemData":{"id":2158,"type":"article-journal","abstract":"Recently, mandatory vote-by-mail has received a great deal of attention as a means of administering elections in the United States. However, policy-makers disagree on the merits of this approach. Many of these debates hinge on whether mandatory vote-by-mail advantages one political party over the other. Using a unique pairing of historical county-level data that covers the past three decades and more than 40 million voting records from the two states that have conducted a staggered rollout of mandatory vote-by-mail (Washington and Utah), we use several methods for causal inference to show that mandatory vote-by-mail slightly increases voter turnout but has no effect on election outcomes at various levels of government. Our results find meaning given contemporary debates about the merits of mandatory vote-by-mail. Mandatory vote-by-mail ensures that citizens are given a safe means of casting their ballot while simultaneously not advantaging one political party over the other.\nThis paper shows that mandatory vote-by-mail increases voter turnout but does not advantage one political party over the other.\nThis paper shows that mandatory vote-by-mail increases voter turnout but does not advantage one political party over the other.","container-title":"Science Advances","DOI":"10.1126/sciadv.abc7685","ISSN":"2375-2548","issue":"35","language":"en","note":"publisher: American Association for the Advancement of Science\nsection: Research Article","page":"eabc7685","source":"advances.sciencemag.org","title":"The participatory and partisan impacts of mandatory vote-by-mail","volume":"6","author":[{"family":"Barber","given":"Michael"},{"family":"Holbein","given":"John B."}],"issued":{"date-parts":[["2020",8,1]]}}},{"id":"P3SEzVlU/ENnK6Z6x","uris":["http://zotero.org/users/5709912/items/NVFJ3PDM"],"uri":["http://zotero.org/users/5709912/items/NVFJ3PDM"],"itemData":{"id":2192,"type":"article-journal","abstract":"It is commonly believed by pundits and political elites that higher turnout                     favors Democratic candidates, but the extant research is inconsistent in finding                     this effect. The purpose of this article is to provide scholars with a                     methodology for assessing the likely effects of turnout on an election outcome                     using simulations based on survey data. By varying simulated turnout rates for                     five U.S. elections from 1960 to 2000, we observe that Democratic advantages                     from higher turnout (and Republican advantages from lower turnout) have steadily                     ebbed since 1960, corresponding to the erosion of class cleavages in U.S.                     elections.","container-title":"The Journal of Politics","DOI":"10.1111/j.1468-2508.2005.00359.x","ISSN":"0022-3816","issue":"4","journalAbbreviation":"The Journal of Politics","note":"publisher: The University of Chicago Press","page":"1248-1274","source":"journals.uchicago.edu (Atypon)","title":"The Effects of Turnout on Partisan Outcomes in U.S. Presidential Elections 1960–2000","volume":"67","author":[{"family":"Martinez","given":"Michael D."},{"family":"Gill","given":"Jeff"}],"issued":{"date-parts":[["2005",11,1]]}}},{"id":"P3SEzVlU/x3hdXzpD","uris":["http://zotero.org/users/5709912/items/EUFHYDLJ"],"uri":["http://zotero.org/users/5709912/items/EUFHYDLJ"],"itemData":{"id":2187,"type":"article-journal","abstract":"Objective. The all-mail format of the 1996 special Senate election in the state of Oregon provides an opportunity to test previous assumptions about the effect of elevated voter turnout on the composition of the electorate, as well as reexamine the conventional wisdom regarding Republican advantage among absentee voters. Methods. This research involves multivariate analysis of 1996 data obtained from a telephone survey conducted immediately following this special election. Results. This analysis reveals that \"vote-by-mail\" voters in Oregon differed only slightly from \"traditional\" voters who went to the polls in previous elections—they were older, more urban, and less partisan. Vote-by-mail voters were as informed, educated, and involved as traditional voters. Additionally, vote-by-mail voters were similar demographically to registered nonvoters but were better educated, and informed about politics. Conclusions. In some manner, all-mail elections provide a method of converting peripheral voters into core voters even in low-stimulus contests.","container-title":"Social Science Quarterly","ISSN":"0038-4941","issue":"3","note":"publisher: [University of Texas Press, Wiley]","page":"837-845","source":"JSTOR","title":"Does Changing the Rules Change the Players? The Effect of All-Mail Elections on the Composition of the Electorate","title-short":"Does Changing the Rules Change the Players?","volume":"81","author":[{"family":"Southwell","given":"Priscilla L."},{"family":"Burchett","given":"Justin I."}],"issued":{"date-parts":[["2000"]]}}},{"id":"P3SEzVlU/PENpb83r","uris":["http://zotero.org/users/5709912/items/6VB4J3VL"],"uri":["http://zotero.org/users/5709912/items/6VB4J3VL"],"itemData":{"id":2176,"type":"article-journal","abstract":"In response to coronavirus disease 2019 (COVID-19), many scholars and policy makers are urging the United States to expand voting-by-mail programs to safeguard the electoral process. What are the effects of vote-by-mail? In this paper, we provide a comprehensive design-based analysis of the effect of universal vote-by-mail—a policy under which every voter is mailed a ballot in advance of the election—on electoral outcomes. We collect data from 1996 to 2018 on all three US states that implemented universal vote-by-mail in a staggered fashion across counties, allowing us to use a difference-in-differences design at the county level to estimate causal effects. We find that 1) universal vote-by-mail does not appear to affect either party’s share of turnout, 2) universal vote-by-mail does not appear to increase either party’s vote share, and 3) universal vote-by-mail modestly increases overall average turnout rates, in line with previous estimates. All three conclusions support the conventional wisdom of election administration experts and contradict many popular claims in the media.","container-title":"Proceedings of the National Academy of Sciences","DOI":"10.1073/pnas.2007249117","ISSN":"0027-8424, 1091-6490","issue":"25","journalAbbreviation":"PNAS","language":"en","note":"publisher: National Academy of Sciences\nsection: Social Sciences\nPMID: 32518108","page":"14052-14056","source":"www.pnas.org","title":"Universal vote-by-mail has no impact on partisan turnout or vote share","volume":"117","author":[{"family":"Thompson","given":"Daniel M."},{"family":"Wu","given":"Jennifer A."},{"family":"Yoder","given":"Jesse"},{"family":"Hall","given":"Andrew B."}],"issued":{"date-parts":[["2020",6,23]]}}}],"schema":"https://github.com/citation-style-language/schema/raw/master/csl-citation.json"} </w:instrText>
      </w:r>
      <w:r w:rsidRPr="001218CF">
        <w:rPr>
          <w:szCs w:val="24"/>
        </w:rPr>
        <w:fldChar w:fldCharType="separate"/>
      </w:r>
      <w:r w:rsidRPr="001218CF">
        <w:rPr>
          <w:rFonts w:cs="Times New Roman"/>
        </w:rPr>
        <w:t>(Alvarez, Levin, and Sinclair 2012; Barber and Holbein 2020a; Martinez and Gill 2005; Southwell and Burchett 2000a; Thompson et al. 2020a)</w:t>
      </w:r>
      <w:r w:rsidRPr="001218CF">
        <w:rPr>
          <w:szCs w:val="24"/>
        </w:rPr>
        <w:fldChar w:fldCharType="end"/>
      </w:r>
      <w:r w:rsidRPr="001218CF">
        <w:rPr>
          <w:szCs w:val="24"/>
        </w:rPr>
        <w:t xml:space="preserve">. </w:t>
      </w:r>
      <w:bookmarkStart w:id="0" w:name="_Hlk64890506"/>
      <w:r w:rsidRPr="001218CF">
        <w:rPr>
          <w:szCs w:val="24"/>
        </w:rPr>
        <w:t xml:space="preserve"> However, there may be unforeseen partisan effects of adopting other VBM policies, such as sending voters mail-in ballot applications or omitting the need for an excuse to vote by mail. We exploit substantial policy and regional variation, both new to the U.S. in the 2020 </w:t>
      </w:r>
      <w:r w:rsidRPr="001218CF">
        <w:rPr>
          <w:szCs w:val="24"/>
        </w:rPr>
        <w:lastRenderedPageBreak/>
        <w:t>presidential general election, to systematically evaluate the effects of VBM policy on turnout and vote share.</w:t>
      </w:r>
    </w:p>
    <w:bookmarkEnd w:id="0"/>
    <w:p w14:paraId="444C34A8" w14:textId="77777777" w:rsidR="001218CF" w:rsidRPr="001218CF" w:rsidRDefault="001218CF" w:rsidP="001218CF">
      <w:pPr>
        <w:spacing w:line="480" w:lineRule="auto"/>
        <w:rPr>
          <w:szCs w:val="24"/>
        </w:rPr>
      </w:pPr>
      <w:r w:rsidRPr="001218CF">
        <w:rPr>
          <w:szCs w:val="24"/>
        </w:rPr>
        <w:t xml:space="preserve">Based on existing research, we hypothesize that making voting easier by liberalizing VBM policy will increase turnout. Because there is variation in the degree to which changes in VBM lowered voting costs (“dosage variation”) we </w:t>
      </w:r>
      <w:proofErr w:type="gramStart"/>
      <w:r w:rsidRPr="001218CF">
        <w:rPr>
          <w:szCs w:val="24"/>
        </w:rPr>
        <w:t>are able to</w:t>
      </w:r>
      <w:proofErr w:type="gramEnd"/>
      <w:r w:rsidRPr="001218CF">
        <w:rPr>
          <w:szCs w:val="24"/>
        </w:rPr>
        <w:t xml:space="preserve"> analyze the effects of multiple policy interventions. We hypothesize a higher dosage of VBM policy liberalization leads to proportionately higher turnout. Specifically, we expect counties that moved from requiring a valid excuse from voters </w:t>
      </w:r>
      <w:r w:rsidRPr="001218CF">
        <w:rPr>
          <w:i/>
          <w:iCs/>
          <w:szCs w:val="24"/>
        </w:rPr>
        <w:t>to</w:t>
      </w:r>
      <w:r w:rsidRPr="001218CF">
        <w:rPr>
          <w:szCs w:val="24"/>
        </w:rPr>
        <w:t xml:space="preserve"> vote by mail in 2016 to not requiring one to experience the smallest increase in turnout, relative </w:t>
      </w:r>
      <w:r w:rsidRPr="001218CF">
        <w:rPr>
          <w:i/>
          <w:iCs/>
          <w:szCs w:val="24"/>
        </w:rPr>
        <w:t>to</w:t>
      </w:r>
      <w:r w:rsidRPr="001218CF">
        <w:rPr>
          <w:szCs w:val="24"/>
        </w:rPr>
        <w:t xml:space="preserve"> counties that made no change. We expect relatively greater change in turnout among counties that moved from not requiring an excuse </w:t>
      </w:r>
      <w:r w:rsidRPr="001218CF">
        <w:rPr>
          <w:i/>
          <w:iCs/>
          <w:szCs w:val="24"/>
        </w:rPr>
        <w:t>to</w:t>
      </w:r>
      <w:r w:rsidRPr="001218CF">
        <w:rPr>
          <w:szCs w:val="24"/>
        </w:rPr>
        <w:t xml:space="preserve"> sending mail-in ballot applications to registered voters. We expect yet a greater increase in turnout to have been produced in counties that moved from requiring an excuse to sending mail-in ballot applications (and not requiring an excuse to vote by mail). We expect the greatest change in turnout to have occurred in counties that moved from not requiring an excuse in 2016 to sending all registered voters no-excuse-needed mail-in ballots in 2020.</w:t>
      </w:r>
    </w:p>
    <w:p w14:paraId="3A8CF9C8" w14:textId="77777777" w:rsidR="001218CF" w:rsidRPr="001218CF" w:rsidRDefault="001218CF" w:rsidP="001218CF">
      <w:pPr>
        <w:spacing w:line="480" w:lineRule="auto"/>
        <w:rPr>
          <w:szCs w:val="24"/>
        </w:rPr>
      </w:pPr>
      <w:r w:rsidRPr="001218CF">
        <w:rPr>
          <w:szCs w:val="24"/>
        </w:rPr>
        <w:t>Our second hypothesis is that easing VBM restrictions does not confer an electoral partisan advantage. Specifically, any change to VBM policy should not lead a county to experience a significantly different two-party vote share from its vote share in 2016.</w:t>
      </w:r>
    </w:p>
    <w:p w14:paraId="2CC039AC" w14:textId="77777777" w:rsidR="001218CF" w:rsidRPr="001218CF" w:rsidRDefault="001218CF" w:rsidP="001218CF">
      <w:pPr>
        <w:keepNext/>
        <w:keepLines/>
        <w:spacing w:before="240" w:after="0" w:line="480" w:lineRule="auto"/>
        <w:outlineLvl w:val="0"/>
        <w:rPr>
          <w:rFonts w:eastAsiaTheme="majorEastAsia" w:cs="Times New Roman"/>
          <w:b/>
          <w:szCs w:val="24"/>
          <w:u w:val="single"/>
        </w:rPr>
      </w:pPr>
      <w:bookmarkStart w:id="1" w:name="_Hlk58937767"/>
      <w:r w:rsidRPr="001218CF">
        <w:rPr>
          <w:rFonts w:eastAsiaTheme="majorEastAsia" w:cs="Times New Roman"/>
          <w:b/>
          <w:szCs w:val="24"/>
          <w:u w:val="single"/>
        </w:rPr>
        <w:t>Methodology</w:t>
      </w:r>
    </w:p>
    <w:p w14:paraId="65715552" w14:textId="77777777" w:rsidR="001218CF" w:rsidRPr="001218CF" w:rsidRDefault="001218CF" w:rsidP="001218CF">
      <w:pPr>
        <w:spacing w:line="480" w:lineRule="auto"/>
        <w:rPr>
          <w:rFonts w:cs="Times New Roman"/>
          <w:szCs w:val="24"/>
        </w:rPr>
      </w:pPr>
      <w:r w:rsidRPr="001218CF">
        <w:rPr>
          <w:rFonts w:cs="Times New Roman"/>
          <w:szCs w:val="24"/>
        </w:rPr>
        <w:t xml:space="preserve">In response to the COVID-19 pandemic, many states and counties made it easier to vote-by-mail.  The degree to which they made it easier varied considerably.  For example, some states enacted a policy to send all registered voters mail-in ballots. Other states did not make it so easy, requiring </w:t>
      </w:r>
      <w:r w:rsidRPr="001218CF">
        <w:rPr>
          <w:rFonts w:cs="Times New Roman"/>
          <w:szCs w:val="24"/>
        </w:rPr>
        <w:lastRenderedPageBreak/>
        <w:t xml:space="preserve">eligible voters to have a valid excuse to vote-by-mail, such as being at a high risk for contracting COVID-19.  In addition, while some states administer elections uniformly, others allow their counties some autonomy.  For example, in 2020, New Mexico’s state legislature approved a bill allowing counties to automatically send mail-in ballot applications to voters </w:t>
      </w:r>
      <w:r w:rsidRPr="001218CF">
        <w:rPr>
          <w:rFonts w:cs="Times New Roman"/>
          <w:szCs w:val="24"/>
        </w:rPr>
        <w:fldChar w:fldCharType="begin"/>
      </w:r>
      <w:r w:rsidRPr="001218CF">
        <w:rPr>
          <w:rFonts w:cs="Times New Roman"/>
          <w:szCs w:val="24"/>
        </w:rPr>
        <w:instrText xml:space="preserve"> ADDIN ZOTERO_ITEM CSL_CITATION {"citationID":"toTQIAAM","properties":{"formattedCitation":"(Gould 2020)","plainCitation":"(Gould 2020)","noteIndex":0},"citationItems":[{"id":1345,"uris":["http://zotero.org/groups/2573990/items/D2XHSD5K"],"uri":["http://zotero.org/groups/2573990/items/D2XHSD5K"],"itemData":{"id":1345,"type":"article-newspaper","abstract":"New Mexico’s most populous counties will automatically send out absentee ballot applications to registered voters ahead of the November election, but they won’t be the only ones.","container-title":"Santa Fe New Mexican","language":"en","title":"D.C. nonprofit sent ballot applications to 400,000 New Mexicans","URL":"https://www.santafenewmexican.com/news/coronavirus/d-c-nonprofit-sent-ballot-applications-to-400-000-new-mexicans/article_51633680-dbe5-11ea-bb47-e3c62ca07075.html","author":[{"family":"Gould","given":"Jens"}],"accessed":{"date-parts":[["2020",11,10]]},"issued":{"date-parts":[["2020",8,12]]}}}],"schema":"https://github.com/citation-style-language/schema/raw/master/csl-citation.json"} </w:instrText>
      </w:r>
      <w:r w:rsidRPr="001218CF">
        <w:rPr>
          <w:rFonts w:cs="Times New Roman"/>
          <w:szCs w:val="24"/>
        </w:rPr>
        <w:fldChar w:fldCharType="separate"/>
      </w:r>
      <w:r w:rsidRPr="001218CF">
        <w:rPr>
          <w:rFonts w:cs="Times New Roman"/>
          <w:szCs w:val="24"/>
        </w:rPr>
        <w:t>(Gould 2020)</w:t>
      </w:r>
      <w:r w:rsidRPr="001218CF">
        <w:rPr>
          <w:rFonts w:cs="Times New Roman"/>
          <w:szCs w:val="24"/>
        </w:rPr>
        <w:fldChar w:fldCharType="end"/>
      </w:r>
      <w:r w:rsidRPr="001218CF">
        <w:rPr>
          <w:rFonts w:cs="Times New Roman"/>
          <w:szCs w:val="24"/>
        </w:rPr>
        <w:t>. Only ten counties sent applications to their registered voters, while the rest opted out. Thus, in addition to interstate variation, there is also intrastate variation in VBM policies. As a result, we make counties our unit of analysis (N=3,113).</w:t>
      </w:r>
      <w:r w:rsidRPr="001218CF">
        <w:rPr>
          <w:rFonts w:cs="Times New Roman"/>
          <w:szCs w:val="24"/>
          <w:vertAlign w:val="superscript"/>
        </w:rPr>
        <w:footnoteReference w:id="4"/>
      </w:r>
      <w:r w:rsidRPr="001218CF">
        <w:rPr>
          <w:rFonts w:cs="Times New Roman"/>
          <w:szCs w:val="24"/>
        </w:rPr>
        <w:t xml:space="preserve">  </w:t>
      </w:r>
    </w:p>
    <w:p w14:paraId="47E322D3" w14:textId="77777777" w:rsidR="001218CF" w:rsidRPr="001218CF" w:rsidRDefault="001218CF" w:rsidP="001218CF">
      <w:pPr>
        <w:spacing w:line="480" w:lineRule="auto"/>
        <w:rPr>
          <w:rFonts w:cs="Times New Roman"/>
          <w:szCs w:val="24"/>
        </w:rPr>
      </w:pPr>
      <w:bookmarkStart w:id="2" w:name="_Hlk64127440"/>
      <w:bookmarkEnd w:id="1"/>
      <w:r w:rsidRPr="001218CF">
        <w:rPr>
          <w:rFonts w:cs="Times New Roman"/>
          <w:szCs w:val="24"/>
        </w:rPr>
        <w:t xml:space="preserve">We use a difference-in-difference (DID) design to estimate the effects of changes to VBM policy on turnout and then assess their partisan consequences </w:t>
      </w:r>
      <w:r w:rsidRPr="001218CF">
        <w:rPr>
          <w:rFonts w:cs="Times New Roman"/>
          <w:szCs w:val="24"/>
        </w:rPr>
        <w:fldChar w:fldCharType="begin"/>
      </w:r>
      <w:r w:rsidRPr="001218CF">
        <w:rPr>
          <w:rFonts w:cs="Times New Roman"/>
          <w:szCs w:val="24"/>
        </w:rPr>
        <w:instrText xml:space="preserve"> ADDIN ZOTERO_ITEM CSL_CITATION {"citationID":"ZN0ZspCW","properties":{"formattedCitation":"(Angrist and Pischke 2008; Wing, Simon, and Bello-Gomez 2018)","plainCitation":"(Angrist and Pischke 2008; Wing, Simon, and Bello-Gomez 2018)","noteIndex":0},"citationItems":[{"id":1182,"uris":["http://zotero.org/users/6228542/items/29F2BJT2"],"uri":["http://zotero.org/users/6228542/items/29F2BJT2"],"itemData":{"id":1182,"type":"book","abstract":"The core methods in today's econometric toolkit are linear regression for statistical control, instrumental variables methods for the analysis of natural experiments, and differences-in-differences methods that exploit policy changes. In the modern experimentalist paradigm, these techniques address clear causal questions such as: Do smaller classes increase learning? Should wife batterers be arrested? How much does education raise wages? Mostly Harmless Econometrics shows how the basic tools of applied econometrics allow the data to speak. In addition to econometric essentials, Mostly Harmless Econometrics covers important new extensions--regression-discontinuity designs and quantile regression--as well as how to get standard errors right. Joshua Angrist and Jörn-Steffen Pischke explain why fancier econometric techniques are typically unnecessary and even dangerous. The applied econometric methods emphasized in this book are easy to use and relevant for many areas of contemporary social science. An irreverent review of econometric essentials A focus on tools that applied researchers use most Chapters on regression-discontinuity designs, quantile regression, and standard errors Many empirical examples A clear and concise resource with wide applications","edition":"1","language":"en","publisher":"Princeton University Press; Illustrated Edition","source":"Zotero","title":"Mostly Harmless Econometrics: An Empiricist’s Companion","author":[{"family":"Angrist","given":"Joshua D"},{"family":"Pischke","given":"Jörn-Steffen"}],"issued":{"date-parts":[["2008"]]}}},{"id":1278,"uris":["http://zotero.org/groups/2573990/items/CLKWHSZ6"],"uri":["http://zotero.org/groups/2573990/items/CLKWHSZ6"],"itemData":{"id":1278,"type":"article-journal","abstract":"The difference in difference (DID) design is a quasi-experimental research design that researchers often use to study causal relationships in public health settings where randomized controlled trials (RCTs) are infeasible or unethical. However, causal inference poses many challenges in DID designs. In this article, we review key features of DID designs with an emphasis on public health policy research. Contemporary researchers should take an active approach to the design of DID studies, seeking to construct comparison groups, sensitivity analyses, and robustness checks that help validate the method's assumptions. We explain the key assumptions of the design and discuss analytic tactics, supplementary analysis, and approaches to statistical inference that are often important in applied research. The DID design is not a perfect substitute for randomized experiments, but it often represents a feasible way to learn about casual relationships. We conclude by noting that combining elements from multiple quasi-experimental techniques may be important in the next wave of innovations to the DID approach.","container-title":"Annual Review of Public Health","DOI":"10.1146/annurev-publhealth-040617-013507","issue":"1","note":"_eprint: https://doi.org/10.1146/annurev-publhealth-040617-013507\nPMID: 29328877","page":"453-469","source":"Annual Reviews","title":"Designing Difference in Difference Studies: Best Practices for Public Health Policy Research","title-short":"Designing Difference in Difference Studies","volume":"39","author":[{"family":"Wing","given":"Coady"},{"family":"Simon","given":"Kosali"},{"family":"Bello-Gomez","given":"Ricardo A."}],"issued":{"date-parts":[["2018"]]}}}],"schema":"https://github.com/citation-style-language/schema/raw/master/csl-citation.json"} </w:instrText>
      </w:r>
      <w:r w:rsidRPr="001218CF">
        <w:rPr>
          <w:rFonts w:cs="Times New Roman"/>
          <w:szCs w:val="24"/>
        </w:rPr>
        <w:fldChar w:fldCharType="separate"/>
      </w:r>
      <w:r w:rsidRPr="001218CF">
        <w:rPr>
          <w:rFonts w:cs="Times New Roman"/>
        </w:rPr>
        <w:t>(Angrist and Pischke 2008; Wing, Simon, and Bello-Gomez 2018)</w:t>
      </w:r>
      <w:r w:rsidRPr="001218CF">
        <w:rPr>
          <w:rFonts w:cs="Times New Roman"/>
          <w:szCs w:val="24"/>
        </w:rPr>
        <w:fldChar w:fldCharType="end"/>
      </w:r>
      <w:r w:rsidRPr="001218CF">
        <w:rPr>
          <w:rFonts w:cs="Times New Roman"/>
          <w:szCs w:val="24"/>
        </w:rPr>
        <w:t xml:space="preserve">. </w:t>
      </w:r>
      <w:bookmarkEnd w:id="2"/>
      <w:r w:rsidRPr="001218CF">
        <w:rPr>
          <w:rFonts w:cs="Times New Roman"/>
          <w:szCs w:val="24"/>
        </w:rPr>
        <w:t>We employ a DID design to account for the non-random assignment of VBM policies to counties. For example, counties with less restrictive VBM policies may differ in observed and unobserved ways from counties with more restrictive VBM policies (e.g., states with Republican-controlled state legislatures have more restrictive VBM policies).</w:t>
      </w:r>
      <w:r w:rsidRPr="001218CF">
        <w:rPr>
          <w:rFonts w:cs="Times New Roman"/>
          <w:szCs w:val="24"/>
          <w:vertAlign w:val="superscript"/>
        </w:rPr>
        <w:footnoteReference w:id="5"/>
      </w:r>
      <w:r w:rsidRPr="001218CF">
        <w:rPr>
          <w:rFonts w:cs="Times New Roman"/>
          <w:szCs w:val="24"/>
        </w:rPr>
        <w:t xml:space="preserve"> </w:t>
      </w:r>
      <w:r w:rsidRPr="001218CF">
        <w:rPr>
          <w:rFonts w:cs="Times New Roman"/>
        </w:rPr>
        <w:t>Highton (2017) argues that</w:t>
      </w:r>
      <w:r w:rsidRPr="001218CF">
        <w:rPr>
          <w:rFonts w:cs="Times New Roman"/>
          <w:szCs w:val="24"/>
        </w:rPr>
        <w:t xml:space="preserve"> cross-sectional models analyzing variation in voting laws do not account for this source of bias and are highly problematic in accurately estimating the effects of public policy on turnout. Therefore, we estimate a DID model because it accounts for unobserved confounders of turnout, including the strategic selection of VBM policies.</w:t>
      </w:r>
    </w:p>
    <w:p w14:paraId="6FBBD20A" w14:textId="77777777" w:rsidR="001218CF" w:rsidRPr="001218CF" w:rsidRDefault="001218CF" w:rsidP="001218CF">
      <w:pPr>
        <w:spacing w:line="480" w:lineRule="auto"/>
        <w:rPr>
          <w:rFonts w:cs="Times New Roman"/>
          <w:szCs w:val="24"/>
        </w:rPr>
      </w:pPr>
      <w:r w:rsidRPr="001218CF">
        <w:rPr>
          <w:rFonts w:cs="Times New Roman"/>
          <w:szCs w:val="24"/>
        </w:rPr>
        <w:lastRenderedPageBreak/>
        <w:t xml:space="preserve">We create our key independent variable, </w:t>
      </w:r>
      <w:r w:rsidRPr="001218CF">
        <w:rPr>
          <w:rFonts w:cs="Times New Roman"/>
          <w:i/>
          <w:iCs/>
          <w:szCs w:val="24"/>
        </w:rPr>
        <w:t>VBM condition</w:t>
      </w:r>
      <w:r w:rsidRPr="001218CF">
        <w:rPr>
          <w:rFonts w:cs="Times New Roman"/>
          <w:szCs w:val="24"/>
        </w:rPr>
        <w:t xml:space="preserve"> by comparing VBM policies in 2016 and 2020 (Table 1).</w:t>
      </w:r>
      <w:r w:rsidRPr="001218CF">
        <w:rPr>
          <w:rFonts w:cs="Times New Roman"/>
          <w:szCs w:val="24"/>
          <w:vertAlign w:val="superscript"/>
        </w:rPr>
        <w:footnoteReference w:id="6"/>
      </w:r>
      <w:r w:rsidRPr="001218CF">
        <w:rPr>
          <w:rFonts w:cs="Times New Roman"/>
          <w:i/>
          <w:iCs/>
          <w:szCs w:val="24"/>
        </w:rPr>
        <w:t xml:space="preserve"> VBM condition</w:t>
      </w:r>
      <w:r w:rsidRPr="001218CF">
        <w:rPr>
          <w:rFonts w:cs="Times New Roman"/>
          <w:szCs w:val="24"/>
        </w:rPr>
        <w:t xml:space="preserve"> includes a control group and four treatment groups.</w:t>
      </w:r>
      <w:r w:rsidRPr="001218CF">
        <w:rPr>
          <w:rFonts w:cs="Times New Roman"/>
          <w:szCs w:val="24"/>
          <w:vertAlign w:val="superscript"/>
        </w:rPr>
        <w:footnoteReference w:id="7"/>
      </w:r>
      <w:r w:rsidRPr="001218CF">
        <w:rPr>
          <w:rFonts w:cs="Times New Roman"/>
          <w:szCs w:val="24"/>
        </w:rPr>
        <w:t xml:space="preserve"> We treat counties whose VBM policy stayed the same between 2016 to 2020 as our control condition (n = 1473). Our treatment conditions are as follows. (1) Counties that changed their VBM policy from requiring a valid excuse from their residents to vote by mail to not requiring such an excuse: </w:t>
      </w:r>
      <w:r w:rsidRPr="001218CF">
        <w:rPr>
          <w:rFonts w:cs="Times New Roman"/>
          <w:i/>
          <w:iCs/>
          <w:szCs w:val="24"/>
        </w:rPr>
        <w:t>excuse-needed in 2016 to no excuse-needed in 2020</w:t>
      </w:r>
      <w:r w:rsidRPr="001218CF">
        <w:rPr>
          <w:rFonts w:cs="Times New Roman"/>
          <w:szCs w:val="24"/>
        </w:rPr>
        <w:t xml:space="preserve"> (n = 750). (2) Counties that moved from requiring an excuse to sending mail-in ballot applications to their registered voters: </w:t>
      </w:r>
      <w:r w:rsidRPr="001218CF">
        <w:rPr>
          <w:rFonts w:cs="Times New Roman"/>
          <w:i/>
          <w:iCs/>
          <w:szCs w:val="24"/>
        </w:rPr>
        <w:t xml:space="preserve">excuse-needed in 2016 to applications sent in 2020 </w:t>
      </w:r>
      <w:r w:rsidRPr="001218CF">
        <w:rPr>
          <w:rFonts w:cs="Times New Roman"/>
          <w:szCs w:val="24"/>
        </w:rPr>
        <w:t xml:space="preserve">(n = 115). (3) Counties that moved from not requiring an excuse to sending mail-in ballot applications: </w:t>
      </w:r>
      <w:r w:rsidRPr="001218CF">
        <w:rPr>
          <w:rFonts w:cs="Times New Roman"/>
          <w:i/>
          <w:iCs/>
          <w:szCs w:val="24"/>
        </w:rPr>
        <w:t>no-excuse-needed</w:t>
      </w:r>
      <w:r w:rsidRPr="001218CF" w:rsidDel="00B0163B">
        <w:rPr>
          <w:rFonts w:cs="Times New Roman"/>
          <w:i/>
          <w:iCs/>
          <w:szCs w:val="24"/>
        </w:rPr>
        <w:t xml:space="preserve"> </w:t>
      </w:r>
      <w:r w:rsidRPr="001218CF">
        <w:rPr>
          <w:rFonts w:cs="Times New Roman"/>
          <w:i/>
          <w:iCs/>
          <w:szCs w:val="24"/>
        </w:rPr>
        <w:t xml:space="preserve">in 2016 to applications sent in 2020 </w:t>
      </w:r>
      <w:r w:rsidRPr="001218CF">
        <w:rPr>
          <w:rFonts w:cs="Times New Roman"/>
          <w:szCs w:val="24"/>
        </w:rPr>
        <w:t xml:space="preserve">(n = 634). (4) Counties that moved from not requiring an excuse to sending their registered voters mail-in ballots: </w:t>
      </w:r>
      <w:r w:rsidRPr="001218CF">
        <w:rPr>
          <w:rFonts w:cs="Times New Roman"/>
          <w:i/>
          <w:iCs/>
          <w:szCs w:val="24"/>
        </w:rPr>
        <w:t>no-excuse-needed in 2016 to ballots sent</w:t>
      </w:r>
      <w:r w:rsidRPr="001218CF">
        <w:rPr>
          <w:rFonts w:cs="Times New Roman"/>
          <w:szCs w:val="24"/>
        </w:rPr>
        <w:t xml:space="preserve"> </w:t>
      </w:r>
      <w:r w:rsidRPr="001218CF">
        <w:rPr>
          <w:rFonts w:cs="Times New Roman"/>
          <w:i/>
          <w:iCs/>
          <w:szCs w:val="24"/>
        </w:rPr>
        <w:t>in 2020</w:t>
      </w:r>
      <w:r w:rsidRPr="001218CF">
        <w:rPr>
          <w:rFonts w:cs="Times New Roman"/>
          <w:szCs w:val="24"/>
        </w:rPr>
        <w:t xml:space="preserve"> (n = 169). Due to the absence of a single centralized database on these classifications, we derive and cross-validate these changes from a variety of sources: </w:t>
      </w:r>
      <w:r w:rsidRPr="001218CF">
        <w:rPr>
          <w:rFonts w:cs="Times New Roman"/>
          <w:szCs w:val="24"/>
        </w:rPr>
        <w:fldChar w:fldCharType="begin"/>
      </w:r>
      <w:r w:rsidRPr="001218CF">
        <w:rPr>
          <w:rFonts w:cs="Times New Roman"/>
          <w:szCs w:val="24"/>
        </w:rPr>
        <w:instrText xml:space="preserve"> ADDIN ZOTERO_ITEM CSL_CITATION {"citationID":"vLkGv6nr","properties":{"formattedCitation":"(Desliver and Geiger 2016)","plainCitation":"(Desliver and Geiger 2016)","dontUpdate":true,"noteIndex":0},"citationItems":[{"id":1259,"uris":["http://zotero.org/groups/2573990/items/2YP59RMY"],"uri":["http://zotero.org/groups/2573990/items/2YP59RMY"],"itemData":{"id":1259,"type":"post-weblog","abstract":"More than 4 million early, absentee and mail-in votes already have been cast, as nontraditional ways of voting gain in popularity.","container-title":"Pew Research Center","language":"en-US","title":"Millions of Americans will vote early, absentee in 2016","URL":"https://www.pewresearch.org/fact-tank/2016/10/21/for-many-americans-election-day-is-already-here/","author":[{"family":"Desliver","given":"Drew"},{"family":"Geiger","given":"A.W."}],"accessed":{"date-parts":[["2020",10,6]]},"issued":{"date-parts":[["2016",10,21]]}}}],"schema":"https://github.com/citation-style-language/schema/raw/master/csl-citation.json"} </w:instrText>
      </w:r>
      <w:r w:rsidRPr="001218CF">
        <w:rPr>
          <w:rFonts w:cs="Times New Roman"/>
          <w:szCs w:val="24"/>
        </w:rPr>
        <w:fldChar w:fldCharType="separate"/>
      </w:r>
      <w:r w:rsidRPr="001218CF">
        <w:rPr>
          <w:rFonts w:cs="Times New Roman"/>
        </w:rPr>
        <w:t>Desliver and Geiger (2016)</w:t>
      </w:r>
      <w:r w:rsidRPr="001218CF">
        <w:rPr>
          <w:rFonts w:cs="Times New Roman"/>
          <w:szCs w:val="24"/>
        </w:rPr>
        <w:fldChar w:fldCharType="end"/>
      </w:r>
      <w:r w:rsidRPr="001218CF">
        <w:rPr>
          <w:rFonts w:cs="Times New Roman"/>
          <w:szCs w:val="24"/>
        </w:rPr>
        <w:t xml:space="preserve">, </w:t>
      </w:r>
      <w:r w:rsidRPr="001218CF">
        <w:rPr>
          <w:rFonts w:cs="Times New Roman"/>
          <w:i/>
          <w:iCs/>
          <w:szCs w:val="24"/>
        </w:rPr>
        <w:t xml:space="preserve">FiveThirtyEight </w:t>
      </w:r>
      <w:r w:rsidRPr="001218CF">
        <w:rPr>
          <w:rFonts w:cs="Times New Roman"/>
          <w:szCs w:val="24"/>
        </w:rPr>
        <w:t>(2020),</w:t>
      </w:r>
      <w:r w:rsidRPr="001218CF">
        <w:rPr>
          <w:rFonts w:cs="Times New Roman"/>
          <w:i/>
          <w:iCs/>
          <w:szCs w:val="24"/>
        </w:rPr>
        <w:t xml:space="preserve"> </w:t>
      </w:r>
      <w:r w:rsidRPr="001218CF">
        <w:rPr>
          <w:rFonts w:cs="Times New Roman"/>
          <w:szCs w:val="24"/>
        </w:rPr>
        <w:t xml:space="preserve">National Public Radio (2020), and the National Conference of State Legislatures </w:t>
      </w:r>
      <w:r w:rsidRPr="001218CF">
        <w:rPr>
          <w:rFonts w:cs="Times New Roman"/>
          <w:szCs w:val="24"/>
        </w:rPr>
        <w:fldChar w:fldCharType="begin"/>
      </w:r>
      <w:r w:rsidRPr="001218CF">
        <w:rPr>
          <w:rFonts w:cs="Times New Roman"/>
          <w:szCs w:val="24"/>
        </w:rPr>
        <w:instrText xml:space="preserve"> ADDIN ZOTERO_ITEM CSL_CITATION {"citationID":"yBE8r9Ai","properties":{"formattedCitation":"(National Conference of State Legislatures 2020)","plainCitation":"(National Conference of State Legislatures 2020)","dontUpdate":true,"noteIndex":0},"citationItems":[{"id":1293,"uris":["http://zotero.org/groups/2573990/items/WZDBCNFL"],"uri":["http://zotero.org/groups/2573990/items/WZDBCNFL"],"itemData":{"id":1293,"type":"webpage","title":"Absentee and Mail Voting Policies in Effect for the 2020 Election","URL":"https://www.ncsl.org/research/elections-and-campaigns/absentee-and-mail-voting-policies-in-effect-for-the-2020-election.aspx","author":[{"family":"National Conference of State Legislatures","given":""}],"accessed":{"date-parts":[["2020",10,27]]},"issued":{"date-parts":[["2020",10,22]]}}}],"schema":"https://github.com/citation-style-language/schema/raw/master/csl-citation.json"} </w:instrText>
      </w:r>
      <w:r w:rsidRPr="001218CF">
        <w:rPr>
          <w:rFonts w:cs="Times New Roman"/>
          <w:szCs w:val="24"/>
        </w:rPr>
        <w:fldChar w:fldCharType="separate"/>
      </w:r>
      <w:r w:rsidRPr="001218CF">
        <w:rPr>
          <w:rFonts w:cs="Times New Roman"/>
          <w:szCs w:val="24"/>
        </w:rPr>
        <w:t>(2020)</w:t>
      </w:r>
      <w:r w:rsidRPr="001218CF">
        <w:rPr>
          <w:rFonts w:cs="Times New Roman"/>
          <w:szCs w:val="24"/>
        </w:rPr>
        <w:fldChar w:fldCharType="end"/>
      </w:r>
      <w:r w:rsidRPr="001218CF">
        <w:rPr>
          <w:rFonts w:cs="Times New Roman"/>
          <w:szCs w:val="24"/>
        </w:rPr>
        <w:t>.</w:t>
      </w:r>
      <w:r w:rsidRPr="001218CF">
        <w:rPr>
          <w:rFonts w:cs="Times New Roman"/>
          <w:szCs w:val="24"/>
          <w:vertAlign w:val="superscript"/>
        </w:rPr>
        <w:footnoteReference w:id="8"/>
      </w:r>
      <w:r w:rsidRPr="001218CF">
        <w:rPr>
          <w:rFonts w:cs="Times New Roman"/>
          <w:szCs w:val="24"/>
        </w:rPr>
        <w:t xml:space="preserve"> </w:t>
      </w:r>
    </w:p>
    <w:p w14:paraId="1375BE39" w14:textId="77777777" w:rsidR="001218CF" w:rsidRPr="001218CF" w:rsidRDefault="001218CF" w:rsidP="001218CF">
      <w:pPr>
        <w:spacing w:line="480" w:lineRule="auto"/>
        <w:jc w:val="center"/>
      </w:pPr>
      <w:r w:rsidRPr="001218CF">
        <w:rPr>
          <w:rFonts w:cs="Times New Roman"/>
          <w:szCs w:val="24"/>
        </w:rPr>
        <w:t>[Table 1 here]</w:t>
      </w:r>
    </w:p>
    <w:p w14:paraId="270F5C76" w14:textId="77777777" w:rsidR="001218CF" w:rsidRPr="001218CF" w:rsidRDefault="001218CF" w:rsidP="001218CF">
      <w:pPr>
        <w:spacing w:line="480" w:lineRule="auto"/>
        <w:rPr>
          <w:rFonts w:cs="Times New Roman"/>
          <w:szCs w:val="24"/>
        </w:rPr>
      </w:pPr>
      <w:r w:rsidRPr="001218CF">
        <w:rPr>
          <w:rFonts w:cs="Times New Roman"/>
          <w:szCs w:val="24"/>
        </w:rPr>
        <w:lastRenderedPageBreak/>
        <w:t>We measure turnout as the percentage of the voting-age population (VAP) that voted (Thompson et al. 2020, Barber and Holbein 2020).</w:t>
      </w:r>
      <w:r w:rsidRPr="001218CF">
        <w:rPr>
          <w:rFonts w:cs="Times New Roman"/>
          <w:szCs w:val="24"/>
          <w:vertAlign w:val="superscript"/>
        </w:rPr>
        <w:footnoteReference w:id="9"/>
      </w:r>
      <w:r w:rsidRPr="001218CF">
        <w:t xml:space="preserve"> </w:t>
      </w:r>
      <w:r w:rsidRPr="001218CF">
        <w:rPr>
          <w:rFonts w:cs="Times New Roman"/>
          <w:szCs w:val="24"/>
        </w:rPr>
        <w:t xml:space="preserve">While alternative measures might be more desirable (e.g., percentage of eligible or registered voters who cast ballots), they are not reliably available at the county level and we therefore follow the lead of existing research. Turnout data are available from Dave </w:t>
      </w:r>
      <w:proofErr w:type="spellStart"/>
      <w:r w:rsidRPr="001218CF">
        <w:rPr>
          <w:rFonts w:cs="Times New Roman"/>
          <w:szCs w:val="24"/>
        </w:rPr>
        <w:t>Leip's</w:t>
      </w:r>
      <w:proofErr w:type="spellEnd"/>
      <w:r w:rsidRPr="001218CF">
        <w:rPr>
          <w:rFonts w:cs="Times New Roman"/>
          <w:szCs w:val="24"/>
        </w:rPr>
        <w:t xml:space="preserve"> Atlas of U.S. Elections </w:t>
      </w:r>
      <w:r w:rsidRPr="001218CF">
        <w:rPr>
          <w:rFonts w:cs="Times New Roman"/>
          <w:szCs w:val="24"/>
        </w:rPr>
        <w:fldChar w:fldCharType="begin"/>
      </w:r>
      <w:r w:rsidRPr="001218CF">
        <w:rPr>
          <w:rFonts w:cs="Times New Roman"/>
          <w:szCs w:val="24"/>
        </w:rPr>
        <w:instrText xml:space="preserve"> ADDIN ZOTERO_ITEM CSL_CITATION {"citationID":"LqAjgSmc","properties":{"formattedCitation":"(Leip 2020)","plainCitation":"(Leip 2020)","noteIndex":0},"citationItems":[{"id":1223,"uris":["http://zotero.org/groups/2573990/items/UW3RF5J7"],"uri":["http://zotero.org/groups/2573990/items/UW3RF5J7"],"itemData":{"id":1223,"type":"webpage","title":"Dave Leip's Atlas of U.S. Presidential Elections","URL":"https://uselectionatlas.org/","author":[{"family":"Leip","given":"Dave"}],"accessed":{"date-parts":[["2020",9,23]]},"issued":{"date-parts":[["2020"]]}}}],"schema":"https://github.com/citation-style-language/schema/raw/master/csl-citation.json"} </w:instrText>
      </w:r>
      <w:r w:rsidRPr="001218CF">
        <w:rPr>
          <w:rFonts w:cs="Times New Roman"/>
          <w:szCs w:val="24"/>
        </w:rPr>
        <w:fldChar w:fldCharType="separate"/>
      </w:r>
      <w:r w:rsidRPr="001218CF">
        <w:rPr>
          <w:rFonts w:cs="Times New Roman"/>
        </w:rPr>
        <w:t>(Leip 2020)</w:t>
      </w:r>
      <w:r w:rsidRPr="001218CF">
        <w:rPr>
          <w:rFonts w:cs="Times New Roman"/>
          <w:szCs w:val="24"/>
        </w:rPr>
        <w:fldChar w:fldCharType="end"/>
      </w:r>
      <w:r w:rsidRPr="001218CF">
        <w:rPr>
          <w:rFonts w:cs="Times New Roman"/>
          <w:szCs w:val="24"/>
        </w:rPr>
        <w:t xml:space="preserve">, and estimates of the total voting-age population are available from the U.S. Census. </w:t>
      </w:r>
    </w:p>
    <w:p w14:paraId="135AE6D9" w14:textId="77777777" w:rsidR="001218CF" w:rsidRPr="001218CF" w:rsidRDefault="001218CF" w:rsidP="001218CF">
      <w:pPr>
        <w:spacing w:line="480" w:lineRule="auto"/>
        <w:rPr>
          <w:rFonts w:cs="Times New Roman"/>
          <w:szCs w:val="24"/>
        </w:rPr>
      </w:pPr>
      <w:r w:rsidRPr="001218CF">
        <w:rPr>
          <w:rFonts w:cs="Times New Roman"/>
          <w:szCs w:val="24"/>
        </w:rPr>
        <w:t>We estimate our DID model using the equation:</w:t>
      </w:r>
    </w:p>
    <w:p w14:paraId="2156CD5A" w14:textId="77777777" w:rsidR="001218CF" w:rsidRPr="001218CF" w:rsidRDefault="001218CF" w:rsidP="001218CF">
      <w:pPr>
        <w:spacing w:line="480" w:lineRule="auto"/>
        <w:jc w:val="center"/>
        <w:rPr>
          <w:rFonts w:eastAsiaTheme="minorEastAsia"/>
        </w:rPr>
      </w:pPr>
      <m:oMathPara>
        <m:oMath>
          <m:r>
            <w:rPr>
              <w:rFonts w:ascii="Cambria Math" w:hAnsi="Cambria Math"/>
            </w:rPr>
            <m:t xml:space="preserve">VAP Turnout= </m:t>
          </m:r>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Vote by Mail Conditions</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d>
            <m:dPr>
              <m:ctrlPr>
                <w:rPr>
                  <w:rFonts w:ascii="Cambria Math" w:hAnsi="Cambria Math" w:cs="Times New Roman"/>
                  <w:i/>
                </w:rPr>
              </m:ctrlPr>
            </m:dPr>
            <m:e>
              <m:r>
                <w:rPr>
                  <w:rFonts w:ascii="Cambria Math" w:hAnsi="Cambria Math" w:cs="Times New Roman"/>
                </w:rPr>
                <m:t>Year</m:t>
              </m:r>
            </m:e>
          </m:d>
          <m:r>
            <w:rPr>
              <w:rFonts w:ascii="Cambria Math" w:hAnsi="Cambria Math" w:cs="Times New Roman"/>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d>
            <m:dPr>
              <m:ctrlPr>
                <w:rPr>
                  <w:rFonts w:ascii="Cambria Math" w:eastAsiaTheme="minorEastAsia" w:hAnsi="Cambria Math"/>
                  <w:i/>
                </w:rPr>
              </m:ctrlPr>
            </m:dPr>
            <m:e>
              <m:r>
                <w:rPr>
                  <w:rFonts w:ascii="Cambria Math" w:eastAsiaTheme="minorEastAsia" w:hAnsi="Cambria Math"/>
                </w:rPr>
                <m:t>Vote By Mail Conditions x Year</m:t>
              </m:r>
            </m:e>
          </m:d>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c</m:t>
              </m:r>
            </m:sub>
          </m:sSub>
          <m:r>
            <w:rPr>
              <w:rFonts w:ascii="Cambria Math" w:eastAsiaTheme="minorEastAsia" w:hAnsi="Cambria Math"/>
            </w:rPr>
            <m:t>+ ε</m:t>
          </m:r>
        </m:oMath>
      </m:oMathPara>
    </w:p>
    <w:p w14:paraId="1A10CA38" w14:textId="3C668EFC" w:rsidR="001218CF" w:rsidRPr="001218CF" w:rsidRDefault="001218CF" w:rsidP="001218CF">
      <w:pPr>
        <w:spacing w:line="480" w:lineRule="auto"/>
        <w:rPr>
          <w:rFonts w:cs="Times New Roman"/>
          <w:szCs w:val="24"/>
        </w:rPr>
      </w:pPr>
      <w:r w:rsidRPr="001218CF">
        <w:rPr>
          <w:rFonts w:eastAsiaTheme="minorEastAsia" w:cs="Times New Roman"/>
          <w:szCs w:val="24"/>
        </w:rPr>
        <w:t xml:space="preserve">The interaction term, </w:t>
      </w:r>
      <m:oMath>
        <m:r>
          <w:rPr>
            <w:rFonts w:ascii="Cambria Math" w:eastAsiaTheme="minorEastAsia" w:hAnsi="Cambria Math"/>
          </w:rPr>
          <m:t>Vote By Mail Conditions x Year</m:t>
        </m:r>
      </m:oMath>
      <w:r w:rsidRPr="001218CF">
        <w:rPr>
          <w:rFonts w:eastAsiaTheme="minorEastAsia" w:cs="Times New Roman"/>
        </w:rPr>
        <w:t xml:space="preserve">, </w:t>
      </w:r>
      <w:r w:rsidRPr="001218CF">
        <w:rPr>
          <w:rFonts w:eastAsiaTheme="minorEastAsia" w:cs="Times New Roman"/>
          <w:szCs w:val="24"/>
        </w:rPr>
        <w:t>represents the average treatment effect relative to the control group.</w:t>
      </w:r>
      <w:r w:rsidRPr="001218CF">
        <w:rPr>
          <w:rFonts w:eastAsiaTheme="minorEastAsia" w:cs="Times New Roman"/>
          <w:szCs w:val="24"/>
          <w:vertAlign w:val="superscript"/>
        </w:rPr>
        <w:footnoteReference w:id="10"/>
      </w:r>
      <w:r w:rsidRPr="001218CF">
        <w:rPr>
          <w:rFonts w:eastAsiaTheme="minorEastAsia" w:cs="Times New Roman"/>
          <w:szCs w:val="24"/>
        </w:rPr>
        <w:t xml:space="preserve"> The variable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oMath>
      <w:r w:rsidRPr="001218CF">
        <w:rPr>
          <w:rFonts w:eastAsiaTheme="minorEastAsia" w:cs="Times New Roman"/>
          <w:szCs w:val="24"/>
        </w:rPr>
        <w:t xml:space="preserve"> represents our model’s control variables. We follow the guidance of </w:t>
      </w:r>
      <w:r w:rsidRPr="001218CF">
        <w:rPr>
          <w:rFonts w:eastAsiaTheme="minorEastAsia" w:cs="Times New Roman"/>
          <w:szCs w:val="24"/>
        </w:rPr>
        <w:fldChar w:fldCharType="begin"/>
      </w:r>
      <w:r w:rsidRPr="001218CF">
        <w:rPr>
          <w:rFonts w:eastAsiaTheme="minorEastAsia" w:cs="Times New Roman"/>
          <w:szCs w:val="24"/>
        </w:rPr>
        <w:instrText xml:space="preserve"> ADDIN ZOTERO_ITEM CSL_CITATION {"citationID":"M9vD4c6s","properties":{"formattedCitation":"(Ansolabehere and Konisky 2006; Karp and Banducci 2000; Knack and Kropf 2003; Smith 2001)","plainCitation":"(Ansolabehere and Konisky 2006; Karp and Banducci 2000; Knack and Kropf 2003; Smith 2001)","dontUpdate":true,"noteIndex":0},"citationItems":[{"id":1394,"uris":["http://zotero.org/groups/2573990/items/KBB2T5KG"],"uri":["http://zotero.org/groups/2573990/items/KBB2T5KG"],"itemData":{"id":1394,"type":"article-journal","abstract":"Studies of voter turnout\n              across\n              states find that those with more facilitative registration laws have higher turnout rates. Eliminating registration barriers altogether is estimated to raise voter participation rates by up to 10%. This article presents panel estimates of the effects of introducing registration that exploits changes in registration laws and turnout\n              within\n              states. New York and Ohio imposed registration requirements on all of their counties in 1965 and 1977, respectively. We find that the introduction of registration to counties that did not previously require registration decreased participation over the long term by three to five percentage points. Though significant, this is lower than estimates of the effects of registration from cross-sectional studies and suggests that expectations about the effects of registration reforms on turnout may be overstated.","container-title":"Political Analysis","DOI":"10.1093/pan/mpi034","ISSN":"1047-1987, 1476-4989","issue":"1","journalAbbreviation":"Polit. anal.","language":"en","page":"83-100","source":"DOI.org (Crossref)","title":"The Introduction of Voter Registration and Its Effect on Turnout","volume":"14","author":[{"family":"Ansolabehere","given":"Stephen"},{"family":"Konisky","given":"David M."}],"issued":{"date-parts":[["2006"]]}}},{"id":1396,"uris":["http://zotero.org/groups/2573990/items/MJUDYWJI"],"uri":["http://zotero.org/groups/2573990/items/MJUDYWJI"],"itemData":{"id":1396,"type":"article-journal","abstract":"We examine the question of whether or not reducing the costs of voting by conducting elections entirely through the mail rather than at the traditional polling place increases participation. Using election data from Oregon, we examine whether or not elections conducted through the mail increase turnout in both local and statewide elections. Using precinct-level data merged with census data we also examine how postal voting may alter the composition of the electorate. We find that, while all-mail elections tend to produce higher turnout, the most significant increases occur in low stimulus elections, such as local elections or primaries where turnout is usually low. The increase in turnout, however, is not uniform across demographic groups. Voting only by mail is likely to increase turnout among those who are already predisposed to vote, such as those with higher socioeconomic status. Like other administrative reforms designed to make voting easier, postal voting has the potential to increase turnout. However, the expanded pool of voters will be limited most likely to those already inclined to vote but find it inconvenient to go to the polling place. This conclusion is consistent with the growing body of research that suggests that relaxing administrative requirements is not likely to be the panacea for low turnout among the disenfranchised.","container-title":"Political Behavior","DOI":"10.1023/A:1026662130163","ISSN":"1573-6687","issue":"3","journalAbbreviation":"Political Behavior","language":"en","page":"223-239","source":"Springer Link","title":"Going Postal: How All-Mail Elections Influence Turnout","title-short":"Going Postal","volume":"22","author":[{"family":"Karp","given":"Jeffrey A."},{"family":"Banducci","given":"Susan A."}],"issued":{"date-parts":[["2000",9,1]]}}},{"id":1384,"uris":["http://zotero.org/groups/2573990/items/GRYZIDA4"],"uri":["http://zotero.org/groups/2573990/items/GRYZIDA4"],"itemData":{"id":1384,"type":"article-journal","abstract":"This county-level study examines factors associated with the rate of voided presidential ballots in the 1996 elections. Evidence indicates that voided ballots are significantly more prevalent in counties with higher percentages of African Americans and Hispanics. The relationship between voided ballots and African Americans disappears, however, in counties using voting equipment that can be programmed to eliminate overvoting. The rate of voided ballots is lower in larger counties and in counties with a higher percentage of high school graduates. The rate of voided ballots declines as the number of presidential candidates on the ballot increases, but only up to a point, and then rises with further increases. Lever machines generate the lowest rates of voided ballots among types of voting equipment, with punch card systems generating the highest rates.","container-title":"The Journal of Politics","DOI":"10.1111/1468-2508.00217","ISSN":"0022-3816","issue":"3","journalAbbreviation":"The Journal of Politics","note":"publisher: The University of Chicago Press","page":"881-897","source":"journals.uchicago.edu (Atypon)","title":"Voided Ballots in the 1996 Presidential Election: A County-Level Analysis","title-short":"Voided Ballots in the 1996 Presidential Election","volume":"65","author":[{"family":"Knack","given":"Stephen"},{"family":"Kropf","given":"Martha"}],"issued":{"date-parts":[["2003",8,1]]}}},{"id":1383,"uris":["http://zotero.org/groups/2573990/items/KAUZZMIE"],"uri":["http://zotero.org/groups/2573990/items/KAUZZMIE"],"itemData":{"id":1383,"type":"article-journal","abstract":"This study analyzes the potential of campaigns for ballot measures and elected offices to draw to the polls citizens who otherwise would not vote. The salience of initiatives and popular referenda in each U.S. state is measured for general elections from 1972 to 1996. Using a pooled time-series cross-sectional data set, a model of state-level turnout is estimated. Distinguishing between midterm and presidential years, the analysis tests for the effects of campaigns across those two kinds of contexts. Contrary to previous studies finding no effects at all for ballot initiatives, the results indicate that these measures-like gubernatorial and senatorial campaigns-provide a boost to turnout during midterm years but not presidential years. High-salience initiatives and popular referenda are estimated to increase turnout by about four points during midterm elections, as compared to effects for closely contested gubernatorial and senatorial campaigns of four points and three points, respectively.","container-title":"American Journal of Political Science","DOI":"10.2307/2669246","ISSN":"0092-5853","issue":"3","note":"publisher: [Midwest Political Science Association, Wiley]","page":"700-706","source":"JSTOR","title":"The Contingent Effects of Ballot Initiatives and Candidate Races on Turnout","volume":"45","author":[{"family":"Smith","given":"Mark A."}],"issued":{"date-parts":[["2001"]]}}}],"schema":"https://github.com/citation-style-language/schema/raw/master/csl-citation.json"} </w:instrText>
      </w:r>
      <w:r w:rsidRPr="001218CF">
        <w:rPr>
          <w:rFonts w:eastAsiaTheme="minorEastAsia" w:cs="Times New Roman"/>
          <w:szCs w:val="24"/>
        </w:rPr>
        <w:fldChar w:fldCharType="separate"/>
      </w:r>
      <w:r w:rsidRPr="001218CF">
        <w:rPr>
          <w:rFonts w:cs="Times New Roman"/>
          <w:szCs w:val="24"/>
        </w:rPr>
        <w:t>Ansolabehere and Konisky (2006), Karp and Banducci (2000), Knack and Kropf (2003), Smith (2001)</w:t>
      </w:r>
      <w:r w:rsidRPr="001218CF">
        <w:rPr>
          <w:rFonts w:eastAsiaTheme="minorEastAsia" w:cs="Times New Roman"/>
          <w:szCs w:val="24"/>
        </w:rPr>
        <w:fldChar w:fldCharType="end"/>
      </w:r>
      <w:r w:rsidRPr="001218CF">
        <w:rPr>
          <w:rFonts w:eastAsiaTheme="minorEastAsia" w:cs="Times New Roman"/>
          <w:szCs w:val="24"/>
        </w:rPr>
        <w:t xml:space="preserve"> and account for a similar set of potential confounders. We control for vote share at the county level coded in the Democratic direction as our measure of county partisanship, </w:t>
      </w:r>
      <w:r w:rsidRPr="001218CF">
        <w:rPr>
          <w:rFonts w:eastAsiaTheme="minorEastAsia" w:cs="Times New Roman"/>
          <w:i/>
          <w:iCs/>
          <w:szCs w:val="24"/>
        </w:rPr>
        <w:t>Democratic vote share</w:t>
      </w:r>
      <w:r w:rsidRPr="001218CF">
        <w:rPr>
          <w:rFonts w:eastAsiaTheme="minorEastAsia" w:cs="Times New Roman"/>
          <w:szCs w:val="24"/>
        </w:rPr>
        <w:t>.</w:t>
      </w:r>
      <w:r w:rsidR="0033213D">
        <w:rPr>
          <w:rFonts w:eastAsiaTheme="minorEastAsia" w:cs="Times New Roman"/>
          <w:szCs w:val="24"/>
        </w:rPr>
        <w:t xml:space="preserve"> </w:t>
      </w:r>
      <w:r w:rsidR="0033213D" w:rsidRPr="000118FE">
        <w:rPr>
          <w:rFonts w:eastAsiaTheme="minorEastAsia" w:cs="Times New Roman"/>
          <w:szCs w:val="24"/>
        </w:rPr>
        <w:t xml:space="preserve">We include the average daily change in </w:t>
      </w:r>
      <w:r w:rsidR="0033213D" w:rsidRPr="0033213D">
        <w:rPr>
          <w:rFonts w:eastAsiaTheme="minorEastAsia" w:cs="Times New Roman"/>
          <w:i/>
          <w:iCs/>
          <w:szCs w:val="24"/>
        </w:rPr>
        <w:t>COVID-19 deaths</w:t>
      </w:r>
      <w:r w:rsidR="0033213D" w:rsidRPr="000118FE">
        <w:rPr>
          <w:rFonts w:eastAsiaTheme="minorEastAsia" w:cs="Times New Roman"/>
          <w:szCs w:val="24"/>
        </w:rPr>
        <w:t xml:space="preserve"> per 100,000 people one week before the election. </w:t>
      </w:r>
      <w:r w:rsidRPr="001218CF">
        <w:rPr>
          <w:rFonts w:eastAsiaTheme="minorEastAsia" w:cs="Times New Roman"/>
          <w:szCs w:val="24"/>
        </w:rPr>
        <w:t xml:space="preserve"> We also add census information, such as the </w:t>
      </w:r>
      <w:r w:rsidRPr="001218CF">
        <w:rPr>
          <w:rFonts w:eastAsiaTheme="minorEastAsia" w:cs="Times New Roman"/>
          <w:i/>
          <w:iCs/>
          <w:szCs w:val="24"/>
        </w:rPr>
        <w:t>percentage of African Americans</w:t>
      </w:r>
      <w:r w:rsidRPr="001218CF">
        <w:rPr>
          <w:rFonts w:eastAsiaTheme="minorEastAsia" w:cs="Times New Roman"/>
          <w:szCs w:val="24"/>
        </w:rPr>
        <w:t xml:space="preserve">, </w:t>
      </w:r>
      <w:r w:rsidRPr="001218CF">
        <w:rPr>
          <w:rFonts w:eastAsiaTheme="minorEastAsia" w:cs="Times New Roman"/>
          <w:i/>
          <w:iCs/>
          <w:szCs w:val="24"/>
        </w:rPr>
        <w:t>median household income</w:t>
      </w:r>
      <w:r w:rsidRPr="001218CF">
        <w:rPr>
          <w:rFonts w:eastAsiaTheme="minorEastAsia" w:cs="Times New Roman"/>
          <w:szCs w:val="24"/>
        </w:rPr>
        <w:t xml:space="preserve">, </w:t>
      </w:r>
      <w:r w:rsidRPr="001218CF">
        <w:rPr>
          <w:rFonts w:eastAsiaTheme="minorEastAsia" w:cs="Times New Roman"/>
          <w:i/>
          <w:iCs/>
          <w:szCs w:val="24"/>
        </w:rPr>
        <w:t>median age</w:t>
      </w:r>
      <w:r w:rsidRPr="001218CF">
        <w:rPr>
          <w:rFonts w:eastAsiaTheme="minorEastAsia" w:cs="Times New Roman"/>
          <w:szCs w:val="24"/>
        </w:rPr>
        <w:t xml:space="preserve">, and percentage of individuals with only a </w:t>
      </w:r>
      <w:r w:rsidRPr="001218CF">
        <w:rPr>
          <w:rFonts w:eastAsiaTheme="minorEastAsia" w:cs="Times New Roman"/>
          <w:i/>
          <w:iCs/>
          <w:szCs w:val="24"/>
        </w:rPr>
        <w:t>high school diploma</w:t>
      </w:r>
      <w:r w:rsidRPr="001218CF">
        <w:rPr>
          <w:rFonts w:eastAsiaTheme="minorEastAsia" w:cs="Times New Roman"/>
          <w:szCs w:val="24"/>
        </w:rPr>
        <w:t xml:space="preserve">. Lastly, we include </w:t>
      </w:r>
      <w:r w:rsidRPr="001218CF">
        <w:rPr>
          <w:rFonts w:cs="Times New Roman"/>
          <w:i/>
          <w:iCs/>
          <w:szCs w:val="24"/>
        </w:rPr>
        <w:t xml:space="preserve">county fixed effects </w:t>
      </w:r>
      <w:r w:rsidRPr="001218CF">
        <w:rPr>
          <w:rFonts w:cs="Times New Roman"/>
          <w:szCs w:val="24"/>
        </w:rPr>
        <w:t>(</w:t>
      </w:r>
      <m:oMath>
        <m:sSub>
          <m:sSubPr>
            <m:ctrlPr>
              <w:rPr>
                <w:rFonts w:ascii="Cambria Math" w:hAnsi="Cambria Math" w:cs="Times New Roman"/>
                <w:i/>
                <w:iCs/>
                <w:szCs w:val="24"/>
              </w:rPr>
            </m:ctrlPr>
          </m:sSubPr>
          <m:e>
            <m:r>
              <w:rPr>
                <w:rFonts w:ascii="Cambria Math" w:hAnsi="Cambria Math" w:cs="Times New Roman"/>
                <w:szCs w:val="24"/>
              </w:rPr>
              <m:t>σ</m:t>
            </m:r>
          </m:e>
          <m:sub>
            <m:r>
              <w:rPr>
                <w:rFonts w:ascii="Cambria Math" w:hAnsi="Cambria Math" w:cs="Times New Roman"/>
                <w:szCs w:val="24"/>
              </w:rPr>
              <m:t>c</m:t>
            </m:r>
          </m:sub>
        </m:sSub>
      </m:oMath>
      <w:r w:rsidRPr="001218CF">
        <w:rPr>
          <w:rFonts w:eastAsiaTheme="minorEastAsia" w:cs="Times New Roman"/>
          <w:szCs w:val="24"/>
        </w:rPr>
        <w:t>)</w:t>
      </w:r>
      <w:r w:rsidRPr="001218CF">
        <w:rPr>
          <w:rFonts w:cs="Times New Roman"/>
          <w:szCs w:val="24"/>
        </w:rPr>
        <w:t xml:space="preserve"> to </w:t>
      </w:r>
      <w:r w:rsidRPr="001218CF">
        <w:rPr>
          <w:rFonts w:cs="Times New Roman"/>
          <w:szCs w:val="24"/>
        </w:rPr>
        <w:lastRenderedPageBreak/>
        <w:t>control for fixed observed and unobserved heterogeneity between counties, and we cluster our standard errors at the state level.</w:t>
      </w:r>
      <w:r w:rsidRPr="001218CF">
        <w:rPr>
          <w:rFonts w:cs="Times New Roman"/>
          <w:szCs w:val="24"/>
          <w:vertAlign w:val="superscript"/>
        </w:rPr>
        <w:footnoteReference w:id="11"/>
      </w:r>
      <w:r w:rsidRPr="001218CF">
        <w:rPr>
          <w:rFonts w:cs="Times New Roman"/>
          <w:szCs w:val="24"/>
        </w:rPr>
        <w:t xml:space="preserve"> </w:t>
      </w:r>
    </w:p>
    <w:p w14:paraId="112A75A0" w14:textId="77777777" w:rsidR="001218CF" w:rsidRPr="001218CF" w:rsidRDefault="001218CF" w:rsidP="001218CF">
      <w:pPr>
        <w:spacing w:line="480" w:lineRule="auto"/>
        <w:rPr>
          <w:rFonts w:eastAsiaTheme="minorEastAsia" w:cs="Times New Roman"/>
          <w:szCs w:val="24"/>
        </w:rPr>
      </w:pPr>
      <w:r w:rsidRPr="001218CF">
        <w:rPr>
          <w:rFonts w:cs="Times New Roman"/>
          <w:szCs w:val="24"/>
        </w:rPr>
        <w:t>To analyze the partisan effects, we again employ a DID design. Our DID model estimates the effects of changing VBM policies on changes in Republican presidential vote share while accounting for confounders and non-random assignment of VBM policies to counties.</w:t>
      </w:r>
    </w:p>
    <w:p w14:paraId="24EF4635" w14:textId="77777777" w:rsidR="001218CF" w:rsidRPr="001218CF" w:rsidRDefault="001218CF" w:rsidP="001218CF">
      <w:pPr>
        <w:spacing w:line="480" w:lineRule="auto"/>
        <w:rPr>
          <w:rFonts w:eastAsiaTheme="minorEastAsia" w:cs="Times New Roman"/>
        </w:rPr>
      </w:pPr>
      <m:oMathPara>
        <m:oMath>
          <m:r>
            <w:rPr>
              <w:rFonts w:ascii="Cambria Math" w:hAnsi="Cambria Math" w:cs="Times New Roman"/>
              <w:szCs w:val="24"/>
            </w:rPr>
            <m:t>Republican Presidental Vote Share</m:t>
          </m:r>
          <m:r>
            <w:rPr>
              <w:rFonts w:ascii="Cambria Math" w:hAnsi="Cambria Math"/>
            </w:rPr>
            <m:t xml:space="preserve">= </m:t>
          </m:r>
          <m:r>
            <w:rPr>
              <w:rFonts w:ascii="Cambria Math" w:hAnsi="Cambria Math" w:cs="Times New Roman"/>
            </w:rPr>
            <m:t>α+</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d>
            <m:dPr>
              <m:ctrlPr>
                <w:rPr>
                  <w:rFonts w:ascii="Cambria Math" w:hAnsi="Cambria Math" w:cs="Times New Roman"/>
                  <w:i/>
                </w:rPr>
              </m:ctrlPr>
            </m:dPr>
            <m:e>
              <m:r>
                <w:rPr>
                  <w:rFonts w:ascii="Cambria Math" w:hAnsi="Cambria Math" w:cs="Times New Roman"/>
                </w:rPr>
                <m:t>Vote by Mail Conditions</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d>
            <m:dPr>
              <m:ctrlPr>
                <w:rPr>
                  <w:rFonts w:ascii="Cambria Math" w:hAnsi="Cambria Math" w:cs="Times New Roman"/>
                  <w:i/>
                </w:rPr>
              </m:ctrlPr>
            </m:dPr>
            <m:e>
              <m:r>
                <w:rPr>
                  <w:rFonts w:ascii="Cambria Math" w:hAnsi="Cambria Math" w:cs="Times New Roman"/>
                </w:rPr>
                <m:t>Year</m:t>
              </m:r>
            </m:e>
          </m:d>
          <m:r>
            <w:rPr>
              <w:rFonts w:ascii="Cambria Math" w:hAnsi="Cambria Math" w:cs="Times New Roman"/>
            </w:rPr>
            <m:t xml:space="preserve">+ </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d>
            <m:dPr>
              <m:ctrlPr>
                <w:rPr>
                  <w:rFonts w:ascii="Cambria Math" w:eastAsiaTheme="minorEastAsia" w:hAnsi="Cambria Math"/>
                  <w:i/>
                </w:rPr>
              </m:ctrlPr>
            </m:dPr>
            <m:e>
              <m:r>
                <w:rPr>
                  <w:rFonts w:ascii="Cambria Math" w:eastAsiaTheme="minorEastAsia" w:hAnsi="Cambria Math"/>
                </w:rPr>
                <m:t>Vote By Mail Conditions x Year</m:t>
              </m:r>
            </m:e>
          </m:d>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c</m:t>
              </m:r>
            </m:sub>
          </m:sSub>
          <m:r>
            <w:rPr>
              <w:rFonts w:ascii="Cambria Math" w:eastAsiaTheme="minorEastAsia" w:hAnsi="Cambria Math"/>
            </w:rPr>
            <m:t>+ ε</m:t>
          </m:r>
        </m:oMath>
      </m:oMathPara>
    </w:p>
    <w:p w14:paraId="0A6512E2" w14:textId="68F53293" w:rsidR="001218CF" w:rsidRPr="001218CF" w:rsidRDefault="001218CF" w:rsidP="001218CF">
      <w:pPr>
        <w:spacing w:line="480" w:lineRule="auto"/>
        <w:rPr>
          <w:rFonts w:eastAsiaTheme="minorEastAsia" w:cs="Times New Roman"/>
          <w:szCs w:val="24"/>
        </w:rPr>
      </w:pPr>
      <w:r w:rsidRPr="001218CF">
        <w:rPr>
          <w:rFonts w:eastAsiaTheme="minorEastAsia" w:cs="Times New Roman"/>
          <w:szCs w:val="24"/>
        </w:rPr>
        <w:t xml:space="preserve">The interaction term, </w:t>
      </w:r>
      <m:oMath>
        <m:r>
          <w:rPr>
            <w:rFonts w:ascii="Cambria Math" w:eastAsiaTheme="minorEastAsia" w:hAnsi="Cambria Math"/>
          </w:rPr>
          <m:t>Vote By Mail Conditions x Year</m:t>
        </m:r>
      </m:oMath>
      <w:r w:rsidRPr="001218CF">
        <w:rPr>
          <w:rFonts w:eastAsiaTheme="minorEastAsia" w:cs="Times New Roman"/>
        </w:rPr>
        <w:t xml:space="preserve">, </w:t>
      </w:r>
      <w:r w:rsidRPr="001218CF">
        <w:rPr>
          <w:rFonts w:eastAsiaTheme="minorEastAsia" w:cs="Times New Roman"/>
          <w:szCs w:val="24"/>
        </w:rPr>
        <w:t xml:space="preserve">represents the average treatment effect. Positive (negative) and significant values suggest that changes in VBM policy benefits Republicans’ (Democrats’) vote share. The variable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oMath>
      <w:r w:rsidRPr="001218CF">
        <w:rPr>
          <w:rFonts w:eastAsiaTheme="minorEastAsia" w:cs="Times New Roman"/>
          <w:szCs w:val="24"/>
        </w:rPr>
        <w:t xml:space="preserve"> represents our control variables. </w:t>
      </w:r>
      <w:r w:rsidR="0033213D" w:rsidRPr="001218CF">
        <w:rPr>
          <w:rFonts w:eastAsiaTheme="minorEastAsia" w:cs="Times New Roman"/>
          <w:szCs w:val="24"/>
        </w:rPr>
        <w:t xml:space="preserve">We control for the counties’ </w:t>
      </w:r>
      <w:r w:rsidR="0033213D" w:rsidRPr="001218CF">
        <w:rPr>
          <w:rFonts w:eastAsiaTheme="minorEastAsia" w:cs="Times New Roman"/>
          <w:i/>
          <w:iCs/>
          <w:szCs w:val="24"/>
        </w:rPr>
        <w:t>population density, unemployment</w:t>
      </w:r>
      <w:r w:rsidR="0033213D" w:rsidRPr="001218CF">
        <w:rPr>
          <w:rFonts w:eastAsiaTheme="minorEastAsia" w:cs="Times New Roman"/>
          <w:szCs w:val="24"/>
        </w:rPr>
        <w:t xml:space="preserve"> </w:t>
      </w:r>
      <w:r w:rsidR="0033213D" w:rsidRPr="001218CF">
        <w:rPr>
          <w:rFonts w:eastAsiaTheme="minorEastAsia" w:cs="Times New Roman"/>
          <w:i/>
          <w:iCs/>
          <w:szCs w:val="24"/>
        </w:rPr>
        <w:t>rate</w:t>
      </w:r>
      <w:r w:rsidR="0033213D" w:rsidRPr="001218CF">
        <w:rPr>
          <w:rFonts w:eastAsiaTheme="minorEastAsia" w:cs="Times New Roman"/>
          <w:szCs w:val="24"/>
        </w:rPr>
        <w:t xml:space="preserve"> one month before Election Day, </w:t>
      </w:r>
      <w:r w:rsidR="0033213D" w:rsidRPr="000118FE">
        <w:rPr>
          <w:rFonts w:eastAsiaTheme="minorEastAsia" w:cs="Times New Roman"/>
          <w:szCs w:val="24"/>
        </w:rPr>
        <w:t xml:space="preserve">average daily change in </w:t>
      </w:r>
      <w:r w:rsidR="0033213D" w:rsidRPr="005E62EF">
        <w:rPr>
          <w:rFonts w:eastAsiaTheme="minorEastAsia" w:cs="Times New Roman"/>
          <w:i/>
          <w:iCs/>
          <w:szCs w:val="24"/>
        </w:rPr>
        <w:t>COVID-19 deaths</w:t>
      </w:r>
      <w:r w:rsidR="0033213D" w:rsidRPr="000118FE">
        <w:rPr>
          <w:rFonts w:eastAsiaTheme="minorEastAsia" w:cs="Times New Roman"/>
          <w:szCs w:val="24"/>
        </w:rPr>
        <w:t xml:space="preserve"> per 100,000 people one week before the election</w:t>
      </w:r>
      <w:r w:rsidRPr="001218CF">
        <w:rPr>
          <w:rFonts w:eastAsiaTheme="minorEastAsia" w:cs="Times New Roman"/>
          <w:szCs w:val="24"/>
        </w:rPr>
        <w:t>, the percent of the county’s population with a</w:t>
      </w:r>
      <w:r w:rsidRPr="001218CF">
        <w:rPr>
          <w:rFonts w:eastAsiaTheme="minorEastAsia" w:cs="Times New Roman"/>
          <w:i/>
          <w:iCs/>
          <w:szCs w:val="24"/>
        </w:rPr>
        <w:t xml:space="preserve"> high school degree</w:t>
      </w:r>
      <w:r w:rsidRPr="001218CF">
        <w:rPr>
          <w:rFonts w:eastAsiaTheme="minorEastAsia" w:cs="Times New Roman"/>
          <w:szCs w:val="24"/>
        </w:rPr>
        <w:t xml:space="preserve">, the percent of the county with a </w:t>
      </w:r>
      <w:r w:rsidRPr="001218CF">
        <w:rPr>
          <w:rFonts w:eastAsiaTheme="minorEastAsia" w:cs="Times New Roman"/>
          <w:i/>
          <w:iCs/>
          <w:szCs w:val="24"/>
        </w:rPr>
        <w:t>bachelor’s degrees</w:t>
      </w:r>
      <w:r w:rsidRPr="001218CF">
        <w:rPr>
          <w:rFonts w:eastAsiaTheme="minorEastAsia" w:cs="Times New Roman"/>
          <w:szCs w:val="24"/>
        </w:rPr>
        <w:t xml:space="preserve">, the percent of the county that is </w:t>
      </w:r>
      <w:r w:rsidRPr="001218CF">
        <w:rPr>
          <w:rFonts w:eastAsiaTheme="minorEastAsia" w:cs="Times New Roman"/>
          <w:i/>
          <w:iCs/>
          <w:szCs w:val="24"/>
        </w:rPr>
        <w:t>Black</w:t>
      </w:r>
      <w:r w:rsidRPr="001218CF">
        <w:rPr>
          <w:rFonts w:eastAsiaTheme="minorEastAsia" w:cs="Times New Roman"/>
          <w:szCs w:val="24"/>
        </w:rPr>
        <w:t xml:space="preserve">, </w:t>
      </w:r>
      <w:r w:rsidRPr="001218CF">
        <w:rPr>
          <w:rFonts w:eastAsiaTheme="minorEastAsia" w:cs="Times New Roman"/>
          <w:i/>
          <w:iCs/>
          <w:szCs w:val="24"/>
        </w:rPr>
        <w:t>multiracial,</w:t>
      </w:r>
      <w:r w:rsidRPr="001218CF">
        <w:rPr>
          <w:rFonts w:eastAsiaTheme="minorEastAsia" w:cs="Times New Roman"/>
          <w:szCs w:val="24"/>
        </w:rPr>
        <w:t xml:space="preserve"> </w:t>
      </w:r>
      <w:r w:rsidRPr="001218CF">
        <w:rPr>
          <w:rFonts w:eastAsiaTheme="minorEastAsia" w:cs="Times New Roman"/>
          <w:i/>
          <w:iCs/>
          <w:szCs w:val="24"/>
        </w:rPr>
        <w:t>Latino</w:t>
      </w:r>
      <w:r w:rsidRPr="001218CF">
        <w:rPr>
          <w:rFonts w:eastAsiaTheme="minorEastAsia" w:cs="Times New Roman"/>
          <w:szCs w:val="24"/>
        </w:rPr>
        <w:t xml:space="preserve">, and </w:t>
      </w:r>
      <w:r w:rsidRPr="001218CF">
        <w:rPr>
          <w:rFonts w:eastAsiaTheme="minorEastAsia" w:cs="Times New Roman"/>
          <w:i/>
          <w:iCs/>
          <w:szCs w:val="24"/>
        </w:rPr>
        <w:t>foreign-born</w:t>
      </w:r>
      <w:r w:rsidRPr="001218CF">
        <w:rPr>
          <w:rFonts w:eastAsiaTheme="minorEastAsia" w:cs="Times New Roman"/>
          <w:szCs w:val="24"/>
        </w:rPr>
        <w:t>.</w:t>
      </w:r>
      <w:r w:rsidRPr="001218CF">
        <w:rPr>
          <w:rFonts w:eastAsiaTheme="minorEastAsia" w:cs="Times New Roman"/>
          <w:szCs w:val="24"/>
          <w:vertAlign w:val="superscript"/>
        </w:rPr>
        <w:footnoteReference w:id="12"/>
      </w:r>
      <w:r w:rsidRPr="001218CF">
        <w:rPr>
          <w:rFonts w:eastAsiaTheme="minorEastAsia" w:cs="Times New Roman"/>
          <w:szCs w:val="24"/>
        </w:rPr>
        <w:t xml:space="preserve"> Lastly,</w:t>
      </w:r>
      <w:r w:rsidRPr="001218CF">
        <w:rPr>
          <w:rFonts w:cs="Times New Roman"/>
          <w:szCs w:val="24"/>
        </w:rPr>
        <w:t xml:space="preserve"> we once again include </w:t>
      </w:r>
      <w:r w:rsidRPr="001218CF">
        <w:rPr>
          <w:rFonts w:cs="Times New Roman"/>
          <w:i/>
          <w:iCs/>
          <w:szCs w:val="24"/>
        </w:rPr>
        <w:t xml:space="preserve">county fixed effects </w:t>
      </w:r>
      <w:r w:rsidRPr="001218CF">
        <w:rPr>
          <w:rFonts w:cs="Times New Roman"/>
          <w:szCs w:val="24"/>
        </w:rPr>
        <w:t>(</w:t>
      </w:r>
      <m:oMath>
        <m:sSub>
          <m:sSubPr>
            <m:ctrlPr>
              <w:rPr>
                <w:rFonts w:ascii="Cambria Math" w:hAnsi="Cambria Math" w:cs="Times New Roman"/>
                <w:i/>
                <w:iCs/>
                <w:szCs w:val="24"/>
              </w:rPr>
            </m:ctrlPr>
          </m:sSubPr>
          <m:e>
            <m:r>
              <w:rPr>
                <w:rFonts w:ascii="Cambria Math" w:hAnsi="Cambria Math" w:cs="Times New Roman"/>
                <w:szCs w:val="24"/>
              </w:rPr>
              <m:t>σ</m:t>
            </m:r>
          </m:e>
          <m:sub>
            <m:r>
              <w:rPr>
                <w:rFonts w:ascii="Cambria Math" w:hAnsi="Cambria Math" w:cs="Times New Roman"/>
                <w:szCs w:val="24"/>
              </w:rPr>
              <m:t>c</m:t>
            </m:r>
          </m:sub>
        </m:sSub>
      </m:oMath>
      <w:r w:rsidRPr="001218CF">
        <w:rPr>
          <w:rFonts w:eastAsiaTheme="minorEastAsia" w:cs="Times New Roman"/>
          <w:szCs w:val="24"/>
        </w:rPr>
        <w:t>)</w:t>
      </w:r>
      <w:r w:rsidRPr="001218CF">
        <w:rPr>
          <w:rFonts w:cs="Times New Roman"/>
          <w:szCs w:val="24"/>
        </w:rPr>
        <w:t xml:space="preserve"> to control for fixed observed and unobserved heterogeneity between counties, and we cluster our standard errors at the state level.</w:t>
      </w:r>
      <w:r w:rsidRPr="001218CF">
        <w:rPr>
          <w:rFonts w:cs="Times New Roman"/>
          <w:szCs w:val="24"/>
          <w:vertAlign w:val="superscript"/>
        </w:rPr>
        <w:footnoteReference w:id="13"/>
      </w:r>
      <w:r w:rsidRPr="001218CF">
        <w:rPr>
          <w:rFonts w:cs="Times New Roman"/>
          <w:szCs w:val="24"/>
        </w:rPr>
        <w:t xml:space="preserve"> </w:t>
      </w:r>
    </w:p>
    <w:p w14:paraId="62922158" w14:textId="77777777" w:rsidR="001218CF" w:rsidRPr="001218CF" w:rsidRDefault="001218CF" w:rsidP="001218CF">
      <w:pPr>
        <w:keepNext/>
        <w:keepLines/>
        <w:spacing w:before="240" w:after="0" w:line="480" w:lineRule="auto"/>
        <w:outlineLvl w:val="0"/>
        <w:rPr>
          <w:rFonts w:eastAsiaTheme="majorEastAsia" w:cstheme="majorBidi"/>
          <w:b/>
          <w:szCs w:val="32"/>
          <w:u w:val="single"/>
        </w:rPr>
      </w:pPr>
      <w:r w:rsidRPr="001218CF">
        <w:rPr>
          <w:rFonts w:eastAsiaTheme="majorEastAsia" w:cstheme="majorBidi"/>
          <w:b/>
          <w:szCs w:val="32"/>
          <w:u w:val="single"/>
        </w:rPr>
        <w:lastRenderedPageBreak/>
        <w:t>Results</w:t>
      </w:r>
    </w:p>
    <w:p w14:paraId="1B16247B" w14:textId="77777777" w:rsidR="001218CF" w:rsidRPr="001218CF" w:rsidRDefault="001218CF" w:rsidP="001218CF">
      <w:pPr>
        <w:spacing w:line="480" w:lineRule="auto"/>
      </w:pPr>
      <w:r w:rsidRPr="001218CF">
        <w:t>Overall, the average increase in turnout for all counties between 2016 and 2020 was 6.5 percent. For our purposes, the critical question our DID estimates address is whether VBM policy changes significantly differ from the average increase in the control group’s turnout (</w:t>
      </w:r>
      <w:r w:rsidRPr="001218CF">
        <w:rPr>
          <w:rFonts w:cs="Times New Roman"/>
          <w:szCs w:val="24"/>
        </w:rPr>
        <w:t>5.3 percent).</w:t>
      </w:r>
    </w:p>
    <w:p w14:paraId="3B8251A9" w14:textId="77777777" w:rsidR="001218CF" w:rsidRPr="001218CF" w:rsidRDefault="001218CF" w:rsidP="001218CF">
      <w:pPr>
        <w:spacing w:line="480" w:lineRule="auto"/>
      </w:pPr>
      <w:r w:rsidRPr="001218CF">
        <w:t xml:space="preserve">Figure 2 reports the key results of our DID design, estimating the effect of </w:t>
      </w:r>
      <w:r w:rsidRPr="001218CF">
        <w:rPr>
          <w:i/>
          <w:iCs/>
        </w:rPr>
        <w:t>VBM conditions</w:t>
      </w:r>
      <w:r w:rsidRPr="001218CF">
        <w:t xml:space="preserve"> on election turnout.</w:t>
      </w:r>
      <w:r w:rsidRPr="001218CF">
        <w:rPr>
          <w:vertAlign w:val="superscript"/>
        </w:rPr>
        <w:footnoteReference w:id="14"/>
      </w:r>
      <w:r w:rsidRPr="001218CF">
        <w:t xml:space="preserve"> The point estimates represent the DID estimates across our four treatment conditions and we report the estimates relative to the control group (i.e., counties that did not change their VBM policy in 2020).</w:t>
      </w:r>
    </w:p>
    <w:p w14:paraId="1183851B" w14:textId="77777777" w:rsidR="001218CF" w:rsidRPr="001218CF" w:rsidRDefault="001218CF" w:rsidP="001218CF">
      <w:pPr>
        <w:spacing w:line="480" w:lineRule="auto"/>
        <w:jc w:val="center"/>
      </w:pPr>
      <w:r w:rsidRPr="001218CF">
        <w:t>[Figure 2 here]</w:t>
      </w:r>
    </w:p>
    <w:p w14:paraId="7D9625EF" w14:textId="77777777" w:rsidR="001218CF" w:rsidRPr="001218CF" w:rsidRDefault="001218CF" w:rsidP="001218CF">
      <w:pPr>
        <w:spacing w:line="480" w:lineRule="auto"/>
        <w:rPr>
          <w:rFonts w:cs="Times New Roman"/>
          <w:szCs w:val="24"/>
        </w:rPr>
      </w:pPr>
      <w:bookmarkStart w:id="3" w:name="_Hlk64898850"/>
      <w:r w:rsidRPr="001218CF">
        <w:t>The results reveal three key findings. First, the change in turnout among the two groups of counties that changed their VBM policy to</w:t>
      </w:r>
      <w:r w:rsidRPr="001218CF">
        <w:rPr>
          <w:i/>
          <w:iCs/>
        </w:rPr>
        <w:t xml:space="preserve"> sending applications </w:t>
      </w:r>
      <w:r w:rsidRPr="001218CF">
        <w:t xml:space="preserve">did not significantly differ (p &gt; 0.05) from the control group. </w:t>
      </w:r>
      <w:r w:rsidRPr="001218CF">
        <w:rPr>
          <w:rFonts w:cs="Times New Roman"/>
          <w:szCs w:val="24"/>
        </w:rPr>
        <w:t xml:space="preserve">Second, turnout in counties that changed their VBM policy to </w:t>
      </w:r>
      <w:r w:rsidRPr="001218CF">
        <w:rPr>
          <w:rFonts w:cs="Times New Roman"/>
          <w:i/>
          <w:iCs/>
          <w:szCs w:val="24"/>
        </w:rPr>
        <w:t xml:space="preserve">no excuse-needed </w:t>
      </w:r>
      <w:r w:rsidRPr="001218CF">
        <w:rPr>
          <w:rFonts w:cs="Times New Roman"/>
          <w:szCs w:val="24"/>
        </w:rPr>
        <w:t xml:space="preserve">was 1.7 percent lower than the control group </w:t>
      </w:r>
      <w:r w:rsidRPr="001218CF">
        <w:t>(p &lt; 0.05),</w:t>
      </w:r>
      <w:r w:rsidRPr="001218CF">
        <w:rPr>
          <w:rFonts w:cs="Times New Roman"/>
          <w:szCs w:val="24"/>
        </w:rPr>
        <w:t xml:space="preserve"> yielding a net gain in turnout of 3.6 percent from 2016. </w:t>
      </w:r>
      <w:r w:rsidRPr="001218CF">
        <w:t xml:space="preserve">Lastly, </w:t>
      </w:r>
      <w:r w:rsidRPr="001218CF">
        <w:rPr>
          <w:rFonts w:cs="Times New Roman"/>
          <w:szCs w:val="24"/>
        </w:rPr>
        <w:t xml:space="preserve">turnout in counties that changed their VBM policy to </w:t>
      </w:r>
      <w:r w:rsidRPr="001218CF">
        <w:rPr>
          <w:i/>
          <w:iCs/>
        </w:rPr>
        <w:t>ballots sent</w:t>
      </w:r>
      <w:r w:rsidRPr="001218CF">
        <w:t xml:space="preserve"> </w:t>
      </w:r>
      <w:r w:rsidRPr="001218CF">
        <w:rPr>
          <w:rFonts w:cs="Times New Roman"/>
          <w:szCs w:val="24"/>
        </w:rPr>
        <w:t xml:space="preserve">was </w:t>
      </w:r>
      <w:r w:rsidRPr="001218CF">
        <w:t xml:space="preserve">2.4 percent higher than </w:t>
      </w:r>
      <w:r w:rsidRPr="001218CF">
        <w:rPr>
          <w:rFonts w:cs="Times New Roman"/>
          <w:szCs w:val="24"/>
        </w:rPr>
        <w:t>the control group</w:t>
      </w:r>
      <w:r w:rsidRPr="001218CF">
        <w:t xml:space="preserve"> (p &lt; 0.05), </w:t>
      </w:r>
      <w:r w:rsidRPr="001218CF">
        <w:rPr>
          <w:rFonts w:cs="Times New Roman"/>
          <w:szCs w:val="24"/>
        </w:rPr>
        <w:t xml:space="preserve">yielding a net gain in turnout of </w:t>
      </w:r>
      <w:r w:rsidRPr="001218CF">
        <w:t>7.7 percent</w:t>
      </w:r>
      <w:r w:rsidRPr="001218CF">
        <w:rPr>
          <w:rFonts w:cs="Times New Roman"/>
          <w:szCs w:val="24"/>
        </w:rPr>
        <w:t xml:space="preserve"> from 2016.</w:t>
      </w:r>
      <w:r w:rsidRPr="001218CF">
        <w:rPr>
          <w:rFonts w:cs="Times New Roman"/>
          <w:szCs w:val="24"/>
          <w:vertAlign w:val="superscript"/>
        </w:rPr>
        <w:footnoteReference w:id="15"/>
      </w:r>
    </w:p>
    <w:p w14:paraId="043A4CD2" w14:textId="77777777" w:rsidR="001218CF" w:rsidRPr="001218CF" w:rsidRDefault="001218CF" w:rsidP="001218CF">
      <w:pPr>
        <w:spacing w:line="480" w:lineRule="auto"/>
        <w:rPr>
          <w:rFonts w:cs="Times New Roman"/>
          <w:szCs w:val="24"/>
        </w:rPr>
      </w:pPr>
      <w:r w:rsidRPr="001218CF">
        <w:rPr>
          <w:rFonts w:cs="Times New Roman"/>
          <w:szCs w:val="24"/>
        </w:rPr>
        <w:t xml:space="preserve">Our turnout hypothesis was partially borne out; counties that adopted mail-in ballots experienced a relatively higher change in turnout. However, other VBM policy changes did not behave in the way we expected. Change in turnout in counites that moved to send their voters mail-in ballot </w:t>
      </w:r>
      <w:r w:rsidRPr="001218CF">
        <w:rPr>
          <w:rFonts w:cs="Times New Roman"/>
          <w:szCs w:val="24"/>
        </w:rPr>
        <w:lastRenderedPageBreak/>
        <w:t xml:space="preserve">applications did not differ meaningfully from the control group, while moving from excuse-need to no excuse-need to vote by mail experienced a smaller bump in turnout between 2016 and 2020, compared to the control group. </w:t>
      </w:r>
    </w:p>
    <w:bookmarkEnd w:id="3"/>
    <w:p w14:paraId="4BA1C5AB" w14:textId="77777777" w:rsidR="001218CF" w:rsidRPr="001218CF" w:rsidRDefault="001218CF" w:rsidP="001218CF">
      <w:pPr>
        <w:spacing w:line="480" w:lineRule="auto"/>
        <w:rPr>
          <w:rFonts w:cs="Times New Roman"/>
          <w:iCs/>
          <w:szCs w:val="24"/>
        </w:rPr>
      </w:pPr>
      <w:r w:rsidRPr="001218CF">
        <w:rPr>
          <w:rFonts w:cs="Times New Roman"/>
          <w:iCs/>
          <w:szCs w:val="24"/>
        </w:rPr>
        <w:t>Figure 3 reports policy change coefficient estimates of the DID model that tests whether there is a partisan advantage to reducing the restrictiveness of VBM policy.</w:t>
      </w:r>
      <w:r w:rsidRPr="001218CF">
        <w:rPr>
          <w:rFonts w:cs="Times New Roman"/>
          <w:iCs/>
          <w:szCs w:val="24"/>
          <w:vertAlign w:val="superscript"/>
        </w:rPr>
        <w:footnoteReference w:id="16"/>
      </w:r>
      <w:r w:rsidRPr="001218CF">
        <w:rPr>
          <w:rFonts w:cs="Times New Roman"/>
          <w:iCs/>
          <w:szCs w:val="24"/>
        </w:rPr>
        <w:t xml:space="preserve"> The results suggest that Republican vote share in each treatment group does not deviate from the control in a statistically significant manner.</w:t>
      </w:r>
      <w:r w:rsidRPr="001218CF">
        <w:rPr>
          <w:rFonts w:cs="Times New Roman"/>
          <w:iCs/>
          <w:szCs w:val="24"/>
          <w:vertAlign w:val="superscript"/>
        </w:rPr>
        <w:footnoteReference w:id="17"/>
      </w:r>
      <w:r w:rsidRPr="001218CF">
        <w:rPr>
          <w:rFonts w:cs="Times New Roman"/>
          <w:iCs/>
          <w:szCs w:val="24"/>
        </w:rPr>
        <w:t xml:space="preserve"> Consistent with previous research, this result provides evidence suggesting that </w:t>
      </w:r>
      <w:r w:rsidRPr="001218CF">
        <w:rPr>
          <w:rFonts w:cs="Times New Roman"/>
          <w:i/>
          <w:szCs w:val="24"/>
        </w:rPr>
        <w:t>any</w:t>
      </w:r>
      <w:r w:rsidRPr="001218CF">
        <w:rPr>
          <w:rFonts w:cs="Times New Roman"/>
          <w:iCs/>
          <w:szCs w:val="24"/>
        </w:rPr>
        <w:t xml:space="preserve"> change making VBM easier does not hurt or help a party at the ballot box.</w:t>
      </w:r>
    </w:p>
    <w:p w14:paraId="1828FF80" w14:textId="77777777" w:rsidR="001218CF" w:rsidRPr="001218CF" w:rsidRDefault="001218CF" w:rsidP="001218CF">
      <w:pPr>
        <w:spacing w:line="480" w:lineRule="auto"/>
        <w:jc w:val="center"/>
      </w:pPr>
      <w:r w:rsidRPr="001218CF">
        <w:t>[Figure 3 here]</w:t>
      </w:r>
    </w:p>
    <w:p w14:paraId="77DE84D3" w14:textId="77777777" w:rsidR="001218CF" w:rsidRPr="001218CF" w:rsidRDefault="001218CF" w:rsidP="001218CF">
      <w:pPr>
        <w:keepNext/>
        <w:keepLines/>
        <w:spacing w:before="240" w:after="0" w:line="480" w:lineRule="auto"/>
        <w:outlineLvl w:val="0"/>
        <w:rPr>
          <w:rFonts w:eastAsiaTheme="majorEastAsia" w:cs="Times New Roman"/>
          <w:b/>
          <w:szCs w:val="24"/>
          <w:u w:val="single"/>
        </w:rPr>
      </w:pPr>
      <w:r w:rsidRPr="001218CF">
        <w:rPr>
          <w:rFonts w:eastAsiaTheme="majorEastAsia" w:cs="Times New Roman"/>
          <w:b/>
          <w:szCs w:val="24"/>
          <w:u w:val="single"/>
        </w:rPr>
        <w:t>Discussion</w:t>
      </w:r>
    </w:p>
    <w:p w14:paraId="2E9A7CC1" w14:textId="31B922D1" w:rsidR="001218CF" w:rsidRPr="001218CF" w:rsidRDefault="001218CF" w:rsidP="001218CF">
      <w:pPr>
        <w:spacing w:line="480" w:lineRule="auto"/>
        <w:rPr>
          <w:rFonts w:cs="Times New Roman"/>
          <w:szCs w:val="24"/>
        </w:rPr>
      </w:pPr>
      <w:r w:rsidRPr="001218CF">
        <w:rPr>
          <w:rFonts w:cs="Times New Roman"/>
          <w:szCs w:val="24"/>
        </w:rPr>
        <w:t xml:space="preserve">Leading up to the 2020 election, unprecedented changes to the VBM policy landscape in the U.S. fomented endless speculation by politicians and pundits about effects on turnout and partisan electoral prospects. Scholars simultaneously studied previous changes to VBM policies to provide informed predictions about such electoral effects </w:t>
      </w:r>
      <w:r w:rsidRPr="001218CF">
        <w:rPr>
          <w:rFonts w:cs="Times New Roman"/>
          <w:szCs w:val="24"/>
        </w:rPr>
        <w:fldChar w:fldCharType="begin"/>
      </w:r>
      <w:r w:rsidRPr="001218CF">
        <w:rPr>
          <w:rFonts w:cs="Times New Roman"/>
          <w:szCs w:val="24"/>
        </w:rPr>
        <w:instrText xml:space="preserve"> ADDIN ZOTERO_ITEM CSL_CITATION {"citationID":"Ludfayrx","properties":{"formattedCitation":"(Barber and Holbein 2020b; Baringer, Herron, and Smith 2020; Bonica et al. 2020; Lockhart et al. 2020b; Thompson et al. 2020b, 2020c; West 2020; Yoder et al. 2020)","plainCitation":"(Barber and Holbein 2020b; Baringer, Herron, and Smith 2020; Bonica et al. 2020; Lockhart et al. 2020b; Thompson et al. 2020b, 2020c; West 2020; Yoder et al. 2020)","dontUpdate":true,"noteIndex":0},"citationItems":[{"id":1256,"uris":["http://zotero.org/groups/2573990/items/VI6H898V"],"uri":["http://zotero.org/groups/2573990/items/VI6H898V"],"itemData":{"id":1256,"type":"article-journal","abstract":"Recently, mandatory vote-by-mail has received a great deal of attention as a means of administering elections in the United States. However, policy-makers disagree on the merits of this approach. Many of these debates hinge on whether mandatory vote-by-mail advantages one political party over the other. Using a unique pairing of historical county-level data that covers the past three decades and more than 40 million voting records from the two states that have conducted a staggered rollout of mandatory vote-by-mail (Washington and Utah), we use several methods for causal inference to show that mandatory vote-by-mail slightly increases voter turnout but has no effect on election outcomes at various levels of government. Our results find meaning given contemporary debates about the merits of mandatory vote-by-mail. Mandatory vote-by-mail ensures that citizens are given a safe means of casting their ballot while simultaneously not advantaging one political party over the other.","container-title":"Science Advances","DOI":"10.1126/sciadv.abc7685","ISSN":"2375-2548","issue":"35","journalAbbreviation":"Sci. Adv.","language":"en","page":"eabc7685","source":"DOI.org (Crossref)","title":"The participatory and partisan impacts of mandatory vote-by-mail","volume":"6","author":[{"family":"Barber","given":"Michael"},{"family":"Holbein","given":"John B."}],"issued":{"date-parts":[["2020",8]]}}},{"id":1241,"uris":["http://zotero.org/groups/2573990/items/WDZ4QHEH"],"uri":["http://zotero.org/groups/2573990/items/WDZ4QHEH"],"itemData":{"id":1241,"type":"article-journal","abstract":"The COVID-19 pandemic and its concomitant need for social distancing have increased the attractiveness of voting by mail. This form of voting is nonetheless not a panacea for election administration in the time of a public health crisis, as a widespread move to ballots cast by voting by mail risks exacerbating existing inequities in mail-in ballot rejection rates across voters and jurisdictions. This motivates our examination of the roughly 9.6 million and 8.2 million ballots cast in the 2016 and 2018 general elections in Florida, respectively, including over 2.6 million vote-by-mail (VBM) ballots cast in each. Using a selection model that analyzes all ballots cast and those VBM ballots not counted in Florida in these two elections, we find that younger voters, voters not registered with a major political party, and voters in need of assistance when voting are disproportionately likely to have their VBM ballots not count. We also find disproportionately high rejection rates of mail ballots cast by Hispanic voters, out-of-state voters, and military dependents in the 2018 general election. Lastly, we find significant variation in the rejection rates of VBM ballots cast across Florida’s 67 counties in the 2018 election, suggesting a non-uniformity in the way local election officials verify these ballots. As interest in expanding mail voting swells as a consequence of the novel coronavirus, protecting the rights of all voters to participate in electoral politics requires a characterization of the correlates of VBM ballot rejection with an eye toward considering how disparities in ballot rejection rates might be rectified.","container-title":"Election Law Journal: Rules, Politics, and Policy","DOI":"10.1089/elj.2020.0658","ISSN":"1533-1296, 1557-8062","issue":"3","journalAbbreviation":"Election Law Journal: Rules, Politics, and Policy","language":"en","page":"289-320","source":"DOI.org (Crossref)","title":"Voting by Mail and Ballot Rejection: Lessons from Florida for Elections in the Age of the Coronavirus","title-short":"Voting by Mail and Ballot Rejection","volume":"19","author":[{"family":"Baringer","given":"Anna"},{"family":"Herron","given":"Michael C."},{"family":"Smith","given":"Daniel A."}],"issued":{"date-parts":[["2020",9,1]]}}},{"id":1297,"uris":["http://zotero.org/groups/2573990/items/B4Z8JRNS"],"uri":["http://zotero.org/groups/2573990/items/B4Z8JRNS"],"itemData":{"id":1297,"type":"manuscript","abstract":"The COVID-19 crisis has generated interest in all-mail voting (AMV) as a potential policy 18 solution for avoiding in-person elections. However, past research into the effect of AMV 19 on voter turnout has found mixed results. We exploit the understudied 2014 20 implementation of AMV in Colorado to estimate the effect on turnout for all registered 21 voters, along with age, racial, education, income and wealth, and occupational subgroups. 22 Using large voter file data and a difference-in-differences design within individuals, we 23 find a positive overall turnout effect of approximately 8 percentage points. Effects are significantly larger among lower-propensity voting groups, such as young people, blue collar workers, voters with less educational attainment, and voters of color. The results suggest that researchers and policymakers should look to Colorado’s AMV approach as an effective model for boosting aggregate turnout and reducing voting disparities across subgroups.","title":"All-Mail Voting in Colorado Increases Turnout and Reduces Turnout Inequality","URL":"https://www.dropbox.com/s/lqz0pae9kx52bl0/AGHJ_VBM_08_26_2020.pdf?dl=0","author":[{"family":"Bonica","given":"Adam"},{"family":"Grumbach","given":"Jocob"},{"family":"Hill","given":"Charlotte"},{"family":"Jefferson","given":"Hakeem"}],"issued":{"date-parts":[["2020",9,3]]}}},{"id":1237,"uris":["http://zotero.org/groups/2573990/items/FWM3Z8JF"],"uri":["http://zotero.org/groups/2573990/items/FWM3Z8JF"],"itemData":{"id":1237,"type":"article-journal","abstract":"Are voters as polarized as political leaders when it comes to their preferences about how to cast their ballots in November 2020 and their policy positions on how elections should be run in light of the COVID-19 outbreak? Prior research has shown little party divide on voting by mail, with nearly equal percentages of voters in both parties choosing to vote this way where it is an option. Has a divide opened up this year in how voters aligned with the Democratic and Republican parties prefer to cast a ballot? We address these questions with two nationally diverse, online surveys fielded from April 8 to 10 and June 11 to 13, of 5,612 and 5,818 eligible voters, respectively, with an embedded experiment providing treated respondents with scientific projections about the COVID-19 outbreak. We find a nearly 10 percentage point difference between Democrats and Republicans in their preference for voting by mail in April, which had doubled in size to nearly 20 percentage points in June. This partisan gap is wider still for those exposed to scientific projections about the pandemic. We also find that support for national legislation requiring states to offer no-excuse absentee ballots has emerged as an increasingly polarized issue.","container-title":"Proceedings of the National Academy of Sciences","DOI":"10.1073/pnas.2008023117","ISSN":"0027-8424, 1091-6490","journalAbbreviation":"Proc Natl Acad Sci USA","language":"en","page":"202008023","source":"DOI.org (Crossref)","title":"America’s electorate is increasingly polarized along partisan lines about voting by mail during the COVID-19 crisis","author":[{"family":"Lockhart","given":"Mackenzie"},{"family":"Hill","given":"Seth J."},{"family":"Merolla","given":"Jennifer"},{"family":"Romero","given":"Mindy"},{"family":"Kousser","given":"Thad"}],"issued":{"date-parts":[["2020",9,22]]}}},{"id":1235,"uris":["http://zotero.org/groups/2573990/items/NIF47CQJ"],"uri":["http://zotero.org/groups/2573990/items/NIF47CQJ"],"itemData":{"id":1235,"type":"article-journal","abstract":"In response to coronavirus disease 2019 (COVID-19), many scholars and policy makers are urging the United States to expand voting-by-mail programs to safeguard the electoral process. What are the effects of vote-by-mail? In this paper, we provide a comprehensive design-based analysis of the effect of universal vote-by-mail—a policy under which every voter is mailed a ballot in advance of the election—on electoral outcomes. We collect data from 1996 to 2018 on all three US states that implemented universal vote-by-mail in a staggered fashion across counties, allowing us to use a difference-in-differences design at the county level to estimate causal effects. We find that 1) universal vote-by-mail does not appear to affect either party’s share of turnout, 2) universal vote-by-mail does not appear to increase either party’s vote share, and 3) universal vote-by-mail modestly increases overall average turnout rates, in line with previous estimates. All three conclusions support the conventional wisdom of election administration experts and contradict many popular claims in the media.","container-title":"Proceedings of the National Academy of Sciences","DOI":"10.1073/pnas.2007249117","ISSN":"0027-8424, 1091-6490","journalAbbreviation":"Proc Natl Acad Sci USA","language":"en","page":"202007249","source":"DOI.org (Crossref)","title":"Universal vote-by-mail has no impact on partisan turnout or vote share","author":[{"family":"Thompson","given":"Daniel M."},{"family":"Wu","given":"Jennifer A."},{"family":"Yoder","given":"Jesse"},{"family":"Hall","given":"Andrew B."}],"issued":{"date-parts":[["2020",6,9]]}}},{"id":1474,"uris":["http://zotero.org/groups/2573990/items/L87WCLTN"],"uri":["http://zotero.org/groups/2573990/items/L87WCLTN"],"itemData":{"id":1474,"type":"article-newspaper","abstract":"We examined data from California, Utah and Washington.","container-title":"Washington Post","ISSN":"0190-8286","language":"en-US","source":"www.washingtonpost.com","title":"No, voting by mail does not give either party an advantage. Here’s how we know.","URL":"https://www.washingtonpost.com/politics/2020/04/17/no-voting-by-mail-does-not-give-either-party-an-advantage-heres-how-we-know/","author":[{"family":"Thompson","given":"Daniel M."},{"family":"Wu","given":"Jennifer"},{"family":"Yoder","given":"Jesse"},{"family":"Hall","given":"Andrew B."}],"accessed":{"date-parts":[["2021",1,21]]},"issued":{"date-parts":[["2020",4,17]]}}},{"id":1481,"uris":["http://zotero.org/groups/2573990/items/CCFCRHV9"],"uri":["http://zotero.org/groups/2573990/items/CCFCRHV9"],"itemData":{"id":1481,"type":"post-weblog","abstract":"Darrell West explains the different vote-by-mail systems and addresses fears over the political consequences of mail voting and potential for fraud.","container-title":"Brookings","language":"en-US","title":"How does vote-by-mail work and does it increase election fraud?","URL":"https://www.brookings.edu/policy2020/votervital/how-does-vote-by-mail-work-and-does-it-increase-election-fraud/","author":[{"family":"West","given":"Darrell M."}],"accessed":{"date-parts":[["2021",1,21]]},"issued":{"date-parts":[["2020",6,22]]}}},{"id":1239,"uris":["http://zotero.org/groups/2573990/items/AXQWAI8N"],"uri":["http://zotero.org/groups/2573990/items/AXQWAI8N"],"itemData":{"id":1239,"type":"article-journal","container-title":"Election Law Journal: Rules, Politics, and Policy","language":"en","page":"289-320","source":"Zotero","title":"Absentee Voting Is Popular During COVID-19 But Does Not Change Turnout or Partisan Rates of Voting","author":[{"family":"Yoder","given":"Jesse"},{"family":"Handan-Nader","given":"Cassandra"},{"family":"Myers","given":"Andrew"},{"family":"Nowacki","given":"Tobias"},{"family":"Thompson","given":"Daniel M"},{"family":"Wu","given":"Jennifer A"},{"family":"Yorgason","given":"Chenoa"},{"family":"Hall","given":"Andrew B"}],"issued":{"date-parts":[["2020"]]}}}],"schema":"https://github.com/citation-style-language/schema/raw/master/csl-citation.json"} </w:instrText>
      </w:r>
      <w:r w:rsidRPr="001218CF">
        <w:rPr>
          <w:rFonts w:cs="Times New Roman"/>
          <w:szCs w:val="24"/>
        </w:rPr>
        <w:fldChar w:fldCharType="separate"/>
      </w:r>
      <w:r w:rsidRPr="001218CF">
        <w:rPr>
          <w:rFonts w:cs="Times New Roman"/>
        </w:rPr>
        <w:t>(e.g., Barber and Holbein 2020; Baringer, Herron, and Smith 2020; Bonica et al. 2020; Lockhart et al. 2020b; Thompson et al. 2020; West 2020; Yoder et al. 2020)</w:t>
      </w:r>
      <w:r w:rsidRPr="001218CF">
        <w:rPr>
          <w:rFonts w:cs="Times New Roman"/>
          <w:szCs w:val="24"/>
        </w:rPr>
        <w:fldChar w:fldCharType="end"/>
      </w:r>
      <w:r w:rsidRPr="001218CF">
        <w:rPr>
          <w:rFonts w:cs="Times New Roman"/>
          <w:szCs w:val="24"/>
        </w:rPr>
        <w:t xml:space="preserve">. This body of research provides a near-consensus that less restrictive access to the postal ballot box results in higher turnout. However, these studies' empirics are constrained to universal VBM elections </w:t>
      </w:r>
      <w:r w:rsidRPr="001218CF">
        <w:rPr>
          <w:rFonts w:cs="Times New Roman"/>
          <w:szCs w:val="24"/>
        </w:rPr>
        <w:fldChar w:fldCharType="begin"/>
      </w:r>
      <w:r>
        <w:rPr>
          <w:rFonts w:cs="Times New Roman"/>
          <w:szCs w:val="24"/>
        </w:rPr>
        <w:instrText xml:space="preserve"> ADDIN ZOTERO_ITEM CSL_CITATION {"citationID":"lA4DvYJD","properties":{"formattedCitation":"(Gronke 2005; Richey 2008; Southwell 2009; Southwell and Burchett 2000b)","plainCitation":"(Gronke 2005; Richey 2008; Southwell 2009; Southwell and Burchett 2000b)","noteIndex":0},"citationItems":[{"id":1231,"uris":["http://zotero.org/groups/2573990/items/KINHS4UU"],"uri":["http://zotero.org/groups/2573990/items/KINHS4UU"],"itemData":{"id":1231,"type":"report","abstract":"The following is a short analysis of Oregon’s unique experience with an all vote by mail system. The\nreview is intended to provides the Commission a “road map” for a by-mail ballot, from issuance by\nthe elections office, to the voter’s hands, back to the county office, and finally to the tally. This map\nwill help the Commission identify best practices for vote by mail systems, highlight potential pitfalls,\nand guide the Commission’s deliberations as they evaluate the rapid expansion of by-mail voting.","event-place":"the Center for Democracy and Election Management","publisher":"American University","publisher-place":"the Center for Democracy and Election Management","title":"Ballot Integrity and Voting by Mail: The Oregon Experience","author":[{"family":"Gronke","given":"Paul"}],"issued":{"date-parts":[["2005",6,15]]}}},{"id":1225,"uris":["http://zotero.org/groups/2573990/items/A66ZJ5MC"],"uri":["http://zotero.org/groups/2573990/items/A66ZJ5MC"],"itemData":{"id":1225,"type":"article-journal","abstract":"Objectives. I test the impact of Oregon's vote-by-mail system on voter turnout. Methods. To determine the impact, I create a cross-sectional time-series regression model of state turnout in presidential elections from 1980 to 2004 and mid-term elections from 1982 to 2006. Results. I find that Oregon's turnout increases by around 10 percentage points of registered voters in both presidential and mid-term elections due to the voting-by-mail reform. Conclusions. These results suggest that one of the reasons that the United States has comparatively lower turnout is due to its more onerous voting procedures.","container-title":"Social Science Quarterly","DOI":"10.1111/j.1540-6237.2008.00590.x","ISSN":"1540-6237","issue":"4","language":"en","note":"_eprint: https://onlinelibrary.wiley.com/doi/pdf/10.1111/j.1540-6237.2008.00590.x","page":"902-915","source":"Wiley Online Library","title":"Voting by Mail: Turnout and Institutional Reform in Oregon*","title-short":"Voting by Mail","volume":"89","author":[{"family":"Richey","given":"Sean"}],"issued":{"date-parts":[["2008"]]}}},{"id":1228,"uris":["http://zotero.org/groups/2573990/items/IMZGD227"],"uri":["http://zotero.org/groups/2573990/items/IMZGD227"],"itemData":{"id":1228,"type":"article-journal","abstract":"Proponents of vote by mail elections often argue that this type of election facilitates participation such that elevated levels of turnout occur. The research tests this assumption by analyzing 44 statewide elections (1980–2007) in the state of Oregon—the only state that conducts all of its elections by mail. The results of this analysis suggest that the vote by mail format is a major stimulus to voter participation in special elections in Oregon, while its effect on turnout in primary and general elections is positive, but fairly minimal.","container-title":"The Social Science Journal","DOI":"10.1016/j.soscij.2008.12.010","ISSN":"0362-3319, 1873-5355","issue":"1","journalAbbreviation":"The Social Science Journal","language":"en","page":"211-216","source":"DOI.org (Crossref)","title":"Analysis of the turnout effects of vote by mail elections, 1980–2007","volume":"46","author":[{"family":"Southwell","given":"Priscilla L."}],"issued":{"date-parts":[["2009",3,1]]}}},{"id":1232,"uris":["http://zotero.org/groups/2573990/items/LKJFMDKH"],"uri":["http://zotero.org/groups/2573990/items/LKJFMDKH"],"itemData":{"id":1232,"type":"article-journal","abstract":"Proponents of all-mail elections argue that this type of election facilitates participation such that elevated levels of turnout occur. The research tests this assumption by analyzing 48 statewide elections from the state of Oregon. This analysis suggests that the all-mail format is a major stimulus to voter participation, second only to the impact of a presidential contest. Previous research on the effect of systemic factors on voter turnout has distinguished between short-term influences (i.e., perceived closeness of the election) and long-term characteristics of the state or district (i.e., party competition). Legal requirements are usually in the","container-title":"American Politics Quarterly","issue":"1","page":"72-79","source":"CiteSeer","title":"The Effect of All-Mail Elections on Voter Turnout","volume":"28","author":[{"family":"Southwell","given":"Priscilla L."},{"family":"Burchett","given":"Justin I."}],"issued":{"date-parts":[["2000"]]}}}],"schema":"https://github.com/citation-style-language/schema/raw/master/csl-citation.json"} </w:instrText>
      </w:r>
      <w:r w:rsidRPr="001218CF">
        <w:rPr>
          <w:rFonts w:cs="Times New Roman"/>
          <w:szCs w:val="24"/>
        </w:rPr>
        <w:fldChar w:fldCharType="separate"/>
      </w:r>
      <w:r w:rsidRPr="001218CF">
        <w:rPr>
          <w:rFonts w:cs="Times New Roman"/>
        </w:rPr>
        <w:t>(Gronke 2005; Richey 2008; Southwell 2009; Southwell and Burchett 2000b)</w:t>
      </w:r>
      <w:r w:rsidRPr="001218CF">
        <w:rPr>
          <w:rFonts w:cs="Times New Roman"/>
          <w:szCs w:val="24"/>
        </w:rPr>
        <w:fldChar w:fldCharType="end"/>
      </w:r>
      <w:r w:rsidRPr="001218CF">
        <w:rPr>
          <w:rFonts w:cs="Times New Roman"/>
          <w:szCs w:val="24"/>
        </w:rPr>
        <w:t xml:space="preserve">. </w:t>
      </w:r>
    </w:p>
    <w:p w14:paraId="77B0B361" w14:textId="77777777" w:rsidR="001218CF" w:rsidRPr="001218CF" w:rsidRDefault="001218CF" w:rsidP="001218CF">
      <w:pPr>
        <w:spacing w:line="480" w:lineRule="auto"/>
        <w:rPr>
          <w:rFonts w:cs="Times New Roman"/>
          <w:szCs w:val="24"/>
        </w:rPr>
      </w:pPr>
      <w:r w:rsidRPr="001218CF">
        <w:rPr>
          <w:rFonts w:cs="Times New Roman"/>
          <w:szCs w:val="24"/>
        </w:rPr>
        <w:lastRenderedPageBreak/>
        <w:t xml:space="preserve">The COVID-19 pandemic incentivized states and counties to decrease the risk of COVID-19 contagion on Election Day. Their actions to reduce the spread of COVID-19 resulted in two useful methodological opportunities. First, it pushed many counties to </w:t>
      </w:r>
      <w:r w:rsidRPr="001218CF">
        <w:rPr>
          <w:rFonts w:cs="Times New Roman"/>
          <w:i/>
          <w:iCs/>
          <w:szCs w:val="24"/>
        </w:rPr>
        <w:t>change</w:t>
      </w:r>
      <w:r w:rsidRPr="001218CF">
        <w:rPr>
          <w:rFonts w:cs="Times New Roman"/>
          <w:szCs w:val="24"/>
        </w:rPr>
        <w:t xml:space="preserve"> their VBM policies. Second, these changes produced novel variation in VBM policy restrictiveness at the national scale. Combined, these opportunities afford our analyses uniquely generalizable and nuanced insight into the electoral effects of VBM policies. We capitalize on these opportunities by using a DID design to estimate the effects of changes to VBM policy on turnout and partisan consequences. </w:t>
      </w:r>
    </w:p>
    <w:p w14:paraId="50DE8414" w14:textId="14AE7233" w:rsidR="001218CF" w:rsidRPr="001218CF" w:rsidRDefault="001218CF" w:rsidP="001218CF">
      <w:pPr>
        <w:spacing w:line="480" w:lineRule="auto"/>
        <w:rPr>
          <w:rFonts w:cs="Times New Roman"/>
          <w:szCs w:val="24"/>
        </w:rPr>
      </w:pPr>
      <w:r w:rsidRPr="001218CF">
        <w:rPr>
          <w:rFonts w:cs="Times New Roman"/>
          <w:szCs w:val="24"/>
        </w:rPr>
        <w:t xml:space="preserve">Consistent with previous work, we find no evidence to support the claim that increasing access to VBM ballots offers alters partisan vote share. </w:t>
      </w:r>
      <w:r w:rsidRPr="001218CF">
        <w:rPr>
          <w:rFonts w:cs="Times New Roman"/>
          <w:szCs w:val="24"/>
        </w:rPr>
        <w:fldChar w:fldCharType="begin"/>
      </w:r>
      <w:r>
        <w:rPr>
          <w:rFonts w:cs="Times New Roman"/>
          <w:szCs w:val="24"/>
        </w:rPr>
        <w:instrText xml:space="preserve"> ADDIN ZOTERO_ITEM CSL_CITATION {"citationID":"9aj3DeVD","properties":{"formattedCitation":"(Gronke 2005; Richey 2008; Southwell 2009; Southwell and Burchett 2000b)","plainCitation":"(Gronke 2005; Richey 2008; Southwell 2009; Southwell and Burchett 2000b)","noteIndex":0},"citationItems":[{"id":1231,"uris":["http://zotero.org/groups/2573990/items/KINHS4UU"],"uri":["http://zotero.org/groups/2573990/items/KINHS4UU"],"itemData":{"id":1231,"type":"report","abstract":"The following is a short analysis of Oregon’s unique experience with an all vote by mail system. The\nreview is intended to provides the Commission a “road map” for a by-mail ballot, from issuance by\nthe elections office, to the voter’s hands, back to the county office, and finally to the tally. This map\nwill help the Commission identify best practices for vote by mail systems, highlight potential pitfalls,\nand guide the Commission’s deliberations as they evaluate the rapid expansion of by-mail voting.","event-place":"the Center for Democracy and Election Management","publisher":"American University","publisher-place":"the Center for Democracy and Election Management","title":"Ballot Integrity and Voting by Mail: The Oregon Experience","author":[{"family":"Gronke","given":"Paul"}],"issued":{"date-parts":[["2005",6,15]]}}},{"id":1225,"uris":["http://zotero.org/groups/2573990/items/A66ZJ5MC"],"uri":["http://zotero.org/groups/2573990/items/A66ZJ5MC"],"itemData":{"id":1225,"type":"article-journal","abstract":"Objectives. I test the impact of Oregon's vote-by-mail system on voter turnout. Methods. To determine the impact, I create a cross-sectional time-series regression model of state turnout in presidential elections from 1980 to 2004 and mid-term elections from 1982 to 2006. Results. I find that Oregon's turnout increases by around 10 percentage points of registered voters in both presidential and mid-term elections due to the voting-by-mail reform. Conclusions. These results suggest that one of the reasons that the United States has comparatively lower turnout is due to its more onerous voting procedures.","container-title":"Social Science Quarterly","DOI":"10.1111/j.1540-6237.2008.00590.x","ISSN":"1540-6237","issue":"4","language":"en","note":"_eprint: https://onlinelibrary.wiley.com/doi/pdf/10.1111/j.1540-6237.2008.00590.x","page":"902-915","source":"Wiley Online Library","title":"Voting by Mail: Turnout and Institutional Reform in Oregon*","title-short":"Voting by Mail","volume":"89","author":[{"family":"Richey","given":"Sean"}],"issued":{"date-parts":[["2008"]]}}},{"id":1228,"uris":["http://zotero.org/groups/2573990/items/IMZGD227"],"uri":["http://zotero.org/groups/2573990/items/IMZGD227"],"itemData":{"id":1228,"type":"article-journal","abstract":"Proponents of vote by mail elections often argue that this type of election facilitates participation such that elevated levels of turnout occur. The research tests this assumption by analyzing 44 statewide elections (1980–2007) in the state of Oregon—the only state that conducts all of its elections by mail. The results of this analysis suggest that the vote by mail format is a major stimulus to voter participation in special elections in Oregon, while its effect on turnout in primary and general elections is positive, but fairly minimal.","container-title":"The Social Science Journal","DOI":"10.1016/j.soscij.2008.12.010","ISSN":"0362-3319, 1873-5355","issue":"1","journalAbbreviation":"The Social Science Journal","language":"en","page":"211-216","source":"DOI.org (Crossref)","title":"Analysis of the turnout effects of vote by mail elections, 1980–2007","volume":"46","author":[{"family":"Southwell","given":"Priscilla L."}],"issued":{"date-parts":[["2009",3,1]]}}},{"id":1232,"uris":["http://zotero.org/groups/2573990/items/LKJFMDKH"],"uri":["http://zotero.org/groups/2573990/items/LKJFMDKH"],"itemData":{"id":1232,"type":"article-journal","abstract":"Proponents of all-mail elections argue that this type of election facilitates participation such that elevated levels of turnout occur. The research tests this assumption by analyzing 48 statewide elections from the state of Oregon. This analysis suggests that the all-mail format is a major stimulus to voter participation, second only to the impact of a presidential contest. Previous research on the effect of systemic factors on voter turnout has distinguished between short-term influences (i.e., perceived closeness of the election) and long-term characteristics of the state or district (i.e., party competition). Legal requirements are usually in the","container-title":"American Politics Quarterly","issue":"1","page":"72-79","source":"CiteSeer","title":"The Effect of All-Mail Elections on Voter Turnout","volume":"28","author":[{"family":"Southwell","given":"Priscilla L."},{"family":"Burchett","given":"Justin I."}],"issued":{"date-parts":[["2000"]]}}}],"schema":"https://github.com/citation-style-language/schema/raw/master/csl-citation.json"} </w:instrText>
      </w:r>
      <w:r w:rsidRPr="001218CF">
        <w:rPr>
          <w:rFonts w:cs="Times New Roman"/>
          <w:szCs w:val="24"/>
        </w:rPr>
        <w:fldChar w:fldCharType="separate"/>
      </w:r>
      <w:r w:rsidRPr="001218CF">
        <w:rPr>
          <w:rFonts w:cs="Times New Roman"/>
        </w:rPr>
        <w:t>(Gronke 2005; Richey 2008; Southwell 2009; Southwell and Burchett 2000b)</w:t>
      </w:r>
      <w:r w:rsidRPr="001218CF">
        <w:rPr>
          <w:rFonts w:cs="Times New Roman"/>
          <w:szCs w:val="24"/>
        </w:rPr>
        <w:fldChar w:fldCharType="end"/>
      </w:r>
      <w:r w:rsidRPr="001218CF">
        <w:rPr>
          <w:rFonts w:cs="Times New Roman"/>
          <w:szCs w:val="24"/>
        </w:rPr>
        <w:t xml:space="preserve">. We further generalize on these findings by noting that </w:t>
      </w:r>
      <w:r w:rsidRPr="001218CF">
        <w:rPr>
          <w:rFonts w:cs="Times New Roman"/>
          <w:i/>
          <w:iCs/>
          <w:szCs w:val="24"/>
        </w:rPr>
        <w:t>any</w:t>
      </w:r>
      <w:r w:rsidRPr="001218CF">
        <w:rPr>
          <w:rFonts w:cs="Times New Roman"/>
          <w:szCs w:val="24"/>
        </w:rPr>
        <w:t xml:space="preserve"> change to the restrictiveness of VBM policy does not confer a partisan electoral advantage.</w:t>
      </w:r>
    </w:p>
    <w:p w14:paraId="0D994147" w14:textId="483CC2B0" w:rsidR="001218CF" w:rsidRPr="001218CF" w:rsidRDefault="001218CF" w:rsidP="001218CF">
      <w:pPr>
        <w:spacing w:line="480" w:lineRule="auto"/>
        <w:rPr>
          <w:rFonts w:cs="Times New Roman"/>
          <w:szCs w:val="24"/>
        </w:rPr>
      </w:pPr>
      <w:r w:rsidRPr="001218CF">
        <w:rPr>
          <w:rFonts w:cs="Times New Roman"/>
          <w:szCs w:val="24"/>
        </w:rPr>
        <w:t xml:space="preserve">Our results concerning turnout are more nuanced. Our finding – that counties that moved from requiring an excuse to vote by mail to not requiring one experienced a significantly smaller positive change in turnout than counties that made no change – is counterintuitive. We speculate that making new rules can, in some cases, can impose additional informational costs on voters that may dissuade them from voting </w:t>
      </w:r>
      <w:r w:rsidRPr="001218CF">
        <w:rPr>
          <w:rFonts w:cs="Times New Roman"/>
          <w:szCs w:val="24"/>
        </w:rPr>
        <w:fldChar w:fldCharType="begin"/>
      </w:r>
      <w:r>
        <w:rPr>
          <w:rFonts w:cs="Times New Roman"/>
          <w:szCs w:val="24"/>
        </w:rPr>
        <w:instrText xml:space="preserve"> ADDIN ZOTERO_ITEM CSL_CITATION {"citationID":"pOpVITj3","properties":{"formattedCitation":"(Brady and Mcnulty 2011; Corvalan and Cox 2018)","plainCitation":"(Brady and Mcnulty 2011; Corvalan and Cox 2018)","noteIndex":0},"citationItems":[{"id":"P3SEzVlU/zeBVXa3d","uris":["http://zotero.org/users/5709912/items/GCK66W77"],"uri":["http://zotero.org/users/5709912/items/GCK66W77"],"itemData":{"id":2515,"type":"article-journal","abstract":"Could changing the locations of polling places affect the outcome of an election by increasing the costs of voting for some and decreasing them for others? The consolidation of voting precincts in Los Angeles County during California's 2003 gubernatorial recall election provides a natural experiment for studying how changing polling places influences voter turnout. Overall turnout decreased by a substantial 1.85 percentage points: A drop in polling place turnout of 3.03 percentage points was partially offset by an increase in absentee voting of 1.18 percentage points. Both transportation and search costs caused these changes. Although there is no evidence that the Los Angeles Registrar of Voters changed more polling locations for those registered with one party than for those registered with another, the changing of polling places still had a small partisan effect because those registered as Democrats were more sensitive to changes in costs than those registered as Republicans. The effects were small enough to allay worries about significant electoral consequences in this instance (e.g., the partisan effect might be decisive in only about one in two hundred contested House elections), but large enough to make it possible for someone to affect outcomes by more extensive manipulation of polling place locations.","container-title":"American Political Science Review","DOI":"10.1017/S0003055410000596","ISSN":"0003-0554, 1537-5943","issue":"1","journalAbbreviation":"Am Polit Sci Rev","language":"en","page":"115-134","source":"DOI.org (Crossref)","title":"Turning Out to Vote: The Costs of Finding and Getting to the Polling Place","title-short":"Turning Out to Vote","volume":"105","author":[{"family":"Brady","given":"Henry E."},{"family":"Mcnulty","given":"John E."}],"issued":{"date-parts":[["2011",2]]}}},{"id":"P3SEzVlU/zo6vwyGp","uris":["http://zotero.org/users/5709912/items/NG2NYZRR"],"uri":["http://zotero.org/users/5709912/items/NG2NYZRR"],"itemData":{"id":2520,"type":"article-journal","abstract":"This paper uses a natural experiment to identify the effect of a procedural information cost on the electoral registration of young first-time voters. We exploit the fact that information about when the minimum age eligibility requirement is due, either at registration or election-day, is only meaningful for those turning 18 after registration closing day. Using a national dataset on Chilean registration over four elections, we provide evidence of a sharp discontinuity in the registration rate of those youngsters turning 18 at closing date. The effect is both sizable and robust, persists over time, and is similar across income groups.","container-title":"Political Behavior","DOI":"10.1007/s11109-017-9389-5","ISSN":"1573-6687","issue":"1","journalAbbreviation":"Polit Behav","language":"en","page":"3-19","source":"Springer Link","title":"The Impact of Procedural Information Costs on Voting: Evidence from a Natural Experiment in Chile","title-short":"The Impact of Procedural Information Costs on Voting","volume":"40","author":[{"family":"Corvalan","given":"Alejandro"},{"family":"Cox","given":"Paulo"}],"issued":{"date-parts":[["2018",3,1]]}}}],"schema":"https://github.com/citation-style-language/schema/raw/master/csl-citation.json"} </w:instrText>
      </w:r>
      <w:r w:rsidRPr="001218CF">
        <w:rPr>
          <w:rFonts w:cs="Times New Roman"/>
          <w:szCs w:val="24"/>
        </w:rPr>
        <w:fldChar w:fldCharType="separate"/>
      </w:r>
      <w:r w:rsidRPr="001218CF">
        <w:rPr>
          <w:rFonts w:cs="Times New Roman"/>
          <w:szCs w:val="24"/>
        </w:rPr>
        <w:t>(Brady and Mcnulty 2011; Corvalan and Cox 2018)</w:t>
      </w:r>
      <w:r w:rsidRPr="001218CF">
        <w:rPr>
          <w:rFonts w:cs="Times New Roman"/>
          <w:szCs w:val="24"/>
        </w:rPr>
        <w:fldChar w:fldCharType="end"/>
      </w:r>
      <w:r w:rsidRPr="001218CF">
        <w:rPr>
          <w:rFonts w:cs="Times New Roman"/>
          <w:szCs w:val="24"/>
        </w:rPr>
        <w:t xml:space="preserve">, especially when those new rules only make voting by mail marginally easier. We also find that moving to sending voters mail-in ballot applications does not produce a bump in turnout. </w:t>
      </w:r>
      <w:proofErr w:type="gramStart"/>
      <w:r w:rsidRPr="001218CF">
        <w:rPr>
          <w:rFonts w:cs="Times New Roman"/>
          <w:szCs w:val="24"/>
        </w:rPr>
        <w:t>Thus</w:t>
      </w:r>
      <w:proofErr w:type="gramEnd"/>
      <w:r w:rsidRPr="001218CF">
        <w:rPr>
          <w:rFonts w:cs="Times New Roman"/>
          <w:szCs w:val="24"/>
        </w:rPr>
        <w:t xml:space="preserve"> it remains unclear as to whether this policy increases the convenience of voting in practice. While we only assess turnout at the aggregate level, future studies should seek to understand whether voters </w:t>
      </w:r>
      <w:proofErr w:type="gramStart"/>
      <w:r w:rsidRPr="001218CF">
        <w:rPr>
          <w:rFonts w:cs="Times New Roman"/>
          <w:szCs w:val="24"/>
        </w:rPr>
        <w:t>actually took</w:t>
      </w:r>
      <w:proofErr w:type="gramEnd"/>
      <w:r w:rsidRPr="001218CF">
        <w:rPr>
          <w:rFonts w:cs="Times New Roman"/>
          <w:szCs w:val="24"/>
        </w:rPr>
        <w:t xml:space="preserve"> advantage of these policies. However, we </w:t>
      </w:r>
      <w:proofErr w:type="gramStart"/>
      <w:r w:rsidRPr="001218CF">
        <w:rPr>
          <w:rFonts w:cs="Times New Roman"/>
          <w:szCs w:val="24"/>
        </w:rPr>
        <w:t>are able to</w:t>
      </w:r>
      <w:proofErr w:type="gramEnd"/>
      <w:r w:rsidRPr="001218CF">
        <w:rPr>
          <w:rFonts w:cs="Times New Roman"/>
          <w:szCs w:val="24"/>
        </w:rPr>
        <w:t xml:space="preserve"> robustly claim that </w:t>
      </w:r>
      <w:r w:rsidRPr="001218CF">
        <w:rPr>
          <w:rFonts w:cs="Times New Roman"/>
          <w:szCs w:val="24"/>
        </w:rPr>
        <w:lastRenderedPageBreak/>
        <w:t>sending voters mail-in ballots increases turnout. If the quality of democracy can be measured, at least in part, by the rate at which individuals vote, then we can safely conclude that sending voters a ballot in the mail produces a notable improvement.</w:t>
      </w:r>
    </w:p>
    <w:p w14:paraId="5CD393B0" w14:textId="38E262B4" w:rsidR="001218CF" w:rsidRDefault="001218CF">
      <w:r>
        <w:br w:type="page"/>
      </w:r>
    </w:p>
    <w:p w14:paraId="5FF1558D" w14:textId="052DEDA0" w:rsidR="00B84728" w:rsidRDefault="001218CF" w:rsidP="001218CF">
      <w:pPr>
        <w:pStyle w:val="Heading1"/>
      </w:pPr>
      <w:r>
        <w:lastRenderedPageBreak/>
        <w:t>Work Cited</w:t>
      </w:r>
    </w:p>
    <w:p w14:paraId="2154B776" w14:textId="77777777" w:rsidR="001218CF" w:rsidRPr="001218CF" w:rsidRDefault="001218CF" w:rsidP="001218CF">
      <w:pPr>
        <w:rPr>
          <w:rFonts w:cs="Times New Roman"/>
          <w:szCs w:val="24"/>
        </w:rPr>
      </w:pPr>
      <w:r w:rsidRPr="001218CF">
        <w:rPr>
          <w:rFonts w:cs="Times New Roman"/>
          <w:szCs w:val="24"/>
        </w:rPr>
        <w:fldChar w:fldCharType="begin"/>
      </w:r>
      <w:r w:rsidRPr="001218CF">
        <w:rPr>
          <w:rFonts w:cs="Times New Roman"/>
          <w:szCs w:val="24"/>
        </w:rPr>
        <w:instrText xml:space="preserve"> ADDIN ZOTERO_BIBL {"uncited":[],"omitted":[],"custom":[]} CSL_BIBLIOGRAPHY </w:instrText>
      </w:r>
      <w:r w:rsidRPr="001218CF">
        <w:rPr>
          <w:rFonts w:cs="Times New Roman"/>
          <w:szCs w:val="24"/>
        </w:rPr>
        <w:fldChar w:fldCharType="separate"/>
      </w:r>
      <w:r w:rsidRPr="001218CF">
        <w:rPr>
          <w:rFonts w:cs="Times New Roman"/>
          <w:szCs w:val="24"/>
        </w:rPr>
        <w:t xml:space="preserve">Alvarez, R. Michael, Ines Levin, and J. Andrew Sinclair. 2012. “Making Voting Easier: Convenience Voting in the 2008 Presidential Election.” </w:t>
      </w:r>
      <w:r w:rsidRPr="001218CF">
        <w:rPr>
          <w:rFonts w:cs="Times New Roman"/>
          <w:i/>
          <w:iCs/>
          <w:szCs w:val="24"/>
        </w:rPr>
        <w:t>Political Research Quarterly</w:t>
      </w:r>
      <w:r w:rsidRPr="001218CF">
        <w:rPr>
          <w:rFonts w:cs="Times New Roman"/>
          <w:szCs w:val="24"/>
        </w:rPr>
        <w:t xml:space="preserve"> 65(2): 248–62.</w:t>
      </w:r>
    </w:p>
    <w:p w14:paraId="4A0EFBEA" w14:textId="21D3C7BC" w:rsidR="001218CF" w:rsidRPr="001218CF" w:rsidRDefault="001218CF" w:rsidP="001218CF">
      <w:pPr>
        <w:rPr>
          <w:rFonts w:cs="Times New Roman"/>
          <w:szCs w:val="24"/>
        </w:rPr>
      </w:pPr>
      <w:r w:rsidRPr="001218CF">
        <w:rPr>
          <w:rFonts w:cs="Times New Roman"/>
          <w:szCs w:val="24"/>
        </w:rPr>
        <w:t xml:space="preserve">Angrist, Joshua D, and Jörn-Steffen Pischke. 2008. </w:t>
      </w:r>
      <w:r w:rsidRPr="001218CF">
        <w:rPr>
          <w:rFonts w:cs="Times New Roman"/>
          <w:i/>
          <w:iCs/>
          <w:szCs w:val="24"/>
        </w:rPr>
        <w:t>Mostly Harmless Econometrics: An Empiricist’s Companion</w:t>
      </w:r>
      <w:r w:rsidRPr="001218CF">
        <w:rPr>
          <w:rFonts w:cs="Times New Roman"/>
          <w:szCs w:val="24"/>
        </w:rPr>
        <w:t>. 1st ed. Princeton University Press; Illustrated Edition.</w:t>
      </w:r>
    </w:p>
    <w:p w14:paraId="3BE315E0" w14:textId="77777777" w:rsidR="001218CF" w:rsidRPr="001218CF" w:rsidRDefault="001218CF" w:rsidP="001218CF">
      <w:pPr>
        <w:rPr>
          <w:rFonts w:cs="Times New Roman"/>
          <w:szCs w:val="24"/>
        </w:rPr>
      </w:pPr>
      <w:r w:rsidRPr="001218CF">
        <w:rPr>
          <w:rFonts w:cs="Times New Roman"/>
          <w:szCs w:val="24"/>
        </w:rPr>
        <w:t xml:space="preserve">Ansolabehere, Stephen, and David M. Konisky. 2006. “The Introduction of Voter Registration and Its Effect on Turnout.” </w:t>
      </w:r>
      <w:r w:rsidRPr="001218CF">
        <w:rPr>
          <w:rFonts w:cs="Times New Roman"/>
          <w:i/>
          <w:iCs/>
          <w:szCs w:val="24"/>
        </w:rPr>
        <w:t>Political Analysis</w:t>
      </w:r>
      <w:r w:rsidRPr="001218CF">
        <w:rPr>
          <w:rFonts w:cs="Times New Roman"/>
          <w:szCs w:val="24"/>
        </w:rPr>
        <w:t xml:space="preserve"> 14(1): 83–100.</w:t>
      </w:r>
    </w:p>
    <w:p w14:paraId="11CB125C" w14:textId="77777777" w:rsidR="001218CF" w:rsidRPr="001218CF" w:rsidRDefault="001218CF" w:rsidP="001218CF">
      <w:pPr>
        <w:rPr>
          <w:rFonts w:cs="Times New Roman"/>
          <w:szCs w:val="24"/>
        </w:rPr>
      </w:pPr>
      <w:r w:rsidRPr="001218CF">
        <w:rPr>
          <w:rFonts w:cs="Times New Roman"/>
          <w:szCs w:val="24"/>
        </w:rPr>
        <w:t xml:space="preserve">Ballard-Rosa, Cameron, Amalie Jensen, and Kenneth Scheve. 2018. “Economic Decline, Social Identity, and Authoritarian Values in the United States.” </w:t>
      </w:r>
      <w:r w:rsidRPr="001218CF">
        <w:rPr>
          <w:rFonts w:cs="Times New Roman"/>
          <w:i/>
          <w:iCs/>
          <w:szCs w:val="24"/>
        </w:rPr>
        <w:t>American Political Science Association, Boston</w:t>
      </w:r>
      <w:r w:rsidRPr="001218CF">
        <w:rPr>
          <w:rFonts w:cs="Times New Roman"/>
          <w:szCs w:val="24"/>
        </w:rPr>
        <w:t>.</w:t>
      </w:r>
    </w:p>
    <w:p w14:paraId="368C210C" w14:textId="77777777" w:rsidR="001218CF" w:rsidRPr="001218CF" w:rsidRDefault="001218CF" w:rsidP="001218CF">
      <w:pPr>
        <w:rPr>
          <w:rFonts w:cs="Times New Roman"/>
          <w:szCs w:val="24"/>
        </w:rPr>
      </w:pPr>
      <w:r w:rsidRPr="001218CF">
        <w:rPr>
          <w:rFonts w:cs="Times New Roman"/>
          <w:szCs w:val="24"/>
        </w:rPr>
        <w:t xml:space="preserve">Barber, Michael, and John B. Holbein. 2020a. “The Participatory and Partisan Impacts of Mandatory Vote-by-Mail.” </w:t>
      </w:r>
      <w:r w:rsidRPr="001218CF">
        <w:rPr>
          <w:rFonts w:cs="Times New Roman"/>
          <w:i/>
          <w:iCs/>
          <w:szCs w:val="24"/>
        </w:rPr>
        <w:t>Science Advances</w:t>
      </w:r>
      <w:r w:rsidRPr="001218CF">
        <w:rPr>
          <w:rFonts w:cs="Times New Roman"/>
          <w:szCs w:val="24"/>
        </w:rPr>
        <w:t xml:space="preserve"> 6(35): eabc7685.</w:t>
      </w:r>
    </w:p>
    <w:p w14:paraId="38DCAA18" w14:textId="77777777" w:rsidR="001218CF" w:rsidRPr="001218CF" w:rsidRDefault="001218CF" w:rsidP="001218CF">
      <w:pPr>
        <w:rPr>
          <w:rFonts w:cs="Times New Roman"/>
          <w:szCs w:val="24"/>
        </w:rPr>
      </w:pPr>
      <w:r w:rsidRPr="001218CF">
        <w:rPr>
          <w:rFonts w:cs="Times New Roman"/>
          <w:szCs w:val="24"/>
        </w:rPr>
        <w:t xml:space="preserve">———. 2020b. “The Participatory and Partisan Impacts of Mandatory Vote-by-Mail.” </w:t>
      </w:r>
      <w:r w:rsidRPr="001218CF">
        <w:rPr>
          <w:rFonts w:cs="Times New Roman"/>
          <w:i/>
          <w:iCs/>
          <w:szCs w:val="24"/>
        </w:rPr>
        <w:t>Science Advances</w:t>
      </w:r>
      <w:r w:rsidRPr="001218CF">
        <w:rPr>
          <w:rFonts w:cs="Times New Roman"/>
          <w:szCs w:val="24"/>
        </w:rPr>
        <w:t xml:space="preserve"> 6(35): eabc7685.</w:t>
      </w:r>
    </w:p>
    <w:p w14:paraId="0476214E" w14:textId="77777777" w:rsidR="001218CF" w:rsidRPr="001218CF" w:rsidRDefault="001218CF" w:rsidP="001218CF">
      <w:pPr>
        <w:rPr>
          <w:rFonts w:cs="Times New Roman"/>
          <w:szCs w:val="24"/>
        </w:rPr>
      </w:pPr>
      <w:r w:rsidRPr="001218CF">
        <w:rPr>
          <w:rFonts w:cs="Times New Roman"/>
          <w:szCs w:val="24"/>
        </w:rPr>
        <w:t xml:space="preserve">Baringer, Anna, Michael C. Herron, and Daniel A. Smith. 2020. “Voting by Mail and Ballot Rejection: Lessons from Florida for Elections in the Age of the Coronavirus.” </w:t>
      </w:r>
      <w:r w:rsidRPr="001218CF">
        <w:rPr>
          <w:rFonts w:cs="Times New Roman"/>
          <w:i/>
          <w:iCs/>
          <w:szCs w:val="24"/>
        </w:rPr>
        <w:t>Election Law Journal: Rules, Politics, and Policy</w:t>
      </w:r>
      <w:r w:rsidRPr="001218CF">
        <w:rPr>
          <w:rFonts w:cs="Times New Roman"/>
          <w:szCs w:val="24"/>
        </w:rPr>
        <w:t xml:space="preserve"> 19(3): 289–320.</w:t>
      </w:r>
    </w:p>
    <w:p w14:paraId="42E864DC" w14:textId="77777777" w:rsidR="001218CF" w:rsidRPr="001218CF" w:rsidRDefault="001218CF" w:rsidP="001218CF">
      <w:pPr>
        <w:rPr>
          <w:rFonts w:cs="Times New Roman"/>
          <w:szCs w:val="24"/>
        </w:rPr>
      </w:pPr>
      <w:r w:rsidRPr="001218CF">
        <w:rPr>
          <w:rFonts w:cs="Times New Roman"/>
          <w:szCs w:val="24"/>
        </w:rPr>
        <w:t xml:space="preserve">Berinsky, Adam J., Nancy Burns, and Michael W. Traugott. 2001. “Who Votes by Mail?: A Dynamic Model of the Individual-Level Consequences of Voting-by-Mail Systems.” </w:t>
      </w:r>
      <w:r w:rsidRPr="001218CF">
        <w:rPr>
          <w:rFonts w:cs="Times New Roman"/>
          <w:i/>
          <w:iCs/>
          <w:szCs w:val="24"/>
        </w:rPr>
        <w:t>Public Opinion Quarterly</w:t>
      </w:r>
      <w:r w:rsidRPr="001218CF">
        <w:rPr>
          <w:rFonts w:cs="Times New Roman"/>
          <w:szCs w:val="24"/>
        </w:rPr>
        <w:t xml:space="preserve"> 65(2): 178–97.</w:t>
      </w:r>
    </w:p>
    <w:p w14:paraId="68721640" w14:textId="77777777" w:rsidR="001218CF" w:rsidRPr="001218CF" w:rsidRDefault="001218CF" w:rsidP="001218CF">
      <w:pPr>
        <w:rPr>
          <w:rFonts w:cs="Times New Roman"/>
          <w:szCs w:val="24"/>
        </w:rPr>
      </w:pPr>
      <w:r w:rsidRPr="001218CF">
        <w:rPr>
          <w:rFonts w:cs="Times New Roman"/>
          <w:szCs w:val="24"/>
        </w:rPr>
        <w:t xml:space="preserve">Blais, André, Louis Massicotte, and Agnieszka Dobrzynska. 2003. </w:t>
      </w:r>
      <w:r w:rsidRPr="001218CF">
        <w:rPr>
          <w:rFonts w:cs="Times New Roman"/>
          <w:i/>
          <w:iCs/>
          <w:szCs w:val="24"/>
        </w:rPr>
        <w:t>Why Is Turnout Higher in Some Countries than in Others?</w:t>
      </w:r>
      <w:r w:rsidRPr="001218CF">
        <w:rPr>
          <w:rFonts w:cs="Times New Roman"/>
          <w:szCs w:val="24"/>
        </w:rPr>
        <w:t xml:space="preserve"> Environment Canada Montreal.</w:t>
      </w:r>
    </w:p>
    <w:p w14:paraId="7BCC7647" w14:textId="77777777" w:rsidR="001218CF" w:rsidRPr="001218CF" w:rsidRDefault="001218CF" w:rsidP="001218CF">
      <w:pPr>
        <w:rPr>
          <w:rFonts w:cs="Times New Roman"/>
          <w:szCs w:val="24"/>
        </w:rPr>
      </w:pPr>
      <w:r w:rsidRPr="001218CF">
        <w:rPr>
          <w:rFonts w:cs="Times New Roman"/>
          <w:szCs w:val="24"/>
        </w:rPr>
        <w:t>Bonica, Adam, Jocob Grumbach, Charlotte Hill, and Hakeem Jefferson. 2020. “All-Mail Voting in Colorado Increases Turnout and Reduces Turnout Inequality.” https://www.dropbox.com/s/lqz0pae9kx52bl0/AGHJ_VBM_08_26_2020.pdf?dl=0.</w:t>
      </w:r>
    </w:p>
    <w:p w14:paraId="6DE28A9C" w14:textId="77777777" w:rsidR="001218CF" w:rsidRPr="001218CF" w:rsidRDefault="001218CF" w:rsidP="001218CF">
      <w:pPr>
        <w:rPr>
          <w:rFonts w:cs="Times New Roman"/>
          <w:szCs w:val="24"/>
        </w:rPr>
      </w:pPr>
      <w:r w:rsidRPr="001218CF">
        <w:rPr>
          <w:rFonts w:cs="Times New Roman"/>
          <w:szCs w:val="24"/>
        </w:rPr>
        <w:t xml:space="preserve">Brady, Henry E., and John E. Mcnulty. 2011. “Turning Out to Vote: The Costs of Finding and Getting to the Polling Place.” </w:t>
      </w:r>
      <w:r w:rsidRPr="001218CF">
        <w:rPr>
          <w:rFonts w:cs="Times New Roman"/>
          <w:i/>
          <w:iCs/>
          <w:szCs w:val="24"/>
        </w:rPr>
        <w:t>American Political Science Review</w:t>
      </w:r>
      <w:r w:rsidRPr="001218CF">
        <w:rPr>
          <w:rFonts w:cs="Times New Roman"/>
          <w:szCs w:val="24"/>
        </w:rPr>
        <w:t xml:space="preserve"> 105(1): 115–34.</w:t>
      </w:r>
    </w:p>
    <w:p w14:paraId="26EC7696" w14:textId="77777777" w:rsidR="001218CF" w:rsidRPr="001218CF" w:rsidRDefault="001218CF" w:rsidP="001218CF">
      <w:pPr>
        <w:rPr>
          <w:rFonts w:cs="Times New Roman"/>
          <w:szCs w:val="24"/>
        </w:rPr>
      </w:pPr>
      <w:r w:rsidRPr="001218CF">
        <w:rPr>
          <w:rFonts w:cs="Times New Roman"/>
          <w:szCs w:val="24"/>
        </w:rPr>
        <w:t xml:space="preserve">Chyzh, Olga V., and Robert Urbatsch. 2020. “Bean Counters: The Effect of Soy Tariffs on Change in Republican Vote Share between the 2016 and 2018 Elections.” </w:t>
      </w:r>
      <w:r w:rsidRPr="001218CF">
        <w:rPr>
          <w:rFonts w:cs="Times New Roman"/>
          <w:i/>
          <w:iCs/>
          <w:szCs w:val="24"/>
        </w:rPr>
        <w:t>The Journal of Politics</w:t>
      </w:r>
      <w:r w:rsidRPr="001218CF">
        <w:rPr>
          <w:rFonts w:cs="Times New Roman"/>
          <w:szCs w:val="24"/>
        </w:rPr>
        <w:t>: 000–000.</w:t>
      </w:r>
    </w:p>
    <w:p w14:paraId="588E3254" w14:textId="77777777" w:rsidR="001218CF" w:rsidRPr="001218CF" w:rsidRDefault="001218CF" w:rsidP="001218CF">
      <w:pPr>
        <w:rPr>
          <w:rFonts w:cs="Times New Roman"/>
          <w:szCs w:val="24"/>
        </w:rPr>
      </w:pPr>
      <w:r w:rsidRPr="001218CF">
        <w:rPr>
          <w:rFonts w:cs="Times New Roman"/>
          <w:szCs w:val="24"/>
        </w:rPr>
        <w:t xml:space="preserve">Corvalan, Alejandro, and Paulo Cox. 2018. “The Impact of Procedural Information Costs on Voting: Evidence from a Natural Experiment in Chile.” </w:t>
      </w:r>
      <w:r w:rsidRPr="001218CF">
        <w:rPr>
          <w:rFonts w:cs="Times New Roman"/>
          <w:i/>
          <w:iCs/>
          <w:szCs w:val="24"/>
        </w:rPr>
        <w:t>Political Behavior</w:t>
      </w:r>
      <w:r w:rsidRPr="001218CF">
        <w:rPr>
          <w:rFonts w:cs="Times New Roman"/>
          <w:szCs w:val="24"/>
        </w:rPr>
        <w:t xml:space="preserve"> 40(1): 3–19.</w:t>
      </w:r>
    </w:p>
    <w:p w14:paraId="622DB88D" w14:textId="77777777" w:rsidR="001218CF" w:rsidRPr="001218CF" w:rsidRDefault="001218CF" w:rsidP="001218CF">
      <w:pPr>
        <w:rPr>
          <w:rFonts w:cs="Times New Roman"/>
          <w:szCs w:val="24"/>
        </w:rPr>
      </w:pPr>
      <w:r w:rsidRPr="001218CF">
        <w:rPr>
          <w:rFonts w:cs="Times New Roman"/>
          <w:szCs w:val="24"/>
        </w:rPr>
        <w:lastRenderedPageBreak/>
        <w:t xml:space="preserve">Desliver, Drew, and A.W. Geiger. 2016. “Millions of Americans Will Vote Early, Absentee in 2016.” </w:t>
      </w:r>
      <w:r w:rsidRPr="001218CF">
        <w:rPr>
          <w:rFonts w:cs="Times New Roman"/>
          <w:i/>
          <w:iCs/>
          <w:szCs w:val="24"/>
        </w:rPr>
        <w:t>Pew Research Center</w:t>
      </w:r>
      <w:r w:rsidRPr="001218CF">
        <w:rPr>
          <w:rFonts w:cs="Times New Roman"/>
          <w:szCs w:val="24"/>
        </w:rPr>
        <w:t>. https://www.pewresearch.org/fact-tank/2016/10/21/for-many-americans-election-day-is-already-here/ (October 6, 2020).</w:t>
      </w:r>
    </w:p>
    <w:p w14:paraId="0F0DD29E" w14:textId="77777777" w:rsidR="001218CF" w:rsidRPr="001218CF" w:rsidRDefault="001218CF" w:rsidP="001218CF">
      <w:pPr>
        <w:rPr>
          <w:rFonts w:cs="Times New Roman"/>
          <w:szCs w:val="24"/>
        </w:rPr>
      </w:pPr>
      <w:r w:rsidRPr="001218CF">
        <w:rPr>
          <w:rFonts w:cs="Times New Roman"/>
          <w:szCs w:val="24"/>
        </w:rPr>
        <w:t>Downs, Anthony. 1957. “An Economic Theory of Democracy.”</w:t>
      </w:r>
    </w:p>
    <w:p w14:paraId="20559F43" w14:textId="77777777" w:rsidR="001218CF" w:rsidRPr="001218CF" w:rsidRDefault="001218CF" w:rsidP="001218CF">
      <w:pPr>
        <w:rPr>
          <w:rFonts w:cs="Times New Roman"/>
          <w:szCs w:val="24"/>
        </w:rPr>
      </w:pPr>
      <w:r w:rsidRPr="001218CF">
        <w:rPr>
          <w:rFonts w:cs="Times New Roman"/>
          <w:szCs w:val="24"/>
        </w:rPr>
        <w:t xml:space="preserve">Franklin, Mark N. 1996. “Electoral Participation.” </w:t>
      </w:r>
      <w:r w:rsidRPr="001218CF">
        <w:rPr>
          <w:rFonts w:cs="Times New Roman"/>
          <w:i/>
          <w:iCs/>
          <w:szCs w:val="24"/>
        </w:rPr>
        <w:t>Comparing democracies: Elections and voting in global perspective</w:t>
      </w:r>
      <w:r w:rsidRPr="001218CF">
        <w:rPr>
          <w:rFonts w:cs="Times New Roman"/>
          <w:szCs w:val="24"/>
        </w:rPr>
        <w:t>: 216–35.</w:t>
      </w:r>
    </w:p>
    <w:p w14:paraId="0FCB9918" w14:textId="77777777" w:rsidR="001218CF" w:rsidRPr="001218CF" w:rsidRDefault="001218CF" w:rsidP="001218CF">
      <w:pPr>
        <w:rPr>
          <w:rFonts w:cs="Times New Roman"/>
          <w:szCs w:val="24"/>
        </w:rPr>
      </w:pPr>
      <w:r w:rsidRPr="001218CF">
        <w:rPr>
          <w:rFonts w:cs="Times New Roman"/>
          <w:szCs w:val="24"/>
        </w:rPr>
        <w:t xml:space="preserve">Gerber, Alan S., Gregory A. Huber, and Seth J. Hill. 2013. “Identifying the Effect of All-Mail Elections on Turnout: Staggered Reform in the Evergreen State*.” </w:t>
      </w:r>
      <w:r w:rsidRPr="001218CF">
        <w:rPr>
          <w:rFonts w:cs="Times New Roman"/>
          <w:i/>
          <w:iCs/>
          <w:szCs w:val="24"/>
        </w:rPr>
        <w:t>Political Science Research and Methods</w:t>
      </w:r>
      <w:r w:rsidRPr="001218CF">
        <w:rPr>
          <w:rFonts w:cs="Times New Roman"/>
          <w:szCs w:val="24"/>
        </w:rPr>
        <w:t xml:space="preserve"> 1(1): 91–116.</w:t>
      </w:r>
    </w:p>
    <w:p w14:paraId="10BCF9B3" w14:textId="77777777" w:rsidR="001218CF" w:rsidRPr="001218CF" w:rsidRDefault="001218CF" w:rsidP="001218CF">
      <w:pPr>
        <w:rPr>
          <w:rFonts w:cs="Times New Roman"/>
          <w:szCs w:val="24"/>
        </w:rPr>
      </w:pPr>
      <w:r w:rsidRPr="001218CF">
        <w:rPr>
          <w:rFonts w:cs="Times New Roman"/>
          <w:szCs w:val="24"/>
        </w:rPr>
        <w:t xml:space="preserve">Gould, Jens. 2020. “D.C. Nonprofit Sent Ballot Applications to 400,000 New Mexicans.” </w:t>
      </w:r>
      <w:r w:rsidRPr="001218CF">
        <w:rPr>
          <w:rFonts w:cs="Times New Roman"/>
          <w:i/>
          <w:iCs/>
          <w:szCs w:val="24"/>
        </w:rPr>
        <w:t>Santa Fe New Mexican</w:t>
      </w:r>
      <w:r w:rsidRPr="001218CF">
        <w:rPr>
          <w:rFonts w:cs="Times New Roman"/>
          <w:szCs w:val="24"/>
        </w:rPr>
        <w:t>. https://www.santafenewmexican.com/news/coronavirus/d-c-nonprofit-sent-ballot-applications-to-400-000-new-mexicans/article_51633680-dbe5-11ea-bb47-e3c62ca07075.html (November 10, 2020).</w:t>
      </w:r>
    </w:p>
    <w:p w14:paraId="3CC4028C" w14:textId="77777777" w:rsidR="001218CF" w:rsidRPr="001218CF" w:rsidRDefault="001218CF" w:rsidP="001218CF">
      <w:pPr>
        <w:rPr>
          <w:rFonts w:cs="Times New Roman"/>
          <w:szCs w:val="24"/>
        </w:rPr>
      </w:pPr>
      <w:r w:rsidRPr="001218CF">
        <w:rPr>
          <w:rFonts w:cs="Times New Roman"/>
          <w:szCs w:val="24"/>
        </w:rPr>
        <w:t xml:space="preserve">Gronke, Paul. 2005. </w:t>
      </w:r>
      <w:r w:rsidRPr="001218CF">
        <w:rPr>
          <w:rFonts w:cs="Times New Roman"/>
          <w:i/>
          <w:iCs/>
          <w:szCs w:val="24"/>
        </w:rPr>
        <w:t>Ballot Integrity and Voting by Mail: The Oregon Experience</w:t>
      </w:r>
      <w:r w:rsidRPr="001218CF">
        <w:rPr>
          <w:rFonts w:cs="Times New Roman"/>
          <w:szCs w:val="24"/>
        </w:rPr>
        <w:t>. the Center for Democracy and Election Management: American University.</w:t>
      </w:r>
    </w:p>
    <w:p w14:paraId="46A28961" w14:textId="77777777" w:rsidR="001218CF" w:rsidRPr="001218CF" w:rsidRDefault="001218CF" w:rsidP="001218CF">
      <w:pPr>
        <w:rPr>
          <w:rFonts w:cs="Times New Roman"/>
          <w:szCs w:val="24"/>
        </w:rPr>
      </w:pPr>
      <w:r w:rsidRPr="001218CF">
        <w:rPr>
          <w:rFonts w:cs="Times New Roman"/>
          <w:szCs w:val="24"/>
        </w:rPr>
        <w:t xml:space="preserve">Gronke, Paul, and Peter Miller. 2012. “Voting by Mail and Turnout in Oregon: Revisiting Southwell and Burchett.” </w:t>
      </w:r>
      <w:r w:rsidRPr="001218CF">
        <w:rPr>
          <w:rFonts w:cs="Times New Roman"/>
          <w:i/>
          <w:iCs/>
          <w:szCs w:val="24"/>
        </w:rPr>
        <w:t>American Politics Research</w:t>
      </w:r>
      <w:r w:rsidRPr="001218CF">
        <w:rPr>
          <w:rFonts w:cs="Times New Roman"/>
          <w:szCs w:val="24"/>
        </w:rPr>
        <w:t xml:space="preserve"> 40(6): 976–97.</w:t>
      </w:r>
    </w:p>
    <w:p w14:paraId="647D23E1" w14:textId="77777777" w:rsidR="001218CF" w:rsidRPr="001218CF" w:rsidRDefault="001218CF" w:rsidP="001218CF">
      <w:pPr>
        <w:rPr>
          <w:rFonts w:cs="Times New Roman"/>
          <w:szCs w:val="24"/>
        </w:rPr>
      </w:pPr>
      <w:r w:rsidRPr="001218CF">
        <w:rPr>
          <w:rFonts w:cs="Times New Roman"/>
          <w:szCs w:val="24"/>
        </w:rPr>
        <w:t xml:space="preserve">Inglehart, Ronald, and Pippa Norris. 2017. “Trump and the Populist Authoritarian Parties: The Silent Revolution in Reverse.” </w:t>
      </w:r>
      <w:r w:rsidRPr="001218CF">
        <w:rPr>
          <w:rFonts w:cs="Times New Roman"/>
          <w:i/>
          <w:iCs/>
          <w:szCs w:val="24"/>
        </w:rPr>
        <w:t>Perspectives on Politics</w:t>
      </w:r>
      <w:r w:rsidRPr="001218CF">
        <w:rPr>
          <w:rFonts w:cs="Times New Roman"/>
          <w:szCs w:val="24"/>
        </w:rPr>
        <w:t xml:space="preserve"> 15(2): 443–54.</w:t>
      </w:r>
    </w:p>
    <w:p w14:paraId="2FD6602E" w14:textId="77777777" w:rsidR="001218CF" w:rsidRPr="001218CF" w:rsidRDefault="001218CF" w:rsidP="001218CF">
      <w:pPr>
        <w:rPr>
          <w:rFonts w:cs="Times New Roman"/>
          <w:szCs w:val="24"/>
        </w:rPr>
      </w:pPr>
      <w:r w:rsidRPr="001218CF">
        <w:rPr>
          <w:rFonts w:cs="Times New Roman"/>
          <w:szCs w:val="24"/>
        </w:rPr>
        <w:t xml:space="preserve">Jackman, Robert W. 1987. “Political Institutions and Voter Turnout in the Industrial Democracies.” </w:t>
      </w:r>
      <w:r w:rsidRPr="001218CF">
        <w:rPr>
          <w:rFonts w:cs="Times New Roman"/>
          <w:i/>
          <w:iCs/>
          <w:szCs w:val="24"/>
        </w:rPr>
        <w:t>The American Political Science Review</w:t>
      </w:r>
      <w:r w:rsidRPr="001218CF">
        <w:rPr>
          <w:rFonts w:cs="Times New Roman"/>
          <w:szCs w:val="24"/>
        </w:rPr>
        <w:t xml:space="preserve"> 81(2): 405–23.</w:t>
      </w:r>
    </w:p>
    <w:p w14:paraId="4E349EB3" w14:textId="77777777" w:rsidR="001218CF" w:rsidRPr="001218CF" w:rsidRDefault="001218CF" w:rsidP="001218CF">
      <w:pPr>
        <w:rPr>
          <w:rFonts w:cs="Times New Roman"/>
          <w:szCs w:val="24"/>
        </w:rPr>
      </w:pPr>
      <w:r w:rsidRPr="001218CF">
        <w:rPr>
          <w:rFonts w:cs="Times New Roman"/>
          <w:szCs w:val="24"/>
        </w:rPr>
        <w:t xml:space="preserve">Karp, Jeffrey A., and Susan A. Banducci. 2000. “Going Postal: How All-Mail Elections Influence Turnout.” </w:t>
      </w:r>
      <w:r w:rsidRPr="001218CF">
        <w:rPr>
          <w:rFonts w:cs="Times New Roman"/>
          <w:i/>
          <w:iCs/>
          <w:szCs w:val="24"/>
        </w:rPr>
        <w:t>Political Behavior</w:t>
      </w:r>
      <w:r w:rsidRPr="001218CF">
        <w:rPr>
          <w:rFonts w:cs="Times New Roman"/>
          <w:szCs w:val="24"/>
        </w:rPr>
        <w:t xml:space="preserve"> 22(3): 223–39.</w:t>
      </w:r>
    </w:p>
    <w:p w14:paraId="53B918A3" w14:textId="77777777" w:rsidR="001218CF" w:rsidRPr="001218CF" w:rsidRDefault="001218CF" w:rsidP="001218CF">
      <w:pPr>
        <w:rPr>
          <w:rFonts w:cs="Times New Roman"/>
          <w:szCs w:val="24"/>
        </w:rPr>
      </w:pPr>
      <w:r w:rsidRPr="001218CF">
        <w:rPr>
          <w:rFonts w:cs="Times New Roman"/>
          <w:szCs w:val="24"/>
        </w:rPr>
        <w:t xml:space="preserve">Knack, Stephen, and Martha Kropf. 2003. “Voided Ballots in the 1996 Presidential Election: A County-Level Analysis.” </w:t>
      </w:r>
      <w:r w:rsidRPr="001218CF">
        <w:rPr>
          <w:rFonts w:cs="Times New Roman"/>
          <w:i/>
          <w:iCs/>
          <w:szCs w:val="24"/>
        </w:rPr>
        <w:t>The Journal of Politics</w:t>
      </w:r>
      <w:r w:rsidRPr="001218CF">
        <w:rPr>
          <w:rFonts w:cs="Times New Roman"/>
          <w:szCs w:val="24"/>
        </w:rPr>
        <w:t xml:space="preserve"> 65(3): 881–97.</w:t>
      </w:r>
    </w:p>
    <w:p w14:paraId="7EF2F65C" w14:textId="77777777" w:rsidR="001218CF" w:rsidRPr="001218CF" w:rsidRDefault="001218CF" w:rsidP="001218CF">
      <w:pPr>
        <w:rPr>
          <w:rFonts w:cs="Times New Roman"/>
          <w:szCs w:val="24"/>
        </w:rPr>
      </w:pPr>
      <w:r w:rsidRPr="001218CF">
        <w:rPr>
          <w:rFonts w:cs="Times New Roman"/>
          <w:szCs w:val="24"/>
        </w:rPr>
        <w:t xml:space="preserve">Kousser, Thad, and Megan Mullin. 2007. “Does Voting by Mail Increase Participation? Using Matching to Analyze a Natural Experiment.” </w:t>
      </w:r>
      <w:r w:rsidRPr="001218CF">
        <w:rPr>
          <w:rFonts w:cs="Times New Roman"/>
          <w:i/>
          <w:iCs/>
          <w:szCs w:val="24"/>
        </w:rPr>
        <w:t>Political Analysis</w:t>
      </w:r>
      <w:r w:rsidRPr="001218CF">
        <w:rPr>
          <w:rFonts w:cs="Times New Roman"/>
          <w:szCs w:val="24"/>
        </w:rPr>
        <w:t xml:space="preserve"> 15(4): 428–45.</w:t>
      </w:r>
    </w:p>
    <w:p w14:paraId="49E21CC2" w14:textId="77777777" w:rsidR="001218CF" w:rsidRPr="001218CF" w:rsidRDefault="001218CF" w:rsidP="001218CF">
      <w:pPr>
        <w:rPr>
          <w:rFonts w:cs="Times New Roman"/>
          <w:szCs w:val="24"/>
        </w:rPr>
      </w:pPr>
      <w:r w:rsidRPr="001218CF">
        <w:rPr>
          <w:rFonts w:cs="Times New Roman"/>
          <w:szCs w:val="24"/>
        </w:rPr>
        <w:t>Leip, Dave. 2020. “Dave Leip’s Atlas of U.S. Presidential Elections.” https://uselectionatlas.org/ (September 23, 2020).</w:t>
      </w:r>
    </w:p>
    <w:p w14:paraId="027629B4" w14:textId="77777777" w:rsidR="001218CF" w:rsidRPr="001218CF" w:rsidRDefault="001218CF" w:rsidP="001218CF">
      <w:pPr>
        <w:rPr>
          <w:rFonts w:cs="Times New Roman"/>
          <w:szCs w:val="24"/>
        </w:rPr>
      </w:pPr>
      <w:r w:rsidRPr="001218CF">
        <w:rPr>
          <w:rFonts w:cs="Times New Roman"/>
          <w:szCs w:val="24"/>
        </w:rPr>
        <w:t xml:space="preserve">Lockhart, Mackenzie et al. 2020. “America’s Electorate Is Increasingly Polarized along Partisan Lines about Voting by Mail during the COVID-19 Crisis.” </w:t>
      </w:r>
      <w:r w:rsidRPr="001218CF">
        <w:rPr>
          <w:rFonts w:cs="Times New Roman"/>
          <w:i/>
          <w:iCs/>
          <w:szCs w:val="24"/>
        </w:rPr>
        <w:t>Proceedings of the National Academy of Sciences</w:t>
      </w:r>
      <w:r w:rsidRPr="001218CF">
        <w:rPr>
          <w:rFonts w:cs="Times New Roman"/>
          <w:szCs w:val="24"/>
        </w:rPr>
        <w:t>: 202008023.</w:t>
      </w:r>
    </w:p>
    <w:p w14:paraId="0A2A8F19" w14:textId="77777777" w:rsidR="001218CF" w:rsidRPr="001218CF" w:rsidRDefault="001218CF" w:rsidP="001218CF">
      <w:pPr>
        <w:rPr>
          <w:rFonts w:cs="Times New Roman"/>
          <w:szCs w:val="24"/>
        </w:rPr>
      </w:pPr>
      <w:r w:rsidRPr="001218CF">
        <w:rPr>
          <w:rFonts w:cs="Times New Roman"/>
          <w:szCs w:val="24"/>
        </w:rPr>
        <w:t xml:space="preserve">Malka, Ariel, Yphtach Lelkes, Bert N. Bakker, and Eliyahu Spivack. 2020. “Who Is Open to Authoritarian Governance within Western Democracies?” </w:t>
      </w:r>
      <w:r w:rsidRPr="001218CF">
        <w:rPr>
          <w:rFonts w:cs="Times New Roman"/>
          <w:i/>
          <w:iCs/>
          <w:szCs w:val="24"/>
        </w:rPr>
        <w:t>Perspectives on Politics</w:t>
      </w:r>
      <w:r w:rsidRPr="001218CF">
        <w:rPr>
          <w:rFonts w:cs="Times New Roman"/>
          <w:szCs w:val="24"/>
        </w:rPr>
        <w:t>: 1–20.</w:t>
      </w:r>
    </w:p>
    <w:p w14:paraId="1DC0681C" w14:textId="77777777" w:rsidR="001218CF" w:rsidRPr="001218CF" w:rsidRDefault="001218CF" w:rsidP="001218CF">
      <w:pPr>
        <w:rPr>
          <w:rFonts w:cs="Times New Roman"/>
          <w:szCs w:val="24"/>
        </w:rPr>
      </w:pPr>
      <w:r w:rsidRPr="001218CF">
        <w:rPr>
          <w:rFonts w:cs="Times New Roman"/>
          <w:szCs w:val="24"/>
        </w:rPr>
        <w:lastRenderedPageBreak/>
        <w:t xml:space="preserve">Martinez, Michael D., and Jeff Gill. 2005. “The Effects of Turnout on Partisan Outcomes in U.S. Presidential Elections 1960–2000.” </w:t>
      </w:r>
      <w:r w:rsidRPr="001218CF">
        <w:rPr>
          <w:rFonts w:cs="Times New Roman"/>
          <w:i/>
          <w:iCs/>
          <w:szCs w:val="24"/>
        </w:rPr>
        <w:t>The Journal of Politics</w:t>
      </w:r>
      <w:r w:rsidRPr="001218CF">
        <w:rPr>
          <w:rFonts w:cs="Times New Roman"/>
          <w:szCs w:val="24"/>
        </w:rPr>
        <w:t xml:space="preserve"> 67(4): 1248–74.</w:t>
      </w:r>
    </w:p>
    <w:p w14:paraId="7966C337" w14:textId="77777777" w:rsidR="001218CF" w:rsidRPr="001218CF" w:rsidRDefault="001218CF" w:rsidP="001218CF">
      <w:pPr>
        <w:rPr>
          <w:rFonts w:cs="Times New Roman"/>
          <w:szCs w:val="24"/>
        </w:rPr>
      </w:pPr>
      <w:r w:rsidRPr="001218CF">
        <w:rPr>
          <w:rFonts w:cs="Times New Roman"/>
          <w:szCs w:val="24"/>
        </w:rPr>
        <w:t xml:space="preserve">McGhee, Eric, Jennifer Paluch, and Mindy Romero. 2020. “How Greater Vote-by-Mail Influences California Voter Turnout.” </w:t>
      </w:r>
      <w:r w:rsidRPr="001218CF">
        <w:rPr>
          <w:rFonts w:cs="Times New Roman"/>
          <w:i/>
          <w:iCs/>
          <w:szCs w:val="24"/>
        </w:rPr>
        <w:t>Public Policy Institute of California</w:t>
      </w:r>
      <w:r w:rsidRPr="001218CF">
        <w:rPr>
          <w:rFonts w:cs="Times New Roman"/>
          <w:szCs w:val="24"/>
        </w:rPr>
        <w:t>. https://www.ppic.org/publication/how-greater-vote-by-mail-influences-california-voter-turnout/ (September 25, 2020).</w:t>
      </w:r>
    </w:p>
    <w:p w14:paraId="765C09C1" w14:textId="77777777" w:rsidR="001218CF" w:rsidRPr="001218CF" w:rsidRDefault="001218CF" w:rsidP="001218CF">
      <w:pPr>
        <w:rPr>
          <w:rFonts w:cs="Times New Roman"/>
          <w:szCs w:val="24"/>
        </w:rPr>
      </w:pPr>
      <w:r w:rsidRPr="001218CF">
        <w:rPr>
          <w:rFonts w:cs="Times New Roman"/>
          <w:szCs w:val="24"/>
        </w:rPr>
        <w:t>National Conference of State Legislatures. 2020. “Absentee and Mail Voting Policies in Effect for the 2020 Election.” https://www.ncsl.org/research/elections-and-campaigns/absentee-and-mail-voting-policies-in-effect-for-the-2020-election.aspx (October 27, 2020).</w:t>
      </w:r>
    </w:p>
    <w:p w14:paraId="43EF2195" w14:textId="77777777" w:rsidR="001218CF" w:rsidRPr="001218CF" w:rsidRDefault="001218CF" w:rsidP="001218CF">
      <w:pPr>
        <w:rPr>
          <w:rFonts w:cs="Times New Roman"/>
          <w:szCs w:val="24"/>
        </w:rPr>
      </w:pPr>
      <w:r w:rsidRPr="001218CF">
        <w:rPr>
          <w:rFonts w:cs="Times New Roman"/>
          <w:szCs w:val="24"/>
        </w:rPr>
        <w:t xml:space="preserve">Norris, Pippa, and Ronald Inglehart. 2019. </w:t>
      </w:r>
      <w:r w:rsidRPr="001218CF">
        <w:rPr>
          <w:rFonts w:cs="Times New Roman"/>
          <w:i/>
          <w:iCs/>
          <w:szCs w:val="24"/>
        </w:rPr>
        <w:t>Cultural Backlash: Trump, Brexit, and Authoritarian Populism</w:t>
      </w:r>
      <w:r w:rsidRPr="001218CF">
        <w:rPr>
          <w:rFonts w:cs="Times New Roman"/>
          <w:szCs w:val="24"/>
        </w:rPr>
        <w:t>. Cambridge University Press.</w:t>
      </w:r>
    </w:p>
    <w:p w14:paraId="47E81D55" w14:textId="77777777" w:rsidR="001218CF" w:rsidRPr="001218CF" w:rsidRDefault="001218CF" w:rsidP="001218CF">
      <w:pPr>
        <w:rPr>
          <w:rFonts w:cs="Times New Roman"/>
          <w:szCs w:val="24"/>
        </w:rPr>
      </w:pPr>
      <w:r w:rsidRPr="001218CF">
        <w:rPr>
          <w:rFonts w:cs="Times New Roman"/>
          <w:szCs w:val="24"/>
        </w:rPr>
        <w:t xml:space="preserve">Powell, G. Bingham. 1986. “American Voter Turnout in Comparative Perspective.” </w:t>
      </w:r>
      <w:r w:rsidRPr="001218CF">
        <w:rPr>
          <w:rFonts w:cs="Times New Roman"/>
          <w:i/>
          <w:iCs/>
          <w:szCs w:val="24"/>
        </w:rPr>
        <w:t>The American Political Science Review</w:t>
      </w:r>
      <w:r w:rsidRPr="001218CF">
        <w:rPr>
          <w:rFonts w:cs="Times New Roman"/>
          <w:szCs w:val="24"/>
        </w:rPr>
        <w:t xml:space="preserve"> 80(1): 17–43.</w:t>
      </w:r>
    </w:p>
    <w:p w14:paraId="2EBA154E" w14:textId="77777777" w:rsidR="001218CF" w:rsidRPr="001218CF" w:rsidRDefault="001218CF" w:rsidP="001218CF">
      <w:pPr>
        <w:rPr>
          <w:rFonts w:cs="Times New Roman"/>
          <w:szCs w:val="24"/>
        </w:rPr>
      </w:pPr>
      <w:r w:rsidRPr="001218CF">
        <w:rPr>
          <w:rFonts w:cs="Times New Roman"/>
          <w:szCs w:val="24"/>
        </w:rPr>
        <w:t xml:space="preserve">Richey, Sean. 2008. “Voting by Mail: Turnout and Institutional Reform in Oregon*.” </w:t>
      </w:r>
      <w:r w:rsidRPr="001218CF">
        <w:rPr>
          <w:rFonts w:cs="Times New Roman"/>
          <w:i/>
          <w:iCs/>
          <w:szCs w:val="24"/>
        </w:rPr>
        <w:t>Social Science Quarterly</w:t>
      </w:r>
      <w:r w:rsidRPr="001218CF">
        <w:rPr>
          <w:rFonts w:cs="Times New Roman"/>
          <w:szCs w:val="24"/>
        </w:rPr>
        <w:t xml:space="preserve"> 89(4): 902–15.</w:t>
      </w:r>
    </w:p>
    <w:p w14:paraId="33D0197E" w14:textId="77777777" w:rsidR="001218CF" w:rsidRPr="001218CF" w:rsidRDefault="001218CF" w:rsidP="001218CF">
      <w:pPr>
        <w:rPr>
          <w:rFonts w:cs="Times New Roman"/>
          <w:szCs w:val="24"/>
        </w:rPr>
      </w:pPr>
      <w:r w:rsidRPr="001218CF">
        <w:rPr>
          <w:rFonts w:cs="Times New Roman"/>
          <w:szCs w:val="24"/>
        </w:rPr>
        <w:t xml:space="preserve">Smith, Mark A. 2001. “The Contingent Effects of Ballot Initiatives and Candidate Races on Turnout.” </w:t>
      </w:r>
      <w:r w:rsidRPr="001218CF">
        <w:rPr>
          <w:rFonts w:cs="Times New Roman"/>
          <w:i/>
          <w:iCs/>
          <w:szCs w:val="24"/>
        </w:rPr>
        <w:t>American Journal of Political Science</w:t>
      </w:r>
      <w:r w:rsidRPr="001218CF">
        <w:rPr>
          <w:rFonts w:cs="Times New Roman"/>
          <w:szCs w:val="24"/>
        </w:rPr>
        <w:t xml:space="preserve"> 45(3): 700–706.</w:t>
      </w:r>
    </w:p>
    <w:p w14:paraId="516ECD8A" w14:textId="77777777" w:rsidR="001218CF" w:rsidRPr="001218CF" w:rsidRDefault="001218CF" w:rsidP="001218CF">
      <w:pPr>
        <w:rPr>
          <w:rFonts w:cs="Times New Roman"/>
          <w:szCs w:val="24"/>
        </w:rPr>
      </w:pPr>
      <w:r w:rsidRPr="001218CF">
        <w:rPr>
          <w:rFonts w:cs="Times New Roman"/>
          <w:szCs w:val="24"/>
        </w:rPr>
        <w:t xml:space="preserve">Southwell, Priscilla L. 2009. “Analysis of the Turnout Effects of Vote by Mail Elections, 1980–2007.” </w:t>
      </w:r>
      <w:r w:rsidRPr="001218CF">
        <w:rPr>
          <w:rFonts w:cs="Times New Roman"/>
          <w:i/>
          <w:iCs/>
          <w:szCs w:val="24"/>
        </w:rPr>
        <w:t>The Social Science Journal</w:t>
      </w:r>
      <w:r w:rsidRPr="001218CF">
        <w:rPr>
          <w:rFonts w:cs="Times New Roman"/>
          <w:szCs w:val="24"/>
        </w:rPr>
        <w:t xml:space="preserve"> 46(1): 211–16.</w:t>
      </w:r>
    </w:p>
    <w:p w14:paraId="22D00E03" w14:textId="77777777" w:rsidR="001218CF" w:rsidRPr="001218CF" w:rsidRDefault="001218CF" w:rsidP="001218CF">
      <w:pPr>
        <w:rPr>
          <w:rFonts w:cs="Times New Roman"/>
          <w:szCs w:val="24"/>
        </w:rPr>
      </w:pPr>
      <w:r w:rsidRPr="001218CF">
        <w:rPr>
          <w:rFonts w:cs="Times New Roman"/>
          <w:szCs w:val="24"/>
        </w:rPr>
        <w:t xml:space="preserve">Southwell, Priscilla L., and Justin I. Burchett. 2000a. “Does Changing the Rules Change the Players? The Effect of All-Mail Elections on the Composition of the Electorate.” </w:t>
      </w:r>
      <w:r w:rsidRPr="001218CF">
        <w:rPr>
          <w:rFonts w:cs="Times New Roman"/>
          <w:i/>
          <w:iCs/>
          <w:szCs w:val="24"/>
        </w:rPr>
        <w:t>Social Science Quarterly</w:t>
      </w:r>
      <w:r w:rsidRPr="001218CF">
        <w:rPr>
          <w:rFonts w:cs="Times New Roman"/>
          <w:szCs w:val="24"/>
        </w:rPr>
        <w:t xml:space="preserve"> 81(3): 837–45.</w:t>
      </w:r>
    </w:p>
    <w:p w14:paraId="22B64BA1" w14:textId="77777777" w:rsidR="001218CF" w:rsidRPr="001218CF" w:rsidRDefault="001218CF" w:rsidP="001218CF">
      <w:pPr>
        <w:rPr>
          <w:rFonts w:cs="Times New Roman"/>
          <w:szCs w:val="24"/>
        </w:rPr>
      </w:pPr>
      <w:r w:rsidRPr="001218CF">
        <w:rPr>
          <w:rFonts w:cs="Times New Roman"/>
          <w:szCs w:val="24"/>
        </w:rPr>
        <w:t xml:space="preserve">———. 2000b. “The Effect of All-Mail Elections on Voter Turnout.” </w:t>
      </w:r>
      <w:r w:rsidRPr="001218CF">
        <w:rPr>
          <w:rFonts w:cs="Times New Roman"/>
          <w:i/>
          <w:iCs/>
          <w:szCs w:val="24"/>
        </w:rPr>
        <w:t>American Politics Quarterly</w:t>
      </w:r>
      <w:r w:rsidRPr="001218CF">
        <w:rPr>
          <w:rFonts w:cs="Times New Roman"/>
          <w:szCs w:val="24"/>
        </w:rPr>
        <w:t xml:space="preserve"> 28(1): 72–79.</w:t>
      </w:r>
    </w:p>
    <w:p w14:paraId="46801E5A" w14:textId="77777777" w:rsidR="001218CF" w:rsidRPr="001218CF" w:rsidRDefault="001218CF" w:rsidP="001218CF">
      <w:pPr>
        <w:rPr>
          <w:rFonts w:cs="Times New Roman"/>
          <w:szCs w:val="24"/>
        </w:rPr>
      </w:pPr>
      <w:r w:rsidRPr="001218CF">
        <w:rPr>
          <w:rFonts w:cs="Times New Roman"/>
          <w:szCs w:val="24"/>
        </w:rPr>
        <w:t xml:space="preserve">Thompson, Daniel M., Jennifer A. Wu, Jesse Yoder, and Andrew B. Hall. 2020a. “Universal Vote-by-Mail Has No Impact on Partisan Turnout or Vote Share.” </w:t>
      </w:r>
      <w:r w:rsidRPr="001218CF">
        <w:rPr>
          <w:rFonts w:cs="Times New Roman"/>
          <w:i/>
          <w:iCs/>
          <w:szCs w:val="24"/>
        </w:rPr>
        <w:t>Proceedings of the National Academy of Sciences</w:t>
      </w:r>
      <w:r w:rsidRPr="001218CF">
        <w:rPr>
          <w:rFonts w:cs="Times New Roman"/>
          <w:szCs w:val="24"/>
        </w:rPr>
        <w:t xml:space="preserve"> 117(25): 14052–56.</w:t>
      </w:r>
    </w:p>
    <w:p w14:paraId="3C194BBF" w14:textId="77777777" w:rsidR="001218CF" w:rsidRPr="001218CF" w:rsidRDefault="001218CF" w:rsidP="001218CF">
      <w:pPr>
        <w:rPr>
          <w:rFonts w:cs="Times New Roman"/>
          <w:szCs w:val="24"/>
        </w:rPr>
      </w:pPr>
      <w:r w:rsidRPr="001218CF">
        <w:rPr>
          <w:rFonts w:cs="Times New Roman"/>
          <w:szCs w:val="24"/>
        </w:rPr>
        <w:t xml:space="preserve">———. 2020b. “Universal Vote-by-Mail Has No Impact on Partisan Turnout or Vote Share.” </w:t>
      </w:r>
      <w:r w:rsidRPr="001218CF">
        <w:rPr>
          <w:rFonts w:cs="Times New Roman"/>
          <w:i/>
          <w:iCs/>
          <w:szCs w:val="24"/>
        </w:rPr>
        <w:t>Proceedings of the National Academy of Sciences</w:t>
      </w:r>
      <w:r w:rsidRPr="001218CF">
        <w:rPr>
          <w:rFonts w:cs="Times New Roman"/>
          <w:szCs w:val="24"/>
        </w:rPr>
        <w:t>: 202007249.</w:t>
      </w:r>
    </w:p>
    <w:p w14:paraId="317BAB30" w14:textId="77777777" w:rsidR="001218CF" w:rsidRPr="001218CF" w:rsidRDefault="001218CF" w:rsidP="001218CF">
      <w:pPr>
        <w:rPr>
          <w:rFonts w:cs="Times New Roman"/>
          <w:szCs w:val="24"/>
        </w:rPr>
      </w:pPr>
      <w:r w:rsidRPr="001218CF">
        <w:rPr>
          <w:rFonts w:cs="Times New Roman"/>
          <w:szCs w:val="24"/>
        </w:rPr>
        <w:t xml:space="preserve">Thompson, Daniel M., Jennifer Wu, Jesse Yoder, and Andrew B. Hall. 2020c. “No, Voting by Mail Does Not Give Either Party an Advantage. Here’s How We Know.” </w:t>
      </w:r>
      <w:r w:rsidRPr="001218CF">
        <w:rPr>
          <w:rFonts w:cs="Times New Roman"/>
          <w:i/>
          <w:iCs/>
          <w:szCs w:val="24"/>
        </w:rPr>
        <w:t>Washington Post</w:t>
      </w:r>
      <w:r w:rsidRPr="001218CF">
        <w:rPr>
          <w:rFonts w:cs="Times New Roman"/>
          <w:szCs w:val="24"/>
        </w:rPr>
        <w:t>. https://www.washingtonpost.com/politics/2020/04/17/no-voting-by-mail-does-not-give-either-party-an-advantage-heres-how-we-know/ (January 21, 2021).</w:t>
      </w:r>
    </w:p>
    <w:p w14:paraId="7063313E" w14:textId="77777777" w:rsidR="001218CF" w:rsidRPr="001218CF" w:rsidRDefault="001218CF" w:rsidP="001218CF">
      <w:pPr>
        <w:rPr>
          <w:rFonts w:cs="Times New Roman"/>
          <w:szCs w:val="24"/>
        </w:rPr>
      </w:pPr>
      <w:r w:rsidRPr="001218CF">
        <w:rPr>
          <w:rFonts w:cs="Times New Roman"/>
          <w:szCs w:val="24"/>
        </w:rPr>
        <w:lastRenderedPageBreak/>
        <w:t xml:space="preserve">West, Darrell M. 2020. “How Does Vote-by-Mail Work and Does It Increase Election Fraud?” </w:t>
      </w:r>
      <w:r w:rsidRPr="001218CF">
        <w:rPr>
          <w:rFonts w:cs="Times New Roman"/>
          <w:i/>
          <w:iCs/>
          <w:szCs w:val="24"/>
        </w:rPr>
        <w:t>Brookings</w:t>
      </w:r>
      <w:r w:rsidRPr="001218CF">
        <w:rPr>
          <w:rFonts w:cs="Times New Roman"/>
          <w:szCs w:val="24"/>
        </w:rPr>
        <w:t>. https://www.brookings.edu/policy2020/votervital/how-does-vote-by-mail-work-and-does-it-increase-election-fraud/ (January 21, 2021).</w:t>
      </w:r>
    </w:p>
    <w:p w14:paraId="28650B70" w14:textId="77777777" w:rsidR="001218CF" w:rsidRPr="001218CF" w:rsidRDefault="001218CF" w:rsidP="001218CF">
      <w:pPr>
        <w:rPr>
          <w:rFonts w:cs="Times New Roman"/>
          <w:szCs w:val="24"/>
        </w:rPr>
      </w:pPr>
      <w:r w:rsidRPr="001218CF">
        <w:rPr>
          <w:rFonts w:cs="Times New Roman"/>
          <w:szCs w:val="24"/>
        </w:rPr>
        <w:t xml:space="preserve">Wing, Coady, Kosali Simon, and Ricardo A. Bello-Gomez. 2018. “Designing Difference in Difference Studies: Best Practices for Public Health Policy Research.” </w:t>
      </w:r>
      <w:r w:rsidRPr="001218CF">
        <w:rPr>
          <w:rFonts w:cs="Times New Roman"/>
          <w:i/>
          <w:iCs/>
          <w:szCs w:val="24"/>
        </w:rPr>
        <w:t>Annual Review of Public Health</w:t>
      </w:r>
      <w:r w:rsidRPr="001218CF">
        <w:rPr>
          <w:rFonts w:cs="Times New Roman"/>
          <w:szCs w:val="24"/>
        </w:rPr>
        <w:t xml:space="preserve"> 39(1): 453–69.</w:t>
      </w:r>
    </w:p>
    <w:p w14:paraId="4774A187" w14:textId="77777777" w:rsidR="001218CF" w:rsidRPr="001218CF" w:rsidRDefault="001218CF" w:rsidP="001218CF">
      <w:pPr>
        <w:rPr>
          <w:rFonts w:cs="Times New Roman"/>
          <w:szCs w:val="24"/>
        </w:rPr>
      </w:pPr>
      <w:r w:rsidRPr="001218CF">
        <w:rPr>
          <w:rFonts w:cs="Times New Roman"/>
          <w:szCs w:val="24"/>
        </w:rPr>
        <w:t xml:space="preserve">Yoder, Jesse et al. 2020. “Absentee Voting Is Popular During COVID-19 But Does Not Change Turnout or Partisan Rates of Voting.” </w:t>
      </w:r>
      <w:r w:rsidRPr="001218CF">
        <w:rPr>
          <w:rFonts w:cs="Times New Roman"/>
          <w:i/>
          <w:iCs/>
          <w:szCs w:val="24"/>
        </w:rPr>
        <w:t>Election Law Journal: Rules, Politics, and Policy</w:t>
      </w:r>
      <w:r w:rsidRPr="001218CF">
        <w:rPr>
          <w:rFonts w:cs="Times New Roman"/>
          <w:szCs w:val="24"/>
        </w:rPr>
        <w:t>: 289–320.</w:t>
      </w:r>
    </w:p>
    <w:p w14:paraId="29AC2374" w14:textId="77777777" w:rsidR="00D655A9" w:rsidRDefault="001218CF" w:rsidP="001218CF">
      <w:pPr>
        <w:rPr>
          <w:rFonts w:cs="Times New Roman"/>
          <w:szCs w:val="24"/>
        </w:rPr>
        <w:sectPr w:rsidR="00D655A9">
          <w:footerReference w:type="default" r:id="rId9"/>
          <w:pgSz w:w="12240" w:h="15840"/>
          <w:pgMar w:top="1440" w:right="1440" w:bottom="1440" w:left="1440" w:header="720" w:footer="720" w:gutter="0"/>
          <w:cols w:space="720"/>
          <w:docGrid w:linePitch="360"/>
        </w:sectPr>
      </w:pPr>
      <w:r w:rsidRPr="001218CF">
        <w:rPr>
          <w:rFonts w:cs="Times New Roman"/>
          <w:szCs w:val="24"/>
        </w:rPr>
        <w:fldChar w:fldCharType="end"/>
      </w:r>
    </w:p>
    <w:p w14:paraId="4BD8F2FB" w14:textId="77777777" w:rsidR="00D655A9" w:rsidRPr="00D655A9" w:rsidRDefault="00D655A9" w:rsidP="00D655A9">
      <w:pPr>
        <w:keepNext/>
        <w:keepLines/>
        <w:spacing w:before="240" w:after="0"/>
        <w:outlineLvl w:val="0"/>
        <w:rPr>
          <w:rFonts w:eastAsiaTheme="majorEastAsia" w:cstheme="majorBidi"/>
          <w:b/>
          <w:szCs w:val="32"/>
          <w:u w:val="single"/>
        </w:rPr>
      </w:pPr>
      <w:r w:rsidRPr="00D655A9">
        <w:rPr>
          <w:rFonts w:eastAsiaTheme="majorEastAsia" w:cstheme="majorBidi"/>
          <w:b/>
          <w:szCs w:val="32"/>
          <w:u w:val="single"/>
        </w:rPr>
        <w:lastRenderedPageBreak/>
        <w:t xml:space="preserve">Figures </w:t>
      </w:r>
    </w:p>
    <w:p w14:paraId="5CEE58DB" w14:textId="77777777" w:rsidR="00D655A9" w:rsidRPr="00D655A9" w:rsidRDefault="00D655A9" w:rsidP="00D655A9">
      <w:pPr>
        <w:keepNext/>
        <w:keepLines/>
        <w:spacing w:before="40" w:after="0"/>
        <w:outlineLvl w:val="1"/>
        <w:rPr>
          <w:rFonts w:eastAsiaTheme="majorEastAsia" w:cstheme="majorBidi"/>
          <w:noProof/>
          <w:szCs w:val="26"/>
        </w:rPr>
      </w:pPr>
      <w:r w:rsidRPr="00D655A9">
        <w:rPr>
          <w:rFonts w:eastAsiaTheme="majorEastAsia" w:cstheme="majorBidi"/>
          <w:szCs w:val="26"/>
        </w:rPr>
        <w:t>Figure 1:</w:t>
      </w:r>
      <w:r w:rsidRPr="00D655A9">
        <w:rPr>
          <w:rFonts w:eastAsiaTheme="majorEastAsia" w:cstheme="majorBidi"/>
          <w:noProof/>
          <w:szCs w:val="26"/>
        </w:rPr>
        <w:t xml:space="preserve"> (a) U.S. Counties' Vote-by-Mail Policies in the 2016 Presidental Election and (b) U.S. Counties' Vote-by-Mail Policies in the 2020 Presidental Election</w:t>
      </w:r>
    </w:p>
    <w:p w14:paraId="3ED3A2F3" w14:textId="77777777" w:rsidR="00D655A9" w:rsidRPr="00D655A9" w:rsidRDefault="00D655A9" w:rsidP="00D655A9"/>
    <w:p w14:paraId="581F1280" w14:textId="77777777" w:rsidR="00D655A9" w:rsidRPr="00D655A9" w:rsidRDefault="00D655A9" w:rsidP="00D655A9">
      <w:r w:rsidRPr="00D655A9">
        <w:rPr>
          <w:noProof/>
        </w:rPr>
        <w:drawing>
          <wp:inline distT="0" distB="0" distL="0" distR="0" wp14:anchorId="2493631D" wp14:editId="454E1AFD">
            <wp:extent cx="8229600" cy="41186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0" cy="4118610"/>
                    </a:xfrm>
                    <a:prstGeom prst="rect">
                      <a:avLst/>
                    </a:prstGeom>
                    <a:noFill/>
                    <a:ln>
                      <a:noFill/>
                    </a:ln>
                  </pic:spPr>
                </pic:pic>
              </a:graphicData>
            </a:graphic>
          </wp:inline>
        </w:drawing>
      </w:r>
    </w:p>
    <w:p w14:paraId="3B15AA9E" w14:textId="77777777" w:rsidR="00D655A9" w:rsidRPr="00D655A9" w:rsidRDefault="00D655A9" w:rsidP="00D655A9">
      <w:r w:rsidRPr="00D655A9">
        <w:t>Note: Alaska is excluded from the figure because Alaska does not use counties, but electoral districts, to administer elections. Therefore, turnout data at the county level is unavailable and we omit it from our analysis.</w:t>
      </w:r>
    </w:p>
    <w:p w14:paraId="493F3B60" w14:textId="77777777" w:rsidR="00D655A9" w:rsidRPr="00D655A9" w:rsidRDefault="00D655A9" w:rsidP="00D655A9">
      <w:pPr>
        <w:sectPr w:rsidR="00D655A9" w:rsidRPr="00D655A9" w:rsidSect="00EE5230">
          <w:pgSz w:w="15840" w:h="12240" w:orient="landscape"/>
          <w:pgMar w:top="1440" w:right="1440" w:bottom="1440" w:left="1440" w:header="720" w:footer="720" w:gutter="0"/>
          <w:cols w:space="720"/>
          <w:docGrid w:linePitch="360"/>
        </w:sectPr>
      </w:pPr>
    </w:p>
    <w:p w14:paraId="19D5B2C3" w14:textId="77777777" w:rsidR="00D655A9" w:rsidRPr="00D655A9" w:rsidRDefault="00D655A9" w:rsidP="00D655A9">
      <w:pPr>
        <w:keepNext/>
        <w:keepLines/>
        <w:spacing w:before="40" w:after="0"/>
        <w:outlineLvl w:val="1"/>
        <w:rPr>
          <w:rFonts w:eastAsiaTheme="majorEastAsia" w:cstheme="majorBidi"/>
          <w:szCs w:val="26"/>
        </w:rPr>
      </w:pPr>
      <w:r w:rsidRPr="00D655A9">
        <w:rPr>
          <w:rFonts w:eastAsiaTheme="majorEastAsia" w:cstheme="majorBidi"/>
          <w:szCs w:val="26"/>
        </w:rPr>
        <w:lastRenderedPageBreak/>
        <w:t xml:space="preserve">Figure 2: Difference-in-Difference Estimates of the Effects of the Vote-By-Mail Conditions on Turnout </w:t>
      </w:r>
    </w:p>
    <w:p w14:paraId="363790FF" w14:textId="77777777" w:rsidR="00D655A9" w:rsidRPr="00D655A9" w:rsidRDefault="00D655A9" w:rsidP="00D655A9">
      <w:pPr>
        <w:jc w:val="center"/>
      </w:pPr>
      <w:r w:rsidRPr="00D655A9">
        <w:rPr>
          <w:noProof/>
        </w:rPr>
        <w:drawing>
          <wp:inline distT="0" distB="0" distL="0" distR="0" wp14:anchorId="606E3260" wp14:editId="7E8F7E3D">
            <wp:extent cx="4858247" cy="4162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0425" cy="4181283"/>
                    </a:xfrm>
                    <a:prstGeom prst="rect">
                      <a:avLst/>
                    </a:prstGeom>
                    <a:noFill/>
                    <a:ln>
                      <a:noFill/>
                    </a:ln>
                  </pic:spPr>
                </pic:pic>
              </a:graphicData>
            </a:graphic>
          </wp:inline>
        </w:drawing>
      </w:r>
    </w:p>
    <w:p w14:paraId="0CC25C49" w14:textId="77777777" w:rsidR="00D655A9" w:rsidRPr="00D655A9" w:rsidRDefault="00D655A9" w:rsidP="00D655A9">
      <w:r w:rsidRPr="00D655A9">
        <w:t>Point estimates are dots with lines indicating 95 percent confidence intervals. The baseline/reference category is no change in VBM laws. Model controls for Democratic vote share, the percentage of African Americans, median household income, median age, and percentage of individuals with only a high school diploma, county fixed effects with standard errors clustered at the state level. See Table 2A in the appendix for model estimates.</w:t>
      </w:r>
      <w:r w:rsidRPr="00D655A9">
        <w:br w:type="page"/>
      </w:r>
    </w:p>
    <w:p w14:paraId="175B013D" w14:textId="77777777" w:rsidR="00D655A9" w:rsidRPr="00D655A9" w:rsidRDefault="00D655A9" w:rsidP="00D655A9">
      <w:pPr>
        <w:keepNext/>
        <w:keepLines/>
        <w:spacing w:before="40" w:after="0"/>
        <w:outlineLvl w:val="1"/>
        <w:rPr>
          <w:rFonts w:eastAsiaTheme="majorEastAsia" w:cstheme="majorBidi"/>
          <w:szCs w:val="26"/>
        </w:rPr>
      </w:pPr>
      <w:r w:rsidRPr="00D655A9">
        <w:rPr>
          <w:rFonts w:eastAsiaTheme="majorEastAsia" w:cstheme="majorBidi"/>
          <w:szCs w:val="26"/>
        </w:rPr>
        <w:lastRenderedPageBreak/>
        <w:t xml:space="preserve">Figure 3: Difference-in-Difference Estimates of the Effect of the Vote-By-Mail Conditions on Two-Party Republican Vote Share </w:t>
      </w:r>
    </w:p>
    <w:p w14:paraId="194B34CA" w14:textId="77777777" w:rsidR="00D655A9" w:rsidRPr="00D655A9" w:rsidRDefault="00D655A9" w:rsidP="00D655A9">
      <w:pPr>
        <w:jc w:val="center"/>
      </w:pPr>
      <w:r w:rsidRPr="00D655A9">
        <w:rPr>
          <w:noProof/>
        </w:rPr>
        <w:drawing>
          <wp:inline distT="0" distB="0" distL="0" distR="0" wp14:anchorId="61EAE38B" wp14:editId="0B282F3B">
            <wp:extent cx="5088835" cy="435983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8431" cy="4385194"/>
                    </a:xfrm>
                    <a:prstGeom prst="rect">
                      <a:avLst/>
                    </a:prstGeom>
                    <a:noFill/>
                    <a:ln>
                      <a:noFill/>
                    </a:ln>
                  </pic:spPr>
                </pic:pic>
              </a:graphicData>
            </a:graphic>
          </wp:inline>
        </w:drawing>
      </w:r>
    </w:p>
    <w:p w14:paraId="7534E2A0" w14:textId="77777777" w:rsidR="00D655A9" w:rsidRPr="00D655A9" w:rsidRDefault="00D655A9" w:rsidP="00D655A9">
      <w:r w:rsidRPr="00D655A9">
        <w:t>Point estimates are dots with lines indicating 95 percent confidence intervals. The baseline/reference category is no change in VBM laws. Model controls for population density, unemployment one month before Election Day, percent of the county with a high school degree and bachelor’s degrees, the percent of the county that is Black, multiracial, Latino, and foreign-born, county fixed effects with standard errors clustered at the state level. See Table 3A in the appendix for model estimates.</w:t>
      </w:r>
      <w:r w:rsidRPr="00D655A9">
        <w:br w:type="page"/>
      </w:r>
    </w:p>
    <w:p w14:paraId="08E70BA4" w14:textId="77777777" w:rsidR="00D655A9" w:rsidRPr="00D655A9" w:rsidRDefault="00D655A9" w:rsidP="00D655A9">
      <w:pPr>
        <w:keepNext/>
        <w:keepLines/>
        <w:spacing w:before="240" w:after="0"/>
        <w:outlineLvl w:val="0"/>
        <w:rPr>
          <w:rFonts w:eastAsiaTheme="majorEastAsia" w:cstheme="majorBidi"/>
          <w:b/>
          <w:szCs w:val="32"/>
          <w:u w:val="single"/>
        </w:rPr>
      </w:pPr>
      <w:r w:rsidRPr="00D655A9">
        <w:rPr>
          <w:rFonts w:eastAsiaTheme="majorEastAsia" w:cstheme="majorBidi"/>
          <w:b/>
          <w:szCs w:val="32"/>
          <w:u w:val="single"/>
        </w:rPr>
        <w:lastRenderedPageBreak/>
        <w:t>Tables</w:t>
      </w:r>
    </w:p>
    <w:p w14:paraId="22B63B44" w14:textId="77777777" w:rsidR="00D655A9" w:rsidRPr="00D655A9" w:rsidRDefault="00D655A9" w:rsidP="00D655A9">
      <w:pPr>
        <w:keepNext/>
        <w:keepLines/>
        <w:spacing w:before="40" w:after="0"/>
        <w:outlineLvl w:val="1"/>
        <w:rPr>
          <w:rFonts w:eastAsiaTheme="majorEastAsia" w:cstheme="majorBidi"/>
          <w:szCs w:val="26"/>
        </w:rPr>
      </w:pPr>
      <w:r w:rsidRPr="00D655A9">
        <w:rPr>
          <w:rFonts w:eastAsiaTheme="majorEastAsia" w:cstheme="majorBidi"/>
          <w:szCs w:val="26"/>
        </w:rPr>
        <w:t xml:space="preserve">Table 1: Joint Distribution of Vote-by-Mail Policies in 2016 and 2020 </w:t>
      </w:r>
    </w:p>
    <w:tbl>
      <w:tblPr>
        <w:tblStyle w:val="TableGrid"/>
        <w:tblW w:w="10038" w:type="dxa"/>
        <w:tblLook w:val="04A0" w:firstRow="1" w:lastRow="0" w:firstColumn="1" w:lastColumn="0" w:noHBand="0" w:noVBand="1"/>
      </w:tblPr>
      <w:tblGrid>
        <w:gridCol w:w="2335"/>
        <w:gridCol w:w="1656"/>
        <w:gridCol w:w="1723"/>
        <w:gridCol w:w="2024"/>
        <w:gridCol w:w="2300"/>
      </w:tblGrid>
      <w:tr w:rsidR="00D655A9" w:rsidRPr="00D655A9" w14:paraId="75146CAC" w14:textId="77777777" w:rsidTr="009B3A57">
        <w:trPr>
          <w:trHeight w:val="333"/>
        </w:trPr>
        <w:tc>
          <w:tcPr>
            <w:tcW w:w="2335" w:type="dxa"/>
            <w:tcBorders>
              <w:left w:val="nil"/>
              <w:bottom w:val="nil"/>
              <w:right w:val="nil"/>
            </w:tcBorders>
            <w:noWrap/>
          </w:tcPr>
          <w:p w14:paraId="440C6B61" w14:textId="77777777" w:rsidR="00D655A9" w:rsidRPr="00D655A9" w:rsidRDefault="00D655A9" w:rsidP="00D655A9">
            <w:pPr>
              <w:rPr>
                <w:rFonts w:cs="Times New Roman"/>
                <w:szCs w:val="24"/>
              </w:rPr>
            </w:pPr>
          </w:p>
        </w:tc>
        <w:tc>
          <w:tcPr>
            <w:tcW w:w="7703" w:type="dxa"/>
            <w:gridSpan w:val="4"/>
            <w:tcBorders>
              <w:left w:val="nil"/>
              <w:bottom w:val="single" w:sz="4" w:space="0" w:color="auto"/>
              <w:right w:val="nil"/>
            </w:tcBorders>
            <w:noWrap/>
            <w:vAlign w:val="bottom"/>
          </w:tcPr>
          <w:p w14:paraId="2B80539D" w14:textId="77777777" w:rsidR="00D655A9" w:rsidRPr="00D655A9" w:rsidRDefault="00D655A9" w:rsidP="00D655A9">
            <w:pPr>
              <w:jc w:val="center"/>
              <w:rPr>
                <w:rFonts w:cs="Times New Roman"/>
                <w:szCs w:val="24"/>
              </w:rPr>
            </w:pPr>
            <w:r w:rsidRPr="00D655A9">
              <w:rPr>
                <w:rFonts w:cs="Times New Roman"/>
                <w:szCs w:val="24"/>
              </w:rPr>
              <w:t xml:space="preserve">2020 VBM </w:t>
            </w:r>
            <w:r w:rsidRPr="00D655A9">
              <w:t>Policies</w:t>
            </w:r>
          </w:p>
        </w:tc>
      </w:tr>
      <w:tr w:rsidR="00D655A9" w:rsidRPr="00D655A9" w14:paraId="60D18C5E" w14:textId="77777777" w:rsidTr="009B3A57">
        <w:trPr>
          <w:trHeight w:val="333"/>
        </w:trPr>
        <w:tc>
          <w:tcPr>
            <w:tcW w:w="2335" w:type="dxa"/>
            <w:tcBorders>
              <w:top w:val="nil"/>
              <w:left w:val="nil"/>
              <w:bottom w:val="single" w:sz="4" w:space="0" w:color="auto"/>
              <w:right w:val="nil"/>
            </w:tcBorders>
            <w:noWrap/>
            <w:vAlign w:val="bottom"/>
            <w:hideMark/>
          </w:tcPr>
          <w:p w14:paraId="2B99FCFE" w14:textId="77777777" w:rsidR="00D655A9" w:rsidRPr="00D655A9" w:rsidRDefault="00D655A9" w:rsidP="00D655A9">
            <w:pPr>
              <w:rPr>
                <w:rFonts w:cs="Times New Roman"/>
                <w:szCs w:val="24"/>
              </w:rPr>
            </w:pPr>
            <w:r w:rsidRPr="00D655A9">
              <w:rPr>
                <w:rFonts w:cs="Times New Roman"/>
                <w:szCs w:val="24"/>
              </w:rPr>
              <w:t xml:space="preserve">2016 VBM </w:t>
            </w:r>
            <w:r w:rsidRPr="00D655A9">
              <w:t>Policies</w:t>
            </w:r>
          </w:p>
        </w:tc>
        <w:tc>
          <w:tcPr>
            <w:tcW w:w="1656" w:type="dxa"/>
            <w:tcBorders>
              <w:left w:val="nil"/>
              <w:bottom w:val="single" w:sz="4" w:space="0" w:color="auto"/>
              <w:right w:val="nil"/>
            </w:tcBorders>
            <w:noWrap/>
            <w:vAlign w:val="bottom"/>
            <w:hideMark/>
          </w:tcPr>
          <w:p w14:paraId="4D8B7583" w14:textId="77777777" w:rsidR="00D655A9" w:rsidRPr="00D655A9" w:rsidRDefault="00D655A9" w:rsidP="00D655A9">
            <w:pPr>
              <w:jc w:val="center"/>
              <w:rPr>
                <w:rFonts w:cs="Times New Roman"/>
                <w:szCs w:val="24"/>
              </w:rPr>
            </w:pPr>
            <w:r w:rsidRPr="00D655A9">
              <w:rPr>
                <w:rFonts w:cs="Times New Roman"/>
                <w:szCs w:val="24"/>
              </w:rPr>
              <w:t>Excuse-Needed</w:t>
            </w:r>
          </w:p>
        </w:tc>
        <w:tc>
          <w:tcPr>
            <w:tcW w:w="1723" w:type="dxa"/>
            <w:tcBorders>
              <w:left w:val="nil"/>
              <w:bottom w:val="single" w:sz="4" w:space="0" w:color="auto"/>
              <w:right w:val="nil"/>
            </w:tcBorders>
            <w:noWrap/>
            <w:vAlign w:val="bottom"/>
            <w:hideMark/>
          </w:tcPr>
          <w:p w14:paraId="7A28093D" w14:textId="77777777" w:rsidR="00D655A9" w:rsidRPr="00D655A9" w:rsidRDefault="00D655A9" w:rsidP="00D655A9">
            <w:pPr>
              <w:jc w:val="center"/>
              <w:rPr>
                <w:rFonts w:cs="Times New Roman"/>
                <w:szCs w:val="24"/>
              </w:rPr>
            </w:pPr>
            <w:r w:rsidRPr="00D655A9">
              <w:rPr>
                <w:rFonts w:cs="Times New Roman"/>
                <w:szCs w:val="24"/>
              </w:rPr>
              <w:t>No Excuse -Needed</w:t>
            </w:r>
          </w:p>
        </w:tc>
        <w:tc>
          <w:tcPr>
            <w:tcW w:w="2024" w:type="dxa"/>
            <w:tcBorders>
              <w:left w:val="nil"/>
              <w:bottom w:val="single" w:sz="4" w:space="0" w:color="auto"/>
              <w:right w:val="nil"/>
            </w:tcBorders>
            <w:noWrap/>
            <w:vAlign w:val="bottom"/>
            <w:hideMark/>
          </w:tcPr>
          <w:p w14:paraId="6CF76384" w14:textId="77777777" w:rsidR="00D655A9" w:rsidRPr="00D655A9" w:rsidRDefault="00D655A9" w:rsidP="00D655A9">
            <w:pPr>
              <w:jc w:val="center"/>
              <w:rPr>
                <w:rFonts w:cs="Times New Roman"/>
                <w:szCs w:val="24"/>
              </w:rPr>
            </w:pPr>
            <w:r w:rsidRPr="00D655A9">
              <w:rPr>
                <w:rFonts w:cs="Times New Roman"/>
                <w:szCs w:val="24"/>
              </w:rPr>
              <w:t>Applications Sent</w:t>
            </w:r>
          </w:p>
        </w:tc>
        <w:tc>
          <w:tcPr>
            <w:tcW w:w="2300" w:type="dxa"/>
            <w:tcBorders>
              <w:left w:val="nil"/>
              <w:bottom w:val="single" w:sz="4" w:space="0" w:color="auto"/>
              <w:right w:val="nil"/>
            </w:tcBorders>
            <w:noWrap/>
            <w:vAlign w:val="bottom"/>
            <w:hideMark/>
          </w:tcPr>
          <w:p w14:paraId="69B1B09E" w14:textId="77777777" w:rsidR="00D655A9" w:rsidRPr="00D655A9" w:rsidRDefault="00D655A9" w:rsidP="00D655A9">
            <w:pPr>
              <w:jc w:val="center"/>
              <w:rPr>
                <w:rFonts w:cs="Times New Roman"/>
                <w:szCs w:val="24"/>
              </w:rPr>
            </w:pPr>
            <w:r w:rsidRPr="00D655A9">
              <w:rPr>
                <w:rFonts w:cs="Times New Roman"/>
                <w:szCs w:val="24"/>
              </w:rPr>
              <w:t>Ballots Sent</w:t>
            </w:r>
          </w:p>
        </w:tc>
      </w:tr>
      <w:tr w:rsidR="00D655A9" w:rsidRPr="00D655A9" w14:paraId="4F6EEB9E" w14:textId="77777777" w:rsidTr="009B3A57">
        <w:trPr>
          <w:trHeight w:val="333"/>
        </w:trPr>
        <w:tc>
          <w:tcPr>
            <w:tcW w:w="2335" w:type="dxa"/>
            <w:tcBorders>
              <w:left w:val="nil"/>
              <w:bottom w:val="single" w:sz="4" w:space="0" w:color="auto"/>
              <w:right w:val="nil"/>
            </w:tcBorders>
            <w:noWrap/>
            <w:vAlign w:val="center"/>
            <w:hideMark/>
          </w:tcPr>
          <w:p w14:paraId="6202CC5C" w14:textId="77777777" w:rsidR="00D655A9" w:rsidRPr="00D655A9" w:rsidRDefault="00D655A9" w:rsidP="00D655A9">
            <w:pPr>
              <w:rPr>
                <w:rFonts w:cs="Times New Roman"/>
                <w:szCs w:val="24"/>
              </w:rPr>
            </w:pPr>
            <w:r w:rsidRPr="00D655A9">
              <w:rPr>
                <w:rFonts w:cs="Times New Roman"/>
                <w:szCs w:val="24"/>
              </w:rPr>
              <w:t>Excuse-Needed</w:t>
            </w:r>
          </w:p>
        </w:tc>
        <w:tc>
          <w:tcPr>
            <w:tcW w:w="1656" w:type="dxa"/>
            <w:tcBorders>
              <w:left w:val="nil"/>
              <w:bottom w:val="single" w:sz="4" w:space="0" w:color="auto"/>
              <w:right w:val="nil"/>
            </w:tcBorders>
            <w:noWrap/>
            <w:vAlign w:val="bottom"/>
            <w:hideMark/>
          </w:tcPr>
          <w:p w14:paraId="2066D9F0" w14:textId="77777777" w:rsidR="00D655A9" w:rsidRPr="00D655A9" w:rsidRDefault="00D655A9" w:rsidP="00D655A9">
            <w:pPr>
              <w:jc w:val="center"/>
              <w:rPr>
                <w:rFonts w:cs="Times New Roman"/>
                <w:color w:val="000000"/>
                <w:szCs w:val="24"/>
              </w:rPr>
            </w:pPr>
            <w:r w:rsidRPr="00D655A9">
              <w:rPr>
                <w:rFonts w:cs="Times New Roman"/>
                <w:color w:val="000000"/>
                <w:szCs w:val="24"/>
              </w:rPr>
              <w:t>19%</w:t>
            </w:r>
          </w:p>
          <w:p w14:paraId="24C390F9" w14:textId="77777777" w:rsidR="00D655A9" w:rsidRPr="00D655A9" w:rsidRDefault="00D655A9" w:rsidP="00D655A9">
            <w:pPr>
              <w:jc w:val="center"/>
              <w:rPr>
                <w:rFonts w:cs="Times New Roman"/>
                <w:szCs w:val="24"/>
              </w:rPr>
            </w:pPr>
            <w:r w:rsidRPr="00D655A9">
              <w:rPr>
                <w:rFonts w:cs="Times New Roman"/>
                <w:szCs w:val="24"/>
              </w:rPr>
              <w:t>(587)</w:t>
            </w:r>
          </w:p>
          <w:p w14:paraId="7D9D708D" w14:textId="77777777" w:rsidR="00D655A9" w:rsidRPr="00D655A9" w:rsidRDefault="00D655A9" w:rsidP="00D655A9">
            <w:pPr>
              <w:jc w:val="center"/>
              <w:rPr>
                <w:rFonts w:cs="Times New Roman"/>
                <w:szCs w:val="24"/>
              </w:rPr>
            </w:pPr>
          </w:p>
        </w:tc>
        <w:tc>
          <w:tcPr>
            <w:tcW w:w="1723" w:type="dxa"/>
            <w:tcBorders>
              <w:left w:val="nil"/>
              <w:bottom w:val="single" w:sz="4" w:space="0" w:color="auto"/>
              <w:right w:val="nil"/>
            </w:tcBorders>
            <w:noWrap/>
            <w:vAlign w:val="bottom"/>
            <w:hideMark/>
          </w:tcPr>
          <w:p w14:paraId="1BF3D819" w14:textId="77777777" w:rsidR="00D655A9" w:rsidRPr="00D655A9" w:rsidRDefault="00D655A9" w:rsidP="00D655A9">
            <w:pPr>
              <w:jc w:val="center"/>
              <w:rPr>
                <w:rFonts w:cs="Times New Roman"/>
                <w:color w:val="000000"/>
                <w:szCs w:val="24"/>
              </w:rPr>
            </w:pPr>
            <w:r w:rsidRPr="00D655A9">
              <w:rPr>
                <w:rFonts w:cs="Times New Roman"/>
                <w:color w:val="000000"/>
                <w:szCs w:val="24"/>
              </w:rPr>
              <w:t>24%</w:t>
            </w:r>
          </w:p>
          <w:p w14:paraId="74B5E8C2" w14:textId="77777777" w:rsidR="00D655A9" w:rsidRPr="00D655A9" w:rsidRDefault="00D655A9" w:rsidP="00D655A9">
            <w:pPr>
              <w:jc w:val="center"/>
              <w:rPr>
                <w:rFonts w:cs="Times New Roman"/>
                <w:szCs w:val="24"/>
              </w:rPr>
            </w:pPr>
            <w:r w:rsidRPr="00D655A9">
              <w:rPr>
                <w:rFonts w:cs="Times New Roman"/>
                <w:szCs w:val="24"/>
              </w:rPr>
              <w:t>(748)</w:t>
            </w:r>
          </w:p>
          <w:p w14:paraId="01AF44BB" w14:textId="77777777" w:rsidR="00D655A9" w:rsidRPr="00D655A9" w:rsidRDefault="00D655A9" w:rsidP="00D655A9">
            <w:pPr>
              <w:jc w:val="center"/>
              <w:rPr>
                <w:rFonts w:cs="Times New Roman"/>
                <w:szCs w:val="24"/>
              </w:rPr>
            </w:pPr>
          </w:p>
        </w:tc>
        <w:tc>
          <w:tcPr>
            <w:tcW w:w="2024" w:type="dxa"/>
            <w:tcBorders>
              <w:left w:val="nil"/>
              <w:bottom w:val="single" w:sz="4" w:space="0" w:color="auto"/>
              <w:right w:val="nil"/>
            </w:tcBorders>
            <w:noWrap/>
            <w:vAlign w:val="bottom"/>
            <w:hideMark/>
          </w:tcPr>
          <w:p w14:paraId="3BEC5CED" w14:textId="77777777" w:rsidR="00D655A9" w:rsidRPr="00D655A9" w:rsidRDefault="00D655A9" w:rsidP="00D655A9">
            <w:pPr>
              <w:jc w:val="center"/>
              <w:rPr>
                <w:rFonts w:cs="Times New Roman"/>
                <w:color w:val="000000"/>
                <w:szCs w:val="24"/>
              </w:rPr>
            </w:pPr>
            <w:r w:rsidRPr="00D655A9">
              <w:rPr>
                <w:rFonts w:cs="Times New Roman"/>
                <w:color w:val="000000"/>
                <w:szCs w:val="24"/>
              </w:rPr>
              <w:t>4%</w:t>
            </w:r>
          </w:p>
          <w:p w14:paraId="75B5C344" w14:textId="77777777" w:rsidR="00D655A9" w:rsidRPr="00D655A9" w:rsidRDefault="00D655A9" w:rsidP="00D655A9">
            <w:pPr>
              <w:jc w:val="center"/>
              <w:rPr>
                <w:rFonts w:cs="Times New Roman"/>
                <w:szCs w:val="24"/>
              </w:rPr>
            </w:pPr>
            <w:r w:rsidRPr="00D655A9">
              <w:rPr>
                <w:rFonts w:cs="Times New Roman"/>
                <w:szCs w:val="24"/>
              </w:rPr>
              <w:t>(115)</w:t>
            </w:r>
          </w:p>
          <w:p w14:paraId="5911105F" w14:textId="77777777" w:rsidR="00D655A9" w:rsidRPr="00D655A9" w:rsidRDefault="00D655A9" w:rsidP="00D655A9">
            <w:pPr>
              <w:jc w:val="center"/>
              <w:rPr>
                <w:rFonts w:cs="Times New Roman"/>
                <w:szCs w:val="24"/>
              </w:rPr>
            </w:pPr>
          </w:p>
        </w:tc>
        <w:tc>
          <w:tcPr>
            <w:tcW w:w="2300" w:type="dxa"/>
            <w:tcBorders>
              <w:left w:val="nil"/>
              <w:bottom w:val="single" w:sz="4" w:space="0" w:color="auto"/>
              <w:right w:val="nil"/>
            </w:tcBorders>
            <w:noWrap/>
            <w:vAlign w:val="bottom"/>
            <w:hideMark/>
          </w:tcPr>
          <w:p w14:paraId="7EADF256" w14:textId="77777777" w:rsidR="00D655A9" w:rsidRPr="00D655A9" w:rsidRDefault="00D655A9" w:rsidP="00D655A9">
            <w:pPr>
              <w:jc w:val="center"/>
              <w:rPr>
                <w:rFonts w:cs="Times New Roman"/>
                <w:color w:val="000000"/>
                <w:szCs w:val="24"/>
              </w:rPr>
            </w:pPr>
            <w:r w:rsidRPr="00D655A9">
              <w:rPr>
                <w:rFonts w:cs="Times New Roman"/>
                <w:color w:val="000000"/>
                <w:szCs w:val="24"/>
              </w:rPr>
              <w:t>0%</w:t>
            </w:r>
          </w:p>
          <w:p w14:paraId="7236C7AC" w14:textId="77777777" w:rsidR="00D655A9" w:rsidRPr="00D655A9" w:rsidRDefault="00D655A9" w:rsidP="00D655A9">
            <w:pPr>
              <w:jc w:val="center"/>
              <w:rPr>
                <w:rFonts w:cs="Times New Roman"/>
                <w:color w:val="000000"/>
                <w:szCs w:val="24"/>
              </w:rPr>
            </w:pPr>
            <w:r w:rsidRPr="00D655A9">
              <w:rPr>
                <w:rFonts w:cs="Times New Roman"/>
                <w:color w:val="000000"/>
                <w:szCs w:val="24"/>
              </w:rPr>
              <w:t>(0)</w:t>
            </w:r>
          </w:p>
          <w:p w14:paraId="3A970A32" w14:textId="77777777" w:rsidR="00D655A9" w:rsidRPr="00D655A9" w:rsidRDefault="00D655A9" w:rsidP="00D655A9">
            <w:pPr>
              <w:jc w:val="center"/>
              <w:rPr>
                <w:rFonts w:cs="Times New Roman"/>
                <w:szCs w:val="24"/>
              </w:rPr>
            </w:pPr>
          </w:p>
        </w:tc>
      </w:tr>
      <w:tr w:rsidR="00D655A9" w:rsidRPr="00D655A9" w14:paraId="484C632B" w14:textId="77777777" w:rsidTr="009B3A57">
        <w:trPr>
          <w:trHeight w:val="333"/>
        </w:trPr>
        <w:tc>
          <w:tcPr>
            <w:tcW w:w="2335" w:type="dxa"/>
            <w:tcBorders>
              <w:top w:val="single" w:sz="4" w:space="0" w:color="auto"/>
              <w:left w:val="nil"/>
              <w:bottom w:val="single" w:sz="4" w:space="0" w:color="auto"/>
              <w:right w:val="nil"/>
            </w:tcBorders>
            <w:noWrap/>
            <w:vAlign w:val="center"/>
            <w:hideMark/>
          </w:tcPr>
          <w:p w14:paraId="6D51E2DD" w14:textId="77777777" w:rsidR="00D655A9" w:rsidRPr="00D655A9" w:rsidRDefault="00D655A9" w:rsidP="00D655A9">
            <w:pPr>
              <w:rPr>
                <w:rFonts w:cs="Times New Roman"/>
                <w:szCs w:val="24"/>
              </w:rPr>
            </w:pPr>
            <w:r w:rsidRPr="00D655A9">
              <w:rPr>
                <w:rFonts w:cs="Times New Roman"/>
                <w:szCs w:val="24"/>
              </w:rPr>
              <w:t>No Excuse-Needed</w:t>
            </w:r>
          </w:p>
        </w:tc>
        <w:tc>
          <w:tcPr>
            <w:tcW w:w="1656" w:type="dxa"/>
            <w:tcBorders>
              <w:top w:val="single" w:sz="4" w:space="0" w:color="auto"/>
              <w:left w:val="nil"/>
              <w:bottom w:val="single" w:sz="4" w:space="0" w:color="auto"/>
              <w:right w:val="nil"/>
            </w:tcBorders>
            <w:noWrap/>
            <w:vAlign w:val="bottom"/>
            <w:hideMark/>
          </w:tcPr>
          <w:p w14:paraId="797929A6" w14:textId="77777777" w:rsidR="00D655A9" w:rsidRPr="00D655A9" w:rsidRDefault="00D655A9" w:rsidP="00D655A9">
            <w:pPr>
              <w:jc w:val="center"/>
              <w:rPr>
                <w:rFonts w:cs="Times New Roman"/>
                <w:color w:val="000000"/>
                <w:szCs w:val="24"/>
              </w:rPr>
            </w:pPr>
            <w:r w:rsidRPr="00D655A9">
              <w:rPr>
                <w:rFonts w:cs="Times New Roman"/>
                <w:color w:val="000000"/>
                <w:szCs w:val="24"/>
              </w:rPr>
              <w:t>0%</w:t>
            </w:r>
          </w:p>
          <w:p w14:paraId="383FBEC4" w14:textId="77777777" w:rsidR="00D655A9" w:rsidRPr="00D655A9" w:rsidRDefault="00D655A9" w:rsidP="00D655A9">
            <w:pPr>
              <w:jc w:val="center"/>
              <w:rPr>
                <w:rFonts w:cs="Times New Roman"/>
                <w:szCs w:val="24"/>
              </w:rPr>
            </w:pPr>
            <w:r w:rsidRPr="00D655A9">
              <w:rPr>
                <w:rFonts w:cs="Times New Roman"/>
                <w:color w:val="000000"/>
                <w:szCs w:val="24"/>
              </w:rPr>
              <w:t>(0)</w:t>
            </w:r>
          </w:p>
        </w:tc>
        <w:tc>
          <w:tcPr>
            <w:tcW w:w="1723" w:type="dxa"/>
            <w:tcBorders>
              <w:top w:val="single" w:sz="4" w:space="0" w:color="auto"/>
              <w:left w:val="nil"/>
              <w:bottom w:val="single" w:sz="4" w:space="0" w:color="auto"/>
              <w:right w:val="nil"/>
            </w:tcBorders>
            <w:noWrap/>
            <w:vAlign w:val="bottom"/>
            <w:hideMark/>
          </w:tcPr>
          <w:p w14:paraId="0086299E" w14:textId="77777777" w:rsidR="00D655A9" w:rsidRPr="00D655A9" w:rsidRDefault="00D655A9" w:rsidP="00D655A9">
            <w:pPr>
              <w:jc w:val="center"/>
              <w:rPr>
                <w:rFonts w:cs="Times New Roman"/>
                <w:color w:val="000000"/>
                <w:szCs w:val="24"/>
              </w:rPr>
            </w:pPr>
            <w:r w:rsidRPr="00D655A9">
              <w:rPr>
                <w:rFonts w:cs="Times New Roman"/>
                <w:color w:val="000000"/>
                <w:szCs w:val="24"/>
              </w:rPr>
              <w:t>23%</w:t>
            </w:r>
          </w:p>
          <w:p w14:paraId="35F73FA8" w14:textId="77777777" w:rsidR="00D655A9" w:rsidRPr="00D655A9" w:rsidRDefault="00D655A9" w:rsidP="00D655A9">
            <w:pPr>
              <w:jc w:val="center"/>
              <w:rPr>
                <w:rFonts w:cs="Times New Roman"/>
                <w:szCs w:val="24"/>
              </w:rPr>
            </w:pPr>
            <w:r w:rsidRPr="00D655A9">
              <w:rPr>
                <w:rFonts w:cs="Times New Roman"/>
                <w:szCs w:val="24"/>
              </w:rPr>
              <w:t>(702)</w:t>
            </w:r>
          </w:p>
        </w:tc>
        <w:tc>
          <w:tcPr>
            <w:tcW w:w="2024" w:type="dxa"/>
            <w:tcBorders>
              <w:top w:val="single" w:sz="4" w:space="0" w:color="auto"/>
              <w:left w:val="nil"/>
              <w:bottom w:val="single" w:sz="4" w:space="0" w:color="auto"/>
              <w:right w:val="nil"/>
            </w:tcBorders>
            <w:noWrap/>
            <w:vAlign w:val="bottom"/>
            <w:hideMark/>
          </w:tcPr>
          <w:p w14:paraId="6951DEC8" w14:textId="77777777" w:rsidR="00D655A9" w:rsidRPr="00D655A9" w:rsidRDefault="00D655A9" w:rsidP="00D655A9">
            <w:pPr>
              <w:jc w:val="center"/>
              <w:rPr>
                <w:rFonts w:cs="Times New Roman"/>
                <w:color w:val="000000"/>
                <w:szCs w:val="24"/>
              </w:rPr>
            </w:pPr>
            <w:r w:rsidRPr="00D655A9">
              <w:rPr>
                <w:rFonts w:cs="Times New Roman"/>
                <w:color w:val="000000"/>
                <w:szCs w:val="24"/>
              </w:rPr>
              <w:t>20%</w:t>
            </w:r>
          </w:p>
          <w:p w14:paraId="04DC804B" w14:textId="77777777" w:rsidR="00D655A9" w:rsidRPr="00D655A9" w:rsidRDefault="00D655A9" w:rsidP="00D655A9">
            <w:pPr>
              <w:jc w:val="center"/>
              <w:rPr>
                <w:rFonts w:cs="Times New Roman"/>
                <w:szCs w:val="24"/>
              </w:rPr>
            </w:pPr>
            <w:r w:rsidRPr="00D655A9">
              <w:rPr>
                <w:rFonts w:cs="Times New Roman"/>
                <w:szCs w:val="24"/>
              </w:rPr>
              <w:t>(632)</w:t>
            </w:r>
          </w:p>
        </w:tc>
        <w:tc>
          <w:tcPr>
            <w:tcW w:w="2300" w:type="dxa"/>
            <w:tcBorders>
              <w:top w:val="single" w:sz="4" w:space="0" w:color="auto"/>
              <w:left w:val="nil"/>
              <w:bottom w:val="single" w:sz="4" w:space="0" w:color="auto"/>
              <w:right w:val="nil"/>
            </w:tcBorders>
            <w:noWrap/>
            <w:vAlign w:val="bottom"/>
            <w:hideMark/>
          </w:tcPr>
          <w:p w14:paraId="1A32645C" w14:textId="77777777" w:rsidR="00D655A9" w:rsidRPr="00D655A9" w:rsidRDefault="00D655A9" w:rsidP="00D655A9">
            <w:pPr>
              <w:jc w:val="center"/>
              <w:rPr>
                <w:rFonts w:cs="Times New Roman"/>
                <w:color w:val="000000"/>
                <w:szCs w:val="24"/>
              </w:rPr>
            </w:pPr>
            <w:r w:rsidRPr="00D655A9">
              <w:rPr>
                <w:rFonts w:cs="Times New Roman"/>
                <w:color w:val="000000"/>
                <w:szCs w:val="24"/>
              </w:rPr>
              <w:t>5%</w:t>
            </w:r>
          </w:p>
          <w:p w14:paraId="1A40F038" w14:textId="77777777" w:rsidR="00D655A9" w:rsidRPr="00D655A9" w:rsidRDefault="00D655A9" w:rsidP="00D655A9">
            <w:pPr>
              <w:jc w:val="center"/>
              <w:rPr>
                <w:rFonts w:cs="Times New Roman"/>
                <w:szCs w:val="24"/>
              </w:rPr>
            </w:pPr>
            <w:r w:rsidRPr="00D655A9">
              <w:rPr>
                <w:rFonts w:cs="Times New Roman"/>
                <w:szCs w:val="24"/>
              </w:rPr>
              <w:t>(169)</w:t>
            </w:r>
          </w:p>
        </w:tc>
      </w:tr>
      <w:tr w:rsidR="00D655A9" w:rsidRPr="00D655A9" w14:paraId="12FEFD37" w14:textId="77777777" w:rsidTr="009B3A57">
        <w:trPr>
          <w:trHeight w:val="333"/>
        </w:trPr>
        <w:tc>
          <w:tcPr>
            <w:tcW w:w="2335" w:type="dxa"/>
            <w:tcBorders>
              <w:top w:val="single" w:sz="4" w:space="0" w:color="auto"/>
              <w:left w:val="nil"/>
              <w:right w:val="nil"/>
            </w:tcBorders>
            <w:noWrap/>
            <w:vAlign w:val="center"/>
            <w:hideMark/>
          </w:tcPr>
          <w:p w14:paraId="358545C2" w14:textId="77777777" w:rsidR="00D655A9" w:rsidRPr="00D655A9" w:rsidRDefault="00D655A9" w:rsidP="00D655A9">
            <w:pPr>
              <w:rPr>
                <w:rFonts w:cs="Times New Roman"/>
                <w:szCs w:val="24"/>
              </w:rPr>
            </w:pPr>
            <w:r w:rsidRPr="00D655A9">
              <w:rPr>
                <w:rFonts w:cs="Times New Roman"/>
                <w:szCs w:val="24"/>
              </w:rPr>
              <w:t>Ballots Sent</w:t>
            </w:r>
          </w:p>
        </w:tc>
        <w:tc>
          <w:tcPr>
            <w:tcW w:w="1656" w:type="dxa"/>
            <w:tcBorders>
              <w:top w:val="single" w:sz="4" w:space="0" w:color="auto"/>
              <w:left w:val="nil"/>
              <w:right w:val="nil"/>
            </w:tcBorders>
            <w:noWrap/>
            <w:vAlign w:val="bottom"/>
            <w:hideMark/>
          </w:tcPr>
          <w:p w14:paraId="54D1F4D9" w14:textId="77777777" w:rsidR="00D655A9" w:rsidRPr="00D655A9" w:rsidRDefault="00D655A9" w:rsidP="00D655A9">
            <w:pPr>
              <w:jc w:val="center"/>
              <w:rPr>
                <w:rFonts w:cs="Times New Roman"/>
                <w:color w:val="000000"/>
                <w:szCs w:val="24"/>
              </w:rPr>
            </w:pPr>
            <w:r w:rsidRPr="00D655A9">
              <w:rPr>
                <w:rFonts w:cs="Times New Roman"/>
                <w:color w:val="000000"/>
                <w:szCs w:val="24"/>
              </w:rPr>
              <w:t>0%</w:t>
            </w:r>
          </w:p>
          <w:p w14:paraId="15AB0CB7" w14:textId="77777777" w:rsidR="00D655A9" w:rsidRPr="00D655A9" w:rsidRDefault="00D655A9" w:rsidP="00D655A9">
            <w:pPr>
              <w:jc w:val="center"/>
              <w:rPr>
                <w:rFonts w:cs="Times New Roman"/>
                <w:szCs w:val="24"/>
              </w:rPr>
            </w:pPr>
            <w:r w:rsidRPr="00D655A9">
              <w:rPr>
                <w:rFonts w:cs="Times New Roman"/>
                <w:color w:val="000000"/>
                <w:szCs w:val="24"/>
              </w:rPr>
              <w:t>(0)</w:t>
            </w:r>
          </w:p>
        </w:tc>
        <w:tc>
          <w:tcPr>
            <w:tcW w:w="1723" w:type="dxa"/>
            <w:tcBorders>
              <w:top w:val="single" w:sz="4" w:space="0" w:color="auto"/>
              <w:left w:val="nil"/>
              <w:right w:val="nil"/>
            </w:tcBorders>
            <w:noWrap/>
            <w:vAlign w:val="bottom"/>
            <w:hideMark/>
          </w:tcPr>
          <w:p w14:paraId="5E1380D3" w14:textId="77777777" w:rsidR="00D655A9" w:rsidRPr="00D655A9" w:rsidRDefault="00D655A9" w:rsidP="00D655A9">
            <w:pPr>
              <w:jc w:val="center"/>
              <w:rPr>
                <w:rFonts w:cs="Times New Roman"/>
                <w:color w:val="000000"/>
                <w:szCs w:val="24"/>
              </w:rPr>
            </w:pPr>
            <w:r w:rsidRPr="00D655A9">
              <w:rPr>
                <w:rFonts w:cs="Times New Roman"/>
                <w:color w:val="000000"/>
                <w:szCs w:val="24"/>
              </w:rPr>
              <w:t>0%</w:t>
            </w:r>
          </w:p>
          <w:p w14:paraId="2D420F45" w14:textId="77777777" w:rsidR="00D655A9" w:rsidRPr="00D655A9" w:rsidRDefault="00D655A9" w:rsidP="00D655A9">
            <w:pPr>
              <w:jc w:val="center"/>
              <w:rPr>
                <w:rFonts w:cs="Times New Roman"/>
                <w:szCs w:val="24"/>
              </w:rPr>
            </w:pPr>
            <w:r w:rsidRPr="00D655A9">
              <w:rPr>
                <w:rFonts w:cs="Times New Roman"/>
                <w:color w:val="000000"/>
                <w:szCs w:val="24"/>
              </w:rPr>
              <w:t>(0)</w:t>
            </w:r>
          </w:p>
        </w:tc>
        <w:tc>
          <w:tcPr>
            <w:tcW w:w="2024" w:type="dxa"/>
            <w:tcBorders>
              <w:top w:val="single" w:sz="4" w:space="0" w:color="auto"/>
              <w:left w:val="nil"/>
              <w:right w:val="nil"/>
            </w:tcBorders>
            <w:noWrap/>
            <w:vAlign w:val="bottom"/>
            <w:hideMark/>
          </w:tcPr>
          <w:p w14:paraId="5A50A421" w14:textId="77777777" w:rsidR="00D655A9" w:rsidRPr="00D655A9" w:rsidRDefault="00D655A9" w:rsidP="00D655A9">
            <w:pPr>
              <w:jc w:val="center"/>
              <w:rPr>
                <w:rFonts w:cs="Times New Roman"/>
                <w:color w:val="000000"/>
                <w:szCs w:val="24"/>
              </w:rPr>
            </w:pPr>
            <w:r w:rsidRPr="00D655A9">
              <w:rPr>
                <w:rFonts w:cs="Times New Roman"/>
                <w:color w:val="000000"/>
                <w:szCs w:val="24"/>
              </w:rPr>
              <w:t>0%</w:t>
            </w:r>
          </w:p>
          <w:p w14:paraId="62B56C90" w14:textId="77777777" w:rsidR="00D655A9" w:rsidRPr="00D655A9" w:rsidRDefault="00D655A9" w:rsidP="00D655A9">
            <w:pPr>
              <w:jc w:val="center"/>
              <w:rPr>
                <w:rFonts w:cs="Times New Roman"/>
                <w:szCs w:val="24"/>
              </w:rPr>
            </w:pPr>
            <w:r w:rsidRPr="00D655A9">
              <w:rPr>
                <w:rFonts w:cs="Times New Roman"/>
                <w:color w:val="000000"/>
                <w:szCs w:val="24"/>
              </w:rPr>
              <w:t>(0)</w:t>
            </w:r>
          </w:p>
        </w:tc>
        <w:tc>
          <w:tcPr>
            <w:tcW w:w="2300" w:type="dxa"/>
            <w:tcBorders>
              <w:top w:val="single" w:sz="4" w:space="0" w:color="auto"/>
              <w:left w:val="nil"/>
              <w:right w:val="nil"/>
            </w:tcBorders>
            <w:noWrap/>
            <w:vAlign w:val="bottom"/>
            <w:hideMark/>
          </w:tcPr>
          <w:p w14:paraId="6512C3B3" w14:textId="77777777" w:rsidR="00D655A9" w:rsidRPr="00D655A9" w:rsidRDefault="00D655A9" w:rsidP="00D655A9">
            <w:pPr>
              <w:jc w:val="center"/>
              <w:rPr>
                <w:rFonts w:cs="Times New Roman"/>
                <w:color w:val="000000"/>
                <w:szCs w:val="24"/>
              </w:rPr>
            </w:pPr>
            <w:r w:rsidRPr="00D655A9">
              <w:rPr>
                <w:rFonts w:cs="Times New Roman"/>
                <w:color w:val="000000"/>
                <w:szCs w:val="24"/>
              </w:rPr>
              <w:t>5%</w:t>
            </w:r>
          </w:p>
          <w:p w14:paraId="1BEA9FBE" w14:textId="77777777" w:rsidR="00D655A9" w:rsidRPr="00D655A9" w:rsidRDefault="00D655A9" w:rsidP="00D655A9">
            <w:pPr>
              <w:jc w:val="center"/>
              <w:rPr>
                <w:rFonts w:cs="Times New Roman"/>
                <w:color w:val="000000"/>
                <w:szCs w:val="24"/>
              </w:rPr>
            </w:pPr>
            <w:r w:rsidRPr="00D655A9">
              <w:rPr>
                <w:rFonts w:cs="Times New Roman"/>
                <w:color w:val="000000"/>
                <w:szCs w:val="24"/>
              </w:rPr>
              <w:t>(160)</w:t>
            </w:r>
          </w:p>
        </w:tc>
      </w:tr>
    </w:tbl>
    <w:p w14:paraId="5B44DB81" w14:textId="77777777" w:rsidR="00D655A9" w:rsidRPr="00D655A9" w:rsidRDefault="00D655A9" w:rsidP="00D655A9">
      <w:pPr>
        <w:rPr>
          <w:rFonts w:cs="Times New Roman"/>
          <w:szCs w:val="24"/>
        </w:rPr>
      </w:pPr>
      <w:r w:rsidRPr="00D655A9">
        <w:rPr>
          <w:rFonts w:cs="Times New Roman"/>
          <w:szCs w:val="24"/>
        </w:rPr>
        <w:t>Note: Cell entries report the percentage (and number) of counties in each category.</w:t>
      </w:r>
    </w:p>
    <w:p w14:paraId="7BA5CA5D" w14:textId="77777777" w:rsidR="00D655A9" w:rsidRPr="00D655A9" w:rsidRDefault="00D655A9" w:rsidP="00D655A9">
      <w:pPr>
        <w:sectPr w:rsidR="00D655A9" w:rsidRPr="00D655A9">
          <w:pgSz w:w="12240" w:h="15840"/>
          <w:pgMar w:top="1440" w:right="1440" w:bottom="1440" w:left="1440" w:header="720" w:footer="720" w:gutter="0"/>
          <w:cols w:space="720"/>
          <w:docGrid w:linePitch="360"/>
        </w:sectPr>
      </w:pPr>
    </w:p>
    <w:p w14:paraId="22513E35" w14:textId="77777777" w:rsidR="00D655A9" w:rsidRPr="00D655A9" w:rsidRDefault="00D655A9" w:rsidP="00D655A9">
      <w:pPr>
        <w:keepNext/>
        <w:keepLines/>
        <w:spacing w:before="40" w:after="0"/>
        <w:outlineLvl w:val="1"/>
        <w:rPr>
          <w:rFonts w:eastAsiaTheme="majorEastAsia" w:cs="Times New Roman"/>
          <w:szCs w:val="24"/>
        </w:rPr>
      </w:pPr>
      <w:bookmarkStart w:id="4" w:name="_Hlk62143594"/>
      <w:r w:rsidRPr="00D655A9">
        <w:rPr>
          <w:rFonts w:eastAsiaTheme="majorEastAsia" w:cs="Times New Roman"/>
          <w:szCs w:val="24"/>
        </w:rPr>
        <w:lastRenderedPageBreak/>
        <w:t>Table 1A: Treatment Conditions by 2020 Vote-by-Mail Policies for the Difference-and-Difference Analysis as Percentages</w:t>
      </w:r>
    </w:p>
    <w:tbl>
      <w:tblPr>
        <w:tblStyle w:val="TableGrid"/>
        <w:tblW w:w="13580" w:type="dxa"/>
        <w:tblLook w:val="04A0" w:firstRow="1" w:lastRow="0" w:firstColumn="1" w:lastColumn="0" w:noHBand="0" w:noVBand="1"/>
      </w:tblPr>
      <w:tblGrid>
        <w:gridCol w:w="2345"/>
        <w:gridCol w:w="2155"/>
        <w:gridCol w:w="2160"/>
        <w:gridCol w:w="3150"/>
        <w:gridCol w:w="2610"/>
        <w:gridCol w:w="1160"/>
      </w:tblGrid>
      <w:tr w:rsidR="00D655A9" w:rsidRPr="00D655A9" w14:paraId="0043400A" w14:textId="77777777" w:rsidTr="009B3A57">
        <w:trPr>
          <w:trHeight w:val="288"/>
        </w:trPr>
        <w:tc>
          <w:tcPr>
            <w:tcW w:w="2345" w:type="dxa"/>
            <w:tcBorders>
              <w:left w:val="nil"/>
              <w:bottom w:val="single" w:sz="4" w:space="0" w:color="auto"/>
              <w:right w:val="nil"/>
            </w:tcBorders>
            <w:noWrap/>
            <w:vAlign w:val="bottom"/>
          </w:tcPr>
          <w:p w14:paraId="21CC4ACD" w14:textId="77777777" w:rsidR="00D655A9" w:rsidRPr="00D655A9" w:rsidRDefault="00D655A9" w:rsidP="00D655A9">
            <w:pPr>
              <w:rPr>
                <w:rFonts w:cs="Times New Roman"/>
                <w:szCs w:val="24"/>
              </w:rPr>
            </w:pPr>
          </w:p>
        </w:tc>
        <w:tc>
          <w:tcPr>
            <w:tcW w:w="10075" w:type="dxa"/>
            <w:gridSpan w:val="4"/>
            <w:tcBorders>
              <w:left w:val="nil"/>
              <w:bottom w:val="single" w:sz="4" w:space="0" w:color="auto"/>
              <w:right w:val="nil"/>
            </w:tcBorders>
            <w:noWrap/>
            <w:vAlign w:val="bottom"/>
          </w:tcPr>
          <w:p w14:paraId="355E6241" w14:textId="77777777" w:rsidR="00D655A9" w:rsidRPr="00D655A9" w:rsidRDefault="00D655A9" w:rsidP="00D655A9">
            <w:pPr>
              <w:jc w:val="center"/>
              <w:rPr>
                <w:rFonts w:cs="Times New Roman"/>
                <w:i/>
                <w:iCs/>
                <w:szCs w:val="24"/>
              </w:rPr>
            </w:pPr>
            <w:r w:rsidRPr="00D655A9">
              <w:rPr>
                <w:rFonts w:cs="Times New Roman"/>
                <w:i/>
                <w:iCs/>
                <w:szCs w:val="24"/>
              </w:rPr>
              <w:t>2020 Vote-by-Mail Policies</w:t>
            </w:r>
          </w:p>
        </w:tc>
        <w:tc>
          <w:tcPr>
            <w:tcW w:w="1160" w:type="dxa"/>
            <w:tcBorders>
              <w:left w:val="nil"/>
              <w:right w:val="nil"/>
            </w:tcBorders>
            <w:noWrap/>
          </w:tcPr>
          <w:p w14:paraId="00EC31E8" w14:textId="77777777" w:rsidR="00D655A9" w:rsidRPr="00D655A9" w:rsidRDefault="00D655A9" w:rsidP="00D655A9">
            <w:pPr>
              <w:rPr>
                <w:rFonts w:cs="Times New Roman"/>
                <w:szCs w:val="24"/>
              </w:rPr>
            </w:pPr>
          </w:p>
        </w:tc>
      </w:tr>
      <w:tr w:rsidR="00D655A9" w:rsidRPr="00D655A9" w14:paraId="11705CBB" w14:textId="77777777" w:rsidTr="009B3A57">
        <w:trPr>
          <w:trHeight w:val="288"/>
        </w:trPr>
        <w:tc>
          <w:tcPr>
            <w:tcW w:w="2345" w:type="dxa"/>
            <w:tcBorders>
              <w:left w:val="nil"/>
              <w:right w:val="nil"/>
            </w:tcBorders>
            <w:noWrap/>
            <w:vAlign w:val="bottom"/>
            <w:hideMark/>
          </w:tcPr>
          <w:p w14:paraId="2EFC804C" w14:textId="77777777" w:rsidR="00D655A9" w:rsidRPr="00D655A9" w:rsidRDefault="00D655A9" w:rsidP="00D655A9">
            <w:pPr>
              <w:jc w:val="center"/>
              <w:rPr>
                <w:rFonts w:cs="Times New Roman"/>
                <w:i/>
                <w:iCs/>
                <w:szCs w:val="24"/>
              </w:rPr>
            </w:pPr>
            <w:r w:rsidRPr="00D655A9">
              <w:rPr>
                <w:rFonts w:cs="Times New Roman"/>
                <w:i/>
                <w:iCs/>
                <w:szCs w:val="24"/>
              </w:rPr>
              <w:t>Conditions</w:t>
            </w:r>
          </w:p>
        </w:tc>
        <w:tc>
          <w:tcPr>
            <w:tcW w:w="2155" w:type="dxa"/>
            <w:tcBorders>
              <w:left w:val="nil"/>
              <w:right w:val="nil"/>
            </w:tcBorders>
            <w:noWrap/>
            <w:vAlign w:val="bottom"/>
            <w:hideMark/>
          </w:tcPr>
          <w:p w14:paraId="27D2BF95" w14:textId="77777777" w:rsidR="00D655A9" w:rsidRPr="00D655A9" w:rsidRDefault="00D655A9" w:rsidP="00D655A9">
            <w:pPr>
              <w:jc w:val="center"/>
              <w:rPr>
                <w:rFonts w:cs="Times New Roman"/>
                <w:szCs w:val="24"/>
              </w:rPr>
            </w:pPr>
            <w:r w:rsidRPr="00D655A9">
              <w:rPr>
                <w:rFonts w:cs="Times New Roman"/>
                <w:szCs w:val="24"/>
              </w:rPr>
              <w:t>Excuse-Needed</w:t>
            </w:r>
          </w:p>
        </w:tc>
        <w:tc>
          <w:tcPr>
            <w:tcW w:w="2160" w:type="dxa"/>
            <w:tcBorders>
              <w:left w:val="nil"/>
              <w:right w:val="nil"/>
            </w:tcBorders>
            <w:noWrap/>
            <w:vAlign w:val="bottom"/>
            <w:hideMark/>
          </w:tcPr>
          <w:p w14:paraId="5B0C8EA5" w14:textId="77777777" w:rsidR="00D655A9" w:rsidRPr="00D655A9" w:rsidRDefault="00D655A9" w:rsidP="00D655A9">
            <w:pPr>
              <w:jc w:val="center"/>
              <w:rPr>
                <w:rFonts w:cs="Times New Roman"/>
                <w:szCs w:val="24"/>
              </w:rPr>
            </w:pPr>
            <w:r w:rsidRPr="00D655A9">
              <w:rPr>
                <w:rFonts w:cs="Times New Roman"/>
                <w:szCs w:val="24"/>
              </w:rPr>
              <w:t>No Excuse-Needed</w:t>
            </w:r>
          </w:p>
        </w:tc>
        <w:tc>
          <w:tcPr>
            <w:tcW w:w="3150" w:type="dxa"/>
            <w:tcBorders>
              <w:left w:val="nil"/>
              <w:right w:val="nil"/>
            </w:tcBorders>
            <w:noWrap/>
            <w:vAlign w:val="bottom"/>
            <w:hideMark/>
          </w:tcPr>
          <w:p w14:paraId="0BC92FC7" w14:textId="77777777" w:rsidR="00D655A9" w:rsidRPr="00D655A9" w:rsidRDefault="00D655A9" w:rsidP="00D655A9">
            <w:pPr>
              <w:jc w:val="center"/>
              <w:rPr>
                <w:rFonts w:cs="Times New Roman"/>
                <w:szCs w:val="24"/>
              </w:rPr>
            </w:pPr>
            <w:r w:rsidRPr="00D655A9">
              <w:rPr>
                <w:rFonts w:cs="Times New Roman"/>
                <w:szCs w:val="24"/>
              </w:rPr>
              <w:t>Applications Sent</w:t>
            </w:r>
          </w:p>
        </w:tc>
        <w:tc>
          <w:tcPr>
            <w:tcW w:w="2610" w:type="dxa"/>
            <w:tcBorders>
              <w:left w:val="nil"/>
              <w:right w:val="nil"/>
            </w:tcBorders>
            <w:noWrap/>
            <w:vAlign w:val="bottom"/>
            <w:hideMark/>
          </w:tcPr>
          <w:p w14:paraId="403AA4FB" w14:textId="77777777" w:rsidR="00D655A9" w:rsidRPr="00D655A9" w:rsidRDefault="00D655A9" w:rsidP="00D655A9">
            <w:pPr>
              <w:jc w:val="center"/>
              <w:rPr>
                <w:rFonts w:cs="Times New Roman"/>
                <w:szCs w:val="24"/>
              </w:rPr>
            </w:pPr>
            <w:r w:rsidRPr="00D655A9">
              <w:rPr>
                <w:rFonts w:cs="Times New Roman"/>
                <w:szCs w:val="24"/>
              </w:rPr>
              <w:t>Ballots Sent</w:t>
            </w:r>
          </w:p>
        </w:tc>
        <w:tc>
          <w:tcPr>
            <w:tcW w:w="1160" w:type="dxa"/>
            <w:tcBorders>
              <w:left w:val="nil"/>
              <w:right w:val="nil"/>
            </w:tcBorders>
            <w:noWrap/>
            <w:vAlign w:val="bottom"/>
            <w:hideMark/>
          </w:tcPr>
          <w:p w14:paraId="24D81A29" w14:textId="77777777" w:rsidR="00D655A9" w:rsidRPr="00D655A9" w:rsidRDefault="00D655A9" w:rsidP="00D655A9">
            <w:pPr>
              <w:jc w:val="center"/>
              <w:rPr>
                <w:rFonts w:cs="Times New Roman"/>
                <w:szCs w:val="24"/>
              </w:rPr>
            </w:pPr>
            <w:r w:rsidRPr="00D655A9">
              <w:rPr>
                <w:rFonts w:cs="Times New Roman"/>
                <w:szCs w:val="24"/>
              </w:rPr>
              <w:t>Total</w:t>
            </w:r>
          </w:p>
        </w:tc>
      </w:tr>
      <w:tr w:rsidR="00D655A9" w:rsidRPr="00D655A9" w14:paraId="52F0718D" w14:textId="77777777" w:rsidTr="009B3A57">
        <w:trPr>
          <w:trHeight w:val="288"/>
        </w:trPr>
        <w:tc>
          <w:tcPr>
            <w:tcW w:w="2345" w:type="dxa"/>
            <w:tcBorders>
              <w:left w:val="nil"/>
              <w:right w:val="nil"/>
            </w:tcBorders>
            <w:noWrap/>
            <w:hideMark/>
          </w:tcPr>
          <w:p w14:paraId="1EA23080" w14:textId="77777777" w:rsidR="00D655A9" w:rsidRPr="00D655A9" w:rsidRDefault="00D655A9" w:rsidP="00D655A9">
            <w:pPr>
              <w:rPr>
                <w:rFonts w:cs="Times New Roman"/>
                <w:szCs w:val="24"/>
              </w:rPr>
            </w:pPr>
            <w:r w:rsidRPr="00D655A9">
              <w:rPr>
                <w:rFonts w:cs="Times New Roman"/>
                <w:szCs w:val="24"/>
              </w:rPr>
              <w:t>Control</w:t>
            </w:r>
          </w:p>
        </w:tc>
        <w:tc>
          <w:tcPr>
            <w:tcW w:w="2155" w:type="dxa"/>
            <w:tcBorders>
              <w:left w:val="nil"/>
              <w:right w:val="nil"/>
            </w:tcBorders>
            <w:noWrap/>
            <w:hideMark/>
          </w:tcPr>
          <w:p w14:paraId="4F2B6BAD" w14:textId="77777777" w:rsidR="00D655A9" w:rsidRPr="00D655A9" w:rsidRDefault="00D655A9" w:rsidP="00D655A9">
            <w:pPr>
              <w:jc w:val="center"/>
              <w:rPr>
                <w:rFonts w:cs="Times New Roman"/>
                <w:szCs w:val="24"/>
              </w:rPr>
            </w:pPr>
            <w:r w:rsidRPr="00D655A9">
              <w:rPr>
                <w:rFonts w:cs="Times New Roman"/>
                <w:szCs w:val="24"/>
              </w:rPr>
              <w:t>18.86%</w:t>
            </w:r>
          </w:p>
          <w:p w14:paraId="4FCEA922" w14:textId="77777777" w:rsidR="00D655A9" w:rsidRPr="00D655A9" w:rsidRDefault="00D655A9" w:rsidP="00D655A9">
            <w:pPr>
              <w:jc w:val="center"/>
              <w:rPr>
                <w:rFonts w:cs="Times New Roman"/>
                <w:szCs w:val="24"/>
              </w:rPr>
            </w:pPr>
            <w:r w:rsidRPr="00D655A9">
              <w:rPr>
                <w:rFonts w:cs="Times New Roman"/>
                <w:szCs w:val="24"/>
              </w:rPr>
              <w:t>(587)</w:t>
            </w:r>
          </w:p>
        </w:tc>
        <w:tc>
          <w:tcPr>
            <w:tcW w:w="2160" w:type="dxa"/>
            <w:tcBorders>
              <w:left w:val="nil"/>
              <w:right w:val="nil"/>
            </w:tcBorders>
            <w:noWrap/>
            <w:hideMark/>
          </w:tcPr>
          <w:p w14:paraId="463B5CA9" w14:textId="77777777" w:rsidR="00D655A9" w:rsidRPr="00D655A9" w:rsidRDefault="00D655A9" w:rsidP="00D655A9">
            <w:pPr>
              <w:jc w:val="center"/>
              <w:rPr>
                <w:rFonts w:cs="Times New Roman"/>
                <w:szCs w:val="24"/>
              </w:rPr>
            </w:pPr>
            <w:r w:rsidRPr="00D655A9">
              <w:rPr>
                <w:rFonts w:cs="Times New Roman"/>
                <w:szCs w:val="24"/>
              </w:rPr>
              <w:t>22.55%</w:t>
            </w:r>
          </w:p>
          <w:p w14:paraId="6E5E9B08" w14:textId="77777777" w:rsidR="00D655A9" w:rsidRPr="00D655A9" w:rsidRDefault="00D655A9" w:rsidP="00D655A9">
            <w:pPr>
              <w:jc w:val="center"/>
              <w:rPr>
                <w:rFonts w:cs="Times New Roman"/>
                <w:szCs w:val="24"/>
              </w:rPr>
            </w:pPr>
            <w:r w:rsidRPr="00D655A9">
              <w:rPr>
                <w:rFonts w:cs="Times New Roman"/>
                <w:szCs w:val="24"/>
              </w:rPr>
              <w:t>(702)</w:t>
            </w:r>
          </w:p>
        </w:tc>
        <w:tc>
          <w:tcPr>
            <w:tcW w:w="3150" w:type="dxa"/>
            <w:tcBorders>
              <w:left w:val="nil"/>
              <w:right w:val="nil"/>
            </w:tcBorders>
            <w:noWrap/>
            <w:hideMark/>
          </w:tcPr>
          <w:p w14:paraId="3E6E615E" w14:textId="77777777" w:rsidR="00D655A9" w:rsidRPr="00D655A9" w:rsidRDefault="00D655A9" w:rsidP="00D655A9">
            <w:pPr>
              <w:jc w:val="center"/>
              <w:rPr>
                <w:rFonts w:cs="Times New Roman"/>
                <w:szCs w:val="24"/>
              </w:rPr>
            </w:pPr>
            <w:r w:rsidRPr="00D655A9">
              <w:rPr>
                <w:rFonts w:cs="Times New Roman"/>
                <w:szCs w:val="24"/>
              </w:rPr>
              <w:t>0%</w:t>
            </w:r>
          </w:p>
        </w:tc>
        <w:tc>
          <w:tcPr>
            <w:tcW w:w="2610" w:type="dxa"/>
            <w:tcBorders>
              <w:left w:val="nil"/>
              <w:right w:val="nil"/>
            </w:tcBorders>
            <w:noWrap/>
            <w:hideMark/>
          </w:tcPr>
          <w:p w14:paraId="2B9A1683" w14:textId="77777777" w:rsidR="00D655A9" w:rsidRPr="00D655A9" w:rsidRDefault="00D655A9" w:rsidP="00D655A9">
            <w:pPr>
              <w:jc w:val="center"/>
              <w:rPr>
                <w:rFonts w:cs="Times New Roman"/>
                <w:szCs w:val="24"/>
              </w:rPr>
            </w:pPr>
            <w:r w:rsidRPr="00D655A9">
              <w:rPr>
                <w:rFonts w:cs="Times New Roman"/>
                <w:szCs w:val="24"/>
              </w:rPr>
              <w:t>5.14%</w:t>
            </w:r>
          </w:p>
          <w:p w14:paraId="515E5E61" w14:textId="77777777" w:rsidR="00D655A9" w:rsidRPr="00D655A9" w:rsidRDefault="00D655A9" w:rsidP="00D655A9">
            <w:pPr>
              <w:jc w:val="center"/>
              <w:rPr>
                <w:rFonts w:cs="Times New Roman"/>
                <w:szCs w:val="24"/>
              </w:rPr>
            </w:pPr>
            <w:r w:rsidRPr="00D655A9">
              <w:rPr>
                <w:rFonts w:cs="Times New Roman"/>
                <w:szCs w:val="24"/>
              </w:rPr>
              <w:t>(160)</w:t>
            </w:r>
          </w:p>
        </w:tc>
        <w:tc>
          <w:tcPr>
            <w:tcW w:w="1160" w:type="dxa"/>
            <w:tcBorders>
              <w:left w:val="nil"/>
              <w:right w:val="nil"/>
            </w:tcBorders>
            <w:noWrap/>
            <w:hideMark/>
          </w:tcPr>
          <w:p w14:paraId="2C579152" w14:textId="77777777" w:rsidR="00D655A9" w:rsidRPr="00D655A9" w:rsidRDefault="00D655A9" w:rsidP="00D655A9">
            <w:pPr>
              <w:jc w:val="center"/>
              <w:rPr>
                <w:rFonts w:cs="Times New Roman"/>
                <w:szCs w:val="24"/>
              </w:rPr>
            </w:pPr>
            <w:r w:rsidRPr="00D655A9">
              <w:rPr>
                <w:rFonts w:cs="Times New Roman"/>
                <w:szCs w:val="24"/>
              </w:rPr>
              <w:t>46.55%</w:t>
            </w:r>
          </w:p>
          <w:p w14:paraId="366EC7B6" w14:textId="77777777" w:rsidR="00D655A9" w:rsidRPr="00D655A9" w:rsidRDefault="00D655A9" w:rsidP="00D655A9">
            <w:pPr>
              <w:jc w:val="center"/>
              <w:rPr>
                <w:rFonts w:cs="Times New Roman"/>
                <w:szCs w:val="24"/>
              </w:rPr>
            </w:pPr>
            <w:r w:rsidRPr="00D655A9">
              <w:rPr>
                <w:rFonts w:cs="Times New Roman"/>
                <w:szCs w:val="24"/>
              </w:rPr>
              <w:t>(1449)</w:t>
            </w:r>
          </w:p>
        </w:tc>
      </w:tr>
      <w:tr w:rsidR="00D655A9" w:rsidRPr="00D655A9" w14:paraId="4F9ABD17" w14:textId="77777777" w:rsidTr="009B3A57">
        <w:trPr>
          <w:trHeight w:val="288"/>
        </w:trPr>
        <w:tc>
          <w:tcPr>
            <w:tcW w:w="2345" w:type="dxa"/>
            <w:tcBorders>
              <w:left w:val="nil"/>
              <w:right w:val="nil"/>
            </w:tcBorders>
            <w:noWrap/>
            <w:hideMark/>
          </w:tcPr>
          <w:p w14:paraId="6D40FF4B" w14:textId="77777777" w:rsidR="00D655A9" w:rsidRPr="00D655A9" w:rsidRDefault="00D655A9" w:rsidP="00D655A9">
            <w:pPr>
              <w:rPr>
                <w:rFonts w:cs="Times New Roman"/>
                <w:szCs w:val="24"/>
              </w:rPr>
            </w:pPr>
            <w:r w:rsidRPr="00D655A9">
              <w:rPr>
                <w:rFonts w:cs="Times New Roman"/>
                <w:szCs w:val="24"/>
              </w:rPr>
              <w:t>No Excuse-Needed to Applications Sent</w:t>
            </w:r>
          </w:p>
        </w:tc>
        <w:tc>
          <w:tcPr>
            <w:tcW w:w="2155" w:type="dxa"/>
            <w:tcBorders>
              <w:left w:val="nil"/>
              <w:right w:val="nil"/>
            </w:tcBorders>
            <w:noWrap/>
            <w:hideMark/>
          </w:tcPr>
          <w:p w14:paraId="718ECE9D" w14:textId="77777777" w:rsidR="00D655A9" w:rsidRPr="00D655A9" w:rsidRDefault="00D655A9" w:rsidP="00D655A9">
            <w:pPr>
              <w:jc w:val="center"/>
              <w:rPr>
                <w:rFonts w:cs="Times New Roman"/>
                <w:szCs w:val="24"/>
              </w:rPr>
            </w:pPr>
            <w:r w:rsidRPr="00D655A9">
              <w:rPr>
                <w:rFonts w:cs="Times New Roman"/>
                <w:szCs w:val="24"/>
              </w:rPr>
              <w:t>0%</w:t>
            </w:r>
          </w:p>
        </w:tc>
        <w:tc>
          <w:tcPr>
            <w:tcW w:w="2160" w:type="dxa"/>
            <w:tcBorders>
              <w:left w:val="nil"/>
              <w:right w:val="nil"/>
            </w:tcBorders>
            <w:noWrap/>
            <w:hideMark/>
          </w:tcPr>
          <w:p w14:paraId="0E994C4F" w14:textId="77777777" w:rsidR="00D655A9" w:rsidRPr="00D655A9" w:rsidRDefault="00D655A9" w:rsidP="00D655A9">
            <w:pPr>
              <w:jc w:val="center"/>
              <w:rPr>
                <w:rFonts w:cs="Times New Roman"/>
                <w:szCs w:val="24"/>
              </w:rPr>
            </w:pPr>
            <w:r w:rsidRPr="00D655A9">
              <w:rPr>
                <w:rFonts w:cs="Times New Roman"/>
                <w:szCs w:val="24"/>
              </w:rPr>
              <w:t>0%</w:t>
            </w:r>
          </w:p>
        </w:tc>
        <w:tc>
          <w:tcPr>
            <w:tcW w:w="3150" w:type="dxa"/>
            <w:tcBorders>
              <w:left w:val="nil"/>
              <w:right w:val="nil"/>
            </w:tcBorders>
            <w:noWrap/>
            <w:hideMark/>
          </w:tcPr>
          <w:p w14:paraId="2A111C23" w14:textId="77777777" w:rsidR="00D655A9" w:rsidRPr="00D655A9" w:rsidRDefault="00D655A9" w:rsidP="00D655A9">
            <w:pPr>
              <w:jc w:val="center"/>
              <w:rPr>
                <w:rFonts w:cs="Times New Roman"/>
                <w:szCs w:val="24"/>
              </w:rPr>
            </w:pPr>
            <w:r w:rsidRPr="00D655A9">
              <w:rPr>
                <w:rFonts w:cs="Times New Roman"/>
                <w:szCs w:val="24"/>
              </w:rPr>
              <w:t>20.30%</w:t>
            </w:r>
          </w:p>
          <w:p w14:paraId="6D712F59" w14:textId="77777777" w:rsidR="00D655A9" w:rsidRPr="00D655A9" w:rsidRDefault="00D655A9" w:rsidP="00D655A9">
            <w:pPr>
              <w:jc w:val="center"/>
              <w:rPr>
                <w:rFonts w:cs="Times New Roman"/>
                <w:szCs w:val="24"/>
              </w:rPr>
            </w:pPr>
            <w:r w:rsidRPr="00D655A9">
              <w:rPr>
                <w:rFonts w:cs="Times New Roman"/>
                <w:szCs w:val="24"/>
              </w:rPr>
              <w:t>(632)</w:t>
            </w:r>
          </w:p>
        </w:tc>
        <w:tc>
          <w:tcPr>
            <w:tcW w:w="2610" w:type="dxa"/>
            <w:tcBorders>
              <w:left w:val="nil"/>
              <w:right w:val="nil"/>
            </w:tcBorders>
            <w:noWrap/>
            <w:hideMark/>
          </w:tcPr>
          <w:p w14:paraId="2A3251DC" w14:textId="77777777" w:rsidR="00D655A9" w:rsidRPr="00D655A9" w:rsidRDefault="00D655A9" w:rsidP="00D655A9">
            <w:pPr>
              <w:jc w:val="center"/>
              <w:rPr>
                <w:rFonts w:cs="Times New Roman"/>
                <w:szCs w:val="24"/>
              </w:rPr>
            </w:pPr>
            <w:r w:rsidRPr="00D655A9">
              <w:rPr>
                <w:rFonts w:cs="Times New Roman"/>
                <w:szCs w:val="24"/>
              </w:rPr>
              <w:t>0%</w:t>
            </w:r>
          </w:p>
        </w:tc>
        <w:tc>
          <w:tcPr>
            <w:tcW w:w="1160" w:type="dxa"/>
            <w:tcBorders>
              <w:left w:val="nil"/>
              <w:right w:val="nil"/>
            </w:tcBorders>
            <w:noWrap/>
            <w:hideMark/>
          </w:tcPr>
          <w:p w14:paraId="677B2762" w14:textId="77777777" w:rsidR="00D655A9" w:rsidRPr="00D655A9" w:rsidRDefault="00D655A9" w:rsidP="00D655A9">
            <w:pPr>
              <w:jc w:val="center"/>
              <w:rPr>
                <w:rFonts w:cs="Times New Roman"/>
                <w:szCs w:val="24"/>
              </w:rPr>
            </w:pPr>
            <w:r w:rsidRPr="00D655A9">
              <w:rPr>
                <w:rFonts w:cs="Times New Roman"/>
                <w:szCs w:val="24"/>
              </w:rPr>
              <w:t>20.30%</w:t>
            </w:r>
          </w:p>
          <w:p w14:paraId="7AA2B8DC" w14:textId="77777777" w:rsidR="00D655A9" w:rsidRPr="00D655A9" w:rsidRDefault="00D655A9" w:rsidP="00D655A9">
            <w:pPr>
              <w:jc w:val="center"/>
              <w:rPr>
                <w:rFonts w:cs="Times New Roman"/>
                <w:szCs w:val="24"/>
              </w:rPr>
            </w:pPr>
            <w:r w:rsidRPr="00D655A9">
              <w:rPr>
                <w:rFonts w:cs="Times New Roman"/>
                <w:szCs w:val="24"/>
              </w:rPr>
              <w:t>(632)</w:t>
            </w:r>
          </w:p>
        </w:tc>
      </w:tr>
      <w:tr w:rsidR="00D655A9" w:rsidRPr="00D655A9" w14:paraId="293D498D" w14:textId="77777777" w:rsidTr="009B3A57">
        <w:trPr>
          <w:trHeight w:val="288"/>
        </w:trPr>
        <w:tc>
          <w:tcPr>
            <w:tcW w:w="2345" w:type="dxa"/>
            <w:tcBorders>
              <w:left w:val="nil"/>
              <w:right w:val="nil"/>
            </w:tcBorders>
            <w:noWrap/>
            <w:hideMark/>
          </w:tcPr>
          <w:p w14:paraId="7E550E38" w14:textId="77777777" w:rsidR="00D655A9" w:rsidRPr="00D655A9" w:rsidRDefault="00D655A9" w:rsidP="00D655A9">
            <w:pPr>
              <w:rPr>
                <w:rFonts w:cs="Times New Roman"/>
                <w:szCs w:val="24"/>
              </w:rPr>
            </w:pPr>
            <w:r w:rsidRPr="00D655A9">
              <w:rPr>
                <w:rFonts w:cs="Times New Roman"/>
                <w:szCs w:val="24"/>
              </w:rPr>
              <w:t>No Excuse-Needed to Ballot Sent</w:t>
            </w:r>
          </w:p>
        </w:tc>
        <w:tc>
          <w:tcPr>
            <w:tcW w:w="2155" w:type="dxa"/>
            <w:tcBorders>
              <w:left w:val="nil"/>
              <w:right w:val="nil"/>
            </w:tcBorders>
            <w:noWrap/>
            <w:hideMark/>
          </w:tcPr>
          <w:p w14:paraId="200F65A5" w14:textId="77777777" w:rsidR="00D655A9" w:rsidRPr="00D655A9" w:rsidRDefault="00D655A9" w:rsidP="00D655A9">
            <w:pPr>
              <w:jc w:val="center"/>
              <w:rPr>
                <w:rFonts w:cs="Times New Roman"/>
                <w:szCs w:val="24"/>
              </w:rPr>
            </w:pPr>
            <w:r w:rsidRPr="00D655A9">
              <w:rPr>
                <w:rFonts w:cs="Times New Roman"/>
                <w:szCs w:val="24"/>
              </w:rPr>
              <w:t>0%</w:t>
            </w:r>
          </w:p>
        </w:tc>
        <w:tc>
          <w:tcPr>
            <w:tcW w:w="2160" w:type="dxa"/>
            <w:tcBorders>
              <w:left w:val="nil"/>
              <w:right w:val="nil"/>
            </w:tcBorders>
            <w:noWrap/>
            <w:hideMark/>
          </w:tcPr>
          <w:p w14:paraId="09BB229E" w14:textId="77777777" w:rsidR="00D655A9" w:rsidRPr="00D655A9" w:rsidRDefault="00D655A9" w:rsidP="00D655A9">
            <w:pPr>
              <w:jc w:val="center"/>
              <w:rPr>
                <w:rFonts w:cs="Times New Roman"/>
                <w:szCs w:val="24"/>
              </w:rPr>
            </w:pPr>
            <w:r w:rsidRPr="00D655A9">
              <w:rPr>
                <w:rFonts w:cs="Times New Roman"/>
                <w:szCs w:val="24"/>
              </w:rPr>
              <w:t>0%</w:t>
            </w:r>
          </w:p>
        </w:tc>
        <w:tc>
          <w:tcPr>
            <w:tcW w:w="3150" w:type="dxa"/>
            <w:tcBorders>
              <w:left w:val="nil"/>
              <w:right w:val="nil"/>
            </w:tcBorders>
            <w:noWrap/>
            <w:hideMark/>
          </w:tcPr>
          <w:p w14:paraId="6B2BB94C" w14:textId="77777777" w:rsidR="00D655A9" w:rsidRPr="00D655A9" w:rsidRDefault="00D655A9" w:rsidP="00D655A9">
            <w:pPr>
              <w:jc w:val="center"/>
              <w:rPr>
                <w:rFonts w:cs="Times New Roman"/>
                <w:szCs w:val="24"/>
              </w:rPr>
            </w:pPr>
            <w:r w:rsidRPr="00D655A9">
              <w:rPr>
                <w:rFonts w:cs="Times New Roman"/>
                <w:szCs w:val="24"/>
              </w:rPr>
              <w:t>0%</w:t>
            </w:r>
          </w:p>
        </w:tc>
        <w:tc>
          <w:tcPr>
            <w:tcW w:w="2610" w:type="dxa"/>
            <w:tcBorders>
              <w:left w:val="nil"/>
              <w:right w:val="nil"/>
            </w:tcBorders>
            <w:noWrap/>
            <w:hideMark/>
          </w:tcPr>
          <w:p w14:paraId="077097C4" w14:textId="77777777" w:rsidR="00D655A9" w:rsidRPr="00D655A9" w:rsidRDefault="00D655A9" w:rsidP="00D655A9">
            <w:pPr>
              <w:jc w:val="center"/>
              <w:rPr>
                <w:rFonts w:cs="Times New Roman"/>
                <w:szCs w:val="24"/>
              </w:rPr>
            </w:pPr>
            <w:r w:rsidRPr="00D655A9">
              <w:rPr>
                <w:rFonts w:cs="Times New Roman"/>
                <w:szCs w:val="24"/>
              </w:rPr>
              <w:t>5.43%</w:t>
            </w:r>
          </w:p>
          <w:p w14:paraId="057AF720" w14:textId="77777777" w:rsidR="00D655A9" w:rsidRPr="00D655A9" w:rsidRDefault="00D655A9" w:rsidP="00D655A9">
            <w:pPr>
              <w:jc w:val="center"/>
              <w:rPr>
                <w:rFonts w:cs="Times New Roman"/>
                <w:szCs w:val="24"/>
              </w:rPr>
            </w:pPr>
            <w:r w:rsidRPr="00D655A9">
              <w:rPr>
                <w:rFonts w:cs="Times New Roman"/>
                <w:szCs w:val="24"/>
              </w:rPr>
              <w:t>(169)</w:t>
            </w:r>
          </w:p>
        </w:tc>
        <w:tc>
          <w:tcPr>
            <w:tcW w:w="1160" w:type="dxa"/>
            <w:tcBorders>
              <w:left w:val="nil"/>
              <w:right w:val="nil"/>
            </w:tcBorders>
            <w:noWrap/>
            <w:hideMark/>
          </w:tcPr>
          <w:p w14:paraId="59672D96" w14:textId="77777777" w:rsidR="00D655A9" w:rsidRPr="00D655A9" w:rsidRDefault="00D655A9" w:rsidP="00D655A9">
            <w:pPr>
              <w:jc w:val="center"/>
              <w:rPr>
                <w:rFonts w:cs="Times New Roman"/>
                <w:szCs w:val="24"/>
              </w:rPr>
            </w:pPr>
            <w:r w:rsidRPr="00D655A9">
              <w:rPr>
                <w:rFonts w:cs="Times New Roman"/>
                <w:szCs w:val="24"/>
              </w:rPr>
              <w:t>5.43%</w:t>
            </w:r>
          </w:p>
          <w:p w14:paraId="664CBEB6" w14:textId="77777777" w:rsidR="00D655A9" w:rsidRPr="00D655A9" w:rsidRDefault="00D655A9" w:rsidP="00D655A9">
            <w:pPr>
              <w:jc w:val="center"/>
              <w:rPr>
                <w:rFonts w:cs="Times New Roman"/>
                <w:szCs w:val="24"/>
              </w:rPr>
            </w:pPr>
            <w:r w:rsidRPr="00D655A9">
              <w:rPr>
                <w:rFonts w:cs="Times New Roman"/>
                <w:szCs w:val="24"/>
              </w:rPr>
              <w:t>(169)</w:t>
            </w:r>
          </w:p>
        </w:tc>
      </w:tr>
      <w:tr w:rsidR="00D655A9" w:rsidRPr="00D655A9" w14:paraId="4E9EBB20" w14:textId="77777777" w:rsidTr="009B3A57">
        <w:trPr>
          <w:trHeight w:val="288"/>
        </w:trPr>
        <w:tc>
          <w:tcPr>
            <w:tcW w:w="2345" w:type="dxa"/>
            <w:tcBorders>
              <w:left w:val="nil"/>
              <w:right w:val="nil"/>
            </w:tcBorders>
            <w:noWrap/>
            <w:hideMark/>
          </w:tcPr>
          <w:p w14:paraId="2F3B5C3F" w14:textId="77777777" w:rsidR="00D655A9" w:rsidRPr="00D655A9" w:rsidRDefault="00D655A9" w:rsidP="00D655A9">
            <w:pPr>
              <w:rPr>
                <w:rFonts w:cs="Times New Roman"/>
                <w:szCs w:val="24"/>
              </w:rPr>
            </w:pPr>
            <w:r w:rsidRPr="00D655A9">
              <w:rPr>
                <w:rFonts w:cs="Times New Roman"/>
                <w:szCs w:val="24"/>
              </w:rPr>
              <w:t>Excuse-Needed to Applications Sent</w:t>
            </w:r>
          </w:p>
        </w:tc>
        <w:tc>
          <w:tcPr>
            <w:tcW w:w="2155" w:type="dxa"/>
            <w:tcBorders>
              <w:left w:val="nil"/>
              <w:right w:val="nil"/>
            </w:tcBorders>
            <w:noWrap/>
            <w:hideMark/>
          </w:tcPr>
          <w:p w14:paraId="134EB54E" w14:textId="77777777" w:rsidR="00D655A9" w:rsidRPr="00D655A9" w:rsidRDefault="00D655A9" w:rsidP="00D655A9">
            <w:pPr>
              <w:jc w:val="center"/>
              <w:rPr>
                <w:rFonts w:cs="Times New Roman"/>
                <w:szCs w:val="24"/>
              </w:rPr>
            </w:pPr>
            <w:r w:rsidRPr="00D655A9">
              <w:rPr>
                <w:rFonts w:cs="Times New Roman"/>
                <w:szCs w:val="24"/>
              </w:rPr>
              <w:t>0%</w:t>
            </w:r>
          </w:p>
        </w:tc>
        <w:tc>
          <w:tcPr>
            <w:tcW w:w="2160" w:type="dxa"/>
            <w:tcBorders>
              <w:left w:val="nil"/>
              <w:right w:val="nil"/>
            </w:tcBorders>
            <w:noWrap/>
            <w:hideMark/>
          </w:tcPr>
          <w:p w14:paraId="4D8E31B3" w14:textId="77777777" w:rsidR="00D655A9" w:rsidRPr="00D655A9" w:rsidRDefault="00D655A9" w:rsidP="00D655A9">
            <w:pPr>
              <w:jc w:val="center"/>
              <w:rPr>
                <w:rFonts w:cs="Times New Roman"/>
                <w:szCs w:val="24"/>
              </w:rPr>
            </w:pPr>
            <w:r w:rsidRPr="00D655A9">
              <w:rPr>
                <w:rFonts w:cs="Times New Roman"/>
                <w:szCs w:val="24"/>
              </w:rPr>
              <w:t>0%</w:t>
            </w:r>
          </w:p>
        </w:tc>
        <w:tc>
          <w:tcPr>
            <w:tcW w:w="3150" w:type="dxa"/>
            <w:tcBorders>
              <w:left w:val="nil"/>
              <w:right w:val="nil"/>
            </w:tcBorders>
            <w:noWrap/>
            <w:hideMark/>
          </w:tcPr>
          <w:p w14:paraId="63157AFD" w14:textId="77777777" w:rsidR="00D655A9" w:rsidRPr="00D655A9" w:rsidRDefault="00D655A9" w:rsidP="00D655A9">
            <w:pPr>
              <w:jc w:val="center"/>
              <w:rPr>
                <w:rFonts w:cs="Times New Roman"/>
                <w:szCs w:val="24"/>
              </w:rPr>
            </w:pPr>
            <w:r w:rsidRPr="00D655A9">
              <w:rPr>
                <w:rFonts w:cs="Times New Roman"/>
                <w:szCs w:val="24"/>
              </w:rPr>
              <w:t>3.69%</w:t>
            </w:r>
          </w:p>
          <w:p w14:paraId="4A1C2961" w14:textId="77777777" w:rsidR="00D655A9" w:rsidRPr="00D655A9" w:rsidRDefault="00D655A9" w:rsidP="00D655A9">
            <w:pPr>
              <w:jc w:val="center"/>
              <w:rPr>
                <w:rFonts w:cs="Times New Roman"/>
                <w:szCs w:val="24"/>
              </w:rPr>
            </w:pPr>
            <w:r w:rsidRPr="00D655A9">
              <w:rPr>
                <w:rFonts w:cs="Times New Roman"/>
                <w:szCs w:val="24"/>
              </w:rPr>
              <w:t>(115)</w:t>
            </w:r>
          </w:p>
        </w:tc>
        <w:tc>
          <w:tcPr>
            <w:tcW w:w="2610" w:type="dxa"/>
            <w:tcBorders>
              <w:left w:val="nil"/>
              <w:right w:val="nil"/>
            </w:tcBorders>
            <w:noWrap/>
            <w:hideMark/>
          </w:tcPr>
          <w:p w14:paraId="356C568A" w14:textId="77777777" w:rsidR="00D655A9" w:rsidRPr="00D655A9" w:rsidRDefault="00D655A9" w:rsidP="00D655A9">
            <w:pPr>
              <w:jc w:val="center"/>
              <w:rPr>
                <w:rFonts w:cs="Times New Roman"/>
                <w:szCs w:val="24"/>
              </w:rPr>
            </w:pPr>
            <w:r w:rsidRPr="00D655A9">
              <w:rPr>
                <w:rFonts w:cs="Times New Roman"/>
                <w:szCs w:val="24"/>
              </w:rPr>
              <w:t>0%</w:t>
            </w:r>
          </w:p>
        </w:tc>
        <w:tc>
          <w:tcPr>
            <w:tcW w:w="1160" w:type="dxa"/>
            <w:tcBorders>
              <w:left w:val="nil"/>
              <w:right w:val="nil"/>
            </w:tcBorders>
            <w:noWrap/>
            <w:hideMark/>
          </w:tcPr>
          <w:p w14:paraId="1840BFFB" w14:textId="77777777" w:rsidR="00D655A9" w:rsidRPr="00D655A9" w:rsidRDefault="00D655A9" w:rsidP="00D655A9">
            <w:pPr>
              <w:jc w:val="center"/>
              <w:rPr>
                <w:rFonts w:cs="Times New Roman"/>
                <w:szCs w:val="24"/>
              </w:rPr>
            </w:pPr>
            <w:r w:rsidRPr="00D655A9">
              <w:rPr>
                <w:rFonts w:cs="Times New Roman"/>
                <w:szCs w:val="24"/>
              </w:rPr>
              <w:t>3.69%</w:t>
            </w:r>
          </w:p>
          <w:p w14:paraId="0711BD7B" w14:textId="77777777" w:rsidR="00D655A9" w:rsidRPr="00D655A9" w:rsidRDefault="00D655A9" w:rsidP="00D655A9">
            <w:pPr>
              <w:jc w:val="center"/>
              <w:rPr>
                <w:rFonts w:cs="Times New Roman"/>
                <w:szCs w:val="24"/>
              </w:rPr>
            </w:pPr>
            <w:r w:rsidRPr="00D655A9">
              <w:rPr>
                <w:rFonts w:cs="Times New Roman"/>
                <w:szCs w:val="24"/>
              </w:rPr>
              <w:t>(115)</w:t>
            </w:r>
          </w:p>
        </w:tc>
      </w:tr>
      <w:tr w:rsidR="00D655A9" w:rsidRPr="00D655A9" w14:paraId="3273182D" w14:textId="77777777" w:rsidTr="009B3A57">
        <w:trPr>
          <w:trHeight w:val="288"/>
        </w:trPr>
        <w:tc>
          <w:tcPr>
            <w:tcW w:w="2345" w:type="dxa"/>
            <w:tcBorders>
              <w:left w:val="nil"/>
              <w:right w:val="nil"/>
            </w:tcBorders>
            <w:noWrap/>
            <w:hideMark/>
          </w:tcPr>
          <w:p w14:paraId="3A7D913E" w14:textId="77777777" w:rsidR="00D655A9" w:rsidRPr="00D655A9" w:rsidRDefault="00D655A9" w:rsidP="00D655A9">
            <w:pPr>
              <w:rPr>
                <w:rFonts w:cs="Times New Roman"/>
                <w:szCs w:val="24"/>
              </w:rPr>
            </w:pPr>
            <w:r w:rsidRPr="00D655A9">
              <w:rPr>
                <w:rFonts w:cs="Times New Roman"/>
                <w:szCs w:val="24"/>
              </w:rPr>
              <w:t>Excuse-Needed to No Excuse-Needed</w:t>
            </w:r>
          </w:p>
        </w:tc>
        <w:tc>
          <w:tcPr>
            <w:tcW w:w="2155" w:type="dxa"/>
            <w:tcBorders>
              <w:left w:val="nil"/>
              <w:right w:val="nil"/>
            </w:tcBorders>
            <w:noWrap/>
            <w:hideMark/>
          </w:tcPr>
          <w:p w14:paraId="7E39D076" w14:textId="77777777" w:rsidR="00D655A9" w:rsidRPr="00D655A9" w:rsidRDefault="00D655A9" w:rsidP="00D655A9">
            <w:pPr>
              <w:jc w:val="center"/>
              <w:rPr>
                <w:rFonts w:cs="Times New Roman"/>
                <w:szCs w:val="24"/>
              </w:rPr>
            </w:pPr>
            <w:r w:rsidRPr="00D655A9">
              <w:rPr>
                <w:rFonts w:cs="Times New Roman"/>
                <w:szCs w:val="24"/>
              </w:rPr>
              <w:t>0%</w:t>
            </w:r>
          </w:p>
        </w:tc>
        <w:tc>
          <w:tcPr>
            <w:tcW w:w="2160" w:type="dxa"/>
            <w:tcBorders>
              <w:left w:val="nil"/>
              <w:right w:val="nil"/>
            </w:tcBorders>
            <w:noWrap/>
            <w:hideMark/>
          </w:tcPr>
          <w:p w14:paraId="0AFF3003" w14:textId="77777777" w:rsidR="00D655A9" w:rsidRPr="00D655A9" w:rsidRDefault="00D655A9" w:rsidP="00D655A9">
            <w:pPr>
              <w:jc w:val="center"/>
              <w:rPr>
                <w:rFonts w:cs="Times New Roman"/>
                <w:szCs w:val="24"/>
              </w:rPr>
            </w:pPr>
            <w:r w:rsidRPr="00D655A9">
              <w:rPr>
                <w:rFonts w:cs="Times New Roman"/>
                <w:szCs w:val="24"/>
              </w:rPr>
              <w:t>24.03%</w:t>
            </w:r>
          </w:p>
          <w:p w14:paraId="7AE1A15A" w14:textId="77777777" w:rsidR="00D655A9" w:rsidRPr="00D655A9" w:rsidRDefault="00D655A9" w:rsidP="00D655A9">
            <w:pPr>
              <w:jc w:val="center"/>
              <w:rPr>
                <w:rFonts w:cs="Times New Roman"/>
                <w:szCs w:val="24"/>
              </w:rPr>
            </w:pPr>
            <w:r w:rsidRPr="00D655A9">
              <w:rPr>
                <w:rFonts w:cs="Times New Roman"/>
                <w:szCs w:val="24"/>
              </w:rPr>
              <w:t>(748)</w:t>
            </w:r>
          </w:p>
        </w:tc>
        <w:tc>
          <w:tcPr>
            <w:tcW w:w="3150" w:type="dxa"/>
            <w:tcBorders>
              <w:left w:val="nil"/>
              <w:right w:val="nil"/>
            </w:tcBorders>
            <w:noWrap/>
            <w:hideMark/>
          </w:tcPr>
          <w:p w14:paraId="3CF7F7BA" w14:textId="77777777" w:rsidR="00D655A9" w:rsidRPr="00D655A9" w:rsidRDefault="00D655A9" w:rsidP="00D655A9">
            <w:pPr>
              <w:jc w:val="center"/>
              <w:rPr>
                <w:rFonts w:cs="Times New Roman"/>
                <w:szCs w:val="24"/>
              </w:rPr>
            </w:pPr>
            <w:r w:rsidRPr="00D655A9">
              <w:rPr>
                <w:rFonts w:cs="Times New Roman"/>
                <w:szCs w:val="24"/>
              </w:rPr>
              <w:t>0%</w:t>
            </w:r>
          </w:p>
        </w:tc>
        <w:tc>
          <w:tcPr>
            <w:tcW w:w="2610" w:type="dxa"/>
            <w:tcBorders>
              <w:left w:val="nil"/>
              <w:right w:val="nil"/>
            </w:tcBorders>
            <w:noWrap/>
            <w:hideMark/>
          </w:tcPr>
          <w:p w14:paraId="0FE76221" w14:textId="77777777" w:rsidR="00D655A9" w:rsidRPr="00D655A9" w:rsidRDefault="00D655A9" w:rsidP="00D655A9">
            <w:pPr>
              <w:jc w:val="center"/>
              <w:rPr>
                <w:rFonts w:cs="Times New Roman"/>
                <w:szCs w:val="24"/>
              </w:rPr>
            </w:pPr>
            <w:r w:rsidRPr="00D655A9">
              <w:rPr>
                <w:rFonts w:cs="Times New Roman"/>
                <w:szCs w:val="24"/>
              </w:rPr>
              <w:t>0%</w:t>
            </w:r>
          </w:p>
        </w:tc>
        <w:tc>
          <w:tcPr>
            <w:tcW w:w="1160" w:type="dxa"/>
            <w:tcBorders>
              <w:left w:val="nil"/>
              <w:right w:val="nil"/>
            </w:tcBorders>
            <w:noWrap/>
            <w:hideMark/>
          </w:tcPr>
          <w:p w14:paraId="3AAC515F" w14:textId="77777777" w:rsidR="00D655A9" w:rsidRPr="00D655A9" w:rsidRDefault="00D655A9" w:rsidP="00D655A9">
            <w:pPr>
              <w:jc w:val="center"/>
              <w:rPr>
                <w:rFonts w:cs="Times New Roman"/>
                <w:szCs w:val="24"/>
              </w:rPr>
            </w:pPr>
            <w:r w:rsidRPr="00D655A9">
              <w:rPr>
                <w:rFonts w:cs="Times New Roman"/>
                <w:szCs w:val="24"/>
              </w:rPr>
              <w:t>24.03%</w:t>
            </w:r>
          </w:p>
          <w:p w14:paraId="7FBA8AFD" w14:textId="77777777" w:rsidR="00D655A9" w:rsidRPr="00D655A9" w:rsidRDefault="00D655A9" w:rsidP="00D655A9">
            <w:pPr>
              <w:jc w:val="center"/>
              <w:rPr>
                <w:rFonts w:cs="Times New Roman"/>
                <w:szCs w:val="24"/>
              </w:rPr>
            </w:pPr>
            <w:r w:rsidRPr="00D655A9">
              <w:rPr>
                <w:rFonts w:cs="Times New Roman"/>
                <w:szCs w:val="24"/>
              </w:rPr>
              <w:t>(748)</w:t>
            </w:r>
          </w:p>
        </w:tc>
      </w:tr>
      <w:tr w:rsidR="00D655A9" w:rsidRPr="00D655A9" w14:paraId="2D4F0F5E" w14:textId="77777777" w:rsidTr="009B3A57">
        <w:trPr>
          <w:trHeight w:val="288"/>
        </w:trPr>
        <w:tc>
          <w:tcPr>
            <w:tcW w:w="2345" w:type="dxa"/>
            <w:tcBorders>
              <w:left w:val="nil"/>
              <w:bottom w:val="single" w:sz="4" w:space="0" w:color="auto"/>
              <w:right w:val="nil"/>
            </w:tcBorders>
            <w:noWrap/>
            <w:hideMark/>
          </w:tcPr>
          <w:p w14:paraId="04735164" w14:textId="77777777" w:rsidR="00D655A9" w:rsidRPr="00D655A9" w:rsidRDefault="00D655A9" w:rsidP="00D655A9">
            <w:pPr>
              <w:rPr>
                <w:rFonts w:cs="Times New Roman"/>
                <w:szCs w:val="24"/>
              </w:rPr>
            </w:pPr>
            <w:r w:rsidRPr="00D655A9">
              <w:rPr>
                <w:rFonts w:cs="Times New Roman"/>
                <w:szCs w:val="24"/>
              </w:rPr>
              <w:t>Total</w:t>
            </w:r>
          </w:p>
        </w:tc>
        <w:tc>
          <w:tcPr>
            <w:tcW w:w="2155" w:type="dxa"/>
            <w:tcBorders>
              <w:left w:val="nil"/>
              <w:right w:val="nil"/>
            </w:tcBorders>
            <w:noWrap/>
            <w:hideMark/>
          </w:tcPr>
          <w:p w14:paraId="5706110A" w14:textId="77777777" w:rsidR="00D655A9" w:rsidRPr="00D655A9" w:rsidRDefault="00D655A9" w:rsidP="00D655A9">
            <w:pPr>
              <w:jc w:val="center"/>
              <w:rPr>
                <w:rFonts w:cs="Times New Roman"/>
                <w:szCs w:val="24"/>
              </w:rPr>
            </w:pPr>
            <w:r w:rsidRPr="00D655A9">
              <w:rPr>
                <w:rFonts w:cs="Times New Roman"/>
                <w:szCs w:val="24"/>
              </w:rPr>
              <w:t>18.86%</w:t>
            </w:r>
          </w:p>
          <w:p w14:paraId="1EC890D0" w14:textId="77777777" w:rsidR="00D655A9" w:rsidRPr="00D655A9" w:rsidRDefault="00D655A9" w:rsidP="00D655A9">
            <w:pPr>
              <w:jc w:val="center"/>
              <w:rPr>
                <w:rFonts w:cs="Times New Roman"/>
                <w:szCs w:val="24"/>
              </w:rPr>
            </w:pPr>
            <w:r w:rsidRPr="00D655A9">
              <w:rPr>
                <w:rFonts w:cs="Times New Roman"/>
                <w:szCs w:val="24"/>
              </w:rPr>
              <w:t>(587)</w:t>
            </w:r>
          </w:p>
        </w:tc>
        <w:tc>
          <w:tcPr>
            <w:tcW w:w="2160" w:type="dxa"/>
            <w:tcBorders>
              <w:left w:val="nil"/>
              <w:right w:val="nil"/>
            </w:tcBorders>
            <w:noWrap/>
            <w:hideMark/>
          </w:tcPr>
          <w:p w14:paraId="0F684FC9" w14:textId="77777777" w:rsidR="00D655A9" w:rsidRPr="00D655A9" w:rsidRDefault="00D655A9" w:rsidP="00D655A9">
            <w:pPr>
              <w:jc w:val="center"/>
              <w:rPr>
                <w:rFonts w:cs="Times New Roman"/>
                <w:szCs w:val="24"/>
              </w:rPr>
            </w:pPr>
            <w:r w:rsidRPr="00D655A9">
              <w:rPr>
                <w:rFonts w:cs="Times New Roman"/>
                <w:szCs w:val="24"/>
              </w:rPr>
              <w:t>46.58%</w:t>
            </w:r>
          </w:p>
          <w:p w14:paraId="2FC98BCA" w14:textId="77777777" w:rsidR="00D655A9" w:rsidRPr="00D655A9" w:rsidRDefault="00D655A9" w:rsidP="00D655A9">
            <w:pPr>
              <w:jc w:val="center"/>
              <w:rPr>
                <w:rFonts w:cs="Times New Roman"/>
                <w:szCs w:val="24"/>
              </w:rPr>
            </w:pPr>
            <w:r w:rsidRPr="00D655A9">
              <w:rPr>
                <w:rFonts w:cs="Times New Roman"/>
                <w:szCs w:val="24"/>
              </w:rPr>
              <w:t>(1450)</w:t>
            </w:r>
          </w:p>
        </w:tc>
        <w:tc>
          <w:tcPr>
            <w:tcW w:w="3150" w:type="dxa"/>
            <w:tcBorders>
              <w:left w:val="nil"/>
              <w:right w:val="nil"/>
            </w:tcBorders>
            <w:noWrap/>
            <w:hideMark/>
          </w:tcPr>
          <w:p w14:paraId="62049FF2" w14:textId="77777777" w:rsidR="00D655A9" w:rsidRPr="00D655A9" w:rsidRDefault="00D655A9" w:rsidP="00D655A9">
            <w:pPr>
              <w:jc w:val="center"/>
              <w:rPr>
                <w:rFonts w:cs="Times New Roman"/>
                <w:szCs w:val="24"/>
              </w:rPr>
            </w:pPr>
            <w:r w:rsidRPr="00D655A9">
              <w:rPr>
                <w:rFonts w:cs="Times New Roman"/>
                <w:szCs w:val="24"/>
              </w:rPr>
              <w:t>24.00%</w:t>
            </w:r>
          </w:p>
          <w:p w14:paraId="6678DF67" w14:textId="77777777" w:rsidR="00D655A9" w:rsidRPr="00D655A9" w:rsidRDefault="00D655A9" w:rsidP="00D655A9">
            <w:pPr>
              <w:jc w:val="center"/>
              <w:rPr>
                <w:rFonts w:cs="Times New Roman"/>
                <w:szCs w:val="24"/>
              </w:rPr>
            </w:pPr>
            <w:r w:rsidRPr="00D655A9">
              <w:rPr>
                <w:rFonts w:cs="Times New Roman"/>
                <w:szCs w:val="24"/>
              </w:rPr>
              <w:t>(747)</w:t>
            </w:r>
          </w:p>
        </w:tc>
        <w:tc>
          <w:tcPr>
            <w:tcW w:w="2610" w:type="dxa"/>
            <w:tcBorders>
              <w:left w:val="nil"/>
              <w:right w:val="nil"/>
            </w:tcBorders>
            <w:noWrap/>
            <w:hideMark/>
          </w:tcPr>
          <w:p w14:paraId="461F601D" w14:textId="77777777" w:rsidR="00D655A9" w:rsidRPr="00D655A9" w:rsidRDefault="00D655A9" w:rsidP="00D655A9">
            <w:pPr>
              <w:jc w:val="center"/>
              <w:rPr>
                <w:rFonts w:cs="Times New Roman"/>
                <w:szCs w:val="24"/>
              </w:rPr>
            </w:pPr>
            <w:r w:rsidRPr="00D655A9">
              <w:rPr>
                <w:rFonts w:cs="Times New Roman"/>
                <w:szCs w:val="24"/>
              </w:rPr>
              <w:t>10.57%</w:t>
            </w:r>
          </w:p>
          <w:p w14:paraId="3CB70F61" w14:textId="77777777" w:rsidR="00D655A9" w:rsidRPr="00D655A9" w:rsidRDefault="00D655A9" w:rsidP="00D655A9">
            <w:pPr>
              <w:jc w:val="center"/>
              <w:rPr>
                <w:rFonts w:cs="Times New Roman"/>
                <w:szCs w:val="24"/>
              </w:rPr>
            </w:pPr>
            <w:r w:rsidRPr="00D655A9">
              <w:rPr>
                <w:rFonts w:cs="Times New Roman"/>
                <w:szCs w:val="24"/>
              </w:rPr>
              <w:t>(329)</w:t>
            </w:r>
          </w:p>
        </w:tc>
        <w:tc>
          <w:tcPr>
            <w:tcW w:w="1160" w:type="dxa"/>
            <w:tcBorders>
              <w:left w:val="nil"/>
              <w:right w:val="nil"/>
            </w:tcBorders>
            <w:noWrap/>
            <w:hideMark/>
          </w:tcPr>
          <w:p w14:paraId="55D5C3B8" w14:textId="77777777" w:rsidR="00D655A9" w:rsidRPr="00D655A9" w:rsidRDefault="00D655A9" w:rsidP="00D655A9">
            <w:pPr>
              <w:jc w:val="center"/>
              <w:rPr>
                <w:rFonts w:cs="Times New Roman"/>
                <w:szCs w:val="24"/>
              </w:rPr>
            </w:pPr>
            <w:r w:rsidRPr="00D655A9">
              <w:rPr>
                <w:rFonts w:cs="Times New Roman"/>
                <w:szCs w:val="24"/>
              </w:rPr>
              <w:t>100.00%</w:t>
            </w:r>
          </w:p>
          <w:p w14:paraId="04C24EA0" w14:textId="77777777" w:rsidR="00D655A9" w:rsidRPr="00D655A9" w:rsidRDefault="00D655A9" w:rsidP="00D655A9">
            <w:pPr>
              <w:jc w:val="center"/>
              <w:rPr>
                <w:rFonts w:cs="Times New Roman"/>
                <w:szCs w:val="24"/>
              </w:rPr>
            </w:pPr>
            <w:r w:rsidRPr="00D655A9">
              <w:rPr>
                <w:rFonts w:cs="Times New Roman"/>
                <w:szCs w:val="24"/>
              </w:rPr>
              <w:t>(3113)</w:t>
            </w:r>
          </w:p>
        </w:tc>
      </w:tr>
    </w:tbl>
    <w:bookmarkEnd w:id="4"/>
    <w:p w14:paraId="4D0D4850" w14:textId="77777777" w:rsidR="00D655A9" w:rsidRPr="00D655A9" w:rsidRDefault="00D655A9" w:rsidP="00D655A9">
      <w:pPr>
        <w:rPr>
          <w:rFonts w:cs="Times New Roman"/>
          <w:szCs w:val="24"/>
        </w:rPr>
      </w:pPr>
      <w:r w:rsidRPr="00D655A9">
        <w:rPr>
          <w:rFonts w:cs="Times New Roman"/>
          <w:szCs w:val="24"/>
        </w:rPr>
        <w:t>Note: Cell entries report the percentage (and number) of counties in each category.</w:t>
      </w:r>
    </w:p>
    <w:p w14:paraId="119C03A0" w14:textId="77777777" w:rsidR="00D655A9" w:rsidRPr="00D655A9" w:rsidRDefault="00D655A9" w:rsidP="00D655A9"/>
    <w:p w14:paraId="2943CD72" w14:textId="77777777" w:rsidR="00D655A9" w:rsidRPr="00D655A9" w:rsidRDefault="00D655A9" w:rsidP="00D655A9">
      <w:pPr>
        <w:keepNext/>
        <w:keepLines/>
        <w:spacing w:before="240" w:after="0"/>
        <w:outlineLvl w:val="0"/>
        <w:rPr>
          <w:rFonts w:eastAsiaTheme="majorEastAsia" w:cstheme="majorBidi"/>
          <w:b/>
          <w:szCs w:val="32"/>
          <w:u w:val="single"/>
        </w:rPr>
        <w:sectPr w:rsidR="00D655A9" w:rsidRPr="00D655A9" w:rsidSect="00CE3819">
          <w:pgSz w:w="15840" w:h="12240" w:orient="landscape"/>
          <w:pgMar w:top="1440" w:right="1440" w:bottom="1440" w:left="1440" w:header="720" w:footer="720" w:gutter="0"/>
          <w:cols w:space="720"/>
          <w:docGrid w:linePitch="360"/>
        </w:sectPr>
      </w:pPr>
    </w:p>
    <w:p w14:paraId="292D4A5C" w14:textId="77777777" w:rsidR="00D655A9" w:rsidRPr="00D655A9" w:rsidRDefault="00D655A9" w:rsidP="00D655A9">
      <w:pPr>
        <w:keepNext/>
        <w:keepLines/>
        <w:spacing w:before="40" w:after="0"/>
        <w:outlineLvl w:val="1"/>
        <w:rPr>
          <w:rFonts w:eastAsiaTheme="majorEastAsia" w:cstheme="majorBidi"/>
          <w:szCs w:val="26"/>
        </w:rPr>
      </w:pPr>
      <w:r w:rsidRPr="00D655A9">
        <w:rPr>
          <w:rFonts w:eastAsiaTheme="majorEastAsia" w:cstheme="majorBidi"/>
          <w:szCs w:val="26"/>
        </w:rPr>
        <w:lastRenderedPageBreak/>
        <w:t>Table 2A: OLS Regression Results for the Difference-in-Difference Turnout Analysis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38"/>
        <w:gridCol w:w="1049"/>
        <w:gridCol w:w="1049"/>
        <w:gridCol w:w="1049"/>
        <w:gridCol w:w="2008"/>
      </w:tblGrid>
      <w:tr w:rsidR="00D655A9" w:rsidRPr="00D655A9" w14:paraId="5E335A88" w14:textId="77777777" w:rsidTr="009B3A57">
        <w:trPr>
          <w:tblCellSpacing w:w="15" w:type="dxa"/>
          <w:jc w:val="center"/>
        </w:trPr>
        <w:tc>
          <w:tcPr>
            <w:tcW w:w="0" w:type="auto"/>
            <w:gridSpan w:val="5"/>
            <w:tcBorders>
              <w:bottom w:val="single" w:sz="6" w:space="0" w:color="000000"/>
            </w:tcBorders>
            <w:vAlign w:val="center"/>
            <w:hideMark/>
          </w:tcPr>
          <w:p w14:paraId="498A6AE3"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5AC0ED82" w14:textId="77777777" w:rsidTr="009B3A57">
        <w:trPr>
          <w:tblCellSpacing w:w="15" w:type="dxa"/>
          <w:jc w:val="center"/>
        </w:trPr>
        <w:tc>
          <w:tcPr>
            <w:tcW w:w="0" w:type="auto"/>
            <w:vAlign w:val="center"/>
            <w:hideMark/>
          </w:tcPr>
          <w:p w14:paraId="73250BF7" w14:textId="77777777" w:rsidR="00D655A9" w:rsidRPr="00D655A9" w:rsidRDefault="00D655A9" w:rsidP="00D655A9">
            <w:pPr>
              <w:spacing w:after="0" w:line="240" w:lineRule="auto"/>
              <w:jc w:val="center"/>
              <w:rPr>
                <w:rFonts w:eastAsia="Times New Roman" w:cs="Times New Roman"/>
                <w:sz w:val="14"/>
                <w:szCs w:val="14"/>
              </w:rPr>
            </w:pPr>
          </w:p>
        </w:tc>
        <w:tc>
          <w:tcPr>
            <w:tcW w:w="0" w:type="auto"/>
            <w:gridSpan w:val="4"/>
            <w:vAlign w:val="center"/>
            <w:hideMark/>
          </w:tcPr>
          <w:p w14:paraId="6F48E68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Dependent Variable:</w:t>
            </w:r>
          </w:p>
        </w:tc>
      </w:tr>
      <w:tr w:rsidR="00D655A9" w:rsidRPr="00D655A9" w14:paraId="36A56DDC" w14:textId="77777777" w:rsidTr="009B3A57">
        <w:trPr>
          <w:tblCellSpacing w:w="15" w:type="dxa"/>
          <w:jc w:val="center"/>
        </w:trPr>
        <w:tc>
          <w:tcPr>
            <w:tcW w:w="0" w:type="auto"/>
            <w:vAlign w:val="center"/>
            <w:hideMark/>
          </w:tcPr>
          <w:p w14:paraId="3664890A" w14:textId="77777777" w:rsidR="00D655A9" w:rsidRPr="00D655A9" w:rsidRDefault="00D655A9" w:rsidP="00D655A9">
            <w:pPr>
              <w:spacing w:after="0" w:line="240" w:lineRule="auto"/>
              <w:jc w:val="center"/>
              <w:rPr>
                <w:rFonts w:eastAsia="Times New Roman" w:cs="Times New Roman"/>
                <w:sz w:val="14"/>
                <w:szCs w:val="14"/>
              </w:rPr>
            </w:pPr>
          </w:p>
        </w:tc>
        <w:tc>
          <w:tcPr>
            <w:tcW w:w="0" w:type="auto"/>
            <w:gridSpan w:val="4"/>
            <w:tcBorders>
              <w:bottom w:val="single" w:sz="6" w:space="0" w:color="000000"/>
            </w:tcBorders>
            <w:vAlign w:val="center"/>
            <w:hideMark/>
          </w:tcPr>
          <w:p w14:paraId="49EA254A"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69866D0F" w14:textId="77777777" w:rsidTr="009B3A57">
        <w:trPr>
          <w:tblCellSpacing w:w="15" w:type="dxa"/>
          <w:jc w:val="center"/>
        </w:trPr>
        <w:tc>
          <w:tcPr>
            <w:tcW w:w="0" w:type="auto"/>
            <w:vAlign w:val="center"/>
            <w:hideMark/>
          </w:tcPr>
          <w:p w14:paraId="037472EF" w14:textId="77777777" w:rsidR="00D655A9" w:rsidRPr="00D655A9" w:rsidRDefault="00D655A9" w:rsidP="00D655A9">
            <w:pPr>
              <w:spacing w:after="0" w:line="240" w:lineRule="auto"/>
              <w:jc w:val="center"/>
              <w:rPr>
                <w:rFonts w:eastAsia="Times New Roman" w:cs="Times New Roman"/>
                <w:sz w:val="14"/>
                <w:szCs w:val="14"/>
              </w:rPr>
            </w:pPr>
          </w:p>
        </w:tc>
        <w:tc>
          <w:tcPr>
            <w:tcW w:w="0" w:type="auto"/>
            <w:gridSpan w:val="4"/>
            <w:vAlign w:val="center"/>
            <w:hideMark/>
          </w:tcPr>
          <w:p w14:paraId="2569DE6B" w14:textId="77777777" w:rsidR="00D655A9" w:rsidRPr="00D655A9" w:rsidRDefault="00D655A9" w:rsidP="00D655A9">
            <w:pPr>
              <w:spacing w:after="0" w:line="240" w:lineRule="auto"/>
              <w:jc w:val="center"/>
              <w:rPr>
                <w:rFonts w:eastAsia="Times New Roman" w:cs="Times New Roman"/>
                <w:i/>
                <w:iCs/>
                <w:sz w:val="14"/>
                <w:szCs w:val="14"/>
              </w:rPr>
            </w:pPr>
            <w:r w:rsidRPr="00D655A9">
              <w:rPr>
                <w:rFonts w:eastAsia="Times New Roman" w:cs="Times New Roman"/>
                <w:i/>
                <w:iCs/>
                <w:sz w:val="14"/>
                <w:szCs w:val="14"/>
              </w:rPr>
              <w:t>VAP Turnout (%)</w:t>
            </w:r>
          </w:p>
        </w:tc>
      </w:tr>
      <w:tr w:rsidR="00D655A9" w:rsidRPr="00D655A9" w14:paraId="6EB508C3" w14:textId="77777777" w:rsidTr="009B3A57">
        <w:trPr>
          <w:tblCellSpacing w:w="15" w:type="dxa"/>
          <w:jc w:val="center"/>
        </w:trPr>
        <w:tc>
          <w:tcPr>
            <w:tcW w:w="0" w:type="auto"/>
            <w:vAlign w:val="center"/>
            <w:hideMark/>
          </w:tcPr>
          <w:p w14:paraId="6512CF8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DAFA01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Base</w:t>
            </w:r>
          </w:p>
        </w:tc>
        <w:tc>
          <w:tcPr>
            <w:tcW w:w="0" w:type="auto"/>
            <w:vAlign w:val="center"/>
            <w:hideMark/>
          </w:tcPr>
          <w:p w14:paraId="759E7C5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Control</w:t>
            </w:r>
          </w:p>
        </w:tc>
        <w:tc>
          <w:tcPr>
            <w:tcW w:w="0" w:type="auto"/>
            <w:vAlign w:val="center"/>
            <w:hideMark/>
          </w:tcPr>
          <w:p w14:paraId="5C14B61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County FE</w:t>
            </w:r>
          </w:p>
        </w:tc>
        <w:tc>
          <w:tcPr>
            <w:tcW w:w="0" w:type="auto"/>
            <w:vAlign w:val="center"/>
            <w:hideMark/>
          </w:tcPr>
          <w:p w14:paraId="219BBD2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County FE and State Clustered SE</w:t>
            </w:r>
          </w:p>
        </w:tc>
      </w:tr>
      <w:tr w:rsidR="00D655A9" w:rsidRPr="00D655A9" w14:paraId="5D0508FF" w14:textId="77777777" w:rsidTr="009B3A57">
        <w:trPr>
          <w:tblCellSpacing w:w="15" w:type="dxa"/>
          <w:jc w:val="center"/>
        </w:trPr>
        <w:tc>
          <w:tcPr>
            <w:tcW w:w="0" w:type="auto"/>
            <w:vAlign w:val="center"/>
            <w:hideMark/>
          </w:tcPr>
          <w:p w14:paraId="321E217E"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8F7B3F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w:t>
            </w:r>
          </w:p>
        </w:tc>
        <w:tc>
          <w:tcPr>
            <w:tcW w:w="0" w:type="auto"/>
            <w:vAlign w:val="center"/>
            <w:hideMark/>
          </w:tcPr>
          <w:p w14:paraId="61BFF8B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w:t>
            </w:r>
          </w:p>
        </w:tc>
        <w:tc>
          <w:tcPr>
            <w:tcW w:w="0" w:type="auto"/>
            <w:vAlign w:val="center"/>
            <w:hideMark/>
          </w:tcPr>
          <w:p w14:paraId="1CB5C3E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w:t>
            </w:r>
          </w:p>
        </w:tc>
        <w:tc>
          <w:tcPr>
            <w:tcW w:w="0" w:type="auto"/>
            <w:vAlign w:val="center"/>
            <w:hideMark/>
          </w:tcPr>
          <w:p w14:paraId="042A121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(4)</w:t>
            </w:r>
          </w:p>
        </w:tc>
      </w:tr>
      <w:tr w:rsidR="00D655A9" w:rsidRPr="00D655A9" w14:paraId="488E1600" w14:textId="77777777" w:rsidTr="009B3A57">
        <w:trPr>
          <w:tblCellSpacing w:w="15" w:type="dxa"/>
          <w:jc w:val="center"/>
        </w:trPr>
        <w:tc>
          <w:tcPr>
            <w:tcW w:w="0" w:type="auto"/>
            <w:gridSpan w:val="5"/>
            <w:tcBorders>
              <w:bottom w:val="single" w:sz="6" w:space="0" w:color="000000"/>
            </w:tcBorders>
            <w:vAlign w:val="center"/>
            <w:hideMark/>
          </w:tcPr>
          <w:p w14:paraId="2536F628"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0E3A44CD" w14:textId="77777777" w:rsidTr="009B3A57">
        <w:trPr>
          <w:tblCellSpacing w:w="15" w:type="dxa"/>
          <w:jc w:val="center"/>
        </w:trPr>
        <w:tc>
          <w:tcPr>
            <w:tcW w:w="0" w:type="auto"/>
            <w:vAlign w:val="center"/>
            <w:hideMark/>
          </w:tcPr>
          <w:p w14:paraId="0DEEE40E"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Excuse-Needed to No Excuse-Needed</w:t>
            </w:r>
          </w:p>
        </w:tc>
        <w:tc>
          <w:tcPr>
            <w:tcW w:w="0" w:type="auto"/>
            <w:vAlign w:val="center"/>
            <w:hideMark/>
          </w:tcPr>
          <w:p w14:paraId="20AFAFB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-0.609</w:t>
            </w:r>
          </w:p>
        </w:tc>
        <w:tc>
          <w:tcPr>
            <w:tcW w:w="0" w:type="auto"/>
            <w:vAlign w:val="center"/>
            <w:hideMark/>
          </w:tcPr>
          <w:p w14:paraId="0EF42BD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-0.503</w:t>
            </w:r>
          </w:p>
        </w:tc>
        <w:tc>
          <w:tcPr>
            <w:tcW w:w="0" w:type="auto"/>
            <w:vAlign w:val="center"/>
            <w:hideMark/>
          </w:tcPr>
          <w:p w14:paraId="48437BD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0.167</w:t>
            </w:r>
          </w:p>
        </w:tc>
        <w:tc>
          <w:tcPr>
            <w:tcW w:w="0" w:type="auto"/>
            <w:vAlign w:val="center"/>
            <w:hideMark/>
          </w:tcPr>
          <w:p w14:paraId="5FF3275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0.167</w:t>
            </w:r>
          </w:p>
        </w:tc>
      </w:tr>
      <w:tr w:rsidR="00D655A9" w:rsidRPr="00D655A9" w14:paraId="31656158" w14:textId="77777777" w:rsidTr="009B3A57">
        <w:trPr>
          <w:tblCellSpacing w:w="15" w:type="dxa"/>
          <w:jc w:val="center"/>
        </w:trPr>
        <w:tc>
          <w:tcPr>
            <w:tcW w:w="0" w:type="auto"/>
            <w:vAlign w:val="center"/>
            <w:hideMark/>
          </w:tcPr>
          <w:p w14:paraId="6C6E256A"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89E558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(0.424)</w:t>
            </w:r>
          </w:p>
        </w:tc>
        <w:tc>
          <w:tcPr>
            <w:tcW w:w="0" w:type="auto"/>
            <w:vAlign w:val="center"/>
            <w:hideMark/>
          </w:tcPr>
          <w:p w14:paraId="4D433BC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(0.313)</w:t>
            </w:r>
          </w:p>
        </w:tc>
        <w:tc>
          <w:tcPr>
            <w:tcW w:w="0" w:type="auto"/>
            <w:vAlign w:val="center"/>
            <w:hideMark/>
          </w:tcPr>
          <w:p w14:paraId="2758720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(0.307)</w:t>
            </w:r>
          </w:p>
        </w:tc>
        <w:tc>
          <w:tcPr>
            <w:tcW w:w="0" w:type="auto"/>
            <w:vAlign w:val="center"/>
            <w:hideMark/>
          </w:tcPr>
          <w:p w14:paraId="071AFCE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(1.696)</w:t>
            </w:r>
          </w:p>
        </w:tc>
      </w:tr>
      <w:tr w:rsidR="00D655A9" w:rsidRPr="00D655A9" w14:paraId="1DC59592" w14:textId="77777777" w:rsidTr="009B3A57">
        <w:trPr>
          <w:tblCellSpacing w:w="15" w:type="dxa"/>
          <w:jc w:val="center"/>
        </w:trPr>
        <w:tc>
          <w:tcPr>
            <w:tcW w:w="0" w:type="auto"/>
            <w:vAlign w:val="center"/>
            <w:hideMark/>
          </w:tcPr>
          <w:p w14:paraId="195439A0"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F335BA2"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004F2BA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84A31F4"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16B55C0"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4DBC723D" w14:textId="77777777" w:rsidTr="009B3A57">
        <w:trPr>
          <w:tblCellSpacing w:w="15" w:type="dxa"/>
          <w:jc w:val="center"/>
        </w:trPr>
        <w:tc>
          <w:tcPr>
            <w:tcW w:w="0" w:type="auto"/>
            <w:vAlign w:val="center"/>
            <w:hideMark/>
          </w:tcPr>
          <w:p w14:paraId="4007CE51"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Excuse-Needed to Applications Sent</w:t>
            </w:r>
          </w:p>
        </w:tc>
        <w:tc>
          <w:tcPr>
            <w:tcW w:w="0" w:type="auto"/>
            <w:vAlign w:val="center"/>
            <w:hideMark/>
          </w:tcPr>
          <w:p w14:paraId="0682CFD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6.049</w:t>
            </w:r>
            <w:r w:rsidRPr="00D655A9">
              <w:rPr>
                <w:rFonts w:eastAsia="Times New Roman" w:cs="Times New Roman"/>
                <w:sz w:val="14"/>
                <w:szCs w:val="14"/>
                <w:vertAlign w:val="superscript"/>
              </w:rPr>
              <w:t>***</w:t>
            </w:r>
          </w:p>
        </w:tc>
        <w:tc>
          <w:tcPr>
            <w:tcW w:w="0" w:type="auto"/>
            <w:vAlign w:val="center"/>
            <w:hideMark/>
          </w:tcPr>
          <w:p w14:paraId="636B6F5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1.109</w:t>
            </w:r>
          </w:p>
        </w:tc>
        <w:tc>
          <w:tcPr>
            <w:tcW w:w="0" w:type="auto"/>
            <w:vAlign w:val="center"/>
            <w:hideMark/>
          </w:tcPr>
          <w:p w14:paraId="2B9A9A4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1.152</w:t>
            </w:r>
          </w:p>
        </w:tc>
        <w:tc>
          <w:tcPr>
            <w:tcW w:w="0" w:type="auto"/>
            <w:vAlign w:val="center"/>
            <w:hideMark/>
          </w:tcPr>
          <w:p w14:paraId="651E129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1.152</w:t>
            </w:r>
          </w:p>
        </w:tc>
      </w:tr>
      <w:tr w:rsidR="00D655A9" w:rsidRPr="00D655A9" w14:paraId="1488533B" w14:textId="77777777" w:rsidTr="009B3A57">
        <w:trPr>
          <w:tblCellSpacing w:w="15" w:type="dxa"/>
          <w:jc w:val="center"/>
        </w:trPr>
        <w:tc>
          <w:tcPr>
            <w:tcW w:w="0" w:type="auto"/>
            <w:vAlign w:val="center"/>
            <w:hideMark/>
          </w:tcPr>
          <w:p w14:paraId="51777543"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EDA62C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(0.913)</w:t>
            </w:r>
          </w:p>
        </w:tc>
        <w:tc>
          <w:tcPr>
            <w:tcW w:w="0" w:type="auto"/>
            <w:vAlign w:val="center"/>
            <w:hideMark/>
          </w:tcPr>
          <w:p w14:paraId="4B0C6B8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(0.676)</w:t>
            </w:r>
          </w:p>
        </w:tc>
        <w:tc>
          <w:tcPr>
            <w:tcW w:w="0" w:type="auto"/>
            <w:vAlign w:val="center"/>
            <w:hideMark/>
          </w:tcPr>
          <w:p w14:paraId="3685B7A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(0.799)</w:t>
            </w:r>
          </w:p>
        </w:tc>
        <w:tc>
          <w:tcPr>
            <w:tcW w:w="0" w:type="auto"/>
            <w:vAlign w:val="center"/>
            <w:hideMark/>
          </w:tcPr>
          <w:p w14:paraId="42E2DEC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(1.304)</w:t>
            </w:r>
          </w:p>
        </w:tc>
      </w:tr>
      <w:tr w:rsidR="00D655A9" w:rsidRPr="00D655A9" w14:paraId="61E2FFF9" w14:textId="77777777" w:rsidTr="009B3A57">
        <w:trPr>
          <w:tblCellSpacing w:w="15" w:type="dxa"/>
          <w:jc w:val="center"/>
        </w:trPr>
        <w:tc>
          <w:tcPr>
            <w:tcW w:w="0" w:type="auto"/>
            <w:vAlign w:val="center"/>
            <w:hideMark/>
          </w:tcPr>
          <w:p w14:paraId="4CEDABFD"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4EBF388"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7AEA9473"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44DFD23"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EF4D6D9"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139D19E3" w14:textId="77777777" w:rsidTr="009B3A57">
        <w:trPr>
          <w:tblCellSpacing w:w="15" w:type="dxa"/>
          <w:jc w:val="center"/>
        </w:trPr>
        <w:tc>
          <w:tcPr>
            <w:tcW w:w="0" w:type="auto"/>
            <w:vAlign w:val="center"/>
            <w:hideMark/>
          </w:tcPr>
          <w:p w14:paraId="5C82D5B0"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No Excuse-Needed to Applications Sent</w:t>
            </w:r>
          </w:p>
        </w:tc>
        <w:tc>
          <w:tcPr>
            <w:tcW w:w="0" w:type="auto"/>
            <w:vAlign w:val="center"/>
            <w:hideMark/>
          </w:tcPr>
          <w:p w14:paraId="224C9FC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6.836</w:t>
            </w:r>
            <w:r w:rsidRPr="00D655A9">
              <w:rPr>
                <w:rFonts w:eastAsia="Times New Roman" w:cs="Times New Roman"/>
                <w:sz w:val="14"/>
                <w:szCs w:val="14"/>
                <w:vertAlign w:val="superscript"/>
              </w:rPr>
              <w:t>***</w:t>
            </w:r>
          </w:p>
        </w:tc>
        <w:tc>
          <w:tcPr>
            <w:tcW w:w="0" w:type="auto"/>
            <w:vAlign w:val="center"/>
            <w:hideMark/>
          </w:tcPr>
          <w:p w14:paraId="709B2D4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3.917</w:t>
            </w:r>
            <w:r w:rsidRPr="00D655A9">
              <w:rPr>
                <w:rFonts w:eastAsia="Times New Roman" w:cs="Times New Roman"/>
                <w:sz w:val="14"/>
                <w:szCs w:val="14"/>
                <w:vertAlign w:val="superscript"/>
              </w:rPr>
              <w:t>***</w:t>
            </w:r>
          </w:p>
        </w:tc>
        <w:tc>
          <w:tcPr>
            <w:tcW w:w="0" w:type="auto"/>
            <w:vAlign w:val="center"/>
            <w:hideMark/>
          </w:tcPr>
          <w:p w14:paraId="0C25B4C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3.971</w:t>
            </w:r>
            <w:r w:rsidRPr="00D655A9">
              <w:rPr>
                <w:rFonts w:eastAsia="Times New Roman" w:cs="Times New Roman"/>
                <w:sz w:val="14"/>
                <w:szCs w:val="14"/>
                <w:vertAlign w:val="superscript"/>
              </w:rPr>
              <w:t>***</w:t>
            </w:r>
          </w:p>
        </w:tc>
        <w:tc>
          <w:tcPr>
            <w:tcW w:w="0" w:type="auto"/>
            <w:vAlign w:val="center"/>
            <w:hideMark/>
          </w:tcPr>
          <w:p w14:paraId="1D95B71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3.971</w:t>
            </w:r>
            <w:r w:rsidRPr="00D655A9">
              <w:rPr>
                <w:rFonts w:eastAsia="Times New Roman" w:cs="Times New Roman"/>
                <w:sz w:val="14"/>
                <w:szCs w:val="14"/>
                <w:vertAlign w:val="superscript"/>
              </w:rPr>
              <w:t>***</w:t>
            </w:r>
          </w:p>
        </w:tc>
      </w:tr>
      <w:tr w:rsidR="00D655A9" w:rsidRPr="00D655A9" w14:paraId="7CD860E8" w14:textId="77777777" w:rsidTr="009B3A57">
        <w:trPr>
          <w:tblCellSpacing w:w="15" w:type="dxa"/>
          <w:jc w:val="center"/>
        </w:trPr>
        <w:tc>
          <w:tcPr>
            <w:tcW w:w="0" w:type="auto"/>
            <w:vAlign w:val="center"/>
            <w:hideMark/>
          </w:tcPr>
          <w:p w14:paraId="0CF6E5F8"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6E1200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(0.449)</w:t>
            </w:r>
          </w:p>
        </w:tc>
        <w:tc>
          <w:tcPr>
            <w:tcW w:w="0" w:type="auto"/>
            <w:vAlign w:val="center"/>
            <w:hideMark/>
          </w:tcPr>
          <w:p w14:paraId="35968A9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(0.339)</w:t>
            </w:r>
          </w:p>
        </w:tc>
        <w:tc>
          <w:tcPr>
            <w:tcW w:w="0" w:type="auto"/>
            <w:vAlign w:val="center"/>
            <w:hideMark/>
          </w:tcPr>
          <w:p w14:paraId="6B4F281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(0.349)</w:t>
            </w:r>
          </w:p>
        </w:tc>
        <w:tc>
          <w:tcPr>
            <w:tcW w:w="0" w:type="auto"/>
            <w:vAlign w:val="center"/>
            <w:hideMark/>
          </w:tcPr>
          <w:p w14:paraId="56C2739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(1.320)</w:t>
            </w:r>
          </w:p>
        </w:tc>
      </w:tr>
      <w:tr w:rsidR="00D655A9" w:rsidRPr="00D655A9" w14:paraId="6A87C5C6" w14:textId="77777777" w:rsidTr="009B3A57">
        <w:trPr>
          <w:tblCellSpacing w:w="15" w:type="dxa"/>
          <w:jc w:val="center"/>
        </w:trPr>
        <w:tc>
          <w:tcPr>
            <w:tcW w:w="0" w:type="auto"/>
            <w:vAlign w:val="center"/>
            <w:hideMark/>
          </w:tcPr>
          <w:p w14:paraId="140A9F51"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68EA3CA"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592E7385"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61287F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FF6CF9E"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0AF8A2E6" w14:textId="77777777" w:rsidTr="009B3A57">
        <w:trPr>
          <w:tblCellSpacing w:w="15" w:type="dxa"/>
          <w:jc w:val="center"/>
        </w:trPr>
        <w:tc>
          <w:tcPr>
            <w:tcW w:w="0" w:type="auto"/>
            <w:vAlign w:val="center"/>
            <w:hideMark/>
          </w:tcPr>
          <w:p w14:paraId="75BB33FD"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No Excuse-Needed to Ballots Sent</w:t>
            </w:r>
          </w:p>
        </w:tc>
        <w:tc>
          <w:tcPr>
            <w:tcW w:w="0" w:type="auto"/>
            <w:vAlign w:val="center"/>
            <w:hideMark/>
          </w:tcPr>
          <w:p w14:paraId="29C662C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3.157</w:t>
            </w:r>
            <w:r w:rsidRPr="00D655A9">
              <w:rPr>
                <w:rFonts w:eastAsia="Times New Roman" w:cs="Times New Roman"/>
                <w:sz w:val="14"/>
                <w:szCs w:val="14"/>
                <w:vertAlign w:val="superscript"/>
              </w:rPr>
              <w:t>***</w:t>
            </w:r>
          </w:p>
        </w:tc>
        <w:tc>
          <w:tcPr>
            <w:tcW w:w="0" w:type="auto"/>
            <w:vAlign w:val="center"/>
            <w:hideMark/>
          </w:tcPr>
          <w:p w14:paraId="3AC92FE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-2.386</w:t>
            </w:r>
            <w:r w:rsidRPr="00D655A9">
              <w:rPr>
                <w:rFonts w:eastAsia="Times New Roman" w:cs="Times New Roman"/>
                <w:sz w:val="14"/>
                <w:szCs w:val="14"/>
                <w:vertAlign w:val="superscript"/>
              </w:rPr>
              <w:t>***</w:t>
            </w:r>
          </w:p>
        </w:tc>
        <w:tc>
          <w:tcPr>
            <w:tcW w:w="0" w:type="auto"/>
            <w:vAlign w:val="center"/>
            <w:hideMark/>
          </w:tcPr>
          <w:p w14:paraId="533FC48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-0.385</w:t>
            </w:r>
          </w:p>
        </w:tc>
        <w:tc>
          <w:tcPr>
            <w:tcW w:w="0" w:type="auto"/>
            <w:vAlign w:val="center"/>
            <w:hideMark/>
          </w:tcPr>
          <w:p w14:paraId="5063427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-0.385</w:t>
            </w:r>
          </w:p>
        </w:tc>
      </w:tr>
      <w:tr w:rsidR="00D655A9" w:rsidRPr="00D655A9" w14:paraId="07E76EF8" w14:textId="77777777" w:rsidTr="009B3A57">
        <w:trPr>
          <w:tblCellSpacing w:w="15" w:type="dxa"/>
          <w:jc w:val="center"/>
        </w:trPr>
        <w:tc>
          <w:tcPr>
            <w:tcW w:w="0" w:type="auto"/>
            <w:vAlign w:val="center"/>
            <w:hideMark/>
          </w:tcPr>
          <w:p w14:paraId="7F8E0DB8"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7B1469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(0.768)</w:t>
            </w:r>
          </w:p>
        </w:tc>
        <w:tc>
          <w:tcPr>
            <w:tcW w:w="0" w:type="auto"/>
            <w:vAlign w:val="center"/>
            <w:hideMark/>
          </w:tcPr>
          <w:p w14:paraId="36ED639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(0.572)</w:t>
            </w:r>
          </w:p>
        </w:tc>
        <w:tc>
          <w:tcPr>
            <w:tcW w:w="0" w:type="auto"/>
            <w:vAlign w:val="center"/>
            <w:hideMark/>
          </w:tcPr>
          <w:p w14:paraId="4C13AC0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(0.690)</w:t>
            </w:r>
          </w:p>
        </w:tc>
        <w:tc>
          <w:tcPr>
            <w:tcW w:w="0" w:type="auto"/>
            <w:vAlign w:val="center"/>
            <w:hideMark/>
          </w:tcPr>
          <w:p w14:paraId="29BB0CD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(2.627)</w:t>
            </w:r>
          </w:p>
        </w:tc>
      </w:tr>
      <w:tr w:rsidR="00D655A9" w:rsidRPr="00D655A9" w14:paraId="24BE1743" w14:textId="77777777" w:rsidTr="009B3A57">
        <w:trPr>
          <w:tblCellSpacing w:w="15" w:type="dxa"/>
          <w:jc w:val="center"/>
        </w:trPr>
        <w:tc>
          <w:tcPr>
            <w:tcW w:w="0" w:type="auto"/>
            <w:vAlign w:val="center"/>
            <w:hideMark/>
          </w:tcPr>
          <w:p w14:paraId="5498C6AE"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40AEFF5"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32A44F50"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4838A93"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2568136E"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66B83A9F" w14:textId="77777777" w:rsidTr="009B3A57">
        <w:trPr>
          <w:tblCellSpacing w:w="15" w:type="dxa"/>
          <w:jc w:val="center"/>
        </w:trPr>
        <w:tc>
          <w:tcPr>
            <w:tcW w:w="0" w:type="auto"/>
            <w:vAlign w:val="center"/>
            <w:hideMark/>
          </w:tcPr>
          <w:p w14:paraId="2B8F36F0"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Year: 2020</w:t>
            </w:r>
          </w:p>
        </w:tc>
        <w:tc>
          <w:tcPr>
            <w:tcW w:w="0" w:type="auto"/>
            <w:vAlign w:val="center"/>
            <w:hideMark/>
          </w:tcPr>
          <w:p w14:paraId="303B679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6.796</w:t>
            </w:r>
            <w:r w:rsidRPr="00D655A9">
              <w:rPr>
                <w:rFonts w:eastAsia="Times New Roman" w:cs="Times New Roman"/>
                <w:sz w:val="14"/>
                <w:szCs w:val="14"/>
                <w:vertAlign w:val="superscript"/>
              </w:rPr>
              <w:t>***</w:t>
            </w:r>
          </w:p>
        </w:tc>
        <w:tc>
          <w:tcPr>
            <w:tcW w:w="0" w:type="auto"/>
            <w:vAlign w:val="center"/>
            <w:hideMark/>
          </w:tcPr>
          <w:p w14:paraId="72029E0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5.567</w:t>
            </w:r>
            <w:r w:rsidRPr="00D655A9">
              <w:rPr>
                <w:rFonts w:eastAsia="Times New Roman" w:cs="Times New Roman"/>
                <w:sz w:val="14"/>
                <w:szCs w:val="14"/>
                <w:vertAlign w:val="superscript"/>
              </w:rPr>
              <w:t>***</w:t>
            </w:r>
          </w:p>
        </w:tc>
        <w:tc>
          <w:tcPr>
            <w:tcW w:w="0" w:type="auto"/>
            <w:vAlign w:val="center"/>
            <w:hideMark/>
          </w:tcPr>
          <w:p w14:paraId="6974F13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5.341</w:t>
            </w:r>
            <w:r w:rsidRPr="00D655A9">
              <w:rPr>
                <w:rFonts w:eastAsia="Times New Roman" w:cs="Times New Roman"/>
                <w:sz w:val="14"/>
                <w:szCs w:val="14"/>
                <w:vertAlign w:val="superscript"/>
              </w:rPr>
              <w:t>***</w:t>
            </w:r>
          </w:p>
        </w:tc>
        <w:tc>
          <w:tcPr>
            <w:tcW w:w="0" w:type="auto"/>
            <w:vAlign w:val="center"/>
            <w:hideMark/>
          </w:tcPr>
          <w:p w14:paraId="4655DAD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5.341</w:t>
            </w:r>
            <w:r w:rsidRPr="00D655A9">
              <w:rPr>
                <w:rFonts w:eastAsia="Times New Roman" w:cs="Times New Roman"/>
                <w:sz w:val="14"/>
                <w:szCs w:val="14"/>
                <w:vertAlign w:val="superscript"/>
              </w:rPr>
              <w:t>***</w:t>
            </w:r>
          </w:p>
        </w:tc>
      </w:tr>
      <w:tr w:rsidR="00D655A9" w:rsidRPr="00D655A9" w14:paraId="69D367F2" w14:textId="77777777" w:rsidTr="009B3A57">
        <w:trPr>
          <w:tblCellSpacing w:w="15" w:type="dxa"/>
          <w:jc w:val="center"/>
        </w:trPr>
        <w:tc>
          <w:tcPr>
            <w:tcW w:w="0" w:type="auto"/>
            <w:vAlign w:val="center"/>
            <w:hideMark/>
          </w:tcPr>
          <w:p w14:paraId="44ADD687"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C0BE10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(0.350)</w:t>
            </w:r>
          </w:p>
        </w:tc>
        <w:tc>
          <w:tcPr>
            <w:tcW w:w="0" w:type="auto"/>
            <w:vAlign w:val="center"/>
            <w:hideMark/>
          </w:tcPr>
          <w:p w14:paraId="4EC5415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(0.298)</w:t>
            </w:r>
          </w:p>
        </w:tc>
        <w:tc>
          <w:tcPr>
            <w:tcW w:w="0" w:type="auto"/>
            <w:vAlign w:val="center"/>
            <w:hideMark/>
          </w:tcPr>
          <w:p w14:paraId="006827A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(0.247)</w:t>
            </w:r>
          </w:p>
        </w:tc>
        <w:tc>
          <w:tcPr>
            <w:tcW w:w="0" w:type="auto"/>
            <w:vAlign w:val="center"/>
            <w:hideMark/>
          </w:tcPr>
          <w:p w14:paraId="36C6205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(0.681)</w:t>
            </w:r>
          </w:p>
        </w:tc>
      </w:tr>
      <w:tr w:rsidR="00D655A9" w:rsidRPr="00D655A9" w14:paraId="5F0CD435" w14:textId="77777777" w:rsidTr="009B3A57">
        <w:trPr>
          <w:tblCellSpacing w:w="15" w:type="dxa"/>
          <w:jc w:val="center"/>
        </w:trPr>
        <w:tc>
          <w:tcPr>
            <w:tcW w:w="0" w:type="auto"/>
            <w:vAlign w:val="center"/>
            <w:hideMark/>
          </w:tcPr>
          <w:p w14:paraId="6E479BEF"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C3604AD"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4F5E4D91"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FD2A304"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EC4CD81"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2B61C77B" w14:textId="77777777" w:rsidTr="009B3A57">
        <w:trPr>
          <w:tblCellSpacing w:w="15" w:type="dxa"/>
          <w:jc w:val="center"/>
        </w:trPr>
        <w:tc>
          <w:tcPr>
            <w:tcW w:w="0" w:type="auto"/>
            <w:vAlign w:val="center"/>
            <w:hideMark/>
          </w:tcPr>
          <w:p w14:paraId="0A35E952"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 Black</w:t>
            </w:r>
          </w:p>
        </w:tc>
        <w:tc>
          <w:tcPr>
            <w:tcW w:w="0" w:type="auto"/>
            <w:vAlign w:val="center"/>
            <w:hideMark/>
          </w:tcPr>
          <w:p w14:paraId="5144B020"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5325A47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0.040</w:t>
            </w:r>
            <w:r w:rsidRPr="00D655A9">
              <w:rPr>
                <w:rFonts w:eastAsia="Times New Roman" w:cs="Times New Roman"/>
                <w:sz w:val="14"/>
                <w:szCs w:val="14"/>
                <w:vertAlign w:val="superscript"/>
              </w:rPr>
              <w:t>***</w:t>
            </w:r>
          </w:p>
        </w:tc>
        <w:tc>
          <w:tcPr>
            <w:tcW w:w="0" w:type="auto"/>
            <w:vAlign w:val="center"/>
            <w:hideMark/>
          </w:tcPr>
          <w:p w14:paraId="6622AE0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0.041</w:t>
            </w:r>
            <w:r w:rsidRPr="00D655A9">
              <w:rPr>
                <w:rFonts w:eastAsia="Times New Roman" w:cs="Times New Roman"/>
                <w:sz w:val="14"/>
                <w:szCs w:val="14"/>
                <w:vertAlign w:val="superscript"/>
              </w:rPr>
              <w:t>***</w:t>
            </w:r>
          </w:p>
        </w:tc>
        <w:tc>
          <w:tcPr>
            <w:tcW w:w="0" w:type="auto"/>
            <w:vAlign w:val="center"/>
            <w:hideMark/>
          </w:tcPr>
          <w:p w14:paraId="5B7B7C7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0.041</w:t>
            </w:r>
          </w:p>
        </w:tc>
      </w:tr>
      <w:tr w:rsidR="00D655A9" w:rsidRPr="00D655A9" w14:paraId="204BB6DE" w14:textId="77777777" w:rsidTr="009B3A57">
        <w:trPr>
          <w:tblCellSpacing w:w="15" w:type="dxa"/>
          <w:jc w:val="center"/>
        </w:trPr>
        <w:tc>
          <w:tcPr>
            <w:tcW w:w="0" w:type="auto"/>
            <w:vAlign w:val="center"/>
            <w:hideMark/>
          </w:tcPr>
          <w:p w14:paraId="612E77A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EB0FD76"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76F86FC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(0.008)</w:t>
            </w:r>
          </w:p>
        </w:tc>
        <w:tc>
          <w:tcPr>
            <w:tcW w:w="0" w:type="auto"/>
            <w:vAlign w:val="center"/>
            <w:hideMark/>
          </w:tcPr>
          <w:p w14:paraId="33E441C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(0.011)</w:t>
            </w:r>
          </w:p>
        </w:tc>
        <w:tc>
          <w:tcPr>
            <w:tcW w:w="0" w:type="auto"/>
            <w:vAlign w:val="center"/>
            <w:hideMark/>
          </w:tcPr>
          <w:p w14:paraId="56BCB3D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(0.041)</w:t>
            </w:r>
          </w:p>
        </w:tc>
      </w:tr>
      <w:tr w:rsidR="00D655A9" w:rsidRPr="00D655A9" w14:paraId="1C2B4D83" w14:textId="77777777" w:rsidTr="009B3A57">
        <w:trPr>
          <w:tblCellSpacing w:w="15" w:type="dxa"/>
          <w:jc w:val="center"/>
        </w:trPr>
        <w:tc>
          <w:tcPr>
            <w:tcW w:w="0" w:type="auto"/>
            <w:vAlign w:val="center"/>
            <w:hideMark/>
          </w:tcPr>
          <w:p w14:paraId="13B316E0"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8815A01"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7566AEE7"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F50CC40"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9B8A8A9"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45BB389D" w14:textId="77777777" w:rsidTr="009B3A57">
        <w:trPr>
          <w:tblCellSpacing w:w="15" w:type="dxa"/>
          <w:jc w:val="center"/>
        </w:trPr>
        <w:tc>
          <w:tcPr>
            <w:tcW w:w="0" w:type="auto"/>
            <w:vAlign w:val="center"/>
            <w:hideMark/>
          </w:tcPr>
          <w:p w14:paraId="44496691"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Democratic Vote Share</w:t>
            </w:r>
          </w:p>
        </w:tc>
        <w:tc>
          <w:tcPr>
            <w:tcW w:w="0" w:type="auto"/>
            <w:vAlign w:val="center"/>
            <w:hideMark/>
          </w:tcPr>
          <w:p w14:paraId="4EF0A98F"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01A5A77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2.853</w:t>
            </w:r>
            <w:r w:rsidRPr="00D655A9">
              <w:rPr>
                <w:rFonts w:eastAsia="Times New Roman" w:cs="Times New Roman"/>
                <w:sz w:val="14"/>
                <w:szCs w:val="14"/>
                <w:vertAlign w:val="superscript"/>
              </w:rPr>
              <w:t>***</w:t>
            </w:r>
          </w:p>
        </w:tc>
        <w:tc>
          <w:tcPr>
            <w:tcW w:w="0" w:type="auto"/>
            <w:vAlign w:val="center"/>
            <w:hideMark/>
          </w:tcPr>
          <w:p w14:paraId="4B167C3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3.994</w:t>
            </w:r>
            <w:r w:rsidRPr="00D655A9">
              <w:rPr>
                <w:rFonts w:eastAsia="Times New Roman" w:cs="Times New Roman"/>
                <w:sz w:val="14"/>
                <w:szCs w:val="14"/>
                <w:vertAlign w:val="superscript"/>
              </w:rPr>
              <w:t>***</w:t>
            </w:r>
          </w:p>
        </w:tc>
        <w:tc>
          <w:tcPr>
            <w:tcW w:w="0" w:type="auto"/>
            <w:vAlign w:val="center"/>
            <w:hideMark/>
          </w:tcPr>
          <w:p w14:paraId="38A8FB3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3.994</w:t>
            </w:r>
          </w:p>
        </w:tc>
      </w:tr>
      <w:tr w:rsidR="00D655A9" w:rsidRPr="00D655A9" w14:paraId="763AC52F" w14:textId="77777777" w:rsidTr="009B3A57">
        <w:trPr>
          <w:tblCellSpacing w:w="15" w:type="dxa"/>
          <w:jc w:val="center"/>
        </w:trPr>
        <w:tc>
          <w:tcPr>
            <w:tcW w:w="0" w:type="auto"/>
            <w:vAlign w:val="center"/>
            <w:hideMark/>
          </w:tcPr>
          <w:p w14:paraId="3A77B6A1"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DA5FEEE"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0431AC0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(0.759)</w:t>
            </w:r>
          </w:p>
        </w:tc>
        <w:tc>
          <w:tcPr>
            <w:tcW w:w="0" w:type="auto"/>
            <w:vAlign w:val="center"/>
            <w:hideMark/>
          </w:tcPr>
          <w:p w14:paraId="00A171E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(1.025)</w:t>
            </w:r>
          </w:p>
        </w:tc>
        <w:tc>
          <w:tcPr>
            <w:tcW w:w="0" w:type="auto"/>
            <w:vAlign w:val="center"/>
            <w:hideMark/>
          </w:tcPr>
          <w:p w14:paraId="4C9B208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(2.814)</w:t>
            </w:r>
          </w:p>
        </w:tc>
      </w:tr>
      <w:tr w:rsidR="00D655A9" w:rsidRPr="00D655A9" w14:paraId="08DA20E6" w14:textId="77777777" w:rsidTr="009B3A57">
        <w:trPr>
          <w:tblCellSpacing w:w="15" w:type="dxa"/>
          <w:jc w:val="center"/>
        </w:trPr>
        <w:tc>
          <w:tcPr>
            <w:tcW w:w="0" w:type="auto"/>
            <w:vAlign w:val="center"/>
            <w:hideMark/>
          </w:tcPr>
          <w:p w14:paraId="47AB9CF3"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DB1004E"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2A6564A3"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ED292D1"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3F5707FC"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15455A79" w14:textId="77777777" w:rsidTr="009B3A57">
        <w:trPr>
          <w:tblCellSpacing w:w="15" w:type="dxa"/>
          <w:jc w:val="center"/>
        </w:trPr>
        <w:tc>
          <w:tcPr>
            <w:tcW w:w="0" w:type="auto"/>
            <w:vAlign w:val="center"/>
            <w:hideMark/>
          </w:tcPr>
          <w:p w14:paraId="332CBC92"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Median Income</w:t>
            </w:r>
          </w:p>
        </w:tc>
        <w:tc>
          <w:tcPr>
            <w:tcW w:w="0" w:type="auto"/>
            <w:vAlign w:val="center"/>
            <w:hideMark/>
          </w:tcPr>
          <w:p w14:paraId="564AFC89"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15C7094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0.0003</w:t>
            </w:r>
            <w:r w:rsidRPr="00D655A9">
              <w:rPr>
                <w:rFonts w:eastAsia="Times New Roman" w:cs="Times New Roman"/>
                <w:sz w:val="14"/>
                <w:szCs w:val="14"/>
                <w:vertAlign w:val="superscript"/>
              </w:rPr>
              <w:t>***</w:t>
            </w:r>
          </w:p>
        </w:tc>
        <w:tc>
          <w:tcPr>
            <w:tcW w:w="0" w:type="auto"/>
            <w:vAlign w:val="center"/>
            <w:hideMark/>
          </w:tcPr>
          <w:p w14:paraId="0FBAFBA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0.0003</w:t>
            </w:r>
            <w:r w:rsidRPr="00D655A9">
              <w:rPr>
                <w:rFonts w:eastAsia="Times New Roman" w:cs="Times New Roman"/>
                <w:sz w:val="14"/>
                <w:szCs w:val="14"/>
                <w:vertAlign w:val="superscript"/>
              </w:rPr>
              <w:t>***</w:t>
            </w:r>
          </w:p>
        </w:tc>
        <w:tc>
          <w:tcPr>
            <w:tcW w:w="0" w:type="auto"/>
            <w:vAlign w:val="center"/>
            <w:hideMark/>
          </w:tcPr>
          <w:p w14:paraId="1353EA0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0.0003</w:t>
            </w:r>
            <w:r w:rsidRPr="00D655A9">
              <w:rPr>
                <w:rFonts w:eastAsia="Times New Roman" w:cs="Times New Roman"/>
                <w:sz w:val="14"/>
                <w:szCs w:val="14"/>
                <w:vertAlign w:val="superscript"/>
              </w:rPr>
              <w:t>***</w:t>
            </w:r>
          </w:p>
        </w:tc>
      </w:tr>
      <w:tr w:rsidR="00D655A9" w:rsidRPr="00D655A9" w14:paraId="43DAB547" w14:textId="77777777" w:rsidTr="009B3A57">
        <w:trPr>
          <w:tblCellSpacing w:w="15" w:type="dxa"/>
          <w:jc w:val="center"/>
        </w:trPr>
        <w:tc>
          <w:tcPr>
            <w:tcW w:w="0" w:type="auto"/>
            <w:vAlign w:val="center"/>
            <w:hideMark/>
          </w:tcPr>
          <w:p w14:paraId="20AC7E38"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472EEE8"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1843F57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(0.00001)</w:t>
            </w:r>
          </w:p>
        </w:tc>
        <w:tc>
          <w:tcPr>
            <w:tcW w:w="0" w:type="auto"/>
            <w:vAlign w:val="center"/>
            <w:hideMark/>
          </w:tcPr>
          <w:p w14:paraId="022D0FD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(0.00001)</w:t>
            </w:r>
          </w:p>
        </w:tc>
        <w:tc>
          <w:tcPr>
            <w:tcW w:w="0" w:type="auto"/>
            <w:vAlign w:val="center"/>
            <w:hideMark/>
          </w:tcPr>
          <w:p w14:paraId="15C50EE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(0.00003)</w:t>
            </w:r>
          </w:p>
        </w:tc>
      </w:tr>
      <w:tr w:rsidR="00D655A9" w:rsidRPr="00D655A9" w14:paraId="575C1DA5" w14:textId="77777777" w:rsidTr="009B3A57">
        <w:trPr>
          <w:tblCellSpacing w:w="15" w:type="dxa"/>
          <w:jc w:val="center"/>
        </w:trPr>
        <w:tc>
          <w:tcPr>
            <w:tcW w:w="0" w:type="auto"/>
            <w:vAlign w:val="center"/>
            <w:hideMark/>
          </w:tcPr>
          <w:p w14:paraId="38693617"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374CED44"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1D372C89"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8B44DA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813B6E3"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206610AC" w14:textId="77777777" w:rsidTr="009B3A57">
        <w:trPr>
          <w:tblCellSpacing w:w="15" w:type="dxa"/>
          <w:jc w:val="center"/>
        </w:trPr>
        <w:tc>
          <w:tcPr>
            <w:tcW w:w="0" w:type="auto"/>
            <w:vAlign w:val="center"/>
            <w:hideMark/>
          </w:tcPr>
          <w:p w14:paraId="03EA3476"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Median Age</w:t>
            </w:r>
          </w:p>
        </w:tc>
        <w:tc>
          <w:tcPr>
            <w:tcW w:w="0" w:type="auto"/>
            <w:vAlign w:val="center"/>
            <w:hideMark/>
          </w:tcPr>
          <w:p w14:paraId="4AEB4D76"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4007835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0.950</w:t>
            </w:r>
            <w:r w:rsidRPr="00D655A9">
              <w:rPr>
                <w:rFonts w:eastAsia="Times New Roman" w:cs="Times New Roman"/>
                <w:sz w:val="14"/>
                <w:szCs w:val="14"/>
                <w:vertAlign w:val="superscript"/>
              </w:rPr>
              <w:t>***</w:t>
            </w:r>
          </w:p>
        </w:tc>
        <w:tc>
          <w:tcPr>
            <w:tcW w:w="0" w:type="auto"/>
            <w:vAlign w:val="center"/>
            <w:hideMark/>
          </w:tcPr>
          <w:p w14:paraId="7B470B9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0.929</w:t>
            </w:r>
            <w:r w:rsidRPr="00D655A9">
              <w:rPr>
                <w:rFonts w:eastAsia="Times New Roman" w:cs="Times New Roman"/>
                <w:sz w:val="14"/>
                <w:szCs w:val="14"/>
                <w:vertAlign w:val="superscript"/>
              </w:rPr>
              <w:t>***</w:t>
            </w:r>
          </w:p>
        </w:tc>
        <w:tc>
          <w:tcPr>
            <w:tcW w:w="0" w:type="auto"/>
            <w:vAlign w:val="center"/>
            <w:hideMark/>
          </w:tcPr>
          <w:p w14:paraId="6F941E9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0.929</w:t>
            </w:r>
            <w:r w:rsidRPr="00D655A9">
              <w:rPr>
                <w:rFonts w:eastAsia="Times New Roman" w:cs="Times New Roman"/>
                <w:sz w:val="14"/>
                <w:szCs w:val="14"/>
                <w:vertAlign w:val="superscript"/>
              </w:rPr>
              <w:t>***</w:t>
            </w:r>
          </w:p>
        </w:tc>
      </w:tr>
      <w:tr w:rsidR="00D655A9" w:rsidRPr="00D655A9" w14:paraId="54F82177" w14:textId="77777777" w:rsidTr="009B3A57">
        <w:trPr>
          <w:tblCellSpacing w:w="15" w:type="dxa"/>
          <w:jc w:val="center"/>
        </w:trPr>
        <w:tc>
          <w:tcPr>
            <w:tcW w:w="0" w:type="auto"/>
            <w:vAlign w:val="center"/>
            <w:hideMark/>
          </w:tcPr>
          <w:p w14:paraId="069A6889"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CA8FF46"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2A56006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(0.018)</w:t>
            </w:r>
          </w:p>
        </w:tc>
        <w:tc>
          <w:tcPr>
            <w:tcW w:w="0" w:type="auto"/>
            <w:vAlign w:val="center"/>
            <w:hideMark/>
          </w:tcPr>
          <w:p w14:paraId="405AB03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(0.023)</w:t>
            </w:r>
          </w:p>
        </w:tc>
        <w:tc>
          <w:tcPr>
            <w:tcW w:w="0" w:type="auto"/>
            <w:vAlign w:val="center"/>
            <w:hideMark/>
          </w:tcPr>
          <w:p w14:paraId="7226C8F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(0.070)</w:t>
            </w:r>
          </w:p>
        </w:tc>
      </w:tr>
      <w:tr w:rsidR="00D655A9" w:rsidRPr="00D655A9" w14:paraId="1594280F" w14:textId="77777777" w:rsidTr="009B3A57">
        <w:trPr>
          <w:tblCellSpacing w:w="15" w:type="dxa"/>
          <w:jc w:val="center"/>
        </w:trPr>
        <w:tc>
          <w:tcPr>
            <w:tcW w:w="0" w:type="auto"/>
            <w:vAlign w:val="center"/>
            <w:hideMark/>
          </w:tcPr>
          <w:p w14:paraId="4E28B091"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A0A7874"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4EBBC27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41F741F"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5B68189"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59D1F6FD" w14:textId="77777777" w:rsidTr="009B3A57">
        <w:trPr>
          <w:tblCellSpacing w:w="15" w:type="dxa"/>
          <w:jc w:val="center"/>
        </w:trPr>
        <w:tc>
          <w:tcPr>
            <w:tcW w:w="0" w:type="auto"/>
            <w:vAlign w:val="center"/>
            <w:hideMark/>
          </w:tcPr>
          <w:p w14:paraId="6FD17F45"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 High School Degree</w:t>
            </w:r>
          </w:p>
        </w:tc>
        <w:tc>
          <w:tcPr>
            <w:tcW w:w="0" w:type="auto"/>
            <w:vAlign w:val="center"/>
            <w:hideMark/>
          </w:tcPr>
          <w:p w14:paraId="530C6045"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1CD6079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-0.329</w:t>
            </w:r>
            <w:r w:rsidRPr="00D655A9">
              <w:rPr>
                <w:rFonts w:eastAsia="Times New Roman" w:cs="Times New Roman"/>
                <w:sz w:val="14"/>
                <w:szCs w:val="14"/>
                <w:vertAlign w:val="superscript"/>
              </w:rPr>
              <w:t>***</w:t>
            </w:r>
          </w:p>
        </w:tc>
        <w:tc>
          <w:tcPr>
            <w:tcW w:w="0" w:type="auto"/>
            <w:vAlign w:val="center"/>
            <w:hideMark/>
          </w:tcPr>
          <w:p w14:paraId="59EEF5F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-0.327</w:t>
            </w:r>
            <w:r w:rsidRPr="00D655A9">
              <w:rPr>
                <w:rFonts w:eastAsia="Times New Roman" w:cs="Times New Roman"/>
                <w:sz w:val="14"/>
                <w:szCs w:val="14"/>
                <w:vertAlign w:val="superscript"/>
              </w:rPr>
              <w:t>***</w:t>
            </w:r>
          </w:p>
        </w:tc>
        <w:tc>
          <w:tcPr>
            <w:tcW w:w="0" w:type="auto"/>
            <w:vAlign w:val="center"/>
            <w:hideMark/>
          </w:tcPr>
          <w:p w14:paraId="3F5FD09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-0.327</w:t>
            </w:r>
            <w:r w:rsidRPr="00D655A9">
              <w:rPr>
                <w:rFonts w:eastAsia="Times New Roman" w:cs="Times New Roman"/>
                <w:sz w:val="14"/>
                <w:szCs w:val="14"/>
                <w:vertAlign w:val="superscript"/>
              </w:rPr>
              <w:t>***</w:t>
            </w:r>
          </w:p>
        </w:tc>
      </w:tr>
      <w:tr w:rsidR="00D655A9" w:rsidRPr="00D655A9" w14:paraId="0E2F4B02" w14:textId="77777777" w:rsidTr="009B3A57">
        <w:trPr>
          <w:tblCellSpacing w:w="15" w:type="dxa"/>
          <w:jc w:val="center"/>
        </w:trPr>
        <w:tc>
          <w:tcPr>
            <w:tcW w:w="0" w:type="auto"/>
            <w:vAlign w:val="center"/>
            <w:hideMark/>
          </w:tcPr>
          <w:p w14:paraId="66FD2259"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81B9364"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74F21BB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(0.017)</w:t>
            </w:r>
          </w:p>
        </w:tc>
        <w:tc>
          <w:tcPr>
            <w:tcW w:w="0" w:type="auto"/>
            <w:vAlign w:val="center"/>
            <w:hideMark/>
          </w:tcPr>
          <w:p w14:paraId="071F65F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(0.020)</w:t>
            </w:r>
          </w:p>
        </w:tc>
        <w:tc>
          <w:tcPr>
            <w:tcW w:w="0" w:type="auto"/>
            <w:vAlign w:val="center"/>
            <w:hideMark/>
          </w:tcPr>
          <w:p w14:paraId="5A97D76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(0.050)</w:t>
            </w:r>
          </w:p>
        </w:tc>
      </w:tr>
      <w:tr w:rsidR="00D655A9" w:rsidRPr="00D655A9" w14:paraId="37E27EA4" w14:textId="77777777" w:rsidTr="009B3A57">
        <w:trPr>
          <w:tblCellSpacing w:w="15" w:type="dxa"/>
          <w:jc w:val="center"/>
        </w:trPr>
        <w:tc>
          <w:tcPr>
            <w:tcW w:w="0" w:type="auto"/>
            <w:vAlign w:val="center"/>
            <w:hideMark/>
          </w:tcPr>
          <w:p w14:paraId="475D553B"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29B998A"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065E2C90"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5E0333A"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51A2AA2"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384F7525" w14:textId="77777777" w:rsidTr="009B3A57">
        <w:trPr>
          <w:tblCellSpacing w:w="15" w:type="dxa"/>
          <w:jc w:val="center"/>
        </w:trPr>
        <w:tc>
          <w:tcPr>
            <w:tcW w:w="0" w:type="auto"/>
            <w:vAlign w:val="center"/>
            <w:hideMark/>
          </w:tcPr>
          <w:p w14:paraId="072121BD"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Daily Change in COVID-19 Deaths (Per 100K)</w:t>
            </w:r>
          </w:p>
        </w:tc>
        <w:tc>
          <w:tcPr>
            <w:tcW w:w="0" w:type="auto"/>
            <w:vAlign w:val="center"/>
            <w:hideMark/>
          </w:tcPr>
          <w:p w14:paraId="1D180011"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3CC74CB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-0.084</w:t>
            </w:r>
            <w:r w:rsidRPr="00D655A9">
              <w:rPr>
                <w:rFonts w:eastAsia="Times New Roman" w:cs="Times New Roman"/>
                <w:sz w:val="14"/>
                <w:szCs w:val="14"/>
                <w:vertAlign w:val="superscript"/>
              </w:rPr>
              <w:t>***</w:t>
            </w:r>
          </w:p>
        </w:tc>
        <w:tc>
          <w:tcPr>
            <w:tcW w:w="0" w:type="auto"/>
            <w:vAlign w:val="center"/>
            <w:hideMark/>
          </w:tcPr>
          <w:p w14:paraId="44D5E4D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-0.068</w:t>
            </w:r>
            <w:r w:rsidRPr="00D655A9">
              <w:rPr>
                <w:rFonts w:eastAsia="Times New Roman" w:cs="Times New Roman"/>
                <w:sz w:val="14"/>
                <w:szCs w:val="14"/>
                <w:vertAlign w:val="superscript"/>
              </w:rPr>
              <w:t>***</w:t>
            </w:r>
          </w:p>
        </w:tc>
        <w:tc>
          <w:tcPr>
            <w:tcW w:w="0" w:type="auto"/>
            <w:vAlign w:val="center"/>
            <w:hideMark/>
          </w:tcPr>
          <w:p w14:paraId="5CB8CAF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-0.068</w:t>
            </w:r>
            <w:r w:rsidRPr="00D655A9">
              <w:rPr>
                <w:rFonts w:eastAsia="Times New Roman" w:cs="Times New Roman"/>
                <w:sz w:val="14"/>
                <w:szCs w:val="14"/>
                <w:vertAlign w:val="superscript"/>
              </w:rPr>
              <w:t>***</w:t>
            </w:r>
          </w:p>
        </w:tc>
      </w:tr>
      <w:tr w:rsidR="00D655A9" w:rsidRPr="00D655A9" w14:paraId="31058BF1" w14:textId="77777777" w:rsidTr="009B3A57">
        <w:trPr>
          <w:tblCellSpacing w:w="15" w:type="dxa"/>
          <w:jc w:val="center"/>
        </w:trPr>
        <w:tc>
          <w:tcPr>
            <w:tcW w:w="0" w:type="auto"/>
            <w:vAlign w:val="center"/>
            <w:hideMark/>
          </w:tcPr>
          <w:p w14:paraId="5B4DD93E"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4940054"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4CDD8A6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(0.014)</w:t>
            </w:r>
          </w:p>
        </w:tc>
        <w:tc>
          <w:tcPr>
            <w:tcW w:w="0" w:type="auto"/>
            <w:vAlign w:val="center"/>
            <w:hideMark/>
          </w:tcPr>
          <w:p w14:paraId="6A1477B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(0.013)</w:t>
            </w:r>
          </w:p>
        </w:tc>
        <w:tc>
          <w:tcPr>
            <w:tcW w:w="0" w:type="auto"/>
            <w:vAlign w:val="center"/>
            <w:hideMark/>
          </w:tcPr>
          <w:p w14:paraId="2E41E54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(0.021)</w:t>
            </w:r>
          </w:p>
        </w:tc>
      </w:tr>
      <w:tr w:rsidR="00D655A9" w:rsidRPr="00D655A9" w14:paraId="4AE72E8D" w14:textId="77777777" w:rsidTr="009B3A57">
        <w:trPr>
          <w:tblCellSpacing w:w="15" w:type="dxa"/>
          <w:jc w:val="center"/>
        </w:trPr>
        <w:tc>
          <w:tcPr>
            <w:tcW w:w="0" w:type="auto"/>
            <w:vAlign w:val="center"/>
            <w:hideMark/>
          </w:tcPr>
          <w:p w14:paraId="3CD66A67"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8BCC0B2"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4C3926E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7958B1C"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F06974C"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6CEA491D" w14:textId="77777777" w:rsidTr="009B3A57">
        <w:trPr>
          <w:tblCellSpacing w:w="15" w:type="dxa"/>
          <w:jc w:val="center"/>
        </w:trPr>
        <w:tc>
          <w:tcPr>
            <w:tcW w:w="0" w:type="auto"/>
            <w:vAlign w:val="center"/>
            <w:hideMark/>
          </w:tcPr>
          <w:p w14:paraId="21F1BF4D"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 xml:space="preserve">Condition: </w:t>
            </w:r>
            <w:bookmarkStart w:id="5" w:name="_Hlk64903435"/>
            <w:r w:rsidRPr="00D655A9">
              <w:rPr>
                <w:rFonts w:eastAsia="Times New Roman" w:cs="Times New Roman"/>
                <w:sz w:val="14"/>
                <w:szCs w:val="14"/>
              </w:rPr>
              <w:t xml:space="preserve">Excuse-Needed to No Excuse-Needed </w:t>
            </w:r>
            <w:bookmarkEnd w:id="5"/>
            <w:r w:rsidRPr="00D655A9">
              <w:rPr>
                <w:rFonts w:eastAsia="Times New Roman" w:cs="Times New Roman"/>
                <w:sz w:val="14"/>
                <w:szCs w:val="14"/>
              </w:rPr>
              <w:t>x Year: 2020</w:t>
            </w:r>
          </w:p>
        </w:tc>
        <w:tc>
          <w:tcPr>
            <w:tcW w:w="0" w:type="auto"/>
            <w:vAlign w:val="center"/>
            <w:hideMark/>
          </w:tcPr>
          <w:p w14:paraId="5244ABE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-1.419</w:t>
            </w:r>
            <w:r w:rsidRPr="00D655A9">
              <w:rPr>
                <w:rFonts w:eastAsia="Times New Roman" w:cs="Times New Roman"/>
                <w:sz w:val="14"/>
                <w:szCs w:val="14"/>
                <w:vertAlign w:val="superscript"/>
              </w:rPr>
              <w:t>**</w:t>
            </w:r>
          </w:p>
        </w:tc>
        <w:tc>
          <w:tcPr>
            <w:tcW w:w="0" w:type="auto"/>
            <w:vAlign w:val="center"/>
            <w:hideMark/>
          </w:tcPr>
          <w:p w14:paraId="2F83F9A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-1.695</w:t>
            </w:r>
            <w:r w:rsidRPr="00D655A9">
              <w:rPr>
                <w:rFonts w:eastAsia="Times New Roman" w:cs="Times New Roman"/>
                <w:sz w:val="14"/>
                <w:szCs w:val="14"/>
                <w:vertAlign w:val="superscript"/>
              </w:rPr>
              <w:t>***</w:t>
            </w:r>
          </w:p>
        </w:tc>
        <w:tc>
          <w:tcPr>
            <w:tcW w:w="0" w:type="auto"/>
            <w:vAlign w:val="center"/>
            <w:hideMark/>
          </w:tcPr>
          <w:p w14:paraId="750DB76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-1.721</w:t>
            </w:r>
            <w:r w:rsidRPr="00D655A9">
              <w:rPr>
                <w:rFonts w:eastAsia="Times New Roman" w:cs="Times New Roman"/>
                <w:sz w:val="14"/>
                <w:szCs w:val="14"/>
                <w:vertAlign w:val="superscript"/>
              </w:rPr>
              <w:t>***</w:t>
            </w:r>
          </w:p>
        </w:tc>
        <w:tc>
          <w:tcPr>
            <w:tcW w:w="0" w:type="auto"/>
            <w:vAlign w:val="center"/>
            <w:hideMark/>
          </w:tcPr>
          <w:p w14:paraId="2A4324D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-1.721</w:t>
            </w:r>
            <w:r w:rsidRPr="00D655A9">
              <w:rPr>
                <w:rFonts w:eastAsia="Times New Roman" w:cs="Times New Roman"/>
                <w:sz w:val="14"/>
                <w:szCs w:val="14"/>
                <w:vertAlign w:val="superscript"/>
              </w:rPr>
              <w:t>**</w:t>
            </w:r>
          </w:p>
        </w:tc>
      </w:tr>
      <w:tr w:rsidR="00D655A9" w:rsidRPr="00D655A9" w14:paraId="12B5EF32" w14:textId="77777777" w:rsidTr="009B3A57">
        <w:trPr>
          <w:tblCellSpacing w:w="15" w:type="dxa"/>
          <w:jc w:val="center"/>
        </w:trPr>
        <w:tc>
          <w:tcPr>
            <w:tcW w:w="0" w:type="auto"/>
            <w:vAlign w:val="center"/>
            <w:hideMark/>
          </w:tcPr>
          <w:p w14:paraId="7303D00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45064F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(0.600)</w:t>
            </w:r>
          </w:p>
        </w:tc>
        <w:tc>
          <w:tcPr>
            <w:tcW w:w="0" w:type="auto"/>
            <w:vAlign w:val="center"/>
            <w:hideMark/>
          </w:tcPr>
          <w:p w14:paraId="4B3F7D5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(0.438)</w:t>
            </w:r>
          </w:p>
        </w:tc>
        <w:tc>
          <w:tcPr>
            <w:tcW w:w="0" w:type="auto"/>
            <w:vAlign w:val="center"/>
            <w:hideMark/>
          </w:tcPr>
          <w:p w14:paraId="5DB8C32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(0.339)</w:t>
            </w:r>
          </w:p>
        </w:tc>
        <w:tc>
          <w:tcPr>
            <w:tcW w:w="0" w:type="auto"/>
            <w:vAlign w:val="center"/>
            <w:hideMark/>
          </w:tcPr>
          <w:p w14:paraId="1422B63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(0.853)</w:t>
            </w:r>
          </w:p>
        </w:tc>
      </w:tr>
      <w:tr w:rsidR="00D655A9" w:rsidRPr="00D655A9" w14:paraId="7FE2E7E0" w14:textId="77777777" w:rsidTr="009B3A57">
        <w:trPr>
          <w:tblCellSpacing w:w="15" w:type="dxa"/>
          <w:jc w:val="center"/>
        </w:trPr>
        <w:tc>
          <w:tcPr>
            <w:tcW w:w="0" w:type="auto"/>
            <w:vAlign w:val="center"/>
            <w:hideMark/>
          </w:tcPr>
          <w:p w14:paraId="68A60B0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5012E42"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59586E58"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308E140A"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5A396F4"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066259C3" w14:textId="77777777" w:rsidTr="009B3A57">
        <w:trPr>
          <w:tblCellSpacing w:w="15" w:type="dxa"/>
          <w:jc w:val="center"/>
        </w:trPr>
        <w:tc>
          <w:tcPr>
            <w:tcW w:w="0" w:type="auto"/>
            <w:vAlign w:val="center"/>
            <w:hideMark/>
          </w:tcPr>
          <w:p w14:paraId="3EE68964"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Excuse-Needed to Applications Sent x Year: 2020</w:t>
            </w:r>
          </w:p>
        </w:tc>
        <w:tc>
          <w:tcPr>
            <w:tcW w:w="0" w:type="auto"/>
            <w:vAlign w:val="center"/>
            <w:hideMark/>
          </w:tcPr>
          <w:p w14:paraId="2D31957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1.814</w:t>
            </w:r>
          </w:p>
        </w:tc>
        <w:tc>
          <w:tcPr>
            <w:tcW w:w="0" w:type="auto"/>
            <w:vAlign w:val="center"/>
            <w:hideMark/>
          </w:tcPr>
          <w:p w14:paraId="62401C1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0.655</w:t>
            </w:r>
          </w:p>
        </w:tc>
        <w:tc>
          <w:tcPr>
            <w:tcW w:w="0" w:type="auto"/>
            <w:vAlign w:val="center"/>
            <w:hideMark/>
          </w:tcPr>
          <w:p w14:paraId="5083B0F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0.661</w:t>
            </w:r>
          </w:p>
        </w:tc>
        <w:tc>
          <w:tcPr>
            <w:tcW w:w="0" w:type="auto"/>
            <w:vAlign w:val="center"/>
            <w:hideMark/>
          </w:tcPr>
          <w:p w14:paraId="67280C0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0.661</w:t>
            </w:r>
          </w:p>
        </w:tc>
      </w:tr>
      <w:tr w:rsidR="00D655A9" w:rsidRPr="00D655A9" w14:paraId="378F5402" w14:textId="77777777" w:rsidTr="009B3A57">
        <w:trPr>
          <w:tblCellSpacing w:w="15" w:type="dxa"/>
          <w:jc w:val="center"/>
        </w:trPr>
        <w:tc>
          <w:tcPr>
            <w:tcW w:w="0" w:type="auto"/>
            <w:vAlign w:val="center"/>
            <w:hideMark/>
          </w:tcPr>
          <w:p w14:paraId="061A52ED"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3AEC13B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(1.291)</w:t>
            </w:r>
          </w:p>
        </w:tc>
        <w:tc>
          <w:tcPr>
            <w:tcW w:w="0" w:type="auto"/>
            <w:vAlign w:val="center"/>
            <w:hideMark/>
          </w:tcPr>
          <w:p w14:paraId="0DBCD6C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(0.936)</w:t>
            </w:r>
          </w:p>
        </w:tc>
        <w:tc>
          <w:tcPr>
            <w:tcW w:w="0" w:type="auto"/>
            <w:vAlign w:val="center"/>
            <w:hideMark/>
          </w:tcPr>
          <w:p w14:paraId="208869D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(0.723)</w:t>
            </w:r>
          </w:p>
        </w:tc>
        <w:tc>
          <w:tcPr>
            <w:tcW w:w="0" w:type="auto"/>
            <w:vAlign w:val="center"/>
            <w:hideMark/>
          </w:tcPr>
          <w:p w14:paraId="2C50EC8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(1.232)</w:t>
            </w:r>
          </w:p>
        </w:tc>
      </w:tr>
      <w:tr w:rsidR="00D655A9" w:rsidRPr="00D655A9" w14:paraId="7C4D708B" w14:textId="77777777" w:rsidTr="009B3A57">
        <w:trPr>
          <w:tblCellSpacing w:w="15" w:type="dxa"/>
          <w:jc w:val="center"/>
        </w:trPr>
        <w:tc>
          <w:tcPr>
            <w:tcW w:w="0" w:type="auto"/>
            <w:vAlign w:val="center"/>
            <w:hideMark/>
          </w:tcPr>
          <w:p w14:paraId="10969D75"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D2344FA"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4D1A22DB"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EB80518"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4A86C3E"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02873CF8" w14:textId="77777777" w:rsidTr="009B3A57">
        <w:trPr>
          <w:tblCellSpacing w:w="15" w:type="dxa"/>
          <w:jc w:val="center"/>
        </w:trPr>
        <w:tc>
          <w:tcPr>
            <w:tcW w:w="0" w:type="auto"/>
            <w:vAlign w:val="center"/>
            <w:hideMark/>
          </w:tcPr>
          <w:p w14:paraId="41E38599"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No Excuse-Needed to Applications Sent x Year: 2020</w:t>
            </w:r>
          </w:p>
        </w:tc>
        <w:tc>
          <w:tcPr>
            <w:tcW w:w="0" w:type="auto"/>
            <w:vAlign w:val="center"/>
            <w:hideMark/>
          </w:tcPr>
          <w:p w14:paraId="5089173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-1.134</w:t>
            </w:r>
            <w:r w:rsidRPr="00D655A9">
              <w:rPr>
                <w:rFonts w:eastAsia="Times New Roman" w:cs="Times New Roman"/>
                <w:sz w:val="14"/>
                <w:szCs w:val="14"/>
                <w:vertAlign w:val="superscript"/>
              </w:rPr>
              <w:t>*</w:t>
            </w:r>
          </w:p>
        </w:tc>
        <w:tc>
          <w:tcPr>
            <w:tcW w:w="0" w:type="auto"/>
            <w:vAlign w:val="center"/>
            <w:hideMark/>
          </w:tcPr>
          <w:p w14:paraId="364CBAF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-1.464</w:t>
            </w:r>
            <w:r w:rsidRPr="00D655A9">
              <w:rPr>
                <w:rFonts w:eastAsia="Times New Roman" w:cs="Times New Roman"/>
                <w:sz w:val="14"/>
                <w:szCs w:val="14"/>
                <w:vertAlign w:val="superscript"/>
              </w:rPr>
              <w:t>***</w:t>
            </w:r>
          </w:p>
        </w:tc>
        <w:tc>
          <w:tcPr>
            <w:tcW w:w="0" w:type="auto"/>
            <w:vAlign w:val="center"/>
            <w:hideMark/>
          </w:tcPr>
          <w:p w14:paraId="38ADD76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-1.436</w:t>
            </w:r>
            <w:r w:rsidRPr="00D655A9">
              <w:rPr>
                <w:rFonts w:eastAsia="Times New Roman" w:cs="Times New Roman"/>
                <w:sz w:val="14"/>
                <w:szCs w:val="14"/>
                <w:vertAlign w:val="superscript"/>
              </w:rPr>
              <w:t>***</w:t>
            </w:r>
          </w:p>
        </w:tc>
        <w:tc>
          <w:tcPr>
            <w:tcW w:w="0" w:type="auto"/>
            <w:vAlign w:val="center"/>
            <w:hideMark/>
          </w:tcPr>
          <w:p w14:paraId="002E127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-1.436</w:t>
            </w:r>
            <w:r w:rsidRPr="00D655A9">
              <w:rPr>
                <w:rFonts w:eastAsia="Times New Roman" w:cs="Times New Roman"/>
                <w:sz w:val="14"/>
                <w:szCs w:val="14"/>
                <w:vertAlign w:val="superscript"/>
              </w:rPr>
              <w:t>*</w:t>
            </w:r>
          </w:p>
        </w:tc>
      </w:tr>
      <w:tr w:rsidR="00D655A9" w:rsidRPr="00D655A9" w14:paraId="72CD3FD4" w14:textId="77777777" w:rsidTr="009B3A57">
        <w:trPr>
          <w:tblCellSpacing w:w="15" w:type="dxa"/>
          <w:jc w:val="center"/>
        </w:trPr>
        <w:tc>
          <w:tcPr>
            <w:tcW w:w="0" w:type="auto"/>
            <w:vAlign w:val="center"/>
            <w:hideMark/>
          </w:tcPr>
          <w:p w14:paraId="193AB27D"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BDE36B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(0.636)</w:t>
            </w:r>
          </w:p>
        </w:tc>
        <w:tc>
          <w:tcPr>
            <w:tcW w:w="0" w:type="auto"/>
            <w:vAlign w:val="center"/>
            <w:hideMark/>
          </w:tcPr>
          <w:p w14:paraId="16E527B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(0.463)</w:t>
            </w:r>
          </w:p>
        </w:tc>
        <w:tc>
          <w:tcPr>
            <w:tcW w:w="0" w:type="auto"/>
            <w:vAlign w:val="center"/>
            <w:hideMark/>
          </w:tcPr>
          <w:p w14:paraId="7030651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(0.358)</w:t>
            </w:r>
          </w:p>
        </w:tc>
        <w:tc>
          <w:tcPr>
            <w:tcW w:w="0" w:type="auto"/>
            <w:vAlign w:val="center"/>
            <w:hideMark/>
          </w:tcPr>
          <w:p w14:paraId="0BA2777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(0.766)</w:t>
            </w:r>
          </w:p>
        </w:tc>
      </w:tr>
      <w:tr w:rsidR="00D655A9" w:rsidRPr="00D655A9" w14:paraId="5892B3AF" w14:textId="77777777" w:rsidTr="009B3A57">
        <w:trPr>
          <w:tblCellSpacing w:w="15" w:type="dxa"/>
          <w:jc w:val="center"/>
        </w:trPr>
        <w:tc>
          <w:tcPr>
            <w:tcW w:w="0" w:type="auto"/>
            <w:vAlign w:val="center"/>
            <w:hideMark/>
          </w:tcPr>
          <w:p w14:paraId="4716AC0A"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BD2D792"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72A4D101"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37F312D1"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325B4B8"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5D2943B6" w14:textId="77777777" w:rsidTr="009B3A57">
        <w:trPr>
          <w:tblCellSpacing w:w="15" w:type="dxa"/>
          <w:jc w:val="center"/>
        </w:trPr>
        <w:tc>
          <w:tcPr>
            <w:tcW w:w="0" w:type="auto"/>
            <w:vAlign w:val="center"/>
            <w:hideMark/>
          </w:tcPr>
          <w:p w14:paraId="0F042D4D"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No Excuse-Needed to Ballots Sent x Year: 2020</w:t>
            </w:r>
          </w:p>
        </w:tc>
        <w:tc>
          <w:tcPr>
            <w:tcW w:w="0" w:type="auto"/>
            <w:vAlign w:val="center"/>
            <w:hideMark/>
          </w:tcPr>
          <w:p w14:paraId="2E4A9C9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3.514</w:t>
            </w:r>
            <w:r w:rsidRPr="00D655A9">
              <w:rPr>
                <w:rFonts w:eastAsia="Times New Roman" w:cs="Times New Roman"/>
                <w:sz w:val="14"/>
                <w:szCs w:val="14"/>
                <w:vertAlign w:val="superscript"/>
              </w:rPr>
              <w:t>***</w:t>
            </w:r>
          </w:p>
        </w:tc>
        <w:tc>
          <w:tcPr>
            <w:tcW w:w="0" w:type="auto"/>
            <w:vAlign w:val="center"/>
            <w:hideMark/>
          </w:tcPr>
          <w:p w14:paraId="7F6640D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2.394</w:t>
            </w:r>
            <w:r w:rsidRPr="00D655A9">
              <w:rPr>
                <w:rFonts w:eastAsia="Times New Roman" w:cs="Times New Roman"/>
                <w:sz w:val="14"/>
                <w:szCs w:val="14"/>
                <w:vertAlign w:val="superscript"/>
              </w:rPr>
              <w:t>***</w:t>
            </w:r>
          </w:p>
        </w:tc>
        <w:tc>
          <w:tcPr>
            <w:tcW w:w="0" w:type="auto"/>
            <w:vAlign w:val="center"/>
            <w:hideMark/>
          </w:tcPr>
          <w:p w14:paraId="10D27F3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2.396</w:t>
            </w:r>
            <w:r w:rsidRPr="00D655A9">
              <w:rPr>
                <w:rFonts w:eastAsia="Times New Roman" w:cs="Times New Roman"/>
                <w:sz w:val="14"/>
                <w:szCs w:val="14"/>
                <w:vertAlign w:val="superscript"/>
              </w:rPr>
              <w:t>***</w:t>
            </w:r>
          </w:p>
        </w:tc>
        <w:tc>
          <w:tcPr>
            <w:tcW w:w="0" w:type="auto"/>
            <w:vAlign w:val="center"/>
            <w:hideMark/>
          </w:tcPr>
          <w:p w14:paraId="7666B48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2.396</w:t>
            </w:r>
            <w:r w:rsidRPr="00D655A9">
              <w:rPr>
                <w:rFonts w:eastAsia="Times New Roman" w:cs="Times New Roman"/>
                <w:sz w:val="14"/>
                <w:szCs w:val="14"/>
                <w:vertAlign w:val="superscript"/>
              </w:rPr>
              <w:t>***</w:t>
            </w:r>
          </w:p>
        </w:tc>
      </w:tr>
      <w:tr w:rsidR="00D655A9" w:rsidRPr="00D655A9" w14:paraId="19A0DE3F" w14:textId="77777777" w:rsidTr="009B3A57">
        <w:trPr>
          <w:tblCellSpacing w:w="15" w:type="dxa"/>
          <w:jc w:val="center"/>
        </w:trPr>
        <w:tc>
          <w:tcPr>
            <w:tcW w:w="0" w:type="auto"/>
            <w:vAlign w:val="center"/>
            <w:hideMark/>
          </w:tcPr>
          <w:p w14:paraId="131789D7"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90FC61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(1.086)</w:t>
            </w:r>
          </w:p>
        </w:tc>
        <w:tc>
          <w:tcPr>
            <w:tcW w:w="0" w:type="auto"/>
            <w:vAlign w:val="center"/>
            <w:hideMark/>
          </w:tcPr>
          <w:p w14:paraId="3D2F10A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(0.787)</w:t>
            </w:r>
          </w:p>
        </w:tc>
        <w:tc>
          <w:tcPr>
            <w:tcW w:w="0" w:type="auto"/>
            <w:vAlign w:val="center"/>
            <w:hideMark/>
          </w:tcPr>
          <w:p w14:paraId="519FE97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(0.609)</w:t>
            </w:r>
          </w:p>
        </w:tc>
        <w:tc>
          <w:tcPr>
            <w:tcW w:w="0" w:type="auto"/>
            <w:vAlign w:val="center"/>
            <w:hideMark/>
          </w:tcPr>
          <w:p w14:paraId="7ECD00B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(0.896)</w:t>
            </w:r>
          </w:p>
        </w:tc>
      </w:tr>
      <w:tr w:rsidR="00D655A9" w:rsidRPr="00D655A9" w14:paraId="57857586" w14:textId="77777777" w:rsidTr="009B3A57">
        <w:trPr>
          <w:tblCellSpacing w:w="15" w:type="dxa"/>
          <w:jc w:val="center"/>
        </w:trPr>
        <w:tc>
          <w:tcPr>
            <w:tcW w:w="0" w:type="auto"/>
            <w:vAlign w:val="center"/>
            <w:hideMark/>
          </w:tcPr>
          <w:p w14:paraId="4B7ADD3E"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38682DE"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1A575558"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2371CA84"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F72F09C"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055E35BF" w14:textId="77777777" w:rsidTr="009B3A57">
        <w:trPr>
          <w:tblCellSpacing w:w="15" w:type="dxa"/>
          <w:jc w:val="center"/>
        </w:trPr>
        <w:tc>
          <w:tcPr>
            <w:tcW w:w="0" w:type="auto"/>
            <w:vAlign w:val="center"/>
            <w:hideMark/>
          </w:tcPr>
          <w:p w14:paraId="35FA8240"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Constant</w:t>
            </w:r>
          </w:p>
        </w:tc>
        <w:tc>
          <w:tcPr>
            <w:tcW w:w="0" w:type="auto"/>
            <w:vAlign w:val="center"/>
            <w:hideMark/>
          </w:tcPr>
          <w:p w14:paraId="6663B2A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57.932</w:t>
            </w:r>
            <w:r w:rsidRPr="00D655A9">
              <w:rPr>
                <w:rFonts w:eastAsia="Times New Roman" w:cs="Times New Roman"/>
                <w:sz w:val="14"/>
                <w:szCs w:val="14"/>
                <w:vertAlign w:val="superscript"/>
              </w:rPr>
              <w:t>***</w:t>
            </w:r>
          </w:p>
        </w:tc>
        <w:tc>
          <w:tcPr>
            <w:tcW w:w="0" w:type="auto"/>
            <w:vAlign w:val="center"/>
            <w:hideMark/>
          </w:tcPr>
          <w:p w14:paraId="19C9B5F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15.386</w:t>
            </w:r>
            <w:r w:rsidRPr="00D655A9">
              <w:rPr>
                <w:rFonts w:eastAsia="Times New Roman" w:cs="Times New Roman"/>
                <w:sz w:val="14"/>
                <w:szCs w:val="14"/>
                <w:vertAlign w:val="superscript"/>
              </w:rPr>
              <w:t>***</w:t>
            </w:r>
          </w:p>
        </w:tc>
        <w:tc>
          <w:tcPr>
            <w:tcW w:w="0" w:type="auto"/>
            <w:vAlign w:val="center"/>
            <w:hideMark/>
          </w:tcPr>
          <w:p w14:paraId="6A56A3E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14.275</w:t>
            </w:r>
            <w:r w:rsidRPr="00D655A9">
              <w:rPr>
                <w:rFonts w:eastAsia="Times New Roman" w:cs="Times New Roman"/>
                <w:sz w:val="14"/>
                <w:szCs w:val="14"/>
                <w:vertAlign w:val="superscript"/>
              </w:rPr>
              <w:t>***</w:t>
            </w:r>
          </w:p>
        </w:tc>
        <w:tc>
          <w:tcPr>
            <w:tcW w:w="0" w:type="auto"/>
            <w:vAlign w:val="center"/>
            <w:hideMark/>
          </w:tcPr>
          <w:p w14:paraId="18DA2F8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14.275</w:t>
            </w:r>
            <w:r w:rsidRPr="00D655A9">
              <w:rPr>
                <w:rFonts w:eastAsia="Times New Roman" w:cs="Times New Roman"/>
                <w:sz w:val="14"/>
                <w:szCs w:val="14"/>
                <w:vertAlign w:val="superscript"/>
              </w:rPr>
              <w:t>***</w:t>
            </w:r>
          </w:p>
        </w:tc>
      </w:tr>
      <w:tr w:rsidR="00D655A9" w:rsidRPr="00D655A9" w14:paraId="631BD3C7" w14:textId="77777777" w:rsidTr="009B3A57">
        <w:trPr>
          <w:tblCellSpacing w:w="15" w:type="dxa"/>
          <w:jc w:val="center"/>
        </w:trPr>
        <w:tc>
          <w:tcPr>
            <w:tcW w:w="0" w:type="auto"/>
            <w:vAlign w:val="center"/>
            <w:hideMark/>
          </w:tcPr>
          <w:p w14:paraId="0A40A2DA"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CB43D1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(0.248)</w:t>
            </w:r>
          </w:p>
        </w:tc>
        <w:tc>
          <w:tcPr>
            <w:tcW w:w="0" w:type="auto"/>
            <w:vAlign w:val="center"/>
            <w:hideMark/>
          </w:tcPr>
          <w:p w14:paraId="5998888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(1.107)</w:t>
            </w:r>
          </w:p>
        </w:tc>
        <w:tc>
          <w:tcPr>
            <w:tcW w:w="0" w:type="auto"/>
            <w:vAlign w:val="center"/>
            <w:hideMark/>
          </w:tcPr>
          <w:p w14:paraId="4BBA6F8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(3.988)</w:t>
            </w:r>
          </w:p>
        </w:tc>
        <w:tc>
          <w:tcPr>
            <w:tcW w:w="0" w:type="auto"/>
            <w:vAlign w:val="center"/>
            <w:hideMark/>
          </w:tcPr>
          <w:p w14:paraId="4A5612C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(5.422)</w:t>
            </w:r>
          </w:p>
        </w:tc>
      </w:tr>
      <w:tr w:rsidR="00D655A9" w:rsidRPr="00D655A9" w14:paraId="3FAC36B2" w14:textId="77777777" w:rsidTr="009B3A57">
        <w:trPr>
          <w:tblCellSpacing w:w="15" w:type="dxa"/>
          <w:jc w:val="center"/>
        </w:trPr>
        <w:tc>
          <w:tcPr>
            <w:tcW w:w="0" w:type="auto"/>
            <w:vAlign w:val="center"/>
            <w:hideMark/>
          </w:tcPr>
          <w:p w14:paraId="3D9877EC"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D3D7187"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593904E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B7D3ED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EDFEDA3"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3FB3FA38" w14:textId="77777777" w:rsidTr="009B3A57">
        <w:trPr>
          <w:tblCellSpacing w:w="15" w:type="dxa"/>
          <w:jc w:val="center"/>
        </w:trPr>
        <w:tc>
          <w:tcPr>
            <w:tcW w:w="0" w:type="auto"/>
            <w:gridSpan w:val="5"/>
            <w:tcBorders>
              <w:bottom w:val="single" w:sz="6" w:space="0" w:color="000000"/>
            </w:tcBorders>
            <w:vAlign w:val="center"/>
            <w:hideMark/>
          </w:tcPr>
          <w:p w14:paraId="4CBB1225"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7C59CD07" w14:textId="77777777" w:rsidTr="009B3A57">
        <w:trPr>
          <w:tblCellSpacing w:w="15" w:type="dxa"/>
          <w:jc w:val="center"/>
        </w:trPr>
        <w:tc>
          <w:tcPr>
            <w:tcW w:w="0" w:type="auto"/>
            <w:vAlign w:val="center"/>
            <w:hideMark/>
          </w:tcPr>
          <w:p w14:paraId="76931BF2"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Observations</w:t>
            </w:r>
          </w:p>
        </w:tc>
        <w:tc>
          <w:tcPr>
            <w:tcW w:w="0" w:type="auto"/>
            <w:vAlign w:val="center"/>
            <w:hideMark/>
          </w:tcPr>
          <w:p w14:paraId="04A3F87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6,222</w:t>
            </w:r>
          </w:p>
        </w:tc>
        <w:tc>
          <w:tcPr>
            <w:tcW w:w="0" w:type="auto"/>
            <w:vAlign w:val="center"/>
            <w:hideMark/>
          </w:tcPr>
          <w:p w14:paraId="217EE5B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6,181</w:t>
            </w:r>
          </w:p>
        </w:tc>
        <w:tc>
          <w:tcPr>
            <w:tcW w:w="0" w:type="auto"/>
            <w:vAlign w:val="center"/>
            <w:hideMark/>
          </w:tcPr>
          <w:p w14:paraId="1C3E543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6,181</w:t>
            </w:r>
          </w:p>
        </w:tc>
        <w:tc>
          <w:tcPr>
            <w:tcW w:w="0" w:type="auto"/>
            <w:vAlign w:val="center"/>
            <w:hideMark/>
          </w:tcPr>
          <w:p w14:paraId="1E31ECE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6,181</w:t>
            </w:r>
          </w:p>
        </w:tc>
      </w:tr>
      <w:tr w:rsidR="00D655A9" w:rsidRPr="00D655A9" w14:paraId="74F979CC" w14:textId="77777777" w:rsidTr="009B3A57">
        <w:trPr>
          <w:tblCellSpacing w:w="15" w:type="dxa"/>
          <w:jc w:val="center"/>
        </w:trPr>
        <w:tc>
          <w:tcPr>
            <w:tcW w:w="0" w:type="auto"/>
            <w:vAlign w:val="center"/>
            <w:hideMark/>
          </w:tcPr>
          <w:p w14:paraId="1C1B7C75"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Adjusted R</w:t>
            </w:r>
            <w:r w:rsidRPr="00D655A9">
              <w:rPr>
                <w:rFonts w:eastAsia="Times New Roman" w:cs="Times New Roman"/>
                <w:sz w:val="14"/>
                <w:szCs w:val="14"/>
                <w:vertAlign w:val="superscript"/>
              </w:rPr>
              <w:t>2</w:t>
            </w:r>
          </w:p>
        </w:tc>
        <w:tc>
          <w:tcPr>
            <w:tcW w:w="0" w:type="auto"/>
            <w:vAlign w:val="center"/>
            <w:hideMark/>
          </w:tcPr>
          <w:p w14:paraId="6582522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0.184</w:t>
            </w:r>
          </w:p>
        </w:tc>
        <w:tc>
          <w:tcPr>
            <w:tcW w:w="0" w:type="auto"/>
            <w:vAlign w:val="center"/>
            <w:hideMark/>
          </w:tcPr>
          <w:p w14:paraId="5397284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0.574</w:t>
            </w:r>
          </w:p>
        </w:tc>
        <w:tc>
          <w:tcPr>
            <w:tcW w:w="0" w:type="auto"/>
            <w:vAlign w:val="center"/>
            <w:hideMark/>
          </w:tcPr>
          <w:p w14:paraId="68F0A11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0.746</w:t>
            </w:r>
          </w:p>
        </w:tc>
        <w:tc>
          <w:tcPr>
            <w:tcW w:w="0" w:type="auto"/>
            <w:vAlign w:val="center"/>
            <w:hideMark/>
          </w:tcPr>
          <w:p w14:paraId="7260571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0.746</w:t>
            </w:r>
          </w:p>
        </w:tc>
      </w:tr>
      <w:tr w:rsidR="00D655A9" w:rsidRPr="00D655A9" w14:paraId="75BC74E5" w14:textId="77777777" w:rsidTr="009B3A57">
        <w:trPr>
          <w:tblCellSpacing w:w="15" w:type="dxa"/>
          <w:jc w:val="center"/>
        </w:trPr>
        <w:tc>
          <w:tcPr>
            <w:tcW w:w="0" w:type="auto"/>
            <w:vAlign w:val="center"/>
            <w:hideMark/>
          </w:tcPr>
          <w:p w14:paraId="21C277BB"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Residual Std. Error</w:t>
            </w:r>
          </w:p>
        </w:tc>
        <w:tc>
          <w:tcPr>
            <w:tcW w:w="0" w:type="auto"/>
            <w:vAlign w:val="center"/>
            <w:hideMark/>
          </w:tcPr>
          <w:p w14:paraId="3C77F4B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9.422 (df = 6212)</w:t>
            </w:r>
          </w:p>
        </w:tc>
        <w:tc>
          <w:tcPr>
            <w:tcW w:w="0" w:type="auto"/>
            <w:vAlign w:val="center"/>
            <w:hideMark/>
          </w:tcPr>
          <w:p w14:paraId="60F3B14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6.820 (df = 6165)</w:t>
            </w:r>
          </w:p>
        </w:tc>
        <w:tc>
          <w:tcPr>
            <w:tcW w:w="0" w:type="auto"/>
            <w:vAlign w:val="center"/>
            <w:hideMark/>
          </w:tcPr>
          <w:p w14:paraId="7FE59FE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5.269 (df = 4325)</w:t>
            </w:r>
          </w:p>
        </w:tc>
        <w:tc>
          <w:tcPr>
            <w:tcW w:w="0" w:type="auto"/>
            <w:vAlign w:val="center"/>
            <w:hideMark/>
          </w:tcPr>
          <w:p w14:paraId="27334A7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5.269 (df = 4325)</w:t>
            </w:r>
          </w:p>
        </w:tc>
      </w:tr>
      <w:tr w:rsidR="00D655A9" w:rsidRPr="00D655A9" w14:paraId="1CFF3745" w14:textId="77777777" w:rsidTr="009B3A57">
        <w:trPr>
          <w:tblCellSpacing w:w="15" w:type="dxa"/>
          <w:jc w:val="center"/>
        </w:trPr>
        <w:tc>
          <w:tcPr>
            <w:tcW w:w="0" w:type="auto"/>
            <w:gridSpan w:val="5"/>
            <w:tcBorders>
              <w:bottom w:val="single" w:sz="6" w:space="0" w:color="000000"/>
            </w:tcBorders>
            <w:vAlign w:val="center"/>
            <w:hideMark/>
          </w:tcPr>
          <w:p w14:paraId="59DD61D6"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3419D641" w14:textId="77777777" w:rsidTr="009B3A57">
        <w:trPr>
          <w:tblCellSpacing w:w="15" w:type="dxa"/>
          <w:jc w:val="center"/>
        </w:trPr>
        <w:tc>
          <w:tcPr>
            <w:tcW w:w="0" w:type="auto"/>
            <w:vAlign w:val="center"/>
            <w:hideMark/>
          </w:tcPr>
          <w:p w14:paraId="05F81475"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i/>
                <w:iCs/>
                <w:sz w:val="14"/>
                <w:szCs w:val="14"/>
              </w:rPr>
              <w:t>Note:</w:t>
            </w:r>
          </w:p>
        </w:tc>
        <w:tc>
          <w:tcPr>
            <w:tcW w:w="0" w:type="auto"/>
            <w:gridSpan w:val="4"/>
            <w:vAlign w:val="center"/>
            <w:hideMark/>
          </w:tcPr>
          <w:p w14:paraId="19357D6F" w14:textId="77777777" w:rsidR="00D655A9" w:rsidRPr="00D655A9" w:rsidRDefault="00D655A9" w:rsidP="00D655A9">
            <w:pPr>
              <w:spacing w:after="0" w:line="240" w:lineRule="auto"/>
              <w:jc w:val="right"/>
              <w:rPr>
                <w:rFonts w:eastAsia="Times New Roman" w:cs="Times New Roman"/>
                <w:sz w:val="14"/>
                <w:szCs w:val="14"/>
              </w:rPr>
            </w:pPr>
            <w:r w:rsidRPr="00D655A9">
              <w:rPr>
                <w:rFonts w:eastAsia="Times New Roman" w:cs="Times New Roman"/>
                <w:sz w:val="14"/>
                <w:szCs w:val="14"/>
                <w:vertAlign w:val="superscript"/>
              </w:rPr>
              <w:t>*</w:t>
            </w:r>
            <w:r w:rsidRPr="00D655A9">
              <w:rPr>
                <w:rFonts w:eastAsia="Times New Roman" w:cs="Times New Roman"/>
                <w:sz w:val="14"/>
                <w:szCs w:val="14"/>
              </w:rPr>
              <w:t>p&lt;0.1; </w:t>
            </w:r>
            <w:r w:rsidRPr="00D655A9">
              <w:rPr>
                <w:rFonts w:eastAsia="Times New Roman" w:cs="Times New Roman"/>
                <w:sz w:val="14"/>
                <w:szCs w:val="14"/>
                <w:vertAlign w:val="superscript"/>
              </w:rPr>
              <w:t>**</w:t>
            </w:r>
            <w:r w:rsidRPr="00D655A9">
              <w:rPr>
                <w:rFonts w:eastAsia="Times New Roman" w:cs="Times New Roman"/>
                <w:sz w:val="14"/>
                <w:szCs w:val="14"/>
              </w:rPr>
              <w:t>p&lt;0.05; </w:t>
            </w:r>
            <w:r w:rsidRPr="00D655A9">
              <w:rPr>
                <w:rFonts w:eastAsia="Times New Roman" w:cs="Times New Roman"/>
                <w:sz w:val="14"/>
                <w:szCs w:val="14"/>
                <w:vertAlign w:val="superscript"/>
              </w:rPr>
              <w:t>***</w:t>
            </w:r>
            <w:r w:rsidRPr="00D655A9">
              <w:rPr>
                <w:rFonts w:eastAsia="Times New Roman" w:cs="Times New Roman"/>
                <w:sz w:val="14"/>
                <w:szCs w:val="14"/>
              </w:rPr>
              <w:t>p&lt;0.01</w:t>
            </w:r>
          </w:p>
        </w:tc>
      </w:tr>
    </w:tbl>
    <w:p w14:paraId="5E3D47AA" w14:textId="77777777" w:rsidR="00D655A9" w:rsidRPr="00D655A9" w:rsidRDefault="00D655A9" w:rsidP="00D655A9">
      <w:r w:rsidRPr="00D655A9">
        <w:br w:type="page"/>
      </w:r>
    </w:p>
    <w:p w14:paraId="6FF32C9B" w14:textId="77777777" w:rsidR="00D655A9" w:rsidRPr="00D655A9" w:rsidRDefault="00D655A9" w:rsidP="00D655A9">
      <w:pPr>
        <w:keepNext/>
        <w:keepLines/>
        <w:spacing w:before="40" w:after="0"/>
        <w:outlineLvl w:val="1"/>
        <w:rPr>
          <w:rFonts w:eastAsiaTheme="majorEastAsia" w:cstheme="majorBidi"/>
          <w:szCs w:val="26"/>
        </w:rPr>
      </w:pPr>
      <w:r w:rsidRPr="00D655A9">
        <w:rPr>
          <w:rFonts w:eastAsiaTheme="majorEastAsia" w:cstheme="majorBidi"/>
          <w:szCs w:val="26"/>
        </w:rPr>
        <w:lastRenderedPageBreak/>
        <w:t>Table 3A: Regression Results for the Difference-in-Difference Vote Share Analysis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738"/>
        <w:gridCol w:w="1119"/>
        <w:gridCol w:w="1119"/>
        <w:gridCol w:w="1049"/>
        <w:gridCol w:w="2008"/>
      </w:tblGrid>
      <w:tr w:rsidR="00D655A9" w:rsidRPr="00D655A9" w14:paraId="17E4E1A2" w14:textId="77777777" w:rsidTr="009B3A57">
        <w:trPr>
          <w:tblCellSpacing w:w="15" w:type="dxa"/>
          <w:jc w:val="center"/>
        </w:trPr>
        <w:tc>
          <w:tcPr>
            <w:tcW w:w="0" w:type="auto"/>
            <w:gridSpan w:val="5"/>
            <w:tcBorders>
              <w:bottom w:val="single" w:sz="6" w:space="0" w:color="000000"/>
            </w:tcBorders>
            <w:vAlign w:val="center"/>
            <w:hideMark/>
          </w:tcPr>
          <w:p w14:paraId="5F032D12" w14:textId="77777777" w:rsidR="00D655A9" w:rsidRPr="00D655A9" w:rsidRDefault="00D655A9" w:rsidP="00D655A9">
            <w:pPr>
              <w:spacing w:after="0" w:line="240" w:lineRule="auto"/>
              <w:rPr>
                <w:rFonts w:eastAsia="Times New Roman" w:cs="Times New Roman"/>
                <w:sz w:val="14"/>
                <w:szCs w:val="14"/>
              </w:rPr>
            </w:pPr>
          </w:p>
        </w:tc>
      </w:tr>
      <w:tr w:rsidR="00D655A9" w:rsidRPr="00D655A9" w14:paraId="16E4D45C" w14:textId="77777777" w:rsidTr="009B3A57">
        <w:trPr>
          <w:tblCellSpacing w:w="15" w:type="dxa"/>
          <w:jc w:val="center"/>
        </w:trPr>
        <w:tc>
          <w:tcPr>
            <w:tcW w:w="0" w:type="auto"/>
            <w:vAlign w:val="center"/>
            <w:hideMark/>
          </w:tcPr>
          <w:p w14:paraId="42B0D260" w14:textId="77777777" w:rsidR="00D655A9" w:rsidRPr="00D655A9" w:rsidRDefault="00D655A9" w:rsidP="00D655A9">
            <w:pPr>
              <w:spacing w:after="0" w:line="240" w:lineRule="auto"/>
              <w:jc w:val="center"/>
              <w:rPr>
                <w:rFonts w:eastAsia="Times New Roman" w:cs="Times New Roman"/>
                <w:sz w:val="10"/>
                <w:szCs w:val="10"/>
              </w:rPr>
            </w:pPr>
          </w:p>
        </w:tc>
        <w:tc>
          <w:tcPr>
            <w:tcW w:w="0" w:type="auto"/>
            <w:gridSpan w:val="4"/>
            <w:vAlign w:val="center"/>
            <w:hideMark/>
          </w:tcPr>
          <w:p w14:paraId="1483948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Dependent Variable:</w:t>
            </w:r>
          </w:p>
        </w:tc>
      </w:tr>
      <w:tr w:rsidR="00D655A9" w:rsidRPr="00D655A9" w14:paraId="68E3B6FE" w14:textId="77777777" w:rsidTr="009B3A57">
        <w:trPr>
          <w:tblCellSpacing w:w="15" w:type="dxa"/>
          <w:jc w:val="center"/>
        </w:trPr>
        <w:tc>
          <w:tcPr>
            <w:tcW w:w="0" w:type="auto"/>
            <w:vAlign w:val="center"/>
            <w:hideMark/>
          </w:tcPr>
          <w:p w14:paraId="63B38970" w14:textId="77777777" w:rsidR="00D655A9" w:rsidRPr="00D655A9" w:rsidRDefault="00D655A9" w:rsidP="00D655A9">
            <w:pPr>
              <w:spacing w:after="0" w:line="240" w:lineRule="auto"/>
              <w:jc w:val="center"/>
              <w:rPr>
                <w:rFonts w:eastAsia="Times New Roman" w:cs="Times New Roman"/>
                <w:sz w:val="14"/>
                <w:szCs w:val="14"/>
              </w:rPr>
            </w:pPr>
          </w:p>
        </w:tc>
        <w:tc>
          <w:tcPr>
            <w:tcW w:w="0" w:type="auto"/>
            <w:gridSpan w:val="4"/>
            <w:tcBorders>
              <w:bottom w:val="single" w:sz="6" w:space="0" w:color="000000"/>
            </w:tcBorders>
            <w:vAlign w:val="center"/>
            <w:hideMark/>
          </w:tcPr>
          <w:p w14:paraId="79AC7A7B"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2B57672A" w14:textId="77777777" w:rsidTr="009B3A57">
        <w:trPr>
          <w:tblCellSpacing w:w="15" w:type="dxa"/>
          <w:jc w:val="center"/>
        </w:trPr>
        <w:tc>
          <w:tcPr>
            <w:tcW w:w="0" w:type="auto"/>
            <w:vAlign w:val="center"/>
            <w:hideMark/>
          </w:tcPr>
          <w:p w14:paraId="02F02749" w14:textId="77777777" w:rsidR="00D655A9" w:rsidRPr="00D655A9" w:rsidRDefault="00D655A9" w:rsidP="00D655A9">
            <w:pPr>
              <w:spacing w:after="0" w:line="240" w:lineRule="auto"/>
              <w:jc w:val="center"/>
              <w:rPr>
                <w:rFonts w:eastAsia="Times New Roman" w:cs="Times New Roman"/>
                <w:sz w:val="10"/>
                <w:szCs w:val="10"/>
              </w:rPr>
            </w:pPr>
          </w:p>
        </w:tc>
        <w:tc>
          <w:tcPr>
            <w:tcW w:w="0" w:type="auto"/>
            <w:gridSpan w:val="4"/>
            <w:vAlign w:val="center"/>
            <w:hideMark/>
          </w:tcPr>
          <w:p w14:paraId="521FDC68" w14:textId="77777777" w:rsidR="00D655A9" w:rsidRPr="00D655A9" w:rsidRDefault="00D655A9" w:rsidP="00D655A9">
            <w:pPr>
              <w:spacing w:after="0" w:line="240" w:lineRule="auto"/>
              <w:jc w:val="center"/>
              <w:rPr>
                <w:rFonts w:eastAsia="Times New Roman" w:cs="Times New Roman"/>
                <w:i/>
                <w:iCs/>
                <w:sz w:val="14"/>
                <w:szCs w:val="14"/>
              </w:rPr>
            </w:pPr>
            <w:r w:rsidRPr="00D655A9">
              <w:rPr>
                <w:rFonts w:eastAsia="Times New Roman" w:cs="Times New Roman"/>
                <w:i/>
                <w:iCs/>
                <w:sz w:val="14"/>
                <w:szCs w:val="14"/>
              </w:rPr>
              <w:t>Two-Party Republican Vote Share</w:t>
            </w:r>
          </w:p>
        </w:tc>
      </w:tr>
      <w:tr w:rsidR="00D655A9" w:rsidRPr="00D655A9" w14:paraId="0C84FED7" w14:textId="77777777" w:rsidTr="009B3A57">
        <w:trPr>
          <w:tblCellSpacing w:w="15" w:type="dxa"/>
          <w:jc w:val="center"/>
        </w:trPr>
        <w:tc>
          <w:tcPr>
            <w:tcW w:w="0" w:type="auto"/>
            <w:vAlign w:val="center"/>
            <w:hideMark/>
          </w:tcPr>
          <w:p w14:paraId="531D7785"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2C7F0B2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Base</w:t>
            </w:r>
          </w:p>
        </w:tc>
        <w:tc>
          <w:tcPr>
            <w:tcW w:w="0" w:type="auto"/>
            <w:vAlign w:val="center"/>
            <w:hideMark/>
          </w:tcPr>
          <w:p w14:paraId="20DC795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Control</w:t>
            </w:r>
          </w:p>
        </w:tc>
        <w:tc>
          <w:tcPr>
            <w:tcW w:w="0" w:type="auto"/>
            <w:vAlign w:val="center"/>
            <w:hideMark/>
          </w:tcPr>
          <w:p w14:paraId="4528D19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County FE</w:t>
            </w:r>
          </w:p>
        </w:tc>
        <w:tc>
          <w:tcPr>
            <w:tcW w:w="0" w:type="auto"/>
            <w:vAlign w:val="center"/>
            <w:hideMark/>
          </w:tcPr>
          <w:p w14:paraId="49FD111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County FE and State Clustered SE</w:t>
            </w:r>
          </w:p>
        </w:tc>
      </w:tr>
      <w:tr w:rsidR="00D655A9" w:rsidRPr="00D655A9" w14:paraId="06F0C1E7" w14:textId="77777777" w:rsidTr="009B3A57">
        <w:trPr>
          <w:tblCellSpacing w:w="15" w:type="dxa"/>
          <w:jc w:val="center"/>
        </w:trPr>
        <w:tc>
          <w:tcPr>
            <w:tcW w:w="0" w:type="auto"/>
            <w:vAlign w:val="center"/>
            <w:hideMark/>
          </w:tcPr>
          <w:p w14:paraId="6531380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2C3F27A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w:t>
            </w:r>
          </w:p>
        </w:tc>
        <w:tc>
          <w:tcPr>
            <w:tcW w:w="0" w:type="auto"/>
            <w:vAlign w:val="center"/>
            <w:hideMark/>
          </w:tcPr>
          <w:p w14:paraId="0DE20E7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w:t>
            </w:r>
          </w:p>
        </w:tc>
        <w:tc>
          <w:tcPr>
            <w:tcW w:w="0" w:type="auto"/>
            <w:vAlign w:val="center"/>
            <w:hideMark/>
          </w:tcPr>
          <w:p w14:paraId="34518CF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w:t>
            </w:r>
          </w:p>
        </w:tc>
        <w:tc>
          <w:tcPr>
            <w:tcW w:w="0" w:type="auto"/>
            <w:vAlign w:val="center"/>
            <w:hideMark/>
          </w:tcPr>
          <w:p w14:paraId="3799161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(4)</w:t>
            </w:r>
          </w:p>
        </w:tc>
      </w:tr>
      <w:tr w:rsidR="00D655A9" w:rsidRPr="00D655A9" w14:paraId="340A5104" w14:textId="77777777" w:rsidTr="009B3A57">
        <w:trPr>
          <w:tblCellSpacing w:w="15" w:type="dxa"/>
          <w:jc w:val="center"/>
        </w:trPr>
        <w:tc>
          <w:tcPr>
            <w:tcW w:w="0" w:type="auto"/>
            <w:gridSpan w:val="5"/>
            <w:tcBorders>
              <w:bottom w:val="single" w:sz="6" w:space="0" w:color="000000"/>
            </w:tcBorders>
            <w:vAlign w:val="center"/>
            <w:hideMark/>
          </w:tcPr>
          <w:p w14:paraId="5D4B7D14" w14:textId="77777777" w:rsidR="00D655A9" w:rsidRPr="00D655A9" w:rsidRDefault="00D655A9" w:rsidP="00D655A9">
            <w:pPr>
              <w:spacing w:after="0" w:line="240" w:lineRule="auto"/>
              <w:jc w:val="center"/>
              <w:rPr>
                <w:rFonts w:eastAsia="Times New Roman" w:cs="Times New Roman"/>
                <w:sz w:val="14"/>
                <w:szCs w:val="14"/>
              </w:rPr>
            </w:pPr>
          </w:p>
        </w:tc>
      </w:tr>
      <w:tr w:rsidR="00D655A9" w:rsidRPr="00D655A9" w14:paraId="1FB1CB9F" w14:textId="77777777" w:rsidTr="009B3A57">
        <w:trPr>
          <w:tblCellSpacing w:w="15" w:type="dxa"/>
          <w:jc w:val="center"/>
        </w:trPr>
        <w:tc>
          <w:tcPr>
            <w:tcW w:w="0" w:type="auto"/>
            <w:vAlign w:val="center"/>
            <w:hideMark/>
          </w:tcPr>
          <w:p w14:paraId="0AD2DDC0"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Excuse-Needed to No Excuse-Needed</w:t>
            </w:r>
          </w:p>
        </w:tc>
        <w:tc>
          <w:tcPr>
            <w:tcW w:w="0" w:type="auto"/>
            <w:vAlign w:val="center"/>
            <w:hideMark/>
          </w:tcPr>
          <w:p w14:paraId="5691B35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-1.378</w:t>
            </w:r>
            <w:r w:rsidRPr="00D655A9">
              <w:rPr>
                <w:rFonts w:eastAsia="Times New Roman" w:cs="Times New Roman"/>
                <w:sz w:val="14"/>
                <w:szCs w:val="14"/>
                <w:vertAlign w:val="superscript"/>
              </w:rPr>
              <w:t>*</w:t>
            </w:r>
          </w:p>
        </w:tc>
        <w:tc>
          <w:tcPr>
            <w:tcW w:w="0" w:type="auto"/>
            <w:vAlign w:val="center"/>
            <w:hideMark/>
          </w:tcPr>
          <w:p w14:paraId="2E98F67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-4.877</w:t>
            </w:r>
            <w:r w:rsidRPr="00D655A9">
              <w:rPr>
                <w:rFonts w:eastAsia="Times New Roman" w:cs="Times New Roman"/>
                <w:sz w:val="14"/>
                <w:szCs w:val="14"/>
                <w:vertAlign w:val="superscript"/>
              </w:rPr>
              <w:t>***</w:t>
            </w:r>
          </w:p>
        </w:tc>
        <w:tc>
          <w:tcPr>
            <w:tcW w:w="0" w:type="auto"/>
            <w:vAlign w:val="center"/>
            <w:hideMark/>
          </w:tcPr>
          <w:p w14:paraId="3D348E2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-2.137</w:t>
            </w:r>
            <w:r w:rsidRPr="00D655A9">
              <w:rPr>
                <w:rFonts w:eastAsia="Times New Roman" w:cs="Times New Roman"/>
                <w:sz w:val="14"/>
                <w:szCs w:val="14"/>
                <w:vertAlign w:val="superscript"/>
              </w:rPr>
              <w:t>***</w:t>
            </w:r>
          </w:p>
        </w:tc>
        <w:tc>
          <w:tcPr>
            <w:tcW w:w="0" w:type="auto"/>
            <w:vAlign w:val="center"/>
            <w:hideMark/>
          </w:tcPr>
          <w:p w14:paraId="243EFE6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-2.137</w:t>
            </w:r>
          </w:p>
        </w:tc>
      </w:tr>
      <w:tr w:rsidR="00D655A9" w:rsidRPr="00D655A9" w14:paraId="3F23121B" w14:textId="77777777" w:rsidTr="009B3A57">
        <w:trPr>
          <w:tblCellSpacing w:w="15" w:type="dxa"/>
          <w:jc w:val="center"/>
        </w:trPr>
        <w:tc>
          <w:tcPr>
            <w:tcW w:w="0" w:type="auto"/>
            <w:vAlign w:val="center"/>
            <w:hideMark/>
          </w:tcPr>
          <w:p w14:paraId="02DD5A53"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0DEC12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(0.712)</w:t>
            </w:r>
          </w:p>
        </w:tc>
        <w:tc>
          <w:tcPr>
            <w:tcW w:w="0" w:type="auto"/>
            <w:vAlign w:val="center"/>
            <w:hideMark/>
          </w:tcPr>
          <w:p w14:paraId="7CA5967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(0.491)</w:t>
            </w:r>
          </w:p>
        </w:tc>
        <w:tc>
          <w:tcPr>
            <w:tcW w:w="0" w:type="auto"/>
            <w:vAlign w:val="center"/>
            <w:hideMark/>
          </w:tcPr>
          <w:p w14:paraId="778A502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(0.435)</w:t>
            </w:r>
          </w:p>
        </w:tc>
        <w:tc>
          <w:tcPr>
            <w:tcW w:w="0" w:type="auto"/>
            <w:vAlign w:val="center"/>
            <w:hideMark/>
          </w:tcPr>
          <w:p w14:paraId="1030E73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(1.928)</w:t>
            </w:r>
          </w:p>
        </w:tc>
      </w:tr>
      <w:tr w:rsidR="00D655A9" w:rsidRPr="00D655A9" w14:paraId="2C2C0E6A" w14:textId="77777777" w:rsidTr="009B3A57">
        <w:trPr>
          <w:tblCellSpacing w:w="15" w:type="dxa"/>
          <w:jc w:val="center"/>
        </w:trPr>
        <w:tc>
          <w:tcPr>
            <w:tcW w:w="0" w:type="auto"/>
            <w:vAlign w:val="center"/>
            <w:hideMark/>
          </w:tcPr>
          <w:p w14:paraId="3F7A6994"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6312F73"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7F64311"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7D77B96A"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75111A54"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3D5CB0DC" w14:textId="77777777" w:rsidTr="009B3A57">
        <w:trPr>
          <w:tblCellSpacing w:w="15" w:type="dxa"/>
          <w:jc w:val="center"/>
        </w:trPr>
        <w:tc>
          <w:tcPr>
            <w:tcW w:w="0" w:type="auto"/>
            <w:vAlign w:val="center"/>
            <w:hideMark/>
          </w:tcPr>
          <w:p w14:paraId="3131C2C3"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Excuse-Needed to Applications Sent</w:t>
            </w:r>
          </w:p>
        </w:tc>
        <w:tc>
          <w:tcPr>
            <w:tcW w:w="0" w:type="auto"/>
            <w:vAlign w:val="center"/>
            <w:hideMark/>
          </w:tcPr>
          <w:p w14:paraId="5D098CE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-12.340</w:t>
            </w:r>
            <w:r w:rsidRPr="00D655A9">
              <w:rPr>
                <w:rFonts w:eastAsia="Times New Roman" w:cs="Times New Roman"/>
                <w:sz w:val="14"/>
                <w:szCs w:val="14"/>
                <w:vertAlign w:val="superscript"/>
              </w:rPr>
              <w:t>***</w:t>
            </w:r>
          </w:p>
        </w:tc>
        <w:tc>
          <w:tcPr>
            <w:tcW w:w="0" w:type="auto"/>
            <w:vAlign w:val="center"/>
            <w:hideMark/>
          </w:tcPr>
          <w:p w14:paraId="526F607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-15.254</w:t>
            </w:r>
            <w:r w:rsidRPr="00D655A9">
              <w:rPr>
                <w:rFonts w:eastAsia="Times New Roman" w:cs="Times New Roman"/>
                <w:sz w:val="14"/>
                <w:szCs w:val="14"/>
                <w:vertAlign w:val="superscript"/>
              </w:rPr>
              <w:t>***</w:t>
            </w:r>
          </w:p>
        </w:tc>
        <w:tc>
          <w:tcPr>
            <w:tcW w:w="0" w:type="auto"/>
            <w:vAlign w:val="center"/>
            <w:hideMark/>
          </w:tcPr>
          <w:p w14:paraId="15D5B52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-11.258</w:t>
            </w:r>
            <w:r w:rsidRPr="00D655A9">
              <w:rPr>
                <w:rFonts w:eastAsia="Times New Roman" w:cs="Times New Roman"/>
                <w:sz w:val="14"/>
                <w:szCs w:val="14"/>
                <w:vertAlign w:val="superscript"/>
              </w:rPr>
              <w:t>***</w:t>
            </w:r>
          </w:p>
        </w:tc>
        <w:tc>
          <w:tcPr>
            <w:tcW w:w="0" w:type="auto"/>
            <w:vAlign w:val="center"/>
            <w:hideMark/>
          </w:tcPr>
          <w:p w14:paraId="4293DB9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-11.258</w:t>
            </w:r>
            <w:r w:rsidRPr="00D655A9">
              <w:rPr>
                <w:rFonts w:eastAsia="Times New Roman" w:cs="Times New Roman"/>
                <w:sz w:val="14"/>
                <w:szCs w:val="14"/>
                <w:vertAlign w:val="superscript"/>
              </w:rPr>
              <w:t>***</w:t>
            </w:r>
          </w:p>
        </w:tc>
      </w:tr>
      <w:tr w:rsidR="00D655A9" w:rsidRPr="00D655A9" w14:paraId="75013338" w14:textId="77777777" w:rsidTr="009B3A57">
        <w:trPr>
          <w:tblCellSpacing w:w="15" w:type="dxa"/>
          <w:jc w:val="center"/>
        </w:trPr>
        <w:tc>
          <w:tcPr>
            <w:tcW w:w="0" w:type="auto"/>
            <w:vAlign w:val="center"/>
            <w:hideMark/>
          </w:tcPr>
          <w:p w14:paraId="27F9C2D0"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33B365B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(1.528)</w:t>
            </w:r>
          </w:p>
        </w:tc>
        <w:tc>
          <w:tcPr>
            <w:tcW w:w="0" w:type="auto"/>
            <w:vAlign w:val="center"/>
            <w:hideMark/>
          </w:tcPr>
          <w:p w14:paraId="0451707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(1.029)</w:t>
            </w:r>
          </w:p>
        </w:tc>
        <w:tc>
          <w:tcPr>
            <w:tcW w:w="0" w:type="auto"/>
            <w:vAlign w:val="center"/>
            <w:hideMark/>
          </w:tcPr>
          <w:p w14:paraId="4353BF3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(1.111)</w:t>
            </w:r>
          </w:p>
        </w:tc>
        <w:tc>
          <w:tcPr>
            <w:tcW w:w="0" w:type="auto"/>
            <w:vAlign w:val="center"/>
            <w:hideMark/>
          </w:tcPr>
          <w:p w14:paraId="7EDCBB0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(2.987)</w:t>
            </w:r>
          </w:p>
        </w:tc>
      </w:tr>
      <w:tr w:rsidR="00D655A9" w:rsidRPr="00D655A9" w14:paraId="16BABB47" w14:textId="77777777" w:rsidTr="009B3A57">
        <w:trPr>
          <w:tblCellSpacing w:w="15" w:type="dxa"/>
          <w:jc w:val="center"/>
        </w:trPr>
        <w:tc>
          <w:tcPr>
            <w:tcW w:w="0" w:type="auto"/>
            <w:vAlign w:val="center"/>
            <w:hideMark/>
          </w:tcPr>
          <w:p w14:paraId="4A16E673"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B93B466"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1C7C991B"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730A5196"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6DE8CAD8"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7487D0D3" w14:textId="77777777" w:rsidTr="009B3A57">
        <w:trPr>
          <w:tblCellSpacing w:w="15" w:type="dxa"/>
          <w:jc w:val="center"/>
        </w:trPr>
        <w:tc>
          <w:tcPr>
            <w:tcW w:w="0" w:type="auto"/>
            <w:vAlign w:val="center"/>
            <w:hideMark/>
          </w:tcPr>
          <w:p w14:paraId="14AF618C"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No Excuse-Needed to Applications Sent</w:t>
            </w:r>
          </w:p>
        </w:tc>
        <w:tc>
          <w:tcPr>
            <w:tcW w:w="0" w:type="auto"/>
            <w:vAlign w:val="center"/>
            <w:hideMark/>
          </w:tcPr>
          <w:p w14:paraId="273DE7A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-0.885</w:t>
            </w:r>
          </w:p>
        </w:tc>
        <w:tc>
          <w:tcPr>
            <w:tcW w:w="0" w:type="auto"/>
            <w:vAlign w:val="center"/>
            <w:hideMark/>
          </w:tcPr>
          <w:p w14:paraId="0CED3A4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-7.673</w:t>
            </w:r>
            <w:r w:rsidRPr="00D655A9">
              <w:rPr>
                <w:rFonts w:eastAsia="Times New Roman" w:cs="Times New Roman"/>
                <w:sz w:val="14"/>
                <w:szCs w:val="14"/>
                <w:vertAlign w:val="superscript"/>
              </w:rPr>
              <w:t>***</w:t>
            </w:r>
          </w:p>
        </w:tc>
        <w:tc>
          <w:tcPr>
            <w:tcW w:w="0" w:type="auto"/>
            <w:vAlign w:val="center"/>
            <w:hideMark/>
          </w:tcPr>
          <w:p w14:paraId="03E08CC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-5.881</w:t>
            </w:r>
            <w:r w:rsidRPr="00D655A9">
              <w:rPr>
                <w:rFonts w:eastAsia="Times New Roman" w:cs="Times New Roman"/>
                <w:sz w:val="14"/>
                <w:szCs w:val="14"/>
                <w:vertAlign w:val="superscript"/>
              </w:rPr>
              <w:t>***</w:t>
            </w:r>
          </w:p>
        </w:tc>
        <w:tc>
          <w:tcPr>
            <w:tcW w:w="0" w:type="auto"/>
            <w:vAlign w:val="center"/>
            <w:hideMark/>
          </w:tcPr>
          <w:p w14:paraId="5884AA5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-5.881</w:t>
            </w:r>
            <w:r w:rsidRPr="00D655A9">
              <w:rPr>
                <w:rFonts w:eastAsia="Times New Roman" w:cs="Times New Roman"/>
                <w:sz w:val="14"/>
                <w:szCs w:val="14"/>
                <w:vertAlign w:val="superscript"/>
              </w:rPr>
              <w:t>*</w:t>
            </w:r>
          </w:p>
        </w:tc>
      </w:tr>
      <w:tr w:rsidR="00D655A9" w:rsidRPr="00D655A9" w14:paraId="7648412D" w14:textId="77777777" w:rsidTr="009B3A57">
        <w:trPr>
          <w:tblCellSpacing w:w="15" w:type="dxa"/>
          <w:jc w:val="center"/>
        </w:trPr>
        <w:tc>
          <w:tcPr>
            <w:tcW w:w="0" w:type="auto"/>
            <w:vAlign w:val="center"/>
            <w:hideMark/>
          </w:tcPr>
          <w:p w14:paraId="19632D35"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CCA1C2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(0.753)</w:t>
            </w:r>
          </w:p>
        </w:tc>
        <w:tc>
          <w:tcPr>
            <w:tcW w:w="0" w:type="auto"/>
            <w:vAlign w:val="center"/>
            <w:hideMark/>
          </w:tcPr>
          <w:p w14:paraId="40A6CC1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(0.529)</w:t>
            </w:r>
          </w:p>
        </w:tc>
        <w:tc>
          <w:tcPr>
            <w:tcW w:w="0" w:type="auto"/>
            <w:vAlign w:val="center"/>
            <w:hideMark/>
          </w:tcPr>
          <w:p w14:paraId="59F0C34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(0.493)</w:t>
            </w:r>
          </w:p>
        </w:tc>
        <w:tc>
          <w:tcPr>
            <w:tcW w:w="0" w:type="auto"/>
            <w:vAlign w:val="center"/>
            <w:hideMark/>
          </w:tcPr>
          <w:p w14:paraId="04817A9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(3.050)</w:t>
            </w:r>
          </w:p>
        </w:tc>
      </w:tr>
      <w:tr w:rsidR="00D655A9" w:rsidRPr="00D655A9" w14:paraId="56CC0607" w14:textId="77777777" w:rsidTr="009B3A57">
        <w:trPr>
          <w:tblCellSpacing w:w="15" w:type="dxa"/>
          <w:jc w:val="center"/>
        </w:trPr>
        <w:tc>
          <w:tcPr>
            <w:tcW w:w="0" w:type="auto"/>
            <w:vAlign w:val="center"/>
            <w:hideMark/>
          </w:tcPr>
          <w:p w14:paraId="4CF94B24"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2C47E38"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172AF187"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658090F2"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10458A01"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7362B573" w14:textId="77777777" w:rsidTr="009B3A57">
        <w:trPr>
          <w:tblCellSpacing w:w="15" w:type="dxa"/>
          <w:jc w:val="center"/>
        </w:trPr>
        <w:tc>
          <w:tcPr>
            <w:tcW w:w="0" w:type="auto"/>
            <w:vAlign w:val="center"/>
            <w:hideMark/>
          </w:tcPr>
          <w:p w14:paraId="6C102730"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No Excuse-Needed to Ballots Sent</w:t>
            </w:r>
          </w:p>
        </w:tc>
        <w:tc>
          <w:tcPr>
            <w:tcW w:w="0" w:type="auto"/>
            <w:vAlign w:val="center"/>
            <w:hideMark/>
          </w:tcPr>
          <w:p w14:paraId="42BC44D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-12.501</w:t>
            </w:r>
            <w:r w:rsidRPr="00D655A9">
              <w:rPr>
                <w:rFonts w:eastAsia="Times New Roman" w:cs="Times New Roman"/>
                <w:sz w:val="14"/>
                <w:szCs w:val="14"/>
                <w:vertAlign w:val="superscript"/>
              </w:rPr>
              <w:t>***</w:t>
            </w:r>
          </w:p>
        </w:tc>
        <w:tc>
          <w:tcPr>
            <w:tcW w:w="0" w:type="auto"/>
            <w:vAlign w:val="center"/>
            <w:hideMark/>
          </w:tcPr>
          <w:p w14:paraId="4BA8BA7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-7.793</w:t>
            </w:r>
            <w:r w:rsidRPr="00D655A9">
              <w:rPr>
                <w:rFonts w:eastAsia="Times New Roman" w:cs="Times New Roman"/>
                <w:sz w:val="14"/>
                <w:szCs w:val="14"/>
                <w:vertAlign w:val="superscript"/>
              </w:rPr>
              <w:t>***</w:t>
            </w:r>
          </w:p>
        </w:tc>
        <w:tc>
          <w:tcPr>
            <w:tcW w:w="0" w:type="auto"/>
            <w:vAlign w:val="center"/>
            <w:hideMark/>
          </w:tcPr>
          <w:p w14:paraId="2305B44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-6.339</w:t>
            </w:r>
            <w:r w:rsidRPr="00D655A9">
              <w:rPr>
                <w:rFonts w:eastAsia="Times New Roman" w:cs="Times New Roman"/>
                <w:sz w:val="14"/>
                <w:szCs w:val="14"/>
                <w:vertAlign w:val="superscript"/>
              </w:rPr>
              <w:t>***</w:t>
            </w:r>
          </w:p>
        </w:tc>
        <w:tc>
          <w:tcPr>
            <w:tcW w:w="0" w:type="auto"/>
            <w:vAlign w:val="center"/>
            <w:hideMark/>
          </w:tcPr>
          <w:p w14:paraId="2CE1F43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-6.339</w:t>
            </w:r>
          </w:p>
        </w:tc>
      </w:tr>
      <w:tr w:rsidR="00D655A9" w:rsidRPr="00D655A9" w14:paraId="3DE909FE" w14:textId="77777777" w:rsidTr="009B3A57">
        <w:trPr>
          <w:tblCellSpacing w:w="15" w:type="dxa"/>
          <w:jc w:val="center"/>
        </w:trPr>
        <w:tc>
          <w:tcPr>
            <w:tcW w:w="0" w:type="auto"/>
            <w:vAlign w:val="center"/>
            <w:hideMark/>
          </w:tcPr>
          <w:p w14:paraId="2CD7E3F5"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150E61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(1.286)</w:t>
            </w:r>
          </w:p>
        </w:tc>
        <w:tc>
          <w:tcPr>
            <w:tcW w:w="0" w:type="auto"/>
            <w:vAlign w:val="center"/>
            <w:hideMark/>
          </w:tcPr>
          <w:p w14:paraId="4799355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(0.887)</w:t>
            </w:r>
          </w:p>
        </w:tc>
        <w:tc>
          <w:tcPr>
            <w:tcW w:w="0" w:type="auto"/>
            <w:vAlign w:val="center"/>
            <w:hideMark/>
          </w:tcPr>
          <w:p w14:paraId="5BA00AA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(0.972)</w:t>
            </w:r>
          </w:p>
        </w:tc>
        <w:tc>
          <w:tcPr>
            <w:tcW w:w="0" w:type="auto"/>
            <w:vAlign w:val="center"/>
            <w:hideMark/>
          </w:tcPr>
          <w:p w14:paraId="25C6279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(4.221)</w:t>
            </w:r>
          </w:p>
        </w:tc>
      </w:tr>
      <w:tr w:rsidR="00D655A9" w:rsidRPr="00D655A9" w14:paraId="45DBE973" w14:textId="77777777" w:rsidTr="009B3A57">
        <w:trPr>
          <w:tblCellSpacing w:w="15" w:type="dxa"/>
          <w:jc w:val="center"/>
        </w:trPr>
        <w:tc>
          <w:tcPr>
            <w:tcW w:w="0" w:type="auto"/>
            <w:vAlign w:val="center"/>
            <w:hideMark/>
          </w:tcPr>
          <w:p w14:paraId="30313C14"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BDA86D5"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97382BB"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1F6B0266"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6747BAF3"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294FCCF5" w14:textId="77777777" w:rsidTr="009B3A57">
        <w:trPr>
          <w:tblCellSpacing w:w="15" w:type="dxa"/>
          <w:jc w:val="center"/>
        </w:trPr>
        <w:tc>
          <w:tcPr>
            <w:tcW w:w="0" w:type="auto"/>
            <w:vAlign w:val="center"/>
            <w:hideMark/>
          </w:tcPr>
          <w:p w14:paraId="2097AD35"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Year: 2020</w:t>
            </w:r>
          </w:p>
        </w:tc>
        <w:tc>
          <w:tcPr>
            <w:tcW w:w="0" w:type="auto"/>
            <w:vAlign w:val="center"/>
            <w:hideMark/>
          </w:tcPr>
          <w:p w14:paraId="75DC883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-0.305</w:t>
            </w:r>
          </w:p>
        </w:tc>
        <w:tc>
          <w:tcPr>
            <w:tcW w:w="0" w:type="auto"/>
            <w:vAlign w:val="center"/>
            <w:hideMark/>
          </w:tcPr>
          <w:p w14:paraId="2862AE8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-2.170</w:t>
            </w:r>
            <w:r w:rsidRPr="00D655A9">
              <w:rPr>
                <w:rFonts w:eastAsia="Times New Roman" w:cs="Times New Roman"/>
                <w:sz w:val="14"/>
                <w:szCs w:val="14"/>
                <w:vertAlign w:val="superscript"/>
              </w:rPr>
              <w:t>***</w:t>
            </w:r>
          </w:p>
        </w:tc>
        <w:tc>
          <w:tcPr>
            <w:tcW w:w="0" w:type="auto"/>
            <w:vAlign w:val="center"/>
            <w:hideMark/>
          </w:tcPr>
          <w:p w14:paraId="6CCD3C8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-0.622</w:t>
            </w:r>
          </w:p>
        </w:tc>
        <w:tc>
          <w:tcPr>
            <w:tcW w:w="0" w:type="auto"/>
            <w:vAlign w:val="center"/>
            <w:hideMark/>
          </w:tcPr>
          <w:p w14:paraId="18986462" w14:textId="77777777" w:rsidR="00D655A9" w:rsidRPr="00D655A9" w:rsidRDefault="00D655A9" w:rsidP="00D655A9">
            <w:pPr>
              <w:spacing w:after="0" w:line="240" w:lineRule="auto"/>
              <w:jc w:val="center"/>
              <w:rPr>
                <w:rFonts w:eastAsia="Times New Roman" w:cs="Times New Roman"/>
                <w:sz w:val="14"/>
                <w:szCs w:val="14"/>
              </w:rPr>
            </w:pPr>
            <w:bookmarkStart w:id="6" w:name="_Hlk64903745"/>
            <w:r w:rsidRPr="00D655A9">
              <w:rPr>
                <w:rFonts w:eastAsia="Times New Roman" w:cs="Times New Roman"/>
                <w:sz w:val="14"/>
                <w:szCs w:val="14"/>
              </w:rPr>
              <w:t>-0.622</w:t>
            </w:r>
            <w:bookmarkEnd w:id="6"/>
          </w:p>
        </w:tc>
      </w:tr>
      <w:tr w:rsidR="00D655A9" w:rsidRPr="00D655A9" w14:paraId="6DB7A680" w14:textId="77777777" w:rsidTr="009B3A57">
        <w:trPr>
          <w:tblCellSpacing w:w="15" w:type="dxa"/>
          <w:jc w:val="center"/>
        </w:trPr>
        <w:tc>
          <w:tcPr>
            <w:tcW w:w="0" w:type="auto"/>
            <w:vAlign w:val="center"/>
            <w:hideMark/>
          </w:tcPr>
          <w:p w14:paraId="7576A62C"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3D1D7A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(0.589)</w:t>
            </w:r>
          </w:p>
        </w:tc>
        <w:tc>
          <w:tcPr>
            <w:tcW w:w="0" w:type="auto"/>
            <w:vAlign w:val="center"/>
            <w:hideMark/>
          </w:tcPr>
          <w:p w14:paraId="044AEA4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(0.509)</w:t>
            </w:r>
          </w:p>
        </w:tc>
        <w:tc>
          <w:tcPr>
            <w:tcW w:w="0" w:type="auto"/>
            <w:vAlign w:val="center"/>
            <w:hideMark/>
          </w:tcPr>
          <w:p w14:paraId="490A59A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(0.385)</w:t>
            </w:r>
          </w:p>
        </w:tc>
        <w:tc>
          <w:tcPr>
            <w:tcW w:w="0" w:type="auto"/>
            <w:vAlign w:val="center"/>
            <w:hideMark/>
          </w:tcPr>
          <w:p w14:paraId="2D1DDD1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(0.586)</w:t>
            </w:r>
          </w:p>
        </w:tc>
      </w:tr>
      <w:tr w:rsidR="00D655A9" w:rsidRPr="00D655A9" w14:paraId="7D4D752C" w14:textId="77777777" w:rsidTr="009B3A57">
        <w:trPr>
          <w:tblCellSpacing w:w="15" w:type="dxa"/>
          <w:jc w:val="center"/>
        </w:trPr>
        <w:tc>
          <w:tcPr>
            <w:tcW w:w="0" w:type="auto"/>
            <w:vAlign w:val="center"/>
            <w:hideMark/>
          </w:tcPr>
          <w:p w14:paraId="397B72F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FF627F3"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167744A"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68E4FAA5"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33707BE3"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2CA18321" w14:textId="77777777" w:rsidTr="009B3A57">
        <w:trPr>
          <w:tblCellSpacing w:w="15" w:type="dxa"/>
          <w:jc w:val="center"/>
        </w:trPr>
        <w:tc>
          <w:tcPr>
            <w:tcW w:w="0" w:type="auto"/>
            <w:vAlign w:val="center"/>
            <w:hideMark/>
          </w:tcPr>
          <w:p w14:paraId="1F9524A7"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 High School Degree</w:t>
            </w:r>
          </w:p>
        </w:tc>
        <w:tc>
          <w:tcPr>
            <w:tcW w:w="0" w:type="auto"/>
            <w:vAlign w:val="center"/>
            <w:hideMark/>
          </w:tcPr>
          <w:p w14:paraId="37ABE453"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58630CD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0.584</w:t>
            </w:r>
            <w:r w:rsidRPr="00D655A9">
              <w:rPr>
                <w:rFonts w:eastAsia="Times New Roman" w:cs="Times New Roman"/>
                <w:sz w:val="14"/>
                <w:szCs w:val="14"/>
                <w:vertAlign w:val="superscript"/>
              </w:rPr>
              <w:t>***</w:t>
            </w:r>
          </w:p>
        </w:tc>
        <w:tc>
          <w:tcPr>
            <w:tcW w:w="0" w:type="auto"/>
            <w:vAlign w:val="center"/>
            <w:hideMark/>
          </w:tcPr>
          <w:p w14:paraId="6AF0288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0.423</w:t>
            </w:r>
            <w:r w:rsidRPr="00D655A9">
              <w:rPr>
                <w:rFonts w:eastAsia="Times New Roman" w:cs="Times New Roman"/>
                <w:sz w:val="14"/>
                <w:szCs w:val="14"/>
                <w:vertAlign w:val="superscript"/>
              </w:rPr>
              <w:t>***</w:t>
            </w:r>
          </w:p>
        </w:tc>
        <w:tc>
          <w:tcPr>
            <w:tcW w:w="0" w:type="auto"/>
            <w:vAlign w:val="center"/>
            <w:hideMark/>
          </w:tcPr>
          <w:p w14:paraId="1A50E65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0.423</w:t>
            </w:r>
            <w:r w:rsidRPr="00D655A9">
              <w:rPr>
                <w:rFonts w:eastAsia="Times New Roman" w:cs="Times New Roman"/>
                <w:sz w:val="14"/>
                <w:szCs w:val="14"/>
                <w:vertAlign w:val="superscript"/>
              </w:rPr>
              <w:t>***</w:t>
            </w:r>
          </w:p>
        </w:tc>
      </w:tr>
      <w:tr w:rsidR="00D655A9" w:rsidRPr="00D655A9" w14:paraId="731EE0D4" w14:textId="77777777" w:rsidTr="009B3A57">
        <w:trPr>
          <w:tblCellSpacing w:w="15" w:type="dxa"/>
          <w:jc w:val="center"/>
        </w:trPr>
        <w:tc>
          <w:tcPr>
            <w:tcW w:w="0" w:type="auto"/>
            <w:vAlign w:val="center"/>
            <w:hideMark/>
          </w:tcPr>
          <w:p w14:paraId="4B305591"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84F6795"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94572A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(0.028)</w:t>
            </w:r>
          </w:p>
        </w:tc>
        <w:tc>
          <w:tcPr>
            <w:tcW w:w="0" w:type="auto"/>
            <w:vAlign w:val="center"/>
            <w:hideMark/>
          </w:tcPr>
          <w:p w14:paraId="384D55D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(0.029)</w:t>
            </w:r>
          </w:p>
        </w:tc>
        <w:tc>
          <w:tcPr>
            <w:tcW w:w="0" w:type="auto"/>
            <w:vAlign w:val="center"/>
            <w:hideMark/>
          </w:tcPr>
          <w:p w14:paraId="09E3617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(0.093)</w:t>
            </w:r>
          </w:p>
        </w:tc>
      </w:tr>
      <w:tr w:rsidR="00D655A9" w:rsidRPr="00D655A9" w14:paraId="158F8529" w14:textId="77777777" w:rsidTr="009B3A57">
        <w:trPr>
          <w:tblCellSpacing w:w="15" w:type="dxa"/>
          <w:jc w:val="center"/>
        </w:trPr>
        <w:tc>
          <w:tcPr>
            <w:tcW w:w="0" w:type="auto"/>
            <w:vAlign w:val="center"/>
            <w:hideMark/>
          </w:tcPr>
          <w:p w14:paraId="02A4139D"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B912568"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A54E98A"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66902D1F"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441FDDDF"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0EF3F09F" w14:textId="77777777" w:rsidTr="009B3A57">
        <w:trPr>
          <w:tblCellSpacing w:w="15" w:type="dxa"/>
          <w:jc w:val="center"/>
        </w:trPr>
        <w:tc>
          <w:tcPr>
            <w:tcW w:w="0" w:type="auto"/>
            <w:vAlign w:val="center"/>
            <w:hideMark/>
          </w:tcPr>
          <w:p w14:paraId="3DF444DF"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 Bachelor's Degree</w:t>
            </w:r>
          </w:p>
        </w:tc>
        <w:tc>
          <w:tcPr>
            <w:tcW w:w="0" w:type="auto"/>
            <w:vAlign w:val="center"/>
            <w:hideMark/>
          </w:tcPr>
          <w:p w14:paraId="5F02E3B8"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0CE6F95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-0.398</w:t>
            </w:r>
            <w:r w:rsidRPr="00D655A9">
              <w:rPr>
                <w:rFonts w:eastAsia="Times New Roman" w:cs="Times New Roman"/>
                <w:sz w:val="14"/>
                <w:szCs w:val="14"/>
                <w:vertAlign w:val="superscript"/>
              </w:rPr>
              <w:t>***</w:t>
            </w:r>
          </w:p>
        </w:tc>
        <w:tc>
          <w:tcPr>
            <w:tcW w:w="0" w:type="auto"/>
            <w:vAlign w:val="center"/>
            <w:hideMark/>
          </w:tcPr>
          <w:p w14:paraId="13F83CE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-0.114</w:t>
            </w:r>
            <w:r w:rsidRPr="00D655A9">
              <w:rPr>
                <w:rFonts w:eastAsia="Times New Roman" w:cs="Times New Roman"/>
                <w:sz w:val="14"/>
                <w:szCs w:val="14"/>
                <w:vertAlign w:val="superscript"/>
              </w:rPr>
              <w:t>***</w:t>
            </w:r>
          </w:p>
        </w:tc>
        <w:tc>
          <w:tcPr>
            <w:tcW w:w="0" w:type="auto"/>
            <w:vAlign w:val="center"/>
            <w:hideMark/>
          </w:tcPr>
          <w:p w14:paraId="35440EA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-0.114</w:t>
            </w:r>
            <w:r w:rsidRPr="00D655A9">
              <w:rPr>
                <w:rFonts w:eastAsia="Times New Roman" w:cs="Times New Roman"/>
                <w:sz w:val="14"/>
                <w:szCs w:val="14"/>
                <w:vertAlign w:val="superscript"/>
              </w:rPr>
              <w:t>***</w:t>
            </w:r>
          </w:p>
        </w:tc>
      </w:tr>
      <w:tr w:rsidR="00D655A9" w:rsidRPr="00D655A9" w14:paraId="0FF23E86" w14:textId="77777777" w:rsidTr="009B3A57">
        <w:trPr>
          <w:tblCellSpacing w:w="15" w:type="dxa"/>
          <w:jc w:val="center"/>
        </w:trPr>
        <w:tc>
          <w:tcPr>
            <w:tcW w:w="0" w:type="auto"/>
            <w:vAlign w:val="center"/>
            <w:hideMark/>
          </w:tcPr>
          <w:p w14:paraId="3F62BB3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9B4C9FA"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7B560F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(0.042)</w:t>
            </w:r>
          </w:p>
        </w:tc>
        <w:tc>
          <w:tcPr>
            <w:tcW w:w="0" w:type="auto"/>
            <w:vAlign w:val="center"/>
            <w:hideMark/>
          </w:tcPr>
          <w:p w14:paraId="4456128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(0.032)</w:t>
            </w:r>
          </w:p>
        </w:tc>
        <w:tc>
          <w:tcPr>
            <w:tcW w:w="0" w:type="auto"/>
            <w:vAlign w:val="center"/>
            <w:hideMark/>
          </w:tcPr>
          <w:p w14:paraId="3512090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(0.041)</w:t>
            </w:r>
          </w:p>
        </w:tc>
      </w:tr>
      <w:tr w:rsidR="00D655A9" w:rsidRPr="00D655A9" w14:paraId="412E1BFC" w14:textId="77777777" w:rsidTr="009B3A57">
        <w:trPr>
          <w:tblCellSpacing w:w="15" w:type="dxa"/>
          <w:jc w:val="center"/>
        </w:trPr>
        <w:tc>
          <w:tcPr>
            <w:tcW w:w="0" w:type="auto"/>
            <w:vAlign w:val="center"/>
            <w:hideMark/>
          </w:tcPr>
          <w:p w14:paraId="5B554563"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153D555"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82C0D13"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0CFE5AA9"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14E8C72F"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09462D04" w14:textId="77777777" w:rsidTr="009B3A57">
        <w:trPr>
          <w:tblCellSpacing w:w="15" w:type="dxa"/>
          <w:jc w:val="center"/>
        </w:trPr>
        <w:tc>
          <w:tcPr>
            <w:tcW w:w="0" w:type="auto"/>
            <w:vAlign w:val="center"/>
            <w:hideMark/>
          </w:tcPr>
          <w:p w14:paraId="20F45815"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 Black</w:t>
            </w:r>
          </w:p>
        </w:tc>
        <w:tc>
          <w:tcPr>
            <w:tcW w:w="0" w:type="auto"/>
            <w:vAlign w:val="center"/>
            <w:hideMark/>
          </w:tcPr>
          <w:p w14:paraId="58E3E6AF"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3A15A53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-0.246</w:t>
            </w:r>
            <w:r w:rsidRPr="00D655A9">
              <w:rPr>
                <w:rFonts w:eastAsia="Times New Roman" w:cs="Times New Roman"/>
                <w:sz w:val="14"/>
                <w:szCs w:val="14"/>
                <w:vertAlign w:val="superscript"/>
              </w:rPr>
              <w:t>***</w:t>
            </w:r>
          </w:p>
        </w:tc>
        <w:tc>
          <w:tcPr>
            <w:tcW w:w="0" w:type="auto"/>
            <w:vAlign w:val="center"/>
            <w:hideMark/>
          </w:tcPr>
          <w:p w14:paraId="6B70CA9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-0.183</w:t>
            </w:r>
            <w:r w:rsidRPr="00D655A9">
              <w:rPr>
                <w:rFonts w:eastAsia="Times New Roman" w:cs="Times New Roman"/>
                <w:sz w:val="14"/>
                <w:szCs w:val="14"/>
                <w:vertAlign w:val="superscript"/>
              </w:rPr>
              <w:t>***</w:t>
            </w:r>
          </w:p>
        </w:tc>
        <w:tc>
          <w:tcPr>
            <w:tcW w:w="0" w:type="auto"/>
            <w:vAlign w:val="center"/>
            <w:hideMark/>
          </w:tcPr>
          <w:p w14:paraId="6118A38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-0.183</w:t>
            </w:r>
            <w:r w:rsidRPr="00D655A9">
              <w:rPr>
                <w:rFonts w:eastAsia="Times New Roman" w:cs="Times New Roman"/>
                <w:sz w:val="14"/>
                <w:szCs w:val="14"/>
                <w:vertAlign w:val="superscript"/>
              </w:rPr>
              <w:t>**</w:t>
            </w:r>
          </w:p>
        </w:tc>
      </w:tr>
      <w:tr w:rsidR="00D655A9" w:rsidRPr="00D655A9" w14:paraId="205CD1D5" w14:textId="77777777" w:rsidTr="009B3A57">
        <w:trPr>
          <w:tblCellSpacing w:w="15" w:type="dxa"/>
          <w:jc w:val="center"/>
        </w:trPr>
        <w:tc>
          <w:tcPr>
            <w:tcW w:w="0" w:type="auto"/>
            <w:vAlign w:val="center"/>
            <w:hideMark/>
          </w:tcPr>
          <w:p w14:paraId="6439A40E"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257905E"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444A337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(0.021)</w:t>
            </w:r>
          </w:p>
        </w:tc>
        <w:tc>
          <w:tcPr>
            <w:tcW w:w="0" w:type="auto"/>
            <w:vAlign w:val="center"/>
            <w:hideMark/>
          </w:tcPr>
          <w:p w14:paraId="6DA5942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(0.026)</w:t>
            </w:r>
          </w:p>
        </w:tc>
        <w:tc>
          <w:tcPr>
            <w:tcW w:w="0" w:type="auto"/>
            <w:vAlign w:val="center"/>
            <w:hideMark/>
          </w:tcPr>
          <w:p w14:paraId="04327FC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(0.073)</w:t>
            </w:r>
          </w:p>
        </w:tc>
      </w:tr>
      <w:tr w:rsidR="00D655A9" w:rsidRPr="00D655A9" w14:paraId="40C3E847" w14:textId="77777777" w:rsidTr="009B3A57">
        <w:trPr>
          <w:tblCellSpacing w:w="15" w:type="dxa"/>
          <w:jc w:val="center"/>
        </w:trPr>
        <w:tc>
          <w:tcPr>
            <w:tcW w:w="0" w:type="auto"/>
            <w:vAlign w:val="center"/>
            <w:hideMark/>
          </w:tcPr>
          <w:p w14:paraId="23EA985F"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9E42CA1"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41911E90"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774E60BD"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14E2181E"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7CBB733F" w14:textId="77777777" w:rsidTr="009B3A57">
        <w:trPr>
          <w:tblCellSpacing w:w="15" w:type="dxa"/>
          <w:jc w:val="center"/>
        </w:trPr>
        <w:tc>
          <w:tcPr>
            <w:tcW w:w="0" w:type="auto"/>
            <w:vAlign w:val="center"/>
            <w:hideMark/>
          </w:tcPr>
          <w:p w14:paraId="36B2BA2B"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 Multiracial</w:t>
            </w:r>
          </w:p>
        </w:tc>
        <w:tc>
          <w:tcPr>
            <w:tcW w:w="0" w:type="auto"/>
            <w:vAlign w:val="center"/>
            <w:hideMark/>
          </w:tcPr>
          <w:p w14:paraId="019CDD50"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79E309C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0.324</w:t>
            </w:r>
            <w:r w:rsidRPr="00D655A9">
              <w:rPr>
                <w:rFonts w:eastAsia="Times New Roman" w:cs="Times New Roman"/>
                <w:sz w:val="14"/>
                <w:szCs w:val="14"/>
                <w:vertAlign w:val="superscript"/>
              </w:rPr>
              <w:t>***</w:t>
            </w:r>
          </w:p>
        </w:tc>
        <w:tc>
          <w:tcPr>
            <w:tcW w:w="0" w:type="auto"/>
            <w:vAlign w:val="center"/>
            <w:hideMark/>
          </w:tcPr>
          <w:p w14:paraId="15FBB8B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0.383</w:t>
            </w:r>
            <w:r w:rsidRPr="00D655A9">
              <w:rPr>
                <w:rFonts w:eastAsia="Times New Roman" w:cs="Times New Roman"/>
                <w:sz w:val="14"/>
                <w:szCs w:val="14"/>
                <w:vertAlign w:val="superscript"/>
              </w:rPr>
              <w:t>***</w:t>
            </w:r>
          </w:p>
        </w:tc>
        <w:tc>
          <w:tcPr>
            <w:tcW w:w="0" w:type="auto"/>
            <w:vAlign w:val="center"/>
            <w:hideMark/>
          </w:tcPr>
          <w:p w14:paraId="74EB2A1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0.383</w:t>
            </w:r>
            <w:r w:rsidRPr="00D655A9">
              <w:rPr>
                <w:rFonts w:eastAsia="Times New Roman" w:cs="Times New Roman"/>
                <w:sz w:val="14"/>
                <w:szCs w:val="14"/>
                <w:vertAlign w:val="superscript"/>
              </w:rPr>
              <w:t>***</w:t>
            </w:r>
          </w:p>
        </w:tc>
      </w:tr>
      <w:tr w:rsidR="00D655A9" w:rsidRPr="00D655A9" w14:paraId="6EFBDA8A" w14:textId="77777777" w:rsidTr="009B3A57">
        <w:trPr>
          <w:tblCellSpacing w:w="15" w:type="dxa"/>
          <w:jc w:val="center"/>
        </w:trPr>
        <w:tc>
          <w:tcPr>
            <w:tcW w:w="0" w:type="auto"/>
            <w:vAlign w:val="center"/>
            <w:hideMark/>
          </w:tcPr>
          <w:p w14:paraId="3E413A7D"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76D97F6"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726BAE4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(0.019)</w:t>
            </w:r>
          </w:p>
        </w:tc>
        <w:tc>
          <w:tcPr>
            <w:tcW w:w="0" w:type="auto"/>
            <w:vAlign w:val="center"/>
            <w:hideMark/>
          </w:tcPr>
          <w:p w14:paraId="280ABC6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(0.024)</w:t>
            </w:r>
          </w:p>
        </w:tc>
        <w:tc>
          <w:tcPr>
            <w:tcW w:w="0" w:type="auto"/>
            <w:vAlign w:val="center"/>
            <w:hideMark/>
          </w:tcPr>
          <w:p w14:paraId="3EEB969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(0.065)</w:t>
            </w:r>
          </w:p>
        </w:tc>
      </w:tr>
      <w:tr w:rsidR="00D655A9" w:rsidRPr="00D655A9" w14:paraId="01243B21" w14:textId="77777777" w:rsidTr="009B3A57">
        <w:trPr>
          <w:tblCellSpacing w:w="15" w:type="dxa"/>
          <w:jc w:val="center"/>
        </w:trPr>
        <w:tc>
          <w:tcPr>
            <w:tcW w:w="0" w:type="auto"/>
            <w:vAlign w:val="center"/>
            <w:hideMark/>
          </w:tcPr>
          <w:p w14:paraId="4EFBE43B"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306F8E44"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42B19095"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310481B7"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14F11E4D"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1A200E4F" w14:textId="77777777" w:rsidTr="009B3A57">
        <w:trPr>
          <w:tblCellSpacing w:w="15" w:type="dxa"/>
          <w:jc w:val="center"/>
        </w:trPr>
        <w:tc>
          <w:tcPr>
            <w:tcW w:w="0" w:type="auto"/>
            <w:vAlign w:val="center"/>
            <w:hideMark/>
          </w:tcPr>
          <w:p w14:paraId="65FD1B95"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 Hispanic</w:t>
            </w:r>
          </w:p>
        </w:tc>
        <w:tc>
          <w:tcPr>
            <w:tcW w:w="0" w:type="auto"/>
            <w:vAlign w:val="center"/>
            <w:hideMark/>
          </w:tcPr>
          <w:p w14:paraId="3A17FE9E"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458FD06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-0.058</w:t>
            </w:r>
            <w:r w:rsidRPr="00D655A9">
              <w:rPr>
                <w:rFonts w:eastAsia="Times New Roman" w:cs="Times New Roman"/>
                <w:sz w:val="14"/>
                <w:szCs w:val="14"/>
                <w:vertAlign w:val="superscript"/>
              </w:rPr>
              <w:t>***</w:t>
            </w:r>
          </w:p>
        </w:tc>
        <w:tc>
          <w:tcPr>
            <w:tcW w:w="0" w:type="auto"/>
            <w:vAlign w:val="center"/>
            <w:hideMark/>
          </w:tcPr>
          <w:p w14:paraId="393A296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0.100</w:t>
            </w:r>
            <w:r w:rsidRPr="00D655A9">
              <w:rPr>
                <w:rFonts w:eastAsia="Times New Roman" w:cs="Times New Roman"/>
                <w:sz w:val="14"/>
                <w:szCs w:val="14"/>
                <w:vertAlign w:val="superscript"/>
              </w:rPr>
              <w:t>***</w:t>
            </w:r>
          </w:p>
        </w:tc>
        <w:tc>
          <w:tcPr>
            <w:tcW w:w="0" w:type="auto"/>
            <w:vAlign w:val="center"/>
            <w:hideMark/>
          </w:tcPr>
          <w:p w14:paraId="07531A2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0.100</w:t>
            </w:r>
          </w:p>
        </w:tc>
      </w:tr>
      <w:tr w:rsidR="00D655A9" w:rsidRPr="00D655A9" w14:paraId="3DA04F6E" w14:textId="77777777" w:rsidTr="009B3A57">
        <w:trPr>
          <w:tblCellSpacing w:w="15" w:type="dxa"/>
          <w:jc w:val="center"/>
        </w:trPr>
        <w:tc>
          <w:tcPr>
            <w:tcW w:w="0" w:type="auto"/>
            <w:vAlign w:val="center"/>
            <w:hideMark/>
          </w:tcPr>
          <w:p w14:paraId="5AD1BDFF"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3B72BC8C"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BB829B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(0.016)</w:t>
            </w:r>
          </w:p>
        </w:tc>
        <w:tc>
          <w:tcPr>
            <w:tcW w:w="0" w:type="auto"/>
            <w:vAlign w:val="center"/>
            <w:hideMark/>
          </w:tcPr>
          <w:p w14:paraId="2324352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(0.024)</w:t>
            </w:r>
          </w:p>
        </w:tc>
        <w:tc>
          <w:tcPr>
            <w:tcW w:w="0" w:type="auto"/>
            <w:vAlign w:val="center"/>
            <w:hideMark/>
          </w:tcPr>
          <w:p w14:paraId="3F19034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(0.091)</w:t>
            </w:r>
          </w:p>
        </w:tc>
      </w:tr>
      <w:tr w:rsidR="00D655A9" w:rsidRPr="00D655A9" w14:paraId="30B2B6E4" w14:textId="77777777" w:rsidTr="009B3A57">
        <w:trPr>
          <w:tblCellSpacing w:w="15" w:type="dxa"/>
          <w:jc w:val="center"/>
        </w:trPr>
        <w:tc>
          <w:tcPr>
            <w:tcW w:w="0" w:type="auto"/>
            <w:vAlign w:val="center"/>
            <w:hideMark/>
          </w:tcPr>
          <w:p w14:paraId="4A13FA1D"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B6F0B7D"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6E18BC42"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45FB27F0"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4F37F4AF"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06CDD085" w14:textId="77777777" w:rsidTr="009B3A57">
        <w:trPr>
          <w:tblCellSpacing w:w="15" w:type="dxa"/>
          <w:jc w:val="center"/>
        </w:trPr>
        <w:tc>
          <w:tcPr>
            <w:tcW w:w="0" w:type="auto"/>
            <w:vAlign w:val="center"/>
            <w:hideMark/>
          </w:tcPr>
          <w:p w14:paraId="531F1016"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 Foreign-Born</w:t>
            </w:r>
          </w:p>
        </w:tc>
        <w:tc>
          <w:tcPr>
            <w:tcW w:w="0" w:type="auto"/>
            <w:vAlign w:val="center"/>
            <w:hideMark/>
          </w:tcPr>
          <w:p w14:paraId="69B8EBDD"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763D6F4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-0.215</w:t>
            </w:r>
            <w:r w:rsidRPr="00D655A9">
              <w:rPr>
                <w:rFonts w:eastAsia="Times New Roman" w:cs="Times New Roman"/>
                <w:sz w:val="14"/>
                <w:szCs w:val="14"/>
                <w:vertAlign w:val="superscript"/>
              </w:rPr>
              <w:t>***</w:t>
            </w:r>
          </w:p>
        </w:tc>
        <w:tc>
          <w:tcPr>
            <w:tcW w:w="0" w:type="auto"/>
            <w:vAlign w:val="center"/>
            <w:hideMark/>
          </w:tcPr>
          <w:p w14:paraId="2DE1CEA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-0.385</w:t>
            </w:r>
            <w:r w:rsidRPr="00D655A9">
              <w:rPr>
                <w:rFonts w:eastAsia="Times New Roman" w:cs="Times New Roman"/>
                <w:sz w:val="14"/>
                <w:szCs w:val="14"/>
                <w:vertAlign w:val="superscript"/>
              </w:rPr>
              <w:t>***</w:t>
            </w:r>
          </w:p>
        </w:tc>
        <w:tc>
          <w:tcPr>
            <w:tcW w:w="0" w:type="auto"/>
            <w:vAlign w:val="center"/>
            <w:hideMark/>
          </w:tcPr>
          <w:p w14:paraId="4AC1C5C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-0.385</w:t>
            </w:r>
            <w:r w:rsidRPr="00D655A9">
              <w:rPr>
                <w:rFonts w:eastAsia="Times New Roman" w:cs="Times New Roman"/>
                <w:sz w:val="14"/>
                <w:szCs w:val="14"/>
                <w:vertAlign w:val="superscript"/>
              </w:rPr>
              <w:t>**</w:t>
            </w:r>
          </w:p>
        </w:tc>
      </w:tr>
      <w:tr w:rsidR="00D655A9" w:rsidRPr="00D655A9" w14:paraId="26A41063" w14:textId="77777777" w:rsidTr="009B3A57">
        <w:trPr>
          <w:tblCellSpacing w:w="15" w:type="dxa"/>
          <w:jc w:val="center"/>
        </w:trPr>
        <w:tc>
          <w:tcPr>
            <w:tcW w:w="0" w:type="auto"/>
            <w:vAlign w:val="center"/>
            <w:hideMark/>
          </w:tcPr>
          <w:p w14:paraId="20C534A4"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8814581"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22543C1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(0.043)</w:t>
            </w:r>
          </w:p>
        </w:tc>
        <w:tc>
          <w:tcPr>
            <w:tcW w:w="0" w:type="auto"/>
            <w:vAlign w:val="center"/>
            <w:hideMark/>
          </w:tcPr>
          <w:p w14:paraId="1492B44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(0.059)</w:t>
            </w:r>
          </w:p>
        </w:tc>
        <w:tc>
          <w:tcPr>
            <w:tcW w:w="0" w:type="auto"/>
            <w:vAlign w:val="center"/>
            <w:hideMark/>
          </w:tcPr>
          <w:p w14:paraId="5B1A9A7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(0.156)</w:t>
            </w:r>
          </w:p>
        </w:tc>
      </w:tr>
      <w:tr w:rsidR="00D655A9" w:rsidRPr="00D655A9" w14:paraId="4A7BE2EA" w14:textId="77777777" w:rsidTr="009B3A57">
        <w:trPr>
          <w:tblCellSpacing w:w="15" w:type="dxa"/>
          <w:jc w:val="center"/>
        </w:trPr>
        <w:tc>
          <w:tcPr>
            <w:tcW w:w="0" w:type="auto"/>
            <w:vAlign w:val="center"/>
            <w:hideMark/>
          </w:tcPr>
          <w:p w14:paraId="7F155AF0"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14E9322"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6E6F798F"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459746AE"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577F520F"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40A299B3" w14:textId="77777777" w:rsidTr="009B3A57">
        <w:trPr>
          <w:tblCellSpacing w:w="15" w:type="dxa"/>
          <w:jc w:val="center"/>
        </w:trPr>
        <w:tc>
          <w:tcPr>
            <w:tcW w:w="0" w:type="auto"/>
            <w:vAlign w:val="center"/>
            <w:hideMark/>
          </w:tcPr>
          <w:p w14:paraId="0DBD0034"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Median Income</w:t>
            </w:r>
          </w:p>
        </w:tc>
        <w:tc>
          <w:tcPr>
            <w:tcW w:w="0" w:type="auto"/>
            <w:vAlign w:val="center"/>
            <w:hideMark/>
          </w:tcPr>
          <w:p w14:paraId="26BD9286"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51AAEB0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-0.0001</w:t>
            </w:r>
            <w:r w:rsidRPr="00D655A9">
              <w:rPr>
                <w:rFonts w:eastAsia="Times New Roman" w:cs="Times New Roman"/>
                <w:sz w:val="14"/>
                <w:szCs w:val="14"/>
                <w:vertAlign w:val="superscript"/>
              </w:rPr>
              <w:t>***</w:t>
            </w:r>
          </w:p>
        </w:tc>
        <w:tc>
          <w:tcPr>
            <w:tcW w:w="0" w:type="auto"/>
            <w:vAlign w:val="center"/>
            <w:hideMark/>
          </w:tcPr>
          <w:p w14:paraId="25076F4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-0.0001</w:t>
            </w:r>
            <w:r w:rsidRPr="00D655A9">
              <w:rPr>
                <w:rFonts w:eastAsia="Times New Roman" w:cs="Times New Roman"/>
                <w:sz w:val="14"/>
                <w:szCs w:val="14"/>
                <w:vertAlign w:val="superscript"/>
              </w:rPr>
              <w:t>***</w:t>
            </w:r>
          </w:p>
        </w:tc>
        <w:tc>
          <w:tcPr>
            <w:tcW w:w="0" w:type="auto"/>
            <w:vAlign w:val="center"/>
            <w:hideMark/>
          </w:tcPr>
          <w:p w14:paraId="294469F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-0.0001</w:t>
            </w:r>
            <w:r w:rsidRPr="00D655A9">
              <w:rPr>
                <w:rFonts w:eastAsia="Times New Roman" w:cs="Times New Roman"/>
                <w:sz w:val="14"/>
                <w:szCs w:val="14"/>
                <w:vertAlign w:val="superscript"/>
              </w:rPr>
              <w:t>***</w:t>
            </w:r>
          </w:p>
        </w:tc>
      </w:tr>
      <w:tr w:rsidR="00D655A9" w:rsidRPr="00D655A9" w14:paraId="0A13E00C" w14:textId="77777777" w:rsidTr="009B3A57">
        <w:trPr>
          <w:tblCellSpacing w:w="15" w:type="dxa"/>
          <w:jc w:val="center"/>
        </w:trPr>
        <w:tc>
          <w:tcPr>
            <w:tcW w:w="0" w:type="auto"/>
            <w:vAlign w:val="center"/>
            <w:hideMark/>
          </w:tcPr>
          <w:p w14:paraId="38EF47DD"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EA4A8F9"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1DF3416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(0.00001)</w:t>
            </w:r>
          </w:p>
        </w:tc>
        <w:tc>
          <w:tcPr>
            <w:tcW w:w="0" w:type="auto"/>
            <w:vAlign w:val="center"/>
            <w:hideMark/>
          </w:tcPr>
          <w:p w14:paraId="1822052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(0.00002)</w:t>
            </w:r>
          </w:p>
        </w:tc>
        <w:tc>
          <w:tcPr>
            <w:tcW w:w="0" w:type="auto"/>
            <w:vAlign w:val="center"/>
            <w:hideMark/>
          </w:tcPr>
          <w:p w14:paraId="6C2CB47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(0.0001)</w:t>
            </w:r>
          </w:p>
        </w:tc>
      </w:tr>
      <w:tr w:rsidR="00D655A9" w:rsidRPr="00D655A9" w14:paraId="5E3AE1B4" w14:textId="77777777" w:rsidTr="009B3A57">
        <w:trPr>
          <w:tblCellSpacing w:w="15" w:type="dxa"/>
          <w:jc w:val="center"/>
        </w:trPr>
        <w:tc>
          <w:tcPr>
            <w:tcW w:w="0" w:type="auto"/>
            <w:vAlign w:val="center"/>
            <w:hideMark/>
          </w:tcPr>
          <w:p w14:paraId="3786E36F"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CCFE035"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5DD924A6"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6E5FD483"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6D68881E"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2E6AF192" w14:textId="77777777" w:rsidTr="009B3A57">
        <w:trPr>
          <w:tblCellSpacing w:w="15" w:type="dxa"/>
          <w:jc w:val="center"/>
        </w:trPr>
        <w:tc>
          <w:tcPr>
            <w:tcW w:w="0" w:type="auto"/>
            <w:vAlign w:val="center"/>
            <w:hideMark/>
          </w:tcPr>
          <w:p w14:paraId="13F1AB82"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Population Density</w:t>
            </w:r>
          </w:p>
        </w:tc>
        <w:tc>
          <w:tcPr>
            <w:tcW w:w="0" w:type="auto"/>
            <w:vAlign w:val="center"/>
            <w:hideMark/>
          </w:tcPr>
          <w:p w14:paraId="394D4A08"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651DEA6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-0.001</w:t>
            </w:r>
            <w:r w:rsidRPr="00D655A9">
              <w:rPr>
                <w:rFonts w:eastAsia="Times New Roman" w:cs="Times New Roman"/>
                <w:sz w:val="14"/>
                <w:szCs w:val="14"/>
                <w:vertAlign w:val="superscript"/>
              </w:rPr>
              <w:t>***</w:t>
            </w:r>
          </w:p>
        </w:tc>
        <w:tc>
          <w:tcPr>
            <w:tcW w:w="0" w:type="auto"/>
            <w:vAlign w:val="center"/>
            <w:hideMark/>
          </w:tcPr>
          <w:p w14:paraId="47B62E8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-0.001</w:t>
            </w:r>
            <w:r w:rsidRPr="00D655A9">
              <w:rPr>
                <w:rFonts w:eastAsia="Times New Roman" w:cs="Times New Roman"/>
                <w:sz w:val="14"/>
                <w:szCs w:val="14"/>
                <w:vertAlign w:val="superscript"/>
              </w:rPr>
              <w:t>***</w:t>
            </w:r>
          </w:p>
        </w:tc>
        <w:tc>
          <w:tcPr>
            <w:tcW w:w="0" w:type="auto"/>
            <w:vAlign w:val="center"/>
            <w:hideMark/>
          </w:tcPr>
          <w:p w14:paraId="3325062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-0.001</w:t>
            </w:r>
            <w:r w:rsidRPr="00D655A9">
              <w:rPr>
                <w:rFonts w:eastAsia="Times New Roman" w:cs="Times New Roman"/>
                <w:sz w:val="14"/>
                <w:szCs w:val="14"/>
                <w:vertAlign w:val="superscript"/>
              </w:rPr>
              <w:t>*</w:t>
            </w:r>
          </w:p>
        </w:tc>
      </w:tr>
      <w:tr w:rsidR="00D655A9" w:rsidRPr="00D655A9" w14:paraId="0C25FC5E" w14:textId="77777777" w:rsidTr="009B3A57">
        <w:trPr>
          <w:tblCellSpacing w:w="15" w:type="dxa"/>
          <w:jc w:val="center"/>
        </w:trPr>
        <w:tc>
          <w:tcPr>
            <w:tcW w:w="0" w:type="auto"/>
            <w:vAlign w:val="center"/>
            <w:hideMark/>
          </w:tcPr>
          <w:p w14:paraId="57C2463B"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30D1741"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841FFF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(0.0001)</w:t>
            </w:r>
          </w:p>
        </w:tc>
        <w:tc>
          <w:tcPr>
            <w:tcW w:w="0" w:type="auto"/>
            <w:vAlign w:val="center"/>
            <w:hideMark/>
          </w:tcPr>
          <w:p w14:paraId="5704868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(0.0002)</w:t>
            </w:r>
          </w:p>
        </w:tc>
        <w:tc>
          <w:tcPr>
            <w:tcW w:w="0" w:type="auto"/>
            <w:vAlign w:val="center"/>
            <w:hideMark/>
          </w:tcPr>
          <w:p w14:paraId="63AA024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(0.001)</w:t>
            </w:r>
          </w:p>
        </w:tc>
      </w:tr>
      <w:tr w:rsidR="00D655A9" w:rsidRPr="00D655A9" w14:paraId="1ACE5CE5" w14:textId="77777777" w:rsidTr="009B3A57">
        <w:trPr>
          <w:tblCellSpacing w:w="15" w:type="dxa"/>
          <w:jc w:val="center"/>
        </w:trPr>
        <w:tc>
          <w:tcPr>
            <w:tcW w:w="0" w:type="auto"/>
            <w:vAlign w:val="center"/>
            <w:hideMark/>
          </w:tcPr>
          <w:p w14:paraId="284F59D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735A58F"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01D1161"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66307314"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6BBBB2FC"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60566D5A" w14:textId="77777777" w:rsidTr="009B3A57">
        <w:trPr>
          <w:tblCellSpacing w:w="15" w:type="dxa"/>
          <w:jc w:val="center"/>
        </w:trPr>
        <w:tc>
          <w:tcPr>
            <w:tcW w:w="0" w:type="auto"/>
            <w:vAlign w:val="center"/>
            <w:hideMark/>
          </w:tcPr>
          <w:p w14:paraId="79CE6DAB"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Oct. Unemployment Rate</w:t>
            </w:r>
          </w:p>
        </w:tc>
        <w:tc>
          <w:tcPr>
            <w:tcW w:w="0" w:type="auto"/>
            <w:vAlign w:val="center"/>
            <w:hideMark/>
          </w:tcPr>
          <w:p w14:paraId="7F5226F6"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0DADB6A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-1.209</w:t>
            </w:r>
            <w:r w:rsidRPr="00D655A9">
              <w:rPr>
                <w:rFonts w:eastAsia="Times New Roman" w:cs="Times New Roman"/>
                <w:sz w:val="14"/>
                <w:szCs w:val="14"/>
                <w:vertAlign w:val="superscript"/>
              </w:rPr>
              <w:t>***</w:t>
            </w:r>
          </w:p>
        </w:tc>
        <w:tc>
          <w:tcPr>
            <w:tcW w:w="0" w:type="auto"/>
            <w:vAlign w:val="center"/>
            <w:hideMark/>
          </w:tcPr>
          <w:p w14:paraId="5C453EA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-0.597</w:t>
            </w:r>
            <w:r w:rsidRPr="00D655A9">
              <w:rPr>
                <w:rFonts w:eastAsia="Times New Roman" w:cs="Times New Roman"/>
                <w:sz w:val="14"/>
                <w:szCs w:val="14"/>
                <w:vertAlign w:val="superscript"/>
              </w:rPr>
              <w:t>***</w:t>
            </w:r>
          </w:p>
        </w:tc>
        <w:tc>
          <w:tcPr>
            <w:tcW w:w="0" w:type="auto"/>
            <w:vAlign w:val="center"/>
            <w:hideMark/>
          </w:tcPr>
          <w:p w14:paraId="6781243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-0.597</w:t>
            </w:r>
            <w:r w:rsidRPr="00D655A9">
              <w:rPr>
                <w:rFonts w:eastAsia="Times New Roman" w:cs="Times New Roman"/>
                <w:sz w:val="14"/>
                <w:szCs w:val="14"/>
                <w:vertAlign w:val="superscript"/>
              </w:rPr>
              <w:t>**</w:t>
            </w:r>
          </w:p>
        </w:tc>
      </w:tr>
      <w:tr w:rsidR="00D655A9" w:rsidRPr="00D655A9" w14:paraId="5F4B3753" w14:textId="77777777" w:rsidTr="009B3A57">
        <w:trPr>
          <w:tblCellSpacing w:w="15" w:type="dxa"/>
          <w:jc w:val="center"/>
        </w:trPr>
        <w:tc>
          <w:tcPr>
            <w:tcW w:w="0" w:type="auto"/>
            <w:vAlign w:val="center"/>
            <w:hideMark/>
          </w:tcPr>
          <w:p w14:paraId="6EADF1B4"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221E88B1"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086EC35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(0.082)</w:t>
            </w:r>
          </w:p>
        </w:tc>
        <w:tc>
          <w:tcPr>
            <w:tcW w:w="0" w:type="auto"/>
            <w:vAlign w:val="center"/>
            <w:hideMark/>
          </w:tcPr>
          <w:p w14:paraId="1C48E70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(0.080)</w:t>
            </w:r>
          </w:p>
        </w:tc>
        <w:tc>
          <w:tcPr>
            <w:tcW w:w="0" w:type="auto"/>
            <w:vAlign w:val="center"/>
            <w:hideMark/>
          </w:tcPr>
          <w:p w14:paraId="33D3CC2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(0.242)</w:t>
            </w:r>
          </w:p>
        </w:tc>
      </w:tr>
      <w:tr w:rsidR="00D655A9" w:rsidRPr="00D655A9" w14:paraId="54A44FD4" w14:textId="77777777" w:rsidTr="009B3A57">
        <w:trPr>
          <w:tblCellSpacing w:w="15" w:type="dxa"/>
          <w:jc w:val="center"/>
        </w:trPr>
        <w:tc>
          <w:tcPr>
            <w:tcW w:w="0" w:type="auto"/>
            <w:vAlign w:val="center"/>
            <w:hideMark/>
          </w:tcPr>
          <w:p w14:paraId="63965879"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9CCF453"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66C5C9E0"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4CDE7948"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0DDF9002"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24A55C8E" w14:textId="77777777" w:rsidTr="009B3A57">
        <w:trPr>
          <w:tblCellSpacing w:w="15" w:type="dxa"/>
          <w:jc w:val="center"/>
        </w:trPr>
        <w:tc>
          <w:tcPr>
            <w:tcW w:w="0" w:type="auto"/>
            <w:vAlign w:val="center"/>
            <w:hideMark/>
          </w:tcPr>
          <w:p w14:paraId="3E974D36"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Daily Change in COVID-19 Deaths (per 100k)</w:t>
            </w:r>
          </w:p>
        </w:tc>
        <w:tc>
          <w:tcPr>
            <w:tcW w:w="0" w:type="auto"/>
            <w:vAlign w:val="center"/>
            <w:hideMark/>
          </w:tcPr>
          <w:p w14:paraId="4D79D840" w14:textId="77777777" w:rsidR="00D655A9" w:rsidRPr="00D655A9" w:rsidRDefault="00D655A9" w:rsidP="00D655A9">
            <w:pPr>
              <w:spacing w:after="0" w:line="240" w:lineRule="auto"/>
              <w:rPr>
                <w:rFonts w:eastAsia="Times New Roman" w:cs="Times New Roman"/>
                <w:sz w:val="14"/>
                <w:szCs w:val="14"/>
              </w:rPr>
            </w:pPr>
          </w:p>
        </w:tc>
        <w:tc>
          <w:tcPr>
            <w:tcW w:w="0" w:type="auto"/>
            <w:vAlign w:val="center"/>
            <w:hideMark/>
          </w:tcPr>
          <w:p w14:paraId="5669DB9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0.148</w:t>
            </w:r>
            <w:r w:rsidRPr="00D655A9">
              <w:rPr>
                <w:rFonts w:eastAsia="Times New Roman" w:cs="Times New Roman"/>
                <w:sz w:val="14"/>
                <w:szCs w:val="14"/>
                <w:vertAlign w:val="superscript"/>
              </w:rPr>
              <w:t>***</w:t>
            </w:r>
          </w:p>
        </w:tc>
        <w:tc>
          <w:tcPr>
            <w:tcW w:w="0" w:type="auto"/>
            <w:vAlign w:val="center"/>
            <w:hideMark/>
          </w:tcPr>
          <w:p w14:paraId="361A804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0.105</w:t>
            </w:r>
            <w:r w:rsidRPr="00D655A9">
              <w:rPr>
                <w:rFonts w:eastAsia="Times New Roman" w:cs="Times New Roman"/>
                <w:sz w:val="14"/>
                <w:szCs w:val="14"/>
                <w:vertAlign w:val="superscript"/>
              </w:rPr>
              <w:t>***</w:t>
            </w:r>
          </w:p>
        </w:tc>
        <w:tc>
          <w:tcPr>
            <w:tcW w:w="0" w:type="auto"/>
            <w:vAlign w:val="center"/>
            <w:hideMark/>
          </w:tcPr>
          <w:p w14:paraId="31B9169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0.105</w:t>
            </w:r>
            <w:r w:rsidRPr="00D655A9">
              <w:rPr>
                <w:rFonts w:eastAsia="Times New Roman" w:cs="Times New Roman"/>
                <w:sz w:val="14"/>
                <w:szCs w:val="14"/>
                <w:vertAlign w:val="superscript"/>
              </w:rPr>
              <w:t>***</w:t>
            </w:r>
          </w:p>
        </w:tc>
      </w:tr>
      <w:tr w:rsidR="00D655A9" w:rsidRPr="00D655A9" w14:paraId="083DE3E4" w14:textId="77777777" w:rsidTr="009B3A57">
        <w:trPr>
          <w:tblCellSpacing w:w="15" w:type="dxa"/>
          <w:jc w:val="center"/>
        </w:trPr>
        <w:tc>
          <w:tcPr>
            <w:tcW w:w="0" w:type="auto"/>
            <w:vAlign w:val="center"/>
            <w:hideMark/>
          </w:tcPr>
          <w:p w14:paraId="76DC6D0E"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01509824"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0BE95FD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(0.022)</w:t>
            </w:r>
          </w:p>
        </w:tc>
        <w:tc>
          <w:tcPr>
            <w:tcW w:w="0" w:type="auto"/>
            <w:vAlign w:val="center"/>
            <w:hideMark/>
          </w:tcPr>
          <w:p w14:paraId="130E8EE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(0.019)</w:t>
            </w:r>
          </w:p>
        </w:tc>
        <w:tc>
          <w:tcPr>
            <w:tcW w:w="0" w:type="auto"/>
            <w:vAlign w:val="center"/>
            <w:hideMark/>
          </w:tcPr>
          <w:p w14:paraId="308C0F9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(0.028)</w:t>
            </w:r>
          </w:p>
        </w:tc>
      </w:tr>
      <w:tr w:rsidR="00D655A9" w:rsidRPr="00D655A9" w14:paraId="756FA63D" w14:textId="77777777" w:rsidTr="009B3A57">
        <w:trPr>
          <w:tblCellSpacing w:w="15" w:type="dxa"/>
          <w:jc w:val="center"/>
        </w:trPr>
        <w:tc>
          <w:tcPr>
            <w:tcW w:w="0" w:type="auto"/>
            <w:vAlign w:val="center"/>
            <w:hideMark/>
          </w:tcPr>
          <w:p w14:paraId="495C521F"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5C73880"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76CF88B9"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12BD15B9"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7AF71F10"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298F611B" w14:textId="77777777" w:rsidTr="009B3A57">
        <w:trPr>
          <w:tblCellSpacing w:w="15" w:type="dxa"/>
          <w:jc w:val="center"/>
        </w:trPr>
        <w:tc>
          <w:tcPr>
            <w:tcW w:w="0" w:type="auto"/>
            <w:vAlign w:val="center"/>
            <w:hideMark/>
          </w:tcPr>
          <w:p w14:paraId="5749750F"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Excuse-Needed to No Excuse-Needed x Year: 2020</w:t>
            </w:r>
          </w:p>
        </w:tc>
        <w:tc>
          <w:tcPr>
            <w:tcW w:w="0" w:type="auto"/>
            <w:vAlign w:val="center"/>
            <w:hideMark/>
          </w:tcPr>
          <w:p w14:paraId="381CA6E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-0.311</w:t>
            </w:r>
          </w:p>
        </w:tc>
        <w:tc>
          <w:tcPr>
            <w:tcW w:w="0" w:type="auto"/>
            <w:vAlign w:val="center"/>
            <w:hideMark/>
          </w:tcPr>
          <w:p w14:paraId="3E3AC4D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-0.025</w:t>
            </w:r>
          </w:p>
        </w:tc>
        <w:tc>
          <w:tcPr>
            <w:tcW w:w="0" w:type="auto"/>
            <w:vAlign w:val="center"/>
            <w:hideMark/>
          </w:tcPr>
          <w:p w14:paraId="6F9DD09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-0.133</w:t>
            </w:r>
          </w:p>
        </w:tc>
        <w:tc>
          <w:tcPr>
            <w:tcW w:w="0" w:type="auto"/>
            <w:vAlign w:val="center"/>
            <w:hideMark/>
          </w:tcPr>
          <w:p w14:paraId="1458B11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-0.133</w:t>
            </w:r>
          </w:p>
        </w:tc>
      </w:tr>
      <w:tr w:rsidR="00D655A9" w:rsidRPr="00D655A9" w14:paraId="45C18A7F" w14:textId="77777777" w:rsidTr="009B3A57">
        <w:trPr>
          <w:tblCellSpacing w:w="15" w:type="dxa"/>
          <w:jc w:val="center"/>
        </w:trPr>
        <w:tc>
          <w:tcPr>
            <w:tcW w:w="0" w:type="auto"/>
            <w:vAlign w:val="center"/>
            <w:hideMark/>
          </w:tcPr>
          <w:p w14:paraId="7C8D0BCB"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4A0A536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(1.008)</w:t>
            </w:r>
          </w:p>
        </w:tc>
        <w:tc>
          <w:tcPr>
            <w:tcW w:w="0" w:type="auto"/>
            <w:vAlign w:val="center"/>
            <w:hideMark/>
          </w:tcPr>
          <w:p w14:paraId="092F26A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(0.676)</w:t>
            </w:r>
          </w:p>
        </w:tc>
        <w:tc>
          <w:tcPr>
            <w:tcW w:w="0" w:type="auto"/>
            <w:vAlign w:val="center"/>
            <w:hideMark/>
          </w:tcPr>
          <w:p w14:paraId="70E9EAD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(0.475)</w:t>
            </w:r>
          </w:p>
        </w:tc>
        <w:tc>
          <w:tcPr>
            <w:tcW w:w="0" w:type="auto"/>
            <w:vAlign w:val="center"/>
            <w:hideMark/>
          </w:tcPr>
          <w:p w14:paraId="58E4349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(0.720)</w:t>
            </w:r>
          </w:p>
        </w:tc>
      </w:tr>
      <w:tr w:rsidR="00D655A9" w:rsidRPr="00D655A9" w14:paraId="5DAE1213" w14:textId="77777777" w:rsidTr="009B3A57">
        <w:trPr>
          <w:tblCellSpacing w:w="15" w:type="dxa"/>
          <w:jc w:val="center"/>
        </w:trPr>
        <w:tc>
          <w:tcPr>
            <w:tcW w:w="0" w:type="auto"/>
            <w:vAlign w:val="center"/>
            <w:hideMark/>
          </w:tcPr>
          <w:p w14:paraId="2CEB1297"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5134E646"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7572E6D7"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540EB706"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539030D4"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2627B247" w14:textId="77777777" w:rsidTr="009B3A57">
        <w:trPr>
          <w:tblCellSpacing w:w="15" w:type="dxa"/>
          <w:jc w:val="center"/>
        </w:trPr>
        <w:tc>
          <w:tcPr>
            <w:tcW w:w="0" w:type="auto"/>
            <w:vAlign w:val="center"/>
            <w:hideMark/>
          </w:tcPr>
          <w:p w14:paraId="79F853AB"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Excuse-Needed to Applications Sent x Year: 2020</w:t>
            </w:r>
          </w:p>
        </w:tc>
        <w:tc>
          <w:tcPr>
            <w:tcW w:w="0" w:type="auto"/>
            <w:vAlign w:val="center"/>
            <w:hideMark/>
          </w:tcPr>
          <w:p w14:paraId="46AEAF1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-1.554</w:t>
            </w:r>
          </w:p>
        </w:tc>
        <w:tc>
          <w:tcPr>
            <w:tcW w:w="0" w:type="auto"/>
            <w:vAlign w:val="center"/>
            <w:hideMark/>
          </w:tcPr>
          <w:p w14:paraId="3681169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-1.629</w:t>
            </w:r>
          </w:p>
        </w:tc>
        <w:tc>
          <w:tcPr>
            <w:tcW w:w="0" w:type="auto"/>
            <w:vAlign w:val="center"/>
            <w:hideMark/>
          </w:tcPr>
          <w:p w14:paraId="114CB95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-1.124</w:t>
            </w:r>
          </w:p>
        </w:tc>
        <w:tc>
          <w:tcPr>
            <w:tcW w:w="0" w:type="auto"/>
            <w:vAlign w:val="center"/>
            <w:hideMark/>
          </w:tcPr>
          <w:p w14:paraId="476FC6B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-1.124</w:t>
            </w:r>
            <w:r w:rsidRPr="00D655A9">
              <w:rPr>
                <w:rFonts w:eastAsia="Times New Roman" w:cs="Times New Roman"/>
                <w:sz w:val="14"/>
                <w:szCs w:val="14"/>
                <w:vertAlign w:val="superscript"/>
              </w:rPr>
              <w:t>*</w:t>
            </w:r>
          </w:p>
        </w:tc>
      </w:tr>
      <w:tr w:rsidR="00D655A9" w:rsidRPr="00D655A9" w14:paraId="684BF1C9" w14:textId="77777777" w:rsidTr="009B3A57">
        <w:trPr>
          <w:tblCellSpacing w:w="15" w:type="dxa"/>
          <w:jc w:val="center"/>
        </w:trPr>
        <w:tc>
          <w:tcPr>
            <w:tcW w:w="0" w:type="auto"/>
            <w:vAlign w:val="center"/>
            <w:hideMark/>
          </w:tcPr>
          <w:p w14:paraId="5BEF0610"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7BC87D7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(2.161)</w:t>
            </w:r>
          </w:p>
        </w:tc>
        <w:tc>
          <w:tcPr>
            <w:tcW w:w="0" w:type="auto"/>
            <w:vAlign w:val="center"/>
            <w:hideMark/>
          </w:tcPr>
          <w:p w14:paraId="5581F60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(1.443)</w:t>
            </w:r>
          </w:p>
        </w:tc>
        <w:tc>
          <w:tcPr>
            <w:tcW w:w="0" w:type="auto"/>
            <w:vAlign w:val="center"/>
            <w:hideMark/>
          </w:tcPr>
          <w:p w14:paraId="75C936F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(1.012)</w:t>
            </w:r>
          </w:p>
        </w:tc>
        <w:tc>
          <w:tcPr>
            <w:tcW w:w="0" w:type="auto"/>
            <w:vAlign w:val="center"/>
            <w:hideMark/>
          </w:tcPr>
          <w:p w14:paraId="434FD28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(0.594)</w:t>
            </w:r>
          </w:p>
        </w:tc>
      </w:tr>
      <w:tr w:rsidR="00D655A9" w:rsidRPr="00D655A9" w14:paraId="45C50B6D" w14:textId="77777777" w:rsidTr="009B3A57">
        <w:trPr>
          <w:tblCellSpacing w:w="15" w:type="dxa"/>
          <w:jc w:val="center"/>
        </w:trPr>
        <w:tc>
          <w:tcPr>
            <w:tcW w:w="0" w:type="auto"/>
            <w:vAlign w:val="center"/>
            <w:hideMark/>
          </w:tcPr>
          <w:p w14:paraId="4487921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FFBA584"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14097ECA"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4B51C9F3"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1BBD3C75"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59AE46DC" w14:textId="77777777" w:rsidTr="009B3A57">
        <w:trPr>
          <w:tblCellSpacing w:w="15" w:type="dxa"/>
          <w:jc w:val="center"/>
        </w:trPr>
        <w:tc>
          <w:tcPr>
            <w:tcW w:w="0" w:type="auto"/>
            <w:vAlign w:val="center"/>
            <w:hideMark/>
          </w:tcPr>
          <w:p w14:paraId="335433E8"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No Excuse-Needed to Applications Sent x Year: 2020</w:t>
            </w:r>
          </w:p>
        </w:tc>
        <w:tc>
          <w:tcPr>
            <w:tcW w:w="0" w:type="auto"/>
            <w:vAlign w:val="center"/>
            <w:hideMark/>
          </w:tcPr>
          <w:p w14:paraId="405826E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-0.396</w:t>
            </w:r>
          </w:p>
        </w:tc>
        <w:tc>
          <w:tcPr>
            <w:tcW w:w="0" w:type="auto"/>
            <w:vAlign w:val="center"/>
            <w:hideMark/>
          </w:tcPr>
          <w:p w14:paraId="10D9E4D5"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0.594</w:t>
            </w:r>
          </w:p>
        </w:tc>
        <w:tc>
          <w:tcPr>
            <w:tcW w:w="0" w:type="auto"/>
            <w:vAlign w:val="center"/>
            <w:hideMark/>
          </w:tcPr>
          <w:p w14:paraId="122C8298"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0.358</w:t>
            </w:r>
          </w:p>
        </w:tc>
        <w:tc>
          <w:tcPr>
            <w:tcW w:w="0" w:type="auto"/>
            <w:vAlign w:val="center"/>
            <w:hideMark/>
          </w:tcPr>
          <w:p w14:paraId="509AB21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0.358</w:t>
            </w:r>
          </w:p>
        </w:tc>
      </w:tr>
      <w:tr w:rsidR="00D655A9" w:rsidRPr="00D655A9" w14:paraId="4C3F49B3" w14:textId="77777777" w:rsidTr="009B3A57">
        <w:trPr>
          <w:tblCellSpacing w:w="15" w:type="dxa"/>
          <w:jc w:val="center"/>
        </w:trPr>
        <w:tc>
          <w:tcPr>
            <w:tcW w:w="0" w:type="auto"/>
            <w:vAlign w:val="center"/>
            <w:hideMark/>
          </w:tcPr>
          <w:p w14:paraId="0DE15C7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19A4DBF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(1.065)</w:t>
            </w:r>
          </w:p>
        </w:tc>
        <w:tc>
          <w:tcPr>
            <w:tcW w:w="0" w:type="auto"/>
            <w:vAlign w:val="center"/>
            <w:hideMark/>
          </w:tcPr>
          <w:p w14:paraId="6498001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(0.714)</w:t>
            </w:r>
          </w:p>
        </w:tc>
        <w:tc>
          <w:tcPr>
            <w:tcW w:w="0" w:type="auto"/>
            <w:vAlign w:val="center"/>
            <w:hideMark/>
          </w:tcPr>
          <w:p w14:paraId="3648D01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(0.502)</w:t>
            </w:r>
          </w:p>
        </w:tc>
        <w:tc>
          <w:tcPr>
            <w:tcW w:w="0" w:type="auto"/>
            <w:vAlign w:val="center"/>
            <w:hideMark/>
          </w:tcPr>
          <w:p w14:paraId="22630839"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(0.604)</w:t>
            </w:r>
          </w:p>
        </w:tc>
      </w:tr>
      <w:tr w:rsidR="00D655A9" w:rsidRPr="00D655A9" w14:paraId="1BDD9BEC" w14:textId="77777777" w:rsidTr="009B3A57">
        <w:trPr>
          <w:tblCellSpacing w:w="15" w:type="dxa"/>
          <w:jc w:val="center"/>
        </w:trPr>
        <w:tc>
          <w:tcPr>
            <w:tcW w:w="0" w:type="auto"/>
            <w:vAlign w:val="center"/>
            <w:hideMark/>
          </w:tcPr>
          <w:p w14:paraId="32FB2D7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90B4AF3"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714732A0"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536E28F9"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4426B43F"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53B9D1A4" w14:textId="77777777" w:rsidTr="009B3A57">
        <w:trPr>
          <w:tblCellSpacing w:w="15" w:type="dxa"/>
          <w:jc w:val="center"/>
        </w:trPr>
        <w:tc>
          <w:tcPr>
            <w:tcW w:w="0" w:type="auto"/>
            <w:vAlign w:val="center"/>
            <w:hideMark/>
          </w:tcPr>
          <w:p w14:paraId="1FB367B5"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Condition: No Excuse-Needed to Ballots Sent x Year: 2020</w:t>
            </w:r>
          </w:p>
        </w:tc>
        <w:tc>
          <w:tcPr>
            <w:tcW w:w="0" w:type="auto"/>
            <w:vAlign w:val="center"/>
            <w:hideMark/>
          </w:tcPr>
          <w:p w14:paraId="409E3C5B"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-1.029</w:t>
            </w:r>
          </w:p>
        </w:tc>
        <w:tc>
          <w:tcPr>
            <w:tcW w:w="0" w:type="auto"/>
            <w:vAlign w:val="center"/>
            <w:hideMark/>
          </w:tcPr>
          <w:p w14:paraId="117E5257"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-0.594</w:t>
            </w:r>
          </w:p>
        </w:tc>
        <w:tc>
          <w:tcPr>
            <w:tcW w:w="0" w:type="auto"/>
            <w:vAlign w:val="center"/>
            <w:hideMark/>
          </w:tcPr>
          <w:p w14:paraId="3629A0EF"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-0.181</w:t>
            </w:r>
          </w:p>
        </w:tc>
        <w:tc>
          <w:tcPr>
            <w:tcW w:w="0" w:type="auto"/>
            <w:vAlign w:val="center"/>
            <w:hideMark/>
          </w:tcPr>
          <w:p w14:paraId="760FB5A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-0.181</w:t>
            </w:r>
          </w:p>
        </w:tc>
      </w:tr>
      <w:tr w:rsidR="00D655A9" w:rsidRPr="00D655A9" w14:paraId="6F6DA6B2" w14:textId="77777777" w:rsidTr="009B3A57">
        <w:trPr>
          <w:tblCellSpacing w:w="15" w:type="dxa"/>
          <w:jc w:val="center"/>
        </w:trPr>
        <w:tc>
          <w:tcPr>
            <w:tcW w:w="0" w:type="auto"/>
            <w:vAlign w:val="center"/>
            <w:hideMark/>
          </w:tcPr>
          <w:p w14:paraId="1AAC5D1E"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17D07E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(1.819)</w:t>
            </w:r>
          </w:p>
        </w:tc>
        <w:tc>
          <w:tcPr>
            <w:tcW w:w="0" w:type="auto"/>
            <w:vAlign w:val="center"/>
            <w:hideMark/>
          </w:tcPr>
          <w:p w14:paraId="14A46DF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(1.222)</w:t>
            </w:r>
          </w:p>
        </w:tc>
        <w:tc>
          <w:tcPr>
            <w:tcW w:w="0" w:type="auto"/>
            <w:vAlign w:val="center"/>
            <w:hideMark/>
          </w:tcPr>
          <w:p w14:paraId="031ADEF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(0.858)</w:t>
            </w:r>
          </w:p>
        </w:tc>
        <w:tc>
          <w:tcPr>
            <w:tcW w:w="0" w:type="auto"/>
            <w:vAlign w:val="center"/>
            <w:hideMark/>
          </w:tcPr>
          <w:p w14:paraId="38E9765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(0.898)</w:t>
            </w:r>
          </w:p>
        </w:tc>
      </w:tr>
      <w:tr w:rsidR="00D655A9" w:rsidRPr="00D655A9" w14:paraId="41A3D184" w14:textId="77777777" w:rsidTr="009B3A57">
        <w:trPr>
          <w:tblCellSpacing w:w="15" w:type="dxa"/>
          <w:jc w:val="center"/>
        </w:trPr>
        <w:tc>
          <w:tcPr>
            <w:tcW w:w="0" w:type="auto"/>
            <w:vAlign w:val="center"/>
            <w:hideMark/>
          </w:tcPr>
          <w:p w14:paraId="5CA0E942"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242166B7"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306E36E0"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0F3BF24A"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09CABC3B"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68A74A07" w14:textId="77777777" w:rsidTr="009B3A57">
        <w:trPr>
          <w:tblCellSpacing w:w="15" w:type="dxa"/>
          <w:jc w:val="center"/>
        </w:trPr>
        <w:tc>
          <w:tcPr>
            <w:tcW w:w="0" w:type="auto"/>
            <w:vAlign w:val="center"/>
            <w:hideMark/>
          </w:tcPr>
          <w:p w14:paraId="44A983A1"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Constant</w:t>
            </w:r>
          </w:p>
        </w:tc>
        <w:tc>
          <w:tcPr>
            <w:tcW w:w="0" w:type="auto"/>
            <w:vAlign w:val="center"/>
            <w:hideMark/>
          </w:tcPr>
          <w:p w14:paraId="362B86B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68.346</w:t>
            </w:r>
            <w:r w:rsidRPr="00D655A9">
              <w:rPr>
                <w:rFonts w:eastAsia="Times New Roman" w:cs="Times New Roman"/>
                <w:sz w:val="14"/>
                <w:szCs w:val="14"/>
                <w:vertAlign w:val="superscript"/>
              </w:rPr>
              <w:t>***</w:t>
            </w:r>
          </w:p>
        </w:tc>
        <w:tc>
          <w:tcPr>
            <w:tcW w:w="0" w:type="auto"/>
            <w:vAlign w:val="center"/>
            <w:hideMark/>
          </w:tcPr>
          <w:p w14:paraId="3EDAE78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42.460</w:t>
            </w:r>
            <w:r w:rsidRPr="00D655A9">
              <w:rPr>
                <w:rFonts w:eastAsia="Times New Roman" w:cs="Times New Roman"/>
                <w:sz w:val="14"/>
                <w:szCs w:val="14"/>
                <w:vertAlign w:val="superscript"/>
              </w:rPr>
              <w:t>***</w:t>
            </w:r>
          </w:p>
        </w:tc>
        <w:tc>
          <w:tcPr>
            <w:tcW w:w="0" w:type="auto"/>
            <w:vAlign w:val="center"/>
            <w:hideMark/>
          </w:tcPr>
          <w:p w14:paraId="6EF1EF5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40.173</w:t>
            </w:r>
            <w:r w:rsidRPr="00D655A9">
              <w:rPr>
                <w:rFonts w:eastAsia="Times New Roman" w:cs="Times New Roman"/>
                <w:sz w:val="14"/>
                <w:szCs w:val="14"/>
                <w:vertAlign w:val="superscript"/>
              </w:rPr>
              <w:t>***</w:t>
            </w:r>
          </w:p>
        </w:tc>
        <w:tc>
          <w:tcPr>
            <w:tcW w:w="0" w:type="auto"/>
            <w:vAlign w:val="center"/>
            <w:hideMark/>
          </w:tcPr>
          <w:p w14:paraId="5278357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40.173</w:t>
            </w:r>
            <w:r w:rsidRPr="00D655A9">
              <w:rPr>
                <w:rFonts w:eastAsia="Times New Roman" w:cs="Times New Roman"/>
                <w:sz w:val="14"/>
                <w:szCs w:val="14"/>
                <w:vertAlign w:val="superscript"/>
              </w:rPr>
              <w:t>***</w:t>
            </w:r>
          </w:p>
        </w:tc>
      </w:tr>
      <w:tr w:rsidR="00D655A9" w:rsidRPr="00D655A9" w14:paraId="004F1402" w14:textId="77777777" w:rsidTr="009B3A57">
        <w:trPr>
          <w:tblCellSpacing w:w="15" w:type="dxa"/>
          <w:jc w:val="center"/>
        </w:trPr>
        <w:tc>
          <w:tcPr>
            <w:tcW w:w="0" w:type="auto"/>
            <w:vAlign w:val="center"/>
            <w:hideMark/>
          </w:tcPr>
          <w:p w14:paraId="74CFD2CB"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3D6B74C"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(0.416)</w:t>
            </w:r>
          </w:p>
        </w:tc>
        <w:tc>
          <w:tcPr>
            <w:tcW w:w="0" w:type="auto"/>
            <w:vAlign w:val="center"/>
            <w:hideMark/>
          </w:tcPr>
          <w:p w14:paraId="3F42BAB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(2.420)</w:t>
            </w:r>
          </w:p>
        </w:tc>
        <w:tc>
          <w:tcPr>
            <w:tcW w:w="0" w:type="auto"/>
            <w:vAlign w:val="center"/>
            <w:hideMark/>
          </w:tcPr>
          <w:p w14:paraId="7E012191"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(5.897)</w:t>
            </w:r>
          </w:p>
        </w:tc>
        <w:tc>
          <w:tcPr>
            <w:tcW w:w="0" w:type="auto"/>
            <w:vAlign w:val="center"/>
            <w:hideMark/>
          </w:tcPr>
          <w:p w14:paraId="0C71AEE4"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(7.626)</w:t>
            </w:r>
          </w:p>
        </w:tc>
      </w:tr>
      <w:tr w:rsidR="00D655A9" w:rsidRPr="00D655A9" w14:paraId="38C6DA61" w14:textId="77777777" w:rsidTr="009B3A57">
        <w:trPr>
          <w:tblCellSpacing w:w="15" w:type="dxa"/>
          <w:jc w:val="center"/>
        </w:trPr>
        <w:tc>
          <w:tcPr>
            <w:tcW w:w="0" w:type="auto"/>
            <w:vAlign w:val="center"/>
            <w:hideMark/>
          </w:tcPr>
          <w:p w14:paraId="74BF4686" w14:textId="77777777" w:rsidR="00D655A9" w:rsidRPr="00D655A9" w:rsidRDefault="00D655A9" w:rsidP="00D655A9">
            <w:pPr>
              <w:spacing w:after="0" w:line="240" w:lineRule="auto"/>
              <w:jc w:val="center"/>
              <w:rPr>
                <w:rFonts w:eastAsia="Times New Roman" w:cs="Times New Roman"/>
                <w:sz w:val="14"/>
                <w:szCs w:val="14"/>
              </w:rPr>
            </w:pPr>
          </w:p>
        </w:tc>
        <w:tc>
          <w:tcPr>
            <w:tcW w:w="0" w:type="auto"/>
            <w:vAlign w:val="center"/>
            <w:hideMark/>
          </w:tcPr>
          <w:p w14:paraId="69016C8D" w14:textId="77777777" w:rsidR="00D655A9" w:rsidRPr="00D655A9" w:rsidRDefault="00D655A9" w:rsidP="00D655A9">
            <w:pPr>
              <w:spacing w:after="0" w:line="240" w:lineRule="auto"/>
              <w:rPr>
                <w:rFonts w:eastAsia="Times New Roman" w:cs="Times New Roman"/>
                <w:sz w:val="10"/>
                <w:szCs w:val="10"/>
              </w:rPr>
            </w:pPr>
          </w:p>
        </w:tc>
        <w:tc>
          <w:tcPr>
            <w:tcW w:w="0" w:type="auto"/>
            <w:vAlign w:val="center"/>
            <w:hideMark/>
          </w:tcPr>
          <w:p w14:paraId="76AE5EC5"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1A76ADF2" w14:textId="77777777" w:rsidR="00D655A9" w:rsidRPr="00D655A9" w:rsidRDefault="00D655A9" w:rsidP="00D655A9">
            <w:pPr>
              <w:spacing w:after="0" w:line="240" w:lineRule="auto"/>
              <w:jc w:val="center"/>
              <w:rPr>
                <w:rFonts w:eastAsia="Times New Roman" w:cs="Times New Roman"/>
                <w:sz w:val="10"/>
                <w:szCs w:val="10"/>
              </w:rPr>
            </w:pPr>
          </w:p>
        </w:tc>
        <w:tc>
          <w:tcPr>
            <w:tcW w:w="0" w:type="auto"/>
            <w:vAlign w:val="center"/>
            <w:hideMark/>
          </w:tcPr>
          <w:p w14:paraId="55FBD27D"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0DAB333C" w14:textId="77777777" w:rsidTr="009B3A57">
        <w:trPr>
          <w:tblCellSpacing w:w="15" w:type="dxa"/>
          <w:jc w:val="center"/>
        </w:trPr>
        <w:tc>
          <w:tcPr>
            <w:tcW w:w="0" w:type="auto"/>
            <w:gridSpan w:val="5"/>
            <w:tcBorders>
              <w:bottom w:val="single" w:sz="6" w:space="0" w:color="000000"/>
            </w:tcBorders>
            <w:vAlign w:val="center"/>
            <w:hideMark/>
          </w:tcPr>
          <w:p w14:paraId="3FB49454"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23BD7339" w14:textId="77777777" w:rsidTr="009B3A57">
        <w:trPr>
          <w:tblCellSpacing w:w="15" w:type="dxa"/>
          <w:jc w:val="center"/>
        </w:trPr>
        <w:tc>
          <w:tcPr>
            <w:tcW w:w="0" w:type="auto"/>
            <w:vAlign w:val="center"/>
            <w:hideMark/>
          </w:tcPr>
          <w:p w14:paraId="7BD93AAB"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Observations</w:t>
            </w:r>
          </w:p>
        </w:tc>
        <w:tc>
          <w:tcPr>
            <w:tcW w:w="0" w:type="auto"/>
            <w:vAlign w:val="center"/>
            <w:hideMark/>
          </w:tcPr>
          <w:p w14:paraId="57ACA2F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6,186</w:t>
            </w:r>
          </w:p>
        </w:tc>
        <w:tc>
          <w:tcPr>
            <w:tcW w:w="0" w:type="auto"/>
            <w:vAlign w:val="center"/>
            <w:hideMark/>
          </w:tcPr>
          <w:p w14:paraId="14F4A67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6,181</w:t>
            </w:r>
          </w:p>
        </w:tc>
        <w:tc>
          <w:tcPr>
            <w:tcW w:w="0" w:type="auto"/>
            <w:vAlign w:val="center"/>
            <w:hideMark/>
          </w:tcPr>
          <w:p w14:paraId="08A3CB33"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6,181</w:t>
            </w:r>
          </w:p>
        </w:tc>
        <w:tc>
          <w:tcPr>
            <w:tcW w:w="0" w:type="auto"/>
            <w:vAlign w:val="center"/>
            <w:hideMark/>
          </w:tcPr>
          <w:p w14:paraId="0EB7297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6,181</w:t>
            </w:r>
          </w:p>
        </w:tc>
      </w:tr>
      <w:tr w:rsidR="00D655A9" w:rsidRPr="00D655A9" w14:paraId="599E8A92" w14:textId="77777777" w:rsidTr="009B3A57">
        <w:trPr>
          <w:tblCellSpacing w:w="15" w:type="dxa"/>
          <w:jc w:val="center"/>
        </w:trPr>
        <w:tc>
          <w:tcPr>
            <w:tcW w:w="0" w:type="auto"/>
            <w:vAlign w:val="center"/>
            <w:hideMark/>
          </w:tcPr>
          <w:p w14:paraId="35FA1AC3"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Adjusted R</w:t>
            </w:r>
            <w:r w:rsidRPr="00D655A9">
              <w:rPr>
                <w:rFonts w:eastAsia="Times New Roman" w:cs="Times New Roman"/>
                <w:sz w:val="14"/>
                <w:szCs w:val="14"/>
                <w:vertAlign w:val="superscript"/>
              </w:rPr>
              <w:t>2</w:t>
            </w:r>
          </w:p>
        </w:tc>
        <w:tc>
          <w:tcPr>
            <w:tcW w:w="0" w:type="auto"/>
            <w:vAlign w:val="center"/>
            <w:hideMark/>
          </w:tcPr>
          <w:p w14:paraId="56E18880"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0.050</w:t>
            </w:r>
          </w:p>
        </w:tc>
        <w:tc>
          <w:tcPr>
            <w:tcW w:w="0" w:type="auto"/>
            <w:vAlign w:val="center"/>
            <w:hideMark/>
          </w:tcPr>
          <w:p w14:paraId="253E724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0.576</w:t>
            </w:r>
          </w:p>
        </w:tc>
        <w:tc>
          <w:tcPr>
            <w:tcW w:w="0" w:type="auto"/>
            <w:vAlign w:val="center"/>
            <w:hideMark/>
          </w:tcPr>
          <w:p w14:paraId="67B347EA"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0.792</w:t>
            </w:r>
          </w:p>
        </w:tc>
        <w:tc>
          <w:tcPr>
            <w:tcW w:w="0" w:type="auto"/>
            <w:vAlign w:val="center"/>
            <w:hideMark/>
          </w:tcPr>
          <w:p w14:paraId="63DABD56"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0.792</w:t>
            </w:r>
          </w:p>
        </w:tc>
      </w:tr>
      <w:tr w:rsidR="00D655A9" w:rsidRPr="00D655A9" w14:paraId="76E50568" w14:textId="77777777" w:rsidTr="009B3A57">
        <w:trPr>
          <w:tblCellSpacing w:w="15" w:type="dxa"/>
          <w:jc w:val="center"/>
        </w:trPr>
        <w:tc>
          <w:tcPr>
            <w:tcW w:w="0" w:type="auto"/>
            <w:vAlign w:val="center"/>
            <w:hideMark/>
          </w:tcPr>
          <w:p w14:paraId="3236E652"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sz w:val="14"/>
                <w:szCs w:val="14"/>
              </w:rPr>
              <w:t>Residual Std. Error</w:t>
            </w:r>
          </w:p>
        </w:tc>
        <w:tc>
          <w:tcPr>
            <w:tcW w:w="0" w:type="auto"/>
            <w:vAlign w:val="center"/>
            <w:hideMark/>
          </w:tcPr>
          <w:p w14:paraId="7F2EA51D"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15.771 (df = 6176)</w:t>
            </w:r>
          </w:p>
        </w:tc>
        <w:tc>
          <w:tcPr>
            <w:tcW w:w="0" w:type="auto"/>
            <w:vAlign w:val="center"/>
            <w:hideMark/>
          </w:tcPr>
          <w:p w14:paraId="3B8134C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10.505 (df = 6161)</w:t>
            </w:r>
          </w:p>
        </w:tc>
        <w:tc>
          <w:tcPr>
            <w:tcW w:w="0" w:type="auto"/>
            <w:vAlign w:val="center"/>
            <w:hideMark/>
          </w:tcPr>
          <w:p w14:paraId="66D1CD9E"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7.362 (df = 4321)</w:t>
            </w:r>
          </w:p>
        </w:tc>
        <w:tc>
          <w:tcPr>
            <w:tcW w:w="0" w:type="auto"/>
            <w:vAlign w:val="center"/>
            <w:hideMark/>
          </w:tcPr>
          <w:p w14:paraId="19CA09C2" w14:textId="77777777" w:rsidR="00D655A9" w:rsidRPr="00D655A9" w:rsidRDefault="00D655A9" w:rsidP="00D655A9">
            <w:pPr>
              <w:spacing w:after="0" w:line="240" w:lineRule="auto"/>
              <w:jc w:val="center"/>
              <w:rPr>
                <w:rFonts w:eastAsia="Times New Roman" w:cs="Times New Roman"/>
                <w:sz w:val="14"/>
                <w:szCs w:val="14"/>
              </w:rPr>
            </w:pPr>
            <w:r w:rsidRPr="00D655A9">
              <w:rPr>
                <w:rFonts w:eastAsia="Times New Roman" w:cs="Times New Roman"/>
                <w:sz w:val="14"/>
                <w:szCs w:val="14"/>
              </w:rPr>
              <w:t>7.362 (df = 4321)</w:t>
            </w:r>
          </w:p>
        </w:tc>
      </w:tr>
      <w:tr w:rsidR="00D655A9" w:rsidRPr="00D655A9" w14:paraId="5871AE8B" w14:textId="77777777" w:rsidTr="009B3A57">
        <w:trPr>
          <w:tblCellSpacing w:w="15" w:type="dxa"/>
          <w:jc w:val="center"/>
        </w:trPr>
        <w:tc>
          <w:tcPr>
            <w:tcW w:w="0" w:type="auto"/>
            <w:gridSpan w:val="5"/>
            <w:tcBorders>
              <w:bottom w:val="single" w:sz="6" w:space="0" w:color="000000"/>
            </w:tcBorders>
            <w:vAlign w:val="center"/>
            <w:hideMark/>
          </w:tcPr>
          <w:p w14:paraId="4B0D4DE2" w14:textId="77777777" w:rsidR="00D655A9" w:rsidRPr="00D655A9" w:rsidRDefault="00D655A9" w:rsidP="00D655A9">
            <w:pPr>
              <w:spacing w:after="0" w:line="240" w:lineRule="auto"/>
              <w:jc w:val="center"/>
              <w:rPr>
                <w:rFonts w:eastAsia="Times New Roman" w:cs="Times New Roman"/>
                <w:sz w:val="10"/>
                <w:szCs w:val="10"/>
              </w:rPr>
            </w:pPr>
          </w:p>
        </w:tc>
      </w:tr>
      <w:tr w:rsidR="00D655A9" w:rsidRPr="00D655A9" w14:paraId="1BBAF1D2" w14:textId="77777777" w:rsidTr="009B3A57">
        <w:trPr>
          <w:tblCellSpacing w:w="15" w:type="dxa"/>
          <w:jc w:val="center"/>
        </w:trPr>
        <w:tc>
          <w:tcPr>
            <w:tcW w:w="0" w:type="auto"/>
            <w:vAlign w:val="center"/>
            <w:hideMark/>
          </w:tcPr>
          <w:p w14:paraId="1C41E35D" w14:textId="77777777" w:rsidR="00D655A9" w:rsidRPr="00D655A9" w:rsidRDefault="00D655A9" w:rsidP="00D655A9">
            <w:pPr>
              <w:spacing w:after="0" w:line="240" w:lineRule="auto"/>
              <w:rPr>
                <w:rFonts w:eastAsia="Times New Roman" w:cs="Times New Roman"/>
                <w:sz w:val="14"/>
                <w:szCs w:val="14"/>
              </w:rPr>
            </w:pPr>
            <w:r w:rsidRPr="00D655A9">
              <w:rPr>
                <w:rFonts w:eastAsia="Times New Roman" w:cs="Times New Roman"/>
                <w:i/>
                <w:iCs/>
                <w:sz w:val="14"/>
                <w:szCs w:val="14"/>
              </w:rPr>
              <w:t>Note:</w:t>
            </w:r>
          </w:p>
        </w:tc>
        <w:tc>
          <w:tcPr>
            <w:tcW w:w="0" w:type="auto"/>
            <w:gridSpan w:val="4"/>
            <w:vAlign w:val="center"/>
            <w:hideMark/>
          </w:tcPr>
          <w:p w14:paraId="26BC2A99" w14:textId="77777777" w:rsidR="00D655A9" w:rsidRPr="00D655A9" w:rsidRDefault="00D655A9" w:rsidP="00D655A9">
            <w:pPr>
              <w:spacing w:after="0" w:line="240" w:lineRule="auto"/>
              <w:jc w:val="right"/>
              <w:rPr>
                <w:rFonts w:eastAsia="Times New Roman" w:cs="Times New Roman"/>
                <w:sz w:val="14"/>
                <w:szCs w:val="14"/>
              </w:rPr>
            </w:pPr>
            <w:r w:rsidRPr="00D655A9">
              <w:rPr>
                <w:rFonts w:eastAsia="Times New Roman" w:cs="Times New Roman"/>
                <w:sz w:val="14"/>
                <w:szCs w:val="14"/>
                <w:vertAlign w:val="superscript"/>
              </w:rPr>
              <w:t>*</w:t>
            </w:r>
            <w:r w:rsidRPr="00D655A9">
              <w:rPr>
                <w:rFonts w:eastAsia="Times New Roman" w:cs="Times New Roman"/>
                <w:sz w:val="14"/>
                <w:szCs w:val="14"/>
              </w:rPr>
              <w:t>p&lt;0.1; </w:t>
            </w:r>
            <w:r w:rsidRPr="00D655A9">
              <w:rPr>
                <w:rFonts w:eastAsia="Times New Roman" w:cs="Times New Roman"/>
                <w:sz w:val="14"/>
                <w:szCs w:val="14"/>
                <w:vertAlign w:val="superscript"/>
              </w:rPr>
              <w:t>**</w:t>
            </w:r>
            <w:r w:rsidRPr="00D655A9">
              <w:rPr>
                <w:rFonts w:eastAsia="Times New Roman" w:cs="Times New Roman"/>
                <w:sz w:val="14"/>
                <w:szCs w:val="14"/>
              </w:rPr>
              <w:t>p&lt;0.05; </w:t>
            </w:r>
            <w:r w:rsidRPr="00D655A9">
              <w:rPr>
                <w:rFonts w:eastAsia="Times New Roman" w:cs="Times New Roman"/>
                <w:sz w:val="14"/>
                <w:szCs w:val="14"/>
                <w:vertAlign w:val="superscript"/>
              </w:rPr>
              <w:t>***</w:t>
            </w:r>
            <w:r w:rsidRPr="00D655A9">
              <w:rPr>
                <w:rFonts w:eastAsia="Times New Roman" w:cs="Times New Roman"/>
                <w:sz w:val="14"/>
                <w:szCs w:val="14"/>
              </w:rPr>
              <w:t>p&lt;0.01</w:t>
            </w:r>
          </w:p>
        </w:tc>
      </w:tr>
    </w:tbl>
    <w:p w14:paraId="6DDBCEA4" w14:textId="77777777" w:rsidR="00D655A9" w:rsidRPr="00D655A9" w:rsidRDefault="00D655A9" w:rsidP="00D655A9"/>
    <w:p w14:paraId="4E01C7CD" w14:textId="70ACA112" w:rsidR="001218CF" w:rsidRPr="001218CF" w:rsidRDefault="001218CF" w:rsidP="001218CF"/>
    <w:sectPr w:rsidR="001218CF" w:rsidRPr="001218CF" w:rsidSect="00CE38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9DB42" w14:textId="77777777" w:rsidR="00A341BE" w:rsidRDefault="00A341BE" w:rsidP="001218CF">
      <w:pPr>
        <w:spacing w:after="0" w:line="240" w:lineRule="auto"/>
      </w:pPr>
      <w:r>
        <w:separator/>
      </w:r>
    </w:p>
  </w:endnote>
  <w:endnote w:type="continuationSeparator" w:id="0">
    <w:p w14:paraId="168B5901" w14:textId="77777777" w:rsidR="00A341BE" w:rsidRDefault="00A341BE" w:rsidP="0012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403275"/>
      <w:docPartObj>
        <w:docPartGallery w:val="Page Numbers (Bottom of Page)"/>
        <w:docPartUnique/>
      </w:docPartObj>
    </w:sdtPr>
    <w:sdtEndPr>
      <w:rPr>
        <w:noProof/>
      </w:rPr>
    </w:sdtEndPr>
    <w:sdtContent>
      <w:p w14:paraId="4A525877" w14:textId="51554922" w:rsidR="0042152D" w:rsidRDefault="004215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137A70" w14:textId="77777777" w:rsidR="0042152D" w:rsidRDefault="0042152D">
    <w:pPr>
      <w:pStyle w:val="Footer"/>
    </w:pPr>
  </w:p>
  <w:p w14:paraId="42EC179C" w14:textId="77777777" w:rsidR="00000000" w:rsidRDefault="00A34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DADCB" w14:textId="77777777" w:rsidR="00A341BE" w:rsidRDefault="00A341BE" w:rsidP="001218CF">
      <w:pPr>
        <w:spacing w:after="0" w:line="240" w:lineRule="auto"/>
      </w:pPr>
      <w:r>
        <w:separator/>
      </w:r>
    </w:p>
  </w:footnote>
  <w:footnote w:type="continuationSeparator" w:id="0">
    <w:p w14:paraId="7E943976" w14:textId="77777777" w:rsidR="00A341BE" w:rsidRDefault="00A341BE" w:rsidP="001218CF">
      <w:pPr>
        <w:spacing w:after="0" w:line="240" w:lineRule="auto"/>
      </w:pPr>
      <w:r>
        <w:continuationSeparator/>
      </w:r>
    </w:p>
  </w:footnote>
  <w:footnote w:id="1">
    <w:p w14:paraId="06C11A1F" w14:textId="77777777" w:rsidR="006E3352" w:rsidRPr="00D53E64" w:rsidRDefault="006E3352" w:rsidP="006E3352">
      <w:pPr>
        <w:pStyle w:val="FootnoteText"/>
        <w:rPr>
          <w:rFonts w:cs="Times New Roman"/>
        </w:rPr>
      </w:pPr>
      <w:r w:rsidRPr="00D53E64">
        <w:rPr>
          <w:rStyle w:val="FootnoteReference"/>
          <w:rFonts w:cs="Times New Roman"/>
        </w:rPr>
        <w:t>*</w:t>
      </w:r>
      <w:r w:rsidRPr="00D53E64">
        <w:rPr>
          <w:rFonts w:cs="Times New Roman"/>
        </w:rPr>
        <w:t xml:space="preserve"> Ph.D. Candidate, Department of Political Science, University of California, Davis (Amlani and Collitt)</w:t>
      </w:r>
    </w:p>
  </w:footnote>
  <w:footnote w:id="2">
    <w:p w14:paraId="3913C053" w14:textId="77777777" w:rsidR="006E3352" w:rsidRPr="00D53E64" w:rsidRDefault="006E3352" w:rsidP="006E3352">
      <w:pPr>
        <w:pStyle w:val="FootnoteText"/>
        <w:rPr>
          <w:rFonts w:cs="Times New Roman"/>
        </w:rPr>
      </w:pPr>
      <w:r w:rsidRPr="00D53E64">
        <w:rPr>
          <w:rStyle w:val="FootnoteReference"/>
          <w:rFonts w:cs="Times New Roman"/>
        </w:rPr>
        <w:t>^</w:t>
      </w:r>
      <w:r w:rsidRPr="00D53E64">
        <w:rPr>
          <w:rFonts w:cs="Times New Roman"/>
        </w:rPr>
        <w:t xml:space="preserve"> </w:t>
      </w:r>
      <w:r w:rsidRPr="0025148E">
        <w:rPr>
          <w:rFonts w:cs="Times New Roman"/>
        </w:rPr>
        <w:t>Acknowledgments</w:t>
      </w:r>
      <w:r>
        <w:rPr>
          <w:rFonts w:cs="Times New Roman"/>
        </w:rPr>
        <w:t xml:space="preserve">: </w:t>
      </w:r>
      <w:r w:rsidRPr="00D53E64">
        <w:rPr>
          <w:rFonts w:cs="Times New Roman"/>
        </w:rPr>
        <w:t xml:space="preserve">We thank Carlos </w:t>
      </w:r>
      <w:r w:rsidRPr="00D53E64">
        <w:rPr>
          <w:rFonts w:cs="Times New Roman"/>
        </w:rPr>
        <w:t>Algara and Erik Engstrom for their support of our research project</w:t>
      </w:r>
      <w:r>
        <w:rPr>
          <w:rFonts w:cs="Times New Roman"/>
        </w:rPr>
        <w:t xml:space="preserve"> and the acquisition of data</w:t>
      </w:r>
      <w:r w:rsidRPr="00D53E64">
        <w:rPr>
          <w:rFonts w:cs="Times New Roman"/>
        </w:rPr>
        <w:t xml:space="preserve">, and Benjamin Highton for his invaluable </w:t>
      </w:r>
      <w:r>
        <w:rPr>
          <w:rFonts w:cs="Times New Roman"/>
        </w:rPr>
        <w:t>guidance and expertise</w:t>
      </w:r>
      <w:r w:rsidRPr="00D53E64">
        <w:rPr>
          <w:rFonts w:cs="Times New Roman"/>
        </w:rPr>
        <w:t>.</w:t>
      </w:r>
    </w:p>
  </w:footnote>
  <w:footnote w:id="3">
    <w:p w14:paraId="4D5744F2" w14:textId="77777777" w:rsidR="001218CF" w:rsidRDefault="001218CF" w:rsidP="001218CF">
      <w:pPr>
        <w:pStyle w:val="FootnoteText"/>
      </w:pPr>
      <w:r>
        <w:rPr>
          <w:rStyle w:val="FootnoteReference"/>
        </w:rPr>
        <w:footnoteRef/>
      </w:r>
      <w:r>
        <w:t xml:space="preserve"> T</w:t>
      </w:r>
      <w:r w:rsidRPr="006D3525">
        <w:t>o our knowledge, in no way was voting by mail made more difficult.</w:t>
      </w:r>
    </w:p>
  </w:footnote>
  <w:footnote w:id="4">
    <w:p w14:paraId="0B29E262" w14:textId="77777777" w:rsidR="001218CF" w:rsidRDefault="001218CF" w:rsidP="001218CF">
      <w:pPr>
        <w:pStyle w:val="FootnoteText"/>
      </w:pPr>
      <w:r>
        <w:rPr>
          <w:rStyle w:val="FootnoteReference"/>
        </w:rPr>
        <w:footnoteRef/>
      </w:r>
      <w:r>
        <w:t xml:space="preserve"> We exclude Alaska from our analysis because turnout and vote share is not measured at the county level. Instead, Alaska uses “electoral districts” that do not overlap with counties.</w:t>
      </w:r>
    </w:p>
  </w:footnote>
  <w:footnote w:id="5">
    <w:p w14:paraId="60DE7821" w14:textId="6DCDD009" w:rsidR="001218CF" w:rsidRDefault="001218CF" w:rsidP="001218CF">
      <w:pPr>
        <w:pStyle w:val="FootnoteText"/>
      </w:pPr>
      <w:r>
        <w:rPr>
          <w:rStyle w:val="FootnoteReference"/>
        </w:rPr>
        <w:footnoteRef/>
      </w:r>
      <w:r>
        <w:t xml:space="preserve"> In addition, </w:t>
      </w:r>
      <w:r>
        <w:fldChar w:fldCharType="begin"/>
      </w:r>
      <w:r>
        <w:instrText xml:space="preserve"> ADDIN ZOTERO_ITEM CSL_CITATION {"citationID":"EMfp9fNL","properties":{"formattedCitation":"(Ansolabehere and Konisky 2006)","plainCitation":"(Ansolabehere and Konisky 2006)","dontUpdate":true,"noteIndex":3},"citationItems":[{"id":1394,"uris":["http://zotero.org/groups/2573990/items/KBB2T5KG"],"uri":["http://zotero.org/groups/2573990/items/KBB2T5KG"],"itemData":{"id":1394,"type":"article-journal","abstract":"Studies of voter turnout\n              across\n              states find that those with more facilitative registration laws have higher turnout rates. Eliminating registration barriers altogether is estimated to raise voter participation rates by up to 10%. This article presents panel estimates of the effects of introducing registration that exploits changes in registration laws and turnout\n              within\n              states. New York and Ohio imposed registration requirements on all of their counties in 1965 and 1977, respectively. We find that the introduction of registration to counties that did not previously require registration decreased participation over the long term by three to five percentage points. Though significant, this is lower than estimates of the effects of registration from cross-sectional studies and suggests that expectations about the effects of registration reforms on turnout may be overstated.","container-title":"Political Analysis","DOI":"10.1093/pan/mpi034","ISSN":"1047-1987, 1476-4989","issue":"1","journalAbbreviation":"Polit. anal.","language":"en","page":"83-100","source":"DOI.org (Crossref)","title":"The Introduction of Voter Registration and Its Effect on Turnout","volume":"14","author":[{"family":"Ansolabehere","given":"Stephen"},{"family":"Konisky","given":"David M."}],"issued":{"date-parts":[["2006"]]}}}],"schema":"https://github.com/citation-style-language/schema/raw/master/csl-citation.json"} </w:instrText>
      </w:r>
      <w:r>
        <w:fldChar w:fldCharType="separate"/>
      </w:r>
      <w:r w:rsidRPr="005E7377">
        <w:rPr>
          <w:rFonts w:cs="Times New Roman"/>
        </w:rPr>
        <w:t xml:space="preserve">Ansolabehere and Konisky </w:t>
      </w:r>
      <w:r>
        <w:rPr>
          <w:rFonts w:cs="Times New Roman"/>
        </w:rPr>
        <w:t>(</w:t>
      </w:r>
      <w:r w:rsidRPr="005E7377">
        <w:rPr>
          <w:rFonts w:cs="Times New Roman"/>
        </w:rPr>
        <w:t>2006)</w:t>
      </w:r>
      <w:r>
        <w:fldChar w:fldCharType="end"/>
      </w:r>
      <w:r>
        <w:t xml:space="preserve"> and </w:t>
      </w:r>
      <w:r w:rsidRPr="005E7377">
        <w:t>Highton (2017) argue</w:t>
      </w:r>
      <w:r>
        <w:t xml:space="preserve"> that liberal and conservative electors may be different themselves: more liberal electorates being more inclined to vote (i.e. more civic-minded).</w:t>
      </w:r>
    </w:p>
  </w:footnote>
  <w:footnote w:id="6">
    <w:p w14:paraId="51B38279" w14:textId="77777777" w:rsidR="001218CF" w:rsidRDefault="001218CF" w:rsidP="001218CF">
      <w:pPr>
        <w:pStyle w:val="FootnoteText"/>
      </w:pPr>
      <w:r>
        <w:rPr>
          <w:rStyle w:val="FootnoteReference"/>
        </w:rPr>
        <w:footnoteRef/>
      </w:r>
      <w:r>
        <w:t xml:space="preserve"> </w:t>
      </w:r>
      <w:r w:rsidRPr="009A6B32">
        <w:t xml:space="preserve">Prior to 2020, Oregon, Washington, Colorado, and most counties in Utah conducted elections using universal – or “mandatory” – VBM policies. Such policies include automatically sending voters mail-in ballots, but they also include limited opportunities for in-person voting. 7 states and D.C. were new to automatically sending voters mail-in ballots in 2020. While all 12 jurisdictions automatically sent voters mail-in ballots, their in-person voting policies varied greatly. Due to this variation, we avoid using “universal” or “mandatory” language in referencing our least restrictive VBM policy classification and instead refer to the state or county’s decision to send mail-in ballots to </w:t>
      </w:r>
      <w:r w:rsidRPr="009A6B32">
        <w:t>registered voters.</w:t>
      </w:r>
    </w:p>
  </w:footnote>
  <w:footnote w:id="7">
    <w:p w14:paraId="6EA138CA" w14:textId="77777777" w:rsidR="001218CF" w:rsidRDefault="001218CF" w:rsidP="001218CF">
      <w:pPr>
        <w:pStyle w:val="FootnoteText"/>
      </w:pPr>
      <w:r>
        <w:rPr>
          <w:rStyle w:val="FootnoteReference"/>
        </w:rPr>
        <w:footnoteRef/>
      </w:r>
      <w:r>
        <w:t xml:space="preserve"> </w:t>
      </w:r>
      <w:r w:rsidRPr="00A36EB9">
        <w:t>Table 1A in the appendix displays the distribution of VBM condition across 2020 VBM policy</w:t>
      </w:r>
      <w:r>
        <w:t>.</w:t>
      </w:r>
    </w:p>
  </w:footnote>
  <w:footnote w:id="8">
    <w:p w14:paraId="3A0C9F9C" w14:textId="77777777" w:rsidR="001218CF" w:rsidRDefault="001218CF" w:rsidP="001218CF">
      <w:pPr>
        <w:pStyle w:val="FootnoteText"/>
      </w:pPr>
      <w:r>
        <w:rPr>
          <w:rStyle w:val="FootnoteReference"/>
        </w:rPr>
        <w:footnoteRef/>
      </w:r>
      <w:r>
        <w:t xml:space="preserve"> While there is substantial within-group VBM policy variation, we argue that classification based on these four criteria (whether a state or county requires an excuse to apply for a VBM ballot, and, if not, whether residents are sent applications or the ballots themselves) provide the most relevant and substantial between-group variation in terms of the theoretical costs to vote by mail. Because 2020 is the first election year where such variation exists on a national scale, we are unable to follow precedent set by previous work.</w:t>
      </w:r>
    </w:p>
  </w:footnote>
  <w:footnote w:id="9">
    <w:p w14:paraId="1153F1D3" w14:textId="77777777" w:rsidR="001218CF" w:rsidRDefault="001218CF" w:rsidP="001218CF">
      <w:pPr>
        <w:pStyle w:val="FootnoteText"/>
      </w:pPr>
      <w:r>
        <w:rPr>
          <w:rStyle w:val="FootnoteReference"/>
        </w:rPr>
        <w:footnoteRef/>
      </w:r>
      <w:r>
        <w:t xml:space="preserve"> </w:t>
      </w:r>
      <w:r w:rsidRPr="00D00D33">
        <w:t>VAP turnout is calculated by dividing the total number of ballots cast by the total voting-age population (the number of individuals over 18-years-old) residing in the county.</w:t>
      </w:r>
    </w:p>
  </w:footnote>
  <w:footnote w:id="10">
    <w:p w14:paraId="5C70F06F" w14:textId="77777777" w:rsidR="001218CF" w:rsidRDefault="001218CF" w:rsidP="001218CF">
      <w:pPr>
        <w:pStyle w:val="FootnoteText"/>
      </w:pPr>
      <w:r>
        <w:rPr>
          <w:rStyle w:val="FootnoteReference"/>
        </w:rPr>
        <w:footnoteRef/>
      </w:r>
      <w:r>
        <w:t xml:space="preserve"> It is also known as the difference-in-difference estimator.</w:t>
      </w:r>
    </w:p>
  </w:footnote>
  <w:footnote w:id="11">
    <w:p w14:paraId="73C4C8C8" w14:textId="77777777" w:rsidR="001218CF" w:rsidRDefault="001218CF" w:rsidP="001218CF">
      <w:pPr>
        <w:pStyle w:val="FootnoteText"/>
      </w:pPr>
      <w:r>
        <w:rPr>
          <w:rStyle w:val="FootnoteReference"/>
        </w:rPr>
        <w:footnoteRef/>
      </w:r>
      <w:r>
        <w:t xml:space="preserve"> We also include a base, control, and county fixed effects models in the appendix (see Table 2A).</w:t>
      </w:r>
    </w:p>
  </w:footnote>
  <w:footnote w:id="12">
    <w:p w14:paraId="5F57A787" w14:textId="77B1D62B" w:rsidR="001218CF" w:rsidRDefault="001218CF" w:rsidP="001218CF">
      <w:pPr>
        <w:pStyle w:val="FootnoteText"/>
      </w:pPr>
      <w:r>
        <w:rPr>
          <w:rStyle w:val="FootnoteReference"/>
        </w:rPr>
        <w:footnoteRef/>
      </w:r>
      <w:r>
        <w:t xml:space="preserve"> </w:t>
      </w:r>
      <w:r w:rsidRPr="00992D68">
        <w:rPr>
          <w:rFonts w:eastAsiaTheme="minorEastAsia" w:cs="Times New Roman"/>
          <w:szCs w:val="24"/>
        </w:rPr>
        <w:t xml:space="preserve">We follow </w:t>
      </w:r>
      <w:r w:rsidRPr="00992D68">
        <w:rPr>
          <w:rFonts w:eastAsiaTheme="minorEastAsia" w:cs="Times New Roman"/>
          <w:szCs w:val="24"/>
        </w:rPr>
        <w:fldChar w:fldCharType="begin"/>
      </w:r>
      <w:r>
        <w:rPr>
          <w:rFonts w:eastAsiaTheme="minorEastAsia" w:cs="Times New Roman"/>
          <w:szCs w:val="24"/>
        </w:rPr>
        <w:instrText xml:space="preserve"> ADDIN ZOTERO_ITEM CSL_CITATION {"citationID":"8uslR5kN","properties":{"formattedCitation":"(Chyzh and Urbatsch 2020)","plainCitation":"(Chyzh and Urbatsch 2020)","dontUpdate":true,"noteIndex":10},"citationItems":[{"id":1491,"uris":["http://zotero.org/groups/2573990/items/8QSGJAXI"],"uri":["http://zotero.org/groups/2573990/items/8QSGJAXI"],"itemData":{"id":1491,"type":"article-journal","abstract":"How do trade wars affect voting for the president’s party? President Trump’s aggressive tariffs on China, despite his largely rural electoral support base, provide a unique opportunity to analyze the relationship between international trade policy and domestic support. If trade-related considerations were ever decisive to American voters, the stark decrease in soy prices, a direct effect of Trump-initiated tariffs immediately preceding the 2018 midterm election, serves as a critical test for studying their effect. This article shows a robust inverse relationship between county-level soybean production and the change in Republican vote share between the 2016 and 2018 congressional election","container-title":"The Journal of Politics","DOI":"10.1086/709434","ISSN":"0022-3816, 1468-2508","journalAbbreviation":"The Journal of Politics","language":"en","page":"000-000","source":"DOI.org (Crossref)","title":"Bean Counters: The Effect of Soy Tariffs on Change in Republican Vote Share between the 2016 and 2018 Elections","title-short":"Bean Counters","author":[{"family":"Chyzh","given":"Olga V."},{"family":"Urbatsch","given":"Robert"}],"issued":{"date-parts":[["2020",10,6]]}}}],"schema":"https://github.com/citation-style-language/schema/raw/master/csl-citation.json"} </w:instrText>
      </w:r>
      <w:r w:rsidRPr="00992D68">
        <w:rPr>
          <w:rFonts w:eastAsiaTheme="minorEastAsia" w:cs="Times New Roman"/>
          <w:szCs w:val="24"/>
        </w:rPr>
        <w:fldChar w:fldCharType="separate"/>
      </w:r>
      <w:r w:rsidRPr="00992D68">
        <w:rPr>
          <w:rFonts w:cs="Times New Roman"/>
        </w:rPr>
        <w:t>Chyzh and Urbatsch's (2020)</w:t>
      </w:r>
      <w:r w:rsidRPr="00992D68">
        <w:rPr>
          <w:rFonts w:eastAsiaTheme="minorEastAsia" w:cs="Times New Roman"/>
          <w:szCs w:val="24"/>
        </w:rPr>
        <w:fldChar w:fldCharType="end"/>
      </w:r>
      <w:r w:rsidRPr="00992D68">
        <w:rPr>
          <w:rFonts w:eastAsiaTheme="minorEastAsia" w:cs="Times New Roman"/>
          <w:szCs w:val="24"/>
        </w:rPr>
        <w:t xml:space="preserve"> change in vote share model at the county level and employ the same control variables.</w:t>
      </w:r>
    </w:p>
  </w:footnote>
  <w:footnote w:id="13">
    <w:p w14:paraId="40C2BE16" w14:textId="77777777" w:rsidR="001218CF" w:rsidRDefault="001218CF" w:rsidP="001218CF">
      <w:pPr>
        <w:pStyle w:val="FootnoteText"/>
      </w:pPr>
      <w:r>
        <w:rPr>
          <w:rStyle w:val="FootnoteReference"/>
        </w:rPr>
        <w:footnoteRef/>
      </w:r>
      <w:r>
        <w:t xml:space="preserve"> We also include a base, control, and county fixed effects models in the appendix (see Table 3A).</w:t>
      </w:r>
    </w:p>
  </w:footnote>
  <w:footnote w:id="14">
    <w:p w14:paraId="0A0315E1" w14:textId="77777777" w:rsidR="001218CF" w:rsidRDefault="001218CF" w:rsidP="001218CF">
      <w:pPr>
        <w:pStyle w:val="FootnoteText"/>
      </w:pPr>
      <w:r>
        <w:rPr>
          <w:rStyle w:val="FootnoteReference"/>
        </w:rPr>
        <w:footnoteRef/>
      </w:r>
      <w:r>
        <w:t xml:space="preserve"> </w:t>
      </w:r>
      <w:r w:rsidRPr="009D0356">
        <w:t>Appendix Table 2A</w:t>
      </w:r>
      <w:r>
        <w:t xml:space="preserve"> model 4</w:t>
      </w:r>
      <w:r w:rsidRPr="009D0356">
        <w:t xml:space="preserve"> provides the full set of estimates</w:t>
      </w:r>
      <w:r>
        <w:t xml:space="preserve"> from Figure 2.</w:t>
      </w:r>
    </w:p>
  </w:footnote>
  <w:footnote w:id="15">
    <w:p w14:paraId="336B21F2" w14:textId="77777777" w:rsidR="001218CF" w:rsidRDefault="001218CF" w:rsidP="001218CF">
      <w:pPr>
        <w:pStyle w:val="FootnoteText"/>
      </w:pPr>
      <w:r>
        <w:rPr>
          <w:rStyle w:val="FootnoteReference"/>
        </w:rPr>
        <w:footnoteRef/>
      </w:r>
      <w:r>
        <w:t xml:space="preserve"> </w:t>
      </w:r>
      <w:r w:rsidRPr="00D83B16">
        <w:t xml:space="preserve">When all covariates in our model are </w:t>
      </w:r>
      <w:r>
        <w:t>held constant.</w:t>
      </w:r>
    </w:p>
  </w:footnote>
  <w:footnote w:id="16">
    <w:p w14:paraId="30020626" w14:textId="77777777" w:rsidR="001218CF" w:rsidRDefault="001218CF" w:rsidP="001218CF">
      <w:pPr>
        <w:pStyle w:val="FootnoteText"/>
      </w:pPr>
      <w:r>
        <w:rPr>
          <w:rStyle w:val="FootnoteReference"/>
        </w:rPr>
        <w:footnoteRef/>
      </w:r>
      <w:r>
        <w:t xml:space="preserve"> </w:t>
      </w:r>
      <w:r w:rsidRPr="009D0356">
        <w:t xml:space="preserve">Appendix Table </w:t>
      </w:r>
      <w:r>
        <w:t>3</w:t>
      </w:r>
      <w:r w:rsidRPr="009D0356">
        <w:t>A</w:t>
      </w:r>
      <w:r>
        <w:t xml:space="preserve"> model 4</w:t>
      </w:r>
      <w:r w:rsidRPr="009D0356">
        <w:t xml:space="preserve"> provides the full set of estimates from Figure </w:t>
      </w:r>
      <w:r>
        <w:t>3</w:t>
      </w:r>
      <w:r w:rsidRPr="009D0356">
        <w:t>.</w:t>
      </w:r>
    </w:p>
  </w:footnote>
  <w:footnote w:id="17">
    <w:p w14:paraId="58B2B359" w14:textId="77777777" w:rsidR="001218CF" w:rsidRDefault="001218CF" w:rsidP="001218CF">
      <w:pPr>
        <w:pStyle w:val="FootnoteText"/>
      </w:pPr>
      <w:r>
        <w:rPr>
          <w:rStyle w:val="FootnoteReference"/>
        </w:rPr>
        <w:footnoteRef/>
      </w:r>
      <w:r>
        <w:t xml:space="preserve"> </w:t>
      </w:r>
      <w:r w:rsidRPr="00D83B16">
        <w:t xml:space="preserve">When all covariates in our model are set to zero, the average change in </w:t>
      </w:r>
      <w:r>
        <w:t>Republican vote share</w:t>
      </w:r>
      <w:r w:rsidRPr="00D83B16">
        <w:t xml:space="preserve"> between 2016 and 2020 is </w:t>
      </w:r>
      <w:r w:rsidRPr="00720893">
        <w:t>-0.622</w:t>
      </w:r>
      <w:r>
        <w:t xml:space="preserve"> </w:t>
      </w:r>
      <w:r w:rsidRPr="00D83B16">
        <w:t>percent in the control group.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9C"/>
    <w:rsid w:val="001218CF"/>
    <w:rsid w:val="0033213D"/>
    <w:rsid w:val="0038717E"/>
    <w:rsid w:val="0042152D"/>
    <w:rsid w:val="005A21D6"/>
    <w:rsid w:val="006A7E80"/>
    <w:rsid w:val="006E3352"/>
    <w:rsid w:val="00907389"/>
    <w:rsid w:val="00940B92"/>
    <w:rsid w:val="00A341BE"/>
    <w:rsid w:val="00B84728"/>
    <w:rsid w:val="00BE156D"/>
    <w:rsid w:val="00CD4BD7"/>
    <w:rsid w:val="00D655A9"/>
    <w:rsid w:val="00DF3816"/>
    <w:rsid w:val="00EC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50A7"/>
  <w15:chartTrackingRefBased/>
  <w15:docId w15:val="{9BF42229-7664-4082-81CC-9C92038E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8CF"/>
    <w:rPr>
      <w:rFonts w:ascii="Times New Roman" w:hAnsi="Times New Roman"/>
      <w:sz w:val="24"/>
    </w:rPr>
  </w:style>
  <w:style w:type="paragraph" w:styleId="Heading1">
    <w:name w:val="heading 1"/>
    <w:basedOn w:val="Normal"/>
    <w:next w:val="Normal"/>
    <w:link w:val="Heading1Char"/>
    <w:uiPriority w:val="9"/>
    <w:qFormat/>
    <w:rsid w:val="001218CF"/>
    <w:pPr>
      <w:keepNext/>
      <w:keepLines/>
      <w:spacing w:before="240" w:after="0"/>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5A21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218CF"/>
    <w:pPr>
      <w:spacing w:after="0" w:line="240" w:lineRule="auto"/>
    </w:pPr>
    <w:rPr>
      <w:sz w:val="20"/>
      <w:szCs w:val="20"/>
    </w:rPr>
  </w:style>
  <w:style w:type="character" w:customStyle="1" w:styleId="FootnoteTextChar">
    <w:name w:val="Footnote Text Char"/>
    <w:basedOn w:val="DefaultParagraphFont"/>
    <w:link w:val="FootnoteText"/>
    <w:uiPriority w:val="99"/>
    <w:rsid w:val="001218CF"/>
    <w:rPr>
      <w:sz w:val="20"/>
      <w:szCs w:val="20"/>
    </w:rPr>
  </w:style>
  <w:style w:type="character" w:styleId="FootnoteReference">
    <w:name w:val="footnote reference"/>
    <w:basedOn w:val="DefaultParagraphFont"/>
    <w:uiPriority w:val="99"/>
    <w:semiHidden/>
    <w:unhideWhenUsed/>
    <w:rsid w:val="001218CF"/>
    <w:rPr>
      <w:vertAlign w:val="superscript"/>
    </w:rPr>
  </w:style>
  <w:style w:type="character" w:styleId="Hyperlink">
    <w:name w:val="Hyperlink"/>
    <w:basedOn w:val="DefaultParagraphFont"/>
    <w:uiPriority w:val="99"/>
    <w:unhideWhenUsed/>
    <w:rsid w:val="001218CF"/>
    <w:rPr>
      <w:color w:val="0563C1" w:themeColor="hyperlink"/>
      <w:u w:val="single"/>
    </w:rPr>
  </w:style>
  <w:style w:type="character" w:customStyle="1" w:styleId="Heading1Char">
    <w:name w:val="Heading 1 Char"/>
    <w:basedOn w:val="DefaultParagraphFont"/>
    <w:link w:val="Heading1"/>
    <w:uiPriority w:val="9"/>
    <w:rsid w:val="001218CF"/>
    <w:rPr>
      <w:rFonts w:ascii="Times New Roman" w:eastAsiaTheme="majorEastAsia" w:hAnsi="Times New Roman" w:cstheme="majorBidi"/>
      <w:b/>
      <w:sz w:val="24"/>
      <w:szCs w:val="32"/>
      <w:u w:val="single"/>
    </w:rPr>
  </w:style>
  <w:style w:type="paragraph" w:styleId="Bibliography">
    <w:name w:val="Bibliography"/>
    <w:basedOn w:val="Normal"/>
    <w:next w:val="Normal"/>
    <w:uiPriority w:val="37"/>
    <w:unhideWhenUsed/>
    <w:rsid w:val="001218CF"/>
    <w:pPr>
      <w:spacing w:after="240" w:line="240" w:lineRule="auto"/>
      <w:ind w:left="720" w:hanging="720"/>
    </w:pPr>
  </w:style>
  <w:style w:type="paragraph" w:styleId="Header">
    <w:name w:val="header"/>
    <w:basedOn w:val="Normal"/>
    <w:link w:val="HeaderChar"/>
    <w:uiPriority w:val="99"/>
    <w:unhideWhenUsed/>
    <w:rsid w:val="00421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52D"/>
    <w:rPr>
      <w:rFonts w:ascii="Times New Roman" w:hAnsi="Times New Roman"/>
      <w:sz w:val="24"/>
    </w:rPr>
  </w:style>
  <w:style w:type="paragraph" w:styleId="Footer">
    <w:name w:val="footer"/>
    <w:basedOn w:val="Normal"/>
    <w:link w:val="FooterChar"/>
    <w:uiPriority w:val="99"/>
    <w:unhideWhenUsed/>
    <w:rsid w:val="00421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52D"/>
    <w:rPr>
      <w:rFonts w:ascii="Times New Roman" w:hAnsi="Times New Roman"/>
      <w:sz w:val="24"/>
    </w:rPr>
  </w:style>
  <w:style w:type="character" w:customStyle="1" w:styleId="Heading2Char">
    <w:name w:val="Heading 2 Char"/>
    <w:basedOn w:val="DefaultParagraphFont"/>
    <w:link w:val="Heading2"/>
    <w:uiPriority w:val="9"/>
    <w:rsid w:val="005A21D6"/>
    <w:rPr>
      <w:rFonts w:asciiTheme="majorHAnsi" w:eastAsiaTheme="majorEastAsia" w:hAnsiTheme="majorHAnsi" w:cstheme="majorBidi"/>
      <w:color w:val="2F5496" w:themeColor="accent1" w:themeShade="BF"/>
      <w:sz w:val="26"/>
      <w:szCs w:val="26"/>
    </w:rPr>
  </w:style>
  <w:style w:type="numbering" w:customStyle="1" w:styleId="NoList1">
    <w:name w:val="No List1"/>
    <w:next w:val="NoList"/>
    <w:uiPriority w:val="99"/>
    <w:semiHidden/>
    <w:unhideWhenUsed/>
    <w:rsid w:val="00D655A9"/>
  </w:style>
  <w:style w:type="table" w:styleId="TableGrid">
    <w:name w:val="Table Grid"/>
    <w:basedOn w:val="TableNormal"/>
    <w:uiPriority w:val="39"/>
    <w:rsid w:val="00D6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55A9"/>
    <w:rPr>
      <w:sz w:val="16"/>
      <w:szCs w:val="16"/>
    </w:rPr>
  </w:style>
  <w:style w:type="paragraph" w:styleId="CommentText">
    <w:name w:val="annotation text"/>
    <w:basedOn w:val="Normal"/>
    <w:link w:val="CommentTextChar"/>
    <w:uiPriority w:val="99"/>
    <w:semiHidden/>
    <w:unhideWhenUsed/>
    <w:rsid w:val="00D655A9"/>
    <w:pPr>
      <w:spacing w:line="240" w:lineRule="auto"/>
    </w:pPr>
    <w:rPr>
      <w:sz w:val="20"/>
      <w:szCs w:val="20"/>
    </w:rPr>
  </w:style>
  <w:style w:type="character" w:customStyle="1" w:styleId="CommentTextChar">
    <w:name w:val="Comment Text Char"/>
    <w:basedOn w:val="DefaultParagraphFont"/>
    <w:link w:val="CommentText"/>
    <w:uiPriority w:val="99"/>
    <w:semiHidden/>
    <w:rsid w:val="00D655A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55A9"/>
    <w:rPr>
      <w:b/>
      <w:bCs/>
    </w:rPr>
  </w:style>
  <w:style w:type="character" w:customStyle="1" w:styleId="CommentSubjectChar">
    <w:name w:val="Comment Subject Char"/>
    <w:basedOn w:val="CommentTextChar"/>
    <w:link w:val="CommentSubject"/>
    <w:uiPriority w:val="99"/>
    <w:semiHidden/>
    <w:rsid w:val="00D655A9"/>
    <w:rPr>
      <w:rFonts w:ascii="Times New Roman" w:hAnsi="Times New Roman"/>
      <w:b/>
      <w:bCs/>
      <w:sz w:val="20"/>
      <w:szCs w:val="20"/>
    </w:rPr>
  </w:style>
  <w:style w:type="paragraph" w:styleId="BalloonText">
    <w:name w:val="Balloon Text"/>
    <w:basedOn w:val="Normal"/>
    <w:link w:val="BalloonTextChar"/>
    <w:uiPriority w:val="99"/>
    <w:semiHidden/>
    <w:unhideWhenUsed/>
    <w:rsid w:val="00D6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collitt@ucdavis.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lani@ucdavis.ed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F21A9-D8E5-4CA7-A885-3FCC04BC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18994</Words>
  <Characters>108267</Characters>
  <Application>Microsoft Office Word</Application>
  <DocSecurity>0</DocSecurity>
  <Lines>902</Lines>
  <Paragraphs>254</Paragraphs>
  <ScaleCrop>false</ScaleCrop>
  <Company/>
  <LinksUpToDate>false</LinksUpToDate>
  <CharactersWithSpaces>127007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 Amlani</dc:creator>
  <cp:keywords/>
  <dc:description/>
  <cp:lastModifiedBy>Sharif Amlani</cp:lastModifiedBy>
  <cp:revision>3</cp:revision>
  <dcterms:created xsi:type="dcterms:W3CDTF">2021-03-28T07:36:00Z</dcterms:created>
  <dcterms:modified xsi:type="dcterms:W3CDTF">2021-03-28T07:37:00Z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id="P3SEzVlU"/&gt;&lt;style id="http://www.zotero.org/styles/american-political-science-association" locale="en-US" hasBibliography="1" bibliographyStyleHasBeenSet="1"/&gt;&lt;prefs&gt;&lt;pref name="fieldType" valu</vt:lpwstr>
  </property>
  <property fmtid="{D5CDD505-2E9C-101B-9397-08002B2CF9AE}" pid="3" name="ZOTERO_PREF_2">
    <vt:lpwstr>e="Field"/&gt;&lt;/prefs&gt;&lt;/data&gt;</vt:lpwstr>
  </property>
</Properties>
</file>