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6084A" w14:textId="26334468" w:rsidR="002354AC" w:rsidRDefault="002354AC" w:rsidP="002354AC">
      <w:pPr>
        <w:spacing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Non</w:t>
      </w:r>
      <w:r w:rsidR="00630C6B">
        <w:rPr>
          <w:rFonts w:asciiTheme="majorBidi" w:hAnsiTheme="majorBidi" w:cstheme="majorBidi"/>
          <w:b/>
          <w:bCs/>
          <w:sz w:val="24"/>
          <w:szCs w:val="24"/>
        </w:rPr>
        <w:t>-</w:t>
      </w:r>
      <w:r>
        <w:rPr>
          <w:rFonts w:asciiTheme="majorBidi" w:hAnsiTheme="majorBidi" w:cstheme="majorBidi"/>
          <w:b/>
          <w:bCs/>
          <w:sz w:val="24"/>
          <w:szCs w:val="24"/>
        </w:rPr>
        <w:t xml:space="preserve">sectarianism and Atheism in the Courts: The Fractured Separationist Response to the Religious Right </w:t>
      </w:r>
    </w:p>
    <w:p w14:paraId="163F8050" w14:textId="77777777" w:rsidR="00E208A1" w:rsidRDefault="00E208A1" w:rsidP="00E208A1">
      <w:pPr>
        <w:spacing w:line="240" w:lineRule="auto"/>
        <w:contextualSpacing/>
        <w:rPr>
          <w:rFonts w:asciiTheme="majorBidi" w:hAnsiTheme="majorBidi" w:cstheme="majorBidi"/>
          <w:b/>
          <w:bCs/>
          <w:sz w:val="24"/>
          <w:szCs w:val="24"/>
        </w:rPr>
      </w:pPr>
    </w:p>
    <w:p w14:paraId="7B50547C" w14:textId="655D64A5" w:rsidR="009C67F3" w:rsidRDefault="002018A4" w:rsidP="009C67F3">
      <w:pPr>
        <w:spacing w:line="480" w:lineRule="auto"/>
        <w:ind w:firstLine="720"/>
        <w:contextualSpacing/>
        <w:rPr>
          <w:rFonts w:asciiTheme="majorBidi" w:hAnsiTheme="majorBidi" w:cstheme="majorBidi"/>
          <w:color w:val="000000"/>
          <w:sz w:val="24"/>
          <w:szCs w:val="24"/>
          <w:shd w:val="clear" w:color="auto" w:fill="FFFFFF"/>
        </w:rPr>
      </w:pPr>
      <w:r>
        <w:rPr>
          <w:rFonts w:asciiTheme="majorBidi" w:hAnsiTheme="majorBidi" w:cstheme="majorBidi"/>
          <w:sz w:val="24"/>
          <w:szCs w:val="24"/>
        </w:rPr>
        <w:t xml:space="preserve">Much of the scholarship on American legal advocacy groups written in the past decade has focused on the rise of the Religious Right and its impact on American constitutional development. Notable works by scholars such as Steven </w:t>
      </w:r>
      <w:proofErr w:type="spellStart"/>
      <w:r>
        <w:rPr>
          <w:rFonts w:asciiTheme="majorBidi" w:hAnsiTheme="majorBidi" w:cstheme="majorBidi"/>
          <w:sz w:val="24"/>
          <w:szCs w:val="24"/>
        </w:rPr>
        <w:t>Teles</w:t>
      </w:r>
      <w:proofErr w:type="spellEnd"/>
      <w:r>
        <w:rPr>
          <w:rFonts w:asciiTheme="majorBidi" w:hAnsiTheme="majorBidi" w:cstheme="majorBidi"/>
          <w:sz w:val="24"/>
          <w:szCs w:val="24"/>
        </w:rPr>
        <w:t xml:space="preserve"> (2008), Ann </w:t>
      </w:r>
      <w:proofErr w:type="spellStart"/>
      <w:r>
        <w:rPr>
          <w:rFonts w:asciiTheme="majorBidi" w:hAnsiTheme="majorBidi" w:cstheme="majorBidi"/>
          <w:sz w:val="24"/>
          <w:szCs w:val="24"/>
        </w:rPr>
        <w:t>Southworth</w:t>
      </w:r>
      <w:proofErr w:type="spellEnd"/>
      <w:r>
        <w:rPr>
          <w:rFonts w:asciiTheme="majorBidi" w:hAnsiTheme="majorBidi" w:cstheme="majorBidi"/>
          <w:sz w:val="24"/>
          <w:szCs w:val="24"/>
        </w:rPr>
        <w:t xml:space="preserve"> (2008), </w:t>
      </w:r>
      <w:proofErr w:type="gramStart"/>
      <w:r>
        <w:rPr>
          <w:rFonts w:asciiTheme="majorBidi" w:hAnsiTheme="majorBidi" w:cstheme="majorBidi"/>
          <w:sz w:val="24"/>
          <w:szCs w:val="24"/>
        </w:rPr>
        <w:t>Steven</w:t>
      </w:r>
      <w:proofErr w:type="gramEnd"/>
      <w:r>
        <w:rPr>
          <w:rFonts w:asciiTheme="majorBidi" w:hAnsiTheme="majorBidi" w:cstheme="majorBidi"/>
          <w:sz w:val="24"/>
          <w:szCs w:val="24"/>
        </w:rPr>
        <w:t xml:space="preserve"> Brown (2002) have traced the institutional development of the Right’s litigation infrastructure as well as the resulting doctrinal effect these groups have had on American jurisprudence. The creation of litigation advocacy groups such as the American Center for Law and Justice and the Christian Legal Society have been instrumental in crafting Christian challenges to older conceptions of the appropriate relationship between religion and government that emerged from several decades of anti-sectarian litigation advanced primarily by American Civil Liberties Union, Americans United for the Separation of Church and State (AU),</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and various minority religious organizations. Although much of this work on the rise of the Religious Right and other conservative legal organizations has deepened our understanding of constitutional development and the judiciary, it has also led to a neglect of the particulars and nuances of groups with more liberal and “high wall” of separation approaches to these constitutional issues.</w:t>
      </w:r>
      <w:r w:rsidR="00DD3FA3">
        <w:rPr>
          <w:rFonts w:asciiTheme="majorBidi" w:hAnsiTheme="majorBidi" w:cstheme="majorBidi"/>
          <w:sz w:val="24"/>
          <w:szCs w:val="24"/>
        </w:rPr>
        <w:t xml:space="preserve"> </w:t>
      </w:r>
      <w:r w:rsidR="006716C4">
        <w:rPr>
          <w:rFonts w:asciiTheme="majorBidi" w:hAnsiTheme="majorBidi" w:cstheme="majorBidi"/>
          <w:color w:val="000000"/>
          <w:sz w:val="24"/>
          <w:szCs w:val="24"/>
          <w:shd w:val="clear" w:color="auto" w:fill="FFFFFF"/>
        </w:rPr>
        <w:t>In assessing these</w:t>
      </w:r>
      <w:r w:rsidR="001118BD">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responses</w:t>
      </w:r>
      <w:r w:rsidR="00DD3FA3">
        <w:rPr>
          <w:rFonts w:asciiTheme="majorBidi" w:hAnsiTheme="majorBidi" w:cstheme="majorBidi"/>
          <w:color w:val="000000"/>
          <w:sz w:val="24"/>
          <w:szCs w:val="24"/>
          <w:shd w:val="clear" w:color="auto" w:fill="FFFFFF"/>
        </w:rPr>
        <w:t xml:space="preserve"> to the rise of these conservative coalitions</w:t>
      </w:r>
      <w:r>
        <w:rPr>
          <w:rFonts w:asciiTheme="majorBidi" w:hAnsiTheme="majorBidi" w:cstheme="majorBidi"/>
          <w:color w:val="000000"/>
          <w:sz w:val="24"/>
          <w:szCs w:val="24"/>
          <w:shd w:val="clear" w:color="auto" w:fill="FFFFFF"/>
        </w:rPr>
        <w:t xml:space="preserve">, </w:t>
      </w:r>
      <w:r w:rsidR="003A24CB">
        <w:rPr>
          <w:rFonts w:asciiTheme="majorBidi" w:hAnsiTheme="majorBidi" w:cstheme="majorBidi"/>
          <w:color w:val="000000"/>
          <w:sz w:val="24"/>
          <w:szCs w:val="24"/>
          <w:shd w:val="clear" w:color="auto" w:fill="FFFFFF"/>
        </w:rPr>
        <w:t xml:space="preserve">the </w:t>
      </w:r>
      <w:r w:rsidR="00351972">
        <w:rPr>
          <w:rFonts w:asciiTheme="majorBidi" w:hAnsiTheme="majorBidi" w:cstheme="majorBidi"/>
          <w:color w:val="000000"/>
          <w:sz w:val="24"/>
          <w:szCs w:val="24"/>
          <w:shd w:val="clear" w:color="auto" w:fill="FFFFFF"/>
        </w:rPr>
        <w:t>binary</w:t>
      </w:r>
      <w:r w:rsidR="003A24CB">
        <w:rPr>
          <w:rFonts w:asciiTheme="majorBidi" w:hAnsiTheme="majorBidi" w:cstheme="majorBidi"/>
          <w:color w:val="000000"/>
          <w:sz w:val="24"/>
          <w:szCs w:val="24"/>
          <w:shd w:val="clear" w:color="auto" w:fill="FFFFFF"/>
        </w:rPr>
        <w:t xml:space="preserve"> between religious and secular groups breaks down, providing a</w:t>
      </w:r>
      <w:r w:rsidR="001118BD">
        <w:rPr>
          <w:rFonts w:asciiTheme="majorBidi" w:hAnsiTheme="majorBidi" w:cstheme="majorBidi"/>
          <w:color w:val="000000"/>
          <w:sz w:val="24"/>
          <w:szCs w:val="24"/>
          <w:shd w:val="clear" w:color="auto" w:fill="FFFFFF"/>
        </w:rPr>
        <w:t xml:space="preserve"> clearer look into the diverse</w:t>
      </w:r>
      <w:r w:rsidR="003A24CB">
        <w:rPr>
          <w:rFonts w:asciiTheme="majorBidi" w:hAnsiTheme="majorBidi" w:cstheme="majorBidi"/>
          <w:color w:val="000000"/>
          <w:sz w:val="24"/>
          <w:szCs w:val="24"/>
          <w:shd w:val="clear" w:color="auto" w:fill="FFFFFF"/>
        </w:rPr>
        <w:t>—and often conflicting—strategies and goals among secular advocacy organizations.</w:t>
      </w:r>
    </w:p>
    <w:p w14:paraId="670EDDD3" w14:textId="53C60FA8" w:rsidR="00351972" w:rsidRPr="009C67F3" w:rsidRDefault="00351972" w:rsidP="009C67F3">
      <w:pPr>
        <w:spacing w:line="480" w:lineRule="auto"/>
        <w:ind w:firstLine="720"/>
        <w:contextualSpacing/>
        <w:rPr>
          <w:rFonts w:asciiTheme="majorBidi" w:hAnsiTheme="majorBidi" w:cstheme="majorBidi"/>
          <w:color w:val="000000"/>
          <w:sz w:val="24"/>
          <w:szCs w:val="24"/>
          <w:shd w:val="clear" w:color="auto" w:fill="FFFFFF"/>
        </w:rPr>
      </w:pPr>
      <w:r>
        <w:rPr>
          <w:rFonts w:ascii="Times New Roman" w:hAnsi="Times New Roman" w:cs="Times New Roman"/>
          <w:sz w:val="24"/>
          <w:szCs w:val="24"/>
        </w:rPr>
        <w:t>In differentiating within the broader secular distinction here, I identify the first of these</w:t>
      </w:r>
      <w:r w:rsidR="0082367D">
        <w:rPr>
          <w:rFonts w:ascii="Times New Roman" w:hAnsi="Times New Roman" w:cs="Times New Roman"/>
          <w:sz w:val="24"/>
          <w:szCs w:val="24"/>
        </w:rPr>
        <w:t xml:space="preserve"> organizations</w:t>
      </w:r>
      <w:r>
        <w:rPr>
          <w:rFonts w:ascii="Times New Roman" w:hAnsi="Times New Roman" w:cs="Times New Roman"/>
          <w:sz w:val="24"/>
          <w:szCs w:val="24"/>
        </w:rPr>
        <w:t xml:space="preserve"> as the “old coalition” of separationist groups</w:t>
      </w:r>
      <w:r w:rsidR="00CC5706">
        <w:rPr>
          <w:rStyle w:val="FootnoteReference"/>
          <w:rFonts w:ascii="Times New Roman" w:hAnsi="Times New Roman" w:cs="Times New Roman"/>
          <w:sz w:val="24"/>
          <w:szCs w:val="24"/>
        </w:rPr>
        <w:footnoteReference w:id="2"/>
      </w:r>
      <w:r w:rsidR="0082367D">
        <w:rPr>
          <w:rFonts w:ascii="Times New Roman" w:hAnsi="Times New Roman" w:cs="Times New Roman"/>
          <w:sz w:val="24"/>
          <w:szCs w:val="24"/>
        </w:rPr>
        <w:t>, which</w:t>
      </w:r>
      <w:r>
        <w:rPr>
          <w:rFonts w:ascii="Times New Roman" w:hAnsi="Times New Roman" w:cs="Times New Roman"/>
          <w:sz w:val="24"/>
          <w:szCs w:val="24"/>
        </w:rPr>
        <w:t xml:space="preserve"> has been led predominately </w:t>
      </w:r>
      <w:r>
        <w:rPr>
          <w:rFonts w:ascii="Times New Roman" w:hAnsi="Times New Roman" w:cs="Times New Roman"/>
          <w:sz w:val="24"/>
          <w:szCs w:val="24"/>
        </w:rPr>
        <w:lastRenderedPageBreak/>
        <w:t xml:space="preserve">by the ACLU, AU, and the American Jewish Committee. These organizations came to prominence </w:t>
      </w:r>
      <w:r w:rsidR="0082367D">
        <w:rPr>
          <w:rFonts w:ascii="Times New Roman" w:hAnsi="Times New Roman" w:cs="Times New Roman"/>
          <w:sz w:val="24"/>
          <w:szCs w:val="24"/>
        </w:rPr>
        <w:t xml:space="preserve">during the early to mid-twentieth century </w:t>
      </w:r>
      <w:r>
        <w:rPr>
          <w:rFonts w:ascii="Times New Roman" w:hAnsi="Times New Roman" w:cs="Times New Roman"/>
          <w:sz w:val="24"/>
          <w:szCs w:val="24"/>
        </w:rPr>
        <w:t>in their challenges to government aid to particular denominations, especially Catholic ones, as well as the championing of minority religious rights, most notably the rights of Jehovah’s Witnesses.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As a result, these groups have principally articulated their responses to what they perceive to be violations of the Constitution perpetrated by Christians.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Although groups like the ACLU have a long history of being accused as predominately atheist-oriented by its opponents, the path dependent, historical nature of its position in these disputes has constrained the ACLU from opposing every and all instances of church-s</w:t>
      </w:r>
      <w:r w:rsidR="00FD6A0D">
        <w:rPr>
          <w:rFonts w:ascii="Times New Roman" w:hAnsi="Times New Roman" w:cs="Times New Roman"/>
          <w:sz w:val="24"/>
          <w:szCs w:val="24"/>
        </w:rPr>
        <w:t>tate relations (Pierson, 2004).</w:t>
      </w:r>
    </w:p>
    <w:p w14:paraId="34231BE8" w14:textId="25462491" w:rsidR="00FD6A0D" w:rsidRDefault="00FD6A0D" w:rsidP="00FD6A0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contrast to this older alliance, challenges to the Religious Right have also been led by self-proclaimed secular organizations such as the Freedom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Religion Foundation (FFRF), the American Atheists (AA), and the conglomerate Secular Coalition for America</w:t>
      </w:r>
      <w:r w:rsidR="00273D70">
        <w:rPr>
          <w:rFonts w:ascii="Times New Roman" w:hAnsi="Times New Roman" w:cs="Times New Roman"/>
          <w:sz w:val="24"/>
          <w:szCs w:val="24"/>
        </w:rPr>
        <w:t xml:space="preserve"> (SCA)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This “new coalition” of groups has been much more actively anti-religion in its pursuit of litigation without sensitivity to or support for any religious faith whether or not it has been the subject of discrimination. While several of these groups were founded before the rise of the Religious Right, many scholars and commentators have attributed the exponential growth of some of these organizations in the last decade as a response to the recent legal and policy achieve</w:t>
      </w:r>
      <w:r w:rsidR="00C30583">
        <w:rPr>
          <w:rFonts w:ascii="Times New Roman" w:hAnsi="Times New Roman" w:cs="Times New Roman"/>
          <w:sz w:val="24"/>
          <w:szCs w:val="24"/>
        </w:rPr>
        <w:t xml:space="preserve">ments of </w:t>
      </w:r>
      <w:r w:rsidR="00C30583">
        <w:rPr>
          <w:rFonts w:ascii="Times New Roman" w:hAnsi="Times New Roman" w:cs="Times New Roman"/>
          <w:sz w:val="24"/>
          <w:szCs w:val="24"/>
        </w:rPr>
        <w:lastRenderedPageBreak/>
        <w:t>conservative Christians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00C30583">
        <w:rPr>
          <w:rFonts w:ascii="Times New Roman" w:hAnsi="Times New Roman" w:cs="Times New Roman"/>
          <w:sz w:val="24"/>
          <w:szCs w:val="24"/>
        </w:rPr>
        <w:t xml:space="preserve"> Others have emphasized the significance of the terrorist attacks on September 11, 2001 as a driving cause of this mobilization as many members of these groups and their celebrity leaders in the academy such as Richard Dawkins have called for a new era of science and rationalism to combat what they perceive to be religious extremism.</w:t>
      </w:r>
      <w:r w:rsidR="00C30583">
        <w:rPr>
          <w:rStyle w:val="FootnoteReference"/>
          <w:rFonts w:ascii="Times New Roman" w:hAnsi="Times New Roman" w:cs="Times New Roman"/>
          <w:sz w:val="24"/>
          <w:szCs w:val="24"/>
        </w:rPr>
        <w:footnoteReference w:id="7"/>
      </w:r>
    </w:p>
    <w:p w14:paraId="7EA42319" w14:textId="16B9D47A" w:rsidR="008D2775" w:rsidRPr="008D2775" w:rsidRDefault="00F81AB4" w:rsidP="008D277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w:t>
      </w:r>
      <w:r w:rsidR="00273D70">
        <w:rPr>
          <w:rFonts w:ascii="Times New Roman" w:hAnsi="Times New Roman" w:cs="Times New Roman"/>
          <w:sz w:val="24"/>
          <w:szCs w:val="24"/>
        </w:rPr>
        <w:t>ssessing the response to the litigation of the Religious Right involves tracing and evaluating the similarities and differences in the historical development of these litigation coalitions and their legal strategies and doctrinal approaches to what they perceive to be violations of the separation of church and state. By examining several areas of advocacy pursued by both coalitions, I demonstrate that one of the key differences between these coalitions lies in the conceptua</w:t>
      </w:r>
      <w:r>
        <w:rPr>
          <w:rFonts w:ascii="Times New Roman" w:hAnsi="Times New Roman" w:cs="Times New Roman"/>
          <w:sz w:val="24"/>
          <w:szCs w:val="24"/>
        </w:rPr>
        <w:t>lization of principles such as neutrality and pluralism.</w:t>
      </w:r>
      <w:r w:rsidR="00273D70">
        <w:rPr>
          <w:rFonts w:ascii="Times New Roman" w:hAnsi="Times New Roman" w:cs="Times New Roman"/>
          <w:sz w:val="24"/>
          <w:szCs w:val="24"/>
        </w:rPr>
        <w:t xml:space="preserve"> Whereas the ACLU has historically aligned itself with religious minorities as well as secularists in an attempt to create a neutral state that accommodates various forms of religious expression without allowing one particular sect to dominate, </w:t>
      </w:r>
      <w:r w:rsidR="008D2775">
        <w:rPr>
          <w:rFonts w:ascii="Times New Roman" w:hAnsi="Times New Roman" w:cs="Times New Roman"/>
          <w:sz w:val="24"/>
          <w:szCs w:val="24"/>
        </w:rPr>
        <w:t>the new coalition</w:t>
      </w:r>
      <w:r w:rsidR="00C73549">
        <w:rPr>
          <w:rFonts w:ascii="Times New Roman" w:hAnsi="Times New Roman" w:cs="Times New Roman"/>
          <w:sz w:val="24"/>
          <w:szCs w:val="24"/>
        </w:rPr>
        <w:t xml:space="preserve"> has repeatedly emphasized that </w:t>
      </w:r>
      <w:r w:rsidR="00BE19F6">
        <w:rPr>
          <w:rFonts w:ascii="Times New Roman" w:hAnsi="Times New Roman" w:cs="Times New Roman"/>
          <w:sz w:val="24"/>
          <w:szCs w:val="24"/>
        </w:rPr>
        <w:t>n</w:t>
      </w:r>
      <w:r w:rsidR="00C73549">
        <w:rPr>
          <w:rFonts w:ascii="Times New Roman" w:hAnsi="Times New Roman" w:cs="Times New Roman"/>
          <w:sz w:val="24"/>
          <w:szCs w:val="24"/>
        </w:rPr>
        <w:t xml:space="preserve">early </w:t>
      </w:r>
      <w:r w:rsidR="00C73549">
        <w:rPr>
          <w:rFonts w:ascii="Times New Roman" w:hAnsi="Times New Roman" w:cs="Times New Roman"/>
          <w:i/>
          <w:sz w:val="24"/>
          <w:szCs w:val="24"/>
        </w:rPr>
        <w:t>any</w:t>
      </w:r>
      <w:r w:rsidR="00C73549">
        <w:rPr>
          <w:rFonts w:ascii="Times New Roman" w:hAnsi="Times New Roman" w:cs="Times New Roman"/>
          <w:sz w:val="24"/>
          <w:szCs w:val="24"/>
        </w:rPr>
        <w:t xml:space="preserve"> accommodation of religion violates the government’s duty to be neutral toward religion and rigidly secular in all of its conduct</w:t>
      </w:r>
      <w:r w:rsidR="008D2775">
        <w:rPr>
          <w:rFonts w:ascii="Times New Roman" w:hAnsi="Times New Roman" w:cs="Times New Roman"/>
          <w:sz w:val="24"/>
          <w:szCs w:val="24"/>
        </w:rPr>
        <w:t>. These disparate approaches to neutrality and pluralism can be seen in many religious clause cases over the last few decades, most significantly in the old coalition’s overwhelming support for the Religious Freedom and Restoration Act</w:t>
      </w:r>
      <w:r w:rsidR="007344BD">
        <w:rPr>
          <w:rFonts w:ascii="Times New Roman" w:hAnsi="Times New Roman" w:cs="Times New Roman"/>
          <w:sz w:val="24"/>
          <w:szCs w:val="24"/>
        </w:rPr>
        <w:t xml:space="preserve"> (RFRA)</w:t>
      </w:r>
      <w:r w:rsidR="008D2775">
        <w:rPr>
          <w:rFonts w:ascii="Times New Roman" w:hAnsi="Times New Roman" w:cs="Times New Roman"/>
          <w:sz w:val="24"/>
          <w:szCs w:val="24"/>
        </w:rPr>
        <w:t xml:space="preserve"> and the new coalition’s attempts to resurrect the much less accommodating interpretation of religious freedom found in Justice Scalia’s majority opinion for </w:t>
      </w:r>
      <w:r w:rsidR="008D2775" w:rsidRPr="008D2775">
        <w:rPr>
          <w:rFonts w:ascii="Times New Roman" w:hAnsi="Times New Roman" w:cs="Times New Roman"/>
          <w:i/>
          <w:sz w:val="24"/>
          <w:szCs w:val="24"/>
        </w:rPr>
        <w:t>Employment Division, Department of Human Resourc</w:t>
      </w:r>
      <w:r w:rsidR="008D2775">
        <w:rPr>
          <w:rFonts w:ascii="Times New Roman" w:hAnsi="Times New Roman" w:cs="Times New Roman"/>
          <w:i/>
          <w:sz w:val="24"/>
          <w:szCs w:val="24"/>
        </w:rPr>
        <w:t>es of Oregon vs. Smith</w:t>
      </w:r>
      <w:r w:rsidR="008D2775">
        <w:rPr>
          <w:rFonts w:ascii="Times New Roman" w:hAnsi="Times New Roman" w:cs="Times New Roman"/>
          <w:sz w:val="24"/>
          <w:szCs w:val="24"/>
        </w:rPr>
        <w:t xml:space="preserve"> (1990).</w:t>
      </w:r>
      <w:r w:rsidR="008D2775">
        <w:rPr>
          <w:rStyle w:val="FootnoteReference"/>
          <w:rFonts w:ascii="Times New Roman" w:hAnsi="Times New Roman" w:cs="Times New Roman"/>
          <w:sz w:val="24"/>
          <w:szCs w:val="24"/>
        </w:rPr>
        <w:footnoteReference w:id="8"/>
      </w:r>
      <w:r w:rsidR="008D2775">
        <w:rPr>
          <w:rFonts w:ascii="Times New Roman" w:hAnsi="Times New Roman" w:cs="Times New Roman"/>
          <w:sz w:val="24"/>
          <w:szCs w:val="24"/>
        </w:rPr>
        <w:t xml:space="preserve"> </w:t>
      </w:r>
    </w:p>
    <w:p w14:paraId="059B6ED8" w14:textId="6148F577" w:rsidR="009C67F3" w:rsidRDefault="00DE5A16" w:rsidP="00832F52">
      <w:pPr>
        <w:spacing w:line="480" w:lineRule="auto"/>
        <w:contextualSpacing/>
        <w:rPr>
          <w:rFonts w:asciiTheme="majorBidi" w:hAnsiTheme="majorBidi" w:cstheme="majorBidi"/>
          <w:iCs/>
          <w:sz w:val="24"/>
          <w:szCs w:val="24"/>
        </w:rPr>
      </w:pPr>
      <w:r>
        <w:rPr>
          <w:rFonts w:ascii="Times New Roman" w:hAnsi="Times New Roman" w:cs="Times New Roman"/>
          <w:sz w:val="24"/>
          <w:szCs w:val="24"/>
        </w:rPr>
        <w:lastRenderedPageBreak/>
        <w:tab/>
        <w:t xml:space="preserve">In addition to these </w:t>
      </w:r>
      <w:r w:rsidR="00254D7F">
        <w:rPr>
          <w:rFonts w:ascii="Times New Roman" w:hAnsi="Times New Roman" w:cs="Times New Roman"/>
          <w:sz w:val="24"/>
          <w:szCs w:val="24"/>
        </w:rPr>
        <w:t>often conflicting</w:t>
      </w:r>
      <w:r>
        <w:rPr>
          <w:rFonts w:ascii="Times New Roman" w:hAnsi="Times New Roman" w:cs="Times New Roman"/>
          <w:sz w:val="24"/>
          <w:szCs w:val="24"/>
        </w:rPr>
        <w:t xml:space="preserve"> interpretations of principles, the </w:t>
      </w:r>
      <w:r w:rsidR="000E0F22">
        <w:rPr>
          <w:rFonts w:ascii="Times New Roman" w:hAnsi="Times New Roman" w:cs="Times New Roman"/>
          <w:sz w:val="24"/>
          <w:szCs w:val="24"/>
        </w:rPr>
        <w:t xml:space="preserve">new coalition’s concerns with building </w:t>
      </w:r>
      <w:r w:rsidR="001841F2">
        <w:rPr>
          <w:rFonts w:ascii="Times New Roman" w:hAnsi="Times New Roman" w:cs="Times New Roman"/>
          <w:sz w:val="24"/>
          <w:szCs w:val="24"/>
        </w:rPr>
        <w:t xml:space="preserve">and strengthening </w:t>
      </w:r>
      <w:r w:rsidR="000E0F22">
        <w:rPr>
          <w:rFonts w:ascii="Times New Roman" w:hAnsi="Times New Roman" w:cs="Times New Roman"/>
          <w:sz w:val="24"/>
          <w:szCs w:val="24"/>
        </w:rPr>
        <w:t>an atheist</w:t>
      </w:r>
      <w:r w:rsidR="001841F2">
        <w:rPr>
          <w:rFonts w:ascii="Times New Roman" w:hAnsi="Times New Roman" w:cs="Times New Roman"/>
          <w:sz w:val="24"/>
          <w:szCs w:val="24"/>
        </w:rPr>
        <w:t xml:space="preserve"> political</w:t>
      </w:r>
      <w:r w:rsidR="00254D7F">
        <w:rPr>
          <w:rFonts w:ascii="Times New Roman" w:hAnsi="Times New Roman" w:cs="Times New Roman"/>
          <w:sz w:val="24"/>
          <w:szCs w:val="24"/>
        </w:rPr>
        <w:t xml:space="preserve"> identity has led to different legal strategies and political projects as well. For example groups </w:t>
      </w:r>
      <w:r w:rsidR="006B3D7B">
        <w:rPr>
          <w:rFonts w:ascii="Times New Roman" w:hAnsi="Times New Roman" w:cs="Times New Roman"/>
          <w:sz w:val="24"/>
          <w:szCs w:val="24"/>
        </w:rPr>
        <w:t>such as</w:t>
      </w:r>
      <w:r w:rsidR="00254D7F">
        <w:rPr>
          <w:rFonts w:ascii="Times New Roman" w:hAnsi="Times New Roman" w:cs="Times New Roman"/>
          <w:sz w:val="24"/>
          <w:szCs w:val="24"/>
        </w:rPr>
        <w:t xml:space="preserve"> the Secular Coal</w:t>
      </w:r>
      <w:r w:rsidR="0033098B">
        <w:rPr>
          <w:rFonts w:ascii="Times New Roman" w:hAnsi="Times New Roman" w:cs="Times New Roman"/>
          <w:sz w:val="24"/>
          <w:szCs w:val="24"/>
        </w:rPr>
        <w:t xml:space="preserve">ition for America, the Freedom </w:t>
      </w:r>
      <w:proofErr w:type="gramStart"/>
      <w:r w:rsidR="0033098B">
        <w:rPr>
          <w:rFonts w:ascii="Times New Roman" w:hAnsi="Times New Roman" w:cs="Times New Roman"/>
          <w:sz w:val="24"/>
          <w:szCs w:val="24"/>
        </w:rPr>
        <w:t>F</w:t>
      </w:r>
      <w:r w:rsidR="00254D7F">
        <w:rPr>
          <w:rFonts w:ascii="Times New Roman" w:hAnsi="Times New Roman" w:cs="Times New Roman"/>
          <w:sz w:val="24"/>
          <w:szCs w:val="24"/>
        </w:rPr>
        <w:t>rom</w:t>
      </w:r>
      <w:proofErr w:type="gramEnd"/>
      <w:r w:rsidR="00254D7F">
        <w:rPr>
          <w:rFonts w:ascii="Times New Roman" w:hAnsi="Times New Roman" w:cs="Times New Roman"/>
          <w:sz w:val="24"/>
          <w:szCs w:val="24"/>
        </w:rPr>
        <w:t xml:space="preserve"> Religion Foundation, and others have initiated “coming out” movements for secularists, sobriety programs for the nonreligious, and congressional campaign fund</w:t>
      </w:r>
      <w:r w:rsidR="006B3D7B">
        <w:rPr>
          <w:rFonts w:ascii="Times New Roman" w:hAnsi="Times New Roman" w:cs="Times New Roman"/>
          <w:sz w:val="24"/>
          <w:szCs w:val="24"/>
        </w:rPr>
        <w:t>s for openl</w:t>
      </w:r>
      <w:r w:rsidR="006716C4">
        <w:rPr>
          <w:rFonts w:ascii="Times New Roman" w:hAnsi="Times New Roman" w:cs="Times New Roman"/>
          <w:sz w:val="24"/>
          <w:szCs w:val="24"/>
        </w:rPr>
        <w:t>y atheist candidates (</w:t>
      </w:r>
      <w:proofErr w:type="spellStart"/>
      <w:r w:rsidR="006716C4">
        <w:rPr>
          <w:rFonts w:ascii="Times New Roman" w:hAnsi="Times New Roman" w:cs="Times New Roman"/>
          <w:sz w:val="24"/>
          <w:szCs w:val="24"/>
        </w:rPr>
        <w:t>Cimino</w:t>
      </w:r>
      <w:proofErr w:type="spellEnd"/>
      <w:r w:rsidR="006716C4">
        <w:rPr>
          <w:rFonts w:ascii="Times New Roman" w:hAnsi="Times New Roman" w:cs="Times New Roman"/>
          <w:sz w:val="24"/>
          <w:szCs w:val="24"/>
        </w:rPr>
        <w:t xml:space="preserve"> &amp; S</w:t>
      </w:r>
      <w:r w:rsidR="006B3D7B">
        <w:rPr>
          <w:rFonts w:ascii="Times New Roman" w:hAnsi="Times New Roman" w:cs="Times New Roman"/>
          <w:sz w:val="24"/>
          <w:szCs w:val="24"/>
        </w:rPr>
        <w:t>mith, 2014).</w:t>
      </w:r>
      <w:r w:rsidR="00F13A0F">
        <w:rPr>
          <w:rFonts w:ascii="Times New Roman" w:hAnsi="Times New Roman" w:cs="Times New Roman"/>
          <w:sz w:val="24"/>
          <w:szCs w:val="24"/>
        </w:rPr>
        <w:t xml:space="preserve"> </w:t>
      </w:r>
      <w:r w:rsidR="00F13A0F">
        <w:rPr>
          <w:rFonts w:asciiTheme="majorBidi" w:hAnsiTheme="majorBidi" w:cstheme="majorBidi"/>
          <w:bCs/>
          <w:sz w:val="24"/>
          <w:szCs w:val="24"/>
        </w:rPr>
        <w:t xml:space="preserve">In this </w:t>
      </w:r>
      <w:r>
        <w:rPr>
          <w:rFonts w:asciiTheme="majorBidi" w:hAnsiTheme="majorBidi" w:cstheme="majorBidi"/>
          <w:iCs/>
          <w:sz w:val="24"/>
          <w:szCs w:val="24"/>
        </w:rPr>
        <w:t>identitarian</w:t>
      </w:r>
      <w:r w:rsidR="00F13A0F">
        <w:rPr>
          <w:rFonts w:asciiTheme="majorBidi" w:hAnsiTheme="majorBidi" w:cstheme="majorBidi"/>
          <w:iCs/>
          <w:sz w:val="24"/>
          <w:szCs w:val="24"/>
        </w:rPr>
        <w:t>-style of politics, new coalition members have begun to establish</w:t>
      </w:r>
      <w:r>
        <w:rPr>
          <w:rFonts w:asciiTheme="majorBidi" w:hAnsiTheme="majorBidi" w:cstheme="majorBidi"/>
          <w:iCs/>
          <w:sz w:val="24"/>
          <w:szCs w:val="24"/>
        </w:rPr>
        <w:t xml:space="preserve"> an entire</w:t>
      </w:r>
      <w:r w:rsidR="00F13A0F">
        <w:rPr>
          <w:rFonts w:asciiTheme="majorBidi" w:hAnsiTheme="majorBidi" w:cstheme="majorBidi"/>
          <w:iCs/>
          <w:sz w:val="24"/>
          <w:szCs w:val="24"/>
        </w:rPr>
        <w:t>ly</w:t>
      </w:r>
      <w:r>
        <w:rPr>
          <w:rFonts w:asciiTheme="majorBidi" w:hAnsiTheme="majorBidi" w:cstheme="majorBidi"/>
          <w:iCs/>
          <w:sz w:val="24"/>
          <w:szCs w:val="24"/>
        </w:rPr>
        <w:t xml:space="preserve"> secular culture and identity</w:t>
      </w:r>
      <w:r w:rsidR="00F13A0F">
        <w:rPr>
          <w:rFonts w:asciiTheme="majorBidi" w:hAnsiTheme="majorBidi" w:cstheme="majorBidi"/>
          <w:iCs/>
          <w:sz w:val="24"/>
          <w:szCs w:val="24"/>
        </w:rPr>
        <w:t xml:space="preserve"> that has informed both their own movemen</w:t>
      </w:r>
      <w:r w:rsidR="0099566D">
        <w:rPr>
          <w:rFonts w:asciiTheme="majorBidi" w:hAnsiTheme="majorBidi" w:cstheme="majorBidi"/>
          <w:iCs/>
          <w:sz w:val="24"/>
          <w:szCs w:val="24"/>
        </w:rPr>
        <w:t xml:space="preserve">t </w:t>
      </w:r>
      <w:r w:rsidR="00F13A0F">
        <w:rPr>
          <w:rFonts w:asciiTheme="majorBidi" w:hAnsiTheme="majorBidi" w:cstheme="majorBidi"/>
          <w:iCs/>
          <w:sz w:val="24"/>
          <w:szCs w:val="24"/>
        </w:rPr>
        <w:t>building as well as their consti</w:t>
      </w:r>
      <w:r w:rsidR="00C87D30">
        <w:rPr>
          <w:rFonts w:asciiTheme="majorBidi" w:hAnsiTheme="majorBidi" w:cstheme="majorBidi"/>
          <w:iCs/>
          <w:sz w:val="24"/>
          <w:szCs w:val="24"/>
        </w:rPr>
        <w:t xml:space="preserve">tutional tactics and strategies. </w:t>
      </w:r>
      <w:r w:rsidR="00F13A0F">
        <w:rPr>
          <w:rFonts w:asciiTheme="majorBidi" w:hAnsiTheme="majorBidi" w:cstheme="majorBidi"/>
          <w:iCs/>
          <w:sz w:val="24"/>
          <w:szCs w:val="24"/>
        </w:rPr>
        <w:t xml:space="preserve">While the </w:t>
      </w:r>
      <w:r>
        <w:rPr>
          <w:rFonts w:asciiTheme="majorBidi" w:hAnsiTheme="majorBidi" w:cstheme="majorBidi"/>
          <w:iCs/>
          <w:sz w:val="24"/>
          <w:szCs w:val="24"/>
        </w:rPr>
        <w:t>ACLU</w:t>
      </w:r>
      <w:r w:rsidR="00F13A0F">
        <w:rPr>
          <w:rFonts w:asciiTheme="majorBidi" w:hAnsiTheme="majorBidi" w:cstheme="majorBidi"/>
          <w:iCs/>
          <w:sz w:val="24"/>
          <w:szCs w:val="24"/>
        </w:rPr>
        <w:t xml:space="preserve"> especially has been</w:t>
      </w:r>
      <w:r>
        <w:rPr>
          <w:rFonts w:asciiTheme="majorBidi" w:hAnsiTheme="majorBidi" w:cstheme="majorBidi"/>
          <w:iCs/>
          <w:sz w:val="24"/>
          <w:szCs w:val="24"/>
        </w:rPr>
        <w:t xml:space="preserve"> encouraging of these sorts of </w:t>
      </w:r>
      <w:r w:rsidR="00F13A0F">
        <w:rPr>
          <w:rFonts w:asciiTheme="majorBidi" w:hAnsiTheme="majorBidi" w:cstheme="majorBidi"/>
          <w:iCs/>
          <w:sz w:val="24"/>
          <w:szCs w:val="24"/>
        </w:rPr>
        <w:t>projects</w:t>
      </w:r>
      <w:r>
        <w:rPr>
          <w:rFonts w:asciiTheme="majorBidi" w:hAnsiTheme="majorBidi" w:cstheme="majorBidi"/>
          <w:iCs/>
          <w:sz w:val="24"/>
          <w:szCs w:val="24"/>
        </w:rPr>
        <w:t xml:space="preserve"> </w:t>
      </w:r>
      <w:r w:rsidR="00992B72">
        <w:rPr>
          <w:rFonts w:asciiTheme="majorBidi" w:hAnsiTheme="majorBidi" w:cstheme="majorBidi"/>
          <w:iCs/>
          <w:sz w:val="24"/>
          <w:szCs w:val="24"/>
        </w:rPr>
        <w:t xml:space="preserve">when </w:t>
      </w:r>
      <w:r w:rsidR="00F13A0F">
        <w:rPr>
          <w:rFonts w:asciiTheme="majorBidi" w:hAnsiTheme="majorBidi" w:cstheme="majorBidi"/>
          <w:iCs/>
          <w:sz w:val="24"/>
          <w:szCs w:val="24"/>
        </w:rPr>
        <w:t>championing the recognition</w:t>
      </w:r>
      <w:r w:rsidR="00992B72">
        <w:rPr>
          <w:rFonts w:asciiTheme="majorBidi" w:hAnsiTheme="majorBidi" w:cstheme="majorBidi"/>
          <w:iCs/>
          <w:sz w:val="24"/>
          <w:szCs w:val="24"/>
        </w:rPr>
        <w:t xml:space="preserve"> </w:t>
      </w:r>
      <w:r w:rsidR="0099566D">
        <w:rPr>
          <w:rFonts w:asciiTheme="majorBidi" w:hAnsiTheme="majorBidi" w:cstheme="majorBidi"/>
          <w:iCs/>
          <w:sz w:val="24"/>
          <w:szCs w:val="24"/>
        </w:rPr>
        <w:t xml:space="preserve">of </w:t>
      </w:r>
      <w:r w:rsidR="00F13A0F">
        <w:rPr>
          <w:rFonts w:asciiTheme="majorBidi" w:hAnsiTheme="majorBidi" w:cstheme="majorBidi"/>
          <w:iCs/>
          <w:sz w:val="24"/>
          <w:szCs w:val="24"/>
        </w:rPr>
        <w:t>atheist and secular identities</w:t>
      </w:r>
      <w:r w:rsidR="00992B72">
        <w:rPr>
          <w:rFonts w:asciiTheme="majorBidi" w:hAnsiTheme="majorBidi" w:cstheme="majorBidi"/>
          <w:iCs/>
          <w:sz w:val="24"/>
          <w:szCs w:val="24"/>
        </w:rPr>
        <w:t xml:space="preserve"> </w:t>
      </w:r>
      <w:r w:rsidR="00992B72">
        <w:rPr>
          <w:rFonts w:asciiTheme="majorBidi" w:hAnsiTheme="majorBidi" w:cstheme="majorBidi"/>
          <w:i/>
          <w:iCs/>
          <w:sz w:val="24"/>
          <w:szCs w:val="24"/>
        </w:rPr>
        <w:t>in addition</w:t>
      </w:r>
      <w:r w:rsidR="00F13A0F">
        <w:rPr>
          <w:rFonts w:asciiTheme="majorBidi" w:hAnsiTheme="majorBidi" w:cstheme="majorBidi"/>
          <w:iCs/>
          <w:sz w:val="24"/>
          <w:szCs w:val="24"/>
        </w:rPr>
        <w:t xml:space="preserve"> to religious identities and voices, the </w:t>
      </w:r>
      <w:r w:rsidR="00992B72">
        <w:rPr>
          <w:rFonts w:asciiTheme="majorBidi" w:hAnsiTheme="majorBidi" w:cstheme="majorBidi"/>
          <w:iCs/>
          <w:sz w:val="24"/>
          <w:szCs w:val="24"/>
        </w:rPr>
        <w:t xml:space="preserve">new coalition’s other identity project </w:t>
      </w:r>
      <w:r w:rsidR="00F13A0F">
        <w:rPr>
          <w:rFonts w:asciiTheme="majorBidi" w:hAnsiTheme="majorBidi" w:cstheme="majorBidi"/>
          <w:iCs/>
          <w:sz w:val="24"/>
          <w:szCs w:val="24"/>
        </w:rPr>
        <w:t>g</w:t>
      </w:r>
      <w:r w:rsidR="0099566D">
        <w:rPr>
          <w:rFonts w:asciiTheme="majorBidi" w:hAnsiTheme="majorBidi" w:cstheme="majorBidi"/>
          <w:iCs/>
          <w:sz w:val="24"/>
          <w:szCs w:val="24"/>
        </w:rPr>
        <w:t>oes a step further:</w:t>
      </w:r>
      <w:r w:rsidR="00F13A0F">
        <w:rPr>
          <w:rFonts w:asciiTheme="majorBidi" w:hAnsiTheme="majorBidi" w:cstheme="majorBidi"/>
          <w:iCs/>
          <w:sz w:val="24"/>
          <w:szCs w:val="24"/>
        </w:rPr>
        <w:t xml:space="preserve"> </w:t>
      </w:r>
      <w:r w:rsidR="006716C4">
        <w:rPr>
          <w:rFonts w:asciiTheme="majorBidi" w:hAnsiTheme="majorBidi" w:cstheme="majorBidi"/>
          <w:iCs/>
          <w:sz w:val="24"/>
          <w:szCs w:val="24"/>
        </w:rPr>
        <w:t>in</w:t>
      </w:r>
      <w:r w:rsidR="00F13A0F">
        <w:rPr>
          <w:rFonts w:asciiTheme="majorBidi" w:hAnsiTheme="majorBidi" w:cstheme="majorBidi"/>
          <w:iCs/>
          <w:sz w:val="24"/>
          <w:szCs w:val="24"/>
        </w:rPr>
        <w:t xml:space="preserve"> arguing for a high wall of sep</w:t>
      </w:r>
      <w:r w:rsidR="006716C4">
        <w:rPr>
          <w:rFonts w:asciiTheme="majorBidi" w:hAnsiTheme="majorBidi" w:cstheme="majorBidi"/>
          <w:iCs/>
          <w:sz w:val="24"/>
          <w:szCs w:val="24"/>
        </w:rPr>
        <w:t>aration between church and state</w:t>
      </w:r>
      <w:r w:rsidR="00F13A0F">
        <w:rPr>
          <w:rFonts w:asciiTheme="majorBidi" w:hAnsiTheme="majorBidi" w:cstheme="majorBidi"/>
          <w:iCs/>
          <w:sz w:val="24"/>
          <w:szCs w:val="24"/>
        </w:rPr>
        <w:t xml:space="preserve">, many atheist and humanist groups have </w:t>
      </w:r>
      <w:r w:rsidR="006716C4">
        <w:rPr>
          <w:rFonts w:asciiTheme="majorBidi" w:hAnsiTheme="majorBidi" w:cstheme="majorBidi"/>
          <w:iCs/>
          <w:sz w:val="24"/>
          <w:szCs w:val="24"/>
        </w:rPr>
        <w:t>claimed</w:t>
      </w:r>
      <w:r w:rsidR="00F13A0F">
        <w:rPr>
          <w:rFonts w:asciiTheme="majorBidi" w:hAnsiTheme="majorBidi" w:cstheme="majorBidi"/>
          <w:iCs/>
          <w:sz w:val="24"/>
          <w:szCs w:val="24"/>
        </w:rPr>
        <w:t xml:space="preserve"> that</w:t>
      </w:r>
      <w:r w:rsidR="006B3C9B">
        <w:rPr>
          <w:rFonts w:asciiTheme="majorBidi" w:hAnsiTheme="majorBidi" w:cstheme="majorBidi"/>
          <w:iCs/>
          <w:sz w:val="24"/>
          <w:szCs w:val="24"/>
        </w:rPr>
        <w:t xml:space="preserve"> the United States was founded on a secular national identity and that even mild accommodations of religion in the public sphere are suspect at best.</w:t>
      </w:r>
      <w:r w:rsidR="007A0920">
        <w:rPr>
          <w:rFonts w:asciiTheme="majorBidi" w:hAnsiTheme="majorBidi" w:cstheme="majorBidi"/>
          <w:iCs/>
          <w:sz w:val="24"/>
          <w:szCs w:val="24"/>
        </w:rPr>
        <w:t xml:space="preserve"> </w:t>
      </w:r>
      <w:r w:rsidR="00974076">
        <w:rPr>
          <w:rFonts w:asciiTheme="majorBidi" w:hAnsiTheme="majorBidi" w:cstheme="majorBidi"/>
          <w:iCs/>
          <w:sz w:val="24"/>
          <w:szCs w:val="24"/>
        </w:rPr>
        <w:t>This</w:t>
      </w:r>
      <w:r w:rsidR="007A0920">
        <w:rPr>
          <w:rFonts w:asciiTheme="majorBidi" w:hAnsiTheme="majorBidi" w:cstheme="majorBidi"/>
          <w:iCs/>
          <w:sz w:val="24"/>
          <w:szCs w:val="24"/>
        </w:rPr>
        <w:t xml:space="preserve"> has led to differences among the two coalitions concerning constitutional issues such as </w:t>
      </w:r>
      <w:r w:rsidR="00845414">
        <w:rPr>
          <w:rFonts w:asciiTheme="majorBidi" w:hAnsiTheme="majorBidi" w:cstheme="majorBidi"/>
          <w:iCs/>
          <w:sz w:val="24"/>
          <w:szCs w:val="24"/>
        </w:rPr>
        <w:t xml:space="preserve">the </w:t>
      </w:r>
      <w:r w:rsidR="007A0920">
        <w:rPr>
          <w:rFonts w:asciiTheme="majorBidi" w:hAnsiTheme="majorBidi" w:cstheme="majorBidi"/>
          <w:iCs/>
          <w:sz w:val="24"/>
          <w:szCs w:val="24"/>
        </w:rPr>
        <w:t xml:space="preserve">ministerial </w:t>
      </w:r>
      <w:r w:rsidR="00845414">
        <w:rPr>
          <w:rFonts w:asciiTheme="majorBidi" w:hAnsiTheme="majorBidi" w:cstheme="majorBidi"/>
          <w:iCs/>
          <w:sz w:val="24"/>
          <w:szCs w:val="24"/>
        </w:rPr>
        <w:t>exception</w:t>
      </w:r>
      <w:r w:rsidR="007A0920">
        <w:rPr>
          <w:rFonts w:asciiTheme="majorBidi" w:hAnsiTheme="majorBidi" w:cstheme="majorBidi"/>
          <w:iCs/>
          <w:sz w:val="24"/>
          <w:szCs w:val="24"/>
        </w:rPr>
        <w:t xml:space="preserve"> to the ADA as well as views on legislative prayer.</w:t>
      </w:r>
      <w:r w:rsidR="007A0920">
        <w:rPr>
          <w:rStyle w:val="FootnoteReference"/>
          <w:rFonts w:asciiTheme="majorBidi" w:hAnsiTheme="majorBidi" w:cstheme="majorBidi"/>
          <w:iCs/>
          <w:sz w:val="24"/>
          <w:szCs w:val="24"/>
        </w:rPr>
        <w:footnoteReference w:id="9"/>
      </w:r>
      <w:r w:rsidR="006B3C9B">
        <w:rPr>
          <w:rFonts w:asciiTheme="majorBidi" w:hAnsiTheme="majorBidi" w:cstheme="majorBidi"/>
          <w:iCs/>
          <w:sz w:val="24"/>
          <w:szCs w:val="24"/>
        </w:rPr>
        <w:t xml:space="preserve"> </w:t>
      </w:r>
      <w:r w:rsidR="00F13A0F">
        <w:rPr>
          <w:rFonts w:asciiTheme="majorBidi" w:hAnsiTheme="majorBidi" w:cstheme="majorBidi"/>
          <w:iCs/>
          <w:sz w:val="24"/>
          <w:szCs w:val="24"/>
        </w:rPr>
        <w:t xml:space="preserve">In this rest of this paper, I hope to substantiate these arguments by tracing the historical developments of these secular factions </w:t>
      </w:r>
      <w:r w:rsidR="006B3C9B">
        <w:rPr>
          <w:rFonts w:asciiTheme="majorBidi" w:hAnsiTheme="majorBidi" w:cstheme="majorBidi"/>
          <w:iCs/>
          <w:sz w:val="24"/>
          <w:szCs w:val="24"/>
        </w:rPr>
        <w:t>and observing how these differences in foundation and principles have affected constitutional development and what they mean for the future of American separationist political movements.</w:t>
      </w:r>
    </w:p>
    <w:p w14:paraId="12D27573" w14:textId="77777777" w:rsidR="006716C4" w:rsidRDefault="006716C4" w:rsidP="00832F52">
      <w:pPr>
        <w:spacing w:line="480" w:lineRule="auto"/>
        <w:contextualSpacing/>
        <w:rPr>
          <w:rFonts w:asciiTheme="majorBidi" w:hAnsiTheme="majorBidi" w:cstheme="majorBidi"/>
          <w:b/>
          <w:bCs/>
          <w:sz w:val="24"/>
          <w:szCs w:val="24"/>
        </w:rPr>
      </w:pPr>
    </w:p>
    <w:p w14:paraId="273C08C8" w14:textId="36F800AD" w:rsidR="003914E4" w:rsidRPr="009C67F3" w:rsidRDefault="002354AC" w:rsidP="00832F52">
      <w:pPr>
        <w:spacing w:line="480" w:lineRule="auto"/>
        <w:contextualSpacing/>
        <w:rPr>
          <w:rFonts w:asciiTheme="majorBidi" w:hAnsiTheme="majorBidi" w:cstheme="majorBidi"/>
          <w:iCs/>
          <w:sz w:val="24"/>
          <w:szCs w:val="24"/>
        </w:rPr>
      </w:pPr>
      <w:r>
        <w:rPr>
          <w:rFonts w:asciiTheme="majorBidi" w:hAnsiTheme="majorBidi" w:cstheme="majorBidi"/>
          <w:b/>
          <w:bCs/>
          <w:sz w:val="24"/>
          <w:szCs w:val="24"/>
        </w:rPr>
        <w:t xml:space="preserve">Origins of the Old and </w:t>
      </w:r>
      <w:r w:rsidR="0070714D" w:rsidRPr="0070714D">
        <w:rPr>
          <w:rFonts w:asciiTheme="majorBidi" w:hAnsiTheme="majorBidi" w:cstheme="majorBidi"/>
          <w:b/>
          <w:bCs/>
          <w:sz w:val="24"/>
          <w:szCs w:val="24"/>
        </w:rPr>
        <w:t xml:space="preserve">New </w:t>
      </w:r>
      <w:r w:rsidR="001E5E23">
        <w:rPr>
          <w:rFonts w:asciiTheme="majorBidi" w:hAnsiTheme="majorBidi" w:cstheme="majorBidi"/>
          <w:b/>
          <w:bCs/>
          <w:sz w:val="24"/>
          <w:szCs w:val="24"/>
        </w:rPr>
        <w:t>Separationist</w:t>
      </w:r>
      <w:r w:rsidR="0070714D" w:rsidRPr="0070714D">
        <w:rPr>
          <w:rFonts w:asciiTheme="majorBidi" w:hAnsiTheme="majorBidi" w:cstheme="majorBidi"/>
          <w:b/>
          <w:bCs/>
          <w:sz w:val="24"/>
          <w:szCs w:val="24"/>
        </w:rPr>
        <w:t xml:space="preserve"> Coalitions</w:t>
      </w:r>
    </w:p>
    <w:p w14:paraId="45299F39" w14:textId="562CDD5D" w:rsidR="0070714D" w:rsidRDefault="0070714D" w:rsidP="002B3422">
      <w:pPr>
        <w:spacing w:line="480" w:lineRule="auto"/>
        <w:contextualSpacing/>
        <w:rPr>
          <w:rFonts w:asciiTheme="majorBidi" w:hAnsiTheme="majorBidi" w:cstheme="majorBidi"/>
          <w:sz w:val="24"/>
          <w:szCs w:val="24"/>
        </w:rPr>
      </w:pPr>
      <w:r>
        <w:rPr>
          <w:rFonts w:asciiTheme="majorBidi" w:hAnsiTheme="majorBidi" w:cstheme="majorBidi"/>
          <w:sz w:val="24"/>
          <w:szCs w:val="24"/>
        </w:rPr>
        <w:lastRenderedPageBreak/>
        <w:tab/>
      </w:r>
      <w:r w:rsidR="003622E6">
        <w:rPr>
          <w:rFonts w:asciiTheme="majorBidi" w:hAnsiTheme="majorBidi" w:cstheme="majorBidi"/>
          <w:sz w:val="24"/>
          <w:szCs w:val="24"/>
        </w:rPr>
        <w:t>Although the</w:t>
      </w:r>
      <w:r w:rsidR="00994DBD">
        <w:rPr>
          <w:rFonts w:asciiTheme="majorBidi" w:hAnsiTheme="majorBidi" w:cstheme="majorBidi"/>
          <w:sz w:val="24"/>
          <w:szCs w:val="24"/>
        </w:rPr>
        <w:t xml:space="preserve"> </w:t>
      </w:r>
      <w:r w:rsidR="001E5E23">
        <w:rPr>
          <w:rFonts w:asciiTheme="majorBidi" w:hAnsiTheme="majorBidi" w:cstheme="majorBidi"/>
          <w:sz w:val="24"/>
          <w:szCs w:val="24"/>
        </w:rPr>
        <w:t>separationist</w:t>
      </w:r>
      <w:r w:rsidR="00994DBD">
        <w:rPr>
          <w:rFonts w:asciiTheme="majorBidi" w:hAnsiTheme="majorBidi" w:cstheme="majorBidi"/>
          <w:sz w:val="24"/>
          <w:szCs w:val="24"/>
        </w:rPr>
        <w:t xml:space="preserve"> litigation orchestrated by the</w:t>
      </w:r>
      <w:r w:rsidR="003622E6">
        <w:rPr>
          <w:rFonts w:asciiTheme="majorBidi" w:hAnsiTheme="majorBidi" w:cstheme="majorBidi"/>
          <w:sz w:val="24"/>
          <w:szCs w:val="24"/>
        </w:rPr>
        <w:t xml:space="preserve"> ACLU is </w:t>
      </w:r>
      <w:r w:rsidR="00F35BE8">
        <w:rPr>
          <w:rFonts w:asciiTheme="majorBidi" w:hAnsiTheme="majorBidi" w:cstheme="majorBidi"/>
          <w:sz w:val="24"/>
          <w:szCs w:val="24"/>
        </w:rPr>
        <w:t>often</w:t>
      </w:r>
      <w:r w:rsidR="003622E6">
        <w:rPr>
          <w:rFonts w:asciiTheme="majorBidi" w:hAnsiTheme="majorBidi" w:cstheme="majorBidi"/>
          <w:sz w:val="24"/>
          <w:szCs w:val="24"/>
        </w:rPr>
        <w:t xml:space="preserve"> associated with </w:t>
      </w:r>
      <w:r w:rsidR="00AF6511">
        <w:rPr>
          <w:rFonts w:asciiTheme="majorBidi" w:hAnsiTheme="majorBidi" w:cstheme="majorBidi"/>
          <w:sz w:val="24"/>
          <w:szCs w:val="24"/>
        </w:rPr>
        <w:t xml:space="preserve">a </w:t>
      </w:r>
      <w:r w:rsidR="003622E6">
        <w:rPr>
          <w:rFonts w:asciiTheme="majorBidi" w:hAnsiTheme="majorBidi" w:cstheme="majorBidi"/>
          <w:sz w:val="24"/>
          <w:szCs w:val="24"/>
        </w:rPr>
        <w:t xml:space="preserve">hostile </w:t>
      </w:r>
      <w:r w:rsidR="00AF6511">
        <w:rPr>
          <w:rFonts w:asciiTheme="majorBidi" w:hAnsiTheme="majorBidi" w:cstheme="majorBidi"/>
          <w:sz w:val="24"/>
          <w:szCs w:val="24"/>
        </w:rPr>
        <w:t>attitude</w:t>
      </w:r>
      <w:r w:rsidR="003622E6">
        <w:rPr>
          <w:rFonts w:asciiTheme="majorBidi" w:hAnsiTheme="majorBidi" w:cstheme="majorBidi"/>
          <w:sz w:val="24"/>
          <w:szCs w:val="24"/>
        </w:rPr>
        <w:t xml:space="preserve"> toward religion, </w:t>
      </w:r>
      <w:r w:rsidR="00994DBD">
        <w:rPr>
          <w:rFonts w:asciiTheme="majorBidi" w:hAnsiTheme="majorBidi" w:cstheme="majorBidi"/>
          <w:sz w:val="24"/>
          <w:szCs w:val="24"/>
        </w:rPr>
        <w:t>the organization’s</w:t>
      </w:r>
      <w:r w:rsidR="003622E6">
        <w:rPr>
          <w:rFonts w:asciiTheme="majorBidi" w:hAnsiTheme="majorBidi" w:cstheme="majorBidi"/>
          <w:sz w:val="24"/>
          <w:szCs w:val="24"/>
        </w:rPr>
        <w:t xml:space="preserve"> history and partnerships with a diverse array of religious</w:t>
      </w:r>
      <w:r w:rsidR="00AF6511">
        <w:rPr>
          <w:rFonts w:asciiTheme="majorBidi" w:hAnsiTheme="majorBidi" w:cstheme="majorBidi"/>
          <w:sz w:val="24"/>
          <w:szCs w:val="24"/>
        </w:rPr>
        <w:t xml:space="preserve"> groups tells a different story (Walker</w:t>
      </w:r>
      <w:r w:rsidR="00555213">
        <w:rPr>
          <w:rFonts w:asciiTheme="majorBidi" w:hAnsiTheme="majorBidi" w:cstheme="majorBidi"/>
          <w:sz w:val="24"/>
          <w:szCs w:val="24"/>
        </w:rPr>
        <w:t>,</w:t>
      </w:r>
      <w:r w:rsidR="00AF6511">
        <w:rPr>
          <w:rFonts w:asciiTheme="majorBidi" w:hAnsiTheme="majorBidi" w:cstheme="majorBidi"/>
          <w:sz w:val="24"/>
          <w:szCs w:val="24"/>
        </w:rPr>
        <w:t xml:space="preserve"> 1999).</w:t>
      </w:r>
      <w:r w:rsidR="003622E6">
        <w:rPr>
          <w:rFonts w:asciiTheme="majorBidi" w:hAnsiTheme="majorBidi" w:cstheme="majorBidi"/>
          <w:sz w:val="24"/>
          <w:szCs w:val="24"/>
        </w:rPr>
        <w:t xml:space="preserve"> </w:t>
      </w:r>
      <w:r w:rsidR="00C054D5">
        <w:rPr>
          <w:rFonts w:asciiTheme="majorBidi" w:hAnsiTheme="majorBidi" w:cstheme="majorBidi"/>
          <w:sz w:val="24"/>
          <w:szCs w:val="24"/>
        </w:rPr>
        <w:t xml:space="preserve">As Sarah </w:t>
      </w:r>
      <w:proofErr w:type="spellStart"/>
      <w:r w:rsidR="00C054D5">
        <w:rPr>
          <w:rFonts w:asciiTheme="majorBidi" w:hAnsiTheme="majorBidi" w:cstheme="majorBidi"/>
          <w:sz w:val="24"/>
          <w:szCs w:val="24"/>
        </w:rPr>
        <w:t>Barringer</w:t>
      </w:r>
      <w:proofErr w:type="spellEnd"/>
      <w:r w:rsidR="00C054D5">
        <w:rPr>
          <w:rFonts w:asciiTheme="majorBidi" w:hAnsiTheme="majorBidi" w:cstheme="majorBidi"/>
          <w:sz w:val="24"/>
          <w:szCs w:val="24"/>
        </w:rPr>
        <w:t xml:space="preserve"> Gordon (2010)</w:t>
      </w:r>
      <w:r w:rsidR="00CC529C">
        <w:rPr>
          <w:rFonts w:asciiTheme="majorBidi" w:hAnsiTheme="majorBidi" w:cstheme="majorBidi"/>
          <w:sz w:val="24"/>
          <w:szCs w:val="24"/>
        </w:rPr>
        <w:t xml:space="preserve"> </w:t>
      </w:r>
      <w:r w:rsidR="006154D5">
        <w:rPr>
          <w:rFonts w:asciiTheme="majorBidi" w:hAnsiTheme="majorBidi" w:cstheme="majorBidi"/>
          <w:sz w:val="24"/>
          <w:szCs w:val="24"/>
        </w:rPr>
        <w:t>documents, the ACLU has</w:t>
      </w:r>
      <w:r w:rsidR="002D1179">
        <w:rPr>
          <w:rFonts w:asciiTheme="majorBidi" w:hAnsiTheme="majorBidi" w:cstheme="majorBidi"/>
          <w:sz w:val="24"/>
          <w:szCs w:val="24"/>
        </w:rPr>
        <w:t xml:space="preserve"> consistently aligned itself with religious organizations</w:t>
      </w:r>
      <w:r w:rsidR="00663D91">
        <w:rPr>
          <w:rFonts w:asciiTheme="majorBidi" w:hAnsiTheme="majorBidi" w:cstheme="majorBidi"/>
          <w:sz w:val="24"/>
          <w:szCs w:val="24"/>
        </w:rPr>
        <w:t>, most notably</w:t>
      </w:r>
      <w:r w:rsidR="002D1179">
        <w:rPr>
          <w:rFonts w:asciiTheme="majorBidi" w:hAnsiTheme="majorBidi" w:cstheme="majorBidi"/>
          <w:sz w:val="24"/>
          <w:szCs w:val="24"/>
        </w:rPr>
        <w:t xml:space="preserve"> Protestants and Other Americans United for the Sepa</w:t>
      </w:r>
      <w:r w:rsidR="00883718">
        <w:rPr>
          <w:rFonts w:asciiTheme="majorBidi" w:hAnsiTheme="majorBidi" w:cstheme="majorBidi"/>
          <w:sz w:val="24"/>
          <w:szCs w:val="24"/>
        </w:rPr>
        <w:t>ration of Church and State (POAU)</w:t>
      </w:r>
      <w:r w:rsidR="002D1179">
        <w:rPr>
          <w:rFonts w:asciiTheme="majorBidi" w:hAnsiTheme="majorBidi" w:cstheme="majorBidi"/>
          <w:sz w:val="24"/>
          <w:szCs w:val="24"/>
        </w:rPr>
        <w:t xml:space="preserve"> as well as the American Jewish Committee. </w:t>
      </w:r>
      <w:r w:rsidR="000C7E85">
        <w:rPr>
          <w:rFonts w:asciiTheme="majorBidi" w:hAnsiTheme="majorBidi" w:cstheme="majorBidi"/>
          <w:sz w:val="24"/>
          <w:szCs w:val="24"/>
        </w:rPr>
        <w:t>Beginning in the 19</w:t>
      </w:r>
      <w:r w:rsidR="00AE1D2D">
        <w:rPr>
          <w:rFonts w:asciiTheme="majorBidi" w:hAnsiTheme="majorBidi" w:cstheme="majorBidi"/>
          <w:sz w:val="24"/>
          <w:szCs w:val="24"/>
        </w:rPr>
        <w:t>3</w:t>
      </w:r>
      <w:r w:rsidR="000C7E85">
        <w:rPr>
          <w:rFonts w:asciiTheme="majorBidi" w:hAnsiTheme="majorBidi" w:cstheme="majorBidi"/>
          <w:sz w:val="24"/>
          <w:szCs w:val="24"/>
        </w:rPr>
        <w:t xml:space="preserve">0s, this alliance was forged by combining the ACLU’s secular mission with the POAU’s desire to defend religious liberty by restraining the government from interfering with or endorsing any particular sect. The old coalition’s concerns with sectarianism developed as the organizations waged legal battles with Catholics who they accused of holding many public schools “captive” </w:t>
      </w:r>
      <w:r w:rsidR="00AE1D2D">
        <w:rPr>
          <w:rFonts w:asciiTheme="majorBidi" w:hAnsiTheme="majorBidi" w:cstheme="majorBidi"/>
          <w:sz w:val="24"/>
          <w:szCs w:val="24"/>
        </w:rPr>
        <w:t>by employing</w:t>
      </w:r>
      <w:r w:rsidR="000C7E85">
        <w:rPr>
          <w:rFonts w:asciiTheme="majorBidi" w:hAnsiTheme="majorBidi" w:cstheme="majorBidi"/>
          <w:sz w:val="24"/>
          <w:szCs w:val="24"/>
        </w:rPr>
        <w:t xml:space="preserve"> faculty comprised of priests and nuns who </w:t>
      </w:r>
      <w:r w:rsidR="00AE1D2D">
        <w:rPr>
          <w:rFonts w:asciiTheme="majorBidi" w:hAnsiTheme="majorBidi" w:cstheme="majorBidi"/>
          <w:sz w:val="24"/>
          <w:szCs w:val="24"/>
        </w:rPr>
        <w:t xml:space="preserve">taught </w:t>
      </w:r>
      <w:r w:rsidR="000C7E85">
        <w:rPr>
          <w:rFonts w:asciiTheme="majorBidi" w:hAnsiTheme="majorBidi" w:cstheme="majorBidi"/>
          <w:sz w:val="24"/>
          <w:szCs w:val="24"/>
        </w:rPr>
        <w:t>dogma and Cat</w:t>
      </w:r>
      <w:r w:rsidR="00884AC2">
        <w:rPr>
          <w:rFonts w:asciiTheme="majorBidi" w:hAnsiTheme="majorBidi" w:cstheme="majorBidi"/>
          <w:sz w:val="24"/>
          <w:szCs w:val="24"/>
        </w:rPr>
        <w:t>holic prayer to their students (</w:t>
      </w:r>
      <w:proofErr w:type="spellStart"/>
      <w:r w:rsidR="00884AC2">
        <w:rPr>
          <w:rFonts w:asciiTheme="majorBidi" w:hAnsiTheme="majorBidi" w:cstheme="majorBidi"/>
          <w:sz w:val="24"/>
          <w:szCs w:val="24"/>
        </w:rPr>
        <w:t>Kersch</w:t>
      </w:r>
      <w:proofErr w:type="spellEnd"/>
      <w:r w:rsidR="00555213">
        <w:rPr>
          <w:rFonts w:asciiTheme="majorBidi" w:hAnsiTheme="majorBidi" w:cstheme="majorBidi"/>
          <w:sz w:val="24"/>
          <w:szCs w:val="24"/>
        </w:rPr>
        <w:t>,</w:t>
      </w:r>
      <w:r w:rsidR="00884AC2">
        <w:rPr>
          <w:rFonts w:asciiTheme="majorBidi" w:hAnsiTheme="majorBidi" w:cstheme="majorBidi"/>
          <w:sz w:val="24"/>
          <w:szCs w:val="24"/>
        </w:rPr>
        <w:t xml:space="preserve"> 2005).</w:t>
      </w:r>
      <w:r w:rsidR="008663D6">
        <w:rPr>
          <w:rFonts w:asciiTheme="majorBidi" w:hAnsiTheme="majorBidi" w:cstheme="majorBidi"/>
          <w:sz w:val="24"/>
          <w:szCs w:val="24"/>
        </w:rPr>
        <w:t xml:space="preserve"> </w:t>
      </w:r>
      <w:r w:rsidR="008E1B70">
        <w:rPr>
          <w:rFonts w:asciiTheme="majorBidi" w:hAnsiTheme="majorBidi" w:cstheme="majorBidi"/>
          <w:sz w:val="24"/>
          <w:szCs w:val="24"/>
        </w:rPr>
        <w:t>General u</w:t>
      </w:r>
      <w:r w:rsidR="00B02EF5">
        <w:rPr>
          <w:rFonts w:asciiTheme="majorBidi" w:hAnsiTheme="majorBidi" w:cstheme="majorBidi"/>
          <w:sz w:val="24"/>
          <w:szCs w:val="24"/>
        </w:rPr>
        <w:t>neasiness with</w:t>
      </w:r>
      <w:r w:rsidR="00FE2E40">
        <w:rPr>
          <w:rFonts w:asciiTheme="majorBidi" w:hAnsiTheme="majorBidi" w:cstheme="majorBidi"/>
          <w:sz w:val="24"/>
          <w:szCs w:val="24"/>
        </w:rPr>
        <w:t xml:space="preserve"> the relation</w:t>
      </w:r>
      <w:r w:rsidR="00B02EF5">
        <w:rPr>
          <w:rFonts w:asciiTheme="majorBidi" w:hAnsiTheme="majorBidi" w:cstheme="majorBidi"/>
          <w:sz w:val="24"/>
          <w:szCs w:val="24"/>
        </w:rPr>
        <w:t>ship</w:t>
      </w:r>
      <w:r w:rsidR="00FE2E40">
        <w:rPr>
          <w:rFonts w:asciiTheme="majorBidi" w:hAnsiTheme="majorBidi" w:cstheme="majorBidi"/>
          <w:sz w:val="24"/>
          <w:szCs w:val="24"/>
        </w:rPr>
        <w:t xml:space="preserve"> between Catholicism and the public education system </w:t>
      </w:r>
      <w:r w:rsidR="008E1B70">
        <w:rPr>
          <w:rFonts w:asciiTheme="majorBidi" w:hAnsiTheme="majorBidi" w:cstheme="majorBidi"/>
          <w:sz w:val="24"/>
          <w:szCs w:val="24"/>
        </w:rPr>
        <w:t>was</w:t>
      </w:r>
      <w:r w:rsidR="00FE2E40">
        <w:rPr>
          <w:rFonts w:asciiTheme="majorBidi" w:hAnsiTheme="majorBidi" w:cstheme="majorBidi"/>
          <w:sz w:val="24"/>
          <w:szCs w:val="24"/>
        </w:rPr>
        <w:t xml:space="preserve"> so prevalent that the coalition </w:t>
      </w:r>
      <w:r w:rsidR="002B3422">
        <w:rPr>
          <w:rFonts w:asciiTheme="majorBidi" w:hAnsiTheme="majorBidi" w:cstheme="majorBidi"/>
          <w:sz w:val="24"/>
          <w:szCs w:val="24"/>
        </w:rPr>
        <w:t>was able to push the Court to incorporate the establishment clause in the Catholic school and public busing case</w:t>
      </w:r>
      <w:r w:rsidR="00FE2E40" w:rsidRPr="00FE2E40">
        <w:rPr>
          <w:rFonts w:asciiTheme="majorBidi" w:hAnsiTheme="majorBidi" w:cstheme="majorBidi"/>
          <w:i/>
          <w:iCs/>
          <w:color w:val="000000"/>
          <w:sz w:val="24"/>
          <w:szCs w:val="24"/>
          <w:shd w:val="clear" w:color="auto" w:fill="FFFFFF"/>
        </w:rPr>
        <w:t xml:space="preserve"> Everson v. Board of Education</w:t>
      </w:r>
      <w:r w:rsidR="00FE2E40" w:rsidRPr="00FE2E40">
        <w:rPr>
          <w:rFonts w:asciiTheme="majorBidi" w:hAnsiTheme="majorBidi" w:cstheme="majorBidi"/>
          <w:color w:val="000000"/>
          <w:sz w:val="24"/>
          <w:szCs w:val="24"/>
          <w:shd w:val="clear" w:color="auto" w:fill="FFFFFF"/>
        </w:rPr>
        <w:t xml:space="preserve">, 330 U.S. 1 </w:t>
      </w:r>
      <w:r w:rsidR="002B3422">
        <w:rPr>
          <w:rFonts w:asciiTheme="majorBidi" w:hAnsiTheme="majorBidi" w:cstheme="majorBidi"/>
          <w:color w:val="000000"/>
          <w:sz w:val="24"/>
          <w:szCs w:val="24"/>
          <w:shd w:val="clear" w:color="auto" w:fill="FFFFFF"/>
        </w:rPr>
        <w:t>(1947).</w:t>
      </w:r>
      <w:r w:rsidR="00325635">
        <w:rPr>
          <w:rStyle w:val="FootnoteReference"/>
          <w:rFonts w:asciiTheme="majorBidi" w:hAnsiTheme="majorBidi" w:cstheme="majorBidi"/>
          <w:color w:val="000000"/>
          <w:sz w:val="24"/>
          <w:szCs w:val="24"/>
          <w:shd w:val="clear" w:color="auto" w:fill="FFFFFF"/>
        </w:rPr>
        <w:footnoteReference w:id="10"/>
      </w:r>
      <w:r w:rsidR="00FE2E40">
        <w:rPr>
          <w:rFonts w:asciiTheme="majorBidi" w:hAnsiTheme="majorBidi" w:cstheme="majorBidi"/>
          <w:color w:val="000000"/>
          <w:sz w:val="24"/>
          <w:szCs w:val="24"/>
          <w:shd w:val="clear" w:color="auto" w:fill="FFFFFF"/>
        </w:rPr>
        <w:t xml:space="preserve"> </w:t>
      </w:r>
      <w:r w:rsidR="00884AC2" w:rsidRPr="00FE2E40">
        <w:rPr>
          <w:rFonts w:asciiTheme="majorBidi" w:hAnsiTheme="majorBidi" w:cstheme="majorBidi"/>
          <w:sz w:val="24"/>
          <w:szCs w:val="24"/>
        </w:rPr>
        <w:t xml:space="preserve">Even as anti-Catholicism </w:t>
      </w:r>
      <w:r w:rsidR="00883718">
        <w:rPr>
          <w:rFonts w:asciiTheme="majorBidi" w:hAnsiTheme="majorBidi" w:cstheme="majorBidi"/>
          <w:sz w:val="24"/>
          <w:szCs w:val="24"/>
        </w:rPr>
        <w:t xml:space="preserve">began to wane in the </w:t>
      </w:r>
      <w:r w:rsidR="00884AC2" w:rsidRPr="00FE2E40">
        <w:rPr>
          <w:rFonts w:asciiTheme="majorBidi" w:hAnsiTheme="majorBidi" w:cstheme="majorBidi"/>
          <w:sz w:val="24"/>
          <w:szCs w:val="24"/>
        </w:rPr>
        <w:t xml:space="preserve">1960s, this alliance </w:t>
      </w:r>
      <w:r w:rsidR="00C1786E" w:rsidRPr="00FE2E40">
        <w:rPr>
          <w:rFonts w:asciiTheme="majorBidi" w:hAnsiTheme="majorBidi" w:cstheme="majorBidi"/>
          <w:sz w:val="24"/>
          <w:szCs w:val="24"/>
        </w:rPr>
        <w:t>has remained</w:t>
      </w:r>
      <w:r w:rsidR="00884AC2" w:rsidRPr="00FE2E40">
        <w:rPr>
          <w:rFonts w:asciiTheme="majorBidi" w:hAnsiTheme="majorBidi" w:cstheme="majorBidi"/>
          <w:sz w:val="24"/>
          <w:szCs w:val="24"/>
        </w:rPr>
        <w:t xml:space="preserve"> focused on </w:t>
      </w:r>
      <w:r w:rsidR="00C3747B">
        <w:rPr>
          <w:rFonts w:asciiTheme="majorBidi" w:hAnsiTheme="majorBidi" w:cstheme="majorBidi"/>
          <w:sz w:val="24"/>
          <w:szCs w:val="24"/>
        </w:rPr>
        <w:t xml:space="preserve">what the POAU coined as </w:t>
      </w:r>
      <w:r w:rsidR="00884AC2" w:rsidRPr="00FE2E40">
        <w:rPr>
          <w:rFonts w:asciiTheme="majorBidi" w:hAnsiTheme="majorBidi" w:cstheme="majorBidi"/>
          <w:sz w:val="24"/>
          <w:szCs w:val="24"/>
        </w:rPr>
        <w:t>“pervasive sectarianism</w:t>
      </w:r>
      <w:r w:rsidR="00883718">
        <w:rPr>
          <w:rFonts w:asciiTheme="majorBidi" w:hAnsiTheme="majorBidi" w:cstheme="majorBidi"/>
          <w:sz w:val="24"/>
          <w:szCs w:val="24"/>
        </w:rPr>
        <w:t>,</w:t>
      </w:r>
      <w:r w:rsidR="00884AC2" w:rsidRPr="00FE2E40">
        <w:rPr>
          <w:rFonts w:asciiTheme="majorBidi" w:hAnsiTheme="majorBidi" w:cstheme="majorBidi"/>
          <w:sz w:val="24"/>
          <w:szCs w:val="24"/>
        </w:rPr>
        <w:t>”</w:t>
      </w:r>
      <w:r w:rsidR="00883718">
        <w:rPr>
          <w:rFonts w:asciiTheme="majorBidi" w:hAnsiTheme="majorBidi" w:cstheme="majorBidi"/>
          <w:sz w:val="24"/>
          <w:szCs w:val="24"/>
        </w:rPr>
        <w:t xml:space="preserve"> i.e. public institutions run as de facto religious enterprises</w:t>
      </w:r>
      <w:r w:rsidR="00884AC2">
        <w:rPr>
          <w:rFonts w:asciiTheme="majorBidi" w:hAnsiTheme="majorBidi" w:cstheme="majorBidi"/>
          <w:sz w:val="24"/>
          <w:szCs w:val="24"/>
        </w:rPr>
        <w:t xml:space="preserve"> (Gordon</w:t>
      </w:r>
      <w:r w:rsidR="00CC3812">
        <w:rPr>
          <w:rFonts w:asciiTheme="majorBidi" w:hAnsiTheme="majorBidi" w:cstheme="majorBidi"/>
          <w:sz w:val="24"/>
          <w:szCs w:val="24"/>
        </w:rPr>
        <w:t>,</w:t>
      </w:r>
      <w:r w:rsidR="00884AC2">
        <w:rPr>
          <w:rFonts w:asciiTheme="majorBidi" w:hAnsiTheme="majorBidi" w:cstheme="majorBidi"/>
          <w:sz w:val="24"/>
          <w:szCs w:val="24"/>
        </w:rPr>
        <w:t xml:space="preserve"> 2010, </w:t>
      </w:r>
      <w:r w:rsidR="00CC3812">
        <w:rPr>
          <w:rFonts w:asciiTheme="majorBidi" w:hAnsiTheme="majorBidi" w:cstheme="majorBidi"/>
          <w:sz w:val="24"/>
          <w:szCs w:val="24"/>
        </w:rPr>
        <w:t>p.</w:t>
      </w:r>
      <w:r w:rsidR="00884AC2">
        <w:rPr>
          <w:rFonts w:asciiTheme="majorBidi" w:hAnsiTheme="majorBidi" w:cstheme="majorBidi"/>
          <w:sz w:val="24"/>
          <w:szCs w:val="24"/>
        </w:rPr>
        <w:t>93</w:t>
      </w:r>
      <w:r w:rsidR="00333C71">
        <w:rPr>
          <w:rFonts w:asciiTheme="majorBidi" w:hAnsiTheme="majorBidi" w:cstheme="majorBidi"/>
          <w:sz w:val="24"/>
          <w:szCs w:val="24"/>
        </w:rPr>
        <w:t>)</w:t>
      </w:r>
      <w:r w:rsidR="00B02EF5">
        <w:rPr>
          <w:rFonts w:asciiTheme="majorBidi" w:hAnsiTheme="majorBidi" w:cstheme="majorBidi"/>
          <w:sz w:val="24"/>
          <w:szCs w:val="24"/>
        </w:rPr>
        <w:t xml:space="preserve">. This focus has given </w:t>
      </w:r>
      <w:r w:rsidR="00333C71">
        <w:rPr>
          <w:rFonts w:asciiTheme="majorBidi" w:hAnsiTheme="majorBidi" w:cstheme="majorBidi"/>
          <w:sz w:val="24"/>
          <w:szCs w:val="24"/>
        </w:rPr>
        <w:t xml:space="preserve">the </w:t>
      </w:r>
      <w:r w:rsidR="00B02EF5">
        <w:rPr>
          <w:rFonts w:asciiTheme="majorBidi" w:hAnsiTheme="majorBidi" w:cstheme="majorBidi"/>
          <w:sz w:val="24"/>
          <w:szCs w:val="24"/>
        </w:rPr>
        <w:t xml:space="preserve">old </w:t>
      </w:r>
      <w:r w:rsidR="00333C71">
        <w:rPr>
          <w:rFonts w:asciiTheme="majorBidi" w:hAnsiTheme="majorBidi" w:cstheme="majorBidi"/>
          <w:sz w:val="24"/>
          <w:szCs w:val="24"/>
        </w:rPr>
        <w:t>coalition targets for litigation as well as a foundational principle from which to base its legal arguments in a variety of cases.</w:t>
      </w:r>
    </w:p>
    <w:p w14:paraId="68CE1AE2" w14:textId="018C9CF9" w:rsidR="00333C71" w:rsidRDefault="00333C71" w:rsidP="00004E73">
      <w:pPr>
        <w:spacing w:line="480" w:lineRule="auto"/>
        <w:contextualSpacing/>
        <w:rPr>
          <w:rFonts w:asciiTheme="majorBidi" w:hAnsiTheme="majorBidi" w:cstheme="majorBidi"/>
          <w:sz w:val="24"/>
          <w:szCs w:val="24"/>
        </w:rPr>
      </w:pPr>
      <w:r>
        <w:rPr>
          <w:rFonts w:asciiTheme="majorBidi" w:hAnsiTheme="majorBidi" w:cstheme="majorBidi"/>
          <w:sz w:val="24"/>
          <w:szCs w:val="24"/>
        </w:rPr>
        <w:tab/>
      </w:r>
      <w:r w:rsidR="00056E10">
        <w:rPr>
          <w:rFonts w:asciiTheme="majorBidi" w:hAnsiTheme="majorBidi" w:cstheme="majorBidi"/>
          <w:sz w:val="24"/>
          <w:szCs w:val="24"/>
        </w:rPr>
        <w:t xml:space="preserve">In addition to sectarian concerns, the old coalition has a long history of supporting the rights of religious minorities that has continued to inform its modern legal strategies. </w:t>
      </w:r>
      <w:r w:rsidR="00DD7886">
        <w:rPr>
          <w:rFonts w:asciiTheme="majorBidi" w:hAnsiTheme="majorBidi" w:cstheme="majorBidi"/>
          <w:sz w:val="24"/>
          <w:szCs w:val="24"/>
        </w:rPr>
        <w:t xml:space="preserve">The ACLU </w:t>
      </w:r>
      <w:r w:rsidR="00DD7886">
        <w:rPr>
          <w:rFonts w:asciiTheme="majorBidi" w:hAnsiTheme="majorBidi" w:cstheme="majorBidi"/>
          <w:sz w:val="24"/>
          <w:szCs w:val="24"/>
        </w:rPr>
        <w:lastRenderedPageBreak/>
        <w:t xml:space="preserve">in particular has been instrumental in litigating on behalf of marginalized and unpopular religious faiths since it took </w:t>
      </w:r>
      <w:r w:rsidR="004E5C27">
        <w:rPr>
          <w:rFonts w:asciiTheme="majorBidi" w:hAnsiTheme="majorBidi" w:cstheme="majorBidi"/>
          <w:sz w:val="24"/>
          <w:szCs w:val="24"/>
        </w:rPr>
        <w:t>on several cases</w:t>
      </w:r>
      <w:r w:rsidR="00DD7886">
        <w:rPr>
          <w:rFonts w:asciiTheme="majorBidi" w:hAnsiTheme="majorBidi" w:cstheme="majorBidi"/>
          <w:sz w:val="24"/>
          <w:szCs w:val="24"/>
        </w:rPr>
        <w:t xml:space="preserve"> defending Jehovah’s Witnesses in the 1940s. In landmark Supreme Court cases such as </w:t>
      </w:r>
      <w:r w:rsidR="00DD7886">
        <w:rPr>
          <w:rFonts w:asciiTheme="majorBidi" w:hAnsiTheme="majorBidi" w:cstheme="majorBidi"/>
          <w:i/>
          <w:iCs/>
          <w:sz w:val="24"/>
          <w:szCs w:val="24"/>
        </w:rPr>
        <w:t>Cantwell v. Connecticut</w:t>
      </w:r>
      <w:r w:rsidR="00DD7886" w:rsidRPr="00DD7886">
        <w:rPr>
          <w:rFonts w:asciiTheme="majorBidi" w:hAnsiTheme="majorBidi" w:cstheme="majorBidi"/>
          <w:sz w:val="24"/>
          <w:szCs w:val="24"/>
        </w:rPr>
        <w:t>,</w:t>
      </w:r>
      <w:r w:rsidR="00DD7886" w:rsidRPr="00DD7886">
        <w:rPr>
          <w:rFonts w:asciiTheme="majorBidi" w:hAnsiTheme="majorBidi" w:cstheme="majorBidi"/>
          <w:i/>
          <w:iCs/>
          <w:sz w:val="24"/>
          <w:szCs w:val="24"/>
        </w:rPr>
        <w:t xml:space="preserve"> </w:t>
      </w:r>
      <w:r w:rsidR="00DD7886" w:rsidRPr="00DD7886">
        <w:rPr>
          <w:rFonts w:asciiTheme="majorBidi" w:hAnsiTheme="majorBidi" w:cstheme="majorBidi"/>
          <w:sz w:val="24"/>
          <w:szCs w:val="24"/>
        </w:rPr>
        <w:t>310 U.S. 296 (1940)</w:t>
      </w:r>
      <w:r w:rsidR="004E5C27">
        <w:rPr>
          <w:rFonts w:asciiTheme="majorBidi" w:hAnsiTheme="majorBidi" w:cstheme="majorBidi"/>
          <w:sz w:val="24"/>
          <w:szCs w:val="24"/>
        </w:rPr>
        <w:t xml:space="preserve">, </w:t>
      </w:r>
      <w:r w:rsidR="004E5C27" w:rsidRPr="004E5C27">
        <w:rPr>
          <w:rFonts w:asciiTheme="majorBidi" w:hAnsiTheme="majorBidi" w:cstheme="majorBidi"/>
          <w:i/>
          <w:sz w:val="24"/>
          <w:szCs w:val="24"/>
        </w:rPr>
        <w:t xml:space="preserve">Minersville School District v. </w:t>
      </w:r>
      <w:proofErr w:type="spellStart"/>
      <w:r w:rsidR="004E5C27" w:rsidRPr="004E5C27">
        <w:rPr>
          <w:rFonts w:asciiTheme="majorBidi" w:hAnsiTheme="majorBidi" w:cstheme="majorBidi"/>
          <w:i/>
          <w:sz w:val="24"/>
          <w:szCs w:val="24"/>
        </w:rPr>
        <w:t>Gobitis</w:t>
      </w:r>
      <w:proofErr w:type="spellEnd"/>
      <w:r w:rsidR="004E5C27" w:rsidRPr="004E5C27">
        <w:rPr>
          <w:rFonts w:asciiTheme="majorBidi" w:hAnsiTheme="majorBidi" w:cstheme="majorBidi"/>
          <w:sz w:val="24"/>
          <w:szCs w:val="24"/>
        </w:rPr>
        <w:t>, 310 U.S. 586 (1940)</w:t>
      </w:r>
      <w:r w:rsidR="004E5C27">
        <w:rPr>
          <w:rFonts w:asciiTheme="majorBidi" w:hAnsiTheme="majorBidi" w:cstheme="majorBidi"/>
          <w:sz w:val="24"/>
          <w:szCs w:val="24"/>
        </w:rPr>
        <w:t>, and</w:t>
      </w:r>
      <w:r w:rsidR="00DD7886">
        <w:rPr>
          <w:rFonts w:asciiTheme="majorBidi" w:hAnsiTheme="majorBidi" w:cstheme="majorBidi"/>
          <w:i/>
          <w:iCs/>
          <w:sz w:val="24"/>
          <w:szCs w:val="24"/>
        </w:rPr>
        <w:t xml:space="preserve"> </w:t>
      </w:r>
      <w:r w:rsidR="004E5C27">
        <w:rPr>
          <w:rFonts w:asciiTheme="majorBidi" w:hAnsiTheme="majorBidi" w:cstheme="majorBidi"/>
          <w:i/>
          <w:iCs/>
          <w:sz w:val="24"/>
          <w:szCs w:val="24"/>
        </w:rPr>
        <w:t>W</w:t>
      </w:r>
      <w:r w:rsidR="000F257F" w:rsidRPr="000F257F">
        <w:rPr>
          <w:rFonts w:asciiTheme="majorBidi" w:hAnsiTheme="majorBidi" w:cstheme="majorBidi"/>
          <w:i/>
          <w:iCs/>
          <w:sz w:val="24"/>
          <w:szCs w:val="24"/>
        </w:rPr>
        <w:t xml:space="preserve">est Virginia State Board of Education v. Barnette, </w:t>
      </w:r>
      <w:r w:rsidR="00D352AB">
        <w:rPr>
          <w:rFonts w:asciiTheme="majorBidi" w:hAnsiTheme="majorBidi" w:cstheme="majorBidi"/>
          <w:sz w:val="24"/>
          <w:szCs w:val="24"/>
        </w:rPr>
        <w:t>319 U.S. 624 (1943)</w:t>
      </w:r>
      <w:r w:rsidR="001503AD" w:rsidRPr="00D352AB">
        <w:rPr>
          <w:rFonts w:asciiTheme="majorBidi" w:hAnsiTheme="majorBidi" w:cstheme="majorBidi"/>
          <w:sz w:val="24"/>
          <w:szCs w:val="24"/>
        </w:rPr>
        <w:t>,</w:t>
      </w:r>
      <w:r w:rsidR="001503AD">
        <w:rPr>
          <w:rFonts w:asciiTheme="majorBidi" w:hAnsiTheme="majorBidi" w:cstheme="majorBidi"/>
          <w:sz w:val="24"/>
          <w:szCs w:val="24"/>
        </w:rPr>
        <w:t xml:space="preserve"> the ACLU argued for Jehovah’s Witnesses’ right</w:t>
      </w:r>
      <w:r w:rsidR="008E1B70">
        <w:rPr>
          <w:rFonts w:asciiTheme="majorBidi" w:hAnsiTheme="majorBidi" w:cstheme="majorBidi"/>
          <w:sz w:val="24"/>
          <w:szCs w:val="24"/>
        </w:rPr>
        <w:t>s</w:t>
      </w:r>
      <w:r w:rsidR="001503AD">
        <w:rPr>
          <w:rFonts w:asciiTheme="majorBidi" w:hAnsiTheme="majorBidi" w:cstheme="majorBidi"/>
          <w:sz w:val="24"/>
          <w:szCs w:val="24"/>
        </w:rPr>
        <w:t xml:space="preserve"> to freely exercise their religion through proselytization as well as the right to refrain from saluting the U.S. flag.</w:t>
      </w:r>
      <w:r w:rsidR="000F257F">
        <w:rPr>
          <w:rFonts w:asciiTheme="majorBidi" w:hAnsiTheme="majorBidi" w:cstheme="majorBidi"/>
          <w:sz w:val="24"/>
          <w:szCs w:val="24"/>
        </w:rPr>
        <w:t xml:space="preserve"> </w:t>
      </w:r>
      <w:r w:rsidR="002A1654">
        <w:rPr>
          <w:rFonts w:asciiTheme="majorBidi" w:hAnsiTheme="majorBidi" w:cstheme="majorBidi"/>
          <w:sz w:val="24"/>
          <w:szCs w:val="24"/>
        </w:rPr>
        <w:t xml:space="preserve">The ACLU also partnered with groups such as </w:t>
      </w:r>
      <w:r w:rsidR="00EA3720">
        <w:rPr>
          <w:rFonts w:asciiTheme="majorBidi" w:hAnsiTheme="majorBidi" w:cstheme="majorBidi"/>
          <w:sz w:val="24"/>
          <w:szCs w:val="24"/>
        </w:rPr>
        <w:t xml:space="preserve">the </w:t>
      </w:r>
      <w:r w:rsidR="002A1654">
        <w:rPr>
          <w:rFonts w:asciiTheme="majorBidi" w:hAnsiTheme="majorBidi" w:cstheme="majorBidi"/>
          <w:sz w:val="24"/>
          <w:szCs w:val="24"/>
        </w:rPr>
        <w:t>Unitarian Universalists to protect minority Christians from being subjected to majority Christian religion interpreta</w:t>
      </w:r>
      <w:r w:rsidR="001940A6">
        <w:rPr>
          <w:rFonts w:asciiTheme="majorBidi" w:hAnsiTheme="majorBidi" w:cstheme="majorBidi"/>
          <w:sz w:val="24"/>
          <w:szCs w:val="24"/>
        </w:rPr>
        <w:t>tions of scripture. For example</w:t>
      </w:r>
      <w:r w:rsidR="002A1654">
        <w:rPr>
          <w:rFonts w:asciiTheme="majorBidi" w:hAnsiTheme="majorBidi" w:cstheme="majorBidi"/>
          <w:sz w:val="24"/>
          <w:szCs w:val="24"/>
        </w:rPr>
        <w:t xml:space="preserve"> </w:t>
      </w:r>
      <w:r w:rsidR="001940A6">
        <w:rPr>
          <w:rFonts w:asciiTheme="majorBidi" w:hAnsiTheme="majorBidi" w:cstheme="majorBidi"/>
          <w:sz w:val="24"/>
          <w:szCs w:val="24"/>
        </w:rPr>
        <w:t xml:space="preserve">in the case </w:t>
      </w:r>
      <w:r w:rsidR="001940A6" w:rsidRPr="002A1654">
        <w:rPr>
          <w:rFonts w:asciiTheme="majorBidi" w:hAnsiTheme="majorBidi" w:cstheme="majorBidi"/>
          <w:i/>
          <w:iCs/>
          <w:sz w:val="24"/>
          <w:szCs w:val="24"/>
        </w:rPr>
        <w:t xml:space="preserve">Abington School District v. </w:t>
      </w:r>
      <w:proofErr w:type="spellStart"/>
      <w:r w:rsidR="001940A6" w:rsidRPr="002A1654">
        <w:rPr>
          <w:rFonts w:asciiTheme="majorBidi" w:hAnsiTheme="majorBidi" w:cstheme="majorBidi"/>
          <w:i/>
          <w:iCs/>
          <w:sz w:val="24"/>
          <w:szCs w:val="24"/>
        </w:rPr>
        <w:t>Schempp</w:t>
      </w:r>
      <w:proofErr w:type="spellEnd"/>
      <w:r w:rsidR="001940A6">
        <w:rPr>
          <w:rFonts w:asciiTheme="majorBidi" w:hAnsiTheme="majorBidi" w:cstheme="majorBidi"/>
          <w:sz w:val="24"/>
          <w:szCs w:val="24"/>
        </w:rPr>
        <w:t xml:space="preserve">, 374 U.S. 203 (1963), </w:t>
      </w:r>
      <w:r w:rsidR="002A1654">
        <w:rPr>
          <w:rFonts w:asciiTheme="majorBidi" w:hAnsiTheme="majorBidi" w:cstheme="majorBidi"/>
          <w:sz w:val="24"/>
          <w:szCs w:val="24"/>
        </w:rPr>
        <w:t>the ACLU represented Unitarian</w:t>
      </w:r>
      <w:r w:rsidR="00EA3720">
        <w:rPr>
          <w:rFonts w:asciiTheme="majorBidi" w:hAnsiTheme="majorBidi" w:cstheme="majorBidi"/>
          <w:sz w:val="24"/>
          <w:szCs w:val="24"/>
        </w:rPr>
        <w:t xml:space="preserve"> schoolboy</w:t>
      </w:r>
      <w:r w:rsidR="002A1654">
        <w:rPr>
          <w:rFonts w:asciiTheme="majorBidi" w:hAnsiTheme="majorBidi" w:cstheme="majorBidi"/>
          <w:sz w:val="24"/>
          <w:szCs w:val="24"/>
        </w:rPr>
        <w:t xml:space="preserve"> </w:t>
      </w:r>
      <w:r w:rsidR="00EA3720">
        <w:rPr>
          <w:rFonts w:asciiTheme="majorBidi" w:hAnsiTheme="majorBidi" w:cstheme="majorBidi"/>
          <w:sz w:val="24"/>
          <w:szCs w:val="24"/>
        </w:rPr>
        <w:t xml:space="preserve">Edward </w:t>
      </w:r>
      <w:proofErr w:type="spellStart"/>
      <w:r w:rsidR="002A1654">
        <w:rPr>
          <w:rFonts w:asciiTheme="majorBidi" w:hAnsiTheme="majorBidi" w:cstheme="majorBidi"/>
          <w:sz w:val="24"/>
          <w:szCs w:val="24"/>
        </w:rPr>
        <w:t>Schempp</w:t>
      </w:r>
      <w:proofErr w:type="spellEnd"/>
      <w:r w:rsidR="002A1654">
        <w:rPr>
          <w:rFonts w:asciiTheme="majorBidi" w:hAnsiTheme="majorBidi" w:cstheme="majorBidi"/>
          <w:sz w:val="24"/>
          <w:szCs w:val="24"/>
        </w:rPr>
        <w:t xml:space="preserve"> in </w:t>
      </w:r>
      <w:r w:rsidR="00EA3720">
        <w:rPr>
          <w:rFonts w:asciiTheme="majorBidi" w:hAnsiTheme="majorBidi" w:cstheme="majorBidi"/>
          <w:sz w:val="24"/>
          <w:szCs w:val="24"/>
        </w:rPr>
        <w:t>his</w:t>
      </w:r>
      <w:r w:rsidR="002A1654">
        <w:rPr>
          <w:rFonts w:asciiTheme="majorBidi" w:hAnsiTheme="majorBidi" w:cstheme="majorBidi"/>
          <w:sz w:val="24"/>
          <w:szCs w:val="24"/>
        </w:rPr>
        <w:t xml:space="preserve"> challenge to the daily school reading of the Lord’s Prayer. </w:t>
      </w:r>
      <w:r w:rsidR="00D91903">
        <w:rPr>
          <w:rFonts w:asciiTheme="majorBidi" w:hAnsiTheme="majorBidi" w:cstheme="majorBidi"/>
          <w:sz w:val="24"/>
          <w:szCs w:val="24"/>
        </w:rPr>
        <w:t xml:space="preserve">It is clear from these cases that rather than the anti-religious </w:t>
      </w:r>
      <w:r w:rsidR="00C75AF7">
        <w:rPr>
          <w:rFonts w:asciiTheme="majorBidi" w:hAnsiTheme="majorBidi" w:cstheme="majorBidi"/>
          <w:sz w:val="24"/>
          <w:szCs w:val="24"/>
        </w:rPr>
        <w:t>perception</w:t>
      </w:r>
      <w:r w:rsidR="00D91903">
        <w:rPr>
          <w:rFonts w:asciiTheme="majorBidi" w:hAnsiTheme="majorBidi" w:cstheme="majorBidi"/>
          <w:sz w:val="24"/>
          <w:szCs w:val="24"/>
        </w:rPr>
        <w:t xml:space="preserve"> of organizations such as the ACLU, the old coalition of </w:t>
      </w:r>
      <w:r w:rsidR="001E5E23">
        <w:rPr>
          <w:rFonts w:asciiTheme="majorBidi" w:hAnsiTheme="majorBidi" w:cstheme="majorBidi"/>
          <w:sz w:val="24"/>
          <w:szCs w:val="24"/>
        </w:rPr>
        <w:t>separationist</w:t>
      </w:r>
      <w:r w:rsidR="00D91903">
        <w:rPr>
          <w:rFonts w:asciiTheme="majorBidi" w:hAnsiTheme="majorBidi" w:cstheme="majorBidi"/>
          <w:sz w:val="24"/>
          <w:szCs w:val="24"/>
        </w:rPr>
        <w:t>s can be co</w:t>
      </w:r>
      <w:r w:rsidR="00D74514">
        <w:rPr>
          <w:rFonts w:asciiTheme="majorBidi" w:hAnsiTheme="majorBidi" w:cstheme="majorBidi"/>
          <w:sz w:val="24"/>
          <w:szCs w:val="24"/>
        </w:rPr>
        <w:t>nceived of more accurately as a</w:t>
      </w:r>
      <w:r w:rsidR="00D91903">
        <w:rPr>
          <w:rFonts w:asciiTheme="majorBidi" w:hAnsiTheme="majorBidi" w:cstheme="majorBidi"/>
          <w:sz w:val="24"/>
          <w:szCs w:val="24"/>
        </w:rPr>
        <w:t xml:space="preserve"> </w:t>
      </w:r>
      <w:r w:rsidR="006715DE">
        <w:rPr>
          <w:rFonts w:asciiTheme="majorBidi" w:hAnsiTheme="majorBidi" w:cstheme="majorBidi"/>
          <w:sz w:val="24"/>
          <w:szCs w:val="24"/>
        </w:rPr>
        <w:t>nonsectarian</w:t>
      </w:r>
      <w:r w:rsidR="00D91903">
        <w:rPr>
          <w:rFonts w:asciiTheme="majorBidi" w:hAnsiTheme="majorBidi" w:cstheme="majorBidi"/>
          <w:sz w:val="24"/>
          <w:szCs w:val="24"/>
        </w:rPr>
        <w:t xml:space="preserve"> alliance of</w:t>
      </w:r>
      <w:r w:rsidR="00261952">
        <w:rPr>
          <w:rFonts w:asciiTheme="majorBidi" w:hAnsiTheme="majorBidi" w:cstheme="majorBidi"/>
          <w:sz w:val="24"/>
          <w:szCs w:val="24"/>
        </w:rPr>
        <w:t xml:space="preserve"> advocacy</w:t>
      </w:r>
      <w:r w:rsidR="00D91903">
        <w:rPr>
          <w:rFonts w:asciiTheme="majorBidi" w:hAnsiTheme="majorBidi" w:cstheme="majorBidi"/>
          <w:sz w:val="24"/>
          <w:szCs w:val="24"/>
        </w:rPr>
        <w:t xml:space="preserve"> groups fundamentally concerned with th</w:t>
      </w:r>
      <w:r w:rsidR="002B1484">
        <w:rPr>
          <w:rFonts w:asciiTheme="majorBidi" w:hAnsiTheme="majorBidi" w:cstheme="majorBidi"/>
          <w:sz w:val="24"/>
          <w:szCs w:val="24"/>
        </w:rPr>
        <w:t>e protection of minority rights</w:t>
      </w:r>
      <w:r w:rsidR="004327C4">
        <w:rPr>
          <w:rFonts w:asciiTheme="majorBidi" w:hAnsiTheme="majorBidi" w:cstheme="majorBidi"/>
          <w:sz w:val="24"/>
          <w:szCs w:val="24"/>
        </w:rPr>
        <w:t>.</w:t>
      </w:r>
    </w:p>
    <w:p w14:paraId="45EA2D63" w14:textId="355CF640" w:rsidR="003C5741" w:rsidRDefault="002F2AE6" w:rsidP="00832F52">
      <w:pPr>
        <w:spacing w:line="480" w:lineRule="auto"/>
        <w:contextualSpacing/>
        <w:rPr>
          <w:rFonts w:asciiTheme="majorBidi" w:hAnsiTheme="majorBidi" w:cstheme="majorBidi"/>
          <w:sz w:val="24"/>
          <w:szCs w:val="24"/>
        </w:rPr>
      </w:pPr>
      <w:r>
        <w:rPr>
          <w:rFonts w:asciiTheme="majorBidi" w:hAnsiTheme="majorBidi" w:cstheme="majorBidi"/>
          <w:sz w:val="24"/>
          <w:szCs w:val="24"/>
        </w:rPr>
        <w:tab/>
        <w:t xml:space="preserve">In the last decade, a new coalition of </w:t>
      </w:r>
      <w:r w:rsidR="001E5E23">
        <w:rPr>
          <w:rFonts w:asciiTheme="majorBidi" w:hAnsiTheme="majorBidi" w:cstheme="majorBidi"/>
          <w:sz w:val="24"/>
          <w:szCs w:val="24"/>
        </w:rPr>
        <w:t>separationist</w:t>
      </w:r>
      <w:r>
        <w:rPr>
          <w:rFonts w:asciiTheme="majorBidi" w:hAnsiTheme="majorBidi" w:cstheme="majorBidi"/>
          <w:sz w:val="24"/>
          <w:szCs w:val="24"/>
        </w:rPr>
        <w:t xml:space="preserve">s has emerged in the form of alliances among more purely secular-oriented advocacy groups. Organizations such as the Freedom </w:t>
      </w:r>
      <w:proofErr w:type="gramStart"/>
      <w:r>
        <w:rPr>
          <w:rFonts w:asciiTheme="majorBidi" w:hAnsiTheme="majorBidi" w:cstheme="majorBidi"/>
          <w:sz w:val="24"/>
          <w:szCs w:val="24"/>
        </w:rPr>
        <w:t>From</w:t>
      </w:r>
      <w:proofErr w:type="gramEnd"/>
      <w:r>
        <w:rPr>
          <w:rFonts w:asciiTheme="majorBidi" w:hAnsiTheme="majorBidi" w:cstheme="majorBidi"/>
          <w:sz w:val="24"/>
          <w:szCs w:val="24"/>
        </w:rPr>
        <w:t xml:space="preserve"> Religion Foundation, the Secular Coalition of America, and </w:t>
      </w:r>
      <w:r w:rsidR="008E1B70">
        <w:rPr>
          <w:rFonts w:asciiTheme="majorBidi" w:hAnsiTheme="majorBidi" w:cstheme="majorBidi"/>
          <w:sz w:val="24"/>
          <w:szCs w:val="24"/>
        </w:rPr>
        <w:t xml:space="preserve">the </w:t>
      </w:r>
      <w:r>
        <w:rPr>
          <w:rFonts w:asciiTheme="majorBidi" w:hAnsiTheme="majorBidi" w:cstheme="majorBidi"/>
          <w:sz w:val="24"/>
          <w:szCs w:val="24"/>
        </w:rPr>
        <w:t xml:space="preserve">American Atheists have seen a surge in membership and funding </w:t>
      </w:r>
      <w:r w:rsidR="00573CE5">
        <w:rPr>
          <w:rFonts w:asciiTheme="majorBidi" w:hAnsiTheme="majorBidi" w:cstheme="majorBidi"/>
          <w:sz w:val="24"/>
          <w:szCs w:val="24"/>
        </w:rPr>
        <w:t>as</w:t>
      </w:r>
      <w:r>
        <w:rPr>
          <w:rFonts w:asciiTheme="majorBidi" w:hAnsiTheme="majorBidi" w:cstheme="majorBidi"/>
          <w:sz w:val="24"/>
          <w:szCs w:val="24"/>
        </w:rPr>
        <w:t xml:space="preserve"> they have seized on the political opportunity to represent a </w:t>
      </w:r>
      <w:r w:rsidR="00573CE5">
        <w:rPr>
          <w:rFonts w:asciiTheme="majorBidi" w:hAnsiTheme="majorBidi" w:cstheme="majorBidi"/>
          <w:sz w:val="24"/>
          <w:szCs w:val="24"/>
        </w:rPr>
        <w:t xml:space="preserve">more purely </w:t>
      </w:r>
      <w:r>
        <w:rPr>
          <w:rFonts w:asciiTheme="majorBidi" w:hAnsiTheme="majorBidi" w:cstheme="majorBidi"/>
          <w:sz w:val="24"/>
          <w:szCs w:val="24"/>
        </w:rPr>
        <w:t xml:space="preserve">secular challenge to </w:t>
      </w:r>
      <w:r w:rsidR="008F4A6D">
        <w:rPr>
          <w:rFonts w:asciiTheme="majorBidi" w:hAnsiTheme="majorBidi" w:cstheme="majorBidi"/>
          <w:sz w:val="24"/>
          <w:szCs w:val="24"/>
        </w:rPr>
        <w:t>instances of</w:t>
      </w:r>
      <w:r>
        <w:rPr>
          <w:rFonts w:asciiTheme="majorBidi" w:hAnsiTheme="majorBidi" w:cstheme="majorBidi"/>
          <w:sz w:val="24"/>
          <w:szCs w:val="24"/>
        </w:rPr>
        <w:t xml:space="preserve"> government and church intermingling. </w:t>
      </w:r>
      <w:r w:rsidR="008F4A6D">
        <w:rPr>
          <w:rFonts w:asciiTheme="majorBidi" w:hAnsiTheme="majorBidi" w:cstheme="majorBidi"/>
          <w:sz w:val="24"/>
          <w:szCs w:val="24"/>
        </w:rPr>
        <w:t xml:space="preserve">Although the alliance consists of a variety of humanist and secular Jewish organizations, the atheist members of the new coalition have provided the leadership generally in terms of seeking out litigation and drafting amicus briefs to which many of the lesser active groups have tended to join. </w:t>
      </w:r>
      <w:r w:rsidR="00F12978">
        <w:rPr>
          <w:rFonts w:asciiTheme="majorBidi" w:hAnsiTheme="majorBidi" w:cstheme="majorBidi"/>
          <w:sz w:val="24"/>
          <w:szCs w:val="24"/>
        </w:rPr>
        <w:t xml:space="preserve">In order to delineate this coalition’s material and </w:t>
      </w:r>
      <w:r w:rsidR="001940A6">
        <w:rPr>
          <w:rFonts w:asciiTheme="majorBidi" w:hAnsiTheme="majorBidi" w:cstheme="majorBidi"/>
          <w:sz w:val="24"/>
          <w:szCs w:val="24"/>
        </w:rPr>
        <w:t>ideological</w:t>
      </w:r>
      <w:r w:rsidR="00F12978">
        <w:rPr>
          <w:rFonts w:asciiTheme="majorBidi" w:hAnsiTheme="majorBidi" w:cstheme="majorBidi"/>
          <w:sz w:val="24"/>
          <w:szCs w:val="24"/>
        </w:rPr>
        <w:t xml:space="preserve"> contributions to the </w:t>
      </w:r>
      <w:r w:rsidR="001E5E23">
        <w:rPr>
          <w:rFonts w:asciiTheme="majorBidi" w:hAnsiTheme="majorBidi" w:cstheme="majorBidi"/>
          <w:sz w:val="24"/>
          <w:szCs w:val="24"/>
        </w:rPr>
        <w:lastRenderedPageBreak/>
        <w:t>separationist</w:t>
      </w:r>
      <w:r w:rsidR="003C5741">
        <w:rPr>
          <w:rFonts w:asciiTheme="majorBidi" w:hAnsiTheme="majorBidi" w:cstheme="majorBidi"/>
          <w:sz w:val="24"/>
          <w:szCs w:val="24"/>
        </w:rPr>
        <w:t xml:space="preserve"> </w:t>
      </w:r>
      <w:r w:rsidR="001940A6">
        <w:rPr>
          <w:rFonts w:asciiTheme="majorBidi" w:hAnsiTheme="majorBidi" w:cstheme="majorBidi"/>
          <w:sz w:val="24"/>
          <w:szCs w:val="24"/>
        </w:rPr>
        <w:t>constitutional tradition</w:t>
      </w:r>
      <w:r w:rsidR="00F12978">
        <w:rPr>
          <w:rFonts w:asciiTheme="majorBidi" w:hAnsiTheme="majorBidi" w:cstheme="majorBidi"/>
          <w:sz w:val="24"/>
          <w:szCs w:val="24"/>
        </w:rPr>
        <w:t>, it is necessary to first trace its origins and determine how their arguments and tactics have been shaped by the relevant historical context and their situation in political time (</w:t>
      </w:r>
      <w:proofErr w:type="spellStart"/>
      <w:r w:rsidR="00F12978">
        <w:rPr>
          <w:rFonts w:asciiTheme="majorBidi" w:hAnsiTheme="majorBidi" w:cstheme="majorBidi"/>
          <w:sz w:val="24"/>
          <w:szCs w:val="24"/>
        </w:rPr>
        <w:t>Orren</w:t>
      </w:r>
      <w:proofErr w:type="spellEnd"/>
      <w:r w:rsidR="00F12978">
        <w:rPr>
          <w:rFonts w:asciiTheme="majorBidi" w:hAnsiTheme="majorBidi" w:cstheme="majorBidi"/>
          <w:sz w:val="24"/>
          <w:szCs w:val="24"/>
        </w:rPr>
        <w:t xml:space="preserve"> </w:t>
      </w:r>
      <w:r w:rsidR="004D59C1">
        <w:rPr>
          <w:rFonts w:asciiTheme="majorBidi" w:hAnsiTheme="majorBidi" w:cstheme="majorBidi"/>
          <w:sz w:val="24"/>
          <w:szCs w:val="24"/>
        </w:rPr>
        <w:t>&amp;</w:t>
      </w:r>
      <w:r w:rsidR="00F12978">
        <w:rPr>
          <w:rFonts w:asciiTheme="majorBidi" w:hAnsiTheme="majorBidi" w:cstheme="majorBidi"/>
          <w:sz w:val="24"/>
          <w:szCs w:val="24"/>
        </w:rPr>
        <w:t xml:space="preserve"> Skowronek</w:t>
      </w:r>
      <w:r w:rsidR="00555213">
        <w:rPr>
          <w:rFonts w:asciiTheme="majorBidi" w:hAnsiTheme="majorBidi" w:cstheme="majorBidi"/>
          <w:sz w:val="24"/>
          <w:szCs w:val="24"/>
        </w:rPr>
        <w:t>,</w:t>
      </w:r>
      <w:r w:rsidR="00F12978">
        <w:rPr>
          <w:rFonts w:asciiTheme="majorBidi" w:hAnsiTheme="majorBidi" w:cstheme="majorBidi"/>
          <w:sz w:val="24"/>
          <w:szCs w:val="24"/>
        </w:rPr>
        <w:t xml:space="preserve"> 2004).</w:t>
      </w:r>
      <w:r w:rsidR="003C5741">
        <w:rPr>
          <w:rFonts w:asciiTheme="majorBidi" w:hAnsiTheme="majorBidi" w:cstheme="majorBidi"/>
          <w:sz w:val="24"/>
          <w:szCs w:val="24"/>
        </w:rPr>
        <w:t xml:space="preserve"> In doing so, three explanatory factors for the origins of this new coalition can be identified as: a dialectical response to the Religious Right, a consequence of a political moment conducive to secular and atheist politics, and an elite-driven secular agenda.</w:t>
      </w:r>
    </w:p>
    <w:p w14:paraId="43DC0E46" w14:textId="48383686" w:rsidR="008176B4" w:rsidRDefault="00F12978" w:rsidP="00CE5430">
      <w:pPr>
        <w:spacing w:line="480" w:lineRule="auto"/>
        <w:contextualSpacing/>
        <w:rPr>
          <w:rFonts w:asciiTheme="majorBidi" w:hAnsiTheme="majorBidi" w:cstheme="majorBidi"/>
          <w:sz w:val="24"/>
          <w:szCs w:val="24"/>
        </w:rPr>
      </w:pPr>
      <w:r>
        <w:rPr>
          <w:rFonts w:asciiTheme="majorBidi" w:hAnsiTheme="majorBidi" w:cstheme="majorBidi"/>
          <w:sz w:val="24"/>
          <w:szCs w:val="24"/>
        </w:rPr>
        <w:tab/>
      </w:r>
      <w:r w:rsidR="00525BBA">
        <w:rPr>
          <w:rFonts w:asciiTheme="majorBidi" w:hAnsiTheme="majorBidi" w:cstheme="majorBidi"/>
          <w:sz w:val="24"/>
          <w:szCs w:val="24"/>
        </w:rPr>
        <w:t>Scholar</w:t>
      </w:r>
      <w:r w:rsidR="00867DAE">
        <w:rPr>
          <w:rFonts w:asciiTheme="majorBidi" w:hAnsiTheme="majorBidi" w:cstheme="majorBidi"/>
          <w:sz w:val="24"/>
          <w:szCs w:val="24"/>
        </w:rPr>
        <w:t>s</w:t>
      </w:r>
      <w:r w:rsidR="00525BBA">
        <w:rPr>
          <w:rFonts w:asciiTheme="majorBidi" w:hAnsiTheme="majorBidi" w:cstheme="majorBidi"/>
          <w:sz w:val="24"/>
          <w:szCs w:val="24"/>
        </w:rPr>
        <w:t xml:space="preserve"> such as Gavin Hyman (2007) have posited that </w:t>
      </w:r>
      <w:r w:rsidR="00920133">
        <w:rPr>
          <w:rFonts w:asciiTheme="majorBidi" w:hAnsiTheme="majorBidi" w:cstheme="majorBidi"/>
          <w:sz w:val="24"/>
          <w:szCs w:val="24"/>
        </w:rPr>
        <w:t>the recent rise in secular advocacy groups is the result of a dialectical response to the preceding rise of the Religious Right. As the Republican Party under President Ronald Reagan came to embrace Christian political leaders such as Jerry Falwell and Pat Robertson and their organizations, secular-minded A</w:t>
      </w:r>
      <w:r w:rsidR="003C408A">
        <w:rPr>
          <w:rFonts w:asciiTheme="majorBidi" w:hAnsiTheme="majorBidi" w:cstheme="majorBidi"/>
          <w:sz w:val="24"/>
          <w:szCs w:val="24"/>
        </w:rPr>
        <w:t>mericans began to organize in opposition</w:t>
      </w:r>
      <w:r w:rsidR="00920133">
        <w:rPr>
          <w:rFonts w:asciiTheme="majorBidi" w:hAnsiTheme="majorBidi" w:cstheme="majorBidi"/>
          <w:sz w:val="24"/>
          <w:szCs w:val="24"/>
        </w:rPr>
        <w:t>.</w:t>
      </w:r>
      <w:r w:rsidR="001940A6">
        <w:rPr>
          <w:rStyle w:val="FootnoteReference"/>
          <w:rFonts w:asciiTheme="majorBidi" w:hAnsiTheme="majorBidi" w:cstheme="majorBidi"/>
          <w:sz w:val="24"/>
          <w:szCs w:val="24"/>
        </w:rPr>
        <w:footnoteReference w:id="11"/>
      </w:r>
      <w:r w:rsidR="00920133">
        <w:rPr>
          <w:rFonts w:asciiTheme="majorBidi" w:hAnsiTheme="majorBidi" w:cstheme="majorBidi"/>
          <w:sz w:val="24"/>
          <w:szCs w:val="24"/>
        </w:rPr>
        <w:t xml:space="preserve"> As early as the 1960s</w:t>
      </w:r>
      <w:r w:rsidR="000F32FB">
        <w:rPr>
          <w:rFonts w:asciiTheme="majorBidi" w:hAnsiTheme="majorBidi" w:cstheme="majorBidi"/>
          <w:sz w:val="24"/>
          <w:szCs w:val="24"/>
        </w:rPr>
        <w:t>,</w:t>
      </w:r>
      <w:r w:rsidR="00920133">
        <w:rPr>
          <w:rFonts w:asciiTheme="majorBidi" w:hAnsiTheme="majorBidi" w:cstheme="majorBidi"/>
          <w:sz w:val="24"/>
          <w:szCs w:val="24"/>
        </w:rPr>
        <w:t xml:space="preserve"> these secularists </w:t>
      </w:r>
      <w:r w:rsidR="00D504AD">
        <w:rPr>
          <w:rFonts w:asciiTheme="majorBidi" w:hAnsiTheme="majorBidi" w:cstheme="majorBidi"/>
          <w:sz w:val="24"/>
          <w:szCs w:val="24"/>
        </w:rPr>
        <w:t>started to establish advocacy groups</w:t>
      </w:r>
      <w:r w:rsidR="00867DAE">
        <w:rPr>
          <w:rFonts w:asciiTheme="majorBidi" w:hAnsiTheme="majorBidi" w:cstheme="majorBidi"/>
          <w:sz w:val="24"/>
          <w:szCs w:val="24"/>
        </w:rPr>
        <w:t>,</w:t>
      </w:r>
      <w:r w:rsidR="00920133">
        <w:rPr>
          <w:rFonts w:asciiTheme="majorBidi" w:hAnsiTheme="majorBidi" w:cstheme="majorBidi"/>
          <w:sz w:val="24"/>
          <w:szCs w:val="24"/>
        </w:rPr>
        <w:t xml:space="preserve"> </w:t>
      </w:r>
      <w:r w:rsidR="000F32FB">
        <w:rPr>
          <w:rFonts w:asciiTheme="majorBidi" w:hAnsiTheme="majorBidi" w:cstheme="majorBidi"/>
          <w:sz w:val="24"/>
          <w:szCs w:val="24"/>
        </w:rPr>
        <w:t xml:space="preserve">beginning with </w:t>
      </w:r>
      <w:r w:rsidR="00920133">
        <w:rPr>
          <w:rFonts w:asciiTheme="majorBidi" w:hAnsiTheme="majorBidi" w:cstheme="majorBidi"/>
          <w:sz w:val="24"/>
          <w:szCs w:val="24"/>
        </w:rPr>
        <w:t>Madalyn Murray O’Hair’s American Atheists slightly ahead of its time in 1963</w:t>
      </w:r>
      <w:r w:rsidR="00867DAE">
        <w:rPr>
          <w:rFonts w:asciiTheme="majorBidi" w:hAnsiTheme="majorBidi" w:cstheme="majorBidi"/>
          <w:sz w:val="24"/>
          <w:szCs w:val="24"/>
        </w:rPr>
        <w:t>; following were</w:t>
      </w:r>
      <w:r w:rsidR="00920133">
        <w:rPr>
          <w:rFonts w:asciiTheme="majorBidi" w:hAnsiTheme="majorBidi" w:cstheme="majorBidi"/>
          <w:sz w:val="24"/>
          <w:szCs w:val="24"/>
        </w:rPr>
        <w:t xml:space="preserve"> the 1978 establishment of the FFRF and the 1981 </w:t>
      </w:r>
      <w:r w:rsidR="00867DAE">
        <w:rPr>
          <w:rFonts w:asciiTheme="majorBidi" w:hAnsiTheme="majorBidi" w:cstheme="majorBidi"/>
          <w:sz w:val="24"/>
          <w:szCs w:val="24"/>
        </w:rPr>
        <w:t>founding</w:t>
      </w:r>
      <w:r w:rsidR="00920133">
        <w:rPr>
          <w:rFonts w:asciiTheme="majorBidi" w:hAnsiTheme="majorBidi" w:cstheme="majorBidi"/>
          <w:sz w:val="24"/>
          <w:szCs w:val="24"/>
        </w:rPr>
        <w:t xml:space="preserve"> of the People for the American Way (PAW). </w:t>
      </w:r>
      <w:r w:rsidR="00F4375D">
        <w:rPr>
          <w:rFonts w:asciiTheme="majorBidi" w:hAnsiTheme="majorBidi" w:cstheme="majorBidi"/>
          <w:sz w:val="24"/>
          <w:szCs w:val="24"/>
        </w:rPr>
        <w:t xml:space="preserve">In the past twenty years </w:t>
      </w:r>
      <w:r w:rsidR="000473DE">
        <w:rPr>
          <w:rFonts w:asciiTheme="majorBidi" w:hAnsiTheme="majorBidi" w:cstheme="majorBidi"/>
          <w:sz w:val="24"/>
          <w:szCs w:val="24"/>
        </w:rPr>
        <w:t xml:space="preserve">there has been another era of secular political organizing which has brought about the formation of the Secular Coalition for America, the Secular Student Alliance, and the Center for Inquiry among others. These groups have offered a </w:t>
      </w:r>
      <w:r w:rsidR="00DF4C02">
        <w:rPr>
          <w:rFonts w:asciiTheme="majorBidi" w:hAnsiTheme="majorBidi" w:cstheme="majorBidi"/>
          <w:sz w:val="24"/>
          <w:szCs w:val="24"/>
        </w:rPr>
        <w:t>secular</w:t>
      </w:r>
      <w:r w:rsidR="00E87802">
        <w:rPr>
          <w:rFonts w:asciiTheme="majorBidi" w:hAnsiTheme="majorBidi" w:cstheme="majorBidi"/>
          <w:sz w:val="24"/>
          <w:szCs w:val="24"/>
        </w:rPr>
        <w:t xml:space="preserve"> </w:t>
      </w:r>
      <w:proofErr w:type="spellStart"/>
      <w:r w:rsidR="00E87802">
        <w:rPr>
          <w:rFonts w:asciiTheme="majorBidi" w:hAnsiTheme="majorBidi" w:cstheme="majorBidi"/>
          <w:sz w:val="24"/>
          <w:szCs w:val="24"/>
        </w:rPr>
        <w:t>andd</w:t>
      </w:r>
      <w:proofErr w:type="spellEnd"/>
      <w:r w:rsidR="00E87802">
        <w:rPr>
          <w:rFonts w:asciiTheme="majorBidi" w:hAnsiTheme="majorBidi" w:cstheme="majorBidi"/>
          <w:sz w:val="24"/>
          <w:szCs w:val="24"/>
        </w:rPr>
        <w:t xml:space="preserve"> often antireligious</w:t>
      </w:r>
      <w:r w:rsidR="000473DE">
        <w:rPr>
          <w:rFonts w:asciiTheme="majorBidi" w:hAnsiTheme="majorBidi" w:cstheme="majorBidi"/>
          <w:sz w:val="24"/>
          <w:szCs w:val="24"/>
        </w:rPr>
        <w:t xml:space="preserve"> discourse as a rejoinder to the fundamentalist rhetoric of many evangelical Christian organizations such as Falwell’s Moral Majority</w:t>
      </w:r>
      <w:r w:rsidR="00CE5430">
        <w:rPr>
          <w:rFonts w:asciiTheme="majorBidi" w:hAnsiTheme="majorBidi" w:cstheme="majorBidi"/>
          <w:sz w:val="24"/>
          <w:szCs w:val="24"/>
        </w:rPr>
        <w:t xml:space="preserve">. </w:t>
      </w:r>
      <w:r w:rsidR="00895392">
        <w:rPr>
          <w:rFonts w:asciiTheme="majorBidi" w:hAnsiTheme="majorBidi" w:cstheme="majorBidi"/>
          <w:sz w:val="24"/>
          <w:szCs w:val="24"/>
        </w:rPr>
        <w:t>Especially interesting are the constant rhetorical battles over whether the country’s founding was more secular or more Christian (Hamburger</w:t>
      </w:r>
      <w:r w:rsidR="00555213">
        <w:rPr>
          <w:rFonts w:asciiTheme="majorBidi" w:hAnsiTheme="majorBidi" w:cstheme="majorBidi"/>
          <w:sz w:val="24"/>
          <w:szCs w:val="24"/>
        </w:rPr>
        <w:t>,</w:t>
      </w:r>
      <w:r w:rsidR="00895392">
        <w:rPr>
          <w:rFonts w:asciiTheme="majorBidi" w:hAnsiTheme="majorBidi" w:cstheme="majorBidi"/>
          <w:sz w:val="24"/>
          <w:szCs w:val="24"/>
        </w:rPr>
        <w:t xml:space="preserve"> 2004; </w:t>
      </w:r>
      <w:proofErr w:type="spellStart"/>
      <w:r w:rsidR="00895392">
        <w:rPr>
          <w:rFonts w:asciiTheme="majorBidi" w:hAnsiTheme="majorBidi" w:cstheme="majorBidi"/>
          <w:sz w:val="24"/>
          <w:szCs w:val="24"/>
        </w:rPr>
        <w:t>Sehat</w:t>
      </w:r>
      <w:proofErr w:type="spellEnd"/>
      <w:r w:rsidR="00555213">
        <w:rPr>
          <w:rFonts w:asciiTheme="majorBidi" w:hAnsiTheme="majorBidi" w:cstheme="majorBidi"/>
          <w:sz w:val="24"/>
          <w:szCs w:val="24"/>
        </w:rPr>
        <w:t>,</w:t>
      </w:r>
      <w:r w:rsidR="00895392">
        <w:rPr>
          <w:rFonts w:asciiTheme="majorBidi" w:hAnsiTheme="majorBidi" w:cstheme="majorBidi"/>
          <w:sz w:val="24"/>
          <w:szCs w:val="24"/>
        </w:rPr>
        <w:t xml:space="preserve"> 2011; Lambert</w:t>
      </w:r>
      <w:r w:rsidR="00555213">
        <w:rPr>
          <w:rFonts w:asciiTheme="majorBidi" w:hAnsiTheme="majorBidi" w:cstheme="majorBidi"/>
          <w:sz w:val="24"/>
          <w:szCs w:val="24"/>
        </w:rPr>
        <w:t>,</w:t>
      </w:r>
      <w:r w:rsidR="00895392">
        <w:rPr>
          <w:rFonts w:asciiTheme="majorBidi" w:hAnsiTheme="majorBidi" w:cstheme="majorBidi"/>
          <w:sz w:val="24"/>
          <w:szCs w:val="24"/>
        </w:rPr>
        <w:t xml:space="preserve"> 2006).</w:t>
      </w:r>
      <w:r w:rsidR="00C354B5">
        <w:rPr>
          <w:rFonts w:asciiTheme="majorBidi" w:hAnsiTheme="majorBidi" w:cstheme="majorBidi"/>
          <w:sz w:val="24"/>
          <w:szCs w:val="24"/>
        </w:rPr>
        <w:t xml:space="preserve"> </w:t>
      </w:r>
      <w:r w:rsidR="00870309">
        <w:rPr>
          <w:rFonts w:asciiTheme="majorBidi" w:hAnsiTheme="majorBidi" w:cstheme="majorBidi"/>
          <w:sz w:val="24"/>
          <w:szCs w:val="24"/>
        </w:rPr>
        <w:t xml:space="preserve">These developments provide evidence for the claim that as religion became more “public” in the </w:t>
      </w:r>
      <w:r w:rsidR="00870309">
        <w:rPr>
          <w:rFonts w:asciiTheme="majorBidi" w:hAnsiTheme="majorBidi" w:cstheme="majorBidi"/>
          <w:sz w:val="24"/>
          <w:szCs w:val="24"/>
        </w:rPr>
        <w:lastRenderedPageBreak/>
        <w:t>1980s (Casanova</w:t>
      </w:r>
      <w:r w:rsidR="00555213">
        <w:rPr>
          <w:rFonts w:asciiTheme="majorBidi" w:hAnsiTheme="majorBidi" w:cstheme="majorBidi"/>
          <w:sz w:val="24"/>
          <w:szCs w:val="24"/>
        </w:rPr>
        <w:t>,</w:t>
      </w:r>
      <w:r w:rsidR="00870309">
        <w:rPr>
          <w:rFonts w:asciiTheme="majorBidi" w:hAnsiTheme="majorBidi" w:cstheme="majorBidi"/>
          <w:sz w:val="24"/>
          <w:szCs w:val="24"/>
        </w:rPr>
        <w:t xml:space="preserve"> 1994), there became a prospect for the establishment of a political challenge to the New Right’s politics.</w:t>
      </w:r>
      <w:r w:rsidR="008176B4">
        <w:rPr>
          <w:rFonts w:asciiTheme="majorBidi" w:hAnsiTheme="majorBidi" w:cstheme="majorBidi"/>
          <w:sz w:val="24"/>
          <w:szCs w:val="24"/>
        </w:rPr>
        <w:t xml:space="preserve"> </w:t>
      </w:r>
    </w:p>
    <w:p w14:paraId="6C1C6F11" w14:textId="29AF6020" w:rsidR="002A2F87" w:rsidRDefault="009F385F" w:rsidP="00832F52">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 xml:space="preserve">In addition to </w:t>
      </w:r>
      <w:r w:rsidR="00E922D9">
        <w:rPr>
          <w:rFonts w:asciiTheme="majorBidi" w:hAnsiTheme="majorBidi" w:cstheme="majorBidi"/>
          <w:sz w:val="24"/>
          <w:szCs w:val="24"/>
        </w:rPr>
        <w:t>dialectical explanations</w:t>
      </w:r>
      <w:r>
        <w:rPr>
          <w:rFonts w:asciiTheme="majorBidi" w:hAnsiTheme="majorBidi" w:cstheme="majorBidi"/>
          <w:sz w:val="24"/>
          <w:szCs w:val="24"/>
        </w:rPr>
        <w:t xml:space="preserve">, </w:t>
      </w:r>
      <w:r w:rsidR="00624844">
        <w:rPr>
          <w:rFonts w:asciiTheme="majorBidi" w:hAnsiTheme="majorBidi" w:cstheme="majorBidi"/>
          <w:sz w:val="24"/>
          <w:szCs w:val="24"/>
        </w:rPr>
        <w:t>secular groups</w:t>
      </w:r>
      <w:r w:rsidR="00BA1C26">
        <w:rPr>
          <w:rFonts w:asciiTheme="majorBidi" w:hAnsiTheme="majorBidi" w:cstheme="majorBidi"/>
          <w:sz w:val="24"/>
          <w:szCs w:val="24"/>
        </w:rPr>
        <w:t xml:space="preserve"> have</w:t>
      </w:r>
      <w:r w:rsidR="00624844">
        <w:rPr>
          <w:rFonts w:asciiTheme="majorBidi" w:hAnsiTheme="majorBidi" w:cstheme="majorBidi"/>
          <w:sz w:val="24"/>
          <w:szCs w:val="24"/>
        </w:rPr>
        <w:t xml:space="preserve"> also benefited from the end of the Cold War and the waning fear of communism among Americans.</w:t>
      </w:r>
      <w:r w:rsidR="00BA1C26">
        <w:rPr>
          <w:rFonts w:asciiTheme="majorBidi" w:hAnsiTheme="majorBidi" w:cstheme="majorBidi"/>
          <w:sz w:val="24"/>
          <w:szCs w:val="24"/>
        </w:rPr>
        <w:t xml:space="preserve"> Especially in the 1960s and 1970s, American secularists and atheists were tied problematically to notions of communism and general un-Americanism. Atheists </w:t>
      </w:r>
      <w:r w:rsidR="00FF7FB4">
        <w:rPr>
          <w:rFonts w:asciiTheme="majorBidi" w:hAnsiTheme="majorBidi" w:cstheme="majorBidi"/>
          <w:sz w:val="24"/>
          <w:szCs w:val="24"/>
        </w:rPr>
        <w:t>suffered an</w:t>
      </w:r>
      <w:r w:rsidR="0050144F">
        <w:rPr>
          <w:rFonts w:asciiTheme="majorBidi" w:hAnsiTheme="majorBidi" w:cstheme="majorBidi"/>
          <w:sz w:val="24"/>
          <w:szCs w:val="24"/>
        </w:rPr>
        <w:t xml:space="preserve"> </w:t>
      </w:r>
      <w:r w:rsidR="00FF7FB4">
        <w:rPr>
          <w:rFonts w:asciiTheme="majorBidi" w:hAnsiTheme="majorBidi" w:cstheme="majorBidi"/>
          <w:sz w:val="24"/>
          <w:szCs w:val="24"/>
        </w:rPr>
        <w:t>additional</w:t>
      </w:r>
      <w:r w:rsidR="0050144F">
        <w:rPr>
          <w:rFonts w:asciiTheme="majorBidi" w:hAnsiTheme="majorBidi" w:cstheme="majorBidi"/>
          <w:sz w:val="24"/>
          <w:szCs w:val="24"/>
        </w:rPr>
        <w:t xml:space="preserve"> liability in the form of</w:t>
      </w:r>
      <w:r w:rsidR="00FF7FB4">
        <w:rPr>
          <w:rFonts w:asciiTheme="majorBidi" w:hAnsiTheme="majorBidi" w:cstheme="majorBidi"/>
          <w:sz w:val="24"/>
          <w:szCs w:val="24"/>
        </w:rPr>
        <w:t xml:space="preserve"> Madalyn Murray O’Hair and her</w:t>
      </w:r>
      <w:r w:rsidR="00BA1C26">
        <w:rPr>
          <w:rFonts w:asciiTheme="majorBidi" w:hAnsiTheme="majorBidi" w:cstheme="majorBidi"/>
          <w:sz w:val="24"/>
          <w:szCs w:val="24"/>
        </w:rPr>
        <w:t xml:space="preserve"> notoriety in the press. Having become infamous for her pugnacious personality throughout the </w:t>
      </w:r>
      <w:proofErr w:type="spellStart"/>
      <w:r w:rsidR="00BA1C26">
        <w:rPr>
          <w:rFonts w:asciiTheme="majorBidi" w:hAnsiTheme="majorBidi" w:cstheme="majorBidi"/>
          <w:i/>
          <w:iCs/>
          <w:sz w:val="24"/>
          <w:szCs w:val="24"/>
        </w:rPr>
        <w:t>Schempp</w:t>
      </w:r>
      <w:proofErr w:type="spellEnd"/>
      <w:r w:rsidR="00BA1C26">
        <w:rPr>
          <w:rFonts w:asciiTheme="majorBidi" w:hAnsiTheme="majorBidi" w:cstheme="majorBidi"/>
          <w:sz w:val="24"/>
          <w:szCs w:val="24"/>
        </w:rPr>
        <w:t xml:space="preserve"> case </w:t>
      </w:r>
      <w:r w:rsidR="00C00C2D">
        <w:rPr>
          <w:rFonts w:asciiTheme="majorBidi" w:hAnsiTheme="majorBidi" w:cstheme="majorBidi"/>
          <w:sz w:val="24"/>
          <w:szCs w:val="24"/>
        </w:rPr>
        <w:t>in</w:t>
      </w:r>
      <w:r w:rsidR="00BA1C26">
        <w:rPr>
          <w:rFonts w:asciiTheme="majorBidi" w:hAnsiTheme="majorBidi" w:cstheme="majorBidi"/>
          <w:sz w:val="24"/>
          <w:szCs w:val="24"/>
        </w:rPr>
        <w:t xml:space="preserve"> which her son’s challenge to a Lord’s Prayer school provision was combined with the </w:t>
      </w:r>
      <w:proofErr w:type="spellStart"/>
      <w:r w:rsidR="00BA1C26">
        <w:rPr>
          <w:rFonts w:asciiTheme="majorBidi" w:hAnsiTheme="majorBidi" w:cstheme="majorBidi"/>
          <w:sz w:val="24"/>
          <w:szCs w:val="24"/>
        </w:rPr>
        <w:t>Schempp’s</w:t>
      </w:r>
      <w:proofErr w:type="spellEnd"/>
      <w:r w:rsidR="00BA1C26">
        <w:rPr>
          <w:rFonts w:asciiTheme="majorBidi" w:hAnsiTheme="majorBidi" w:cstheme="majorBidi"/>
          <w:sz w:val="24"/>
          <w:szCs w:val="24"/>
        </w:rPr>
        <w:t xml:space="preserve"> challenge at the Supreme Court, O’Hair used her airtime and interviews to</w:t>
      </w:r>
      <w:r w:rsidR="006468B4">
        <w:rPr>
          <w:rFonts w:asciiTheme="majorBidi" w:hAnsiTheme="majorBidi" w:cstheme="majorBidi"/>
          <w:sz w:val="24"/>
          <w:szCs w:val="24"/>
        </w:rPr>
        <w:t xml:space="preserve"> mock all forms of religion as primitive as well as</w:t>
      </w:r>
      <w:r w:rsidR="00BA1C26">
        <w:rPr>
          <w:rFonts w:asciiTheme="majorBidi" w:hAnsiTheme="majorBidi" w:cstheme="majorBidi"/>
          <w:sz w:val="24"/>
          <w:szCs w:val="24"/>
        </w:rPr>
        <w:t xml:space="preserve"> espouse the grea</w:t>
      </w:r>
      <w:r w:rsidR="00411FA6">
        <w:rPr>
          <w:rFonts w:asciiTheme="majorBidi" w:hAnsiTheme="majorBidi" w:cstheme="majorBidi"/>
          <w:sz w:val="24"/>
          <w:szCs w:val="24"/>
        </w:rPr>
        <w:t>t deeds done by the rational and atheistic Soviet Union</w:t>
      </w:r>
      <w:r w:rsidR="00BA1C26">
        <w:rPr>
          <w:rFonts w:asciiTheme="majorBidi" w:hAnsiTheme="majorBidi" w:cstheme="majorBidi"/>
          <w:sz w:val="24"/>
          <w:szCs w:val="24"/>
        </w:rPr>
        <w:t xml:space="preserve">. At the height of her </w:t>
      </w:r>
      <w:r w:rsidR="00EB6A1C">
        <w:rPr>
          <w:rFonts w:asciiTheme="majorBidi" w:hAnsiTheme="majorBidi" w:cstheme="majorBidi"/>
          <w:sz w:val="24"/>
          <w:szCs w:val="24"/>
        </w:rPr>
        <w:t>visibility</w:t>
      </w:r>
      <w:r w:rsidR="00BA1C26">
        <w:rPr>
          <w:rFonts w:asciiTheme="majorBidi" w:hAnsiTheme="majorBidi" w:cstheme="majorBidi"/>
          <w:sz w:val="24"/>
          <w:szCs w:val="24"/>
        </w:rPr>
        <w:t xml:space="preserve">, </w:t>
      </w:r>
      <w:r w:rsidR="00BA1C26" w:rsidRPr="0061622F">
        <w:rPr>
          <w:rFonts w:asciiTheme="majorBidi" w:hAnsiTheme="majorBidi" w:cstheme="majorBidi"/>
          <w:i/>
          <w:iCs/>
          <w:sz w:val="24"/>
          <w:szCs w:val="24"/>
        </w:rPr>
        <w:t>Life</w:t>
      </w:r>
      <w:r w:rsidR="00BA1C26">
        <w:rPr>
          <w:rFonts w:asciiTheme="majorBidi" w:hAnsiTheme="majorBidi" w:cstheme="majorBidi"/>
          <w:sz w:val="24"/>
          <w:szCs w:val="24"/>
        </w:rPr>
        <w:t xml:space="preserve"> magazine </w:t>
      </w:r>
      <w:r w:rsidR="00D2447D">
        <w:rPr>
          <w:rFonts w:asciiTheme="majorBidi" w:hAnsiTheme="majorBidi" w:cstheme="majorBidi"/>
          <w:sz w:val="24"/>
          <w:szCs w:val="24"/>
        </w:rPr>
        <w:t>featured</w:t>
      </w:r>
      <w:r w:rsidR="00BA1C26">
        <w:rPr>
          <w:rFonts w:asciiTheme="majorBidi" w:hAnsiTheme="majorBidi" w:cstheme="majorBidi"/>
          <w:sz w:val="24"/>
          <w:szCs w:val="24"/>
        </w:rPr>
        <w:t xml:space="preserve"> her on </w:t>
      </w:r>
      <w:r w:rsidR="00033B2D">
        <w:rPr>
          <w:rFonts w:asciiTheme="majorBidi" w:hAnsiTheme="majorBidi" w:cstheme="majorBidi"/>
          <w:sz w:val="24"/>
          <w:szCs w:val="24"/>
        </w:rPr>
        <w:t>a</w:t>
      </w:r>
      <w:r w:rsidR="00BA1C26">
        <w:rPr>
          <w:rFonts w:asciiTheme="majorBidi" w:hAnsiTheme="majorBidi" w:cstheme="majorBidi"/>
          <w:sz w:val="24"/>
          <w:szCs w:val="24"/>
        </w:rPr>
        <w:t xml:space="preserve"> cover with the headline “The Most Hated Woman in America”</w:t>
      </w:r>
      <w:r w:rsidR="0061622F">
        <w:rPr>
          <w:rFonts w:asciiTheme="majorBidi" w:hAnsiTheme="majorBidi" w:cstheme="majorBidi"/>
          <w:sz w:val="24"/>
          <w:szCs w:val="24"/>
        </w:rPr>
        <w:t xml:space="preserve"> </w:t>
      </w:r>
      <w:r w:rsidR="00BA1C26">
        <w:rPr>
          <w:rFonts w:asciiTheme="majorBidi" w:hAnsiTheme="majorBidi" w:cstheme="majorBidi"/>
          <w:sz w:val="24"/>
          <w:szCs w:val="24"/>
        </w:rPr>
        <w:t>(</w:t>
      </w:r>
      <w:r w:rsidR="0061622F">
        <w:rPr>
          <w:rFonts w:asciiTheme="majorBidi" w:hAnsiTheme="majorBidi" w:cstheme="majorBidi"/>
          <w:sz w:val="24"/>
          <w:szCs w:val="24"/>
        </w:rPr>
        <w:t>Le Beau</w:t>
      </w:r>
      <w:r w:rsidR="00555213">
        <w:rPr>
          <w:rFonts w:asciiTheme="majorBidi" w:hAnsiTheme="majorBidi" w:cstheme="majorBidi"/>
          <w:sz w:val="24"/>
          <w:szCs w:val="24"/>
        </w:rPr>
        <w:t>,</w:t>
      </w:r>
      <w:r w:rsidR="0061622F">
        <w:rPr>
          <w:rFonts w:asciiTheme="majorBidi" w:hAnsiTheme="majorBidi" w:cstheme="majorBidi"/>
          <w:sz w:val="24"/>
          <w:szCs w:val="24"/>
        </w:rPr>
        <w:t xml:space="preserve"> 2005).</w:t>
      </w:r>
      <w:r w:rsidR="00980A03">
        <w:rPr>
          <w:rFonts w:asciiTheme="majorBidi" w:hAnsiTheme="majorBidi" w:cstheme="majorBidi"/>
          <w:sz w:val="24"/>
          <w:szCs w:val="24"/>
        </w:rPr>
        <w:t xml:space="preserve"> </w:t>
      </w:r>
      <w:r w:rsidR="00BD3E9E">
        <w:rPr>
          <w:rFonts w:asciiTheme="majorBidi" w:hAnsiTheme="majorBidi" w:cstheme="majorBidi"/>
          <w:sz w:val="24"/>
          <w:szCs w:val="24"/>
        </w:rPr>
        <w:t xml:space="preserve">After O’Hair was removed from the spotlight and anti-communist sentiments began to taper, an effective secular political project could more feasibly be undertaken. </w:t>
      </w:r>
      <w:r w:rsidR="00980A03">
        <w:rPr>
          <w:rFonts w:asciiTheme="majorBidi" w:hAnsiTheme="majorBidi" w:cstheme="majorBidi"/>
          <w:sz w:val="24"/>
          <w:szCs w:val="24"/>
        </w:rPr>
        <w:t xml:space="preserve">By determining that the political moment for an atheist politics was now more possible, </w:t>
      </w:r>
      <w:r w:rsidR="00033B2D">
        <w:rPr>
          <w:rFonts w:asciiTheme="majorBidi" w:hAnsiTheme="majorBidi" w:cstheme="majorBidi"/>
          <w:sz w:val="24"/>
          <w:szCs w:val="24"/>
        </w:rPr>
        <w:t>a</w:t>
      </w:r>
      <w:r w:rsidR="00980A03">
        <w:rPr>
          <w:rFonts w:asciiTheme="majorBidi" w:hAnsiTheme="majorBidi" w:cstheme="majorBidi"/>
          <w:sz w:val="24"/>
          <w:szCs w:val="24"/>
        </w:rPr>
        <w:t xml:space="preserve"> </w:t>
      </w:r>
      <w:r w:rsidR="005463B2">
        <w:rPr>
          <w:rFonts w:asciiTheme="majorBidi" w:hAnsiTheme="majorBidi" w:cstheme="majorBidi"/>
          <w:sz w:val="24"/>
          <w:szCs w:val="24"/>
        </w:rPr>
        <w:t>less reactionary eleme</w:t>
      </w:r>
      <w:r w:rsidR="00980A03">
        <w:rPr>
          <w:rFonts w:asciiTheme="majorBidi" w:hAnsiTheme="majorBidi" w:cstheme="majorBidi"/>
          <w:sz w:val="24"/>
          <w:szCs w:val="24"/>
        </w:rPr>
        <w:t xml:space="preserve">nt of the new coalition of </w:t>
      </w:r>
      <w:r w:rsidR="001E5E23">
        <w:rPr>
          <w:rFonts w:asciiTheme="majorBidi" w:hAnsiTheme="majorBidi" w:cstheme="majorBidi"/>
          <w:sz w:val="24"/>
          <w:szCs w:val="24"/>
        </w:rPr>
        <w:t>separationist</w:t>
      </w:r>
      <w:r w:rsidR="00980A03">
        <w:rPr>
          <w:rFonts w:asciiTheme="majorBidi" w:hAnsiTheme="majorBidi" w:cstheme="majorBidi"/>
          <w:sz w:val="24"/>
          <w:szCs w:val="24"/>
        </w:rPr>
        <w:t xml:space="preserve">s becomes clearer. After all, American secularists did not </w:t>
      </w:r>
      <w:r w:rsidR="006716C4">
        <w:rPr>
          <w:rFonts w:asciiTheme="majorBidi" w:hAnsiTheme="majorBidi" w:cstheme="majorBidi"/>
          <w:sz w:val="24"/>
          <w:szCs w:val="24"/>
        </w:rPr>
        <w:t xml:space="preserve">suddenly </w:t>
      </w:r>
      <w:r w:rsidR="00980A03">
        <w:rPr>
          <w:rFonts w:asciiTheme="majorBidi" w:hAnsiTheme="majorBidi" w:cstheme="majorBidi"/>
          <w:sz w:val="24"/>
          <w:szCs w:val="24"/>
        </w:rPr>
        <w:t xml:space="preserve">emerge from nothingness over the past several decades. Susan Jacoby (2013) offers evidence for this in her book on </w:t>
      </w:r>
      <w:r w:rsidR="00C00C2D">
        <w:rPr>
          <w:rFonts w:asciiTheme="majorBidi" w:hAnsiTheme="majorBidi" w:cstheme="majorBidi"/>
          <w:sz w:val="24"/>
          <w:szCs w:val="24"/>
        </w:rPr>
        <w:t xml:space="preserve">the popular orator </w:t>
      </w:r>
      <w:r w:rsidR="00980A03">
        <w:rPr>
          <w:rFonts w:asciiTheme="majorBidi" w:hAnsiTheme="majorBidi" w:cstheme="majorBidi"/>
          <w:sz w:val="24"/>
          <w:szCs w:val="24"/>
        </w:rPr>
        <w:t xml:space="preserve">Robert Ingersoll, the nineteenth century “Great Agnostic” who embodied the American Golden Age of </w:t>
      </w:r>
      <w:r w:rsidR="00C354B5">
        <w:rPr>
          <w:rFonts w:asciiTheme="majorBidi" w:hAnsiTheme="majorBidi" w:cstheme="majorBidi"/>
          <w:sz w:val="24"/>
          <w:szCs w:val="24"/>
        </w:rPr>
        <w:t xml:space="preserve">Freethought. It </w:t>
      </w:r>
      <w:r w:rsidR="00884404">
        <w:rPr>
          <w:rFonts w:asciiTheme="majorBidi" w:hAnsiTheme="majorBidi" w:cstheme="majorBidi"/>
          <w:sz w:val="24"/>
          <w:szCs w:val="24"/>
        </w:rPr>
        <w:t xml:space="preserve">has </w:t>
      </w:r>
      <w:r w:rsidR="00C354B5">
        <w:rPr>
          <w:rFonts w:asciiTheme="majorBidi" w:hAnsiTheme="majorBidi" w:cstheme="majorBidi"/>
          <w:sz w:val="24"/>
          <w:szCs w:val="24"/>
        </w:rPr>
        <w:t>undoubtedly behooved</w:t>
      </w:r>
      <w:r w:rsidR="000A4038">
        <w:rPr>
          <w:rFonts w:asciiTheme="majorBidi" w:hAnsiTheme="majorBidi" w:cstheme="majorBidi"/>
          <w:sz w:val="24"/>
          <w:szCs w:val="24"/>
        </w:rPr>
        <w:t xml:space="preserve"> New A</w:t>
      </w:r>
      <w:r w:rsidR="00C354B5">
        <w:rPr>
          <w:rFonts w:asciiTheme="majorBidi" w:hAnsiTheme="majorBidi" w:cstheme="majorBidi"/>
          <w:sz w:val="24"/>
          <w:szCs w:val="24"/>
        </w:rPr>
        <w:t xml:space="preserve">theist figures such as Christopher Hitchens and Sam Harris to </w:t>
      </w:r>
      <w:r w:rsidR="00884404">
        <w:rPr>
          <w:rFonts w:asciiTheme="majorBidi" w:hAnsiTheme="majorBidi" w:cstheme="majorBidi"/>
          <w:sz w:val="24"/>
          <w:szCs w:val="24"/>
        </w:rPr>
        <w:t>root their</w:t>
      </w:r>
      <w:r w:rsidR="00C354B5">
        <w:rPr>
          <w:rFonts w:asciiTheme="majorBidi" w:hAnsiTheme="majorBidi" w:cstheme="majorBidi"/>
          <w:sz w:val="24"/>
          <w:szCs w:val="24"/>
        </w:rPr>
        <w:t xml:space="preserve"> secularism</w:t>
      </w:r>
      <w:r w:rsidR="00884404">
        <w:rPr>
          <w:rFonts w:asciiTheme="majorBidi" w:hAnsiTheme="majorBidi" w:cstheme="majorBidi"/>
          <w:sz w:val="24"/>
          <w:szCs w:val="24"/>
        </w:rPr>
        <w:t xml:space="preserve"> in the tradition of patriotism</w:t>
      </w:r>
      <w:r w:rsidR="00C354B5">
        <w:rPr>
          <w:rFonts w:asciiTheme="majorBidi" w:hAnsiTheme="majorBidi" w:cstheme="majorBidi"/>
          <w:sz w:val="24"/>
          <w:szCs w:val="24"/>
        </w:rPr>
        <w:t>, a characteristic that draws sharp contrast between Ingersoll the Civil War veteran and O’Hair the would-be defector to the Soviet Union</w:t>
      </w:r>
      <w:r w:rsidR="00E55AD4">
        <w:rPr>
          <w:rFonts w:asciiTheme="majorBidi" w:hAnsiTheme="majorBidi" w:cstheme="majorBidi"/>
          <w:sz w:val="24"/>
          <w:szCs w:val="24"/>
        </w:rPr>
        <w:t xml:space="preserve"> (</w:t>
      </w:r>
      <w:proofErr w:type="spellStart"/>
      <w:r w:rsidR="00E55AD4">
        <w:rPr>
          <w:rFonts w:asciiTheme="majorBidi" w:hAnsiTheme="majorBidi" w:cstheme="majorBidi"/>
          <w:sz w:val="24"/>
          <w:szCs w:val="24"/>
        </w:rPr>
        <w:t>Bullivant</w:t>
      </w:r>
      <w:proofErr w:type="spellEnd"/>
      <w:r w:rsidR="00E55AD4">
        <w:rPr>
          <w:rFonts w:asciiTheme="majorBidi" w:hAnsiTheme="majorBidi" w:cstheme="majorBidi"/>
          <w:sz w:val="24"/>
          <w:szCs w:val="24"/>
        </w:rPr>
        <w:t xml:space="preserve"> 2010).</w:t>
      </w:r>
      <w:r w:rsidR="005E78BF">
        <w:rPr>
          <w:rStyle w:val="FootnoteReference"/>
          <w:rFonts w:asciiTheme="majorBidi" w:hAnsiTheme="majorBidi" w:cstheme="majorBidi"/>
          <w:sz w:val="24"/>
          <w:szCs w:val="24"/>
        </w:rPr>
        <w:footnoteReference w:id="12"/>
      </w:r>
      <w:r w:rsidR="0061184B">
        <w:rPr>
          <w:rFonts w:asciiTheme="majorBidi" w:hAnsiTheme="majorBidi" w:cstheme="majorBidi"/>
          <w:sz w:val="24"/>
          <w:szCs w:val="24"/>
        </w:rPr>
        <w:t xml:space="preserve"> The </w:t>
      </w:r>
      <w:r w:rsidR="0061184B">
        <w:rPr>
          <w:rFonts w:asciiTheme="majorBidi" w:hAnsiTheme="majorBidi" w:cstheme="majorBidi"/>
          <w:sz w:val="24"/>
          <w:szCs w:val="24"/>
        </w:rPr>
        <w:lastRenderedPageBreak/>
        <w:t xml:space="preserve">contemporary American political scene can </w:t>
      </w:r>
      <w:r w:rsidR="00BA0894">
        <w:rPr>
          <w:rFonts w:asciiTheme="majorBidi" w:hAnsiTheme="majorBidi" w:cstheme="majorBidi"/>
          <w:sz w:val="24"/>
          <w:szCs w:val="24"/>
        </w:rPr>
        <w:t xml:space="preserve">thus </w:t>
      </w:r>
      <w:r w:rsidR="0061184B">
        <w:rPr>
          <w:rFonts w:asciiTheme="majorBidi" w:hAnsiTheme="majorBidi" w:cstheme="majorBidi"/>
          <w:sz w:val="24"/>
          <w:szCs w:val="24"/>
        </w:rPr>
        <w:t xml:space="preserve">be viewed as the first moment in over a century that secularists </w:t>
      </w:r>
      <w:r w:rsidR="002A2F87">
        <w:rPr>
          <w:rFonts w:asciiTheme="majorBidi" w:hAnsiTheme="majorBidi" w:cstheme="majorBidi"/>
          <w:sz w:val="24"/>
          <w:szCs w:val="24"/>
        </w:rPr>
        <w:t xml:space="preserve">have </w:t>
      </w:r>
      <w:r w:rsidR="009D3DEE">
        <w:rPr>
          <w:rFonts w:asciiTheme="majorBidi" w:hAnsiTheme="majorBidi" w:cstheme="majorBidi"/>
          <w:sz w:val="24"/>
          <w:szCs w:val="24"/>
        </w:rPr>
        <w:t>been able</w:t>
      </w:r>
      <w:r w:rsidR="002A2F87">
        <w:rPr>
          <w:rFonts w:asciiTheme="majorBidi" w:hAnsiTheme="majorBidi" w:cstheme="majorBidi"/>
          <w:sz w:val="24"/>
          <w:szCs w:val="24"/>
        </w:rPr>
        <w:t xml:space="preserve"> to organize and pursue their interests </w:t>
      </w:r>
      <w:r w:rsidR="00BA0894">
        <w:rPr>
          <w:rFonts w:asciiTheme="majorBidi" w:hAnsiTheme="majorBidi" w:cstheme="majorBidi"/>
          <w:sz w:val="24"/>
          <w:szCs w:val="24"/>
        </w:rPr>
        <w:t>with some efficacy.</w:t>
      </w:r>
    </w:p>
    <w:p w14:paraId="19DDBEA3" w14:textId="078F08B6" w:rsidR="0003480E" w:rsidRDefault="00F95E19" w:rsidP="00DA62CB">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While it is true that the present political climate is one that has been conducive for the rise of secular politics, this does not fully explain how such a reportedly minuscule percentage of the population has organized into such a widespread and growing alliance of advocacy groups.</w:t>
      </w:r>
      <w:r w:rsidR="00CB5B18">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w:t>
      </w:r>
      <w:r w:rsidR="008A466D">
        <w:rPr>
          <w:rFonts w:asciiTheme="majorBidi" w:hAnsiTheme="majorBidi" w:cstheme="majorBidi"/>
          <w:sz w:val="24"/>
          <w:szCs w:val="24"/>
        </w:rPr>
        <w:t>The highly-visible and politically active leaders of what has been termed the “New Atheism” aid in explaining how an elite-driven agenda has been principal in organizing secularists and attracting funding and membership to already established atheist,</w:t>
      </w:r>
      <w:r w:rsidR="00D33942">
        <w:rPr>
          <w:rFonts w:asciiTheme="majorBidi" w:hAnsiTheme="majorBidi" w:cstheme="majorBidi"/>
          <w:sz w:val="24"/>
          <w:szCs w:val="24"/>
        </w:rPr>
        <w:t xml:space="preserve"> secular, and humanist groups. </w:t>
      </w:r>
      <w:r w:rsidR="001B72AC">
        <w:rPr>
          <w:rFonts w:asciiTheme="majorBidi" w:hAnsiTheme="majorBidi" w:cstheme="majorBidi"/>
          <w:sz w:val="24"/>
          <w:szCs w:val="24"/>
        </w:rPr>
        <w:t xml:space="preserve">The most famous of these new atheist leaders have been dubbed the “Four Horsemen of New </w:t>
      </w:r>
      <w:r w:rsidR="00F32419">
        <w:rPr>
          <w:rFonts w:asciiTheme="majorBidi" w:hAnsiTheme="majorBidi" w:cstheme="majorBidi"/>
          <w:sz w:val="24"/>
          <w:szCs w:val="24"/>
        </w:rPr>
        <w:t>Atheism,</w:t>
      </w:r>
      <w:r w:rsidR="00133741">
        <w:rPr>
          <w:rFonts w:asciiTheme="majorBidi" w:hAnsiTheme="majorBidi" w:cstheme="majorBidi"/>
          <w:sz w:val="24"/>
          <w:szCs w:val="24"/>
        </w:rPr>
        <w:t>” these atheist</w:t>
      </w:r>
      <w:r w:rsidR="00794139">
        <w:rPr>
          <w:rFonts w:asciiTheme="majorBidi" w:hAnsiTheme="majorBidi" w:cstheme="majorBidi"/>
          <w:sz w:val="24"/>
          <w:szCs w:val="24"/>
        </w:rPr>
        <w:t>s</w:t>
      </w:r>
      <w:r w:rsidR="00133741">
        <w:rPr>
          <w:rFonts w:asciiTheme="majorBidi" w:hAnsiTheme="majorBidi" w:cstheme="majorBidi"/>
          <w:sz w:val="24"/>
          <w:szCs w:val="24"/>
        </w:rPr>
        <w:t xml:space="preserve"> such as Richard Dawkins and Sam Harris have </w:t>
      </w:r>
      <w:r w:rsidR="001B72AC">
        <w:rPr>
          <w:rFonts w:asciiTheme="majorBidi" w:hAnsiTheme="majorBidi" w:cstheme="majorBidi"/>
          <w:sz w:val="24"/>
          <w:szCs w:val="24"/>
        </w:rPr>
        <w:t>been instrumental in organizing their efforts via bestselling books, frequent media appearances, and national and international conferences.</w:t>
      </w:r>
      <w:r w:rsidR="001B72AC">
        <w:rPr>
          <w:rStyle w:val="FootnoteReference"/>
          <w:rFonts w:asciiTheme="majorBidi" w:hAnsiTheme="majorBidi" w:cstheme="majorBidi"/>
          <w:sz w:val="24"/>
          <w:szCs w:val="24"/>
        </w:rPr>
        <w:footnoteReference w:id="14"/>
      </w:r>
      <w:r w:rsidR="004D59C1">
        <w:rPr>
          <w:rFonts w:asciiTheme="majorBidi" w:hAnsiTheme="majorBidi" w:cstheme="majorBidi"/>
          <w:sz w:val="24"/>
          <w:szCs w:val="24"/>
        </w:rPr>
        <w:t xml:space="preserve"> The Four Horsemen in addition to dozens of other lesser figures</w:t>
      </w:r>
      <w:r w:rsidR="00794139">
        <w:rPr>
          <w:rFonts w:asciiTheme="majorBidi" w:hAnsiTheme="majorBidi" w:cstheme="majorBidi"/>
          <w:sz w:val="24"/>
          <w:szCs w:val="24"/>
        </w:rPr>
        <w:t xml:space="preserve"> currently hold an assortment of presidential positions and </w:t>
      </w:r>
      <w:r w:rsidR="004D59C1">
        <w:rPr>
          <w:rFonts w:asciiTheme="majorBidi" w:hAnsiTheme="majorBidi" w:cstheme="majorBidi"/>
          <w:sz w:val="24"/>
          <w:szCs w:val="24"/>
        </w:rPr>
        <w:t>seats on the boards of directors of organizations such as the Secular Coalition for America</w:t>
      </w:r>
      <w:r w:rsidR="003C408A">
        <w:rPr>
          <w:rFonts w:asciiTheme="majorBidi" w:hAnsiTheme="majorBidi" w:cstheme="majorBidi"/>
          <w:sz w:val="24"/>
          <w:szCs w:val="24"/>
        </w:rPr>
        <w:t xml:space="preserve"> and the FFRF (S</w:t>
      </w:r>
      <w:r w:rsidR="00DA62CB">
        <w:rPr>
          <w:rFonts w:asciiTheme="majorBidi" w:hAnsiTheme="majorBidi" w:cstheme="majorBidi"/>
          <w:sz w:val="24"/>
          <w:szCs w:val="24"/>
        </w:rPr>
        <w:t>ecular Coalition for America,</w:t>
      </w:r>
      <w:r w:rsidR="003C408A">
        <w:rPr>
          <w:rFonts w:asciiTheme="majorBidi" w:hAnsiTheme="majorBidi" w:cstheme="majorBidi"/>
          <w:sz w:val="24"/>
          <w:szCs w:val="24"/>
        </w:rPr>
        <w:t xml:space="preserve"> 2013: </w:t>
      </w:r>
      <w:r w:rsidR="00DA62CB">
        <w:rPr>
          <w:rFonts w:asciiTheme="majorBidi" w:hAnsiTheme="majorBidi" w:cstheme="majorBidi"/>
          <w:sz w:val="24"/>
          <w:szCs w:val="24"/>
        </w:rPr>
        <w:t>Freedom From Religion Foundation,</w:t>
      </w:r>
      <w:r w:rsidR="005E7CA6">
        <w:rPr>
          <w:rFonts w:asciiTheme="majorBidi" w:hAnsiTheme="majorBidi" w:cstheme="majorBidi"/>
          <w:sz w:val="24"/>
          <w:szCs w:val="24"/>
        </w:rPr>
        <w:t xml:space="preserve"> 2013</w:t>
      </w:r>
      <w:r w:rsidR="00374927">
        <w:rPr>
          <w:rFonts w:asciiTheme="majorBidi" w:hAnsiTheme="majorBidi" w:cstheme="majorBidi"/>
          <w:sz w:val="24"/>
          <w:szCs w:val="24"/>
        </w:rPr>
        <w:t>a</w:t>
      </w:r>
      <w:r w:rsidR="005E7CA6">
        <w:rPr>
          <w:rFonts w:asciiTheme="majorBidi" w:hAnsiTheme="majorBidi" w:cstheme="majorBidi"/>
          <w:sz w:val="24"/>
          <w:szCs w:val="24"/>
        </w:rPr>
        <w:t>). Commentators have linked these formal and informal ties among leaders and organizations with a recent massive growth of funding and membership in these organizations (Williamson &amp; Yancey</w:t>
      </w:r>
      <w:r w:rsidR="00DE4292">
        <w:rPr>
          <w:rFonts w:asciiTheme="majorBidi" w:hAnsiTheme="majorBidi" w:cstheme="majorBidi"/>
          <w:sz w:val="24"/>
          <w:szCs w:val="24"/>
        </w:rPr>
        <w:t>, 2012</w:t>
      </w:r>
      <w:r w:rsidR="005E7CA6">
        <w:rPr>
          <w:rFonts w:asciiTheme="majorBidi" w:hAnsiTheme="majorBidi" w:cstheme="majorBidi"/>
          <w:sz w:val="24"/>
          <w:szCs w:val="24"/>
        </w:rPr>
        <w:t xml:space="preserve">). For example, </w:t>
      </w:r>
      <w:r w:rsidR="00FC6C0A">
        <w:rPr>
          <w:rFonts w:asciiTheme="majorBidi" w:hAnsiTheme="majorBidi" w:cstheme="majorBidi"/>
          <w:sz w:val="24"/>
          <w:szCs w:val="24"/>
        </w:rPr>
        <w:t>the FFRF has seen a 130% growth in membership and millions of dollars in donations, bringing the group up to almost 20,000 dues-paying members (Wing</w:t>
      </w:r>
      <w:r w:rsidR="00555213">
        <w:rPr>
          <w:rFonts w:asciiTheme="majorBidi" w:hAnsiTheme="majorBidi" w:cstheme="majorBidi"/>
          <w:sz w:val="24"/>
          <w:szCs w:val="24"/>
        </w:rPr>
        <w:t>,</w:t>
      </w:r>
      <w:r w:rsidR="00FC6C0A">
        <w:rPr>
          <w:rFonts w:asciiTheme="majorBidi" w:hAnsiTheme="majorBidi" w:cstheme="majorBidi"/>
          <w:sz w:val="24"/>
          <w:szCs w:val="24"/>
        </w:rPr>
        <w:t xml:space="preserve"> 2013). </w:t>
      </w:r>
      <w:r w:rsidR="00847855">
        <w:rPr>
          <w:rFonts w:asciiTheme="majorBidi" w:hAnsiTheme="majorBidi" w:cstheme="majorBidi"/>
          <w:sz w:val="24"/>
          <w:szCs w:val="24"/>
        </w:rPr>
        <w:t xml:space="preserve">In many ways, these institutions </w:t>
      </w:r>
      <w:r w:rsidR="00847855">
        <w:rPr>
          <w:rFonts w:asciiTheme="majorBidi" w:hAnsiTheme="majorBidi" w:cstheme="majorBidi"/>
          <w:sz w:val="24"/>
          <w:szCs w:val="24"/>
        </w:rPr>
        <w:lastRenderedPageBreak/>
        <w:t xml:space="preserve">have parallels to Religious Right </w:t>
      </w:r>
      <w:r w:rsidR="002C63BB">
        <w:rPr>
          <w:rFonts w:asciiTheme="majorBidi" w:hAnsiTheme="majorBidi" w:cstheme="majorBidi"/>
          <w:sz w:val="24"/>
          <w:szCs w:val="24"/>
        </w:rPr>
        <w:t xml:space="preserve">elite-driven </w:t>
      </w:r>
      <w:r w:rsidR="00847855">
        <w:rPr>
          <w:rFonts w:asciiTheme="majorBidi" w:hAnsiTheme="majorBidi" w:cstheme="majorBidi"/>
          <w:sz w:val="24"/>
          <w:szCs w:val="24"/>
        </w:rPr>
        <w:t>organizations such as Pat Robertson’s Christian Coalition and Jerry Falwell’s</w:t>
      </w:r>
      <w:r w:rsidR="002C63BB">
        <w:rPr>
          <w:rFonts w:asciiTheme="majorBidi" w:hAnsiTheme="majorBidi" w:cstheme="majorBidi"/>
          <w:sz w:val="24"/>
          <w:szCs w:val="24"/>
        </w:rPr>
        <w:t xml:space="preserve"> Moral Majority</w:t>
      </w:r>
      <w:r w:rsidR="003C408A">
        <w:rPr>
          <w:rFonts w:asciiTheme="majorBidi" w:hAnsiTheme="majorBidi" w:cstheme="majorBidi"/>
          <w:sz w:val="24"/>
          <w:szCs w:val="24"/>
        </w:rPr>
        <w:t>. A</w:t>
      </w:r>
      <w:r w:rsidR="000F330B">
        <w:rPr>
          <w:rFonts w:asciiTheme="majorBidi" w:hAnsiTheme="majorBidi" w:cstheme="majorBidi"/>
          <w:sz w:val="24"/>
          <w:szCs w:val="24"/>
        </w:rPr>
        <w:t>s a consequence, they have had much more latitude to pursue</w:t>
      </w:r>
      <w:r w:rsidR="00EA5D6A">
        <w:rPr>
          <w:rFonts w:asciiTheme="majorBidi" w:hAnsiTheme="majorBidi" w:cstheme="majorBidi"/>
          <w:sz w:val="24"/>
          <w:szCs w:val="24"/>
        </w:rPr>
        <w:t xml:space="preserve"> not only </w:t>
      </w:r>
      <w:r w:rsidR="006715DE">
        <w:rPr>
          <w:rFonts w:asciiTheme="majorBidi" w:hAnsiTheme="majorBidi" w:cstheme="majorBidi"/>
          <w:sz w:val="24"/>
          <w:szCs w:val="24"/>
        </w:rPr>
        <w:t>nonsectarian</w:t>
      </w:r>
      <w:r w:rsidR="00EA5D6A">
        <w:rPr>
          <w:rFonts w:asciiTheme="majorBidi" w:hAnsiTheme="majorBidi" w:cstheme="majorBidi"/>
          <w:sz w:val="24"/>
          <w:szCs w:val="24"/>
        </w:rPr>
        <w:t xml:space="preserve"> goals but also</w:t>
      </w:r>
      <w:r w:rsidR="000F330B">
        <w:rPr>
          <w:rFonts w:asciiTheme="majorBidi" w:hAnsiTheme="majorBidi" w:cstheme="majorBidi"/>
          <w:sz w:val="24"/>
          <w:szCs w:val="24"/>
        </w:rPr>
        <w:t xml:space="preserve"> </w:t>
      </w:r>
      <w:r w:rsidR="00B40428">
        <w:rPr>
          <w:rFonts w:asciiTheme="majorBidi" w:hAnsiTheme="majorBidi" w:cstheme="majorBidi"/>
          <w:sz w:val="24"/>
          <w:szCs w:val="24"/>
        </w:rPr>
        <w:t xml:space="preserve">more radically </w:t>
      </w:r>
      <w:r w:rsidR="001E5E23">
        <w:rPr>
          <w:rFonts w:asciiTheme="majorBidi" w:hAnsiTheme="majorBidi" w:cstheme="majorBidi"/>
          <w:sz w:val="24"/>
          <w:szCs w:val="24"/>
        </w:rPr>
        <w:t>separationist</w:t>
      </w:r>
      <w:r w:rsidR="00B40428">
        <w:rPr>
          <w:rFonts w:asciiTheme="majorBidi" w:hAnsiTheme="majorBidi" w:cstheme="majorBidi"/>
          <w:sz w:val="24"/>
          <w:szCs w:val="24"/>
        </w:rPr>
        <w:t xml:space="preserve"> </w:t>
      </w:r>
      <w:r w:rsidR="00EA5D6A">
        <w:rPr>
          <w:rFonts w:asciiTheme="majorBidi" w:hAnsiTheme="majorBidi" w:cstheme="majorBidi"/>
          <w:sz w:val="24"/>
          <w:szCs w:val="24"/>
        </w:rPr>
        <w:t>ones</w:t>
      </w:r>
      <w:r w:rsidR="00B40428">
        <w:rPr>
          <w:rFonts w:asciiTheme="majorBidi" w:hAnsiTheme="majorBidi" w:cstheme="majorBidi"/>
          <w:sz w:val="24"/>
          <w:szCs w:val="24"/>
        </w:rPr>
        <w:t xml:space="preserve"> </w:t>
      </w:r>
      <w:r w:rsidR="004757B1">
        <w:rPr>
          <w:rFonts w:asciiTheme="majorBidi" w:hAnsiTheme="majorBidi" w:cstheme="majorBidi"/>
          <w:sz w:val="24"/>
          <w:szCs w:val="24"/>
        </w:rPr>
        <w:t>than the org</w:t>
      </w:r>
      <w:r w:rsidR="00EA5D6A">
        <w:rPr>
          <w:rFonts w:asciiTheme="majorBidi" w:hAnsiTheme="majorBidi" w:cstheme="majorBidi"/>
          <w:sz w:val="24"/>
          <w:szCs w:val="24"/>
        </w:rPr>
        <w:t>anizations of the old coalitio</w:t>
      </w:r>
      <w:r w:rsidR="0003480E">
        <w:rPr>
          <w:rFonts w:asciiTheme="majorBidi" w:hAnsiTheme="majorBidi" w:cstheme="majorBidi"/>
          <w:sz w:val="24"/>
          <w:szCs w:val="24"/>
        </w:rPr>
        <w:t>n.</w:t>
      </w:r>
    </w:p>
    <w:p w14:paraId="6AE73693" w14:textId="77777777" w:rsidR="0003480E" w:rsidRDefault="0003480E" w:rsidP="00832F52">
      <w:pPr>
        <w:spacing w:line="480" w:lineRule="auto"/>
        <w:contextualSpacing/>
        <w:rPr>
          <w:rFonts w:asciiTheme="majorBidi" w:hAnsiTheme="majorBidi" w:cstheme="majorBidi"/>
          <w:sz w:val="24"/>
          <w:szCs w:val="24"/>
        </w:rPr>
      </w:pPr>
    </w:p>
    <w:p w14:paraId="43258A8E" w14:textId="65201D15" w:rsidR="0003480E" w:rsidRDefault="0003480E" w:rsidP="00832F52">
      <w:pPr>
        <w:spacing w:line="480" w:lineRule="auto"/>
        <w:contextualSpacing/>
        <w:rPr>
          <w:rFonts w:asciiTheme="majorBidi" w:hAnsiTheme="majorBidi" w:cstheme="majorBidi"/>
          <w:sz w:val="24"/>
          <w:szCs w:val="24"/>
        </w:rPr>
      </w:pPr>
      <w:r>
        <w:rPr>
          <w:rFonts w:asciiTheme="majorBidi" w:hAnsiTheme="majorBidi" w:cstheme="majorBidi"/>
          <w:b/>
          <w:bCs/>
          <w:sz w:val="24"/>
          <w:szCs w:val="24"/>
        </w:rPr>
        <w:t xml:space="preserve">Similarities and Differences between the New and Old Coalitions’ </w:t>
      </w:r>
      <w:r w:rsidR="0024262A">
        <w:rPr>
          <w:rFonts w:asciiTheme="majorBidi" w:hAnsiTheme="majorBidi" w:cstheme="majorBidi"/>
          <w:b/>
          <w:bCs/>
          <w:sz w:val="24"/>
          <w:szCs w:val="24"/>
        </w:rPr>
        <w:t xml:space="preserve">Political and </w:t>
      </w:r>
      <w:r>
        <w:rPr>
          <w:rFonts w:asciiTheme="majorBidi" w:hAnsiTheme="majorBidi" w:cstheme="majorBidi"/>
          <w:b/>
          <w:bCs/>
          <w:sz w:val="24"/>
          <w:szCs w:val="24"/>
        </w:rPr>
        <w:t xml:space="preserve">Legal </w:t>
      </w:r>
      <w:r w:rsidR="008D5B90">
        <w:rPr>
          <w:rFonts w:asciiTheme="majorBidi" w:hAnsiTheme="majorBidi" w:cstheme="majorBidi"/>
          <w:b/>
          <w:bCs/>
          <w:sz w:val="24"/>
          <w:szCs w:val="24"/>
        </w:rPr>
        <w:t>Approaches</w:t>
      </w:r>
    </w:p>
    <w:p w14:paraId="12414BD2" w14:textId="29749C5D" w:rsidR="0003480E" w:rsidRDefault="002F564B" w:rsidP="002C0B3A">
      <w:pPr>
        <w:spacing w:line="480" w:lineRule="auto"/>
        <w:contextualSpacing/>
        <w:rPr>
          <w:rFonts w:asciiTheme="majorBidi" w:hAnsiTheme="majorBidi" w:cstheme="majorBidi"/>
          <w:sz w:val="24"/>
          <w:szCs w:val="24"/>
        </w:rPr>
      </w:pPr>
      <w:r>
        <w:rPr>
          <w:rFonts w:asciiTheme="majorBidi" w:hAnsiTheme="majorBidi" w:cstheme="majorBidi"/>
          <w:sz w:val="24"/>
          <w:szCs w:val="24"/>
        </w:rPr>
        <w:tab/>
        <w:t xml:space="preserve">The following section considers various court cases and amicus briefs in order to delineate the principles and strategies by which the new and old coalitions approach </w:t>
      </w:r>
      <w:r w:rsidR="007C36DB">
        <w:rPr>
          <w:rFonts w:asciiTheme="majorBidi" w:hAnsiTheme="majorBidi" w:cstheme="majorBidi"/>
          <w:sz w:val="24"/>
          <w:szCs w:val="24"/>
        </w:rPr>
        <w:t>religious establishment, free exercise, and free speech issues</w:t>
      </w:r>
      <w:r>
        <w:rPr>
          <w:rFonts w:asciiTheme="majorBidi" w:hAnsiTheme="majorBidi" w:cstheme="majorBidi"/>
          <w:sz w:val="24"/>
          <w:szCs w:val="24"/>
        </w:rPr>
        <w:t xml:space="preserve">. </w:t>
      </w:r>
      <w:r w:rsidR="0002595B">
        <w:rPr>
          <w:rFonts w:asciiTheme="majorBidi" w:hAnsiTheme="majorBidi" w:cstheme="majorBidi"/>
          <w:sz w:val="24"/>
          <w:szCs w:val="24"/>
        </w:rPr>
        <w:t>As the previous section has demonstrated, t</w:t>
      </w:r>
      <w:r w:rsidR="00927B15">
        <w:rPr>
          <w:rFonts w:asciiTheme="majorBidi" w:hAnsiTheme="majorBidi" w:cstheme="majorBidi"/>
          <w:sz w:val="24"/>
          <w:szCs w:val="24"/>
        </w:rPr>
        <w:t xml:space="preserve">he </w:t>
      </w:r>
      <w:r w:rsidR="001E5E23">
        <w:rPr>
          <w:rFonts w:asciiTheme="majorBidi" w:hAnsiTheme="majorBidi" w:cstheme="majorBidi"/>
          <w:sz w:val="24"/>
          <w:szCs w:val="24"/>
        </w:rPr>
        <w:t>separationist</w:t>
      </w:r>
      <w:r w:rsidR="0002595B">
        <w:rPr>
          <w:rFonts w:asciiTheme="majorBidi" w:hAnsiTheme="majorBidi" w:cstheme="majorBidi"/>
          <w:sz w:val="24"/>
          <w:szCs w:val="24"/>
        </w:rPr>
        <w:t xml:space="preserve"> response to the Religious Right has been a fractured one</w:t>
      </w:r>
      <w:r w:rsidR="00CB0C78">
        <w:rPr>
          <w:rFonts w:asciiTheme="majorBidi" w:hAnsiTheme="majorBidi" w:cstheme="majorBidi"/>
          <w:sz w:val="24"/>
          <w:szCs w:val="24"/>
        </w:rPr>
        <w:t xml:space="preserve"> due to the differences not only in founding</w:t>
      </w:r>
      <w:r w:rsidR="00F24C1F">
        <w:rPr>
          <w:rFonts w:asciiTheme="majorBidi" w:hAnsiTheme="majorBidi" w:cstheme="majorBidi"/>
          <w:sz w:val="24"/>
          <w:szCs w:val="24"/>
        </w:rPr>
        <w:t xml:space="preserve"> and constitutive pr</w:t>
      </w:r>
      <w:r w:rsidR="00CB0C78">
        <w:rPr>
          <w:rFonts w:asciiTheme="majorBidi" w:hAnsiTheme="majorBidi" w:cstheme="majorBidi"/>
          <w:sz w:val="24"/>
          <w:szCs w:val="24"/>
        </w:rPr>
        <w:t>inciple</w:t>
      </w:r>
      <w:r w:rsidR="00F24C1F">
        <w:rPr>
          <w:rFonts w:asciiTheme="majorBidi" w:hAnsiTheme="majorBidi" w:cstheme="majorBidi"/>
          <w:sz w:val="24"/>
          <w:szCs w:val="24"/>
        </w:rPr>
        <w:t>s and identities</w:t>
      </w:r>
      <w:r w:rsidR="00CB0C78">
        <w:rPr>
          <w:rFonts w:asciiTheme="majorBidi" w:hAnsiTheme="majorBidi" w:cstheme="majorBidi"/>
          <w:sz w:val="24"/>
          <w:szCs w:val="24"/>
        </w:rPr>
        <w:t xml:space="preserve"> but also</w:t>
      </w:r>
      <w:r w:rsidR="0002595B">
        <w:rPr>
          <w:rFonts w:asciiTheme="majorBidi" w:hAnsiTheme="majorBidi" w:cstheme="majorBidi"/>
          <w:sz w:val="24"/>
          <w:szCs w:val="24"/>
        </w:rPr>
        <w:t xml:space="preserve"> the historical context during which each coalition formed. </w:t>
      </w:r>
      <w:r w:rsidR="0049465E">
        <w:rPr>
          <w:rFonts w:asciiTheme="majorBidi" w:hAnsiTheme="majorBidi" w:cstheme="majorBidi"/>
          <w:sz w:val="24"/>
          <w:szCs w:val="24"/>
        </w:rPr>
        <w:t>Although both alliances seek to oppose government endorsements of Christianity in particular,</w:t>
      </w:r>
      <w:r w:rsidR="007F4A50">
        <w:rPr>
          <w:rFonts w:asciiTheme="majorBidi" w:hAnsiTheme="majorBidi" w:cstheme="majorBidi"/>
          <w:sz w:val="24"/>
          <w:szCs w:val="24"/>
        </w:rPr>
        <w:t xml:space="preserve"> the </w:t>
      </w:r>
      <w:r w:rsidR="0049465E">
        <w:rPr>
          <w:rFonts w:asciiTheme="majorBidi" w:hAnsiTheme="majorBidi" w:cstheme="majorBidi"/>
          <w:sz w:val="24"/>
          <w:szCs w:val="24"/>
        </w:rPr>
        <w:t xml:space="preserve">old coalition’s preference for </w:t>
      </w:r>
      <w:r w:rsidR="006715DE">
        <w:rPr>
          <w:rFonts w:asciiTheme="majorBidi" w:hAnsiTheme="majorBidi" w:cstheme="majorBidi"/>
          <w:sz w:val="24"/>
          <w:szCs w:val="24"/>
        </w:rPr>
        <w:t>nonsectarian</w:t>
      </w:r>
      <w:r w:rsidR="0049465E">
        <w:rPr>
          <w:rFonts w:asciiTheme="majorBidi" w:hAnsiTheme="majorBidi" w:cstheme="majorBidi"/>
          <w:sz w:val="24"/>
          <w:szCs w:val="24"/>
        </w:rPr>
        <w:t xml:space="preserve"> aims has in certain instances met competition from the new coalition’s </w:t>
      </w:r>
      <w:r w:rsidR="00CB0C78">
        <w:rPr>
          <w:rFonts w:asciiTheme="majorBidi" w:hAnsiTheme="majorBidi" w:cstheme="majorBidi"/>
          <w:sz w:val="24"/>
          <w:szCs w:val="24"/>
        </w:rPr>
        <w:t xml:space="preserve">more diverse </w:t>
      </w:r>
      <w:r w:rsidR="0049465E">
        <w:rPr>
          <w:rFonts w:asciiTheme="majorBidi" w:hAnsiTheme="majorBidi" w:cstheme="majorBidi"/>
          <w:sz w:val="24"/>
          <w:szCs w:val="24"/>
        </w:rPr>
        <w:t>desire</w:t>
      </w:r>
      <w:r w:rsidR="00CB0C78">
        <w:rPr>
          <w:rFonts w:asciiTheme="majorBidi" w:hAnsiTheme="majorBidi" w:cstheme="majorBidi"/>
          <w:sz w:val="24"/>
          <w:szCs w:val="24"/>
        </w:rPr>
        <w:t>s including</w:t>
      </w:r>
      <w:r w:rsidR="0049465E">
        <w:rPr>
          <w:rFonts w:asciiTheme="majorBidi" w:hAnsiTheme="majorBidi" w:cstheme="majorBidi"/>
          <w:sz w:val="24"/>
          <w:szCs w:val="24"/>
        </w:rPr>
        <w:t xml:space="preserve"> the</w:t>
      </w:r>
      <w:r w:rsidR="00CB0C78">
        <w:rPr>
          <w:rFonts w:asciiTheme="majorBidi" w:hAnsiTheme="majorBidi" w:cstheme="majorBidi"/>
          <w:sz w:val="24"/>
          <w:szCs w:val="24"/>
        </w:rPr>
        <w:t xml:space="preserve"> political</w:t>
      </w:r>
      <w:r w:rsidR="0049465E">
        <w:rPr>
          <w:rFonts w:asciiTheme="majorBidi" w:hAnsiTheme="majorBidi" w:cstheme="majorBidi"/>
          <w:sz w:val="24"/>
          <w:szCs w:val="24"/>
        </w:rPr>
        <w:t xml:space="preserve"> recognition</w:t>
      </w:r>
      <w:r w:rsidR="00CB0C78">
        <w:rPr>
          <w:rFonts w:asciiTheme="majorBidi" w:hAnsiTheme="majorBidi" w:cstheme="majorBidi"/>
          <w:sz w:val="24"/>
          <w:szCs w:val="24"/>
        </w:rPr>
        <w:t xml:space="preserve"> and rights of atheists as well </w:t>
      </w:r>
      <w:r w:rsidR="002C0B3A">
        <w:rPr>
          <w:rFonts w:asciiTheme="majorBidi" w:hAnsiTheme="majorBidi" w:cstheme="majorBidi"/>
          <w:sz w:val="24"/>
          <w:szCs w:val="24"/>
        </w:rPr>
        <w:t xml:space="preserve">as </w:t>
      </w:r>
      <w:r w:rsidR="007C36DB">
        <w:rPr>
          <w:rFonts w:asciiTheme="majorBidi" w:hAnsiTheme="majorBidi" w:cstheme="majorBidi"/>
          <w:sz w:val="24"/>
          <w:szCs w:val="24"/>
        </w:rPr>
        <w:t>an acknowledgement of secularism</w:t>
      </w:r>
      <w:r w:rsidR="000949FF">
        <w:rPr>
          <w:rFonts w:asciiTheme="majorBidi" w:hAnsiTheme="majorBidi" w:cstheme="majorBidi"/>
          <w:sz w:val="24"/>
          <w:szCs w:val="24"/>
        </w:rPr>
        <w:t>—and antireligious sentiment—</w:t>
      </w:r>
      <w:r w:rsidR="007C36DB">
        <w:rPr>
          <w:rFonts w:asciiTheme="majorBidi" w:hAnsiTheme="majorBidi" w:cstheme="majorBidi"/>
          <w:sz w:val="24"/>
          <w:szCs w:val="24"/>
        </w:rPr>
        <w:t xml:space="preserve">as </w:t>
      </w:r>
      <w:r w:rsidR="000949FF">
        <w:rPr>
          <w:rFonts w:asciiTheme="majorBidi" w:hAnsiTheme="majorBidi" w:cstheme="majorBidi"/>
          <w:sz w:val="24"/>
          <w:szCs w:val="24"/>
        </w:rPr>
        <w:t xml:space="preserve">a key </w:t>
      </w:r>
      <w:r w:rsidR="007C36DB">
        <w:rPr>
          <w:rFonts w:asciiTheme="majorBidi" w:hAnsiTheme="majorBidi" w:cstheme="majorBidi"/>
          <w:sz w:val="24"/>
          <w:szCs w:val="24"/>
        </w:rPr>
        <w:t>founding principle of American constitutionalism</w:t>
      </w:r>
      <w:r w:rsidR="00CB0C78">
        <w:rPr>
          <w:rFonts w:asciiTheme="majorBidi" w:hAnsiTheme="majorBidi" w:cstheme="majorBidi"/>
          <w:sz w:val="24"/>
          <w:szCs w:val="24"/>
        </w:rPr>
        <w:t>.</w:t>
      </w:r>
      <w:r w:rsidR="00327513">
        <w:rPr>
          <w:rFonts w:asciiTheme="majorBidi" w:hAnsiTheme="majorBidi" w:cstheme="majorBidi"/>
          <w:sz w:val="24"/>
          <w:szCs w:val="24"/>
        </w:rPr>
        <w:t xml:space="preserve"> </w:t>
      </w:r>
      <w:r w:rsidR="006E7C7E">
        <w:rPr>
          <w:rFonts w:asciiTheme="majorBidi" w:hAnsiTheme="majorBidi" w:cstheme="majorBidi"/>
          <w:sz w:val="24"/>
          <w:szCs w:val="24"/>
        </w:rPr>
        <w:t>The analysis of cases exemplifies these diverse and sometimes conflicting commitments among separationists and explains where and why there has been a fractured response to the rise of the Religious Right’s brand of constitutionalism.</w:t>
      </w:r>
    </w:p>
    <w:p w14:paraId="5F41657C" w14:textId="77777777" w:rsidR="004F3B39" w:rsidRDefault="004F3B39" w:rsidP="002C0B3A">
      <w:pPr>
        <w:spacing w:line="480" w:lineRule="auto"/>
        <w:contextualSpacing/>
        <w:rPr>
          <w:rFonts w:asciiTheme="majorBidi" w:hAnsiTheme="majorBidi" w:cstheme="majorBidi"/>
          <w:sz w:val="24"/>
          <w:szCs w:val="24"/>
        </w:rPr>
      </w:pPr>
    </w:p>
    <w:p w14:paraId="11942290" w14:textId="77777777" w:rsidR="004F3B39" w:rsidRDefault="004F3B39" w:rsidP="004F3B39">
      <w:pPr>
        <w:spacing w:line="480" w:lineRule="auto"/>
        <w:contextualSpacing/>
        <w:rPr>
          <w:rFonts w:ascii="Times New Roman" w:hAnsi="Times New Roman" w:cs="Times New Roman"/>
          <w:sz w:val="24"/>
          <w:szCs w:val="24"/>
        </w:rPr>
      </w:pPr>
      <w:r>
        <w:rPr>
          <w:rFonts w:ascii="Times New Roman" w:hAnsi="Times New Roman" w:cs="Times New Roman"/>
          <w:i/>
          <w:sz w:val="24"/>
          <w:szCs w:val="24"/>
        </w:rPr>
        <w:t>Nationalizing Efforts and Atheist Movement Building</w:t>
      </w:r>
    </w:p>
    <w:p w14:paraId="7AFEBAF6" w14:textId="77777777" w:rsidR="004F3B39" w:rsidRDefault="004F3B39" w:rsidP="004F3B39">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The two separationist coalitions are perhaps most similar in their use of local and state courts to concentrate “nationalize” separationist Supreme Court rulings in noncompliant communities (</w:t>
      </w:r>
      <w:proofErr w:type="spellStart"/>
      <w:r>
        <w:rPr>
          <w:rFonts w:ascii="Times New Roman" w:hAnsi="Times New Roman" w:cs="Times New Roman"/>
          <w:sz w:val="24"/>
          <w:szCs w:val="24"/>
        </w:rPr>
        <w:t>Balkin</w:t>
      </w:r>
      <w:proofErr w:type="spellEnd"/>
      <w:r>
        <w:rPr>
          <w:rFonts w:ascii="Times New Roman" w:hAnsi="Times New Roman" w:cs="Times New Roman"/>
          <w:sz w:val="24"/>
          <w:szCs w:val="24"/>
        </w:rPr>
        <w:t xml:space="preserve">, 2012). In contrast to more negative views concerning the efficacy of the courts (Dahl, 1957), Emily </w:t>
      </w:r>
      <w:proofErr w:type="spellStart"/>
      <w:r>
        <w:rPr>
          <w:rFonts w:ascii="Times New Roman" w:hAnsi="Times New Roman" w:cs="Times New Roman"/>
          <w:sz w:val="24"/>
          <w:szCs w:val="24"/>
        </w:rPr>
        <w:t>Zackin</w:t>
      </w:r>
      <w:proofErr w:type="spellEnd"/>
      <w:r>
        <w:rPr>
          <w:rFonts w:ascii="Times New Roman" w:hAnsi="Times New Roman" w:cs="Times New Roman"/>
          <w:sz w:val="24"/>
          <w:szCs w:val="24"/>
        </w:rPr>
        <w:t xml:space="preserve"> (2008) explains that the ACLU and related groups have had to resort to the courts after their politics became too distasteful to majority interests represented in elected institutions. Following in the old coalition’s footsteps, many atheist groups have been founded primarily as litigation-oriented organizations, providing both the funding and human capital to produce change in areas of the country that openly defy separationist constitutional doctrine. Even though the recitation of school prayer and the teaching of creationism or intelligent design in public classrooms have been broadly understood as unconstitutional for decades, these nonsectarian and atheist groups continually address local practices that flout these precedents. For example some of the FFRF’s recent legal victories—achieved either by litigation of the threat thereof—have included  the ending of religious endorsements such as a 51-year policy of bible instruction in Dayton, TN schools, various sectarian religious displays, and the revoking of federal funding of a faith-based agency involved in proselytizing (Freedom From Religion Foundation, 2013b). Although the ACLU, the AU, and the more recently established Secular Coalition for America all retain lobbyists in Washington, D.C., the vast majority of these organizations’ efforts have involved litigation.</w:t>
      </w:r>
    </w:p>
    <w:p w14:paraId="1957689B" w14:textId="77777777" w:rsidR="004F3B39" w:rsidRDefault="004F3B39" w:rsidP="004F3B39">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While much of the shaping of constitutional development can be seen in Supreme Court opinions, it is also necessary to examine the important discursive and material influencing factors that these separationist advocates form far from the Court. In recent years, the new coalition has grown its presence in secondary schools, high schools, universities, and law schools throughout the country in their efforts to establish resources and training for future separationist proponents. </w:t>
      </w:r>
      <w:r>
        <w:rPr>
          <w:rFonts w:ascii="Times New Roman" w:hAnsi="Times New Roman" w:cs="Times New Roman"/>
          <w:sz w:val="24"/>
          <w:szCs w:val="24"/>
        </w:rPr>
        <w:lastRenderedPageBreak/>
        <w:t>Groups like the Secular Student Alliance are committed primarily to inculcating a secular, scientific, and “human-based” ethos by providing things such as literature, speaking events, supplies to start SSA chapters, as well as resources for litigation if necessary (Secular Student Alliance, 2013). In a strategy similar to that of the conservative’s creation of the Federalist Society, atheist and humanist organizations have been especially active in creating the institutional infrastructure and spreading their ideological sentiments and rhetoric across various sites of influence in order to build their movement from the ground upward (Avery &amp; McLaughlin, 2013). An increased organizational presence in local schools and communities in addition to the use of litigation to nationalize precedent has been a hallmark of the separationist strategy to influence and wield judicial power.</w:t>
      </w:r>
    </w:p>
    <w:p w14:paraId="4954B1E3" w14:textId="77777777" w:rsidR="004F3B39" w:rsidRDefault="004F3B39" w:rsidP="004F3B39">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addition to these educational and community-building projects, the new coalition has begun to promote national atheist and secular humanist candidates as well as lobby Congress from a distinctively atheist perspective. Over the last several years, various atheist organizations have begun to mount challenges to the remaining seven states that have constitutional bans on atheists from holding public office (Goodstein, 2014). Even though the Supreme Court ruled in </w:t>
      </w:r>
      <w:proofErr w:type="spellStart"/>
      <w:r w:rsidRPr="00A42449">
        <w:rPr>
          <w:rFonts w:ascii="Times New Roman" w:hAnsi="Times New Roman" w:cs="Times New Roman"/>
          <w:i/>
          <w:sz w:val="24"/>
          <w:szCs w:val="24"/>
        </w:rPr>
        <w:t>Torcaso</w:t>
      </w:r>
      <w:proofErr w:type="spellEnd"/>
      <w:r w:rsidRPr="00A42449">
        <w:rPr>
          <w:rFonts w:ascii="Times New Roman" w:hAnsi="Times New Roman" w:cs="Times New Roman"/>
          <w:i/>
          <w:sz w:val="24"/>
          <w:szCs w:val="24"/>
        </w:rPr>
        <w:t xml:space="preserve"> v. Watkins</w:t>
      </w:r>
      <w:r w:rsidRPr="00A42449">
        <w:rPr>
          <w:rFonts w:ascii="Times New Roman" w:hAnsi="Times New Roman" w:cs="Times New Roman"/>
          <w:sz w:val="24"/>
          <w:szCs w:val="24"/>
        </w:rPr>
        <w:t>, 367 U.S. 488 (1961)</w:t>
      </w:r>
      <w:r>
        <w:rPr>
          <w:rFonts w:ascii="Times New Roman" w:hAnsi="Times New Roman" w:cs="Times New Roman"/>
          <w:sz w:val="24"/>
          <w:szCs w:val="24"/>
        </w:rPr>
        <w:t xml:space="preserve"> that the Constitution’s prohibition against religious tests for public office made these a moot issue, the desire to raise awareness for the need of more “openly secular” and atheist representatives has fueled campaigns to remove these bans. </w:t>
      </w:r>
    </w:p>
    <w:p w14:paraId="6ADF3F81" w14:textId="4B53A521" w:rsidR="004F3B39" w:rsidRPr="004F3B39" w:rsidRDefault="004F3B39" w:rsidP="002C0B3A">
      <w:pPr>
        <w:spacing w:line="480" w:lineRule="auto"/>
        <w:contextualSpacing/>
        <w:rPr>
          <w:rFonts w:ascii="Times New Roman" w:hAnsi="Times New Roman" w:cs="Times New Roman"/>
          <w:sz w:val="24"/>
          <w:szCs w:val="24"/>
        </w:rPr>
      </w:pPr>
      <w:r>
        <w:rPr>
          <w:rFonts w:ascii="Times New Roman" w:hAnsi="Times New Roman" w:cs="Times New Roman"/>
          <w:sz w:val="24"/>
          <w:szCs w:val="24"/>
        </w:rPr>
        <w:t>Regarding the latter, groups like the American Humanist Association’s Center for Humanist Activity</w:t>
      </w:r>
      <w:r w:rsidR="006716D2">
        <w:rPr>
          <w:rFonts w:ascii="Times New Roman" w:hAnsi="Times New Roman" w:cs="Times New Roman"/>
          <w:sz w:val="24"/>
          <w:szCs w:val="24"/>
        </w:rPr>
        <w:t xml:space="preserve"> and the American Atheists </w:t>
      </w:r>
      <w:r>
        <w:rPr>
          <w:rFonts w:ascii="Times New Roman" w:hAnsi="Times New Roman" w:cs="Times New Roman"/>
          <w:sz w:val="24"/>
          <w:szCs w:val="24"/>
        </w:rPr>
        <w:t>have developed political action committees (PACs) to help fund candidates with explicitly secular humanist and atheist identities and platforms (Freethought Equality Fund, 2015).</w:t>
      </w:r>
      <w:r w:rsidR="006716D2">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Due to the nature of the ACLU and AU, there has been less </w:t>
      </w:r>
      <w:r>
        <w:rPr>
          <w:rFonts w:ascii="Times New Roman" w:hAnsi="Times New Roman" w:cs="Times New Roman"/>
          <w:sz w:val="24"/>
          <w:szCs w:val="24"/>
        </w:rPr>
        <w:lastRenderedPageBreak/>
        <w:t xml:space="preserve">emphasis on identity-building among the old coalition; instead, the focus has remained on promoting the rights of religious (and areligious) </w:t>
      </w:r>
      <w:proofErr w:type="gramStart"/>
      <w:r>
        <w:rPr>
          <w:rFonts w:ascii="Times New Roman" w:hAnsi="Times New Roman" w:cs="Times New Roman"/>
          <w:sz w:val="24"/>
          <w:szCs w:val="24"/>
        </w:rPr>
        <w:t>minorities</w:t>
      </w:r>
      <w:proofErr w:type="gramEnd"/>
      <w:r>
        <w:rPr>
          <w:rFonts w:ascii="Times New Roman" w:hAnsi="Times New Roman" w:cs="Times New Roman"/>
          <w:sz w:val="24"/>
          <w:szCs w:val="24"/>
        </w:rPr>
        <w:t xml:space="preserve"> writ large. As the new coalition continues to grow in terms of membership and resources, it will be interesting to see if the identity-based claims come to be more central to secular politics in the United States or if they remain peripheral. </w:t>
      </w:r>
    </w:p>
    <w:p w14:paraId="6E066FC8" w14:textId="77777777" w:rsidR="0003480E" w:rsidRDefault="0003480E" w:rsidP="00832F52">
      <w:pPr>
        <w:spacing w:line="480" w:lineRule="auto"/>
        <w:contextualSpacing/>
        <w:rPr>
          <w:rFonts w:asciiTheme="majorBidi" w:hAnsiTheme="majorBidi" w:cstheme="majorBidi"/>
          <w:sz w:val="24"/>
          <w:szCs w:val="24"/>
        </w:rPr>
      </w:pPr>
    </w:p>
    <w:p w14:paraId="07FB4A37" w14:textId="4421068A" w:rsidR="0003480E" w:rsidRDefault="00CB27EC" w:rsidP="00832F52">
      <w:pPr>
        <w:spacing w:line="480" w:lineRule="auto"/>
        <w:contextualSpacing/>
        <w:rPr>
          <w:rFonts w:asciiTheme="majorBidi" w:hAnsiTheme="majorBidi" w:cstheme="majorBidi"/>
          <w:sz w:val="24"/>
          <w:szCs w:val="24"/>
        </w:rPr>
      </w:pPr>
      <w:r>
        <w:rPr>
          <w:rFonts w:asciiTheme="majorBidi" w:hAnsiTheme="majorBidi" w:cstheme="majorBidi"/>
          <w:i/>
          <w:iCs/>
          <w:sz w:val="24"/>
          <w:szCs w:val="24"/>
        </w:rPr>
        <w:t>Claims to</w:t>
      </w:r>
      <w:r w:rsidR="006053DB">
        <w:rPr>
          <w:rFonts w:asciiTheme="majorBidi" w:hAnsiTheme="majorBidi" w:cstheme="majorBidi"/>
          <w:i/>
          <w:iCs/>
          <w:sz w:val="24"/>
          <w:szCs w:val="24"/>
        </w:rPr>
        <w:t xml:space="preserve"> Equal Access to Public Resources</w:t>
      </w:r>
      <w:r w:rsidR="00342197">
        <w:rPr>
          <w:rFonts w:asciiTheme="majorBidi" w:hAnsiTheme="majorBidi" w:cstheme="majorBidi"/>
          <w:i/>
          <w:iCs/>
          <w:sz w:val="24"/>
          <w:szCs w:val="24"/>
        </w:rPr>
        <w:t xml:space="preserve"> and Funds</w:t>
      </w:r>
    </w:p>
    <w:p w14:paraId="4E5ACB83" w14:textId="43001658" w:rsidR="00B605BC" w:rsidRDefault="006053DB" w:rsidP="006F2FFF">
      <w:pPr>
        <w:spacing w:line="480" w:lineRule="auto"/>
        <w:contextualSpacing/>
        <w:rPr>
          <w:rFonts w:asciiTheme="majorBidi" w:hAnsiTheme="majorBidi" w:cstheme="majorBidi"/>
          <w:sz w:val="24"/>
          <w:szCs w:val="24"/>
        </w:rPr>
      </w:pPr>
      <w:r>
        <w:rPr>
          <w:rFonts w:asciiTheme="majorBidi" w:hAnsiTheme="majorBidi" w:cstheme="majorBidi"/>
          <w:sz w:val="24"/>
          <w:szCs w:val="24"/>
        </w:rPr>
        <w:tab/>
      </w:r>
      <w:r w:rsidR="0046439F">
        <w:rPr>
          <w:rFonts w:asciiTheme="majorBidi" w:hAnsiTheme="majorBidi" w:cstheme="majorBidi"/>
          <w:sz w:val="24"/>
          <w:szCs w:val="24"/>
        </w:rPr>
        <w:t>Both the old and new coalitions’ litigation to ensure secular and atheist organizations equal access to public funds has been the most cohesive and collaborative pr</w:t>
      </w:r>
      <w:r w:rsidR="006716C4">
        <w:rPr>
          <w:rFonts w:asciiTheme="majorBidi" w:hAnsiTheme="majorBidi" w:cstheme="majorBidi"/>
          <w:sz w:val="24"/>
          <w:szCs w:val="24"/>
        </w:rPr>
        <w:t>oject between the two alliances; however, the new coalition has taken this even further by developing their own secular and atheist communities that are very similar to religious ones.</w:t>
      </w:r>
      <w:r w:rsidR="0046439F">
        <w:rPr>
          <w:rFonts w:asciiTheme="majorBidi" w:hAnsiTheme="majorBidi" w:cstheme="majorBidi"/>
          <w:sz w:val="24"/>
          <w:szCs w:val="24"/>
        </w:rPr>
        <w:t xml:space="preserve"> T</w:t>
      </w:r>
      <w:r w:rsidR="00FD34AC">
        <w:rPr>
          <w:rFonts w:asciiTheme="majorBidi" w:hAnsiTheme="majorBidi" w:cstheme="majorBidi"/>
          <w:sz w:val="24"/>
          <w:szCs w:val="24"/>
        </w:rPr>
        <w:t xml:space="preserve">his pursuit was </w:t>
      </w:r>
      <w:r w:rsidR="008360F9">
        <w:rPr>
          <w:rFonts w:asciiTheme="majorBidi" w:hAnsiTheme="majorBidi" w:cstheme="majorBidi"/>
          <w:sz w:val="24"/>
          <w:szCs w:val="24"/>
        </w:rPr>
        <w:t xml:space="preserve">ironically </w:t>
      </w:r>
      <w:r w:rsidR="00FD34AC">
        <w:rPr>
          <w:rFonts w:asciiTheme="majorBidi" w:hAnsiTheme="majorBidi" w:cstheme="majorBidi"/>
          <w:sz w:val="24"/>
          <w:szCs w:val="24"/>
        </w:rPr>
        <w:t>based on t</w:t>
      </w:r>
      <w:r w:rsidR="0046439F">
        <w:rPr>
          <w:rFonts w:asciiTheme="majorBidi" w:hAnsiTheme="majorBidi" w:cstheme="majorBidi"/>
          <w:sz w:val="24"/>
          <w:szCs w:val="24"/>
        </w:rPr>
        <w:t xml:space="preserve">he Religious Right’s litigation and lobbying efforts from decades earlier. </w:t>
      </w:r>
      <w:r w:rsidR="002C0047">
        <w:rPr>
          <w:rFonts w:asciiTheme="majorBidi" w:hAnsiTheme="majorBidi" w:cstheme="majorBidi"/>
          <w:sz w:val="24"/>
          <w:szCs w:val="24"/>
        </w:rPr>
        <w:t xml:space="preserve">Rogers Smith (2011) identifies this precedent as beginning in the 1981 case </w:t>
      </w:r>
      <w:proofErr w:type="spellStart"/>
      <w:r w:rsidR="002C0047">
        <w:rPr>
          <w:rFonts w:asciiTheme="majorBidi" w:hAnsiTheme="majorBidi" w:cstheme="majorBidi"/>
          <w:i/>
          <w:iCs/>
          <w:sz w:val="24"/>
          <w:szCs w:val="24"/>
        </w:rPr>
        <w:t>Widmar</w:t>
      </w:r>
      <w:proofErr w:type="spellEnd"/>
      <w:r w:rsidR="002C0047">
        <w:rPr>
          <w:rFonts w:asciiTheme="majorBidi" w:hAnsiTheme="majorBidi" w:cstheme="majorBidi"/>
          <w:i/>
          <w:iCs/>
          <w:sz w:val="24"/>
          <w:szCs w:val="24"/>
        </w:rPr>
        <w:t xml:space="preserve"> v. Vincent</w:t>
      </w:r>
      <w:r w:rsidR="008403C2">
        <w:rPr>
          <w:rFonts w:asciiTheme="majorBidi" w:hAnsiTheme="majorBidi" w:cstheme="majorBidi"/>
          <w:sz w:val="24"/>
          <w:szCs w:val="24"/>
        </w:rPr>
        <w:t xml:space="preserve"> 454 U.S. 263, </w:t>
      </w:r>
      <w:r w:rsidR="006F2FFF">
        <w:rPr>
          <w:rFonts w:asciiTheme="majorBidi" w:hAnsiTheme="majorBidi" w:cstheme="majorBidi"/>
          <w:sz w:val="24"/>
          <w:szCs w:val="24"/>
        </w:rPr>
        <w:t>in</w:t>
      </w:r>
      <w:r w:rsidR="008403C2">
        <w:rPr>
          <w:rFonts w:asciiTheme="majorBidi" w:hAnsiTheme="majorBidi" w:cstheme="majorBidi"/>
          <w:sz w:val="24"/>
          <w:szCs w:val="24"/>
        </w:rPr>
        <w:t xml:space="preserve"> </w:t>
      </w:r>
      <w:r w:rsidR="002C0047">
        <w:rPr>
          <w:rFonts w:asciiTheme="majorBidi" w:hAnsiTheme="majorBidi" w:cstheme="majorBidi"/>
          <w:sz w:val="24"/>
          <w:szCs w:val="24"/>
        </w:rPr>
        <w:t>which the National Evangelical Association wrote a brief supporting Christian student groups’ claims to organizational funds distributed through the University of Missouri at Kansas. Several years after the Court decided in favor of the student groups, the Religious Right lobbied Congress to pass the 1984 Equal Access Act</w:t>
      </w:r>
      <w:r w:rsidR="00347BA7">
        <w:rPr>
          <w:rFonts w:asciiTheme="majorBidi" w:hAnsiTheme="majorBidi" w:cstheme="majorBidi"/>
          <w:sz w:val="24"/>
          <w:szCs w:val="24"/>
        </w:rPr>
        <w:t xml:space="preserve"> </w:t>
      </w:r>
      <w:r w:rsidR="00347BA7" w:rsidRPr="00347BA7">
        <w:rPr>
          <w:rFonts w:asciiTheme="majorBidi" w:hAnsiTheme="majorBidi" w:cstheme="majorBidi"/>
          <w:sz w:val="24"/>
          <w:szCs w:val="24"/>
        </w:rPr>
        <w:t>(</w:t>
      </w:r>
      <w:r w:rsidR="00347BA7" w:rsidRPr="00347BA7">
        <w:rPr>
          <w:rFonts w:asciiTheme="majorBidi" w:hAnsiTheme="majorBidi" w:cstheme="majorBidi"/>
          <w:sz w:val="24"/>
          <w:szCs w:val="24"/>
          <w:shd w:val="clear" w:color="auto" w:fill="F9F9F9"/>
        </w:rPr>
        <w:t>20 U.S.C.</w:t>
      </w:r>
      <w:r w:rsidR="00347BA7" w:rsidRPr="00347BA7">
        <w:rPr>
          <w:rFonts w:asciiTheme="majorBidi" w:hAnsiTheme="majorBidi" w:cstheme="majorBidi"/>
          <w:color w:val="000000"/>
          <w:sz w:val="24"/>
          <w:szCs w:val="24"/>
          <w:shd w:val="clear" w:color="auto" w:fill="F9F9F9"/>
        </w:rPr>
        <w:t> </w:t>
      </w:r>
      <w:r w:rsidR="00347BA7" w:rsidRPr="00347BA7">
        <w:rPr>
          <w:rFonts w:asciiTheme="majorBidi" w:hAnsiTheme="majorBidi" w:cstheme="majorBidi"/>
          <w:sz w:val="24"/>
          <w:szCs w:val="24"/>
          <w:shd w:val="clear" w:color="auto" w:fill="F9F9F9"/>
        </w:rPr>
        <w:t>§ 4071</w:t>
      </w:r>
      <w:r w:rsidR="00347BA7" w:rsidRPr="00347BA7">
        <w:rPr>
          <w:rFonts w:asciiTheme="majorBidi" w:hAnsiTheme="majorBidi" w:cstheme="majorBidi"/>
          <w:sz w:val="24"/>
          <w:szCs w:val="24"/>
        </w:rPr>
        <w:t>)</w:t>
      </w:r>
      <w:r w:rsidR="002C0047">
        <w:rPr>
          <w:rFonts w:asciiTheme="majorBidi" w:hAnsiTheme="majorBidi" w:cstheme="majorBidi"/>
          <w:sz w:val="24"/>
          <w:szCs w:val="24"/>
        </w:rPr>
        <w:t xml:space="preserve"> in order to secure </w:t>
      </w:r>
      <w:r w:rsidR="008403C2">
        <w:rPr>
          <w:rFonts w:asciiTheme="majorBidi" w:hAnsiTheme="majorBidi" w:cstheme="majorBidi"/>
          <w:sz w:val="24"/>
          <w:szCs w:val="24"/>
        </w:rPr>
        <w:t>similar</w:t>
      </w:r>
      <w:r w:rsidR="00347BA7">
        <w:rPr>
          <w:rFonts w:asciiTheme="majorBidi" w:hAnsiTheme="majorBidi" w:cstheme="majorBidi"/>
          <w:sz w:val="24"/>
          <w:szCs w:val="24"/>
        </w:rPr>
        <w:t xml:space="preserve"> rights to Christian groups in federally</w:t>
      </w:r>
      <w:r w:rsidR="00342197">
        <w:rPr>
          <w:rFonts w:asciiTheme="majorBidi" w:hAnsiTheme="majorBidi" w:cstheme="majorBidi"/>
          <w:sz w:val="24"/>
          <w:szCs w:val="24"/>
        </w:rPr>
        <w:t>-</w:t>
      </w:r>
      <w:r w:rsidR="00347BA7">
        <w:rPr>
          <w:rFonts w:asciiTheme="majorBidi" w:hAnsiTheme="majorBidi" w:cstheme="majorBidi"/>
          <w:sz w:val="24"/>
          <w:szCs w:val="24"/>
        </w:rPr>
        <w:t xml:space="preserve">funded secondary schools. </w:t>
      </w:r>
      <w:r w:rsidR="00E947DB">
        <w:rPr>
          <w:rFonts w:asciiTheme="majorBidi" w:hAnsiTheme="majorBidi" w:cstheme="majorBidi"/>
          <w:sz w:val="24"/>
          <w:szCs w:val="24"/>
        </w:rPr>
        <w:t xml:space="preserve">Using this precedent and statute, </w:t>
      </w:r>
      <w:r w:rsidR="00435A99">
        <w:rPr>
          <w:rFonts w:asciiTheme="majorBidi" w:hAnsiTheme="majorBidi" w:cstheme="majorBidi"/>
          <w:sz w:val="24"/>
          <w:szCs w:val="24"/>
        </w:rPr>
        <w:t>the ACLU of Michigan represent</w:t>
      </w:r>
      <w:r w:rsidR="006E7430">
        <w:rPr>
          <w:rFonts w:asciiTheme="majorBidi" w:hAnsiTheme="majorBidi" w:cstheme="majorBidi"/>
          <w:sz w:val="24"/>
          <w:szCs w:val="24"/>
        </w:rPr>
        <w:t>ed</w:t>
      </w:r>
      <w:r w:rsidR="00435A99">
        <w:rPr>
          <w:rFonts w:asciiTheme="majorBidi" w:hAnsiTheme="majorBidi" w:cstheme="majorBidi"/>
          <w:sz w:val="24"/>
          <w:szCs w:val="24"/>
        </w:rPr>
        <w:t xml:space="preserve"> a thirteen-year-old plaintiff arguing for the right to start an ath</w:t>
      </w:r>
      <w:r w:rsidR="00665919">
        <w:rPr>
          <w:rFonts w:asciiTheme="majorBidi" w:hAnsiTheme="majorBidi" w:cstheme="majorBidi"/>
          <w:sz w:val="24"/>
          <w:szCs w:val="24"/>
        </w:rPr>
        <w:t>eist Bible study group to comple</w:t>
      </w:r>
      <w:r w:rsidR="00435A99">
        <w:rPr>
          <w:rFonts w:asciiTheme="majorBidi" w:hAnsiTheme="majorBidi" w:cstheme="majorBidi"/>
          <w:sz w:val="24"/>
          <w:szCs w:val="24"/>
        </w:rPr>
        <w:t xml:space="preserve">ment the traditional Bible-reading group formed by Christian students (Associated Press 1999). </w:t>
      </w:r>
      <w:r w:rsidR="00DF7F0A">
        <w:rPr>
          <w:rFonts w:asciiTheme="majorBidi" w:hAnsiTheme="majorBidi" w:cstheme="majorBidi"/>
          <w:sz w:val="24"/>
          <w:szCs w:val="24"/>
        </w:rPr>
        <w:t>S</w:t>
      </w:r>
      <w:r w:rsidR="00750DBF">
        <w:rPr>
          <w:rFonts w:asciiTheme="majorBidi" w:hAnsiTheme="majorBidi" w:cstheme="majorBidi"/>
          <w:sz w:val="24"/>
          <w:szCs w:val="24"/>
        </w:rPr>
        <w:t>ince this initial litigation, groups such as Americans United</w:t>
      </w:r>
      <w:r w:rsidR="00B605BC">
        <w:rPr>
          <w:rFonts w:asciiTheme="majorBidi" w:hAnsiTheme="majorBidi" w:cstheme="majorBidi"/>
          <w:sz w:val="24"/>
          <w:szCs w:val="24"/>
        </w:rPr>
        <w:t xml:space="preserve">, the national arm of the ACLU, and the SCA among others have provided legal resources </w:t>
      </w:r>
      <w:r w:rsidR="00B605BC">
        <w:rPr>
          <w:rFonts w:asciiTheme="majorBidi" w:hAnsiTheme="majorBidi" w:cstheme="majorBidi"/>
          <w:sz w:val="24"/>
          <w:szCs w:val="24"/>
        </w:rPr>
        <w:lastRenderedPageBreak/>
        <w:t>and advice for secularist and atheist students who feel their constitutional rights have been violated.</w:t>
      </w:r>
    </w:p>
    <w:p w14:paraId="0C3E4EE3" w14:textId="079DD127" w:rsidR="006053DB" w:rsidRDefault="00B605BC" w:rsidP="00555213">
      <w:pPr>
        <w:spacing w:line="480" w:lineRule="auto"/>
        <w:contextualSpacing/>
        <w:rPr>
          <w:rFonts w:asciiTheme="majorBidi" w:hAnsiTheme="majorBidi" w:cstheme="majorBidi"/>
          <w:color w:val="000000"/>
          <w:sz w:val="24"/>
          <w:szCs w:val="24"/>
        </w:rPr>
      </w:pPr>
      <w:r>
        <w:rPr>
          <w:rFonts w:asciiTheme="majorBidi" w:hAnsiTheme="majorBidi" w:cstheme="majorBidi"/>
          <w:sz w:val="24"/>
          <w:szCs w:val="24"/>
        </w:rPr>
        <w:tab/>
      </w:r>
      <w:r w:rsidR="00D200CA">
        <w:rPr>
          <w:rFonts w:asciiTheme="majorBidi" w:hAnsiTheme="majorBidi" w:cstheme="majorBidi"/>
          <w:sz w:val="24"/>
          <w:szCs w:val="24"/>
        </w:rPr>
        <w:t xml:space="preserve">Although member groups of both coalitions have supported this cause in principle, the new coalition has been dedicated to not only protecting already established atheist and secular student groups, but they have also made available resources and additional funds in order to generate new ones nationwide. The Secular Student Alliance in particular was founded with this purpose in mind. While the old coalition’s concern with equal access is grounded in a fidelity to </w:t>
      </w:r>
      <w:r w:rsidR="00D200CA" w:rsidRPr="00E24D5D">
        <w:rPr>
          <w:rFonts w:asciiTheme="majorBidi" w:hAnsiTheme="majorBidi" w:cstheme="majorBidi"/>
          <w:sz w:val="24"/>
          <w:szCs w:val="24"/>
        </w:rPr>
        <w:t xml:space="preserve">free speech and the desire </w:t>
      </w:r>
      <w:r w:rsidR="00E24D5D" w:rsidRPr="00E24D5D">
        <w:rPr>
          <w:rFonts w:asciiTheme="majorBidi" w:hAnsiTheme="majorBidi" w:cstheme="majorBidi"/>
          <w:sz w:val="24"/>
          <w:szCs w:val="24"/>
        </w:rPr>
        <w:t>to create a level-playing field, the SSA and other atheist organizations explicitly state that their aim is to create a future “</w:t>
      </w:r>
      <w:r w:rsidR="00E24D5D" w:rsidRPr="00E24D5D">
        <w:rPr>
          <w:rFonts w:asciiTheme="majorBidi" w:hAnsiTheme="majorBidi" w:cstheme="majorBidi"/>
          <w:color w:val="000000"/>
          <w:sz w:val="24"/>
          <w:szCs w:val="24"/>
        </w:rPr>
        <w:t>in which nontheistic students are respected voices in public discourse and vital partners in the secular movement's charge against irrationality and dogma</w:t>
      </w:r>
      <w:r w:rsidR="00555213">
        <w:rPr>
          <w:rFonts w:asciiTheme="majorBidi" w:hAnsiTheme="majorBidi" w:cstheme="majorBidi"/>
          <w:color w:val="000000"/>
          <w:sz w:val="24"/>
          <w:szCs w:val="24"/>
        </w:rPr>
        <w:t>”</w:t>
      </w:r>
      <w:r w:rsidR="00A75D7E">
        <w:rPr>
          <w:rFonts w:asciiTheme="majorBidi" w:hAnsiTheme="majorBidi" w:cstheme="majorBidi"/>
          <w:color w:val="000000"/>
          <w:sz w:val="24"/>
          <w:szCs w:val="24"/>
        </w:rPr>
        <w:t xml:space="preserve"> (Secular Student Alliance</w:t>
      </w:r>
      <w:r w:rsidR="00555213">
        <w:rPr>
          <w:rFonts w:asciiTheme="majorBidi" w:hAnsiTheme="majorBidi" w:cstheme="majorBidi"/>
          <w:color w:val="000000"/>
          <w:sz w:val="24"/>
          <w:szCs w:val="24"/>
        </w:rPr>
        <w:t>,</w:t>
      </w:r>
      <w:r w:rsidR="00A75D7E">
        <w:rPr>
          <w:rFonts w:asciiTheme="majorBidi" w:hAnsiTheme="majorBidi" w:cstheme="majorBidi"/>
          <w:color w:val="000000"/>
          <w:sz w:val="24"/>
          <w:szCs w:val="24"/>
        </w:rPr>
        <w:t xml:space="preserve"> 2013)</w:t>
      </w:r>
      <w:r w:rsidR="004F5E88">
        <w:rPr>
          <w:rFonts w:asciiTheme="majorBidi" w:hAnsiTheme="majorBidi" w:cstheme="majorBidi"/>
          <w:color w:val="000000"/>
          <w:sz w:val="24"/>
          <w:szCs w:val="24"/>
        </w:rPr>
        <w:t>.</w:t>
      </w:r>
      <w:r w:rsidR="00A75D7E">
        <w:rPr>
          <w:rFonts w:asciiTheme="majorBidi" w:hAnsiTheme="majorBidi" w:cstheme="majorBidi"/>
          <w:color w:val="000000"/>
          <w:sz w:val="24"/>
          <w:szCs w:val="24"/>
        </w:rPr>
        <w:t xml:space="preserve"> This goal explains why the FFRF, SSA, and the SCA have been so active in identifying regions of the country </w:t>
      </w:r>
      <w:r w:rsidR="0057669D">
        <w:rPr>
          <w:rFonts w:asciiTheme="majorBidi" w:hAnsiTheme="majorBidi" w:cstheme="majorBidi"/>
          <w:color w:val="000000"/>
          <w:sz w:val="24"/>
          <w:szCs w:val="24"/>
        </w:rPr>
        <w:t>where plaintiffs</w:t>
      </w:r>
      <w:r w:rsidR="00A75D7E">
        <w:rPr>
          <w:rFonts w:asciiTheme="majorBidi" w:hAnsiTheme="majorBidi" w:cstheme="majorBidi"/>
          <w:color w:val="000000"/>
          <w:sz w:val="24"/>
          <w:szCs w:val="24"/>
        </w:rPr>
        <w:t xml:space="preserve"> require either the resources to go to court or </w:t>
      </w:r>
      <w:r w:rsidR="0057669D">
        <w:rPr>
          <w:rFonts w:asciiTheme="majorBidi" w:hAnsiTheme="majorBidi" w:cstheme="majorBidi"/>
          <w:color w:val="000000"/>
          <w:sz w:val="24"/>
          <w:szCs w:val="24"/>
        </w:rPr>
        <w:t xml:space="preserve">secularists need </w:t>
      </w:r>
      <w:r w:rsidR="00A75D7E">
        <w:rPr>
          <w:rFonts w:asciiTheme="majorBidi" w:hAnsiTheme="majorBidi" w:cstheme="majorBidi"/>
          <w:color w:val="000000"/>
          <w:sz w:val="24"/>
          <w:szCs w:val="24"/>
        </w:rPr>
        <w:t>instruction in founding secular student organizations in secondary schools and universities.</w:t>
      </w:r>
      <w:r w:rsidR="00DA45BC">
        <w:rPr>
          <w:rFonts w:asciiTheme="majorBidi" w:hAnsiTheme="majorBidi" w:cstheme="majorBidi"/>
          <w:color w:val="000000"/>
          <w:sz w:val="24"/>
          <w:szCs w:val="24"/>
        </w:rPr>
        <w:t xml:space="preserve"> In this way, the new coalition has expanded the voice of secularists who fundamentally</w:t>
      </w:r>
      <w:r w:rsidR="001D7D43">
        <w:rPr>
          <w:rFonts w:asciiTheme="majorBidi" w:hAnsiTheme="majorBidi" w:cstheme="majorBidi"/>
          <w:color w:val="000000"/>
          <w:sz w:val="24"/>
          <w:szCs w:val="24"/>
        </w:rPr>
        <w:t xml:space="preserve"> oppose religion while also planting the seeds of influence in schools with the aim of both increasing and deepening their </w:t>
      </w:r>
      <w:r w:rsidR="003C24D8">
        <w:rPr>
          <w:rFonts w:asciiTheme="majorBidi" w:hAnsiTheme="majorBidi" w:cstheme="majorBidi"/>
          <w:color w:val="000000"/>
          <w:sz w:val="24"/>
          <w:szCs w:val="24"/>
        </w:rPr>
        <w:t xml:space="preserve">legal </w:t>
      </w:r>
      <w:r w:rsidR="006F2FFF">
        <w:rPr>
          <w:rFonts w:asciiTheme="majorBidi" w:hAnsiTheme="majorBidi" w:cstheme="majorBidi"/>
          <w:color w:val="000000"/>
          <w:sz w:val="24"/>
          <w:szCs w:val="24"/>
        </w:rPr>
        <w:t>power.</w:t>
      </w:r>
      <w:r w:rsidR="00EC4F93">
        <w:rPr>
          <w:rFonts w:asciiTheme="majorBidi" w:hAnsiTheme="majorBidi" w:cstheme="majorBidi"/>
          <w:color w:val="000000"/>
          <w:sz w:val="24"/>
          <w:szCs w:val="24"/>
        </w:rPr>
        <w:t xml:space="preserve"> More generally</w:t>
      </w:r>
      <w:r w:rsidR="006F2FFF">
        <w:rPr>
          <w:rFonts w:asciiTheme="majorBidi" w:hAnsiTheme="majorBidi" w:cstheme="majorBidi"/>
          <w:color w:val="000000"/>
          <w:sz w:val="24"/>
          <w:szCs w:val="24"/>
        </w:rPr>
        <w:t xml:space="preserve">, </w:t>
      </w:r>
      <w:r w:rsidR="00CB05E6">
        <w:rPr>
          <w:rFonts w:asciiTheme="majorBidi" w:hAnsiTheme="majorBidi" w:cstheme="majorBidi"/>
          <w:color w:val="000000"/>
          <w:sz w:val="24"/>
          <w:szCs w:val="24"/>
        </w:rPr>
        <w:t xml:space="preserve">both </w:t>
      </w:r>
      <w:r w:rsidR="00CB57AD">
        <w:rPr>
          <w:rFonts w:asciiTheme="majorBidi" w:hAnsiTheme="majorBidi" w:cstheme="majorBidi"/>
          <w:color w:val="000000"/>
          <w:sz w:val="24"/>
          <w:szCs w:val="24"/>
        </w:rPr>
        <w:t>coalitions</w:t>
      </w:r>
      <w:r w:rsidR="00CB05E6">
        <w:rPr>
          <w:rFonts w:asciiTheme="majorBidi" w:hAnsiTheme="majorBidi" w:cstheme="majorBidi"/>
          <w:color w:val="000000"/>
          <w:sz w:val="24"/>
          <w:szCs w:val="24"/>
        </w:rPr>
        <w:t xml:space="preserve">’ </w:t>
      </w:r>
      <w:r w:rsidR="006F2FFF">
        <w:rPr>
          <w:rFonts w:asciiTheme="majorBidi" w:hAnsiTheme="majorBidi" w:cstheme="majorBidi"/>
          <w:color w:val="000000"/>
          <w:sz w:val="24"/>
          <w:szCs w:val="24"/>
        </w:rPr>
        <w:t xml:space="preserve">equal access litigation highlights an area where elected politicians have deferred to the judiciary’s reading of the Equal Access Act and the </w:t>
      </w:r>
      <w:proofErr w:type="spellStart"/>
      <w:r w:rsidR="006F2FFF">
        <w:rPr>
          <w:rFonts w:asciiTheme="majorBidi" w:hAnsiTheme="majorBidi" w:cstheme="majorBidi"/>
          <w:i/>
          <w:iCs/>
          <w:color w:val="000000"/>
          <w:sz w:val="24"/>
          <w:szCs w:val="24"/>
        </w:rPr>
        <w:t>Widmar</w:t>
      </w:r>
      <w:proofErr w:type="spellEnd"/>
      <w:r w:rsidR="006F2FFF">
        <w:rPr>
          <w:rFonts w:asciiTheme="majorBidi" w:hAnsiTheme="majorBidi" w:cstheme="majorBidi"/>
          <w:color w:val="000000"/>
          <w:sz w:val="24"/>
          <w:szCs w:val="24"/>
        </w:rPr>
        <w:t xml:space="preserve"> precedent as mandating this politically unpopular </w:t>
      </w:r>
      <w:r w:rsidR="00CB57AD">
        <w:rPr>
          <w:rFonts w:asciiTheme="majorBidi" w:hAnsiTheme="majorBidi" w:cstheme="majorBidi"/>
          <w:color w:val="000000"/>
          <w:sz w:val="24"/>
          <w:szCs w:val="24"/>
        </w:rPr>
        <w:t>accommodation of secularist</w:t>
      </w:r>
      <w:r w:rsidR="00762AE3">
        <w:rPr>
          <w:rFonts w:asciiTheme="majorBidi" w:hAnsiTheme="majorBidi" w:cstheme="majorBidi"/>
          <w:color w:val="000000"/>
          <w:sz w:val="24"/>
          <w:szCs w:val="24"/>
        </w:rPr>
        <w:t xml:space="preserve"> and atheist</w:t>
      </w:r>
      <w:r w:rsidR="00CB57AD">
        <w:rPr>
          <w:rFonts w:asciiTheme="majorBidi" w:hAnsiTheme="majorBidi" w:cstheme="majorBidi"/>
          <w:color w:val="000000"/>
          <w:sz w:val="24"/>
          <w:szCs w:val="24"/>
        </w:rPr>
        <w:t xml:space="preserve"> interests.</w:t>
      </w:r>
    </w:p>
    <w:p w14:paraId="0DCD25EE" w14:textId="4CD95983" w:rsidR="00342197" w:rsidRPr="007653FE" w:rsidRDefault="00342197" w:rsidP="00555213">
      <w:pPr>
        <w:spacing w:line="480" w:lineRule="auto"/>
        <w:contextualSpacing/>
        <w:rPr>
          <w:rFonts w:ascii="Times New Roman" w:hAnsi="Times New Roman" w:cs="Times New Roman"/>
          <w:sz w:val="24"/>
          <w:szCs w:val="24"/>
        </w:rPr>
      </w:pPr>
      <w:r w:rsidRPr="00434BF8">
        <w:rPr>
          <w:rFonts w:ascii="Times New Roman" w:hAnsi="Times New Roman" w:cs="Times New Roman"/>
          <w:sz w:val="24"/>
          <w:szCs w:val="24"/>
        </w:rPr>
        <w:tab/>
        <w:t xml:space="preserve">Both the old and new coalitions have worked together to challenge the rise of voucher school programs that often divert education funds to parochial schools as well as faith-based organization programs that channel federal welfare </w:t>
      </w:r>
      <w:r w:rsidR="00D90987" w:rsidRPr="00434BF8">
        <w:rPr>
          <w:rFonts w:ascii="Times New Roman" w:hAnsi="Times New Roman" w:cs="Times New Roman"/>
          <w:sz w:val="24"/>
          <w:szCs w:val="24"/>
        </w:rPr>
        <w:t>responsibilities</w:t>
      </w:r>
      <w:r w:rsidRPr="00434BF8">
        <w:rPr>
          <w:rFonts w:ascii="Times New Roman" w:hAnsi="Times New Roman" w:cs="Times New Roman"/>
          <w:sz w:val="24"/>
          <w:szCs w:val="24"/>
        </w:rPr>
        <w:t xml:space="preserve"> to private</w:t>
      </w:r>
      <w:r w:rsidR="0014629C">
        <w:rPr>
          <w:rFonts w:ascii="Times New Roman" w:hAnsi="Times New Roman" w:cs="Times New Roman"/>
          <w:sz w:val="24"/>
          <w:szCs w:val="24"/>
        </w:rPr>
        <w:t xml:space="preserve"> religious</w:t>
      </w:r>
      <w:r w:rsidRPr="00434BF8">
        <w:rPr>
          <w:rFonts w:ascii="Times New Roman" w:hAnsi="Times New Roman" w:cs="Times New Roman"/>
          <w:sz w:val="24"/>
          <w:szCs w:val="24"/>
        </w:rPr>
        <w:t xml:space="preserve"> </w:t>
      </w:r>
      <w:r w:rsidRPr="00434BF8">
        <w:rPr>
          <w:rFonts w:ascii="Times New Roman" w:hAnsi="Times New Roman" w:cs="Times New Roman"/>
          <w:sz w:val="24"/>
          <w:szCs w:val="24"/>
        </w:rPr>
        <w:lastRenderedPageBreak/>
        <w:t>organizations. It is unsurprising that in these cases groups like the ACLU and the FFRF have been allies</w:t>
      </w:r>
      <w:r w:rsidR="00D90987" w:rsidRPr="00434BF8">
        <w:rPr>
          <w:rFonts w:ascii="Times New Roman" w:hAnsi="Times New Roman" w:cs="Times New Roman"/>
          <w:sz w:val="24"/>
          <w:szCs w:val="24"/>
        </w:rPr>
        <w:t xml:space="preserve"> as both have decades-long commitments to challenging religious organizations’ appropriation of public education and welfare funds. </w:t>
      </w:r>
      <w:r w:rsidR="00B60F59" w:rsidRPr="00434BF8">
        <w:rPr>
          <w:rFonts w:ascii="Times New Roman" w:hAnsi="Times New Roman" w:cs="Times New Roman"/>
          <w:sz w:val="24"/>
          <w:szCs w:val="24"/>
        </w:rPr>
        <w:t xml:space="preserve">In </w:t>
      </w:r>
      <w:r w:rsidR="00434BF8" w:rsidRPr="00434BF8">
        <w:rPr>
          <w:rFonts w:ascii="Times New Roman" w:hAnsi="Times New Roman" w:cs="Times New Roman"/>
          <w:sz w:val="24"/>
          <w:szCs w:val="24"/>
        </w:rPr>
        <w:t xml:space="preserve">cases such as </w:t>
      </w:r>
      <w:r w:rsidR="00B60F59" w:rsidRPr="00434BF8">
        <w:rPr>
          <w:rFonts w:ascii="Times New Roman" w:hAnsi="Times New Roman" w:cs="Times New Roman"/>
          <w:i/>
          <w:sz w:val="24"/>
          <w:szCs w:val="24"/>
        </w:rPr>
        <w:t xml:space="preserve">Zelma v. </w:t>
      </w:r>
      <w:proofErr w:type="spellStart"/>
      <w:r w:rsidR="00B60F59" w:rsidRPr="00434BF8">
        <w:rPr>
          <w:rFonts w:ascii="Times New Roman" w:hAnsi="Times New Roman" w:cs="Times New Roman"/>
          <w:i/>
          <w:sz w:val="24"/>
          <w:szCs w:val="24"/>
        </w:rPr>
        <w:t>Simmon</w:t>
      </w:r>
      <w:proofErr w:type="spellEnd"/>
      <w:r w:rsidR="00B60F59" w:rsidRPr="00434BF8">
        <w:rPr>
          <w:rFonts w:ascii="Times New Roman" w:hAnsi="Times New Roman" w:cs="Times New Roman"/>
          <w:i/>
          <w:sz w:val="24"/>
          <w:szCs w:val="24"/>
        </w:rPr>
        <w:t>-Harris, 536 U.S. 639 (2002)</w:t>
      </w:r>
      <w:r w:rsidR="00434BF8" w:rsidRPr="00434BF8">
        <w:rPr>
          <w:rFonts w:ascii="Times New Roman" w:hAnsi="Times New Roman" w:cs="Times New Roman"/>
          <w:sz w:val="24"/>
          <w:szCs w:val="24"/>
        </w:rPr>
        <w:t xml:space="preserve">, </w:t>
      </w:r>
      <w:r w:rsidR="00434BF8" w:rsidRPr="00434BF8">
        <w:rPr>
          <w:rFonts w:ascii="Times New Roman" w:hAnsi="Times New Roman" w:cs="Times New Roman"/>
          <w:i/>
          <w:sz w:val="24"/>
          <w:szCs w:val="24"/>
        </w:rPr>
        <w:t xml:space="preserve">Freedom From Religion Foundation </w:t>
      </w:r>
      <w:proofErr w:type="spellStart"/>
      <w:r w:rsidR="00434BF8" w:rsidRPr="00434BF8">
        <w:rPr>
          <w:rFonts w:ascii="Times New Roman" w:hAnsi="Times New Roman" w:cs="Times New Roman"/>
          <w:i/>
          <w:sz w:val="24"/>
          <w:szCs w:val="24"/>
        </w:rPr>
        <w:t>v.McCallum</w:t>
      </w:r>
      <w:proofErr w:type="spellEnd"/>
      <w:r w:rsidR="00434BF8" w:rsidRPr="00434BF8">
        <w:rPr>
          <w:rFonts w:ascii="Times New Roman" w:hAnsi="Times New Roman" w:cs="Times New Roman"/>
          <w:sz w:val="24"/>
          <w:szCs w:val="24"/>
        </w:rPr>
        <w:t xml:space="preserve">, 324 F.3d 880, and </w:t>
      </w:r>
      <w:r w:rsidR="00434BF8" w:rsidRPr="00434BF8">
        <w:rPr>
          <w:rStyle w:val="Emphasis"/>
          <w:rFonts w:ascii="Times New Roman" w:hAnsi="Times New Roman" w:cs="Times New Roman"/>
          <w:bCs/>
          <w:iCs w:val="0"/>
          <w:sz w:val="24"/>
          <w:szCs w:val="24"/>
          <w:shd w:val="clear" w:color="auto" w:fill="FFFFFF"/>
        </w:rPr>
        <w:t>Hein v</w:t>
      </w:r>
      <w:r w:rsidR="00434BF8" w:rsidRPr="00434BF8">
        <w:rPr>
          <w:rFonts w:ascii="Times New Roman" w:hAnsi="Times New Roman" w:cs="Times New Roman"/>
          <w:sz w:val="24"/>
          <w:szCs w:val="24"/>
          <w:shd w:val="clear" w:color="auto" w:fill="FFFFFF"/>
        </w:rPr>
        <w:t>.</w:t>
      </w:r>
      <w:r w:rsidR="00434BF8" w:rsidRPr="00434BF8">
        <w:rPr>
          <w:rStyle w:val="apple-converted-space"/>
          <w:rFonts w:ascii="Times New Roman" w:hAnsi="Times New Roman" w:cs="Times New Roman"/>
          <w:sz w:val="24"/>
          <w:szCs w:val="24"/>
          <w:shd w:val="clear" w:color="auto" w:fill="FFFFFF"/>
        </w:rPr>
        <w:t> </w:t>
      </w:r>
      <w:r w:rsidR="00434BF8" w:rsidRPr="00434BF8">
        <w:rPr>
          <w:rStyle w:val="Emphasis"/>
          <w:rFonts w:ascii="Times New Roman" w:hAnsi="Times New Roman" w:cs="Times New Roman"/>
          <w:bCs/>
          <w:iCs w:val="0"/>
          <w:sz w:val="24"/>
          <w:szCs w:val="24"/>
          <w:shd w:val="clear" w:color="auto" w:fill="FFFFFF"/>
        </w:rPr>
        <w:t>Freedom From Religion Foundation</w:t>
      </w:r>
      <w:r w:rsidR="00434BF8" w:rsidRPr="00434BF8">
        <w:rPr>
          <w:rFonts w:ascii="Times New Roman" w:hAnsi="Times New Roman" w:cs="Times New Roman"/>
          <w:sz w:val="24"/>
          <w:szCs w:val="24"/>
          <w:shd w:val="clear" w:color="auto" w:fill="FFFFFF"/>
        </w:rPr>
        <w:t>, 551 U.S. 587 (2007), the ACLU and the Freedom From Religion Foundation in particular have brought suits against</w:t>
      </w:r>
      <w:r w:rsidR="0014629C">
        <w:rPr>
          <w:rFonts w:ascii="Times New Roman" w:hAnsi="Times New Roman" w:cs="Times New Roman"/>
          <w:sz w:val="24"/>
          <w:szCs w:val="24"/>
          <w:shd w:val="clear" w:color="auto" w:fill="FFFFFF"/>
        </w:rPr>
        <w:t xml:space="preserve"> or supported lawsuits where they</w:t>
      </w:r>
      <w:r w:rsidR="00434BF8" w:rsidRPr="00434BF8">
        <w:rPr>
          <w:rFonts w:ascii="Times New Roman" w:hAnsi="Times New Roman" w:cs="Times New Roman"/>
          <w:sz w:val="24"/>
          <w:szCs w:val="24"/>
          <w:shd w:val="clear" w:color="auto" w:fill="FFFFFF"/>
        </w:rPr>
        <w:t xml:space="preserve"> </w:t>
      </w:r>
      <w:r w:rsidR="00434BF8">
        <w:rPr>
          <w:rFonts w:ascii="Times New Roman" w:hAnsi="Times New Roman" w:cs="Times New Roman"/>
          <w:sz w:val="24"/>
          <w:szCs w:val="24"/>
          <w:shd w:val="clear" w:color="auto" w:fill="FFFFFF"/>
        </w:rPr>
        <w:t xml:space="preserve">perceived </w:t>
      </w:r>
      <w:r w:rsidR="0014629C">
        <w:rPr>
          <w:rFonts w:ascii="Times New Roman" w:hAnsi="Times New Roman" w:cs="Times New Roman"/>
          <w:sz w:val="24"/>
          <w:szCs w:val="24"/>
          <w:shd w:val="clear" w:color="auto" w:fill="FFFFFF"/>
        </w:rPr>
        <w:t xml:space="preserve">there </w:t>
      </w:r>
      <w:r w:rsidR="00434BF8">
        <w:rPr>
          <w:rFonts w:ascii="Times New Roman" w:hAnsi="Times New Roman" w:cs="Times New Roman"/>
          <w:sz w:val="24"/>
          <w:szCs w:val="24"/>
          <w:shd w:val="clear" w:color="auto" w:fill="FFFFFF"/>
        </w:rPr>
        <w:t>to be</w:t>
      </w:r>
      <w:r w:rsidR="0014629C">
        <w:rPr>
          <w:rFonts w:ascii="Times New Roman" w:hAnsi="Times New Roman" w:cs="Times New Roman"/>
          <w:sz w:val="24"/>
          <w:szCs w:val="24"/>
          <w:shd w:val="clear" w:color="auto" w:fill="FFFFFF"/>
        </w:rPr>
        <w:t xml:space="preserve"> an</w:t>
      </w:r>
      <w:r w:rsidR="00434BF8">
        <w:rPr>
          <w:rFonts w:ascii="Times New Roman" w:hAnsi="Times New Roman" w:cs="Times New Roman"/>
          <w:sz w:val="24"/>
          <w:szCs w:val="24"/>
          <w:shd w:val="clear" w:color="auto" w:fill="FFFFFF"/>
        </w:rPr>
        <w:t xml:space="preserve"> improper use of public funds by religious entities</w:t>
      </w:r>
      <w:r w:rsidR="00430A5B">
        <w:rPr>
          <w:rFonts w:ascii="Times New Roman" w:hAnsi="Times New Roman" w:cs="Times New Roman"/>
          <w:sz w:val="24"/>
          <w:szCs w:val="24"/>
          <w:shd w:val="clear" w:color="auto" w:fill="FFFFFF"/>
        </w:rPr>
        <w:t xml:space="preserve"> (</w:t>
      </w:r>
      <w:proofErr w:type="spellStart"/>
      <w:r w:rsidR="00430A5B">
        <w:rPr>
          <w:rFonts w:ascii="Times New Roman" w:hAnsi="Times New Roman" w:cs="Times New Roman"/>
          <w:sz w:val="24"/>
          <w:szCs w:val="24"/>
          <w:shd w:val="clear" w:color="auto" w:fill="FFFFFF"/>
        </w:rPr>
        <w:t>Henriques</w:t>
      </w:r>
      <w:proofErr w:type="spellEnd"/>
      <w:r w:rsidR="00430A5B" w:rsidRPr="00430A5B">
        <w:rPr>
          <w:rFonts w:ascii="Times New Roman" w:hAnsi="Times New Roman" w:cs="Times New Roman"/>
          <w:sz w:val="24"/>
          <w:szCs w:val="24"/>
          <w:shd w:val="clear" w:color="auto" w:fill="FFFFFF"/>
        </w:rPr>
        <w:t xml:space="preserve"> and </w:t>
      </w:r>
      <w:proofErr w:type="spellStart"/>
      <w:r w:rsidR="00430A5B">
        <w:rPr>
          <w:rFonts w:ascii="Times New Roman" w:hAnsi="Times New Roman" w:cs="Times New Roman"/>
          <w:sz w:val="24"/>
          <w:szCs w:val="24"/>
          <w:shd w:val="clear" w:color="auto" w:fill="FFFFFF"/>
        </w:rPr>
        <w:t>Lehren</w:t>
      </w:r>
      <w:proofErr w:type="spellEnd"/>
      <w:r w:rsidR="00430A5B">
        <w:rPr>
          <w:rFonts w:ascii="Times New Roman" w:hAnsi="Times New Roman" w:cs="Times New Roman"/>
          <w:sz w:val="24"/>
          <w:szCs w:val="24"/>
          <w:shd w:val="clear" w:color="auto" w:fill="FFFFFF"/>
        </w:rPr>
        <w:t>, 2006).</w:t>
      </w:r>
      <w:r w:rsidR="00434BF8">
        <w:rPr>
          <w:rFonts w:ascii="Times New Roman" w:hAnsi="Times New Roman" w:cs="Times New Roman"/>
          <w:sz w:val="24"/>
          <w:szCs w:val="24"/>
          <w:shd w:val="clear" w:color="auto" w:fill="FFFFFF"/>
        </w:rPr>
        <w:t xml:space="preserve"> Although many of these cases have resulted in losses for separationists, these issues tend to engender the most collaboration among the two coalitions.</w:t>
      </w:r>
      <w:r w:rsidR="007653FE">
        <w:rPr>
          <w:rFonts w:ascii="Times New Roman" w:hAnsi="Times New Roman" w:cs="Times New Roman"/>
          <w:sz w:val="24"/>
          <w:szCs w:val="24"/>
          <w:shd w:val="clear" w:color="auto" w:fill="FFFFFF"/>
        </w:rPr>
        <w:t xml:space="preserve"> Although pluralistic in some senses, the ACLU has traditionally been suspect of these kinds of supposedly neutral allocations of funds on the basis that there tends to be a </w:t>
      </w:r>
      <w:r w:rsidR="007653FE">
        <w:rPr>
          <w:rFonts w:ascii="Times New Roman" w:hAnsi="Times New Roman" w:cs="Times New Roman"/>
          <w:i/>
          <w:sz w:val="24"/>
          <w:szCs w:val="24"/>
          <w:shd w:val="clear" w:color="auto" w:fill="FFFFFF"/>
        </w:rPr>
        <w:t>de facto</w:t>
      </w:r>
      <w:r w:rsidR="007653FE">
        <w:rPr>
          <w:rFonts w:ascii="Times New Roman" w:hAnsi="Times New Roman" w:cs="Times New Roman"/>
          <w:sz w:val="24"/>
          <w:szCs w:val="24"/>
          <w:shd w:val="clear" w:color="auto" w:fill="FFFFFF"/>
        </w:rPr>
        <w:t xml:space="preserve"> favoring of mainstream Christian religions (</w:t>
      </w:r>
      <w:r w:rsidR="00C71149">
        <w:rPr>
          <w:rFonts w:ascii="Times New Roman" w:hAnsi="Times New Roman" w:cs="Times New Roman"/>
          <w:sz w:val="24"/>
          <w:szCs w:val="24"/>
          <w:shd w:val="clear" w:color="auto" w:fill="FFFFFF"/>
        </w:rPr>
        <w:t xml:space="preserve">this generally signifies </w:t>
      </w:r>
      <w:r w:rsidR="007653FE">
        <w:rPr>
          <w:rFonts w:ascii="Times New Roman" w:hAnsi="Times New Roman" w:cs="Times New Roman"/>
          <w:sz w:val="24"/>
          <w:szCs w:val="24"/>
          <w:shd w:val="clear" w:color="auto" w:fill="FFFFFF"/>
        </w:rPr>
        <w:t>evangelical, Catholic, and Protestan</w:t>
      </w:r>
      <w:r w:rsidR="00C71149">
        <w:rPr>
          <w:rFonts w:ascii="Times New Roman" w:hAnsi="Times New Roman" w:cs="Times New Roman"/>
          <w:sz w:val="24"/>
          <w:szCs w:val="24"/>
          <w:shd w:val="clear" w:color="auto" w:fill="FFFFFF"/>
        </w:rPr>
        <w:t>t sects</w:t>
      </w:r>
      <w:r w:rsidR="007653FE">
        <w:rPr>
          <w:rFonts w:ascii="Times New Roman" w:hAnsi="Times New Roman" w:cs="Times New Roman"/>
          <w:sz w:val="24"/>
          <w:szCs w:val="24"/>
          <w:shd w:val="clear" w:color="auto" w:fill="FFFFFF"/>
        </w:rPr>
        <w:t>).</w:t>
      </w:r>
      <w:r w:rsidR="00D314D8">
        <w:rPr>
          <w:rStyle w:val="FootnoteReference"/>
          <w:rFonts w:ascii="Times New Roman" w:hAnsi="Times New Roman" w:cs="Times New Roman"/>
          <w:sz w:val="24"/>
          <w:szCs w:val="24"/>
          <w:shd w:val="clear" w:color="auto" w:fill="FFFFFF"/>
        </w:rPr>
        <w:footnoteReference w:id="16"/>
      </w:r>
    </w:p>
    <w:p w14:paraId="520E7DD6" w14:textId="77777777" w:rsidR="00663A4E" w:rsidRDefault="00663A4E" w:rsidP="00832F52">
      <w:pPr>
        <w:spacing w:line="480" w:lineRule="auto"/>
        <w:contextualSpacing/>
        <w:rPr>
          <w:rFonts w:asciiTheme="majorBidi" w:hAnsiTheme="majorBidi" w:cstheme="majorBidi"/>
          <w:color w:val="000000"/>
          <w:sz w:val="24"/>
          <w:szCs w:val="24"/>
        </w:rPr>
      </w:pPr>
    </w:p>
    <w:p w14:paraId="3BFEA719" w14:textId="77777777" w:rsidR="00CB27EC" w:rsidRDefault="00CB27EC" w:rsidP="00832F52">
      <w:pPr>
        <w:spacing w:line="480" w:lineRule="auto"/>
        <w:contextualSpacing/>
        <w:rPr>
          <w:rFonts w:asciiTheme="majorBidi" w:hAnsiTheme="majorBidi" w:cstheme="majorBidi"/>
          <w:i/>
          <w:iCs/>
          <w:sz w:val="24"/>
          <w:szCs w:val="24"/>
        </w:rPr>
      </w:pPr>
      <w:r>
        <w:rPr>
          <w:rFonts w:asciiTheme="majorBidi" w:hAnsiTheme="majorBidi" w:cstheme="majorBidi"/>
          <w:i/>
          <w:iCs/>
          <w:sz w:val="24"/>
          <w:szCs w:val="24"/>
        </w:rPr>
        <w:t>Approaches to Public Displays of Religion</w:t>
      </w:r>
    </w:p>
    <w:p w14:paraId="335D499E" w14:textId="77777777" w:rsidR="00D2176F" w:rsidRDefault="00E5089C" w:rsidP="004D561C">
      <w:pPr>
        <w:spacing w:line="480" w:lineRule="auto"/>
        <w:contextualSpacing/>
        <w:rPr>
          <w:rFonts w:asciiTheme="majorBidi" w:hAnsiTheme="majorBidi" w:cstheme="majorBidi"/>
          <w:sz w:val="24"/>
          <w:szCs w:val="24"/>
        </w:rPr>
      </w:pPr>
      <w:r>
        <w:rPr>
          <w:rFonts w:asciiTheme="majorBidi" w:hAnsiTheme="majorBidi" w:cstheme="majorBidi"/>
          <w:sz w:val="24"/>
          <w:szCs w:val="24"/>
        </w:rPr>
        <w:tab/>
        <w:t xml:space="preserve">Cases concerning public displays of religion have brought the two coalitions collaborative opportunities as well as </w:t>
      </w:r>
      <w:r w:rsidR="00EA3418">
        <w:rPr>
          <w:rFonts w:asciiTheme="majorBidi" w:hAnsiTheme="majorBidi" w:cstheme="majorBidi"/>
          <w:sz w:val="24"/>
          <w:szCs w:val="24"/>
        </w:rPr>
        <w:t xml:space="preserve">instances of fundamental divergences in approach. It is no stretch to state that both </w:t>
      </w:r>
      <w:r w:rsidR="006715DE">
        <w:rPr>
          <w:rFonts w:asciiTheme="majorBidi" w:hAnsiTheme="majorBidi" w:cstheme="majorBidi"/>
          <w:sz w:val="24"/>
          <w:szCs w:val="24"/>
        </w:rPr>
        <w:t>nonsectarian</w:t>
      </w:r>
      <w:r w:rsidR="00EA3418">
        <w:rPr>
          <w:rFonts w:asciiTheme="majorBidi" w:hAnsiTheme="majorBidi" w:cstheme="majorBidi"/>
          <w:sz w:val="24"/>
          <w:szCs w:val="24"/>
        </w:rPr>
        <w:t xml:space="preserve"> and atheist groups have consistently opposed </w:t>
      </w:r>
      <w:r w:rsidR="00203946">
        <w:rPr>
          <w:rFonts w:asciiTheme="majorBidi" w:hAnsiTheme="majorBidi" w:cstheme="majorBidi"/>
          <w:sz w:val="24"/>
          <w:szCs w:val="24"/>
        </w:rPr>
        <w:t>the presence</w:t>
      </w:r>
      <w:r w:rsidR="00EA3418">
        <w:rPr>
          <w:rFonts w:asciiTheme="majorBidi" w:hAnsiTheme="majorBidi" w:cstheme="majorBidi"/>
          <w:sz w:val="24"/>
          <w:szCs w:val="24"/>
        </w:rPr>
        <w:t xml:space="preserve"> of Christian icons—ranging from nativity scenes to the Ten Commandments—on public grounds. </w:t>
      </w:r>
      <w:r w:rsidR="00071E60">
        <w:rPr>
          <w:rFonts w:asciiTheme="majorBidi" w:hAnsiTheme="majorBidi" w:cstheme="majorBidi"/>
          <w:sz w:val="24"/>
          <w:szCs w:val="24"/>
        </w:rPr>
        <w:t xml:space="preserve">For example, </w:t>
      </w:r>
      <w:r w:rsidR="0012300C">
        <w:rPr>
          <w:rFonts w:asciiTheme="majorBidi" w:hAnsiTheme="majorBidi" w:cstheme="majorBidi"/>
          <w:sz w:val="24"/>
          <w:szCs w:val="24"/>
        </w:rPr>
        <w:t xml:space="preserve">there was a significant amount of crosscutting support among the coalitions for the 2005 </w:t>
      </w:r>
      <w:r w:rsidR="00071E60">
        <w:rPr>
          <w:rFonts w:asciiTheme="majorBidi" w:hAnsiTheme="majorBidi" w:cstheme="majorBidi"/>
          <w:sz w:val="24"/>
          <w:szCs w:val="24"/>
        </w:rPr>
        <w:t>challenge</w:t>
      </w:r>
      <w:r w:rsidR="0012300C">
        <w:rPr>
          <w:rFonts w:asciiTheme="majorBidi" w:hAnsiTheme="majorBidi" w:cstheme="majorBidi"/>
          <w:sz w:val="24"/>
          <w:szCs w:val="24"/>
        </w:rPr>
        <w:t>s</w:t>
      </w:r>
      <w:r w:rsidR="00071E60">
        <w:rPr>
          <w:rFonts w:asciiTheme="majorBidi" w:hAnsiTheme="majorBidi" w:cstheme="majorBidi"/>
          <w:sz w:val="24"/>
          <w:szCs w:val="24"/>
        </w:rPr>
        <w:t xml:space="preserve"> to </w:t>
      </w:r>
      <w:r w:rsidR="0012300C">
        <w:rPr>
          <w:rFonts w:asciiTheme="majorBidi" w:hAnsiTheme="majorBidi" w:cstheme="majorBidi"/>
          <w:sz w:val="24"/>
          <w:szCs w:val="24"/>
        </w:rPr>
        <w:t xml:space="preserve">two different </w:t>
      </w:r>
      <w:r w:rsidR="00071E60">
        <w:rPr>
          <w:rFonts w:asciiTheme="majorBidi" w:hAnsiTheme="majorBidi" w:cstheme="majorBidi"/>
          <w:sz w:val="24"/>
          <w:szCs w:val="24"/>
        </w:rPr>
        <w:t>Ten Commandments display</w:t>
      </w:r>
      <w:r w:rsidR="0012300C">
        <w:rPr>
          <w:rFonts w:asciiTheme="majorBidi" w:hAnsiTheme="majorBidi" w:cstheme="majorBidi"/>
          <w:sz w:val="24"/>
          <w:szCs w:val="24"/>
        </w:rPr>
        <w:t xml:space="preserve">s on public grounds in the cases </w:t>
      </w:r>
      <w:r w:rsidR="00071E60" w:rsidRPr="00071E60">
        <w:rPr>
          <w:rFonts w:ascii="Times New Roman" w:hAnsi="Times New Roman" w:cs="Times New Roman"/>
          <w:i/>
          <w:sz w:val="24"/>
          <w:szCs w:val="24"/>
        </w:rPr>
        <w:t xml:space="preserve">Van </w:t>
      </w:r>
      <w:proofErr w:type="spellStart"/>
      <w:r w:rsidR="00071E60" w:rsidRPr="00071E60">
        <w:rPr>
          <w:rFonts w:ascii="Times New Roman" w:hAnsi="Times New Roman" w:cs="Times New Roman"/>
          <w:i/>
          <w:sz w:val="24"/>
          <w:szCs w:val="24"/>
        </w:rPr>
        <w:t>Orden</w:t>
      </w:r>
      <w:proofErr w:type="spellEnd"/>
      <w:r w:rsidR="00071E60" w:rsidRPr="00071E60">
        <w:rPr>
          <w:rFonts w:ascii="Times New Roman" w:hAnsi="Times New Roman" w:cs="Times New Roman"/>
          <w:i/>
          <w:sz w:val="24"/>
          <w:szCs w:val="24"/>
        </w:rPr>
        <w:t xml:space="preserve"> v.</w:t>
      </w:r>
      <w:r w:rsidR="005E08EB">
        <w:rPr>
          <w:rFonts w:ascii="Times New Roman" w:hAnsi="Times New Roman" w:cs="Times New Roman"/>
          <w:i/>
          <w:sz w:val="24"/>
          <w:szCs w:val="24"/>
        </w:rPr>
        <w:t xml:space="preserve"> </w:t>
      </w:r>
      <w:r w:rsidR="00071E60" w:rsidRPr="00071E60">
        <w:rPr>
          <w:rFonts w:ascii="Times New Roman" w:hAnsi="Times New Roman" w:cs="Times New Roman"/>
          <w:i/>
          <w:sz w:val="24"/>
          <w:szCs w:val="24"/>
        </w:rPr>
        <w:t>Perry</w:t>
      </w:r>
      <w:r w:rsidR="00071E60" w:rsidRPr="00071E60">
        <w:rPr>
          <w:rFonts w:ascii="Times New Roman" w:hAnsi="Times New Roman" w:cs="Times New Roman"/>
          <w:sz w:val="24"/>
          <w:szCs w:val="24"/>
        </w:rPr>
        <w:t xml:space="preserve">, 545 U.S. 677 (2005) and </w:t>
      </w:r>
      <w:r w:rsidR="00071E60" w:rsidRPr="00071E60">
        <w:rPr>
          <w:rFonts w:ascii="Times New Roman" w:hAnsi="Times New Roman" w:cs="Times New Roman"/>
          <w:i/>
          <w:sz w:val="24"/>
          <w:szCs w:val="24"/>
        </w:rPr>
        <w:t>McCreary County v. ACLU</w:t>
      </w:r>
      <w:r w:rsidR="00071E60" w:rsidRPr="00071E60">
        <w:rPr>
          <w:rFonts w:ascii="Times New Roman" w:hAnsi="Times New Roman" w:cs="Times New Roman"/>
          <w:sz w:val="24"/>
          <w:szCs w:val="24"/>
        </w:rPr>
        <w:t xml:space="preserve">, </w:t>
      </w:r>
      <w:r w:rsidR="00071E60" w:rsidRPr="00071E60">
        <w:rPr>
          <w:rFonts w:ascii="Times New Roman" w:hAnsi="Times New Roman" w:cs="Times New Roman"/>
          <w:sz w:val="24"/>
          <w:szCs w:val="24"/>
        </w:rPr>
        <w:lastRenderedPageBreak/>
        <w:t>545 U.S. 844 (2005).</w:t>
      </w:r>
      <w:r w:rsidR="00071E60">
        <w:rPr>
          <w:rFonts w:asciiTheme="majorBidi" w:hAnsiTheme="majorBidi" w:cstheme="majorBidi"/>
          <w:sz w:val="24"/>
          <w:szCs w:val="24"/>
        </w:rPr>
        <w:t xml:space="preserve"> </w:t>
      </w:r>
      <w:r w:rsidR="0012300C">
        <w:rPr>
          <w:rFonts w:asciiTheme="majorBidi" w:hAnsiTheme="majorBidi" w:cstheme="majorBidi"/>
          <w:sz w:val="24"/>
          <w:szCs w:val="24"/>
        </w:rPr>
        <w:t xml:space="preserve">In fact, the cases were so mutually supported by the two coalitions that the American Jewish Congress and the Freedom </w:t>
      </w:r>
      <w:proofErr w:type="gramStart"/>
      <w:r w:rsidR="0012300C">
        <w:rPr>
          <w:rFonts w:asciiTheme="majorBidi" w:hAnsiTheme="majorBidi" w:cstheme="majorBidi"/>
          <w:sz w:val="24"/>
          <w:szCs w:val="24"/>
        </w:rPr>
        <w:t>From</w:t>
      </w:r>
      <w:proofErr w:type="gramEnd"/>
      <w:r w:rsidR="0012300C">
        <w:rPr>
          <w:rFonts w:asciiTheme="majorBidi" w:hAnsiTheme="majorBidi" w:cstheme="majorBidi"/>
          <w:sz w:val="24"/>
          <w:szCs w:val="24"/>
        </w:rPr>
        <w:t xml:space="preserve"> Religion Foundation (Friedman &amp; Peterson</w:t>
      </w:r>
      <w:r w:rsidR="00555213">
        <w:rPr>
          <w:rFonts w:asciiTheme="majorBidi" w:hAnsiTheme="majorBidi" w:cstheme="majorBidi"/>
          <w:sz w:val="24"/>
          <w:szCs w:val="24"/>
        </w:rPr>
        <w:t>,</w:t>
      </w:r>
      <w:r w:rsidR="0012300C">
        <w:rPr>
          <w:rFonts w:asciiTheme="majorBidi" w:hAnsiTheme="majorBidi" w:cstheme="majorBidi"/>
          <w:sz w:val="24"/>
          <w:szCs w:val="24"/>
        </w:rPr>
        <w:t xml:space="preserve"> 200</w:t>
      </w:r>
      <w:r w:rsidR="004D561C">
        <w:rPr>
          <w:rFonts w:asciiTheme="majorBidi" w:hAnsiTheme="majorBidi" w:cstheme="majorBidi"/>
          <w:sz w:val="24"/>
          <w:szCs w:val="24"/>
        </w:rPr>
        <w:t>5</w:t>
      </w:r>
      <w:r w:rsidR="0012300C">
        <w:rPr>
          <w:rFonts w:asciiTheme="majorBidi" w:hAnsiTheme="majorBidi" w:cstheme="majorBidi"/>
          <w:sz w:val="24"/>
          <w:szCs w:val="24"/>
        </w:rPr>
        <w:t xml:space="preserve">) filed briefs in support of Van </w:t>
      </w:r>
      <w:proofErr w:type="spellStart"/>
      <w:r w:rsidR="0012300C">
        <w:rPr>
          <w:rFonts w:asciiTheme="majorBidi" w:hAnsiTheme="majorBidi" w:cstheme="majorBidi"/>
          <w:sz w:val="24"/>
          <w:szCs w:val="24"/>
        </w:rPr>
        <w:t>Orden</w:t>
      </w:r>
      <w:proofErr w:type="spellEnd"/>
      <w:r w:rsidR="0012300C">
        <w:rPr>
          <w:rFonts w:asciiTheme="majorBidi" w:hAnsiTheme="majorBidi" w:cstheme="majorBidi"/>
          <w:sz w:val="24"/>
          <w:szCs w:val="24"/>
        </w:rPr>
        <w:t xml:space="preserve"> while the American Humanist Association and the Anti-Defamation League filed in support of the ACLU’s litigation (Legal Information Institute</w:t>
      </w:r>
      <w:r w:rsidR="00555213">
        <w:rPr>
          <w:rFonts w:asciiTheme="majorBidi" w:hAnsiTheme="majorBidi" w:cstheme="majorBidi"/>
          <w:sz w:val="24"/>
          <w:szCs w:val="24"/>
        </w:rPr>
        <w:t>,</w:t>
      </w:r>
      <w:r w:rsidR="0012300C">
        <w:rPr>
          <w:rFonts w:asciiTheme="majorBidi" w:hAnsiTheme="majorBidi" w:cstheme="majorBidi"/>
          <w:sz w:val="24"/>
          <w:szCs w:val="24"/>
        </w:rPr>
        <w:t xml:space="preserve"> 2005).</w:t>
      </w:r>
      <w:r w:rsidR="002B4078">
        <w:rPr>
          <w:rFonts w:asciiTheme="majorBidi" w:hAnsiTheme="majorBidi" w:cstheme="majorBidi"/>
          <w:sz w:val="24"/>
          <w:szCs w:val="24"/>
        </w:rPr>
        <w:t xml:space="preserve"> </w:t>
      </w:r>
      <w:r w:rsidR="00091456">
        <w:rPr>
          <w:rFonts w:asciiTheme="majorBidi" w:hAnsiTheme="majorBidi" w:cstheme="majorBidi"/>
          <w:sz w:val="24"/>
          <w:szCs w:val="24"/>
        </w:rPr>
        <w:t xml:space="preserve">Possibly </w:t>
      </w:r>
      <w:r w:rsidR="00BB1A37">
        <w:rPr>
          <w:rFonts w:asciiTheme="majorBidi" w:hAnsiTheme="majorBidi" w:cstheme="majorBidi"/>
          <w:sz w:val="24"/>
          <w:szCs w:val="24"/>
        </w:rPr>
        <w:t xml:space="preserve">even </w:t>
      </w:r>
      <w:r w:rsidR="00091456">
        <w:rPr>
          <w:rFonts w:asciiTheme="majorBidi" w:hAnsiTheme="majorBidi" w:cstheme="majorBidi"/>
          <w:sz w:val="24"/>
          <w:szCs w:val="24"/>
        </w:rPr>
        <w:t xml:space="preserve">more significant, the FFRF advanced an argument in favor of the Lemon test from </w:t>
      </w:r>
      <w:r w:rsidR="00785797" w:rsidRPr="00BD06B5">
        <w:rPr>
          <w:rFonts w:asciiTheme="majorBidi" w:hAnsiTheme="majorBidi" w:cstheme="majorBidi"/>
          <w:i/>
          <w:sz w:val="24"/>
          <w:szCs w:val="24"/>
        </w:rPr>
        <w:t>Lemon v. Kurtzman,</w:t>
      </w:r>
      <w:r w:rsidR="00785797" w:rsidRPr="00785797">
        <w:rPr>
          <w:rFonts w:asciiTheme="majorBidi" w:hAnsiTheme="majorBidi" w:cstheme="majorBidi"/>
          <w:sz w:val="24"/>
          <w:szCs w:val="24"/>
        </w:rPr>
        <w:t xml:space="preserve"> 411 U.S. 192 (1973)</w:t>
      </w:r>
      <w:r w:rsidR="00091456">
        <w:rPr>
          <w:rFonts w:asciiTheme="majorBidi" w:hAnsiTheme="majorBidi" w:cstheme="majorBidi"/>
          <w:sz w:val="24"/>
          <w:szCs w:val="24"/>
        </w:rPr>
        <w:t>, a standard that the ACLU had been litigating in favor for since the 1980s.</w:t>
      </w:r>
      <w:r w:rsidR="00091456">
        <w:rPr>
          <w:rStyle w:val="FootnoteReference"/>
          <w:rFonts w:asciiTheme="majorBidi" w:hAnsiTheme="majorBidi" w:cstheme="majorBidi"/>
          <w:sz w:val="24"/>
          <w:szCs w:val="24"/>
        </w:rPr>
        <w:footnoteReference w:id="17"/>
      </w:r>
      <w:r w:rsidR="00785797">
        <w:rPr>
          <w:rFonts w:asciiTheme="majorBidi" w:hAnsiTheme="majorBidi" w:cstheme="majorBidi"/>
          <w:sz w:val="24"/>
          <w:szCs w:val="24"/>
        </w:rPr>
        <w:t xml:space="preserve"> Similarly, the Atheist Law Center (</w:t>
      </w:r>
      <w:proofErr w:type="spellStart"/>
      <w:r w:rsidR="00785797">
        <w:rPr>
          <w:rFonts w:asciiTheme="majorBidi" w:hAnsiTheme="majorBidi" w:cstheme="majorBidi"/>
          <w:sz w:val="24"/>
          <w:szCs w:val="24"/>
        </w:rPr>
        <w:t>Sumners</w:t>
      </w:r>
      <w:proofErr w:type="spellEnd"/>
      <w:r w:rsidR="00785797">
        <w:rPr>
          <w:rFonts w:asciiTheme="majorBidi" w:hAnsiTheme="majorBidi" w:cstheme="majorBidi"/>
          <w:sz w:val="24"/>
          <w:szCs w:val="24"/>
        </w:rPr>
        <w:t xml:space="preserve"> &amp; Darby</w:t>
      </w:r>
      <w:r w:rsidR="00555213">
        <w:rPr>
          <w:rFonts w:asciiTheme="majorBidi" w:hAnsiTheme="majorBidi" w:cstheme="majorBidi"/>
          <w:sz w:val="24"/>
          <w:szCs w:val="24"/>
        </w:rPr>
        <w:t>,</w:t>
      </w:r>
      <w:r w:rsidR="00785797">
        <w:rPr>
          <w:rFonts w:asciiTheme="majorBidi" w:hAnsiTheme="majorBidi" w:cstheme="majorBidi"/>
          <w:sz w:val="24"/>
          <w:szCs w:val="24"/>
        </w:rPr>
        <w:t xml:space="preserve"> 2004)</w:t>
      </w:r>
      <w:r w:rsidR="006E07FD">
        <w:rPr>
          <w:rFonts w:asciiTheme="majorBidi" w:hAnsiTheme="majorBidi" w:cstheme="majorBidi"/>
          <w:sz w:val="24"/>
          <w:szCs w:val="24"/>
        </w:rPr>
        <w:t xml:space="preserve"> championed t</w:t>
      </w:r>
      <w:r w:rsidR="003D0CC9">
        <w:rPr>
          <w:rFonts w:asciiTheme="majorBidi" w:hAnsiTheme="majorBidi" w:cstheme="majorBidi"/>
          <w:sz w:val="24"/>
          <w:szCs w:val="24"/>
        </w:rPr>
        <w:t>h</w:t>
      </w:r>
      <w:r w:rsidR="006E07FD">
        <w:rPr>
          <w:rFonts w:asciiTheme="majorBidi" w:hAnsiTheme="majorBidi" w:cstheme="majorBidi"/>
          <w:sz w:val="24"/>
          <w:szCs w:val="24"/>
        </w:rPr>
        <w:t xml:space="preserve">e Lemon test against the reasonable observer test found in Justice O’Connor’s concurrence in </w:t>
      </w:r>
      <w:r w:rsidR="006E07FD" w:rsidRPr="0014063B">
        <w:rPr>
          <w:rFonts w:asciiTheme="majorBidi" w:hAnsiTheme="majorBidi" w:cstheme="majorBidi"/>
          <w:i/>
          <w:sz w:val="24"/>
          <w:szCs w:val="24"/>
        </w:rPr>
        <w:t>Lynch v. Donnelly</w:t>
      </w:r>
      <w:r w:rsidR="006E07FD" w:rsidRPr="006E07FD">
        <w:rPr>
          <w:rFonts w:asciiTheme="majorBidi" w:hAnsiTheme="majorBidi" w:cstheme="majorBidi"/>
          <w:sz w:val="24"/>
          <w:szCs w:val="24"/>
        </w:rPr>
        <w:t>, 465 U.S. 668 (1984)</w:t>
      </w:r>
      <w:r w:rsidR="006E07FD">
        <w:rPr>
          <w:rFonts w:asciiTheme="majorBidi" w:hAnsiTheme="majorBidi" w:cstheme="majorBidi"/>
          <w:sz w:val="24"/>
          <w:szCs w:val="24"/>
        </w:rPr>
        <w:t xml:space="preserve">. </w:t>
      </w:r>
      <w:r w:rsidR="00A07E3B">
        <w:rPr>
          <w:rFonts w:asciiTheme="majorBidi" w:hAnsiTheme="majorBidi" w:cstheme="majorBidi"/>
          <w:sz w:val="24"/>
          <w:szCs w:val="24"/>
        </w:rPr>
        <w:t xml:space="preserve">Together, groups </w:t>
      </w:r>
      <w:r w:rsidR="00BB1A37">
        <w:rPr>
          <w:rFonts w:asciiTheme="majorBidi" w:hAnsiTheme="majorBidi" w:cstheme="majorBidi"/>
          <w:sz w:val="24"/>
          <w:szCs w:val="24"/>
        </w:rPr>
        <w:t xml:space="preserve">from both coalitions </w:t>
      </w:r>
      <w:r w:rsidR="00A07E3B">
        <w:rPr>
          <w:rFonts w:asciiTheme="majorBidi" w:hAnsiTheme="majorBidi" w:cstheme="majorBidi"/>
          <w:sz w:val="24"/>
          <w:szCs w:val="24"/>
        </w:rPr>
        <w:t xml:space="preserve">petitioned the Court to apply the Lemon test as well </w:t>
      </w:r>
      <w:r w:rsidR="005E08EB">
        <w:rPr>
          <w:rFonts w:asciiTheme="majorBidi" w:hAnsiTheme="majorBidi" w:cstheme="majorBidi"/>
          <w:sz w:val="24"/>
          <w:szCs w:val="24"/>
        </w:rPr>
        <w:t xml:space="preserve">as for the use of a </w:t>
      </w:r>
      <w:r w:rsidR="00A07E3B">
        <w:rPr>
          <w:rFonts w:asciiTheme="majorBidi" w:hAnsiTheme="majorBidi" w:cstheme="majorBidi"/>
          <w:sz w:val="24"/>
          <w:szCs w:val="24"/>
        </w:rPr>
        <w:t xml:space="preserve">strong presumption against </w:t>
      </w:r>
      <w:r w:rsidR="005E08EB">
        <w:rPr>
          <w:rFonts w:asciiTheme="majorBidi" w:hAnsiTheme="majorBidi" w:cstheme="majorBidi"/>
          <w:sz w:val="24"/>
          <w:szCs w:val="24"/>
        </w:rPr>
        <w:t xml:space="preserve">the constitutionality of </w:t>
      </w:r>
      <w:r w:rsidR="00A07E3B">
        <w:rPr>
          <w:rFonts w:asciiTheme="majorBidi" w:hAnsiTheme="majorBidi" w:cstheme="majorBidi"/>
          <w:sz w:val="24"/>
          <w:szCs w:val="24"/>
        </w:rPr>
        <w:t xml:space="preserve">religious displays, an </w:t>
      </w:r>
      <w:r w:rsidR="00B96645">
        <w:rPr>
          <w:rFonts w:asciiTheme="majorBidi" w:hAnsiTheme="majorBidi" w:cstheme="majorBidi"/>
          <w:sz w:val="24"/>
          <w:szCs w:val="24"/>
        </w:rPr>
        <w:t>alternative to O’Connor’s reasonable observer</w:t>
      </w:r>
      <w:r w:rsidR="00A07E3B">
        <w:rPr>
          <w:rFonts w:asciiTheme="majorBidi" w:hAnsiTheme="majorBidi" w:cstheme="majorBidi"/>
          <w:sz w:val="24"/>
          <w:szCs w:val="24"/>
        </w:rPr>
        <w:t xml:space="preserve"> articulated by Justice Stevens in his dissent</w:t>
      </w:r>
      <w:r w:rsidR="009A5404">
        <w:rPr>
          <w:rFonts w:asciiTheme="majorBidi" w:hAnsiTheme="majorBidi" w:cstheme="majorBidi"/>
          <w:sz w:val="24"/>
          <w:szCs w:val="24"/>
        </w:rPr>
        <w:t xml:space="preserve"> and concurrence</w:t>
      </w:r>
      <w:r w:rsidR="00A07E3B">
        <w:rPr>
          <w:rFonts w:asciiTheme="majorBidi" w:hAnsiTheme="majorBidi" w:cstheme="majorBidi"/>
          <w:sz w:val="24"/>
          <w:szCs w:val="24"/>
        </w:rPr>
        <w:t xml:space="preserve"> in </w:t>
      </w:r>
      <w:r w:rsidR="00A07E3B" w:rsidRPr="009A5404">
        <w:rPr>
          <w:rFonts w:asciiTheme="majorBidi" w:hAnsiTheme="majorBidi" w:cstheme="majorBidi"/>
          <w:i/>
          <w:sz w:val="24"/>
          <w:szCs w:val="24"/>
        </w:rPr>
        <w:t>County of Allegheny v. American Civil Liberties Union</w:t>
      </w:r>
      <w:r w:rsidR="00A07E3B" w:rsidRPr="00A07E3B">
        <w:rPr>
          <w:rFonts w:asciiTheme="majorBidi" w:hAnsiTheme="majorBidi" w:cstheme="majorBidi"/>
          <w:sz w:val="24"/>
          <w:szCs w:val="24"/>
        </w:rPr>
        <w:t>, 492 U.S. 573 (1989).</w:t>
      </w:r>
      <w:r w:rsidR="00A07E3B">
        <w:rPr>
          <w:rFonts w:asciiTheme="majorBidi" w:hAnsiTheme="majorBidi" w:cstheme="majorBidi"/>
          <w:sz w:val="24"/>
          <w:szCs w:val="24"/>
        </w:rPr>
        <w:t xml:space="preserve"> </w:t>
      </w:r>
      <w:r w:rsidR="00785797">
        <w:rPr>
          <w:rFonts w:asciiTheme="majorBidi" w:hAnsiTheme="majorBidi" w:cstheme="majorBidi"/>
          <w:sz w:val="24"/>
          <w:szCs w:val="24"/>
        </w:rPr>
        <w:t>This collaboratio</w:t>
      </w:r>
      <w:r w:rsidR="003D0CC9">
        <w:rPr>
          <w:rFonts w:asciiTheme="majorBidi" w:hAnsiTheme="majorBidi" w:cstheme="majorBidi"/>
          <w:sz w:val="24"/>
          <w:szCs w:val="24"/>
        </w:rPr>
        <w:t>n represent</w:t>
      </w:r>
      <w:r w:rsidR="001D7C48">
        <w:rPr>
          <w:rFonts w:asciiTheme="majorBidi" w:hAnsiTheme="majorBidi" w:cstheme="majorBidi"/>
          <w:sz w:val="24"/>
          <w:szCs w:val="24"/>
        </w:rPr>
        <w:t>s</w:t>
      </w:r>
      <w:r w:rsidR="003D0CC9">
        <w:rPr>
          <w:rFonts w:asciiTheme="majorBidi" w:hAnsiTheme="majorBidi" w:cstheme="majorBidi"/>
          <w:sz w:val="24"/>
          <w:szCs w:val="24"/>
        </w:rPr>
        <w:t xml:space="preserve"> a unified support for arguments that had been advanced by the ACLU and AU (American</w:t>
      </w:r>
      <w:r w:rsidR="00247A49">
        <w:rPr>
          <w:rFonts w:asciiTheme="majorBidi" w:hAnsiTheme="majorBidi" w:cstheme="majorBidi"/>
          <w:sz w:val="24"/>
          <w:szCs w:val="24"/>
        </w:rPr>
        <w:t>s</w:t>
      </w:r>
      <w:r w:rsidR="003D0CC9">
        <w:rPr>
          <w:rFonts w:asciiTheme="majorBidi" w:hAnsiTheme="majorBidi" w:cstheme="majorBidi"/>
          <w:sz w:val="24"/>
          <w:szCs w:val="24"/>
        </w:rPr>
        <w:t xml:space="preserve"> United</w:t>
      </w:r>
      <w:r w:rsidR="00555213">
        <w:rPr>
          <w:rFonts w:asciiTheme="majorBidi" w:hAnsiTheme="majorBidi" w:cstheme="majorBidi"/>
          <w:sz w:val="24"/>
          <w:szCs w:val="24"/>
        </w:rPr>
        <w:t>,</w:t>
      </w:r>
      <w:r w:rsidR="003D0CC9">
        <w:rPr>
          <w:rFonts w:asciiTheme="majorBidi" w:hAnsiTheme="majorBidi" w:cstheme="majorBidi"/>
          <w:sz w:val="24"/>
          <w:szCs w:val="24"/>
        </w:rPr>
        <w:t xml:space="preserve"> 2011) for over </w:t>
      </w:r>
      <w:r w:rsidR="00C90421">
        <w:rPr>
          <w:rFonts w:asciiTheme="majorBidi" w:hAnsiTheme="majorBidi" w:cstheme="majorBidi"/>
          <w:sz w:val="24"/>
          <w:szCs w:val="24"/>
        </w:rPr>
        <w:t>two</w:t>
      </w:r>
      <w:r w:rsidR="003D0CC9">
        <w:rPr>
          <w:rFonts w:asciiTheme="majorBidi" w:hAnsiTheme="majorBidi" w:cstheme="majorBidi"/>
          <w:sz w:val="24"/>
          <w:szCs w:val="24"/>
        </w:rPr>
        <w:t xml:space="preserve"> decades. </w:t>
      </w:r>
    </w:p>
    <w:p w14:paraId="1CDDFC94" w14:textId="77777777" w:rsidR="00CA26D1" w:rsidRDefault="003E60EC" w:rsidP="00832F52">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A more subtle</w:t>
      </w:r>
      <w:r w:rsidR="00C50BEF">
        <w:rPr>
          <w:rFonts w:asciiTheme="majorBidi" w:hAnsiTheme="majorBidi" w:cstheme="majorBidi"/>
          <w:sz w:val="24"/>
          <w:szCs w:val="24"/>
        </w:rPr>
        <w:t xml:space="preserve"> </w:t>
      </w:r>
      <w:r>
        <w:rPr>
          <w:rFonts w:asciiTheme="majorBidi" w:hAnsiTheme="majorBidi" w:cstheme="majorBidi"/>
          <w:sz w:val="24"/>
          <w:szCs w:val="24"/>
        </w:rPr>
        <w:t xml:space="preserve">instance of discord between the two coalition’s strategies can be seen in the ACLU and the American Atheists’ selection of litigants for recent </w:t>
      </w:r>
      <w:r w:rsidR="00CA26D1">
        <w:rPr>
          <w:rFonts w:asciiTheme="majorBidi" w:hAnsiTheme="majorBidi" w:cstheme="majorBidi"/>
          <w:sz w:val="24"/>
          <w:szCs w:val="24"/>
        </w:rPr>
        <w:t>lawsuits</w:t>
      </w:r>
      <w:r>
        <w:rPr>
          <w:rFonts w:asciiTheme="majorBidi" w:hAnsiTheme="majorBidi" w:cstheme="majorBidi"/>
          <w:sz w:val="24"/>
          <w:szCs w:val="24"/>
        </w:rPr>
        <w:t xml:space="preserve"> against memorial crosses on public lands. </w:t>
      </w:r>
      <w:r w:rsidR="00C50BEF">
        <w:rPr>
          <w:rFonts w:asciiTheme="majorBidi" w:hAnsiTheme="majorBidi" w:cstheme="majorBidi"/>
          <w:sz w:val="24"/>
          <w:szCs w:val="24"/>
        </w:rPr>
        <w:t>It is well established that the ACLU—like many other successful advocacy groups—is careful t</w:t>
      </w:r>
      <w:r w:rsidR="00CA26D1">
        <w:rPr>
          <w:rFonts w:asciiTheme="majorBidi" w:hAnsiTheme="majorBidi" w:cstheme="majorBidi"/>
          <w:sz w:val="24"/>
          <w:szCs w:val="24"/>
        </w:rPr>
        <w:t xml:space="preserve">o vet candidates for litigation, choosing </w:t>
      </w:r>
      <w:r w:rsidR="00C50BEF">
        <w:rPr>
          <w:rFonts w:asciiTheme="majorBidi" w:hAnsiTheme="majorBidi" w:cstheme="majorBidi"/>
          <w:sz w:val="24"/>
          <w:szCs w:val="24"/>
        </w:rPr>
        <w:t xml:space="preserve">individuals who are </w:t>
      </w:r>
      <w:r w:rsidR="000A7541">
        <w:rPr>
          <w:rFonts w:asciiTheme="majorBidi" w:hAnsiTheme="majorBidi" w:cstheme="majorBidi"/>
          <w:sz w:val="24"/>
          <w:szCs w:val="24"/>
        </w:rPr>
        <w:t>hopefully able</w:t>
      </w:r>
      <w:r w:rsidR="00C50BEF">
        <w:rPr>
          <w:rFonts w:asciiTheme="majorBidi" w:hAnsiTheme="majorBidi" w:cstheme="majorBidi"/>
          <w:sz w:val="24"/>
          <w:szCs w:val="24"/>
        </w:rPr>
        <w:t xml:space="preserve"> to evoke popular sentiment or at least </w:t>
      </w:r>
      <w:r w:rsidR="00797FCA">
        <w:rPr>
          <w:rFonts w:asciiTheme="majorBidi" w:hAnsiTheme="majorBidi" w:cstheme="majorBidi"/>
          <w:sz w:val="24"/>
          <w:szCs w:val="24"/>
        </w:rPr>
        <w:t>prevent</w:t>
      </w:r>
      <w:r w:rsidR="00C50BEF">
        <w:rPr>
          <w:rFonts w:asciiTheme="majorBidi" w:hAnsiTheme="majorBidi" w:cstheme="majorBidi"/>
          <w:sz w:val="24"/>
          <w:szCs w:val="24"/>
        </w:rPr>
        <w:t xml:space="preserve"> others </w:t>
      </w:r>
      <w:r w:rsidR="00797FCA">
        <w:rPr>
          <w:rFonts w:asciiTheme="majorBidi" w:hAnsiTheme="majorBidi" w:cstheme="majorBidi"/>
          <w:sz w:val="24"/>
          <w:szCs w:val="24"/>
        </w:rPr>
        <w:t>from</w:t>
      </w:r>
      <w:r w:rsidR="00C50BEF">
        <w:rPr>
          <w:rFonts w:asciiTheme="majorBidi" w:hAnsiTheme="majorBidi" w:cstheme="majorBidi"/>
          <w:sz w:val="24"/>
          <w:szCs w:val="24"/>
        </w:rPr>
        <w:t xml:space="preserve"> brand</w:t>
      </w:r>
      <w:r w:rsidR="00797FCA">
        <w:rPr>
          <w:rFonts w:asciiTheme="majorBidi" w:hAnsiTheme="majorBidi" w:cstheme="majorBidi"/>
          <w:sz w:val="24"/>
          <w:szCs w:val="24"/>
        </w:rPr>
        <w:t>ing</w:t>
      </w:r>
      <w:r w:rsidR="00C50BEF">
        <w:rPr>
          <w:rFonts w:asciiTheme="majorBidi" w:hAnsiTheme="majorBidi" w:cstheme="majorBidi"/>
          <w:sz w:val="24"/>
          <w:szCs w:val="24"/>
        </w:rPr>
        <w:t xml:space="preserve"> their litigation as extreme.</w:t>
      </w:r>
      <w:r w:rsidR="00CA26D1">
        <w:rPr>
          <w:rFonts w:asciiTheme="majorBidi" w:hAnsiTheme="majorBidi" w:cstheme="majorBidi"/>
          <w:sz w:val="24"/>
          <w:szCs w:val="24"/>
        </w:rPr>
        <w:t xml:space="preserve"> The ACLU has been especially careful regarding religion clause cases, oftentimes </w:t>
      </w:r>
      <w:r w:rsidR="00CA26D1">
        <w:rPr>
          <w:rFonts w:asciiTheme="majorBidi" w:hAnsiTheme="majorBidi" w:cstheme="majorBidi"/>
          <w:sz w:val="24"/>
          <w:szCs w:val="24"/>
        </w:rPr>
        <w:lastRenderedPageBreak/>
        <w:t>denying representation of self-identifying atheists for religious litigants.</w:t>
      </w:r>
      <w:r w:rsidR="00C50BEF">
        <w:rPr>
          <w:rStyle w:val="FootnoteReference"/>
          <w:rFonts w:asciiTheme="majorBidi" w:hAnsiTheme="majorBidi" w:cstheme="majorBidi"/>
          <w:sz w:val="24"/>
          <w:szCs w:val="24"/>
        </w:rPr>
        <w:footnoteReference w:id="18"/>
      </w:r>
      <w:r w:rsidR="00C50BEF">
        <w:rPr>
          <w:rFonts w:asciiTheme="majorBidi" w:hAnsiTheme="majorBidi" w:cstheme="majorBidi"/>
          <w:sz w:val="24"/>
          <w:szCs w:val="24"/>
        </w:rPr>
        <w:t xml:space="preserve"> </w:t>
      </w:r>
      <w:r w:rsidR="00DA7C37">
        <w:rPr>
          <w:rFonts w:asciiTheme="majorBidi" w:hAnsiTheme="majorBidi" w:cstheme="majorBidi"/>
          <w:sz w:val="24"/>
          <w:szCs w:val="24"/>
        </w:rPr>
        <w:t>In accordance with this approach</w:t>
      </w:r>
      <w:r w:rsidR="00D05548">
        <w:rPr>
          <w:rFonts w:asciiTheme="majorBidi" w:hAnsiTheme="majorBidi" w:cstheme="majorBidi"/>
          <w:sz w:val="24"/>
          <w:szCs w:val="24"/>
        </w:rPr>
        <w:t xml:space="preserve">, the organization </w:t>
      </w:r>
      <w:r w:rsidR="00DA7C37">
        <w:rPr>
          <w:rFonts w:asciiTheme="majorBidi" w:hAnsiTheme="majorBidi" w:cstheme="majorBidi"/>
          <w:sz w:val="24"/>
          <w:szCs w:val="24"/>
        </w:rPr>
        <w:t>represented</w:t>
      </w:r>
      <w:r w:rsidR="00D05548">
        <w:rPr>
          <w:rFonts w:asciiTheme="majorBidi" w:hAnsiTheme="majorBidi" w:cstheme="majorBidi"/>
          <w:sz w:val="24"/>
          <w:szCs w:val="24"/>
        </w:rPr>
        <w:t xml:space="preserve"> a Catholic former Mojave National Preserve employee in his claim that the display of a wooden cross on the park’s grounds was unconstitutional in </w:t>
      </w:r>
      <w:r w:rsidR="00D05548" w:rsidRPr="00D05548">
        <w:rPr>
          <w:rFonts w:asciiTheme="majorBidi" w:hAnsiTheme="majorBidi" w:cstheme="majorBidi"/>
          <w:i/>
          <w:sz w:val="24"/>
          <w:szCs w:val="24"/>
        </w:rPr>
        <w:t xml:space="preserve">Salazar v. </w:t>
      </w:r>
      <w:proofErr w:type="spellStart"/>
      <w:r w:rsidR="00D05548" w:rsidRPr="00D05548">
        <w:rPr>
          <w:rFonts w:asciiTheme="majorBidi" w:hAnsiTheme="majorBidi" w:cstheme="majorBidi"/>
          <w:i/>
          <w:sz w:val="24"/>
          <w:szCs w:val="24"/>
        </w:rPr>
        <w:t>Buono</w:t>
      </w:r>
      <w:proofErr w:type="spellEnd"/>
      <w:r w:rsidR="00D05548" w:rsidRPr="00D05548">
        <w:rPr>
          <w:rFonts w:asciiTheme="majorBidi" w:hAnsiTheme="majorBidi" w:cstheme="majorBidi"/>
          <w:sz w:val="24"/>
          <w:szCs w:val="24"/>
        </w:rPr>
        <w:t>, 559 U.S. 700 (2010)</w:t>
      </w:r>
      <w:r w:rsidR="00D05548">
        <w:rPr>
          <w:rFonts w:asciiTheme="majorBidi" w:hAnsiTheme="majorBidi" w:cstheme="majorBidi"/>
          <w:sz w:val="24"/>
          <w:szCs w:val="24"/>
        </w:rPr>
        <w:t xml:space="preserve">. Knowing that the issue was a sensitive one, the ACLU and its coalition partners </w:t>
      </w:r>
      <w:r w:rsidR="00DA5E76">
        <w:rPr>
          <w:rFonts w:asciiTheme="majorBidi" w:hAnsiTheme="majorBidi" w:cstheme="majorBidi"/>
          <w:sz w:val="24"/>
          <w:szCs w:val="24"/>
        </w:rPr>
        <w:t>concentrated their resources on a legal battle that could be framed positively for at least some of the</w:t>
      </w:r>
      <w:r w:rsidR="00A9644A">
        <w:rPr>
          <w:rFonts w:asciiTheme="majorBidi" w:hAnsiTheme="majorBidi" w:cstheme="majorBidi"/>
          <w:sz w:val="24"/>
          <w:szCs w:val="24"/>
        </w:rPr>
        <w:t xml:space="preserve"> </w:t>
      </w:r>
      <w:proofErr w:type="gramStart"/>
      <w:r w:rsidR="00A9644A">
        <w:rPr>
          <w:rFonts w:asciiTheme="majorBidi" w:hAnsiTheme="majorBidi" w:cstheme="majorBidi"/>
          <w:sz w:val="24"/>
          <w:szCs w:val="24"/>
        </w:rPr>
        <w:t>country’s</w:t>
      </w:r>
      <w:proofErr w:type="gramEnd"/>
      <w:r w:rsidR="00A9644A">
        <w:rPr>
          <w:rFonts w:asciiTheme="majorBidi" w:hAnsiTheme="majorBidi" w:cstheme="majorBidi"/>
          <w:sz w:val="24"/>
          <w:szCs w:val="24"/>
        </w:rPr>
        <w:t xml:space="preserve"> religiously-inclined.</w:t>
      </w:r>
      <w:r w:rsidR="00DA5E76">
        <w:rPr>
          <w:rFonts w:asciiTheme="majorBidi" w:hAnsiTheme="majorBidi" w:cstheme="majorBidi"/>
          <w:sz w:val="24"/>
          <w:szCs w:val="24"/>
        </w:rPr>
        <w:t xml:space="preserve"> </w:t>
      </w:r>
    </w:p>
    <w:p w14:paraId="0B2F8CDD" w14:textId="114FB6F4" w:rsidR="000A03C7" w:rsidRDefault="00DA5E76" w:rsidP="00B26404">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 xml:space="preserve">Conversely, the American Atheists were much less strategic in their </w:t>
      </w:r>
      <w:r w:rsidR="005A3427">
        <w:rPr>
          <w:rFonts w:asciiTheme="majorBidi" w:hAnsiTheme="majorBidi" w:cstheme="majorBidi"/>
          <w:sz w:val="24"/>
          <w:szCs w:val="24"/>
        </w:rPr>
        <w:t xml:space="preserve">challenge to memorial crosses on public land during the same time as the ACLU litigation. Rather than seek out an attractive litigant, the American Atheists promoted </w:t>
      </w:r>
      <w:r w:rsidR="003D3E41">
        <w:rPr>
          <w:rFonts w:asciiTheme="majorBidi" w:hAnsiTheme="majorBidi" w:cstheme="majorBidi"/>
          <w:sz w:val="24"/>
          <w:szCs w:val="24"/>
        </w:rPr>
        <w:t>its</w:t>
      </w:r>
      <w:r w:rsidR="005A3427">
        <w:rPr>
          <w:rFonts w:asciiTheme="majorBidi" w:hAnsiTheme="majorBidi" w:cstheme="majorBidi"/>
          <w:sz w:val="24"/>
          <w:szCs w:val="24"/>
        </w:rPr>
        <w:t xml:space="preserve"> brand of secularism in the local and national press by highlighting their </w:t>
      </w:r>
      <w:r w:rsidR="003D3E41">
        <w:rPr>
          <w:rFonts w:asciiTheme="majorBidi" w:hAnsiTheme="majorBidi" w:cstheme="majorBidi"/>
          <w:sz w:val="24"/>
          <w:szCs w:val="24"/>
        </w:rPr>
        <w:t xml:space="preserve">organization’s opposition to religion in their </w:t>
      </w:r>
      <w:r w:rsidR="005A3427">
        <w:rPr>
          <w:rFonts w:asciiTheme="majorBidi" w:hAnsiTheme="majorBidi" w:cstheme="majorBidi"/>
          <w:sz w:val="24"/>
          <w:szCs w:val="24"/>
        </w:rPr>
        <w:t>challeng</w:t>
      </w:r>
      <w:r w:rsidR="003D3E41">
        <w:rPr>
          <w:rFonts w:asciiTheme="majorBidi" w:hAnsiTheme="majorBidi" w:cstheme="majorBidi"/>
          <w:sz w:val="24"/>
          <w:szCs w:val="24"/>
        </w:rPr>
        <w:t xml:space="preserve">e to </w:t>
      </w:r>
      <w:r w:rsidR="005A3427">
        <w:rPr>
          <w:rFonts w:asciiTheme="majorBidi" w:hAnsiTheme="majorBidi" w:cstheme="majorBidi"/>
          <w:sz w:val="24"/>
          <w:szCs w:val="24"/>
        </w:rPr>
        <w:t xml:space="preserve">privately-funded memorial crosses erected on Utah public roads in honor of fallen state troopers. Not only was this a controversial and less than strategic move, the AA avoided a potentially catastrophic decision for </w:t>
      </w:r>
      <w:r w:rsidR="001E5E23">
        <w:rPr>
          <w:rFonts w:asciiTheme="majorBidi" w:hAnsiTheme="majorBidi" w:cstheme="majorBidi"/>
          <w:sz w:val="24"/>
          <w:szCs w:val="24"/>
        </w:rPr>
        <w:t>separationist</w:t>
      </w:r>
      <w:r w:rsidR="005A3427">
        <w:rPr>
          <w:rFonts w:asciiTheme="majorBidi" w:hAnsiTheme="majorBidi" w:cstheme="majorBidi"/>
          <w:sz w:val="24"/>
          <w:szCs w:val="24"/>
        </w:rPr>
        <w:t xml:space="preserve">s when the Supreme Court refused to hear an appeal in 2011. Just months prior in the </w:t>
      </w:r>
      <w:r w:rsidR="005A3427">
        <w:rPr>
          <w:rFonts w:asciiTheme="majorBidi" w:hAnsiTheme="majorBidi" w:cstheme="majorBidi"/>
          <w:i/>
          <w:sz w:val="24"/>
          <w:szCs w:val="24"/>
        </w:rPr>
        <w:t xml:space="preserve">Salazar </w:t>
      </w:r>
      <w:r w:rsidR="005A3427">
        <w:rPr>
          <w:rFonts w:asciiTheme="majorBidi" w:hAnsiTheme="majorBidi" w:cstheme="majorBidi"/>
          <w:sz w:val="24"/>
          <w:szCs w:val="24"/>
        </w:rPr>
        <w:t>case, Justice Kennedy opined that it was unlikely the Court would rule that a “cross on the side of a public highway marking, for instance, the place where a state trooper perished need not be taken as a statement of government support for sectarian beliefs</w:t>
      </w:r>
      <w:r w:rsidR="00203946">
        <w:rPr>
          <w:rFonts w:asciiTheme="majorBidi" w:hAnsiTheme="majorBidi" w:cstheme="majorBidi"/>
          <w:sz w:val="24"/>
          <w:szCs w:val="24"/>
        </w:rPr>
        <w:t>”</w:t>
      </w:r>
      <w:r w:rsidR="005A3427">
        <w:rPr>
          <w:rFonts w:asciiTheme="majorBidi" w:hAnsiTheme="majorBidi" w:cstheme="majorBidi"/>
          <w:sz w:val="24"/>
          <w:szCs w:val="24"/>
        </w:rPr>
        <w:t xml:space="preserve"> (</w:t>
      </w:r>
      <w:r w:rsidR="00203946">
        <w:rPr>
          <w:rFonts w:asciiTheme="majorBidi" w:hAnsiTheme="majorBidi" w:cstheme="majorBidi"/>
          <w:i/>
          <w:sz w:val="24"/>
          <w:szCs w:val="24"/>
        </w:rPr>
        <w:t>Salazar v.</w:t>
      </w:r>
      <w:r w:rsidR="0014183B">
        <w:rPr>
          <w:rFonts w:asciiTheme="majorBidi" w:hAnsiTheme="majorBidi" w:cstheme="majorBidi"/>
          <w:i/>
          <w:sz w:val="24"/>
          <w:szCs w:val="24"/>
        </w:rPr>
        <w:t xml:space="preserve"> </w:t>
      </w:r>
      <w:proofErr w:type="spellStart"/>
      <w:r w:rsidR="0014183B">
        <w:rPr>
          <w:rFonts w:asciiTheme="majorBidi" w:hAnsiTheme="majorBidi" w:cstheme="majorBidi"/>
          <w:i/>
          <w:sz w:val="24"/>
          <w:szCs w:val="24"/>
        </w:rPr>
        <w:t>B</w:t>
      </w:r>
      <w:r w:rsidR="000B7850">
        <w:rPr>
          <w:rFonts w:asciiTheme="majorBidi" w:hAnsiTheme="majorBidi" w:cstheme="majorBidi"/>
          <w:i/>
          <w:sz w:val="24"/>
          <w:szCs w:val="24"/>
        </w:rPr>
        <w:t>uono</w:t>
      </w:r>
      <w:proofErr w:type="spellEnd"/>
      <w:r w:rsidR="000B7850">
        <w:rPr>
          <w:rFonts w:asciiTheme="majorBidi" w:hAnsiTheme="majorBidi" w:cstheme="majorBidi"/>
          <w:sz w:val="24"/>
          <w:szCs w:val="24"/>
        </w:rPr>
        <w:t>, 14-15</w:t>
      </w:r>
      <w:r w:rsidR="00203946">
        <w:rPr>
          <w:rFonts w:asciiTheme="majorBidi" w:hAnsiTheme="majorBidi" w:cstheme="majorBidi"/>
          <w:sz w:val="24"/>
          <w:szCs w:val="24"/>
        </w:rPr>
        <w:t>).</w:t>
      </w:r>
      <w:r w:rsidR="005A3427">
        <w:rPr>
          <w:rFonts w:asciiTheme="majorBidi" w:hAnsiTheme="majorBidi" w:cstheme="majorBidi"/>
          <w:sz w:val="24"/>
          <w:szCs w:val="24"/>
        </w:rPr>
        <w:t xml:space="preserve"> </w:t>
      </w:r>
      <w:r w:rsidR="005F4503">
        <w:rPr>
          <w:rFonts w:asciiTheme="majorBidi" w:hAnsiTheme="majorBidi" w:cstheme="majorBidi"/>
          <w:sz w:val="24"/>
          <w:szCs w:val="24"/>
        </w:rPr>
        <w:t xml:space="preserve">Justice Thomas, a supporter of the </w:t>
      </w:r>
      <w:proofErr w:type="spellStart"/>
      <w:r w:rsidR="005F4503">
        <w:rPr>
          <w:rFonts w:asciiTheme="majorBidi" w:hAnsiTheme="majorBidi" w:cstheme="majorBidi"/>
          <w:sz w:val="24"/>
          <w:szCs w:val="24"/>
        </w:rPr>
        <w:t>accomodationalist</w:t>
      </w:r>
      <w:proofErr w:type="spellEnd"/>
      <w:r w:rsidR="005F4503">
        <w:rPr>
          <w:rFonts w:asciiTheme="majorBidi" w:hAnsiTheme="majorBidi" w:cstheme="majorBidi"/>
          <w:sz w:val="24"/>
          <w:szCs w:val="24"/>
        </w:rPr>
        <w:t xml:space="preserve"> faction, seemed to agree with this position in his 19-page dissent </w:t>
      </w:r>
      <w:r w:rsidR="003D3E41">
        <w:rPr>
          <w:rFonts w:asciiTheme="majorBidi" w:hAnsiTheme="majorBidi" w:cstheme="majorBidi"/>
          <w:sz w:val="24"/>
          <w:szCs w:val="24"/>
        </w:rPr>
        <w:t>where he bemoaned the lost opportunity for</w:t>
      </w:r>
      <w:r w:rsidR="005F4503">
        <w:rPr>
          <w:rFonts w:asciiTheme="majorBidi" w:hAnsiTheme="majorBidi" w:cstheme="majorBidi"/>
          <w:sz w:val="24"/>
          <w:szCs w:val="24"/>
        </w:rPr>
        <w:t xml:space="preserve"> the Court</w:t>
      </w:r>
      <w:r w:rsidR="003D3E41">
        <w:rPr>
          <w:rFonts w:asciiTheme="majorBidi" w:hAnsiTheme="majorBidi" w:cstheme="majorBidi"/>
          <w:sz w:val="24"/>
          <w:szCs w:val="24"/>
        </w:rPr>
        <w:t xml:space="preserve"> to hear</w:t>
      </w:r>
      <w:r w:rsidR="005F4503">
        <w:rPr>
          <w:rFonts w:asciiTheme="majorBidi" w:hAnsiTheme="majorBidi" w:cstheme="majorBidi"/>
          <w:sz w:val="24"/>
          <w:szCs w:val="24"/>
        </w:rPr>
        <w:t xml:space="preserve"> the Utah cross cases</w:t>
      </w:r>
      <w:r w:rsidR="003D1F03">
        <w:rPr>
          <w:rFonts w:asciiTheme="majorBidi" w:hAnsiTheme="majorBidi" w:cstheme="majorBidi"/>
          <w:sz w:val="24"/>
          <w:szCs w:val="24"/>
        </w:rPr>
        <w:t xml:space="preserve"> (Thomas dissenting, </w:t>
      </w:r>
      <w:r w:rsidR="003D1F03" w:rsidRPr="003D1F03">
        <w:rPr>
          <w:rFonts w:asciiTheme="majorBidi" w:hAnsiTheme="majorBidi" w:cstheme="majorBidi"/>
          <w:i/>
          <w:sz w:val="24"/>
          <w:szCs w:val="24"/>
        </w:rPr>
        <w:t>Utah Highway Patrol Association v. American Atheists, Inc.</w:t>
      </w:r>
      <w:r w:rsidR="003D1F03">
        <w:rPr>
          <w:rFonts w:asciiTheme="majorBidi" w:hAnsiTheme="majorBidi" w:cstheme="majorBidi"/>
          <w:sz w:val="24"/>
          <w:szCs w:val="24"/>
        </w:rPr>
        <w:t xml:space="preserve"> 566 U.S. 10-1276, and </w:t>
      </w:r>
      <w:r w:rsidR="003D1F03" w:rsidRPr="003D1F03">
        <w:rPr>
          <w:rFonts w:asciiTheme="majorBidi" w:hAnsiTheme="majorBidi" w:cstheme="majorBidi"/>
          <w:i/>
          <w:sz w:val="24"/>
          <w:szCs w:val="24"/>
        </w:rPr>
        <w:t>Lance Davenport et. al v. American Atheists, Inc.</w:t>
      </w:r>
      <w:r w:rsidR="003D1F03">
        <w:rPr>
          <w:rFonts w:asciiTheme="majorBidi" w:hAnsiTheme="majorBidi" w:cstheme="majorBidi"/>
          <w:sz w:val="24"/>
          <w:szCs w:val="24"/>
        </w:rPr>
        <w:t xml:space="preserve"> 566 U.S. 10-1297). Rather than advancing </w:t>
      </w:r>
      <w:proofErr w:type="spellStart"/>
      <w:r w:rsidR="003D1F03">
        <w:rPr>
          <w:rFonts w:asciiTheme="majorBidi" w:hAnsiTheme="majorBidi" w:cstheme="majorBidi"/>
          <w:sz w:val="24"/>
          <w:szCs w:val="24"/>
        </w:rPr>
        <w:lastRenderedPageBreak/>
        <w:t>separationalism</w:t>
      </w:r>
      <w:proofErr w:type="spellEnd"/>
      <w:r w:rsidR="003D1F03">
        <w:rPr>
          <w:rFonts w:asciiTheme="majorBidi" w:hAnsiTheme="majorBidi" w:cstheme="majorBidi"/>
          <w:sz w:val="24"/>
          <w:szCs w:val="24"/>
        </w:rPr>
        <w:t xml:space="preserve"> in a strategic manner, the AA</w:t>
      </w:r>
      <w:r w:rsidR="003D3E41">
        <w:rPr>
          <w:rFonts w:asciiTheme="majorBidi" w:hAnsiTheme="majorBidi" w:cstheme="majorBidi"/>
          <w:sz w:val="24"/>
          <w:szCs w:val="24"/>
        </w:rPr>
        <w:t>’s challenge</w:t>
      </w:r>
      <w:r w:rsidR="003D1F03">
        <w:rPr>
          <w:rFonts w:asciiTheme="majorBidi" w:hAnsiTheme="majorBidi" w:cstheme="majorBidi"/>
          <w:sz w:val="24"/>
          <w:szCs w:val="24"/>
        </w:rPr>
        <w:t xml:space="preserve"> actually posed a threat to decades of the old coalition’s more cautious litigation.</w:t>
      </w:r>
      <w:r w:rsidR="0007545F">
        <w:rPr>
          <w:rFonts w:asciiTheme="majorBidi" w:hAnsiTheme="majorBidi" w:cstheme="majorBidi"/>
          <w:sz w:val="24"/>
          <w:szCs w:val="24"/>
        </w:rPr>
        <w:t xml:space="preserve"> This approach—rather than being an outlier situation—has actually been advocated by several organizations in the new coalition; the FFRF in particular coordinates a campaign of purposefully offensive billboards under the rationale that mocking theists and exposing their irrationality is an important organizing and secularizing endeavor. </w:t>
      </w:r>
      <w:r w:rsidR="009F5B52">
        <w:rPr>
          <w:rFonts w:asciiTheme="majorBidi" w:hAnsiTheme="majorBidi" w:cstheme="majorBidi"/>
          <w:sz w:val="24"/>
          <w:szCs w:val="24"/>
        </w:rPr>
        <w:t>These tactical decisions are part of a broader strategy of solidifying an identity for “rational secularists” that is based in reason and science and in many ways openly hostile to religious sentiments generally.</w:t>
      </w:r>
    </w:p>
    <w:p w14:paraId="3A3BBE9F" w14:textId="18871EE8" w:rsidR="001D758C" w:rsidRDefault="000A03C7" w:rsidP="00832F52">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 xml:space="preserve">Most </w:t>
      </w:r>
      <w:r w:rsidR="00B045DF">
        <w:rPr>
          <w:rFonts w:asciiTheme="majorBidi" w:hAnsiTheme="majorBidi" w:cstheme="majorBidi"/>
          <w:sz w:val="24"/>
          <w:szCs w:val="24"/>
        </w:rPr>
        <w:t>hazardous</w:t>
      </w:r>
      <w:r>
        <w:rPr>
          <w:rFonts w:asciiTheme="majorBidi" w:hAnsiTheme="majorBidi" w:cstheme="majorBidi"/>
          <w:sz w:val="24"/>
          <w:szCs w:val="24"/>
        </w:rPr>
        <w:t xml:space="preserve"> to the </w:t>
      </w:r>
      <w:r w:rsidR="001E5E23">
        <w:rPr>
          <w:rFonts w:asciiTheme="majorBidi" w:hAnsiTheme="majorBidi" w:cstheme="majorBidi"/>
          <w:sz w:val="24"/>
          <w:szCs w:val="24"/>
        </w:rPr>
        <w:t>separationist</w:t>
      </w:r>
      <w:r>
        <w:rPr>
          <w:rFonts w:asciiTheme="majorBidi" w:hAnsiTheme="majorBidi" w:cstheme="majorBidi"/>
          <w:sz w:val="24"/>
          <w:szCs w:val="24"/>
        </w:rPr>
        <w:t xml:space="preserve"> cause, however, </w:t>
      </w:r>
      <w:r w:rsidR="00FE1E7B">
        <w:rPr>
          <w:rFonts w:asciiTheme="majorBidi" w:hAnsiTheme="majorBidi" w:cstheme="majorBidi"/>
          <w:sz w:val="24"/>
          <w:szCs w:val="24"/>
        </w:rPr>
        <w:t>has been the American Atheists’ challenge to a Ten Commandments monument displayed on a Bradford County, Florida courthouse lawn. In 2013, the AA chose to accept District Judge Timothy Corrigan’s referral of the</w:t>
      </w:r>
      <w:r w:rsidR="00797FCA">
        <w:rPr>
          <w:rFonts w:asciiTheme="majorBidi" w:hAnsiTheme="majorBidi" w:cstheme="majorBidi"/>
          <w:sz w:val="24"/>
          <w:szCs w:val="24"/>
        </w:rPr>
        <w:t>ir</w:t>
      </w:r>
      <w:r w:rsidR="00FE1E7B">
        <w:rPr>
          <w:rFonts w:asciiTheme="majorBidi" w:hAnsiTheme="majorBidi" w:cstheme="majorBidi"/>
          <w:sz w:val="24"/>
          <w:szCs w:val="24"/>
        </w:rPr>
        <w:t xml:space="preserve"> case to mediation where the atheist organization and the county agreed that the display of a secular monument beside the religious one would be a suitable compromise (American Atheists</w:t>
      </w:r>
      <w:r w:rsidR="00555213">
        <w:rPr>
          <w:rFonts w:asciiTheme="majorBidi" w:hAnsiTheme="majorBidi" w:cstheme="majorBidi"/>
          <w:sz w:val="24"/>
          <w:szCs w:val="24"/>
        </w:rPr>
        <w:t>,</w:t>
      </w:r>
      <w:r w:rsidR="00FE1E7B">
        <w:rPr>
          <w:rFonts w:asciiTheme="majorBidi" w:hAnsiTheme="majorBidi" w:cstheme="majorBidi"/>
          <w:sz w:val="24"/>
          <w:szCs w:val="24"/>
        </w:rPr>
        <w:t xml:space="preserve"> 2013). </w:t>
      </w:r>
      <w:r w:rsidR="001D758C">
        <w:rPr>
          <w:rFonts w:asciiTheme="majorBidi" w:hAnsiTheme="majorBidi" w:cstheme="majorBidi"/>
          <w:sz w:val="24"/>
          <w:szCs w:val="24"/>
        </w:rPr>
        <w:t>Rather than be concerned with the sectarian nature of the biblical monument, the AA represented one of its own interests: to be recognized as a fundamental ideology in the founding of the nation, very similar to the claim of the Christians supporting their display. Only four years earlier, however, the AA along with organizations of both coalitions</w:t>
      </w:r>
      <w:r w:rsidR="00EE1F88">
        <w:rPr>
          <w:rFonts w:asciiTheme="majorBidi" w:hAnsiTheme="majorBidi" w:cstheme="majorBidi"/>
          <w:sz w:val="24"/>
          <w:szCs w:val="24"/>
        </w:rPr>
        <w:t xml:space="preserve"> argued that the display of a minority religion’s</w:t>
      </w:r>
      <w:r w:rsidR="001D758C">
        <w:rPr>
          <w:rFonts w:asciiTheme="majorBidi" w:hAnsiTheme="majorBidi" w:cstheme="majorBidi"/>
          <w:sz w:val="24"/>
          <w:szCs w:val="24"/>
        </w:rPr>
        <w:t xml:space="preserve"> </w:t>
      </w:r>
      <w:r w:rsidR="00EE1F88">
        <w:rPr>
          <w:rFonts w:asciiTheme="majorBidi" w:hAnsiTheme="majorBidi" w:cstheme="majorBidi"/>
          <w:sz w:val="24"/>
          <w:szCs w:val="24"/>
        </w:rPr>
        <w:t>monument beside a Christian one on public property would not constitute an appropriate remedy to what they perceived to be an establishment clause violation (</w:t>
      </w:r>
      <w:r w:rsidR="00EE1F88">
        <w:rPr>
          <w:rFonts w:asciiTheme="majorBidi" w:hAnsiTheme="majorBidi" w:cstheme="majorBidi"/>
          <w:i/>
          <w:sz w:val="24"/>
          <w:szCs w:val="24"/>
        </w:rPr>
        <w:t xml:space="preserve">Pleasant Grove City v. </w:t>
      </w:r>
      <w:proofErr w:type="spellStart"/>
      <w:r w:rsidR="00EE1F88">
        <w:rPr>
          <w:rFonts w:asciiTheme="majorBidi" w:hAnsiTheme="majorBidi" w:cstheme="majorBidi"/>
          <w:i/>
          <w:sz w:val="24"/>
          <w:szCs w:val="24"/>
        </w:rPr>
        <w:t>Summun</w:t>
      </w:r>
      <w:proofErr w:type="spellEnd"/>
      <w:r w:rsidR="00EE1F88">
        <w:rPr>
          <w:rFonts w:asciiTheme="majorBidi" w:hAnsiTheme="majorBidi" w:cstheme="majorBidi"/>
          <w:sz w:val="24"/>
          <w:szCs w:val="24"/>
        </w:rPr>
        <w:t xml:space="preserve">, </w:t>
      </w:r>
      <w:r w:rsidR="00EE1F88" w:rsidRPr="005061E2">
        <w:rPr>
          <w:rFonts w:asciiTheme="majorBidi" w:hAnsiTheme="majorBidi" w:cstheme="majorBidi"/>
          <w:sz w:val="24"/>
          <w:szCs w:val="24"/>
        </w:rPr>
        <w:t>555 U.S. 460 (2009)</w:t>
      </w:r>
      <w:r w:rsidR="00EE1F88">
        <w:rPr>
          <w:rFonts w:asciiTheme="majorBidi" w:hAnsiTheme="majorBidi" w:cstheme="majorBidi"/>
          <w:sz w:val="24"/>
          <w:szCs w:val="24"/>
        </w:rPr>
        <w:t>.</w:t>
      </w:r>
      <w:r w:rsidR="00E8336C">
        <w:rPr>
          <w:rStyle w:val="FootnoteReference"/>
          <w:rFonts w:asciiTheme="majorBidi" w:hAnsiTheme="majorBidi" w:cstheme="majorBidi"/>
          <w:sz w:val="24"/>
          <w:szCs w:val="24"/>
        </w:rPr>
        <w:footnoteReference w:id="19"/>
      </w:r>
      <w:r w:rsidR="00FC7B99">
        <w:rPr>
          <w:rFonts w:asciiTheme="majorBidi" w:hAnsiTheme="majorBidi" w:cstheme="majorBidi"/>
          <w:sz w:val="24"/>
          <w:szCs w:val="24"/>
        </w:rPr>
        <w:t xml:space="preserve"> The arguments in </w:t>
      </w:r>
      <w:r w:rsidR="00FC7B99">
        <w:rPr>
          <w:rFonts w:asciiTheme="majorBidi" w:hAnsiTheme="majorBidi" w:cstheme="majorBidi"/>
          <w:i/>
          <w:sz w:val="24"/>
          <w:szCs w:val="24"/>
        </w:rPr>
        <w:t>Pleasant Grove City</w:t>
      </w:r>
      <w:r w:rsidR="00FC7B99">
        <w:rPr>
          <w:rFonts w:asciiTheme="majorBidi" w:hAnsiTheme="majorBidi" w:cstheme="majorBidi"/>
          <w:sz w:val="24"/>
          <w:szCs w:val="24"/>
        </w:rPr>
        <w:t xml:space="preserve"> showed </w:t>
      </w:r>
      <w:r w:rsidR="00405821">
        <w:rPr>
          <w:rFonts w:asciiTheme="majorBidi" w:hAnsiTheme="majorBidi" w:cstheme="majorBidi"/>
          <w:sz w:val="24"/>
          <w:szCs w:val="24"/>
        </w:rPr>
        <w:t>awareness</w:t>
      </w:r>
      <w:r w:rsidR="00FC7B99">
        <w:rPr>
          <w:rFonts w:asciiTheme="majorBidi" w:hAnsiTheme="majorBidi" w:cstheme="majorBidi"/>
          <w:sz w:val="24"/>
          <w:szCs w:val="24"/>
        </w:rPr>
        <w:t xml:space="preserve"> that a proper remedy similar to the result of the Bradford County decision would involve an impractical number of religious displays (not to mention displays of “conscience” that </w:t>
      </w:r>
      <w:r w:rsidR="00FC7B99">
        <w:rPr>
          <w:rFonts w:asciiTheme="majorBidi" w:hAnsiTheme="majorBidi" w:cstheme="majorBidi"/>
          <w:sz w:val="24"/>
          <w:szCs w:val="24"/>
        </w:rPr>
        <w:lastRenderedPageBreak/>
        <w:t>the Court considers equivalent to more traditional religious faiths).</w:t>
      </w:r>
      <w:r w:rsidR="00C93789">
        <w:rPr>
          <w:rStyle w:val="FootnoteReference"/>
          <w:rFonts w:asciiTheme="majorBidi" w:hAnsiTheme="majorBidi" w:cstheme="majorBidi"/>
          <w:sz w:val="24"/>
          <w:szCs w:val="24"/>
        </w:rPr>
        <w:footnoteReference w:id="20"/>
      </w:r>
      <w:r w:rsidR="00FC7B99">
        <w:rPr>
          <w:rFonts w:asciiTheme="majorBidi" w:hAnsiTheme="majorBidi" w:cstheme="majorBidi"/>
          <w:sz w:val="24"/>
          <w:szCs w:val="24"/>
        </w:rPr>
        <w:t xml:space="preserve"> </w:t>
      </w:r>
      <w:r w:rsidR="00F66A34">
        <w:rPr>
          <w:rFonts w:asciiTheme="majorBidi" w:hAnsiTheme="majorBidi" w:cstheme="majorBidi"/>
          <w:sz w:val="24"/>
          <w:szCs w:val="24"/>
        </w:rPr>
        <w:t xml:space="preserve">This inconsistency and the quickness at which the AA </w:t>
      </w:r>
      <w:r w:rsidR="00731902">
        <w:rPr>
          <w:rFonts w:asciiTheme="majorBidi" w:hAnsiTheme="majorBidi" w:cstheme="majorBidi"/>
          <w:sz w:val="24"/>
          <w:szCs w:val="24"/>
        </w:rPr>
        <w:t>abandoned</w:t>
      </w:r>
      <w:r w:rsidR="00F66A34">
        <w:rPr>
          <w:rFonts w:asciiTheme="majorBidi" w:hAnsiTheme="majorBidi" w:cstheme="majorBidi"/>
          <w:sz w:val="24"/>
          <w:szCs w:val="24"/>
        </w:rPr>
        <w:t xml:space="preserve"> decades of a grounded </w:t>
      </w:r>
      <w:r w:rsidR="006715DE">
        <w:rPr>
          <w:rFonts w:asciiTheme="majorBidi" w:hAnsiTheme="majorBidi" w:cstheme="majorBidi"/>
          <w:sz w:val="24"/>
          <w:szCs w:val="24"/>
        </w:rPr>
        <w:t>nonsectarian</w:t>
      </w:r>
      <w:r w:rsidR="00F66A34">
        <w:rPr>
          <w:rFonts w:asciiTheme="majorBidi" w:hAnsiTheme="majorBidi" w:cstheme="majorBidi"/>
          <w:sz w:val="24"/>
          <w:szCs w:val="24"/>
        </w:rPr>
        <w:t xml:space="preserve"> approach to public displays of religion demonstrates the liabilities that </w:t>
      </w:r>
      <w:r w:rsidR="00FC7B99">
        <w:rPr>
          <w:rFonts w:asciiTheme="majorBidi" w:hAnsiTheme="majorBidi" w:cstheme="majorBidi"/>
          <w:sz w:val="24"/>
          <w:szCs w:val="24"/>
        </w:rPr>
        <w:t>accompany</w:t>
      </w:r>
      <w:r w:rsidR="00F66A34">
        <w:rPr>
          <w:rFonts w:asciiTheme="majorBidi" w:hAnsiTheme="majorBidi" w:cstheme="majorBidi"/>
          <w:sz w:val="24"/>
          <w:szCs w:val="24"/>
        </w:rPr>
        <w:t xml:space="preserve"> the new coalition’s foundational principles and interests. </w:t>
      </w:r>
    </w:p>
    <w:p w14:paraId="182ED84F" w14:textId="546DCB47" w:rsidR="009C0301" w:rsidRPr="009B7F6E" w:rsidRDefault="009C0301" w:rsidP="009C0301">
      <w:pPr>
        <w:spacing w:line="480" w:lineRule="auto"/>
        <w:contextualSpacing/>
        <w:rPr>
          <w:rFonts w:asciiTheme="majorBidi" w:hAnsiTheme="majorBidi" w:cstheme="majorBidi"/>
          <w:sz w:val="24"/>
          <w:szCs w:val="24"/>
        </w:rPr>
      </w:pPr>
      <w:r>
        <w:rPr>
          <w:rFonts w:asciiTheme="majorBidi" w:hAnsiTheme="majorBidi" w:cstheme="majorBidi"/>
          <w:sz w:val="24"/>
          <w:szCs w:val="24"/>
        </w:rPr>
        <w:tab/>
        <w:t>When the issue is less about religious establishment and more about equal access to a similar public space such as a p</w:t>
      </w:r>
      <w:r w:rsidR="004C1229">
        <w:rPr>
          <w:rFonts w:asciiTheme="majorBidi" w:hAnsiTheme="majorBidi" w:cstheme="majorBidi"/>
          <w:sz w:val="24"/>
          <w:szCs w:val="24"/>
        </w:rPr>
        <w:t>ark or square,</w:t>
      </w:r>
      <w:r>
        <w:rPr>
          <w:rFonts w:asciiTheme="majorBidi" w:hAnsiTheme="majorBidi" w:cstheme="majorBidi"/>
          <w:sz w:val="24"/>
          <w:szCs w:val="24"/>
        </w:rPr>
        <w:t xml:space="preserve"> the old and new coalitions are much more likely to work together. Just as in other equal access claims, the ACLU, AU, and FFRF worked together in filing a lawsuit against the city of Warren, Michigan for allowing some religious organizations to set up a prayer booth </w:t>
      </w:r>
      <w:r w:rsidR="009B7F6E">
        <w:rPr>
          <w:rFonts w:asciiTheme="majorBidi" w:hAnsiTheme="majorBidi" w:cstheme="majorBidi"/>
          <w:sz w:val="24"/>
          <w:szCs w:val="24"/>
        </w:rPr>
        <w:t xml:space="preserve">and distribute pamphlets </w:t>
      </w:r>
      <w:r>
        <w:rPr>
          <w:rFonts w:asciiTheme="majorBidi" w:hAnsiTheme="majorBidi" w:cstheme="majorBidi"/>
          <w:sz w:val="24"/>
          <w:szCs w:val="24"/>
        </w:rPr>
        <w:t xml:space="preserve">in a public square (Americans United, 2014). </w:t>
      </w:r>
      <w:r w:rsidR="009F4823">
        <w:rPr>
          <w:rFonts w:asciiTheme="majorBidi" w:hAnsiTheme="majorBidi" w:cstheme="majorBidi"/>
          <w:sz w:val="24"/>
          <w:szCs w:val="24"/>
        </w:rPr>
        <w:t xml:space="preserve">The </w:t>
      </w:r>
      <w:r w:rsidR="00763221">
        <w:rPr>
          <w:rFonts w:asciiTheme="majorBidi" w:hAnsiTheme="majorBidi" w:cstheme="majorBidi"/>
          <w:sz w:val="24"/>
          <w:szCs w:val="24"/>
        </w:rPr>
        <w:t xml:space="preserve">ACLU and the AU argued that </w:t>
      </w:r>
      <w:r w:rsidR="009B7F6E">
        <w:rPr>
          <w:rFonts w:asciiTheme="majorBidi" w:hAnsiTheme="majorBidi" w:cstheme="majorBidi"/>
          <w:sz w:val="24"/>
          <w:szCs w:val="24"/>
        </w:rPr>
        <w:t>the proper move was not to remove the booth but instead to allow equal access to all groups</w:t>
      </w:r>
      <w:r w:rsidR="005431D4">
        <w:rPr>
          <w:rFonts w:asciiTheme="majorBidi" w:hAnsiTheme="majorBidi" w:cstheme="majorBidi"/>
          <w:sz w:val="24"/>
          <w:szCs w:val="24"/>
        </w:rPr>
        <w:t xml:space="preserve">, in </w:t>
      </w:r>
      <w:r w:rsidR="008B3329">
        <w:rPr>
          <w:rFonts w:asciiTheme="majorBidi" w:hAnsiTheme="majorBidi" w:cstheme="majorBidi"/>
          <w:sz w:val="24"/>
          <w:szCs w:val="24"/>
        </w:rPr>
        <w:t>this instance</w:t>
      </w:r>
      <w:r w:rsidR="005431D4">
        <w:rPr>
          <w:rFonts w:asciiTheme="majorBidi" w:hAnsiTheme="majorBidi" w:cstheme="majorBidi"/>
          <w:sz w:val="24"/>
          <w:szCs w:val="24"/>
        </w:rPr>
        <w:t xml:space="preserve"> </w:t>
      </w:r>
      <w:r w:rsidR="00411B7D">
        <w:rPr>
          <w:rFonts w:asciiTheme="majorBidi" w:hAnsiTheme="majorBidi" w:cstheme="majorBidi"/>
          <w:sz w:val="24"/>
          <w:szCs w:val="24"/>
        </w:rPr>
        <w:t>a</w:t>
      </w:r>
      <w:r w:rsidR="005431D4">
        <w:rPr>
          <w:rFonts w:asciiTheme="majorBidi" w:hAnsiTheme="majorBidi" w:cstheme="majorBidi"/>
          <w:sz w:val="24"/>
          <w:szCs w:val="24"/>
        </w:rPr>
        <w:t xml:space="preserve"> secularist trying to establish a “reason booth” to counter the religious one.</w:t>
      </w:r>
      <w:r w:rsidR="009B7F6E">
        <w:rPr>
          <w:rFonts w:asciiTheme="majorBidi" w:hAnsiTheme="majorBidi" w:cstheme="majorBidi"/>
          <w:sz w:val="24"/>
          <w:szCs w:val="24"/>
        </w:rPr>
        <w:t xml:space="preserve"> Past constitutional decisions such as </w:t>
      </w:r>
      <w:proofErr w:type="spellStart"/>
      <w:r w:rsidR="00411B7D">
        <w:rPr>
          <w:rFonts w:asciiTheme="majorBidi" w:hAnsiTheme="majorBidi" w:cstheme="majorBidi"/>
          <w:i/>
          <w:sz w:val="24"/>
          <w:szCs w:val="24"/>
        </w:rPr>
        <w:t>Wi</w:t>
      </w:r>
      <w:r w:rsidR="009B7F6E">
        <w:rPr>
          <w:rFonts w:asciiTheme="majorBidi" w:hAnsiTheme="majorBidi" w:cstheme="majorBidi"/>
          <w:i/>
          <w:sz w:val="24"/>
          <w:szCs w:val="24"/>
        </w:rPr>
        <w:t>dmar</w:t>
      </w:r>
      <w:proofErr w:type="spellEnd"/>
      <w:r w:rsidR="009B7F6E">
        <w:rPr>
          <w:rFonts w:asciiTheme="majorBidi" w:hAnsiTheme="majorBidi" w:cstheme="majorBidi"/>
          <w:sz w:val="24"/>
          <w:szCs w:val="24"/>
        </w:rPr>
        <w:t xml:space="preserve"> as well as a pluralistic notion of neutrality account for this stance. The FFRF, however, most likely supported this argument not because the group desired pluralism as much as it wanted the opportunity to promote its own philosophy and identity </w:t>
      </w:r>
      <w:r w:rsidR="004C1229">
        <w:rPr>
          <w:rFonts w:asciiTheme="majorBidi" w:hAnsiTheme="majorBidi" w:cstheme="majorBidi"/>
          <w:sz w:val="24"/>
          <w:szCs w:val="24"/>
        </w:rPr>
        <w:t xml:space="preserve">in </w:t>
      </w:r>
      <w:r w:rsidR="009B7F6E">
        <w:rPr>
          <w:rFonts w:asciiTheme="majorBidi" w:hAnsiTheme="majorBidi" w:cstheme="majorBidi"/>
          <w:sz w:val="24"/>
          <w:szCs w:val="24"/>
        </w:rPr>
        <w:t>a formerly theistic-dominated context.</w:t>
      </w:r>
      <w:r w:rsidR="004C1229">
        <w:rPr>
          <w:rFonts w:asciiTheme="majorBidi" w:hAnsiTheme="majorBidi" w:cstheme="majorBidi"/>
          <w:sz w:val="24"/>
          <w:szCs w:val="24"/>
        </w:rPr>
        <w:t xml:space="preserve"> Even though the new coalition often allies with the old coalition’s pluralistic approach to equal access and</w:t>
      </w:r>
      <w:r w:rsidR="00411B7D">
        <w:rPr>
          <w:rFonts w:asciiTheme="majorBidi" w:hAnsiTheme="majorBidi" w:cstheme="majorBidi"/>
          <w:sz w:val="24"/>
          <w:szCs w:val="24"/>
        </w:rPr>
        <w:t xml:space="preserve"> a</w:t>
      </w:r>
      <w:r w:rsidR="004C1229">
        <w:rPr>
          <w:rFonts w:asciiTheme="majorBidi" w:hAnsiTheme="majorBidi" w:cstheme="majorBidi"/>
          <w:sz w:val="24"/>
          <w:szCs w:val="24"/>
        </w:rPr>
        <w:t xml:space="preserve"> strict separationist approach to publically-endorsed religious displa</w:t>
      </w:r>
      <w:r w:rsidR="00411B7D">
        <w:rPr>
          <w:rFonts w:asciiTheme="majorBidi" w:hAnsiTheme="majorBidi" w:cstheme="majorBidi"/>
          <w:sz w:val="24"/>
          <w:szCs w:val="24"/>
        </w:rPr>
        <w:t>ys and monuments, the identity f</w:t>
      </w:r>
      <w:r w:rsidR="004C1229">
        <w:rPr>
          <w:rFonts w:asciiTheme="majorBidi" w:hAnsiTheme="majorBidi" w:cstheme="majorBidi"/>
          <w:sz w:val="24"/>
          <w:szCs w:val="24"/>
        </w:rPr>
        <w:t>ocus sometimes steers new coalition groups—such as the AA—to support “balanced” endorsements that promote atheist identities as well as a secular national identity yet contradictorily encourage a pluralistic display of religious and secular symbols.</w:t>
      </w:r>
    </w:p>
    <w:p w14:paraId="292FAE13" w14:textId="77777777" w:rsidR="004C1229" w:rsidRDefault="004C1229" w:rsidP="00832F52">
      <w:pPr>
        <w:spacing w:line="480" w:lineRule="auto"/>
        <w:contextualSpacing/>
        <w:rPr>
          <w:rFonts w:asciiTheme="majorBidi" w:hAnsiTheme="majorBidi" w:cstheme="majorBidi"/>
          <w:sz w:val="24"/>
          <w:szCs w:val="24"/>
        </w:rPr>
      </w:pPr>
    </w:p>
    <w:p w14:paraId="1EA7BCEF" w14:textId="0D4D5777" w:rsidR="00787569" w:rsidRDefault="00577AAC" w:rsidP="00832F52">
      <w:pPr>
        <w:spacing w:line="480" w:lineRule="auto"/>
        <w:contextualSpacing/>
        <w:rPr>
          <w:rFonts w:asciiTheme="majorBidi" w:hAnsiTheme="majorBidi" w:cstheme="majorBidi"/>
          <w:iCs/>
          <w:sz w:val="24"/>
          <w:szCs w:val="24"/>
        </w:rPr>
      </w:pPr>
      <w:r>
        <w:rPr>
          <w:rFonts w:asciiTheme="majorBidi" w:hAnsiTheme="majorBidi" w:cstheme="majorBidi"/>
          <w:i/>
          <w:iCs/>
          <w:sz w:val="24"/>
          <w:szCs w:val="24"/>
        </w:rPr>
        <w:lastRenderedPageBreak/>
        <w:t>Approaches to Legislative Prayer</w:t>
      </w:r>
    </w:p>
    <w:p w14:paraId="2407E74E" w14:textId="641307A3" w:rsidR="00E07F45" w:rsidRDefault="00E07F45" w:rsidP="00832F52">
      <w:pPr>
        <w:spacing w:line="480" w:lineRule="auto"/>
        <w:contextualSpacing/>
        <w:rPr>
          <w:rFonts w:asciiTheme="majorBidi" w:hAnsiTheme="majorBidi" w:cstheme="majorBidi"/>
          <w:iCs/>
          <w:sz w:val="24"/>
          <w:szCs w:val="24"/>
        </w:rPr>
      </w:pPr>
      <w:r>
        <w:rPr>
          <w:rFonts w:asciiTheme="majorBidi" w:hAnsiTheme="majorBidi" w:cstheme="majorBidi"/>
          <w:iCs/>
          <w:sz w:val="24"/>
          <w:szCs w:val="24"/>
        </w:rPr>
        <w:tab/>
      </w:r>
      <w:r w:rsidR="00632233">
        <w:rPr>
          <w:rFonts w:asciiTheme="majorBidi" w:hAnsiTheme="majorBidi" w:cstheme="majorBidi"/>
          <w:iCs/>
          <w:sz w:val="24"/>
          <w:szCs w:val="24"/>
        </w:rPr>
        <w:t xml:space="preserve">Differences in approach to the constitutionality of legislative prayer illustrate yet another split between the strategies and goals of the two </w:t>
      </w:r>
      <w:r w:rsidR="001E5E23">
        <w:rPr>
          <w:rFonts w:asciiTheme="majorBidi" w:hAnsiTheme="majorBidi" w:cstheme="majorBidi"/>
          <w:iCs/>
          <w:sz w:val="24"/>
          <w:szCs w:val="24"/>
        </w:rPr>
        <w:t>separationist</w:t>
      </w:r>
      <w:r w:rsidR="00632233">
        <w:rPr>
          <w:rFonts w:asciiTheme="majorBidi" w:hAnsiTheme="majorBidi" w:cstheme="majorBidi"/>
          <w:iCs/>
          <w:sz w:val="24"/>
          <w:szCs w:val="24"/>
        </w:rPr>
        <w:t xml:space="preserve"> coalitions. In</w:t>
      </w:r>
      <w:r w:rsidR="00A15652">
        <w:rPr>
          <w:rFonts w:asciiTheme="majorBidi" w:hAnsiTheme="majorBidi" w:cstheme="majorBidi"/>
          <w:iCs/>
          <w:sz w:val="24"/>
          <w:szCs w:val="24"/>
        </w:rPr>
        <w:t xml:space="preserve"> November</w:t>
      </w:r>
      <w:r w:rsidR="00632233">
        <w:rPr>
          <w:rFonts w:asciiTheme="majorBidi" w:hAnsiTheme="majorBidi" w:cstheme="majorBidi"/>
          <w:iCs/>
          <w:sz w:val="24"/>
          <w:szCs w:val="24"/>
        </w:rPr>
        <w:t xml:space="preserve"> 2013, the Supreme Court heard oral arguments for </w:t>
      </w:r>
      <w:r w:rsidR="00632233">
        <w:rPr>
          <w:rFonts w:asciiTheme="majorBidi" w:hAnsiTheme="majorBidi" w:cstheme="majorBidi"/>
          <w:i/>
          <w:iCs/>
          <w:sz w:val="24"/>
          <w:szCs w:val="24"/>
        </w:rPr>
        <w:t>Town of Greece v. Galloway</w:t>
      </w:r>
      <w:r w:rsidR="00632233">
        <w:rPr>
          <w:rFonts w:asciiTheme="majorBidi" w:hAnsiTheme="majorBidi" w:cstheme="majorBidi"/>
          <w:iCs/>
          <w:sz w:val="24"/>
          <w:szCs w:val="24"/>
        </w:rPr>
        <w:t>, a case in which two community members challenged the town of Greece’s policy of inviting local clergy to lead prayer at the beginning of the monthly town meetings. Although petitioners for Greece argued that the invitation to prayer has been extended to members of diverse and untraditional faiths</w:t>
      </w:r>
      <w:r w:rsidR="002D3C51">
        <w:rPr>
          <w:rFonts w:asciiTheme="majorBidi" w:hAnsiTheme="majorBidi" w:cstheme="majorBidi"/>
          <w:iCs/>
          <w:sz w:val="24"/>
          <w:szCs w:val="24"/>
        </w:rPr>
        <w:t xml:space="preserve"> and</w:t>
      </w:r>
      <w:r w:rsidR="00BA58E3">
        <w:rPr>
          <w:rFonts w:asciiTheme="majorBidi" w:hAnsiTheme="majorBidi" w:cstheme="majorBidi"/>
          <w:iCs/>
          <w:sz w:val="24"/>
          <w:szCs w:val="24"/>
        </w:rPr>
        <w:t>,</w:t>
      </w:r>
      <w:r w:rsidR="002D3C51">
        <w:rPr>
          <w:rFonts w:asciiTheme="majorBidi" w:hAnsiTheme="majorBidi" w:cstheme="majorBidi"/>
          <w:iCs/>
          <w:sz w:val="24"/>
          <w:szCs w:val="24"/>
        </w:rPr>
        <w:t xml:space="preserve"> therefore</w:t>
      </w:r>
      <w:r w:rsidR="00BA58E3">
        <w:rPr>
          <w:rFonts w:asciiTheme="majorBidi" w:hAnsiTheme="majorBidi" w:cstheme="majorBidi"/>
          <w:iCs/>
          <w:sz w:val="24"/>
          <w:szCs w:val="24"/>
        </w:rPr>
        <w:t>,</w:t>
      </w:r>
      <w:r w:rsidR="002D3C51">
        <w:rPr>
          <w:rFonts w:asciiTheme="majorBidi" w:hAnsiTheme="majorBidi" w:cstheme="majorBidi"/>
          <w:iCs/>
          <w:sz w:val="24"/>
          <w:szCs w:val="24"/>
        </w:rPr>
        <w:t xml:space="preserve"> is constitutional under the precedent of </w:t>
      </w:r>
      <w:r w:rsidR="002D3C51">
        <w:rPr>
          <w:rFonts w:asciiTheme="majorBidi" w:hAnsiTheme="majorBidi" w:cstheme="majorBidi"/>
          <w:i/>
          <w:iCs/>
          <w:sz w:val="24"/>
          <w:szCs w:val="24"/>
        </w:rPr>
        <w:t>Marsh v. Chambers</w:t>
      </w:r>
      <w:r w:rsidR="002D3C51">
        <w:rPr>
          <w:rFonts w:asciiTheme="majorBidi" w:hAnsiTheme="majorBidi" w:cstheme="majorBidi"/>
          <w:iCs/>
          <w:sz w:val="24"/>
          <w:szCs w:val="24"/>
        </w:rPr>
        <w:t xml:space="preserve">, </w:t>
      </w:r>
      <w:r w:rsidR="002D3C51" w:rsidRPr="002D3C51">
        <w:rPr>
          <w:rFonts w:asciiTheme="majorBidi" w:hAnsiTheme="majorBidi" w:cstheme="majorBidi"/>
          <w:iCs/>
          <w:sz w:val="24"/>
          <w:szCs w:val="24"/>
        </w:rPr>
        <w:t>463 U.S. 783 (1983)</w:t>
      </w:r>
      <w:r w:rsidR="00632233">
        <w:rPr>
          <w:rFonts w:asciiTheme="majorBidi" w:hAnsiTheme="majorBidi" w:cstheme="majorBidi"/>
          <w:iCs/>
          <w:sz w:val="24"/>
          <w:szCs w:val="24"/>
        </w:rPr>
        <w:t>, resp</w:t>
      </w:r>
      <w:r w:rsidR="00435B51">
        <w:rPr>
          <w:rFonts w:asciiTheme="majorBidi" w:hAnsiTheme="majorBidi" w:cstheme="majorBidi"/>
          <w:iCs/>
          <w:sz w:val="24"/>
          <w:szCs w:val="24"/>
        </w:rPr>
        <w:t xml:space="preserve">ondents have argued that because the vast majority of prayers have been given by Christian clergy there has been the effect of an establishment of a particular religion. </w:t>
      </w:r>
      <w:r w:rsidR="002D3C51">
        <w:rPr>
          <w:rFonts w:asciiTheme="majorBidi" w:hAnsiTheme="majorBidi" w:cstheme="majorBidi"/>
          <w:iCs/>
          <w:sz w:val="24"/>
          <w:szCs w:val="24"/>
        </w:rPr>
        <w:t>This case has divided the two coalitions once again, the older faction supporting</w:t>
      </w:r>
      <w:r w:rsidR="001473F8">
        <w:rPr>
          <w:rFonts w:asciiTheme="majorBidi" w:hAnsiTheme="majorBidi" w:cstheme="majorBidi"/>
          <w:iCs/>
          <w:sz w:val="24"/>
          <w:szCs w:val="24"/>
        </w:rPr>
        <w:t xml:space="preserve"> </w:t>
      </w:r>
      <w:r w:rsidR="00A9644A">
        <w:rPr>
          <w:rFonts w:asciiTheme="majorBidi" w:hAnsiTheme="majorBidi" w:cstheme="majorBidi"/>
          <w:iCs/>
          <w:sz w:val="24"/>
          <w:szCs w:val="24"/>
        </w:rPr>
        <w:t>a</w:t>
      </w:r>
      <w:r w:rsidR="001473F8">
        <w:rPr>
          <w:rFonts w:asciiTheme="majorBidi" w:hAnsiTheme="majorBidi" w:cstheme="majorBidi"/>
          <w:iCs/>
          <w:sz w:val="24"/>
          <w:szCs w:val="24"/>
        </w:rPr>
        <w:t xml:space="preserve"> </w:t>
      </w:r>
      <w:r w:rsidR="006715DE">
        <w:rPr>
          <w:rFonts w:asciiTheme="majorBidi" w:hAnsiTheme="majorBidi" w:cstheme="majorBidi"/>
          <w:iCs/>
          <w:sz w:val="24"/>
          <w:szCs w:val="24"/>
        </w:rPr>
        <w:t>nonsectarian</w:t>
      </w:r>
      <w:r w:rsidR="001473F8">
        <w:rPr>
          <w:rFonts w:asciiTheme="majorBidi" w:hAnsiTheme="majorBidi" w:cstheme="majorBidi"/>
          <w:iCs/>
          <w:sz w:val="24"/>
          <w:szCs w:val="24"/>
        </w:rPr>
        <w:t xml:space="preserve"> reading of </w:t>
      </w:r>
      <w:r w:rsidR="001473F8">
        <w:rPr>
          <w:rFonts w:asciiTheme="majorBidi" w:hAnsiTheme="majorBidi" w:cstheme="majorBidi"/>
          <w:i/>
          <w:iCs/>
          <w:sz w:val="24"/>
          <w:szCs w:val="24"/>
        </w:rPr>
        <w:t>Marsh</w:t>
      </w:r>
      <w:r w:rsidR="001473F8">
        <w:rPr>
          <w:rFonts w:asciiTheme="majorBidi" w:hAnsiTheme="majorBidi" w:cstheme="majorBidi"/>
          <w:iCs/>
          <w:sz w:val="24"/>
          <w:szCs w:val="24"/>
        </w:rPr>
        <w:t xml:space="preserve"> and the new coalition, along with organizations from several minority faiths, advocating an overturning of the </w:t>
      </w:r>
      <w:r w:rsidR="001473F8">
        <w:rPr>
          <w:rFonts w:asciiTheme="majorBidi" w:hAnsiTheme="majorBidi" w:cstheme="majorBidi"/>
          <w:i/>
          <w:iCs/>
          <w:sz w:val="24"/>
          <w:szCs w:val="24"/>
        </w:rPr>
        <w:t>Marsh</w:t>
      </w:r>
      <w:r w:rsidR="00A15652">
        <w:rPr>
          <w:rFonts w:asciiTheme="majorBidi" w:hAnsiTheme="majorBidi" w:cstheme="majorBidi"/>
          <w:iCs/>
          <w:sz w:val="24"/>
          <w:szCs w:val="24"/>
        </w:rPr>
        <w:t xml:space="preserve"> precedent and for the elimination of</w:t>
      </w:r>
      <w:r w:rsidR="001473F8">
        <w:rPr>
          <w:rFonts w:asciiTheme="majorBidi" w:hAnsiTheme="majorBidi" w:cstheme="majorBidi"/>
          <w:iCs/>
          <w:sz w:val="24"/>
          <w:szCs w:val="24"/>
        </w:rPr>
        <w:t xml:space="preserve"> legislative prayer entirely.</w:t>
      </w:r>
      <w:r w:rsidR="000F6970">
        <w:rPr>
          <w:rFonts w:asciiTheme="majorBidi" w:hAnsiTheme="majorBidi" w:cstheme="majorBidi"/>
          <w:iCs/>
          <w:sz w:val="24"/>
          <w:szCs w:val="24"/>
        </w:rPr>
        <w:t xml:space="preserve"> </w:t>
      </w:r>
      <w:r w:rsidR="00C007CE">
        <w:rPr>
          <w:rFonts w:asciiTheme="majorBidi" w:hAnsiTheme="majorBidi" w:cstheme="majorBidi"/>
          <w:iCs/>
          <w:sz w:val="24"/>
          <w:szCs w:val="24"/>
        </w:rPr>
        <w:t xml:space="preserve">By examining the various briefs filed in this case, it is evident that the issue of legislative prayer presents </w:t>
      </w:r>
      <w:r w:rsidR="00B32A10">
        <w:rPr>
          <w:rFonts w:asciiTheme="majorBidi" w:hAnsiTheme="majorBidi" w:cstheme="majorBidi"/>
          <w:iCs/>
          <w:sz w:val="24"/>
          <w:szCs w:val="24"/>
        </w:rPr>
        <w:t xml:space="preserve">a severe obstacle to a united </w:t>
      </w:r>
      <w:r w:rsidR="001E5E23">
        <w:rPr>
          <w:rFonts w:asciiTheme="majorBidi" w:hAnsiTheme="majorBidi" w:cstheme="majorBidi"/>
          <w:iCs/>
          <w:sz w:val="24"/>
          <w:szCs w:val="24"/>
        </w:rPr>
        <w:t>separationist</w:t>
      </w:r>
      <w:r w:rsidR="00B32A10">
        <w:rPr>
          <w:rFonts w:asciiTheme="majorBidi" w:hAnsiTheme="majorBidi" w:cstheme="majorBidi"/>
          <w:iCs/>
          <w:sz w:val="24"/>
          <w:szCs w:val="24"/>
        </w:rPr>
        <w:t xml:space="preserve"> approach to the establishment clause.</w:t>
      </w:r>
    </w:p>
    <w:p w14:paraId="5E4163F1" w14:textId="4918E83B" w:rsidR="00B32A10" w:rsidRDefault="00B32A10" w:rsidP="00B26404">
      <w:pPr>
        <w:spacing w:line="480" w:lineRule="auto"/>
        <w:contextualSpacing/>
        <w:rPr>
          <w:rFonts w:asciiTheme="majorBidi" w:hAnsiTheme="majorBidi" w:cstheme="majorBidi"/>
          <w:iCs/>
          <w:sz w:val="24"/>
          <w:szCs w:val="24"/>
        </w:rPr>
      </w:pPr>
      <w:r>
        <w:rPr>
          <w:rFonts w:asciiTheme="majorBidi" w:hAnsiTheme="majorBidi" w:cstheme="majorBidi"/>
          <w:iCs/>
          <w:sz w:val="24"/>
          <w:szCs w:val="24"/>
        </w:rPr>
        <w:tab/>
      </w:r>
      <w:r w:rsidR="000203E9">
        <w:rPr>
          <w:rFonts w:asciiTheme="majorBidi" w:hAnsiTheme="majorBidi" w:cstheme="majorBidi"/>
          <w:iCs/>
          <w:sz w:val="24"/>
          <w:szCs w:val="24"/>
        </w:rPr>
        <w:t>Looki</w:t>
      </w:r>
      <w:r w:rsidR="00A15652">
        <w:rPr>
          <w:rFonts w:asciiTheme="majorBidi" w:hAnsiTheme="majorBidi" w:cstheme="majorBidi"/>
          <w:iCs/>
          <w:sz w:val="24"/>
          <w:szCs w:val="24"/>
        </w:rPr>
        <w:t>ng first to the old coalition, t</w:t>
      </w:r>
      <w:r w:rsidR="000203E9">
        <w:rPr>
          <w:rFonts w:asciiTheme="majorBidi" w:hAnsiTheme="majorBidi" w:cstheme="majorBidi"/>
          <w:iCs/>
          <w:sz w:val="24"/>
          <w:szCs w:val="24"/>
        </w:rPr>
        <w:t xml:space="preserve">he AU </w:t>
      </w:r>
      <w:r w:rsidR="00A15652">
        <w:rPr>
          <w:rFonts w:asciiTheme="majorBidi" w:hAnsiTheme="majorBidi" w:cstheme="majorBidi"/>
          <w:iCs/>
          <w:sz w:val="24"/>
          <w:szCs w:val="24"/>
        </w:rPr>
        <w:t xml:space="preserve">has </w:t>
      </w:r>
      <w:r w:rsidR="00DE4AE7">
        <w:rPr>
          <w:rFonts w:asciiTheme="majorBidi" w:hAnsiTheme="majorBidi" w:cstheme="majorBidi"/>
          <w:iCs/>
          <w:sz w:val="24"/>
          <w:szCs w:val="24"/>
        </w:rPr>
        <w:t>represented the</w:t>
      </w:r>
      <w:r w:rsidR="00571148">
        <w:rPr>
          <w:rFonts w:asciiTheme="majorBidi" w:hAnsiTheme="majorBidi" w:cstheme="majorBidi"/>
          <w:iCs/>
          <w:sz w:val="24"/>
          <w:szCs w:val="24"/>
        </w:rPr>
        <w:t xml:space="preserve"> respondents at the Second Circuit Court of Appeals as well as the Supreme Court where the organization argued for </w:t>
      </w:r>
      <w:r w:rsidR="00A9644A">
        <w:rPr>
          <w:rFonts w:asciiTheme="majorBidi" w:hAnsiTheme="majorBidi" w:cstheme="majorBidi"/>
          <w:iCs/>
          <w:sz w:val="24"/>
          <w:szCs w:val="24"/>
        </w:rPr>
        <w:t>a</w:t>
      </w:r>
      <w:r w:rsidR="00DE4AE7">
        <w:rPr>
          <w:rFonts w:asciiTheme="majorBidi" w:hAnsiTheme="majorBidi" w:cstheme="majorBidi"/>
          <w:iCs/>
          <w:sz w:val="24"/>
          <w:szCs w:val="24"/>
        </w:rPr>
        <w:t xml:space="preserve"> </w:t>
      </w:r>
      <w:r w:rsidR="006715DE">
        <w:rPr>
          <w:rFonts w:asciiTheme="majorBidi" w:hAnsiTheme="majorBidi" w:cstheme="majorBidi"/>
          <w:iCs/>
          <w:sz w:val="24"/>
          <w:szCs w:val="24"/>
        </w:rPr>
        <w:t>nonsectarian</w:t>
      </w:r>
      <w:r w:rsidR="00DE4AE7">
        <w:rPr>
          <w:rFonts w:asciiTheme="majorBidi" w:hAnsiTheme="majorBidi" w:cstheme="majorBidi"/>
          <w:iCs/>
          <w:sz w:val="24"/>
          <w:szCs w:val="24"/>
        </w:rPr>
        <w:t xml:space="preserve"> application of the precedent in </w:t>
      </w:r>
      <w:r w:rsidR="00DE4AE7">
        <w:rPr>
          <w:rFonts w:asciiTheme="majorBidi" w:hAnsiTheme="majorBidi" w:cstheme="majorBidi"/>
          <w:i/>
          <w:iCs/>
          <w:sz w:val="24"/>
          <w:szCs w:val="24"/>
        </w:rPr>
        <w:t>Marsh</w:t>
      </w:r>
      <w:r w:rsidR="005F06C8">
        <w:rPr>
          <w:rFonts w:asciiTheme="majorBidi" w:hAnsiTheme="majorBidi" w:cstheme="majorBidi"/>
          <w:iCs/>
          <w:sz w:val="24"/>
          <w:szCs w:val="24"/>
        </w:rPr>
        <w:t xml:space="preserve"> (</w:t>
      </w:r>
      <w:proofErr w:type="spellStart"/>
      <w:r w:rsidR="005F06C8">
        <w:rPr>
          <w:rFonts w:asciiTheme="majorBidi" w:hAnsiTheme="majorBidi" w:cstheme="majorBidi"/>
          <w:iCs/>
          <w:sz w:val="24"/>
          <w:szCs w:val="24"/>
        </w:rPr>
        <w:t>Laycock</w:t>
      </w:r>
      <w:proofErr w:type="spellEnd"/>
      <w:r w:rsidR="005F06C8">
        <w:rPr>
          <w:rFonts w:asciiTheme="majorBidi" w:hAnsiTheme="majorBidi" w:cstheme="majorBidi"/>
          <w:iCs/>
          <w:sz w:val="24"/>
          <w:szCs w:val="24"/>
        </w:rPr>
        <w:t xml:space="preserve"> et al., 2013).</w:t>
      </w:r>
      <w:r w:rsidR="00DE4AE7">
        <w:rPr>
          <w:rFonts w:asciiTheme="majorBidi" w:hAnsiTheme="majorBidi" w:cstheme="majorBidi"/>
          <w:iCs/>
          <w:sz w:val="24"/>
          <w:szCs w:val="24"/>
        </w:rPr>
        <w:t xml:space="preserve"> In that case, the Burger Court abandoned the Lemon tes</w:t>
      </w:r>
      <w:r w:rsidR="00A15652">
        <w:rPr>
          <w:rFonts w:asciiTheme="majorBidi" w:hAnsiTheme="majorBidi" w:cstheme="majorBidi"/>
          <w:iCs/>
          <w:sz w:val="24"/>
          <w:szCs w:val="24"/>
        </w:rPr>
        <w:t>t</w:t>
      </w:r>
      <w:r w:rsidR="00DE4AE7">
        <w:rPr>
          <w:rFonts w:asciiTheme="majorBidi" w:hAnsiTheme="majorBidi" w:cstheme="majorBidi"/>
          <w:iCs/>
          <w:sz w:val="24"/>
          <w:szCs w:val="24"/>
        </w:rPr>
        <w:t xml:space="preserve"> for a more historical approach that acknowledged the</w:t>
      </w:r>
      <w:r w:rsidR="00A15652">
        <w:rPr>
          <w:rFonts w:asciiTheme="majorBidi" w:hAnsiTheme="majorBidi" w:cstheme="majorBidi"/>
          <w:iCs/>
          <w:sz w:val="24"/>
          <w:szCs w:val="24"/>
        </w:rPr>
        <w:t xml:space="preserve"> preeminent</w:t>
      </w:r>
      <w:r w:rsidR="00DE4AE7">
        <w:rPr>
          <w:rFonts w:asciiTheme="majorBidi" w:hAnsiTheme="majorBidi" w:cstheme="majorBidi"/>
          <w:iCs/>
          <w:sz w:val="24"/>
          <w:szCs w:val="24"/>
        </w:rPr>
        <w:t xml:space="preserve"> place of religion in United States history. </w:t>
      </w:r>
      <w:r w:rsidR="00A15652">
        <w:rPr>
          <w:rFonts w:asciiTheme="majorBidi" w:hAnsiTheme="majorBidi" w:cstheme="majorBidi"/>
          <w:iCs/>
          <w:sz w:val="24"/>
          <w:szCs w:val="24"/>
        </w:rPr>
        <w:t>Advancing</w:t>
      </w:r>
      <w:r w:rsidR="00DE4AE7">
        <w:rPr>
          <w:rFonts w:asciiTheme="majorBidi" w:hAnsiTheme="majorBidi" w:cstheme="majorBidi"/>
          <w:iCs/>
          <w:sz w:val="24"/>
          <w:szCs w:val="24"/>
        </w:rPr>
        <w:t xml:space="preserve"> a novel approach to this precedent, the AU has said that there is no </w:t>
      </w:r>
      <w:r w:rsidR="00A15652">
        <w:rPr>
          <w:rFonts w:asciiTheme="majorBidi" w:hAnsiTheme="majorBidi" w:cstheme="majorBidi"/>
          <w:iCs/>
          <w:sz w:val="24"/>
          <w:szCs w:val="24"/>
        </w:rPr>
        <w:t>flaw</w:t>
      </w:r>
      <w:r w:rsidR="00DE4AE7">
        <w:rPr>
          <w:rFonts w:asciiTheme="majorBidi" w:hAnsiTheme="majorBidi" w:cstheme="majorBidi"/>
          <w:iCs/>
          <w:sz w:val="24"/>
          <w:szCs w:val="24"/>
        </w:rPr>
        <w:t xml:space="preserve"> with the </w:t>
      </w:r>
      <w:r w:rsidR="00DE4AE7">
        <w:rPr>
          <w:rFonts w:asciiTheme="majorBidi" w:hAnsiTheme="majorBidi" w:cstheme="majorBidi"/>
          <w:i/>
          <w:iCs/>
          <w:sz w:val="24"/>
          <w:szCs w:val="24"/>
        </w:rPr>
        <w:t>Marsh</w:t>
      </w:r>
      <w:r w:rsidR="00DE4AE7">
        <w:rPr>
          <w:rFonts w:asciiTheme="majorBidi" w:hAnsiTheme="majorBidi" w:cstheme="majorBidi"/>
          <w:iCs/>
          <w:sz w:val="24"/>
          <w:szCs w:val="24"/>
        </w:rPr>
        <w:t xml:space="preserve"> decision fundamentally, however, when combined with the Court’s opinion banning coercive or sectarian prayers in</w:t>
      </w:r>
      <w:r w:rsidR="00E31E0D">
        <w:rPr>
          <w:rFonts w:asciiTheme="majorBidi" w:hAnsiTheme="majorBidi" w:cstheme="majorBidi"/>
          <w:iCs/>
          <w:sz w:val="24"/>
          <w:szCs w:val="24"/>
        </w:rPr>
        <w:t xml:space="preserve"> </w:t>
      </w:r>
      <w:r w:rsidR="00E31E0D" w:rsidRPr="00E31E0D">
        <w:rPr>
          <w:rFonts w:asciiTheme="majorBidi" w:hAnsiTheme="majorBidi" w:cstheme="majorBidi"/>
          <w:i/>
          <w:iCs/>
          <w:sz w:val="24"/>
          <w:szCs w:val="24"/>
        </w:rPr>
        <w:t>Lee v. Weisman</w:t>
      </w:r>
      <w:r w:rsidR="00E31E0D" w:rsidRPr="00E31E0D">
        <w:rPr>
          <w:rFonts w:asciiTheme="majorBidi" w:hAnsiTheme="majorBidi" w:cstheme="majorBidi"/>
          <w:iCs/>
          <w:sz w:val="24"/>
          <w:szCs w:val="24"/>
        </w:rPr>
        <w:t>, 505 U.S. 577 (1992),</w:t>
      </w:r>
      <w:r w:rsidR="00DE4AE7">
        <w:rPr>
          <w:rFonts w:asciiTheme="majorBidi" w:hAnsiTheme="majorBidi" w:cstheme="majorBidi"/>
          <w:iCs/>
          <w:sz w:val="24"/>
          <w:szCs w:val="24"/>
        </w:rPr>
        <w:t xml:space="preserve"> the town of Greece’s specific mode of legislative prayer is </w:t>
      </w:r>
      <w:r w:rsidR="00DE4AE7">
        <w:rPr>
          <w:rFonts w:asciiTheme="majorBidi" w:hAnsiTheme="majorBidi" w:cstheme="majorBidi"/>
          <w:iCs/>
          <w:sz w:val="24"/>
          <w:szCs w:val="24"/>
        </w:rPr>
        <w:lastRenderedPageBreak/>
        <w:t>unconstitutional.</w:t>
      </w:r>
      <w:r w:rsidR="00E31E0D">
        <w:rPr>
          <w:rStyle w:val="FootnoteReference"/>
          <w:rFonts w:asciiTheme="majorBidi" w:hAnsiTheme="majorBidi" w:cstheme="majorBidi"/>
          <w:iCs/>
          <w:sz w:val="24"/>
          <w:szCs w:val="24"/>
        </w:rPr>
        <w:footnoteReference w:id="21"/>
      </w:r>
      <w:r w:rsidR="005F06C8">
        <w:rPr>
          <w:rFonts w:asciiTheme="majorBidi" w:hAnsiTheme="majorBidi" w:cstheme="majorBidi"/>
          <w:iCs/>
          <w:sz w:val="24"/>
          <w:szCs w:val="24"/>
        </w:rPr>
        <w:t xml:space="preserve"> Filing in support of the AU, </w:t>
      </w:r>
      <w:r w:rsidR="00B845BD">
        <w:rPr>
          <w:rFonts w:asciiTheme="majorBidi" w:hAnsiTheme="majorBidi" w:cstheme="majorBidi"/>
          <w:iCs/>
          <w:sz w:val="24"/>
          <w:szCs w:val="24"/>
        </w:rPr>
        <w:t>the ACLU’s amicus brief—joined by other groups such as the Anti-Defamation League and the Inter-Faith Alliance—presented a similar argument</w:t>
      </w:r>
      <w:r w:rsidR="001C4D44">
        <w:rPr>
          <w:rFonts w:asciiTheme="majorBidi" w:hAnsiTheme="majorBidi" w:cstheme="majorBidi"/>
          <w:iCs/>
          <w:sz w:val="24"/>
          <w:szCs w:val="24"/>
        </w:rPr>
        <w:t xml:space="preserve"> </w:t>
      </w:r>
      <w:r w:rsidR="001C4D44">
        <w:rPr>
          <w:rFonts w:asciiTheme="majorBidi" w:hAnsiTheme="majorBidi" w:cstheme="majorBidi"/>
          <w:sz w:val="24"/>
          <w:szCs w:val="24"/>
        </w:rPr>
        <w:t xml:space="preserve">(Eisenberg, </w:t>
      </w:r>
      <w:proofErr w:type="spellStart"/>
      <w:r w:rsidR="001C4D44">
        <w:rPr>
          <w:rFonts w:asciiTheme="majorBidi" w:hAnsiTheme="majorBidi" w:cstheme="majorBidi"/>
          <w:sz w:val="24"/>
          <w:szCs w:val="24"/>
        </w:rPr>
        <w:t>Karpatkin</w:t>
      </w:r>
      <w:proofErr w:type="spellEnd"/>
      <w:r w:rsidR="001C4D44">
        <w:rPr>
          <w:rFonts w:asciiTheme="majorBidi" w:hAnsiTheme="majorBidi" w:cstheme="majorBidi"/>
          <w:sz w:val="24"/>
          <w:szCs w:val="24"/>
        </w:rPr>
        <w:t>, Mach, &amp; Shapiro</w:t>
      </w:r>
      <w:r w:rsidR="00555213">
        <w:rPr>
          <w:rFonts w:asciiTheme="majorBidi" w:hAnsiTheme="majorBidi" w:cstheme="majorBidi"/>
          <w:sz w:val="24"/>
          <w:szCs w:val="24"/>
        </w:rPr>
        <w:t>,</w:t>
      </w:r>
      <w:r w:rsidR="001C4D44">
        <w:rPr>
          <w:rFonts w:asciiTheme="majorBidi" w:hAnsiTheme="majorBidi" w:cstheme="majorBidi"/>
          <w:sz w:val="24"/>
          <w:szCs w:val="24"/>
        </w:rPr>
        <w:t xml:space="preserve"> 2013).</w:t>
      </w:r>
      <w:r w:rsidR="00B845BD">
        <w:rPr>
          <w:rFonts w:asciiTheme="majorBidi" w:hAnsiTheme="majorBidi" w:cstheme="majorBidi"/>
          <w:iCs/>
          <w:sz w:val="24"/>
          <w:szCs w:val="24"/>
        </w:rPr>
        <w:t xml:space="preserve"> These organizations claimed that key to the establishment clause is denominational neutrality and that, although Greece </w:t>
      </w:r>
      <w:r w:rsidR="00A15652">
        <w:rPr>
          <w:rFonts w:asciiTheme="majorBidi" w:hAnsiTheme="majorBidi" w:cstheme="majorBidi"/>
          <w:iCs/>
          <w:sz w:val="24"/>
          <w:szCs w:val="24"/>
        </w:rPr>
        <w:t>has</w:t>
      </w:r>
      <w:r w:rsidR="00B845BD">
        <w:rPr>
          <w:rFonts w:asciiTheme="majorBidi" w:hAnsiTheme="majorBidi" w:cstheme="majorBidi"/>
          <w:iCs/>
          <w:sz w:val="24"/>
          <w:szCs w:val="24"/>
        </w:rPr>
        <w:t xml:space="preserve"> insufficiently represented diverse faiths in its prayers, there exist forms of constitutional legislative prayers</w:t>
      </w:r>
      <w:r w:rsidR="00A15652">
        <w:rPr>
          <w:rFonts w:asciiTheme="majorBidi" w:hAnsiTheme="majorBidi" w:cstheme="majorBidi"/>
          <w:iCs/>
          <w:sz w:val="24"/>
          <w:szCs w:val="24"/>
        </w:rPr>
        <w:t xml:space="preserve"> that the town could adopt</w:t>
      </w:r>
      <w:r w:rsidR="00B845BD">
        <w:rPr>
          <w:rFonts w:asciiTheme="majorBidi" w:hAnsiTheme="majorBidi" w:cstheme="majorBidi"/>
          <w:iCs/>
          <w:sz w:val="24"/>
          <w:szCs w:val="24"/>
        </w:rPr>
        <w:t>. The brief</w:t>
      </w:r>
      <w:r w:rsidR="00970B24">
        <w:rPr>
          <w:rFonts w:asciiTheme="majorBidi" w:hAnsiTheme="majorBidi" w:cstheme="majorBidi"/>
          <w:iCs/>
          <w:sz w:val="24"/>
          <w:szCs w:val="24"/>
        </w:rPr>
        <w:t xml:space="preserve"> went on to </w:t>
      </w:r>
      <w:r w:rsidR="001C4D44">
        <w:rPr>
          <w:rFonts w:asciiTheme="majorBidi" w:hAnsiTheme="majorBidi" w:cstheme="majorBidi"/>
          <w:iCs/>
          <w:sz w:val="24"/>
          <w:szCs w:val="24"/>
        </w:rPr>
        <w:t>cite various examples of</w:t>
      </w:r>
      <w:r w:rsidR="00B845BD">
        <w:rPr>
          <w:rFonts w:asciiTheme="majorBidi" w:hAnsiTheme="majorBidi" w:cstheme="majorBidi"/>
          <w:iCs/>
          <w:sz w:val="24"/>
          <w:szCs w:val="24"/>
        </w:rPr>
        <w:t xml:space="preserve"> </w:t>
      </w:r>
      <w:r w:rsidR="000A3C73">
        <w:rPr>
          <w:rFonts w:asciiTheme="majorBidi" w:hAnsiTheme="majorBidi" w:cstheme="majorBidi"/>
          <w:iCs/>
          <w:sz w:val="24"/>
          <w:szCs w:val="24"/>
        </w:rPr>
        <w:t>legislatures across the county that had reconciled their desire to offer public prayers without making them coercive or sectarian in nature.</w:t>
      </w:r>
      <w:r w:rsidR="0084184D">
        <w:rPr>
          <w:rFonts w:asciiTheme="majorBidi" w:hAnsiTheme="majorBidi" w:cstheme="majorBidi"/>
          <w:iCs/>
          <w:sz w:val="24"/>
          <w:szCs w:val="24"/>
        </w:rPr>
        <w:t xml:space="preserve"> </w:t>
      </w:r>
      <w:r w:rsidR="00A15652">
        <w:rPr>
          <w:rFonts w:asciiTheme="majorBidi" w:hAnsiTheme="majorBidi" w:cstheme="majorBidi"/>
          <w:iCs/>
          <w:sz w:val="24"/>
          <w:szCs w:val="24"/>
        </w:rPr>
        <w:t>O</w:t>
      </w:r>
      <w:r w:rsidR="000A3C73">
        <w:rPr>
          <w:rFonts w:asciiTheme="majorBidi" w:hAnsiTheme="majorBidi" w:cstheme="majorBidi"/>
          <w:iCs/>
          <w:sz w:val="24"/>
          <w:szCs w:val="24"/>
        </w:rPr>
        <w:t xml:space="preserve">rganizations </w:t>
      </w:r>
      <w:r w:rsidR="00A15652">
        <w:rPr>
          <w:rFonts w:asciiTheme="majorBidi" w:hAnsiTheme="majorBidi" w:cstheme="majorBidi"/>
          <w:iCs/>
          <w:sz w:val="24"/>
          <w:szCs w:val="24"/>
        </w:rPr>
        <w:t xml:space="preserve">like the AU and the ACLU </w:t>
      </w:r>
      <w:r w:rsidR="000A3C73">
        <w:rPr>
          <w:rFonts w:asciiTheme="majorBidi" w:hAnsiTheme="majorBidi" w:cstheme="majorBidi"/>
          <w:iCs/>
          <w:sz w:val="24"/>
          <w:szCs w:val="24"/>
        </w:rPr>
        <w:t xml:space="preserve">have been dedicated to </w:t>
      </w:r>
      <w:r w:rsidR="00B26404">
        <w:rPr>
          <w:rFonts w:asciiTheme="majorBidi" w:hAnsiTheme="majorBidi" w:cstheme="majorBidi"/>
          <w:iCs/>
          <w:sz w:val="24"/>
          <w:szCs w:val="24"/>
        </w:rPr>
        <w:t>treading</w:t>
      </w:r>
      <w:r w:rsidR="000A3C73">
        <w:rPr>
          <w:rFonts w:asciiTheme="majorBidi" w:hAnsiTheme="majorBidi" w:cstheme="majorBidi"/>
          <w:iCs/>
          <w:sz w:val="24"/>
          <w:szCs w:val="24"/>
        </w:rPr>
        <w:t xml:space="preserve"> lightly by not demanding the repeal of </w:t>
      </w:r>
      <w:r w:rsidR="000A3C73">
        <w:rPr>
          <w:rFonts w:asciiTheme="majorBidi" w:hAnsiTheme="majorBidi" w:cstheme="majorBidi"/>
          <w:i/>
          <w:iCs/>
          <w:sz w:val="24"/>
          <w:szCs w:val="24"/>
        </w:rPr>
        <w:t>Marsh</w:t>
      </w:r>
      <w:r w:rsidR="000A3C73">
        <w:rPr>
          <w:rFonts w:asciiTheme="majorBidi" w:hAnsiTheme="majorBidi" w:cstheme="majorBidi"/>
          <w:iCs/>
          <w:sz w:val="24"/>
          <w:szCs w:val="24"/>
        </w:rPr>
        <w:t xml:space="preserve">, a three-decade-year-old precedent with its roots in </w:t>
      </w:r>
      <w:r w:rsidR="00A15652">
        <w:rPr>
          <w:rFonts w:asciiTheme="majorBidi" w:hAnsiTheme="majorBidi" w:cstheme="majorBidi"/>
          <w:iCs/>
          <w:sz w:val="24"/>
          <w:szCs w:val="24"/>
        </w:rPr>
        <w:t>custom</w:t>
      </w:r>
      <w:r w:rsidR="00BA58E3">
        <w:rPr>
          <w:rFonts w:asciiTheme="majorBidi" w:hAnsiTheme="majorBidi" w:cstheme="majorBidi"/>
          <w:iCs/>
          <w:sz w:val="24"/>
          <w:szCs w:val="24"/>
        </w:rPr>
        <w:t>s</w:t>
      </w:r>
      <w:r w:rsidR="000A3C73">
        <w:rPr>
          <w:rFonts w:asciiTheme="majorBidi" w:hAnsiTheme="majorBidi" w:cstheme="majorBidi"/>
          <w:iCs/>
          <w:sz w:val="24"/>
          <w:szCs w:val="24"/>
        </w:rPr>
        <w:t xml:space="preserve"> </w:t>
      </w:r>
      <w:r w:rsidR="00A15652">
        <w:rPr>
          <w:rFonts w:asciiTheme="majorBidi" w:hAnsiTheme="majorBidi" w:cstheme="majorBidi"/>
          <w:iCs/>
          <w:sz w:val="24"/>
          <w:szCs w:val="24"/>
        </w:rPr>
        <w:t xml:space="preserve">extending back </w:t>
      </w:r>
      <w:r w:rsidR="00B26404">
        <w:rPr>
          <w:rFonts w:asciiTheme="majorBidi" w:hAnsiTheme="majorBidi" w:cstheme="majorBidi"/>
          <w:iCs/>
          <w:sz w:val="24"/>
          <w:szCs w:val="24"/>
        </w:rPr>
        <w:t>to the colonial period</w:t>
      </w:r>
      <w:r w:rsidR="000A3C73">
        <w:rPr>
          <w:rFonts w:asciiTheme="majorBidi" w:hAnsiTheme="majorBidi" w:cstheme="majorBidi"/>
          <w:iCs/>
          <w:sz w:val="24"/>
          <w:szCs w:val="24"/>
        </w:rPr>
        <w:t>. In this way, the old coalition has sought to appease its religious members while still advocating a high wall of separation.</w:t>
      </w:r>
    </w:p>
    <w:p w14:paraId="0DA3EEC5" w14:textId="18232647" w:rsidR="00E07E7C" w:rsidRDefault="000A3C73" w:rsidP="00832F52">
      <w:pPr>
        <w:spacing w:line="480" w:lineRule="auto"/>
        <w:contextualSpacing/>
        <w:rPr>
          <w:rFonts w:ascii="Times New Roman" w:hAnsi="Times New Roman" w:cs="Times New Roman"/>
          <w:sz w:val="24"/>
          <w:szCs w:val="24"/>
        </w:rPr>
      </w:pPr>
      <w:r>
        <w:rPr>
          <w:rFonts w:asciiTheme="majorBidi" w:hAnsiTheme="majorBidi" w:cstheme="majorBidi"/>
          <w:iCs/>
          <w:sz w:val="24"/>
          <w:szCs w:val="24"/>
        </w:rPr>
        <w:tab/>
      </w:r>
      <w:r w:rsidR="00F357A4">
        <w:rPr>
          <w:rFonts w:asciiTheme="majorBidi" w:hAnsiTheme="majorBidi" w:cstheme="majorBidi"/>
          <w:iCs/>
          <w:sz w:val="24"/>
          <w:szCs w:val="24"/>
        </w:rPr>
        <w:t xml:space="preserve">Rather than attempting a compromise, new coalition member organizations have confronted both the appropriateness of legislative prayer in its totality as well as the validity of the history the Burger Court used to justify it. The Freedom </w:t>
      </w:r>
      <w:proofErr w:type="gramStart"/>
      <w:r w:rsidR="00F357A4">
        <w:rPr>
          <w:rFonts w:asciiTheme="majorBidi" w:hAnsiTheme="majorBidi" w:cstheme="majorBidi"/>
          <w:iCs/>
          <w:sz w:val="24"/>
          <w:szCs w:val="24"/>
        </w:rPr>
        <w:t>From</w:t>
      </w:r>
      <w:proofErr w:type="gramEnd"/>
      <w:r w:rsidR="00F357A4">
        <w:rPr>
          <w:rFonts w:asciiTheme="majorBidi" w:hAnsiTheme="majorBidi" w:cstheme="majorBidi"/>
          <w:iCs/>
          <w:sz w:val="24"/>
          <w:szCs w:val="24"/>
        </w:rPr>
        <w:t xml:space="preserve"> Religion Foundation filed a brief</w:t>
      </w:r>
      <w:r w:rsidR="0084184D">
        <w:rPr>
          <w:rFonts w:asciiTheme="majorBidi" w:hAnsiTheme="majorBidi" w:cstheme="majorBidi"/>
          <w:iCs/>
          <w:sz w:val="24"/>
          <w:szCs w:val="24"/>
        </w:rPr>
        <w:t xml:space="preserve"> </w:t>
      </w:r>
      <w:r w:rsidR="00E86E80">
        <w:rPr>
          <w:rFonts w:asciiTheme="majorBidi" w:hAnsiTheme="majorBidi" w:cstheme="majorBidi"/>
          <w:iCs/>
          <w:sz w:val="24"/>
          <w:szCs w:val="24"/>
        </w:rPr>
        <w:t xml:space="preserve">that addressed </w:t>
      </w:r>
      <w:r w:rsidR="00E86E80">
        <w:rPr>
          <w:rFonts w:asciiTheme="majorBidi" w:hAnsiTheme="majorBidi" w:cstheme="majorBidi"/>
          <w:i/>
          <w:iCs/>
          <w:sz w:val="24"/>
          <w:szCs w:val="24"/>
        </w:rPr>
        <w:t>Marsh</w:t>
      </w:r>
      <w:r w:rsidR="00E86E80">
        <w:rPr>
          <w:rFonts w:asciiTheme="majorBidi" w:hAnsiTheme="majorBidi" w:cstheme="majorBidi"/>
          <w:iCs/>
          <w:sz w:val="24"/>
          <w:szCs w:val="24"/>
        </w:rPr>
        <w:t xml:space="preserve"> as an inappropriate outlier that was based on a faulty interpretation of the place of religion in the nation’s founding era (Bolton</w:t>
      </w:r>
      <w:r w:rsidR="00555213">
        <w:rPr>
          <w:rFonts w:asciiTheme="majorBidi" w:hAnsiTheme="majorBidi" w:cstheme="majorBidi"/>
          <w:iCs/>
          <w:sz w:val="24"/>
          <w:szCs w:val="24"/>
        </w:rPr>
        <w:t>,</w:t>
      </w:r>
      <w:r w:rsidR="00E86E80">
        <w:rPr>
          <w:rFonts w:asciiTheme="majorBidi" w:hAnsiTheme="majorBidi" w:cstheme="majorBidi"/>
          <w:iCs/>
          <w:sz w:val="24"/>
          <w:szCs w:val="24"/>
        </w:rPr>
        <w:t xml:space="preserve"> 2013). Regarding the first claim, the FFRF framed its argument against the counsel for the petitioner as well as Religious Right amicus briefs that the Court should apply a historical test to Greece’s prayer policy. In </w:t>
      </w:r>
      <w:r w:rsidR="006F574C">
        <w:rPr>
          <w:rFonts w:asciiTheme="majorBidi" w:hAnsiTheme="majorBidi" w:cstheme="majorBidi"/>
          <w:iCs/>
          <w:sz w:val="24"/>
          <w:szCs w:val="24"/>
        </w:rPr>
        <w:t xml:space="preserve">a review of the Court’s record on religious establishment, the FFRF concluded that </w:t>
      </w:r>
      <w:r w:rsidR="006F574C">
        <w:rPr>
          <w:rFonts w:asciiTheme="majorBidi" w:hAnsiTheme="majorBidi" w:cstheme="majorBidi"/>
          <w:i/>
          <w:iCs/>
          <w:sz w:val="24"/>
          <w:szCs w:val="24"/>
        </w:rPr>
        <w:t>Marsh</w:t>
      </w:r>
      <w:r w:rsidR="006F574C">
        <w:rPr>
          <w:rFonts w:asciiTheme="majorBidi" w:hAnsiTheme="majorBidi" w:cstheme="majorBidi"/>
          <w:iCs/>
          <w:sz w:val="24"/>
          <w:szCs w:val="24"/>
        </w:rPr>
        <w:t xml:space="preserve"> deviated from a long trajectory of doctrine that forbids </w:t>
      </w:r>
      <w:r w:rsidR="00E07E7C">
        <w:rPr>
          <w:rFonts w:asciiTheme="majorBidi" w:hAnsiTheme="majorBidi" w:cstheme="majorBidi"/>
          <w:iCs/>
          <w:sz w:val="24"/>
          <w:szCs w:val="24"/>
        </w:rPr>
        <w:t xml:space="preserve">both </w:t>
      </w:r>
      <w:r w:rsidR="006F574C">
        <w:rPr>
          <w:rFonts w:asciiTheme="majorBidi" w:hAnsiTheme="majorBidi" w:cstheme="majorBidi"/>
          <w:iCs/>
          <w:sz w:val="24"/>
          <w:szCs w:val="24"/>
        </w:rPr>
        <w:t xml:space="preserve">the use of history as dispositive and demographics—i.e. a majority </w:t>
      </w:r>
      <w:r w:rsidR="006F574C" w:rsidRPr="00E07E7C">
        <w:rPr>
          <w:rFonts w:ascii="Times New Roman" w:hAnsi="Times New Roman" w:cs="Times New Roman"/>
          <w:iCs/>
          <w:sz w:val="24"/>
          <w:szCs w:val="24"/>
        </w:rPr>
        <w:t>Christian population—as a trump (</w:t>
      </w:r>
      <w:r w:rsidR="000B7DB1">
        <w:rPr>
          <w:rFonts w:ascii="Times New Roman" w:hAnsi="Times New Roman" w:cs="Times New Roman"/>
          <w:iCs/>
          <w:sz w:val="24"/>
          <w:szCs w:val="24"/>
        </w:rPr>
        <w:t>p.</w:t>
      </w:r>
      <w:r w:rsidR="006F574C" w:rsidRPr="00E07E7C">
        <w:rPr>
          <w:rFonts w:ascii="Times New Roman" w:hAnsi="Times New Roman" w:cs="Times New Roman"/>
          <w:iCs/>
          <w:sz w:val="24"/>
          <w:szCs w:val="24"/>
        </w:rPr>
        <w:t xml:space="preserve">4-14). </w:t>
      </w:r>
      <w:r w:rsidR="00E07E7C" w:rsidRPr="00E07E7C">
        <w:rPr>
          <w:rFonts w:ascii="Times New Roman" w:hAnsi="Times New Roman" w:cs="Times New Roman"/>
          <w:iCs/>
          <w:sz w:val="24"/>
          <w:szCs w:val="24"/>
        </w:rPr>
        <w:t xml:space="preserve">Attacking the </w:t>
      </w:r>
      <w:r w:rsidR="00E07E7C" w:rsidRPr="00E07E7C">
        <w:rPr>
          <w:rFonts w:ascii="Times New Roman" w:hAnsi="Times New Roman" w:cs="Times New Roman"/>
          <w:i/>
          <w:iCs/>
          <w:sz w:val="24"/>
          <w:szCs w:val="24"/>
        </w:rPr>
        <w:t>Marsh</w:t>
      </w:r>
      <w:r w:rsidR="00E07E7C" w:rsidRPr="00E07E7C">
        <w:rPr>
          <w:rFonts w:ascii="Times New Roman" w:hAnsi="Times New Roman" w:cs="Times New Roman"/>
          <w:iCs/>
          <w:sz w:val="24"/>
          <w:szCs w:val="24"/>
        </w:rPr>
        <w:t xml:space="preserve"> precedent even </w:t>
      </w:r>
      <w:r w:rsidR="00E07E7C" w:rsidRPr="00E07E7C">
        <w:rPr>
          <w:rFonts w:ascii="Times New Roman" w:hAnsi="Times New Roman" w:cs="Times New Roman"/>
          <w:iCs/>
          <w:sz w:val="24"/>
          <w:szCs w:val="24"/>
        </w:rPr>
        <w:lastRenderedPageBreak/>
        <w:t>further, the FFRF stated that Chief Justice Burger erred in basing much of his opinion on practices from the Continental Congress and conveniently referring to the lack of prayer at the Constitutional Convention as an “oversight” (</w:t>
      </w:r>
      <w:r w:rsidR="00E07E7C" w:rsidRPr="00E07E7C">
        <w:rPr>
          <w:rFonts w:ascii="Times New Roman" w:hAnsi="Times New Roman" w:cs="Times New Roman"/>
          <w:sz w:val="24"/>
          <w:szCs w:val="24"/>
        </w:rPr>
        <w:t xml:space="preserve">463 U.S. at 824 n.6.). </w:t>
      </w:r>
      <w:r w:rsidR="00E07E7C">
        <w:rPr>
          <w:rFonts w:ascii="Times New Roman" w:hAnsi="Times New Roman" w:cs="Times New Roman"/>
          <w:sz w:val="24"/>
          <w:szCs w:val="24"/>
        </w:rPr>
        <w:t xml:space="preserve">A more accurate depiction of U.S. history, the FFRF argued, would require acknowledgement of the secular principles found in the Constitution. The FFRF’s divergence from the old coalition’s arguments here can once again be traced back to the organization’s </w:t>
      </w:r>
      <w:r w:rsidR="00FB5622">
        <w:rPr>
          <w:rFonts w:ascii="Times New Roman" w:hAnsi="Times New Roman" w:cs="Times New Roman"/>
          <w:sz w:val="24"/>
          <w:szCs w:val="24"/>
        </w:rPr>
        <w:t>desire to highlight what it perceives to be the</w:t>
      </w:r>
      <w:r w:rsidR="00E07E7C">
        <w:rPr>
          <w:rFonts w:ascii="Times New Roman" w:hAnsi="Times New Roman" w:cs="Times New Roman"/>
          <w:sz w:val="24"/>
          <w:szCs w:val="24"/>
        </w:rPr>
        <w:t xml:space="preserve"> secular founding of the United States.</w:t>
      </w:r>
    </w:p>
    <w:p w14:paraId="650BA35A" w14:textId="5C5E0EEE" w:rsidR="00F357A4" w:rsidRDefault="00E07E7C" w:rsidP="00832F5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0A0CA1">
        <w:rPr>
          <w:rFonts w:ascii="Times New Roman" w:hAnsi="Times New Roman" w:cs="Times New Roman"/>
          <w:sz w:val="24"/>
          <w:szCs w:val="24"/>
        </w:rPr>
        <w:t>The</w:t>
      </w:r>
      <w:r w:rsidR="00FF24D0">
        <w:rPr>
          <w:rFonts w:ascii="Times New Roman" w:hAnsi="Times New Roman" w:cs="Times New Roman"/>
          <w:sz w:val="24"/>
          <w:szCs w:val="24"/>
        </w:rPr>
        <w:t xml:space="preserve"> Center for Inquiry </w:t>
      </w:r>
      <w:r w:rsidR="000A0CA1">
        <w:rPr>
          <w:rFonts w:ascii="Times New Roman" w:hAnsi="Times New Roman" w:cs="Times New Roman"/>
          <w:sz w:val="24"/>
          <w:szCs w:val="24"/>
        </w:rPr>
        <w:t xml:space="preserve">also </w:t>
      </w:r>
      <w:r w:rsidR="00E925BF">
        <w:rPr>
          <w:rFonts w:ascii="Times New Roman" w:hAnsi="Times New Roman" w:cs="Times New Roman"/>
          <w:sz w:val="24"/>
          <w:szCs w:val="24"/>
        </w:rPr>
        <w:t>filed a brief joined by several other</w:t>
      </w:r>
      <w:r w:rsidR="00FF24D0">
        <w:rPr>
          <w:rFonts w:ascii="Times New Roman" w:hAnsi="Times New Roman" w:cs="Times New Roman"/>
          <w:sz w:val="24"/>
          <w:szCs w:val="24"/>
        </w:rPr>
        <w:t xml:space="preserve"> humanist </w:t>
      </w:r>
      <w:r w:rsidR="000A0CA1">
        <w:rPr>
          <w:rFonts w:ascii="Times New Roman" w:hAnsi="Times New Roman" w:cs="Times New Roman"/>
          <w:sz w:val="24"/>
          <w:szCs w:val="24"/>
        </w:rPr>
        <w:t xml:space="preserve">and </w:t>
      </w:r>
      <w:r w:rsidR="00FF24D0">
        <w:rPr>
          <w:rFonts w:ascii="Times New Roman" w:hAnsi="Times New Roman" w:cs="Times New Roman"/>
          <w:sz w:val="24"/>
          <w:szCs w:val="24"/>
        </w:rPr>
        <w:t xml:space="preserve">atheist groups that argued for the overturning of </w:t>
      </w:r>
      <w:r w:rsidR="00FF24D0">
        <w:rPr>
          <w:rFonts w:ascii="Times New Roman" w:hAnsi="Times New Roman" w:cs="Times New Roman"/>
          <w:i/>
          <w:sz w:val="24"/>
          <w:szCs w:val="24"/>
        </w:rPr>
        <w:t>Marsh</w:t>
      </w:r>
      <w:r w:rsidR="00FF24D0">
        <w:rPr>
          <w:rFonts w:ascii="Times New Roman" w:hAnsi="Times New Roman" w:cs="Times New Roman"/>
          <w:sz w:val="24"/>
          <w:szCs w:val="24"/>
        </w:rPr>
        <w:t xml:space="preserve"> based on the idea that legislative prayer tends to result in</w:t>
      </w:r>
      <w:r w:rsidR="000B7DB1">
        <w:rPr>
          <w:rFonts w:ascii="Times New Roman" w:hAnsi="Times New Roman" w:cs="Times New Roman"/>
          <w:sz w:val="24"/>
          <w:szCs w:val="24"/>
        </w:rPr>
        <w:t xml:space="preserve"> the ridicule of minority faiths and those without a religious affiliation</w:t>
      </w:r>
      <w:r w:rsidR="000A0CA1">
        <w:rPr>
          <w:rFonts w:ascii="Times New Roman" w:hAnsi="Times New Roman" w:cs="Times New Roman"/>
          <w:sz w:val="24"/>
          <w:szCs w:val="24"/>
        </w:rPr>
        <w:t xml:space="preserve"> (Blatt</w:t>
      </w:r>
      <w:r w:rsidR="00555213">
        <w:rPr>
          <w:rFonts w:ascii="Times New Roman" w:hAnsi="Times New Roman" w:cs="Times New Roman"/>
          <w:sz w:val="24"/>
          <w:szCs w:val="24"/>
        </w:rPr>
        <w:t>,</w:t>
      </w:r>
      <w:r w:rsidR="000A0CA1">
        <w:rPr>
          <w:rFonts w:ascii="Times New Roman" w:hAnsi="Times New Roman" w:cs="Times New Roman"/>
          <w:sz w:val="24"/>
          <w:szCs w:val="24"/>
        </w:rPr>
        <w:t xml:space="preserve"> 2013). Joined in this argument by a brief filed by the Unitarian Universalist Association of Congregations and various minority faith advocacy groups, these organizations referenced the growing numbers that minority faiths and atheist groups have experienced in the last few decades</w:t>
      </w:r>
      <w:r w:rsidR="00E10BC3">
        <w:rPr>
          <w:rFonts w:ascii="Times New Roman" w:hAnsi="Times New Roman" w:cs="Times New Roman"/>
          <w:sz w:val="24"/>
          <w:szCs w:val="24"/>
        </w:rPr>
        <w:t xml:space="preserve"> (</w:t>
      </w:r>
      <w:r w:rsidR="00E10BC3" w:rsidRPr="003D47B0">
        <w:rPr>
          <w:rFonts w:asciiTheme="majorBidi" w:hAnsiTheme="majorBidi" w:cstheme="majorBidi"/>
          <w:sz w:val="24"/>
          <w:szCs w:val="24"/>
        </w:rPr>
        <w:t xml:space="preserve">Maynard &amp; </w:t>
      </w:r>
      <w:proofErr w:type="spellStart"/>
      <w:r w:rsidR="00E10BC3" w:rsidRPr="003D47B0">
        <w:rPr>
          <w:rFonts w:asciiTheme="majorBidi" w:hAnsiTheme="majorBidi" w:cstheme="majorBidi"/>
          <w:sz w:val="24"/>
          <w:szCs w:val="24"/>
        </w:rPr>
        <w:t>Hearron</w:t>
      </w:r>
      <w:proofErr w:type="spellEnd"/>
      <w:r w:rsidR="00555213">
        <w:rPr>
          <w:rFonts w:asciiTheme="majorBidi" w:hAnsiTheme="majorBidi" w:cstheme="majorBidi"/>
          <w:sz w:val="24"/>
          <w:szCs w:val="24"/>
        </w:rPr>
        <w:t>,</w:t>
      </w:r>
      <w:r w:rsidR="00E10BC3" w:rsidRPr="003D47B0">
        <w:rPr>
          <w:rFonts w:asciiTheme="majorBidi" w:hAnsiTheme="majorBidi" w:cstheme="majorBidi"/>
          <w:sz w:val="24"/>
          <w:szCs w:val="24"/>
        </w:rPr>
        <w:t xml:space="preserve"> 2013).</w:t>
      </w:r>
      <w:r w:rsidR="000A0CA1">
        <w:rPr>
          <w:rFonts w:ascii="Times New Roman" w:hAnsi="Times New Roman" w:cs="Times New Roman"/>
          <w:sz w:val="24"/>
          <w:szCs w:val="24"/>
        </w:rPr>
        <w:t xml:space="preserve"> The Center for Inquiry brief in particular cite</w:t>
      </w:r>
      <w:r w:rsidR="00062B01">
        <w:rPr>
          <w:rFonts w:ascii="Times New Roman" w:hAnsi="Times New Roman" w:cs="Times New Roman"/>
          <w:sz w:val="24"/>
          <w:szCs w:val="24"/>
        </w:rPr>
        <w:t>d</w:t>
      </w:r>
      <w:r w:rsidR="000A0CA1">
        <w:rPr>
          <w:rFonts w:ascii="Times New Roman" w:hAnsi="Times New Roman" w:cs="Times New Roman"/>
          <w:sz w:val="24"/>
          <w:szCs w:val="24"/>
        </w:rPr>
        <w:t xml:space="preserve"> statistics that reveal even if the Court could use demographics as a rule of measure in deciding these issues, the United States </w:t>
      </w:r>
      <w:r w:rsidR="00062B01">
        <w:rPr>
          <w:rFonts w:ascii="Times New Roman" w:hAnsi="Times New Roman" w:cs="Times New Roman"/>
          <w:sz w:val="24"/>
          <w:szCs w:val="24"/>
        </w:rPr>
        <w:t>has</w:t>
      </w:r>
      <w:r w:rsidR="000A0CA1">
        <w:rPr>
          <w:rFonts w:ascii="Times New Roman" w:hAnsi="Times New Roman" w:cs="Times New Roman"/>
          <w:sz w:val="24"/>
          <w:szCs w:val="24"/>
        </w:rPr>
        <w:t xml:space="preserve"> increasingly </w:t>
      </w:r>
      <w:r w:rsidR="00062B01">
        <w:rPr>
          <w:rFonts w:ascii="Times New Roman" w:hAnsi="Times New Roman" w:cs="Times New Roman"/>
          <w:sz w:val="24"/>
          <w:szCs w:val="24"/>
        </w:rPr>
        <w:t>become</w:t>
      </w:r>
      <w:r w:rsidR="000A0CA1">
        <w:rPr>
          <w:rFonts w:ascii="Times New Roman" w:hAnsi="Times New Roman" w:cs="Times New Roman"/>
          <w:sz w:val="24"/>
          <w:szCs w:val="24"/>
        </w:rPr>
        <w:t xml:space="preserve"> more heterogeneous in regards to religious affiliation</w:t>
      </w:r>
      <w:r w:rsidR="00B31B3F">
        <w:rPr>
          <w:rFonts w:ascii="Times New Roman" w:hAnsi="Times New Roman" w:cs="Times New Roman"/>
          <w:sz w:val="24"/>
          <w:szCs w:val="24"/>
        </w:rPr>
        <w:t xml:space="preserve"> anyways. </w:t>
      </w:r>
      <w:r w:rsidR="00062B01">
        <w:rPr>
          <w:rFonts w:ascii="Times New Roman" w:hAnsi="Times New Roman" w:cs="Times New Roman"/>
          <w:sz w:val="24"/>
          <w:szCs w:val="24"/>
        </w:rPr>
        <w:t xml:space="preserve">In addition to these claims, both briefs expressed a discomfort with legislative prayer even when it is nonsectarian in practice. The Center for Inquiry’s brief provided </w:t>
      </w:r>
      <w:r w:rsidR="00843F1E">
        <w:rPr>
          <w:rFonts w:ascii="Times New Roman" w:hAnsi="Times New Roman" w:cs="Times New Roman"/>
          <w:sz w:val="24"/>
          <w:szCs w:val="24"/>
        </w:rPr>
        <w:t xml:space="preserve">examples of atheist invocations and Islamic prayers that have been met with harassment, ridicule, and charges of treason (p.5-7). </w:t>
      </w:r>
      <w:r w:rsidR="00041C67">
        <w:rPr>
          <w:rFonts w:ascii="Times New Roman" w:hAnsi="Times New Roman" w:cs="Times New Roman"/>
          <w:sz w:val="24"/>
          <w:szCs w:val="24"/>
        </w:rPr>
        <w:t>For this reason, many members of the new coalition as well as members of minority religious faiths have organized together to oppose the continuation of legislative prayer throughout the country.</w:t>
      </w:r>
    </w:p>
    <w:p w14:paraId="2F02BC01" w14:textId="69F2DA84" w:rsidR="003929B1" w:rsidRDefault="00041C67" w:rsidP="00B26404">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F7607B">
        <w:rPr>
          <w:rFonts w:ascii="Times New Roman" w:hAnsi="Times New Roman" w:cs="Times New Roman"/>
          <w:sz w:val="24"/>
          <w:szCs w:val="24"/>
        </w:rPr>
        <w:t xml:space="preserve">It is no overstatement to say that legislative prayer litigation has presented </w:t>
      </w:r>
      <w:r w:rsidR="001E5E23">
        <w:rPr>
          <w:rFonts w:ascii="Times New Roman" w:hAnsi="Times New Roman" w:cs="Times New Roman"/>
          <w:sz w:val="24"/>
          <w:szCs w:val="24"/>
        </w:rPr>
        <w:t>separationist</w:t>
      </w:r>
      <w:r w:rsidR="00F7607B">
        <w:rPr>
          <w:rFonts w:ascii="Times New Roman" w:hAnsi="Times New Roman" w:cs="Times New Roman"/>
          <w:sz w:val="24"/>
          <w:szCs w:val="24"/>
        </w:rPr>
        <w:t xml:space="preserve"> organizations one of their most severe challenges to organizing as a unified front. Whereas </w:t>
      </w:r>
      <w:r w:rsidR="00B26404">
        <w:rPr>
          <w:rFonts w:ascii="Times New Roman" w:hAnsi="Times New Roman" w:cs="Times New Roman"/>
          <w:sz w:val="24"/>
          <w:szCs w:val="24"/>
        </w:rPr>
        <w:t>New</w:t>
      </w:r>
      <w:r w:rsidR="00F7607B">
        <w:rPr>
          <w:rFonts w:ascii="Times New Roman" w:hAnsi="Times New Roman" w:cs="Times New Roman"/>
          <w:sz w:val="24"/>
          <w:szCs w:val="24"/>
        </w:rPr>
        <w:t xml:space="preserve"> Right groups such as the ACLJ, the Beckett Fund for Religious Liberty, and the American Civil Rights Union among others have presented a coherent and </w:t>
      </w:r>
      <w:r w:rsidR="009F4823">
        <w:rPr>
          <w:rFonts w:ascii="Times New Roman" w:hAnsi="Times New Roman" w:cs="Times New Roman"/>
          <w:sz w:val="24"/>
          <w:szCs w:val="24"/>
        </w:rPr>
        <w:t xml:space="preserve">unified argument in favor of the </w:t>
      </w:r>
      <w:r w:rsidR="009F4823">
        <w:rPr>
          <w:rFonts w:ascii="Times New Roman" w:hAnsi="Times New Roman" w:cs="Times New Roman"/>
          <w:i/>
          <w:sz w:val="24"/>
          <w:szCs w:val="24"/>
        </w:rPr>
        <w:t xml:space="preserve">Marsh </w:t>
      </w:r>
      <w:r w:rsidR="009F4823">
        <w:rPr>
          <w:rFonts w:ascii="Times New Roman" w:hAnsi="Times New Roman" w:cs="Times New Roman"/>
          <w:sz w:val="24"/>
          <w:szCs w:val="24"/>
        </w:rPr>
        <w:t>precedent</w:t>
      </w:r>
      <w:r w:rsidR="00F7607B">
        <w:rPr>
          <w:rFonts w:ascii="Times New Roman" w:hAnsi="Times New Roman" w:cs="Times New Roman"/>
          <w:sz w:val="24"/>
          <w:szCs w:val="24"/>
        </w:rPr>
        <w:t xml:space="preserve">, the two coalitions have been sharply divided over what the establishment clause requires. </w:t>
      </w:r>
      <w:r w:rsidR="00300CA1">
        <w:rPr>
          <w:rFonts w:ascii="Times New Roman" w:hAnsi="Times New Roman" w:cs="Times New Roman"/>
          <w:sz w:val="24"/>
          <w:szCs w:val="24"/>
        </w:rPr>
        <w:t>It is true that the AU and the ACLU have been careful to articulate a strictly nonsectarian position that seeks to offend their own members as well as the Christian majority in the United States as little as possible.</w:t>
      </w:r>
      <w:r w:rsidR="003929B1">
        <w:rPr>
          <w:rFonts w:ascii="Times New Roman" w:hAnsi="Times New Roman" w:cs="Times New Roman"/>
          <w:sz w:val="24"/>
          <w:szCs w:val="24"/>
        </w:rPr>
        <w:t xml:space="preserve"> In taking this approach, the old coalition has expressed its commitment to a pluralism and neutrality that will allow religious and areligious minorities a seat at the table of legislative prayer.</w:t>
      </w:r>
    </w:p>
    <w:p w14:paraId="0A869ED9" w14:textId="7F9CE0BD" w:rsidR="00041C67" w:rsidRDefault="00300CA1" w:rsidP="0091019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At the same time, the new coalition </w:t>
      </w:r>
      <w:r w:rsidR="00F24BE1">
        <w:rPr>
          <w:rFonts w:ascii="Times New Roman" w:hAnsi="Times New Roman" w:cs="Times New Roman"/>
          <w:sz w:val="24"/>
          <w:szCs w:val="24"/>
        </w:rPr>
        <w:t xml:space="preserve">is less interested in finding an accommodating solution and more invested in shaping doctrine in a more pluralistic manner. </w:t>
      </w:r>
      <w:r w:rsidR="003929B1">
        <w:rPr>
          <w:rFonts w:ascii="Times New Roman" w:hAnsi="Times New Roman" w:cs="Times New Roman"/>
          <w:sz w:val="24"/>
          <w:szCs w:val="24"/>
        </w:rPr>
        <w:t xml:space="preserve">Groups like the FFRF and the SCA expressed outrage with the opinion in </w:t>
      </w:r>
      <w:r w:rsidR="003929B1">
        <w:rPr>
          <w:rFonts w:ascii="Times New Roman" w:hAnsi="Times New Roman" w:cs="Times New Roman"/>
          <w:i/>
          <w:sz w:val="24"/>
          <w:szCs w:val="24"/>
        </w:rPr>
        <w:t>Town of Greece</w:t>
      </w:r>
      <w:r w:rsidR="003929B1">
        <w:rPr>
          <w:rFonts w:ascii="Times New Roman" w:hAnsi="Times New Roman" w:cs="Times New Roman"/>
          <w:sz w:val="24"/>
          <w:szCs w:val="24"/>
        </w:rPr>
        <w:t xml:space="preserve"> and immediately began working on campaigns against the decision. In the days following the decision, the FFRF established the new annual “Nothing Fails </w:t>
      </w:r>
      <w:proofErr w:type="gramStart"/>
      <w:r w:rsidR="003929B1">
        <w:rPr>
          <w:rFonts w:ascii="Times New Roman" w:hAnsi="Times New Roman" w:cs="Times New Roman"/>
          <w:sz w:val="24"/>
          <w:szCs w:val="24"/>
        </w:rPr>
        <w:t>Like</w:t>
      </w:r>
      <w:proofErr w:type="gramEnd"/>
      <w:r w:rsidR="003929B1">
        <w:rPr>
          <w:rFonts w:ascii="Times New Roman" w:hAnsi="Times New Roman" w:cs="Times New Roman"/>
          <w:sz w:val="24"/>
          <w:szCs w:val="24"/>
        </w:rPr>
        <w:t xml:space="preserve"> Prayer Award” to be bestowed upon the best secular invocation at a legislative session captured on film (Freedom From Religion Foundation, 2014</w:t>
      </w:r>
      <w:r w:rsidR="00F61543">
        <w:rPr>
          <w:rFonts w:ascii="Times New Roman" w:hAnsi="Times New Roman" w:cs="Times New Roman"/>
          <w:sz w:val="24"/>
          <w:szCs w:val="24"/>
        </w:rPr>
        <w:t>c</w:t>
      </w:r>
      <w:r w:rsidR="003929B1">
        <w:rPr>
          <w:rFonts w:ascii="Times New Roman" w:hAnsi="Times New Roman" w:cs="Times New Roman"/>
          <w:sz w:val="24"/>
          <w:szCs w:val="24"/>
        </w:rPr>
        <w:t xml:space="preserve">). </w:t>
      </w:r>
      <w:r w:rsidR="005F7D18">
        <w:rPr>
          <w:rFonts w:ascii="Times New Roman" w:hAnsi="Times New Roman" w:cs="Times New Roman"/>
          <w:sz w:val="24"/>
          <w:szCs w:val="24"/>
        </w:rPr>
        <w:t>The Secular Coalition for America also responded to the decision, citing its previous statements that any form of prayer recited during the proceedings of a democratic institution served to undermine civic participation (Youngblood, 2015).</w:t>
      </w:r>
      <w:r w:rsidR="0091019B">
        <w:rPr>
          <w:rFonts w:ascii="Times New Roman" w:hAnsi="Times New Roman" w:cs="Times New Roman"/>
          <w:sz w:val="24"/>
          <w:szCs w:val="24"/>
        </w:rPr>
        <w:t xml:space="preserve"> </w:t>
      </w:r>
      <w:r w:rsidR="00F24BE1">
        <w:rPr>
          <w:rFonts w:ascii="Times New Roman" w:hAnsi="Times New Roman" w:cs="Times New Roman"/>
          <w:sz w:val="24"/>
          <w:szCs w:val="24"/>
        </w:rPr>
        <w:t xml:space="preserve">Unfortunately for these groups, asking the Court to overturn </w:t>
      </w:r>
      <w:r w:rsidR="00F24BE1">
        <w:rPr>
          <w:rFonts w:ascii="Times New Roman" w:hAnsi="Times New Roman" w:cs="Times New Roman"/>
          <w:i/>
          <w:sz w:val="24"/>
          <w:szCs w:val="24"/>
        </w:rPr>
        <w:t>Marsh</w:t>
      </w:r>
      <w:r w:rsidR="00F24BE1">
        <w:rPr>
          <w:rFonts w:ascii="Times New Roman" w:hAnsi="Times New Roman" w:cs="Times New Roman"/>
          <w:sz w:val="24"/>
          <w:szCs w:val="24"/>
        </w:rPr>
        <w:t xml:space="preserve"> appears to be far from the most efficient or strategic position any organization has taken regarding </w:t>
      </w:r>
      <w:r w:rsidR="00B26404">
        <w:rPr>
          <w:rFonts w:ascii="Times New Roman" w:hAnsi="Times New Roman" w:cs="Times New Roman"/>
          <w:i/>
          <w:sz w:val="24"/>
          <w:szCs w:val="24"/>
        </w:rPr>
        <w:t>T</w:t>
      </w:r>
      <w:r w:rsidR="00F24BE1">
        <w:rPr>
          <w:rFonts w:ascii="Times New Roman" w:hAnsi="Times New Roman" w:cs="Times New Roman"/>
          <w:i/>
          <w:sz w:val="24"/>
          <w:szCs w:val="24"/>
        </w:rPr>
        <w:t>own of Greece</w:t>
      </w:r>
      <w:r w:rsidR="0091019B">
        <w:rPr>
          <w:rFonts w:ascii="Times New Roman" w:hAnsi="Times New Roman" w:cs="Times New Roman"/>
          <w:sz w:val="24"/>
          <w:szCs w:val="24"/>
        </w:rPr>
        <w:t xml:space="preserve"> and clashes like these over legislative prayer promise to continue into the future.</w:t>
      </w:r>
    </w:p>
    <w:p w14:paraId="69889491" w14:textId="77777777" w:rsidR="004C7438" w:rsidRDefault="004C7438" w:rsidP="004C7438">
      <w:pPr>
        <w:spacing w:line="240" w:lineRule="auto"/>
        <w:rPr>
          <w:rFonts w:ascii="Times New Roman" w:hAnsi="Times New Roman" w:cs="Times New Roman"/>
          <w:sz w:val="24"/>
          <w:szCs w:val="24"/>
        </w:rPr>
      </w:pPr>
    </w:p>
    <w:p w14:paraId="774D5C27" w14:textId="77777777" w:rsidR="00264CF2" w:rsidRDefault="00264CF2" w:rsidP="00264CF2">
      <w:pPr>
        <w:spacing w:line="480" w:lineRule="auto"/>
        <w:contextualSpacing/>
        <w:rPr>
          <w:rFonts w:ascii="Times New Roman" w:hAnsi="Times New Roman" w:cs="Times New Roman"/>
          <w:sz w:val="24"/>
          <w:szCs w:val="24"/>
        </w:rPr>
      </w:pPr>
      <w:r>
        <w:rPr>
          <w:rFonts w:ascii="Times New Roman" w:hAnsi="Times New Roman" w:cs="Times New Roman"/>
          <w:i/>
          <w:sz w:val="24"/>
          <w:szCs w:val="24"/>
        </w:rPr>
        <w:t>Differing Views Concerning the Ministerial Exception</w:t>
      </w:r>
    </w:p>
    <w:p w14:paraId="6DD53023" w14:textId="77777777" w:rsidR="00264CF2" w:rsidRDefault="00264CF2" w:rsidP="00264CF2">
      <w:pPr>
        <w:spacing w:line="480" w:lineRule="auto"/>
        <w:contextualSpacing/>
        <w:rPr>
          <w:rFonts w:asciiTheme="majorBidi" w:hAnsiTheme="majorBidi" w:cstheme="majorBidi"/>
          <w:iCs/>
          <w:sz w:val="24"/>
          <w:szCs w:val="24"/>
        </w:rPr>
      </w:pPr>
      <w:r w:rsidRPr="00152A5C">
        <w:rPr>
          <w:rFonts w:ascii="Times New Roman" w:hAnsi="Times New Roman" w:cs="Times New Roman"/>
          <w:sz w:val="24"/>
          <w:szCs w:val="24"/>
        </w:rPr>
        <w:lastRenderedPageBreak/>
        <w:tab/>
        <w:t xml:space="preserve">In a 2012 case </w:t>
      </w:r>
      <w:r>
        <w:rPr>
          <w:rFonts w:ascii="Times New Roman" w:hAnsi="Times New Roman" w:cs="Times New Roman"/>
          <w:sz w:val="24"/>
          <w:szCs w:val="24"/>
        </w:rPr>
        <w:t>which</w:t>
      </w:r>
      <w:r w:rsidRPr="00152A5C">
        <w:rPr>
          <w:rFonts w:ascii="Times New Roman" w:hAnsi="Times New Roman" w:cs="Times New Roman"/>
          <w:sz w:val="24"/>
          <w:szCs w:val="24"/>
        </w:rPr>
        <w:t xml:space="preserve"> the ACLU </w:t>
      </w:r>
      <w:r>
        <w:rPr>
          <w:rFonts w:ascii="Times New Roman" w:hAnsi="Times New Roman" w:cs="Times New Roman"/>
          <w:sz w:val="24"/>
          <w:szCs w:val="24"/>
        </w:rPr>
        <w:t xml:space="preserve">described </w:t>
      </w:r>
      <w:r w:rsidRPr="00152A5C">
        <w:rPr>
          <w:rFonts w:ascii="Times New Roman" w:hAnsi="Times New Roman" w:cs="Times New Roman"/>
          <w:sz w:val="24"/>
          <w:szCs w:val="24"/>
        </w:rPr>
        <w:t xml:space="preserve">as one of the most important religious liberty cases of the era, the Supreme Court decided in </w:t>
      </w:r>
      <w:r w:rsidRPr="00152A5C">
        <w:rPr>
          <w:rFonts w:ascii="Times New Roman" w:hAnsi="Times New Roman" w:cs="Times New Roman"/>
          <w:i/>
          <w:sz w:val="24"/>
          <w:szCs w:val="24"/>
        </w:rPr>
        <w:t>Hosanna-Tabor Evangelical Lutheran Church and School v. Equal Employment</w:t>
      </w:r>
      <w:r>
        <w:rPr>
          <w:rFonts w:ascii="Times New Roman" w:hAnsi="Times New Roman" w:cs="Times New Roman"/>
          <w:i/>
          <w:sz w:val="24"/>
          <w:szCs w:val="24"/>
        </w:rPr>
        <w:t xml:space="preserve"> Opportunity </w:t>
      </w:r>
      <w:r w:rsidRPr="00152A5C">
        <w:rPr>
          <w:rFonts w:ascii="Times New Roman" w:hAnsi="Times New Roman" w:cs="Times New Roman"/>
          <w:i/>
          <w:sz w:val="24"/>
          <w:szCs w:val="24"/>
        </w:rPr>
        <w:t>Commission</w:t>
      </w:r>
      <w:r w:rsidRPr="00152A5C">
        <w:rPr>
          <w:rFonts w:ascii="Times New Roman" w:hAnsi="Times New Roman" w:cs="Times New Roman"/>
          <w:sz w:val="24"/>
          <w:szCs w:val="24"/>
        </w:rPr>
        <w:t>, 565 U.S.</w:t>
      </w:r>
      <w:r w:rsidRPr="00152A5C">
        <w:rPr>
          <w:rFonts w:ascii="Times New Roman" w:hAnsi="Times New Roman" w:cs="Times New Roman"/>
          <w:sz w:val="21"/>
          <w:szCs w:val="21"/>
          <w:shd w:val="clear" w:color="auto" w:fill="FFFFFF"/>
        </w:rPr>
        <w:t>___</w:t>
      </w:r>
      <w:r w:rsidRPr="00152A5C">
        <w:rPr>
          <w:rFonts w:ascii="Times New Roman" w:hAnsi="Times New Roman" w:cs="Times New Roman"/>
          <w:sz w:val="24"/>
          <w:szCs w:val="24"/>
        </w:rPr>
        <w:t xml:space="preserve"> (</w:t>
      </w:r>
      <w:r>
        <w:rPr>
          <w:rFonts w:ascii="Times New Roman" w:hAnsi="Times New Roman" w:cs="Times New Roman"/>
          <w:sz w:val="24"/>
          <w:szCs w:val="24"/>
        </w:rPr>
        <w:t>2012) to expand its ministerial exception doctrine (American Civil Liberties Union, 2012). Citing the need to protect churches from excessive entanglement with the government, the Court held that the</w:t>
      </w:r>
      <w:r w:rsidRPr="00AD1047">
        <w:rPr>
          <w:rFonts w:ascii="Times New Roman" w:hAnsi="Times New Roman" w:cs="Times New Roman"/>
          <w:sz w:val="24"/>
          <w:szCs w:val="24"/>
        </w:rPr>
        <w:t xml:space="preserve"> Establishment and Free Exercise Clauses of the First Amendment </w:t>
      </w:r>
      <w:r>
        <w:rPr>
          <w:rFonts w:ascii="Times New Roman" w:hAnsi="Times New Roman" w:cs="Times New Roman"/>
          <w:sz w:val="24"/>
          <w:szCs w:val="24"/>
        </w:rPr>
        <w:t>prohibited employment discrimination</w:t>
      </w:r>
      <w:r w:rsidRPr="00AD1047">
        <w:rPr>
          <w:rFonts w:ascii="Times New Roman" w:hAnsi="Times New Roman" w:cs="Times New Roman"/>
          <w:sz w:val="24"/>
          <w:szCs w:val="24"/>
        </w:rPr>
        <w:t xml:space="preserve"> suits brought on behalf of ministers against their churches, </w:t>
      </w:r>
      <w:r>
        <w:rPr>
          <w:rFonts w:ascii="Times New Roman" w:hAnsi="Times New Roman" w:cs="Times New Roman"/>
          <w:sz w:val="24"/>
          <w:szCs w:val="24"/>
        </w:rPr>
        <w:t xml:space="preserve">specifically in this case a suit brought by a parochial school teacher claiming that her termination was a violation of the Americans with Disabilities Act. The AU and the ACLU—joined by the National Council of Jewish Women, the Sikh Council on Religion and Education, and the Unitarian Universalist Association—filed an </w:t>
      </w:r>
      <w:r>
        <w:rPr>
          <w:rFonts w:ascii="Times New Roman" w:hAnsi="Times New Roman" w:cs="Times New Roman"/>
          <w:i/>
          <w:sz w:val="24"/>
          <w:szCs w:val="24"/>
        </w:rPr>
        <w:t>amicus</w:t>
      </w:r>
      <w:r>
        <w:rPr>
          <w:rFonts w:ascii="Times New Roman" w:hAnsi="Times New Roman" w:cs="Times New Roman"/>
          <w:sz w:val="24"/>
          <w:szCs w:val="24"/>
        </w:rPr>
        <w:t xml:space="preserve"> brief that simultaneously supported the plaintiff Cheryl </w:t>
      </w:r>
      <w:proofErr w:type="spellStart"/>
      <w:r>
        <w:rPr>
          <w:rFonts w:ascii="Times New Roman" w:hAnsi="Times New Roman" w:cs="Times New Roman"/>
          <w:sz w:val="24"/>
          <w:szCs w:val="24"/>
        </w:rPr>
        <w:t>Perich’s</w:t>
      </w:r>
      <w:proofErr w:type="spellEnd"/>
      <w:r>
        <w:rPr>
          <w:rFonts w:ascii="Times New Roman" w:hAnsi="Times New Roman" w:cs="Times New Roman"/>
          <w:sz w:val="24"/>
          <w:szCs w:val="24"/>
        </w:rPr>
        <w:t xml:space="preserve"> suit for unlawful termination (she claimed to have been fired due to her narcolepsy) while also arguing for the necessity of the ministerial exception in principle. While these groups believed that </w:t>
      </w:r>
      <w:proofErr w:type="spellStart"/>
      <w:r>
        <w:rPr>
          <w:rFonts w:ascii="Times New Roman" w:hAnsi="Times New Roman" w:cs="Times New Roman"/>
          <w:sz w:val="24"/>
          <w:szCs w:val="24"/>
        </w:rPr>
        <w:t>Perich</w:t>
      </w:r>
      <w:proofErr w:type="spellEnd"/>
      <w:r>
        <w:rPr>
          <w:rFonts w:ascii="Times New Roman" w:hAnsi="Times New Roman" w:cs="Times New Roman"/>
          <w:sz w:val="24"/>
          <w:szCs w:val="24"/>
        </w:rPr>
        <w:t xml:space="preserve"> had been fired for reasons not required by the </w:t>
      </w:r>
      <w:r w:rsidRPr="00C214B6">
        <w:rPr>
          <w:rFonts w:ascii="Times New Roman" w:hAnsi="Times New Roman" w:cs="Times New Roman"/>
          <w:sz w:val="24"/>
          <w:szCs w:val="24"/>
        </w:rPr>
        <w:t>Evangelical Lutheran Church</w:t>
      </w:r>
      <w:r>
        <w:rPr>
          <w:rFonts w:ascii="Times New Roman" w:hAnsi="Times New Roman" w:cs="Times New Roman"/>
          <w:sz w:val="24"/>
          <w:szCs w:val="24"/>
        </w:rPr>
        <w:t xml:space="preserve">, they stated that the </w:t>
      </w:r>
      <w:r>
        <w:rPr>
          <w:rFonts w:asciiTheme="majorBidi" w:hAnsiTheme="majorBidi" w:cstheme="majorBidi"/>
          <w:iCs/>
          <w:sz w:val="24"/>
          <w:szCs w:val="24"/>
        </w:rPr>
        <w:t>ministerial exception is a “reasonable accommodation to ease burdens on the practice of religion” and “preserves the independence of American religious communities” (Shapiro et al., 2011, p.3).</w:t>
      </w:r>
    </w:p>
    <w:p w14:paraId="26A4A52E" w14:textId="77777777" w:rsidR="00264CF2" w:rsidRDefault="00264CF2" w:rsidP="00264CF2">
      <w:pPr>
        <w:spacing w:line="480" w:lineRule="auto"/>
        <w:ind w:firstLine="720"/>
        <w:contextualSpacing/>
        <w:rPr>
          <w:rFonts w:asciiTheme="majorBidi" w:hAnsiTheme="majorBidi" w:cstheme="majorBidi"/>
          <w:iCs/>
          <w:sz w:val="24"/>
          <w:szCs w:val="24"/>
        </w:rPr>
      </w:pPr>
      <w:r>
        <w:rPr>
          <w:rFonts w:asciiTheme="majorBidi" w:hAnsiTheme="majorBidi" w:cstheme="majorBidi"/>
          <w:iCs/>
          <w:sz w:val="24"/>
          <w:szCs w:val="24"/>
        </w:rPr>
        <w:t xml:space="preserve">Due to the AU and the ACLU’s long tradition of arguing against the ability of the courts or other political bodies to judge what a particular religious belief demands of a person, this brief contained an extended discussion on what kinds of pretextual discretion courts have in applying the ministerial exception. They argued that while pretextual considerations would involve determining whether or not an action taken by a religious institution was related to their beliefs or merely an improper justification for discrimination, courts were equipped to make these kinds </w:t>
      </w:r>
      <w:r>
        <w:rPr>
          <w:rFonts w:asciiTheme="majorBidi" w:hAnsiTheme="majorBidi" w:cstheme="majorBidi"/>
          <w:iCs/>
          <w:sz w:val="24"/>
          <w:szCs w:val="24"/>
        </w:rPr>
        <w:lastRenderedPageBreak/>
        <w:t>of judgments—except in cases where such consideration would be “improper” and too intertwined with the interpretation of particular church doctrine (p.4).</w:t>
      </w:r>
      <w:r>
        <w:rPr>
          <w:rStyle w:val="FootnoteReference"/>
          <w:rFonts w:asciiTheme="majorBidi" w:hAnsiTheme="majorBidi" w:cstheme="majorBidi"/>
          <w:iCs/>
          <w:sz w:val="24"/>
          <w:szCs w:val="24"/>
        </w:rPr>
        <w:footnoteReference w:id="22"/>
      </w:r>
      <w:r>
        <w:rPr>
          <w:rFonts w:asciiTheme="majorBidi" w:hAnsiTheme="majorBidi" w:cstheme="majorBidi"/>
          <w:iCs/>
          <w:sz w:val="24"/>
          <w:szCs w:val="24"/>
        </w:rPr>
        <w:t xml:space="preserve"> Once again, these arguments serve as an example of the old coalition’s desire to protect both the integrity of the government and religious organizations by ensuring that neither corrupt nor interfere with one another. In this pluralistic vision, diverse religious institutions are able to hire and fire employees based on their adherence to fundamental religious doctrines without the state unduly regulating the staffing of their clergy and religious instructors.</w:t>
      </w:r>
    </w:p>
    <w:p w14:paraId="15618FEF" w14:textId="77777777" w:rsidR="00264CF2" w:rsidRDefault="00264CF2" w:rsidP="00264CF2">
      <w:pPr>
        <w:spacing w:line="480" w:lineRule="auto"/>
        <w:contextualSpacing/>
        <w:rPr>
          <w:rFonts w:asciiTheme="majorBidi" w:hAnsiTheme="majorBidi" w:cstheme="majorBidi"/>
          <w:iCs/>
          <w:sz w:val="24"/>
          <w:szCs w:val="24"/>
        </w:rPr>
      </w:pPr>
      <w:r>
        <w:rPr>
          <w:rFonts w:asciiTheme="majorBidi" w:hAnsiTheme="majorBidi" w:cstheme="majorBidi"/>
          <w:iCs/>
          <w:sz w:val="24"/>
          <w:szCs w:val="24"/>
        </w:rPr>
        <w:tab/>
        <w:t>Whereas the old coalition supported a narrow version of the ministerial exception, the new coalition vehemently opposed it in principle. A brief filed by the American Humanist Association, the American Atheists, the American Ethical Union, the Atheist Alliance of American, the Military Association of Atheists and Freethinkers, the Secular Student Alliance, and the Society for Humanistic Judaism stated that the exception was based in discrimination and was, therefore, antithetical to the 14</w:t>
      </w:r>
      <w:r w:rsidRPr="00D25B0C">
        <w:rPr>
          <w:rFonts w:asciiTheme="majorBidi" w:hAnsiTheme="majorBidi" w:cstheme="majorBidi"/>
          <w:iCs/>
          <w:sz w:val="24"/>
          <w:szCs w:val="24"/>
          <w:vertAlign w:val="superscript"/>
        </w:rPr>
        <w:t>th</w:t>
      </w:r>
      <w:r>
        <w:rPr>
          <w:rFonts w:asciiTheme="majorBidi" w:hAnsiTheme="majorBidi" w:cstheme="majorBidi"/>
          <w:iCs/>
          <w:sz w:val="24"/>
          <w:szCs w:val="24"/>
        </w:rPr>
        <w:t xml:space="preserve"> Amendment’s protections regarding citizenship and equality for secular, and—because this case concerned the ADA in particular—disabled Americans alike (Burgess &amp; </w:t>
      </w:r>
      <w:proofErr w:type="spellStart"/>
      <w:r>
        <w:rPr>
          <w:rFonts w:asciiTheme="majorBidi" w:hAnsiTheme="majorBidi" w:cstheme="majorBidi"/>
          <w:iCs/>
          <w:sz w:val="24"/>
          <w:szCs w:val="24"/>
        </w:rPr>
        <w:t>Hileman</w:t>
      </w:r>
      <w:proofErr w:type="spellEnd"/>
      <w:r>
        <w:rPr>
          <w:rFonts w:asciiTheme="majorBidi" w:hAnsiTheme="majorBidi" w:cstheme="majorBidi"/>
          <w:iCs/>
          <w:sz w:val="24"/>
          <w:szCs w:val="24"/>
        </w:rPr>
        <w:t>, 2011). The new coalition here argued that the ministerial exception “</w:t>
      </w:r>
      <w:proofErr w:type="spellStart"/>
      <w:r>
        <w:rPr>
          <w:rFonts w:asciiTheme="majorBidi" w:hAnsiTheme="majorBidi" w:cstheme="majorBidi"/>
          <w:iCs/>
          <w:sz w:val="24"/>
          <w:szCs w:val="24"/>
        </w:rPr>
        <w:t>slamm</w:t>
      </w:r>
      <w:proofErr w:type="spellEnd"/>
      <w:r>
        <w:rPr>
          <w:rFonts w:asciiTheme="majorBidi" w:hAnsiTheme="majorBidi" w:cstheme="majorBidi"/>
          <w:iCs/>
          <w:sz w:val="24"/>
          <w:szCs w:val="24"/>
        </w:rPr>
        <w:t>[</w:t>
      </w:r>
      <w:proofErr w:type="spellStart"/>
      <w:r>
        <w:rPr>
          <w:rFonts w:asciiTheme="majorBidi" w:hAnsiTheme="majorBidi" w:cstheme="majorBidi"/>
          <w:iCs/>
          <w:sz w:val="24"/>
          <w:szCs w:val="24"/>
        </w:rPr>
        <w:t>ed</w:t>
      </w:r>
      <w:proofErr w:type="spellEnd"/>
      <w:r>
        <w:rPr>
          <w:rFonts w:asciiTheme="majorBidi" w:hAnsiTheme="majorBidi" w:cstheme="majorBidi"/>
          <w:iCs/>
          <w:sz w:val="24"/>
          <w:szCs w:val="24"/>
        </w:rPr>
        <w:t>] the courthouse door in the face of victims of illegal discrimination in employment” (p.7). Challenging the “judicial creation” of the ministerial exception, this brief referenced the legacy of the Civil War, slavery, and the equal protection clause to claim that any doctrine allowing a particular group to engage in discrimination must be inherently discriminatory (p.27-8).</w:t>
      </w:r>
    </w:p>
    <w:p w14:paraId="5ADB7C78" w14:textId="77777777" w:rsidR="00264CF2" w:rsidRDefault="00264CF2" w:rsidP="00264CF2">
      <w:pPr>
        <w:spacing w:line="480" w:lineRule="auto"/>
        <w:ind w:firstLine="720"/>
        <w:contextualSpacing/>
        <w:rPr>
          <w:rFonts w:asciiTheme="majorBidi" w:hAnsiTheme="majorBidi" w:cstheme="majorBidi"/>
          <w:iCs/>
          <w:sz w:val="24"/>
          <w:szCs w:val="24"/>
        </w:rPr>
      </w:pPr>
      <w:r>
        <w:rPr>
          <w:rFonts w:asciiTheme="majorBidi" w:hAnsiTheme="majorBidi" w:cstheme="majorBidi"/>
          <w:iCs/>
          <w:sz w:val="24"/>
          <w:szCs w:val="24"/>
        </w:rPr>
        <w:t xml:space="preserve">Regarding past judicial precedent, these groups argued against lower court opinions that interpreted the </w:t>
      </w:r>
      <w:r>
        <w:rPr>
          <w:rFonts w:asciiTheme="majorBidi" w:hAnsiTheme="majorBidi" w:cstheme="majorBidi"/>
          <w:i/>
          <w:iCs/>
          <w:sz w:val="24"/>
          <w:szCs w:val="24"/>
        </w:rPr>
        <w:t>Lemon</w:t>
      </w:r>
      <w:r>
        <w:rPr>
          <w:rFonts w:asciiTheme="majorBidi" w:hAnsiTheme="majorBidi" w:cstheme="majorBidi"/>
          <w:iCs/>
          <w:sz w:val="24"/>
          <w:szCs w:val="24"/>
        </w:rPr>
        <w:t xml:space="preserve"> test from </w:t>
      </w:r>
      <w:r w:rsidRPr="009D6E6F">
        <w:rPr>
          <w:rFonts w:asciiTheme="majorBidi" w:hAnsiTheme="majorBidi" w:cstheme="majorBidi"/>
          <w:i/>
          <w:iCs/>
          <w:sz w:val="24"/>
          <w:szCs w:val="24"/>
        </w:rPr>
        <w:t>Lemon v. Kurtzman</w:t>
      </w:r>
      <w:r w:rsidRPr="009D6E6F">
        <w:rPr>
          <w:rFonts w:asciiTheme="majorBidi" w:hAnsiTheme="majorBidi" w:cstheme="majorBidi"/>
          <w:iCs/>
          <w:sz w:val="24"/>
          <w:szCs w:val="24"/>
        </w:rPr>
        <w:t>, 403 U.S. 602 (1971)</w:t>
      </w:r>
      <w:r>
        <w:rPr>
          <w:rFonts w:asciiTheme="majorBidi" w:hAnsiTheme="majorBidi" w:cstheme="majorBidi"/>
          <w:iCs/>
          <w:sz w:val="24"/>
          <w:szCs w:val="24"/>
        </w:rPr>
        <w:t xml:space="preserve"> as requiring the </w:t>
      </w:r>
      <w:r>
        <w:rPr>
          <w:rFonts w:asciiTheme="majorBidi" w:hAnsiTheme="majorBidi" w:cstheme="majorBidi"/>
          <w:iCs/>
          <w:sz w:val="24"/>
          <w:szCs w:val="24"/>
        </w:rPr>
        <w:lastRenderedPageBreak/>
        <w:t xml:space="preserve">creation of the ministerial exception as wholly inconsistent with the Court’s approach to the Establishment clause (p.17). In interpreting the third-prong of the test that prohibits an “excessive entanglement” between church and state, the brief states that: </w:t>
      </w:r>
    </w:p>
    <w:p w14:paraId="3142EDB9" w14:textId="77777777" w:rsidR="00264CF2" w:rsidRDefault="00264CF2" w:rsidP="00264CF2">
      <w:pPr>
        <w:spacing w:line="480" w:lineRule="auto"/>
        <w:ind w:firstLine="720"/>
        <w:contextualSpacing/>
        <w:rPr>
          <w:rFonts w:asciiTheme="majorBidi" w:hAnsiTheme="majorBidi" w:cstheme="majorBidi"/>
          <w:iCs/>
          <w:sz w:val="24"/>
          <w:szCs w:val="24"/>
        </w:rPr>
      </w:pPr>
    </w:p>
    <w:p w14:paraId="6FA69BC9" w14:textId="77777777" w:rsidR="00264CF2" w:rsidRDefault="00264CF2" w:rsidP="00264CF2">
      <w:pPr>
        <w:spacing w:line="240" w:lineRule="auto"/>
        <w:ind w:left="720"/>
        <w:contextualSpacing/>
        <w:rPr>
          <w:rFonts w:asciiTheme="majorBidi" w:hAnsiTheme="majorBidi" w:cstheme="majorBidi"/>
          <w:iCs/>
          <w:sz w:val="24"/>
          <w:szCs w:val="24"/>
        </w:rPr>
      </w:pPr>
      <w:r>
        <w:rPr>
          <w:rFonts w:asciiTheme="majorBidi" w:hAnsiTheme="majorBidi" w:cstheme="majorBidi"/>
          <w:iCs/>
          <w:sz w:val="24"/>
          <w:szCs w:val="24"/>
        </w:rPr>
        <w:t>“[</w:t>
      </w:r>
      <w:proofErr w:type="gramStart"/>
      <w:r>
        <w:rPr>
          <w:rFonts w:asciiTheme="majorBidi" w:hAnsiTheme="majorBidi" w:cstheme="majorBidi"/>
          <w:iCs/>
          <w:sz w:val="24"/>
          <w:szCs w:val="24"/>
        </w:rPr>
        <w:t>T[</w:t>
      </w:r>
      <w:proofErr w:type="gramEnd"/>
      <w:r w:rsidRPr="009D6E6F">
        <w:rPr>
          <w:rFonts w:asciiTheme="majorBidi" w:hAnsiTheme="majorBidi" w:cstheme="majorBidi"/>
          <w:iCs/>
          <w:sz w:val="24"/>
          <w:szCs w:val="24"/>
        </w:rPr>
        <w:t>his Court has made clear that “excessive entanglement” is something more than a single, discrete instance of state involvement in the affairs of a religious organization. It is instead a “comprehensive, discriminating, and continuing state surveillance” amounting to an “enduring</w:t>
      </w:r>
      <w:r>
        <w:rPr>
          <w:rFonts w:asciiTheme="majorBidi" w:hAnsiTheme="majorBidi" w:cstheme="majorBidi"/>
          <w:iCs/>
          <w:sz w:val="24"/>
          <w:szCs w:val="24"/>
        </w:rPr>
        <w:t xml:space="preserve"> </w:t>
      </w:r>
      <w:r w:rsidRPr="009D6E6F">
        <w:rPr>
          <w:rFonts w:asciiTheme="majorBidi" w:hAnsiTheme="majorBidi" w:cstheme="majorBidi"/>
          <w:iCs/>
          <w:sz w:val="24"/>
          <w:szCs w:val="24"/>
        </w:rPr>
        <w:t xml:space="preserve">entanglement.” Lynch v. Donnelly, 465 US </w:t>
      </w:r>
      <w:r>
        <w:rPr>
          <w:rFonts w:asciiTheme="majorBidi" w:hAnsiTheme="majorBidi" w:cstheme="majorBidi"/>
          <w:iCs/>
          <w:sz w:val="24"/>
          <w:szCs w:val="24"/>
        </w:rPr>
        <w:t>668, 684 (1984) (quoting Lemon)” (p.18-9).</w:t>
      </w:r>
    </w:p>
    <w:p w14:paraId="65B35618" w14:textId="77777777" w:rsidR="00264CF2" w:rsidRDefault="00264CF2" w:rsidP="00264CF2">
      <w:pPr>
        <w:spacing w:line="480" w:lineRule="auto"/>
        <w:contextualSpacing/>
        <w:rPr>
          <w:rFonts w:asciiTheme="majorBidi" w:hAnsiTheme="majorBidi" w:cstheme="majorBidi"/>
          <w:iCs/>
          <w:sz w:val="24"/>
          <w:szCs w:val="24"/>
        </w:rPr>
      </w:pPr>
    </w:p>
    <w:p w14:paraId="2BFABC19" w14:textId="77777777" w:rsidR="00264CF2" w:rsidRPr="00AF2EDE" w:rsidRDefault="00264CF2" w:rsidP="00264CF2">
      <w:pPr>
        <w:spacing w:line="480" w:lineRule="auto"/>
        <w:ind w:firstLine="720"/>
        <w:contextualSpacing/>
        <w:rPr>
          <w:rFonts w:ascii="Times New Roman" w:hAnsi="Times New Roman" w:cs="Times New Roman"/>
          <w:sz w:val="24"/>
          <w:szCs w:val="24"/>
        </w:rPr>
      </w:pPr>
      <w:r w:rsidRPr="009D6E6F">
        <w:rPr>
          <w:rFonts w:ascii="Times New Roman" w:hAnsi="Times New Roman" w:cs="Times New Roman"/>
          <w:iCs/>
          <w:sz w:val="24"/>
          <w:szCs w:val="24"/>
        </w:rPr>
        <w:t xml:space="preserve">Instead of protecting against this sort of excessive entanglement, the new coalition argued here that the </w:t>
      </w:r>
      <w:r w:rsidRPr="009D6E6F">
        <w:rPr>
          <w:rFonts w:ascii="Times New Roman" w:hAnsi="Times New Roman" w:cs="Times New Roman"/>
          <w:i/>
          <w:iCs/>
          <w:sz w:val="24"/>
          <w:szCs w:val="24"/>
        </w:rPr>
        <w:t xml:space="preserve">Lemon </w:t>
      </w:r>
      <w:r w:rsidRPr="009D6E6F">
        <w:rPr>
          <w:rFonts w:ascii="Times New Roman" w:hAnsi="Times New Roman" w:cs="Times New Roman"/>
          <w:iCs/>
          <w:sz w:val="24"/>
          <w:szCs w:val="24"/>
        </w:rPr>
        <w:t xml:space="preserve">test’s third-prong was violated in this constant interaction between the church and the state. To avoid this problem, the brief suggested that the Court adhere to its interpretation of the Free Exercise from </w:t>
      </w:r>
      <w:r w:rsidRPr="009D6E6F">
        <w:rPr>
          <w:rFonts w:ascii="Times New Roman" w:hAnsi="Times New Roman" w:cs="Times New Roman"/>
          <w:i/>
          <w:iCs/>
          <w:sz w:val="24"/>
          <w:szCs w:val="24"/>
        </w:rPr>
        <w:t>Employment Division, Department of Human Resources of Oregon vs. Smith</w:t>
      </w:r>
      <w:r w:rsidRPr="009D6E6F">
        <w:rPr>
          <w:rFonts w:ascii="Times New Roman" w:hAnsi="Times New Roman" w:cs="Times New Roman"/>
          <w:iCs/>
          <w:sz w:val="24"/>
          <w:szCs w:val="24"/>
        </w:rPr>
        <w:t xml:space="preserve">, 494 U.S. 872 (1990) (p. 9-10, 19-20). In </w:t>
      </w:r>
      <w:r w:rsidRPr="009D6E6F">
        <w:rPr>
          <w:rFonts w:ascii="Times New Roman" w:hAnsi="Times New Roman" w:cs="Times New Roman"/>
          <w:i/>
          <w:sz w:val="24"/>
          <w:szCs w:val="24"/>
        </w:rPr>
        <w:t>Smith</w:t>
      </w:r>
      <w:r>
        <w:rPr>
          <w:rFonts w:ascii="Times New Roman" w:hAnsi="Times New Roman" w:cs="Times New Roman"/>
          <w:sz w:val="24"/>
          <w:szCs w:val="24"/>
        </w:rPr>
        <w:t xml:space="preserve">, the Court said that the free exercise of religion was not interfered with by </w:t>
      </w:r>
      <w:r>
        <w:rPr>
          <w:rFonts w:asciiTheme="majorBidi" w:hAnsiTheme="majorBidi" w:cstheme="majorBidi"/>
          <w:iCs/>
          <w:sz w:val="24"/>
          <w:szCs w:val="24"/>
        </w:rPr>
        <w:t xml:space="preserve">“neutral laws of general applicability.” In </w:t>
      </w:r>
      <w:r>
        <w:rPr>
          <w:rFonts w:asciiTheme="majorBidi" w:hAnsiTheme="majorBidi" w:cstheme="majorBidi"/>
          <w:i/>
          <w:iCs/>
          <w:sz w:val="24"/>
          <w:szCs w:val="24"/>
        </w:rPr>
        <w:t>Hosanna-Tabor</w:t>
      </w:r>
      <w:r>
        <w:rPr>
          <w:rFonts w:asciiTheme="majorBidi" w:hAnsiTheme="majorBidi" w:cstheme="majorBidi"/>
          <w:iCs/>
          <w:sz w:val="24"/>
          <w:szCs w:val="24"/>
        </w:rPr>
        <w:t xml:space="preserve"> then, it is presumable that the ADA would have prevented </w:t>
      </w:r>
      <w:proofErr w:type="spellStart"/>
      <w:r>
        <w:rPr>
          <w:rFonts w:asciiTheme="majorBidi" w:hAnsiTheme="majorBidi" w:cstheme="majorBidi"/>
          <w:iCs/>
          <w:sz w:val="24"/>
          <w:szCs w:val="24"/>
        </w:rPr>
        <w:t>Perich</w:t>
      </w:r>
      <w:proofErr w:type="spellEnd"/>
      <w:r>
        <w:rPr>
          <w:rFonts w:asciiTheme="majorBidi" w:hAnsiTheme="majorBidi" w:cstheme="majorBidi"/>
          <w:iCs/>
          <w:sz w:val="24"/>
          <w:szCs w:val="24"/>
        </w:rPr>
        <w:t xml:space="preserve"> from losing her job as the ADA’s provisions against unlawful employment discrimination are neutral regarding religious free exercise (p. 7-9).</w:t>
      </w:r>
      <w:r>
        <w:rPr>
          <w:rFonts w:ascii="Times New Roman" w:hAnsi="Times New Roman" w:cs="Times New Roman"/>
          <w:sz w:val="24"/>
          <w:szCs w:val="24"/>
        </w:rPr>
        <w:t xml:space="preserve"> </w:t>
      </w:r>
      <w:r>
        <w:rPr>
          <w:rFonts w:asciiTheme="majorBidi" w:hAnsiTheme="majorBidi" w:cstheme="majorBidi"/>
          <w:iCs/>
          <w:sz w:val="24"/>
          <w:szCs w:val="24"/>
        </w:rPr>
        <w:t xml:space="preserve">Although the new coalition was ostensibly a champion of state neutrality towards religious institutions in this case, neutrality was interpreted in an extremely non-pluralistic sense that barred </w:t>
      </w:r>
      <w:r>
        <w:rPr>
          <w:rFonts w:asciiTheme="majorBidi" w:hAnsiTheme="majorBidi" w:cstheme="majorBidi"/>
          <w:i/>
          <w:iCs/>
          <w:sz w:val="24"/>
          <w:szCs w:val="24"/>
        </w:rPr>
        <w:t>any</w:t>
      </w:r>
      <w:r>
        <w:rPr>
          <w:rFonts w:asciiTheme="majorBidi" w:hAnsiTheme="majorBidi" w:cstheme="majorBidi"/>
          <w:iCs/>
          <w:sz w:val="24"/>
          <w:szCs w:val="24"/>
        </w:rPr>
        <w:t xml:space="preserve"> accommodations to churches and religious schools in their hiring and firing procedures. Rather, this brief argued for all forms of race, gender, and disability considerations to apply equally to religious institutions as they did to secular ones, thereby eliminating the ministerial exception and any notion that churches could hire clergy and religious instructors with any sort of religious bias to ensure that their beliefs </w:t>
      </w:r>
      <w:r>
        <w:rPr>
          <w:rFonts w:asciiTheme="majorBidi" w:hAnsiTheme="majorBidi" w:cstheme="majorBidi"/>
          <w:iCs/>
          <w:sz w:val="24"/>
          <w:szCs w:val="24"/>
        </w:rPr>
        <w:lastRenderedPageBreak/>
        <w:t>would be championed and upheld by their employees. Just as in the legislative prayer issue, this case represents another deep divide in principles and commitments between the two coalitions.</w:t>
      </w:r>
    </w:p>
    <w:p w14:paraId="4D0EDBB4" w14:textId="77777777" w:rsidR="00264CF2" w:rsidRDefault="00264CF2" w:rsidP="00264CF2">
      <w:pPr>
        <w:spacing w:line="480" w:lineRule="auto"/>
        <w:contextualSpacing/>
        <w:rPr>
          <w:rFonts w:asciiTheme="majorBidi" w:hAnsiTheme="majorBidi" w:cstheme="majorBidi"/>
          <w:iCs/>
          <w:sz w:val="24"/>
          <w:szCs w:val="24"/>
        </w:rPr>
      </w:pPr>
    </w:p>
    <w:p w14:paraId="4E0F7350" w14:textId="77777777" w:rsidR="00264CF2" w:rsidRDefault="00264CF2" w:rsidP="00264CF2">
      <w:pPr>
        <w:spacing w:line="480" w:lineRule="auto"/>
        <w:contextualSpacing/>
        <w:rPr>
          <w:rFonts w:ascii="Times New Roman" w:hAnsi="Times New Roman" w:cs="Times New Roman"/>
          <w:i/>
          <w:sz w:val="24"/>
          <w:szCs w:val="24"/>
        </w:rPr>
      </w:pPr>
      <w:r>
        <w:rPr>
          <w:rFonts w:ascii="Times New Roman" w:hAnsi="Times New Roman" w:cs="Times New Roman"/>
          <w:i/>
          <w:sz w:val="24"/>
          <w:szCs w:val="24"/>
        </w:rPr>
        <w:t>Smith vs. RFRA: Conflicting Constitutional Visions</w:t>
      </w:r>
    </w:p>
    <w:p w14:paraId="41C7A59F" w14:textId="77777777" w:rsidR="00264CF2" w:rsidRDefault="00264CF2" w:rsidP="00264CF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issues discussed above have generated varying degrees of conflict and incoherent responses to religious liberty disputes among the two coalitions, but none of them reaches the degree of disagreement between the two than their stances on </w:t>
      </w:r>
      <w:r>
        <w:rPr>
          <w:rFonts w:ascii="Times New Roman" w:hAnsi="Times New Roman" w:cs="Times New Roman"/>
          <w:iCs/>
          <w:sz w:val="24"/>
          <w:szCs w:val="24"/>
        </w:rPr>
        <w:t xml:space="preserve">the </w:t>
      </w:r>
      <w:r>
        <w:rPr>
          <w:rFonts w:ascii="Times New Roman" w:hAnsi="Times New Roman" w:cs="Times New Roman"/>
          <w:sz w:val="24"/>
          <w:szCs w:val="24"/>
        </w:rPr>
        <w:t xml:space="preserve">Religious Freedom and Restoration Act of 1993 (RFRA). This law was passed in response to the Supreme Court’s decision in </w:t>
      </w:r>
      <w:r w:rsidRPr="009D6E6F">
        <w:rPr>
          <w:rFonts w:ascii="Times New Roman" w:hAnsi="Times New Roman" w:cs="Times New Roman"/>
          <w:i/>
          <w:iCs/>
          <w:sz w:val="24"/>
          <w:szCs w:val="24"/>
        </w:rPr>
        <w:t>Employment Division, Department of Human Resources of Oregon vs. Smith</w:t>
      </w:r>
      <w:r>
        <w:rPr>
          <w:rFonts w:ascii="Times New Roman" w:hAnsi="Times New Roman" w:cs="Times New Roman"/>
          <w:iCs/>
          <w:sz w:val="24"/>
          <w:szCs w:val="24"/>
        </w:rPr>
        <w:t xml:space="preserve"> </w:t>
      </w:r>
      <w:r w:rsidRPr="009D6E6F">
        <w:rPr>
          <w:rFonts w:ascii="Times New Roman" w:hAnsi="Times New Roman" w:cs="Times New Roman"/>
          <w:iCs/>
          <w:sz w:val="24"/>
          <w:szCs w:val="24"/>
        </w:rPr>
        <w:t>(1990)</w:t>
      </w:r>
      <w:r>
        <w:rPr>
          <w:rFonts w:ascii="Times New Roman" w:hAnsi="Times New Roman" w:cs="Times New Roman"/>
          <w:iCs/>
          <w:sz w:val="24"/>
          <w:szCs w:val="24"/>
        </w:rPr>
        <w:t xml:space="preserve">, in which Justice Scalia writing for the majority ruled that </w:t>
      </w:r>
      <w:r>
        <w:rPr>
          <w:rFonts w:ascii="Times New Roman" w:hAnsi="Times New Roman" w:cs="Times New Roman"/>
          <w:sz w:val="24"/>
          <w:szCs w:val="24"/>
        </w:rPr>
        <w:t>the Free E</w:t>
      </w:r>
      <w:r w:rsidRPr="009E2019">
        <w:rPr>
          <w:rFonts w:ascii="Times New Roman" w:hAnsi="Times New Roman" w:cs="Times New Roman"/>
          <w:sz w:val="24"/>
          <w:szCs w:val="24"/>
        </w:rPr>
        <w:t xml:space="preserve">xercise clause </w:t>
      </w:r>
      <w:r>
        <w:rPr>
          <w:rFonts w:ascii="Times New Roman" w:hAnsi="Times New Roman" w:cs="Times New Roman"/>
          <w:sz w:val="24"/>
          <w:szCs w:val="24"/>
        </w:rPr>
        <w:t>could not</w:t>
      </w:r>
      <w:r w:rsidRPr="009E2019">
        <w:rPr>
          <w:rFonts w:ascii="Times New Roman" w:hAnsi="Times New Roman" w:cs="Times New Roman"/>
          <w:sz w:val="24"/>
          <w:szCs w:val="24"/>
        </w:rPr>
        <w:t xml:space="preserve"> be used to challenge neutral laws of general applicability.</w:t>
      </w:r>
      <w:r>
        <w:rPr>
          <w:rFonts w:ascii="Times New Roman" w:hAnsi="Times New Roman" w:cs="Times New Roman"/>
          <w:sz w:val="24"/>
          <w:szCs w:val="24"/>
        </w:rPr>
        <w:t xml:space="preserve"> Plaintiffs in the case had argued that an Oregon state law prohibiting the consumption of peyote even for religious purposes interfered with their desire to engage in the rituals of the Native American Church. Scalia responded to this claim by saying that there was no precedent for such exemptions and that such a broad interpretation of the Free Exercise clause could open up the door to exemptions from things like mandated vaccines and payment of taxes. The </w:t>
      </w:r>
      <w:r>
        <w:rPr>
          <w:rFonts w:ascii="Times New Roman" w:hAnsi="Times New Roman" w:cs="Times New Roman"/>
          <w:i/>
          <w:sz w:val="24"/>
          <w:szCs w:val="24"/>
        </w:rPr>
        <w:t>Smith</w:t>
      </w:r>
      <w:r>
        <w:rPr>
          <w:rFonts w:ascii="Times New Roman" w:hAnsi="Times New Roman" w:cs="Times New Roman"/>
          <w:sz w:val="24"/>
          <w:szCs w:val="24"/>
        </w:rPr>
        <w:t xml:space="preserve"> decision caused controversy almost immediately as religious groups and the ACLU alike argued that the Court had unduly overturned its decisions in cases such as </w:t>
      </w:r>
      <w:proofErr w:type="spellStart"/>
      <w:r w:rsidRPr="00094639">
        <w:rPr>
          <w:rFonts w:ascii="Times New Roman" w:hAnsi="Times New Roman" w:cs="Times New Roman"/>
          <w:i/>
          <w:sz w:val="24"/>
          <w:szCs w:val="24"/>
        </w:rPr>
        <w:t>Sherbert</w:t>
      </w:r>
      <w:proofErr w:type="spellEnd"/>
      <w:r w:rsidRPr="00094639">
        <w:rPr>
          <w:rFonts w:ascii="Times New Roman" w:hAnsi="Times New Roman" w:cs="Times New Roman"/>
          <w:i/>
          <w:sz w:val="24"/>
          <w:szCs w:val="24"/>
        </w:rPr>
        <w:t xml:space="preserve"> v. </w:t>
      </w:r>
      <w:proofErr w:type="spellStart"/>
      <w:r w:rsidRPr="00094639">
        <w:rPr>
          <w:rFonts w:ascii="Times New Roman" w:hAnsi="Times New Roman" w:cs="Times New Roman"/>
          <w:i/>
          <w:sz w:val="24"/>
          <w:szCs w:val="24"/>
        </w:rPr>
        <w:t>Verner</w:t>
      </w:r>
      <w:proofErr w:type="spellEnd"/>
      <w:r w:rsidRPr="00094639">
        <w:rPr>
          <w:rFonts w:ascii="Times New Roman" w:hAnsi="Times New Roman" w:cs="Times New Roman"/>
          <w:sz w:val="24"/>
          <w:szCs w:val="24"/>
        </w:rPr>
        <w:t>, 374 U.S. 398 (1963)</w:t>
      </w:r>
      <w:r>
        <w:rPr>
          <w:rFonts w:ascii="Times New Roman" w:hAnsi="Times New Roman" w:cs="Times New Roman"/>
          <w:sz w:val="24"/>
          <w:szCs w:val="24"/>
        </w:rPr>
        <w:t xml:space="preserve"> and </w:t>
      </w:r>
      <w:r w:rsidRPr="00094639">
        <w:rPr>
          <w:rFonts w:ascii="Times New Roman" w:hAnsi="Times New Roman" w:cs="Times New Roman"/>
          <w:i/>
          <w:sz w:val="24"/>
          <w:szCs w:val="24"/>
        </w:rPr>
        <w:t>Wisconsin v. Yoder</w:t>
      </w:r>
      <w:r w:rsidRPr="00094639">
        <w:rPr>
          <w:rFonts w:ascii="Times New Roman" w:hAnsi="Times New Roman" w:cs="Times New Roman"/>
          <w:sz w:val="24"/>
          <w:szCs w:val="24"/>
        </w:rPr>
        <w:t>, 406 U.S. 205 (1972)</w:t>
      </w:r>
      <w:r>
        <w:rPr>
          <w:rFonts w:ascii="Times New Roman" w:hAnsi="Times New Roman" w:cs="Times New Roman"/>
          <w:sz w:val="24"/>
          <w:szCs w:val="24"/>
        </w:rPr>
        <w:t xml:space="preserve">, which held that the state and federal governments required a “compelling interest” to violate religious exercise rights. A bipartisan coalition in Congress heeded this argument and passed RFRA, overriding the Court in </w:t>
      </w:r>
      <w:r>
        <w:rPr>
          <w:rFonts w:ascii="Times New Roman" w:hAnsi="Times New Roman" w:cs="Times New Roman"/>
          <w:i/>
          <w:sz w:val="24"/>
          <w:szCs w:val="24"/>
        </w:rPr>
        <w:t>Smith</w:t>
      </w:r>
      <w:r>
        <w:rPr>
          <w:rFonts w:ascii="Times New Roman" w:hAnsi="Times New Roman" w:cs="Times New Roman"/>
          <w:sz w:val="24"/>
          <w:szCs w:val="24"/>
        </w:rPr>
        <w:t xml:space="preserve"> and effectively reinstituting the compelling interest test.</w:t>
      </w:r>
    </w:p>
    <w:p w14:paraId="23298B45" w14:textId="77777777" w:rsidR="00264CF2" w:rsidRDefault="00264CF2" w:rsidP="00264CF2">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To the dismay of RFRA supporters such as the ACLU and the AU, the Court declared that Congress had overstepped its constitutional boundaries with RFRA in </w:t>
      </w:r>
      <w:r w:rsidRPr="00770C0D">
        <w:rPr>
          <w:rFonts w:ascii="Times New Roman" w:hAnsi="Times New Roman" w:cs="Times New Roman"/>
          <w:i/>
          <w:sz w:val="24"/>
          <w:szCs w:val="24"/>
        </w:rPr>
        <w:t>City of Boerne v. Flores</w:t>
      </w:r>
      <w:r w:rsidRPr="00770C0D">
        <w:rPr>
          <w:rFonts w:ascii="Times New Roman" w:hAnsi="Times New Roman" w:cs="Times New Roman"/>
          <w:sz w:val="24"/>
          <w:szCs w:val="24"/>
        </w:rPr>
        <w:t>, 521 U.S. 507 (1997)</w:t>
      </w:r>
      <w:r>
        <w:rPr>
          <w:rFonts w:ascii="Times New Roman" w:hAnsi="Times New Roman" w:cs="Times New Roman"/>
          <w:sz w:val="24"/>
          <w:szCs w:val="24"/>
        </w:rPr>
        <w:t>. The Court ruled that Congress could not expand the scope of rights u</w:t>
      </w:r>
      <w:r w:rsidRPr="00772EB4">
        <w:rPr>
          <w:rFonts w:ascii="Times New Roman" w:hAnsi="Times New Roman" w:cs="Times New Roman"/>
          <w:sz w:val="24"/>
          <w:szCs w:val="24"/>
        </w:rPr>
        <w:t xml:space="preserve">nder </w:t>
      </w:r>
      <w:r>
        <w:rPr>
          <w:rFonts w:ascii="Times New Roman" w:hAnsi="Times New Roman" w:cs="Times New Roman"/>
          <w:sz w:val="24"/>
          <w:szCs w:val="24"/>
        </w:rPr>
        <w:t xml:space="preserve">the </w:t>
      </w:r>
      <w:r w:rsidRPr="00772EB4">
        <w:rPr>
          <w:rFonts w:ascii="Times New Roman" w:hAnsi="Times New Roman" w:cs="Times New Roman"/>
          <w:sz w:val="24"/>
          <w:szCs w:val="24"/>
        </w:rPr>
        <w:t>§5</w:t>
      </w:r>
      <w:r>
        <w:rPr>
          <w:rFonts w:ascii="Times New Roman" w:hAnsi="Times New Roman" w:cs="Times New Roman"/>
          <w:sz w:val="24"/>
          <w:szCs w:val="24"/>
        </w:rPr>
        <w:t xml:space="preserve"> enforcement clause of 14th Amendment, the constitutional basis for RFRA.</w:t>
      </w:r>
      <w:r w:rsidRPr="00772EB4">
        <w:rPr>
          <w:rFonts w:ascii="Times New Roman" w:hAnsi="Times New Roman" w:cs="Times New Roman"/>
          <w:sz w:val="24"/>
          <w:szCs w:val="24"/>
        </w:rPr>
        <w:t xml:space="preserve"> </w:t>
      </w:r>
      <w:r>
        <w:rPr>
          <w:rFonts w:ascii="Times New Roman" w:hAnsi="Times New Roman" w:cs="Times New Roman"/>
          <w:sz w:val="24"/>
          <w:szCs w:val="24"/>
        </w:rPr>
        <w:t xml:space="preserve">The opinion stated that </w:t>
      </w:r>
      <w:r w:rsidRPr="00772EB4">
        <w:rPr>
          <w:rFonts w:ascii="Times New Roman" w:hAnsi="Times New Roman" w:cs="Times New Roman"/>
          <w:sz w:val="24"/>
          <w:szCs w:val="24"/>
        </w:rPr>
        <w:t xml:space="preserve">Congress is limited to laws that prevent or remedy violations of rights recognized by the Supreme Court and these must be narrowly tailored – “proportionate” and “congruent” – </w:t>
      </w:r>
      <w:r>
        <w:rPr>
          <w:rFonts w:ascii="Times New Roman" w:hAnsi="Times New Roman" w:cs="Times New Roman"/>
          <w:sz w:val="24"/>
          <w:szCs w:val="24"/>
        </w:rPr>
        <w:t xml:space="preserve">to the constitutional violation under consideration. To bypass this ruling, twenty states have since passed their own versions of RFRA, which the Court has not challenged (Hamilton, 2015). In 2006, the Supreme Court held that RFRA remained constitutionally permissible as applied to the federal government in </w:t>
      </w:r>
      <w:r w:rsidRPr="00DE7D77">
        <w:rPr>
          <w:rFonts w:ascii="Times New Roman" w:hAnsi="Times New Roman" w:cs="Times New Roman"/>
          <w:i/>
          <w:sz w:val="24"/>
          <w:szCs w:val="24"/>
        </w:rPr>
        <w:t xml:space="preserve">Gonzales v. O Centro </w:t>
      </w:r>
      <w:proofErr w:type="spellStart"/>
      <w:r w:rsidRPr="00DE7D77">
        <w:rPr>
          <w:rFonts w:ascii="Times New Roman" w:hAnsi="Times New Roman" w:cs="Times New Roman"/>
          <w:i/>
          <w:sz w:val="24"/>
          <w:szCs w:val="24"/>
        </w:rPr>
        <w:t>Espirita</w:t>
      </w:r>
      <w:proofErr w:type="spellEnd"/>
      <w:r w:rsidRPr="00DE7D77">
        <w:rPr>
          <w:rFonts w:ascii="Times New Roman" w:hAnsi="Times New Roman" w:cs="Times New Roman"/>
          <w:i/>
          <w:sz w:val="24"/>
          <w:szCs w:val="24"/>
        </w:rPr>
        <w:t xml:space="preserve"> </w:t>
      </w:r>
      <w:proofErr w:type="spellStart"/>
      <w:r w:rsidRPr="00DE7D77">
        <w:rPr>
          <w:rFonts w:ascii="Times New Roman" w:hAnsi="Times New Roman" w:cs="Times New Roman"/>
          <w:i/>
          <w:sz w:val="24"/>
          <w:szCs w:val="24"/>
        </w:rPr>
        <w:t>Beneficente</w:t>
      </w:r>
      <w:proofErr w:type="spellEnd"/>
      <w:r w:rsidRPr="00DE7D77">
        <w:rPr>
          <w:rFonts w:ascii="Times New Roman" w:hAnsi="Times New Roman" w:cs="Times New Roman"/>
          <w:i/>
          <w:sz w:val="24"/>
          <w:szCs w:val="24"/>
        </w:rPr>
        <w:t xml:space="preserve"> </w:t>
      </w:r>
      <w:proofErr w:type="spellStart"/>
      <w:r w:rsidRPr="00DE7D77">
        <w:rPr>
          <w:rFonts w:ascii="Times New Roman" w:hAnsi="Times New Roman" w:cs="Times New Roman"/>
          <w:i/>
          <w:sz w:val="24"/>
          <w:szCs w:val="24"/>
        </w:rPr>
        <w:t>Uniao</w:t>
      </w:r>
      <w:proofErr w:type="spellEnd"/>
      <w:r w:rsidRPr="00DE7D77">
        <w:rPr>
          <w:rFonts w:ascii="Times New Roman" w:hAnsi="Times New Roman" w:cs="Times New Roman"/>
          <w:i/>
          <w:sz w:val="24"/>
          <w:szCs w:val="24"/>
        </w:rPr>
        <w:t xml:space="preserve"> do Vegetal</w:t>
      </w:r>
      <w:r w:rsidRPr="00DE7D77">
        <w:rPr>
          <w:rFonts w:ascii="Times New Roman" w:hAnsi="Times New Roman" w:cs="Times New Roman"/>
          <w:sz w:val="24"/>
          <w:szCs w:val="24"/>
        </w:rPr>
        <w:t>, 546 U.S. 418 (2006)</w:t>
      </w:r>
      <w:r>
        <w:rPr>
          <w:rFonts w:ascii="Times New Roman" w:hAnsi="Times New Roman" w:cs="Times New Roman"/>
          <w:sz w:val="24"/>
          <w:szCs w:val="24"/>
        </w:rPr>
        <w:t xml:space="preserve">. Although these cases solicited much involvement from members of the old coalition, it was not until 2014 in </w:t>
      </w:r>
      <w:r w:rsidRPr="00B3325F">
        <w:rPr>
          <w:rFonts w:ascii="Times New Roman" w:hAnsi="Times New Roman" w:cs="Times New Roman"/>
          <w:i/>
          <w:sz w:val="24"/>
          <w:szCs w:val="24"/>
        </w:rPr>
        <w:t>Burwell v. Hobby Lobby</w:t>
      </w:r>
      <w:r w:rsidRPr="00B3325F">
        <w:rPr>
          <w:rFonts w:ascii="Times New Roman" w:hAnsi="Times New Roman" w:cs="Times New Roman"/>
          <w:sz w:val="24"/>
          <w:szCs w:val="24"/>
        </w:rPr>
        <w:t>, 573 U.S. ___ (2014)</w:t>
      </w:r>
      <w:r>
        <w:rPr>
          <w:rFonts w:ascii="Times New Roman" w:hAnsi="Times New Roman" w:cs="Times New Roman"/>
          <w:sz w:val="24"/>
          <w:szCs w:val="24"/>
        </w:rPr>
        <w:t xml:space="preserve"> that the most extreme divides between the old and new coalition over RFRA became evident.</w:t>
      </w:r>
    </w:p>
    <w:p w14:paraId="0BD0ACFD" w14:textId="77777777" w:rsidR="00264CF2" w:rsidRDefault="00264CF2" w:rsidP="00264CF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w:t>
      </w:r>
      <w:r w:rsidRPr="00786DB4">
        <w:rPr>
          <w:rFonts w:ascii="Times New Roman" w:hAnsi="Times New Roman" w:cs="Times New Roman"/>
          <w:i/>
          <w:sz w:val="24"/>
          <w:szCs w:val="24"/>
        </w:rPr>
        <w:t>Burwell v. Hobby Lobby</w:t>
      </w:r>
      <w:r w:rsidRPr="00786DB4">
        <w:rPr>
          <w:rFonts w:ascii="Times New Roman" w:hAnsi="Times New Roman" w:cs="Times New Roman"/>
          <w:sz w:val="24"/>
          <w:szCs w:val="24"/>
        </w:rPr>
        <w:t>, 573 U.S. ___ (2014)</w:t>
      </w:r>
      <w:r>
        <w:rPr>
          <w:rFonts w:ascii="Times New Roman" w:hAnsi="Times New Roman" w:cs="Times New Roman"/>
          <w:sz w:val="24"/>
          <w:szCs w:val="24"/>
        </w:rPr>
        <w:t xml:space="preserve">, Hobby Lobby Stores, Inc. sued the federal government over the Patient Protection and Affordable Care Act’s requirement that employment-based healthcare plans provide FDA-approved contraceptives to employees as part of their preventative care benefits. Although there are exceptions in the law for religious organizations such as churches as well as religiously-affiliated nonprofit institutions, Hobby Lobby’s Christian owner’s free exercise rights regarding their belief against certain forms of contraception were violated by this mandate. Despite the fundamental rights issue at play here, the case was argued and decided upon statutory considerations—the extent of RFRA’s protections—rather than the Free Exercise clause directly. Old coalition groups filed briefs in </w:t>
      </w:r>
      <w:r>
        <w:rPr>
          <w:rFonts w:ascii="Times New Roman" w:hAnsi="Times New Roman" w:cs="Times New Roman"/>
          <w:sz w:val="24"/>
          <w:szCs w:val="24"/>
        </w:rPr>
        <w:lastRenderedPageBreak/>
        <w:t>this case in attempts to both support for the government’s position and salvage RFRA from those groups that might use the law as a justification for discrimination—by gender in this particular case. Americans United and the Anti-Defamation League were joined by various majority and minority religious organizations including Catholics for Choice and the Hindu American Foundation as well as reproductive rights and pro-LGBT groups (Kahn &amp; O’Connell, 2014). These organizations argued that RFRA was necessary for protecting diverse religious belief and free exercise but Hobby Lobby was actually infringing on its employees’ rights, forcing them to essentially adopt their employer’s religious beliefs on contraception as their own by not providing them this medical coverage.</w:t>
      </w:r>
    </w:p>
    <w:p w14:paraId="5F890DFF" w14:textId="77777777" w:rsidR="00264CF2" w:rsidRDefault="00264CF2" w:rsidP="00264CF2">
      <w:pPr>
        <w:spacing w:line="480" w:lineRule="auto"/>
        <w:contextualSpacing/>
        <w:rPr>
          <w:rStyle w:val="Strong"/>
          <w:rFonts w:ascii="Times New Roman" w:hAnsi="Times New Roman" w:cs="Times New Roman"/>
          <w:b w:val="0"/>
          <w:color w:val="333333"/>
          <w:sz w:val="24"/>
          <w:szCs w:val="24"/>
          <w:shd w:val="clear" w:color="auto" w:fill="FFFFFF"/>
        </w:rPr>
      </w:pPr>
      <w:r>
        <w:rPr>
          <w:rFonts w:ascii="Times New Roman" w:hAnsi="Times New Roman" w:cs="Times New Roman"/>
          <w:sz w:val="24"/>
          <w:szCs w:val="24"/>
        </w:rPr>
        <w:tab/>
        <w:t xml:space="preserve">The ACLU, joined by the NAACP, filed a separate brief in this case that in many ways reflected the AU brief (March et al., 2014). Both briefs emphasized that the fact that RFRA did not protect against Hobby Lobby’s attempt to impose its own religious beliefs on its employees. Additionally, the ACLU was sure to mention that RFRA properly applied did indeed protect important free exercise rights in other contexts. The majority of the brief did not mention religious clause doctrine much at all; instead, the counsel for these organizations spent nearly the entire document describing instances in United States history in which religious belief was used as a justification to discriminate against minorities. To demonstrate the progress the United States has made, the brief provided examples such as religious justifications for slavery, segregated schools, objections to the Civil Rights Act of 1964, and unequal pay and employment restrictions for women. Although at the national level the ACLU has remained a staunch proponent of RFRA, the emergence of state laws that mimic RFRA have caused concern for state chapters. For example, as of March 16, 2015 the Indiana General Assembly is debating its own RFRA yet both opponents and proponents have framed the law as one that would allow </w:t>
      </w:r>
      <w:r>
        <w:rPr>
          <w:rFonts w:ascii="Times New Roman" w:hAnsi="Times New Roman" w:cs="Times New Roman"/>
          <w:sz w:val="24"/>
          <w:szCs w:val="24"/>
        </w:rPr>
        <w:lastRenderedPageBreak/>
        <w:t xml:space="preserve">businesses to </w:t>
      </w:r>
      <w:r w:rsidRPr="002C26B8">
        <w:rPr>
          <w:rFonts w:ascii="Times New Roman" w:hAnsi="Times New Roman" w:cs="Times New Roman"/>
          <w:sz w:val="24"/>
          <w:szCs w:val="24"/>
        </w:rPr>
        <w:t>discriminate against LGBT persons on the basis of religious belief (Davies, 2015). The ACLU’s chapter in Indiana testified before the General Assembly, citing the need for the 1993 version of RFRA in its own context and the comparative lack of a need for a state RFRA in Indiana i</w:t>
      </w:r>
      <w:r>
        <w:rPr>
          <w:rFonts w:ascii="Times New Roman" w:hAnsi="Times New Roman" w:cs="Times New Roman"/>
          <w:sz w:val="24"/>
          <w:szCs w:val="24"/>
        </w:rPr>
        <w:t>n the political climate of 2015 (</w:t>
      </w:r>
      <w:proofErr w:type="spellStart"/>
      <w:r>
        <w:rPr>
          <w:rFonts w:ascii="Times New Roman" w:hAnsi="Times New Roman" w:cs="Times New Roman"/>
          <w:sz w:val="24"/>
          <w:szCs w:val="24"/>
        </w:rPr>
        <w:t>Henegar</w:t>
      </w:r>
      <w:proofErr w:type="spellEnd"/>
      <w:r>
        <w:rPr>
          <w:rFonts w:ascii="Times New Roman" w:hAnsi="Times New Roman" w:cs="Times New Roman"/>
          <w:sz w:val="24"/>
          <w:szCs w:val="24"/>
        </w:rPr>
        <w:t>, 2015).</w:t>
      </w:r>
      <w:r w:rsidRPr="002C26B8">
        <w:rPr>
          <w:rFonts w:ascii="Times New Roman" w:hAnsi="Times New Roman" w:cs="Times New Roman"/>
          <w:sz w:val="24"/>
          <w:szCs w:val="24"/>
        </w:rPr>
        <w:t xml:space="preserve"> In detailing the changing uses of the federal and state versions of the law</w:t>
      </w:r>
      <w:r w:rsidRPr="002C26B8">
        <w:rPr>
          <w:rFonts w:ascii="Times New Roman" w:hAnsi="Times New Roman" w:cs="Times New Roman"/>
          <w:b/>
          <w:sz w:val="24"/>
          <w:szCs w:val="24"/>
        </w:rPr>
        <w:t xml:space="preserve">, </w:t>
      </w:r>
      <w:r w:rsidRPr="002C26B8">
        <w:rPr>
          <w:rStyle w:val="Strong"/>
          <w:rFonts w:ascii="Times New Roman" w:hAnsi="Times New Roman" w:cs="Times New Roman"/>
          <w:b w:val="0"/>
          <w:color w:val="333333"/>
          <w:sz w:val="24"/>
          <w:szCs w:val="24"/>
          <w:shd w:val="clear" w:color="auto" w:fill="FFFFFF"/>
        </w:rPr>
        <w:t xml:space="preserve">Executive Director of the American Civil Liberties Union of Indiana Jane </w:t>
      </w:r>
      <w:proofErr w:type="spellStart"/>
      <w:r w:rsidRPr="002C26B8">
        <w:rPr>
          <w:rStyle w:val="Strong"/>
          <w:rFonts w:ascii="Times New Roman" w:hAnsi="Times New Roman" w:cs="Times New Roman"/>
          <w:b w:val="0"/>
          <w:color w:val="333333"/>
          <w:sz w:val="24"/>
          <w:szCs w:val="24"/>
          <w:shd w:val="clear" w:color="auto" w:fill="FFFFFF"/>
        </w:rPr>
        <w:t>Henegar</w:t>
      </w:r>
      <w:proofErr w:type="spellEnd"/>
      <w:r w:rsidRPr="002C26B8">
        <w:rPr>
          <w:rStyle w:val="Strong"/>
          <w:rFonts w:ascii="Times New Roman" w:hAnsi="Times New Roman" w:cs="Times New Roman"/>
          <w:b w:val="0"/>
          <w:color w:val="333333"/>
          <w:sz w:val="24"/>
          <w:szCs w:val="24"/>
          <w:shd w:val="clear" w:color="auto" w:fill="FFFFFF"/>
        </w:rPr>
        <w:t xml:space="preserve"> argued that this proposed law would likely hurt more minori</w:t>
      </w:r>
      <w:r>
        <w:rPr>
          <w:rStyle w:val="Strong"/>
          <w:rFonts w:ascii="Times New Roman" w:hAnsi="Times New Roman" w:cs="Times New Roman"/>
          <w:b w:val="0"/>
          <w:color w:val="333333"/>
          <w:sz w:val="24"/>
          <w:szCs w:val="24"/>
          <w:shd w:val="clear" w:color="auto" w:fill="FFFFFF"/>
        </w:rPr>
        <w:t>ties than it would benefit them.</w:t>
      </w:r>
    </w:p>
    <w:p w14:paraId="27EAD04C" w14:textId="77777777" w:rsidR="00264CF2" w:rsidRDefault="00264CF2" w:rsidP="00264CF2">
      <w:pPr>
        <w:spacing w:line="480" w:lineRule="auto"/>
        <w:contextualSpacing/>
        <w:rPr>
          <w:rStyle w:val="Strong"/>
          <w:rFonts w:ascii="Times New Roman" w:hAnsi="Times New Roman" w:cs="Times New Roman"/>
          <w:b w:val="0"/>
          <w:color w:val="333333"/>
          <w:sz w:val="24"/>
          <w:szCs w:val="24"/>
          <w:shd w:val="clear" w:color="auto" w:fill="FFFFFF"/>
        </w:rPr>
      </w:pPr>
      <w:r>
        <w:rPr>
          <w:rStyle w:val="Strong"/>
          <w:rFonts w:ascii="Times New Roman" w:hAnsi="Times New Roman" w:cs="Times New Roman"/>
          <w:b w:val="0"/>
          <w:color w:val="333333"/>
          <w:sz w:val="24"/>
          <w:szCs w:val="24"/>
          <w:shd w:val="clear" w:color="auto" w:fill="FFFFFF"/>
        </w:rPr>
        <w:tab/>
        <w:t xml:space="preserve">The new coalition briefs for </w:t>
      </w:r>
      <w:r>
        <w:rPr>
          <w:rStyle w:val="Strong"/>
          <w:rFonts w:ascii="Times New Roman" w:hAnsi="Times New Roman" w:cs="Times New Roman"/>
          <w:b w:val="0"/>
          <w:i/>
          <w:color w:val="333333"/>
          <w:sz w:val="24"/>
          <w:szCs w:val="24"/>
          <w:shd w:val="clear" w:color="auto" w:fill="FFFFFF"/>
        </w:rPr>
        <w:t>Hobby Lobby</w:t>
      </w:r>
      <w:r>
        <w:rPr>
          <w:rStyle w:val="Strong"/>
          <w:rFonts w:ascii="Times New Roman" w:hAnsi="Times New Roman" w:cs="Times New Roman"/>
          <w:b w:val="0"/>
          <w:color w:val="333333"/>
          <w:sz w:val="24"/>
          <w:szCs w:val="24"/>
          <w:shd w:val="clear" w:color="auto" w:fill="FFFFFF"/>
        </w:rPr>
        <w:t xml:space="preserve"> demonstrate one of the deepest divide between the two coalitions. Whereas groups like the ACLU and the AU have longstanding and foundational commitments to protecting minority rights, and in particular the religious rights of minorities, the new coalition has much less of an interest in this project.</w:t>
      </w:r>
      <w:r>
        <w:rPr>
          <w:rStyle w:val="FootnoteReference"/>
          <w:rFonts w:ascii="Times New Roman" w:hAnsi="Times New Roman" w:cs="Times New Roman"/>
          <w:bCs/>
          <w:color w:val="333333"/>
          <w:sz w:val="24"/>
          <w:szCs w:val="24"/>
          <w:shd w:val="clear" w:color="auto" w:fill="FFFFFF"/>
        </w:rPr>
        <w:footnoteReference w:id="23"/>
      </w:r>
      <w:r>
        <w:rPr>
          <w:rStyle w:val="Strong"/>
          <w:rFonts w:ascii="Times New Roman" w:hAnsi="Times New Roman" w:cs="Times New Roman"/>
          <w:b w:val="0"/>
          <w:color w:val="333333"/>
          <w:sz w:val="24"/>
          <w:szCs w:val="24"/>
          <w:shd w:val="clear" w:color="auto" w:fill="FFFFFF"/>
        </w:rPr>
        <w:t xml:space="preserve"> The Center of Inquiry—joined by the American Humanist Association, the American Atheists, the Military Association of Atheists and Freethinkers, and the Institute for Science and Human Values—filed a brief arguing that Hobby Lobby not only lacked a free exercise claim here but that a government exemption from the contraceptive mandate would result in a violation of the Establishment Clause (Lindsay, Little, &amp; </w:t>
      </w:r>
      <w:proofErr w:type="spellStart"/>
      <w:r>
        <w:rPr>
          <w:rStyle w:val="Strong"/>
          <w:rFonts w:ascii="Times New Roman" w:hAnsi="Times New Roman" w:cs="Times New Roman"/>
          <w:b w:val="0"/>
          <w:color w:val="333333"/>
          <w:sz w:val="24"/>
          <w:szCs w:val="24"/>
          <w:shd w:val="clear" w:color="auto" w:fill="FFFFFF"/>
        </w:rPr>
        <w:t>Tabash</w:t>
      </w:r>
      <w:proofErr w:type="spellEnd"/>
      <w:r>
        <w:rPr>
          <w:rStyle w:val="Strong"/>
          <w:rFonts w:ascii="Times New Roman" w:hAnsi="Times New Roman" w:cs="Times New Roman"/>
          <w:b w:val="0"/>
          <w:color w:val="333333"/>
          <w:sz w:val="24"/>
          <w:szCs w:val="24"/>
          <w:shd w:val="clear" w:color="auto" w:fill="FFFFFF"/>
        </w:rPr>
        <w:t xml:space="preserve">, 2014) Although the brief did not state that RFRA was unconstitutional explicitly, these groups were clear that any exemption given under RFRA was legislative and, therefore, would be subject to constitutional scrutiny as applied, which would presumably be unconstitutional according to their interpretation of the </w:t>
      </w:r>
      <w:r>
        <w:rPr>
          <w:rStyle w:val="Strong"/>
          <w:rFonts w:ascii="Times New Roman" w:hAnsi="Times New Roman" w:cs="Times New Roman"/>
          <w:b w:val="0"/>
          <w:i/>
          <w:color w:val="333333"/>
          <w:sz w:val="24"/>
          <w:szCs w:val="24"/>
          <w:shd w:val="clear" w:color="auto" w:fill="FFFFFF"/>
        </w:rPr>
        <w:t>Smith</w:t>
      </w:r>
      <w:r>
        <w:rPr>
          <w:rStyle w:val="Strong"/>
          <w:rFonts w:ascii="Times New Roman" w:hAnsi="Times New Roman" w:cs="Times New Roman"/>
          <w:b w:val="0"/>
          <w:color w:val="333333"/>
          <w:sz w:val="24"/>
          <w:szCs w:val="24"/>
          <w:shd w:val="clear" w:color="auto" w:fill="FFFFFF"/>
        </w:rPr>
        <w:t xml:space="preserve"> decision. In addition to this argument, the brief hinted that because exemptions </w:t>
      </w:r>
      <w:r>
        <w:rPr>
          <w:rStyle w:val="Strong"/>
          <w:rFonts w:ascii="Times New Roman" w:hAnsi="Times New Roman" w:cs="Times New Roman"/>
          <w:b w:val="0"/>
          <w:i/>
          <w:color w:val="333333"/>
          <w:sz w:val="24"/>
          <w:szCs w:val="24"/>
          <w:shd w:val="clear" w:color="auto" w:fill="FFFFFF"/>
        </w:rPr>
        <w:t>de facto</w:t>
      </w:r>
      <w:r>
        <w:rPr>
          <w:rStyle w:val="Strong"/>
          <w:rFonts w:ascii="Times New Roman" w:hAnsi="Times New Roman" w:cs="Times New Roman"/>
          <w:b w:val="0"/>
          <w:color w:val="333333"/>
          <w:sz w:val="24"/>
          <w:szCs w:val="24"/>
          <w:shd w:val="clear" w:color="auto" w:fill="FFFFFF"/>
        </w:rPr>
        <w:t xml:space="preserve"> favor </w:t>
      </w:r>
      <w:r>
        <w:rPr>
          <w:rStyle w:val="Strong"/>
          <w:rFonts w:ascii="Times New Roman" w:hAnsi="Times New Roman" w:cs="Times New Roman"/>
          <w:b w:val="0"/>
          <w:color w:val="333333"/>
          <w:sz w:val="24"/>
          <w:szCs w:val="24"/>
          <w:shd w:val="clear" w:color="auto" w:fill="FFFFFF"/>
        </w:rPr>
        <w:lastRenderedPageBreak/>
        <w:t>one religion over another, it is possible that any exemption to a neutrally applicable laws could be judged as an unconstitutional endorsement of one religion over another. In contrast to the old coalitions’ briefs which attempted to save parts of RFRA for future use, the Center for Inquiry brief was concerned with making the scope of RFRA as narrow as possible.</w:t>
      </w:r>
    </w:p>
    <w:p w14:paraId="7645B338" w14:textId="285271E4" w:rsidR="00264CF2" w:rsidRPr="00F02653" w:rsidRDefault="00264CF2" w:rsidP="00264CF2">
      <w:pPr>
        <w:spacing w:line="480" w:lineRule="auto"/>
        <w:contextualSpacing/>
        <w:rPr>
          <w:rFonts w:ascii="Times New Roman" w:hAnsi="Times New Roman" w:cs="Times New Roman"/>
          <w:b/>
          <w:sz w:val="24"/>
          <w:szCs w:val="24"/>
        </w:rPr>
      </w:pPr>
      <w:r>
        <w:rPr>
          <w:rStyle w:val="Strong"/>
          <w:rFonts w:ascii="Times New Roman" w:hAnsi="Times New Roman" w:cs="Times New Roman"/>
          <w:b w:val="0"/>
          <w:color w:val="333333"/>
          <w:sz w:val="24"/>
          <w:szCs w:val="24"/>
          <w:shd w:val="clear" w:color="auto" w:fill="FFFFFF"/>
        </w:rPr>
        <w:tab/>
        <w:t xml:space="preserve">The brief filed by the Freedom </w:t>
      </w:r>
      <w:proofErr w:type="gramStart"/>
      <w:r w:rsidR="0033098B">
        <w:rPr>
          <w:rStyle w:val="Strong"/>
          <w:rFonts w:ascii="Times New Roman" w:hAnsi="Times New Roman" w:cs="Times New Roman"/>
          <w:b w:val="0"/>
          <w:color w:val="333333"/>
          <w:sz w:val="24"/>
          <w:szCs w:val="24"/>
          <w:shd w:val="clear" w:color="auto" w:fill="FFFFFF"/>
        </w:rPr>
        <w:t>F</w:t>
      </w:r>
      <w:r>
        <w:rPr>
          <w:rStyle w:val="Strong"/>
          <w:rFonts w:ascii="Times New Roman" w:hAnsi="Times New Roman" w:cs="Times New Roman"/>
          <w:b w:val="0"/>
          <w:color w:val="333333"/>
          <w:sz w:val="24"/>
          <w:szCs w:val="24"/>
          <w:shd w:val="clear" w:color="auto" w:fill="FFFFFF"/>
        </w:rPr>
        <w:t>rom</w:t>
      </w:r>
      <w:proofErr w:type="gramEnd"/>
      <w:r>
        <w:rPr>
          <w:rStyle w:val="Strong"/>
          <w:rFonts w:ascii="Times New Roman" w:hAnsi="Times New Roman" w:cs="Times New Roman"/>
          <w:b w:val="0"/>
          <w:color w:val="333333"/>
          <w:sz w:val="24"/>
          <w:szCs w:val="24"/>
          <w:shd w:val="clear" w:color="auto" w:fill="FFFFFF"/>
        </w:rPr>
        <w:t xml:space="preserve"> Religion Foundation, which a number of groups fighting child abuse by clergy joined, eschewed discussing arguments concerning </w:t>
      </w:r>
      <w:r>
        <w:rPr>
          <w:rStyle w:val="Strong"/>
          <w:rFonts w:ascii="Times New Roman" w:hAnsi="Times New Roman" w:cs="Times New Roman"/>
          <w:b w:val="0"/>
          <w:i/>
          <w:color w:val="333333"/>
          <w:sz w:val="24"/>
          <w:szCs w:val="24"/>
          <w:shd w:val="clear" w:color="auto" w:fill="FFFFFF"/>
        </w:rPr>
        <w:t>Hobby Lobby</w:t>
      </w:r>
      <w:r>
        <w:rPr>
          <w:rStyle w:val="Strong"/>
          <w:rFonts w:ascii="Times New Roman" w:hAnsi="Times New Roman" w:cs="Times New Roman"/>
          <w:b w:val="0"/>
          <w:color w:val="333333"/>
          <w:sz w:val="24"/>
          <w:szCs w:val="24"/>
          <w:shd w:val="clear" w:color="auto" w:fill="FFFFFF"/>
        </w:rPr>
        <w:t xml:space="preserve"> in particular and instead argued that RFRA in its entirety was unconstitutional (Hamilton, 2014). Marci Hamilton, an anti-RFRA legal scholar and clergy abuse victims advocate, wrote the argument for these organizations, claiming that RFRA violated the principle of separation of powers, Article V’s amendment procedures, the Establishment clause, and Congress’s powers under Article I. In response to the Court’s decision to interpret RFRA broadly in favor of </w:t>
      </w:r>
      <w:r>
        <w:rPr>
          <w:rStyle w:val="Strong"/>
          <w:rFonts w:ascii="Times New Roman" w:hAnsi="Times New Roman" w:cs="Times New Roman"/>
          <w:b w:val="0"/>
          <w:i/>
          <w:color w:val="333333"/>
          <w:sz w:val="24"/>
          <w:szCs w:val="24"/>
          <w:shd w:val="clear" w:color="auto" w:fill="FFFFFF"/>
        </w:rPr>
        <w:t>Hobby Lobby</w:t>
      </w:r>
      <w:r>
        <w:rPr>
          <w:rStyle w:val="Strong"/>
          <w:rFonts w:ascii="Times New Roman" w:hAnsi="Times New Roman" w:cs="Times New Roman"/>
          <w:b w:val="0"/>
          <w:color w:val="333333"/>
          <w:sz w:val="24"/>
          <w:szCs w:val="24"/>
          <w:shd w:val="clear" w:color="auto" w:fill="FFFFFF"/>
        </w:rPr>
        <w:t xml:space="preserve">, the FFRF continued to pursue these claims by issuing an action alert to lobby for the congressional repeal of RFRA </w:t>
      </w:r>
      <w:r w:rsidR="0033098B">
        <w:rPr>
          <w:rStyle w:val="Strong"/>
          <w:rFonts w:ascii="Times New Roman" w:hAnsi="Times New Roman" w:cs="Times New Roman"/>
          <w:b w:val="0"/>
          <w:color w:val="333333"/>
          <w:sz w:val="24"/>
          <w:szCs w:val="24"/>
          <w:shd w:val="clear" w:color="auto" w:fill="FFFFFF"/>
        </w:rPr>
        <w:t xml:space="preserve">(Freedom </w:t>
      </w:r>
      <w:proofErr w:type="gramStart"/>
      <w:r w:rsidR="0033098B">
        <w:rPr>
          <w:rStyle w:val="Strong"/>
          <w:rFonts w:ascii="Times New Roman" w:hAnsi="Times New Roman" w:cs="Times New Roman"/>
          <w:b w:val="0"/>
          <w:color w:val="333333"/>
          <w:sz w:val="24"/>
          <w:szCs w:val="24"/>
          <w:shd w:val="clear" w:color="auto" w:fill="FFFFFF"/>
        </w:rPr>
        <w:t>F</w:t>
      </w:r>
      <w:r>
        <w:rPr>
          <w:rStyle w:val="Strong"/>
          <w:rFonts w:ascii="Times New Roman" w:hAnsi="Times New Roman" w:cs="Times New Roman"/>
          <w:b w:val="0"/>
          <w:color w:val="333333"/>
          <w:sz w:val="24"/>
          <w:szCs w:val="24"/>
          <w:shd w:val="clear" w:color="auto" w:fill="FFFFFF"/>
        </w:rPr>
        <w:t>rom</w:t>
      </w:r>
      <w:proofErr w:type="gramEnd"/>
      <w:r>
        <w:rPr>
          <w:rStyle w:val="Strong"/>
          <w:rFonts w:ascii="Times New Roman" w:hAnsi="Times New Roman" w:cs="Times New Roman"/>
          <w:b w:val="0"/>
          <w:color w:val="333333"/>
          <w:sz w:val="24"/>
          <w:szCs w:val="24"/>
          <w:shd w:val="clear" w:color="auto" w:fill="FFFFFF"/>
        </w:rPr>
        <w:t xml:space="preserve"> Religion Foundation, 2014a). The organization also took out a full-page ad in </w:t>
      </w:r>
      <w:r>
        <w:rPr>
          <w:rStyle w:val="Strong"/>
          <w:rFonts w:ascii="Times New Roman" w:hAnsi="Times New Roman" w:cs="Times New Roman"/>
          <w:b w:val="0"/>
          <w:i/>
          <w:color w:val="333333"/>
          <w:sz w:val="24"/>
          <w:szCs w:val="24"/>
          <w:shd w:val="clear" w:color="auto" w:fill="FFFFFF"/>
        </w:rPr>
        <w:t>The New York Times</w:t>
      </w:r>
      <w:r>
        <w:rPr>
          <w:rStyle w:val="Strong"/>
          <w:rFonts w:ascii="Times New Roman" w:hAnsi="Times New Roman" w:cs="Times New Roman"/>
          <w:b w:val="0"/>
          <w:color w:val="333333"/>
          <w:sz w:val="24"/>
          <w:szCs w:val="24"/>
          <w:shd w:val="clear" w:color="auto" w:fill="FFFFFF"/>
        </w:rPr>
        <w:t xml:space="preserve"> protesting RFRA and the Court’s decision, which they argued was antithetical to both gender and religious equality (Freedom </w:t>
      </w:r>
      <w:proofErr w:type="gramStart"/>
      <w:r w:rsidR="0033098B">
        <w:rPr>
          <w:rStyle w:val="Strong"/>
          <w:rFonts w:ascii="Times New Roman" w:hAnsi="Times New Roman" w:cs="Times New Roman"/>
          <w:b w:val="0"/>
          <w:color w:val="333333"/>
          <w:sz w:val="24"/>
          <w:szCs w:val="24"/>
          <w:shd w:val="clear" w:color="auto" w:fill="FFFFFF"/>
        </w:rPr>
        <w:t>F</w:t>
      </w:r>
      <w:r>
        <w:rPr>
          <w:rStyle w:val="Strong"/>
          <w:rFonts w:ascii="Times New Roman" w:hAnsi="Times New Roman" w:cs="Times New Roman"/>
          <w:b w:val="0"/>
          <w:color w:val="333333"/>
          <w:sz w:val="24"/>
          <w:szCs w:val="24"/>
          <w:shd w:val="clear" w:color="auto" w:fill="FFFFFF"/>
        </w:rPr>
        <w:t>rom</w:t>
      </w:r>
      <w:proofErr w:type="gramEnd"/>
      <w:r>
        <w:rPr>
          <w:rStyle w:val="Strong"/>
          <w:rFonts w:ascii="Times New Roman" w:hAnsi="Times New Roman" w:cs="Times New Roman"/>
          <w:b w:val="0"/>
          <w:color w:val="333333"/>
          <w:sz w:val="24"/>
          <w:szCs w:val="24"/>
          <w:shd w:val="clear" w:color="auto" w:fill="FFFFFF"/>
        </w:rPr>
        <w:t xml:space="preserve"> Religion Foundation, 2014b).</w:t>
      </w:r>
      <w:r>
        <w:rPr>
          <w:rFonts w:ascii="Times New Roman" w:hAnsi="Times New Roman" w:cs="Times New Roman"/>
          <w:b/>
          <w:sz w:val="24"/>
          <w:szCs w:val="24"/>
        </w:rPr>
        <w:t xml:space="preserve"> </w:t>
      </w:r>
      <w:r>
        <w:rPr>
          <w:rStyle w:val="Strong"/>
          <w:rFonts w:ascii="Times New Roman" w:hAnsi="Times New Roman" w:cs="Times New Roman"/>
          <w:b w:val="0"/>
          <w:color w:val="333333"/>
          <w:sz w:val="24"/>
          <w:szCs w:val="24"/>
          <w:shd w:val="clear" w:color="auto" w:fill="FFFFFF"/>
        </w:rPr>
        <w:t>It is in these briefs and actions that the new coalition’s idea of neutrality conflicts with the old coalition’s interpretation: rather than allowing for exemptions as long as they do not hurt another party, both new coalition briefs make the claim that RFRA has been used to protect extreme forms of religious liberty that intrude on the secular principles of the country as well as afford religious Americans additional rights that secularists do not possess.</w:t>
      </w:r>
    </w:p>
    <w:p w14:paraId="49DC8E4E" w14:textId="77777777" w:rsidR="004C7438" w:rsidRDefault="004C7438" w:rsidP="00B26404">
      <w:pPr>
        <w:spacing w:line="480" w:lineRule="auto"/>
        <w:contextualSpacing/>
        <w:rPr>
          <w:rFonts w:ascii="Times New Roman" w:hAnsi="Times New Roman" w:cs="Times New Roman"/>
          <w:sz w:val="24"/>
          <w:szCs w:val="24"/>
        </w:rPr>
      </w:pPr>
    </w:p>
    <w:p w14:paraId="5B89BAE2" w14:textId="77777777" w:rsidR="00577AAC" w:rsidRPr="00577AAC" w:rsidRDefault="00577AAC" w:rsidP="00832F52">
      <w:pPr>
        <w:spacing w:line="480" w:lineRule="auto"/>
        <w:contextualSpacing/>
        <w:rPr>
          <w:rFonts w:asciiTheme="majorBidi" w:hAnsiTheme="majorBidi" w:cstheme="majorBidi"/>
          <w:b/>
          <w:bCs/>
          <w:sz w:val="24"/>
          <w:szCs w:val="24"/>
        </w:rPr>
      </w:pPr>
      <w:r>
        <w:rPr>
          <w:rFonts w:asciiTheme="majorBidi" w:hAnsiTheme="majorBidi" w:cstheme="majorBidi"/>
          <w:b/>
          <w:bCs/>
          <w:sz w:val="24"/>
          <w:szCs w:val="24"/>
        </w:rPr>
        <w:t>Conclusion</w:t>
      </w:r>
      <w:r w:rsidR="006A6EA2">
        <w:rPr>
          <w:rFonts w:asciiTheme="majorBidi" w:hAnsiTheme="majorBidi" w:cstheme="majorBidi"/>
          <w:b/>
          <w:bCs/>
          <w:sz w:val="24"/>
          <w:szCs w:val="24"/>
        </w:rPr>
        <w:t>: The Damaging Potential of Fracture</w:t>
      </w:r>
    </w:p>
    <w:p w14:paraId="4DD34A64" w14:textId="30D9BDAC" w:rsidR="00B229F0" w:rsidRDefault="006A6EA2" w:rsidP="00B26404">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3A347B">
        <w:rPr>
          <w:rFonts w:ascii="Times New Roman" w:hAnsi="Times New Roman" w:cs="Times New Roman"/>
          <w:sz w:val="24"/>
          <w:szCs w:val="24"/>
        </w:rPr>
        <w:t xml:space="preserve">By </w:t>
      </w:r>
      <w:r w:rsidR="000506E3">
        <w:rPr>
          <w:rFonts w:ascii="Times New Roman" w:hAnsi="Times New Roman" w:cs="Times New Roman"/>
          <w:sz w:val="24"/>
          <w:szCs w:val="24"/>
        </w:rPr>
        <w:t>examining these diverse cases concerning religious liberty and religious establishment</w:t>
      </w:r>
      <w:r w:rsidR="003A347B">
        <w:rPr>
          <w:rFonts w:ascii="Times New Roman" w:hAnsi="Times New Roman" w:cs="Times New Roman"/>
          <w:sz w:val="24"/>
          <w:szCs w:val="24"/>
        </w:rPr>
        <w:t xml:space="preserve">, it is possible </w:t>
      </w:r>
      <w:r w:rsidR="000506E3">
        <w:rPr>
          <w:rFonts w:ascii="Times New Roman" w:hAnsi="Times New Roman" w:cs="Times New Roman"/>
          <w:sz w:val="24"/>
          <w:szCs w:val="24"/>
        </w:rPr>
        <w:t>understand where</w:t>
      </w:r>
      <w:r w:rsidR="003A347B">
        <w:rPr>
          <w:rFonts w:ascii="Times New Roman" w:hAnsi="Times New Roman" w:cs="Times New Roman"/>
          <w:sz w:val="24"/>
          <w:szCs w:val="24"/>
        </w:rPr>
        <w:t xml:space="preserve"> the </w:t>
      </w:r>
      <w:r w:rsidR="001E5E23">
        <w:rPr>
          <w:rFonts w:ascii="Times New Roman" w:hAnsi="Times New Roman" w:cs="Times New Roman"/>
          <w:sz w:val="24"/>
          <w:szCs w:val="24"/>
        </w:rPr>
        <w:t>separationist</w:t>
      </w:r>
      <w:r w:rsidR="003A347B">
        <w:rPr>
          <w:rFonts w:ascii="Times New Roman" w:hAnsi="Times New Roman" w:cs="Times New Roman"/>
          <w:sz w:val="24"/>
          <w:szCs w:val="24"/>
        </w:rPr>
        <w:t xml:space="preserve"> response to the Religious Right has been successful</w:t>
      </w:r>
      <w:r w:rsidR="006322E0">
        <w:rPr>
          <w:rFonts w:ascii="Times New Roman" w:hAnsi="Times New Roman" w:cs="Times New Roman"/>
          <w:sz w:val="24"/>
          <w:szCs w:val="24"/>
        </w:rPr>
        <w:t>,</w:t>
      </w:r>
      <w:r w:rsidR="003A347B">
        <w:rPr>
          <w:rFonts w:ascii="Times New Roman" w:hAnsi="Times New Roman" w:cs="Times New Roman"/>
          <w:sz w:val="24"/>
          <w:szCs w:val="24"/>
        </w:rPr>
        <w:t xml:space="preserve"> where it has failed</w:t>
      </w:r>
      <w:r w:rsidR="006322E0">
        <w:rPr>
          <w:rFonts w:ascii="Times New Roman" w:hAnsi="Times New Roman" w:cs="Times New Roman"/>
          <w:sz w:val="24"/>
          <w:szCs w:val="24"/>
        </w:rPr>
        <w:t>, and where it might have</w:t>
      </w:r>
      <w:r w:rsidR="003A347B">
        <w:rPr>
          <w:rFonts w:ascii="Times New Roman" w:hAnsi="Times New Roman" w:cs="Times New Roman"/>
          <w:sz w:val="24"/>
          <w:szCs w:val="24"/>
        </w:rPr>
        <w:t xml:space="preserve"> produced liabilities for its proponents</w:t>
      </w:r>
      <w:r w:rsidR="00670E9B">
        <w:rPr>
          <w:rFonts w:ascii="Times New Roman" w:hAnsi="Times New Roman" w:cs="Times New Roman"/>
          <w:sz w:val="24"/>
          <w:szCs w:val="24"/>
        </w:rPr>
        <w:t>’ future litigation</w:t>
      </w:r>
      <w:r w:rsidR="003A347B">
        <w:rPr>
          <w:rFonts w:ascii="Times New Roman" w:hAnsi="Times New Roman" w:cs="Times New Roman"/>
          <w:sz w:val="24"/>
          <w:szCs w:val="24"/>
        </w:rPr>
        <w:t xml:space="preserve">. Just as Thomas Keck (2002) and Rogers Smith (2011) have identified the Right’s </w:t>
      </w:r>
      <w:r w:rsidR="00B229F0">
        <w:rPr>
          <w:rFonts w:ascii="Times New Roman" w:hAnsi="Times New Roman" w:cs="Times New Roman"/>
          <w:sz w:val="24"/>
          <w:szCs w:val="24"/>
        </w:rPr>
        <w:t>victories</w:t>
      </w:r>
      <w:r w:rsidR="003A347B">
        <w:rPr>
          <w:rFonts w:ascii="Times New Roman" w:hAnsi="Times New Roman" w:cs="Times New Roman"/>
          <w:sz w:val="24"/>
          <w:szCs w:val="24"/>
        </w:rPr>
        <w:t xml:space="preserve"> as coming from well-established precedents and </w:t>
      </w:r>
      <w:r w:rsidR="0021745C">
        <w:rPr>
          <w:rFonts w:ascii="Times New Roman" w:hAnsi="Times New Roman" w:cs="Times New Roman"/>
          <w:sz w:val="24"/>
          <w:szCs w:val="24"/>
        </w:rPr>
        <w:t>constitutional discourse</w:t>
      </w:r>
      <w:r w:rsidR="003A347B">
        <w:rPr>
          <w:rFonts w:ascii="Times New Roman" w:hAnsi="Times New Roman" w:cs="Times New Roman"/>
          <w:sz w:val="24"/>
          <w:szCs w:val="24"/>
        </w:rPr>
        <w:t xml:space="preserve">, these </w:t>
      </w:r>
      <w:r w:rsidR="001E5E23">
        <w:rPr>
          <w:rFonts w:ascii="Times New Roman" w:hAnsi="Times New Roman" w:cs="Times New Roman"/>
          <w:sz w:val="24"/>
          <w:szCs w:val="24"/>
        </w:rPr>
        <w:t>separationist</w:t>
      </w:r>
      <w:r w:rsidR="003A347B">
        <w:rPr>
          <w:rFonts w:ascii="Times New Roman" w:hAnsi="Times New Roman" w:cs="Times New Roman"/>
          <w:sz w:val="24"/>
          <w:szCs w:val="24"/>
        </w:rPr>
        <w:t xml:space="preserve"> organizations have been most successful when they have used their resources to advance equal access claims, challenge the sectarian nature of public religious displays, and </w:t>
      </w:r>
      <w:r w:rsidR="0021745C">
        <w:rPr>
          <w:rFonts w:ascii="Times New Roman" w:hAnsi="Times New Roman" w:cs="Times New Roman"/>
          <w:sz w:val="24"/>
          <w:szCs w:val="24"/>
        </w:rPr>
        <w:t>balance</w:t>
      </w:r>
      <w:r w:rsidR="003A347B">
        <w:rPr>
          <w:rFonts w:ascii="Times New Roman" w:hAnsi="Times New Roman" w:cs="Times New Roman"/>
          <w:sz w:val="24"/>
          <w:szCs w:val="24"/>
        </w:rPr>
        <w:t xml:space="preserve"> their high wall of separation goals with the religious preferences of most Americans. </w:t>
      </w:r>
      <w:r w:rsidR="0072432A">
        <w:rPr>
          <w:rFonts w:ascii="Times New Roman" w:hAnsi="Times New Roman" w:cs="Times New Roman"/>
          <w:sz w:val="24"/>
          <w:szCs w:val="24"/>
        </w:rPr>
        <w:t xml:space="preserve">Unfortunately for members of the old coalition, the new coalition organizations hold principles that are often at odds with the kind of </w:t>
      </w:r>
      <w:r w:rsidR="001E5E23">
        <w:rPr>
          <w:rFonts w:ascii="Times New Roman" w:hAnsi="Times New Roman" w:cs="Times New Roman"/>
          <w:sz w:val="24"/>
          <w:szCs w:val="24"/>
        </w:rPr>
        <w:t>separationist</w:t>
      </w:r>
      <w:r w:rsidR="0072432A">
        <w:rPr>
          <w:rFonts w:ascii="Times New Roman" w:hAnsi="Times New Roman" w:cs="Times New Roman"/>
          <w:sz w:val="24"/>
          <w:szCs w:val="24"/>
        </w:rPr>
        <w:t xml:space="preserve"> legal arguments that have enjoyed </w:t>
      </w:r>
      <w:r w:rsidR="00B229F0">
        <w:rPr>
          <w:rFonts w:ascii="Times New Roman" w:hAnsi="Times New Roman" w:cs="Times New Roman"/>
          <w:sz w:val="24"/>
          <w:szCs w:val="24"/>
        </w:rPr>
        <w:t>success before the Court. Although it may be political</w:t>
      </w:r>
      <w:r w:rsidR="00B26404">
        <w:rPr>
          <w:rFonts w:ascii="Times New Roman" w:hAnsi="Times New Roman" w:cs="Times New Roman"/>
          <w:sz w:val="24"/>
          <w:szCs w:val="24"/>
        </w:rPr>
        <w:t>ly</w:t>
      </w:r>
      <w:r w:rsidR="00B229F0">
        <w:rPr>
          <w:rFonts w:ascii="Times New Roman" w:hAnsi="Times New Roman" w:cs="Times New Roman"/>
          <w:sz w:val="24"/>
          <w:szCs w:val="24"/>
        </w:rPr>
        <w:t xml:space="preserve"> inefficacious at times, the approach taken by atheist and humanist groups comes from a foundational ethos that </w:t>
      </w:r>
      <w:r w:rsidR="0021745C">
        <w:rPr>
          <w:rFonts w:ascii="Times New Roman" w:hAnsi="Times New Roman" w:cs="Times New Roman"/>
          <w:sz w:val="24"/>
          <w:szCs w:val="24"/>
        </w:rPr>
        <w:t xml:space="preserve">perceives </w:t>
      </w:r>
      <w:r w:rsidR="00B229F0">
        <w:rPr>
          <w:rFonts w:ascii="Times New Roman" w:hAnsi="Times New Roman" w:cs="Times New Roman"/>
          <w:sz w:val="24"/>
          <w:szCs w:val="24"/>
        </w:rPr>
        <w:t xml:space="preserve">the Constitution </w:t>
      </w:r>
      <w:r w:rsidR="0021745C">
        <w:rPr>
          <w:rFonts w:ascii="Times New Roman" w:hAnsi="Times New Roman" w:cs="Times New Roman"/>
          <w:sz w:val="24"/>
          <w:szCs w:val="24"/>
        </w:rPr>
        <w:t>to require</w:t>
      </w:r>
      <w:r w:rsidR="00B229F0">
        <w:rPr>
          <w:rFonts w:ascii="Times New Roman" w:hAnsi="Times New Roman" w:cs="Times New Roman"/>
          <w:sz w:val="24"/>
          <w:szCs w:val="24"/>
        </w:rPr>
        <w:t xml:space="preserve"> hyper-secularism and most—if not all—government relations with religious institutions </w:t>
      </w:r>
      <w:r w:rsidR="0021745C">
        <w:rPr>
          <w:rFonts w:ascii="Times New Roman" w:hAnsi="Times New Roman" w:cs="Times New Roman"/>
          <w:sz w:val="24"/>
          <w:szCs w:val="24"/>
        </w:rPr>
        <w:t>as</w:t>
      </w:r>
      <w:r w:rsidR="00B229F0">
        <w:rPr>
          <w:rFonts w:ascii="Times New Roman" w:hAnsi="Times New Roman" w:cs="Times New Roman"/>
          <w:sz w:val="24"/>
          <w:szCs w:val="24"/>
        </w:rPr>
        <w:t xml:space="preserve"> constitutionally suspect. Ultimately, this fracture in the </w:t>
      </w:r>
      <w:r w:rsidR="001E5E23">
        <w:rPr>
          <w:rFonts w:ascii="Times New Roman" w:hAnsi="Times New Roman" w:cs="Times New Roman"/>
          <w:sz w:val="24"/>
          <w:szCs w:val="24"/>
        </w:rPr>
        <w:t>separationist</w:t>
      </w:r>
      <w:r w:rsidR="00B229F0">
        <w:rPr>
          <w:rFonts w:ascii="Times New Roman" w:hAnsi="Times New Roman" w:cs="Times New Roman"/>
          <w:sz w:val="24"/>
          <w:szCs w:val="24"/>
        </w:rPr>
        <w:t xml:space="preserve"> response to the rise of the Religious Right has the potential to damage the coalitions’ joint aim to combat the encroachment of religion into the public sphere.</w:t>
      </w:r>
      <w:r w:rsidR="00DA123F">
        <w:rPr>
          <w:rFonts w:ascii="Times New Roman" w:hAnsi="Times New Roman" w:cs="Times New Roman"/>
          <w:sz w:val="24"/>
          <w:szCs w:val="24"/>
        </w:rPr>
        <w:t xml:space="preserve"> </w:t>
      </w:r>
    </w:p>
    <w:p w14:paraId="3DD9B372" w14:textId="4D2A55C1" w:rsidR="008C36D9" w:rsidRDefault="008C36D9" w:rsidP="00B2640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DC5A88">
        <w:rPr>
          <w:rFonts w:ascii="Times New Roman" w:hAnsi="Times New Roman" w:cs="Times New Roman"/>
          <w:sz w:val="24"/>
          <w:szCs w:val="24"/>
        </w:rPr>
        <w:t xml:space="preserve">Is it possible for these strands of </w:t>
      </w:r>
      <w:proofErr w:type="spellStart"/>
      <w:r w:rsidR="00DC5A88">
        <w:rPr>
          <w:rFonts w:ascii="Times New Roman" w:hAnsi="Times New Roman" w:cs="Times New Roman"/>
          <w:sz w:val="24"/>
          <w:szCs w:val="24"/>
        </w:rPr>
        <w:t>separationalism</w:t>
      </w:r>
      <w:proofErr w:type="spellEnd"/>
      <w:r w:rsidR="00DC5A88">
        <w:rPr>
          <w:rFonts w:ascii="Times New Roman" w:hAnsi="Times New Roman" w:cs="Times New Roman"/>
          <w:sz w:val="24"/>
          <w:szCs w:val="24"/>
        </w:rPr>
        <w:t xml:space="preserve"> to come together around a common moral approach that is simultaneously politically efficacious? </w:t>
      </w:r>
      <w:r w:rsidR="00250B36">
        <w:rPr>
          <w:rFonts w:ascii="Times New Roman" w:hAnsi="Times New Roman" w:cs="Times New Roman"/>
          <w:sz w:val="24"/>
          <w:szCs w:val="24"/>
        </w:rPr>
        <w:t xml:space="preserve">After all, </w:t>
      </w:r>
      <w:r w:rsidR="0058090D">
        <w:rPr>
          <w:rFonts w:ascii="Times New Roman" w:hAnsi="Times New Roman" w:cs="Times New Roman"/>
          <w:sz w:val="24"/>
          <w:szCs w:val="24"/>
        </w:rPr>
        <w:t xml:space="preserve">members of </w:t>
      </w:r>
      <w:r w:rsidR="00DF2359">
        <w:rPr>
          <w:rFonts w:ascii="Times New Roman" w:hAnsi="Times New Roman" w:cs="Times New Roman"/>
          <w:sz w:val="24"/>
          <w:szCs w:val="24"/>
        </w:rPr>
        <w:t>both</w:t>
      </w:r>
      <w:r w:rsidR="0058090D">
        <w:rPr>
          <w:rFonts w:ascii="Times New Roman" w:hAnsi="Times New Roman" w:cs="Times New Roman"/>
          <w:sz w:val="24"/>
          <w:szCs w:val="24"/>
        </w:rPr>
        <w:t xml:space="preserve"> </w:t>
      </w:r>
      <w:r w:rsidR="00250B36">
        <w:rPr>
          <w:rFonts w:ascii="Times New Roman" w:hAnsi="Times New Roman" w:cs="Times New Roman"/>
          <w:sz w:val="24"/>
          <w:szCs w:val="24"/>
        </w:rPr>
        <w:t>coalitions have collaborated in significant cases inclu</w:t>
      </w:r>
      <w:r w:rsidR="00E656D6">
        <w:rPr>
          <w:rFonts w:ascii="Times New Roman" w:hAnsi="Times New Roman" w:cs="Times New Roman"/>
          <w:sz w:val="24"/>
          <w:szCs w:val="24"/>
        </w:rPr>
        <w:t>ding challenges to the funding of faith-based organizations (</w:t>
      </w:r>
      <w:r w:rsidR="00E656D6" w:rsidRPr="00E656D6">
        <w:rPr>
          <w:rFonts w:ascii="Times New Roman" w:hAnsi="Times New Roman" w:cs="Times New Roman"/>
          <w:i/>
          <w:sz w:val="24"/>
          <w:szCs w:val="24"/>
        </w:rPr>
        <w:t xml:space="preserve">Hein v. Freedom </w:t>
      </w:r>
      <w:proofErr w:type="gramStart"/>
      <w:r w:rsidR="00E656D6" w:rsidRPr="00E656D6">
        <w:rPr>
          <w:rFonts w:ascii="Times New Roman" w:hAnsi="Times New Roman" w:cs="Times New Roman"/>
          <w:i/>
          <w:sz w:val="24"/>
          <w:szCs w:val="24"/>
        </w:rPr>
        <w:t>From</w:t>
      </w:r>
      <w:proofErr w:type="gramEnd"/>
      <w:r w:rsidR="00E656D6" w:rsidRPr="00E656D6">
        <w:rPr>
          <w:rFonts w:ascii="Times New Roman" w:hAnsi="Times New Roman" w:cs="Times New Roman"/>
          <w:i/>
          <w:sz w:val="24"/>
          <w:szCs w:val="24"/>
        </w:rPr>
        <w:t xml:space="preserve"> Religion Foundation</w:t>
      </w:r>
      <w:r w:rsidR="00E656D6" w:rsidRPr="00E656D6">
        <w:rPr>
          <w:rFonts w:ascii="Times New Roman" w:hAnsi="Times New Roman" w:cs="Times New Roman"/>
          <w:sz w:val="24"/>
          <w:szCs w:val="24"/>
        </w:rPr>
        <w:t>, 551 U.S. 587 (2007)</w:t>
      </w:r>
      <w:r w:rsidR="00E656D6">
        <w:rPr>
          <w:rFonts w:ascii="Times New Roman" w:hAnsi="Times New Roman" w:cs="Times New Roman"/>
          <w:sz w:val="24"/>
          <w:szCs w:val="24"/>
        </w:rPr>
        <w:t xml:space="preserve"> </w:t>
      </w:r>
      <w:r w:rsidR="0058090D">
        <w:rPr>
          <w:rFonts w:ascii="Times New Roman" w:hAnsi="Times New Roman" w:cs="Times New Roman"/>
          <w:sz w:val="24"/>
          <w:szCs w:val="24"/>
        </w:rPr>
        <w:t>as well as the</w:t>
      </w:r>
      <w:r w:rsidR="00E656D6">
        <w:rPr>
          <w:rFonts w:ascii="Times New Roman" w:hAnsi="Times New Roman" w:cs="Times New Roman"/>
          <w:sz w:val="24"/>
          <w:szCs w:val="24"/>
        </w:rPr>
        <w:t xml:space="preserve"> recitation of the phrase “under God” in the Pledge of Allegiance (</w:t>
      </w:r>
      <w:r w:rsidR="00F75E6E" w:rsidRPr="00F75E6E">
        <w:rPr>
          <w:rFonts w:ascii="Times New Roman" w:hAnsi="Times New Roman" w:cs="Times New Roman"/>
          <w:i/>
          <w:sz w:val="24"/>
          <w:szCs w:val="24"/>
        </w:rPr>
        <w:t xml:space="preserve">Elk Grove Unified School District v. </w:t>
      </w:r>
      <w:proofErr w:type="spellStart"/>
      <w:r w:rsidR="00F75E6E" w:rsidRPr="00F75E6E">
        <w:rPr>
          <w:rFonts w:ascii="Times New Roman" w:hAnsi="Times New Roman" w:cs="Times New Roman"/>
          <w:i/>
          <w:sz w:val="24"/>
          <w:szCs w:val="24"/>
        </w:rPr>
        <w:t>Newdow</w:t>
      </w:r>
      <w:proofErr w:type="spellEnd"/>
      <w:r w:rsidR="00F75E6E" w:rsidRPr="00F75E6E">
        <w:rPr>
          <w:rFonts w:ascii="Times New Roman" w:hAnsi="Times New Roman" w:cs="Times New Roman"/>
          <w:sz w:val="24"/>
          <w:szCs w:val="24"/>
        </w:rPr>
        <w:t>, 542 U.S. 1 (2004)</w:t>
      </w:r>
      <w:r w:rsidR="00F75E6E">
        <w:rPr>
          <w:rFonts w:ascii="Times New Roman" w:hAnsi="Times New Roman" w:cs="Times New Roman"/>
          <w:sz w:val="24"/>
          <w:szCs w:val="24"/>
        </w:rPr>
        <w:t xml:space="preserve">. </w:t>
      </w:r>
      <w:r w:rsidR="0058090D">
        <w:rPr>
          <w:rFonts w:ascii="Times New Roman" w:hAnsi="Times New Roman" w:cs="Times New Roman"/>
          <w:sz w:val="24"/>
          <w:szCs w:val="24"/>
        </w:rPr>
        <w:t xml:space="preserve">For the moment, however, this seems to be the extent of cooperation that can be expected of these diverse groups. Even though a myriad of </w:t>
      </w:r>
      <w:r w:rsidR="0058090D">
        <w:rPr>
          <w:rFonts w:ascii="Times New Roman" w:hAnsi="Times New Roman" w:cs="Times New Roman"/>
          <w:sz w:val="24"/>
          <w:szCs w:val="24"/>
        </w:rPr>
        <w:lastRenderedPageBreak/>
        <w:t>scholars agree that a denominational neutrality approach</w:t>
      </w:r>
      <w:r w:rsidR="008A447D">
        <w:rPr>
          <w:rFonts w:ascii="Times New Roman" w:hAnsi="Times New Roman" w:cs="Times New Roman"/>
          <w:sz w:val="24"/>
          <w:szCs w:val="24"/>
        </w:rPr>
        <w:t>—</w:t>
      </w:r>
      <w:r w:rsidR="0058090D">
        <w:rPr>
          <w:rFonts w:ascii="Times New Roman" w:hAnsi="Times New Roman" w:cs="Times New Roman"/>
          <w:sz w:val="24"/>
          <w:szCs w:val="24"/>
        </w:rPr>
        <w:t>one that appears more similar to the old coalition’s ideology</w:t>
      </w:r>
      <w:r w:rsidR="0021745C">
        <w:rPr>
          <w:rFonts w:ascii="Times New Roman" w:hAnsi="Times New Roman" w:cs="Times New Roman"/>
          <w:sz w:val="24"/>
          <w:szCs w:val="24"/>
        </w:rPr>
        <w:t xml:space="preserve"> of </w:t>
      </w:r>
      <w:proofErr w:type="spellStart"/>
      <w:r w:rsidR="006715DE">
        <w:rPr>
          <w:rFonts w:ascii="Times New Roman" w:hAnsi="Times New Roman" w:cs="Times New Roman"/>
          <w:sz w:val="24"/>
          <w:szCs w:val="24"/>
        </w:rPr>
        <w:t>nonsectarian</w:t>
      </w:r>
      <w:r w:rsidR="0021745C">
        <w:rPr>
          <w:rFonts w:ascii="Times New Roman" w:hAnsi="Times New Roman" w:cs="Times New Roman"/>
          <w:sz w:val="24"/>
          <w:szCs w:val="24"/>
        </w:rPr>
        <w:t>ism</w:t>
      </w:r>
      <w:proofErr w:type="spellEnd"/>
      <w:r w:rsidR="0058090D">
        <w:rPr>
          <w:rFonts w:ascii="Times New Roman" w:hAnsi="Times New Roman" w:cs="Times New Roman"/>
          <w:sz w:val="24"/>
          <w:szCs w:val="24"/>
        </w:rPr>
        <w:t>—will likely produce the most effective response to the Religious Right, it is doubtful that the new coalition groups will sacrifice their principled anti-religious stand</w:t>
      </w:r>
      <w:r w:rsidR="000506E3">
        <w:rPr>
          <w:rFonts w:ascii="Times New Roman" w:hAnsi="Times New Roman" w:cs="Times New Roman"/>
          <w:sz w:val="24"/>
          <w:szCs w:val="24"/>
        </w:rPr>
        <w:t xml:space="preserve"> and their identity-and movement-building projects</w:t>
      </w:r>
      <w:r w:rsidR="0058090D">
        <w:rPr>
          <w:rFonts w:ascii="Times New Roman" w:hAnsi="Times New Roman" w:cs="Times New Roman"/>
          <w:sz w:val="24"/>
          <w:szCs w:val="24"/>
        </w:rPr>
        <w:t xml:space="preserve">, especially as their members, funding, and institutional </w:t>
      </w:r>
      <w:r w:rsidR="00670E9B">
        <w:rPr>
          <w:rFonts w:ascii="Times New Roman" w:hAnsi="Times New Roman" w:cs="Times New Roman"/>
          <w:sz w:val="24"/>
          <w:szCs w:val="24"/>
        </w:rPr>
        <w:t>resources continue</w:t>
      </w:r>
      <w:r w:rsidR="0058090D">
        <w:rPr>
          <w:rFonts w:ascii="Times New Roman" w:hAnsi="Times New Roman" w:cs="Times New Roman"/>
          <w:sz w:val="24"/>
          <w:szCs w:val="24"/>
        </w:rPr>
        <w:t xml:space="preserve"> to grow</w:t>
      </w:r>
      <w:r w:rsidR="00555213">
        <w:rPr>
          <w:rFonts w:ascii="Times New Roman" w:hAnsi="Times New Roman" w:cs="Times New Roman"/>
          <w:sz w:val="24"/>
          <w:szCs w:val="24"/>
        </w:rPr>
        <w:t xml:space="preserve"> (</w:t>
      </w:r>
      <w:proofErr w:type="spellStart"/>
      <w:r w:rsidR="00555213">
        <w:rPr>
          <w:rFonts w:ascii="Times New Roman" w:hAnsi="Times New Roman" w:cs="Times New Roman"/>
          <w:sz w:val="24"/>
          <w:szCs w:val="24"/>
        </w:rPr>
        <w:t>K</w:t>
      </w:r>
      <w:r w:rsidR="008A447D">
        <w:rPr>
          <w:rFonts w:ascii="Times New Roman" w:hAnsi="Times New Roman" w:cs="Times New Roman"/>
          <w:sz w:val="24"/>
          <w:szCs w:val="24"/>
        </w:rPr>
        <w:t>oppelman</w:t>
      </w:r>
      <w:proofErr w:type="spellEnd"/>
      <w:r w:rsidR="00555213">
        <w:rPr>
          <w:rFonts w:ascii="Times New Roman" w:hAnsi="Times New Roman" w:cs="Times New Roman"/>
          <w:sz w:val="24"/>
          <w:szCs w:val="24"/>
        </w:rPr>
        <w:t>,</w:t>
      </w:r>
      <w:r w:rsidR="008A447D">
        <w:rPr>
          <w:rFonts w:ascii="Times New Roman" w:hAnsi="Times New Roman" w:cs="Times New Roman"/>
          <w:sz w:val="24"/>
          <w:szCs w:val="24"/>
        </w:rPr>
        <w:t xml:space="preserve"> 2013</w:t>
      </w:r>
      <w:r w:rsidR="00CB59C3">
        <w:rPr>
          <w:rFonts w:ascii="Times New Roman" w:hAnsi="Times New Roman" w:cs="Times New Roman"/>
          <w:sz w:val="24"/>
          <w:szCs w:val="24"/>
        </w:rPr>
        <w:t xml:space="preserve">; </w:t>
      </w:r>
      <w:proofErr w:type="spellStart"/>
      <w:r w:rsidR="00CB59C3">
        <w:rPr>
          <w:rFonts w:ascii="Times New Roman" w:hAnsi="Times New Roman" w:cs="Times New Roman"/>
          <w:sz w:val="24"/>
          <w:szCs w:val="24"/>
        </w:rPr>
        <w:t>Shiffrin</w:t>
      </w:r>
      <w:proofErr w:type="spellEnd"/>
      <w:r w:rsidR="00CB59C3">
        <w:rPr>
          <w:rFonts w:ascii="Times New Roman" w:hAnsi="Times New Roman" w:cs="Times New Roman"/>
          <w:sz w:val="24"/>
          <w:szCs w:val="24"/>
        </w:rPr>
        <w:t>, 2009</w:t>
      </w:r>
      <w:r w:rsidR="008A447D">
        <w:rPr>
          <w:rFonts w:ascii="Times New Roman" w:hAnsi="Times New Roman" w:cs="Times New Roman"/>
          <w:sz w:val="24"/>
          <w:szCs w:val="24"/>
        </w:rPr>
        <w:t>).</w:t>
      </w:r>
      <w:r w:rsidR="00DF2359">
        <w:rPr>
          <w:rFonts w:ascii="Times New Roman" w:hAnsi="Times New Roman" w:cs="Times New Roman"/>
          <w:sz w:val="24"/>
          <w:szCs w:val="24"/>
        </w:rPr>
        <w:t xml:space="preserve"> Unfortunately for the more radically-minded </w:t>
      </w:r>
      <w:r w:rsidR="001E5E23">
        <w:rPr>
          <w:rFonts w:ascii="Times New Roman" w:hAnsi="Times New Roman" w:cs="Times New Roman"/>
          <w:sz w:val="24"/>
          <w:szCs w:val="24"/>
        </w:rPr>
        <w:t>separationist</w:t>
      </w:r>
      <w:r w:rsidR="00DF2359">
        <w:rPr>
          <w:rFonts w:ascii="Times New Roman" w:hAnsi="Times New Roman" w:cs="Times New Roman"/>
          <w:sz w:val="24"/>
          <w:szCs w:val="24"/>
        </w:rPr>
        <w:t xml:space="preserve">s, </w:t>
      </w:r>
      <w:r w:rsidR="000506E3">
        <w:rPr>
          <w:rFonts w:ascii="Times New Roman" w:hAnsi="Times New Roman" w:cs="Times New Roman"/>
          <w:sz w:val="24"/>
          <w:szCs w:val="24"/>
        </w:rPr>
        <w:t xml:space="preserve">constitutional development </w:t>
      </w:r>
      <w:r w:rsidR="00B26404">
        <w:rPr>
          <w:rFonts w:ascii="Times New Roman" w:hAnsi="Times New Roman" w:cs="Times New Roman"/>
          <w:sz w:val="24"/>
          <w:szCs w:val="24"/>
        </w:rPr>
        <w:t>is constrained by</w:t>
      </w:r>
      <w:r w:rsidR="00DF2359">
        <w:rPr>
          <w:rFonts w:ascii="Times New Roman" w:hAnsi="Times New Roman" w:cs="Times New Roman"/>
          <w:sz w:val="24"/>
          <w:szCs w:val="24"/>
        </w:rPr>
        <w:t xml:space="preserve"> </w:t>
      </w:r>
      <w:r w:rsidR="00B26404">
        <w:rPr>
          <w:rFonts w:ascii="Times New Roman" w:hAnsi="Times New Roman" w:cs="Times New Roman"/>
          <w:sz w:val="24"/>
          <w:szCs w:val="24"/>
        </w:rPr>
        <w:t>a</w:t>
      </w:r>
      <w:r w:rsidR="00DF2359">
        <w:rPr>
          <w:rFonts w:ascii="Times New Roman" w:hAnsi="Times New Roman" w:cs="Times New Roman"/>
          <w:sz w:val="24"/>
          <w:szCs w:val="24"/>
        </w:rPr>
        <w:t xml:space="preserve"> path-dependent nature that prizes precedent and </w:t>
      </w:r>
      <w:r w:rsidR="000506E3">
        <w:rPr>
          <w:rFonts w:ascii="Times New Roman" w:hAnsi="Times New Roman" w:cs="Times New Roman"/>
          <w:sz w:val="24"/>
          <w:szCs w:val="24"/>
        </w:rPr>
        <w:t xml:space="preserve">often </w:t>
      </w:r>
      <w:r w:rsidR="00DF2359">
        <w:rPr>
          <w:rFonts w:ascii="Times New Roman" w:hAnsi="Times New Roman" w:cs="Times New Roman"/>
          <w:sz w:val="24"/>
          <w:szCs w:val="24"/>
        </w:rPr>
        <w:t>forces litigants to carefully craft their arguments according to established case law.</w:t>
      </w:r>
      <w:r w:rsidR="00B26404">
        <w:rPr>
          <w:rFonts w:ascii="Times New Roman" w:hAnsi="Times New Roman" w:cs="Times New Roman"/>
          <w:sz w:val="24"/>
          <w:szCs w:val="24"/>
        </w:rPr>
        <w:t xml:space="preserve"> </w:t>
      </w:r>
      <w:r w:rsidR="00DF2359">
        <w:rPr>
          <w:rFonts w:ascii="Times New Roman" w:hAnsi="Times New Roman" w:cs="Times New Roman"/>
          <w:sz w:val="24"/>
          <w:szCs w:val="24"/>
        </w:rPr>
        <w:t>At least for n</w:t>
      </w:r>
      <w:r w:rsidR="00591ADF">
        <w:rPr>
          <w:rFonts w:ascii="Times New Roman" w:hAnsi="Times New Roman" w:cs="Times New Roman"/>
          <w:sz w:val="24"/>
          <w:szCs w:val="24"/>
        </w:rPr>
        <w:t xml:space="preserve">ow and into the </w:t>
      </w:r>
      <w:r w:rsidR="008041E4">
        <w:rPr>
          <w:rFonts w:ascii="Times New Roman" w:hAnsi="Times New Roman" w:cs="Times New Roman"/>
          <w:sz w:val="24"/>
          <w:szCs w:val="24"/>
        </w:rPr>
        <w:t>foreseeable</w:t>
      </w:r>
      <w:r w:rsidR="00591ADF">
        <w:rPr>
          <w:rFonts w:ascii="Times New Roman" w:hAnsi="Times New Roman" w:cs="Times New Roman"/>
          <w:sz w:val="24"/>
          <w:szCs w:val="24"/>
        </w:rPr>
        <w:t xml:space="preserve"> future</w:t>
      </w:r>
      <w:r w:rsidR="008041E4">
        <w:rPr>
          <w:rFonts w:ascii="Times New Roman" w:hAnsi="Times New Roman" w:cs="Times New Roman"/>
          <w:sz w:val="24"/>
          <w:szCs w:val="24"/>
        </w:rPr>
        <w:t xml:space="preserve">, proponents of </w:t>
      </w:r>
      <w:proofErr w:type="spellStart"/>
      <w:r w:rsidR="00591ADF">
        <w:rPr>
          <w:rFonts w:ascii="Times New Roman" w:hAnsi="Times New Roman" w:cs="Times New Roman"/>
          <w:sz w:val="24"/>
          <w:szCs w:val="24"/>
        </w:rPr>
        <w:t>separationali</w:t>
      </w:r>
      <w:r w:rsidR="008041E4">
        <w:rPr>
          <w:rFonts w:ascii="Times New Roman" w:hAnsi="Times New Roman" w:cs="Times New Roman"/>
          <w:sz w:val="24"/>
          <w:szCs w:val="24"/>
        </w:rPr>
        <w:t>sm</w:t>
      </w:r>
      <w:proofErr w:type="spellEnd"/>
      <w:r w:rsidR="008A447D">
        <w:rPr>
          <w:rFonts w:ascii="Times New Roman" w:hAnsi="Times New Roman" w:cs="Times New Roman"/>
          <w:sz w:val="24"/>
          <w:szCs w:val="24"/>
        </w:rPr>
        <w:t xml:space="preserve"> will have to bear </w:t>
      </w:r>
      <w:r w:rsidR="003050B9">
        <w:rPr>
          <w:rFonts w:ascii="Times New Roman" w:hAnsi="Times New Roman" w:cs="Times New Roman"/>
          <w:sz w:val="24"/>
          <w:szCs w:val="24"/>
        </w:rPr>
        <w:t xml:space="preserve">with </w:t>
      </w:r>
      <w:r w:rsidR="000506E3">
        <w:rPr>
          <w:rFonts w:ascii="Times New Roman" w:hAnsi="Times New Roman" w:cs="Times New Roman"/>
          <w:sz w:val="24"/>
          <w:szCs w:val="24"/>
        </w:rPr>
        <w:t>a less than united—</w:t>
      </w:r>
      <w:r w:rsidR="003050B9">
        <w:rPr>
          <w:rFonts w:ascii="Times New Roman" w:hAnsi="Times New Roman" w:cs="Times New Roman"/>
          <w:sz w:val="24"/>
          <w:szCs w:val="24"/>
        </w:rPr>
        <w:t>and</w:t>
      </w:r>
      <w:r w:rsidR="000506E3">
        <w:rPr>
          <w:rFonts w:ascii="Times New Roman" w:hAnsi="Times New Roman" w:cs="Times New Roman"/>
          <w:sz w:val="24"/>
          <w:szCs w:val="24"/>
        </w:rPr>
        <w:t xml:space="preserve"> potentially self-destabilizing—</w:t>
      </w:r>
      <w:r w:rsidR="003050B9">
        <w:rPr>
          <w:rFonts w:ascii="Times New Roman" w:hAnsi="Times New Roman" w:cs="Times New Roman"/>
          <w:sz w:val="24"/>
          <w:szCs w:val="24"/>
        </w:rPr>
        <w:t>response to the Religious Right.</w:t>
      </w:r>
      <w:r w:rsidR="008041E4">
        <w:rPr>
          <w:rFonts w:ascii="Times New Roman" w:hAnsi="Times New Roman" w:cs="Times New Roman"/>
          <w:sz w:val="24"/>
          <w:szCs w:val="24"/>
        </w:rPr>
        <w:t xml:space="preserve"> </w:t>
      </w:r>
    </w:p>
    <w:p w14:paraId="63C60370" w14:textId="77777777" w:rsidR="003A347B" w:rsidRDefault="003A347B" w:rsidP="00D83805">
      <w:pPr>
        <w:spacing w:line="240" w:lineRule="auto"/>
        <w:contextualSpacing/>
        <w:rPr>
          <w:rFonts w:ascii="Times New Roman" w:hAnsi="Times New Roman" w:cs="Times New Roman"/>
          <w:sz w:val="24"/>
          <w:szCs w:val="24"/>
        </w:rPr>
      </w:pPr>
    </w:p>
    <w:p w14:paraId="3E7ED686" w14:textId="77777777" w:rsidR="003A347B" w:rsidRDefault="003A347B" w:rsidP="00D83805">
      <w:pPr>
        <w:spacing w:line="240" w:lineRule="auto"/>
        <w:contextualSpacing/>
        <w:rPr>
          <w:rFonts w:ascii="Times New Roman" w:hAnsi="Times New Roman" w:cs="Times New Roman"/>
          <w:sz w:val="24"/>
          <w:szCs w:val="24"/>
        </w:rPr>
      </w:pPr>
    </w:p>
    <w:p w14:paraId="22F8AFAB" w14:textId="77777777" w:rsidR="0058090D" w:rsidRDefault="0058090D" w:rsidP="00D83805">
      <w:pPr>
        <w:spacing w:line="240" w:lineRule="auto"/>
        <w:contextualSpacing/>
        <w:rPr>
          <w:rFonts w:ascii="Times New Roman" w:hAnsi="Times New Roman" w:cs="Times New Roman"/>
          <w:sz w:val="24"/>
          <w:szCs w:val="24"/>
        </w:rPr>
      </w:pPr>
    </w:p>
    <w:p w14:paraId="3977F68F" w14:textId="77777777" w:rsidR="003A347B" w:rsidRDefault="003A347B" w:rsidP="00D83805">
      <w:pPr>
        <w:spacing w:line="240" w:lineRule="auto"/>
        <w:contextualSpacing/>
        <w:rPr>
          <w:rFonts w:ascii="Times New Roman" w:hAnsi="Times New Roman" w:cs="Times New Roman"/>
          <w:sz w:val="24"/>
          <w:szCs w:val="24"/>
        </w:rPr>
      </w:pPr>
    </w:p>
    <w:p w14:paraId="4A3A91B5" w14:textId="77777777" w:rsidR="003A347B" w:rsidRDefault="003A347B" w:rsidP="00D83805">
      <w:pPr>
        <w:spacing w:line="240" w:lineRule="auto"/>
        <w:contextualSpacing/>
        <w:rPr>
          <w:rFonts w:ascii="Times New Roman" w:hAnsi="Times New Roman" w:cs="Times New Roman"/>
          <w:sz w:val="24"/>
          <w:szCs w:val="24"/>
        </w:rPr>
      </w:pPr>
    </w:p>
    <w:p w14:paraId="43F4AAB7" w14:textId="77777777" w:rsidR="00CA5E42" w:rsidRDefault="00CA5E42" w:rsidP="00D83805">
      <w:pPr>
        <w:spacing w:line="240" w:lineRule="auto"/>
        <w:contextualSpacing/>
        <w:rPr>
          <w:rFonts w:ascii="Times New Roman" w:hAnsi="Times New Roman" w:cs="Times New Roman"/>
          <w:sz w:val="24"/>
          <w:szCs w:val="24"/>
        </w:rPr>
      </w:pPr>
    </w:p>
    <w:p w14:paraId="1C45FFC8" w14:textId="77777777" w:rsidR="003A347B" w:rsidRDefault="003A347B" w:rsidP="00D83805">
      <w:pPr>
        <w:spacing w:line="240" w:lineRule="auto"/>
        <w:contextualSpacing/>
        <w:rPr>
          <w:rFonts w:ascii="Times New Roman" w:hAnsi="Times New Roman" w:cs="Times New Roman"/>
          <w:sz w:val="24"/>
          <w:szCs w:val="24"/>
        </w:rPr>
      </w:pPr>
    </w:p>
    <w:p w14:paraId="44725234" w14:textId="77777777" w:rsidR="003A347B" w:rsidRDefault="003A347B" w:rsidP="00D83805">
      <w:pPr>
        <w:spacing w:line="240" w:lineRule="auto"/>
        <w:contextualSpacing/>
        <w:rPr>
          <w:rFonts w:ascii="Times New Roman" w:hAnsi="Times New Roman" w:cs="Times New Roman"/>
          <w:sz w:val="24"/>
          <w:szCs w:val="24"/>
        </w:rPr>
      </w:pPr>
    </w:p>
    <w:p w14:paraId="70C877B8" w14:textId="77777777" w:rsidR="003A347B" w:rsidRDefault="003A347B" w:rsidP="00D83805">
      <w:pPr>
        <w:spacing w:line="240" w:lineRule="auto"/>
        <w:contextualSpacing/>
        <w:rPr>
          <w:rFonts w:ascii="Times New Roman" w:hAnsi="Times New Roman" w:cs="Times New Roman"/>
          <w:sz w:val="24"/>
          <w:szCs w:val="24"/>
        </w:rPr>
      </w:pPr>
    </w:p>
    <w:p w14:paraId="55A5BE16" w14:textId="77777777" w:rsidR="00F763D5" w:rsidRPr="009F16EB" w:rsidRDefault="00F763D5" w:rsidP="009F16EB">
      <w:pPr>
        <w:spacing w:line="240" w:lineRule="auto"/>
        <w:contextualSpacing/>
        <w:rPr>
          <w:rFonts w:asciiTheme="majorBidi" w:hAnsiTheme="majorBidi" w:cstheme="majorBidi"/>
          <w:b/>
          <w:iCs/>
          <w:sz w:val="24"/>
          <w:szCs w:val="24"/>
        </w:rPr>
      </w:pPr>
    </w:p>
    <w:p w14:paraId="527A2FBA" w14:textId="77777777" w:rsidR="00F763D5" w:rsidRDefault="00F763D5" w:rsidP="00F763D5">
      <w:pPr>
        <w:spacing w:line="240" w:lineRule="auto"/>
        <w:contextualSpacing/>
        <w:rPr>
          <w:rFonts w:ascii="Times New Roman" w:hAnsi="Times New Roman" w:cs="Times New Roman"/>
          <w:sz w:val="24"/>
          <w:szCs w:val="24"/>
        </w:rPr>
      </w:pPr>
    </w:p>
    <w:p w14:paraId="3485D554" w14:textId="77777777" w:rsidR="00EA77A3" w:rsidRDefault="00EA77A3" w:rsidP="00EA77A3">
      <w:pPr>
        <w:spacing w:line="240" w:lineRule="auto"/>
        <w:contextualSpacing/>
        <w:rPr>
          <w:rFonts w:asciiTheme="majorBidi" w:hAnsiTheme="majorBidi" w:cstheme="majorBidi"/>
          <w:b/>
          <w:sz w:val="24"/>
          <w:szCs w:val="24"/>
        </w:rPr>
      </w:pPr>
    </w:p>
    <w:p w14:paraId="37F60818" w14:textId="77777777" w:rsidR="004426EB" w:rsidRDefault="004426EB" w:rsidP="00EA77A3">
      <w:pPr>
        <w:spacing w:line="240" w:lineRule="auto"/>
        <w:contextualSpacing/>
        <w:jc w:val="center"/>
        <w:rPr>
          <w:rFonts w:asciiTheme="majorBidi" w:hAnsiTheme="majorBidi" w:cstheme="majorBidi"/>
          <w:b/>
          <w:sz w:val="24"/>
          <w:szCs w:val="24"/>
        </w:rPr>
      </w:pPr>
    </w:p>
    <w:p w14:paraId="74A155E9" w14:textId="77777777" w:rsidR="004426EB" w:rsidRDefault="004426EB" w:rsidP="00EA77A3">
      <w:pPr>
        <w:spacing w:line="240" w:lineRule="auto"/>
        <w:contextualSpacing/>
        <w:jc w:val="center"/>
        <w:rPr>
          <w:rFonts w:asciiTheme="majorBidi" w:hAnsiTheme="majorBidi" w:cstheme="majorBidi"/>
          <w:b/>
          <w:sz w:val="24"/>
          <w:szCs w:val="24"/>
        </w:rPr>
      </w:pPr>
    </w:p>
    <w:p w14:paraId="6C69B9A3" w14:textId="77777777" w:rsidR="004426EB" w:rsidRDefault="004426EB" w:rsidP="00EA77A3">
      <w:pPr>
        <w:spacing w:line="240" w:lineRule="auto"/>
        <w:contextualSpacing/>
        <w:jc w:val="center"/>
        <w:rPr>
          <w:rFonts w:asciiTheme="majorBidi" w:hAnsiTheme="majorBidi" w:cstheme="majorBidi"/>
          <w:b/>
          <w:sz w:val="24"/>
          <w:szCs w:val="24"/>
        </w:rPr>
      </w:pPr>
    </w:p>
    <w:p w14:paraId="2F0394EE" w14:textId="77777777" w:rsidR="004426EB" w:rsidRDefault="004426EB" w:rsidP="00EA77A3">
      <w:pPr>
        <w:spacing w:line="240" w:lineRule="auto"/>
        <w:contextualSpacing/>
        <w:jc w:val="center"/>
        <w:rPr>
          <w:rFonts w:asciiTheme="majorBidi" w:hAnsiTheme="majorBidi" w:cstheme="majorBidi"/>
          <w:b/>
          <w:sz w:val="24"/>
          <w:szCs w:val="24"/>
        </w:rPr>
      </w:pPr>
    </w:p>
    <w:p w14:paraId="37754BE6" w14:textId="77777777" w:rsidR="004426EB" w:rsidRDefault="004426EB" w:rsidP="00EA77A3">
      <w:pPr>
        <w:spacing w:line="240" w:lineRule="auto"/>
        <w:contextualSpacing/>
        <w:jc w:val="center"/>
        <w:rPr>
          <w:rFonts w:asciiTheme="majorBidi" w:hAnsiTheme="majorBidi" w:cstheme="majorBidi"/>
          <w:b/>
          <w:sz w:val="24"/>
          <w:szCs w:val="24"/>
        </w:rPr>
      </w:pPr>
    </w:p>
    <w:p w14:paraId="29ED7D70" w14:textId="77777777" w:rsidR="004426EB" w:rsidRDefault="004426EB" w:rsidP="00EA77A3">
      <w:pPr>
        <w:spacing w:line="240" w:lineRule="auto"/>
        <w:contextualSpacing/>
        <w:jc w:val="center"/>
        <w:rPr>
          <w:rFonts w:asciiTheme="majorBidi" w:hAnsiTheme="majorBidi" w:cstheme="majorBidi"/>
          <w:b/>
          <w:sz w:val="24"/>
          <w:szCs w:val="24"/>
        </w:rPr>
      </w:pPr>
    </w:p>
    <w:p w14:paraId="16F20516" w14:textId="77777777" w:rsidR="004426EB" w:rsidRDefault="004426EB" w:rsidP="00EA77A3">
      <w:pPr>
        <w:spacing w:line="240" w:lineRule="auto"/>
        <w:contextualSpacing/>
        <w:jc w:val="center"/>
        <w:rPr>
          <w:rFonts w:asciiTheme="majorBidi" w:hAnsiTheme="majorBidi" w:cstheme="majorBidi"/>
          <w:b/>
          <w:sz w:val="24"/>
          <w:szCs w:val="24"/>
        </w:rPr>
      </w:pPr>
    </w:p>
    <w:p w14:paraId="5DB9D6D6" w14:textId="77777777" w:rsidR="004426EB" w:rsidRDefault="004426EB" w:rsidP="00EA77A3">
      <w:pPr>
        <w:spacing w:line="240" w:lineRule="auto"/>
        <w:contextualSpacing/>
        <w:jc w:val="center"/>
        <w:rPr>
          <w:rFonts w:asciiTheme="majorBidi" w:hAnsiTheme="majorBidi" w:cstheme="majorBidi"/>
          <w:b/>
          <w:sz w:val="24"/>
          <w:szCs w:val="24"/>
        </w:rPr>
      </w:pPr>
    </w:p>
    <w:p w14:paraId="3D73B246" w14:textId="77777777" w:rsidR="004426EB" w:rsidRDefault="004426EB" w:rsidP="00EA77A3">
      <w:pPr>
        <w:spacing w:line="240" w:lineRule="auto"/>
        <w:contextualSpacing/>
        <w:jc w:val="center"/>
        <w:rPr>
          <w:rFonts w:asciiTheme="majorBidi" w:hAnsiTheme="majorBidi" w:cstheme="majorBidi"/>
          <w:b/>
          <w:sz w:val="24"/>
          <w:szCs w:val="24"/>
        </w:rPr>
      </w:pPr>
    </w:p>
    <w:p w14:paraId="1A8AFBCD" w14:textId="77777777" w:rsidR="004426EB" w:rsidRDefault="004426EB" w:rsidP="00EA77A3">
      <w:pPr>
        <w:spacing w:line="240" w:lineRule="auto"/>
        <w:contextualSpacing/>
        <w:jc w:val="center"/>
        <w:rPr>
          <w:rFonts w:asciiTheme="majorBidi" w:hAnsiTheme="majorBidi" w:cstheme="majorBidi"/>
          <w:b/>
          <w:sz w:val="24"/>
          <w:szCs w:val="24"/>
        </w:rPr>
      </w:pPr>
    </w:p>
    <w:p w14:paraId="60EAAF2D" w14:textId="77777777" w:rsidR="004426EB" w:rsidRDefault="004426EB" w:rsidP="00EA77A3">
      <w:pPr>
        <w:spacing w:line="240" w:lineRule="auto"/>
        <w:contextualSpacing/>
        <w:jc w:val="center"/>
        <w:rPr>
          <w:rFonts w:asciiTheme="majorBidi" w:hAnsiTheme="majorBidi" w:cstheme="majorBidi"/>
          <w:b/>
          <w:sz w:val="24"/>
          <w:szCs w:val="24"/>
        </w:rPr>
      </w:pPr>
    </w:p>
    <w:p w14:paraId="264F4B08" w14:textId="77777777" w:rsidR="004426EB" w:rsidRDefault="004426EB" w:rsidP="00EA77A3">
      <w:pPr>
        <w:spacing w:line="240" w:lineRule="auto"/>
        <w:contextualSpacing/>
        <w:jc w:val="center"/>
        <w:rPr>
          <w:rFonts w:asciiTheme="majorBidi" w:hAnsiTheme="majorBidi" w:cstheme="majorBidi"/>
          <w:b/>
          <w:sz w:val="24"/>
          <w:szCs w:val="24"/>
        </w:rPr>
      </w:pPr>
    </w:p>
    <w:p w14:paraId="4AFE4B25" w14:textId="77777777" w:rsidR="004426EB" w:rsidRDefault="004426EB" w:rsidP="00EA77A3">
      <w:pPr>
        <w:spacing w:line="240" w:lineRule="auto"/>
        <w:contextualSpacing/>
        <w:jc w:val="center"/>
        <w:rPr>
          <w:rFonts w:asciiTheme="majorBidi" w:hAnsiTheme="majorBidi" w:cstheme="majorBidi"/>
          <w:b/>
          <w:sz w:val="24"/>
          <w:szCs w:val="24"/>
        </w:rPr>
      </w:pPr>
    </w:p>
    <w:p w14:paraId="63A05B63" w14:textId="77777777" w:rsidR="00F35642" w:rsidRDefault="00F35642" w:rsidP="00F35642">
      <w:pPr>
        <w:spacing w:line="240" w:lineRule="auto"/>
        <w:contextualSpacing/>
        <w:rPr>
          <w:rFonts w:asciiTheme="majorBidi" w:hAnsiTheme="majorBidi" w:cstheme="majorBidi"/>
          <w:b/>
          <w:sz w:val="24"/>
          <w:szCs w:val="24"/>
        </w:rPr>
      </w:pPr>
    </w:p>
    <w:p w14:paraId="0D55BA6E" w14:textId="77777777" w:rsidR="009470D2" w:rsidRPr="003D47B0" w:rsidRDefault="00A90427" w:rsidP="00F35642">
      <w:pPr>
        <w:spacing w:line="240" w:lineRule="auto"/>
        <w:contextualSpacing/>
        <w:jc w:val="center"/>
        <w:rPr>
          <w:rFonts w:asciiTheme="majorBidi" w:hAnsiTheme="majorBidi" w:cstheme="majorBidi"/>
          <w:sz w:val="24"/>
          <w:szCs w:val="24"/>
        </w:rPr>
      </w:pPr>
      <w:bookmarkStart w:id="0" w:name="_GoBack"/>
      <w:bookmarkEnd w:id="0"/>
      <w:r>
        <w:rPr>
          <w:rFonts w:asciiTheme="majorBidi" w:hAnsiTheme="majorBidi" w:cstheme="majorBidi"/>
          <w:b/>
          <w:sz w:val="24"/>
          <w:szCs w:val="24"/>
        </w:rPr>
        <w:lastRenderedPageBreak/>
        <w:t>Bibliography</w:t>
      </w:r>
    </w:p>
    <w:p w14:paraId="2CDDC94E" w14:textId="77777777" w:rsidR="009470D2" w:rsidRPr="003D47B0" w:rsidRDefault="009470D2" w:rsidP="009470D2">
      <w:pPr>
        <w:spacing w:line="240" w:lineRule="auto"/>
        <w:contextualSpacing/>
        <w:jc w:val="center"/>
        <w:rPr>
          <w:rFonts w:asciiTheme="majorBidi" w:hAnsiTheme="majorBidi" w:cstheme="majorBidi"/>
          <w:sz w:val="24"/>
          <w:szCs w:val="24"/>
        </w:rPr>
      </w:pPr>
    </w:p>
    <w:p w14:paraId="538089C7" w14:textId="77777777" w:rsidR="00EA77A3" w:rsidRDefault="00EA77A3" w:rsidP="003A3DE0">
      <w:pPr>
        <w:spacing w:line="240" w:lineRule="auto"/>
        <w:ind w:left="720" w:hanging="720"/>
        <w:contextualSpacing/>
        <w:rPr>
          <w:rStyle w:val="Hyperlink"/>
          <w:rFonts w:asciiTheme="majorBidi" w:hAnsiTheme="majorBidi" w:cstheme="majorBidi"/>
          <w:color w:val="auto"/>
          <w:sz w:val="24"/>
          <w:szCs w:val="24"/>
          <w:u w:val="none"/>
        </w:rPr>
      </w:pPr>
      <w:r>
        <w:rPr>
          <w:rStyle w:val="Hyperlink"/>
          <w:rFonts w:asciiTheme="majorBidi" w:hAnsiTheme="majorBidi" w:cstheme="majorBidi"/>
          <w:color w:val="auto"/>
          <w:sz w:val="24"/>
          <w:szCs w:val="24"/>
          <w:u w:val="none"/>
        </w:rPr>
        <w:t xml:space="preserve">American Atheists. 2013. “Bradford County, FL: Ten Commandments Monument.” Retrieved from </w:t>
      </w:r>
      <w:r w:rsidRPr="003A3DE0">
        <w:rPr>
          <w:rStyle w:val="Hyperlink"/>
          <w:rFonts w:asciiTheme="majorBidi" w:hAnsiTheme="majorBidi" w:cstheme="majorBidi"/>
          <w:color w:val="auto"/>
          <w:sz w:val="24"/>
          <w:szCs w:val="24"/>
          <w:u w:val="none"/>
        </w:rPr>
        <w:t>http://atheists.org/legal/current/bradford-county</w:t>
      </w:r>
    </w:p>
    <w:p w14:paraId="05328C56" w14:textId="77777777" w:rsidR="00EA77A3" w:rsidRDefault="00EA77A3" w:rsidP="003A3DE0">
      <w:pPr>
        <w:spacing w:line="240" w:lineRule="auto"/>
        <w:ind w:left="720" w:hanging="720"/>
        <w:contextualSpacing/>
        <w:rPr>
          <w:rStyle w:val="Hyperlink"/>
          <w:rFonts w:asciiTheme="majorBidi" w:hAnsiTheme="majorBidi" w:cstheme="majorBidi"/>
          <w:color w:val="auto"/>
          <w:sz w:val="24"/>
          <w:szCs w:val="24"/>
          <w:u w:val="none"/>
        </w:rPr>
      </w:pPr>
    </w:p>
    <w:p w14:paraId="7F3E6813" w14:textId="22746227" w:rsidR="00EA77A3" w:rsidRDefault="00EA77A3" w:rsidP="003A3DE0">
      <w:pPr>
        <w:spacing w:line="240" w:lineRule="auto"/>
        <w:ind w:left="720" w:hanging="720"/>
        <w:contextualSpacing/>
        <w:rPr>
          <w:rStyle w:val="Hyperlink"/>
          <w:rFonts w:asciiTheme="majorBidi" w:hAnsiTheme="majorBidi" w:cstheme="majorBidi"/>
          <w:color w:val="auto"/>
          <w:sz w:val="24"/>
          <w:szCs w:val="24"/>
          <w:u w:val="none"/>
        </w:rPr>
      </w:pPr>
      <w:r>
        <w:rPr>
          <w:rStyle w:val="Hyperlink"/>
          <w:rFonts w:asciiTheme="majorBidi" w:hAnsiTheme="majorBidi" w:cstheme="majorBidi"/>
          <w:color w:val="auto"/>
          <w:sz w:val="24"/>
          <w:szCs w:val="24"/>
          <w:u w:val="none"/>
        </w:rPr>
        <w:t xml:space="preserve">American Civil Liberties Union. (2002, March 11). “The Establishment Clause and the Schools: A Legal Bulletin.” Retrieved from </w:t>
      </w:r>
      <w:hyperlink r:id="rId8" w:history="1">
        <w:r w:rsidR="009B32BB" w:rsidRPr="00206880">
          <w:rPr>
            <w:rStyle w:val="Hyperlink"/>
            <w:rFonts w:asciiTheme="majorBidi" w:hAnsiTheme="majorBidi" w:cstheme="majorBidi"/>
            <w:sz w:val="24"/>
            <w:szCs w:val="24"/>
          </w:rPr>
          <w:t>https://www.aclu.org/religion-belief/establishment-clause-and-schools-legal-bulletin</w:t>
        </w:r>
      </w:hyperlink>
    </w:p>
    <w:p w14:paraId="5FC8C910" w14:textId="77777777" w:rsidR="009B32BB" w:rsidRDefault="009B32BB" w:rsidP="003A3DE0">
      <w:pPr>
        <w:spacing w:line="240" w:lineRule="auto"/>
        <w:ind w:left="720" w:hanging="720"/>
        <w:contextualSpacing/>
        <w:rPr>
          <w:rStyle w:val="Hyperlink"/>
          <w:rFonts w:asciiTheme="majorBidi" w:hAnsiTheme="majorBidi" w:cstheme="majorBidi"/>
          <w:color w:val="auto"/>
          <w:sz w:val="24"/>
          <w:szCs w:val="24"/>
          <w:u w:val="none"/>
        </w:rPr>
      </w:pPr>
    </w:p>
    <w:p w14:paraId="65E62F62" w14:textId="1937C47B" w:rsidR="009B32BB" w:rsidRDefault="009B32BB" w:rsidP="003A3DE0">
      <w:pPr>
        <w:spacing w:line="240" w:lineRule="auto"/>
        <w:ind w:left="720" w:hanging="720"/>
        <w:contextualSpacing/>
        <w:rPr>
          <w:rStyle w:val="Hyperlink"/>
          <w:rFonts w:asciiTheme="majorBidi" w:hAnsiTheme="majorBidi" w:cstheme="majorBidi"/>
          <w:color w:val="auto"/>
          <w:sz w:val="24"/>
          <w:szCs w:val="24"/>
          <w:u w:val="none"/>
        </w:rPr>
      </w:pPr>
      <w:r>
        <w:rPr>
          <w:rStyle w:val="Hyperlink"/>
          <w:rFonts w:asciiTheme="majorBidi" w:hAnsiTheme="majorBidi" w:cstheme="majorBidi"/>
          <w:color w:val="auto"/>
          <w:sz w:val="24"/>
          <w:szCs w:val="24"/>
          <w:u w:val="none"/>
        </w:rPr>
        <w:t>American Civil Liberties Union. (2011, August 9). “</w:t>
      </w:r>
      <w:r w:rsidRPr="009B32BB">
        <w:rPr>
          <w:rStyle w:val="Hyperlink"/>
          <w:rFonts w:asciiTheme="majorBidi" w:hAnsiTheme="majorBidi" w:cstheme="majorBidi"/>
          <w:color w:val="auto"/>
          <w:sz w:val="24"/>
          <w:szCs w:val="24"/>
          <w:u w:val="none"/>
        </w:rPr>
        <w:t>Hosanna-Tabor Evangelical Lutheran Church and School v. Equal Employment Opportunity Commission</w:t>
      </w:r>
      <w:r>
        <w:rPr>
          <w:rStyle w:val="Hyperlink"/>
          <w:rFonts w:asciiTheme="majorBidi" w:hAnsiTheme="majorBidi" w:cstheme="majorBidi"/>
          <w:color w:val="auto"/>
          <w:sz w:val="24"/>
          <w:szCs w:val="24"/>
          <w:u w:val="none"/>
        </w:rPr>
        <w:t xml:space="preserve">.” </w:t>
      </w:r>
      <w:r w:rsidRPr="009B32BB">
        <w:rPr>
          <w:rStyle w:val="Hyperlink"/>
          <w:rFonts w:asciiTheme="majorBidi" w:hAnsiTheme="majorBidi" w:cstheme="majorBidi"/>
          <w:color w:val="auto"/>
          <w:sz w:val="24"/>
          <w:szCs w:val="24"/>
          <w:u w:val="none"/>
        </w:rPr>
        <w:t>https://www.aclu.org/religion-belief/hosanna-tabor-evangelical-lutheran-church-and-school-v-equal-employment-opportunity</w:t>
      </w:r>
    </w:p>
    <w:p w14:paraId="182BA0E2" w14:textId="77777777" w:rsidR="00EA77A3" w:rsidRDefault="00EA77A3" w:rsidP="003A3DE0">
      <w:pPr>
        <w:spacing w:line="240" w:lineRule="auto"/>
        <w:ind w:left="720" w:hanging="720"/>
        <w:contextualSpacing/>
        <w:rPr>
          <w:rStyle w:val="Hyperlink"/>
          <w:rFonts w:asciiTheme="majorBidi" w:hAnsiTheme="majorBidi" w:cstheme="majorBidi"/>
          <w:color w:val="auto"/>
          <w:sz w:val="24"/>
          <w:szCs w:val="24"/>
          <w:u w:val="none"/>
        </w:rPr>
      </w:pPr>
    </w:p>
    <w:p w14:paraId="5CC7BADE" w14:textId="256A3EDB" w:rsidR="00EA77A3" w:rsidRDefault="00EA77A3" w:rsidP="003A3DE0">
      <w:pPr>
        <w:spacing w:line="240" w:lineRule="auto"/>
        <w:ind w:left="720" w:hanging="720"/>
        <w:contextualSpacing/>
        <w:rPr>
          <w:rStyle w:val="Hyperlink"/>
          <w:rFonts w:asciiTheme="majorBidi" w:hAnsiTheme="majorBidi" w:cstheme="majorBidi"/>
          <w:color w:val="auto"/>
          <w:sz w:val="24"/>
          <w:szCs w:val="24"/>
          <w:u w:val="none"/>
        </w:rPr>
      </w:pPr>
      <w:r>
        <w:rPr>
          <w:rStyle w:val="Hyperlink"/>
          <w:rFonts w:asciiTheme="majorBidi" w:hAnsiTheme="majorBidi" w:cstheme="majorBidi"/>
          <w:color w:val="auto"/>
          <w:sz w:val="24"/>
          <w:szCs w:val="24"/>
          <w:u w:val="none"/>
        </w:rPr>
        <w:t xml:space="preserve">Americans United. (2011, October 21). “McCreary County v. ACLU of Kentucky.” Retrieved from </w:t>
      </w:r>
      <w:hyperlink r:id="rId9" w:history="1">
        <w:r w:rsidR="009C0301" w:rsidRPr="00B90A99">
          <w:rPr>
            <w:rStyle w:val="Hyperlink"/>
            <w:rFonts w:asciiTheme="majorBidi" w:hAnsiTheme="majorBidi" w:cstheme="majorBidi"/>
            <w:sz w:val="24"/>
            <w:szCs w:val="24"/>
          </w:rPr>
          <w:t>https://www.au.org/our-work/legal/lawsuits/mccreary-county-v-aclu-of-kentucky</w:t>
        </w:r>
      </w:hyperlink>
    </w:p>
    <w:p w14:paraId="13F6D256" w14:textId="77777777" w:rsidR="009C0301" w:rsidRDefault="009C0301" w:rsidP="003A3DE0">
      <w:pPr>
        <w:spacing w:line="240" w:lineRule="auto"/>
        <w:ind w:left="720" w:hanging="720"/>
        <w:contextualSpacing/>
        <w:rPr>
          <w:rStyle w:val="Hyperlink"/>
          <w:rFonts w:asciiTheme="majorBidi" w:hAnsiTheme="majorBidi" w:cstheme="majorBidi"/>
          <w:color w:val="auto"/>
          <w:sz w:val="24"/>
          <w:szCs w:val="24"/>
          <w:u w:val="none"/>
        </w:rPr>
      </w:pPr>
    </w:p>
    <w:p w14:paraId="7BE9FB2E" w14:textId="6106665F" w:rsidR="009C0301" w:rsidRDefault="009C0301" w:rsidP="009C0301">
      <w:pPr>
        <w:spacing w:line="240" w:lineRule="auto"/>
        <w:ind w:left="720" w:hanging="720"/>
        <w:contextualSpacing/>
        <w:rPr>
          <w:rStyle w:val="Hyperlink"/>
          <w:rFonts w:asciiTheme="majorBidi" w:hAnsiTheme="majorBidi" w:cstheme="majorBidi"/>
          <w:color w:val="auto"/>
          <w:sz w:val="24"/>
          <w:szCs w:val="24"/>
          <w:u w:val="none"/>
        </w:rPr>
      </w:pPr>
      <w:r>
        <w:rPr>
          <w:rStyle w:val="Hyperlink"/>
          <w:rFonts w:asciiTheme="majorBidi" w:hAnsiTheme="majorBidi" w:cstheme="majorBidi"/>
          <w:color w:val="auto"/>
          <w:sz w:val="24"/>
          <w:szCs w:val="24"/>
          <w:u w:val="none"/>
        </w:rPr>
        <w:t>Americans United. (2014, July 23). “</w:t>
      </w:r>
      <w:r w:rsidRPr="009C0301">
        <w:rPr>
          <w:rStyle w:val="Hyperlink"/>
          <w:rFonts w:asciiTheme="majorBidi" w:hAnsiTheme="majorBidi" w:cstheme="majorBidi"/>
          <w:color w:val="auto"/>
          <w:sz w:val="24"/>
          <w:szCs w:val="24"/>
          <w:u w:val="none"/>
        </w:rPr>
        <w:t>Americans United, Allies Challenge Michigan City</w:t>
      </w:r>
      <w:r>
        <w:rPr>
          <w:rStyle w:val="Hyperlink"/>
          <w:rFonts w:asciiTheme="majorBidi" w:hAnsiTheme="majorBidi" w:cstheme="majorBidi"/>
          <w:color w:val="auto"/>
          <w:sz w:val="24"/>
          <w:szCs w:val="24"/>
          <w:u w:val="none"/>
        </w:rPr>
        <w:t xml:space="preserve">'s Rejection Of Atheist Display: </w:t>
      </w:r>
      <w:r w:rsidRPr="009C0301">
        <w:rPr>
          <w:rStyle w:val="Hyperlink"/>
          <w:rFonts w:asciiTheme="majorBidi" w:hAnsiTheme="majorBidi" w:cstheme="majorBidi"/>
          <w:color w:val="auto"/>
          <w:sz w:val="24"/>
          <w:szCs w:val="24"/>
          <w:u w:val="none"/>
        </w:rPr>
        <w:t>Federal Lawsuit Demands Equal Space For “Reason Station,” Church-State Watchdog Says</w:t>
      </w:r>
      <w:r>
        <w:rPr>
          <w:rStyle w:val="Hyperlink"/>
          <w:rFonts w:asciiTheme="majorBidi" w:hAnsiTheme="majorBidi" w:cstheme="majorBidi"/>
          <w:color w:val="auto"/>
          <w:sz w:val="24"/>
          <w:szCs w:val="24"/>
          <w:u w:val="none"/>
        </w:rPr>
        <w:t xml:space="preserve">. </w:t>
      </w:r>
      <w:r w:rsidRPr="009C0301">
        <w:rPr>
          <w:rStyle w:val="Hyperlink"/>
          <w:rFonts w:asciiTheme="majorBidi" w:hAnsiTheme="majorBidi" w:cstheme="majorBidi"/>
          <w:color w:val="auto"/>
          <w:sz w:val="24"/>
          <w:szCs w:val="24"/>
          <w:u w:val="none"/>
        </w:rPr>
        <w:t>https://au.org/media/press-releases/americans-united-allies-challenge-michigan-citys-rejection-of-atheist-display</w:t>
      </w:r>
    </w:p>
    <w:p w14:paraId="7558BC66" w14:textId="77777777" w:rsidR="00EA77A3" w:rsidRDefault="00EA77A3" w:rsidP="003A3DE0">
      <w:pPr>
        <w:spacing w:line="240" w:lineRule="auto"/>
        <w:ind w:left="720" w:hanging="720"/>
        <w:contextualSpacing/>
        <w:rPr>
          <w:rStyle w:val="Hyperlink"/>
          <w:rFonts w:asciiTheme="majorBidi" w:hAnsiTheme="majorBidi" w:cstheme="majorBidi"/>
          <w:color w:val="auto"/>
          <w:sz w:val="24"/>
          <w:szCs w:val="24"/>
          <w:u w:val="none"/>
        </w:rPr>
      </w:pPr>
    </w:p>
    <w:p w14:paraId="68408884" w14:textId="77777777" w:rsidR="00EA77A3" w:rsidRDefault="00EA77A3" w:rsidP="003A3DE0">
      <w:pPr>
        <w:spacing w:line="240" w:lineRule="auto"/>
        <w:ind w:left="720" w:hanging="720"/>
        <w:contextualSpacing/>
        <w:rPr>
          <w:rFonts w:asciiTheme="majorBidi" w:hAnsiTheme="majorBidi" w:cstheme="majorBidi"/>
          <w:sz w:val="24"/>
          <w:szCs w:val="24"/>
        </w:rPr>
      </w:pPr>
      <w:r>
        <w:rPr>
          <w:rFonts w:asciiTheme="majorBidi" w:hAnsiTheme="majorBidi" w:cstheme="majorBidi"/>
          <w:sz w:val="24"/>
          <w:szCs w:val="24"/>
        </w:rPr>
        <w:t xml:space="preserve">Associated Press. (1999, February 4). “Atheist Student Wants Equal Time for Anti-Religious </w:t>
      </w:r>
      <w:r w:rsidRPr="00E11327">
        <w:rPr>
          <w:rFonts w:asciiTheme="majorBidi" w:hAnsiTheme="majorBidi" w:cstheme="majorBidi"/>
          <w:sz w:val="24"/>
          <w:szCs w:val="24"/>
        </w:rPr>
        <w:t xml:space="preserve">Group.” </w:t>
      </w:r>
      <w:r w:rsidRPr="00E11327">
        <w:rPr>
          <w:rFonts w:asciiTheme="majorBidi" w:hAnsiTheme="majorBidi" w:cstheme="majorBidi"/>
          <w:i/>
          <w:iCs/>
          <w:sz w:val="24"/>
          <w:szCs w:val="24"/>
        </w:rPr>
        <w:t>The Argus Press</w:t>
      </w:r>
      <w:r w:rsidRPr="00E11327">
        <w:rPr>
          <w:rFonts w:asciiTheme="majorBidi" w:hAnsiTheme="majorBidi" w:cstheme="majorBidi"/>
          <w:sz w:val="24"/>
          <w:szCs w:val="24"/>
        </w:rPr>
        <w:t xml:space="preserve">. Retrieved from </w:t>
      </w:r>
      <w:r w:rsidRPr="003A3DE0">
        <w:rPr>
          <w:rFonts w:asciiTheme="majorBidi" w:hAnsiTheme="majorBidi" w:cstheme="majorBidi"/>
          <w:sz w:val="24"/>
          <w:szCs w:val="24"/>
        </w:rPr>
        <w:t>http://news.google.com/newspapers?nid=1988&amp;dat=19990204&amp;id=gHMyAAAAIBAJ&amp;sjid=s68FAAAAIBAJ&amp;pg=1285,2801302</w:t>
      </w:r>
    </w:p>
    <w:p w14:paraId="0EC22CB6" w14:textId="77777777" w:rsidR="00EA77A3" w:rsidRPr="00E11327" w:rsidRDefault="00EA77A3" w:rsidP="003A3DE0">
      <w:pPr>
        <w:spacing w:line="240" w:lineRule="auto"/>
        <w:ind w:left="720" w:hanging="720"/>
        <w:contextualSpacing/>
        <w:rPr>
          <w:rFonts w:asciiTheme="majorBidi" w:hAnsiTheme="majorBidi" w:cstheme="majorBidi"/>
          <w:b/>
          <w:bCs/>
          <w:i/>
          <w:iCs/>
          <w:sz w:val="24"/>
          <w:szCs w:val="24"/>
        </w:rPr>
      </w:pPr>
    </w:p>
    <w:p w14:paraId="4A3A0627" w14:textId="77777777" w:rsidR="00EA77A3" w:rsidRDefault="00EA77A3" w:rsidP="003A3DE0">
      <w:pPr>
        <w:spacing w:line="240" w:lineRule="auto"/>
        <w:ind w:left="720" w:hanging="720"/>
        <w:contextualSpacing/>
        <w:rPr>
          <w:rFonts w:asciiTheme="majorBidi" w:hAnsiTheme="majorBidi" w:cstheme="majorBidi"/>
          <w:bCs/>
          <w:iCs/>
          <w:sz w:val="24"/>
          <w:szCs w:val="24"/>
        </w:rPr>
      </w:pPr>
      <w:r>
        <w:rPr>
          <w:rFonts w:asciiTheme="majorBidi" w:hAnsiTheme="majorBidi" w:cstheme="majorBidi"/>
          <w:bCs/>
          <w:iCs/>
          <w:sz w:val="24"/>
          <w:szCs w:val="24"/>
        </w:rPr>
        <w:t xml:space="preserve">Avery, Michael &amp; Danielle McLaughlin. 2013. </w:t>
      </w:r>
      <w:r>
        <w:rPr>
          <w:rFonts w:asciiTheme="majorBidi" w:hAnsiTheme="majorBidi" w:cstheme="majorBidi"/>
          <w:bCs/>
          <w:i/>
          <w:sz w:val="24"/>
          <w:szCs w:val="24"/>
        </w:rPr>
        <w:t>The Federalist Society: How Conservatives Took the Law Back from Liberals</w:t>
      </w:r>
      <w:r>
        <w:rPr>
          <w:rFonts w:asciiTheme="majorBidi" w:hAnsiTheme="majorBidi" w:cstheme="majorBidi"/>
          <w:bCs/>
          <w:iCs/>
          <w:sz w:val="24"/>
          <w:szCs w:val="24"/>
        </w:rPr>
        <w:t>. Nashville, TN: Vanderbilt University Press.</w:t>
      </w:r>
    </w:p>
    <w:p w14:paraId="2F0ADD50" w14:textId="77777777" w:rsidR="00EA77A3" w:rsidRDefault="00EA77A3" w:rsidP="003A3DE0">
      <w:pPr>
        <w:spacing w:line="240" w:lineRule="auto"/>
        <w:ind w:left="720" w:hanging="720"/>
        <w:contextualSpacing/>
        <w:rPr>
          <w:rFonts w:asciiTheme="majorBidi" w:hAnsiTheme="majorBidi" w:cstheme="majorBidi"/>
          <w:bCs/>
          <w:iCs/>
          <w:sz w:val="24"/>
          <w:szCs w:val="24"/>
        </w:rPr>
      </w:pPr>
    </w:p>
    <w:p w14:paraId="4ED9030E" w14:textId="77777777" w:rsidR="00EA77A3" w:rsidRDefault="00EA77A3" w:rsidP="003A3DE0">
      <w:pPr>
        <w:spacing w:line="240" w:lineRule="auto"/>
        <w:ind w:left="720" w:hanging="720"/>
        <w:contextualSpacing/>
        <w:rPr>
          <w:rFonts w:asciiTheme="majorBidi" w:eastAsia="Times New Roman" w:hAnsiTheme="majorBidi" w:cstheme="majorBidi"/>
          <w:sz w:val="24"/>
          <w:szCs w:val="24"/>
          <w:lang w:eastAsia="en-US"/>
        </w:rPr>
      </w:pPr>
      <w:proofErr w:type="spellStart"/>
      <w:r>
        <w:rPr>
          <w:rFonts w:asciiTheme="majorBidi" w:eastAsia="Times New Roman" w:hAnsiTheme="majorBidi" w:cstheme="majorBidi"/>
          <w:sz w:val="24"/>
          <w:szCs w:val="24"/>
          <w:lang w:eastAsia="en-US"/>
        </w:rPr>
        <w:t>Balkin</w:t>
      </w:r>
      <w:proofErr w:type="spellEnd"/>
      <w:r>
        <w:rPr>
          <w:rFonts w:asciiTheme="majorBidi" w:eastAsia="Times New Roman" w:hAnsiTheme="majorBidi" w:cstheme="majorBidi"/>
          <w:sz w:val="24"/>
          <w:szCs w:val="24"/>
          <w:lang w:eastAsia="en-US"/>
        </w:rPr>
        <w:t xml:space="preserve">, Jack. 2012. “Roots of the Living Constitution.” </w:t>
      </w:r>
      <w:r>
        <w:rPr>
          <w:rFonts w:asciiTheme="majorBidi" w:eastAsia="Times New Roman" w:hAnsiTheme="majorBidi" w:cstheme="majorBidi"/>
          <w:i/>
          <w:iCs/>
          <w:sz w:val="24"/>
          <w:szCs w:val="24"/>
          <w:lang w:eastAsia="en-US"/>
        </w:rPr>
        <w:t>Boston University Law Review 92</w:t>
      </w:r>
      <w:r>
        <w:rPr>
          <w:rFonts w:asciiTheme="majorBidi" w:eastAsia="Times New Roman" w:hAnsiTheme="majorBidi" w:cstheme="majorBidi"/>
          <w:sz w:val="24"/>
          <w:szCs w:val="24"/>
          <w:lang w:eastAsia="en-US"/>
        </w:rPr>
        <w:t>: 1129-1160.</w:t>
      </w:r>
    </w:p>
    <w:p w14:paraId="76570461" w14:textId="77777777" w:rsidR="00EA77A3" w:rsidRDefault="00EA77A3" w:rsidP="003A3DE0">
      <w:pPr>
        <w:spacing w:line="240" w:lineRule="auto"/>
        <w:ind w:left="720" w:hanging="720"/>
        <w:contextualSpacing/>
        <w:rPr>
          <w:rFonts w:asciiTheme="majorBidi" w:eastAsia="Times New Roman" w:hAnsiTheme="majorBidi" w:cstheme="majorBidi"/>
          <w:sz w:val="24"/>
          <w:szCs w:val="24"/>
          <w:lang w:eastAsia="en-US"/>
        </w:rPr>
      </w:pPr>
    </w:p>
    <w:p w14:paraId="034FE458" w14:textId="77777777" w:rsidR="00EA77A3" w:rsidRPr="003A3DE0" w:rsidRDefault="00EA77A3" w:rsidP="003A3DE0">
      <w:pPr>
        <w:spacing w:line="240" w:lineRule="auto"/>
        <w:ind w:left="720" w:hanging="720"/>
        <w:contextualSpacing/>
        <w:rPr>
          <w:rFonts w:asciiTheme="majorBidi" w:hAnsiTheme="majorBidi" w:cstheme="majorBidi"/>
          <w:i/>
          <w:iCs/>
          <w:sz w:val="24"/>
          <w:szCs w:val="24"/>
        </w:rPr>
      </w:pPr>
      <w:r>
        <w:rPr>
          <w:rFonts w:asciiTheme="majorBidi" w:eastAsia="Times New Roman" w:hAnsiTheme="majorBidi" w:cstheme="majorBidi"/>
          <w:sz w:val="24"/>
          <w:szCs w:val="24"/>
          <w:lang w:eastAsia="en-US"/>
        </w:rPr>
        <w:t xml:space="preserve">Berg, Thomas C. 2007. </w:t>
      </w:r>
      <w:r w:rsidRPr="004910B3">
        <w:rPr>
          <w:rFonts w:asciiTheme="majorBidi" w:hAnsiTheme="majorBidi" w:cstheme="majorBidi"/>
          <w:i/>
          <w:iCs/>
          <w:sz w:val="24"/>
          <w:szCs w:val="24"/>
        </w:rPr>
        <w:t>The First Amendment:</w:t>
      </w:r>
      <w:r>
        <w:rPr>
          <w:rFonts w:asciiTheme="majorBidi" w:hAnsiTheme="majorBidi" w:cstheme="majorBidi"/>
          <w:i/>
          <w:iCs/>
          <w:sz w:val="24"/>
          <w:szCs w:val="24"/>
        </w:rPr>
        <w:t xml:space="preserve"> The Free Exercise of Religion Clause: </w:t>
      </w:r>
      <w:proofErr w:type="gramStart"/>
      <w:r>
        <w:rPr>
          <w:rFonts w:asciiTheme="majorBidi" w:hAnsiTheme="majorBidi" w:cstheme="majorBidi"/>
          <w:i/>
          <w:iCs/>
          <w:sz w:val="24"/>
          <w:szCs w:val="24"/>
        </w:rPr>
        <w:t>I</w:t>
      </w:r>
      <w:r w:rsidRPr="004910B3">
        <w:rPr>
          <w:rFonts w:asciiTheme="majorBidi" w:hAnsiTheme="majorBidi" w:cstheme="majorBidi"/>
          <w:i/>
          <w:iCs/>
          <w:sz w:val="24"/>
          <w:szCs w:val="24"/>
        </w:rPr>
        <w:t>ts</w:t>
      </w:r>
      <w:proofErr w:type="gramEnd"/>
      <w:r w:rsidRPr="004910B3">
        <w:rPr>
          <w:rFonts w:asciiTheme="majorBidi" w:hAnsiTheme="majorBidi" w:cstheme="majorBidi"/>
          <w:i/>
          <w:iCs/>
          <w:sz w:val="24"/>
          <w:szCs w:val="24"/>
        </w:rPr>
        <w:t xml:space="preserve"> </w:t>
      </w:r>
      <w:r>
        <w:rPr>
          <w:rFonts w:asciiTheme="majorBidi" w:hAnsiTheme="majorBidi" w:cstheme="majorBidi"/>
          <w:i/>
          <w:iCs/>
          <w:sz w:val="24"/>
          <w:szCs w:val="24"/>
        </w:rPr>
        <w:t>Constitutional History and The Contemporary D</w:t>
      </w:r>
      <w:r w:rsidRPr="004910B3">
        <w:rPr>
          <w:rFonts w:asciiTheme="majorBidi" w:hAnsiTheme="majorBidi" w:cstheme="majorBidi"/>
          <w:i/>
          <w:iCs/>
          <w:sz w:val="24"/>
          <w:szCs w:val="24"/>
        </w:rPr>
        <w:t>ebate</w:t>
      </w:r>
      <w:r>
        <w:rPr>
          <w:rFonts w:asciiTheme="majorBidi" w:hAnsiTheme="majorBidi" w:cstheme="majorBidi"/>
          <w:sz w:val="24"/>
          <w:szCs w:val="24"/>
        </w:rPr>
        <w:t xml:space="preserve">. Amherst, NY: Prometheus Books. </w:t>
      </w:r>
    </w:p>
    <w:p w14:paraId="2AF7B50C" w14:textId="77777777" w:rsidR="00EA77A3" w:rsidRDefault="00EA77A3" w:rsidP="003A3DE0">
      <w:pPr>
        <w:spacing w:line="240" w:lineRule="auto"/>
        <w:contextualSpacing/>
        <w:rPr>
          <w:rFonts w:asciiTheme="majorBidi" w:hAnsiTheme="majorBidi" w:cstheme="majorBidi"/>
          <w:sz w:val="24"/>
          <w:szCs w:val="24"/>
        </w:rPr>
      </w:pPr>
    </w:p>
    <w:p w14:paraId="7BE96639" w14:textId="77777777" w:rsidR="00EA77A3" w:rsidRDefault="00EA77A3" w:rsidP="003A3DE0">
      <w:pPr>
        <w:spacing w:line="240" w:lineRule="auto"/>
        <w:ind w:left="720" w:hanging="720"/>
        <w:contextualSpacing/>
        <w:rPr>
          <w:rFonts w:asciiTheme="majorBidi" w:hAnsiTheme="majorBidi" w:cstheme="majorBidi"/>
          <w:sz w:val="24"/>
          <w:szCs w:val="24"/>
        </w:rPr>
      </w:pPr>
      <w:r>
        <w:rPr>
          <w:rFonts w:asciiTheme="majorBidi" w:hAnsiTheme="majorBidi" w:cstheme="majorBidi"/>
          <w:sz w:val="24"/>
          <w:szCs w:val="24"/>
        </w:rPr>
        <w:t xml:space="preserve">Blatt, Lisa S. 2013. “Brief for </w:t>
      </w:r>
      <w:r>
        <w:rPr>
          <w:rFonts w:asciiTheme="majorBidi" w:hAnsiTheme="majorBidi" w:cstheme="majorBidi"/>
          <w:i/>
          <w:iCs/>
          <w:sz w:val="24"/>
          <w:szCs w:val="24"/>
        </w:rPr>
        <w:t>Amici Curiae</w:t>
      </w:r>
      <w:r>
        <w:rPr>
          <w:rFonts w:asciiTheme="majorBidi" w:hAnsiTheme="majorBidi" w:cstheme="majorBidi"/>
          <w:sz w:val="24"/>
          <w:szCs w:val="24"/>
        </w:rPr>
        <w:t xml:space="preserve"> of </w:t>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Center for Inquiry, American Atheists, </w:t>
      </w:r>
    </w:p>
    <w:p w14:paraId="440399E2" w14:textId="77777777" w:rsidR="00EA77A3" w:rsidRDefault="00EA77A3" w:rsidP="003A3DE0">
      <w:pPr>
        <w:spacing w:line="240" w:lineRule="auto"/>
        <w:ind w:left="720"/>
        <w:contextualSpacing/>
        <w:rPr>
          <w:rFonts w:asciiTheme="majorBidi" w:hAnsiTheme="majorBidi" w:cstheme="majorBidi"/>
          <w:sz w:val="24"/>
          <w:szCs w:val="24"/>
        </w:rPr>
      </w:pPr>
      <w:r>
        <w:rPr>
          <w:rFonts w:asciiTheme="majorBidi" w:hAnsiTheme="majorBidi" w:cstheme="majorBidi"/>
          <w:sz w:val="24"/>
          <w:szCs w:val="24"/>
        </w:rPr>
        <w:t xml:space="preserve">American Ethical Union, American Humanist Association, Americans for Religious Liberty, Institute for Humanist Studies, Military Association of Atheists and Freethinkers, Secular Student Alliance, Secular Coalition for American, and Society for Humanistic Judaism in Support of Respondents, No.12-696 (U.S. 2013).” Retrieved from </w:t>
      </w:r>
      <w:r w:rsidRPr="005B2222">
        <w:rPr>
          <w:rFonts w:asciiTheme="majorBidi" w:hAnsiTheme="majorBidi" w:cstheme="majorBidi"/>
          <w:sz w:val="24"/>
          <w:szCs w:val="24"/>
        </w:rPr>
        <w:t>http://www.americanbar.org/content/dam/aba/publications/supreme_court_preview/briefs-v2/12-696_resp_amcu_cfi-etal.authcheckdam.pdf</w:t>
      </w:r>
    </w:p>
    <w:p w14:paraId="593352A2" w14:textId="77777777" w:rsidR="00EA77A3" w:rsidRDefault="00EA77A3" w:rsidP="003A3DE0">
      <w:pPr>
        <w:spacing w:line="240" w:lineRule="auto"/>
        <w:contextualSpacing/>
        <w:rPr>
          <w:rFonts w:asciiTheme="majorBidi" w:hAnsiTheme="majorBidi" w:cstheme="majorBidi"/>
          <w:sz w:val="24"/>
          <w:szCs w:val="24"/>
        </w:rPr>
      </w:pPr>
    </w:p>
    <w:p w14:paraId="20F60165" w14:textId="77777777" w:rsidR="00EA77A3" w:rsidRDefault="00EA77A3" w:rsidP="003A3DE0">
      <w:pPr>
        <w:spacing w:line="240" w:lineRule="auto"/>
        <w:ind w:left="720" w:hanging="720"/>
        <w:contextualSpacing/>
        <w:rPr>
          <w:rFonts w:asciiTheme="majorBidi" w:hAnsiTheme="majorBidi" w:cstheme="majorBidi"/>
          <w:sz w:val="24"/>
          <w:szCs w:val="24"/>
        </w:rPr>
      </w:pPr>
      <w:r>
        <w:rPr>
          <w:rFonts w:asciiTheme="majorBidi" w:hAnsiTheme="majorBidi" w:cstheme="majorBidi"/>
          <w:sz w:val="24"/>
          <w:szCs w:val="24"/>
        </w:rPr>
        <w:t xml:space="preserve">Bolton, Richard L. 2013. “Brief for </w:t>
      </w:r>
      <w:r>
        <w:rPr>
          <w:rFonts w:asciiTheme="majorBidi" w:hAnsiTheme="majorBidi" w:cstheme="majorBidi"/>
          <w:i/>
          <w:iCs/>
          <w:sz w:val="24"/>
          <w:szCs w:val="24"/>
        </w:rPr>
        <w:t>Amici Curiae</w:t>
      </w:r>
      <w:r>
        <w:rPr>
          <w:rFonts w:asciiTheme="majorBidi" w:hAnsiTheme="majorBidi" w:cstheme="majorBidi"/>
          <w:sz w:val="24"/>
          <w:szCs w:val="24"/>
        </w:rPr>
        <w:t xml:space="preserve"> of the Freedom </w:t>
      </w:r>
      <w:proofErr w:type="gramStart"/>
      <w:r>
        <w:rPr>
          <w:rFonts w:asciiTheme="majorBidi" w:hAnsiTheme="majorBidi" w:cstheme="majorBidi"/>
          <w:sz w:val="24"/>
          <w:szCs w:val="24"/>
        </w:rPr>
        <w:t>From</w:t>
      </w:r>
      <w:proofErr w:type="gramEnd"/>
      <w:r>
        <w:rPr>
          <w:rFonts w:asciiTheme="majorBidi" w:hAnsiTheme="majorBidi" w:cstheme="majorBidi"/>
          <w:sz w:val="24"/>
          <w:szCs w:val="24"/>
        </w:rPr>
        <w:t xml:space="preserve"> Religion Foundation in Support of Respondents, No.12-696 (U.S. 2013).” Retrieved from </w:t>
      </w:r>
      <w:r w:rsidRPr="005B2222">
        <w:rPr>
          <w:rFonts w:asciiTheme="majorBidi" w:hAnsiTheme="majorBidi" w:cstheme="majorBidi"/>
          <w:sz w:val="24"/>
          <w:szCs w:val="24"/>
        </w:rPr>
        <w:lastRenderedPageBreak/>
        <w:t>http://www.americanbar.org/content/dam/aba/publications/supreme_court_preview/briefs-v2/12-696_resp_amcu_ffrf.authcheckdam.pdf</w:t>
      </w:r>
    </w:p>
    <w:p w14:paraId="18A052CA" w14:textId="77777777" w:rsidR="00EA77A3" w:rsidRDefault="00EA77A3" w:rsidP="003A3DE0">
      <w:pPr>
        <w:spacing w:line="240" w:lineRule="auto"/>
        <w:contextualSpacing/>
        <w:rPr>
          <w:rFonts w:ascii="Times New Roman" w:hAnsi="Times New Roman" w:cs="Times New Roman"/>
          <w:sz w:val="24"/>
          <w:szCs w:val="24"/>
        </w:rPr>
      </w:pPr>
    </w:p>
    <w:p w14:paraId="5994D3B7" w14:textId="77777777" w:rsidR="00EA77A3" w:rsidRDefault="00EA77A3" w:rsidP="003A3DE0">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Brown, Steven. 2002. </w:t>
      </w:r>
      <w:r>
        <w:rPr>
          <w:rFonts w:ascii="Times New Roman" w:hAnsi="Times New Roman" w:cs="Times New Roman"/>
          <w:i/>
          <w:sz w:val="24"/>
          <w:szCs w:val="24"/>
        </w:rPr>
        <w:t>Trumping Religion: The New Christian Right, the Free Speech Clause, and the Courts</w:t>
      </w:r>
      <w:r>
        <w:rPr>
          <w:rFonts w:ascii="Times New Roman" w:hAnsi="Times New Roman" w:cs="Times New Roman"/>
          <w:sz w:val="24"/>
          <w:szCs w:val="24"/>
        </w:rPr>
        <w:t>. Tuscaloosa, AL: The University of Alabama Press.</w:t>
      </w:r>
    </w:p>
    <w:p w14:paraId="3D8B067F" w14:textId="77777777" w:rsidR="00EA77A3" w:rsidRDefault="00EA77A3" w:rsidP="003A3DE0">
      <w:pPr>
        <w:spacing w:line="240" w:lineRule="auto"/>
        <w:ind w:left="720" w:hanging="720"/>
        <w:contextualSpacing/>
        <w:rPr>
          <w:rFonts w:asciiTheme="majorBidi" w:eastAsia="Times New Roman" w:hAnsiTheme="majorBidi" w:cstheme="majorBidi"/>
          <w:sz w:val="24"/>
          <w:szCs w:val="24"/>
          <w:lang w:eastAsia="en-US"/>
        </w:rPr>
      </w:pPr>
    </w:p>
    <w:p w14:paraId="6E625F7A" w14:textId="420FD928" w:rsidR="00E55AD4" w:rsidRPr="00E55AD4" w:rsidRDefault="00E55AD4" w:rsidP="00BC1294">
      <w:pPr>
        <w:spacing w:line="240" w:lineRule="auto"/>
        <w:ind w:left="720" w:hanging="720"/>
        <w:contextualSpacing/>
        <w:rPr>
          <w:rFonts w:asciiTheme="majorBidi" w:eastAsia="Times New Roman" w:hAnsiTheme="majorBidi" w:cstheme="majorBidi"/>
          <w:sz w:val="24"/>
          <w:szCs w:val="24"/>
          <w:lang w:eastAsia="en-US"/>
        </w:rPr>
      </w:pPr>
      <w:proofErr w:type="spellStart"/>
      <w:r w:rsidRPr="00E55AD4">
        <w:rPr>
          <w:rFonts w:ascii="Times New Roman" w:hAnsi="Times New Roman" w:cs="Times New Roman"/>
          <w:sz w:val="24"/>
          <w:szCs w:val="24"/>
        </w:rPr>
        <w:t>Bullivant</w:t>
      </w:r>
      <w:proofErr w:type="spellEnd"/>
      <w:r w:rsidRPr="00E55AD4">
        <w:rPr>
          <w:rFonts w:ascii="Times New Roman" w:hAnsi="Times New Roman" w:cs="Times New Roman"/>
          <w:sz w:val="24"/>
          <w:szCs w:val="24"/>
        </w:rPr>
        <w:t xml:space="preserve">, Stephen (2010). “The New Atheism and Sociology: Why Here? Why Now? What Next? P109-124. In </w:t>
      </w:r>
      <w:r w:rsidRPr="00E55AD4">
        <w:rPr>
          <w:rFonts w:ascii="Times New Roman" w:hAnsi="Times New Roman" w:cs="Times New Roman"/>
          <w:i/>
          <w:sz w:val="24"/>
          <w:szCs w:val="24"/>
        </w:rPr>
        <w:t>Religion and the New Atheism: A Critical Appraisal</w:t>
      </w:r>
      <w:r w:rsidRPr="00E55AD4">
        <w:rPr>
          <w:rFonts w:ascii="Times New Roman" w:hAnsi="Times New Roman" w:cs="Times New Roman"/>
          <w:sz w:val="24"/>
          <w:szCs w:val="24"/>
        </w:rPr>
        <w:t xml:space="preserve">. Eds. </w:t>
      </w:r>
      <w:proofErr w:type="spellStart"/>
      <w:r w:rsidRPr="00E55AD4">
        <w:rPr>
          <w:rFonts w:ascii="Times New Roman" w:hAnsi="Times New Roman" w:cs="Times New Roman"/>
          <w:sz w:val="24"/>
          <w:szCs w:val="24"/>
        </w:rPr>
        <w:t>Amarnath</w:t>
      </w:r>
      <w:proofErr w:type="spellEnd"/>
      <w:r w:rsidRPr="00E55AD4">
        <w:rPr>
          <w:rFonts w:ascii="Times New Roman" w:hAnsi="Times New Roman" w:cs="Times New Roman"/>
          <w:sz w:val="24"/>
          <w:szCs w:val="24"/>
        </w:rPr>
        <w:t xml:space="preserve"> </w:t>
      </w:r>
      <w:proofErr w:type="spellStart"/>
      <w:r w:rsidRPr="00E55AD4">
        <w:rPr>
          <w:rFonts w:ascii="Times New Roman" w:hAnsi="Times New Roman" w:cs="Times New Roman"/>
          <w:sz w:val="24"/>
          <w:szCs w:val="24"/>
        </w:rPr>
        <w:t>Amarasingam</w:t>
      </w:r>
      <w:proofErr w:type="spellEnd"/>
      <w:r w:rsidRPr="00E55AD4">
        <w:rPr>
          <w:rFonts w:ascii="Times New Roman" w:hAnsi="Times New Roman" w:cs="Times New Roman"/>
          <w:sz w:val="24"/>
          <w:szCs w:val="24"/>
        </w:rPr>
        <w:t>. Boston, MA: Brill.</w:t>
      </w:r>
    </w:p>
    <w:p w14:paraId="3F7B3E42" w14:textId="77777777" w:rsidR="005F5E04" w:rsidRDefault="005F5E04" w:rsidP="00BC1294">
      <w:pPr>
        <w:spacing w:line="240" w:lineRule="auto"/>
        <w:ind w:hanging="720"/>
        <w:contextualSpacing/>
        <w:rPr>
          <w:rFonts w:asciiTheme="majorBidi" w:eastAsia="Times New Roman" w:hAnsiTheme="majorBidi" w:cstheme="majorBidi"/>
          <w:sz w:val="24"/>
          <w:szCs w:val="24"/>
          <w:lang w:eastAsia="en-US"/>
        </w:rPr>
      </w:pPr>
    </w:p>
    <w:p w14:paraId="683783E8" w14:textId="60CAAC18" w:rsidR="005F5E04" w:rsidRPr="005F5E04" w:rsidRDefault="005F5E04" w:rsidP="00BC1294">
      <w:pPr>
        <w:tabs>
          <w:tab w:val="left" w:pos="6886"/>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Burgess, William J. &amp; </w:t>
      </w:r>
      <w:proofErr w:type="spellStart"/>
      <w:r>
        <w:rPr>
          <w:rFonts w:ascii="Times New Roman" w:hAnsi="Times New Roman" w:cs="Times New Roman"/>
          <w:sz w:val="24"/>
          <w:szCs w:val="24"/>
        </w:rPr>
        <w:t>Elizbaeth</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Hileman</w:t>
      </w:r>
      <w:proofErr w:type="spellEnd"/>
      <w:r>
        <w:rPr>
          <w:rFonts w:ascii="Times New Roman" w:hAnsi="Times New Roman" w:cs="Times New Roman"/>
          <w:sz w:val="24"/>
          <w:szCs w:val="24"/>
        </w:rPr>
        <w:t xml:space="preserve">. 2011. “Brief for </w:t>
      </w:r>
      <w:r>
        <w:rPr>
          <w:rFonts w:ascii="Times New Roman" w:hAnsi="Times New Roman" w:cs="Times New Roman"/>
          <w:i/>
          <w:sz w:val="24"/>
          <w:szCs w:val="24"/>
        </w:rPr>
        <w:t xml:space="preserve">Amici Curiae </w:t>
      </w:r>
      <w:r>
        <w:rPr>
          <w:rFonts w:ascii="Times New Roman" w:hAnsi="Times New Roman" w:cs="Times New Roman"/>
          <w:sz w:val="24"/>
          <w:szCs w:val="24"/>
        </w:rPr>
        <w:t>for the American Humanist Association, the American Atheists, Inc., the American Ethical Union, the Atheist Alliance of America, the Military Association of Atheists and Freethinkers, the Secular Student Alliance, and the Society for Humanistic Judaism in Support of Respondents.” No.10-553 (6</w:t>
      </w:r>
      <w:r w:rsidRPr="005F5E04">
        <w:rPr>
          <w:rFonts w:ascii="Times New Roman" w:hAnsi="Times New Roman" w:cs="Times New Roman"/>
          <w:sz w:val="24"/>
          <w:szCs w:val="24"/>
          <w:vertAlign w:val="superscript"/>
        </w:rPr>
        <w:t>th</w:t>
      </w:r>
      <w:r>
        <w:rPr>
          <w:rFonts w:ascii="Times New Roman" w:hAnsi="Times New Roman" w:cs="Times New Roman"/>
          <w:sz w:val="24"/>
          <w:szCs w:val="24"/>
        </w:rPr>
        <w:t xml:space="preserve"> Circ. 2011).</w:t>
      </w:r>
    </w:p>
    <w:p w14:paraId="76103E6B" w14:textId="77777777" w:rsidR="005F5E04" w:rsidRDefault="005F5E04" w:rsidP="00BC1294">
      <w:pPr>
        <w:spacing w:line="240" w:lineRule="auto"/>
        <w:ind w:left="720" w:hanging="720"/>
        <w:contextualSpacing/>
        <w:rPr>
          <w:rFonts w:asciiTheme="majorBidi" w:eastAsia="Times New Roman" w:hAnsiTheme="majorBidi" w:cstheme="majorBidi"/>
          <w:sz w:val="24"/>
          <w:szCs w:val="24"/>
          <w:lang w:eastAsia="en-US"/>
        </w:rPr>
      </w:pPr>
    </w:p>
    <w:p w14:paraId="32007221" w14:textId="47BB5C72" w:rsidR="00F45BD4" w:rsidRPr="00F45BD4" w:rsidRDefault="00F45BD4" w:rsidP="00BC1294">
      <w:pPr>
        <w:spacing w:line="240" w:lineRule="auto"/>
        <w:ind w:left="720" w:hanging="720"/>
        <w:contextualSpacing/>
        <w:rPr>
          <w:rFonts w:asciiTheme="majorBidi" w:eastAsia="Times New Roman" w:hAnsiTheme="majorBidi" w:cstheme="majorBidi"/>
          <w:sz w:val="24"/>
          <w:szCs w:val="24"/>
          <w:lang w:eastAsia="en-US"/>
        </w:rPr>
      </w:pPr>
      <w:proofErr w:type="spellStart"/>
      <w:r>
        <w:rPr>
          <w:rFonts w:asciiTheme="majorBidi" w:eastAsia="Times New Roman" w:hAnsiTheme="majorBidi" w:cstheme="majorBidi"/>
          <w:sz w:val="24"/>
          <w:szCs w:val="24"/>
          <w:lang w:eastAsia="en-US"/>
        </w:rPr>
        <w:t>Cimino</w:t>
      </w:r>
      <w:proofErr w:type="spellEnd"/>
      <w:r>
        <w:rPr>
          <w:rFonts w:asciiTheme="majorBidi" w:eastAsia="Times New Roman" w:hAnsiTheme="majorBidi" w:cstheme="majorBidi"/>
          <w:sz w:val="24"/>
          <w:szCs w:val="24"/>
          <w:lang w:eastAsia="en-US"/>
        </w:rPr>
        <w:t xml:space="preserve">, Richard &amp; Christopher Smith. 2014. </w:t>
      </w:r>
      <w:r>
        <w:rPr>
          <w:rFonts w:asciiTheme="majorBidi" w:eastAsia="Times New Roman" w:hAnsiTheme="majorBidi" w:cstheme="majorBidi"/>
          <w:i/>
          <w:sz w:val="24"/>
          <w:szCs w:val="24"/>
          <w:lang w:eastAsia="en-US"/>
        </w:rPr>
        <w:t>Atheist Awakening: Secular Activism and Community in America</w:t>
      </w:r>
      <w:r>
        <w:rPr>
          <w:rFonts w:asciiTheme="majorBidi" w:eastAsia="Times New Roman" w:hAnsiTheme="majorBidi" w:cstheme="majorBidi"/>
          <w:sz w:val="24"/>
          <w:szCs w:val="24"/>
          <w:lang w:eastAsia="en-US"/>
        </w:rPr>
        <w:t>. New York: Oxford University Press.</w:t>
      </w:r>
    </w:p>
    <w:p w14:paraId="56271BC0" w14:textId="545BE0CC" w:rsidR="00F45BD4" w:rsidRDefault="00BC1294" w:rsidP="00BC1294">
      <w:pPr>
        <w:tabs>
          <w:tab w:val="left" w:pos="1960"/>
        </w:tabs>
        <w:spacing w:line="240" w:lineRule="auto"/>
        <w:ind w:left="720" w:hanging="720"/>
        <w:contextualSpacing/>
        <w:rPr>
          <w:rFonts w:asciiTheme="majorBidi" w:eastAsia="Times New Roman" w:hAnsiTheme="majorBidi" w:cstheme="majorBidi"/>
          <w:sz w:val="24"/>
          <w:szCs w:val="24"/>
          <w:lang w:eastAsia="en-US"/>
        </w:rPr>
      </w:pPr>
      <w:r>
        <w:rPr>
          <w:rFonts w:asciiTheme="majorBidi" w:eastAsia="Times New Roman" w:hAnsiTheme="majorBidi" w:cstheme="majorBidi"/>
          <w:sz w:val="24"/>
          <w:szCs w:val="24"/>
          <w:lang w:eastAsia="en-US"/>
        </w:rPr>
        <w:tab/>
      </w:r>
      <w:r>
        <w:rPr>
          <w:rFonts w:asciiTheme="majorBidi" w:eastAsia="Times New Roman" w:hAnsiTheme="majorBidi" w:cstheme="majorBidi"/>
          <w:sz w:val="24"/>
          <w:szCs w:val="24"/>
          <w:lang w:eastAsia="en-US"/>
        </w:rPr>
        <w:tab/>
      </w:r>
    </w:p>
    <w:p w14:paraId="19850903" w14:textId="77777777" w:rsidR="00EA77A3" w:rsidRDefault="00EA77A3" w:rsidP="003A3DE0">
      <w:pPr>
        <w:spacing w:line="240" w:lineRule="auto"/>
        <w:ind w:left="720" w:hanging="720"/>
        <w:contextualSpacing/>
        <w:rPr>
          <w:rFonts w:asciiTheme="majorBidi" w:eastAsia="Times New Roman" w:hAnsiTheme="majorBidi" w:cstheme="majorBidi"/>
          <w:sz w:val="24"/>
          <w:szCs w:val="24"/>
          <w:lang w:eastAsia="en-US"/>
        </w:rPr>
      </w:pPr>
      <w:r>
        <w:rPr>
          <w:rFonts w:asciiTheme="majorBidi" w:eastAsia="Times New Roman" w:hAnsiTheme="majorBidi" w:cstheme="majorBidi"/>
          <w:sz w:val="24"/>
          <w:szCs w:val="24"/>
          <w:lang w:eastAsia="en-US"/>
        </w:rPr>
        <w:t>Casanova, Jos</w:t>
      </w:r>
      <w:r w:rsidRPr="00CE5430">
        <w:rPr>
          <w:rFonts w:asciiTheme="majorBidi" w:eastAsia="Times New Roman" w:hAnsiTheme="majorBidi" w:cstheme="majorBidi"/>
          <w:sz w:val="24"/>
          <w:szCs w:val="24"/>
          <w:lang w:eastAsia="en-US"/>
        </w:rPr>
        <w:t>é</w:t>
      </w:r>
      <w:r>
        <w:rPr>
          <w:rFonts w:asciiTheme="majorBidi" w:eastAsia="Times New Roman" w:hAnsiTheme="majorBidi" w:cstheme="majorBidi"/>
          <w:sz w:val="24"/>
          <w:szCs w:val="24"/>
          <w:lang w:eastAsia="en-US"/>
        </w:rPr>
        <w:t xml:space="preserve">. 1994. </w:t>
      </w:r>
      <w:r>
        <w:rPr>
          <w:rFonts w:asciiTheme="majorBidi" w:eastAsia="Times New Roman" w:hAnsiTheme="majorBidi" w:cstheme="majorBidi"/>
          <w:i/>
          <w:iCs/>
          <w:sz w:val="24"/>
          <w:szCs w:val="24"/>
          <w:lang w:eastAsia="en-US"/>
        </w:rPr>
        <w:t>Public Religions in the Modern World</w:t>
      </w:r>
      <w:r>
        <w:rPr>
          <w:rFonts w:asciiTheme="majorBidi" w:eastAsia="Times New Roman" w:hAnsiTheme="majorBidi" w:cstheme="majorBidi"/>
          <w:sz w:val="24"/>
          <w:szCs w:val="24"/>
          <w:lang w:eastAsia="en-US"/>
        </w:rPr>
        <w:t>. Chicago, IL: University of Chicago Press.</w:t>
      </w:r>
    </w:p>
    <w:p w14:paraId="1FB76786" w14:textId="77777777" w:rsidR="00EA77A3" w:rsidRDefault="00EA77A3" w:rsidP="003A3DE0">
      <w:pPr>
        <w:spacing w:line="240" w:lineRule="auto"/>
        <w:ind w:left="720" w:hanging="720"/>
        <w:contextualSpacing/>
        <w:rPr>
          <w:rFonts w:ascii="Times New Roman" w:eastAsia="Times New Roman" w:hAnsi="Times New Roman" w:cs="Times New Roman"/>
          <w:sz w:val="24"/>
          <w:szCs w:val="24"/>
          <w:lang w:eastAsia="en-US"/>
        </w:rPr>
      </w:pPr>
    </w:p>
    <w:p w14:paraId="7A96B89F" w14:textId="216CD1A2" w:rsidR="00EA77A3" w:rsidRDefault="00EA77A3" w:rsidP="003A3DE0">
      <w:pPr>
        <w:spacing w:line="240" w:lineRule="auto"/>
        <w:ind w:left="720" w:hanging="720"/>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Dahl, Robert. 1957. “Decision-Making in a Democracy: The Supreme Court as a National Policy-Maker.” </w:t>
      </w:r>
      <w:r>
        <w:rPr>
          <w:rFonts w:ascii="Times New Roman" w:eastAsia="Times New Roman" w:hAnsi="Times New Roman" w:cs="Times New Roman"/>
          <w:i/>
          <w:iCs/>
          <w:sz w:val="24"/>
          <w:szCs w:val="24"/>
          <w:lang w:eastAsia="en-US"/>
        </w:rPr>
        <w:t>Journal of Public Law 6</w:t>
      </w:r>
      <w:r>
        <w:rPr>
          <w:rFonts w:ascii="Times New Roman" w:eastAsia="Times New Roman" w:hAnsi="Times New Roman" w:cs="Times New Roman"/>
          <w:sz w:val="24"/>
          <w:szCs w:val="24"/>
          <w:lang w:eastAsia="en-US"/>
        </w:rPr>
        <w:t>: 279-291.</w:t>
      </w:r>
    </w:p>
    <w:p w14:paraId="66B2E740" w14:textId="77777777" w:rsidR="00440981" w:rsidRDefault="00440981" w:rsidP="003A3DE0">
      <w:pPr>
        <w:spacing w:line="240" w:lineRule="auto"/>
        <w:ind w:left="720" w:hanging="720"/>
        <w:contextualSpacing/>
        <w:rPr>
          <w:rFonts w:ascii="Times New Roman" w:eastAsia="Times New Roman" w:hAnsi="Times New Roman" w:cs="Times New Roman"/>
          <w:sz w:val="24"/>
          <w:szCs w:val="24"/>
          <w:lang w:eastAsia="en-US"/>
        </w:rPr>
      </w:pPr>
    </w:p>
    <w:p w14:paraId="5A7AC7EF" w14:textId="32CF1F4C" w:rsidR="00440981" w:rsidRDefault="00440981" w:rsidP="003A3DE0">
      <w:pPr>
        <w:spacing w:line="240" w:lineRule="auto"/>
        <w:ind w:left="720" w:hanging="720"/>
        <w:contextualSpacing/>
        <w:rPr>
          <w:rFonts w:ascii="Times New Roman" w:eastAsia="Times New Roman" w:hAnsi="Times New Roman" w:cs="Times New Roman"/>
          <w:sz w:val="24"/>
          <w:szCs w:val="24"/>
          <w:lang w:eastAsia="en-US"/>
        </w:rPr>
      </w:pPr>
      <w:r>
        <w:rPr>
          <w:rFonts w:ascii="Times New Roman" w:hAnsi="Times New Roman" w:cs="Times New Roman"/>
          <w:sz w:val="24"/>
          <w:szCs w:val="24"/>
        </w:rPr>
        <w:t xml:space="preserve">Davies, Tom 2015, March 16, </w:t>
      </w:r>
      <w:hyperlink r:id="rId10" w:history="1">
        <w:r w:rsidRPr="00BB507D">
          <w:rPr>
            <w:rStyle w:val="Hyperlink"/>
            <w:rFonts w:ascii="Times New Roman" w:hAnsi="Times New Roman" w:cs="Times New Roman"/>
            <w:sz w:val="24"/>
            <w:szCs w:val="24"/>
          </w:rPr>
          <w:t>http://wane.com/2015/03/16/rallies-draw-hundreds-for-religious-objections-bill-hearing/</w:t>
        </w:r>
      </w:hyperlink>
    </w:p>
    <w:p w14:paraId="785E7350" w14:textId="77777777" w:rsidR="00440981" w:rsidRDefault="00440981" w:rsidP="003A3DE0">
      <w:pPr>
        <w:spacing w:line="240" w:lineRule="auto"/>
        <w:ind w:left="720" w:hanging="720"/>
        <w:contextualSpacing/>
        <w:rPr>
          <w:rFonts w:asciiTheme="majorBidi" w:hAnsiTheme="majorBidi" w:cstheme="majorBidi"/>
          <w:sz w:val="24"/>
          <w:szCs w:val="24"/>
        </w:rPr>
      </w:pPr>
    </w:p>
    <w:p w14:paraId="0335B27D" w14:textId="77777777" w:rsidR="00EA77A3" w:rsidRPr="00EA77A3" w:rsidRDefault="00EA77A3" w:rsidP="003A3DE0">
      <w:pPr>
        <w:spacing w:line="240" w:lineRule="auto"/>
        <w:ind w:left="720" w:hanging="720"/>
        <w:contextualSpacing/>
        <w:rPr>
          <w:rFonts w:asciiTheme="majorBidi" w:hAnsiTheme="majorBidi" w:cstheme="majorBidi"/>
          <w:sz w:val="24"/>
          <w:szCs w:val="24"/>
          <w:lang w:val="de-DE"/>
        </w:rPr>
      </w:pPr>
      <w:r>
        <w:rPr>
          <w:rFonts w:asciiTheme="majorBidi" w:hAnsiTheme="majorBidi" w:cstheme="majorBidi"/>
          <w:sz w:val="24"/>
          <w:szCs w:val="24"/>
        </w:rPr>
        <w:t xml:space="preserve">Dawkins, Richard. 2006. </w:t>
      </w:r>
      <w:r>
        <w:rPr>
          <w:rFonts w:asciiTheme="majorBidi" w:hAnsiTheme="majorBidi" w:cstheme="majorBidi"/>
          <w:i/>
          <w:iCs/>
          <w:sz w:val="24"/>
          <w:szCs w:val="24"/>
        </w:rPr>
        <w:t>The God Delusion</w:t>
      </w:r>
      <w:r>
        <w:rPr>
          <w:rFonts w:asciiTheme="majorBidi" w:hAnsiTheme="majorBidi" w:cstheme="majorBidi"/>
          <w:sz w:val="24"/>
          <w:szCs w:val="24"/>
        </w:rPr>
        <w:t xml:space="preserve">. </w:t>
      </w:r>
      <w:r w:rsidRPr="00EA77A3">
        <w:rPr>
          <w:rFonts w:asciiTheme="majorBidi" w:hAnsiTheme="majorBidi" w:cstheme="majorBidi"/>
          <w:sz w:val="24"/>
          <w:szCs w:val="24"/>
          <w:lang w:val="de-DE"/>
        </w:rPr>
        <w:t>Boston, MA: Mariner Books.</w:t>
      </w:r>
    </w:p>
    <w:p w14:paraId="3E0D094D" w14:textId="77777777" w:rsidR="00EA77A3" w:rsidRDefault="00EA77A3" w:rsidP="003A3DE0">
      <w:pPr>
        <w:spacing w:line="240" w:lineRule="auto"/>
        <w:ind w:left="720" w:hanging="720"/>
        <w:contextualSpacing/>
        <w:rPr>
          <w:rFonts w:asciiTheme="majorBidi" w:hAnsiTheme="majorBidi" w:cstheme="majorBidi"/>
          <w:sz w:val="24"/>
          <w:szCs w:val="24"/>
          <w:lang w:val="de-DE"/>
        </w:rPr>
      </w:pPr>
    </w:p>
    <w:p w14:paraId="152AA90B" w14:textId="77777777" w:rsidR="00EA77A3" w:rsidRDefault="00EA77A3" w:rsidP="003A3DE0">
      <w:pPr>
        <w:spacing w:line="240" w:lineRule="auto"/>
        <w:ind w:left="720" w:hanging="720"/>
        <w:contextualSpacing/>
        <w:rPr>
          <w:rFonts w:asciiTheme="majorBidi" w:hAnsiTheme="majorBidi" w:cstheme="majorBidi"/>
          <w:sz w:val="24"/>
          <w:szCs w:val="24"/>
        </w:rPr>
      </w:pPr>
      <w:r w:rsidRPr="00EA77A3">
        <w:rPr>
          <w:rFonts w:asciiTheme="majorBidi" w:hAnsiTheme="majorBidi" w:cstheme="majorBidi"/>
          <w:sz w:val="24"/>
          <w:szCs w:val="24"/>
          <w:lang w:val="de-DE"/>
        </w:rPr>
        <w:t xml:space="preserve">Dennett, Daniel. </w:t>
      </w:r>
      <w:r>
        <w:rPr>
          <w:rFonts w:asciiTheme="majorBidi" w:hAnsiTheme="majorBidi" w:cstheme="majorBidi"/>
          <w:sz w:val="24"/>
          <w:szCs w:val="24"/>
        </w:rPr>
        <w:t xml:space="preserve">2007. </w:t>
      </w:r>
      <w:r>
        <w:rPr>
          <w:rFonts w:asciiTheme="majorBidi" w:hAnsiTheme="majorBidi" w:cstheme="majorBidi"/>
          <w:i/>
          <w:iCs/>
          <w:sz w:val="24"/>
          <w:szCs w:val="24"/>
        </w:rPr>
        <w:t>Breaking the Spell: Religion as a Natural Phenomenon</w:t>
      </w:r>
      <w:r>
        <w:rPr>
          <w:rFonts w:asciiTheme="majorBidi" w:hAnsiTheme="majorBidi" w:cstheme="majorBidi"/>
          <w:sz w:val="24"/>
          <w:szCs w:val="24"/>
        </w:rPr>
        <w:t>. New York: Penguin Books.</w:t>
      </w:r>
    </w:p>
    <w:p w14:paraId="20A3BBDA" w14:textId="77777777" w:rsidR="00EA77A3" w:rsidRDefault="00EA77A3" w:rsidP="003A3DE0">
      <w:pPr>
        <w:spacing w:line="240" w:lineRule="auto"/>
        <w:contextualSpacing/>
        <w:rPr>
          <w:rFonts w:asciiTheme="majorBidi" w:hAnsiTheme="majorBidi" w:cstheme="majorBidi"/>
          <w:sz w:val="24"/>
          <w:szCs w:val="24"/>
          <w:lang w:val="de-DE"/>
        </w:rPr>
      </w:pPr>
    </w:p>
    <w:p w14:paraId="446A5E28" w14:textId="77777777" w:rsidR="00EA77A3" w:rsidRDefault="00EA77A3" w:rsidP="003A3DE0">
      <w:pPr>
        <w:spacing w:line="240" w:lineRule="auto"/>
        <w:ind w:left="720" w:hanging="720"/>
        <w:contextualSpacing/>
        <w:rPr>
          <w:rFonts w:asciiTheme="majorBidi" w:hAnsiTheme="majorBidi" w:cstheme="majorBidi"/>
          <w:sz w:val="24"/>
          <w:szCs w:val="24"/>
        </w:rPr>
      </w:pPr>
      <w:r w:rsidRPr="003D47B0">
        <w:rPr>
          <w:rFonts w:asciiTheme="majorBidi" w:hAnsiTheme="majorBidi" w:cstheme="majorBidi"/>
          <w:sz w:val="24"/>
          <w:szCs w:val="24"/>
          <w:lang w:val="de-DE"/>
        </w:rPr>
        <w:t>Eisenb</w:t>
      </w:r>
      <w:r>
        <w:rPr>
          <w:rFonts w:asciiTheme="majorBidi" w:hAnsiTheme="majorBidi" w:cstheme="majorBidi"/>
          <w:sz w:val="24"/>
          <w:szCs w:val="24"/>
          <w:lang w:val="de-DE"/>
        </w:rPr>
        <w:t xml:space="preserve">erg, Arthur N., Deborah H. Karpatkin, Daniel Mach, &amp; Steven R. Shapiro. </w:t>
      </w:r>
      <w:r w:rsidRPr="003220AD">
        <w:rPr>
          <w:rFonts w:asciiTheme="majorBidi" w:hAnsiTheme="majorBidi" w:cstheme="majorBidi"/>
          <w:sz w:val="24"/>
          <w:szCs w:val="24"/>
        </w:rPr>
        <w:t xml:space="preserve">2013. “Brief for </w:t>
      </w:r>
      <w:r w:rsidRPr="003220AD">
        <w:rPr>
          <w:rFonts w:asciiTheme="majorBidi" w:hAnsiTheme="majorBidi" w:cstheme="majorBidi"/>
          <w:i/>
          <w:iCs/>
          <w:sz w:val="24"/>
          <w:szCs w:val="24"/>
        </w:rPr>
        <w:t xml:space="preserve">Amici </w:t>
      </w:r>
      <w:r>
        <w:rPr>
          <w:rFonts w:asciiTheme="majorBidi" w:hAnsiTheme="majorBidi" w:cstheme="majorBidi"/>
          <w:i/>
          <w:iCs/>
          <w:sz w:val="24"/>
          <w:szCs w:val="24"/>
        </w:rPr>
        <w:t>Curiae</w:t>
      </w:r>
      <w:r w:rsidRPr="003220AD">
        <w:rPr>
          <w:rFonts w:asciiTheme="majorBidi" w:hAnsiTheme="majorBidi" w:cstheme="majorBidi"/>
          <w:sz w:val="24"/>
          <w:szCs w:val="24"/>
        </w:rPr>
        <w:t xml:space="preserve"> of the American Civil Liberties Union, </w:t>
      </w:r>
      <w:r>
        <w:rPr>
          <w:rFonts w:asciiTheme="majorBidi" w:hAnsiTheme="majorBidi" w:cstheme="majorBidi"/>
          <w:sz w:val="24"/>
          <w:szCs w:val="24"/>
        </w:rPr>
        <w:t xml:space="preserve">The New York Civil Liberties Union, The Anti-Defamation League, and Inter-Faith Alliance Foundation in Support of Respondents, No.12-696 (U.S. 2013).” </w:t>
      </w:r>
      <w:r w:rsidRPr="003220AD">
        <w:rPr>
          <w:rFonts w:asciiTheme="majorBidi" w:hAnsiTheme="majorBidi" w:cstheme="majorBidi"/>
          <w:sz w:val="24"/>
          <w:szCs w:val="24"/>
        </w:rPr>
        <w:t>http://www.americanbar.org/content/dam/aba/publications/supreme_court_preview/briefs-v2/12-696_resp_amcu_aclu-etal.authcheckdam.pdf</w:t>
      </w:r>
    </w:p>
    <w:p w14:paraId="3FAAF4B4" w14:textId="77777777" w:rsidR="00EA77A3" w:rsidRDefault="00EA77A3" w:rsidP="003A3DE0">
      <w:pPr>
        <w:spacing w:line="240" w:lineRule="auto"/>
        <w:contextualSpacing/>
        <w:rPr>
          <w:rFonts w:ascii="Times New Roman" w:hAnsi="Times New Roman" w:cs="Times New Roman"/>
          <w:sz w:val="24"/>
          <w:szCs w:val="24"/>
        </w:rPr>
      </w:pPr>
    </w:p>
    <w:p w14:paraId="1C7A84DE" w14:textId="77777777" w:rsidR="00EA77A3" w:rsidRDefault="00EA77A3" w:rsidP="003A3DE0">
      <w:pPr>
        <w:spacing w:line="24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Epp</w:t>
      </w:r>
      <w:proofErr w:type="spellEnd"/>
      <w:r>
        <w:rPr>
          <w:rFonts w:ascii="Times New Roman" w:hAnsi="Times New Roman" w:cs="Times New Roman"/>
          <w:sz w:val="24"/>
          <w:szCs w:val="24"/>
        </w:rPr>
        <w:t xml:space="preserve">, Charles. 1998. </w:t>
      </w:r>
      <w:r>
        <w:rPr>
          <w:rFonts w:ascii="Times New Roman" w:hAnsi="Times New Roman" w:cs="Times New Roman"/>
          <w:i/>
          <w:sz w:val="24"/>
          <w:szCs w:val="24"/>
        </w:rPr>
        <w:t>The Rights Revolution: Lawyers, Activists, Supreme Courts in Comparative Perspective</w:t>
      </w:r>
      <w:r>
        <w:rPr>
          <w:rFonts w:ascii="Times New Roman" w:hAnsi="Times New Roman" w:cs="Times New Roman"/>
          <w:sz w:val="24"/>
          <w:szCs w:val="24"/>
        </w:rPr>
        <w:t>. Chicago, IL: University of Chicago Press.</w:t>
      </w:r>
    </w:p>
    <w:p w14:paraId="23480C92" w14:textId="77777777" w:rsidR="00EA77A3" w:rsidRDefault="00EA77A3" w:rsidP="003A3DE0">
      <w:pPr>
        <w:spacing w:line="240" w:lineRule="auto"/>
        <w:ind w:left="720" w:hanging="720"/>
        <w:contextualSpacing/>
        <w:rPr>
          <w:rFonts w:asciiTheme="majorBidi" w:hAnsiTheme="majorBidi" w:cstheme="majorBidi"/>
          <w:sz w:val="24"/>
          <w:szCs w:val="24"/>
        </w:rPr>
      </w:pPr>
    </w:p>
    <w:p w14:paraId="1E17014D" w14:textId="77777777" w:rsidR="00EA77A3" w:rsidRPr="00DA62CB" w:rsidRDefault="00EA77A3" w:rsidP="003A3DE0">
      <w:pPr>
        <w:spacing w:line="240" w:lineRule="auto"/>
        <w:ind w:left="720" w:hanging="720"/>
        <w:contextualSpacing/>
        <w:rPr>
          <w:rFonts w:asciiTheme="majorBidi" w:hAnsiTheme="majorBidi" w:cstheme="majorBidi"/>
          <w:sz w:val="24"/>
          <w:szCs w:val="24"/>
        </w:rPr>
      </w:pPr>
      <w:r w:rsidRPr="00DA62CB">
        <w:rPr>
          <w:rFonts w:asciiTheme="majorBidi" w:hAnsiTheme="majorBidi" w:cstheme="majorBidi"/>
          <w:sz w:val="24"/>
          <w:szCs w:val="24"/>
        </w:rPr>
        <w:t xml:space="preserve">Freedom </w:t>
      </w:r>
      <w:proofErr w:type="gramStart"/>
      <w:r w:rsidRPr="00DA62CB">
        <w:rPr>
          <w:rFonts w:asciiTheme="majorBidi" w:hAnsiTheme="majorBidi" w:cstheme="majorBidi"/>
          <w:sz w:val="24"/>
          <w:szCs w:val="24"/>
        </w:rPr>
        <w:t>From</w:t>
      </w:r>
      <w:proofErr w:type="gramEnd"/>
      <w:r w:rsidRPr="00DA62CB">
        <w:rPr>
          <w:rFonts w:asciiTheme="majorBidi" w:hAnsiTheme="majorBidi" w:cstheme="majorBidi"/>
          <w:sz w:val="24"/>
          <w:szCs w:val="24"/>
        </w:rPr>
        <w:t xml:space="preserve"> Religion Foundation. 2013a. “Getting Acquainted.” Retrieved from http://ffrf.org/about/getting-acquainted/#who-we-are</w:t>
      </w:r>
    </w:p>
    <w:p w14:paraId="7399ACA7" w14:textId="77777777" w:rsidR="00EA77A3" w:rsidRDefault="00EA77A3" w:rsidP="00BC1294">
      <w:pPr>
        <w:spacing w:line="240" w:lineRule="auto"/>
        <w:ind w:left="720" w:hanging="720"/>
        <w:contextualSpacing/>
        <w:rPr>
          <w:rFonts w:asciiTheme="majorBidi" w:hAnsiTheme="majorBidi" w:cstheme="majorBidi"/>
          <w:bCs/>
          <w:iCs/>
          <w:sz w:val="24"/>
          <w:szCs w:val="24"/>
        </w:rPr>
      </w:pPr>
    </w:p>
    <w:p w14:paraId="69818005" w14:textId="2B8D2E1B" w:rsidR="00EA77A3" w:rsidRDefault="00EA77A3" w:rsidP="00BC1294">
      <w:pPr>
        <w:spacing w:line="240" w:lineRule="auto"/>
        <w:ind w:left="720" w:hanging="720"/>
        <w:contextualSpacing/>
        <w:rPr>
          <w:rStyle w:val="Hyperlink"/>
          <w:rFonts w:asciiTheme="majorBidi" w:hAnsiTheme="majorBidi" w:cstheme="majorBidi"/>
          <w:sz w:val="24"/>
          <w:szCs w:val="24"/>
        </w:rPr>
      </w:pPr>
      <w:r>
        <w:rPr>
          <w:rFonts w:asciiTheme="majorBidi" w:hAnsiTheme="majorBidi" w:cstheme="majorBidi"/>
          <w:bCs/>
          <w:iCs/>
          <w:sz w:val="24"/>
          <w:szCs w:val="24"/>
        </w:rPr>
        <w:lastRenderedPageBreak/>
        <w:t xml:space="preserve">Freedom </w:t>
      </w:r>
      <w:proofErr w:type="gramStart"/>
      <w:r>
        <w:rPr>
          <w:rFonts w:asciiTheme="majorBidi" w:hAnsiTheme="majorBidi" w:cstheme="majorBidi"/>
          <w:bCs/>
          <w:iCs/>
          <w:sz w:val="24"/>
          <w:szCs w:val="24"/>
        </w:rPr>
        <w:t>From</w:t>
      </w:r>
      <w:proofErr w:type="gramEnd"/>
      <w:r>
        <w:rPr>
          <w:rFonts w:asciiTheme="majorBidi" w:hAnsiTheme="majorBidi" w:cstheme="majorBidi"/>
          <w:bCs/>
          <w:iCs/>
          <w:sz w:val="24"/>
          <w:szCs w:val="24"/>
        </w:rPr>
        <w:t xml:space="preserve"> Religion Foundation. 2013b. “Legal Challenges.” Retrieved from </w:t>
      </w:r>
      <w:hyperlink r:id="rId11" w:history="1">
        <w:r w:rsidR="00D72825" w:rsidRPr="00B90A99">
          <w:rPr>
            <w:rStyle w:val="Hyperlink"/>
            <w:rFonts w:asciiTheme="majorBidi" w:hAnsiTheme="majorBidi" w:cstheme="majorBidi"/>
            <w:sz w:val="24"/>
            <w:szCs w:val="24"/>
          </w:rPr>
          <w:t>http://ffrf.org/legal/challenges</w:t>
        </w:r>
      </w:hyperlink>
    </w:p>
    <w:p w14:paraId="098CE2E4" w14:textId="77777777" w:rsidR="003929B1" w:rsidRDefault="003929B1" w:rsidP="00BC1294">
      <w:pPr>
        <w:spacing w:line="240" w:lineRule="auto"/>
        <w:ind w:left="720" w:hanging="720"/>
        <w:contextualSpacing/>
        <w:rPr>
          <w:rStyle w:val="Hyperlink"/>
          <w:rFonts w:asciiTheme="majorBidi" w:hAnsiTheme="majorBidi" w:cstheme="majorBidi"/>
          <w:sz w:val="24"/>
          <w:szCs w:val="24"/>
        </w:rPr>
      </w:pPr>
    </w:p>
    <w:p w14:paraId="3F412E5A" w14:textId="1CCCA431" w:rsidR="001424BE" w:rsidRDefault="001424BE" w:rsidP="00BC1294">
      <w:pPr>
        <w:tabs>
          <w:tab w:val="left" w:pos="6886"/>
        </w:tabs>
        <w:spacing w:line="240" w:lineRule="auto"/>
        <w:ind w:left="720" w:hanging="720"/>
        <w:contextualSpacing/>
        <w:rPr>
          <w:rStyle w:val="Strong"/>
          <w:rFonts w:ascii="Times New Roman" w:hAnsi="Times New Roman" w:cs="Times New Roman"/>
          <w:b w:val="0"/>
          <w:color w:val="333333"/>
          <w:sz w:val="24"/>
          <w:szCs w:val="24"/>
          <w:shd w:val="clear" w:color="auto" w:fill="FFFFFF"/>
        </w:rPr>
      </w:pPr>
      <w:r>
        <w:rPr>
          <w:rStyle w:val="Strong"/>
          <w:rFonts w:ascii="Times New Roman" w:hAnsi="Times New Roman" w:cs="Times New Roman"/>
          <w:b w:val="0"/>
          <w:color w:val="333333"/>
          <w:sz w:val="24"/>
          <w:szCs w:val="24"/>
          <w:shd w:val="clear" w:color="auto" w:fill="FFFFFF"/>
        </w:rPr>
        <w:t>Fre</w:t>
      </w:r>
      <w:r w:rsidR="0033098B">
        <w:rPr>
          <w:rStyle w:val="Strong"/>
          <w:rFonts w:ascii="Times New Roman" w:hAnsi="Times New Roman" w:cs="Times New Roman"/>
          <w:b w:val="0"/>
          <w:color w:val="333333"/>
          <w:sz w:val="24"/>
          <w:szCs w:val="24"/>
          <w:shd w:val="clear" w:color="auto" w:fill="FFFFFF"/>
        </w:rPr>
        <w:t xml:space="preserve">edom </w:t>
      </w:r>
      <w:proofErr w:type="gramStart"/>
      <w:r w:rsidR="0033098B">
        <w:rPr>
          <w:rStyle w:val="Strong"/>
          <w:rFonts w:ascii="Times New Roman" w:hAnsi="Times New Roman" w:cs="Times New Roman"/>
          <w:b w:val="0"/>
          <w:color w:val="333333"/>
          <w:sz w:val="24"/>
          <w:szCs w:val="24"/>
          <w:shd w:val="clear" w:color="auto" w:fill="FFFFFF"/>
        </w:rPr>
        <w:t>F</w:t>
      </w:r>
      <w:r>
        <w:rPr>
          <w:rStyle w:val="Strong"/>
          <w:rFonts w:ascii="Times New Roman" w:hAnsi="Times New Roman" w:cs="Times New Roman"/>
          <w:b w:val="0"/>
          <w:color w:val="333333"/>
          <w:sz w:val="24"/>
          <w:szCs w:val="24"/>
          <w:shd w:val="clear" w:color="auto" w:fill="FFFFFF"/>
        </w:rPr>
        <w:t>rom</w:t>
      </w:r>
      <w:proofErr w:type="gramEnd"/>
      <w:r>
        <w:rPr>
          <w:rStyle w:val="Strong"/>
          <w:rFonts w:ascii="Times New Roman" w:hAnsi="Times New Roman" w:cs="Times New Roman"/>
          <w:b w:val="0"/>
          <w:color w:val="333333"/>
          <w:sz w:val="24"/>
          <w:szCs w:val="24"/>
          <w:shd w:val="clear" w:color="auto" w:fill="FFFFFF"/>
        </w:rPr>
        <w:t xml:space="preserve"> Religion Foundation. 2014a, June 30. “Ask Congress to C</w:t>
      </w:r>
      <w:r w:rsidRPr="00F458EF">
        <w:rPr>
          <w:rStyle w:val="Strong"/>
          <w:rFonts w:ascii="Times New Roman" w:hAnsi="Times New Roman" w:cs="Times New Roman"/>
          <w:b w:val="0"/>
          <w:color w:val="333333"/>
          <w:sz w:val="24"/>
          <w:szCs w:val="24"/>
          <w:shd w:val="clear" w:color="auto" w:fill="FFFFFF"/>
        </w:rPr>
        <w:t>ount</w:t>
      </w:r>
      <w:r w:rsidR="00BC1294">
        <w:rPr>
          <w:rStyle w:val="Strong"/>
          <w:rFonts w:ascii="Times New Roman" w:hAnsi="Times New Roman" w:cs="Times New Roman"/>
          <w:b w:val="0"/>
          <w:color w:val="333333"/>
          <w:sz w:val="24"/>
          <w:szCs w:val="24"/>
          <w:shd w:val="clear" w:color="auto" w:fill="FFFFFF"/>
        </w:rPr>
        <w:t xml:space="preserve">er Supreme </w:t>
      </w:r>
      <w:r>
        <w:rPr>
          <w:rStyle w:val="Strong"/>
          <w:rFonts w:ascii="Times New Roman" w:hAnsi="Times New Roman" w:cs="Times New Roman"/>
          <w:b w:val="0"/>
          <w:color w:val="333333"/>
          <w:sz w:val="24"/>
          <w:szCs w:val="24"/>
          <w:shd w:val="clear" w:color="auto" w:fill="FFFFFF"/>
        </w:rPr>
        <w:t xml:space="preserve">Court's Hobby Lobby Ruling.” Retrieved from </w:t>
      </w:r>
      <w:hyperlink r:id="rId12" w:history="1">
        <w:r w:rsidRPr="00BB507D">
          <w:rPr>
            <w:rStyle w:val="Hyperlink"/>
            <w:rFonts w:ascii="Times New Roman" w:hAnsi="Times New Roman" w:cs="Times New Roman"/>
            <w:sz w:val="24"/>
            <w:szCs w:val="24"/>
            <w:shd w:val="clear" w:color="auto" w:fill="FFFFFF"/>
          </w:rPr>
          <w:t>http://ffrf.org/news/action/item/20865-ask-congress-to-counter-supreme-court-s-hobby-lobby-ruling</w:t>
        </w:r>
      </w:hyperlink>
    </w:p>
    <w:p w14:paraId="429C0411" w14:textId="77777777" w:rsidR="001424BE" w:rsidRDefault="001424BE" w:rsidP="00BC1294">
      <w:pPr>
        <w:tabs>
          <w:tab w:val="left" w:pos="6886"/>
        </w:tabs>
        <w:spacing w:line="240" w:lineRule="auto"/>
        <w:ind w:hanging="720"/>
        <w:contextualSpacing/>
        <w:rPr>
          <w:rFonts w:ascii="Times New Roman" w:hAnsi="Times New Roman" w:cs="Times New Roman"/>
          <w:sz w:val="24"/>
          <w:szCs w:val="24"/>
        </w:rPr>
      </w:pPr>
    </w:p>
    <w:p w14:paraId="7654E40D" w14:textId="5920B202" w:rsidR="001424BE" w:rsidRDefault="0033098B" w:rsidP="00BC1294">
      <w:pPr>
        <w:tabs>
          <w:tab w:val="left" w:pos="6886"/>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Freedom </w:t>
      </w:r>
      <w:proofErr w:type="gramStart"/>
      <w:r>
        <w:rPr>
          <w:rFonts w:ascii="Times New Roman" w:hAnsi="Times New Roman" w:cs="Times New Roman"/>
          <w:sz w:val="24"/>
          <w:szCs w:val="24"/>
        </w:rPr>
        <w:t>F</w:t>
      </w:r>
      <w:r w:rsidR="001424BE">
        <w:rPr>
          <w:rFonts w:ascii="Times New Roman" w:hAnsi="Times New Roman" w:cs="Times New Roman"/>
          <w:sz w:val="24"/>
          <w:szCs w:val="24"/>
        </w:rPr>
        <w:t>rom</w:t>
      </w:r>
      <w:proofErr w:type="gramEnd"/>
      <w:r w:rsidR="001424BE">
        <w:rPr>
          <w:rFonts w:ascii="Times New Roman" w:hAnsi="Times New Roman" w:cs="Times New Roman"/>
          <w:sz w:val="24"/>
          <w:szCs w:val="24"/>
        </w:rPr>
        <w:t xml:space="preserve"> Religion Foundation. 2014b, July 2. “FFRF's Full-Page A</w:t>
      </w:r>
      <w:r w:rsidR="00BC1294">
        <w:rPr>
          <w:rFonts w:ascii="Times New Roman" w:hAnsi="Times New Roman" w:cs="Times New Roman"/>
          <w:sz w:val="24"/>
          <w:szCs w:val="24"/>
        </w:rPr>
        <w:t xml:space="preserve">d in New York </w:t>
      </w:r>
      <w:r w:rsidR="001424BE" w:rsidRPr="00554013">
        <w:rPr>
          <w:rFonts w:ascii="Times New Roman" w:hAnsi="Times New Roman" w:cs="Times New Roman"/>
          <w:sz w:val="24"/>
          <w:szCs w:val="24"/>
        </w:rPr>
        <w:t>Times t</w:t>
      </w:r>
      <w:r w:rsidR="001424BE">
        <w:rPr>
          <w:rFonts w:ascii="Times New Roman" w:hAnsi="Times New Roman" w:cs="Times New Roman"/>
          <w:sz w:val="24"/>
          <w:szCs w:val="24"/>
        </w:rPr>
        <w:t xml:space="preserve">o Protest Hobby Lobby Ruling.” Retrieved from </w:t>
      </w:r>
      <w:hyperlink r:id="rId13" w:history="1">
        <w:r w:rsidR="001424BE" w:rsidRPr="00BB507D">
          <w:rPr>
            <w:rStyle w:val="Hyperlink"/>
            <w:rFonts w:ascii="Times New Roman" w:hAnsi="Times New Roman" w:cs="Times New Roman"/>
            <w:sz w:val="24"/>
            <w:szCs w:val="24"/>
          </w:rPr>
          <w:t>http://ffrf.org/news/news-releases/item/20870-ffrf-s-full-page-ad-in-new-york-times-to-protest-hobby-lobby-ruling</w:t>
        </w:r>
      </w:hyperlink>
    </w:p>
    <w:p w14:paraId="6F9A1E31" w14:textId="77777777" w:rsidR="001424BE" w:rsidRDefault="001424BE" w:rsidP="00BC1294">
      <w:pPr>
        <w:spacing w:line="240" w:lineRule="auto"/>
        <w:ind w:left="720" w:hanging="720"/>
        <w:contextualSpacing/>
        <w:rPr>
          <w:rStyle w:val="Hyperlink"/>
          <w:rFonts w:asciiTheme="majorBidi" w:hAnsiTheme="majorBidi" w:cstheme="majorBidi"/>
          <w:sz w:val="24"/>
          <w:szCs w:val="24"/>
        </w:rPr>
      </w:pPr>
    </w:p>
    <w:p w14:paraId="068534A4" w14:textId="77777777" w:rsidR="001424BE" w:rsidRDefault="001424BE" w:rsidP="00BC1294">
      <w:pPr>
        <w:spacing w:line="240" w:lineRule="auto"/>
        <w:ind w:left="720" w:hanging="720"/>
        <w:contextualSpacing/>
        <w:rPr>
          <w:rStyle w:val="Hyperlink"/>
          <w:rFonts w:asciiTheme="majorBidi" w:hAnsiTheme="majorBidi" w:cstheme="majorBidi"/>
          <w:sz w:val="24"/>
          <w:szCs w:val="24"/>
        </w:rPr>
      </w:pPr>
    </w:p>
    <w:p w14:paraId="7CE8F800" w14:textId="3D088F8E" w:rsidR="003929B1" w:rsidRPr="003929B1" w:rsidRDefault="003929B1" w:rsidP="00BC1294">
      <w:pPr>
        <w:spacing w:line="240" w:lineRule="auto"/>
        <w:ind w:left="720" w:hanging="720"/>
        <w:contextualSpacing/>
        <w:rPr>
          <w:rFonts w:asciiTheme="majorBidi" w:hAnsiTheme="majorBidi" w:cstheme="majorBidi"/>
          <w:sz w:val="24"/>
          <w:szCs w:val="24"/>
        </w:rPr>
      </w:pPr>
      <w:r w:rsidRPr="003929B1">
        <w:rPr>
          <w:rStyle w:val="Hyperlink"/>
          <w:rFonts w:asciiTheme="majorBidi" w:hAnsiTheme="majorBidi" w:cstheme="majorBidi"/>
          <w:color w:val="auto"/>
          <w:sz w:val="24"/>
          <w:szCs w:val="24"/>
          <w:u w:val="none"/>
        </w:rPr>
        <w:t xml:space="preserve">Freedom </w:t>
      </w:r>
      <w:proofErr w:type="gramStart"/>
      <w:r w:rsidRPr="003929B1">
        <w:rPr>
          <w:rStyle w:val="Hyperlink"/>
          <w:rFonts w:asciiTheme="majorBidi" w:hAnsiTheme="majorBidi" w:cstheme="majorBidi"/>
          <w:color w:val="auto"/>
          <w:sz w:val="24"/>
          <w:szCs w:val="24"/>
          <w:u w:val="none"/>
        </w:rPr>
        <w:t>From</w:t>
      </w:r>
      <w:proofErr w:type="gramEnd"/>
      <w:r w:rsidRPr="003929B1">
        <w:rPr>
          <w:rStyle w:val="Hyperlink"/>
          <w:rFonts w:asciiTheme="majorBidi" w:hAnsiTheme="majorBidi" w:cstheme="majorBidi"/>
          <w:color w:val="auto"/>
          <w:sz w:val="24"/>
          <w:szCs w:val="24"/>
          <w:u w:val="none"/>
        </w:rPr>
        <w:t xml:space="preserve"> Religion Foundation. 2014</w:t>
      </w:r>
      <w:r w:rsidR="00F61543">
        <w:rPr>
          <w:rStyle w:val="Hyperlink"/>
          <w:rFonts w:asciiTheme="majorBidi" w:hAnsiTheme="majorBidi" w:cstheme="majorBidi"/>
          <w:color w:val="auto"/>
          <w:sz w:val="24"/>
          <w:szCs w:val="24"/>
          <w:u w:val="none"/>
        </w:rPr>
        <w:t>c</w:t>
      </w:r>
      <w:r w:rsidRPr="003929B1">
        <w:rPr>
          <w:rStyle w:val="Hyperlink"/>
          <w:rFonts w:asciiTheme="majorBidi" w:hAnsiTheme="majorBidi" w:cstheme="majorBidi"/>
          <w:color w:val="auto"/>
          <w:sz w:val="24"/>
          <w:szCs w:val="24"/>
          <w:u w:val="none"/>
        </w:rPr>
        <w:t xml:space="preserve">. “Nothing Fails Like Prayer’ Award Contest.” Retrieved from </w:t>
      </w:r>
      <w:r w:rsidRPr="003929B1">
        <w:rPr>
          <w:rFonts w:asciiTheme="majorBidi" w:hAnsiTheme="majorBidi" w:cstheme="majorBidi"/>
          <w:iCs/>
          <w:sz w:val="24"/>
          <w:szCs w:val="24"/>
        </w:rPr>
        <w:t>http://ffrf.org/outreach/nothing-fails-like-prayer</w:t>
      </w:r>
      <w:r w:rsidRPr="003929B1">
        <w:rPr>
          <w:rStyle w:val="Hyperlink"/>
          <w:rFonts w:asciiTheme="majorBidi" w:hAnsiTheme="majorBidi" w:cstheme="majorBidi"/>
          <w:iCs/>
          <w:color w:val="auto"/>
          <w:sz w:val="24"/>
          <w:szCs w:val="24"/>
          <w:u w:val="none"/>
        </w:rPr>
        <w:t xml:space="preserve"> </w:t>
      </w:r>
    </w:p>
    <w:p w14:paraId="0D1FA69F" w14:textId="77777777" w:rsidR="00D72825" w:rsidRDefault="00D72825" w:rsidP="003A3DE0">
      <w:pPr>
        <w:spacing w:line="240" w:lineRule="auto"/>
        <w:ind w:left="720" w:hanging="720"/>
        <w:contextualSpacing/>
        <w:rPr>
          <w:rFonts w:asciiTheme="majorBidi" w:hAnsiTheme="majorBidi" w:cstheme="majorBidi"/>
          <w:sz w:val="24"/>
          <w:szCs w:val="24"/>
        </w:rPr>
      </w:pPr>
    </w:p>
    <w:p w14:paraId="622E8C96" w14:textId="350080B1" w:rsidR="00D72825" w:rsidRDefault="00D72825" w:rsidP="003A3DE0">
      <w:pPr>
        <w:spacing w:line="240" w:lineRule="auto"/>
        <w:ind w:left="720" w:hanging="720"/>
        <w:contextualSpacing/>
        <w:rPr>
          <w:rFonts w:asciiTheme="majorBidi" w:hAnsiTheme="majorBidi" w:cstheme="majorBidi"/>
          <w:sz w:val="24"/>
          <w:szCs w:val="24"/>
        </w:rPr>
      </w:pPr>
      <w:r>
        <w:rPr>
          <w:rFonts w:asciiTheme="majorBidi" w:hAnsiTheme="majorBidi" w:cstheme="majorBidi"/>
          <w:sz w:val="24"/>
          <w:szCs w:val="24"/>
        </w:rPr>
        <w:t xml:space="preserve">Freethought Equality Fund (2015). “Freethought Equality Fund PAC: Electing Secular Leaders, Defending Secular America. </w:t>
      </w:r>
      <w:r w:rsidRPr="00D72825">
        <w:rPr>
          <w:rFonts w:asciiTheme="majorBidi" w:hAnsiTheme="majorBidi" w:cstheme="majorBidi"/>
          <w:sz w:val="24"/>
          <w:szCs w:val="24"/>
        </w:rPr>
        <w:t>http://freethoughtequality.org/</w:t>
      </w:r>
    </w:p>
    <w:p w14:paraId="28193BAD" w14:textId="77777777" w:rsidR="00EA77A3" w:rsidRDefault="00EA77A3" w:rsidP="003A3DE0">
      <w:pPr>
        <w:spacing w:line="240" w:lineRule="auto"/>
        <w:ind w:left="720" w:hanging="720"/>
        <w:contextualSpacing/>
        <w:rPr>
          <w:rFonts w:asciiTheme="majorBidi" w:hAnsiTheme="majorBidi" w:cstheme="majorBidi"/>
          <w:bCs/>
          <w:iCs/>
          <w:sz w:val="24"/>
          <w:szCs w:val="24"/>
        </w:rPr>
      </w:pPr>
    </w:p>
    <w:p w14:paraId="6B1318FD" w14:textId="77777777" w:rsidR="00EA77A3" w:rsidRDefault="00EA77A3" w:rsidP="003A3DE0">
      <w:pPr>
        <w:spacing w:line="240" w:lineRule="auto"/>
        <w:ind w:left="720" w:hanging="720"/>
        <w:contextualSpacing/>
        <w:rPr>
          <w:rStyle w:val="Hyperlink"/>
          <w:rFonts w:asciiTheme="majorBidi" w:hAnsiTheme="majorBidi" w:cstheme="majorBidi"/>
          <w:sz w:val="24"/>
          <w:szCs w:val="24"/>
        </w:rPr>
      </w:pPr>
      <w:r>
        <w:rPr>
          <w:rFonts w:asciiTheme="majorBidi" w:hAnsiTheme="majorBidi" w:cstheme="majorBidi"/>
          <w:bCs/>
          <w:iCs/>
          <w:sz w:val="24"/>
          <w:szCs w:val="24"/>
        </w:rPr>
        <w:t xml:space="preserve">Freidman, James A. &amp; James D. Peterson. 2005. “Excerpt of FFRF Amicus Brief in Van </w:t>
      </w:r>
      <w:proofErr w:type="spellStart"/>
      <w:r>
        <w:rPr>
          <w:rFonts w:asciiTheme="majorBidi" w:hAnsiTheme="majorBidi" w:cstheme="majorBidi"/>
          <w:bCs/>
          <w:iCs/>
          <w:sz w:val="24"/>
          <w:szCs w:val="24"/>
        </w:rPr>
        <w:t>Orden</w:t>
      </w:r>
      <w:proofErr w:type="spellEnd"/>
      <w:r>
        <w:rPr>
          <w:rFonts w:asciiTheme="majorBidi" w:hAnsiTheme="majorBidi" w:cstheme="majorBidi"/>
          <w:bCs/>
          <w:iCs/>
          <w:sz w:val="24"/>
          <w:szCs w:val="24"/>
        </w:rPr>
        <w:t xml:space="preserve"> Case.” </w:t>
      </w:r>
      <w:r>
        <w:rPr>
          <w:rFonts w:asciiTheme="majorBidi" w:hAnsiTheme="majorBidi" w:cstheme="majorBidi"/>
          <w:bCs/>
          <w:i/>
          <w:sz w:val="24"/>
          <w:szCs w:val="24"/>
        </w:rPr>
        <w:t>Freethought To</w:t>
      </w:r>
      <w:r w:rsidRPr="004D561C">
        <w:rPr>
          <w:rFonts w:asciiTheme="majorBidi" w:hAnsiTheme="majorBidi" w:cstheme="majorBidi"/>
          <w:bCs/>
          <w:i/>
          <w:sz w:val="24"/>
          <w:szCs w:val="24"/>
        </w:rPr>
        <w:t>day 3</w:t>
      </w:r>
      <w:r w:rsidRPr="004D561C">
        <w:rPr>
          <w:rFonts w:asciiTheme="majorBidi" w:hAnsiTheme="majorBidi" w:cstheme="majorBidi"/>
          <w:bCs/>
          <w:iCs/>
          <w:sz w:val="24"/>
          <w:szCs w:val="24"/>
        </w:rPr>
        <w:t xml:space="preserve">(22) (April 2005). Retrieved from </w:t>
      </w:r>
      <w:r w:rsidRPr="004D561C">
        <w:rPr>
          <w:rFonts w:asciiTheme="majorBidi" w:hAnsiTheme="majorBidi" w:cstheme="majorBidi"/>
          <w:sz w:val="24"/>
          <w:szCs w:val="24"/>
        </w:rPr>
        <w:t>http://ffrf.org/faq/state-church/item/13139-excerpt-of-ffrf-amicus-brief-in-van-orden-case</w:t>
      </w:r>
    </w:p>
    <w:p w14:paraId="56B28424" w14:textId="77777777" w:rsidR="00EA77A3" w:rsidRDefault="00EA77A3" w:rsidP="003A3DE0">
      <w:pPr>
        <w:spacing w:line="240" w:lineRule="auto"/>
        <w:ind w:left="720" w:hanging="720"/>
        <w:contextualSpacing/>
        <w:rPr>
          <w:rFonts w:asciiTheme="majorBidi" w:hAnsiTheme="majorBidi" w:cstheme="majorBidi"/>
          <w:sz w:val="24"/>
          <w:szCs w:val="24"/>
        </w:rPr>
      </w:pPr>
    </w:p>
    <w:p w14:paraId="6E8DF4EC" w14:textId="6D636A70" w:rsidR="00A42449" w:rsidRDefault="00A42449" w:rsidP="003A3DE0">
      <w:pPr>
        <w:spacing w:line="240" w:lineRule="auto"/>
        <w:ind w:left="720" w:hanging="720"/>
        <w:contextualSpacing/>
        <w:rPr>
          <w:rFonts w:asciiTheme="majorBidi" w:hAnsiTheme="majorBidi" w:cstheme="majorBidi"/>
          <w:sz w:val="24"/>
          <w:szCs w:val="24"/>
        </w:rPr>
      </w:pPr>
      <w:r>
        <w:rPr>
          <w:rFonts w:asciiTheme="majorBidi" w:hAnsiTheme="majorBidi" w:cstheme="majorBidi"/>
          <w:sz w:val="24"/>
          <w:szCs w:val="24"/>
        </w:rPr>
        <w:t xml:space="preserve">Goodstein, Laurie. (2014, December 6). “In Seven States, Atheists Push to End Largely Forgotten Ban.” </w:t>
      </w:r>
      <w:r w:rsidRPr="00A42449">
        <w:rPr>
          <w:rFonts w:asciiTheme="majorBidi" w:hAnsiTheme="majorBidi" w:cstheme="majorBidi"/>
          <w:sz w:val="24"/>
          <w:szCs w:val="24"/>
        </w:rPr>
        <w:t>http://www.nytimes.com/2014/12/07/us/in-seven-states-atheists-push-to-end-largely-forgotten-ban-.html</w:t>
      </w:r>
    </w:p>
    <w:p w14:paraId="56F9E4DD" w14:textId="77777777" w:rsidR="00A42449" w:rsidRDefault="00A42449" w:rsidP="003A3DE0">
      <w:pPr>
        <w:spacing w:line="240" w:lineRule="auto"/>
        <w:ind w:left="720" w:hanging="720"/>
        <w:contextualSpacing/>
        <w:rPr>
          <w:rFonts w:asciiTheme="majorBidi" w:hAnsiTheme="majorBidi" w:cstheme="majorBidi"/>
          <w:sz w:val="24"/>
          <w:szCs w:val="24"/>
        </w:rPr>
      </w:pPr>
    </w:p>
    <w:p w14:paraId="15446988" w14:textId="7C91559A" w:rsidR="00A42449" w:rsidRDefault="00EA77A3" w:rsidP="00A42449">
      <w:pPr>
        <w:spacing w:line="240" w:lineRule="auto"/>
        <w:ind w:left="720" w:hanging="720"/>
        <w:contextualSpacing/>
        <w:rPr>
          <w:rFonts w:asciiTheme="majorBidi" w:hAnsiTheme="majorBidi" w:cstheme="majorBidi"/>
          <w:sz w:val="24"/>
          <w:szCs w:val="24"/>
        </w:rPr>
      </w:pPr>
      <w:r>
        <w:rPr>
          <w:rFonts w:asciiTheme="majorBidi" w:hAnsiTheme="majorBidi" w:cstheme="majorBidi"/>
          <w:sz w:val="24"/>
          <w:szCs w:val="24"/>
        </w:rPr>
        <w:t xml:space="preserve">Gordon, Sarah B. 2010. </w:t>
      </w:r>
      <w:r>
        <w:rPr>
          <w:rFonts w:asciiTheme="majorBidi" w:hAnsiTheme="majorBidi" w:cstheme="majorBidi"/>
          <w:i/>
          <w:iCs/>
          <w:sz w:val="24"/>
          <w:szCs w:val="24"/>
        </w:rPr>
        <w:t>The Spirit of the Law: Religious Voices and the Constitution in Modern America</w:t>
      </w:r>
      <w:r>
        <w:rPr>
          <w:rFonts w:asciiTheme="majorBidi" w:hAnsiTheme="majorBidi" w:cstheme="majorBidi"/>
          <w:sz w:val="24"/>
          <w:szCs w:val="24"/>
        </w:rPr>
        <w:t xml:space="preserve">. Cambridge, MA: </w:t>
      </w:r>
      <w:r w:rsidRPr="00E610B9">
        <w:rPr>
          <w:rFonts w:asciiTheme="majorBidi" w:hAnsiTheme="majorBidi" w:cstheme="majorBidi"/>
          <w:sz w:val="24"/>
          <w:szCs w:val="24"/>
        </w:rPr>
        <w:t>Belknap Press of Harvard University Press</w:t>
      </w:r>
      <w:r>
        <w:rPr>
          <w:rFonts w:asciiTheme="majorBidi" w:hAnsiTheme="majorBidi" w:cstheme="majorBidi"/>
          <w:sz w:val="24"/>
          <w:szCs w:val="24"/>
        </w:rPr>
        <w:t>.</w:t>
      </w:r>
    </w:p>
    <w:p w14:paraId="0065AA41" w14:textId="77777777" w:rsidR="00EA77A3" w:rsidRDefault="00EA77A3" w:rsidP="003A3DE0">
      <w:pPr>
        <w:spacing w:line="240" w:lineRule="auto"/>
        <w:ind w:left="720" w:hanging="720"/>
        <w:contextualSpacing/>
        <w:rPr>
          <w:rFonts w:asciiTheme="majorBidi" w:hAnsiTheme="majorBidi" w:cstheme="majorBidi"/>
          <w:color w:val="000000"/>
          <w:sz w:val="24"/>
          <w:szCs w:val="24"/>
        </w:rPr>
      </w:pPr>
    </w:p>
    <w:p w14:paraId="574126F3" w14:textId="77777777" w:rsidR="00EA77A3" w:rsidRPr="00CC3812" w:rsidRDefault="00EA77A3" w:rsidP="003A3DE0">
      <w:pPr>
        <w:spacing w:line="240" w:lineRule="auto"/>
        <w:ind w:left="720" w:hanging="720"/>
        <w:contextualSpacing/>
        <w:rPr>
          <w:rFonts w:asciiTheme="majorBidi" w:hAnsiTheme="majorBidi" w:cstheme="majorBidi"/>
          <w:color w:val="000000"/>
          <w:sz w:val="24"/>
          <w:szCs w:val="24"/>
        </w:rPr>
      </w:pPr>
      <w:r w:rsidRPr="00CC3812">
        <w:rPr>
          <w:rFonts w:asciiTheme="majorBidi" w:hAnsiTheme="majorBidi" w:cstheme="majorBidi"/>
          <w:color w:val="000000"/>
          <w:sz w:val="24"/>
          <w:szCs w:val="24"/>
        </w:rPr>
        <w:t xml:space="preserve">Graber, Mark A. 1993. “The </w:t>
      </w:r>
      <w:proofErr w:type="spellStart"/>
      <w:r w:rsidRPr="00CC3812">
        <w:rPr>
          <w:rFonts w:asciiTheme="majorBidi" w:hAnsiTheme="majorBidi" w:cstheme="majorBidi"/>
          <w:color w:val="000000"/>
          <w:sz w:val="24"/>
          <w:szCs w:val="24"/>
        </w:rPr>
        <w:t>Nonmajoritarian</w:t>
      </w:r>
      <w:proofErr w:type="spellEnd"/>
      <w:r w:rsidRPr="00CC3812">
        <w:rPr>
          <w:rFonts w:asciiTheme="majorBidi" w:hAnsiTheme="majorBidi" w:cstheme="majorBidi"/>
          <w:color w:val="000000"/>
          <w:sz w:val="24"/>
          <w:szCs w:val="24"/>
        </w:rPr>
        <w:t xml:space="preserve"> Difficulty: Legislative Deference to the Judiciary.” </w:t>
      </w:r>
      <w:r w:rsidRPr="00CC3812">
        <w:rPr>
          <w:rFonts w:asciiTheme="majorBidi" w:hAnsiTheme="majorBidi" w:cstheme="majorBidi"/>
          <w:i/>
          <w:iCs/>
          <w:color w:val="000000"/>
          <w:sz w:val="24"/>
          <w:szCs w:val="24"/>
        </w:rPr>
        <w:t>Studies in American Political Development</w:t>
      </w:r>
      <w:r w:rsidRPr="00CC3812">
        <w:rPr>
          <w:rFonts w:asciiTheme="majorBidi" w:hAnsiTheme="majorBidi" w:cstheme="majorBidi"/>
          <w:color w:val="000000"/>
          <w:sz w:val="24"/>
          <w:szCs w:val="24"/>
        </w:rPr>
        <w:t xml:space="preserve"> </w:t>
      </w:r>
      <w:r w:rsidRPr="00CC3812">
        <w:rPr>
          <w:rFonts w:asciiTheme="majorBidi" w:hAnsiTheme="majorBidi" w:cstheme="majorBidi"/>
          <w:i/>
          <w:iCs/>
          <w:color w:val="000000"/>
          <w:sz w:val="24"/>
          <w:szCs w:val="24"/>
        </w:rPr>
        <w:t>7</w:t>
      </w:r>
      <w:r w:rsidRPr="00CC3812">
        <w:rPr>
          <w:rFonts w:asciiTheme="majorBidi" w:hAnsiTheme="majorBidi" w:cstheme="majorBidi"/>
          <w:color w:val="000000"/>
          <w:sz w:val="24"/>
          <w:szCs w:val="24"/>
        </w:rPr>
        <w:t xml:space="preserve"> (Spring 1993): 35-73.</w:t>
      </w:r>
    </w:p>
    <w:p w14:paraId="79801FFA" w14:textId="77777777" w:rsidR="00EA77A3" w:rsidRDefault="00EA77A3" w:rsidP="003A3DE0">
      <w:pPr>
        <w:spacing w:line="240" w:lineRule="auto"/>
        <w:ind w:left="720" w:hanging="720"/>
        <w:contextualSpacing/>
        <w:rPr>
          <w:rFonts w:asciiTheme="majorBidi" w:eastAsia="Times New Roman" w:hAnsiTheme="majorBidi" w:cstheme="majorBidi"/>
          <w:sz w:val="24"/>
          <w:szCs w:val="24"/>
          <w:lang w:eastAsia="en-US"/>
        </w:rPr>
      </w:pPr>
    </w:p>
    <w:p w14:paraId="4357B108" w14:textId="77777777" w:rsidR="00EA77A3" w:rsidRDefault="00EA77A3" w:rsidP="00BC1294">
      <w:pPr>
        <w:spacing w:line="240" w:lineRule="auto"/>
        <w:ind w:left="720" w:hanging="720"/>
        <w:contextualSpacing/>
        <w:rPr>
          <w:rFonts w:asciiTheme="majorBidi" w:eastAsia="Times New Roman" w:hAnsiTheme="majorBidi" w:cstheme="majorBidi"/>
          <w:sz w:val="24"/>
          <w:szCs w:val="24"/>
          <w:lang w:eastAsia="en-US"/>
        </w:rPr>
      </w:pPr>
      <w:r>
        <w:rPr>
          <w:rFonts w:asciiTheme="majorBidi" w:eastAsia="Times New Roman" w:hAnsiTheme="majorBidi" w:cstheme="majorBidi"/>
          <w:sz w:val="24"/>
          <w:szCs w:val="24"/>
          <w:lang w:eastAsia="en-US"/>
        </w:rPr>
        <w:t xml:space="preserve">Hamburger, Philip. 2004. </w:t>
      </w:r>
      <w:r>
        <w:rPr>
          <w:rFonts w:asciiTheme="majorBidi" w:eastAsia="Times New Roman" w:hAnsiTheme="majorBidi" w:cstheme="majorBidi"/>
          <w:i/>
          <w:iCs/>
          <w:sz w:val="24"/>
          <w:szCs w:val="24"/>
          <w:lang w:eastAsia="en-US"/>
        </w:rPr>
        <w:t>Separation of Church and State</w:t>
      </w:r>
      <w:r>
        <w:rPr>
          <w:rFonts w:asciiTheme="majorBidi" w:eastAsia="Times New Roman" w:hAnsiTheme="majorBidi" w:cstheme="majorBidi"/>
          <w:sz w:val="24"/>
          <w:szCs w:val="24"/>
          <w:lang w:eastAsia="en-US"/>
        </w:rPr>
        <w:t>. Cambridge, MA: Harvard University Press.</w:t>
      </w:r>
    </w:p>
    <w:p w14:paraId="300302A1" w14:textId="77777777" w:rsidR="0090494E" w:rsidRDefault="0090494E" w:rsidP="00BC1294">
      <w:pPr>
        <w:spacing w:line="240" w:lineRule="auto"/>
        <w:ind w:left="720" w:hanging="720"/>
        <w:contextualSpacing/>
        <w:rPr>
          <w:rFonts w:asciiTheme="majorBidi" w:eastAsia="Times New Roman" w:hAnsiTheme="majorBidi" w:cstheme="majorBidi"/>
          <w:sz w:val="24"/>
          <w:szCs w:val="24"/>
          <w:lang w:eastAsia="en-US"/>
        </w:rPr>
      </w:pPr>
    </w:p>
    <w:p w14:paraId="7E889A66" w14:textId="5E555CBC" w:rsidR="0090494E" w:rsidRPr="0090494E" w:rsidRDefault="0090494E" w:rsidP="00BC1294">
      <w:pPr>
        <w:tabs>
          <w:tab w:val="left" w:pos="6886"/>
        </w:tabs>
        <w:spacing w:line="240" w:lineRule="auto"/>
        <w:ind w:left="720" w:hanging="720"/>
        <w:contextualSpacing/>
        <w:rPr>
          <w:rFonts w:ascii="Times New Roman" w:hAnsi="Times New Roman" w:cs="Times New Roman"/>
          <w:bCs/>
          <w:color w:val="333333"/>
          <w:sz w:val="24"/>
          <w:szCs w:val="24"/>
          <w:shd w:val="clear" w:color="auto" w:fill="FFFFFF"/>
        </w:rPr>
      </w:pPr>
      <w:r>
        <w:rPr>
          <w:rStyle w:val="Strong"/>
          <w:rFonts w:ascii="Times New Roman" w:hAnsi="Times New Roman" w:cs="Times New Roman"/>
          <w:b w:val="0"/>
          <w:color w:val="333333"/>
          <w:sz w:val="24"/>
          <w:szCs w:val="24"/>
          <w:shd w:val="clear" w:color="auto" w:fill="FFFFFF"/>
        </w:rPr>
        <w:t xml:space="preserve">Hamilton, Marci A. 2014. “Brief for </w:t>
      </w:r>
      <w:r>
        <w:rPr>
          <w:rStyle w:val="Strong"/>
          <w:rFonts w:ascii="Times New Roman" w:hAnsi="Times New Roman" w:cs="Times New Roman"/>
          <w:b w:val="0"/>
          <w:i/>
          <w:color w:val="333333"/>
          <w:sz w:val="24"/>
          <w:szCs w:val="24"/>
          <w:shd w:val="clear" w:color="auto" w:fill="FFFFFF"/>
        </w:rPr>
        <w:t xml:space="preserve">Amici Curiae </w:t>
      </w:r>
      <w:r>
        <w:rPr>
          <w:rStyle w:val="Strong"/>
          <w:rFonts w:ascii="Times New Roman" w:hAnsi="Times New Roman" w:cs="Times New Roman"/>
          <w:b w:val="0"/>
          <w:color w:val="333333"/>
          <w:sz w:val="24"/>
          <w:szCs w:val="24"/>
          <w:shd w:val="clear" w:color="auto" w:fill="FFFFFF"/>
        </w:rPr>
        <w:t xml:space="preserve">of the Freedom </w:t>
      </w:r>
      <w:proofErr w:type="gramStart"/>
      <w:r>
        <w:rPr>
          <w:rStyle w:val="Strong"/>
          <w:rFonts w:ascii="Times New Roman" w:hAnsi="Times New Roman" w:cs="Times New Roman"/>
          <w:b w:val="0"/>
          <w:color w:val="333333"/>
          <w:sz w:val="24"/>
          <w:szCs w:val="24"/>
          <w:shd w:val="clear" w:color="auto" w:fill="FFFFFF"/>
        </w:rPr>
        <w:t>From</w:t>
      </w:r>
      <w:proofErr w:type="gramEnd"/>
      <w:r>
        <w:rPr>
          <w:rStyle w:val="Strong"/>
          <w:rFonts w:ascii="Times New Roman" w:hAnsi="Times New Roman" w:cs="Times New Roman"/>
          <w:b w:val="0"/>
          <w:color w:val="333333"/>
          <w:sz w:val="24"/>
          <w:szCs w:val="24"/>
          <w:shd w:val="clear" w:color="auto" w:fill="FFFFFF"/>
        </w:rPr>
        <w:t xml:space="preserve"> Religion Foundation, BishopAccountability.org, Children’s’ Healthcare is a Legal Duty, The Child Protection Project, The Foundation to Abolish Child Sex Abuse, Survivors for Justice, and the Survivors’ Network of Those Abused by Priests in Support of Petitioner.” No.13-354 (U.S. 2014).</w:t>
      </w:r>
    </w:p>
    <w:p w14:paraId="162F5973" w14:textId="77777777" w:rsidR="00EA77A3" w:rsidRDefault="00EA77A3" w:rsidP="00BC1294">
      <w:pPr>
        <w:spacing w:line="240" w:lineRule="auto"/>
        <w:ind w:left="720" w:hanging="720"/>
        <w:contextualSpacing/>
        <w:rPr>
          <w:rFonts w:asciiTheme="majorBidi" w:hAnsiTheme="majorBidi" w:cstheme="majorBidi"/>
          <w:sz w:val="24"/>
          <w:szCs w:val="24"/>
        </w:rPr>
      </w:pPr>
    </w:p>
    <w:p w14:paraId="1B29391F" w14:textId="4CC8381D" w:rsidR="00D17E01" w:rsidRDefault="00D17E01" w:rsidP="00BC1294">
      <w:pPr>
        <w:tabs>
          <w:tab w:val="left" w:pos="6886"/>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Hamilton, Marci A. 2005. </w:t>
      </w:r>
      <w:r w:rsidRPr="004E4284">
        <w:rPr>
          <w:rFonts w:ascii="Times New Roman" w:hAnsi="Times New Roman" w:cs="Times New Roman"/>
          <w:sz w:val="24"/>
          <w:szCs w:val="24"/>
        </w:rPr>
        <w:t>God vs. the Gavel: Religion and the Rule of Law</w:t>
      </w:r>
      <w:r>
        <w:rPr>
          <w:rFonts w:ascii="Times New Roman" w:hAnsi="Times New Roman" w:cs="Times New Roman"/>
          <w:sz w:val="24"/>
          <w:szCs w:val="24"/>
        </w:rPr>
        <w:t>. (Cambridge, MA: Cambridge University Press).</w:t>
      </w:r>
    </w:p>
    <w:p w14:paraId="713A2924" w14:textId="77777777" w:rsidR="0090494E" w:rsidRDefault="0090494E" w:rsidP="00D17E01">
      <w:pPr>
        <w:tabs>
          <w:tab w:val="left" w:pos="6886"/>
        </w:tabs>
        <w:spacing w:line="240" w:lineRule="auto"/>
        <w:contextualSpacing/>
        <w:rPr>
          <w:rFonts w:ascii="Times New Roman" w:hAnsi="Times New Roman" w:cs="Times New Roman"/>
          <w:sz w:val="24"/>
          <w:szCs w:val="24"/>
        </w:rPr>
      </w:pPr>
    </w:p>
    <w:p w14:paraId="5F492F01" w14:textId="49D35713" w:rsidR="0090494E" w:rsidRPr="0090494E" w:rsidRDefault="0090494E" w:rsidP="0090494E">
      <w:pPr>
        <w:spacing w:line="240" w:lineRule="auto"/>
        <w:contextualSpacing/>
        <w:rPr>
          <w:rFonts w:asciiTheme="majorBidi" w:hAnsiTheme="majorBidi" w:cstheme="majorBidi"/>
          <w:iCs/>
          <w:sz w:val="24"/>
          <w:szCs w:val="24"/>
        </w:rPr>
      </w:pPr>
      <w:r>
        <w:rPr>
          <w:rFonts w:asciiTheme="majorBidi" w:hAnsiTheme="majorBidi" w:cstheme="majorBidi"/>
          <w:iCs/>
          <w:sz w:val="24"/>
          <w:szCs w:val="24"/>
        </w:rPr>
        <w:t xml:space="preserve">Hamilton, Marci A. (2015). “RFRA Perils.” Retrieved from </w:t>
      </w:r>
      <w:hyperlink r:id="rId14" w:history="1">
        <w:r w:rsidRPr="00690322">
          <w:rPr>
            <w:rStyle w:val="Hyperlink"/>
            <w:rFonts w:asciiTheme="majorBidi" w:hAnsiTheme="majorBidi" w:cstheme="majorBidi"/>
            <w:iCs/>
            <w:sz w:val="24"/>
            <w:szCs w:val="24"/>
          </w:rPr>
          <w:t>http://rfraperils.com/about/</w:t>
        </w:r>
      </w:hyperlink>
    </w:p>
    <w:p w14:paraId="17812784" w14:textId="77777777" w:rsidR="00D17E01" w:rsidRDefault="00D17E01" w:rsidP="003A3DE0">
      <w:pPr>
        <w:spacing w:line="240" w:lineRule="auto"/>
        <w:ind w:left="720" w:hanging="720"/>
        <w:contextualSpacing/>
        <w:rPr>
          <w:rFonts w:asciiTheme="majorBidi" w:hAnsiTheme="majorBidi" w:cstheme="majorBidi"/>
          <w:sz w:val="24"/>
          <w:szCs w:val="24"/>
        </w:rPr>
      </w:pPr>
    </w:p>
    <w:p w14:paraId="31874694" w14:textId="77777777" w:rsidR="00EA77A3" w:rsidRDefault="00EA77A3" w:rsidP="00BC1294">
      <w:pPr>
        <w:spacing w:line="240" w:lineRule="auto"/>
        <w:ind w:left="720" w:hanging="720"/>
        <w:contextualSpacing/>
        <w:rPr>
          <w:rFonts w:asciiTheme="majorBidi" w:hAnsiTheme="majorBidi" w:cstheme="majorBidi"/>
          <w:sz w:val="24"/>
          <w:szCs w:val="24"/>
        </w:rPr>
      </w:pPr>
      <w:r>
        <w:rPr>
          <w:rFonts w:asciiTheme="majorBidi" w:hAnsiTheme="majorBidi" w:cstheme="majorBidi"/>
          <w:sz w:val="24"/>
          <w:szCs w:val="24"/>
        </w:rPr>
        <w:lastRenderedPageBreak/>
        <w:t xml:space="preserve">Harris, Sam. 2005. </w:t>
      </w:r>
      <w:r>
        <w:rPr>
          <w:rFonts w:asciiTheme="majorBidi" w:hAnsiTheme="majorBidi" w:cstheme="majorBidi"/>
          <w:i/>
          <w:iCs/>
          <w:sz w:val="24"/>
          <w:szCs w:val="24"/>
        </w:rPr>
        <w:t>The End of Faith: Religion, Terror, and the Future of Reason</w:t>
      </w:r>
      <w:r>
        <w:rPr>
          <w:rFonts w:asciiTheme="majorBidi" w:hAnsiTheme="majorBidi" w:cstheme="majorBidi"/>
          <w:sz w:val="24"/>
          <w:szCs w:val="24"/>
        </w:rPr>
        <w:t>. New York: W. W. Norton.</w:t>
      </w:r>
    </w:p>
    <w:p w14:paraId="381D9E61" w14:textId="77777777" w:rsidR="00BC1294" w:rsidRDefault="00BC1294" w:rsidP="00BC1294">
      <w:pPr>
        <w:tabs>
          <w:tab w:val="left" w:pos="6886"/>
        </w:tabs>
        <w:spacing w:line="240" w:lineRule="auto"/>
        <w:ind w:hanging="720"/>
        <w:contextualSpacing/>
        <w:rPr>
          <w:rFonts w:asciiTheme="majorBidi" w:hAnsiTheme="majorBidi" w:cstheme="majorBidi"/>
          <w:sz w:val="24"/>
          <w:szCs w:val="24"/>
        </w:rPr>
      </w:pPr>
    </w:p>
    <w:p w14:paraId="3F9A67A8" w14:textId="3A5FE1FD" w:rsidR="00684631" w:rsidRPr="00684631" w:rsidRDefault="00684631" w:rsidP="00BC1294">
      <w:pPr>
        <w:tabs>
          <w:tab w:val="left" w:pos="6886"/>
        </w:tabs>
        <w:spacing w:line="24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Henegar</w:t>
      </w:r>
      <w:proofErr w:type="spellEnd"/>
      <w:r>
        <w:rPr>
          <w:rFonts w:ascii="Times New Roman" w:hAnsi="Times New Roman" w:cs="Times New Roman"/>
          <w:sz w:val="24"/>
          <w:szCs w:val="24"/>
        </w:rPr>
        <w:t xml:space="preserve">, Jane. 2015. Testimony on </w:t>
      </w:r>
      <w:r w:rsidRPr="00684631">
        <w:rPr>
          <w:rFonts w:ascii="Times New Roman" w:hAnsi="Times New Roman" w:cs="Times New Roman"/>
          <w:sz w:val="24"/>
          <w:szCs w:val="24"/>
        </w:rPr>
        <w:t>SB 101 and SB 568</w:t>
      </w:r>
      <w:r w:rsidR="00BC1294">
        <w:rPr>
          <w:rFonts w:ascii="Times New Roman" w:hAnsi="Times New Roman" w:cs="Times New Roman"/>
          <w:sz w:val="24"/>
          <w:szCs w:val="24"/>
        </w:rPr>
        <w:t xml:space="preserve"> – Indiana's "Religious Freedom </w:t>
      </w:r>
      <w:r w:rsidRPr="00684631">
        <w:rPr>
          <w:rFonts w:ascii="Times New Roman" w:hAnsi="Times New Roman" w:cs="Times New Roman"/>
          <w:sz w:val="24"/>
          <w:szCs w:val="24"/>
        </w:rPr>
        <w:t>Restoration Act" (RFRA)</w:t>
      </w:r>
      <w:r>
        <w:rPr>
          <w:rFonts w:ascii="Times New Roman" w:hAnsi="Times New Roman" w:cs="Times New Roman"/>
          <w:sz w:val="24"/>
          <w:szCs w:val="24"/>
        </w:rPr>
        <w:t xml:space="preserve">.” Retrieved from </w:t>
      </w:r>
      <w:hyperlink r:id="rId15" w:history="1">
        <w:r w:rsidRPr="00BB507D">
          <w:rPr>
            <w:rStyle w:val="Hyperlink"/>
            <w:rFonts w:ascii="Times New Roman" w:hAnsi="Times New Roman" w:cs="Times New Roman"/>
            <w:sz w:val="24"/>
            <w:szCs w:val="24"/>
          </w:rPr>
          <w:t>http://www.aclu-in.org/news/36-news-with-photos/289-aclu-of-indiana-testimony-on-religious-freedom-bills</w:t>
        </w:r>
      </w:hyperlink>
    </w:p>
    <w:p w14:paraId="2DAB5F47" w14:textId="77777777" w:rsidR="00EA77A3" w:rsidRDefault="00EA77A3" w:rsidP="003A3DE0">
      <w:pPr>
        <w:spacing w:line="240" w:lineRule="auto"/>
        <w:ind w:left="720" w:hanging="720"/>
        <w:contextualSpacing/>
        <w:rPr>
          <w:rFonts w:asciiTheme="majorBidi" w:hAnsiTheme="majorBidi" w:cstheme="majorBidi"/>
          <w:sz w:val="24"/>
          <w:szCs w:val="24"/>
        </w:rPr>
      </w:pPr>
    </w:p>
    <w:p w14:paraId="39AFE2D9" w14:textId="663EBCAD" w:rsidR="005222D3" w:rsidRDefault="005222D3" w:rsidP="003A3DE0">
      <w:pPr>
        <w:spacing w:line="240" w:lineRule="auto"/>
        <w:ind w:left="720" w:hanging="720"/>
        <w:contextualSpacing/>
        <w:rPr>
          <w:rFonts w:asciiTheme="majorBidi" w:hAnsiTheme="majorBidi" w:cstheme="majorBidi"/>
          <w:sz w:val="24"/>
          <w:szCs w:val="24"/>
        </w:rPr>
      </w:pPr>
      <w:proofErr w:type="spellStart"/>
      <w:r>
        <w:rPr>
          <w:rFonts w:asciiTheme="majorBidi" w:hAnsiTheme="majorBidi" w:cstheme="majorBidi"/>
          <w:sz w:val="24"/>
          <w:szCs w:val="24"/>
        </w:rPr>
        <w:t>Henriques</w:t>
      </w:r>
      <w:proofErr w:type="spellEnd"/>
      <w:r>
        <w:rPr>
          <w:rFonts w:asciiTheme="majorBidi" w:hAnsiTheme="majorBidi" w:cstheme="majorBidi"/>
          <w:sz w:val="24"/>
          <w:szCs w:val="24"/>
        </w:rPr>
        <w:t xml:space="preserve">, Diana B., &amp; Andrew </w:t>
      </w:r>
      <w:proofErr w:type="spellStart"/>
      <w:r>
        <w:rPr>
          <w:rFonts w:asciiTheme="majorBidi" w:hAnsiTheme="majorBidi" w:cstheme="majorBidi"/>
          <w:sz w:val="24"/>
          <w:szCs w:val="24"/>
        </w:rPr>
        <w:t>Lehren</w:t>
      </w:r>
      <w:proofErr w:type="spellEnd"/>
      <w:r>
        <w:rPr>
          <w:rFonts w:asciiTheme="majorBidi" w:hAnsiTheme="majorBidi" w:cstheme="majorBidi"/>
          <w:sz w:val="24"/>
          <w:szCs w:val="24"/>
        </w:rPr>
        <w:t>.</w:t>
      </w:r>
      <w:r w:rsidRPr="005222D3">
        <w:t xml:space="preserve"> </w:t>
      </w:r>
      <w:r>
        <w:t>“</w:t>
      </w:r>
      <w:r w:rsidRPr="005222D3">
        <w:rPr>
          <w:rFonts w:asciiTheme="majorBidi" w:hAnsiTheme="majorBidi" w:cstheme="majorBidi"/>
          <w:sz w:val="24"/>
          <w:szCs w:val="24"/>
        </w:rPr>
        <w:t>Religion for Captive Audiences, With Taxpayers Footing the Bill</w:t>
      </w:r>
      <w:r>
        <w:rPr>
          <w:rFonts w:asciiTheme="majorBidi" w:hAnsiTheme="majorBidi" w:cstheme="majorBidi"/>
          <w:sz w:val="24"/>
          <w:szCs w:val="24"/>
        </w:rPr>
        <w:t>” (</w:t>
      </w:r>
      <w:r w:rsidR="00A77DFF">
        <w:rPr>
          <w:rFonts w:asciiTheme="majorBidi" w:hAnsiTheme="majorBidi" w:cstheme="majorBidi"/>
          <w:sz w:val="24"/>
          <w:szCs w:val="24"/>
        </w:rPr>
        <w:t>December</w:t>
      </w:r>
      <w:r>
        <w:rPr>
          <w:rFonts w:asciiTheme="majorBidi" w:hAnsiTheme="majorBidi" w:cstheme="majorBidi"/>
          <w:sz w:val="24"/>
          <w:szCs w:val="24"/>
        </w:rPr>
        <w:t xml:space="preserve"> 10, 2006). </w:t>
      </w:r>
      <w:r w:rsidRPr="005222D3">
        <w:rPr>
          <w:rFonts w:asciiTheme="majorBidi" w:hAnsiTheme="majorBidi" w:cstheme="majorBidi"/>
          <w:sz w:val="24"/>
          <w:szCs w:val="24"/>
        </w:rPr>
        <w:t>http://www.nytimes.com/2006/12/10/business/10faith.html?pagewanted=all&amp;_r=0</w:t>
      </w:r>
    </w:p>
    <w:p w14:paraId="2B9E7B25" w14:textId="77777777" w:rsidR="005222D3" w:rsidRDefault="005222D3" w:rsidP="003A3DE0">
      <w:pPr>
        <w:spacing w:line="240" w:lineRule="auto"/>
        <w:ind w:left="720" w:hanging="720"/>
        <w:contextualSpacing/>
        <w:rPr>
          <w:rFonts w:asciiTheme="majorBidi" w:hAnsiTheme="majorBidi" w:cstheme="majorBidi"/>
          <w:sz w:val="24"/>
          <w:szCs w:val="24"/>
        </w:rPr>
      </w:pPr>
    </w:p>
    <w:p w14:paraId="2272F386" w14:textId="77777777" w:rsidR="00EA77A3" w:rsidRDefault="00EA77A3" w:rsidP="003A3DE0">
      <w:pPr>
        <w:spacing w:line="240" w:lineRule="auto"/>
        <w:ind w:left="720" w:hanging="720"/>
        <w:contextualSpacing/>
        <w:rPr>
          <w:rFonts w:asciiTheme="majorBidi" w:hAnsiTheme="majorBidi" w:cstheme="majorBidi"/>
          <w:sz w:val="24"/>
          <w:szCs w:val="24"/>
        </w:rPr>
      </w:pPr>
      <w:r>
        <w:rPr>
          <w:rFonts w:asciiTheme="majorBidi" w:hAnsiTheme="majorBidi" w:cstheme="majorBidi"/>
          <w:sz w:val="24"/>
          <w:szCs w:val="24"/>
        </w:rPr>
        <w:t xml:space="preserve">Hitchens, Christopher. 2007. </w:t>
      </w:r>
      <w:proofErr w:type="gramStart"/>
      <w:r>
        <w:rPr>
          <w:rFonts w:asciiTheme="majorBidi" w:hAnsiTheme="majorBidi" w:cstheme="majorBidi"/>
          <w:i/>
          <w:iCs/>
          <w:sz w:val="24"/>
          <w:szCs w:val="24"/>
        </w:rPr>
        <w:t>god</w:t>
      </w:r>
      <w:proofErr w:type="gramEnd"/>
      <w:r>
        <w:rPr>
          <w:rFonts w:asciiTheme="majorBidi" w:hAnsiTheme="majorBidi" w:cstheme="majorBidi"/>
          <w:i/>
          <w:iCs/>
          <w:sz w:val="24"/>
          <w:szCs w:val="24"/>
        </w:rPr>
        <w:t xml:space="preserve"> is Not Great: How Religion Poisons Everything</w:t>
      </w:r>
      <w:r>
        <w:rPr>
          <w:rFonts w:asciiTheme="majorBidi" w:hAnsiTheme="majorBidi" w:cstheme="majorBidi"/>
          <w:sz w:val="24"/>
          <w:szCs w:val="24"/>
        </w:rPr>
        <w:t>. New York: Twelve.</w:t>
      </w:r>
    </w:p>
    <w:p w14:paraId="3218F675" w14:textId="77777777" w:rsidR="009C5B4F" w:rsidRDefault="009C5B4F" w:rsidP="003A3DE0">
      <w:pPr>
        <w:spacing w:line="240" w:lineRule="auto"/>
        <w:ind w:left="720" w:hanging="720"/>
        <w:contextualSpacing/>
        <w:rPr>
          <w:rFonts w:asciiTheme="majorBidi" w:hAnsiTheme="majorBidi" w:cstheme="majorBidi"/>
          <w:sz w:val="24"/>
          <w:szCs w:val="24"/>
        </w:rPr>
      </w:pPr>
    </w:p>
    <w:p w14:paraId="02B3BD93" w14:textId="6AF93CDE" w:rsidR="009C5B4F" w:rsidRPr="009C5B4F" w:rsidRDefault="009C5B4F" w:rsidP="003A3DE0">
      <w:pPr>
        <w:spacing w:line="240" w:lineRule="auto"/>
        <w:ind w:left="720" w:hanging="720"/>
        <w:contextualSpacing/>
        <w:rPr>
          <w:rFonts w:asciiTheme="majorBidi" w:hAnsiTheme="majorBidi" w:cstheme="majorBidi"/>
          <w:sz w:val="24"/>
          <w:szCs w:val="24"/>
          <w:u w:val="single"/>
        </w:rPr>
      </w:pPr>
      <w:r>
        <w:rPr>
          <w:rFonts w:asciiTheme="majorBidi" w:hAnsiTheme="majorBidi" w:cstheme="majorBidi"/>
          <w:sz w:val="24"/>
          <w:szCs w:val="24"/>
        </w:rPr>
        <w:t xml:space="preserve">Hitchens, Christopher. 2009. </w:t>
      </w:r>
      <w:r>
        <w:rPr>
          <w:rFonts w:asciiTheme="majorBidi" w:hAnsiTheme="majorBidi" w:cstheme="majorBidi"/>
          <w:i/>
          <w:sz w:val="24"/>
          <w:szCs w:val="24"/>
        </w:rPr>
        <w:t>Thomas Jefferson: Author of America</w:t>
      </w:r>
      <w:r>
        <w:rPr>
          <w:rFonts w:asciiTheme="majorBidi" w:hAnsiTheme="majorBidi" w:cstheme="majorBidi"/>
          <w:sz w:val="24"/>
          <w:szCs w:val="24"/>
        </w:rPr>
        <w:t>. New York: Harper Perennial.</w:t>
      </w:r>
    </w:p>
    <w:p w14:paraId="2EF50F28" w14:textId="77777777" w:rsidR="00EA77A3" w:rsidRDefault="00EA77A3" w:rsidP="003A3DE0">
      <w:pPr>
        <w:spacing w:line="240" w:lineRule="auto"/>
        <w:ind w:left="720" w:hanging="720"/>
        <w:contextualSpacing/>
        <w:rPr>
          <w:rFonts w:asciiTheme="majorBidi" w:eastAsia="Times New Roman" w:hAnsiTheme="majorBidi" w:cstheme="majorBidi"/>
          <w:sz w:val="24"/>
          <w:szCs w:val="24"/>
          <w:lang w:eastAsia="en-US"/>
        </w:rPr>
      </w:pPr>
    </w:p>
    <w:p w14:paraId="0A534335" w14:textId="77777777" w:rsidR="00EA77A3" w:rsidRPr="00CE5430" w:rsidRDefault="00EA77A3" w:rsidP="003A3DE0">
      <w:pPr>
        <w:spacing w:line="240" w:lineRule="auto"/>
        <w:ind w:left="720" w:hanging="720"/>
        <w:contextualSpacing/>
        <w:rPr>
          <w:rFonts w:asciiTheme="majorBidi" w:eastAsia="Times New Roman" w:hAnsiTheme="majorBidi" w:cstheme="majorBidi"/>
          <w:sz w:val="24"/>
          <w:szCs w:val="24"/>
          <w:lang w:eastAsia="en-US"/>
        </w:rPr>
      </w:pPr>
      <w:r>
        <w:rPr>
          <w:rFonts w:asciiTheme="majorBidi" w:eastAsia="Times New Roman" w:hAnsiTheme="majorBidi" w:cstheme="majorBidi"/>
          <w:sz w:val="24"/>
          <w:szCs w:val="24"/>
          <w:lang w:eastAsia="en-US"/>
        </w:rPr>
        <w:t xml:space="preserve">Hyman, Gavin. 2007. “Atheism in Modern History.” In </w:t>
      </w:r>
      <w:r>
        <w:rPr>
          <w:rFonts w:asciiTheme="majorBidi" w:eastAsia="Times New Roman" w:hAnsiTheme="majorBidi" w:cstheme="majorBidi"/>
          <w:i/>
          <w:iCs/>
          <w:sz w:val="24"/>
          <w:szCs w:val="24"/>
          <w:lang w:eastAsia="en-US"/>
        </w:rPr>
        <w:t>The Cambridge Companion to Atheism</w:t>
      </w:r>
      <w:r>
        <w:rPr>
          <w:rFonts w:asciiTheme="majorBidi" w:eastAsia="Times New Roman" w:hAnsiTheme="majorBidi" w:cstheme="majorBidi"/>
          <w:sz w:val="24"/>
          <w:szCs w:val="24"/>
          <w:lang w:eastAsia="en-US"/>
        </w:rPr>
        <w:t xml:space="preserve">. </w:t>
      </w:r>
      <w:proofErr w:type="gramStart"/>
      <w:r>
        <w:rPr>
          <w:rFonts w:asciiTheme="majorBidi" w:eastAsia="Times New Roman" w:hAnsiTheme="majorBidi" w:cstheme="majorBidi"/>
          <w:sz w:val="24"/>
          <w:szCs w:val="24"/>
          <w:lang w:eastAsia="en-US"/>
        </w:rPr>
        <w:t>ed</w:t>
      </w:r>
      <w:proofErr w:type="gramEnd"/>
      <w:r>
        <w:rPr>
          <w:rFonts w:asciiTheme="majorBidi" w:eastAsia="Times New Roman" w:hAnsiTheme="majorBidi" w:cstheme="majorBidi"/>
          <w:sz w:val="24"/>
          <w:szCs w:val="24"/>
          <w:lang w:eastAsia="en-US"/>
        </w:rPr>
        <w:t>. Michael Martin. Cambridge, UK: Cambridge University Press.</w:t>
      </w:r>
    </w:p>
    <w:p w14:paraId="3745FB48" w14:textId="77777777" w:rsidR="00EA77A3" w:rsidRDefault="00EA77A3" w:rsidP="003A3DE0">
      <w:pPr>
        <w:spacing w:line="240" w:lineRule="auto"/>
        <w:contextualSpacing/>
        <w:rPr>
          <w:rFonts w:asciiTheme="majorBidi" w:hAnsiTheme="majorBidi" w:cstheme="majorBidi"/>
          <w:sz w:val="24"/>
          <w:szCs w:val="24"/>
        </w:rPr>
      </w:pPr>
    </w:p>
    <w:p w14:paraId="12C5C762" w14:textId="77777777" w:rsidR="00EA77A3" w:rsidRDefault="00EA77A3" w:rsidP="003A3DE0">
      <w:pPr>
        <w:spacing w:line="240" w:lineRule="auto"/>
        <w:ind w:left="720" w:hanging="720"/>
        <w:contextualSpacing/>
        <w:rPr>
          <w:rFonts w:asciiTheme="majorBidi" w:hAnsiTheme="majorBidi" w:cstheme="majorBidi"/>
          <w:sz w:val="24"/>
          <w:szCs w:val="24"/>
        </w:rPr>
      </w:pPr>
      <w:r>
        <w:rPr>
          <w:rFonts w:asciiTheme="majorBidi" w:hAnsiTheme="majorBidi" w:cstheme="majorBidi"/>
          <w:sz w:val="24"/>
          <w:szCs w:val="24"/>
        </w:rPr>
        <w:t xml:space="preserve">Jacoby, Susan. 2013. </w:t>
      </w:r>
      <w:r>
        <w:rPr>
          <w:rFonts w:asciiTheme="majorBidi" w:hAnsiTheme="majorBidi" w:cstheme="majorBidi"/>
          <w:i/>
          <w:iCs/>
          <w:sz w:val="24"/>
          <w:szCs w:val="24"/>
        </w:rPr>
        <w:t>The Great Agnostic: Robert Ingersoll and American Freethought</w:t>
      </w:r>
      <w:r>
        <w:rPr>
          <w:rFonts w:asciiTheme="majorBidi" w:hAnsiTheme="majorBidi" w:cstheme="majorBidi"/>
          <w:sz w:val="24"/>
          <w:szCs w:val="24"/>
        </w:rPr>
        <w:t>. New Haven: Yale University Press.</w:t>
      </w:r>
    </w:p>
    <w:p w14:paraId="1D6F132E" w14:textId="77777777" w:rsidR="000C7307" w:rsidRDefault="000C7307" w:rsidP="003A3DE0">
      <w:pPr>
        <w:spacing w:line="240" w:lineRule="auto"/>
        <w:ind w:left="720" w:hanging="720"/>
        <w:contextualSpacing/>
        <w:rPr>
          <w:rFonts w:asciiTheme="majorBidi" w:hAnsiTheme="majorBidi" w:cstheme="majorBidi"/>
          <w:sz w:val="24"/>
          <w:szCs w:val="24"/>
        </w:rPr>
      </w:pPr>
    </w:p>
    <w:p w14:paraId="493F92F8" w14:textId="18DB71E5" w:rsidR="000C7307" w:rsidRDefault="000C7307" w:rsidP="00BC1294">
      <w:pPr>
        <w:spacing w:line="240" w:lineRule="auto"/>
        <w:ind w:left="720" w:hanging="720"/>
        <w:contextualSpacing/>
        <w:rPr>
          <w:rFonts w:asciiTheme="majorBidi" w:hAnsiTheme="majorBidi" w:cstheme="majorBidi"/>
          <w:sz w:val="24"/>
          <w:szCs w:val="24"/>
        </w:rPr>
      </w:pPr>
      <w:r>
        <w:rPr>
          <w:rFonts w:asciiTheme="majorBidi" w:hAnsiTheme="majorBidi" w:cstheme="majorBidi"/>
          <w:sz w:val="24"/>
          <w:szCs w:val="24"/>
        </w:rPr>
        <w:t xml:space="preserve">Jefferson, Thomas. (1998, June; </w:t>
      </w:r>
      <w:proofErr w:type="spellStart"/>
      <w:r>
        <w:rPr>
          <w:rFonts w:asciiTheme="majorBidi" w:hAnsiTheme="majorBidi" w:cstheme="majorBidi"/>
          <w:sz w:val="24"/>
          <w:szCs w:val="24"/>
        </w:rPr>
        <w:t>o.d</w:t>
      </w:r>
      <w:proofErr w:type="spellEnd"/>
      <w:r>
        <w:rPr>
          <w:rFonts w:asciiTheme="majorBidi" w:hAnsiTheme="majorBidi" w:cstheme="majorBidi"/>
          <w:sz w:val="24"/>
          <w:szCs w:val="24"/>
        </w:rPr>
        <w:t xml:space="preserve">. 1802). “Letter to the Danbury Baptists.” </w:t>
      </w:r>
      <w:hyperlink r:id="rId16" w:history="1">
        <w:r w:rsidR="00964A0C" w:rsidRPr="00BB507D">
          <w:rPr>
            <w:rStyle w:val="Hyperlink"/>
            <w:rFonts w:asciiTheme="majorBidi" w:hAnsiTheme="majorBidi" w:cstheme="majorBidi"/>
            <w:sz w:val="24"/>
            <w:szCs w:val="24"/>
          </w:rPr>
          <w:t>http://www.loc.gov/loc/lcib/9806/danpre.html</w:t>
        </w:r>
      </w:hyperlink>
    </w:p>
    <w:p w14:paraId="515BCD86" w14:textId="77777777" w:rsidR="00964A0C" w:rsidRDefault="00964A0C" w:rsidP="00BC1294">
      <w:pPr>
        <w:spacing w:line="240" w:lineRule="auto"/>
        <w:ind w:left="720" w:hanging="720"/>
        <w:contextualSpacing/>
        <w:rPr>
          <w:rFonts w:asciiTheme="majorBidi" w:hAnsiTheme="majorBidi" w:cstheme="majorBidi"/>
          <w:sz w:val="24"/>
          <w:szCs w:val="24"/>
        </w:rPr>
      </w:pPr>
    </w:p>
    <w:p w14:paraId="35AD2899" w14:textId="2264E1F3" w:rsidR="00964A0C" w:rsidRPr="00964A0C" w:rsidRDefault="00964A0C" w:rsidP="00BC1294">
      <w:pPr>
        <w:tabs>
          <w:tab w:val="left" w:pos="6886"/>
        </w:tabs>
        <w:spacing w:line="240" w:lineRule="auto"/>
        <w:ind w:left="720" w:hanging="720"/>
        <w:contextualSpacing/>
        <w:rPr>
          <w:rFonts w:ascii="Times New Roman" w:hAnsi="Times New Roman" w:cs="Times New Roman"/>
          <w:bCs/>
          <w:color w:val="333333"/>
          <w:sz w:val="24"/>
          <w:szCs w:val="24"/>
          <w:shd w:val="clear" w:color="auto" w:fill="FFFFFF"/>
        </w:rPr>
      </w:pPr>
      <w:r>
        <w:rPr>
          <w:rStyle w:val="Strong"/>
          <w:rFonts w:ascii="Times New Roman" w:hAnsi="Times New Roman" w:cs="Times New Roman"/>
          <w:b w:val="0"/>
          <w:color w:val="333333"/>
          <w:sz w:val="24"/>
          <w:szCs w:val="24"/>
          <w:shd w:val="clear" w:color="auto" w:fill="FFFFFF"/>
        </w:rPr>
        <w:t xml:space="preserve">Kahn, Ayesha N., &amp; Caitlin E. O’Connell. 2014. “Brief </w:t>
      </w:r>
      <w:proofErr w:type="gramStart"/>
      <w:r>
        <w:rPr>
          <w:rStyle w:val="Strong"/>
          <w:rFonts w:ascii="Times New Roman" w:hAnsi="Times New Roman" w:cs="Times New Roman"/>
          <w:b w:val="0"/>
          <w:color w:val="333333"/>
          <w:sz w:val="24"/>
          <w:szCs w:val="24"/>
          <w:shd w:val="clear" w:color="auto" w:fill="FFFFFF"/>
        </w:rPr>
        <w:t xml:space="preserve">for  </w:t>
      </w:r>
      <w:r>
        <w:rPr>
          <w:rStyle w:val="Strong"/>
          <w:rFonts w:ascii="Times New Roman" w:hAnsi="Times New Roman" w:cs="Times New Roman"/>
          <w:b w:val="0"/>
          <w:i/>
          <w:color w:val="333333"/>
          <w:sz w:val="24"/>
          <w:szCs w:val="24"/>
          <w:shd w:val="clear" w:color="auto" w:fill="FFFFFF"/>
        </w:rPr>
        <w:t>Amici</w:t>
      </w:r>
      <w:proofErr w:type="gramEnd"/>
      <w:r>
        <w:rPr>
          <w:rStyle w:val="Strong"/>
          <w:rFonts w:ascii="Times New Roman" w:hAnsi="Times New Roman" w:cs="Times New Roman"/>
          <w:b w:val="0"/>
          <w:i/>
          <w:color w:val="333333"/>
          <w:sz w:val="24"/>
          <w:szCs w:val="24"/>
          <w:shd w:val="clear" w:color="auto" w:fill="FFFFFF"/>
        </w:rPr>
        <w:t xml:space="preserve"> </w:t>
      </w:r>
      <w:r w:rsidRPr="00964A0C">
        <w:rPr>
          <w:rStyle w:val="Strong"/>
          <w:rFonts w:ascii="Times New Roman" w:hAnsi="Times New Roman" w:cs="Times New Roman"/>
          <w:b w:val="0"/>
          <w:i/>
          <w:color w:val="333333"/>
          <w:sz w:val="24"/>
          <w:szCs w:val="24"/>
          <w:shd w:val="clear" w:color="auto" w:fill="FFFFFF"/>
        </w:rPr>
        <w:t>Curiae</w:t>
      </w:r>
      <w:r>
        <w:rPr>
          <w:rStyle w:val="Strong"/>
          <w:rFonts w:ascii="Times New Roman" w:hAnsi="Times New Roman" w:cs="Times New Roman"/>
          <w:b w:val="0"/>
          <w:color w:val="333333"/>
          <w:sz w:val="24"/>
          <w:szCs w:val="24"/>
          <w:shd w:val="clear" w:color="auto" w:fill="FFFFFF"/>
        </w:rPr>
        <w:t xml:space="preserve"> of </w:t>
      </w:r>
      <w:r w:rsidRPr="00964A0C">
        <w:rPr>
          <w:rStyle w:val="Strong"/>
          <w:rFonts w:ascii="Times New Roman" w:hAnsi="Times New Roman" w:cs="Times New Roman"/>
          <w:b w:val="0"/>
          <w:color w:val="333333"/>
          <w:sz w:val="24"/>
          <w:szCs w:val="24"/>
          <w:shd w:val="clear" w:color="auto" w:fill="FFFFFF"/>
        </w:rPr>
        <w:t>Religious</w:t>
      </w:r>
      <w:r>
        <w:rPr>
          <w:rStyle w:val="Strong"/>
          <w:rFonts w:ascii="Times New Roman" w:hAnsi="Times New Roman" w:cs="Times New Roman"/>
          <w:b w:val="0"/>
          <w:color w:val="333333"/>
          <w:sz w:val="24"/>
          <w:szCs w:val="24"/>
          <w:shd w:val="clear" w:color="auto" w:fill="FFFFFF"/>
        </w:rPr>
        <w:t xml:space="preserve"> Organizations Supporting the Government.” No.3-354/13-356</w:t>
      </w:r>
    </w:p>
    <w:p w14:paraId="487EC65B" w14:textId="77777777" w:rsidR="00EA77A3" w:rsidRDefault="00EA77A3" w:rsidP="003A3DE0">
      <w:pPr>
        <w:spacing w:line="240" w:lineRule="auto"/>
        <w:ind w:left="720" w:hanging="720"/>
        <w:contextualSpacing/>
        <w:rPr>
          <w:rFonts w:asciiTheme="majorBidi" w:hAnsiTheme="majorBidi" w:cstheme="majorBidi"/>
          <w:sz w:val="24"/>
          <w:szCs w:val="24"/>
        </w:rPr>
      </w:pPr>
    </w:p>
    <w:p w14:paraId="428C5D09" w14:textId="77777777" w:rsidR="00EA77A3" w:rsidRDefault="00EA77A3" w:rsidP="003A3DE0">
      <w:pPr>
        <w:spacing w:line="240" w:lineRule="auto"/>
        <w:ind w:left="720" w:hanging="720"/>
        <w:contextualSpacing/>
        <w:rPr>
          <w:rFonts w:ascii="Times New Roman" w:eastAsia="Times New Roman" w:hAnsi="Times New Roman" w:cs="Times New Roman"/>
          <w:sz w:val="24"/>
          <w:szCs w:val="24"/>
          <w:lang w:eastAsia="en-US"/>
        </w:rPr>
      </w:pPr>
      <w:r w:rsidRPr="003D47B0">
        <w:rPr>
          <w:rFonts w:asciiTheme="majorBidi" w:hAnsiTheme="majorBidi" w:cstheme="majorBidi"/>
          <w:sz w:val="24"/>
          <w:szCs w:val="24"/>
        </w:rPr>
        <w:t xml:space="preserve">Keck, Thomas. 2002. </w:t>
      </w:r>
      <w:r w:rsidRPr="00F82EC1">
        <w:rPr>
          <w:rFonts w:ascii="Times New Roman" w:eastAsia="Times New Roman" w:hAnsi="Times New Roman" w:cs="Times New Roman"/>
          <w:sz w:val="24"/>
          <w:szCs w:val="24"/>
          <w:lang w:eastAsia="en-US"/>
        </w:rPr>
        <w:t xml:space="preserve">“Activism and Restraint on the Rehnquist Court: Timing, Sequence, and Conjuncture in </w:t>
      </w:r>
      <w:r>
        <w:rPr>
          <w:rFonts w:ascii="Times New Roman" w:eastAsia="Times New Roman" w:hAnsi="Times New Roman" w:cs="Times New Roman"/>
          <w:sz w:val="24"/>
          <w:szCs w:val="24"/>
          <w:lang w:eastAsia="en-US"/>
        </w:rPr>
        <w:t xml:space="preserve">Constitutional Development.” </w:t>
      </w:r>
      <w:r w:rsidRPr="00F82EC1">
        <w:rPr>
          <w:rFonts w:ascii="Times New Roman" w:eastAsia="Times New Roman" w:hAnsi="Times New Roman" w:cs="Times New Roman"/>
          <w:i/>
          <w:sz w:val="24"/>
          <w:szCs w:val="24"/>
          <w:lang w:eastAsia="en-US"/>
        </w:rPr>
        <w:t>Polity</w:t>
      </w:r>
      <w:r w:rsidRPr="00F82EC1">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i/>
          <w:sz w:val="24"/>
          <w:szCs w:val="24"/>
          <w:lang w:eastAsia="en-US"/>
        </w:rPr>
        <w:t>35</w:t>
      </w:r>
      <w:r>
        <w:rPr>
          <w:rFonts w:ascii="Times New Roman" w:eastAsia="Times New Roman" w:hAnsi="Times New Roman" w:cs="Times New Roman"/>
          <w:sz w:val="24"/>
          <w:szCs w:val="24"/>
          <w:lang w:eastAsia="en-US"/>
        </w:rPr>
        <w:t>(1) (Fall 2002): 121-152.</w:t>
      </w:r>
    </w:p>
    <w:p w14:paraId="1DDA0327" w14:textId="77777777" w:rsidR="00EA77A3" w:rsidRDefault="00EA77A3" w:rsidP="003A3DE0">
      <w:pPr>
        <w:spacing w:line="240" w:lineRule="auto"/>
        <w:ind w:left="720" w:hanging="720"/>
        <w:contextualSpacing/>
        <w:rPr>
          <w:rFonts w:ascii="Times New Roman" w:eastAsia="Times New Roman" w:hAnsi="Times New Roman" w:cs="Times New Roman"/>
          <w:sz w:val="24"/>
          <w:szCs w:val="24"/>
          <w:lang w:eastAsia="en-US"/>
        </w:rPr>
      </w:pPr>
    </w:p>
    <w:p w14:paraId="4FB7C3B0" w14:textId="77777777" w:rsidR="00EA77A3" w:rsidRDefault="00EA77A3" w:rsidP="003A3DE0">
      <w:pPr>
        <w:spacing w:line="240" w:lineRule="auto"/>
        <w:ind w:left="720" w:hanging="720"/>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Keck, Thomas. 2004. </w:t>
      </w:r>
      <w:proofErr w:type="gramStart"/>
      <w:r>
        <w:rPr>
          <w:rFonts w:ascii="Times New Roman" w:eastAsia="Times New Roman" w:hAnsi="Times New Roman" w:cs="Times New Roman"/>
          <w:i/>
          <w:iCs/>
          <w:sz w:val="24"/>
          <w:szCs w:val="24"/>
          <w:lang w:eastAsia="en-US"/>
        </w:rPr>
        <w:t>The</w:t>
      </w:r>
      <w:proofErr w:type="gramEnd"/>
      <w:r>
        <w:rPr>
          <w:rFonts w:ascii="Times New Roman" w:eastAsia="Times New Roman" w:hAnsi="Times New Roman" w:cs="Times New Roman"/>
          <w:i/>
          <w:iCs/>
          <w:sz w:val="24"/>
          <w:szCs w:val="24"/>
          <w:lang w:eastAsia="en-US"/>
        </w:rPr>
        <w:t xml:space="preserve"> Most Activist Supreme Court in History: The Road to Modern Judicial Conservatism</w:t>
      </w:r>
      <w:r>
        <w:rPr>
          <w:rFonts w:ascii="Times New Roman" w:eastAsia="Times New Roman" w:hAnsi="Times New Roman" w:cs="Times New Roman"/>
          <w:sz w:val="24"/>
          <w:szCs w:val="24"/>
          <w:lang w:eastAsia="en-US"/>
        </w:rPr>
        <w:t>. Chicago: University of Chicago Press.</w:t>
      </w:r>
    </w:p>
    <w:p w14:paraId="57DB0C94" w14:textId="77777777" w:rsidR="00EA77A3" w:rsidRDefault="00EA77A3" w:rsidP="003A3DE0">
      <w:pPr>
        <w:spacing w:line="240" w:lineRule="auto"/>
        <w:ind w:left="720" w:hanging="720"/>
        <w:contextualSpacing/>
        <w:rPr>
          <w:rFonts w:asciiTheme="majorBidi" w:eastAsia="Times New Roman" w:hAnsiTheme="majorBidi" w:cstheme="majorBidi"/>
          <w:sz w:val="24"/>
          <w:szCs w:val="24"/>
          <w:lang w:eastAsia="en-US"/>
        </w:rPr>
      </w:pPr>
    </w:p>
    <w:p w14:paraId="097E7B36" w14:textId="77777777" w:rsidR="00EA77A3" w:rsidRDefault="00EA77A3" w:rsidP="003A3DE0">
      <w:pPr>
        <w:spacing w:line="240" w:lineRule="auto"/>
        <w:ind w:left="720" w:hanging="720"/>
        <w:contextualSpacing/>
        <w:rPr>
          <w:rFonts w:asciiTheme="majorBidi" w:eastAsia="Times New Roman" w:hAnsiTheme="majorBidi" w:cstheme="majorBidi"/>
          <w:sz w:val="24"/>
          <w:szCs w:val="24"/>
          <w:lang w:eastAsia="en-US"/>
        </w:rPr>
      </w:pPr>
      <w:proofErr w:type="spellStart"/>
      <w:r>
        <w:rPr>
          <w:rFonts w:asciiTheme="majorBidi" w:eastAsia="Times New Roman" w:hAnsiTheme="majorBidi" w:cstheme="majorBidi"/>
          <w:sz w:val="24"/>
          <w:szCs w:val="24"/>
          <w:lang w:eastAsia="en-US"/>
        </w:rPr>
        <w:t>Kersch</w:t>
      </w:r>
      <w:proofErr w:type="spellEnd"/>
      <w:r>
        <w:rPr>
          <w:rFonts w:asciiTheme="majorBidi" w:eastAsia="Times New Roman" w:hAnsiTheme="majorBidi" w:cstheme="majorBidi"/>
          <w:sz w:val="24"/>
          <w:szCs w:val="24"/>
          <w:lang w:eastAsia="en-US"/>
        </w:rPr>
        <w:t xml:space="preserve">, Ken I. 2004. </w:t>
      </w:r>
      <w:r>
        <w:rPr>
          <w:rFonts w:asciiTheme="majorBidi" w:eastAsia="Times New Roman" w:hAnsiTheme="majorBidi" w:cstheme="majorBidi"/>
          <w:i/>
          <w:iCs/>
          <w:sz w:val="24"/>
          <w:szCs w:val="24"/>
          <w:lang w:eastAsia="en-US"/>
        </w:rPr>
        <w:t>Constructing Civil Liberties: Discontinuities in the Development of American Constitutional Law</w:t>
      </w:r>
      <w:r>
        <w:rPr>
          <w:rFonts w:asciiTheme="majorBidi" w:eastAsia="Times New Roman" w:hAnsiTheme="majorBidi" w:cstheme="majorBidi"/>
          <w:sz w:val="24"/>
          <w:szCs w:val="24"/>
          <w:lang w:eastAsia="en-US"/>
        </w:rPr>
        <w:t>. Cambridge, UK: Cambridge University Press.</w:t>
      </w:r>
    </w:p>
    <w:p w14:paraId="54497A3E" w14:textId="77777777" w:rsidR="00EA77A3" w:rsidRDefault="00EA77A3" w:rsidP="003A3DE0">
      <w:pPr>
        <w:spacing w:line="240" w:lineRule="auto"/>
        <w:ind w:left="720" w:hanging="720"/>
        <w:contextualSpacing/>
        <w:rPr>
          <w:rStyle w:val="Hyperlink"/>
          <w:rFonts w:asciiTheme="majorBidi" w:hAnsiTheme="majorBidi" w:cstheme="majorBidi"/>
          <w:color w:val="auto"/>
          <w:sz w:val="24"/>
          <w:szCs w:val="24"/>
          <w:u w:val="none"/>
        </w:rPr>
      </w:pPr>
    </w:p>
    <w:p w14:paraId="21E37C22" w14:textId="77777777" w:rsidR="00EA77A3" w:rsidRDefault="00EA77A3" w:rsidP="003A3DE0">
      <w:pPr>
        <w:spacing w:line="240" w:lineRule="auto"/>
        <w:ind w:left="720" w:hanging="720"/>
        <w:contextualSpacing/>
        <w:rPr>
          <w:rStyle w:val="Hyperlink"/>
          <w:rFonts w:asciiTheme="majorBidi" w:hAnsiTheme="majorBidi" w:cstheme="majorBidi"/>
          <w:color w:val="auto"/>
          <w:sz w:val="24"/>
          <w:szCs w:val="24"/>
          <w:u w:val="none"/>
        </w:rPr>
      </w:pPr>
      <w:proofErr w:type="spellStart"/>
      <w:r>
        <w:rPr>
          <w:rStyle w:val="Hyperlink"/>
          <w:rFonts w:asciiTheme="majorBidi" w:hAnsiTheme="majorBidi" w:cstheme="majorBidi"/>
          <w:color w:val="auto"/>
          <w:sz w:val="24"/>
          <w:szCs w:val="24"/>
          <w:u w:val="none"/>
        </w:rPr>
        <w:t>Koppelman</w:t>
      </w:r>
      <w:proofErr w:type="spellEnd"/>
      <w:r>
        <w:rPr>
          <w:rStyle w:val="Hyperlink"/>
          <w:rFonts w:asciiTheme="majorBidi" w:hAnsiTheme="majorBidi" w:cstheme="majorBidi"/>
          <w:color w:val="auto"/>
          <w:sz w:val="24"/>
          <w:szCs w:val="24"/>
          <w:u w:val="none"/>
        </w:rPr>
        <w:t xml:space="preserve">, Andrew. 2013. </w:t>
      </w:r>
      <w:r>
        <w:rPr>
          <w:rStyle w:val="Hyperlink"/>
          <w:rFonts w:asciiTheme="majorBidi" w:hAnsiTheme="majorBidi" w:cstheme="majorBidi"/>
          <w:i/>
          <w:iCs/>
          <w:color w:val="auto"/>
          <w:sz w:val="24"/>
          <w:szCs w:val="24"/>
          <w:u w:val="none"/>
        </w:rPr>
        <w:t>Defending American Religious Neutrality</w:t>
      </w:r>
      <w:r>
        <w:rPr>
          <w:rStyle w:val="Hyperlink"/>
          <w:rFonts w:asciiTheme="majorBidi" w:hAnsiTheme="majorBidi" w:cstheme="majorBidi"/>
          <w:color w:val="auto"/>
          <w:sz w:val="24"/>
          <w:szCs w:val="24"/>
          <w:u w:val="none"/>
        </w:rPr>
        <w:t>. Cambridge, MA: Harvard University Press.</w:t>
      </w:r>
    </w:p>
    <w:p w14:paraId="2F1DF580" w14:textId="77777777" w:rsidR="00EA77A3" w:rsidRDefault="00EA77A3" w:rsidP="003A3DE0">
      <w:pPr>
        <w:spacing w:line="240" w:lineRule="auto"/>
        <w:ind w:left="720" w:hanging="720"/>
        <w:contextualSpacing/>
        <w:rPr>
          <w:rFonts w:asciiTheme="majorBidi" w:eastAsia="Times New Roman" w:hAnsiTheme="majorBidi" w:cstheme="majorBidi"/>
          <w:sz w:val="24"/>
          <w:szCs w:val="24"/>
          <w:lang w:eastAsia="en-US"/>
        </w:rPr>
      </w:pPr>
    </w:p>
    <w:p w14:paraId="2B5FFE7A" w14:textId="77777777" w:rsidR="00EA77A3" w:rsidRDefault="00EA77A3" w:rsidP="003A3DE0">
      <w:pPr>
        <w:spacing w:line="240" w:lineRule="auto"/>
        <w:ind w:left="720" w:hanging="720"/>
        <w:contextualSpacing/>
        <w:rPr>
          <w:rFonts w:asciiTheme="majorBidi" w:eastAsia="Times New Roman" w:hAnsiTheme="majorBidi" w:cstheme="majorBidi"/>
          <w:sz w:val="24"/>
          <w:szCs w:val="24"/>
          <w:lang w:eastAsia="en-US"/>
        </w:rPr>
      </w:pPr>
      <w:r>
        <w:rPr>
          <w:rFonts w:asciiTheme="majorBidi" w:eastAsia="Times New Roman" w:hAnsiTheme="majorBidi" w:cstheme="majorBidi"/>
          <w:sz w:val="24"/>
          <w:szCs w:val="24"/>
          <w:lang w:eastAsia="en-US"/>
        </w:rPr>
        <w:t xml:space="preserve">Lambert, Frank. 2006. </w:t>
      </w:r>
      <w:r>
        <w:rPr>
          <w:rFonts w:asciiTheme="majorBidi" w:eastAsia="Times New Roman" w:hAnsiTheme="majorBidi" w:cstheme="majorBidi"/>
          <w:i/>
          <w:iCs/>
          <w:sz w:val="24"/>
          <w:szCs w:val="24"/>
          <w:lang w:eastAsia="en-US"/>
        </w:rPr>
        <w:t>The Founding Fathers and the Place of Religion in America</w:t>
      </w:r>
      <w:r>
        <w:rPr>
          <w:rFonts w:asciiTheme="majorBidi" w:eastAsia="Times New Roman" w:hAnsiTheme="majorBidi" w:cstheme="majorBidi"/>
          <w:sz w:val="24"/>
          <w:szCs w:val="24"/>
          <w:lang w:eastAsia="en-US"/>
        </w:rPr>
        <w:t>. Princeton, NJ: Princeton University Press.</w:t>
      </w:r>
    </w:p>
    <w:p w14:paraId="1CB25308" w14:textId="77777777" w:rsidR="00EA77A3" w:rsidRDefault="00EA77A3" w:rsidP="003A3DE0">
      <w:pPr>
        <w:spacing w:line="240" w:lineRule="auto"/>
        <w:contextualSpacing/>
        <w:rPr>
          <w:rStyle w:val="Hyperlink"/>
          <w:rFonts w:asciiTheme="majorBidi" w:hAnsiTheme="majorBidi" w:cstheme="majorBidi"/>
          <w:color w:val="auto"/>
          <w:sz w:val="24"/>
          <w:szCs w:val="24"/>
          <w:u w:val="none"/>
        </w:rPr>
      </w:pPr>
      <w:r w:rsidRPr="007B3CEE">
        <w:rPr>
          <w:rStyle w:val="Hyperlink"/>
          <w:rFonts w:asciiTheme="majorBidi" w:hAnsiTheme="majorBidi" w:cstheme="majorBidi"/>
          <w:color w:val="auto"/>
          <w:sz w:val="24"/>
          <w:szCs w:val="24"/>
          <w:u w:val="none"/>
        </w:rPr>
        <w:t xml:space="preserve"> </w:t>
      </w:r>
    </w:p>
    <w:p w14:paraId="0028230A" w14:textId="77777777" w:rsidR="00EA77A3" w:rsidRDefault="00EA77A3" w:rsidP="003A3DE0">
      <w:pPr>
        <w:spacing w:line="240" w:lineRule="auto"/>
        <w:ind w:left="720" w:hanging="720"/>
        <w:contextualSpacing/>
        <w:rPr>
          <w:rFonts w:asciiTheme="majorBidi" w:hAnsiTheme="majorBidi" w:cstheme="majorBidi"/>
          <w:sz w:val="24"/>
          <w:szCs w:val="24"/>
        </w:rPr>
      </w:pPr>
      <w:proofErr w:type="spellStart"/>
      <w:r>
        <w:rPr>
          <w:rStyle w:val="Hyperlink"/>
          <w:rFonts w:asciiTheme="majorBidi" w:hAnsiTheme="majorBidi" w:cstheme="majorBidi"/>
          <w:color w:val="auto"/>
          <w:sz w:val="24"/>
          <w:szCs w:val="24"/>
          <w:u w:val="none"/>
        </w:rPr>
        <w:t>Laycock</w:t>
      </w:r>
      <w:proofErr w:type="spellEnd"/>
      <w:r>
        <w:rPr>
          <w:rStyle w:val="Hyperlink"/>
          <w:rFonts w:asciiTheme="majorBidi" w:hAnsiTheme="majorBidi" w:cstheme="majorBidi"/>
          <w:color w:val="auto"/>
          <w:sz w:val="24"/>
          <w:szCs w:val="24"/>
          <w:u w:val="none"/>
        </w:rPr>
        <w:t xml:space="preserve">, Douglas et al. 2013. “Brief for </w:t>
      </w:r>
      <w:r w:rsidRPr="00373C1C">
        <w:rPr>
          <w:rStyle w:val="Hyperlink"/>
          <w:rFonts w:asciiTheme="majorBidi" w:hAnsiTheme="majorBidi" w:cstheme="majorBidi"/>
          <w:i/>
          <w:iCs/>
          <w:color w:val="auto"/>
          <w:sz w:val="24"/>
          <w:szCs w:val="24"/>
          <w:u w:val="none"/>
        </w:rPr>
        <w:t>Respondents</w:t>
      </w:r>
      <w:r>
        <w:rPr>
          <w:rStyle w:val="Hyperlink"/>
          <w:rFonts w:asciiTheme="majorBidi" w:hAnsiTheme="majorBidi" w:cstheme="majorBidi"/>
          <w:color w:val="auto"/>
          <w:sz w:val="24"/>
          <w:szCs w:val="24"/>
          <w:u w:val="none"/>
        </w:rPr>
        <w:t xml:space="preserve"> </w:t>
      </w:r>
      <w:r>
        <w:rPr>
          <w:rStyle w:val="Hyperlink"/>
          <w:rFonts w:asciiTheme="majorBidi" w:hAnsiTheme="majorBidi" w:cstheme="majorBidi"/>
          <w:i/>
          <w:iCs/>
          <w:color w:val="auto"/>
          <w:sz w:val="24"/>
          <w:szCs w:val="24"/>
          <w:u w:val="none"/>
        </w:rPr>
        <w:t>Town of Greece v. Susan Galloway and Linda Stephens</w:t>
      </w:r>
      <w:r>
        <w:rPr>
          <w:rStyle w:val="Hyperlink"/>
          <w:rFonts w:asciiTheme="majorBidi" w:hAnsiTheme="majorBidi" w:cstheme="majorBidi"/>
          <w:color w:val="auto"/>
          <w:sz w:val="24"/>
          <w:szCs w:val="24"/>
          <w:u w:val="none"/>
        </w:rPr>
        <w:t xml:space="preserve">, No. 12-696 (U.S. 2013).” Retrieved from </w:t>
      </w:r>
      <w:r w:rsidRPr="00373C1C">
        <w:rPr>
          <w:rFonts w:asciiTheme="majorBidi" w:hAnsiTheme="majorBidi" w:cstheme="majorBidi"/>
          <w:sz w:val="24"/>
          <w:szCs w:val="24"/>
        </w:rPr>
        <w:lastRenderedPageBreak/>
        <w:t>http://www.americanbar.org/content/dam/aba/publications/supreme_court_preview/briefs-v2/12-696_resp.authcheckdam.pdf</w:t>
      </w:r>
    </w:p>
    <w:p w14:paraId="1ED4F4E7" w14:textId="77777777" w:rsidR="00EA77A3" w:rsidRDefault="00EA77A3" w:rsidP="003A3DE0">
      <w:pPr>
        <w:spacing w:line="240" w:lineRule="auto"/>
        <w:ind w:left="720" w:hanging="720"/>
        <w:contextualSpacing/>
        <w:rPr>
          <w:rFonts w:asciiTheme="majorBidi" w:eastAsia="Times New Roman" w:hAnsiTheme="majorBidi" w:cstheme="majorBidi"/>
          <w:sz w:val="24"/>
          <w:szCs w:val="24"/>
          <w:lang w:eastAsia="en-US"/>
        </w:rPr>
      </w:pPr>
    </w:p>
    <w:p w14:paraId="6AC3F338" w14:textId="77777777" w:rsidR="00EA77A3" w:rsidRPr="00CE5430" w:rsidRDefault="00EA77A3" w:rsidP="003A3DE0">
      <w:pPr>
        <w:spacing w:line="240" w:lineRule="auto"/>
        <w:ind w:left="720" w:hanging="720"/>
        <w:contextualSpacing/>
        <w:rPr>
          <w:rFonts w:asciiTheme="majorBidi" w:eastAsia="Times New Roman" w:hAnsiTheme="majorBidi" w:cstheme="majorBidi"/>
          <w:sz w:val="24"/>
          <w:szCs w:val="24"/>
          <w:lang w:eastAsia="en-US"/>
        </w:rPr>
      </w:pPr>
      <w:r>
        <w:rPr>
          <w:rFonts w:asciiTheme="majorBidi" w:eastAsia="Times New Roman" w:hAnsiTheme="majorBidi" w:cstheme="majorBidi"/>
          <w:sz w:val="24"/>
          <w:szCs w:val="24"/>
          <w:lang w:eastAsia="en-US"/>
        </w:rPr>
        <w:t xml:space="preserve">Le Beau, Bryan F. 2003. </w:t>
      </w:r>
      <w:r>
        <w:rPr>
          <w:rFonts w:asciiTheme="majorBidi" w:eastAsia="Times New Roman" w:hAnsiTheme="majorBidi" w:cstheme="majorBidi"/>
          <w:i/>
          <w:iCs/>
          <w:sz w:val="24"/>
          <w:szCs w:val="24"/>
          <w:lang w:eastAsia="en-US"/>
        </w:rPr>
        <w:t>The Atheist: Madalyn Murray O’Hair</w:t>
      </w:r>
      <w:r>
        <w:rPr>
          <w:rFonts w:asciiTheme="majorBidi" w:eastAsia="Times New Roman" w:hAnsiTheme="majorBidi" w:cstheme="majorBidi"/>
          <w:sz w:val="24"/>
          <w:szCs w:val="24"/>
          <w:lang w:eastAsia="en-US"/>
        </w:rPr>
        <w:t xml:space="preserve">. New York: NYU Press. </w:t>
      </w:r>
    </w:p>
    <w:p w14:paraId="7A56A77F" w14:textId="77777777" w:rsidR="00EA77A3" w:rsidRDefault="00EA77A3" w:rsidP="003A3DE0">
      <w:pPr>
        <w:spacing w:line="240" w:lineRule="auto"/>
        <w:ind w:left="720" w:hanging="720"/>
        <w:contextualSpacing/>
        <w:rPr>
          <w:rStyle w:val="Hyperlink"/>
          <w:rFonts w:asciiTheme="majorBidi" w:hAnsiTheme="majorBidi" w:cstheme="majorBidi"/>
          <w:color w:val="auto"/>
          <w:sz w:val="24"/>
          <w:szCs w:val="24"/>
          <w:u w:val="none"/>
        </w:rPr>
      </w:pPr>
    </w:p>
    <w:p w14:paraId="6964B283" w14:textId="4E8F8CB7" w:rsidR="00EA77A3" w:rsidRDefault="00EA77A3" w:rsidP="00BC1294">
      <w:pPr>
        <w:spacing w:line="240" w:lineRule="auto"/>
        <w:ind w:left="720" w:hanging="720"/>
        <w:contextualSpacing/>
        <w:rPr>
          <w:rStyle w:val="Hyperlink"/>
          <w:rFonts w:asciiTheme="majorBidi" w:hAnsiTheme="majorBidi" w:cstheme="majorBidi"/>
          <w:color w:val="auto"/>
          <w:sz w:val="24"/>
          <w:szCs w:val="24"/>
          <w:u w:val="none"/>
        </w:rPr>
      </w:pPr>
      <w:r>
        <w:rPr>
          <w:rStyle w:val="Hyperlink"/>
          <w:rFonts w:asciiTheme="majorBidi" w:hAnsiTheme="majorBidi" w:cstheme="majorBidi"/>
          <w:color w:val="auto"/>
          <w:sz w:val="24"/>
          <w:szCs w:val="24"/>
          <w:u w:val="none"/>
        </w:rPr>
        <w:t xml:space="preserve">Legal Information Institute. (2005, June 27). “Highlights of the Supreme Court’s 2004-2005 Term.” Retrieved from </w:t>
      </w:r>
      <w:hyperlink r:id="rId17" w:history="1">
        <w:r w:rsidR="00D21608" w:rsidRPr="00BB507D">
          <w:rPr>
            <w:rStyle w:val="Hyperlink"/>
            <w:rFonts w:asciiTheme="majorBidi" w:hAnsiTheme="majorBidi" w:cstheme="majorBidi"/>
            <w:sz w:val="24"/>
            <w:szCs w:val="24"/>
          </w:rPr>
          <w:t>http://www.law.cornell.edu/supct/background/03-1693_ref.html</w:t>
        </w:r>
      </w:hyperlink>
    </w:p>
    <w:p w14:paraId="3DC5012C" w14:textId="77777777" w:rsidR="00D21608" w:rsidRDefault="00D21608" w:rsidP="00BC1294">
      <w:pPr>
        <w:spacing w:line="240" w:lineRule="auto"/>
        <w:ind w:left="720" w:hanging="720"/>
        <w:contextualSpacing/>
        <w:rPr>
          <w:rStyle w:val="Hyperlink"/>
          <w:rFonts w:asciiTheme="majorBidi" w:hAnsiTheme="majorBidi" w:cstheme="majorBidi"/>
          <w:color w:val="auto"/>
          <w:sz w:val="24"/>
          <w:szCs w:val="24"/>
          <w:u w:val="none"/>
        </w:rPr>
      </w:pPr>
    </w:p>
    <w:p w14:paraId="7416174D" w14:textId="1A2234C0" w:rsidR="00D21608" w:rsidRPr="00D21608" w:rsidRDefault="00D21608" w:rsidP="00BC1294">
      <w:pPr>
        <w:tabs>
          <w:tab w:val="left" w:pos="6886"/>
        </w:tabs>
        <w:spacing w:line="240" w:lineRule="auto"/>
        <w:ind w:left="720" w:hanging="720"/>
        <w:contextualSpacing/>
        <w:rPr>
          <w:rStyle w:val="Hyperlink"/>
          <w:rFonts w:ascii="Times New Roman" w:hAnsi="Times New Roman" w:cs="Times New Roman"/>
          <w:bCs/>
          <w:color w:val="333333"/>
          <w:sz w:val="24"/>
          <w:szCs w:val="24"/>
          <w:u w:val="none"/>
          <w:shd w:val="clear" w:color="auto" w:fill="FFFFFF"/>
        </w:rPr>
      </w:pPr>
      <w:r>
        <w:rPr>
          <w:rStyle w:val="Strong"/>
          <w:rFonts w:ascii="Times New Roman" w:hAnsi="Times New Roman" w:cs="Times New Roman"/>
          <w:b w:val="0"/>
          <w:color w:val="333333"/>
          <w:sz w:val="24"/>
          <w:szCs w:val="24"/>
          <w:shd w:val="clear" w:color="auto" w:fill="FFFFFF"/>
        </w:rPr>
        <w:t xml:space="preserve">Lindsay, Ronald A., Nicholas J. Little, &amp; Edward </w:t>
      </w:r>
      <w:proofErr w:type="spellStart"/>
      <w:r>
        <w:rPr>
          <w:rStyle w:val="Strong"/>
          <w:rFonts w:ascii="Times New Roman" w:hAnsi="Times New Roman" w:cs="Times New Roman"/>
          <w:b w:val="0"/>
          <w:color w:val="333333"/>
          <w:sz w:val="24"/>
          <w:szCs w:val="24"/>
          <w:shd w:val="clear" w:color="auto" w:fill="FFFFFF"/>
        </w:rPr>
        <w:t>Tabash</w:t>
      </w:r>
      <w:proofErr w:type="spellEnd"/>
      <w:r>
        <w:rPr>
          <w:rStyle w:val="Strong"/>
          <w:rFonts w:ascii="Times New Roman" w:hAnsi="Times New Roman" w:cs="Times New Roman"/>
          <w:b w:val="0"/>
          <w:color w:val="333333"/>
          <w:sz w:val="24"/>
          <w:szCs w:val="24"/>
          <w:shd w:val="clear" w:color="auto" w:fill="FFFFFF"/>
        </w:rPr>
        <w:t>.</w:t>
      </w:r>
      <w:r w:rsidR="00964A0C">
        <w:rPr>
          <w:rStyle w:val="Strong"/>
          <w:rFonts w:ascii="Times New Roman" w:hAnsi="Times New Roman" w:cs="Times New Roman"/>
          <w:b w:val="0"/>
          <w:color w:val="333333"/>
          <w:sz w:val="24"/>
          <w:szCs w:val="24"/>
          <w:shd w:val="clear" w:color="auto" w:fill="FFFFFF"/>
        </w:rPr>
        <w:t xml:space="preserve"> 2014.</w:t>
      </w:r>
      <w:r>
        <w:rPr>
          <w:rStyle w:val="Strong"/>
          <w:rFonts w:ascii="Times New Roman" w:hAnsi="Times New Roman" w:cs="Times New Roman"/>
          <w:b w:val="0"/>
          <w:color w:val="333333"/>
          <w:sz w:val="24"/>
          <w:szCs w:val="24"/>
          <w:shd w:val="clear" w:color="auto" w:fill="FFFFFF"/>
        </w:rPr>
        <w:t xml:space="preserve"> “Brief for </w:t>
      </w:r>
      <w:r>
        <w:rPr>
          <w:rStyle w:val="Strong"/>
          <w:rFonts w:ascii="Times New Roman" w:hAnsi="Times New Roman" w:cs="Times New Roman"/>
          <w:b w:val="0"/>
          <w:i/>
          <w:color w:val="333333"/>
          <w:sz w:val="24"/>
          <w:szCs w:val="24"/>
          <w:shd w:val="clear" w:color="auto" w:fill="FFFFFF"/>
        </w:rPr>
        <w:t>Amici Curiae</w:t>
      </w:r>
      <w:r>
        <w:rPr>
          <w:rStyle w:val="Strong"/>
          <w:rFonts w:ascii="Times New Roman" w:hAnsi="Times New Roman" w:cs="Times New Roman"/>
          <w:b w:val="0"/>
          <w:color w:val="333333"/>
          <w:sz w:val="24"/>
          <w:szCs w:val="24"/>
          <w:shd w:val="clear" w:color="auto" w:fill="FFFFFF"/>
        </w:rPr>
        <w:t xml:space="preserve"> of the Center for Inquiry, the American Humanist Association, the American Atheists, the Military Association of Atheists and Freethinkers, and the Institute for Science and Human Values in Support of the Government.” No.13-354-13-356 (U.S. 2014).</w:t>
      </w:r>
    </w:p>
    <w:p w14:paraId="572143B3" w14:textId="77777777" w:rsidR="00EA77A3" w:rsidRDefault="00EA77A3" w:rsidP="00BC1294">
      <w:pPr>
        <w:spacing w:line="240" w:lineRule="auto"/>
        <w:ind w:left="720" w:hanging="720"/>
        <w:contextualSpacing/>
        <w:rPr>
          <w:rFonts w:asciiTheme="majorBidi" w:hAnsiTheme="majorBidi" w:cstheme="majorBidi"/>
          <w:sz w:val="24"/>
          <w:szCs w:val="24"/>
        </w:rPr>
      </w:pPr>
    </w:p>
    <w:p w14:paraId="0B023D7C" w14:textId="4F232EE6" w:rsidR="00E7557F" w:rsidRDefault="00EA77A3" w:rsidP="00BC1294">
      <w:pPr>
        <w:spacing w:line="240" w:lineRule="auto"/>
        <w:ind w:left="720" w:hanging="720"/>
        <w:contextualSpacing/>
        <w:rPr>
          <w:rFonts w:asciiTheme="majorBidi" w:hAnsiTheme="majorBidi" w:cstheme="majorBidi"/>
          <w:sz w:val="24"/>
          <w:szCs w:val="24"/>
        </w:rPr>
      </w:pPr>
      <w:proofErr w:type="spellStart"/>
      <w:r w:rsidRPr="00FB7D9A">
        <w:rPr>
          <w:rFonts w:asciiTheme="majorBidi" w:hAnsiTheme="majorBidi" w:cstheme="majorBidi"/>
          <w:sz w:val="24"/>
          <w:szCs w:val="24"/>
        </w:rPr>
        <w:t>Lipka</w:t>
      </w:r>
      <w:proofErr w:type="spellEnd"/>
      <w:r w:rsidRPr="00FB7D9A">
        <w:rPr>
          <w:rFonts w:asciiTheme="majorBidi" w:hAnsiTheme="majorBidi" w:cstheme="majorBidi"/>
          <w:sz w:val="24"/>
          <w:szCs w:val="24"/>
        </w:rPr>
        <w:t>, Michael</w:t>
      </w:r>
      <w:r>
        <w:rPr>
          <w:rFonts w:asciiTheme="majorBidi" w:hAnsiTheme="majorBidi" w:cstheme="majorBidi"/>
          <w:sz w:val="24"/>
          <w:szCs w:val="24"/>
        </w:rPr>
        <w:t>.</w:t>
      </w:r>
      <w:r w:rsidRPr="00FB7D9A">
        <w:rPr>
          <w:rFonts w:asciiTheme="majorBidi" w:hAnsiTheme="majorBidi" w:cstheme="majorBidi"/>
          <w:sz w:val="24"/>
          <w:szCs w:val="24"/>
        </w:rPr>
        <w:t xml:space="preserve"> (201</w:t>
      </w:r>
      <w:r>
        <w:rPr>
          <w:rFonts w:asciiTheme="majorBidi" w:hAnsiTheme="majorBidi" w:cstheme="majorBidi"/>
          <w:sz w:val="24"/>
          <w:szCs w:val="24"/>
        </w:rPr>
        <w:t>3</w:t>
      </w:r>
      <w:r w:rsidRPr="00FB7D9A">
        <w:rPr>
          <w:rFonts w:asciiTheme="majorBidi" w:hAnsiTheme="majorBidi" w:cstheme="majorBidi"/>
          <w:sz w:val="24"/>
          <w:szCs w:val="24"/>
        </w:rPr>
        <w:t>, October 23). “</w:t>
      </w:r>
      <w:r>
        <w:rPr>
          <w:rFonts w:asciiTheme="majorBidi" w:hAnsiTheme="majorBidi" w:cstheme="majorBidi"/>
          <w:sz w:val="24"/>
          <w:szCs w:val="24"/>
        </w:rPr>
        <w:t xml:space="preserve">5 Facts </w:t>
      </w:r>
      <w:proofErr w:type="gramStart"/>
      <w:r>
        <w:rPr>
          <w:rFonts w:asciiTheme="majorBidi" w:hAnsiTheme="majorBidi" w:cstheme="majorBidi"/>
          <w:sz w:val="24"/>
          <w:szCs w:val="24"/>
        </w:rPr>
        <w:t>About</w:t>
      </w:r>
      <w:proofErr w:type="gramEnd"/>
      <w:r>
        <w:rPr>
          <w:rFonts w:asciiTheme="majorBidi" w:hAnsiTheme="majorBidi" w:cstheme="majorBidi"/>
          <w:sz w:val="24"/>
          <w:szCs w:val="24"/>
        </w:rPr>
        <w:t xml:space="preserve"> Atheists.” </w:t>
      </w:r>
      <w:r>
        <w:rPr>
          <w:rFonts w:asciiTheme="majorBidi" w:hAnsiTheme="majorBidi" w:cstheme="majorBidi"/>
          <w:i/>
          <w:iCs/>
          <w:sz w:val="24"/>
          <w:szCs w:val="24"/>
        </w:rPr>
        <w:t xml:space="preserve">Pew Research Center’s Religion and </w:t>
      </w:r>
      <w:r w:rsidRPr="00FB7D9A">
        <w:rPr>
          <w:rFonts w:asciiTheme="majorBidi" w:hAnsiTheme="majorBidi" w:cstheme="majorBidi"/>
          <w:i/>
          <w:iCs/>
          <w:sz w:val="24"/>
          <w:szCs w:val="24"/>
        </w:rPr>
        <w:t>Public Life Project</w:t>
      </w:r>
      <w:r w:rsidRPr="00FB7D9A">
        <w:rPr>
          <w:rFonts w:asciiTheme="majorBidi" w:hAnsiTheme="majorBidi" w:cstheme="majorBidi"/>
          <w:sz w:val="24"/>
          <w:szCs w:val="24"/>
        </w:rPr>
        <w:t xml:space="preserve">. Retrieved from </w:t>
      </w:r>
      <w:hyperlink r:id="rId18" w:history="1">
        <w:r w:rsidR="00E7557F" w:rsidRPr="00B90A99">
          <w:rPr>
            <w:rStyle w:val="Hyperlink"/>
            <w:rFonts w:asciiTheme="majorBidi" w:hAnsiTheme="majorBidi" w:cstheme="majorBidi"/>
            <w:sz w:val="24"/>
            <w:szCs w:val="24"/>
          </w:rPr>
          <w:t>http://www.pewresearch.org/fact-tank/2013/10/23/5-facts-about-atheists/</w:t>
        </w:r>
      </w:hyperlink>
    </w:p>
    <w:p w14:paraId="19FDC9C1" w14:textId="77777777" w:rsidR="00E7557F" w:rsidRDefault="00E7557F" w:rsidP="00BC1294">
      <w:pPr>
        <w:spacing w:line="240" w:lineRule="auto"/>
        <w:ind w:left="720" w:hanging="720"/>
        <w:contextualSpacing/>
        <w:rPr>
          <w:rFonts w:asciiTheme="majorBidi" w:hAnsiTheme="majorBidi" w:cstheme="majorBidi"/>
          <w:sz w:val="24"/>
          <w:szCs w:val="24"/>
        </w:rPr>
      </w:pPr>
    </w:p>
    <w:p w14:paraId="13CAFF9B" w14:textId="0CD49A87" w:rsidR="00E7557F" w:rsidRDefault="00E7557F" w:rsidP="00BC1294">
      <w:pPr>
        <w:spacing w:line="240" w:lineRule="auto"/>
        <w:ind w:left="720" w:hanging="720"/>
        <w:contextualSpacing/>
        <w:rPr>
          <w:rFonts w:asciiTheme="majorBidi" w:hAnsiTheme="majorBidi" w:cstheme="majorBidi"/>
          <w:sz w:val="24"/>
          <w:szCs w:val="24"/>
        </w:rPr>
      </w:pPr>
      <w:r>
        <w:rPr>
          <w:rFonts w:asciiTheme="majorBidi" w:hAnsiTheme="majorBidi" w:cstheme="majorBidi"/>
          <w:sz w:val="24"/>
          <w:szCs w:val="24"/>
        </w:rPr>
        <w:t xml:space="preserve">Locke, John. 1983 </w:t>
      </w:r>
      <w:r>
        <w:rPr>
          <w:rFonts w:asciiTheme="majorBidi" w:hAnsiTheme="majorBidi" w:cstheme="majorBidi"/>
          <w:i/>
          <w:sz w:val="24"/>
          <w:szCs w:val="24"/>
        </w:rPr>
        <w:t>A Letter Concerning Toleration</w:t>
      </w:r>
      <w:r>
        <w:rPr>
          <w:rFonts w:asciiTheme="majorBidi" w:hAnsiTheme="majorBidi" w:cstheme="majorBidi"/>
          <w:sz w:val="24"/>
          <w:szCs w:val="24"/>
        </w:rPr>
        <w:t xml:space="preserve">. </w:t>
      </w:r>
      <w:proofErr w:type="gramStart"/>
      <w:r>
        <w:rPr>
          <w:rFonts w:asciiTheme="majorBidi" w:hAnsiTheme="majorBidi" w:cstheme="majorBidi"/>
          <w:sz w:val="24"/>
          <w:szCs w:val="24"/>
        </w:rPr>
        <w:t>ed</w:t>
      </w:r>
      <w:proofErr w:type="gramEnd"/>
      <w:r>
        <w:rPr>
          <w:rFonts w:asciiTheme="majorBidi" w:hAnsiTheme="majorBidi" w:cstheme="majorBidi"/>
          <w:sz w:val="24"/>
          <w:szCs w:val="24"/>
        </w:rPr>
        <w:t>. James H. Tully. Cambridge, UK: Hackett Publishing Company.</w:t>
      </w:r>
    </w:p>
    <w:p w14:paraId="7A9F06F1" w14:textId="77777777" w:rsidR="00ED1728" w:rsidRDefault="00ED1728" w:rsidP="00BC1294">
      <w:pPr>
        <w:spacing w:line="240" w:lineRule="auto"/>
        <w:ind w:left="720" w:hanging="720"/>
        <w:contextualSpacing/>
        <w:rPr>
          <w:rFonts w:asciiTheme="majorBidi" w:hAnsiTheme="majorBidi" w:cstheme="majorBidi"/>
          <w:sz w:val="24"/>
          <w:szCs w:val="24"/>
        </w:rPr>
      </w:pPr>
    </w:p>
    <w:p w14:paraId="41DA3ABF" w14:textId="347D732C" w:rsidR="00ED1728" w:rsidRPr="00ED1728" w:rsidRDefault="00ED1728" w:rsidP="00BC1294">
      <w:pPr>
        <w:tabs>
          <w:tab w:val="left" w:pos="6886"/>
        </w:tabs>
        <w:spacing w:line="240" w:lineRule="auto"/>
        <w:ind w:left="720" w:hanging="720"/>
        <w:contextualSpacing/>
        <w:rPr>
          <w:rFonts w:ascii="Times New Roman" w:hAnsi="Times New Roman" w:cs="Times New Roman"/>
          <w:bCs/>
          <w:color w:val="333333"/>
          <w:sz w:val="24"/>
          <w:szCs w:val="24"/>
          <w:shd w:val="clear" w:color="auto" w:fill="FFFFFF"/>
        </w:rPr>
      </w:pPr>
      <w:r>
        <w:rPr>
          <w:rStyle w:val="Strong"/>
          <w:rFonts w:ascii="Times New Roman" w:hAnsi="Times New Roman" w:cs="Times New Roman"/>
          <w:b w:val="0"/>
          <w:color w:val="333333"/>
          <w:sz w:val="24"/>
          <w:szCs w:val="24"/>
          <w:shd w:val="clear" w:color="auto" w:fill="FFFFFF"/>
        </w:rPr>
        <w:t xml:space="preserve">Mach, Daniel, Brigitte </w:t>
      </w:r>
      <w:proofErr w:type="spellStart"/>
      <w:r>
        <w:rPr>
          <w:rStyle w:val="Strong"/>
          <w:rFonts w:ascii="Times New Roman" w:hAnsi="Times New Roman" w:cs="Times New Roman"/>
          <w:b w:val="0"/>
          <w:color w:val="333333"/>
          <w:sz w:val="24"/>
          <w:szCs w:val="24"/>
          <w:shd w:val="clear" w:color="auto" w:fill="FFFFFF"/>
        </w:rPr>
        <w:t>Amiri</w:t>
      </w:r>
      <w:proofErr w:type="spellEnd"/>
      <w:r>
        <w:rPr>
          <w:rStyle w:val="Strong"/>
          <w:rFonts w:ascii="Times New Roman" w:hAnsi="Times New Roman" w:cs="Times New Roman"/>
          <w:b w:val="0"/>
          <w:color w:val="333333"/>
          <w:sz w:val="24"/>
          <w:szCs w:val="24"/>
          <w:shd w:val="clear" w:color="auto" w:fill="FFFFFF"/>
        </w:rPr>
        <w:t xml:space="preserve">, Louise </w:t>
      </w:r>
      <w:proofErr w:type="spellStart"/>
      <w:r>
        <w:rPr>
          <w:rStyle w:val="Strong"/>
          <w:rFonts w:ascii="Times New Roman" w:hAnsi="Times New Roman" w:cs="Times New Roman"/>
          <w:b w:val="0"/>
          <w:color w:val="333333"/>
          <w:sz w:val="24"/>
          <w:szCs w:val="24"/>
          <w:shd w:val="clear" w:color="auto" w:fill="FFFFFF"/>
        </w:rPr>
        <w:t>Melling</w:t>
      </w:r>
      <w:proofErr w:type="spellEnd"/>
      <w:r>
        <w:rPr>
          <w:rStyle w:val="Strong"/>
          <w:rFonts w:ascii="Times New Roman" w:hAnsi="Times New Roman" w:cs="Times New Roman"/>
          <w:b w:val="0"/>
          <w:color w:val="333333"/>
          <w:sz w:val="24"/>
          <w:szCs w:val="24"/>
          <w:shd w:val="clear" w:color="auto" w:fill="FFFFFF"/>
        </w:rPr>
        <w:t xml:space="preserve">, Jennifer Lee, &amp; Steven R. Shapiro. 2014. “Brief for </w:t>
      </w:r>
      <w:r>
        <w:rPr>
          <w:rStyle w:val="Strong"/>
          <w:rFonts w:ascii="Times New Roman" w:hAnsi="Times New Roman" w:cs="Times New Roman"/>
          <w:b w:val="0"/>
          <w:i/>
          <w:color w:val="333333"/>
          <w:sz w:val="24"/>
          <w:szCs w:val="24"/>
          <w:shd w:val="clear" w:color="auto" w:fill="FFFFFF"/>
        </w:rPr>
        <w:t xml:space="preserve">Amici Curiae </w:t>
      </w:r>
      <w:r>
        <w:rPr>
          <w:rStyle w:val="Strong"/>
          <w:rFonts w:ascii="Times New Roman" w:hAnsi="Times New Roman" w:cs="Times New Roman"/>
          <w:b w:val="0"/>
          <w:color w:val="333333"/>
          <w:sz w:val="24"/>
          <w:szCs w:val="24"/>
          <w:shd w:val="clear" w:color="auto" w:fill="FFFFFF"/>
        </w:rPr>
        <w:t xml:space="preserve">for </w:t>
      </w:r>
      <w:r>
        <w:rPr>
          <w:rStyle w:val="Strong"/>
          <w:rFonts w:ascii="Times New Roman" w:hAnsi="Times New Roman" w:cs="Times New Roman"/>
          <w:b w:val="0"/>
          <w:i/>
          <w:color w:val="333333"/>
          <w:sz w:val="24"/>
          <w:szCs w:val="24"/>
          <w:shd w:val="clear" w:color="auto" w:fill="FFFFFF"/>
        </w:rPr>
        <w:t xml:space="preserve"> </w:t>
      </w:r>
      <w:r>
        <w:rPr>
          <w:rStyle w:val="Strong"/>
          <w:rFonts w:ascii="Times New Roman" w:hAnsi="Times New Roman" w:cs="Times New Roman"/>
          <w:b w:val="0"/>
          <w:color w:val="333333"/>
          <w:sz w:val="24"/>
          <w:szCs w:val="24"/>
          <w:shd w:val="clear" w:color="auto" w:fill="FFFFFF"/>
        </w:rPr>
        <w:t xml:space="preserve">Julian Bond, the American Civil Liberties Union, the ACLU of Pennsylvania, the ACLU of Oklahoma, the NAACP Legal Defense and </w:t>
      </w:r>
      <w:proofErr w:type="spellStart"/>
      <w:r>
        <w:rPr>
          <w:rStyle w:val="Strong"/>
          <w:rFonts w:ascii="Times New Roman" w:hAnsi="Times New Roman" w:cs="Times New Roman"/>
          <w:b w:val="0"/>
          <w:color w:val="333333"/>
          <w:sz w:val="24"/>
          <w:szCs w:val="24"/>
          <w:shd w:val="clear" w:color="auto" w:fill="FFFFFF"/>
        </w:rPr>
        <w:t>Edicational</w:t>
      </w:r>
      <w:proofErr w:type="spellEnd"/>
      <w:r>
        <w:rPr>
          <w:rStyle w:val="Strong"/>
          <w:rFonts w:ascii="Times New Roman" w:hAnsi="Times New Roman" w:cs="Times New Roman"/>
          <w:b w:val="0"/>
          <w:color w:val="333333"/>
          <w:sz w:val="24"/>
          <w:szCs w:val="24"/>
          <w:shd w:val="clear" w:color="auto" w:fill="FFFFFF"/>
        </w:rPr>
        <w:t xml:space="preserve"> Fund, Inc., and the National Coalition on Black Civic Participation in Support of the Government.” No.13-354 &amp; 13-356 (U.S. 2014).</w:t>
      </w:r>
    </w:p>
    <w:p w14:paraId="51AE4211" w14:textId="77777777" w:rsidR="00EA77A3" w:rsidRDefault="00EA77A3" w:rsidP="003A3DE0">
      <w:pPr>
        <w:spacing w:line="240" w:lineRule="auto"/>
        <w:contextualSpacing/>
        <w:rPr>
          <w:rFonts w:asciiTheme="majorBidi" w:hAnsiTheme="majorBidi" w:cstheme="majorBidi"/>
          <w:sz w:val="24"/>
          <w:szCs w:val="24"/>
        </w:rPr>
      </w:pPr>
    </w:p>
    <w:p w14:paraId="0537E7B4" w14:textId="12CC53A9" w:rsidR="00BC1294" w:rsidRDefault="00BC1294" w:rsidP="00BC1294">
      <w:pPr>
        <w:spacing w:line="240" w:lineRule="auto"/>
        <w:contextualSpacing/>
        <w:rPr>
          <w:rFonts w:asciiTheme="majorBidi" w:hAnsiTheme="majorBidi" w:cstheme="majorBidi"/>
          <w:sz w:val="24"/>
          <w:szCs w:val="24"/>
        </w:rPr>
      </w:pPr>
      <w:r>
        <w:rPr>
          <w:rFonts w:asciiTheme="majorBidi" w:hAnsiTheme="majorBidi" w:cstheme="majorBidi"/>
          <w:sz w:val="24"/>
          <w:szCs w:val="24"/>
        </w:rPr>
        <w:t>M</w:t>
      </w:r>
      <w:r w:rsidR="00EA77A3" w:rsidRPr="003D47B0">
        <w:rPr>
          <w:rFonts w:asciiTheme="majorBidi" w:hAnsiTheme="majorBidi" w:cstheme="majorBidi"/>
          <w:sz w:val="24"/>
          <w:szCs w:val="24"/>
        </w:rPr>
        <w:t>aynard</w:t>
      </w:r>
      <w:r w:rsidR="00EA77A3">
        <w:rPr>
          <w:rFonts w:asciiTheme="majorBidi" w:hAnsiTheme="majorBidi" w:cstheme="majorBidi"/>
          <w:sz w:val="24"/>
          <w:szCs w:val="24"/>
        </w:rPr>
        <w:t>, Deanne E.</w:t>
      </w:r>
      <w:r w:rsidR="00EA77A3" w:rsidRPr="003D47B0">
        <w:rPr>
          <w:rFonts w:asciiTheme="majorBidi" w:hAnsiTheme="majorBidi" w:cstheme="majorBidi"/>
          <w:sz w:val="24"/>
          <w:szCs w:val="24"/>
        </w:rPr>
        <w:t xml:space="preserve"> &amp;</w:t>
      </w:r>
      <w:r w:rsidR="00EA77A3">
        <w:rPr>
          <w:rFonts w:asciiTheme="majorBidi" w:hAnsiTheme="majorBidi" w:cstheme="majorBidi"/>
          <w:sz w:val="24"/>
          <w:szCs w:val="24"/>
        </w:rPr>
        <w:t xml:space="preserve"> Marc A.</w:t>
      </w:r>
      <w:r w:rsidR="00EA77A3" w:rsidRPr="003D47B0">
        <w:rPr>
          <w:rFonts w:asciiTheme="majorBidi" w:hAnsiTheme="majorBidi" w:cstheme="majorBidi"/>
          <w:sz w:val="24"/>
          <w:szCs w:val="24"/>
        </w:rPr>
        <w:t xml:space="preserve"> </w:t>
      </w:r>
      <w:proofErr w:type="spellStart"/>
      <w:r w:rsidR="00EA77A3" w:rsidRPr="003D47B0">
        <w:rPr>
          <w:rFonts w:asciiTheme="majorBidi" w:hAnsiTheme="majorBidi" w:cstheme="majorBidi"/>
          <w:sz w:val="24"/>
          <w:szCs w:val="24"/>
        </w:rPr>
        <w:t>Hearron</w:t>
      </w:r>
      <w:proofErr w:type="spellEnd"/>
      <w:r w:rsidR="00EA77A3">
        <w:rPr>
          <w:rFonts w:asciiTheme="majorBidi" w:hAnsiTheme="majorBidi" w:cstheme="majorBidi"/>
          <w:sz w:val="24"/>
          <w:szCs w:val="24"/>
        </w:rPr>
        <w:t xml:space="preserve">. 2013. “Brief for </w:t>
      </w:r>
      <w:r w:rsidR="00EA77A3">
        <w:rPr>
          <w:rFonts w:asciiTheme="majorBidi" w:hAnsiTheme="majorBidi" w:cstheme="majorBidi"/>
          <w:i/>
          <w:iCs/>
          <w:sz w:val="24"/>
          <w:szCs w:val="24"/>
        </w:rPr>
        <w:t>Amici Curiae</w:t>
      </w:r>
      <w:r w:rsidR="00EA77A3">
        <w:rPr>
          <w:rFonts w:asciiTheme="majorBidi" w:hAnsiTheme="majorBidi" w:cstheme="majorBidi"/>
          <w:sz w:val="24"/>
          <w:szCs w:val="24"/>
        </w:rPr>
        <w:t xml:space="preserve"> of the Unitarian </w:t>
      </w:r>
    </w:p>
    <w:p w14:paraId="252978AB" w14:textId="4CC0952B" w:rsidR="00EA77A3" w:rsidRPr="005B2222" w:rsidRDefault="00EA77A3" w:rsidP="00BC1294">
      <w:pPr>
        <w:spacing w:line="240" w:lineRule="auto"/>
        <w:ind w:left="720"/>
        <w:contextualSpacing/>
        <w:rPr>
          <w:rFonts w:asciiTheme="majorBidi" w:hAnsiTheme="majorBidi" w:cstheme="majorBidi"/>
          <w:sz w:val="24"/>
          <w:szCs w:val="24"/>
        </w:rPr>
      </w:pPr>
      <w:r>
        <w:rPr>
          <w:rFonts w:asciiTheme="majorBidi" w:hAnsiTheme="majorBidi" w:cstheme="majorBidi"/>
          <w:sz w:val="24"/>
          <w:szCs w:val="24"/>
        </w:rPr>
        <w:t xml:space="preserve">Universalist Association of Congregations, Union for Reform Judaism, Muslim Advocates, Hindu American Foundation, National Council of Jewish Women, Central Conference of American Rabbis, Women of Reform Judaism, Blue Mountain Lotus Society, and Rabbi Simeon </w:t>
      </w:r>
      <w:proofErr w:type="spellStart"/>
      <w:r>
        <w:rPr>
          <w:rFonts w:asciiTheme="majorBidi" w:hAnsiTheme="majorBidi" w:cstheme="majorBidi"/>
          <w:sz w:val="24"/>
          <w:szCs w:val="24"/>
        </w:rPr>
        <w:t>Kolko</w:t>
      </w:r>
      <w:proofErr w:type="spellEnd"/>
      <w:r>
        <w:rPr>
          <w:rFonts w:asciiTheme="majorBidi" w:hAnsiTheme="majorBidi" w:cstheme="majorBidi"/>
          <w:sz w:val="24"/>
          <w:szCs w:val="24"/>
        </w:rPr>
        <w:t xml:space="preserve"> in Support of Respondents, No.12-696 (U.S. 2013).”</w:t>
      </w:r>
    </w:p>
    <w:p w14:paraId="43070094" w14:textId="77777777" w:rsidR="00EA77A3" w:rsidRDefault="00EA77A3" w:rsidP="00BC1294">
      <w:pPr>
        <w:spacing w:line="240" w:lineRule="auto"/>
        <w:ind w:left="720" w:hanging="720"/>
        <w:contextualSpacing/>
        <w:rPr>
          <w:rFonts w:asciiTheme="majorBidi" w:eastAsia="Times New Roman" w:hAnsiTheme="majorBidi" w:cstheme="majorBidi"/>
          <w:sz w:val="24"/>
          <w:szCs w:val="24"/>
          <w:lang w:eastAsia="en-US"/>
        </w:rPr>
      </w:pPr>
    </w:p>
    <w:p w14:paraId="6E63FFA3" w14:textId="3B656315" w:rsidR="00643C4F" w:rsidRDefault="00643C4F" w:rsidP="00BC1294">
      <w:pPr>
        <w:spacing w:line="240" w:lineRule="auto"/>
        <w:ind w:left="720" w:hanging="720"/>
        <w:contextualSpacing/>
        <w:rPr>
          <w:rFonts w:asciiTheme="majorBidi" w:eastAsia="Times New Roman" w:hAnsiTheme="majorBidi" w:cstheme="majorBidi"/>
          <w:sz w:val="24"/>
          <w:szCs w:val="24"/>
          <w:lang w:eastAsia="en-US"/>
        </w:rPr>
      </w:pPr>
      <w:proofErr w:type="spellStart"/>
      <w:r w:rsidRPr="00643C4F">
        <w:rPr>
          <w:rFonts w:asciiTheme="majorBidi" w:eastAsia="Times New Roman" w:hAnsiTheme="majorBidi" w:cstheme="majorBidi"/>
          <w:sz w:val="24"/>
          <w:szCs w:val="24"/>
          <w:lang w:eastAsia="en-US"/>
        </w:rPr>
        <w:t>McGirr</w:t>
      </w:r>
      <w:proofErr w:type="spellEnd"/>
      <w:r>
        <w:rPr>
          <w:rFonts w:asciiTheme="majorBidi" w:eastAsia="Times New Roman" w:hAnsiTheme="majorBidi" w:cstheme="majorBidi"/>
          <w:sz w:val="24"/>
          <w:szCs w:val="24"/>
          <w:lang w:eastAsia="en-US"/>
        </w:rPr>
        <w:t>, Lisa</w:t>
      </w:r>
      <w:r w:rsidRPr="00643C4F">
        <w:rPr>
          <w:rFonts w:asciiTheme="majorBidi" w:eastAsia="Times New Roman" w:hAnsiTheme="majorBidi" w:cstheme="majorBidi"/>
          <w:sz w:val="24"/>
          <w:szCs w:val="24"/>
          <w:lang w:eastAsia="en-US"/>
        </w:rPr>
        <w:t>. 2002. Suburban Warriors: The Origins of the New American Right (Princeton, NJ: Princeton University Press)</w:t>
      </w:r>
    </w:p>
    <w:p w14:paraId="0D53058E" w14:textId="77777777" w:rsidR="00643C4F" w:rsidRDefault="00643C4F" w:rsidP="003A3DE0">
      <w:pPr>
        <w:spacing w:line="240" w:lineRule="auto"/>
        <w:ind w:left="720" w:hanging="720"/>
        <w:contextualSpacing/>
        <w:rPr>
          <w:rFonts w:asciiTheme="majorBidi" w:eastAsia="Times New Roman" w:hAnsiTheme="majorBidi" w:cstheme="majorBidi"/>
          <w:sz w:val="24"/>
          <w:szCs w:val="24"/>
          <w:lang w:eastAsia="en-US"/>
        </w:rPr>
      </w:pPr>
    </w:p>
    <w:p w14:paraId="7EADFA0A" w14:textId="77777777" w:rsidR="00EA77A3" w:rsidRDefault="00EA77A3" w:rsidP="003A3DE0">
      <w:pPr>
        <w:spacing w:line="240" w:lineRule="auto"/>
        <w:ind w:left="720" w:hanging="720"/>
        <w:contextualSpacing/>
        <w:rPr>
          <w:rFonts w:asciiTheme="majorBidi" w:eastAsia="Times New Roman" w:hAnsiTheme="majorBidi" w:cstheme="majorBidi"/>
          <w:sz w:val="24"/>
          <w:szCs w:val="24"/>
          <w:lang w:eastAsia="en-US"/>
        </w:rPr>
      </w:pPr>
      <w:proofErr w:type="spellStart"/>
      <w:r>
        <w:rPr>
          <w:rFonts w:asciiTheme="majorBidi" w:eastAsia="Times New Roman" w:hAnsiTheme="majorBidi" w:cstheme="majorBidi"/>
          <w:sz w:val="24"/>
          <w:szCs w:val="24"/>
          <w:lang w:eastAsia="en-US"/>
        </w:rPr>
        <w:t>Orren</w:t>
      </w:r>
      <w:proofErr w:type="spellEnd"/>
      <w:r>
        <w:rPr>
          <w:rFonts w:asciiTheme="majorBidi" w:eastAsia="Times New Roman" w:hAnsiTheme="majorBidi" w:cstheme="majorBidi"/>
          <w:sz w:val="24"/>
          <w:szCs w:val="24"/>
          <w:lang w:eastAsia="en-US"/>
        </w:rPr>
        <w:t xml:space="preserve">, Karen &amp; Stephen Skowronek. 2004. </w:t>
      </w:r>
      <w:r>
        <w:rPr>
          <w:rFonts w:asciiTheme="majorBidi" w:eastAsia="Times New Roman" w:hAnsiTheme="majorBidi" w:cstheme="majorBidi"/>
          <w:i/>
          <w:iCs/>
          <w:sz w:val="24"/>
          <w:szCs w:val="24"/>
          <w:lang w:eastAsia="en-US"/>
        </w:rPr>
        <w:t>The Search for American Political Development</w:t>
      </w:r>
      <w:r>
        <w:rPr>
          <w:rFonts w:asciiTheme="majorBidi" w:eastAsia="Times New Roman" w:hAnsiTheme="majorBidi" w:cstheme="majorBidi"/>
          <w:sz w:val="24"/>
          <w:szCs w:val="24"/>
          <w:lang w:eastAsia="en-US"/>
        </w:rPr>
        <w:t>. Cambridge, UK: Cambridge University Press.</w:t>
      </w:r>
    </w:p>
    <w:p w14:paraId="735E4E63" w14:textId="77777777" w:rsidR="00EA77A3" w:rsidRDefault="00EA77A3" w:rsidP="003A3DE0">
      <w:pPr>
        <w:spacing w:line="240" w:lineRule="auto"/>
        <w:contextualSpacing/>
        <w:rPr>
          <w:rFonts w:ascii="Times New Roman" w:eastAsia="Times New Roman" w:hAnsi="Times New Roman" w:cs="Times New Roman"/>
          <w:sz w:val="24"/>
          <w:szCs w:val="24"/>
          <w:lang w:eastAsia="en-US"/>
        </w:rPr>
      </w:pPr>
    </w:p>
    <w:p w14:paraId="03F21671" w14:textId="77777777" w:rsidR="00EA77A3" w:rsidRDefault="00EA77A3" w:rsidP="003A3DE0">
      <w:pPr>
        <w:spacing w:line="240" w:lineRule="auto"/>
        <w:ind w:left="720" w:hanging="720"/>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Pierson, Paul. 2004. </w:t>
      </w:r>
      <w:r>
        <w:rPr>
          <w:rFonts w:ascii="Times New Roman" w:eastAsia="Times New Roman" w:hAnsi="Times New Roman" w:cs="Times New Roman"/>
          <w:i/>
          <w:iCs/>
          <w:sz w:val="24"/>
          <w:szCs w:val="24"/>
          <w:lang w:eastAsia="en-US"/>
        </w:rPr>
        <w:t>Politics in Time: History, Institutions, and Social Analysis</w:t>
      </w:r>
      <w:r>
        <w:rPr>
          <w:rFonts w:ascii="Times New Roman" w:eastAsia="Times New Roman" w:hAnsi="Times New Roman" w:cs="Times New Roman"/>
          <w:sz w:val="24"/>
          <w:szCs w:val="24"/>
          <w:lang w:eastAsia="en-US"/>
        </w:rPr>
        <w:t>. Princeton, NJ: Princeton University Press.</w:t>
      </w:r>
    </w:p>
    <w:p w14:paraId="7953A4DF" w14:textId="77777777" w:rsidR="003A3DE0" w:rsidRDefault="003A3DE0" w:rsidP="003A3DE0">
      <w:pPr>
        <w:spacing w:line="240" w:lineRule="auto"/>
        <w:ind w:left="720" w:hanging="720"/>
        <w:contextualSpacing/>
        <w:rPr>
          <w:rFonts w:ascii="Times New Roman" w:hAnsi="Times New Roman" w:cs="Times New Roman"/>
          <w:sz w:val="24"/>
          <w:szCs w:val="24"/>
        </w:rPr>
      </w:pPr>
    </w:p>
    <w:p w14:paraId="18E8E537" w14:textId="77777777" w:rsidR="00EA77A3" w:rsidRDefault="00EA77A3" w:rsidP="003A3DE0">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Rosenberg, Gerald. 2008. </w:t>
      </w:r>
      <w:r>
        <w:rPr>
          <w:rFonts w:ascii="Times New Roman" w:hAnsi="Times New Roman" w:cs="Times New Roman"/>
          <w:i/>
          <w:sz w:val="24"/>
          <w:szCs w:val="24"/>
        </w:rPr>
        <w:t>The Hollow Hope: Can Courts Bring About Social Change</w:t>
      </w:r>
      <w:proofErr w:type="gramStart"/>
      <w:r>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2</w:t>
      </w:r>
      <w:r w:rsidRPr="00F55194">
        <w:rPr>
          <w:rFonts w:ascii="Times New Roman" w:hAnsi="Times New Roman" w:cs="Times New Roman"/>
          <w:sz w:val="24"/>
          <w:szCs w:val="24"/>
          <w:vertAlign w:val="superscript"/>
        </w:rPr>
        <w:t>nd</w:t>
      </w:r>
      <w:r>
        <w:rPr>
          <w:rFonts w:ascii="Times New Roman" w:hAnsi="Times New Roman" w:cs="Times New Roman"/>
          <w:sz w:val="24"/>
          <w:szCs w:val="24"/>
        </w:rPr>
        <w:t xml:space="preserve"> ed. Chicago, IL: University of Chicago Press.</w:t>
      </w:r>
    </w:p>
    <w:p w14:paraId="39AE3F87" w14:textId="77777777" w:rsidR="00EA77A3" w:rsidRDefault="00EA77A3" w:rsidP="003A3DE0">
      <w:pPr>
        <w:spacing w:line="240" w:lineRule="auto"/>
        <w:contextualSpacing/>
        <w:rPr>
          <w:rFonts w:asciiTheme="majorBidi" w:eastAsia="Times New Roman" w:hAnsiTheme="majorBidi" w:cstheme="majorBidi"/>
          <w:sz w:val="24"/>
          <w:szCs w:val="24"/>
          <w:lang w:eastAsia="en-US"/>
        </w:rPr>
      </w:pPr>
    </w:p>
    <w:p w14:paraId="6CC801FF" w14:textId="77777777" w:rsidR="00EA77A3" w:rsidRPr="004910B3" w:rsidRDefault="00EA77A3" w:rsidP="003A3DE0">
      <w:pPr>
        <w:spacing w:line="240" w:lineRule="auto"/>
        <w:ind w:left="720" w:hanging="720"/>
        <w:contextualSpacing/>
        <w:rPr>
          <w:rFonts w:asciiTheme="majorBidi" w:eastAsia="Times New Roman" w:hAnsiTheme="majorBidi" w:cstheme="majorBidi"/>
          <w:sz w:val="24"/>
          <w:szCs w:val="24"/>
          <w:lang w:eastAsia="en-US"/>
        </w:rPr>
      </w:pPr>
      <w:r>
        <w:rPr>
          <w:rFonts w:asciiTheme="majorBidi" w:eastAsia="Times New Roman" w:hAnsiTheme="majorBidi" w:cstheme="majorBidi"/>
          <w:sz w:val="24"/>
          <w:szCs w:val="24"/>
          <w:lang w:eastAsia="en-US"/>
        </w:rPr>
        <w:lastRenderedPageBreak/>
        <w:t>Schmidt, Vivienne. 2008. “</w:t>
      </w:r>
      <w:r w:rsidRPr="004910B3">
        <w:rPr>
          <w:rFonts w:asciiTheme="majorBidi" w:eastAsia="Times New Roman" w:hAnsiTheme="majorBidi" w:cstheme="majorBidi"/>
          <w:sz w:val="24"/>
          <w:szCs w:val="24"/>
          <w:lang w:eastAsia="en-US"/>
        </w:rPr>
        <w:t>Discursive Institutionalism: The Explanatory Power of Ideas and Discourse</w:t>
      </w:r>
      <w:r>
        <w:rPr>
          <w:rFonts w:asciiTheme="majorBidi" w:eastAsia="Times New Roman" w:hAnsiTheme="majorBidi" w:cstheme="majorBidi"/>
          <w:sz w:val="24"/>
          <w:szCs w:val="24"/>
          <w:lang w:eastAsia="en-US"/>
        </w:rPr>
        <w:t xml:space="preserve">.” </w:t>
      </w:r>
      <w:r>
        <w:rPr>
          <w:rFonts w:asciiTheme="majorBidi" w:eastAsia="Times New Roman" w:hAnsiTheme="majorBidi" w:cstheme="majorBidi"/>
          <w:i/>
          <w:iCs/>
          <w:sz w:val="24"/>
          <w:szCs w:val="24"/>
          <w:lang w:eastAsia="en-US"/>
        </w:rPr>
        <w:t>Annual Review of Political Science 11</w:t>
      </w:r>
      <w:r>
        <w:rPr>
          <w:rFonts w:asciiTheme="majorBidi" w:eastAsia="Times New Roman" w:hAnsiTheme="majorBidi" w:cstheme="majorBidi"/>
          <w:sz w:val="24"/>
          <w:szCs w:val="24"/>
          <w:lang w:eastAsia="en-US"/>
        </w:rPr>
        <w:t xml:space="preserve"> (June 2008): 303-326. </w:t>
      </w:r>
      <w:proofErr w:type="spellStart"/>
      <w:proofErr w:type="gramStart"/>
      <w:r>
        <w:rPr>
          <w:rFonts w:asciiTheme="majorBidi" w:eastAsia="Times New Roman" w:hAnsiTheme="majorBidi" w:cstheme="majorBidi"/>
          <w:sz w:val="24"/>
          <w:szCs w:val="24"/>
          <w:lang w:eastAsia="en-US"/>
        </w:rPr>
        <w:t>doi</w:t>
      </w:r>
      <w:proofErr w:type="spellEnd"/>
      <w:proofErr w:type="gramEnd"/>
      <w:r w:rsidRPr="004910B3">
        <w:rPr>
          <w:rFonts w:asciiTheme="majorBidi" w:eastAsia="Times New Roman" w:hAnsiTheme="majorBidi" w:cstheme="majorBidi"/>
          <w:sz w:val="24"/>
          <w:szCs w:val="24"/>
          <w:lang w:eastAsia="en-US"/>
        </w:rPr>
        <w:t>: 10.1146/annurev.polisci.11.060606.135342</w:t>
      </w:r>
    </w:p>
    <w:p w14:paraId="50017950" w14:textId="77777777" w:rsidR="00EA77A3" w:rsidRDefault="00EA77A3" w:rsidP="003A3DE0">
      <w:pPr>
        <w:spacing w:line="240" w:lineRule="auto"/>
        <w:ind w:left="720" w:hanging="720"/>
        <w:contextualSpacing/>
        <w:rPr>
          <w:rFonts w:ascii="Times New Roman" w:hAnsi="Times New Roman" w:cs="Times New Roman"/>
          <w:sz w:val="24"/>
          <w:szCs w:val="24"/>
        </w:rPr>
      </w:pPr>
    </w:p>
    <w:p w14:paraId="6397DEA2" w14:textId="77777777" w:rsidR="00EA77A3" w:rsidRDefault="00EA77A3" w:rsidP="003A3DE0">
      <w:pPr>
        <w:spacing w:line="24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SCOTUSblog</w:t>
      </w:r>
      <w:proofErr w:type="spellEnd"/>
      <w:r>
        <w:rPr>
          <w:rFonts w:ascii="Times New Roman" w:hAnsi="Times New Roman" w:cs="Times New Roman"/>
          <w:sz w:val="24"/>
          <w:szCs w:val="24"/>
        </w:rPr>
        <w:t xml:space="preserve">. 2013. “Symposium: Legislative Prayer and Judicial Review.” </w:t>
      </w:r>
      <w:r w:rsidRPr="00F55194">
        <w:rPr>
          <w:rFonts w:ascii="Times New Roman" w:hAnsi="Times New Roman" w:cs="Times New Roman"/>
          <w:sz w:val="24"/>
          <w:szCs w:val="24"/>
        </w:rPr>
        <w:t>http://www.scotusblog.com/2013/09/symposium-legislative-prayer-and-judicial-review/</w:t>
      </w:r>
      <w:r>
        <w:rPr>
          <w:rFonts w:ascii="Times New Roman" w:hAnsi="Times New Roman" w:cs="Times New Roman"/>
          <w:sz w:val="24"/>
          <w:szCs w:val="24"/>
        </w:rPr>
        <w:t xml:space="preserve"> (October 4, 2013).</w:t>
      </w:r>
    </w:p>
    <w:p w14:paraId="5444CE42" w14:textId="77777777" w:rsidR="00EA77A3" w:rsidRDefault="00EA77A3" w:rsidP="003A3DE0">
      <w:pPr>
        <w:spacing w:line="240" w:lineRule="auto"/>
        <w:ind w:left="720" w:hanging="720"/>
        <w:contextualSpacing/>
        <w:rPr>
          <w:rFonts w:asciiTheme="majorBidi" w:hAnsiTheme="majorBidi" w:cstheme="majorBidi"/>
          <w:sz w:val="24"/>
          <w:szCs w:val="24"/>
        </w:rPr>
      </w:pPr>
    </w:p>
    <w:p w14:paraId="6EA998E8" w14:textId="77777777" w:rsidR="00EA77A3" w:rsidRDefault="00EA77A3" w:rsidP="003A3DE0">
      <w:pPr>
        <w:spacing w:line="240" w:lineRule="auto"/>
        <w:ind w:left="720" w:hanging="720"/>
        <w:contextualSpacing/>
        <w:rPr>
          <w:rFonts w:asciiTheme="majorBidi" w:hAnsiTheme="majorBidi" w:cstheme="majorBidi"/>
          <w:sz w:val="24"/>
          <w:szCs w:val="24"/>
        </w:rPr>
      </w:pPr>
      <w:r w:rsidRPr="00DA62CB">
        <w:rPr>
          <w:rFonts w:asciiTheme="majorBidi" w:hAnsiTheme="majorBidi" w:cstheme="majorBidi"/>
          <w:sz w:val="24"/>
          <w:szCs w:val="24"/>
        </w:rPr>
        <w:t>Secular Coalition for America. 2013. “About the Secular Coalition for America.” Retrieved from http://secular.org/about/main</w:t>
      </w:r>
    </w:p>
    <w:p w14:paraId="7B5C01CD" w14:textId="77777777" w:rsidR="00EA77A3" w:rsidRDefault="00EA77A3" w:rsidP="003A3DE0">
      <w:pPr>
        <w:spacing w:line="240" w:lineRule="auto"/>
        <w:ind w:left="720" w:hanging="720"/>
        <w:contextualSpacing/>
        <w:rPr>
          <w:rFonts w:asciiTheme="majorBidi" w:hAnsiTheme="majorBidi" w:cstheme="majorBidi"/>
          <w:bCs/>
          <w:iCs/>
          <w:sz w:val="24"/>
          <w:szCs w:val="24"/>
        </w:rPr>
      </w:pPr>
    </w:p>
    <w:p w14:paraId="13BE09B1" w14:textId="77777777" w:rsidR="00EA77A3" w:rsidRDefault="00EA77A3" w:rsidP="003A3DE0">
      <w:pPr>
        <w:spacing w:line="240" w:lineRule="auto"/>
        <w:ind w:left="720" w:hanging="720"/>
        <w:contextualSpacing/>
        <w:rPr>
          <w:rFonts w:asciiTheme="majorBidi" w:hAnsiTheme="majorBidi" w:cstheme="majorBidi"/>
          <w:bCs/>
          <w:iCs/>
          <w:sz w:val="24"/>
          <w:szCs w:val="24"/>
        </w:rPr>
      </w:pPr>
      <w:r>
        <w:rPr>
          <w:rFonts w:asciiTheme="majorBidi" w:hAnsiTheme="majorBidi" w:cstheme="majorBidi"/>
          <w:bCs/>
          <w:iCs/>
          <w:sz w:val="24"/>
          <w:szCs w:val="24"/>
        </w:rPr>
        <w:t xml:space="preserve">Secular Student Alliance. 2013. “About the Secular Student Alliance.” Retrieved from </w:t>
      </w:r>
      <w:r w:rsidRPr="00930443">
        <w:rPr>
          <w:rFonts w:asciiTheme="majorBidi" w:hAnsiTheme="majorBidi" w:cstheme="majorBidi"/>
          <w:bCs/>
          <w:iCs/>
          <w:sz w:val="24"/>
          <w:szCs w:val="24"/>
        </w:rPr>
        <w:t>http://www.secularstudents.org/about</w:t>
      </w:r>
    </w:p>
    <w:p w14:paraId="7C867448" w14:textId="77777777" w:rsidR="00EA77A3" w:rsidRDefault="00EA77A3" w:rsidP="003A3DE0">
      <w:pPr>
        <w:spacing w:line="240" w:lineRule="auto"/>
        <w:ind w:left="720" w:hanging="720"/>
        <w:contextualSpacing/>
        <w:rPr>
          <w:rFonts w:asciiTheme="majorBidi" w:eastAsia="Times New Roman" w:hAnsiTheme="majorBidi" w:cstheme="majorBidi"/>
          <w:sz w:val="24"/>
          <w:szCs w:val="24"/>
          <w:lang w:eastAsia="en-US"/>
        </w:rPr>
      </w:pPr>
    </w:p>
    <w:p w14:paraId="4D27FC12" w14:textId="77777777" w:rsidR="00EA77A3" w:rsidRDefault="00EA77A3" w:rsidP="00BC1294">
      <w:pPr>
        <w:spacing w:line="240" w:lineRule="auto"/>
        <w:ind w:left="720" w:hanging="720"/>
        <w:contextualSpacing/>
        <w:rPr>
          <w:rFonts w:asciiTheme="majorBidi" w:eastAsia="Times New Roman" w:hAnsiTheme="majorBidi" w:cstheme="majorBidi"/>
          <w:sz w:val="24"/>
          <w:szCs w:val="24"/>
          <w:lang w:eastAsia="en-US"/>
        </w:rPr>
      </w:pPr>
      <w:proofErr w:type="spellStart"/>
      <w:r>
        <w:rPr>
          <w:rFonts w:asciiTheme="majorBidi" w:eastAsia="Times New Roman" w:hAnsiTheme="majorBidi" w:cstheme="majorBidi"/>
          <w:sz w:val="24"/>
          <w:szCs w:val="24"/>
          <w:lang w:eastAsia="en-US"/>
        </w:rPr>
        <w:t>Sehat</w:t>
      </w:r>
      <w:proofErr w:type="spellEnd"/>
      <w:r>
        <w:rPr>
          <w:rFonts w:asciiTheme="majorBidi" w:eastAsia="Times New Roman" w:hAnsiTheme="majorBidi" w:cstheme="majorBidi"/>
          <w:sz w:val="24"/>
          <w:szCs w:val="24"/>
          <w:lang w:eastAsia="en-US"/>
        </w:rPr>
        <w:t xml:space="preserve">, David. 2011. </w:t>
      </w:r>
      <w:r>
        <w:rPr>
          <w:rFonts w:asciiTheme="majorBidi" w:eastAsia="Times New Roman" w:hAnsiTheme="majorBidi" w:cstheme="majorBidi"/>
          <w:i/>
          <w:iCs/>
          <w:sz w:val="24"/>
          <w:szCs w:val="24"/>
          <w:lang w:eastAsia="en-US"/>
        </w:rPr>
        <w:t>The Myth of American Religious Freedom</w:t>
      </w:r>
      <w:r>
        <w:rPr>
          <w:rFonts w:asciiTheme="majorBidi" w:eastAsia="Times New Roman" w:hAnsiTheme="majorBidi" w:cstheme="majorBidi"/>
          <w:sz w:val="24"/>
          <w:szCs w:val="24"/>
          <w:lang w:eastAsia="en-US"/>
        </w:rPr>
        <w:t>. New York: Oxford University Press, USA.</w:t>
      </w:r>
    </w:p>
    <w:p w14:paraId="26E3E281" w14:textId="77777777" w:rsidR="00A77DFF" w:rsidRDefault="00A77DFF" w:rsidP="00BC1294">
      <w:pPr>
        <w:spacing w:line="240" w:lineRule="auto"/>
        <w:ind w:left="720" w:hanging="720"/>
        <w:contextualSpacing/>
        <w:rPr>
          <w:rFonts w:asciiTheme="majorBidi" w:eastAsia="Times New Roman" w:hAnsiTheme="majorBidi" w:cstheme="majorBidi"/>
          <w:sz w:val="24"/>
          <w:szCs w:val="24"/>
          <w:lang w:eastAsia="en-US"/>
        </w:rPr>
      </w:pPr>
    </w:p>
    <w:p w14:paraId="0F7541E3" w14:textId="51405F04" w:rsidR="00A77DFF" w:rsidRPr="00A77DFF" w:rsidRDefault="00A77DFF" w:rsidP="00BC1294">
      <w:pPr>
        <w:tabs>
          <w:tab w:val="left" w:pos="6886"/>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Shapiro, Steven R., Michael J. Steinberg, Ayesha N. Kahn, &amp; Gregory M. Lipper. 2011. “Brief for </w:t>
      </w:r>
      <w:r>
        <w:rPr>
          <w:rFonts w:ascii="Times New Roman" w:hAnsi="Times New Roman" w:cs="Times New Roman"/>
          <w:i/>
          <w:sz w:val="24"/>
          <w:szCs w:val="24"/>
        </w:rPr>
        <w:t>Amici Curiae</w:t>
      </w:r>
      <w:r>
        <w:rPr>
          <w:rFonts w:ascii="Times New Roman" w:hAnsi="Times New Roman" w:cs="Times New Roman"/>
          <w:sz w:val="24"/>
          <w:szCs w:val="24"/>
        </w:rPr>
        <w:t xml:space="preserve"> of </w:t>
      </w:r>
      <w:r w:rsidRPr="00A77DFF">
        <w:rPr>
          <w:rFonts w:ascii="Times New Roman" w:hAnsi="Times New Roman" w:cs="Times New Roman"/>
          <w:sz w:val="24"/>
          <w:szCs w:val="24"/>
        </w:rPr>
        <w:t>Americans United for Separation of Church and State, American Civil Liberties Union, ACLU of Michigan, National Council of Jewish Women, Sikh Council on Religion and Education, and Unitarian Universali</w:t>
      </w:r>
      <w:r>
        <w:rPr>
          <w:rFonts w:ascii="Times New Roman" w:hAnsi="Times New Roman" w:cs="Times New Roman"/>
          <w:sz w:val="24"/>
          <w:szCs w:val="24"/>
        </w:rPr>
        <w:t>st Association i</w:t>
      </w:r>
      <w:r w:rsidRPr="00A77DFF">
        <w:rPr>
          <w:rFonts w:ascii="Times New Roman" w:hAnsi="Times New Roman" w:cs="Times New Roman"/>
          <w:sz w:val="24"/>
          <w:szCs w:val="24"/>
        </w:rPr>
        <w:t>n Support of Respondents</w:t>
      </w:r>
      <w:r>
        <w:rPr>
          <w:rFonts w:ascii="Times New Roman" w:hAnsi="Times New Roman" w:cs="Times New Roman"/>
          <w:sz w:val="24"/>
          <w:szCs w:val="24"/>
        </w:rPr>
        <w:t>.” No.10-553 (6</w:t>
      </w:r>
      <w:r w:rsidRPr="00A77DFF">
        <w:rPr>
          <w:rFonts w:ascii="Times New Roman" w:hAnsi="Times New Roman" w:cs="Times New Roman"/>
          <w:sz w:val="24"/>
          <w:szCs w:val="24"/>
          <w:vertAlign w:val="superscript"/>
        </w:rPr>
        <w:t>th</w:t>
      </w:r>
      <w:r>
        <w:rPr>
          <w:rFonts w:ascii="Times New Roman" w:hAnsi="Times New Roman" w:cs="Times New Roman"/>
          <w:sz w:val="24"/>
          <w:szCs w:val="24"/>
        </w:rPr>
        <w:t xml:space="preserve"> Circ. 2011).</w:t>
      </w:r>
    </w:p>
    <w:p w14:paraId="11FE1994" w14:textId="77777777" w:rsidR="00EA77A3" w:rsidRDefault="00EA77A3" w:rsidP="003A3DE0">
      <w:pPr>
        <w:spacing w:line="240" w:lineRule="auto"/>
        <w:ind w:left="720" w:hanging="720"/>
        <w:contextualSpacing/>
        <w:rPr>
          <w:rStyle w:val="Hyperlink"/>
          <w:rFonts w:asciiTheme="majorBidi" w:hAnsiTheme="majorBidi" w:cstheme="majorBidi"/>
          <w:color w:val="auto"/>
          <w:sz w:val="24"/>
          <w:szCs w:val="24"/>
          <w:u w:val="none"/>
        </w:rPr>
      </w:pPr>
    </w:p>
    <w:p w14:paraId="5C2810D7" w14:textId="77777777" w:rsidR="00EA77A3" w:rsidRPr="00555213" w:rsidRDefault="00EA77A3" w:rsidP="003A3DE0">
      <w:pPr>
        <w:spacing w:line="240" w:lineRule="auto"/>
        <w:ind w:left="720" w:hanging="720"/>
        <w:contextualSpacing/>
        <w:rPr>
          <w:rStyle w:val="Hyperlink"/>
          <w:rFonts w:asciiTheme="majorBidi" w:hAnsiTheme="majorBidi" w:cstheme="majorBidi"/>
          <w:color w:val="auto"/>
          <w:sz w:val="24"/>
          <w:szCs w:val="24"/>
          <w:u w:val="none"/>
        </w:rPr>
      </w:pPr>
      <w:proofErr w:type="spellStart"/>
      <w:r>
        <w:rPr>
          <w:rStyle w:val="Hyperlink"/>
          <w:rFonts w:asciiTheme="majorBidi" w:hAnsiTheme="majorBidi" w:cstheme="majorBidi"/>
          <w:color w:val="auto"/>
          <w:sz w:val="24"/>
          <w:szCs w:val="24"/>
          <w:u w:val="none"/>
        </w:rPr>
        <w:t>Shiffrin</w:t>
      </w:r>
      <w:proofErr w:type="spellEnd"/>
      <w:r>
        <w:rPr>
          <w:rStyle w:val="Hyperlink"/>
          <w:rFonts w:asciiTheme="majorBidi" w:hAnsiTheme="majorBidi" w:cstheme="majorBidi"/>
          <w:color w:val="auto"/>
          <w:sz w:val="24"/>
          <w:szCs w:val="24"/>
          <w:u w:val="none"/>
        </w:rPr>
        <w:t xml:space="preserve">, Steven H. 2009. </w:t>
      </w:r>
      <w:r>
        <w:rPr>
          <w:rStyle w:val="Hyperlink"/>
          <w:rFonts w:asciiTheme="majorBidi" w:hAnsiTheme="majorBidi" w:cstheme="majorBidi"/>
          <w:i/>
          <w:iCs/>
          <w:color w:val="auto"/>
          <w:sz w:val="24"/>
          <w:szCs w:val="24"/>
          <w:u w:val="none"/>
        </w:rPr>
        <w:t>The Religious Left and Church-State Relations</w:t>
      </w:r>
      <w:r>
        <w:rPr>
          <w:rStyle w:val="Hyperlink"/>
          <w:rFonts w:asciiTheme="majorBidi" w:hAnsiTheme="majorBidi" w:cstheme="majorBidi"/>
          <w:color w:val="auto"/>
          <w:sz w:val="24"/>
          <w:szCs w:val="24"/>
          <w:u w:val="none"/>
        </w:rPr>
        <w:t xml:space="preserve">. </w:t>
      </w:r>
      <w:proofErr w:type="spellStart"/>
      <w:r>
        <w:rPr>
          <w:rStyle w:val="Hyperlink"/>
          <w:rFonts w:asciiTheme="majorBidi" w:hAnsiTheme="majorBidi" w:cstheme="majorBidi"/>
          <w:color w:val="auto"/>
          <w:sz w:val="24"/>
          <w:szCs w:val="24"/>
          <w:u w:val="none"/>
        </w:rPr>
        <w:t>Pirncenton</w:t>
      </w:r>
      <w:proofErr w:type="spellEnd"/>
      <w:r>
        <w:rPr>
          <w:rStyle w:val="Hyperlink"/>
          <w:rFonts w:asciiTheme="majorBidi" w:hAnsiTheme="majorBidi" w:cstheme="majorBidi"/>
          <w:color w:val="auto"/>
          <w:sz w:val="24"/>
          <w:szCs w:val="24"/>
          <w:u w:val="none"/>
        </w:rPr>
        <w:t xml:space="preserve">, NJ: Princeton University Press. </w:t>
      </w:r>
    </w:p>
    <w:p w14:paraId="081AEC4A" w14:textId="77777777" w:rsidR="00EA77A3" w:rsidRDefault="00EA77A3" w:rsidP="003A3DE0">
      <w:pPr>
        <w:spacing w:line="240" w:lineRule="auto"/>
        <w:contextualSpacing/>
        <w:rPr>
          <w:rFonts w:ascii="Times New Roman" w:hAnsi="Times New Roman" w:cs="Times New Roman"/>
          <w:sz w:val="24"/>
          <w:szCs w:val="24"/>
        </w:rPr>
      </w:pPr>
    </w:p>
    <w:p w14:paraId="0BE780BE" w14:textId="77777777" w:rsidR="00EA77A3" w:rsidRDefault="00EA77A3" w:rsidP="003A3DE0">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Smith, Rogers. 2011. “An Almost-Christian Nation? Constitutional Consequences of the Religious Right.” In </w:t>
      </w:r>
      <w:r>
        <w:rPr>
          <w:rFonts w:ascii="Times New Roman" w:hAnsi="Times New Roman" w:cs="Times New Roman"/>
          <w:i/>
          <w:sz w:val="24"/>
          <w:szCs w:val="24"/>
        </w:rPr>
        <w:t>Evangelicals and Democracy in America: Volume I: Religion and Society</w:t>
      </w:r>
      <w:r>
        <w:rPr>
          <w:rFonts w:ascii="Times New Roman" w:hAnsi="Times New Roman" w:cs="Times New Roman"/>
          <w:sz w:val="24"/>
          <w:szCs w:val="24"/>
        </w:rPr>
        <w:t xml:space="preserve">. </w:t>
      </w:r>
      <w:proofErr w:type="gramStart"/>
      <w:r>
        <w:rPr>
          <w:rFonts w:ascii="Times New Roman" w:hAnsi="Times New Roman" w:cs="Times New Roman"/>
          <w:sz w:val="24"/>
          <w:szCs w:val="24"/>
        </w:rPr>
        <w:t>eds</w:t>
      </w:r>
      <w:proofErr w:type="gramEnd"/>
      <w:r>
        <w:rPr>
          <w:rFonts w:ascii="Times New Roman" w:hAnsi="Times New Roman" w:cs="Times New Roman"/>
          <w:sz w:val="24"/>
          <w:szCs w:val="24"/>
        </w:rPr>
        <w:t xml:space="preserve">. Steven </w:t>
      </w:r>
      <w:proofErr w:type="spellStart"/>
      <w:r>
        <w:rPr>
          <w:rFonts w:ascii="Times New Roman" w:hAnsi="Times New Roman" w:cs="Times New Roman"/>
          <w:sz w:val="24"/>
          <w:szCs w:val="24"/>
        </w:rPr>
        <w:t>Brint</w:t>
      </w:r>
      <w:proofErr w:type="spellEnd"/>
      <w:r>
        <w:rPr>
          <w:rFonts w:ascii="Times New Roman" w:hAnsi="Times New Roman" w:cs="Times New Roman"/>
          <w:sz w:val="24"/>
          <w:szCs w:val="24"/>
        </w:rPr>
        <w:t xml:space="preserve"> and Jean Reith </w:t>
      </w:r>
      <w:proofErr w:type="spellStart"/>
      <w:r>
        <w:rPr>
          <w:rFonts w:ascii="Times New Roman" w:hAnsi="Times New Roman" w:cs="Times New Roman"/>
          <w:sz w:val="24"/>
          <w:szCs w:val="24"/>
        </w:rPr>
        <w:t>Schroedel</w:t>
      </w:r>
      <w:proofErr w:type="spellEnd"/>
      <w:r>
        <w:rPr>
          <w:rFonts w:ascii="Times New Roman" w:hAnsi="Times New Roman" w:cs="Times New Roman"/>
          <w:sz w:val="24"/>
          <w:szCs w:val="24"/>
        </w:rPr>
        <w:t>. New York: NY. Russell Sage Foundation.</w:t>
      </w:r>
    </w:p>
    <w:p w14:paraId="4B42B2CB" w14:textId="77777777" w:rsidR="00EA77A3" w:rsidRDefault="00EA77A3" w:rsidP="003A3DE0">
      <w:pPr>
        <w:spacing w:line="240" w:lineRule="auto"/>
        <w:ind w:left="720" w:hanging="720"/>
        <w:contextualSpacing/>
        <w:rPr>
          <w:rFonts w:ascii="Times New Roman" w:hAnsi="Times New Roman" w:cs="Times New Roman"/>
          <w:sz w:val="24"/>
          <w:szCs w:val="24"/>
        </w:rPr>
      </w:pPr>
    </w:p>
    <w:p w14:paraId="58D1F14F" w14:textId="77777777" w:rsidR="00EA77A3" w:rsidRDefault="00EA77A3" w:rsidP="003A3DE0">
      <w:pPr>
        <w:spacing w:line="24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Southworth</w:t>
      </w:r>
      <w:proofErr w:type="spellEnd"/>
      <w:r>
        <w:rPr>
          <w:rFonts w:ascii="Times New Roman" w:hAnsi="Times New Roman" w:cs="Times New Roman"/>
          <w:sz w:val="24"/>
          <w:szCs w:val="24"/>
        </w:rPr>
        <w:t xml:space="preserve">, Ann. 2008. </w:t>
      </w:r>
      <w:r>
        <w:rPr>
          <w:rFonts w:ascii="Times New Roman" w:hAnsi="Times New Roman" w:cs="Times New Roman"/>
          <w:i/>
          <w:sz w:val="24"/>
          <w:szCs w:val="24"/>
        </w:rPr>
        <w:t>Lawyers of the Right: Professionalizing the Conservative Coalition</w:t>
      </w:r>
      <w:r>
        <w:rPr>
          <w:rFonts w:ascii="Times New Roman" w:hAnsi="Times New Roman" w:cs="Times New Roman"/>
          <w:sz w:val="24"/>
          <w:szCs w:val="24"/>
        </w:rPr>
        <w:t>. Chicago, IL: University of Chicago Press.</w:t>
      </w:r>
    </w:p>
    <w:p w14:paraId="09233C31" w14:textId="77777777" w:rsidR="00EA77A3" w:rsidRDefault="00EA77A3" w:rsidP="003A3DE0">
      <w:pPr>
        <w:spacing w:line="240" w:lineRule="auto"/>
        <w:ind w:left="720" w:hanging="720"/>
        <w:contextualSpacing/>
        <w:rPr>
          <w:rStyle w:val="Hyperlink"/>
          <w:rFonts w:asciiTheme="majorBidi" w:hAnsiTheme="majorBidi" w:cstheme="majorBidi"/>
          <w:color w:val="auto"/>
          <w:sz w:val="24"/>
          <w:szCs w:val="24"/>
          <w:u w:val="none"/>
        </w:rPr>
      </w:pPr>
    </w:p>
    <w:p w14:paraId="27C8EB22" w14:textId="77777777" w:rsidR="00EA77A3" w:rsidRDefault="00EA77A3" w:rsidP="003A3DE0">
      <w:pPr>
        <w:spacing w:line="240" w:lineRule="auto"/>
        <w:ind w:left="720" w:hanging="720"/>
        <w:contextualSpacing/>
        <w:rPr>
          <w:rStyle w:val="Hyperlink"/>
          <w:rFonts w:asciiTheme="majorBidi" w:hAnsiTheme="majorBidi" w:cstheme="majorBidi"/>
          <w:color w:val="auto"/>
          <w:sz w:val="24"/>
          <w:szCs w:val="24"/>
          <w:u w:val="none"/>
        </w:rPr>
      </w:pPr>
      <w:proofErr w:type="spellStart"/>
      <w:r>
        <w:rPr>
          <w:rStyle w:val="Hyperlink"/>
          <w:rFonts w:asciiTheme="majorBidi" w:hAnsiTheme="majorBidi" w:cstheme="majorBidi"/>
          <w:color w:val="auto"/>
          <w:sz w:val="24"/>
          <w:szCs w:val="24"/>
          <w:u w:val="none"/>
        </w:rPr>
        <w:t>Sumners</w:t>
      </w:r>
      <w:proofErr w:type="spellEnd"/>
      <w:r>
        <w:rPr>
          <w:rStyle w:val="Hyperlink"/>
          <w:rFonts w:asciiTheme="majorBidi" w:hAnsiTheme="majorBidi" w:cstheme="majorBidi"/>
          <w:color w:val="auto"/>
          <w:sz w:val="24"/>
          <w:szCs w:val="24"/>
          <w:u w:val="none"/>
        </w:rPr>
        <w:t xml:space="preserve"> Pamela L. &amp; </w:t>
      </w:r>
      <w:r w:rsidRPr="007B3CEE">
        <w:rPr>
          <w:rStyle w:val="Hyperlink"/>
          <w:rFonts w:asciiTheme="majorBidi" w:hAnsiTheme="majorBidi" w:cstheme="majorBidi"/>
          <w:color w:val="auto"/>
          <w:sz w:val="24"/>
          <w:szCs w:val="24"/>
          <w:u w:val="none"/>
        </w:rPr>
        <w:t xml:space="preserve">Larry Darby. 2004. “Brief of </w:t>
      </w:r>
      <w:r w:rsidRPr="007B3CEE">
        <w:rPr>
          <w:rStyle w:val="Hyperlink"/>
          <w:rFonts w:asciiTheme="majorBidi" w:hAnsiTheme="majorBidi" w:cstheme="majorBidi"/>
          <w:i/>
          <w:iCs/>
          <w:color w:val="auto"/>
          <w:sz w:val="24"/>
          <w:szCs w:val="24"/>
          <w:u w:val="none"/>
        </w:rPr>
        <w:t xml:space="preserve">Amici Curiae </w:t>
      </w:r>
      <w:r w:rsidRPr="007B3CEE">
        <w:rPr>
          <w:rStyle w:val="Hyperlink"/>
          <w:rFonts w:asciiTheme="majorBidi" w:hAnsiTheme="majorBidi" w:cstheme="majorBidi"/>
          <w:color w:val="auto"/>
          <w:sz w:val="24"/>
          <w:szCs w:val="24"/>
          <w:u w:val="none"/>
        </w:rPr>
        <w:t xml:space="preserve">Atheist Law Center </w:t>
      </w:r>
      <w:r w:rsidRPr="007B3CEE">
        <w:rPr>
          <w:rStyle w:val="Hyperlink"/>
          <w:rFonts w:asciiTheme="majorBidi" w:hAnsiTheme="majorBidi" w:cstheme="majorBidi"/>
          <w:i/>
          <w:iCs/>
          <w:color w:val="auto"/>
          <w:sz w:val="24"/>
          <w:szCs w:val="24"/>
          <w:u w:val="none"/>
        </w:rPr>
        <w:t>et al.</w:t>
      </w:r>
      <w:r w:rsidRPr="007B3CEE">
        <w:rPr>
          <w:rStyle w:val="Hyperlink"/>
          <w:rFonts w:asciiTheme="majorBidi" w:hAnsiTheme="majorBidi" w:cstheme="majorBidi"/>
          <w:color w:val="auto"/>
          <w:sz w:val="24"/>
          <w:szCs w:val="24"/>
          <w:u w:val="none"/>
        </w:rPr>
        <w:t xml:space="preserve">, in Support of Petitioner in </w:t>
      </w:r>
      <w:r w:rsidRPr="007B3CEE">
        <w:rPr>
          <w:rStyle w:val="Hyperlink"/>
          <w:rFonts w:asciiTheme="majorBidi" w:hAnsiTheme="majorBidi" w:cstheme="majorBidi"/>
          <w:i/>
          <w:iCs/>
          <w:color w:val="auto"/>
          <w:sz w:val="24"/>
          <w:szCs w:val="24"/>
          <w:u w:val="none"/>
        </w:rPr>
        <w:t xml:space="preserve">Van </w:t>
      </w:r>
      <w:proofErr w:type="spellStart"/>
      <w:r w:rsidRPr="007B3CEE">
        <w:rPr>
          <w:rStyle w:val="Hyperlink"/>
          <w:rFonts w:asciiTheme="majorBidi" w:hAnsiTheme="majorBidi" w:cstheme="majorBidi"/>
          <w:i/>
          <w:iCs/>
          <w:color w:val="auto"/>
          <w:sz w:val="24"/>
          <w:szCs w:val="24"/>
          <w:u w:val="none"/>
        </w:rPr>
        <w:t>Orden</w:t>
      </w:r>
      <w:proofErr w:type="spellEnd"/>
      <w:r w:rsidRPr="007B3CEE">
        <w:rPr>
          <w:rStyle w:val="Hyperlink"/>
          <w:rFonts w:asciiTheme="majorBidi" w:hAnsiTheme="majorBidi" w:cstheme="majorBidi"/>
          <w:i/>
          <w:iCs/>
          <w:color w:val="auto"/>
          <w:sz w:val="24"/>
          <w:szCs w:val="24"/>
          <w:u w:val="none"/>
        </w:rPr>
        <w:t xml:space="preserve"> v. Perry</w:t>
      </w:r>
      <w:r w:rsidRPr="007B3CEE">
        <w:rPr>
          <w:rStyle w:val="Hyperlink"/>
          <w:rFonts w:asciiTheme="majorBidi" w:hAnsiTheme="majorBidi" w:cstheme="majorBidi"/>
          <w:color w:val="auto"/>
          <w:sz w:val="24"/>
          <w:szCs w:val="24"/>
          <w:u w:val="none"/>
        </w:rPr>
        <w:t xml:space="preserve">, </w:t>
      </w:r>
      <w:r w:rsidRPr="007B3CEE">
        <w:rPr>
          <w:rFonts w:asciiTheme="majorBidi" w:hAnsiTheme="majorBidi" w:cstheme="majorBidi"/>
          <w:color w:val="000000"/>
          <w:sz w:val="24"/>
          <w:szCs w:val="24"/>
          <w:shd w:val="clear" w:color="auto" w:fill="FFFFFF"/>
        </w:rPr>
        <w:t>No. 03-1500 (5</w:t>
      </w:r>
      <w:r w:rsidRPr="007B3CEE">
        <w:rPr>
          <w:rFonts w:asciiTheme="majorBidi" w:hAnsiTheme="majorBidi" w:cstheme="majorBidi"/>
          <w:color w:val="000000"/>
          <w:sz w:val="24"/>
          <w:szCs w:val="24"/>
          <w:shd w:val="clear" w:color="auto" w:fill="FFFFFF"/>
          <w:vertAlign w:val="superscript"/>
        </w:rPr>
        <w:t>th</w:t>
      </w:r>
      <w:r w:rsidRPr="007B3CEE">
        <w:rPr>
          <w:rFonts w:asciiTheme="majorBidi" w:hAnsiTheme="majorBidi" w:cstheme="majorBidi"/>
          <w:color w:val="000000"/>
          <w:sz w:val="24"/>
          <w:szCs w:val="24"/>
          <w:shd w:val="clear" w:color="auto" w:fill="FFFFFF"/>
        </w:rPr>
        <w:t xml:space="preserve"> Circ. 2004).</w:t>
      </w:r>
      <w:r w:rsidRPr="007B3CEE">
        <w:rPr>
          <w:rStyle w:val="Hyperlink"/>
          <w:rFonts w:asciiTheme="majorBidi" w:hAnsiTheme="majorBidi" w:cstheme="majorBidi"/>
          <w:color w:val="auto"/>
          <w:sz w:val="24"/>
          <w:szCs w:val="24"/>
          <w:u w:val="none"/>
        </w:rPr>
        <w:t>” Retrieved</w:t>
      </w:r>
      <w:r>
        <w:rPr>
          <w:rStyle w:val="Hyperlink"/>
          <w:rFonts w:asciiTheme="majorBidi" w:hAnsiTheme="majorBidi" w:cstheme="majorBidi"/>
          <w:color w:val="auto"/>
          <w:sz w:val="24"/>
          <w:szCs w:val="24"/>
          <w:u w:val="none"/>
        </w:rPr>
        <w:t xml:space="preserve"> from </w:t>
      </w:r>
      <w:r w:rsidRPr="007B3D0B">
        <w:rPr>
          <w:rStyle w:val="Hyperlink"/>
          <w:rFonts w:asciiTheme="majorBidi" w:hAnsiTheme="majorBidi" w:cstheme="majorBidi"/>
          <w:color w:val="auto"/>
          <w:sz w:val="24"/>
          <w:szCs w:val="24"/>
          <w:u w:val="none"/>
        </w:rPr>
        <w:t>http://www.alliancealert.org/2005/commandments/vanorden/atheistslc.htm</w:t>
      </w:r>
    </w:p>
    <w:p w14:paraId="61F14E31" w14:textId="77777777" w:rsidR="00EA77A3" w:rsidRDefault="00EA77A3" w:rsidP="003A3DE0">
      <w:pPr>
        <w:spacing w:line="240" w:lineRule="auto"/>
        <w:ind w:left="720" w:hanging="720"/>
        <w:contextualSpacing/>
        <w:rPr>
          <w:rFonts w:ascii="Times New Roman" w:hAnsi="Times New Roman" w:cs="Times New Roman"/>
          <w:sz w:val="24"/>
          <w:szCs w:val="24"/>
        </w:rPr>
      </w:pPr>
    </w:p>
    <w:p w14:paraId="01519BA6" w14:textId="77777777" w:rsidR="00EA77A3" w:rsidRDefault="00EA77A3" w:rsidP="003A3DE0">
      <w:pPr>
        <w:spacing w:line="24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Teles</w:t>
      </w:r>
      <w:proofErr w:type="spellEnd"/>
      <w:r>
        <w:rPr>
          <w:rFonts w:ascii="Times New Roman" w:hAnsi="Times New Roman" w:cs="Times New Roman"/>
          <w:sz w:val="24"/>
          <w:szCs w:val="24"/>
        </w:rPr>
        <w:t xml:space="preserve">, Steven. 2008. </w:t>
      </w:r>
      <w:r>
        <w:rPr>
          <w:rFonts w:ascii="Times New Roman" w:hAnsi="Times New Roman" w:cs="Times New Roman"/>
          <w:i/>
          <w:sz w:val="24"/>
          <w:szCs w:val="24"/>
        </w:rPr>
        <w:t>The Rise of the Conservative Legal Movement: The Battle for Control of the Law</w:t>
      </w:r>
      <w:r>
        <w:rPr>
          <w:rFonts w:ascii="Times New Roman" w:hAnsi="Times New Roman" w:cs="Times New Roman"/>
          <w:sz w:val="24"/>
          <w:szCs w:val="24"/>
        </w:rPr>
        <w:t>. Princeton, NJ: Princeton University Press.</w:t>
      </w:r>
    </w:p>
    <w:p w14:paraId="32CCEDB9" w14:textId="77777777" w:rsidR="00EA77A3" w:rsidRDefault="00EA77A3" w:rsidP="003A3DE0">
      <w:pPr>
        <w:spacing w:line="240" w:lineRule="auto"/>
        <w:ind w:left="720" w:hanging="720"/>
        <w:contextualSpacing/>
        <w:rPr>
          <w:rFonts w:asciiTheme="majorBidi" w:hAnsiTheme="majorBidi" w:cstheme="majorBidi"/>
          <w:sz w:val="24"/>
          <w:szCs w:val="24"/>
        </w:rPr>
      </w:pPr>
    </w:p>
    <w:p w14:paraId="504B5766" w14:textId="3390FA7A" w:rsidR="00FE0CCA" w:rsidRDefault="00FE0CCA" w:rsidP="003A3DE0">
      <w:pPr>
        <w:spacing w:line="240" w:lineRule="auto"/>
        <w:ind w:left="720" w:hanging="720"/>
        <w:contextualSpacing/>
        <w:rPr>
          <w:rFonts w:asciiTheme="majorBidi" w:hAnsiTheme="majorBidi" w:cstheme="majorBidi"/>
          <w:sz w:val="24"/>
          <w:szCs w:val="24"/>
        </w:rPr>
      </w:pPr>
      <w:r w:rsidRPr="00393822">
        <w:rPr>
          <w:rFonts w:asciiTheme="majorBidi" w:hAnsiTheme="majorBidi" w:cstheme="majorBidi"/>
          <w:iCs/>
          <w:sz w:val="24"/>
          <w:szCs w:val="24"/>
        </w:rPr>
        <w:t>The Religious Freedom Restoration Act of 1993, Pub. L. No. 103-141, 107 Stat. 1488 (November 16, 1993)</w:t>
      </w:r>
    </w:p>
    <w:p w14:paraId="7564B56D" w14:textId="77777777" w:rsidR="00FE0CCA" w:rsidRDefault="00FE0CCA" w:rsidP="003A3DE0">
      <w:pPr>
        <w:spacing w:line="240" w:lineRule="auto"/>
        <w:ind w:left="720" w:hanging="720"/>
        <w:contextualSpacing/>
        <w:rPr>
          <w:rFonts w:asciiTheme="majorBidi" w:hAnsiTheme="majorBidi" w:cstheme="majorBidi"/>
          <w:sz w:val="24"/>
          <w:szCs w:val="24"/>
        </w:rPr>
      </w:pPr>
    </w:p>
    <w:p w14:paraId="7AC89172" w14:textId="77777777" w:rsidR="00EA77A3" w:rsidRDefault="00EA77A3" w:rsidP="003A3DE0">
      <w:pPr>
        <w:spacing w:line="240" w:lineRule="auto"/>
        <w:ind w:left="720" w:hanging="720"/>
        <w:contextualSpacing/>
        <w:rPr>
          <w:rFonts w:asciiTheme="majorBidi" w:hAnsiTheme="majorBidi" w:cstheme="majorBidi"/>
          <w:sz w:val="24"/>
          <w:szCs w:val="24"/>
        </w:rPr>
      </w:pPr>
      <w:r>
        <w:rPr>
          <w:rFonts w:asciiTheme="majorBidi" w:hAnsiTheme="majorBidi" w:cstheme="majorBidi"/>
          <w:sz w:val="24"/>
          <w:szCs w:val="24"/>
        </w:rPr>
        <w:t xml:space="preserve">Walker, Samuel. 1999. </w:t>
      </w:r>
      <w:proofErr w:type="gramStart"/>
      <w:r>
        <w:rPr>
          <w:rFonts w:asciiTheme="majorBidi" w:hAnsiTheme="majorBidi" w:cstheme="majorBidi"/>
          <w:i/>
          <w:iCs/>
          <w:sz w:val="24"/>
          <w:szCs w:val="24"/>
        </w:rPr>
        <w:t>In</w:t>
      </w:r>
      <w:proofErr w:type="gramEnd"/>
      <w:r>
        <w:rPr>
          <w:rFonts w:asciiTheme="majorBidi" w:hAnsiTheme="majorBidi" w:cstheme="majorBidi"/>
          <w:i/>
          <w:iCs/>
          <w:sz w:val="24"/>
          <w:szCs w:val="24"/>
        </w:rPr>
        <w:t xml:space="preserve"> Defense of American Liberties: A History of the ACLU</w:t>
      </w:r>
      <w:r>
        <w:rPr>
          <w:rFonts w:asciiTheme="majorBidi" w:hAnsiTheme="majorBidi" w:cstheme="majorBidi"/>
          <w:sz w:val="24"/>
          <w:szCs w:val="24"/>
        </w:rPr>
        <w:t>. (2</w:t>
      </w:r>
      <w:r w:rsidRPr="00E610B9">
        <w:rPr>
          <w:rFonts w:asciiTheme="majorBidi" w:hAnsiTheme="majorBidi" w:cstheme="majorBidi"/>
          <w:sz w:val="24"/>
          <w:szCs w:val="24"/>
          <w:vertAlign w:val="superscript"/>
        </w:rPr>
        <w:t>nd</w:t>
      </w:r>
      <w:r>
        <w:rPr>
          <w:rFonts w:asciiTheme="majorBidi" w:hAnsiTheme="majorBidi" w:cstheme="majorBidi"/>
          <w:sz w:val="24"/>
          <w:szCs w:val="24"/>
        </w:rPr>
        <w:t xml:space="preserve"> </w:t>
      </w:r>
      <w:proofErr w:type="gramStart"/>
      <w:r>
        <w:rPr>
          <w:rFonts w:asciiTheme="majorBidi" w:hAnsiTheme="majorBidi" w:cstheme="majorBidi"/>
          <w:sz w:val="24"/>
          <w:szCs w:val="24"/>
        </w:rPr>
        <w:t>ed</w:t>
      </w:r>
      <w:proofErr w:type="gramEnd"/>
      <w:r>
        <w:rPr>
          <w:rFonts w:asciiTheme="majorBidi" w:hAnsiTheme="majorBidi" w:cstheme="majorBidi"/>
          <w:sz w:val="24"/>
          <w:szCs w:val="24"/>
        </w:rPr>
        <w:t>.). Carbondale, IL: Southern Illinois University Press.</w:t>
      </w:r>
    </w:p>
    <w:p w14:paraId="7B80B371" w14:textId="77777777" w:rsidR="00EA77A3" w:rsidRDefault="00EA77A3" w:rsidP="003A3DE0">
      <w:pPr>
        <w:spacing w:line="240" w:lineRule="auto"/>
        <w:ind w:left="720" w:hanging="720"/>
        <w:contextualSpacing/>
        <w:rPr>
          <w:rFonts w:asciiTheme="majorBidi" w:hAnsiTheme="majorBidi" w:cstheme="majorBidi"/>
          <w:sz w:val="24"/>
          <w:szCs w:val="24"/>
        </w:rPr>
      </w:pPr>
    </w:p>
    <w:p w14:paraId="1370E360" w14:textId="77777777" w:rsidR="00EA77A3" w:rsidRDefault="00EA77A3" w:rsidP="003A3DE0">
      <w:pPr>
        <w:spacing w:line="240" w:lineRule="auto"/>
        <w:ind w:left="720" w:hanging="720"/>
        <w:contextualSpacing/>
        <w:rPr>
          <w:rFonts w:asciiTheme="majorBidi" w:hAnsiTheme="majorBidi" w:cstheme="majorBidi"/>
          <w:sz w:val="24"/>
          <w:szCs w:val="24"/>
        </w:rPr>
      </w:pPr>
      <w:r>
        <w:rPr>
          <w:rFonts w:asciiTheme="majorBidi" w:hAnsiTheme="majorBidi" w:cstheme="majorBidi"/>
          <w:sz w:val="24"/>
          <w:szCs w:val="24"/>
        </w:rPr>
        <w:t xml:space="preserve">Williamson, David A. &amp; George Yancey. 2012. </w:t>
      </w:r>
      <w:r>
        <w:rPr>
          <w:rFonts w:asciiTheme="majorBidi" w:hAnsiTheme="majorBidi" w:cstheme="majorBidi"/>
          <w:i/>
          <w:iCs/>
          <w:sz w:val="24"/>
          <w:szCs w:val="24"/>
        </w:rPr>
        <w:t>There is No God: Atheists in America</w:t>
      </w:r>
      <w:r>
        <w:rPr>
          <w:rFonts w:asciiTheme="majorBidi" w:hAnsiTheme="majorBidi" w:cstheme="majorBidi"/>
          <w:sz w:val="24"/>
          <w:szCs w:val="24"/>
        </w:rPr>
        <w:t xml:space="preserve">. Lanham, MD: </w:t>
      </w:r>
      <w:proofErr w:type="spellStart"/>
      <w:r w:rsidRPr="00DE4292">
        <w:rPr>
          <w:rFonts w:asciiTheme="majorBidi" w:hAnsiTheme="majorBidi" w:cstheme="majorBidi"/>
          <w:sz w:val="24"/>
          <w:szCs w:val="24"/>
        </w:rPr>
        <w:t>Rowman</w:t>
      </w:r>
      <w:proofErr w:type="spellEnd"/>
      <w:r w:rsidRPr="00DE4292">
        <w:rPr>
          <w:rFonts w:asciiTheme="majorBidi" w:hAnsiTheme="majorBidi" w:cstheme="majorBidi"/>
          <w:sz w:val="24"/>
          <w:szCs w:val="24"/>
        </w:rPr>
        <w:t xml:space="preserve"> &amp; Littlefield Publishers</w:t>
      </w:r>
      <w:r>
        <w:rPr>
          <w:rFonts w:asciiTheme="majorBidi" w:hAnsiTheme="majorBidi" w:cstheme="majorBidi"/>
          <w:sz w:val="24"/>
          <w:szCs w:val="24"/>
        </w:rPr>
        <w:t>.</w:t>
      </w:r>
    </w:p>
    <w:p w14:paraId="6CCF8DF3" w14:textId="77777777" w:rsidR="00EA77A3" w:rsidRDefault="00EA77A3" w:rsidP="003A3DE0">
      <w:pPr>
        <w:spacing w:line="240" w:lineRule="auto"/>
        <w:ind w:left="720" w:hanging="720"/>
        <w:contextualSpacing/>
        <w:rPr>
          <w:rFonts w:asciiTheme="majorBidi" w:hAnsiTheme="majorBidi" w:cstheme="majorBidi"/>
          <w:sz w:val="24"/>
          <w:szCs w:val="24"/>
        </w:rPr>
      </w:pPr>
    </w:p>
    <w:p w14:paraId="71858654" w14:textId="28973B13" w:rsidR="00EA77A3" w:rsidRDefault="00EA77A3" w:rsidP="003A3DE0">
      <w:pPr>
        <w:spacing w:line="240" w:lineRule="auto"/>
        <w:ind w:left="720" w:hanging="720"/>
        <w:contextualSpacing/>
        <w:rPr>
          <w:rFonts w:asciiTheme="majorBidi" w:hAnsiTheme="majorBidi" w:cstheme="majorBidi"/>
          <w:sz w:val="24"/>
          <w:szCs w:val="24"/>
        </w:rPr>
      </w:pPr>
      <w:r>
        <w:rPr>
          <w:rFonts w:asciiTheme="majorBidi" w:hAnsiTheme="majorBidi" w:cstheme="majorBidi"/>
          <w:sz w:val="24"/>
          <w:szCs w:val="24"/>
        </w:rPr>
        <w:t xml:space="preserve">Wing, Jeff. (2013, August 26). “Freedom </w:t>
      </w:r>
      <w:proofErr w:type="gramStart"/>
      <w:r>
        <w:rPr>
          <w:rFonts w:asciiTheme="majorBidi" w:hAnsiTheme="majorBidi" w:cstheme="majorBidi"/>
          <w:sz w:val="24"/>
          <w:szCs w:val="24"/>
        </w:rPr>
        <w:t>From</w:t>
      </w:r>
      <w:proofErr w:type="gramEnd"/>
      <w:r>
        <w:rPr>
          <w:rFonts w:asciiTheme="majorBidi" w:hAnsiTheme="majorBidi" w:cstheme="majorBidi"/>
          <w:sz w:val="24"/>
          <w:szCs w:val="24"/>
        </w:rPr>
        <w:t xml:space="preserve"> Religion Foundation, National Atheist Group, to Expand Headquarters After Huge Growth.” </w:t>
      </w:r>
      <w:r>
        <w:rPr>
          <w:rFonts w:asciiTheme="majorBidi" w:hAnsiTheme="majorBidi" w:cstheme="majorBidi"/>
          <w:i/>
          <w:iCs/>
          <w:sz w:val="24"/>
          <w:szCs w:val="24"/>
        </w:rPr>
        <w:t>The Huffington Post</w:t>
      </w:r>
      <w:r>
        <w:rPr>
          <w:rFonts w:asciiTheme="majorBidi" w:hAnsiTheme="majorBidi" w:cstheme="majorBidi"/>
          <w:sz w:val="24"/>
          <w:szCs w:val="24"/>
        </w:rPr>
        <w:t xml:space="preserve">. Retrieved from </w:t>
      </w:r>
      <w:hyperlink r:id="rId19" w:history="1">
        <w:r w:rsidR="005F7D18" w:rsidRPr="00206880">
          <w:rPr>
            <w:rStyle w:val="Hyperlink"/>
            <w:rFonts w:asciiTheme="majorBidi" w:hAnsiTheme="majorBidi" w:cstheme="majorBidi"/>
            <w:sz w:val="24"/>
            <w:szCs w:val="24"/>
          </w:rPr>
          <w:t>http://www.huffingtonpost.com/2013/08/26/freedom-from-religion-foundation_n_3818147.html</w:t>
        </w:r>
      </w:hyperlink>
    </w:p>
    <w:p w14:paraId="281F26D3" w14:textId="77777777" w:rsidR="005F7D18" w:rsidRPr="005F7D18" w:rsidRDefault="005F7D18" w:rsidP="003A3DE0">
      <w:pPr>
        <w:spacing w:line="240" w:lineRule="auto"/>
        <w:ind w:left="720" w:hanging="720"/>
        <w:contextualSpacing/>
        <w:rPr>
          <w:rFonts w:ascii="Times New Roman" w:hAnsi="Times New Roman" w:cs="Times New Roman"/>
          <w:sz w:val="24"/>
          <w:szCs w:val="24"/>
        </w:rPr>
      </w:pPr>
    </w:p>
    <w:p w14:paraId="4CC20B56" w14:textId="355A5B42" w:rsidR="005F7D18" w:rsidRPr="005F7D18" w:rsidRDefault="005F7D18" w:rsidP="003A3DE0">
      <w:pPr>
        <w:spacing w:line="240" w:lineRule="auto"/>
        <w:ind w:left="720" w:hanging="720"/>
        <w:contextualSpacing/>
        <w:rPr>
          <w:rFonts w:ascii="Times New Roman" w:hAnsi="Times New Roman" w:cs="Times New Roman"/>
          <w:sz w:val="24"/>
          <w:szCs w:val="24"/>
        </w:rPr>
      </w:pPr>
      <w:r w:rsidRPr="005F7D18">
        <w:rPr>
          <w:rFonts w:ascii="Times New Roman" w:hAnsi="Times New Roman" w:cs="Times New Roman"/>
          <w:sz w:val="24"/>
          <w:szCs w:val="24"/>
        </w:rPr>
        <w:t xml:space="preserve">Youngblood, </w:t>
      </w:r>
      <w:r w:rsidRPr="005F7D18">
        <w:rPr>
          <w:rFonts w:ascii="Times New Roman" w:hAnsi="Times New Roman" w:cs="Times New Roman"/>
          <w:color w:val="333333"/>
          <w:sz w:val="24"/>
          <w:szCs w:val="24"/>
          <w:shd w:val="clear" w:color="auto" w:fill="FFFFFF"/>
        </w:rPr>
        <w:t>Lauren A. (2014, May, 5). “Secular Americans Condemn SCOTUS Decision to Uphold Sectarian Legislative Prayer.” Retrieved from https://www.secular.org/news/secular-americans-condemn-scotus-decision-uphold-sectarian-legislative-prayer</w:t>
      </w:r>
    </w:p>
    <w:p w14:paraId="4B39CE5D" w14:textId="77777777" w:rsidR="005F7D18" w:rsidRPr="005F7D18" w:rsidRDefault="005F7D18" w:rsidP="003A3DE0">
      <w:pPr>
        <w:spacing w:line="240" w:lineRule="auto"/>
        <w:ind w:left="720" w:hanging="720"/>
        <w:contextualSpacing/>
        <w:rPr>
          <w:rFonts w:ascii="Times New Roman" w:hAnsi="Times New Roman" w:cs="Times New Roman"/>
          <w:sz w:val="24"/>
          <w:szCs w:val="24"/>
        </w:rPr>
      </w:pPr>
    </w:p>
    <w:p w14:paraId="2A7F49D1" w14:textId="77777777" w:rsidR="00B133E5" w:rsidRPr="005F7D18" w:rsidRDefault="00EA77A3" w:rsidP="003A3DE0">
      <w:pPr>
        <w:spacing w:line="240" w:lineRule="auto"/>
        <w:ind w:left="720" w:hanging="720"/>
        <w:contextualSpacing/>
        <w:rPr>
          <w:rFonts w:ascii="Times New Roman" w:hAnsi="Times New Roman" w:cs="Times New Roman"/>
          <w:bCs/>
          <w:iCs/>
          <w:sz w:val="24"/>
          <w:szCs w:val="24"/>
        </w:rPr>
      </w:pPr>
      <w:proofErr w:type="spellStart"/>
      <w:r w:rsidRPr="005F7D18">
        <w:rPr>
          <w:rFonts w:ascii="Times New Roman" w:hAnsi="Times New Roman" w:cs="Times New Roman"/>
          <w:bCs/>
          <w:iCs/>
          <w:sz w:val="24"/>
          <w:szCs w:val="24"/>
        </w:rPr>
        <w:t>Zackin</w:t>
      </w:r>
      <w:proofErr w:type="spellEnd"/>
      <w:r w:rsidRPr="005F7D18">
        <w:rPr>
          <w:rFonts w:ascii="Times New Roman" w:hAnsi="Times New Roman" w:cs="Times New Roman"/>
          <w:bCs/>
          <w:iCs/>
          <w:sz w:val="24"/>
          <w:szCs w:val="24"/>
        </w:rPr>
        <w:t xml:space="preserve">, Emily. 2008. “Popular Constitutionalism’s Hard When </w:t>
      </w:r>
      <w:proofErr w:type="gramStart"/>
      <w:r w:rsidRPr="005F7D18">
        <w:rPr>
          <w:rFonts w:ascii="Times New Roman" w:hAnsi="Times New Roman" w:cs="Times New Roman"/>
          <w:bCs/>
          <w:iCs/>
          <w:sz w:val="24"/>
          <w:szCs w:val="24"/>
        </w:rPr>
        <w:t>You’re</w:t>
      </w:r>
      <w:proofErr w:type="gramEnd"/>
      <w:r w:rsidRPr="005F7D18">
        <w:rPr>
          <w:rFonts w:ascii="Times New Roman" w:hAnsi="Times New Roman" w:cs="Times New Roman"/>
          <w:bCs/>
          <w:iCs/>
          <w:sz w:val="24"/>
          <w:szCs w:val="24"/>
        </w:rPr>
        <w:t xml:space="preserve"> Not Very Popular: Why the ACLU Turned to the Courts.” </w:t>
      </w:r>
      <w:r w:rsidRPr="005F7D18">
        <w:rPr>
          <w:rFonts w:ascii="Times New Roman" w:hAnsi="Times New Roman" w:cs="Times New Roman"/>
          <w:bCs/>
          <w:i/>
          <w:sz w:val="24"/>
          <w:szCs w:val="24"/>
        </w:rPr>
        <w:t xml:space="preserve">Law &amp; Society Review (42) </w:t>
      </w:r>
      <w:r w:rsidRPr="005F7D18">
        <w:rPr>
          <w:rFonts w:ascii="Times New Roman" w:hAnsi="Times New Roman" w:cs="Times New Roman"/>
          <w:bCs/>
          <w:iCs/>
          <w:sz w:val="24"/>
          <w:szCs w:val="24"/>
        </w:rPr>
        <w:t xml:space="preserve">2 (June 2008): 367-396. </w:t>
      </w:r>
      <w:proofErr w:type="spellStart"/>
      <w:proofErr w:type="gramStart"/>
      <w:r w:rsidRPr="005F7D18">
        <w:rPr>
          <w:rFonts w:ascii="Times New Roman" w:hAnsi="Times New Roman" w:cs="Times New Roman"/>
          <w:bCs/>
          <w:iCs/>
          <w:sz w:val="24"/>
          <w:szCs w:val="24"/>
        </w:rPr>
        <w:t>doi</w:t>
      </w:r>
      <w:proofErr w:type="spellEnd"/>
      <w:proofErr w:type="gramEnd"/>
      <w:r w:rsidRPr="005F7D18">
        <w:rPr>
          <w:rFonts w:ascii="Times New Roman" w:hAnsi="Times New Roman" w:cs="Times New Roman"/>
          <w:bCs/>
          <w:iCs/>
          <w:sz w:val="24"/>
          <w:szCs w:val="24"/>
        </w:rPr>
        <w:t>:</w:t>
      </w:r>
      <w:r w:rsidRPr="005F7D18">
        <w:rPr>
          <w:rFonts w:ascii="Times New Roman" w:hAnsi="Times New Roman" w:cs="Times New Roman"/>
          <w:sz w:val="24"/>
          <w:szCs w:val="24"/>
        </w:rPr>
        <w:t xml:space="preserve"> </w:t>
      </w:r>
      <w:r w:rsidRPr="005F7D18">
        <w:rPr>
          <w:rFonts w:ascii="Times New Roman" w:hAnsi="Times New Roman" w:cs="Times New Roman"/>
          <w:bCs/>
          <w:iCs/>
          <w:sz w:val="24"/>
          <w:szCs w:val="24"/>
        </w:rPr>
        <w:t>10.1111/j.1540-5893.2008.00345.x</w:t>
      </w:r>
    </w:p>
    <w:p w14:paraId="7408A415" w14:textId="77777777" w:rsidR="001424BE" w:rsidRDefault="001424BE">
      <w:pPr>
        <w:rPr>
          <w:rFonts w:ascii="Times New Roman" w:hAnsi="Times New Roman" w:cs="Times New Roman"/>
          <w:b/>
          <w:iCs/>
          <w:sz w:val="24"/>
          <w:szCs w:val="24"/>
        </w:rPr>
      </w:pPr>
    </w:p>
    <w:p w14:paraId="43EE5A1C" w14:textId="1239D920" w:rsidR="001424BE" w:rsidRDefault="001424BE" w:rsidP="001424BE">
      <w:pPr>
        <w:spacing w:line="240" w:lineRule="auto"/>
        <w:contextualSpacing/>
        <w:rPr>
          <w:rFonts w:asciiTheme="majorBidi" w:hAnsiTheme="majorBidi" w:cstheme="majorBidi"/>
          <w:iCs/>
          <w:sz w:val="24"/>
          <w:szCs w:val="24"/>
        </w:rPr>
      </w:pPr>
    </w:p>
    <w:p w14:paraId="6AC0203A" w14:textId="77777777" w:rsidR="001424BE" w:rsidRDefault="001424BE" w:rsidP="001424BE">
      <w:pPr>
        <w:spacing w:line="240" w:lineRule="auto"/>
        <w:contextualSpacing/>
        <w:rPr>
          <w:rFonts w:asciiTheme="majorBidi" w:hAnsiTheme="majorBidi" w:cstheme="majorBidi"/>
          <w:iCs/>
          <w:sz w:val="24"/>
          <w:szCs w:val="24"/>
        </w:rPr>
      </w:pPr>
    </w:p>
    <w:p w14:paraId="0E59B90D" w14:textId="77777777" w:rsidR="005F5E04" w:rsidRDefault="005F5E04" w:rsidP="001424BE">
      <w:pPr>
        <w:tabs>
          <w:tab w:val="left" w:pos="6886"/>
        </w:tabs>
        <w:spacing w:line="240" w:lineRule="auto"/>
        <w:contextualSpacing/>
        <w:rPr>
          <w:rFonts w:ascii="Times New Roman" w:hAnsi="Times New Roman" w:cs="Times New Roman"/>
          <w:sz w:val="24"/>
          <w:szCs w:val="24"/>
        </w:rPr>
      </w:pPr>
    </w:p>
    <w:p w14:paraId="7C6D63CD" w14:textId="77777777" w:rsidR="005F5E04" w:rsidRPr="005F5E04" w:rsidRDefault="005F5E04" w:rsidP="005F5E04">
      <w:pPr>
        <w:autoSpaceDE w:val="0"/>
        <w:autoSpaceDN w:val="0"/>
        <w:adjustRightInd w:val="0"/>
        <w:spacing w:after="0" w:line="240" w:lineRule="auto"/>
        <w:rPr>
          <w:rFonts w:ascii="Century Schoolbook" w:hAnsi="Century Schoolbook" w:cs="Century Schoolbook"/>
          <w:color w:val="000000"/>
          <w:sz w:val="24"/>
          <w:szCs w:val="24"/>
        </w:rPr>
      </w:pPr>
    </w:p>
    <w:p w14:paraId="5AAC8084" w14:textId="77777777" w:rsidR="00544DF7" w:rsidRPr="00946290" w:rsidRDefault="00544DF7" w:rsidP="00D131F8">
      <w:pPr>
        <w:spacing w:line="240" w:lineRule="auto"/>
        <w:contextualSpacing/>
        <w:rPr>
          <w:rFonts w:asciiTheme="majorBidi" w:hAnsiTheme="majorBidi" w:cstheme="majorBidi"/>
          <w:iCs/>
          <w:sz w:val="24"/>
          <w:szCs w:val="24"/>
        </w:rPr>
      </w:pPr>
    </w:p>
    <w:sectPr w:rsidR="00544DF7" w:rsidRPr="00946290" w:rsidSect="009156DC">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B3C99" w14:textId="77777777" w:rsidR="00F25DC8" w:rsidRDefault="00F25DC8" w:rsidP="001216F6">
      <w:pPr>
        <w:spacing w:after="0" w:line="240" w:lineRule="auto"/>
      </w:pPr>
      <w:r>
        <w:separator/>
      </w:r>
    </w:p>
  </w:endnote>
  <w:endnote w:type="continuationSeparator" w:id="0">
    <w:p w14:paraId="68E10581" w14:textId="77777777" w:rsidR="00F25DC8" w:rsidRDefault="00F25DC8" w:rsidP="0012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C2D95" w14:textId="77777777" w:rsidR="00F25DC8" w:rsidRDefault="00F25DC8" w:rsidP="001216F6">
      <w:pPr>
        <w:spacing w:after="0" w:line="240" w:lineRule="auto"/>
      </w:pPr>
      <w:r>
        <w:separator/>
      </w:r>
    </w:p>
  </w:footnote>
  <w:footnote w:type="continuationSeparator" w:id="0">
    <w:p w14:paraId="1E793DE3" w14:textId="77777777" w:rsidR="00F25DC8" w:rsidRDefault="00F25DC8" w:rsidP="001216F6">
      <w:pPr>
        <w:spacing w:after="0" w:line="240" w:lineRule="auto"/>
      </w:pPr>
      <w:r>
        <w:continuationSeparator/>
      </w:r>
    </w:p>
  </w:footnote>
  <w:footnote w:id="1">
    <w:p w14:paraId="31712B08" w14:textId="77777777" w:rsidR="00B60F59" w:rsidRPr="00CD5905" w:rsidRDefault="00B60F59" w:rsidP="002018A4">
      <w:pPr>
        <w:pStyle w:val="FootnoteText"/>
        <w:rPr>
          <w:rFonts w:asciiTheme="majorBidi" w:hAnsiTheme="majorBidi" w:cstheme="majorBidi"/>
        </w:rPr>
      </w:pPr>
      <w:r w:rsidRPr="00CD5905">
        <w:rPr>
          <w:rStyle w:val="FootnoteReference"/>
          <w:rFonts w:asciiTheme="majorBidi" w:hAnsiTheme="majorBidi" w:cstheme="majorBidi"/>
        </w:rPr>
        <w:footnoteRef/>
      </w:r>
      <w:r w:rsidRPr="00CD5905">
        <w:rPr>
          <w:rFonts w:asciiTheme="majorBidi" w:hAnsiTheme="majorBidi" w:cstheme="majorBidi"/>
        </w:rPr>
        <w:t xml:space="preserve"> Americans United was originally founded in 1947 under the name Protestants and Other Americans United for Separation of Church and State (POAU).</w:t>
      </w:r>
    </w:p>
  </w:footnote>
  <w:footnote w:id="2">
    <w:p w14:paraId="18B64E29" w14:textId="3C184B01" w:rsidR="00B60F59" w:rsidRPr="00E7557F" w:rsidRDefault="00B60F59">
      <w:pPr>
        <w:pStyle w:val="FootnoteText"/>
        <w:rPr>
          <w:rFonts w:ascii="Times New Roman" w:hAnsi="Times New Roman" w:cs="Times New Roman"/>
        </w:rPr>
      </w:pPr>
      <w:r w:rsidRPr="00E7557F">
        <w:rPr>
          <w:rStyle w:val="FootnoteReference"/>
          <w:rFonts w:ascii="Times New Roman" w:hAnsi="Times New Roman" w:cs="Times New Roman"/>
        </w:rPr>
        <w:footnoteRef/>
      </w:r>
      <w:r w:rsidRPr="00E7557F">
        <w:rPr>
          <w:rFonts w:ascii="Times New Roman" w:hAnsi="Times New Roman" w:cs="Times New Roman"/>
        </w:rPr>
        <w:t xml:space="preserve"> I use the term separationist here to highlight the difference between these groups and the more </w:t>
      </w:r>
      <w:proofErr w:type="spellStart"/>
      <w:r w:rsidRPr="00E7557F">
        <w:rPr>
          <w:rFonts w:ascii="Times New Roman" w:hAnsi="Times New Roman" w:cs="Times New Roman"/>
        </w:rPr>
        <w:t>accomodationist</w:t>
      </w:r>
      <w:proofErr w:type="spellEnd"/>
      <w:r w:rsidRPr="00E7557F">
        <w:rPr>
          <w:rFonts w:ascii="Times New Roman" w:hAnsi="Times New Roman" w:cs="Times New Roman"/>
        </w:rPr>
        <w:t xml:space="preserve"> ones that compromise the Religious Right organizations. While the ACLU and the old coalition in particular have advanced some arguments—especially free exercise ones—that are more </w:t>
      </w:r>
      <w:proofErr w:type="spellStart"/>
      <w:r w:rsidRPr="00E7557F">
        <w:rPr>
          <w:rFonts w:ascii="Times New Roman" w:hAnsi="Times New Roman" w:cs="Times New Roman"/>
        </w:rPr>
        <w:t>accomodationist</w:t>
      </w:r>
      <w:proofErr w:type="spellEnd"/>
      <w:r w:rsidRPr="00E7557F">
        <w:rPr>
          <w:rFonts w:ascii="Times New Roman" w:hAnsi="Times New Roman" w:cs="Times New Roman"/>
        </w:rPr>
        <w:t xml:space="preserve">, the term separationist draws from texts such as John Locke’s </w:t>
      </w:r>
      <w:r w:rsidRPr="00E7557F">
        <w:rPr>
          <w:rFonts w:ascii="Times New Roman" w:hAnsi="Times New Roman" w:cs="Times New Roman"/>
          <w:i/>
        </w:rPr>
        <w:t>A Letter Concerning Toleration</w:t>
      </w:r>
      <w:r w:rsidRPr="00E7557F">
        <w:rPr>
          <w:rFonts w:ascii="Times New Roman" w:hAnsi="Times New Roman" w:cs="Times New Roman"/>
        </w:rPr>
        <w:t xml:space="preserve"> and Thomas Jefferson’s “Letter to the Danbury Baptists,” which emphasizes the distinct and separate domains of church and state.</w:t>
      </w:r>
    </w:p>
  </w:footnote>
  <w:footnote w:id="3">
    <w:p w14:paraId="4060E1B6" w14:textId="77777777" w:rsidR="00B60F59" w:rsidRDefault="00B60F59" w:rsidP="00351972">
      <w:pPr>
        <w:pStyle w:val="FootnoteText"/>
      </w:pPr>
      <w:r w:rsidRPr="00CD5905">
        <w:rPr>
          <w:rStyle w:val="FootnoteReference"/>
          <w:rFonts w:asciiTheme="majorBidi" w:hAnsiTheme="majorBidi" w:cstheme="majorBidi"/>
        </w:rPr>
        <w:footnoteRef/>
      </w:r>
      <w:r w:rsidRPr="00CD5905">
        <w:rPr>
          <w:rFonts w:asciiTheme="majorBidi" w:hAnsiTheme="majorBidi" w:cstheme="majorBidi"/>
        </w:rPr>
        <w:t xml:space="preserve"> See cases such as </w:t>
      </w:r>
      <w:r w:rsidRPr="00CD5905">
        <w:rPr>
          <w:rFonts w:asciiTheme="majorBidi" w:hAnsiTheme="majorBidi" w:cstheme="majorBidi"/>
          <w:i/>
          <w:iCs/>
          <w:color w:val="000000"/>
          <w:shd w:val="clear" w:color="auto" w:fill="FFFFFF"/>
        </w:rPr>
        <w:t>Engel v. Vitale</w:t>
      </w:r>
      <w:r w:rsidRPr="00CD5905">
        <w:rPr>
          <w:rFonts w:asciiTheme="majorBidi" w:hAnsiTheme="majorBidi" w:cstheme="majorBidi"/>
          <w:color w:val="000000"/>
          <w:shd w:val="clear" w:color="auto" w:fill="FFFFFF"/>
        </w:rPr>
        <w:t>, 370 U.S. 421 (1962),</w:t>
      </w:r>
      <w:r w:rsidRPr="00CD5905">
        <w:rPr>
          <w:rFonts w:asciiTheme="majorBidi" w:hAnsiTheme="majorBidi" w:cstheme="majorBidi"/>
        </w:rPr>
        <w:t xml:space="preserve"> </w:t>
      </w:r>
      <w:r w:rsidRPr="00CD5905">
        <w:rPr>
          <w:rFonts w:asciiTheme="majorBidi" w:hAnsiTheme="majorBidi" w:cstheme="majorBidi"/>
          <w:i/>
          <w:iCs/>
          <w:color w:val="000000"/>
          <w:shd w:val="clear" w:color="auto" w:fill="FFFFFF"/>
        </w:rPr>
        <w:t xml:space="preserve">Abington School District v. </w:t>
      </w:r>
      <w:proofErr w:type="spellStart"/>
      <w:r w:rsidRPr="00CD5905">
        <w:rPr>
          <w:rFonts w:asciiTheme="majorBidi" w:hAnsiTheme="majorBidi" w:cstheme="majorBidi"/>
          <w:i/>
          <w:iCs/>
          <w:color w:val="000000"/>
          <w:shd w:val="clear" w:color="auto" w:fill="FFFFFF"/>
        </w:rPr>
        <w:t>Schempp</w:t>
      </w:r>
      <w:proofErr w:type="spellEnd"/>
      <w:r w:rsidRPr="00CD5905">
        <w:rPr>
          <w:rFonts w:asciiTheme="majorBidi" w:hAnsiTheme="majorBidi" w:cstheme="majorBidi"/>
          <w:color w:val="000000"/>
          <w:shd w:val="clear" w:color="auto" w:fill="FFFFFF"/>
        </w:rPr>
        <w:t>,</w:t>
      </w:r>
      <w:r w:rsidRPr="00CD5905">
        <w:rPr>
          <w:rStyle w:val="apple-converted-space"/>
          <w:rFonts w:asciiTheme="majorBidi" w:hAnsiTheme="majorBidi" w:cstheme="majorBidi"/>
          <w:color w:val="000000"/>
          <w:shd w:val="clear" w:color="auto" w:fill="FFFFFF"/>
        </w:rPr>
        <w:t> </w:t>
      </w:r>
      <w:r w:rsidRPr="00CD5905">
        <w:rPr>
          <w:rFonts w:asciiTheme="majorBidi" w:hAnsiTheme="majorBidi" w:cstheme="majorBidi"/>
          <w:shd w:val="clear" w:color="auto" w:fill="FFFFFF"/>
        </w:rPr>
        <w:t>374 U.S. 203</w:t>
      </w:r>
      <w:r w:rsidRPr="00CD5905">
        <w:rPr>
          <w:rStyle w:val="apple-converted-space"/>
          <w:rFonts w:asciiTheme="majorBidi" w:hAnsiTheme="majorBidi" w:cstheme="majorBidi"/>
          <w:color w:val="000000"/>
          <w:shd w:val="clear" w:color="auto" w:fill="FFFFFF"/>
        </w:rPr>
        <w:t> </w:t>
      </w:r>
      <w:r w:rsidRPr="00CD5905">
        <w:rPr>
          <w:rFonts w:asciiTheme="majorBidi" w:hAnsiTheme="majorBidi" w:cstheme="majorBidi"/>
          <w:color w:val="000000"/>
          <w:shd w:val="clear" w:color="auto" w:fill="FFFFFF"/>
        </w:rPr>
        <w:t>(1963),</w:t>
      </w:r>
      <w:r>
        <w:rPr>
          <w:rFonts w:asciiTheme="majorBidi" w:hAnsiTheme="majorBidi" w:cstheme="majorBidi"/>
          <w:color w:val="000000"/>
          <w:shd w:val="clear" w:color="auto" w:fill="FFFFFF"/>
        </w:rPr>
        <w:t xml:space="preserve"> and</w:t>
      </w:r>
      <w:r w:rsidRPr="00CD5905">
        <w:rPr>
          <w:rFonts w:asciiTheme="majorBidi" w:hAnsiTheme="majorBidi" w:cstheme="majorBidi"/>
          <w:color w:val="000000"/>
          <w:shd w:val="clear" w:color="auto" w:fill="FFFFFF"/>
        </w:rPr>
        <w:t xml:space="preserve"> </w:t>
      </w:r>
      <w:r w:rsidRPr="00CD5905">
        <w:rPr>
          <w:rFonts w:asciiTheme="majorBidi" w:hAnsiTheme="majorBidi" w:cstheme="majorBidi"/>
          <w:i/>
          <w:iCs/>
          <w:color w:val="000000"/>
          <w:shd w:val="clear" w:color="auto" w:fill="FFFFFF"/>
        </w:rPr>
        <w:t>West Virginia State Board of Education v. Barnette</w:t>
      </w:r>
      <w:r w:rsidRPr="00CD5905">
        <w:rPr>
          <w:rFonts w:asciiTheme="majorBidi" w:hAnsiTheme="majorBidi" w:cstheme="majorBidi"/>
          <w:color w:val="000000"/>
          <w:shd w:val="clear" w:color="auto" w:fill="FFFFFF"/>
        </w:rPr>
        <w:t>,</w:t>
      </w:r>
      <w:r w:rsidRPr="00CD5905">
        <w:rPr>
          <w:rStyle w:val="apple-converted-space"/>
          <w:rFonts w:asciiTheme="majorBidi" w:hAnsiTheme="majorBidi" w:cstheme="majorBidi"/>
          <w:color w:val="000000"/>
          <w:shd w:val="clear" w:color="auto" w:fill="FFFFFF"/>
        </w:rPr>
        <w:t> </w:t>
      </w:r>
      <w:r w:rsidRPr="00CD5905">
        <w:rPr>
          <w:rFonts w:asciiTheme="majorBidi" w:hAnsiTheme="majorBidi" w:cstheme="majorBidi"/>
          <w:shd w:val="clear" w:color="auto" w:fill="FFFFFF"/>
        </w:rPr>
        <w:t>319 U.S. 624</w:t>
      </w:r>
      <w:r w:rsidRPr="00CD5905">
        <w:rPr>
          <w:rStyle w:val="apple-converted-space"/>
          <w:rFonts w:asciiTheme="majorBidi" w:hAnsiTheme="majorBidi" w:cstheme="majorBidi"/>
          <w:color w:val="000000"/>
          <w:shd w:val="clear" w:color="auto" w:fill="FFFFFF"/>
        </w:rPr>
        <w:t> </w:t>
      </w:r>
      <w:r w:rsidRPr="00CD5905">
        <w:rPr>
          <w:rFonts w:asciiTheme="majorBidi" w:hAnsiTheme="majorBidi" w:cstheme="majorBidi"/>
          <w:color w:val="000000"/>
          <w:shd w:val="clear" w:color="auto" w:fill="FFFFFF"/>
        </w:rPr>
        <w:t>(1943), among others.</w:t>
      </w:r>
    </w:p>
  </w:footnote>
  <w:footnote w:id="4">
    <w:p w14:paraId="5FBFD8D5" w14:textId="77777777" w:rsidR="00B60F59" w:rsidRPr="007C2A12" w:rsidRDefault="00B60F59" w:rsidP="00351972">
      <w:pPr>
        <w:pStyle w:val="FootnoteText"/>
        <w:rPr>
          <w:rFonts w:asciiTheme="majorBidi" w:hAnsiTheme="majorBidi" w:cstheme="majorBidi"/>
        </w:rPr>
      </w:pPr>
      <w:r w:rsidRPr="007C2A12">
        <w:rPr>
          <w:rStyle w:val="FootnoteReference"/>
          <w:rFonts w:asciiTheme="majorBidi" w:hAnsiTheme="majorBidi" w:cstheme="majorBidi"/>
        </w:rPr>
        <w:footnoteRef/>
      </w:r>
      <w:r w:rsidRPr="007C2A12">
        <w:rPr>
          <w:rFonts w:asciiTheme="majorBidi" w:hAnsiTheme="majorBidi" w:cstheme="majorBidi"/>
        </w:rPr>
        <w:t xml:space="preserve"> The term “Christians” here refers to members of well-represented Christian sects such as evangelicals and Catholics.</w:t>
      </w:r>
      <w:r>
        <w:rPr>
          <w:rFonts w:asciiTheme="majorBidi" w:hAnsiTheme="majorBidi" w:cstheme="majorBidi"/>
        </w:rPr>
        <w:t xml:space="preserve"> Mainline Protestants and Baptists have been traditionally more in favor of separationist policies.</w:t>
      </w:r>
    </w:p>
  </w:footnote>
  <w:footnote w:id="5">
    <w:p w14:paraId="41F26E05" w14:textId="77777777" w:rsidR="00B60F59" w:rsidRPr="00033A83" w:rsidRDefault="00B60F59" w:rsidP="00FD6A0D">
      <w:pPr>
        <w:pStyle w:val="FootnoteText"/>
        <w:contextualSpacing/>
        <w:rPr>
          <w:rFonts w:asciiTheme="majorBidi" w:hAnsiTheme="majorBidi" w:cstheme="majorBidi"/>
        </w:rPr>
      </w:pPr>
      <w:r w:rsidRPr="00033A83">
        <w:rPr>
          <w:rStyle w:val="FootnoteReference"/>
          <w:rFonts w:asciiTheme="majorBidi" w:hAnsiTheme="majorBidi" w:cstheme="majorBidi"/>
        </w:rPr>
        <w:footnoteRef/>
      </w:r>
      <w:r w:rsidRPr="00033A83">
        <w:rPr>
          <w:rFonts w:asciiTheme="majorBidi" w:hAnsiTheme="majorBidi" w:cstheme="majorBidi"/>
        </w:rPr>
        <w:t xml:space="preserve"> The Secular Coalition for America is the home of member groups such as American Atheists, the American Ethical Union, the American Humanist Association, the Atheist Alliance of America, Camp Quest, </w:t>
      </w:r>
      <w:proofErr w:type="gramStart"/>
      <w:r w:rsidRPr="00033A83">
        <w:rPr>
          <w:rFonts w:asciiTheme="majorBidi" w:hAnsiTheme="majorBidi" w:cstheme="majorBidi"/>
        </w:rPr>
        <w:t>the</w:t>
      </w:r>
      <w:proofErr w:type="gramEnd"/>
      <w:r w:rsidRPr="00033A83">
        <w:rPr>
          <w:rFonts w:asciiTheme="majorBidi" w:hAnsiTheme="majorBidi" w:cstheme="majorBidi"/>
        </w:rPr>
        <w:t xml:space="preserve"> Council for Secular Humanism, </w:t>
      </w:r>
      <w:proofErr w:type="spellStart"/>
      <w:r w:rsidRPr="00033A83">
        <w:rPr>
          <w:rFonts w:asciiTheme="majorBidi" w:hAnsiTheme="majorBidi" w:cstheme="majorBidi"/>
        </w:rPr>
        <w:t>HUUmanists</w:t>
      </w:r>
      <w:proofErr w:type="spellEnd"/>
      <w:r w:rsidRPr="00033A83">
        <w:rPr>
          <w:rFonts w:asciiTheme="majorBidi" w:hAnsiTheme="majorBidi" w:cstheme="majorBidi"/>
        </w:rPr>
        <w:t>, the Institute for Humanist Studies, the Military Association of Atheists and Freethinkers, the Secular Student Alliance, and the Society for Human</w:t>
      </w:r>
      <w:r>
        <w:rPr>
          <w:rFonts w:asciiTheme="majorBidi" w:hAnsiTheme="majorBidi" w:cstheme="majorBidi"/>
        </w:rPr>
        <w:t xml:space="preserve">istic Judaism. (Retrieved from </w:t>
      </w:r>
      <w:r w:rsidRPr="00033A83">
        <w:rPr>
          <w:rFonts w:asciiTheme="majorBidi" w:hAnsiTheme="majorBidi" w:cstheme="majorBidi"/>
        </w:rPr>
        <w:t>http://secular.org/member_orgs).</w:t>
      </w:r>
    </w:p>
  </w:footnote>
  <w:footnote w:id="6">
    <w:p w14:paraId="0C738E63" w14:textId="77777777" w:rsidR="00B60F59" w:rsidRPr="004E1A72" w:rsidRDefault="00B60F59" w:rsidP="00FD6A0D">
      <w:pPr>
        <w:pStyle w:val="FootnoteText"/>
        <w:rPr>
          <w:rFonts w:asciiTheme="majorBidi" w:hAnsiTheme="majorBidi" w:cstheme="majorBidi"/>
        </w:rPr>
      </w:pPr>
      <w:r w:rsidRPr="004E1A72">
        <w:rPr>
          <w:rStyle w:val="FootnoteReference"/>
          <w:rFonts w:asciiTheme="majorBidi" w:hAnsiTheme="majorBidi" w:cstheme="majorBidi"/>
        </w:rPr>
        <w:footnoteRef/>
      </w:r>
      <w:r w:rsidRPr="004E1A72">
        <w:rPr>
          <w:rFonts w:asciiTheme="majorBidi" w:hAnsiTheme="majorBidi" w:cstheme="majorBidi"/>
        </w:rPr>
        <w:t xml:space="preserve"> See the 2010 volume </w:t>
      </w:r>
      <w:r w:rsidRPr="004E1A72">
        <w:rPr>
          <w:rFonts w:asciiTheme="majorBidi" w:hAnsiTheme="majorBidi" w:cstheme="majorBidi"/>
          <w:i/>
          <w:iCs/>
        </w:rPr>
        <w:t>Religion and the New Atheism</w:t>
      </w:r>
      <w:r w:rsidRPr="004E1A72">
        <w:rPr>
          <w:rFonts w:asciiTheme="majorBidi" w:hAnsiTheme="majorBidi" w:cstheme="majorBidi"/>
        </w:rPr>
        <w:t>, a series of essays reflecting on the rise of New A</w:t>
      </w:r>
      <w:r>
        <w:rPr>
          <w:rFonts w:asciiTheme="majorBidi" w:hAnsiTheme="majorBidi" w:cstheme="majorBidi"/>
        </w:rPr>
        <w:t>theism, for various scholars’ perspectives.</w:t>
      </w:r>
    </w:p>
  </w:footnote>
  <w:footnote w:id="7">
    <w:p w14:paraId="0EF59377" w14:textId="02A89D34" w:rsidR="00B60F59" w:rsidRPr="0003327E" w:rsidRDefault="00B60F59">
      <w:pPr>
        <w:pStyle w:val="FootnoteText"/>
        <w:rPr>
          <w:rFonts w:ascii="Times New Roman" w:hAnsi="Times New Roman" w:cs="Times New Roman"/>
        </w:rPr>
      </w:pPr>
      <w:r w:rsidRPr="0003327E">
        <w:rPr>
          <w:rStyle w:val="FootnoteReference"/>
          <w:rFonts w:ascii="Times New Roman" w:hAnsi="Times New Roman" w:cs="Times New Roman"/>
        </w:rPr>
        <w:footnoteRef/>
      </w:r>
      <w:r w:rsidRPr="0003327E">
        <w:rPr>
          <w:rFonts w:ascii="Times New Roman" w:hAnsi="Times New Roman" w:cs="Times New Roman"/>
        </w:rPr>
        <w:t xml:space="preserve"> Ibid.</w:t>
      </w:r>
    </w:p>
  </w:footnote>
  <w:footnote w:id="8">
    <w:p w14:paraId="6DE498CC" w14:textId="295EA149" w:rsidR="00B60F59" w:rsidRDefault="00B60F59">
      <w:pPr>
        <w:pStyle w:val="FootnoteText"/>
      </w:pPr>
      <w:r w:rsidRPr="0003327E">
        <w:rPr>
          <w:rStyle w:val="FootnoteReference"/>
          <w:rFonts w:ascii="Times New Roman" w:hAnsi="Times New Roman" w:cs="Times New Roman"/>
        </w:rPr>
        <w:footnoteRef/>
      </w:r>
      <w:r w:rsidRPr="0003327E">
        <w:rPr>
          <w:rFonts w:ascii="Times New Roman" w:hAnsi="Times New Roman" w:cs="Times New Roman"/>
        </w:rPr>
        <w:t xml:space="preserve"> </w:t>
      </w:r>
      <w:r w:rsidRPr="0003327E">
        <w:rPr>
          <w:rFonts w:ascii="Times New Roman" w:hAnsi="Times New Roman" w:cs="Times New Roman"/>
          <w:i/>
        </w:rPr>
        <w:t>Employment Division, Department of Human Resources of Oregon vs. Smith</w:t>
      </w:r>
      <w:r w:rsidRPr="0003327E">
        <w:rPr>
          <w:rFonts w:ascii="Times New Roman" w:hAnsi="Times New Roman" w:cs="Times New Roman"/>
        </w:rPr>
        <w:t>, 494 U.S. 872 (1990).</w:t>
      </w:r>
    </w:p>
  </w:footnote>
  <w:footnote w:id="9">
    <w:p w14:paraId="63859560" w14:textId="4338EEAD" w:rsidR="00B60F59" w:rsidRPr="007A0920" w:rsidRDefault="00B60F59">
      <w:pPr>
        <w:pStyle w:val="FootnoteText"/>
        <w:rPr>
          <w:rFonts w:ascii="Times New Roman" w:hAnsi="Times New Roman" w:cs="Times New Roman"/>
        </w:rPr>
      </w:pPr>
      <w:r w:rsidRPr="000474BB">
        <w:rPr>
          <w:rStyle w:val="FootnoteReference"/>
          <w:rFonts w:ascii="Times New Roman" w:hAnsi="Times New Roman" w:cs="Times New Roman"/>
        </w:rPr>
        <w:footnoteRef/>
      </w:r>
      <w:r w:rsidRPr="000474BB">
        <w:rPr>
          <w:rFonts w:ascii="Times New Roman" w:hAnsi="Times New Roman" w:cs="Times New Roman"/>
        </w:rPr>
        <w:t xml:space="preserve"> </w:t>
      </w:r>
      <w:r w:rsidRPr="000474BB">
        <w:rPr>
          <w:rFonts w:ascii="Times New Roman" w:hAnsi="Times New Roman" w:cs="Times New Roman"/>
          <w:i/>
        </w:rPr>
        <w:t xml:space="preserve">Hosanna-Tabor </w:t>
      </w:r>
      <w:r w:rsidRPr="000474BB">
        <w:rPr>
          <w:rFonts w:ascii="Times New Roman" w:hAnsi="Times New Roman" w:cs="Times New Roman"/>
        </w:rPr>
        <w:t xml:space="preserve">(2012); </w:t>
      </w:r>
      <w:r w:rsidRPr="000474BB">
        <w:rPr>
          <w:rFonts w:ascii="Times New Roman" w:hAnsi="Times New Roman" w:cs="Times New Roman"/>
          <w:i/>
        </w:rPr>
        <w:t>Town of Greece v. Galloway</w:t>
      </w:r>
      <w:r w:rsidRPr="000474BB">
        <w:rPr>
          <w:rFonts w:ascii="Times New Roman" w:hAnsi="Times New Roman" w:cs="Times New Roman"/>
        </w:rPr>
        <w:t xml:space="preserve">, 572 U.S. </w:t>
      </w:r>
      <w:r w:rsidRPr="000474BB">
        <w:rPr>
          <w:rFonts w:ascii="Times New Roman" w:hAnsi="Times New Roman" w:cs="Times New Roman"/>
        </w:rPr>
        <w:softHyphen/>
      </w:r>
      <w:r w:rsidRPr="000474BB">
        <w:rPr>
          <w:rFonts w:ascii="Times New Roman" w:hAnsi="Times New Roman" w:cs="Times New Roman"/>
        </w:rPr>
        <w:softHyphen/>
      </w:r>
      <w:r w:rsidRPr="000474BB">
        <w:rPr>
          <w:rFonts w:ascii="Times New Roman" w:hAnsi="Times New Roman" w:cs="Times New Roman"/>
        </w:rPr>
        <w:softHyphen/>
        <w:t>___ (2014).</w:t>
      </w:r>
    </w:p>
  </w:footnote>
  <w:footnote w:id="10">
    <w:p w14:paraId="7339B3C2" w14:textId="77777777" w:rsidR="00B60F59" w:rsidRPr="0008552F" w:rsidRDefault="00B60F59">
      <w:pPr>
        <w:pStyle w:val="FootnoteText"/>
        <w:rPr>
          <w:rFonts w:ascii="Times New Roman" w:hAnsi="Times New Roman" w:cs="Times New Roman"/>
        </w:rPr>
      </w:pPr>
      <w:r w:rsidRPr="0008552F">
        <w:rPr>
          <w:rStyle w:val="FootnoteReference"/>
          <w:rFonts w:ascii="Times New Roman" w:hAnsi="Times New Roman" w:cs="Times New Roman"/>
        </w:rPr>
        <w:footnoteRef/>
      </w:r>
      <w:r w:rsidRPr="0008552F">
        <w:rPr>
          <w:rFonts w:ascii="Times New Roman" w:hAnsi="Times New Roman" w:cs="Times New Roman"/>
        </w:rPr>
        <w:t xml:space="preserve"> It is important to note that the Court actually upheld public funding for parochial school busing in this case. I only mean to suggest that anti-Catholicism was a strong organizing principle employed by groups like the ACLU and the </w:t>
      </w:r>
      <w:r>
        <w:rPr>
          <w:rFonts w:ascii="Times New Roman" w:hAnsi="Times New Roman" w:cs="Times New Roman"/>
        </w:rPr>
        <w:t>PO</w:t>
      </w:r>
      <w:r w:rsidRPr="0008552F">
        <w:rPr>
          <w:rFonts w:ascii="Times New Roman" w:hAnsi="Times New Roman" w:cs="Times New Roman"/>
        </w:rPr>
        <w:t>AU.</w:t>
      </w:r>
    </w:p>
  </w:footnote>
  <w:footnote w:id="11">
    <w:p w14:paraId="58F472E3" w14:textId="386F3D7A" w:rsidR="00B60F59" w:rsidRPr="001940A6" w:rsidRDefault="00B60F59">
      <w:pPr>
        <w:pStyle w:val="FootnoteText"/>
        <w:rPr>
          <w:rFonts w:ascii="Times New Roman" w:hAnsi="Times New Roman" w:cs="Times New Roman"/>
        </w:rPr>
      </w:pPr>
      <w:r w:rsidRPr="001940A6">
        <w:rPr>
          <w:rStyle w:val="FootnoteReference"/>
          <w:rFonts w:ascii="Times New Roman" w:hAnsi="Times New Roman" w:cs="Times New Roman"/>
        </w:rPr>
        <w:footnoteRef/>
      </w:r>
      <w:r w:rsidRPr="001940A6">
        <w:rPr>
          <w:rFonts w:ascii="Times New Roman" w:hAnsi="Times New Roman" w:cs="Times New Roman"/>
        </w:rPr>
        <w:t xml:space="preserve"> See Lisa </w:t>
      </w:r>
      <w:proofErr w:type="spellStart"/>
      <w:r w:rsidRPr="001940A6">
        <w:rPr>
          <w:rFonts w:ascii="Times New Roman" w:hAnsi="Times New Roman" w:cs="Times New Roman"/>
        </w:rPr>
        <w:t>McGirr</w:t>
      </w:r>
      <w:proofErr w:type="spellEnd"/>
      <w:r w:rsidRPr="001940A6">
        <w:rPr>
          <w:rFonts w:ascii="Times New Roman" w:hAnsi="Times New Roman" w:cs="Times New Roman"/>
        </w:rPr>
        <w:t xml:space="preserve">. 2002. </w:t>
      </w:r>
      <w:r w:rsidRPr="001940A6">
        <w:rPr>
          <w:rFonts w:ascii="Times New Roman" w:hAnsi="Times New Roman" w:cs="Times New Roman"/>
          <w:i/>
        </w:rPr>
        <w:t>Suburban Warriors: The Origins of the New American Right</w:t>
      </w:r>
      <w:r w:rsidRPr="001940A6">
        <w:rPr>
          <w:rFonts w:ascii="Times New Roman" w:hAnsi="Times New Roman" w:cs="Times New Roman"/>
        </w:rPr>
        <w:t xml:space="preserve"> (Princeton, NJ: Princeton University Press) for a historical analysis of the build-up to this moment in the 1980s.</w:t>
      </w:r>
    </w:p>
  </w:footnote>
  <w:footnote w:id="12">
    <w:p w14:paraId="5EF2D533" w14:textId="47F58C6C" w:rsidR="00B60F59" w:rsidRPr="008C626D" w:rsidRDefault="00B60F59">
      <w:pPr>
        <w:pStyle w:val="FootnoteText"/>
        <w:rPr>
          <w:rFonts w:ascii="Times New Roman" w:hAnsi="Times New Roman" w:cs="Times New Roman"/>
        </w:rPr>
      </w:pPr>
      <w:r w:rsidRPr="008C626D">
        <w:rPr>
          <w:rStyle w:val="FootnoteReference"/>
          <w:rFonts w:ascii="Times New Roman" w:hAnsi="Times New Roman" w:cs="Times New Roman"/>
        </w:rPr>
        <w:footnoteRef/>
      </w:r>
      <w:r w:rsidRPr="008C626D">
        <w:rPr>
          <w:rFonts w:ascii="Times New Roman" w:hAnsi="Times New Roman" w:cs="Times New Roman"/>
        </w:rPr>
        <w:t xml:space="preserve"> Hitchens (2009) opted for historical revisionism such as a pro-secular reading of Thomas Jefferson’s writings whereas Harris has made a </w:t>
      </w:r>
      <w:r>
        <w:rPr>
          <w:rFonts w:ascii="Times New Roman" w:hAnsi="Times New Roman" w:cs="Times New Roman"/>
        </w:rPr>
        <w:t xml:space="preserve">large part of his </w:t>
      </w:r>
      <w:r w:rsidRPr="008C626D">
        <w:rPr>
          <w:rFonts w:ascii="Times New Roman" w:hAnsi="Times New Roman" w:cs="Times New Roman"/>
        </w:rPr>
        <w:t xml:space="preserve">career around secular </w:t>
      </w:r>
      <w:r>
        <w:rPr>
          <w:rFonts w:ascii="Times New Roman" w:hAnsi="Times New Roman" w:cs="Times New Roman"/>
        </w:rPr>
        <w:t>critiques</w:t>
      </w:r>
      <w:r w:rsidRPr="008C626D">
        <w:rPr>
          <w:rFonts w:ascii="Times New Roman" w:hAnsi="Times New Roman" w:cs="Times New Roman"/>
        </w:rPr>
        <w:t xml:space="preserve"> of radical Islam.</w:t>
      </w:r>
    </w:p>
  </w:footnote>
  <w:footnote w:id="13">
    <w:p w14:paraId="07B218B5" w14:textId="77777777" w:rsidR="00B60F59" w:rsidRPr="001B72AC" w:rsidRDefault="00B60F59" w:rsidP="001D2D06">
      <w:pPr>
        <w:pStyle w:val="FootnoteText"/>
        <w:rPr>
          <w:rFonts w:asciiTheme="majorBidi" w:hAnsiTheme="majorBidi" w:cstheme="majorBidi"/>
        </w:rPr>
      </w:pPr>
      <w:r w:rsidRPr="001B72AC">
        <w:rPr>
          <w:rStyle w:val="FootnoteReference"/>
          <w:rFonts w:asciiTheme="majorBidi" w:hAnsiTheme="majorBidi" w:cstheme="majorBidi"/>
        </w:rPr>
        <w:footnoteRef/>
      </w:r>
      <w:r w:rsidRPr="001B72AC">
        <w:rPr>
          <w:rFonts w:asciiTheme="majorBidi" w:hAnsiTheme="majorBidi" w:cstheme="majorBidi"/>
        </w:rPr>
        <w:t xml:space="preserve"> The Pew Research Center’s Religion &amp; Public Life Project reports that less than 6% of Americans identify as atheists or agnostics. Interestingly, however, almost 14% choose to identify as “Nothing in particular.” While this identification has been interpreted in a variety of ways—Putnam and Campbell (2012) explain the “</w:t>
      </w:r>
      <w:proofErr w:type="spellStart"/>
      <w:r w:rsidRPr="001B72AC">
        <w:rPr>
          <w:rFonts w:asciiTheme="majorBidi" w:hAnsiTheme="majorBidi" w:cstheme="majorBidi"/>
        </w:rPr>
        <w:t>nones</w:t>
      </w:r>
      <w:proofErr w:type="spellEnd"/>
      <w:r w:rsidRPr="001B72AC">
        <w:rPr>
          <w:rFonts w:asciiTheme="majorBidi" w:hAnsiTheme="majorBidi" w:cstheme="majorBidi"/>
        </w:rPr>
        <w:t>” as those respondents who link institutionalized religion to the Republican Party and other conservative political entities—there has yet to be a broad consensus on what this category is actually measuring (Retrieved from http://www.pewresearch.org/fact-tank/2013/10/23/5-facts-about-atheists/).</w:t>
      </w:r>
    </w:p>
  </w:footnote>
  <w:footnote w:id="14">
    <w:p w14:paraId="566A9BB6" w14:textId="77777777" w:rsidR="00B60F59" w:rsidRPr="001B72AC" w:rsidRDefault="00B60F59" w:rsidP="00CE10B4">
      <w:pPr>
        <w:pStyle w:val="FootnoteText"/>
      </w:pPr>
      <w:r w:rsidRPr="001B72AC">
        <w:rPr>
          <w:rStyle w:val="FootnoteReference"/>
          <w:rFonts w:asciiTheme="majorBidi" w:hAnsiTheme="majorBidi" w:cstheme="majorBidi"/>
        </w:rPr>
        <w:footnoteRef/>
      </w:r>
      <w:r w:rsidRPr="001B72AC">
        <w:rPr>
          <w:rFonts w:asciiTheme="majorBidi" w:hAnsiTheme="majorBidi" w:cstheme="majorBidi"/>
        </w:rPr>
        <w:t xml:space="preserve"> The most notable of these </w:t>
      </w:r>
      <w:r>
        <w:rPr>
          <w:rFonts w:asciiTheme="majorBidi" w:hAnsiTheme="majorBidi" w:cstheme="majorBidi"/>
        </w:rPr>
        <w:t xml:space="preserve">leaders and their </w:t>
      </w:r>
      <w:r w:rsidRPr="001B72AC">
        <w:rPr>
          <w:rFonts w:asciiTheme="majorBidi" w:hAnsiTheme="majorBidi" w:cstheme="majorBidi"/>
        </w:rPr>
        <w:t xml:space="preserve">books include Richard Dawkins’s </w:t>
      </w:r>
      <w:r w:rsidRPr="001B72AC">
        <w:rPr>
          <w:rFonts w:asciiTheme="majorBidi" w:hAnsiTheme="majorBidi" w:cstheme="majorBidi"/>
          <w:i/>
          <w:iCs/>
        </w:rPr>
        <w:t xml:space="preserve">The God Delusion </w:t>
      </w:r>
      <w:r w:rsidRPr="001B72AC">
        <w:rPr>
          <w:rFonts w:asciiTheme="majorBidi" w:hAnsiTheme="majorBidi" w:cstheme="majorBidi"/>
        </w:rPr>
        <w:t xml:space="preserve">(2006), Christopher Hitchens’s </w:t>
      </w:r>
      <w:r w:rsidRPr="001B72AC">
        <w:rPr>
          <w:rFonts w:asciiTheme="majorBidi" w:hAnsiTheme="majorBidi" w:cstheme="majorBidi"/>
          <w:i/>
          <w:iCs/>
        </w:rPr>
        <w:t xml:space="preserve">god is Not Great </w:t>
      </w:r>
      <w:r>
        <w:rPr>
          <w:rFonts w:asciiTheme="majorBidi" w:hAnsiTheme="majorBidi" w:cstheme="majorBidi"/>
        </w:rPr>
        <w:t>(2007)</w:t>
      </w:r>
      <w:r w:rsidRPr="001B72AC">
        <w:rPr>
          <w:rFonts w:asciiTheme="majorBidi" w:hAnsiTheme="majorBidi" w:cstheme="majorBidi"/>
        </w:rPr>
        <w:t xml:space="preserve">, Sam Harris’s </w:t>
      </w:r>
      <w:r w:rsidRPr="001B72AC">
        <w:rPr>
          <w:rFonts w:asciiTheme="majorBidi" w:hAnsiTheme="majorBidi" w:cstheme="majorBidi"/>
          <w:i/>
          <w:iCs/>
        </w:rPr>
        <w:t>End of Faith</w:t>
      </w:r>
      <w:r w:rsidRPr="001B72AC">
        <w:rPr>
          <w:rFonts w:asciiTheme="majorBidi" w:hAnsiTheme="majorBidi" w:cstheme="majorBidi"/>
        </w:rPr>
        <w:t xml:space="preserve"> (200</w:t>
      </w:r>
      <w:r>
        <w:rPr>
          <w:rFonts w:asciiTheme="majorBidi" w:hAnsiTheme="majorBidi" w:cstheme="majorBidi"/>
        </w:rPr>
        <w:t>5</w:t>
      </w:r>
      <w:r w:rsidRPr="001B72AC">
        <w:rPr>
          <w:rFonts w:asciiTheme="majorBidi" w:hAnsiTheme="majorBidi" w:cstheme="majorBidi"/>
        </w:rPr>
        <w:t xml:space="preserve">), and Daniel Dennett’s </w:t>
      </w:r>
      <w:proofErr w:type="gramStart"/>
      <w:r>
        <w:rPr>
          <w:rFonts w:asciiTheme="majorBidi" w:hAnsiTheme="majorBidi" w:cstheme="majorBidi"/>
          <w:i/>
          <w:iCs/>
        </w:rPr>
        <w:t>Breaking</w:t>
      </w:r>
      <w:proofErr w:type="gramEnd"/>
      <w:r>
        <w:rPr>
          <w:rFonts w:asciiTheme="majorBidi" w:hAnsiTheme="majorBidi" w:cstheme="majorBidi"/>
          <w:i/>
          <w:iCs/>
        </w:rPr>
        <w:t xml:space="preserve"> the S</w:t>
      </w:r>
      <w:r w:rsidRPr="001B72AC">
        <w:rPr>
          <w:rFonts w:asciiTheme="majorBidi" w:hAnsiTheme="majorBidi" w:cstheme="majorBidi"/>
          <w:i/>
          <w:iCs/>
        </w:rPr>
        <w:t xml:space="preserve">pell: Religion as a Natural Phenomenon </w:t>
      </w:r>
      <w:r w:rsidRPr="001B72AC">
        <w:rPr>
          <w:rFonts w:asciiTheme="majorBidi" w:hAnsiTheme="majorBidi" w:cstheme="majorBidi"/>
        </w:rPr>
        <w:t>(2007).</w:t>
      </w:r>
    </w:p>
  </w:footnote>
  <w:footnote w:id="15">
    <w:p w14:paraId="62F2BEB3" w14:textId="5FEC4B59" w:rsidR="006716D2" w:rsidRPr="006716D2" w:rsidRDefault="006716D2">
      <w:pPr>
        <w:pStyle w:val="FootnoteText"/>
        <w:rPr>
          <w:rFonts w:ascii="Times New Roman" w:hAnsi="Times New Roman" w:cs="Times New Roman"/>
        </w:rPr>
      </w:pPr>
      <w:r w:rsidRPr="006716D2">
        <w:rPr>
          <w:rStyle w:val="FootnoteReference"/>
          <w:rFonts w:ascii="Times New Roman" w:hAnsi="Times New Roman" w:cs="Times New Roman"/>
        </w:rPr>
        <w:footnoteRef/>
      </w:r>
      <w:r w:rsidRPr="006716D2">
        <w:rPr>
          <w:rFonts w:ascii="Times New Roman" w:hAnsi="Times New Roman" w:cs="Times New Roman"/>
        </w:rPr>
        <w:t xml:space="preserve"> The American Atheists run the Godless Americans Political Action Committee. The Secular Coalition for America has announced plans to start a PAC in 2015.</w:t>
      </w:r>
    </w:p>
  </w:footnote>
  <w:footnote w:id="16">
    <w:p w14:paraId="504001AC" w14:textId="2314E415" w:rsidR="00D314D8" w:rsidRPr="000A10E2" w:rsidRDefault="00D314D8">
      <w:pPr>
        <w:pStyle w:val="FootnoteText"/>
        <w:rPr>
          <w:rFonts w:ascii="Times New Roman" w:hAnsi="Times New Roman" w:cs="Times New Roman"/>
        </w:rPr>
      </w:pPr>
      <w:r w:rsidRPr="000A10E2">
        <w:rPr>
          <w:rStyle w:val="FootnoteReference"/>
          <w:rFonts w:ascii="Times New Roman" w:hAnsi="Times New Roman" w:cs="Times New Roman"/>
        </w:rPr>
        <w:footnoteRef/>
      </w:r>
      <w:r w:rsidRPr="000A10E2">
        <w:rPr>
          <w:rFonts w:ascii="Times New Roman" w:hAnsi="Times New Roman" w:cs="Times New Roman"/>
        </w:rPr>
        <w:t xml:space="preserve"> This opposition goes back to the 1943 </w:t>
      </w:r>
      <w:r w:rsidRPr="000A10E2">
        <w:rPr>
          <w:rFonts w:ascii="Times New Roman" w:hAnsi="Times New Roman" w:cs="Times New Roman"/>
          <w:i/>
        </w:rPr>
        <w:t>Barnette</w:t>
      </w:r>
      <w:r w:rsidRPr="000A10E2">
        <w:rPr>
          <w:rFonts w:ascii="Times New Roman" w:hAnsi="Times New Roman" w:cs="Times New Roman"/>
        </w:rPr>
        <w:t xml:space="preserve"> case and has been a guiding light for the ACLU </w:t>
      </w:r>
      <w:r w:rsidR="002835DC">
        <w:rPr>
          <w:rFonts w:ascii="Times New Roman" w:hAnsi="Times New Roman" w:cs="Times New Roman"/>
        </w:rPr>
        <w:t>as well as the</w:t>
      </w:r>
      <w:r w:rsidR="00663A4E" w:rsidRPr="000A10E2">
        <w:rPr>
          <w:rFonts w:ascii="Times New Roman" w:hAnsi="Times New Roman" w:cs="Times New Roman"/>
        </w:rPr>
        <w:t xml:space="preserve"> AU </w:t>
      </w:r>
      <w:r w:rsidRPr="000A10E2">
        <w:rPr>
          <w:rFonts w:ascii="Times New Roman" w:hAnsi="Times New Roman" w:cs="Times New Roman"/>
        </w:rPr>
        <w:t xml:space="preserve">since (see </w:t>
      </w:r>
      <w:r w:rsidR="00663A4E" w:rsidRPr="000A10E2">
        <w:rPr>
          <w:rFonts w:ascii="Times New Roman" w:hAnsi="Times New Roman" w:cs="Times New Roman"/>
        </w:rPr>
        <w:t>https://www.aclu.org/religion-belief/aclu-calls-supreme-court-ruling-vouchers-bad-education-bad-religious-freedom and https://www.au.org/our-work/legal/lawsuits/freedom-from-religion-foundation-v-mccallum</w:t>
      </w:r>
      <w:r w:rsidRPr="000A10E2">
        <w:rPr>
          <w:rFonts w:ascii="Times New Roman" w:hAnsi="Times New Roman" w:cs="Times New Roman"/>
        </w:rPr>
        <w:t xml:space="preserve"> for more contemporary example</w:t>
      </w:r>
      <w:r w:rsidR="00663A4E" w:rsidRPr="000A10E2">
        <w:rPr>
          <w:rFonts w:ascii="Times New Roman" w:hAnsi="Times New Roman" w:cs="Times New Roman"/>
        </w:rPr>
        <w:t>s</w:t>
      </w:r>
      <w:r w:rsidRPr="000A10E2">
        <w:rPr>
          <w:rFonts w:ascii="Times New Roman" w:hAnsi="Times New Roman" w:cs="Times New Roman"/>
        </w:rPr>
        <w:t xml:space="preserve"> of this rationale).</w:t>
      </w:r>
    </w:p>
  </w:footnote>
  <w:footnote w:id="17">
    <w:p w14:paraId="52E48BA7" w14:textId="77777777" w:rsidR="00B60F59" w:rsidRPr="00091456" w:rsidRDefault="00B60F59">
      <w:pPr>
        <w:pStyle w:val="FootnoteText"/>
        <w:contextualSpacing/>
        <w:rPr>
          <w:rFonts w:ascii="Times New Roman" w:hAnsi="Times New Roman" w:cs="Times New Roman"/>
        </w:rPr>
      </w:pPr>
      <w:r w:rsidRPr="00091456">
        <w:rPr>
          <w:rStyle w:val="FootnoteReference"/>
          <w:rFonts w:ascii="Times New Roman" w:hAnsi="Times New Roman" w:cs="Times New Roman"/>
        </w:rPr>
        <w:footnoteRef/>
      </w:r>
      <w:r w:rsidRPr="00091456">
        <w:rPr>
          <w:rFonts w:ascii="Times New Roman" w:hAnsi="Times New Roman" w:cs="Times New Roman"/>
        </w:rPr>
        <w:t xml:space="preserve"> See </w:t>
      </w:r>
      <w:r w:rsidRPr="00091456">
        <w:rPr>
          <w:rFonts w:ascii="Times New Roman" w:hAnsi="Times New Roman" w:cs="Times New Roman"/>
          <w:i/>
          <w:iCs/>
          <w:color w:val="000000"/>
          <w:shd w:val="clear" w:color="auto" w:fill="FFFFFF"/>
        </w:rPr>
        <w:t>Lynch v. Donnelly</w:t>
      </w:r>
      <w:r w:rsidRPr="00091456">
        <w:rPr>
          <w:rFonts w:ascii="Times New Roman" w:hAnsi="Times New Roman" w:cs="Times New Roman"/>
          <w:color w:val="000000"/>
          <w:shd w:val="clear" w:color="auto" w:fill="FFFFFF"/>
        </w:rPr>
        <w:t>,</w:t>
      </w:r>
      <w:r w:rsidRPr="00091456">
        <w:rPr>
          <w:rStyle w:val="apple-converted-space"/>
          <w:rFonts w:ascii="Times New Roman" w:hAnsi="Times New Roman" w:cs="Times New Roman"/>
          <w:color w:val="000000"/>
          <w:shd w:val="clear" w:color="auto" w:fill="FFFFFF"/>
        </w:rPr>
        <w:t> </w:t>
      </w:r>
      <w:r w:rsidRPr="00091456">
        <w:rPr>
          <w:rFonts w:ascii="Times New Roman" w:hAnsi="Times New Roman" w:cs="Times New Roman"/>
          <w:shd w:val="clear" w:color="auto" w:fill="FFFFFF"/>
        </w:rPr>
        <w:t>465 U.S. 668</w:t>
      </w:r>
      <w:r w:rsidRPr="00091456">
        <w:rPr>
          <w:rStyle w:val="apple-converted-space"/>
          <w:rFonts w:ascii="Times New Roman" w:hAnsi="Times New Roman" w:cs="Times New Roman"/>
          <w:color w:val="000000"/>
          <w:shd w:val="clear" w:color="auto" w:fill="FFFFFF"/>
        </w:rPr>
        <w:t> </w:t>
      </w:r>
      <w:r w:rsidRPr="00091456">
        <w:rPr>
          <w:rFonts w:ascii="Times New Roman" w:hAnsi="Times New Roman" w:cs="Times New Roman"/>
          <w:color w:val="000000"/>
          <w:shd w:val="clear" w:color="auto" w:fill="FFFFFF"/>
        </w:rPr>
        <w:t xml:space="preserve">(1984), </w:t>
      </w:r>
      <w:r w:rsidRPr="00091456">
        <w:rPr>
          <w:rFonts w:ascii="Times New Roman" w:hAnsi="Times New Roman" w:cs="Times New Roman"/>
          <w:i/>
          <w:iCs/>
          <w:color w:val="000000"/>
          <w:shd w:val="clear" w:color="auto" w:fill="FFFFFF"/>
        </w:rPr>
        <w:t>County of Allegheny v. American Civil Liberties Union</w:t>
      </w:r>
      <w:r w:rsidRPr="00091456">
        <w:rPr>
          <w:rFonts w:ascii="Times New Roman" w:hAnsi="Times New Roman" w:cs="Times New Roman"/>
          <w:color w:val="000000"/>
          <w:shd w:val="clear" w:color="auto" w:fill="FFFFFF"/>
        </w:rPr>
        <w:t>,</w:t>
      </w:r>
      <w:r w:rsidRPr="00091456">
        <w:rPr>
          <w:rStyle w:val="apple-converted-space"/>
          <w:rFonts w:ascii="Times New Roman" w:hAnsi="Times New Roman" w:cs="Times New Roman"/>
          <w:color w:val="000000"/>
          <w:shd w:val="clear" w:color="auto" w:fill="FFFFFF"/>
        </w:rPr>
        <w:t> </w:t>
      </w:r>
      <w:r w:rsidRPr="00091456">
        <w:rPr>
          <w:rFonts w:ascii="Times New Roman" w:hAnsi="Times New Roman" w:cs="Times New Roman"/>
          <w:shd w:val="clear" w:color="auto" w:fill="FFFFFF"/>
        </w:rPr>
        <w:t>492 U.S. 573</w:t>
      </w:r>
      <w:r w:rsidRPr="00091456">
        <w:rPr>
          <w:rStyle w:val="apple-converted-space"/>
          <w:rFonts w:ascii="Times New Roman" w:hAnsi="Times New Roman" w:cs="Times New Roman"/>
          <w:color w:val="000000"/>
          <w:shd w:val="clear" w:color="auto" w:fill="FFFFFF"/>
        </w:rPr>
        <w:t> </w:t>
      </w:r>
      <w:r w:rsidRPr="00091456">
        <w:rPr>
          <w:rFonts w:ascii="Times New Roman" w:hAnsi="Times New Roman" w:cs="Times New Roman"/>
          <w:color w:val="000000"/>
          <w:shd w:val="clear" w:color="auto" w:fill="FFFFFF"/>
        </w:rPr>
        <w:t>(1989).</w:t>
      </w:r>
    </w:p>
  </w:footnote>
  <w:footnote w:id="18">
    <w:p w14:paraId="24CE6D25" w14:textId="17D21D58" w:rsidR="00B60F59" w:rsidRPr="00C50BEF" w:rsidRDefault="00B60F59">
      <w:pPr>
        <w:pStyle w:val="FootnoteText"/>
        <w:rPr>
          <w:rFonts w:ascii="Times New Roman" w:hAnsi="Times New Roman" w:cs="Times New Roman"/>
        </w:rPr>
      </w:pPr>
      <w:r w:rsidRPr="00C50BEF">
        <w:rPr>
          <w:rStyle w:val="FootnoteReference"/>
          <w:rFonts w:ascii="Times New Roman" w:hAnsi="Times New Roman" w:cs="Times New Roman"/>
        </w:rPr>
        <w:footnoteRef/>
      </w:r>
      <w:r w:rsidRPr="00C50BEF">
        <w:rPr>
          <w:rFonts w:ascii="Times New Roman" w:hAnsi="Times New Roman" w:cs="Times New Roman"/>
        </w:rPr>
        <w:t xml:space="preserve"> For this reason, the ACLU chose to represent Elliot </w:t>
      </w:r>
      <w:proofErr w:type="spellStart"/>
      <w:r w:rsidRPr="00C50BEF">
        <w:rPr>
          <w:rFonts w:ascii="Times New Roman" w:hAnsi="Times New Roman" w:cs="Times New Roman"/>
        </w:rPr>
        <w:t>Schempp</w:t>
      </w:r>
      <w:proofErr w:type="spellEnd"/>
      <w:r w:rsidRPr="00C50BEF">
        <w:rPr>
          <w:rFonts w:ascii="Times New Roman" w:hAnsi="Times New Roman" w:cs="Times New Roman"/>
        </w:rPr>
        <w:t xml:space="preserve"> and turned down the O’Hair family’s request for representation in </w:t>
      </w:r>
      <w:r w:rsidRPr="00C50BEF">
        <w:rPr>
          <w:rFonts w:ascii="Times New Roman" w:hAnsi="Times New Roman" w:cs="Times New Roman"/>
          <w:i/>
          <w:iCs/>
          <w:color w:val="000000"/>
          <w:shd w:val="clear" w:color="auto" w:fill="FFFFFF"/>
        </w:rPr>
        <w:t xml:space="preserve">Abington School District v. </w:t>
      </w:r>
      <w:proofErr w:type="spellStart"/>
      <w:r w:rsidRPr="00C50BEF">
        <w:rPr>
          <w:rFonts w:ascii="Times New Roman" w:hAnsi="Times New Roman" w:cs="Times New Roman"/>
          <w:i/>
          <w:iCs/>
          <w:color w:val="000000"/>
          <w:shd w:val="clear" w:color="auto" w:fill="FFFFFF"/>
        </w:rPr>
        <w:t>Schempp</w:t>
      </w:r>
      <w:proofErr w:type="spellEnd"/>
      <w:r w:rsidRPr="00C50BEF">
        <w:rPr>
          <w:rFonts w:ascii="Times New Roman" w:hAnsi="Times New Roman" w:cs="Times New Roman"/>
          <w:color w:val="000000"/>
          <w:shd w:val="clear" w:color="auto" w:fill="FFFFFF"/>
        </w:rPr>
        <w:t>,</w:t>
      </w:r>
      <w:r w:rsidRPr="00C50BEF">
        <w:rPr>
          <w:rStyle w:val="apple-converted-space"/>
          <w:rFonts w:ascii="Times New Roman" w:hAnsi="Times New Roman" w:cs="Times New Roman"/>
          <w:color w:val="000000"/>
          <w:shd w:val="clear" w:color="auto" w:fill="FFFFFF"/>
        </w:rPr>
        <w:t> </w:t>
      </w:r>
      <w:r w:rsidRPr="00C50BEF">
        <w:rPr>
          <w:rFonts w:ascii="Times New Roman" w:hAnsi="Times New Roman" w:cs="Times New Roman"/>
          <w:shd w:val="clear" w:color="auto" w:fill="FFFFFF"/>
        </w:rPr>
        <w:t>374 U.S. 203</w:t>
      </w:r>
      <w:r w:rsidRPr="00C50BEF">
        <w:rPr>
          <w:rStyle w:val="apple-converted-space"/>
          <w:rFonts w:ascii="Times New Roman" w:hAnsi="Times New Roman" w:cs="Times New Roman"/>
          <w:color w:val="000000"/>
          <w:shd w:val="clear" w:color="auto" w:fill="FFFFFF"/>
        </w:rPr>
        <w:t> </w:t>
      </w:r>
      <w:r w:rsidRPr="00C50BEF">
        <w:rPr>
          <w:rFonts w:ascii="Times New Roman" w:hAnsi="Times New Roman" w:cs="Times New Roman"/>
          <w:color w:val="000000"/>
          <w:shd w:val="clear" w:color="auto" w:fill="FFFFFF"/>
        </w:rPr>
        <w:t>(1963).</w:t>
      </w:r>
      <w:r w:rsidR="009F5B52">
        <w:rPr>
          <w:rFonts w:ascii="Times New Roman" w:hAnsi="Times New Roman" w:cs="Times New Roman"/>
          <w:color w:val="000000"/>
          <w:shd w:val="clear" w:color="auto" w:fill="FFFFFF"/>
        </w:rPr>
        <w:t xml:space="preserve"> The Supreme Court combined these cases upon cert.</w:t>
      </w:r>
    </w:p>
  </w:footnote>
  <w:footnote w:id="19">
    <w:p w14:paraId="1E3DF85D" w14:textId="77777777" w:rsidR="00B60F59" w:rsidRPr="00E8336C" w:rsidRDefault="00B60F59">
      <w:pPr>
        <w:pStyle w:val="FootnoteText"/>
        <w:rPr>
          <w:rFonts w:ascii="Times New Roman" w:hAnsi="Times New Roman" w:cs="Times New Roman"/>
        </w:rPr>
      </w:pPr>
      <w:r w:rsidRPr="00E8336C">
        <w:rPr>
          <w:rStyle w:val="FootnoteReference"/>
          <w:rFonts w:ascii="Times New Roman" w:hAnsi="Times New Roman" w:cs="Times New Roman"/>
        </w:rPr>
        <w:footnoteRef/>
      </w:r>
      <w:r w:rsidRPr="00E8336C">
        <w:rPr>
          <w:rFonts w:ascii="Times New Roman" w:hAnsi="Times New Roman" w:cs="Times New Roman"/>
        </w:rPr>
        <w:t xml:space="preserve"> This case was actually litigated and decided as a government speech issue, therefore falling under free speech jurisprudence. </w:t>
      </w:r>
    </w:p>
  </w:footnote>
  <w:footnote w:id="20">
    <w:p w14:paraId="4A6DCC0B" w14:textId="77777777" w:rsidR="00B60F59" w:rsidRPr="00E31E0D" w:rsidRDefault="00B60F59">
      <w:pPr>
        <w:pStyle w:val="FootnoteText"/>
        <w:rPr>
          <w:rFonts w:ascii="Times New Roman" w:hAnsi="Times New Roman" w:cs="Times New Roman"/>
        </w:rPr>
      </w:pPr>
      <w:r w:rsidRPr="00E31E0D">
        <w:rPr>
          <w:rStyle w:val="FootnoteReference"/>
          <w:rFonts w:ascii="Times New Roman" w:hAnsi="Times New Roman" w:cs="Times New Roman"/>
        </w:rPr>
        <w:footnoteRef/>
      </w:r>
      <w:r w:rsidRPr="00E31E0D">
        <w:rPr>
          <w:rFonts w:ascii="Times New Roman" w:hAnsi="Times New Roman" w:cs="Times New Roman"/>
        </w:rPr>
        <w:t xml:space="preserve"> </w:t>
      </w:r>
      <w:r w:rsidRPr="00E31E0D">
        <w:rPr>
          <w:rStyle w:val="Emphasis"/>
          <w:rFonts w:ascii="Times New Roman" w:hAnsi="Times New Roman" w:cs="Times New Roman"/>
        </w:rPr>
        <w:t>United States v</w:t>
      </w:r>
      <w:r w:rsidRPr="00E31E0D">
        <w:rPr>
          <w:rStyle w:val="st"/>
          <w:rFonts w:ascii="Times New Roman" w:hAnsi="Times New Roman" w:cs="Times New Roman"/>
        </w:rPr>
        <w:t xml:space="preserve">. </w:t>
      </w:r>
      <w:r w:rsidRPr="00E31E0D">
        <w:rPr>
          <w:rStyle w:val="Emphasis"/>
          <w:rFonts w:ascii="Times New Roman" w:hAnsi="Times New Roman" w:cs="Times New Roman"/>
        </w:rPr>
        <w:t>Ballard</w:t>
      </w:r>
      <w:r>
        <w:rPr>
          <w:rStyle w:val="st"/>
          <w:rFonts w:ascii="Times New Roman" w:hAnsi="Times New Roman" w:cs="Times New Roman"/>
        </w:rPr>
        <w:t>, 322 U.S. 78 (1944), although a free exercise decision, nonetheless established the precedent that the Court must look beyond more traditional ideas of religious faiths when deciding what constitutes a religious belief.</w:t>
      </w:r>
    </w:p>
  </w:footnote>
  <w:footnote w:id="21">
    <w:p w14:paraId="7139AE0A" w14:textId="77777777" w:rsidR="00B60F59" w:rsidRPr="00E31E0D" w:rsidRDefault="00B60F59">
      <w:pPr>
        <w:pStyle w:val="FootnoteText"/>
      </w:pPr>
      <w:r w:rsidRPr="00E31E0D">
        <w:rPr>
          <w:rStyle w:val="FootnoteReference"/>
          <w:rFonts w:ascii="Times New Roman" w:hAnsi="Times New Roman" w:cs="Times New Roman"/>
        </w:rPr>
        <w:footnoteRef/>
      </w:r>
      <w:r w:rsidRPr="00E31E0D">
        <w:rPr>
          <w:rFonts w:ascii="Times New Roman" w:hAnsi="Times New Roman" w:cs="Times New Roman"/>
        </w:rPr>
        <w:t xml:space="preserve"> The AU’s brief cited </w:t>
      </w:r>
      <w:r>
        <w:rPr>
          <w:rFonts w:ascii="Times New Roman" w:hAnsi="Times New Roman" w:cs="Times New Roman"/>
        </w:rPr>
        <w:t>nonsectarian</w:t>
      </w:r>
      <w:r w:rsidRPr="00E31E0D">
        <w:rPr>
          <w:rFonts w:ascii="Times New Roman" w:hAnsi="Times New Roman" w:cs="Times New Roman"/>
        </w:rPr>
        <w:t xml:space="preserve"> cases such as </w:t>
      </w:r>
      <w:proofErr w:type="spellStart"/>
      <w:r w:rsidRPr="00E31E0D">
        <w:rPr>
          <w:rFonts w:ascii="Times New Roman" w:hAnsi="Times New Roman" w:cs="Times New Roman"/>
          <w:i/>
        </w:rPr>
        <w:t>Schempp</w:t>
      </w:r>
      <w:proofErr w:type="spellEnd"/>
      <w:r w:rsidRPr="00E31E0D">
        <w:rPr>
          <w:rFonts w:ascii="Times New Roman" w:hAnsi="Times New Roman" w:cs="Times New Roman"/>
        </w:rPr>
        <w:t xml:space="preserve">, </w:t>
      </w:r>
      <w:r w:rsidRPr="00E31E0D">
        <w:rPr>
          <w:rFonts w:ascii="Times New Roman" w:hAnsi="Times New Roman" w:cs="Times New Roman"/>
          <w:i/>
        </w:rPr>
        <w:t xml:space="preserve">Zorach v. </w:t>
      </w:r>
      <w:proofErr w:type="spellStart"/>
      <w:r w:rsidRPr="00E31E0D">
        <w:rPr>
          <w:rFonts w:ascii="Times New Roman" w:hAnsi="Times New Roman" w:cs="Times New Roman"/>
          <w:i/>
        </w:rPr>
        <w:t>Clauso</w:t>
      </w:r>
      <w:r w:rsidRPr="00E31E0D">
        <w:rPr>
          <w:rFonts w:ascii="Times New Roman" w:hAnsi="Times New Roman" w:cs="Times New Roman"/>
        </w:rPr>
        <w:t>n</w:t>
      </w:r>
      <w:proofErr w:type="spellEnd"/>
      <w:r w:rsidRPr="00E31E0D">
        <w:rPr>
          <w:rFonts w:ascii="Times New Roman" w:hAnsi="Times New Roman" w:cs="Times New Roman"/>
        </w:rPr>
        <w:t xml:space="preserve">, 343 U.S. 306 (1952), and </w:t>
      </w:r>
      <w:r w:rsidRPr="00E31E0D">
        <w:rPr>
          <w:rFonts w:ascii="Times New Roman" w:hAnsi="Times New Roman" w:cs="Times New Roman"/>
          <w:i/>
        </w:rPr>
        <w:t>Santa Fe Independent School Dist. v. Doe</w:t>
      </w:r>
      <w:r w:rsidRPr="00E31E0D">
        <w:rPr>
          <w:rFonts w:ascii="Times New Roman" w:hAnsi="Times New Roman" w:cs="Times New Roman"/>
        </w:rPr>
        <w:t>, 530 U.S. 290 (2000) among others.</w:t>
      </w:r>
    </w:p>
  </w:footnote>
  <w:footnote w:id="22">
    <w:p w14:paraId="6AF973B6" w14:textId="77777777" w:rsidR="00264CF2" w:rsidRPr="00334C32" w:rsidRDefault="00264CF2" w:rsidP="00264CF2">
      <w:pPr>
        <w:pStyle w:val="FootnoteText"/>
        <w:rPr>
          <w:rFonts w:ascii="Times New Roman" w:hAnsi="Times New Roman" w:cs="Times New Roman"/>
        </w:rPr>
      </w:pPr>
      <w:r w:rsidRPr="00334C32">
        <w:rPr>
          <w:rStyle w:val="FootnoteReference"/>
          <w:rFonts w:ascii="Times New Roman" w:hAnsi="Times New Roman" w:cs="Times New Roman"/>
        </w:rPr>
        <w:footnoteRef/>
      </w:r>
      <w:r w:rsidRPr="00334C32">
        <w:rPr>
          <w:rFonts w:ascii="Times New Roman" w:hAnsi="Times New Roman" w:cs="Times New Roman"/>
        </w:rPr>
        <w:t xml:space="preserve"> </w:t>
      </w:r>
      <w:r w:rsidRPr="00334C32">
        <w:rPr>
          <w:rFonts w:ascii="Times New Roman" w:hAnsi="Times New Roman" w:cs="Times New Roman"/>
          <w:i/>
          <w:iCs/>
        </w:rPr>
        <w:t>Presbyterian Church in United States v. Mary Elizabeth Blue Hull Memorial Presbyterian Church</w:t>
      </w:r>
      <w:r w:rsidRPr="00334C32">
        <w:rPr>
          <w:rFonts w:ascii="Times New Roman" w:hAnsi="Times New Roman" w:cs="Times New Roman"/>
          <w:iCs/>
        </w:rPr>
        <w:t xml:space="preserve">, 393 U.S. 440 (1969); </w:t>
      </w:r>
      <w:r w:rsidRPr="00334C32">
        <w:rPr>
          <w:rFonts w:ascii="Times New Roman" w:hAnsi="Times New Roman" w:cs="Times New Roman"/>
          <w:i/>
          <w:iCs/>
        </w:rPr>
        <w:t xml:space="preserve">Ohio Civil Rights </w:t>
      </w:r>
      <w:proofErr w:type="spellStart"/>
      <w:r w:rsidRPr="00334C32">
        <w:rPr>
          <w:rFonts w:ascii="Times New Roman" w:hAnsi="Times New Roman" w:cs="Times New Roman"/>
          <w:i/>
          <w:iCs/>
        </w:rPr>
        <w:t>Comm’n</w:t>
      </w:r>
      <w:proofErr w:type="spellEnd"/>
      <w:r w:rsidRPr="00334C32">
        <w:rPr>
          <w:rFonts w:ascii="Times New Roman" w:hAnsi="Times New Roman" w:cs="Times New Roman"/>
          <w:i/>
          <w:iCs/>
        </w:rPr>
        <w:t xml:space="preserve"> v. Dayton Christian Sch., Inc.</w:t>
      </w:r>
      <w:r w:rsidRPr="00334C32">
        <w:rPr>
          <w:rFonts w:ascii="Times New Roman" w:hAnsi="Times New Roman" w:cs="Times New Roman"/>
          <w:iCs/>
        </w:rPr>
        <w:t>, 477 U.S. 619, 628 (1986).</w:t>
      </w:r>
    </w:p>
  </w:footnote>
  <w:footnote w:id="23">
    <w:p w14:paraId="7ED8FD6E" w14:textId="77777777" w:rsidR="00264CF2" w:rsidRPr="00706038" w:rsidRDefault="00264CF2" w:rsidP="00264CF2">
      <w:pPr>
        <w:pStyle w:val="FootnoteText"/>
        <w:rPr>
          <w:rFonts w:ascii="Times New Roman" w:hAnsi="Times New Roman" w:cs="Times New Roman"/>
        </w:rPr>
      </w:pPr>
      <w:r w:rsidRPr="00706038">
        <w:rPr>
          <w:rStyle w:val="FootnoteReference"/>
          <w:rFonts w:ascii="Times New Roman" w:hAnsi="Times New Roman" w:cs="Times New Roman"/>
        </w:rPr>
        <w:footnoteRef/>
      </w:r>
      <w:r w:rsidRPr="00706038">
        <w:rPr>
          <w:rFonts w:ascii="Times New Roman" w:hAnsi="Times New Roman" w:cs="Times New Roman"/>
        </w:rPr>
        <w:t xml:space="preserve"> It is true that in </w:t>
      </w:r>
      <w:r w:rsidRPr="00706038">
        <w:rPr>
          <w:rFonts w:ascii="Times New Roman" w:hAnsi="Times New Roman" w:cs="Times New Roman"/>
          <w:i/>
        </w:rPr>
        <w:t>Town of Greece</w:t>
      </w:r>
      <w:r w:rsidRPr="00706038">
        <w:rPr>
          <w:rFonts w:ascii="Times New Roman" w:hAnsi="Times New Roman" w:cs="Times New Roman"/>
        </w:rPr>
        <w:t xml:space="preserve"> new coalition organizations argued on behalf of minority religious rights but importantly that was in a moment in which the rights of atheists and other secularists were at issue as well. When juxtaposed to </w:t>
      </w:r>
      <w:r w:rsidRPr="00706038">
        <w:rPr>
          <w:rFonts w:ascii="Times New Roman" w:hAnsi="Times New Roman" w:cs="Times New Roman"/>
          <w:i/>
        </w:rPr>
        <w:t>Hobby Lobby</w:t>
      </w:r>
      <w:r w:rsidRPr="00706038">
        <w:rPr>
          <w:rFonts w:ascii="Times New Roman" w:hAnsi="Times New Roman" w:cs="Times New Roman"/>
        </w:rPr>
        <w:t xml:space="preserve">, </w:t>
      </w:r>
      <w:r w:rsidRPr="00706038">
        <w:rPr>
          <w:rFonts w:ascii="Times New Roman" w:hAnsi="Times New Roman" w:cs="Times New Roman"/>
          <w:i/>
        </w:rPr>
        <w:t>Town of Greece</w:t>
      </w:r>
      <w:r w:rsidRPr="00706038">
        <w:rPr>
          <w:rFonts w:ascii="Times New Roman" w:hAnsi="Times New Roman" w:cs="Times New Roman"/>
        </w:rPr>
        <w:t xml:space="preserve"> then seems to support the identity claim I have been trying to make: new coalition groups are most interested in allying with religious minority rights when the arguments overall buttress their own claims to identity.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1194664367"/>
      <w:docPartObj>
        <w:docPartGallery w:val="Page Numbers (Top of Page)"/>
        <w:docPartUnique/>
      </w:docPartObj>
    </w:sdtPr>
    <w:sdtEndPr>
      <w:rPr>
        <w:noProof/>
      </w:rPr>
    </w:sdtEndPr>
    <w:sdtContent>
      <w:p w14:paraId="25930D39" w14:textId="77777777" w:rsidR="00B60F59" w:rsidRPr="001216F6" w:rsidRDefault="00B60F59">
        <w:pPr>
          <w:pStyle w:val="Header"/>
          <w:jc w:val="right"/>
          <w:rPr>
            <w:rFonts w:asciiTheme="majorBidi" w:hAnsiTheme="majorBidi" w:cstheme="majorBidi"/>
            <w:sz w:val="24"/>
            <w:szCs w:val="24"/>
          </w:rPr>
        </w:pPr>
        <w:r>
          <w:rPr>
            <w:rFonts w:asciiTheme="majorBidi" w:hAnsiTheme="majorBidi" w:cstheme="majorBidi"/>
            <w:sz w:val="24"/>
            <w:szCs w:val="24"/>
          </w:rPr>
          <w:t xml:space="preserve">Joseph Wuest </w:t>
        </w:r>
        <w:r w:rsidRPr="001216F6">
          <w:rPr>
            <w:rFonts w:asciiTheme="majorBidi" w:hAnsiTheme="majorBidi" w:cstheme="majorBidi"/>
            <w:sz w:val="24"/>
            <w:szCs w:val="24"/>
          </w:rPr>
          <w:fldChar w:fldCharType="begin"/>
        </w:r>
        <w:r w:rsidRPr="001216F6">
          <w:rPr>
            <w:rFonts w:asciiTheme="majorBidi" w:hAnsiTheme="majorBidi" w:cstheme="majorBidi"/>
            <w:sz w:val="24"/>
            <w:szCs w:val="24"/>
          </w:rPr>
          <w:instrText xml:space="preserve"> PAGE   \* MERGEFORMAT </w:instrText>
        </w:r>
        <w:r w:rsidRPr="001216F6">
          <w:rPr>
            <w:rFonts w:asciiTheme="majorBidi" w:hAnsiTheme="majorBidi" w:cstheme="majorBidi"/>
            <w:sz w:val="24"/>
            <w:szCs w:val="24"/>
          </w:rPr>
          <w:fldChar w:fldCharType="separate"/>
        </w:r>
        <w:r w:rsidR="00F35642">
          <w:rPr>
            <w:rFonts w:asciiTheme="majorBidi" w:hAnsiTheme="majorBidi" w:cstheme="majorBidi"/>
            <w:noProof/>
            <w:sz w:val="24"/>
            <w:szCs w:val="24"/>
          </w:rPr>
          <w:t>40</w:t>
        </w:r>
        <w:r w:rsidRPr="001216F6">
          <w:rPr>
            <w:rFonts w:asciiTheme="majorBidi" w:hAnsiTheme="majorBidi" w:cstheme="majorBidi"/>
            <w:noProof/>
            <w:sz w:val="24"/>
            <w:szCs w:val="24"/>
          </w:rPr>
          <w:fldChar w:fldCharType="end"/>
        </w:r>
      </w:p>
    </w:sdtContent>
  </w:sdt>
  <w:p w14:paraId="156EF922" w14:textId="77777777" w:rsidR="00B60F59" w:rsidRDefault="00B60F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5F11"/>
    <w:multiLevelType w:val="hybridMultilevel"/>
    <w:tmpl w:val="AA840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24766"/>
    <w:multiLevelType w:val="hybridMultilevel"/>
    <w:tmpl w:val="D1E848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6300B"/>
    <w:multiLevelType w:val="hybridMultilevel"/>
    <w:tmpl w:val="4D34182A"/>
    <w:lvl w:ilvl="0" w:tplc="2D92830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8777C"/>
    <w:multiLevelType w:val="hybridMultilevel"/>
    <w:tmpl w:val="3594E99A"/>
    <w:lvl w:ilvl="0" w:tplc="57769D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273BD2"/>
    <w:multiLevelType w:val="hybridMultilevel"/>
    <w:tmpl w:val="FF2AA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A30500"/>
    <w:multiLevelType w:val="hybridMultilevel"/>
    <w:tmpl w:val="24FC5308"/>
    <w:lvl w:ilvl="0" w:tplc="6BC869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F6"/>
    <w:rsid w:val="00003D97"/>
    <w:rsid w:val="00004E73"/>
    <w:rsid w:val="00012824"/>
    <w:rsid w:val="00014FB4"/>
    <w:rsid w:val="00016142"/>
    <w:rsid w:val="000203E9"/>
    <w:rsid w:val="0002595B"/>
    <w:rsid w:val="00027F86"/>
    <w:rsid w:val="0003327E"/>
    <w:rsid w:val="00033A83"/>
    <w:rsid w:val="00033B2D"/>
    <w:rsid w:val="0003480E"/>
    <w:rsid w:val="000413E6"/>
    <w:rsid w:val="00041B65"/>
    <w:rsid w:val="00041C67"/>
    <w:rsid w:val="000429BB"/>
    <w:rsid w:val="00043DA9"/>
    <w:rsid w:val="0004519C"/>
    <w:rsid w:val="00045CF9"/>
    <w:rsid w:val="000473DE"/>
    <w:rsid w:val="000474BB"/>
    <w:rsid w:val="000506E3"/>
    <w:rsid w:val="00051A92"/>
    <w:rsid w:val="00053281"/>
    <w:rsid w:val="00053931"/>
    <w:rsid w:val="000550A8"/>
    <w:rsid w:val="00056E10"/>
    <w:rsid w:val="00057109"/>
    <w:rsid w:val="00062069"/>
    <w:rsid w:val="00062B01"/>
    <w:rsid w:val="00063A04"/>
    <w:rsid w:val="00071E60"/>
    <w:rsid w:val="0007545F"/>
    <w:rsid w:val="00076A91"/>
    <w:rsid w:val="0008552F"/>
    <w:rsid w:val="00085CAB"/>
    <w:rsid w:val="00091456"/>
    <w:rsid w:val="00092A41"/>
    <w:rsid w:val="000949FF"/>
    <w:rsid w:val="000A03C7"/>
    <w:rsid w:val="000A0990"/>
    <w:rsid w:val="000A0CA1"/>
    <w:rsid w:val="000A10E2"/>
    <w:rsid w:val="000A1B1E"/>
    <w:rsid w:val="000A3C73"/>
    <w:rsid w:val="000A4038"/>
    <w:rsid w:val="000A7541"/>
    <w:rsid w:val="000B24C5"/>
    <w:rsid w:val="000B38D4"/>
    <w:rsid w:val="000B4450"/>
    <w:rsid w:val="000B5B40"/>
    <w:rsid w:val="000B5DDE"/>
    <w:rsid w:val="000B6BAB"/>
    <w:rsid w:val="000B7850"/>
    <w:rsid w:val="000B7DB1"/>
    <w:rsid w:val="000C7307"/>
    <w:rsid w:val="000C7E85"/>
    <w:rsid w:val="000C7EDC"/>
    <w:rsid w:val="000D0099"/>
    <w:rsid w:val="000D117D"/>
    <w:rsid w:val="000E0F22"/>
    <w:rsid w:val="000E2DE8"/>
    <w:rsid w:val="000F1DE2"/>
    <w:rsid w:val="000F257F"/>
    <w:rsid w:val="000F32FB"/>
    <w:rsid w:val="000F330B"/>
    <w:rsid w:val="000F6970"/>
    <w:rsid w:val="001015BE"/>
    <w:rsid w:val="00102555"/>
    <w:rsid w:val="001027FE"/>
    <w:rsid w:val="00104839"/>
    <w:rsid w:val="001052D2"/>
    <w:rsid w:val="00106666"/>
    <w:rsid w:val="001118BD"/>
    <w:rsid w:val="001155CA"/>
    <w:rsid w:val="001216F6"/>
    <w:rsid w:val="0012300C"/>
    <w:rsid w:val="001276C7"/>
    <w:rsid w:val="00133741"/>
    <w:rsid w:val="0013407B"/>
    <w:rsid w:val="00134AFA"/>
    <w:rsid w:val="00134F90"/>
    <w:rsid w:val="0014063B"/>
    <w:rsid w:val="0014183B"/>
    <w:rsid w:val="001424BE"/>
    <w:rsid w:val="0014629C"/>
    <w:rsid w:val="001473F8"/>
    <w:rsid w:val="001503AD"/>
    <w:rsid w:val="00151671"/>
    <w:rsid w:val="00156D67"/>
    <w:rsid w:val="001620F6"/>
    <w:rsid w:val="00162B43"/>
    <w:rsid w:val="00167AD3"/>
    <w:rsid w:val="00167DF7"/>
    <w:rsid w:val="00170320"/>
    <w:rsid w:val="0017282E"/>
    <w:rsid w:val="00176A4B"/>
    <w:rsid w:val="00176FA1"/>
    <w:rsid w:val="001778AA"/>
    <w:rsid w:val="001830C3"/>
    <w:rsid w:val="001841F2"/>
    <w:rsid w:val="00185111"/>
    <w:rsid w:val="001853F8"/>
    <w:rsid w:val="001909CF"/>
    <w:rsid w:val="00192849"/>
    <w:rsid w:val="001940A6"/>
    <w:rsid w:val="001A177C"/>
    <w:rsid w:val="001A3B1F"/>
    <w:rsid w:val="001A58A8"/>
    <w:rsid w:val="001B2AE2"/>
    <w:rsid w:val="001B6C6A"/>
    <w:rsid w:val="001B72AC"/>
    <w:rsid w:val="001C2CCA"/>
    <w:rsid w:val="001C4328"/>
    <w:rsid w:val="001C4D44"/>
    <w:rsid w:val="001D1A98"/>
    <w:rsid w:val="001D2D06"/>
    <w:rsid w:val="001D758C"/>
    <w:rsid w:val="001D7C48"/>
    <w:rsid w:val="001D7D43"/>
    <w:rsid w:val="001E1853"/>
    <w:rsid w:val="001E3F75"/>
    <w:rsid w:val="001E49A8"/>
    <w:rsid w:val="001E5E23"/>
    <w:rsid w:val="001F4FAC"/>
    <w:rsid w:val="001F73EC"/>
    <w:rsid w:val="002018A4"/>
    <w:rsid w:val="00203946"/>
    <w:rsid w:val="00211A5D"/>
    <w:rsid w:val="002135E1"/>
    <w:rsid w:val="0021693F"/>
    <w:rsid w:val="0021745C"/>
    <w:rsid w:val="00224A6A"/>
    <w:rsid w:val="0022741B"/>
    <w:rsid w:val="002354AC"/>
    <w:rsid w:val="0024262A"/>
    <w:rsid w:val="00243C2A"/>
    <w:rsid w:val="00247A49"/>
    <w:rsid w:val="00250B36"/>
    <w:rsid w:val="00252432"/>
    <w:rsid w:val="00252929"/>
    <w:rsid w:val="002540FF"/>
    <w:rsid w:val="00254243"/>
    <w:rsid w:val="00254D7F"/>
    <w:rsid w:val="002556B5"/>
    <w:rsid w:val="00257477"/>
    <w:rsid w:val="00261952"/>
    <w:rsid w:val="00262841"/>
    <w:rsid w:val="00264CF2"/>
    <w:rsid w:val="00273D70"/>
    <w:rsid w:val="0028252C"/>
    <w:rsid w:val="002835DC"/>
    <w:rsid w:val="0029400E"/>
    <w:rsid w:val="002A1654"/>
    <w:rsid w:val="002A23A6"/>
    <w:rsid w:val="002A2F87"/>
    <w:rsid w:val="002B1484"/>
    <w:rsid w:val="002B20E9"/>
    <w:rsid w:val="002B3422"/>
    <w:rsid w:val="002B4078"/>
    <w:rsid w:val="002B4993"/>
    <w:rsid w:val="002B5FED"/>
    <w:rsid w:val="002C0047"/>
    <w:rsid w:val="002C0B3A"/>
    <w:rsid w:val="002C256F"/>
    <w:rsid w:val="002C63BB"/>
    <w:rsid w:val="002C6A12"/>
    <w:rsid w:val="002C6C75"/>
    <w:rsid w:val="002D0CD4"/>
    <w:rsid w:val="002D1179"/>
    <w:rsid w:val="002D3C51"/>
    <w:rsid w:val="002D559E"/>
    <w:rsid w:val="002D6110"/>
    <w:rsid w:val="002E557D"/>
    <w:rsid w:val="002E779E"/>
    <w:rsid w:val="002E7DCB"/>
    <w:rsid w:val="002F1A02"/>
    <w:rsid w:val="002F2AE6"/>
    <w:rsid w:val="002F564B"/>
    <w:rsid w:val="00300CA1"/>
    <w:rsid w:val="00303791"/>
    <w:rsid w:val="003050B9"/>
    <w:rsid w:val="003057BD"/>
    <w:rsid w:val="003057DE"/>
    <w:rsid w:val="00306030"/>
    <w:rsid w:val="003116CE"/>
    <w:rsid w:val="003220AD"/>
    <w:rsid w:val="00325635"/>
    <w:rsid w:val="00327513"/>
    <w:rsid w:val="00327797"/>
    <w:rsid w:val="00330418"/>
    <w:rsid w:val="0033098B"/>
    <w:rsid w:val="00333C71"/>
    <w:rsid w:val="00333D42"/>
    <w:rsid w:val="003364CA"/>
    <w:rsid w:val="00342197"/>
    <w:rsid w:val="00342EAD"/>
    <w:rsid w:val="00347BA7"/>
    <w:rsid w:val="0035135C"/>
    <w:rsid w:val="00351972"/>
    <w:rsid w:val="00354874"/>
    <w:rsid w:val="003622E6"/>
    <w:rsid w:val="0036606F"/>
    <w:rsid w:val="003672D6"/>
    <w:rsid w:val="00373C1C"/>
    <w:rsid w:val="0037400E"/>
    <w:rsid w:val="00374927"/>
    <w:rsid w:val="003755DA"/>
    <w:rsid w:val="00380085"/>
    <w:rsid w:val="003914E4"/>
    <w:rsid w:val="003929B1"/>
    <w:rsid w:val="00396AE5"/>
    <w:rsid w:val="003A22DC"/>
    <w:rsid w:val="003A24CB"/>
    <w:rsid w:val="003A347B"/>
    <w:rsid w:val="003A3DE0"/>
    <w:rsid w:val="003B28AE"/>
    <w:rsid w:val="003B7017"/>
    <w:rsid w:val="003C02FC"/>
    <w:rsid w:val="003C24D8"/>
    <w:rsid w:val="003C31B9"/>
    <w:rsid w:val="003C408A"/>
    <w:rsid w:val="003C5741"/>
    <w:rsid w:val="003D0CC9"/>
    <w:rsid w:val="003D1F03"/>
    <w:rsid w:val="003D2899"/>
    <w:rsid w:val="003D3BB6"/>
    <w:rsid w:val="003D3E41"/>
    <w:rsid w:val="003D47B0"/>
    <w:rsid w:val="003E60EC"/>
    <w:rsid w:val="003F54B7"/>
    <w:rsid w:val="0040124A"/>
    <w:rsid w:val="00402BE6"/>
    <w:rsid w:val="0040405A"/>
    <w:rsid w:val="00405821"/>
    <w:rsid w:val="00407E9B"/>
    <w:rsid w:val="00411B7D"/>
    <w:rsid w:val="00411FA6"/>
    <w:rsid w:val="004205A9"/>
    <w:rsid w:val="004249F1"/>
    <w:rsid w:val="00430A5B"/>
    <w:rsid w:val="004327C4"/>
    <w:rsid w:val="00434BF8"/>
    <w:rsid w:val="00435464"/>
    <w:rsid w:val="004358B0"/>
    <w:rsid w:val="00435A99"/>
    <w:rsid w:val="00435B51"/>
    <w:rsid w:val="00437DAA"/>
    <w:rsid w:val="00440981"/>
    <w:rsid w:val="00440B50"/>
    <w:rsid w:val="00442350"/>
    <w:rsid w:val="004426EB"/>
    <w:rsid w:val="004603C8"/>
    <w:rsid w:val="004619A7"/>
    <w:rsid w:val="00462C76"/>
    <w:rsid w:val="0046325B"/>
    <w:rsid w:val="0046439F"/>
    <w:rsid w:val="00464CB9"/>
    <w:rsid w:val="00471245"/>
    <w:rsid w:val="00474CF8"/>
    <w:rsid w:val="004757B1"/>
    <w:rsid w:val="00480A8D"/>
    <w:rsid w:val="00483067"/>
    <w:rsid w:val="00485BB3"/>
    <w:rsid w:val="00487BD6"/>
    <w:rsid w:val="004910B3"/>
    <w:rsid w:val="0049465E"/>
    <w:rsid w:val="004A536C"/>
    <w:rsid w:val="004B1A2C"/>
    <w:rsid w:val="004B4C8A"/>
    <w:rsid w:val="004C1229"/>
    <w:rsid w:val="004C7438"/>
    <w:rsid w:val="004D215F"/>
    <w:rsid w:val="004D561C"/>
    <w:rsid w:val="004D59C1"/>
    <w:rsid w:val="004E05AC"/>
    <w:rsid w:val="004E1A72"/>
    <w:rsid w:val="004E5C27"/>
    <w:rsid w:val="004E6D0B"/>
    <w:rsid w:val="004F06E0"/>
    <w:rsid w:val="004F3245"/>
    <w:rsid w:val="004F3B39"/>
    <w:rsid w:val="004F5E88"/>
    <w:rsid w:val="004F5E8B"/>
    <w:rsid w:val="004F6139"/>
    <w:rsid w:val="0050144F"/>
    <w:rsid w:val="0050225D"/>
    <w:rsid w:val="005025BB"/>
    <w:rsid w:val="00503193"/>
    <w:rsid w:val="00503890"/>
    <w:rsid w:val="005061E2"/>
    <w:rsid w:val="00515C44"/>
    <w:rsid w:val="00521C77"/>
    <w:rsid w:val="005222D3"/>
    <w:rsid w:val="00525BBA"/>
    <w:rsid w:val="00534BDD"/>
    <w:rsid w:val="005424E4"/>
    <w:rsid w:val="0054260D"/>
    <w:rsid w:val="005431D4"/>
    <w:rsid w:val="00544DF7"/>
    <w:rsid w:val="005463B2"/>
    <w:rsid w:val="00551735"/>
    <w:rsid w:val="00553186"/>
    <w:rsid w:val="00553B41"/>
    <w:rsid w:val="00555213"/>
    <w:rsid w:val="00560CEA"/>
    <w:rsid w:val="005620E2"/>
    <w:rsid w:val="00567316"/>
    <w:rsid w:val="00571148"/>
    <w:rsid w:val="005730E0"/>
    <w:rsid w:val="00573CE5"/>
    <w:rsid w:val="0057669D"/>
    <w:rsid w:val="00576956"/>
    <w:rsid w:val="00577AAC"/>
    <w:rsid w:val="0058090D"/>
    <w:rsid w:val="0058238E"/>
    <w:rsid w:val="00591ADF"/>
    <w:rsid w:val="00595FD7"/>
    <w:rsid w:val="005960DE"/>
    <w:rsid w:val="005A0D02"/>
    <w:rsid w:val="005A3427"/>
    <w:rsid w:val="005B2222"/>
    <w:rsid w:val="005C565F"/>
    <w:rsid w:val="005E06E4"/>
    <w:rsid w:val="005E08EB"/>
    <w:rsid w:val="005E78BF"/>
    <w:rsid w:val="005E7CA6"/>
    <w:rsid w:val="005F05AC"/>
    <w:rsid w:val="005F06C8"/>
    <w:rsid w:val="005F4503"/>
    <w:rsid w:val="005F5E04"/>
    <w:rsid w:val="005F5F35"/>
    <w:rsid w:val="005F7D18"/>
    <w:rsid w:val="006025E1"/>
    <w:rsid w:val="006053DB"/>
    <w:rsid w:val="0061184B"/>
    <w:rsid w:val="0061278A"/>
    <w:rsid w:val="00613348"/>
    <w:rsid w:val="00614F67"/>
    <w:rsid w:val="006154D5"/>
    <w:rsid w:val="0061622F"/>
    <w:rsid w:val="00617767"/>
    <w:rsid w:val="00623BA1"/>
    <w:rsid w:val="00624844"/>
    <w:rsid w:val="00630C6B"/>
    <w:rsid w:val="00632233"/>
    <w:rsid w:val="006322E0"/>
    <w:rsid w:val="00633901"/>
    <w:rsid w:val="00635508"/>
    <w:rsid w:val="00640D66"/>
    <w:rsid w:val="00643C4F"/>
    <w:rsid w:val="00645B0A"/>
    <w:rsid w:val="006468B4"/>
    <w:rsid w:val="00646A9B"/>
    <w:rsid w:val="00655FC4"/>
    <w:rsid w:val="00661B9D"/>
    <w:rsid w:val="00663A4E"/>
    <w:rsid w:val="00663D91"/>
    <w:rsid w:val="00663E69"/>
    <w:rsid w:val="00665919"/>
    <w:rsid w:val="0067076A"/>
    <w:rsid w:val="00670E9B"/>
    <w:rsid w:val="006715DE"/>
    <w:rsid w:val="006716C4"/>
    <w:rsid w:val="006716D2"/>
    <w:rsid w:val="00672204"/>
    <w:rsid w:val="006807B2"/>
    <w:rsid w:val="00681344"/>
    <w:rsid w:val="00684631"/>
    <w:rsid w:val="0069133E"/>
    <w:rsid w:val="00691AAC"/>
    <w:rsid w:val="006929E8"/>
    <w:rsid w:val="00693B27"/>
    <w:rsid w:val="006A33BF"/>
    <w:rsid w:val="006A6EA2"/>
    <w:rsid w:val="006B3C9B"/>
    <w:rsid w:val="006B3D7B"/>
    <w:rsid w:val="006C5E11"/>
    <w:rsid w:val="006C7AEC"/>
    <w:rsid w:val="006D0B37"/>
    <w:rsid w:val="006D610D"/>
    <w:rsid w:val="006D6A06"/>
    <w:rsid w:val="006E07FD"/>
    <w:rsid w:val="006E5926"/>
    <w:rsid w:val="006E7430"/>
    <w:rsid w:val="006E7C7E"/>
    <w:rsid w:val="006F04D5"/>
    <w:rsid w:val="006F2FFF"/>
    <w:rsid w:val="006F3A66"/>
    <w:rsid w:val="006F3EFD"/>
    <w:rsid w:val="006F54E3"/>
    <w:rsid w:val="006F574C"/>
    <w:rsid w:val="0070345B"/>
    <w:rsid w:val="00704A8E"/>
    <w:rsid w:val="00704EC9"/>
    <w:rsid w:val="0070714D"/>
    <w:rsid w:val="00711729"/>
    <w:rsid w:val="00712A1D"/>
    <w:rsid w:val="007219F7"/>
    <w:rsid w:val="0072432A"/>
    <w:rsid w:val="00724B57"/>
    <w:rsid w:val="0073037D"/>
    <w:rsid w:val="00730A4B"/>
    <w:rsid w:val="00731902"/>
    <w:rsid w:val="007344BD"/>
    <w:rsid w:val="007344E9"/>
    <w:rsid w:val="00737430"/>
    <w:rsid w:val="00737B84"/>
    <w:rsid w:val="007408BA"/>
    <w:rsid w:val="00740BBC"/>
    <w:rsid w:val="00740F91"/>
    <w:rsid w:val="00744456"/>
    <w:rsid w:val="00744BD1"/>
    <w:rsid w:val="00750DBF"/>
    <w:rsid w:val="00755048"/>
    <w:rsid w:val="007565BA"/>
    <w:rsid w:val="00760AB2"/>
    <w:rsid w:val="00761140"/>
    <w:rsid w:val="00761D1B"/>
    <w:rsid w:val="00762578"/>
    <w:rsid w:val="00762AE3"/>
    <w:rsid w:val="00763221"/>
    <w:rsid w:val="007653FE"/>
    <w:rsid w:val="00772396"/>
    <w:rsid w:val="00780C54"/>
    <w:rsid w:val="007835B5"/>
    <w:rsid w:val="00785797"/>
    <w:rsid w:val="00787569"/>
    <w:rsid w:val="00794139"/>
    <w:rsid w:val="00797FCA"/>
    <w:rsid w:val="007A01A7"/>
    <w:rsid w:val="007A0920"/>
    <w:rsid w:val="007A302A"/>
    <w:rsid w:val="007A634A"/>
    <w:rsid w:val="007B3CEE"/>
    <w:rsid w:val="007B3D0B"/>
    <w:rsid w:val="007B438F"/>
    <w:rsid w:val="007B5B7A"/>
    <w:rsid w:val="007C100F"/>
    <w:rsid w:val="007C1309"/>
    <w:rsid w:val="007C2A12"/>
    <w:rsid w:val="007C36DB"/>
    <w:rsid w:val="007C71B8"/>
    <w:rsid w:val="007C74A6"/>
    <w:rsid w:val="007D197E"/>
    <w:rsid w:val="007D4980"/>
    <w:rsid w:val="007D6D79"/>
    <w:rsid w:val="007D7B33"/>
    <w:rsid w:val="007E021A"/>
    <w:rsid w:val="007F07E8"/>
    <w:rsid w:val="007F107D"/>
    <w:rsid w:val="007F17D6"/>
    <w:rsid w:val="007F32D0"/>
    <w:rsid w:val="007F3619"/>
    <w:rsid w:val="007F3F66"/>
    <w:rsid w:val="007F4A50"/>
    <w:rsid w:val="007F4D6E"/>
    <w:rsid w:val="007F4F8D"/>
    <w:rsid w:val="00802125"/>
    <w:rsid w:val="008041E4"/>
    <w:rsid w:val="008176B4"/>
    <w:rsid w:val="00821AE7"/>
    <w:rsid w:val="00822B7B"/>
    <w:rsid w:val="0082367D"/>
    <w:rsid w:val="00824971"/>
    <w:rsid w:val="00826525"/>
    <w:rsid w:val="00830511"/>
    <w:rsid w:val="00832F52"/>
    <w:rsid w:val="008360F9"/>
    <w:rsid w:val="008403C2"/>
    <w:rsid w:val="0084184D"/>
    <w:rsid w:val="00843ADC"/>
    <w:rsid w:val="00843F1E"/>
    <w:rsid w:val="00845414"/>
    <w:rsid w:val="00846795"/>
    <w:rsid w:val="00847855"/>
    <w:rsid w:val="00852207"/>
    <w:rsid w:val="0085412B"/>
    <w:rsid w:val="008623A5"/>
    <w:rsid w:val="008625FF"/>
    <w:rsid w:val="00865778"/>
    <w:rsid w:val="008663D6"/>
    <w:rsid w:val="00866F90"/>
    <w:rsid w:val="00867DAE"/>
    <w:rsid w:val="00870309"/>
    <w:rsid w:val="0087039B"/>
    <w:rsid w:val="00883718"/>
    <w:rsid w:val="00884404"/>
    <w:rsid w:val="00884AC2"/>
    <w:rsid w:val="0088529B"/>
    <w:rsid w:val="00893A1F"/>
    <w:rsid w:val="00895392"/>
    <w:rsid w:val="008965FA"/>
    <w:rsid w:val="008A000C"/>
    <w:rsid w:val="008A447D"/>
    <w:rsid w:val="008A466D"/>
    <w:rsid w:val="008A570E"/>
    <w:rsid w:val="008B2CCE"/>
    <w:rsid w:val="008B3329"/>
    <w:rsid w:val="008B3C5E"/>
    <w:rsid w:val="008B3C63"/>
    <w:rsid w:val="008B5C2D"/>
    <w:rsid w:val="008C048B"/>
    <w:rsid w:val="008C339E"/>
    <w:rsid w:val="008C36D9"/>
    <w:rsid w:val="008C5385"/>
    <w:rsid w:val="008C626D"/>
    <w:rsid w:val="008D2775"/>
    <w:rsid w:val="008D5B90"/>
    <w:rsid w:val="008D7BCC"/>
    <w:rsid w:val="008E1B70"/>
    <w:rsid w:val="008F0AD9"/>
    <w:rsid w:val="008F3520"/>
    <w:rsid w:val="008F4A6D"/>
    <w:rsid w:val="00900EE7"/>
    <w:rsid w:val="0090494E"/>
    <w:rsid w:val="0091019B"/>
    <w:rsid w:val="009156DC"/>
    <w:rsid w:val="009174E3"/>
    <w:rsid w:val="00917CF2"/>
    <w:rsid w:val="00920133"/>
    <w:rsid w:val="00922020"/>
    <w:rsid w:val="009232B5"/>
    <w:rsid w:val="00926E5A"/>
    <w:rsid w:val="009278B2"/>
    <w:rsid w:val="00927B15"/>
    <w:rsid w:val="00930443"/>
    <w:rsid w:val="009323EC"/>
    <w:rsid w:val="00946290"/>
    <w:rsid w:val="009470D2"/>
    <w:rsid w:val="00951FCB"/>
    <w:rsid w:val="009612AD"/>
    <w:rsid w:val="00964A0C"/>
    <w:rsid w:val="009675BA"/>
    <w:rsid w:val="00970B24"/>
    <w:rsid w:val="0097245B"/>
    <w:rsid w:val="00973C6D"/>
    <w:rsid w:val="00974076"/>
    <w:rsid w:val="00980A03"/>
    <w:rsid w:val="00981FAD"/>
    <w:rsid w:val="00986C0C"/>
    <w:rsid w:val="00992B72"/>
    <w:rsid w:val="00993408"/>
    <w:rsid w:val="00994DBD"/>
    <w:rsid w:val="0099566D"/>
    <w:rsid w:val="0099699E"/>
    <w:rsid w:val="009A08B4"/>
    <w:rsid w:val="009A5404"/>
    <w:rsid w:val="009A6206"/>
    <w:rsid w:val="009A7D72"/>
    <w:rsid w:val="009B29F7"/>
    <w:rsid w:val="009B3005"/>
    <w:rsid w:val="009B32BB"/>
    <w:rsid w:val="009B3871"/>
    <w:rsid w:val="009B7F6E"/>
    <w:rsid w:val="009C0301"/>
    <w:rsid w:val="009C4031"/>
    <w:rsid w:val="009C5B4F"/>
    <w:rsid w:val="009C67F3"/>
    <w:rsid w:val="009C7BB1"/>
    <w:rsid w:val="009D359E"/>
    <w:rsid w:val="009D3DEE"/>
    <w:rsid w:val="009D5E57"/>
    <w:rsid w:val="009E7F19"/>
    <w:rsid w:val="009F16EB"/>
    <w:rsid w:val="009F385F"/>
    <w:rsid w:val="009F4823"/>
    <w:rsid w:val="009F5B52"/>
    <w:rsid w:val="00A0378C"/>
    <w:rsid w:val="00A05228"/>
    <w:rsid w:val="00A06F06"/>
    <w:rsid w:val="00A07E3B"/>
    <w:rsid w:val="00A12B9C"/>
    <w:rsid w:val="00A15652"/>
    <w:rsid w:val="00A250F2"/>
    <w:rsid w:val="00A32A2E"/>
    <w:rsid w:val="00A3321A"/>
    <w:rsid w:val="00A42449"/>
    <w:rsid w:val="00A55092"/>
    <w:rsid w:val="00A561EF"/>
    <w:rsid w:val="00A60658"/>
    <w:rsid w:val="00A61D1F"/>
    <w:rsid w:val="00A635AA"/>
    <w:rsid w:val="00A75D7E"/>
    <w:rsid w:val="00A77DFF"/>
    <w:rsid w:val="00A90427"/>
    <w:rsid w:val="00A93A07"/>
    <w:rsid w:val="00A94DA6"/>
    <w:rsid w:val="00A9644A"/>
    <w:rsid w:val="00AA5FDB"/>
    <w:rsid w:val="00AB3DCA"/>
    <w:rsid w:val="00AC47CE"/>
    <w:rsid w:val="00AD7476"/>
    <w:rsid w:val="00AE1502"/>
    <w:rsid w:val="00AE1D2D"/>
    <w:rsid w:val="00AE3A51"/>
    <w:rsid w:val="00AE6891"/>
    <w:rsid w:val="00AF2696"/>
    <w:rsid w:val="00AF6511"/>
    <w:rsid w:val="00B02EF5"/>
    <w:rsid w:val="00B045DF"/>
    <w:rsid w:val="00B133E5"/>
    <w:rsid w:val="00B2053B"/>
    <w:rsid w:val="00B21DDE"/>
    <w:rsid w:val="00B229F0"/>
    <w:rsid w:val="00B22F1C"/>
    <w:rsid w:val="00B26404"/>
    <w:rsid w:val="00B27396"/>
    <w:rsid w:val="00B275EA"/>
    <w:rsid w:val="00B31B3F"/>
    <w:rsid w:val="00B32A10"/>
    <w:rsid w:val="00B375A7"/>
    <w:rsid w:val="00B37B2D"/>
    <w:rsid w:val="00B40428"/>
    <w:rsid w:val="00B5007C"/>
    <w:rsid w:val="00B53DC3"/>
    <w:rsid w:val="00B54BF6"/>
    <w:rsid w:val="00B560BE"/>
    <w:rsid w:val="00B57777"/>
    <w:rsid w:val="00B6054F"/>
    <w:rsid w:val="00B605BC"/>
    <w:rsid w:val="00B60F59"/>
    <w:rsid w:val="00B63A83"/>
    <w:rsid w:val="00B65423"/>
    <w:rsid w:val="00B67D5C"/>
    <w:rsid w:val="00B802C6"/>
    <w:rsid w:val="00B809DB"/>
    <w:rsid w:val="00B828C2"/>
    <w:rsid w:val="00B83634"/>
    <w:rsid w:val="00B845BD"/>
    <w:rsid w:val="00B861B2"/>
    <w:rsid w:val="00B913F3"/>
    <w:rsid w:val="00B96645"/>
    <w:rsid w:val="00BA0894"/>
    <w:rsid w:val="00BA1C26"/>
    <w:rsid w:val="00BA2D7B"/>
    <w:rsid w:val="00BA58E3"/>
    <w:rsid w:val="00BB1A37"/>
    <w:rsid w:val="00BB2F6E"/>
    <w:rsid w:val="00BB3215"/>
    <w:rsid w:val="00BC1294"/>
    <w:rsid w:val="00BC2C62"/>
    <w:rsid w:val="00BC4394"/>
    <w:rsid w:val="00BD06B5"/>
    <w:rsid w:val="00BD2DF8"/>
    <w:rsid w:val="00BD3E9E"/>
    <w:rsid w:val="00BE19F6"/>
    <w:rsid w:val="00BF1793"/>
    <w:rsid w:val="00BF1AE0"/>
    <w:rsid w:val="00BF3460"/>
    <w:rsid w:val="00C007CE"/>
    <w:rsid w:val="00C00C2D"/>
    <w:rsid w:val="00C03077"/>
    <w:rsid w:val="00C054D5"/>
    <w:rsid w:val="00C07573"/>
    <w:rsid w:val="00C13186"/>
    <w:rsid w:val="00C13EE7"/>
    <w:rsid w:val="00C15471"/>
    <w:rsid w:val="00C1786E"/>
    <w:rsid w:val="00C20E07"/>
    <w:rsid w:val="00C223D7"/>
    <w:rsid w:val="00C25076"/>
    <w:rsid w:val="00C25EA0"/>
    <w:rsid w:val="00C26C17"/>
    <w:rsid w:val="00C30583"/>
    <w:rsid w:val="00C317FF"/>
    <w:rsid w:val="00C354B5"/>
    <w:rsid w:val="00C3747B"/>
    <w:rsid w:val="00C411F5"/>
    <w:rsid w:val="00C50BEF"/>
    <w:rsid w:val="00C53222"/>
    <w:rsid w:val="00C57A6A"/>
    <w:rsid w:val="00C61AA7"/>
    <w:rsid w:val="00C629B5"/>
    <w:rsid w:val="00C67680"/>
    <w:rsid w:val="00C71149"/>
    <w:rsid w:val="00C72F2B"/>
    <w:rsid w:val="00C73549"/>
    <w:rsid w:val="00C74394"/>
    <w:rsid w:val="00C75AF7"/>
    <w:rsid w:val="00C852A8"/>
    <w:rsid w:val="00C87D30"/>
    <w:rsid w:val="00C90421"/>
    <w:rsid w:val="00C93789"/>
    <w:rsid w:val="00CA26D1"/>
    <w:rsid w:val="00CA5E42"/>
    <w:rsid w:val="00CB05E6"/>
    <w:rsid w:val="00CB0C78"/>
    <w:rsid w:val="00CB27EC"/>
    <w:rsid w:val="00CB57AD"/>
    <w:rsid w:val="00CB59C3"/>
    <w:rsid w:val="00CB5B18"/>
    <w:rsid w:val="00CB7D68"/>
    <w:rsid w:val="00CC3812"/>
    <w:rsid w:val="00CC4421"/>
    <w:rsid w:val="00CC529C"/>
    <w:rsid w:val="00CC5706"/>
    <w:rsid w:val="00CD155A"/>
    <w:rsid w:val="00CD257E"/>
    <w:rsid w:val="00CD5905"/>
    <w:rsid w:val="00CD59ED"/>
    <w:rsid w:val="00CE10B4"/>
    <w:rsid w:val="00CE1B96"/>
    <w:rsid w:val="00CE2366"/>
    <w:rsid w:val="00CE5430"/>
    <w:rsid w:val="00CF1D7A"/>
    <w:rsid w:val="00CF3DB5"/>
    <w:rsid w:val="00CF4116"/>
    <w:rsid w:val="00CF6AAD"/>
    <w:rsid w:val="00CF71FA"/>
    <w:rsid w:val="00D039F6"/>
    <w:rsid w:val="00D05548"/>
    <w:rsid w:val="00D05C2F"/>
    <w:rsid w:val="00D1036E"/>
    <w:rsid w:val="00D116FE"/>
    <w:rsid w:val="00D11713"/>
    <w:rsid w:val="00D131F8"/>
    <w:rsid w:val="00D17720"/>
    <w:rsid w:val="00D17E01"/>
    <w:rsid w:val="00D200CA"/>
    <w:rsid w:val="00D20D19"/>
    <w:rsid w:val="00D21608"/>
    <w:rsid w:val="00D2176F"/>
    <w:rsid w:val="00D2219D"/>
    <w:rsid w:val="00D233BE"/>
    <w:rsid w:val="00D2447D"/>
    <w:rsid w:val="00D314D8"/>
    <w:rsid w:val="00D33942"/>
    <w:rsid w:val="00D3409E"/>
    <w:rsid w:val="00D352AB"/>
    <w:rsid w:val="00D3654B"/>
    <w:rsid w:val="00D36926"/>
    <w:rsid w:val="00D41DEB"/>
    <w:rsid w:val="00D470A8"/>
    <w:rsid w:val="00D47FC8"/>
    <w:rsid w:val="00D47FD1"/>
    <w:rsid w:val="00D504AD"/>
    <w:rsid w:val="00D55CD1"/>
    <w:rsid w:val="00D65C4D"/>
    <w:rsid w:val="00D72395"/>
    <w:rsid w:val="00D72825"/>
    <w:rsid w:val="00D74514"/>
    <w:rsid w:val="00D76507"/>
    <w:rsid w:val="00D83805"/>
    <w:rsid w:val="00D90987"/>
    <w:rsid w:val="00D91903"/>
    <w:rsid w:val="00D9520D"/>
    <w:rsid w:val="00D968AA"/>
    <w:rsid w:val="00D97852"/>
    <w:rsid w:val="00DA123F"/>
    <w:rsid w:val="00DA27D1"/>
    <w:rsid w:val="00DA45BC"/>
    <w:rsid w:val="00DA4C89"/>
    <w:rsid w:val="00DA5E76"/>
    <w:rsid w:val="00DA62CB"/>
    <w:rsid w:val="00DA7C37"/>
    <w:rsid w:val="00DB0C5D"/>
    <w:rsid w:val="00DC275E"/>
    <w:rsid w:val="00DC51A7"/>
    <w:rsid w:val="00DC5A88"/>
    <w:rsid w:val="00DC7E6A"/>
    <w:rsid w:val="00DD3FA3"/>
    <w:rsid w:val="00DD7863"/>
    <w:rsid w:val="00DD7886"/>
    <w:rsid w:val="00DE4292"/>
    <w:rsid w:val="00DE4AE7"/>
    <w:rsid w:val="00DE5A16"/>
    <w:rsid w:val="00DF2359"/>
    <w:rsid w:val="00DF2F6F"/>
    <w:rsid w:val="00DF4A30"/>
    <w:rsid w:val="00DF4C02"/>
    <w:rsid w:val="00DF65D8"/>
    <w:rsid w:val="00DF785A"/>
    <w:rsid w:val="00DF7F0A"/>
    <w:rsid w:val="00E03A5F"/>
    <w:rsid w:val="00E050AE"/>
    <w:rsid w:val="00E07E7C"/>
    <w:rsid w:val="00E07F45"/>
    <w:rsid w:val="00E10474"/>
    <w:rsid w:val="00E10BC3"/>
    <w:rsid w:val="00E11327"/>
    <w:rsid w:val="00E11751"/>
    <w:rsid w:val="00E164B7"/>
    <w:rsid w:val="00E208A1"/>
    <w:rsid w:val="00E21734"/>
    <w:rsid w:val="00E24D5D"/>
    <w:rsid w:val="00E250C2"/>
    <w:rsid w:val="00E26F3A"/>
    <w:rsid w:val="00E31E0D"/>
    <w:rsid w:val="00E358D7"/>
    <w:rsid w:val="00E4073C"/>
    <w:rsid w:val="00E4090E"/>
    <w:rsid w:val="00E41AC6"/>
    <w:rsid w:val="00E42866"/>
    <w:rsid w:val="00E43DA9"/>
    <w:rsid w:val="00E44BA4"/>
    <w:rsid w:val="00E47CD2"/>
    <w:rsid w:val="00E5089C"/>
    <w:rsid w:val="00E52CFB"/>
    <w:rsid w:val="00E54A47"/>
    <w:rsid w:val="00E55AD4"/>
    <w:rsid w:val="00E577E9"/>
    <w:rsid w:val="00E610B9"/>
    <w:rsid w:val="00E62980"/>
    <w:rsid w:val="00E656D6"/>
    <w:rsid w:val="00E73538"/>
    <w:rsid w:val="00E7557F"/>
    <w:rsid w:val="00E77875"/>
    <w:rsid w:val="00E8113F"/>
    <w:rsid w:val="00E8336C"/>
    <w:rsid w:val="00E86E80"/>
    <w:rsid w:val="00E87802"/>
    <w:rsid w:val="00E922D9"/>
    <w:rsid w:val="00E925BF"/>
    <w:rsid w:val="00E93D1B"/>
    <w:rsid w:val="00E947DB"/>
    <w:rsid w:val="00EA3418"/>
    <w:rsid w:val="00EA3720"/>
    <w:rsid w:val="00EA46B1"/>
    <w:rsid w:val="00EA48FC"/>
    <w:rsid w:val="00EA5703"/>
    <w:rsid w:val="00EA5D6A"/>
    <w:rsid w:val="00EA60A5"/>
    <w:rsid w:val="00EA6C30"/>
    <w:rsid w:val="00EA77A3"/>
    <w:rsid w:val="00EB6A1C"/>
    <w:rsid w:val="00EC0B78"/>
    <w:rsid w:val="00EC362E"/>
    <w:rsid w:val="00EC3680"/>
    <w:rsid w:val="00EC4F93"/>
    <w:rsid w:val="00EC78EC"/>
    <w:rsid w:val="00EC793D"/>
    <w:rsid w:val="00ED1728"/>
    <w:rsid w:val="00ED4EFC"/>
    <w:rsid w:val="00ED6601"/>
    <w:rsid w:val="00EE0494"/>
    <w:rsid w:val="00EE1F88"/>
    <w:rsid w:val="00EE52A1"/>
    <w:rsid w:val="00EE5BCE"/>
    <w:rsid w:val="00EF137D"/>
    <w:rsid w:val="00EF770E"/>
    <w:rsid w:val="00F016BC"/>
    <w:rsid w:val="00F022B3"/>
    <w:rsid w:val="00F02634"/>
    <w:rsid w:val="00F037A1"/>
    <w:rsid w:val="00F10CD6"/>
    <w:rsid w:val="00F12978"/>
    <w:rsid w:val="00F129BC"/>
    <w:rsid w:val="00F13A0F"/>
    <w:rsid w:val="00F154F0"/>
    <w:rsid w:val="00F1765E"/>
    <w:rsid w:val="00F21D36"/>
    <w:rsid w:val="00F24BE1"/>
    <w:rsid w:val="00F24C1F"/>
    <w:rsid w:val="00F24CCD"/>
    <w:rsid w:val="00F25DC8"/>
    <w:rsid w:val="00F32419"/>
    <w:rsid w:val="00F35642"/>
    <w:rsid w:val="00F357A4"/>
    <w:rsid w:val="00F35BE8"/>
    <w:rsid w:val="00F4018B"/>
    <w:rsid w:val="00F4278B"/>
    <w:rsid w:val="00F4375D"/>
    <w:rsid w:val="00F4496F"/>
    <w:rsid w:val="00F45BD4"/>
    <w:rsid w:val="00F526DC"/>
    <w:rsid w:val="00F535C9"/>
    <w:rsid w:val="00F60A8C"/>
    <w:rsid w:val="00F61543"/>
    <w:rsid w:val="00F65BF1"/>
    <w:rsid w:val="00F66A34"/>
    <w:rsid w:val="00F75E6E"/>
    <w:rsid w:val="00F7607B"/>
    <w:rsid w:val="00F763D5"/>
    <w:rsid w:val="00F81AB4"/>
    <w:rsid w:val="00F8253D"/>
    <w:rsid w:val="00F82EC1"/>
    <w:rsid w:val="00F91B65"/>
    <w:rsid w:val="00F91C78"/>
    <w:rsid w:val="00F92D60"/>
    <w:rsid w:val="00F95931"/>
    <w:rsid w:val="00F95E19"/>
    <w:rsid w:val="00F97C34"/>
    <w:rsid w:val="00FA0430"/>
    <w:rsid w:val="00FA2A23"/>
    <w:rsid w:val="00FA3063"/>
    <w:rsid w:val="00FA7009"/>
    <w:rsid w:val="00FB5622"/>
    <w:rsid w:val="00FB7D9A"/>
    <w:rsid w:val="00FC4212"/>
    <w:rsid w:val="00FC65A3"/>
    <w:rsid w:val="00FC6C0A"/>
    <w:rsid w:val="00FC7B99"/>
    <w:rsid w:val="00FD1FBD"/>
    <w:rsid w:val="00FD34AC"/>
    <w:rsid w:val="00FD4481"/>
    <w:rsid w:val="00FD6A0D"/>
    <w:rsid w:val="00FE0CCA"/>
    <w:rsid w:val="00FE1E7B"/>
    <w:rsid w:val="00FE2576"/>
    <w:rsid w:val="00FE2E40"/>
    <w:rsid w:val="00FE3537"/>
    <w:rsid w:val="00FE6BAA"/>
    <w:rsid w:val="00FF24D0"/>
    <w:rsid w:val="00FF5330"/>
    <w:rsid w:val="00FF5787"/>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77ED"/>
  <w15:docId w15:val="{54B7942F-01F6-4021-885A-530D56F6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0AD"/>
  </w:style>
  <w:style w:type="paragraph" w:styleId="Heading1">
    <w:name w:val="heading 1"/>
    <w:basedOn w:val="Normal"/>
    <w:next w:val="Normal"/>
    <w:link w:val="Heading1Char"/>
    <w:uiPriority w:val="9"/>
    <w:qFormat/>
    <w:rsid w:val="0049465E"/>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6F6"/>
  </w:style>
  <w:style w:type="paragraph" w:styleId="Footer">
    <w:name w:val="footer"/>
    <w:basedOn w:val="Normal"/>
    <w:link w:val="FooterChar"/>
    <w:uiPriority w:val="99"/>
    <w:unhideWhenUsed/>
    <w:rsid w:val="00121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6F6"/>
  </w:style>
  <w:style w:type="paragraph" w:styleId="FootnoteText">
    <w:name w:val="footnote text"/>
    <w:basedOn w:val="Normal"/>
    <w:link w:val="FootnoteTextChar"/>
    <w:uiPriority w:val="99"/>
    <w:semiHidden/>
    <w:unhideWhenUsed/>
    <w:rsid w:val="009B38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3871"/>
    <w:rPr>
      <w:sz w:val="20"/>
      <w:szCs w:val="20"/>
    </w:rPr>
  </w:style>
  <w:style w:type="character" w:styleId="FootnoteReference">
    <w:name w:val="footnote reference"/>
    <w:basedOn w:val="DefaultParagraphFont"/>
    <w:uiPriority w:val="99"/>
    <w:semiHidden/>
    <w:unhideWhenUsed/>
    <w:rsid w:val="009B3871"/>
    <w:rPr>
      <w:vertAlign w:val="superscript"/>
    </w:rPr>
  </w:style>
  <w:style w:type="character" w:customStyle="1" w:styleId="apple-converted-space">
    <w:name w:val="apple-converted-space"/>
    <w:basedOn w:val="DefaultParagraphFont"/>
    <w:rsid w:val="008B5C2D"/>
  </w:style>
  <w:style w:type="character" w:styleId="Hyperlink">
    <w:name w:val="Hyperlink"/>
    <w:basedOn w:val="DefaultParagraphFont"/>
    <w:uiPriority w:val="99"/>
    <w:unhideWhenUsed/>
    <w:rsid w:val="00E577E9"/>
    <w:rPr>
      <w:color w:val="0000FF"/>
      <w:u w:val="single"/>
    </w:rPr>
  </w:style>
  <w:style w:type="character" w:styleId="CommentReference">
    <w:name w:val="annotation reference"/>
    <w:basedOn w:val="DefaultParagraphFont"/>
    <w:uiPriority w:val="99"/>
    <w:semiHidden/>
    <w:unhideWhenUsed/>
    <w:rsid w:val="004D59C1"/>
    <w:rPr>
      <w:sz w:val="16"/>
      <w:szCs w:val="16"/>
    </w:rPr>
  </w:style>
  <w:style w:type="paragraph" w:styleId="CommentText">
    <w:name w:val="annotation text"/>
    <w:basedOn w:val="Normal"/>
    <w:link w:val="CommentTextChar"/>
    <w:uiPriority w:val="99"/>
    <w:unhideWhenUsed/>
    <w:rsid w:val="004D59C1"/>
    <w:pPr>
      <w:spacing w:line="240" w:lineRule="auto"/>
    </w:pPr>
    <w:rPr>
      <w:sz w:val="20"/>
      <w:szCs w:val="20"/>
    </w:rPr>
  </w:style>
  <w:style w:type="character" w:customStyle="1" w:styleId="CommentTextChar">
    <w:name w:val="Comment Text Char"/>
    <w:basedOn w:val="DefaultParagraphFont"/>
    <w:link w:val="CommentText"/>
    <w:uiPriority w:val="99"/>
    <w:rsid w:val="004D59C1"/>
    <w:rPr>
      <w:sz w:val="20"/>
      <w:szCs w:val="20"/>
    </w:rPr>
  </w:style>
  <w:style w:type="paragraph" w:styleId="CommentSubject">
    <w:name w:val="annotation subject"/>
    <w:basedOn w:val="CommentText"/>
    <w:next w:val="CommentText"/>
    <w:link w:val="CommentSubjectChar"/>
    <w:uiPriority w:val="99"/>
    <w:semiHidden/>
    <w:unhideWhenUsed/>
    <w:rsid w:val="004D59C1"/>
    <w:rPr>
      <w:b/>
      <w:bCs/>
    </w:rPr>
  </w:style>
  <w:style w:type="character" w:customStyle="1" w:styleId="CommentSubjectChar">
    <w:name w:val="Comment Subject Char"/>
    <w:basedOn w:val="CommentTextChar"/>
    <w:link w:val="CommentSubject"/>
    <w:uiPriority w:val="99"/>
    <w:semiHidden/>
    <w:rsid w:val="004D59C1"/>
    <w:rPr>
      <w:b/>
      <w:bCs/>
      <w:sz w:val="20"/>
      <w:szCs w:val="20"/>
    </w:rPr>
  </w:style>
  <w:style w:type="paragraph" w:styleId="BalloonText">
    <w:name w:val="Balloon Text"/>
    <w:basedOn w:val="Normal"/>
    <w:link w:val="BalloonTextChar"/>
    <w:uiPriority w:val="99"/>
    <w:semiHidden/>
    <w:unhideWhenUsed/>
    <w:rsid w:val="004D5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9C1"/>
    <w:rPr>
      <w:rFonts w:ascii="Segoe UI" w:hAnsi="Segoe UI" w:cs="Segoe UI"/>
      <w:sz w:val="18"/>
      <w:szCs w:val="18"/>
    </w:rPr>
  </w:style>
  <w:style w:type="character" w:customStyle="1" w:styleId="Heading1Char">
    <w:name w:val="Heading 1 Char"/>
    <w:basedOn w:val="DefaultParagraphFont"/>
    <w:link w:val="Heading1"/>
    <w:uiPriority w:val="9"/>
    <w:rsid w:val="0049465E"/>
    <w:rPr>
      <w:rFonts w:asciiTheme="majorHAnsi" w:eastAsiaTheme="majorEastAsia" w:hAnsiTheme="majorHAnsi" w:cstheme="majorBidi"/>
      <w:color w:val="2E74B5" w:themeColor="accent1" w:themeShade="BF"/>
      <w:sz w:val="32"/>
      <w:szCs w:val="32"/>
      <w:lang w:eastAsia="en-US"/>
    </w:rPr>
  </w:style>
  <w:style w:type="paragraph" w:styleId="ListParagraph">
    <w:name w:val="List Paragraph"/>
    <w:basedOn w:val="Normal"/>
    <w:uiPriority w:val="34"/>
    <w:qFormat/>
    <w:rsid w:val="00577AAC"/>
    <w:pPr>
      <w:ind w:left="720"/>
      <w:contextualSpacing/>
    </w:pPr>
  </w:style>
  <w:style w:type="character" w:customStyle="1" w:styleId="st">
    <w:name w:val="st"/>
    <w:basedOn w:val="DefaultParagraphFont"/>
    <w:rsid w:val="00F535C9"/>
  </w:style>
  <w:style w:type="character" w:styleId="Emphasis">
    <w:name w:val="Emphasis"/>
    <w:basedOn w:val="DefaultParagraphFont"/>
    <w:uiPriority w:val="20"/>
    <w:qFormat/>
    <w:rsid w:val="00F535C9"/>
    <w:rPr>
      <w:i/>
      <w:iCs/>
    </w:rPr>
  </w:style>
  <w:style w:type="paragraph" w:styleId="NormalWeb">
    <w:name w:val="Normal (Web)"/>
    <w:basedOn w:val="Normal"/>
    <w:uiPriority w:val="99"/>
    <w:semiHidden/>
    <w:unhideWhenUsed/>
    <w:rsid w:val="007B3CE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4C89"/>
    <w:rPr>
      <w:color w:val="954F72" w:themeColor="followedHyperlink"/>
      <w:u w:val="single"/>
    </w:rPr>
  </w:style>
  <w:style w:type="character" w:styleId="Strong">
    <w:name w:val="Strong"/>
    <w:basedOn w:val="DefaultParagraphFont"/>
    <w:uiPriority w:val="22"/>
    <w:qFormat/>
    <w:rsid w:val="00264CF2"/>
    <w:rPr>
      <w:b/>
      <w:bCs/>
    </w:rPr>
  </w:style>
  <w:style w:type="paragraph" w:customStyle="1" w:styleId="Default">
    <w:name w:val="Default"/>
    <w:rsid w:val="00A77DFF"/>
    <w:pPr>
      <w:autoSpaceDE w:val="0"/>
      <w:autoSpaceDN w:val="0"/>
      <w:adjustRightInd w:val="0"/>
      <w:spacing w:after="0" w:line="240" w:lineRule="auto"/>
    </w:pPr>
    <w:rPr>
      <w:rFonts w:ascii="Century Schoolbook" w:hAnsi="Century Schoolbook" w:cs="Century School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5206">
      <w:bodyDiv w:val="1"/>
      <w:marLeft w:val="0"/>
      <w:marRight w:val="0"/>
      <w:marTop w:val="0"/>
      <w:marBottom w:val="0"/>
      <w:divBdr>
        <w:top w:val="none" w:sz="0" w:space="0" w:color="auto"/>
        <w:left w:val="none" w:sz="0" w:space="0" w:color="auto"/>
        <w:bottom w:val="none" w:sz="0" w:space="0" w:color="auto"/>
        <w:right w:val="none" w:sz="0" w:space="0" w:color="auto"/>
      </w:divBdr>
    </w:div>
    <w:div w:id="179047494">
      <w:bodyDiv w:val="1"/>
      <w:marLeft w:val="0"/>
      <w:marRight w:val="0"/>
      <w:marTop w:val="0"/>
      <w:marBottom w:val="0"/>
      <w:divBdr>
        <w:top w:val="none" w:sz="0" w:space="0" w:color="auto"/>
        <w:left w:val="none" w:sz="0" w:space="0" w:color="auto"/>
        <w:bottom w:val="none" w:sz="0" w:space="0" w:color="auto"/>
        <w:right w:val="none" w:sz="0" w:space="0" w:color="auto"/>
      </w:divBdr>
    </w:div>
    <w:div w:id="182322754">
      <w:bodyDiv w:val="1"/>
      <w:marLeft w:val="0"/>
      <w:marRight w:val="0"/>
      <w:marTop w:val="0"/>
      <w:marBottom w:val="0"/>
      <w:divBdr>
        <w:top w:val="none" w:sz="0" w:space="0" w:color="auto"/>
        <w:left w:val="none" w:sz="0" w:space="0" w:color="auto"/>
        <w:bottom w:val="none" w:sz="0" w:space="0" w:color="auto"/>
        <w:right w:val="none" w:sz="0" w:space="0" w:color="auto"/>
      </w:divBdr>
    </w:div>
    <w:div w:id="532157324">
      <w:bodyDiv w:val="1"/>
      <w:marLeft w:val="0"/>
      <w:marRight w:val="0"/>
      <w:marTop w:val="0"/>
      <w:marBottom w:val="0"/>
      <w:divBdr>
        <w:top w:val="none" w:sz="0" w:space="0" w:color="auto"/>
        <w:left w:val="none" w:sz="0" w:space="0" w:color="auto"/>
        <w:bottom w:val="none" w:sz="0" w:space="0" w:color="auto"/>
        <w:right w:val="none" w:sz="0" w:space="0" w:color="auto"/>
      </w:divBdr>
    </w:div>
    <w:div w:id="556281727">
      <w:bodyDiv w:val="1"/>
      <w:marLeft w:val="0"/>
      <w:marRight w:val="0"/>
      <w:marTop w:val="0"/>
      <w:marBottom w:val="0"/>
      <w:divBdr>
        <w:top w:val="none" w:sz="0" w:space="0" w:color="auto"/>
        <w:left w:val="none" w:sz="0" w:space="0" w:color="auto"/>
        <w:bottom w:val="none" w:sz="0" w:space="0" w:color="auto"/>
        <w:right w:val="none" w:sz="0" w:space="0" w:color="auto"/>
      </w:divBdr>
      <w:divsChild>
        <w:div w:id="247428076">
          <w:marLeft w:val="0"/>
          <w:marRight w:val="0"/>
          <w:marTop w:val="0"/>
          <w:marBottom w:val="15"/>
          <w:divBdr>
            <w:top w:val="single" w:sz="18" w:space="5" w:color="DDDDDD"/>
            <w:left w:val="single" w:sz="6" w:space="5" w:color="999999"/>
            <w:bottom w:val="single" w:sz="6" w:space="4" w:color="999999"/>
            <w:right w:val="single" w:sz="6" w:space="5" w:color="999999"/>
          </w:divBdr>
        </w:div>
        <w:div w:id="1469082551">
          <w:marLeft w:val="0"/>
          <w:marRight w:val="0"/>
          <w:marTop w:val="0"/>
          <w:marBottom w:val="0"/>
          <w:divBdr>
            <w:top w:val="none" w:sz="0" w:space="0" w:color="auto"/>
            <w:left w:val="none" w:sz="0" w:space="0" w:color="auto"/>
            <w:bottom w:val="none" w:sz="0" w:space="0" w:color="auto"/>
            <w:right w:val="none" w:sz="0" w:space="0" w:color="auto"/>
          </w:divBdr>
          <w:divsChild>
            <w:div w:id="2013675670">
              <w:marLeft w:val="0"/>
              <w:marRight w:val="0"/>
              <w:marTop w:val="0"/>
              <w:marBottom w:val="15"/>
              <w:divBdr>
                <w:top w:val="single" w:sz="18" w:space="5" w:color="DDDDDD"/>
                <w:left w:val="single" w:sz="6" w:space="5" w:color="999999"/>
                <w:bottom w:val="single" w:sz="6" w:space="2" w:color="999999"/>
                <w:right w:val="single" w:sz="6" w:space="5" w:color="999999"/>
              </w:divBdr>
              <w:divsChild>
                <w:div w:id="1140810035">
                  <w:marLeft w:val="0"/>
                  <w:marRight w:val="0"/>
                  <w:marTop w:val="43"/>
                  <w:marBottom w:val="0"/>
                  <w:divBdr>
                    <w:top w:val="none" w:sz="0" w:space="0" w:color="auto"/>
                    <w:left w:val="none" w:sz="0" w:space="0" w:color="auto"/>
                    <w:bottom w:val="none" w:sz="0" w:space="0" w:color="auto"/>
                    <w:right w:val="none" w:sz="0" w:space="0" w:color="auto"/>
                  </w:divBdr>
                </w:div>
                <w:div w:id="1069620182">
                  <w:marLeft w:val="0"/>
                  <w:marRight w:val="0"/>
                  <w:marTop w:val="120"/>
                  <w:marBottom w:val="0"/>
                  <w:divBdr>
                    <w:top w:val="none" w:sz="0" w:space="0" w:color="auto"/>
                    <w:left w:val="none" w:sz="0" w:space="0" w:color="auto"/>
                    <w:bottom w:val="none" w:sz="0" w:space="0" w:color="auto"/>
                    <w:right w:val="none" w:sz="0" w:space="0" w:color="auto"/>
                  </w:divBdr>
                  <w:divsChild>
                    <w:div w:id="408505214">
                      <w:marLeft w:val="0"/>
                      <w:marRight w:val="0"/>
                      <w:marTop w:val="43"/>
                      <w:marBottom w:val="0"/>
                      <w:divBdr>
                        <w:top w:val="none" w:sz="0" w:space="0" w:color="auto"/>
                        <w:left w:val="none" w:sz="0" w:space="0" w:color="auto"/>
                        <w:bottom w:val="none" w:sz="0" w:space="0" w:color="auto"/>
                        <w:right w:val="none" w:sz="0" w:space="0" w:color="auto"/>
                      </w:divBdr>
                    </w:div>
                  </w:divsChild>
                </w:div>
              </w:divsChild>
            </w:div>
          </w:divsChild>
        </w:div>
        <w:div w:id="1734809604">
          <w:marLeft w:val="0"/>
          <w:marRight w:val="0"/>
          <w:marTop w:val="240"/>
          <w:marBottom w:val="0"/>
          <w:divBdr>
            <w:top w:val="none" w:sz="0" w:space="0" w:color="auto"/>
            <w:left w:val="none" w:sz="0" w:space="0" w:color="auto"/>
            <w:bottom w:val="none" w:sz="0" w:space="0" w:color="auto"/>
            <w:right w:val="none" w:sz="0" w:space="0" w:color="auto"/>
          </w:divBdr>
        </w:div>
        <w:div w:id="1924560525">
          <w:marLeft w:val="0"/>
          <w:marRight w:val="6538"/>
          <w:marTop w:val="0"/>
          <w:marBottom w:val="0"/>
          <w:divBdr>
            <w:top w:val="none" w:sz="0" w:space="0" w:color="auto"/>
            <w:left w:val="none" w:sz="0" w:space="0" w:color="auto"/>
            <w:bottom w:val="none" w:sz="0" w:space="0" w:color="auto"/>
            <w:right w:val="none" w:sz="0" w:space="0" w:color="auto"/>
          </w:divBdr>
        </w:div>
      </w:divsChild>
    </w:div>
    <w:div w:id="566964921">
      <w:bodyDiv w:val="1"/>
      <w:marLeft w:val="0"/>
      <w:marRight w:val="0"/>
      <w:marTop w:val="0"/>
      <w:marBottom w:val="0"/>
      <w:divBdr>
        <w:top w:val="none" w:sz="0" w:space="0" w:color="auto"/>
        <w:left w:val="none" w:sz="0" w:space="0" w:color="auto"/>
        <w:bottom w:val="none" w:sz="0" w:space="0" w:color="auto"/>
        <w:right w:val="none" w:sz="0" w:space="0" w:color="auto"/>
      </w:divBdr>
    </w:div>
    <w:div w:id="603880791">
      <w:bodyDiv w:val="1"/>
      <w:marLeft w:val="0"/>
      <w:marRight w:val="0"/>
      <w:marTop w:val="0"/>
      <w:marBottom w:val="0"/>
      <w:divBdr>
        <w:top w:val="none" w:sz="0" w:space="0" w:color="auto"/>
        <w:left w:val="none" w:sz="0" w:space="0" w:color="auto"/>
        <w:bottom w:val="none" w:sz="0" w:space="0" w:color="auto"/>
        <w:right w:val="none" w:sz="0" w:space="0" w:color="auto"/>
      </w:divBdr>
    </w:div>
    <w:div w:id="747112476">
      <w:bodyDiv w:val="1"/>
      <w:marLeft w:val="0"/>
      <w:marRight w:val="0"/>
      <w:marTop w:val="0"/>
      <w:marBottom w:val="0"/>
      <w:divBdr>
        <w:top w:val="none" w:sz="0" w:space="0" w:color="auto"/>
        <w:left w:val="none" w:sz="0" w:space="0" w:color="auto"/>
        <w:bottom w:val="none" w:sz="0" w:space="0" w:color="auto"/>
        <w:right w:val="none" w:sz="0" w:space="0" w:color="auto"/>
      </w:divBdr>
    </w:div>
    <w:div w:id="888617017">
      <w:bodyDiv w:val="1"/>
      <w:marLeft w:val="0"/>
      <w:marRight w:val="0"/>
      <w:marTop w:val="0"/>
      <w:marBottom w:val="0"/>
      <w:divBdr>
        <w:top w:val="none" w:sz="0" w:space="0" w:color="auto"/>
        <w:left w:val="none" w:sz="0" w:space="0" w:color="auto"/>
        <w:bottom w:val="none" w:sz="0" w:space="0" w:color="auto"/>
        <w:right w:val="none" w:sz="0" w:space="0" w:color="auto"/>
      </w:divBdr>
      <w:divsChild>
        <w:div w:id="510800373">
          <w:marLeft w:val="0"/>
          <w:marRight w:val="0"/>
          <w:marTop w:val="0"/>
          <w:marBottom w:val="0"/>
          <w:divBdr>
            <w:top w:val="none" w:sz="0" w:space="0" w:color="auto"/>
            <w:left w:val="none" w:sz="0" w:space="0" w:color="auto"/>
            <w:bottom w:val="none" w:sz="0" w:space="0" w:color="auto"/>
            <w:right w:val="none" w:sz="0" w:space="0" w:color="auto"/>
          </w:divBdr>
        </w:div>
        <w:div w:id="678192614">
          <w:marLeft w:val="0"/>
          <w:marRight w:val="0"/>
          <w:marTop w:val="0"/>
          <w:marBottom w:val="0"/>
          <w:divBdr>
            <w:top w:val="none" w:sz="0" w:space="0" w:color="auto"/>
            <w:left w:val="none" w:sz="0" w:space="0" w:color="auto"/>
            <w:bottom w:val="none" w:sz="0" w:space="0" w:color="auto"/>
            <w:right w:val="none" w:sz="0" w:space="0" w:color="auto"/>
          </w:divBdr>
        </w:div>
        <w:div w:id="1644894767">
          <w:marLeft w:val="0"/>
          <w:marRight w:val="0"/>
          <w:marTop w:val="0"/>
          <w:marBottom w:val="0"/>
          <w:divBdr>
            <w:top w:val="none" w:sz="0" w:space="0" w:color="auto"/>
            <w:left w:val="none" w:sz="0" w:space="0" w:color="auto"/>
            <w:bottom w:val="none" w:sz="0" w:space="0" w:color="auto"/>
            <w:right w:val="none" w:sz="0" w:space="0" w:color="auto"/>
          </w:divBdr>
        </w:div>
        <w:div w:id="125973358">
          <w:marLeft w:val="0"/>
          <w:marRight w:val="0"/>
          <w:marTop w:val="0"/>
          <w:marBottom w:val="0"/>
          <w:divBdr>
            <w:top w:val="none" w:sz="0" w:space="0" w:color="auto"/>
            <w:left w:val="none" w:sz="0" w:space="0" w:color="auto"/>
            <w:bottom w:val="none" w:sz="0" w:space="0" w:color="auto"/>
            <w:right w:val="none" w:sz="0" w:space="0" w:color="auto"/>
          </w:divBdr>
        </w:div>
        <w:div w:id="297762316">
          <w:marLeft w:val="0"/>
          <w:marRight w:val="0"/>
          <w:marTop w:val="0"/>
          <w:marBottom w:val="0"/>
          <w:divBdr>
            <w:top w:val="none" w:sz="0" w:space="0" w:color="auto"/>
            <w:left w:val="none" w:sz="0" w:space="0" w:color="auto"/>
            <w:bottom w:val="none" w:sz="0" w:space="0" w:color="auto"/>
            <w:right w:val="none" w:sz="0" w:space="0" w:color="auto"/>
          </w:divBdr>
        </w:div>
        <w:div w:id="1064908691">
          <w:marLeft w:val="0"/>
          <w:marRight w:val="0"/>
          <w:marTop w:val="0"/>
          <w:marBottom w:val="0"/>
          <w:divBdr>
            <w:top w:val="none" w:sz="0" w:space="0" w:color="auto"/>
            <w:left w:val="none" w:sz="0" w:space="0" w:color="auto"/>
            <w:bottom w:val="none" w:sz="0" w:space="0" w:color="auto"/>
            <w:right w:val="none" w:sz="0" w:space="0" w:color="auto"/>
          </w:divBdr>
        </w:div>
        <w:div w:id="204878707">
          <w:marLeft w:val="0"/>
          <w:marRight w:val="0"/>
          <w:marTop w:val="0"/>
          <w:marBottom w:val="0"/>
          <w:divBdr>
            <w:top w:val="none" w:sz="0" w:space="0" w:color="auto"/>
            <w:left w:val="none" w:sz="0" w:space="0" w:color="auto"/>
            <w:bottom w:val="none" w:sz="0" w:space="0" w:color="auto"/>
            <w:right w:val="none" w:sz="0" w:space="0" w:color="auto"/>
          </w:divBdr>
        </w:div>
        <w:div w:id="1333684925">
          <w:marLeft w:val="0"/>
          <w:marRight w:val="0"/>
          <w:marTop w:val="0"/>
          <w:marBottom w:val="0"/>
          <w:divBdr>
            <w:top w:val="none" w:sz="0" w:space="0" w:color="auto"/>
            <w:left w:val="none" w:sz="0" w:space="0" w:color="auto"/>
            <w:bottom w:val="none" w:sz="0" w:space="0" w:color="auto"/>
            <w:right w:val="none" w:sz="0" w:space="0" w:color="auto"/>
          </w:divBdr>
        </w:div>
        <w:div w:id="2028603060">
          <w:marLeft w:val="0"/>
          <w:marRight w:val="0"/>
          <w:marTop w:val="0"/>
          <w:marBottom w:val="0"/>
          <w:divBdr>
            <w:top w:val="none" w:sz="0" w:space="0" w:color="auto"/>
            <w:left w:val="none" w:sz="0" w:space="0" w:color="auto"/>
            <w:bottom w:val="none" w:sz="0" w:space="0" w:color="auto"/>
            <w:right w:val="none" w:sz="0" w:space="0" w:color="auto"/>
          </w:divBdr>
        </w:div>
        <w:div w:id="982462113">
          <w:marLeft w:val="0"/>
          <w:marRight w:val="0"/>
          <w:marTop w:val="0"/>
          <w:marBottom w:val="0"/>
          <w:divBdr>
            <w:top w:val="none" w:sz="0" w:space="0" w:color="auto"/>
            <w:left w:val="none" w:sz="0" w:space="0" w:color="auto"/>
            <w:bottom w:val="none" w:sz="0" w:space="0" w:color="auto"/>
            <w:right w:val="none" w:sz="0" w:space="0" w:color="auto"/>
          </w:divBdr>
        </w:div>
        <w:div w:id="1929460251">
          <w:marLeft w:val="0"/>
          <w:marRight w:val="0"/>
          <w:marTop w:val="0"/>
          <w:marBottom w:val="0"/>
          <w:divBdr>
            <w:top w:val="none" w:sz="0" w:space="0" w:color="auto"/>
            <w:left w:val="none" w:sz="0" w:space="0" w:color="auto"/>
            <w:bottom w:val="none" w:sz="0" w:space="0" w:color="auto"/>
            <w:right w:val="none" w:sz="0" w:space="0" w:color="auto"/>
          </w:divBdr>
        </w:div>
        <w:div w:id="1036925705">
          <w:marLeft w:val="0"/>
          <w:marRight w:val="0"/>
          <w:marTop w:val="0"/>
          <w:marBottom w:val="0"/>
          <w:divBdr>
            <w:top w:val="none" w:sz="0" w:space="0" w:color="auto"/>
            <w:left w:val="none" w:sz="0" w:space="0" w:color="auto"/>
            <w:bottom w:val="none" w:sz="0" w:space="0" w:color="auto"/>
            <w:right w:val="none" w:sz="0" w:space="0" w:color="auto"/>
          </w:divBdr>
        </w:div>
        <w:div w:id="1612466973">
          <w:marLeft w:val="0"/>
          <w:marRight w:val="0"/>
          <w:marTop w:val="0"/>
          <w:marBottom w:val="0"/>
          <w:divBdr>
            <w:top w:val="none" w:sz="0" w:space="0" w:color="auto"/>
            <w:left w:val="none" w:sz="0" w:space="0" w:color="auto"/>
            <w:bottom w:val="none" w:sz="0" w:space="0" w:color="auto"/>
            <w:right w:val="none" w:sz="0" w:space="0" w:color="auto"/>
          </w:divBdr>
        </w:div>
        <w:div w:id="1032876637">
          <w:marLeft w:val="0"/>
          <w:marRight w:val="0"/>
          <w:marTop w:val="0"/>
          <w:marBottom w:val="0"/>
          <w:divBdr>
            <w:top w:val="none" w:sz="0" w:space="0" w:color="auto"/>
            <w:left w:val="none" w:sz="0" w:space="0" w:color="auto"/>
            <w:bottom w:val="none" w:sz="0" w:space="0" w:color="auto"/>
            <w:right w:val="none" w:sz="0" w:space="0" w:color="auto"/>
          </w:divBdr>
        </w:div>
        <w:div w:id="67728627">
          <w:marLeft w:val="0"/>
          <w:marRight w:val="0"/>
          <w:marTop w:val="0"/>
          <w:marBottom w:val="0"/>
          <w:divBdr>
            <w:top w:val="none" w:sz="0" w:space="0" w:color="auto"/>
            <w:left w:val="none" w:sz="0" w:space="0" w:color="auto"/>
            <w:bottom w:val="none" w:sz="0" w:space="0" w:color="auto"/>
            <w:right w:val="none" w:sz="0" w:space="0" w:color="auto"/>
          </w:divBdr>
        </w:div>
        <w:div w:id="659386148">
          <w:marLeft w:val="0"/>
          <w:marRight w:val="0"/>
          <w:marTop w:val="0"/>
          <w:marBottom w:val="0"/>
          <w:divBdr>
            <w:top w:val="none" w:sz="0" w:space="0" w:color="auto"/>
            <w:left w:val="none" w:sz="0" w:space="0" w:color="auto"/>
            <w:bottom w:val="none" w:sz="0" w:space="0" w:color="auto"/>
            <w:right w:val="none" w:sz="0" w:space="0" w:color="auto"/>
          </w:divBdr>
        </w:div>
        <w:div w:id="1317034679">
          <w:marLeft w:val="0"/>
          <w:marRight w:val="0"/>
          <w:marTop w:val="0"/>
          <w:marBottom w:val="0"/>
          <w:divBdr>
            <w:top w:val="none" w:sz="0" w:space="0" w:color="auto"/>
            <w:left w:val="none" w:sz="0" w:space="0" w:color="auto"/>
            <w:bottom w:val="none" w:sz="0" w:space="0" w:color="auto"/>
            <w:right w:val="none" w:sz="0" w:space="0" w:color="auto"/>
          </w:divBdr>
        </w:div>
      </w:divsChild>
    </w:div>
    <w:div w:id="971715260">
      <w:bodyDiv w:val="1"/>
      <w:marLeft w:val="0"/>
      <w:marRight w:val="0"/>
      <w:marTop w:val="0"/>
      <w:marBottom w:val="0"/>
      <w:divBdr>
        <w:top w:val="none" w:sz="0" w:space="0" w:color="auto"/>
        <w:left w:val="none" w:sz="0" w:space="0" w:color="auto"/>
        <w:bottom w:val="none" w:sz="0" w:space="0" w:color="auto"/>
        <w:right w:val="none" w:sz="0" w:space="0" w:color="auto"/>
      </w:divBdr>
    </w:div>
    <w:div w:id="1533499686">
      <w:bodyDiv w:val="1"/>
      <w:marLeft w:val="0"/>
      <w:marRight w:val="0"/>
      <w:marTop w:val="0"/>
      <w:marBottom w:val="0"/>
      <w:divBdr>
        <w:top w:val="none" w:sz="0" w:space="0" w:color="auto"/>
        <w:left w:val="none" w:sz="0" w:space="0" w:color="auto"/>
        <w:bottom w:val="none" w:sz="0" w:space="0" w:color="auto"/>
        <w:right w:val="none" w:sz="0" w:space="0" w:color="auto"/>
      </w:divBdr>
    </w:div>
    <w:div w:id="1552693346">
      <w:bodyDiv w:val="1"/>
      <w:marLeft w:val="0"/>
      <w:marRight w:val="0"/>
      <w:marTop w:val="0"/>
      <w:marBottom w:val="0"/>
      <w:divBdr>
        <w:top w:val="none" w:sz="0" w:space="0" w:color="auto"/>
        <w:left w:val="none" w:sz="0" w:space="0" w:color="auto"/>
        <w:bottom w:val="none" w:sz="0" w:space="0" w:color="auto"/>
        <w:right w:val="none" w:sz="0" w:space="0" w:color="auto"/>
      </w:divBdr>
      <w:divsChild>
        <w:div w:id="617759991">
          <w:marLeft w:val="0"/>
          <w:marRight w:val="0"/>
          <w:marTop w:val="0"/>
          <w:marBottom w:val="0"/>
          <w:divBdr>
            <w:top w:val="none" w:sz="0" w:space="0" w:color="auto"/>
            <w:left w:val="none" w:sz="0" w:space="0" w:color="auto"/>
            <w:bottom w:val="none" w:sz="0" w:space="0" w:color="auto"/>
            <w:right w:val="none" w:sz="0" w:space="0" w:color="auto"/>
          </w:divBdr>
        </w:div>
        <w:div w:id="1406415340">
          <w:marLeft w:val="0"/>
          <w:marRight w:val="0"/>
          <w:marTop w:val="0"/>
          <w:marBottom w:val="0"/>
          <w:divBdr>
            <w:top w:val="none" w:sz="0" w:space="0" w:color="auto"/>
            <w:left w:val="none" w:sz="0" w:space="0" w:color="auto"/>
            <w:bottom w:val="none" w:sz="0" w:space="0" w:color="auto"/>
            <w:right w:val="none" w:sz="0" w:space="0" w:color="auto"/>
          </w:divBdr>
        </w:div>
        <w:div w:id="1327132394">
          <w:marLeft w:val="0"/>
          <w:marRight w:val="0"/>
          <w:marTop w:val="0"/>
          <w:marBottom w:val="0"/>
          <w:divBdr>
            <w:top w:val="none" w:sz="0" w:space="0" w:color="auto"/>
            <w:left w:val="none" w:sz="0" w:space="0" w:color="auto"/>
            <w:bottom w:val="none" w:sz="0" w:space="0" w:color="auto"/>
            <w:right w:val="none" w:sz="0" w:space="0" w:color="auto"/>
          </w:divBdr>
        </w:div>
        <w:div w:id="774596413">
          <w:marLeft w:val="0"/>
          <w:marRight w:val="0"/>
          <w:marTop w:val="0"/>
          <w:marBottom w:val="0"/>
          <w:divBdr>
            <w:top w:val="none" w:sz="0" w:space="0" w:color="auto"/>
            <w:left w:val="none" w:sz="0" w:space="0" w:color="auto"/>
            <w:bottom w:val="none" w:sz="0" w:space="0" w:color="auto"/>
            <w:right w:val="none" w:sz="0" w:space="0" w:color="auto"/>
          </w:divBdr>
        </w:div>
        <w:div w:id="713162966">
          <w:marLeft w:val="0"/>
          <w:marRight w:val="0"/>
          <w:marTop w:val="0"/>
          <w:marBottom w:val="0"/>
          <w:divBdr>
            <w:top w:val="none" w:sz="0" w:space="0" w:color="auto"/>
            <w:left w:val="none" w:sz="0" w:space="0" w:color="auto"/>
            <w:bottom w:val="none" w:sz="0" w:space="0" w:color="auto"/>
            <w:right w:val="none" w:sz="0" w:space="0" w:color="auto"/>
          </w:divBdr>
        </w:div>
        <w:div w:id="582564357">
          <w:marLeft w:val="0"/>
          <w:marRight w:val="0"/>
          <w:marTop w:val="0"/>
          <w:marBottom w:val="0"/>
          <w:divBdr>
            <w:top w:val="none" w:sz="0" w:space="0" w:color="auto"/>
            <w:left w:val="none" w:sz="0" w:space="0" w:color="auto"/>
            <w:bottom w:val="none" w:sz="0" w:space="0" w:color="auto"/>
            <w:right w:val="none" w:sz="0" w:space="0" w:color="auto"/>
          </w:divBdr>
        </w:div>
      </w:divsChild>
    </w:div>
    <w:div w:id="1630473501">
      <w:bodyDiv w:val="1"/>
      <w:marLeft w:val="0"/>
      <w:marRight w:val="0"/>
      <w:marTop w:val="0"/>
      <w:marBottom w:val="0"/>
      <w:divBdr>
        <w:top w:val="none" w:sz="0" w:space="0" w:color="auto"/>
        <w:left w:val="none" w:sz="0" w:space="0" w:color="auto"/>
        <w:bottom w:val="none" w:sz="0" w:space="0" w:color="auto"/>
        <w:right w:val="none" w:sz="0" w:space="0" w:color="auto"/>
      </w:divBdr>
    </w:div>
    <w:div w:id="1967078910">
      <w:bodyDiv w:val="1"/>
      <w:marLeft w:val="0"/>
      <w:marRight w:val="0"/>
      <w:marTop w:val="0"/>
      <w:marBottom w:val="0"/>
      <w:divBdr>
        <w:top w:val="none" w:sz="0" w:space="0" w:color="auto"/>
        <w:left w:val="none" w:sz="0" w:space="0" w:color="auto"/>
        <w:bottom w:val="none" w:sz="0" w:space="0" w:color="auto"/>
        <w:right w:val="none" w:sz="0" w:space="0" w:color="auto"/>
      </w:divBdr>
    </w:div>
    <w:div w:id="1982079805">
      <w:bodyDiv w:val="1"/>
      <w:marLeft w:val="0"/>
      <w:marRight w:val="0"/>
      <w:marTop w:val="0"/>
      <w:marBottom w:val="0"/>
      <w:divBdr>
        <w:top w:val="none" w:sz="0" w:space="0" w:color="auto"/>
        <w:left w:val="none" w:sz="0" w:space="0" w:color="auto"/>
        <w:bottom w:val="none" w:sz="0" w:space="0" w:color="auto"/>
        <w:right w:val="none" w:sz="0" w:space="0" w:color="auto"/>
      </w:divBdr>
    </w:div>
    <w:div w:id="21346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lu.org/religion-belief/establishment-clause-and-schools-legal-bulletin" TargetMode="External"/><Relationship Id="rId13" Type="http://schemas.openxmlformats.org/officeDocument/2006/relationships/hyperlink" Target="http://ffrf.org/news/news-releases/item/20870-ffrf-s-full-page-ad-in-new-york-times-to-protest-hobby-lobby-ruling" TargetMode="External"/><Relationship Id="rId18" Type="http://schemas.openxmlformats.org/officeDocument/2006/relationships/hyperlink" Target="http://www.pewresearch.org/fact-tank/2013/10/23/5-facts-about-atheis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ffrf.org/news/action/item/20865-ask-congress-to-counter-supreme-court-s-hobby-lobby-ruling" TargetMode="External"/><Relationship Id="rId17" Type="http://schemas.openxmlformats.org/officeDocument/2006/relationships/hyperlink" Target="http://www.law.cornell.edu/supct/background/03-1693_ref.html" TargetMode="External"/><Relationship Id="rId2" Type="http://schemas.openxmlformats.org/officeDocument/2006/relationships/numbering" Target="numbering.xml"/><Relationship Id="rId16" Type="http://schemas.openxmlformats.org/officeDocument/2006/relationships/hyperlink" Target="http://www.loc.gov/loc/lcib/9806/danpr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frf.org/legal/challenges" TargetMode="External"/><Relationship Id="rId5" Type="http://schemas.openxmlformats.org/officeDocument/2006/relationships/webSettings" Target="webSettings.xml"/><Relationship Id="rId15" Type="http://schemas.openxmlformats.org/officeDocument/2006/relationships/hyperlink" Target="http://www.aclu-in.org/news/36-news-with-photos/289-aclu-of-indiana-testimony-on-religious-freedom-bills" TargetMode="External"/><Relationship Id="rId10" Type="http://schemas.openxmlformats.org/officeDocument/2006/relationships/hyperlink" Target="http://wane.com/2015/03/16/rallies-draw-hundreds-for-religious-objections-bill-hearing/" TargetMode="External"/><Relationship Id="rId19" Type="http://schemas.openxmlformats.org/officeDocument/2006/relationships/hyperlink" Target="http://www.huffingtonpost.com/2013/08/26/freedom-from-religion-foundation_n_3818147.html" TargetMode="External"/><Relationship Id="rId4" Type="http://schemas.openxmlformats.org/officeDocument/2006/relationships/settings" Target="settings.xml"/><Relationship Id="rId9" Type="http://schemas.openxmlformats.org/officeDocument/2006/relationships/hyperlink" Target="https://www.au.org/our-work/legal/lawsuits/mccreary-county-v-aclu-of-kentucky" TargetMode="External"/><Relationship Id="rId14" Type="http://schemas.openxmlformats.org/officeDocument/2006/relationships/hyperlink" Target="http://rfraperils.com/abou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BDD07-37A2-4C63-8D33-0020FDCCC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11653</Words>
  <Characters>66423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77921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 Libraries</dc:creator>
  <cp:lastModifiedBy>Joseph Wuest</cp:lastModifiedBy>
  <cp:revision>3</cp:revision>
  <dcterms:created xsi:type="dcterms:W3CDTF">2015-03-19T18:38:00Z</dcterms:created>
  <dcterms:modified xsi:type="dcterms:W3CDTF">2015-03-19T18:38:00Z</dcterms:modified>
</cp:coreProperties>
</file>