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731EEF" w:rsidRDefault="00731EEF" w:rsidP="00AC497D">
      <w:pPr>
        <w:pStyle w:val="NoSpacing"/>
        <w:jc w:val="center"/>
        <w:rPr>
          <w:rFonts w:ascii="Times New Roman" w:hAnsi="Times New Roman" w:cs="Times New Roman"/>
          <w:b/>
          <w:bCs/>
          <w:sz w:val="24"/>
        </w:rPr>
      </w:pPr>
    </w:p>
    <w:p w:rsidR="00AC497D" w:rsidRPr="00C10800" w:rsidRDefault="00AC497D" w:rsidP="00AC497D">
      <w:pPr>
        <w:pStyle w:val="NoSpacing"/>
        <w:jc w:val="center"/>
        <w:rPr>
          <w:rFonts w:ascii="Times New Roman" w:hAnsi="Times New Roman" w:cs="Times New Roman"/>
          <w:b/>
          <w:bCs/>
          <w:sz w:val="24"/>
        </w:rPr>
      </w:pPr>
      <w:r>
        <w:rPr>
          <w:rFonts w:ascii="Times New Roman" w:hAnsi="Times New Roman" w:cs="Times New Roman"/>
          <w:b/>
          <w:bCs/>
          <w:sz w:val="24"/>
        </w:rPr>
        <w:t>MEASURING OMAN’S FOOD SECURITY OUTLOOK FOR CRISIS AVERSION</w:t>
      </w:r>
    </w:p>
    <w:p w:rsidR="00AC497D" w:rsidRPr="00C10800" w:rsidRDefault="00AC497D" w:rsidP="00AC497D">
      <w:pPr>
        <w:pStyle w:val="NoSpacing"/>
        <w:jc w:val="center"/>
        <w:rPr>
          <w:rFonts w:ascii="Times New Roman" w:hAnsi="Times New Roman" w:cs="Times New Roman"/>
          <w:sz w:val="24"/>
        </w:rPr>
      </w:pPr>
      <w:r w:rsidRPr="00C10800">
        <w:rPr>
          <w:rFonts w:ascii="Times New Roman" w:hAnsi="Times New Roman" w:cs="Times New Roman"/>
          <w:sz w:val="24"/>
        </w:rPr>
        <w:t>by</w:t>
      </w:r>
    </w:p>
    <w:p w:rsidR="00AC497D" w:rsidRPr="00C10800" w:rsidRDefault="00AC497D" w:rsidP="00AC497D">
      <w:pPr>
        <w:pStyle w:val="NoSpacing"/>
        <w:jc w:val="center"/>
        <w:rPr>
          <w:rFonts w:ascii="Times New Roman" w:hAnsi="Times New Roman" w:cs="Times New Roman"/>
          <w:sz w:val="24"/>
        </w:rPr>
      </w:pPr>
    </w:p>
    <w:p w:rsidR="00AC497D" w:rsidRPr="00C10800" w:rsidRDefault="00AC497D" w:rsidP="00AC497D">
      <w:pPr>
        <w:pStyle w:val="NoSpacing"/>
        <w:jc w:val="center"/>
        <w:rPr>
          <w:rFonts w:ascii="Times New Roman" w:hAnsi="Times New Roman" w:cs="Times New Roman"/>
          <w:sz w:val="24"/>
        </w:rPr>
      </w:pPr>
      <w:r w:rsidRPr="00C10800">
        <w:rPr>
          <w:rFonts w:ascii="Times New Roman" w:hAnsi="Times New Roman" w:cs="Times New Roman"/>
          <w:sz w:val="24"/>
        </w:rPr>
        <w:t>Midshipman 1/</w:t>
      </w:r>
      <w:r>
        <w:rPr>
          <w:rFonts w:ascii="Times New Roman" w:hAnsi="Times New Roman" w:cs="Times New Roman"/>
          <w:sz w:val="24"/>
        </w:rPr>
        <w:t>C</w:t>
      </w:r>
      <w:r w:rsidRPr="00C10800">
        <w:rPr>
          <w:rFonts w:ascii="Times New Roman" w:hAnsi="Times New Roman" w:cs="Times New Roman"/>
          <w:sz w:val="24"/>
        </w:rPr>
        <w:t xml:space="preserve"> </w:t>
      </w:r>
      <w:r>
        <w:rPr>
          <w:rFonts w:ascii="Times New Roman" w:hAnsi="Times New Roman" w:cs="Times New Roman"/>
          <w:sz w:val="24"/>
        </w:rPr>
        <w:t>Andrea R. Howard</w:t>
      </w:r>
    </w:p>
    <w:p w:rsidR="00AC497D" w:rsidRPr="00C10800" w:rsidRDefault="00AC497D" w:rsidP="00AC497D">
      <w:pPr>
        <w:pStyle w:val="NoSpacing"/>
        <w:jc w:val="center"/>
        <w:rPr>
          <w:rFonts w:ascii="Times New Roman" w:hAnsi="Times New Roman" w:cs="Times New Roman"/>
          <w:sz w:val="24"/>
        </w:rPr>
      </w:pPr>
      <w:r w:rsidRPr="00C10800">
        <w:rPr>
          <w:rFonts w:ascii="Times New Roman" w:hAnsi="Times New Roman" w:cs="Times New Roman"/>
          <w:sz w:val="24"/>
        </w:rPr>
        <w:t>United States Naval Academy</w:t>
      </w:r>
    </w:p>
    <w:p w:rsidR="00AC497D" w:rsidRPr="00C10800" w:rsidRDefault="00AC497D" w:rsidP="00AC497D">
      <w:pPr>
        <w:pStyle w:val="NoSpacing"/>
        <w:jc w:val="center"/>
        <w:rPr>
          <w:rFonts w:ascii="Times New Roman" w:hAnsi="Times New Roman" w:cs="Times New Roman"/>
          <w:sz w:val="24"/>
        </w:rPr>
      </w:pPr>
      <w:r w:rsidRPr="00C10800">
        <w:rPr>
          <w:rFonts w:ascii="Times New Roman" w:hAnsi="Times New Roman" w:cs="Times New Roman"/>
          <w:sz w:val="24"/>
        </w:rPr>
        <w:t>Annapolis, Maryland</w:t>
      </w:r>
    </w:p>
    <w:p w:rsidR="00AC497D" w:rsidRPr="00C10800" w:rsidRDefault="00AC497D" w:rsidP="00AC497D">
      <w:pPr>
        <w:pStyle w:val="NoSpacing"/>
        <w:jc w:val="center"/>
        <w:rPr>
          <w:rFonts w:ascii="Times New Roman" w:hAnsi="Times New Roman" w:cs="Times New Roman"/>
          <w:sz w:val="24"/>
        </w:rPr>
      </w:pPr>
    </w:p>
    <w:p w:rsidR="00731EEF" w:rsidRDefault="00731EEF" w:rsidP="00731EEF">
      <w:pPr>
        <w:tabs>
          <w:tab w:val="left" w:pos="0"/>
        </w:tabs>
        <w:spacing w:after="0" w:line="480" w:lineRule="auto"/>
        <w:rPr>
          <w:rFonts w:asciiTheme="majorBidi" w:hAnsiTheme="majorBidi" w:cstheme="majorBidi"/>
          <w:sz w:val="24"/>
          <w:szCs w:val="24"/>
          <w:shd w:val="clear" w:color="auto" w:fill="FFFFFF"/>
        </w:rPr>
      </w:pPr>
    </w:p>
    <w:p w:rsidR="00731EEF" w:rsidRDefault="00731EEF" w:rsidP="00731EEF">
      <w:pPr>
        <w:tabs>
          <w:tab w:val="left" w:pos="0"/>
        </w:tabs>
        <w:spacing w:after="0" w:line="480" w:lineRule="auto"/>
        <w:rPr>
          <w:rFonts w:asciiTheme="majorBidi" w:hAnsiTheme="majorBidi" w:cstheme="majorBidi"/>
          <w:sz w:val="24"/>
          <w:szCs w:val="24"/>
          <w:shd w:val="clear" w:color="auto" w:fill="FFFFFF"/>
        </w:rPr>
      </w:pPr>
    </w:p>
    <w:p w:rsidR="00731EEF" w:rsidRDefault="00731EEF" w:rsidP="00731EEF">
      <w:pPr>
        <w:tabs>
          <w:tab w:val="left" w:pos="0"/>
        </w:tabs>
        <w:spacing w:after="0" w:line="480" w:lineRule="auto"/>
        <w:rPr>
          <w:rFonts w:asciiTheme="majorBidi" w:hAnsiTheme="majorBidi" w:cstheme="majorBidi"/>
          <w:sz w:val="24"/>
          <w:szCs w:val="24"/>
          <w:shd w:val="clear" w:color="auto" w:fill="FFFFFF"/>
        </w:rPr>
      </w:pPr>
    </w:p>
    <w:p w:rsidR="00731EEF" w:rsidRDefault="00731EEF" w:rsidP="00731EEF">
      <w:pPr>
        <w:tabs>
          <w:tab w:val="left" w:pos="0"/>
        </w:tabs>
        <w:spacing w:after="0" w:line="480" w:lineRule="auto"/>
        <w:rPr>
          <w:rFonts w:asciiTheme="majorBidi" w:hAnsiTheme="majorBidi" w:cstheme="majorBidi"/>
          <w:sz w:val="24"/>
          <w:szCs w:val="24"/>
          <w:shd w:val="clear" w:color="auto" w:fill="FFFFFF"/>
        </w:rPr>
      </w:pPr>
    </w:p>
    <w:p w:rsidR="00731EEF" w:rsidRDefault="00731EEF" w:rsidP="00731EEF">
      <w:pPr>
        <w:tabs>
          <w:tab w:val="left" w:pos="0"/>
        </w:tabs>
        <w:spacing w:after="0" w:line="480" w:lineRule="auto"/>
        <w:rPr>
          <w:rFonts w:asciiTheme="majorBidi" w:hAnsiTheme="majorBidi" w:cstheme="majorBidi"/>
          <w:sz w:val="24"/>
          <w:szCs w:val="24"/>
          <w:shd w:val="clear" w:color="auto" w:fill="FFFFFF"/>
        </w:rPr>
      </w:pPr>
    </w:p>
    <w:p w:rsidR="00731EEF" w:rsidRDefault="00731EEF" w:rsidP="00731EEF">
      <w:pPr>
        <w:tabs>
          <w:tab w:val="left" w:pos="0"/>
        </w:tabs>
        <w:spacing w:after="0" w:line="480" w:lineRule="auto"/>
        <w:rPr>
          <w:rFonts w:asciiTheme="majorBidi" w:hAnsiTheme="majorBidi" w:cstheme="majorBidi"/>
          <w:sz w:val="24"/>
          <w:szCs w:val="24"/>
          <w:shd w:val="clear" w:color="auto" w:fill="FFFFFF"/>
        </w:rPr>
      </w:pPr>
    </w:p>
    <w:p w:rsidR="00731EEF" w:rsidRDefault="00731EEF" w:rsidP="00731EEF">
      <w:pPr>
        <w:tabs>
          <w:tab w:val="left" w:pos="0"/>
        </w:tabs>
        <w:spacing w:after="0" w:line="480" w:lineRule="auto"/>
        <w:rPr>
          <w:rFonts w:asciiTheme="majorBidi" w:hAnsiTheme="majorBidi" w:cstheme="majorBidi"/>
          <w:sz w:val="24"/>
          <w:szCs w:val="24"/>
          <w:shd w:val="clear" w:color="auto" w:fill="FFFFFF"/>
        </w:rPr>
      </w:pPr>
    </w:p>
    <w:p w:rsidR="00731EEF" w:rsidRDefault="00731EEF" w:rsidP="00731EEF">
      <w:pPr>
        <w:tabs>
          <w:tab w:val="left" w:pos="0"/>
        </w:tabs>
        <w:spacing w:after="0" w:line="480" w:lineRule="auto"/>
        <w:rPr>
          <w:rFonts w:asciiTheme="majorBidi" w:hAnsiTheme="majorBidi" w:cstheme="majorBidi"/>
          <w:sz w:val="24"/>
          <w:szCs w:val="24"/>
          <w:shd w:val="clear" w:color="auto" w:fill="FFFFFF"/>
        </w:rPr>
      </w:pPr>
    </w:p>
    <w:p w:rsidR="00731EEF" w:rsidRDefault="00731EEF" w:rsidP="00731EEF">
      <w:pPr>
        <w:tabs>
          <w:tab w:val="left" w:pos="0"/>
        </w:tabs>
        <w:spacing w:after="0" w:line="480" w:lineRule="auto"/>
        <w:rPr>
          <w:rFonts w:asciiTheme="majorBidi" w:hAnsiTheme="majorBidi" w:cstheme="majorBidi"/>
          <w:sz w:val="24"/>
          <w:szCs w:val="24"/>
          <w:shd w:val="clear" w:color="auto" w:fill="FFFFFF"/>
        </w:rPr>
      </w:pPr>
    </w:p>
    <w:p w:rsidR="00731EEF" w:rsidRDefault="00731EEF" w:rsidP="00731EEF">
      <w:pPr>
        <w:tabs>
          <w:tab w:val="left" w:pos="0"/>
        </w:tabs>
        <w:spacing w:after="0" w:line="480" w:lineRule="auto"/>
        <w:rPr>
          <w:rFonts w:asciiTheme="majorBidi" w:hAnsiTheme="majorBidi" w:cstheme="majorBidi"/>
          <w:sz w:val="24"/>
          <w:szCs w:val="24"/>
          <w:shd w:val="clear" w:color="auto" w:fill="FFFFFF"/>
        </w:rPr>
      </w:pPr>
    </w:p>
    <w:p w:rsidR="00FC3A4B" w:rsidRPr="00FC3A4B" w:rsidRDefault="00FC3A4B" w:rsidP="00731EEF">
      <w:pPr>
        <w:tabs>
          <w:tab w:val="left" w:pos="0"/>
        </w:tabs>
        <w:spacing w:after="0"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ab/>
      </w:r>
      <w:r w:rsidRPr="00FC3A4B">
        <w:rPr>
          <w:rFonts w:asciiTheme="majorBidi" w:hAnsiTheme="majorBidi" w:cstheme="majorBidi"/>
          <w:sz w:val="24"/>
          <w:szCs w:val="24"/>
          <w:shd w:val="clear" w:color="auto" w:fill="FFFFFF"/>
        </w:rPr>
        <w:t>Insecurity of food and water supplies in the Arabian Gulf is an important concern for stability in the region, where national security policy and food security policy interrelate. Even with three wars in Libya, Yemen, and Syria and several government overthrows in 2011—a year marked by doubled world grain prices—Arabian Gulf nations, other than Qatar, appear hesitant to publically declare the severity of impending food and water insecurity. In Oman, population growth at 4.98% between 2003 and 2013, an expatriate community comprising 44% of the total population, salinization issues and sinking groundwater tables, rising obesity, a culture of overindulgence, an overreliance on imported food, and instability in the international marketplace threaten the adequacy of the food and water supply.</w:t>
      </w:r>
      <w:r w:rsidR="00731EEF">
        <w:rPr>
          <w:rStyle w:val="FootnoteReference"/>
          <w:rFonts w:asciiTheme="majorBidi" w:hAnsiTheme="majorBidi" w:cstheme="majorBidi"/>
          <w:sz w:val="24"/>
          <w:szCs w:val="24"/>
          <w:shd w:val="clear" w:color="auto" w:fill="FFFFFF"/>
        </w:rPr>
        <w:footnoteReference w:id="1"/>
      </w:r>
    </w:p>
    <w:p w:rsidR="00FC3A4B" w:rsidRPr="00FC3A4B" w:rsidRDefault="00FC3A4B" w:rsidP="00731EEF">
      <w:pPr>
        <w:tabs>
          <w:tab w:val="left" w:pos="0"/>
        </w:tabs>
        <w:spacing w:after="0"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Pr="00FC3A4B">
        <w:rPr>
          <w:rFonts w:asciiTheme="majorBidi" w:hAnsiTheme="majorBidi" w:cstheme="majorBidi"/>
          <w:sz w:val="24"/>
          <w:szCs w:val="24"/>
          <w:shd w:val="clear" w:color="auto" w:fill="FFFFFF"/>
        </w:rPr>
        <w:t>This project endeavors to quantify the sensitivity of Oman’s food security strategy to various shocks with a Bayesian belief network (BBN).  A BBN is a model that estimates changes in conditional probability, given assumptions about the causal relationships between variables. In this present study, the probability that the daily energy supply (DES) exceeds a healthy lower bound, estimated at 2100 kilocalories/person/day, serves as the primary output of the BBN.</w:t>
      </w:r>
      <w:r w:rsidR="00731EEF">
        <w:rPr>
          <w:rStyle w:val="FootnoteReference"/>
          <w:rFonts w:asciiTheme="majorBidi" w:hAnsiTheme="majorBidi" w:cstheme="majorBidi"/>
          <w:sz w:val="24"/>
          <w:szCs w:val="24"/>
          <w:shd w:val="clear" w:color="auto" w:fill="FFFFFF"/>
        </w:rPr>
        <w:footnoteReference w:id="2"/>
      </w:r>
      <w:r w:rsidRPr="00FC3A4B">
        <w:rPr>
          <w:rFonts w:asciiTheme="majorBidi" w:hAnsiTheme="majorBidi" w:cstheme="majorBidi"/>
          <w:sz w:val="24"/>
          <w:szCs w:val="24"/>
          <w:shd w:val="clear" w:color="auto" w:fill="FFFFFF"/>
        </w:rPr>
        <w:t xml:space="preserve"> The inputs to the BBN are eighteen variables organized into four categories: energy, trade, domestic agriculture, and human factors. Statistical analyses connect each of these input variables to historical effects on the output variable, DES. </w:t>
      </w:r>
    </w:p>
    <w:p w:rsidR="00FC3A4B" w:rsidRPr="00FC3A4B" w:rsidRDefault="00FC3A4B" w:rsidP="00731EEF">
      <w:pPr>
        <w:tabs>
          <w:tab w:val="left" w:pos="0"/>
        </w:tabs>
        <w:spacing w:after="0"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Pr="00FC3A4B">
        <w:rPr>
          <w:rFonts w:asciiTheme="majorBidi" w:hAnsiTheme="majorBidi" w:cstheme="majorBidi"/>
          <w:sz w:val="24"/>
          <w:szCs w:val="24"/>
          <w:shd w:val="clear" w:color="auto" w:fill="FFFFFF"/>
        </w:rPr>
        <w:t xml:space="preserve">The BBN is then used to test the sensitivity of DES in possible future scenarios. Example scenarios include (1) an international refusal to sell cereals to Oman, (2) a plummet in the price of oil, and (3) the mass emigration of the expatriate workforce from Oman. By focusing on DES, the model meets the standard international definition of a food secure nation and provides an indication of how possible future events could affect the food security of Oman. Beyond the </w:t>
      </w:r>
      <w:r w:rsidRPr="00FC3A4B">
        <w:rPr>
          <w:rFonts w:asciiTheme="majorBidi" w:hAnsiTheme="majorBidi" w:cstheme="majorBidi"/>
          <w:sz w:val="24"/>
          <w:szCs w:val="24"/>
          <w:shd w:val="clear" w:color="auto" w:fill="FFFFFF"/>
        </w:rPr>
        <w:lastRenderedPageBreak/>
        <w:t xml:space="preserve">specific model results, this effort also serves as a template and model for building future studies that could help identify—and avert—crises before they happen. </w:t>
      </w:r>
    </w:p>
    <w:p w:rsidR="00537960" w:rsidRPr="00552FE9" w:rsidRDefault="00BE6FAA" w:rsidP="00537960">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537960">
        <w:rPr>
          <w:rFonts w:ascii="Times New Roman" w:eastAsia="Times New Roman" w:hAnsi="Times New Roman" w:cs="Times New Roman"/>
          <w:b/>
          <w:bCs/>
          <w:sz w:val="24"/>
          <w:szCs w:val="24"/>
        </w:rPr>
        <w:t xml:space="preserve">. </w:t>
      </w:r>
      <w:r w:rsidR="00537960">
        <w:rPr>
          <w:rFonts w:ascii="Times New Roman" w:eastAsia="Times New Roman" w:hAnsi="Times New Roman" w:cs="Times New Roman"/>
          <w:b/>
          <w:bCs/>
          <w:sz w:val="24"/>
          <w:szCs w:val="24"/>
        </w:rPr>
        <w:tab/>
      </w:r>
      <w:r w:rsidR="00537960">
        <w:rPr>
          <w:rFonts w:ascii="Times New Roman" w:eastAsia="Times New Roman" w:hAnsi="Times New Roman" w:cs="Times New Roman"/>
          <w:b/>
          <w:bCs/>
          <w:sz w:val="24"/>
          <w:szCs w:val="24"/>
        </w:rPr>
        <w:tab/>
        <w:t>Constructing the Bayesian Belief Network</w:t>
      </w:r>
    </w:p>
    <w:p w:rsidR="00537960" w:rsidRDefault="00537960" w:rsidP="00581785">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Eighteen variables were included as eighteen nodes in the Bayesian belief network. This section presents each variable in three portions: (1) </w:t>
      </w:r>
      <w:r w:rsidR="00D8668E">
        <w:rPr>
          <w:rFonts w:ascii="Times New Roman" w:eastAsia="Times New Roman" w:hAnsi="Times New Roman" w:cs="Times New Roman"/>
          <w:sz w:val="24"/>
          <w:szCs w:val="24"/>
        </w:rPr>
        <w:t>establishing</w:t>
      </w:r>
      <w:r>
        <w:rPr>
          <w:rFonts w:ascii="Times New Roman" w:eastAsia="Times New Roman" w:hAnsi="Times New Roman" w:cs="Times New Roman"/>
          <w:sz w:val="24"/>
          <w:szCs w:val="24"/>
        </w:rPr>
        <w:t xml:space="preserve"> the causal relationships of the node to its surrounding nodes, (2) defining the dataset and binning for the variable, and (3) presenting the conditional probabilities for the node, where each column in the conditional probability tables sums to 1. The variables are further clustered by the four aforementioned categories: </w:t>
      </w:r>
      <w:r>
        <w:rPr>
          <w:rFonts w:asciiTheme="majorBidi" w:hAnsiTheme="majorBidi" w:cstheme="majorBidi"/>
          <w:sz w:val="24"/>
          <w:szCs w:val="24"/>
          <w:shd w:val="clear" w:color="auto" w:fill="FFFFFF"/>
        </w:rPr>
        <w:t>(1) energy</w:t>
      </w:r>
      <w:r w:rsidRPr="005E6D7D">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(2) trade, (3) domestic agriculture, and (4) human factors. </w:t>
      </w:r>
      <w:r>
        <w:rPr>
          <w:rFonts w:ascii="Times New Roman" w:eastAsia="Times New Roman" w:hAnsi="Times New Roman" w:cs="Times New Roman"/>
          <w:sz w:val="24"/>
          <w:szCs w:val="24"/>
        </w:rPr>
        <w:t xml:space="preserve">The entire network is presented in </w:t>
      </w:r>
      <w:r w:rsidRPr="008E0E87">
        <w:rPr>
          <w:rFonts w:ascii="Times New Roman" w:eastAsia="Times New Roman" w:hAnsi="Times New Roman" w:cs="Times New Roman"/>
          <w:sz w:val="24"/>
          <w:szCs w:val="24"/>
        </w:rPr>
        <w:t xml:space="preserve">Figure </w:t>
      </w:r>
      <w:r w:rsidR="00581785" w:rsidRPr="008E0E8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with categorization.</w:t>
      </w:r>
      <w:r w:rsidR="00D8668E" w:rsidRPr="00D8668E">
        <w:rPr>
          <w:noProof/>
        </w:rPr>
        <w:t xml:space="preserve"> </w:t>
      </w:r>
      <w:r w:rsidR="00D8668E">
        <w:rPr>
          <w:noProof/>
        </w:rPr>
        <w:drawing>
          <wp:inline distT="0" distB="0" distL="0" distR="0" wp14:anchorId="7ACB30B3" wp14:editId="601836CA">
            <wp:extent cx="5786651" cy="427631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01661" cy="4287404"/>
                    </a:xfrm>
                    <a:prstGeom prst="rect">
                      <a:avLst/>
                    </a:prstGeom>
                  </pic:spPr>
                </pic:pic>
              </a:graphicData>
            </a:graphic>
          </wp:inline>
        </w:drawing>
      </w:r>
    </w:p>
    <w:p w:rsidR="00537960" w:rsidRDefault="00537960" w:rsidP="00581785">
      <w:pPr>
        <w:widowControl w:val="0"/>
        <w:autoSpaceDE w:val="0"/>
        <w:autoSpaceDN w:val="0"/>
        <w:adjustRightInd w:val="0"/>
        <w:spacing w:after="0" w:line="480" w:lineRule="auto"/>
        <w:jc w:val="center"/>
        <w:rPr>
          <w:rFonts w:asciiTheme="majorBidi" w:hAnsiTheme="majorBidi" w:cstheme="majorBidi"/>
          <w:b/>
          <w:bCs/>
          <w:noProof/>
          <w:sz w:val="24"/>
          <w:szCs w:val="24"/>
        </w:rPr>
      </w:pPr>
      <w:r w:rsidRPr="008E0E87">
        <w:rPr>
          <w:rFonts w:asciiTheme="majorBidi" w:hAnsiTheme="majorBidi" w:cstheme="majorBidi"/>
          <w:b/>
          <w:bCs/>
          <w:sz w:val="24"/>
          <w:szCs w:val="24"/>
        </w:rPr>
        <w:t>Figure</w:t>
      </w:r>
      <w:r w:rsidR="00D8668E" w:rsidRPr="008E0E87">
        <w:rPr>
          <w:rFonts w:asciiTheme="majorBidi" w:hAnsiTheme="majorBidi" w:cstheme="majorBidi"/>
          <w:b/>
          <w:bCs/>
          <w:sz w:val="24"/>
          <w:szCs w:val="24"/>
        </w:rPr>
        <w:t xml:space="preserve"> </w:t>
      </w:r>
      <w:r w:rsidR="00581785" w:rsidRPr="008E0E87">
        <w:rPr>
          <w:rFonts w:asciiTheme="majorBidi" w:hAnsiTheme="majorBidi" w:cstheme="majorBidi"/>
          <w:b/>
          <w:bCs/>
          <w:sz w:val="24"/>
          <w:szCs w:val="24"/>
        </w:rPr>
        <w:t>1</w:t>
      </w:r>
      <w:r w:rsidRPr="00537960">
        <w:rPr>
          <w:rFonts w:asciiTheme="majorBidi" w:hAnsiTheme="majorBidi" w:cstheme="majorBidi"/>
          <w:b/>
          <w:bCs/>
          <w:noProof/>
          <w:sz w:val="24"/>
          <w:szCs w:val="24"/>
        </w:rPr>
        <w:t xml:space="preserve">. Full Bayesian Belief Network </w:t>
      </w:r>
      <w:r w:rsidR="00D8668E">
        <w:rPr>
          <w:rFonts w:asciiTheme="majorBidi" w:hAnsiTheme="majorBidi" w:cstheme="majorBidi"/>
          <w:b/>
          <w:bCs/>
          <w:noProof/>
          <w:sz w:val="24"/>
          <w:szCs w:val="24"/>
        </w:rPr>
        <w:t>w</w:t>
      </w:r>
      <w:r w:rsidRPr="00537960">
        <w:rPr>
          <w:rFonts w:asciiTheme="majorBidi" w:hAnsiTheme="majorBidi" w:cstheme="majorBidi"/>
          <w:b/>
          <w:bCs/>
          <w:noProof/>
          <w:sz w:val="24"/>
          <w:szCs w:val="24"/>
        </w:rPr>
        <w:t>ith Categorization</w:t>
      </w:r>
    </w:p>
    <w:p w:rsidR="00D8668E" w:rsidRDefault="00D8668E" w:rsidP="00D8668E">
      <w:pPr>
        <w:pStyle w:val="Caption"/>
        <w:numPr>
          <w:ilvl w:val="0"/>
          <w:numId w:val="3"/>
        </w:numPr>
        <w:ind w:left="360"/>
        <w:rPr>
          <w:rFonts w:asciiTheme="majorBidi" w:hAnsiTheme="majorBidi" w:cstheme="majorBidi"/>
          <w:noProof/>
          <w:color w:val="auto"/>
          <w:sz w:val="24"/>
          <w:szCs w:val="24"/>
        </w:rPr>
      </w:pPr>
      <w:r>
        <w:rPr>
          <w:rFonts w:asciiTheme="majorBidi" w:hAnsiTheme="majorBidi" w:cstheme="majorBidi"/>
          <w:noProof/>
          <w:color w:val="auto"/>
          <w:sz w:val="24"/>
          <w:szCs w:val="24"/>
        </w:rPr>
        <w:lastRenderedPageBreak/>
        <w:t>Energy Nodes</w:t>
      </w:r>
    </w:p>
    <w:p w:rsidR="00D8668E" w:rsidRDefault="00D8668E" w:rsidP="00D8668E">
      <w:pPr>
        <w:pStyle w:val="Caption"/>
        <w:jc w:val="center"/>
        <w:rPr>
          <w:rFonts w:asciiTheme="majorBidi" w:hAnsiTheme="majorBidi" w:cstheme="majorBidi"/>
          <w:noProof/>
          <w:color w:val="auto"/>
          <w:sz w:val="24"/>
          <w:szCs w:val="24"/>
        </w:rPr>
      </w:pPr>
      <w:r>
        <w:rPr>
          <w:noProof/>
        </w:rPr>
        <w:drawing>
          <wp:inline distT="0" distB="0" distL="0" distR="0" wp14:anchorId="1467AF52" wp14:editId="68BD9C40">
            <wp:extent cx="4429497" cy="3206338"/>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38648" cy="3212962"/>
                    </a:xfrm>
                    <a:prstGeom prst="rect">
                      <a:avLst/>
                    </a:prstGeom>
                  </pic:spPr>
                </pic:pic>
              </a:graphicData>
            </a:graphic>
          </wp:inline>
        </w:drawing>
      </w:r>
    </w:p>
    <w:p w:rsidR="00D8668E" w:rsidRDefault="00D8668E" w:rsidP="00581785">
      <w:pPr>
        <w:pStyle w:val="Caption"/>
        <w:jc w:val="center"/>
        <w:rPr>
          <w:rFonts w:ascii="Times New Roman" w:hAnsi="Times New Roman" w:cs="Times New Roman"/>
          <w:color w:val="auto"/>
          <w:sz w:val="24"/>
        </w:rPr>
      </w:pPr>
      <w:r w:rsidRPr="008E0E87">
        <w:rPr>
          <w:rFonts w:ascii="Times New Roman" w:hAnsi="Times New Roman" w:cs="Times New Roman"/>
          <w:color w:val="auto"/>
          <w:sz w:val="24"/>
        </w:rPr>
        <w:t xml:space="preserve">Figure </w:t>
      </w:r>
      <w:r w:rsidR="00581785" w:rsidRPr="008E0E87">
        <w:rPr>
          <w:rFonts w:ascii="Times New Roman" w:hAnsi="Times New Roman" w:cs="Times New Roman"/>
          <w:color w:val="auto"/>
          <w:sz w:val="24"/>
        </w:rPr>
        <w:t>2</w:t>
      </w:r>
      <w:r w:rsidRPr="008E0E87">
        <w:rPr>
          <w:rFonts w:ascii="Times New Roman" w:hAnsi="Times New Roman" w:cs="Times New Roman"/>
          <w:color w:val="auto"/>
          <w:sz w:val="24"/>
        </w:rPr>
        <w:t>. The Five</w:t>
      </w:r>
      <w:r w:rsidRPr="00DF0BC9">
        <w:rPr>
          <w:rFonts w:ascii="Times New Roman" w:hAnsi="Times New Roman" w:cs="Times New Roman"/>
          <w:color w:val="auto"/>
          <w:sz w:val="24"/>
        </w:rPr>
        <w:t xml:space="preserve"> Energy Variables</w:t>
      </w:r>
    </w:p>
    <w:p w:rsidR="00D8668E" w:rsidRDefault="00D8668E" w:rsidP="00D8668E">
      <w:pPr>
        <w:pStyle w:val="ListParagraph"/>
        <w:widowControl w:val="0"/>
        <w:numPr>
          <w:ilvl w:val="0"/>
          <w:numId w:val="2"/>
        </w:numPr>
        <w:tabs>
          <w:tab w:val="left" w:pos="-1022"/>
          <w:tab w:val="left" w:pos="-720"/>
          <w:tab w:val="left" w:pos="450"/>
          <w:tab w:val="left" w:pos="99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990" w:hanging="27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Oil Rents per Capita</w:t>
      </w:r>
    </w:p>
    <w:p w:rsidR="00D8668E" w:rsidRDefault="00D8668E" w:rsidP="0058178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Bayesian belief network was constructed from the bottom upward, it is </w:t>
      </w:r>
      <w:r w:rsidR="00581785">
        <w:rPr>
          <w:rFonts w:ascii="Times New Roman" w:eastAsia="Times New Roman" w:hAnsi="Times New Roman" w:cs="Times New Roman"/>
          <w:sz w:val="24"/>
          <w:szCs w:val="24"/>
        </w:rPr>
        <w:t xml:space="preserve">more </w:t>
      </w:r>
      <w:r>
        <w:rPr>
          <w:rFonts w:ascii="Times New Roman" w:eastAsia="Times New Roman" w:hAnsi="Times New Roman" w:cs="Times New Roman"/>
          <w:sz w:val="24"/>
          <w:szCs w:val="24"/>
        </w:rPr>
        <w:t xml:space="preserve">easily explained from the top downward. In relation to the energy </w:t>
      </w:r>
      <w:r w:rsidRPr="008E0E87">
        <w:rPr>
          <w:rFonts w:ascii="Times New Roman" w:eastAsia="Times New Roman" w:hAnsi="Times New Roman" w:cs="Times New Roman"/>
          <w:sz w:val="24"/>
          <w:szCs w:val="24"/>
        </w:rPr>
        <w:t xml:space="preserve">variables in Figure </w:t>
      </w:r>
      <w:r w:rsidR="00581785" w:rsidRPr="008E0E87">
        <w:rPr>
          <w:rFonts w:ascii="Times New Roman" w:eastAsia="Times New Roman" w:hAnsi="Times New Roman" w:cs="Times New Roman"/>
          <w:sz w:val="24"/>
          <w:szCs w:val="24"/>
        </w:rPr>
        <w:t>2</w:t>
      </w:r>
      <w:r w:rsidRPr="008E0E87">
        <w:rPr>
          <w:rFonts w:ascii="Times New Roman" w:eastAsia="Times New Roman" w:hAnsi="Times New Roman" w:cs="Times New Roman"/>
          <w:sz w:val="24"/>
          <w:szCs w:val="24"/>
        </w:rPr>
        <w:t>, oil</w:t>
      </w:r>
      <w:r>
        <w:rPr>
          <w:rFonts w:ascii="Times New Roman" w:eastAsia="Times New Roman" w:hAnsi="Times New Roman" w:cs="Times New Roman"/>
          <w:sz w:val="24"/>
          <w:szCs w:val="24"/>
        </w:rPr>
        <w:t xml:space="preserve"> rents per capita</w:t>
      </w:r>
      <w:r w:rsidR="00DA47A6">
        <w:rPr>
          <w:rFonts w:ascii="Times New Roman" w:eastAsia="Times New Roman" w:hAnsi="Times New Roman" w:cs="Times New Roman"/>
          <w:sz w:val="24"/>
          <w:szCs w:val="24"/>
        </w:rPr>
        <w:t>—defined as “the difference between the value of crude oil production at world prices and total costs of production”—</w:t>
      </w:r>
      <w:r>
        <w:rPr>
          <w:rFonts w:ascii="Times New Roman" w:eastAsia="Times New Roman" w:hAnsi="Times New Roman" w:cs="Times New Roman"/>
          <w:sz w:val="24"/>
          <w:szCs w:val="24"/>
        </w:rPr>
        <w:t>impact two child nodes: GDP per capita and net migration.</w:t>
      </w:r>
      <w:r w:rsidR="00DA47A6">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In regards to Gross Domestic Product (GDP), Oman’s oil production accounts for 37.2% of Oman’s GDP, and this relationship has remained strong throughout Oman’s history.</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w:t>
      </w:r>
      <w:r w:rsidR="00B15303">
        <w:rPr>
          <w:rFonts w:ascii="Times New Roman" w:eastAsia="Times New Roman" w:hAnsi="Times New Roman" w:cs="Times New Roman"/>
          <w:sz w:val="24"/>
          <w:szCs w:val="24"/>
        </w:rPr>
        <w:t>Furthermore, Oman is considered a rentier state, wherein “rent”—in this case oil—“enters into the composition of the price of commodities in a different way from wages and profit…and is generally a reward for ownership of all natural resources.”</w:t>
      </w:r>
      <w:r w:rsidR="00B15303">
        <w:rPr>
          <w:rStyle w:val="FootnoteReference"/>
          <w:rFonts w:ascii="Times New Roman" w:eastAsia="Times New Roman" w:hAnsi="Times New Roman" w:cs="Times New Roman"/>
          <w:sz w:val="24"/>
          <w:szCs w:val="24"/>
        </w:rPr>
        <w:footnoteReference w:id="5"/>
      </w:r>
      <w:r w:rsidR="00B153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for the </w:t>
      </w:r>
      <w:r w:rsidR="00B15303">
        <w:rPr>
          <w:rFonts w:ascii="Times New Roman" w:eastAsia="Times New Roman" w:hAnsi="Times New Roman" w:cs="Times New Roman"/>
          <w:sz w:val="24"/>
          <w:szCs w:val="24"/>
        </w:rPr>
        <w:t>net migration</w:t>
      </w:r>
      <w:r>
        <w:rPr>
          <w:rFonts w:ascii="Times New Roman" w:eastAsia="Times New Roman" w:hAnsi="Times New Roman" w:cs="Times New Roman"/>
          <w:sz w:val="24"/>
          <w:szCs w:val="24"/>
        </w:rPr>
        <w:t xml:space="preserve"> node, </w:t>
      </w:r>
      <w:r w:rsidR="00741892">
        <w:rPr>
          <w:rFonts w:ascii="Times New Roman" w:eastAsia="Times New Roman" w:hAnsi="Times New Roman" w:cs="Times New Roman"/>
          <w:sz w:val="24"/>
          <w:szCs w:val="24"/>
        </w:rPr>
        <w:lastRenderedPageBreak/>
        <w:t>Middle Eastern dictatorships def</w:t>
      </w:r>
      <w:r w:rsidR="00817B98">
        <w:rPr>
          <w:rFonts w:ascii="Times New Roman" w:eastAsia="Times New Roman" w:hAnsi="Times New Roman" w:cs="Times New Roman"/>
          <w:sz w:val="24"/>
          <w:szCs w:val="24"/>
        </w:rPr>
        <w:t>y</w:t>
      </w:r>
      <w:r w:rsidR="00741892">
        <w:rPr>
          <w:rFonts w:ascii="Times New Roman" w:eastAsia="Times New Roman" w:hAnsi="Times New Roman" w:cs="Times New Roman"/>
          <w:sz w:val="24"/>
          <w:szCs w:val="24"/>
        </w:rPr>
        <w:t xml:space="preserve"> the general trend for non</w:t>
      </w:r>
      <w:r w:rsidR="008A3BE2">
        <w:rPr>
          <w:rFonts w:ascii="Times New Roman" w:eastAsia="Times New Roman" w:hAnsi="Times New Roman" w:cs="Times New Roman"/>
          <w:sz w:val="24"/>
          <w:szCs w:val="24"/>
        </w:rPr>
        <w:t>-</w:t>
      </w:r>
      <w:r w:rsidR="00741892">
        <w:rPr>
          <w:rFonts w:ascii="Times New Roman" w:eastAsia="Times New Roman" w:hAnsi="Times New Roman" w:cs="Times New Roman"/>
          <w:sz w:val="24"/>
          <w:szCs w:val="24"/>
        </w:rPr>
        <w:t>dem</w:t>
      </w:r>
      <w:r w:rsidR="00581785">
        <w:rPr>
          <w:rFonts w:ascii="Times New Roman" w:eastAsia="Times New Roman" w:hAnsi="Times New Roman" w:cs="Times New Roman"/>
          <w:sz w:val="24"/>
          <w:szCs w:val="24"/>
        </w:rPr>
        <w:t xml:space="preserve">ocracies, which claims that </w:t>
      </w:r>
      <w:r w:rsidR="00741892">
        <w:rPr>
          <w:rFonts w:ascii="Times New Roman" w:eastAsia="Times New Roman" w:hAnsi="Times New Roman" w:cs="Times New Roman"/>
          <w:sz w:val="24"/>
          <w:szCs w:val="24"/>
        </w:rPr>
        <w:t>more migrants typically leave than enter; instead, oil-rich Gulf states, which have the largest variation in net migration in the world, attract more migrants for entrance than exit. This phenomenon is largely based on the availability of oil revenues and the opportunity for work among the small domestic population</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w:t>
      </w:r>
    </w:p>
    <w:p w:rsidR="00D8668E" w:rsidRDefault="00146CBB" w:rsidP="0084549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World Bank</w:t>
      </w:r>
      <w:r w:rsidR="00D8668E">
        <w:rPr>
          <w:rFonts w:ascii="Times New Roman" w:eastAsia="Times New Roman" w:hAnsi="Times New Roman" w:cs="Times New Roman"/>
          <w:sz w:val="24"/>
          <w:szCs w:val="24"/>
        </w:rPr>
        <w:t xml:space="preserve"> provided the data for the oil </w:t>
      </w:r>
      <w:r w:rsidR="00DA47A6">
        <w:rPr>
          <w:rFonts w:ascii="Times New Roman" w:eastAsia="Times New Roman" w:hAnsi="Times New Roman" w:cs="Times New Roman"/>
          <w:sz w:val="24"/>
          <w:szCs w:val="24"/>
        </w:rPr>
        <w:t>rents per capita variable, converted from percent of GDP to constant 2005 U.S. dollars per capita by multiplying the original data by GDP per capita (in constant 2005 U.S. dollars)</w:t>
      </w:r>
      <w:r w:rsidR="00D8668E">
        <w:rPr>
          <w:rFonts w:ascii="Times New Roman" w:eastAsia="Times New Roman" w:hAnsi="Times New Roman" w:cs="Times New Roman"/>
          <w:sz w:val="24"/>
          <w:szCs w:val="24"/>
        </w:rPr>
        <w:t>.</w:t>
      </w:r>
      <w:r w:rsidR="00D8668E">
        <w:rPr>
          <w:rStyle w:val="FootnoteReference"/>
          <w:rFonts w:ascii="Times New Roman" w:eastAsia="Times New Roman" w:hAnsi="Times New Roman" w:cs="Times New Roman"/>
          <w:sz w:val="24"/>
          <w:szCs w:val="24"/>
        </w:rPr>
        <w:footnoteReference w:id="7"/>
      </w:r>
      <w:r w:rsidR="00DA47A6">
        <w:rPr>
          <w:rFonts w:ascii="Times New Roman" w:eastAsia="Times New Roman" w:hAnsi="Times New Roman" w:cs="Times New Roman"/>
          <w:sz w:val="24"/>
          <w:szCs w:val="24"/>
        </w:rPr>
        <w:t xml:space="preserve"> The data spanned from 1970 to 2012</w:t>
      </w:r>
      <w:r w:rsidR="00D8668E">
        <w:rPr>
          <w:rFonts w:ascii="Times New Roman" w:eastAsia="Times New Roman" w:hAnsi="Times New Roman" w:cs="Times New Roman"/>
          <w:sz w:val="24"/>
          <w:szCs w:val="24"/>
        </w:rPr>
        <w:t xml:space="preserve">, a total of </w:t>
      </w:r>
      <w:r w:rsidR="00DA47A6">
        <w:rPr>
          <w:rFonts w:ascii="Times New Roman" w:eastAsia="Times New Roman" w:hAnsi="Times New Roman" w:cs="Times New Roman"/>
          <w:sz w:val="24"/>
          <w:szCs w:val="24"/>
        </w:rPr>
        <w:t>43</w:t>
      </w:r>
      <w:r w:rsidR="00D8668E">
        <w:rPr>
          <w:rFonts w:ascii="Times New Roman" w:eastAsia="Times New Roman" w:hAnsi="Times New Roman" w:cs="Times New Roman"/>
          <w:sz w:val="24"/>
          <w:szCs w:val="24"/>
        </w:rPr>
        <w:t xml:space="preserve"> years, for the four countries: Oman, the United Arab Emirates, Saudi Arabia, and Kuwait. This compilation of information produced 1</w:t>
      </w:r>
      <w:r w:rsidR="00DA47A6">
        <w:rPr>
          <w:rFonts w:ascii="Times New Roman" w:eastAsia="Times New Roman" w:hAnsi="Times New Roman" w:cs="Times New Roman"/>
          <w:sz w:val="24"/>
          <w:szCs w:val="24"/>
        </w:rPr>
        <w:t>72</w:t>
      </w:r>
      <w:r w:rsidR="00D8668E">
        <w:rPr>
          <w:rFonts w:ascii="Times New Roman" w:eastAsia="Times New Roman" w:hAnsi="Times New Roman" w:cs="Times New Roman"/>
          <w:sz w:val="24"/>
          <w:szCs w:val="24"/>
        </w:rPr>
        <w:t xml:space="preserve"> data points. Three bins were applied to this dataset</w:t>
      </w:r>
      <w:r w:rsidR="00DA47A6">
        <w:rPr>
          <w:rFonts w:ascii="Times New Roman" w:eastAsia="Times New Roman" w:hAnsi="Times New Roman" w:cs="Times New Roman"/>
          <w:sz w:val="24"/>
          <w:szCs w:val="24"/>
        </w:rPr>
        <w:t>, $5</w:t>
      </w:r>
      <w:r w:rsidR="00F06F4D">
        <w:rPr>
          <w:rFonts w:ascii="Times New Roman" w:eastAsia="Times New Roman" w:hAnsi="Times New Roman" w:cs="Times New Roman"/>
          <w:sz w:val="24"/>
          <w:szCs w:val="24"/>
        </w:rPr>
        <w:t>,</w:t>
      </w:r>
      <w:r w:rsidR="00DA47A6">
        <w:rPr>
          <w:rFonts w:ascii="Times New Roman" w:eastAsia="Times New Roman" w:hAnsi="Times New Roman" w:cs="Times New Roman"/>
          <w:sz w:val="24"/>
          <w:szCs w:val="24"/>
        </w:rPr>
        <w:t>000 per capita as the lower split point and $10,000 per capita as the higher split point</w:t>
      </w:r>
      <w:r w:rsidR="00D8668E">
        <w:rPr>
          <w:rFonts w:ascii="Times New Roman" w:eastAsia="Times New Roman" w:hAnsi="Times New Roman" w:cs="Times New Roman"/>
          <w:sz w:val="24"/>
          <w:szCs w:val="24"/>
        </w:rPr>
        <w:t xml:space="preserve">. </w:t>
      </w:r>
      <w:r w:rsidR="00DA47A6">
        <w:rPr>
          <w:rFonts w:ascii="Times New Roman" w:eastAsia="Times New Roman" w:hAnsi="Times New Roman" w:cs="Times New Roman"/>
          <w:sz w:val="24"/>
          <w:szCs w:val="24"/>
        </w:rPr>
        <w:t xml:space="preserve"> Because </w:t>
      </w:r>
      <w:r w:rsidR="00845490">
        <w:rPr>
          <w:rFonts w:ascii="Times New Roman" w:eastAsia="Times New Roman" w:hAnsi="Times New Roman" w:cs="Times New Roman"/>
          <w:sz w:val="24"/>
          <w:szCs w:val="24"/>
        </w:rPr>
        <w:t>the oil rent</w:t>
      </w:r>
      <w:r w:rsidR="00F06F4D">
        <w:rPr>
          <w:rFonts w:ascii="Times New Roman" w:eastAsia="Times New Roman" w:hAnsi="Times New Roman" w:cs="Times New Roman"/>
          <w:sz w:val="24"/>
          <w:szCs w:val="24"/>
        </w:rPr>
        <w:t>s</w:t>
      </w:r>
      <w:r w:rsidR="00845490">
        <w:rPr>
          <w:rFonts w:ascii="Times New Roman" w:eastAsia="Times New Roman" w:hAnsi="Times New Roman" w:cs="Times New Roman"/>
          <w:sz w:val="24"/>
          <w:szCs w:val="24"/>
        </w:rPr>
        <w:t xml:space="preserve"> per capita variable</w:t>
      </w:r>
      <w:r w:rsidR="00DA47A6">
        <w:rPr>
          <w:rFonts w:ascii="Times New Roman" w:eastAsia="Times New Roman" w:hAnsi="Times New Roman" w:cs="Times New Roman"/>
          <w:sz w:val="24"/>
          <w:szCs w:val="24"/>
        </w:rPr>
        <w:t xml:space="preserve"> has a special role as the first parent node in the network, these split points were selected in order to generate an even probability distribution among its three bins. The emphasis on evenness is acceptable bec</w:t>
      </w:r>
      <w:r w:rsidR="00F06F4D">
        <w:rPr>
          <w:rFonts w:ascii="Times New Roman" w:eastAsia="Times New Roman" w:hAnsi="Times New Roman" w:cs="Times New Roman"/>
          <w:sz w:val="24"/>
          <w:szCs w:val="24"/>
        </w:rPr>
        <w:t xml:space="preserve">ause these Arabian Gulf nations all fall in the same category of </w:t>
      </w:r>
      <w:r w:rsidR="00845490">
        <w:rPr>
          <w:rFonts w:ascii="Times New Roman" w:eastAsia="Times New Roman" w:hAnsi="Times New Roman" w:cs="Times New Roman"/>
          <w:sz w:val="24"/>
          <w:szCs w:val="24"/>
        </w:rPr>
        <w:t xml:space="preserve"> having </w:t>
      </w:r>
      <w:r w:rsidR="00DA47A6">
        <w:rPr>
          <w:rFonts w:ascii="Times New Roman" w:eastAsia="Times New Roman" w:hAnsi="Times New Roman" w:cs="Times New Roman"/>
          <w:sz w:val="24"/>
          <w:szCs w:val="24"/>
        </w:rPr>
        <w:t>high oil rents per capita r</w:t>
      </w:r>
      <w:r w:rsidR="00845490">
        <w:rPr>
          <w:rFonts w:ascii="Times New Roman" w:eastAsia="Times New Roman" w:hAnsi="Times New Roman" w:cs="Times New Roman"/>
          <w:sz w:val="24"/>
          <w:szCs w:val="24"/>
        </w:rPr>
        <w:t xml:space="preserve">elative to the rest of the world; Oman, for instance, produces more than twice as </w:t>
      </w:r>
      <w:r w:rsidR="006C7E3B">
        <w:rPr>
          <w:rFonts w:ascii="Times New Roman" w:eastAsia="Times New Roman" w:hAnsi="Times New Roman" w:cs="Times New Roman"/>
          <w:sz w:val="24"/>
          <w:szCs w:val="24"/>
        </w:rPr>
        <w:t xml:space="preserve">many barrels of oil per capita, </w:t>
      </w:r>
      <w:r w:rsidR="00845490">
        <w:rPr>
          <w:rFonts w:ascii="Times New Roman" w:eastAsia="Times New Roman" w:hAnsi="Times New Roman" w:cs="Times New Roman"/>
          <w:sz w:val="24"/>
          <w:szCs w:val="24"/>
        </w:rPr>
        <w:t>222.88 b</w:t>
      </w:r>
      <w:r w:rsidR="006C7E3B">
        <w:rPr>
          <w:rFonts w:ascii="Times New Roman" w:eastAsia="Times New Roman" w:hAnsi="Times New Roman" w:cs="Times New Roman"/>
          <w:sz w:val="24"/>
          <w:szCs w:val="24"/>
        </w:rPr>
        <w:t>arrels per day per 1,000 people,</w:t>
      </w:r>
      <w:r w:rsidR="00845490">
        <w:rPr>
          <w:rFonts w:ascii="Times New Roman" w:eastAsia="Times New Roman" w:hAnsi="Times New Roman" w:cs="Times New Roman"/>
          <w:sz w:val="24"/>
          <w:szCs w:val="24"/>
        </w:rPr>
        <w:t xml:space="preserve"> than Canada or Venezuela.</w:t>
      </w:r>
      <w:r w:rsidR="00845490">
        <w:rPr>
          <w:rStyle w:val="FootnoteReference"/>
          <w:rFonts w:ascii="Times New Roman" w:eastAsia="Times New Roman" w:hAnsi="Times New Roman" w:cs="Times New Roman"/>
          <w:sz w:val="24"/>
          <w:szCs w:val="24"/>
        </w:rPr>
        <w:footnoteReference w:id="8"/>
      </w:r>
      <w:r w:rsidR="00F06F4D">
        <w:rPr>
          <w:rFonts w:ascii="Times New Roman" w:eastAsia="Times New Roman" w:hAnsi="Times New Roman" w:cs="Times New Roman"/>
          <w:sz w:val="24"/>
          <w:szCs w:val="24"/>
        </w:rPr>
        <w:t xml:space="preserve"> </w:t>
      </w:r>
    </w:p>
    <w:p w:rsidR="004653B8" w:rsidRPr="00F27FB2" w:rsidRDefault="00D8668E" w:rsidP="00F06F4D">
      <w:pPr>
        <w:spacing w:after="0" w:line="480" w:lineRule="auto"/>
        <w:ind w:firstLine="720"/>
        <w:jc w:val="center"/>
        <w:rPr>
          <w:noProof/>
        </w:rPr>
      </w:pPr>
      <w:r>
        <w:rPr>
          <w:rFonts w:ascii="Times New Roman" w:eastAsia="Times New Roman" w:hAnsi="Times New Roman" w:cs="Times New Roman"/>
          <w:sz w:val="24"/>
          <w:szCs w:val="24"/>
        </w:rPr>
        <w:t xml:space="preserve">Since the oil production node lacked parent nodes, the probability </w:t>
      </w:r>
      <w:r w:rsidRPr="00F27FB2">
        <w:rPr>
          <w:rFonts w:ascii="Times New Roman" w:eastAsia="Times New Roman" w:hAnsi="Times New Roman" w:cs="Times New Roman"/>
          <w:sz w:val="24"/>
          <w:szCs w:val="24"/>
        </w:rPr>
        <w:t xml:space="preserve">distribution in Figure </w:t>
      </w:r>
      <w:r w:rsidR="00F06F4D" w:rsidRPr="00F27FB2">
        <w:rPr>
          <w:rFonts w:ascii="Times New Roman" w:eastAsia="Times New Roman" w:hAnsi="Times New Roman" w:cs="Times New Roman"/>
          <w:sz w:val="24"/>
          <w:szCs w:val="24"/>
        </w:rPr>
        <w:t>3</w:t>
      </w:r>
      <w:r w:rsidRPr="00F27FB2">
        <w:rPr>
          <w:rFonts w:ascii="Times New Roman" w:eastAsia="Times New Roman" w:hAnsi="Times New Roman" w:cs="Times New Roman"/>
          <w:sz w:val="24"/>
          <w:szCs w:val="24"/>
        </w:rPr>
        <w:t xml:space="preserve"> was generated by merely dividing the number of cases per bin by </w:t>
      </w:r>
      <w:r w:rsidR="00845490" w:rsidRPr="00F27FB2">
        <w:rPr>
          <w:rFonts w:ascii="Times New Roman" w:eastAsia="Times New Roman" w:hAnsi="Times New Roman" w:cs="Times New Roman"/>
          <w:sz w:val="24"/>
          <w:szCs w:val="24"/>
        </w:rPr>
        <w:t>172</w:t>
      </w:r>
      <w:r w:rsidRPr="00F27FB2">
        <w:rPr>
          <w:rFonts w:ascii="Times New Roman" w:eastAsia="Times New Roman" w:hAnsi="Times New Roman" w:cs="Times New Roman"/>
          <w:sz w:val="24"/>
          <w:szCs w:val="24"/>
        </w:rPr>
        <w:t>, the number of data points.</w:t>
      </w:r>
      <w:r w:rsidRPr="00F27FB2">
        <w:rPr>
          <w:noProof/>
        </w:rPr>
        <w:t xml:space="preserve">   </w:t>
      </w:r>
    </w:p>
    <w:p w:rsidR="00D8668E" w:rsidRPr="00F27FB2" w:rsidRDefault="00D8668E" w:rsidP="00845490">
      <w:pPr>
        <w:spacing w:after="0" w:line="480" w:lineRule="auto"/>
        <w:ind w:firstLine="720"/>
        <w:jc w:val="center"/>
        <w:rPr>
          <w:noProof/>
        </w:rPr>
      </w:pPr>
      <w:r w:rsidRPr="00F27FB2">
        <w:rPr>
          <w:noProof/>
        </w:rPr>
        <w:t xml:space="preserve">    </w:t>
      </w:r>
    </w:p>
    <w:tbl>
      <w:tblPr>
        <w:tblStyle w:val="TableGrid"/>
        <w:tblW w:w="0" w:type="auto"/>
        <w:jc w:val="center"/>
        <w:tblInd w:w="1435" w:type="dxa"/>
        <w:tblLook w:val="04A0" w:firstRow="1" w:lastRow="0" w:firstColumn="1" w:lastColumn="0" w:noHBand="0" w:noVBand="1"/>
      </w:tblPr>
      <w:tblGrid>
        <w:gridCol w:w="2674"/>
        <w:gridCol w:w="2675"/>
      </w:tblGrid>
      <w:tr w:rsidR="004653B8" w:rsidRPr="00F27FB2" w:rsidTr="00C11D29">
        <w:trPr>
          <w:trHeight w:val="416"/>
          <w:jc w:val="center"/>
        </w:trPr>
        <w:tc>
          <w:tcPr>
            <w:tcW w:w="5349" w:type="dxa"/>
            <w:gridSpan w:val="2"/>
            <w:shd w:val="clear" w:color="auto" w:fill="BFBFBF" w:themeFill="background1" w:themeFillShade="BF"/>
            <w:vAlign w:val="center"/>
          </w:tcPr>
          <w:p w:rsidR="004653B8" w:rsidRPr="00F27FB2" w:rsidRDefault="004653B8" w:rsidP="004653B8">
            <w:pPr>
              <w:jc w:val="center"/>
              <w:rPr>
                <w:rFonts w:ascii="Times New Roman" w:eastAsia="Times New Roman" w:hAnsi="Times New Roman" w:cs="Times New Roman"/>
                <w:sz w:val="20"/>
                <w:szCs w:val="20"/>
              </w:rPr>
            </w:pPr>
            <w:r w:rsidRPr="00F27FB2">
              <w:rPr>
                <w:rFonts w:ascii="Times New Roman" w:eastAsia="Times New Roman" w:hAnsi="Times New Roman" w:cs="Times New Roman"/>
                <w:sz w:val="20"/>
                <w:szCs w:val="20"/>
              </w:rPr>
              <w:lastRenderedPageBreak/>
              <w:t>Oil Rents per Capita (Constant 2005 $U.S. per Capita)</w:t>
            </w:r>
          </w:p>
        </w:tc>
      </w:tr>
      <w:tr w:rsidR="004653B8" w:rsidRPr="00F27FB2" w:rsidTr="00C11D29">
        <w:trPr>
          <w:trHeight w:val="416"/>
          <w:jc w:val="center"/>
        </w:trPr>
        <w:tc>
          <w:tcPr>
            <w:tcW w:w="2674" w:type="dxa"/>
            <w:shd w:val="clear" w:color="auto" w:fill="BFBFBF" w:themeFill="background1" w:themeFillShade="BF"/>
            <w:vAlign w:val="center"/>
          </w:tcPr>
          <w:p w:rsidR="004653B8" w:rsidRPr="00F27FB2" w:rsidRDefault="004653B8" w:rsidP="004653B8">
            <w:pPr>
              <w:jc w:val="center"/>
              <w:rPr>
                <w:rFonts w:ascii="Times New Roman" w:eastAsia="Times New Roman" w:hAnsi="Times New Roman" w:cs="Times New Roman"/>
                <w:b/>
                <w:bCs/>
                <w:sz w:val="20"/>
                <w:szCs w:val="20"/>
              </w:rPr>
            </w:pPr>
            <w:r w:rsidRPr="00F27FB2">
              <w:rPr>
                <w:rFonts w:ascii="Times New Roman" w:eastAsia="Times New Roman" w:hAnsi="Times New Roman" w:cs="Times New Roman"/>
                <w:b/>
                <w:bCs/>
                <w:sz w:val="20"/>
                <w:szCs w:val="20"/>
              </w:rPr>
              <w:t>Bin</w:t>
            </w:r>
          </w:p>
        </w:tc>
        <w:tc>
          <w:tcPr>
            <w:tcW w:w="2675" w:type="dxa"/>
            <w:vAlign w:val="center"/>
          </w:tcPr>
          <w:p w:rsidR="004653B8" w:rsidRPr="00F27FB2" w:rsidRDefault="004653B8" w:rsidP="004653B8">
            <w:pPr>
              <w:jc w:val="center"/>
              <w:rPr>
                <w:rFonts w:ascii="Times New Roman" w:eastAsia="Times New Roman" w:hAnsi="Times New Roman" w:cs="Times New Roman"/>
                <w:b/>
                <w:bCs/>
                <w:sz w:val="20"/>
                <w:szCs w:val="20"/>
              </w:rPr>
            </w:pPr>
            <w:r w:rsidRPr="00F27FB2">
              <w:rPr>
                <w:rFonts w:ascii="Times New Roman" w:eastAsia="Times New Roman" w:hAnsi="Times New Roman" w:cs="Times New Roman"/>
                <w:b/>
                <w:bCs/>
                <w:sz w:val="20"/>
                <w:szCs w:val="20"/>
              </w:rPr>
              <w:t>Probability</w:t>
            </w:r>
          </w:p>
        </w:tc>
      </w:tr>
      <w:tr w:rsidR="004653B8" w:rsidRPr="00F27FB2" w:rsidTr="00C11D29">
        <w:trPr>
          <w:trHeight w:val="416"/>
          <w:jc w:val="center"/>
        </w:trPr>
        <w:tc>
          <w:tcPr>
            <w:tcW w:w="2674" w:type="dxa"/>
            <w:shd w:val="clear" w:color="auto" w:fill="BFBFBF" w:themeFill="background1" w:themeFillShade="BF"/>
            <w:vAlign w:val="center"/>
          </w:tcPr>
          <w:p w:rsidR="004653B8" w:rsidRPr="00F27FB2" w:rsidRDefault="004653B8" w:rsidP="004653B8">
            <w:pPr>
              <w:jc w:val="center"/>
              <w:rPr>
                <w:rFonts w:ascii="Times New Roman" w:eastAsia="Times New Roman" w:hAnsi="Times New Roman" w:cs="Times New Roman"/>
                <w:sz w:val="20"/>
                <w:szCs w:val="20"/>
              </w:rPr>
            </w:pPr>
            <w:r w:rsidRPr="00F27FB2">
              <w:rPr>
                <w:rFonts w:ascii="Times New Roman" w:eastAsia="Times New Roman" w:hAnsi="Times New Roman" w:cs="Times New Roman"/>
                <w:sz w:val="20"/>
                <w:szCs w:val="20"/>
              </w:rPr>
              <w:t>&lt;5000</w:t>
            </w:r>
          </w:p>
        </w:tc>
        <w:tc>
          <w:tcPr>
            <w:tcW w:w="2675" w:type="dxa"/>
            <w:vAlign w:val="center"/>
          </w:tcPr>
          <w:p w:rsidR="004653B8" w:rsidRPr="00F27FB2" w:rsidRDefault="004653B8" w:rsidP="004653B8">
            <w:pPr>
              <w:jc w:val="center"/>
              <w:rPr>
                <w:rFonts w:ascii="Times New Roman" w:eastAsia="Times New Roman" w:hAnsi="Times New Roman" w:cs="Times New Roman"/>
                <w:sz w:val="20"/>
                <w:szCs w:val="20"/>
              </w:rPr>
            </w:pPr>
            <w:r w:rsidRPr="00F27FB2">
              <w:rPr>
                <w:rFonts w:ascii="Times New Roman" w:eastAsia="Times New Roman" w:hAnsi="Times New Roman" w:cs="Times New Roman"/>
                <w:sz w:val="20"/>
                <w:szCs w:val="20"/>
              </w:rPr>
              <w:t>0.331395</w:t>
            </w:r>
          </w:p>
        </w:tc>
      </w:tr>
      <w:tr w:rsidR="004653B8" w:rsidRPr="00F27FB2" w:rsidTr="00C11D29">
        <w:trPr>
          <w:trHeight w:val="416"/>
          <w:jc w:val="center"/>
        </w:trPr>
        <w:tc>
          <w:tcPr>
            <w:tcW w:w="2674" w:type="dxa"/>
            <w:shd w:val="clear" w:color="auto" w:fill="BFBFBF" w:themeFill="background1" w:themeFillShade="BF"/>
            <w:vAlign w:val="center"/>
          </w:tcPr>
          <w:p w:rsidR="004653B8" w:rsidRPr="00F27FB2" w:rsidRDefault="004653B8" w:rsidP="004653B8">
            <w:pPr>
              <w:jc w:val="center"/>
              <w:rPr>
                <w:rFonts w:ascii="Times New Roman" w:eastAsia="Times New Roman" w:hAnsi="Times New Roman" w:cs="Times New Roman"/>
                <w:sz w:val="20"/>
                <w:szCs w:val="20"/>
              </w:rPr>
            </w:pPr>
            <w:r w:rsidRPr="00F27FB2">
              <w:rPr>
                <w:rFonts w:ascii="Times New Roman" w:eastAsia="Times New Roman" w:hAnsi="Times New Roman" w:cs="Times New Roman"/>
                <w:sz w:val="20"/>
                <w:szCs w:val="20"/>
              </w:rPr>
              <w:t>(5000, 10000)</w:t>
            </w:r>
          </w:p>
        </w:tc>
        <w:tc>
          <w:tcPr>
            <w:tcW w:w="2675" w:type="dxa"/>
            <w:vAlign w:val="center"/>
          </w:tcPr>
          <w:p w:rsidR="004653B8" w:rsidRPr="00F27FB2" w:rsidRDefault="004653B8" w:rsidP="004653B8">
            <w:pPr>
              <w:jc w:val="center"/>
              <w:rPr>
                <w:rFonts w:ascii="Times New Roman" w:eastAsia="Times New Roman" w:hAnsi="Times New Roman" w:cs="Times New Roman"/>
                <w:sz w:val="20"/>
                <w:szCs w:val="20"/>
              </w:rPr>
            </w:pPr>
            <w:r w:rsidRPr="00F27FB2">
              <w:rPr>
                <w:rFonts w:ascii="Times New Roman" w:eastAsia="Times New Roman" w:hAnsi="Times New Roman" w:cs="Times New Roman"/>
                <w:sz w:val="20"/>
                <w:szCs w:val="20"/>
              </w:rPr>
              <w:t>0.331395</w:t>
            </w:r>
          </w:p>
        </w:tc>
      </w:tr>
      <w:tr w:rsidR="004653B8" w:rsidRPr="00F27FB2" w:rsidTr="006C7E3B">
        <w:trPr>
          <w:trHeight w:val="449"/>
          <w:jc w:val="center"/>
        </w:trPr>
        <w:tc>
          <w:tcPr>
            <w:tcW w:w="2674" w:type="dxa"/>
            <w:shd w:val="clear" w:color="auto" w:fill="BFBFBF" w:themeFill="background1" w:themeFillShade="BF"/>
            <w:vAlign w:val="center"/>
          </w:tcPr>
          <w:p w:rsidR="004653B8" w:rsidRPr="00F27FB2" w:rsidRDefault="004653B8" w:rsidP="00201A2A">
            <w:pPr>
              <w:jc w:val="center"/>
              <w:rPr>
                <w:rFonts w:ascii="Times New Roman" w:eastAsia="Times New Roman" w:hAnsi="Times New Roman" w:cs="Times New Roman"/>
                <w:sz w:val="20"/>
                <w:szCs w:val="20"/>
              </w:rPr>
            </w:pPr>
            <w:r w:rsidRPr="00F27FB2">
              <w:rPr>
                <w:rFonts w:ascii="Times New Roman" w:eastAsia="Times New Roman" w:hAnsi="Times New Roman" w:cs="Times New Roman"/>
                <w:sz w:val="20"/>
                <w:szCs w:val="20"/>
              </w:rPr>
              <w:t>&gt;10000</w:t>
            </w:r>
          </w:p>
        </w:tc>
        <w:tc>
          <w:tcPr>
            <w:tcW w:w="2675" w:type="dxa"/>
            <w:vAlign w:val="center"/>
          </w:tcPr>
          <w:p w:rsidR="004653B8" w:rsidRPr="00F27FB2" w:rsidRDefault="004653B8" w:rsidP="00201A2A">
            <w:pPr>
              <w:jc w:val="center"/>
              <w:rPr>
                <w:rFonts w:ascii="Times New Roman" w:eastAsia="Times New Roman" w:hAnsi="Times New Roman" w:cs="Times New Roman"/>
                <w:sz w:val="20"/>
                <w:szCs w:val="20"/>
              </w:rPr>
            </w:pPr>
            <w:r w:rsidRPr="00F27FB2">
              <w:rPr>
                <w:rFonts w:ascii="Times New Roman" w:eastAsia="Times New Roman" w:hAnsi="Times New Roman" w:cs="Times New Roman"/>
                <w:sz w:val="20"/>
                <w:szCs w:val="20"/>
              </w:rPr>
              <w:t>0.337209</w:t>
            </w:r>
          </w:p>
        </w:tc>
      </w:tr>
    </w:tbl>
    <w:p w:rsidR="00201A2A" w:rsidRPr="00F27FB2" w:rsidRDefault="00201A2A" w:rsidP="00201A2A">
      <w:pPr>
        <w:pStyle w:val="Caption"/>
        <w:spacing w:after="0"/>
        <w:jc w:val="center"/>
        <w:rPr>
          <w:rFonts w:asciiTheme="majorBidi" w:hAnsiTheme="majorBidi" w:cstheme="majorBidi"/>
          <w:color w:val="auto"/>
          <w:sz w:val="24"/>
          <w:szCs w:val="24"/>
        </w:rPr>
      </w:pPr>
    </w:p>
    <w:p w:rsidR="00D8668E" w:rsidRDefault="00D8668E" w:rsidP="00F06F4D">
      <w:pPr>
        <w:pStyle w:val="Caption"/>
        <w:spacing w:after="0"/>
        <w:jc w:val="center"/>
        <w:rPr>
          <w:rFonts w:asciiTheme="majorBidi" w:hAnsiTheme="majorBidi" w:cstheme="majorBidi"/>
          <w:noProof/>
          <w:color w:val="auto"/>
          <w:sz w:val="24"/>
          <w:szCs w:val="24"/>
        </w:rPr>
      </w:pPr>
      <w:r w:rsidRPr="00F27FB2">
        <w:rPr>
          <w:rFonts w:asciiTheme="majorBidi" w:hAnsiTheme="majorBidi" w:cstheme="majorBidi"/>
          <w:color w:val="auto"/>
          <w:sz w:val="24"/>
          <w:szCs w:val="24"/>
        </w:rPr>
        <w:t xml:space="preserve">Figure </w:t>
      </w:r>
      <w:r w:rsidR="00F06F4D" w:rsidRPr="00F27FB2">
        <w:rPr>
          <w:rFonts w:asciiTheme="majorBidi" w:hAnsiTheme="majorBidi" w:cstheme="majorBidi"/>
          <w:color w:val="auto"/>
          <w:sz w:val="24"/>
          <w:szCs w:val="24"/>
        </w:rPr>
        <w:t>3</w:t>
      </w:r>
      <w:r w:rsidRPr="00F27FB2">
        <w:rPr>
          <w:rFonts w:asciiTheme="majorBidi" w:hAnsiTheme="majorBidi" w:cstheme="majorBidi"/>
          <w:noProof/>
          <w:color w:val="auto"/>
          <w:sz w:val="24"/>
          <w:szCs w:val="24"/>
        </w:rPr>
        <w:t xml:space="preserve">. Probability Table for Oil </w:t>
      </w:r>
      <w:r w:rsidR="00FC20ED" w:rsidRPr="00F27FB2">
        <w:rPr>
          <w:rFonts w:asciiTheme="majorBidi" w:hAnsiTheme="majorBidi" w:cstheme="majorBidi"/>
          <w:noProof/>
          <w:color w:val="auto"/>
          <w:sz w:val="24"/>
          <w:szCs w:val="24"/>
        </w:rPr>
        <w:t>Rents per Capita</w:t>
      </w:r>
    </w:p>
    <w:p w:rsidR="00201A2A" w:rsidRPr="00201A2A" w:rsidRDefault="00201A2A" w:rsidP="00201A2A"/>
    <w:p w:rsidR="00D8668E" w:rsidRPr="00CB6192" w:rsidRDefault="00D8668E" w:rsidP="00D8668E">
      <w:pPr>
        <w:pStyle w:val="ListParagraph"/>
        <w:widowControl w:val="0"/>
        <w:numPr>
          <w:ilvl w:val="0"/>
          <w:numId w:val="2"/>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990"/>
        <w:rPr>
          <w:rFonts w:ascii="Times New Roman" w:eastAsia="Times New Roman" w:hAnsi="Times New Roman" w:cs="Times New Roman"/>
          <w:b/>
          <w:sz w:val="24"/>
          <w:szCs w:val="24"/>
        </w:rPr>
      </w:pPr>
      <w:r w:rsidRPr="00CB6192">
        <w:rPr>
          <w:rFonts w:ascii="Times New Roman" w:eastAsia="Times New Roman" w:hAnsi="Times New Roman" w:cs="Times New Roman"/>
          <w:b/>
          <w:sz w:val="24"/>
          <w:szCs w:val="24"/>
        </w:rPr>
        <w:t>GDP per Capita</w:t>
      </w:r>
    </w:p>
    <w:p w:rsidR="00D8668E" w:rsidRDefault="00D8668E" w:rsidP="00D416FB">
      <w:pPr>
        <w:spacing w:after="0" w:line="48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Gross Domestic Product (GDP) per </w:t>
      </w:r>
      <w:r w:rsidR="00817B9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apita, preceded by the oil </w:t>
      </w:r>
      <w:r w:rsidR="00817B98">
        <w:rPr>
          <w:rFonts w:ascii="Times New Roman" w:eastAsia="Times New Roman" w:hAnsi="Times New Roman" w:cs="Times New Roman"/>
          <w:sz w:val="24"/>
          <w:szCs w:val="24"/>
        </w:rPr>
        <w:t>rents per capita</w:t>
      </w:r>
      <w:r>
        <w:rPr>
          <w:rFonts w:ascii="Times New Roman" w:eastAsia="Times New Roman" w:hAnsi="Times New Roman" w:cs="Times New Roman"/>
          <w:sz w:val="24"/>
          <w:szCs w:val="24"/>
        </w:rPr>
        <w:t xml:space="preserve"> parent node, connects down to the </w:t>
      </w:r>
      <w:r w:rsidR="00817B98">
        <w:rPr>
          <w:rFonts w:ascii="Times New Roman" w:eastAsia="Times New Roman" w:hAnsi="Times New Roman" w:cs="Times New Roman"/>
          <w:sz w:val="24"/>
          <w:szCs w:val="24"/>
        </w:rPr>
        <w:t>electricity installed</w:t>
      </w:r>
      <w:r w:rsidR="00D416FB">
        <w:rPr>
          <w:rFonts w:ascii="Times New Roman" w:eastAsia="Times New Roman" w:hAnsi="Times New Roman" w:cs="Times New Roman"/>
          <w:sz w:val="24"/>
          <w:szCs w:val="24"/>
        </w:rPr>
        <w:t xml:space="preserve"> capacity</w:t>
      </w:r>
      <w:r w:rsidR="00817B98">
        <w:rPr>
          <w:rFonts w:ascii="Times New Roman" w:eastAsia="Times New Roman" w:hAnsi="Times New Roman" w:cs="Times New Roman"/>
          <w:sz w:val="24"/>
          <w:szCs w:val="24"/>
        </w:rPr>
        <w:t xml:space="preserve"> per capita node in the energy block and the trade per capita node in the trade block of nodes</w:t>
      </w:r>
      <w:r>
        <w:rPr>
          <w:rFonts w:ascii="Times New Roman" w:eastAsia="Times New Roman" w:hAnsi="Times New Roman" w:cs="Times New Roman"/>
          <w:sz w:val="24"/>
          <w:szCs w:val="24"/>
        </w:rPr>
        <w:t>. The causal relationship between GDP per capita</w:t>
      </w:r>
      <w:r w:rsidR="00524819">
        <w:rPr>
          <w:rFonts w:ascii="Times New Roman" w:eastAsia="Times New Roman" w:hAnsi="Times New Roman" w:cs="Times New Roman"/>
          <w:sz w:val="24"/>
          <w:szCs w:val="24"/>
        </w:rPr>
        <w:t>—“the sum of gross value added by all resident producers in the economy divided by midyear population”—</w:t>
      </w:r>
      <w:r>
        <w:rPr>
          <w:rFonts w:ascii="Times New Roman" w:eastAsia="Times New Roman" w:hAnsi="Times New Roman" w:cs="Times New Roman"/>
          <w:sz w:val="24"/>
          <w:szCs w:val="24"/>
        </w:rPr>
        <w:t xml:space="preserve">and </w:t>
      </w:r>
      <w:r w:rsidR="00D416FB">
        <w:rPr>
          <w:rFonts w:ascii="Times New Roman" w:eastAsia="Times New Roman" w:hAnsi="Times New Roman" w:cs="Times New Roman"/>
          <w:sz w:val="24"/>
          <w:szCs w:val="24"/>
        </w:rPr>
        <w:t>electricity installed capacity</w:t>
      </w:r>
      <w:r>
        <w:rPr>
          <w:rFonts w:ascii="Times New Roman" w:eastAsia="Times New Roman" w:hAnsi="Times New Roman" w:cs="Times New Roman"/>
          <w:sz w:val="24"/>
          <w:szCs w:val="24"/>
        </w:rPr>
        <w:t xml:space="preserve"> per capita represents </w:t>
      </w:r>
      <w:r w:rsidR="00D416FB">
        <w:rPr>
          <w:rFonts w:ascii="Times New Roman" w:eastAsia="Times New Roman" w:hAnsi="Times New Roman" w:cs="Times New Roman"/>
          <w:sz w:val="24"/>
          <w:szCs w:val="24"/>
        </w:rPr>
        <w:t xml:space="preserve">the notion that a nation’s revenues can purchase durable infrastructure, like Oman’s Main Interconnected System (MIS) and </w:t>
      </w:r>
      <w:r w:rsidR="006C7E3B">
        <w:rPr>
          <w:rFonts w:ascii="Times New Roman" w:eastAsia="Times New Roman" w:hAnsi="Times New Roman" w:cs="Times New Roman"/>
          <w:sz w:val="24"/>
          <w:szCs w:val="24"/>
        </w:rPr>
        <w:t xml:space="preserve">the </w:t>
      </w:r>
      <w:r w:rsidR="00D416FB">
        <w:rPr>
          <w:rFonts w:ascii="Times New Roman" w:eastAsia="Times New Roman" w:hAnsi="Times New Roman" w:cs="Times New Roman"/>
          <w:sz w:val="24"/>
          <w:szCs w:val="24"/>
        </w:rPr>
        <w:t>Salalah system of electrical grids</w:t>
      </w:r>
      <w:r>
        <w:rPr>
          <w:rFonts w:ascii="Times New Roman" w:eastAsia="Times New Roman" w:hAnsi="Times New Roman" w:cs="Times New Roman"/>
          <w:sz w:val="24"/>
          <w:szCs w:val="24"/>
        </w:rPr>
        <w:t>.</w:t>
      </w:r>
      <w:r w:rsidR="00D416FB">
        <w:rPr>
          <w:rStyle w:val="FootnoteReferenc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In </w:t>
      </w:r>
      <w:r w:rsidR="00D416FB">
        <w:rPr>
          <w:rFonts w:ascii="Times New Roman" w:eastAsia="Times New Roman" w:hAnsi="Times New Roman" w:cs="Times New Roman"/>
          <w:sz w:val="24"/>
          <w:szCs w:val="24"/>
        </w:rPr>
        <w:t xml:space="preserve">regards to the GDP and trade, </w:t>
      </w:r>
      <w:r w:rsidR="00524819">
        <w:rPr>
          <w:rFonts w:ascii="Times New Roman" w:eastAsia="Times New Roman" w:hAnsi="Times New Roman" w:cs="Times New Roman"/>
          <w:sz w:val="24"/>
          <w:szCs w:val="24"/>
        </w:rPr>
        <w:t>the rise of income encourages the rise of global supply chains and an increase in the crossing of goods across borders.</w:t>
      </w:r>
      <w:r w:rsidR="00524819">
        <w:rPr>
          <w:rStyle w:val="FootnoteReference"/>
          <w:rFonts w:ascii="Times New Roman" w:eastAsia="Times New Roman" w:hAnsi="Times New Roman" w:cs="Times New Roman"/>
          <w:sz w:val="24"/>
          <w:szCs w:val="24"/>
        </w:rPr>
        <w:footnoteReference w:id="10"/>
      </w:r>
    </w:p>
    <w:p w:rsidR="00D8668E" w:rsidRPr="00582F4B" w:rsidRDefault="00D8668E" w:rsidP="006C7E3B">
      <w:pPr>
        <w:spacing w:after="0" w:line="48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The World Bank provid</w:t>
      </w:r>
      <w:r w:rsidR="00524819">
        <w:rPr>
          <w:rFonts w:ascii="Times New Roman" w:eastAsia="Times New Roman" w:hAnsi="Times New Roman" w:cs="Times New Roman"/>
          <w:sz w:val="24"/>
          <w:szCs w:val="24"/>
        </w:rPr>
        <w:t>e</w:t>
      </w:r>
      <w:r w:rsidR="006C7E3B">
        <w:rPr>
          <w:rFonts w:ascii="Times New Roman" w:eastAsia="Times New Roman" w:hAnsi="Times New Roman" w:cs="Times New Roman"/>
          <w:sz w:val="24"/>
          <w:szCs w:val="24"/>
        </w:rPr>
        <w:t>d</w:t>
      </w:r>
      <w:r w:rsidR="00524819">
        <w:rPr>
          <w:rFonts w:ascii="Times New Roman" w:eastAsia="Times New Roman" w:hAnsi="Times New Roman" w:cs="Times New Roman"/>
          <w:sz w:val="24"/>
          <w:szCs w:val="24"/>
        </w:rPr>
        <w:t xml:space="preserve"> the GDP per capita in constant 2005</w:t>
      </w:r>
      <w:r>
        <w:rPr>
          <w:rFonts w:ascii="Times New Roman" w:eastAsia="Times New Roman" w:hAnsi="Times New Roman" w:cs="Times New Roman"/>
          <w:sz w:val="24"/>
          <w:szCs w:val="24"/>
        </w:rPr>
        <w:t xml:space="preserve"> U.S. dollars for Oman, the United Arab Emirates, Saudi Arabia, and Kuwai</w:t>
      </w:r>
      <w:r w:rsidR="00524819">
        <w:rPr>
          <w:rFonts w:ascii="Times New Roman" w:eastAsia="Times New Roman" w:hAnsi="Times New Roman" w:cs="Times New Roman"/>
          <w:sz w:val="24"/>
          <w:szCs w:val="24"/>
        </w:rPr>
        <w:t>t for the years ranging from 1970 to 2012</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1"/>
      </w:r>
      <w:r w:rsidR="00524819">
        <w:rPr>
          <w:rFonts w:ascii="Times New Roman" w:eastAsia="Times New Roman" w:hAnsi="Times New Roman" w:cs="Times New Roman"/>
          <w:sz w:val="24"/>
          <w:szCs w:val="24"/>
        </w:rPr>
        <w:t xml:space="preserve"> Represented in 172</w:t>
      </w:r>
      <w:r>
        <w:rPr>
          <w:rFonts w:ascii="Times New Roman" w:eastAsia="Times New Roman" w:hAnsi="Times New Roman" w:cs="Times New Roman"/>
          <w:sz w:val="24"/>
          <w:szCs w:val="24"/>
        </w:rPr>
        <w:t xml:space="preserve"> data points, this variable utilized two b</w:t>
      </w:r>
      <w:r w:rsidR="00524819">
        <w:rPr>
          <w:rFonts w:ascii="Times New Roman" w:eastAsia="Times New Roman" w:hAnsi="Times New Roman" w:cs="Times New Roman"/>
          <w:sz w:val="24"/>
          <w:szCs w:val="24"/>
        </w:rPr>
        <w:t xml:space="preserve">ins. The bins were split by the </w:t>
      </w:r>
      <w:r w:rsidR="00524819">
        <w:rPr>
          <w:rFonts w:ascii="Times New Roman" w:eastAsia="Times New Roman" w:hAnsi="Times New Roman" w:cs="Times New Roman"/>
          <w:sz w:val="24"/>
          <w:szCs w:val="24"/>
        </w:rPr>
        <w:lastRenderedPageBreak/>
        <w:t>$22,818 per capita mark, the World Bank’s classification bet</w:t>
      </w:r>
      <w:r w:rsidR="00552F5B">
        <w:rPr>
          <w:rFonts w:ascii="Times New Roman" w:eastAsia="Times New Roman" w:hAnsi="Times New Roman" w:cs="Times New Roman"/>
          <w:sz w:val="24"/>
          <w:szCs w:val="24"/>
        </w:rPr>
        <w:t xml:space="preserve">ween a high income and upper middle income </w:t>
      </w:r>
      <w:r w:rsidR="00552F5B" w:rsidRPr="00582F4B">
        <w:rPr>
          <w:rFonts w:ascii="Times New Roman" w:eastAsia="Times New Roman" w:hAnsi="Times New Roman" w:cs="Times New Roman"/>
          <w:sz w:val="24"/>
          <w:szCs w:val="24"/>
        </w:rPr>
        <w:t>nation.</w:t>
      </w:r>
      <w:r w:rsidR="00552F5B" w:rsidRPr="00582F4B">
        <w:rPr>
          <w:rStyle w:val="FootnoteReference"/>
          <w:rFonts w:ascii="Times New Roman" w:eastAsia="Times New Roman" w:hAnsi="Times New Roman" w:cs="Times New Roman"/>
          <w:sz w:val="24"/>
          <w:szCs w:val="24"/>
        </w:rPr>
        <w:footnoteReference w:id="12"/>
      </w:r>
    </w:p>
    <w:p w:rsidR="00D8668E" w:rsidRPr="00582F4B" w:rsidRDefault="00D8668E" w:rsidP="006A06D6">
      <w:pPr>
        <w:spacing w:after="0" w:line="480" w:lineRule="auto"/>
        <w:ind w:firstLine="630"/>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The f</w:t>
      </w:r>
      <w:r w:rsidR="00552F5B" w:rsidRPr="00582F4B">
        <w:rPr>
          <w:rFonts w:ascii="Times New Roman" w:eastAsia="Times New Roman" w:hAnsi="Times New Roman" w:cs="Times New Roman"/>
          <w:sz w:val="24"/>
          <w:szCs w:val="24"/>
        </w:rPr>
        <w:t xml:space="preserve">irst table </w:t>
      </w:r>
      <w:r w:rsidRPr="00582F4B">
        <w:rPr>
          <w:rFonts w:ascii="Times New Roman" w:eastAsia="Times New Roman" w:hAnsi="Times New Roman" w:cs="Times New Roman"/>
          <w:sz w:val="24"/>
          <w:szCs w:val="24"/>
        </w:rPr>
        <w:t xml:space="preserve">in Figure </w:t>
      </w:r>
      <w:r w:rsidR="006C7E3B" w:rsidRPr="00582F4B">
        <w:rPr>
          <w:rFonts w:ascii="Times New Roman" w:eastAsia="Times New Roman" w:hAnsi="Times New Roman" w:cs="Times New Roman"/>
          <w:sz w:val="24"/>
          <w:szCs w:val="24"/>
        </w:rPr>
        <w:t>4</w:t>
      </w:r>
      <w:r w:rsidR="003D2F72" w:rsidRPr="00582F4B">
        <w:rPr>
          <w:rFonts w:ascii="Times New Roman" w:eastAsia="Times New Roman" w:hAnsi="Times New Roman" w:cs="Times New Roman"/>
          <w:sz w:val="24"/>
          <w:szCs w:val="24"/>
        </w:rPr>
        <w:t>a</w:t>
      </w:r>
      <w:r w:rsidRPr="00582F4B">
        <w:rPr>
          <w:rFonts w:ascii="Times New Roman" w:eastAsia="Times New Roman" w:hAnsi="Times New Roman" w:cs="Times New Roman"/>
          <w:sz w:val="24"/>
          <w:szCs w:val="24"/>
        </w:rPr>
        <w:t xml:space="preserve"> shows that most of the years (</w:t>
      </w:r>
      <w:r w:rsidR="00552F5B" w:rsidRPr="00582F4B">
        <w:rPr>
          <w:rFonts w:ascii="Times New Roman" w:eastAsia="Times New Roman" w:hAnsi="Times New Roman" w:cs="Times New Roman"/>
          <w:sz w:val="24"/>
          <w:szCs w:val="24"/>
        </w:rPr>
        <w:t>55.23</w:t>
      </w:r>
      <w:r w:rsidRPr="00582F4B">
        <w:rPr>
          <w:rFonts w:ascii="Times New Roman" w:eastAsia="Times New Roman" w:hAnsi="Times New Roman" w:cs="Times New Roman"/>
          <w:sz w:val="24"/>
          <w:szCs w:val="24"/>
        </w:rPr>
        <w:t xml:space="preserve">%) in the data set had a GDP per capita </w:t>
      </w:r>
      <w:r w:rsidR="00552F5B" w:rsidRPr="00582F4B">
        <w:rPr>
          <w:rFonts w:ascii="Times New Roman" w:eastAsia="Times New Roman" w:hAnsi="Times New Roman" w:cs="Times New Roman"/>
          <w:sz w:val="24"/>
          <w:szCs w:val="24"/>
        </w:rPr>
        <w:t>below $22,818</w:t>
      </w:r>
      <w:r w:rsidR="003D2F72" w:rsidRPr="00582F4B">
        <w:rPr>
          <w:rFonts w:ascii="Times New Roman" w:eastAsia="Times New Roman" w:hAnsi="Times New Roman" w:cs="Times New Roman"/>
          <w:sz w:val="24"/>
          <w:szCs w:val="24"/>
        </w:rPr>
        <w:t xml:space="preserve">, in the upper middle income category, </w:t>
      </w:r>
      <w:r w:rsidRPr="00582F4B">
        <w:rPr>
          <w:rFonts w:ascii="Times New Roman" w:eastAsia="Times New Roman" w:hAnsi="Times New Roman" w:cs="Times New Roman"/>
          <w:sz w:val="24"/>
          <w:szCs w:val="24"/>
        </w:rPr>
        <w:t xml:space="preserve">and </w:t>
      </w:r>
      <w:r w:rsidR="006A06D6" w:rsidRPr="00582F4B">
        <w:rPr>
          <w:rFonts w:ascii="Times New Roman" w:eastAsia="Times New Roman" w:hAnsi="Times New Roman" w:cs="Times New Roman"/>
          <w:sz w:val="24"/>
          <w:szCs w:val="24"/>
        </w:rPr>
        <w:t xml:space="preserve">Figure 4b </w:t>
      </w:r>
      <w:r w:rsidRPr="00582F4B">
        <w:rPr>
          <w:rFonts w:ascii="Times New Roman" w:eastAsia="Times New Roman" w:hAnsi="Times New Roman" w:cs="Times New Roman"/>
          <w:sz w:val="24"/>
          <w:szCs w:val="24"/>
        </w:rPr>
        <w:t xml:space="preserve">displays the conditional probabilities </w:t>
      </w:r>
      <w:r w:rsidR="00552F5B" w:rsidRPr="00582F4B">
        <w:rPr>
          <w:rFonts w:ascii="Times New Roman" w:eastAsia="Times New Roman" w:hAnsi="Times New Roman" w:cs="Times New Roman"/>
          <w:sz w:val="24"/>
          <w:szCs w:val="24"/>
        </w:rPr>
        <w:t>distribution between oil rents per capita</w:t>
      </w:r>
      <w:r w:rsidRPr="00582F4B">
        <w:rPr>
          <w:rFonts w:ascii="Times New Roman" w:eastAsia="Times New Roman" w:hAnsi="Times New Roman" w:cs="Times New Roman"/>
          <w:sz w:val="24"/>
          <w:szCs w:val="24"/>
        </w:rPr>
        <w:t xml:space="preserve"> and GDP per capita.</w:t>
      </w:r>
    </w:p>
    <w:p w:rsidR="003D2F72" w:rsidRPr="00582F4B" w:rsidRDefault="006A06D6" w:rsidP="003D2F72">
      <w:pPr>
        <w:spacing w:after="0" w:line="480" w:lineRule="auto"/>
        <w:jc w:val="center"/>
        <w:rPr>
          <w:noProof/>
        </w:rPr>
      </w:pPr>
      <w:r w:rsidRPr="00582F4B">
        <w:rPr>
          <w:noProof/>
        </w:rPr>
        <w:drawing>
          <wp:inline distT="0" distB="0" distL="0" distR="0" wp14:anchorId="44725612" wp14:editId="715CC3A2">
            <wp:extent cx="2976564" cy="1152524"/>
            <wp:effectExtent l="0" t="0" r="14605" b="101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52F5B" w:rsidRPr="00582F4B">
        <w:rPr>
          <w:noProof/>
        </w:rPr>
        <w:t xml:space="preserve"> </w:t>
      </w:r>
    </w:p>
    <w:p w:rsidR="003D2F72" w:rsidRPr="00582F4B" w:rsidRDefault="003D2F72" w:rsidP="003D2F72">
      <w:pPr>
        <w:spacing w:after="0" w:line="480" w:lineRule="auto"/>
        <w:jc w:val="center"/>
        <w:rPr>
          <w:rFonts w:asciiTheme="majorBidi" w:hAnsiTheme="majorBidi" w:cstheme="majorBidi"/>
          <w:noProof/>
          <w:sz w:val="24"/>
          <w:szCs w:val="24"/>
        </w:rPr>
      </w:pPr>
      <w:r w:rsidRPr="00582F4B">
        <w:rPr>
          <w:rFonts w:asciiTheme="majorBidi" w:hAnsiTheme="majorBidi" w:cstheme="majorBidi"/>
          <w:noProof/>
          <w:sz w:val="24"/>
          <w:szCs w:val="24"/>
        </w:rPr>
        <w:t xml:space="preserve">(a) </w:t>
      </w:r>
      <w:r w:rsidR="003327B5" w:rsidRPr="00582F4B">
        <w:rPr>
          <w:rFonts w:asciiTheme="majorBidi" w:hAnsiTheme="majorBidi" w:cstheme="majorBidi"/>
          <w:noProof/>
          <w:sz w:val="24"/>
          <w:szCs w:val="24"/>
        </w:rPr>
        <w:t xml:space="preserve">Simple </w:t>
      </w:r>
      <w:r w:rsidRPr="00582F4B">
        <w:rPr>
          <w:rFonts w:asciiTheme="majorBidi" w:eastAsia="Times New Roman" w:hAnsiTheme="majorBidi" w:cstheme="majorBidi"/>
          <w:sz w:val="24"/>
          <w:szCs w:val="24"/>
        </w:rPr>
        <w:t>Probability Table</w:t>
      </w:r>
    </w:p>
    <w:tbl>
      <w:tblPr>
        <w:tblStyle w:val="TableGrid"/>
        <w:tblW w:w="0" w:type="auto"/>
        <w:tblLook w:val="04A0" w:firstRow="1" w:lastRow="0" w:firstColumn="1" w:lastColumn="0" w:noHBand="0" w:noVBand="1"/>
      </w:tblPr>
      <w:tblGrid>
        <w:gridCol w:w="2394"/>
        <w:gridCol w:w="2394"/>
        <w:gridCol w:w="2394"/>
        <w:gridCol w:w="2394"/>
      </w:tblGrid>
      <w:tr w:rsidR="009A0B68" w:rsidRPr="00582F4B" w:rsidTr="00C11D29">
        <w:tc>
          <w:tcPr>
            <w:tcW w:w="9576" w:type="dxa"/>
            <w:gridSpan w:val="4"/>
            <w:shd w:val="clear" w:color="auto" w:fill="A6A6A6" w:themeFill="background1" w:themeFillShade="A6"/>
          </w:tcPr>
          <w:p w:rsidR="009A0B68" w:rsidRPr="00582F4B" w:rsidRDefault="009A0B68" w:rsidP="009A0B68">
            <w:pPr>
              <w:jc w:val="center"/>
              <w:rPr>
                <w:rFonts w:ascii="Times New Roman" w:eastAsia="Times New Roman" w:hAnsi="Times New Roman" w:cs="Times New Roman"/>
                <w:b/>
                <w:bCs/>
                <w:sz w:val="24"/>
                <w:szCs w:val="24"/>
              </w:rPr>
            </w:pPr>
            <w:r w:rsidRPr="00582F4B">
              <w:rPr>
                <w:rFonts w:ascii="Times New Roman" w:eastAsia="Times New Roman" w:hAnsi="Times New Roman" w:cs="Times New Roman"/>
                <w:b/>
                <w:bCs/>
                <w:sz w:val="24"/>
                <w:szCs w:val="24"/>
              </w:rPr>
              <w:t>GDP per Capita (Constant 2005 $U.S.)</w:t>
            </w:r>
          </w:p>
        </w:tc>
      </w:tr>
      <w:tr w:rsidR="009A0B68" w:rsidRPr="00582F4B" w:rsidTr="009A0B68">
        <w:tc>
          <w:tcPr>
            <w:tcW w:w="2394" w:type="dxa"/>
            <w:shd w:val="clear" w:color="auto" w:fill="D9D9D9" w:themeFill="background1" w:themeFillShade="D9"/>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Oil Rents per Capita</w:t>
            </w:r>
          </w:p>
        </w:tc>
        <w:tc>
          <w:tcPr>
            <w:tcW w:w="2394" w:type="dxa"/>
            <w:shd w:val="clear" w:color="auto" w:fill="D9D9D9" w:themeFill="background1" w:themeFillShade="D9"/>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&lt;5000</w:t>
            </w:r>
          </w:p>
        </w:tc>
        <w:tc>
          <w:tcPr>
            <w:tcW w:w="2394" w:type="dxa"/>
            <w:shd w:val="clear" w:color="auto" w:fill="D9D9D9" w:themeFill="background1" w:themeFillShade="D9"/>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(5000, 10000)</w:t>
            </w:r>
          </w:p>
        </w:tc>
        <w:tc>
          <w:tcPr>
            <w:tcW w:w="2394" w:type="dxa"/>
            <w:shd w:val="clear" w:color="auto" w:fill="D9D9D9" w:themeFill="background1" w:themeFillShade="D9"/>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&gt;10000</w:t>
            </w:r>
          </w:p>
        </w:tc>
      </w:tr>
      <w:tr w:rsidR="009A0B68" w:rsidRPr="00582F4B" w:rsidTr="009A0B68">
        <w:tc>
          <w:tcPr>
            <w:tcW w:w="2394" w:type="dxa"/>
            <w:shd w:val="clear" w:color="auto" w:fill="A6A6A6" w:themeFill="background1" w:themeFillShade="A6"/>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&lt;22818</w:t>
            </w:r>
          </w:p>
        </w:tc>
        <w:tc>
          <w:tcPr>
            <w:tcW w:w="2394" w:type="dxa"/>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0.929825</w:t>
            </w:r>
          </w:p>
        </w:tc>
        <w:tc>
          <w:tcPr>
            <w:tcW w:w="2394" w:type="dxa"/>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0.561404</w:t>
            </w:r>
          </w:p>
        </w:tc>
        <w:tc>
          <w:tcPr>
            <w:tcW w:w="2394" w:type="dxa"/>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0.172414</w:t>
            </w:r>
          </w:p>
        </w:tc>
      </w:tr>
      <w:tr w:rsidR="009A0B68" w:rsidRPr="00582F4B" w:rsidTr="009A0B68">
        <w:tc>
          <w:tcPr>
            <w:tcW w:w="2394" w:type="dxa"/>
            <w:shd w:val="clear" w:color="auto" w:fill="A6A6A6" w:themeFill="background1" w:themeFillShade="A6"/>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&gt;22818</w:t>
            </w:r>
          </w:p>
        </w:tc>
        <w:tc>
          <w:tcPr>
            <w:tcW w:w="2394" w:type="dxa"/>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0.070175</w:t>
            </w:r>
          </w:p>
        </w:tc>
        <w:tc>
          <w:tcPr>
            <w:tcW w:w="2394" w:type="dxa"/>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0.438596</w:t>
            </w:r>
          </w:p>
        </w:tc>
        <w:tc>
          <w:tcPr>
            <w:tcW w:w="2394" w:type="dxa"/>
          </w:tcPr>
          <w:p w:rsidR="009A0B68" w:rsidRPr="00582F4B" w:rsidRDefault="009A0B68" w:rsidP="00201A2A">
            <w:pPr>
              <w:jc w:val="center"/>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0.827586</w:t>
            </w:r>
          </w:p>
        </w:tc>
      </w:tr>
    </w:tbl>
    <w:p w:rsidR="00201A2A" w:rsidRPr="00582F4B" w:rsidRDefault="00201A2A" w:rsidP="00201A2A">
      <w:pPr>
        <w:pStyle w:val="Caption"/>
        <w:spacing w:after="0"/>
        <w:jc w:val="center"/>
        <w:rPr>
          <w:rFonts w:asciiTheme="majorBidi" w:hAnsiTheme="majorBidi" w:cstheme="majorBidi"/>
          <w:color w:val="auto"/>
          <w:sz w:val="24"/>
          <w:szCs w:val="24"/>
        </w:rPr>
      </w:pPr>
    </w:p>
    <w:p w:rsidR="006A06D6" w:rsidRPr="00582F4B" w:rsidRDefault="006A06D6" w:rsidP="006A06D6">
      <w:pPr>
        <w:spacing w:after="0" w:line="480" w:lineRule="auto"/>
        <w:jc w:val="center"/>
        <w:rPr>
          <w:rFonts w:asciiTheme="majorBidi" w:hAnsiTheme="majorBidi" w:cstheme="majorBidi"/>
          <w:noProof/>
          <w:sz w:val="24"/>
          <w:szCs w:val="24"/>
        </w:rPr>
      </w:pPr>
      <w:r w:rsidRPr="00582F4B">
        <w:rPr>
          <w:rFonts w:asciiTheme="majorBidi" w:hAnsiTheme="majorBidi" w:cstheme="majorBidi"/>
          <w:noProof/>
          <w:sz w:val="24"/>
          <w:szCs w:val="24"/>
        </w:rPr>
        <w:t xml:space="preserve">(b) Conditional </w:t>
      </w:r>
      <w:r w:rsidRPr="00582F4B">
        <w:rPr>
          <w:rFonts w:asciiTheme="majorBidi" w:eastAsia="Times New Roman" w:hAnsiTheme="majorBidi" w:cstheme="majorBidi"/>
          <w:sz w:val="24"/>
          <w:szCs w:val="24"/>
        </w:rPr>
        <w:t>Probability Table</w:t>
      </w:r>
    </w:p>
    <w:p w:rsidR="00D8668E" w:rsidRPr="00582F4B" w:rsidRDefault="00D8668E" w:rsidP="003D2F72">
      <w:pPr>
        <w:pStyle w:val="Caption"/>
        <w:spacing w:after="0"/>
        <w:jc w:val="center"/>
        <w:rPr>
          <w:rFonts w:asciiTheme="majorBidi" w:hAnsiTheme="majorBidi" w:cstheme="majorBidi"/>
          <w:color w:val="auto"/>
          <w:sz w:val="24"/>
          <w:szCs w:val="24"/>
        </w:rPr>
      </w:pPr>
      <w:r w:rsidRPr="00582F4B">
        <w:rPr>
          <w:rFonts w:asciiTheme="majorBidi" w:hAnsiTheme="majorBidi" w:cstheme="majorBidi"/>
          <w:color w:val="auto"/>
          <w:sz w:val="24"/>
          <w:szCs w:val="24"/>
        </w:rPr>
        <w:t xml:space="preserve">Figure </w:t>
      </w:r>
      <w:r w:rsidR="006C7E3B" w:rsidRPr="00582F4B">
        <w:rPr>
          <w:rFonts w:asciiTheme="majorBidi" w:hAnsiTheme="majorBidi" w:cstheme="majorBidi"/>
          <w:color w:val="auto"/>
          <w:sz w:val="24"/>
          <w:szCs w:val="24"/>
        </w:rPr>
        <w:t>4</w:t>
      </w:r>
      <w:r w:rsidRPr="00582F4B">
        <w:rPr>
          <w:rFonts w:asciiTheme="majorBidi" w:hAnsiTheme="majorBidi" w:cstheme="majorBidi"/>
          <w:color w:val="auto"/>
          <w:sz w:val="24"/>
          <w:szCs w:val="24"/>
        </w:rPr>
        <w:t>. Tables for GDP per Capita</w:t>
      </w:r>
    </w:p>
    <w:p w:rsidR="00201A2A" w:rsidRPr="00582F4B" w:rsidRDefault="00201A2A" w:rsidP="00201A2A"/>
    <w:p w:rsidR="00D8668E" w:rsidRPr="00582F4B" w:rsidRDefault="00D8668E" w:rsidP="00D8668E">
      <w:pPr>
        <w:pStyle w:val="ListParagraph"/>
        <w:widowControl w:val="0"/>
        <w:numPr>
          <w:ilvl w:val="0"/>
          <w:numId w:val="2"/>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990"/>
        <w:rPr>
          <w:rFonts w:ascii="Times New Roman" w:eastAsia="Times New Roman" w:hAnsi="Times New Roman" w:cs="Times New Roman"/>
          <w:b/>
          <w:sz w:val="24"/>
          <w:szCs w:val="24"/>
        </w:rPr>
      </w:pPr>
      <w:r w:rsidRPr="00582F4B">
        <w:rPr>
          <w:rFonts w:ascii="Times New Roman" w:eastAsia="Times New Roman" w:hAnsi="Times New Roman" w:cs="Times New Roman"/>
          <w:b/>
          <w:sz w:val="24"/>
          <w:szCs w:val="24"/>
        </w:rPr>
        <w:t>Natural Gas Production per Capita</w:t>
      </w:r>
    </w:p>
    <w:p w:rsidR="00D8668E" w:rsidRDefault="00D8668E" w:rsidP="00D8668E">
      <w:pPr>
        <w:spacing w:after="0" w:line="480" w:lineRule="auto"/>
        <w:ind w:firstLine="720"/>
        <w:rPr>
          <w:rFonts w:ascii="Times New Roman" w:eastAsia="Times New Roman" w:hAnsi="Times New Roman" w:cs="Times New Roman"/>
          <w:sz w:val="24"/>
          <w:szCs w:val="24"/>
        </w:rPr>
      </w:pPr>
      <w:r w:rsidRPr="00582F4B">
        <w:rPr>
          <w:rFonts w:ascii="Times New Roman" w:eastAsia="Times New Roman" w:hAnsi="Times New Roman" w:cs="Times New Roman"/>
          <w:sz w:val="24"/>
          <w:szCs w:val="24"/>
        </w:rPr>
        <w:t>Natural gas production</w:t>
      </w:r>
      <w:r w:rsidR="000D2B67" w:rsidRPr="00582F4B">
        <w:rPr>
          <w:rFonts w:ascii="Times New Roman" w:eastAsia="Times New Roman" w:hAnsi="Times New Roman" w:cs="Times New Roman"/>
          <w:sz w:val="24"/>
          <w:szCs w:val="24"/>
        </w:rPr>
        <w:t xml:space="preserve"> per capita</w:t>
      </w:r>
      <w:r w:rsidRPr="00582F4B">
        <w:rPr>
          <w:rFonts w:ascii="Times New Roman" w:eastAsia="Times New Roman" w:hAnsi="Times New Roman" w:cs="Times New Roman"/>
          <w:sz w:val="24"/>
          <w:szCs w:val="24"/>
        </w:rPr>
        <w:t xml:space="preserve"> has no parent nodes, but it links down to the electricity </w:t>
      </w:r>
      <w:r w:rsidR="000D2B67" w:rsidRPr="00582F4B">
        <w:rPr>
          <w:rFonts w:ascii="Times New Roman" w:eastAsia="Times New Roman" w:hAnsi="Times New Roman" w:cs="Times New Roman"/>
          <w:sz w:val="24"/>
          <w:szCs w:val="24"/>
        </w:rPr>
        <w:t xml:space="preserve">installed </w:t>
      </w:r>
      <w:r w:rsidRPr="00582F4B">
        <w:rPr>
          <w:rFonts w:ascii="Times New Roman" w:eastAsia="Times New Roman" w:hAnsi="Times New Roman" w:cs="Times New Roman"/>
          <w:sz w:val="24"/>
          <w:szCs w:val="24"/>
        </w:rPr>
        <w:t xml:space="preserve">capacity </w:t>
      </w:r>
      <w:r w:rsidR="00FA1908" w:rsidRPr="00582F4B">
        <w:rPr>
          <w:rFonts w:ascii="Times New Roman" w:eastAsia="Times New Roman" w:hAnsi="Times New Roman" w:cs="Times New Roman"/>
          <w:sz w:val="24"/>
          <w:szCs w:val="24"/>
        </w:rPr>
        <w:t xml:space="preserve">per capita </w:t>
      </w:r>
      <w:r w:rsidRPr="00582F4B">
        <w:rPr>
          <w:rFonts w:ascii="Times New Roman" w:eastAsia="Times New Roman" w:hAnsi="Times New Roman" w:cs="Times New Roman"/>
          <w:sz w:val="24"/>
          <w:szCs w:val="24"/>
        </w:rPr>
        <w:t>node. This causal relationship is supported by the fact that Oman produces electricity primarily from na</w:t>
      </w:r>
      <w:r w:rsidR="008A3BE2" w:rsidRPr="00582F4B">
        <w:rPr>
          <w:rFonts w:ascii="Times New Roman" w:eastAsia="Times New Roman" w:hAnsi="Times New Roman" w:cs="Times New Roman"/>
          <w:sz w:val="24"/>
          <w:szCs w:val="24"/>
        </w:rPr>
        <w:t xml:space="preserve">tural gas, although some diesel and </w:t>
      </w:r>
      <w:r w:rsidRPr="00582F4B">
        <w:rPr>
          <w:rFonts w:ascii="Times New Roman" w:eastAsia="Times New Roman" w:hAnsi="Times New Roman" w:cs="Times New Roman"/>
          <w:sz w:val="24"/>
          <w:szCs w:val="24"/>
        </w:rPr>
        <w:t xml:space="preserve">distillate generation also occurs. Natural gas, though, provides 7.2 GW of Oman’s 8.8 GW generating capacity. In the </w:t>
      </w:r>
      <w:r w:rsidRPr="00582F4B">
        <w:rPr>
          <w:rFonts w:ascii="Times New Roman" w:eastAsia="Times New Roman" w:hAnsi="Times New Roman" w:cs="Times New Roman"/>
          <w:sz w:val="24"/>
          <w:szCs w:val="24"/>
        </w:rPr>
        <w:lastRenderedPageBreak/>
        <w:t>past, the rise in natural gas usage supported the doubling of Oman’s electricity cap</w:t>
      </w:r>
      <w:r>
        <w:rPr>
          <w:rFonts w:ascii="Times New Roman" w:eastAsia="Times New Roman" w:hAnsi="Times New Roman" w:cs="Times New Roman"/>
          <w:sz w:val="24"/>
          <w:szCs w:val="24"/>
        </w:rPr>
        <w:t>acity between 2000 and 2010.</w:t>
      </w:r>
      <w:r>
        <w:rPr>
          <w:rStyle w:val="FootnoteReference"/>
          <w:rFonts w:ascii="Times New Roman" w:eastAsia="Times New Roman" w:hAnsi="Times New Roman" w:cs="Times New Roman"/>
          <w:sz w:val="24"/>
          <w:szCs w:val="24"/>
        </w:rPr>
        <w:footnoteReference w:id="13"/>
      </w:r>
    </w:p>
    <w:p w:rsidR="00D8668E" w:rsidRDefault="00D8668E" w:rsidP="006E61C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Natural gas production</w:t>
      </w:r>
      <w:r w:rsidR="006E61C3">
        <w:rPr>
          <w:rFonts w:ascii="Times New Roman" w:eastAsia="Times New Roman" w:hAnsi="Times New Roman" w:cs="Times New Roman"/>
          <w:sz w:val="24"/>
          <w:szCs w:val="24"/>
        </w:rPr>
        <w:t xml:space="preserve"> per capita</w:t>
      </w:r>
      <w:r>
        <w:rPr>
          <w:rFonts w:ascii="Times New Roman" w:eastAsia="Times New Roman" w:hAnsi="Times New Roman" w:cs="Times New Roman"/>
          <w:sz w:val="24"/>
          <w:szCs w:val="24"/>
        </w:rPr>
        <w:t xml:space="preserve">, </w:t>
      </w:r>
      <w:r w:rsidR="000D2B67">
        <w:rPr>
          <w:rFonts w:ascii="Times New Roman" w:eastAsia="Times New Roman" w:hAnsi="Times New Roman" w:cs="Times New Roman"/>
          <w:sz w:val="24"/>
          <w:szCs w:val="24"/>
        </w:rPr>
        <w:t>converted from</w:t>
      </w:r>
      <w:r>
        <w:rPr>
          <w:rFonts w:ascii="Times New Roman" w:eastAsia="Times New Roman" w:hAnsi="Times New Roman" w:cs="Times New Roman"/>
          <w:sz w:val="24"/>
          <w:szCs w:val="24"/>
        </w:rPr>
        <w:t xml:space="preserve"> billion cubic feet</w:t>
      </w:r>
      <w:r w:rsidR="000D2B67">
        <w:rPr>
          <w:rFonts w:ascii="Times New Roman" w:eastAsia="Times New Roman" w:hAnsi="Times New Roman" w:cs="Times New Roman"/>
          <w:sz w:val="24"/>
          <w:szCs w:val="24"/>
        </w:rPr>
        <w:t xml:space="preserve"> to cubic feet per capita</w:t>
      </w:r>
      <w:r>
        <w:rPr>
          <w:rFonts w:ascii="Times New Roman" w:eastAsia="Times New Roman" w:hAnsi="Times New Roman" w:cs="Times New Roman"/>
          <w:sz w:val="24"/>
          <w:szCs w:val="24"/>
        </w:rPr>
        <w:t>, was documented by the U.S. Energy Information Administration.</w:t>
      </w:r>
      <w:r>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xml:space="preserve"> The annually recorded data spanned from 1980 to 201</w:t>
      </w:r>
      <w:r w:rsidR="000D2B67">
        <w:rPr>
          <w:rFonts w:ascii="Times New Roman" w:eastAsia="Times New Roman" w:hAnsi="Times New Roman" w:cs="Times New Roman"/>
          <w:sz w:val="24"/>
          <w:szCs w:val="24"/>
        </w:rPr>
        <w:t>2</w:t>
      </w:r>
      <w:r>
        <w:rPr>
          <w:rFonts w:ascii="Times New Roman" w:eastAsia="Times New Roman" w:hAnsi="Times New Roman" w:cs="Times New Roman"/>
          <w:sz w:val="24"/>
          <w:szCs w:val="24"/>
        </w:rPr>
        <w:t>, a total of 3</w:t>
      </w:r>
      <w:r w:rsidR="000D2B6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years, for Oman, the United Arab Emirates, Saudi Arabia, and Kuwait. The 13</w:t>
      </w:r>
      <w:r w:rsidR="000D2B6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data points separated into two bins, divided by a</w:t>
      </w:r>
      <w:r w:rsidR="00B12B5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0D2B67">
        <w:rPr>
          <w:rFonts w:ascii="Times New Roman" w:eastAsia="Times New Roman" w:hAnsi="Times New Roman" w:cs="Times New Roman"/>
          <w:sz w:val="24"/>
          <w:szCs w:val="24"/>
        </w:rPr>
        <w:t>84,000 cubic feet per capita</w:t>
      </w:r>
      <w:r>
        <w:rPr>
          <w:rFonts w:ascii="Times New Roman" w:eastAsia="Times New Roman" w:hAnsi="Times New Roman" w:cs="Times New Roman"/>
          <w:sz w:val="24"/>
          <w:szCs w:val="24"/>
        </w:rPr>
        <w:t xml:space="preserve"> split point; this value </w:t>
      </w:r>
      <w:r w:rsidR="006E61C3">
        <w:rPr>
          <w:rFonts w:ascii="Times New Roman" w:eastAsia="Times New Roman" w:hAnsi="Times New Roman" w:cs="Times New Roman"/>
          <w:sz w:val="24"/>
          <w:szCs w:val="24"/>
        </w:rPr>
        <w:t>was the average of the four countries’ natural gas</w:t>
      </w:r>
      <w:r>
        <w:rPr>
          <w:rFonts w:ascii="Times New Roman" w:eastAsia="Times New Roman" w:hAnsi="Times New Roman" w:cs="Times New Roman"/>
          <w:sz w:val="24"/>
          <w:szCs w:val="24"/>
        </w:rPr>
        <w:t xml:space="preserve">  </w:t>
      </w:r>
      <w:r w:rsidR="006E61C3">
        <w:rPr>
          <w:rFonts w:ascii="Times New Roman" w:eastAsia="Times New Roman" w:hAnsi="Times New Roman" w:cs="Times New Roman"/>
          <w:sz w:val="24"/>
          <w:szCs w:val="24"/>
        </w:rPr>
        <w:t>production per capita in the year 2000, when natural gas production became a major impetus for the increase in electricity capacity in the Middle East.</w:t>
      </w:r>
      <w:r w:rsidR="006E61C3">
        <w:rPr>
          <w:rStyle w:val="FootnoteReference"/>
          <w:rFonts w:ascii="Times New Roman" w:eastAsia="Times New Roman" w:hAnsi="Times New Roman" w:cs="Times New Roman"/>
          <w:sz w:val="24"/>
          <w:szCs w:val="24"/>
        </w:rPr>
        <w:footnoteReference w:id="15"/>
      </w:r>
    </w:p>
    <w:p w:rsidR="00D8668E" w:rsidRPr="00DC4D6A" w:rsidRDefault="00D8668E" w:rsidP="008A3BE2">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C4D6A">
        <w:rPr>
          <w:rFonts w:ascii="Times New Roman" w:eastAsia="Times New Roman" w:hAnsi="Times New Roman" w:cs="Times New Roman"/>
          <w:sz w:val="24"/>
          <w:szCs w:val="24"/>
        </w:rPr>
        <w:t xml:space="preserve">Because the natural gas production node lacked parent nodes, the probability distribution in Figure </w:t>
      </w:r>
      <w:r w:rsidR="008A3BE2" w:rsidRPr="00DC4D6A">
        <w:rPr>
          <w:rFonts w:ascii="Times New Roman" w:eastAsia="Times New Roman" w:hAnsi="Times New Roman" w:cs="Times New Roman"/>
          <w:sz w:val="24"/>
          <w:szCs w:val="24"/>
        </w:rPr>
        <w:t>5</w:t>
      </w:r>
      <w:r w:rsidRPr="00DC4D6A">
        <w:rPr>
          <w:rFonts w:ascii="Times New Roman" w:eastAsia="Times New Roman" w:hAnsi="Times New Roman" w:cs="Times New Roman"/>
          <w:sz w:val="24"/>
          <w:szCs w:val="24"/>
        </w:rPr>
        <w:t xml:space="preserve"> was generated by merely dividing the number of cases per bin by 13</w:t>
      </w:r>
      <w:r w:rsidR="006E61C3" w:rsidRPr="00DC4D6A">
        <w:rPr>
          <w:rFonts w:ascii="Times New Roman" w:eastAsia="Times New Roman" w:hAnsi="Times New Roman" w:cs="Times New Roman"/>
          <w:sz w:val="24"/>
          <w:szCs w:val="24"/>
        </w:rPr>
        <w:t>2</w:t>
      </w:r>
      <w:r w:rsidRPr="00DC4D6A">
        <w:rPr>
          <w:rFonts w:ascii="Times New Roman" w:eastAsia="Times New Roman" w:hAnsi="Times New Roman" w:cs="Times New Roman"/>
          <w:sz w:val="24"/>
          <w:szCs w:val="24"/>
        </w:rPr>
        <w:t>, the number of data points.</w:t>
      </w:r>
      <w:r w:rsidRPr="00DC4D6A">
        <w:rPr>
          <w:noProof/>
        </w:rPr>
        <w:t xml:space="preserve">   </w:t>
      </w:r>
    </w:p>
    <w:tbl>
      <w:tblPr>
        <w:tblStyle w:val="TableGrid"/>
        <w:tblW w:w="0" w:type="auto"/>
        <w:jc w:val="center"/>
        <w:tblInd w:w="1435" w:type="dxa"/>
        <w:tblLook w:val="04A0" w:firstRow="1" w:lastRow="0" w:firstColumn="1" w:lastColumn="0" w:noHBand="0" w:noVBand="1"/>
      </w:tblPr>
      <w:tblGrid>
        <w:gridCol w:w="2674"/>
        <w:gridCol w:w="2675"/>
      </w:tblGrid>
      <w:tr w:rsidR="004653B8" w:rsidRPr="00DC4D6A" w:rsidTr="00C11D29">
        <w:trPr>
          <w:trHeight w:val="416"/>
          <w:jc w:val="center"/>
        </w:trPr>
        <w:tc>
          <w:tcPr>
            <w:tcW w:w="5349" w:type="dxa"/>
            <w:gridSpan w:val="2"/>
            <w:shd w:val="clear" w:color="auto" w:fill="BFBFBF" w:themeFill="background1" w:themeFillShade="BF"/>
            <w:vAlign w:val="center"/>
          </w:tcPr>
          <w:p w:rsidR="004653B8" w:rsidRPr="00DC4D6A" w:rsidRDefault="00D8668E" w:rsidP="004653B8">
            <w:pPr>
              <w:jc w:val="center"/>
              <w:rPr>
                <w:rFonts w:ascii="Times New Roman" w:eastAsia="Times New Roman" w:hAnsi="Times New Roman" w:cs="Times New Roman"/>
                <w:sz w:val="20"/>
                <w:szCs w:val="20"/>
              </w:rPr>
            </w:pPr>
            <w:r w:rsidRPr="00DC4D6A">
              <w:rPr>
                <w:noProof/>
              </w:rPr>
              <w:t xml:space="preserve">       </w:t>
            </w:r>
            <w:r w:rsidR="004653B8" w:rsidRPr="00DC4D6A">
              <w:rPr>
                <w:rFonts w:ascii="Times New Roman" w:eastAsia="Times New Roman" w:hAnsi="Times New Roman" w:cs="Times New Roman"/>
                <w:sz w:val="20"/>
                <w:szCs w:val="20"/>
              </w:rPr>
              <w:t>Natural Gas Production per  Capita (Cubic Feet per Capita)</w:t>
            </w:r>
          </w:p>
        </w:tc>
      </w:tr>
      <w:tr w:rsidR="004653B8" w:rsidRPr="00DC4D6A" w:rsidTr="00C11D29">
        <w:trPr>
          <w:trHeight w:val="416"/>
          <w:jc w:val="center"/>
        </w:trPr>
        <w:tc>
          <w:tcPr>
            <w:tcW w:w="2674" w:type="dxa"/>
            <w:shd w:val="clear" w:color="auto" w:fill="BFBFBF" w:themeFill="background1" w:themeFillShade="BF"/>
            <w:vAlign w:val="center"/>
          </w:tcPr>
          <w:p w:rsidR="004653B8" w:rsidRPr="00DC4D6A" w:rsidRDefault="004653B8" w:rsidP="00C11D29">
            <w:pPr>
              <w:jc w:val="center"/>
              <w:rPr>
                <w:rFonts w:ascii="Times New Roman" w:eastAsia="Times New Roman" w:hAnsi="Times New Roman" w:cs="Times New Roman"/>
                <w:b/>
                <w:bCs/>
                <w:sz w:val="20"/>
                <w:szCs w:val="20"/>
              </w:rPr>
            </w:pPr>
            <w:r w:rsidRPr="00DC4D6A">
              <w:rPr>
                <w:rFonts w:ascii="Times New Roman" w:eastAsia="Times New Roman" w:hAnsi="Times New Roman" w:cs="Times New Roman"/>
                <w:b/>
                <w:bCs/>
                <w:sz w:val="20"/>
                <w:szCs w:val="20"/>
              </w:rPr>
              <w:t>Bin</w:t>
            </w:r>
          </w:p>
        </w:tc>
        <w:tc>
          <w:tcPr>
            <w:tcW w:w="2675" w:type="dxa"/>
            <w:vAlign w:val="center"/>
          </w:tcPr>
          <w:p w:rsidR="004653B8" w:rsidRPr="00DC4D6A" w:rsidRDefault="004653B8" w:rsidP="00C11D29">
            <w:pPr>
              <w:jc w:val="center"/>
              <w:rPr>
                <w:rFonts w:ascii="Times New Roman" w:eastAsia="Times New Roman" w:hAnsi="Times New Roman" w:cs="Times New Roman"/>
                <w:b/>
                <w:bCs/>
                <w:sz w:val="20"/>
                <w:szCs w:val="20"/>
              </w:rPr>
            </w:pPr>
            <w:r w:rsidRPr="00DC4D6A">
              <w:rPr>
                <w:rFonts w:ascii="Times New Roman" w:eastAsia="Times New Roman" w:hAnsi="Times New Roman" w:cs="Times New Roman"/>
                <w:b/>
                <w:bCs/>
                <w:sz w:val="20"/>
                <w:szCs w:val="20"/>
              </w:rPr>
              <w:t>Probability</w:t>
            </w:r>
          </w:p>
        </w:tc>
      </w:tr>
      <w:tr w:rsidR="004653B8" w:rsidRPr="00DC4D6A" w:rsidTr="00C11D29">
        <w:trPr>
          <w:trHeight w:val="416"/>
          <w:jc w:val="center"/>
        </w:trPr>
        <w:tc>
          <w:tcPr>
            <w:tcW w:w="2674" w:type="dxa"/>
            <w:shd w:val="clear" w:color="auto" w:fill="BFBFBF" w:themeFill="background1" w:themeFillShade="BF"/>
            <w:vAlign w:val="center"/>
          </w:tcPr>
          <w:p w:rsidR="004653B8" w:rsidRPr="00DC4D6A" w:rsidRDefault="004653B8" w:rsidP="00BE4A63">
            <w:pPr>
              <w:jc w:val="center"/>
              <w:rPr>
                <w:rFonts w:ascii="Times New Roman" w:eastAsia="Times New Roman" w:hAnsi="Times New Roman" w:cs="Times New Roman"/>
                <w:sz w:val="20"/>
                <w:szCs w:val="20"/>
              </w:rPr>
            </w:pPr>
            <w:r w:rsidRPr="00DC4D6A">
              <w:rPr>
                <w:rFonts w:ascii="Times New Roman" w:eastAsia="Times New Roman" w:hAnsi="Times New Roman" w:cs="Times New Roman"/>
                <w:sz w:val="20"/>
                <w:szCs w:val="20"/>
              </w:rPr>
              <w:t>&lt;84000</w:t>
            </w:r>
          </w:p>
        </w:tc>
        <w:tc>
          <w:tcPr>
            <w:tcW w:w="2675" w:type="dxa"/>
            <w:vAlign w:val="center"/>
          </w:tcPr>
          <w:p w:rsidR="004653B8" w:rsidRPr="00DC4D6A" w:rsidRDefault="004653B8" w:rsidP="00BE4A63">
            <w:pPr>
              <w:jc w:val="center"/>
              <w:rPr>
                <w:rFonts w:ascii="Times New Roman" w:eastAsia="Times New Roman" w:hAnsi="Times New Roman" w:cs="Times New Roman"/>
                <w:sz w:val="20"/>
                <w:szCs w:val="20"/>
              </w:rPr>
            </w:pPr>
            <w:r w:rsidRPr="00DC4D6A">
              <w:rPr>
                <w:rFonts w:ascii="Times New Roman" w:eastAsia="Times New Roman" w:hAnsi="Times New Roman" w:cs="Times New Roman"/>
                <w:sz w:val="20"/>
                <w:szCs w:val="20"/>
              </w:rPr>
              <w:t>0.3182</w:t>
            </w:r>
          </w:p>
        </w:tc>
      </w:tr>
      <w:tr w:rsidR="004653B8" w:rsidRPr="00DC4D6A" w:rsidTr="00C11D29">
        <w:trPr>
          <w:trHeight w:val="416"/>
          <w:jc w:val="center"/>
        </w:trPr>
        <w:tc>
          <w:tcPr>
            <w:tcW w:w="2674" w:type="dxa"/>
            <w:shd w:val="clear" w:color="auto" w:fill="BFBFBF" w:themeFill="background1" w:themeFillShade="BF"/>
            <w:vAlign w:val="center"/>
          </w:tcPr>
          <w:p w:rsidR="004653B8" w:rsidRPr="00DC4D6A" w:rsidRDefault="004653B8" w:rsidP="00BE4A63">
            <w:pPr>
              <w:jc w:val="center"/>
              <w:rPr>
                <w:rFonts w:ascii="Times New Roman" w:eastAsia="Times New Roman" w:hAnsi="Times New Roman" w:cs="Times New Roman"/>
                <w:sz w:val="20"/>
                <w:szCs w:val="20"/>
              </w:rPr>
            </w:pPr>
            <w:r w:rsidRPr="00DC4D6A">
              <w:rPr>
                <w:rFonts w:ascii="Times New Roman" w:eastAsia="Times New Roman" w:hAnsi="Times New Roman" w:cs="Times New Roman"/>
                <w:sz w:val="20"/>
                <w:szCs w:val="20"/>
              </w:rPr>
              <w:t>&gt;84000</w:t>
            </w:r>
          </w:p>
        </w:tc>
        <w:tc>
          <w:tcPr>
            <w:tcW w:w="2675" w:type="dxa"/>
            <w:vAlign w:val="center"/>
          </w:tcPr>
          <w:p w:rsidR="004653B8" w:rsidRPr="00DC4D6A" w:rsidRDefault="004653B8" w:rsidP="00BE4A63">
            <w:pPr>
              <w:jc w:val="center"/>
              <w:rPr>
                <w:rFonts w:ascii="Times New Roman" w:eastAsia="Times New Roman" w:hAnsi="Times New Roman" w:cs="Times New Roman"/>
                <w:sz w:val="20"/>
                <w:szCs w:val="20"/>
              </w:rPr>
            </w:pPr>
            <w:r w:rsidRPr="00DC4D6A">
              <w:rPr>
                <w:rFonts w:ascii="Times New Roman" w:eastAsia="Times New Roman" w:hAnsi="Times New Roman" w:cs="Times New Roman"/>
                <w:sz w:val="20"/>
                <w:szCs w:val="20"/>
              </w:rPr>
              <w:t>0.6818</w:t>
            </w:r>
          </w:p>
        </w:tc>
      </w:tr>
    </w:tbl>
    <w:p w:rsidR="00BE4A63" w:rsidRPr="00DC4D6A" w:rsidRDefault="00BE4A63" w:rsidP="00BE4A63">
      <w:pPr>
        <w:pStyle w:val="Caption"/>
        <w:spacing w:after="0"/>
        <w:jc w:val="center"/>
        <w:rPr>
          <w:rFonts w:asciiTheme="majorBidi" w:hAnsiTheme="majorBidi" w:cstheme="majorBidi"/>
          <w:color w:val="auto"/>
          <w:sz w:val="24"/>
          <w:szCs w:val="24"/>
        </w:rPr>
      </w:pPr>
    </w:p>
    <w:p w:rsidR="00D8668E" w:rsidRDefault="00D8668E" w:rsidP="008A3BE2">
      <w:pPr>
        <w:pStyle w:val="Caption"/>
        <w:spacing w:after="0"/>
        <w:jc w:val="center"/>
        <w:rPr>
          <w:rFonts w:asciiTheme="majorBidi" w:hAnsiTheme="majorBidi" w:cstheme="majorBidi"/>
          <w:color w:val="auto"/>
          <w:sz w:val="24"/>
          <w:szCs w:val="24"/>
        </w:rPr>
      </w:pPr>
      <w:r w:rsidRPr="00DC4D6A">
        <w:rPr>
          <w:rFonts w:asciiTheme="majorBidi" w:hAnsiTheme="majorBidi" w:cstheme="majorBidi"/>
          <w:color w:val="auto"/>
          <w:sz w:val="24"/>
          <w:szCs w:val="24"/>
        </w:rPr>
        <w:t xml:space="preserve">Figure </w:t>
      </w:r>
      <w:r w:rsidR="008A3BE2" w:rsidRPr="00DC4D6A">
        <w:rPr>
          <w:rFonts w:asciiTheme="majorBidi" w:hAnsiTheme="majorBidi" w:cstheme="majorBidi"/>
          <w:color w:val="auto"/>
          <w:sz w:val="24"/>
          <w:szCs w:val="24"/>
        </w:rPr>
        <w:t>5</w:t>
      </w:r>
      <w:r w:rsidRPr="00DC4D6A">
        <w:rPr>
          <w:rFonts w:asciiTheme="majorBidi" w:hAnsiTheme="majorBidi" w:cstheme="majorBidi"/>
          <w:color w:val="auto"/>
          <w:sz w:val="24"/>
          <w:szCs w:val="24"/>
        </w:rPr>
        <w:t>. Probability</w:t>
      </w:r>
      <w:r w:rsidRPr="008968D1">
        <w:rPr>
          <w:rFonts w:asciiTheme="majorBidi" w:hAnsiTheme="majorBidi" w:cstheme="majorBidi"/>
          <w:color w:val="auto"/>
          <w:sz w:val="24"/>
          <w:szCs w:val="24"/>
        </w:rPr>
        <w:t xml:space="preserve"> Table for Natural Gas Production</w:t>
      </w:r>
      <w:r w:rsidR="00FC20ED">
        <w:rPr>
          <w:rFonts w:asciiTheme="majorBidi" w:hAnsiTheme="majorBidi" w:cstheme="majorBidi"/>
          <w:color w:val="auto"/>
          <w:sz w:val="24"/>
          <w:szCs w:val="24"/>
        </w:rPr>
        <w:t xml:space="preserve"> per Capita</w:t>
      </w:r>
    </w:p>
    <w:p w:rsidR="00BE4A63" w:rsidRPr="00BE4A63" w:rsidRDefault="00BE4A63" w:rsidP="00BE4A63"/>
    <w:p w:rsidR="00D8668E" w:rsidRDefault="00D8668E" w:rsidP="00D8668E">
      <w:pPr>
        <w:pStyle w:val="ListParagraph"/>
        <w:widowControl w:val="0"/>
        <w:numPr>
          <w:ilvl w:val="0"/>
          <w:numId w:val="2"/>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99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Electricity Installed Capacity per Capita </w:t>
      </w:r>
    </w:p>
    <w:p w:rsidR="00D8668E" w:rsidRDefault="00D8668E" w:rsidP="003327B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 xml:space="preserve">The electricity </w:t>
      </w:r>
      <w:r w:rsidR="00FC20ED">
        <w:rPr>
          <w:rFonts w:ascii="Times New Roman" w:eastAsia="Times New Roman" w:hAnsi="Times New Roman" w:cs="Times New Roman"/>
          <w:bCs/>
          <w:sz w:val="24"/>
          <w:szCs w:val="24"/>
        </w:rPr>
        <w:t xml:space="preserve">installed </w:t>
      </w:r>
      <w:r>
        <w:rPr>
          <w:rFonts w:ascii="Times New Roman" w:eastAsia="Times New Roman" w:hAnsi="Times New Roman" w:cs="Times New Roman"/>
          <w:bCs/>
          <w:sz w:val="24"/>
          <w:szCs w:val="24"/>
        </w:rPr>
        <w:t>capacity</w:t>
      </w:r>
      <w:r w:rsidR="00FC20ED">
        <w:rPr>
          <w:rFonts w:ascii="Times New Roman" w:eastAsia="Times New Roman" w:hAnsi="Times New Roman" w:cs="Times New Roman"/>
          <w:bCs/>
          <w:sz w:val="24"/>
          <w:szCs w:val="24"/>
        </w:rPr>
        <w:t xml:space="preserve"> per capita</w:t>
      </w:r>
      <w:r>
        <w:rPr>
          <w:rFonts w:ascii="Times New Roman" w:eastAsia="Times New Roman" w:hAnsi="Times New Roman" w:cs="Times New Roman"/>
          <w:bCs/>
          <w:sz w:val="24"/>
          <w:szCs w:val="24"/>
        </w:rPr>
        <w:t xml:space="preserve"> node recei</w:t>
      </w:r>
      <w:r w:rsidRPr="00FC20ED">
        <w:rPr>
          <w:rFonts w:ascii="Times New Roman" w:eastAsia="Times New Roman" w:hAnsi="Times New Roman" w:cs="Times New Roman"/>
          <w:bCs/>
          <w:sz w:val="24"/>
          <w:szCs w:val="24"/>
        </w:rPr>
        <w:t xml:space="preserve">ves input from the </w:t>
      </w:r>
      <w:r w:rsidR="00FC20ED">
        <w:rPr>
          <w:rFonts w:ascii="Times New Roman" w:eastAsia="Times New Roman" w:hAnsi="Times New Roman" w:cs="Times New Roman"/>
          <w:bCs/>
          <w:sz w:val="24"/>
          <w:szCs w:val="24"/>
        </w:rPr>
        <w:t>GDP per capita</w:t>
      </w:r>
      <w:r w:rsidRPr="00FC20ED">
        <w:rPr>
          <w:rFonts w:ascii="Times New Roman" w:eastAsia="Times New Roman" w:hAnsi="Times New Roman" w:cs="Times New Roman"/>
          <w:bCs/>
          <w:sz w:val="24"/>
          <w:szCs w:val="24"/>
        </w:rPr>
        <w:t xml:space="preserve"> and natural gas production</w:t>
      </w:r>
      <w:r w:rsidR="00FC20ED">
        <w:rPr>
          <w:rFonts w:ascii="Times New Roman" w:eastAsia="Times New Roman" w:hAnsi="Times New Roman" w:cs="Times New Roman"/>
          <w:bCs/>
          <w:sz w:val="24"/>
          <w:szCs w:val="24"/>
        </w:rPr>
        <w:t xml:space="preserve"> per capita</w:t>
      </w:r>
      <w:r w:rsidRPr="00FC20ED">
        <w:rPr>
          <w:rFonts w:ascii="Times New Roman" w:eastAsia="Times New Roman" w:hAnsi="Times New Roman" w:cs="Times New Roman"/>
          <w:bCs/>
          <w:sz w:val="24"/>
          <w:szCs w:val="24"/>
        </w:rPr>
        <w:t xml:space="preserve"> nodes, and it propagates downward</w:t>
      </w:r>
      <w:r>
        <w:rPr>
          <w:rFonts w:ascii="Times New Roman" w:eastAsia="Times New Roman" w:hAnsi="Times New Roman" w:cs="Times New Roman"/>
          <w:bCs/>
          <w:sz w:val="24"/>
          <w:szCs w:val="24"/>
        </w:rPr>
        <w:t xml:space="preserve"> into the desalination capacity</w:t>
      </w:r>
      <w:r w:rsidR="003327B5">
        <w:rPr>
          <w:rFonts w:ascii="Times New Roman" w:eastAsia="Times New Roman" w:hAnsi="Times New Roman" w:cs="Times New Roman"/>
          <w:bCs/>
          <w:sz w:val="24"/>
          <w:szCs w:val="24"/>
        </w:rPr>
        <w:t xml:space="preserve"> per capita</w:t>
      </w:r>
      <w:r>
        <w:rPr>
          <w:rFonts w:ascii="Times New Roman" w:eastAsia="Times New Roman" w:hAnsi="Times New Roman" w:cs="Times New Roman"/>
          <w:bCs/>
          <w:sz w:val="24"/>
          <w:szCs w:val="24"/>
        </w:rPr>
        <w:t xml:space="preserve"> </w:t>
      </w:r>
      <w:r w:rsidR="00FC20ED">
        <w:rPr>
          <w:rFonts w:ascii="Times New Roman" w:eastAsia="Times New Roman" w:hAnsi="Times New Roman" w:cs="Times New Roman"/>
          <w:bCs/>
          <w:sz w:val="24"/>
          <w:szCs w:val="24"/>
        </w:rPr>
        <w:t>node</w:t>
      </w:r>
      <w:r>
        <w:rPr>
          <w:rFonts w:ascii="Times New Roman" w:eastAsia="Times New Roman" w:hAnsi="Times New Roman" w:cs="Times New Roman"/>
          <w:bCs/>
          <w:sz w:val="24"/>
          <w:szCs w:val="24"/>
        </w:rPr>
        <w:t xml:space="preserve">. In regards to desalination capacity, high salinity water from the Arabian Gulf requires more energy capacity and, consequently, a higher cost for desalination; </w:t>
      </w:r>
      <w:r>
        <w:rPr>
          <w:rFonts w:ascii="Times New Roman" w:eastAsia="Times New Roman" w:hAnsi="Times New Roman" w:cs="Times New Roman"/>
          <w:bCs/>
          <w:sz w:val="24"/>
          <w:szCs w:val="24"/>
        </w:rPr>
        <w:lastRenderedPageBreak/>
        <w:t>desalination cannot occur without an electrical infrastructure. M</w:t>
      </w:r>
      <w:r w:rsidR="003327B5">
        <w:rPr>
          <w:rFonts w:ascii="Times New Roman" w:eastAsia="Times New Roman" w:hAnsi="Times New Roman" w:cs="Times New Roman"/>
          <w:bCs/>
          <w:sz w:val="24"/>
          <w:szCs w:val="24"/>
        </w:rPr>
        <w:t>ulti-stage flash (MSF)</w:t>
      </w:r>
      <w:r>
        <w:rPr>
          <w:rFonts w:ascii="Times New Roman" w:eastAsia="Times New Roman" w:hAnsi="Times New Roman" w:cs="Times New Roman"/>
          <w:bCs/>
          <w:sz w:val="24"/>
          <w:szCs w:val="24"/>
        </w:rPr>
        <w:t xml:space="preserve"> plants in the region demand U.S.</w:t>
      </w:r>
      <w:r w:rsidR="009A466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$0.84 per cubic meter, while </w:t>
      </w:r>
      <w:r w:rsidR="003327B5">
        <w:rPr>
          <w:rFonts w:ascii="Times New Roman" w:eastAsia="Times New Roman" w:hAnsi="Times New Roman" w:cs="Times New Roman"/>
          <w:bCs/>
          <w:sz w:val="24"/>
          <w:szCs w:val="24"/>
        </w:rPr>
        <w:t>multi effect distillation (</w:t>
      </w:r>
      <w:r>
        <w:rPr>
          <w:rFonts w:ascii="Times New Roman" w:eastAsia="Times New Roman" w:hAnsi="Times New Roman" w:cs="Times New Roman"/>
          <w:bCs/>
          <w:sz w:val="24"/>
          <w:szCs w:val="24"/>
        </w:rPr>
        <w:t>MED</w:t>
      </w:r>
      <w:r w:rsidR="003327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w:t>
      </w:r>
      <w:r w:rsidR="003327B5">
        <w:rPr>
          <w:rFonts w:ascii="Times New Roman" w:eastAsia="Times New Roman" w:hAnsi="Times New Roman" w:cs="Times New Roman"/>
          <w:bCs/>
          <w:sz w:val="24"/>
          <w:szCs w:val="24"/>
        </w:rPr>
        <w:t xml:space="preserve"> seawater reverse osmosis</w:t>
      </w:r>
      <w:r>
        <w:rPr>
          <w:rFonts w:ascii="Times New Roman" w:eastAsia="Times New Roman" w:hAnsi="Times New Roman" w:cs="Times New Roman"/>
          <w:bCs/>
          <w:sz w:val="24"/>
          <w:szCs w:val="24"/>
        </w:rPr>
        <w:t xml:space="preserve"> </w:t>
      </w:r>
      <w:r w:rsidR="003327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SWRO</w:t>
      </w:r>
      <w:r w:rsidR="003327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plants require </w:t>
      </w:r>
      <w:r w:rsidR="003327B5">
        <w:rPr>
          <w:rFonts w:ascii="Times New Roman" w:eastAsia="Times New Roman" w:hAnsi="Times New Roman" w:cs="Times New Roman"/>
          <w:bCs/>
          <w:sz w:val="24"/>
          <w:szCs w:val="24"/>
        </w:rPr>
        <w:t>U.S. $</w:t>
      </w:r>
      <w:r>
        <w:rPr>
          <w:rFonts w:ascii="Times New Roman" w:eastAsia="Times New Roman" w:hAnsi="Times New Roman" w:cs="Times New Roman"/>
          <w:bCs/>
          <w:sz w:val="24"/>
          <w:szCs w:val="24"/>
        </w:rPr>
        <w:t xml:space="preserve">1.21 and </w:t>
      </w:r>
      <w:r w:rsidR="003327B5">
        <w:rPr>
          <w:rFonts w:ascii="Times New Roman" w:eastAsia="Times New Roman" w:hAnsi="Times New Roman" w:cs="Times New Roman"/>
          <w:bCs/>
          <w:sz w:val="24"/>
          <w:szCs w:val="24"/>
        </w:rPr>
        <w:t xml:space="preserve">$1.23 </w:t>
      </w:r>
      <w:r>
        <w:rPr>
          <w:rFonts w:ascii="Times New Roman" w:eastAsia="Times New Roman" w:hAnsi="Times New Roman" w:cs="Times New Roman"/>
          <w:bCs/>
          <w:sz w:val="24"/>
          <w:szCs w:val="24"/>
        </w:rPr>
        <w:t>respectively.</w:t>
      </w:r>
      <w:r>
        <w:rPr>
          <w:rStyle w:val="FootnoteReference"/>
          <w:rFonts w:ascii="Times New Roman" w:eastAsia="Times New Roman" w:hAnsi="Times New Roman" w:cs="Times New Roman"/>
          <w:bCs/>
          <w:sz w:val="24"/>
          <w:szCs w:val="24"/>
        </w:rPr>
        <w:footnoteReference w:id="16"/>
      </w:r>
      <w:r>
        <w:rPr>
          <w:rFonts w:ascii="Times New Roman" w:eastAsia="Times New Roman" w:hAnsi="Times New Roman" w:cs="Times New Roman"/>
          <w:bCs/>
          <w:sz w:val="24"/>
          <w:szCs w:val="24"/>
        </w:rPr>
        <w:t xml:space="preserve"> </w:t>
      </w:r>
    </w:p>
    <w:p w:rsidR="00D8668E" w:rsidRDefault="00D8668E" w:rsidP="003327B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As documented by the U.S. Energy Information Administration, electricity capacity, </w:t>
      </w:r>
      <w:r w:rsidR="00FC20ED">
        <w:rPr>
          <w:rFonts w:ascii="Times New Roman" w:eastAsia="Times New Roman" w:hAnsi="Times New Roman" w:cs="Times New Roman"/>
          <w:bCs/>
          <w:sz w:val="24"/>
          <w:szCs w:val="24"/>
        </w:rPr>
        <w:t>converted from</w:t>
      </w:r>
      <w:r>
        <w:rPr>
          <w:rFonts w:ascii="Times New Roman" w:eastAsia="Times New Roman" w:hAnsi="Times New Roman" w:cs="Times New Roman"/>
          <w:bCs/>
          <w:sz w:val="24"/>
          <w:szCs w:val="24"/>
        </w:rPr>
        <w:t xml:space="preserve"> gigawatts</w:t>
      </w:r>
      <w:r w:rsidR="00FC20ED">
        <w:rPr>
          <w:rFonts w:ascii="Times New Roman" w:eastAsia="Times New Roman" w:hAnsi="Times New Roman" w:cs="Times New Roman"/>
          <w:bCs/>
          <w:sz w:val="24"/>
          <w:szCs w:val="24"/>
        </w:rPr>
        <w:t xml:space="preserve"> to watts per capita</w:t>
      </w:r>
      <w:r>
        <w:rPr>
          <w:rFonts w:ascii="Times New Roman" w:eastAsia="Times New Roman" w:hAnsi="Times New Roman" w:cs="Times New Roman"/>
          <w:bCs/>
          <w:sz w:val="24"/>
          <w:szCs w:val="24"/>
        </w:rPr>
        <w:t>, had 3</w:t>
      </w:r>
      <w:r w:rsidR="00FC20ED">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years of data from 1980 to 201</w:t>
      </w:r>
      <w:r w:rsidR="00FC20ED">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for Oman, the United Arab Emirates, Saudi Arabia, and Kuwait.</w:t>
      </w:r>
      <w:r>
        <w:rPr>
          <w:rStyle w:val="FootnoteReference"/>
          <w:rFonts w:ascii="Times New Roman" w:eastAsia="Times New Roman" w:hAnsi="Times New Roman" w:cs="Times New Roman"/>
          <w:bCs/>
          <w:sz w:val="24"/>
          <w:szCs w:val="24"/>
        </w:rPr>
        <w:footnoteReference w:id="17"/>
      </w:r>
      <w:r>
        <w:rPr>
          <w:rFonts w:ascii="Times New Roman" w:eastAsia="Times New Roman" w:hAnsi="Times New Roman" w:cs="Times New Roman"/>
          <w:bCs/>
          <w:sz w:val="24"/>
          <w:szCs w:val="24"/>
        </w:rPr>
        <w:t xml:space="preserve"> </w:t>
      </w:r>
      <w:r w:rsidR="00915ADF">
        <w:rPr>
          <w:rFonts w:ascii="Times New Roman" w:eastAsia="Times New Roman" w:hAnsi="Times New Roman" w:cs="Times New Roman"/>
          <w:bCs/>
          <w:sz w:val="24"/>
          <w:szCs w:val="24"/>
        </w:rPr>
        <w:t>1300 watts per capita and 1600 watts per capita</w:t>
      </w:r>
      <w:r>
        <w:rPr>
          <w:rFonts w:ascii="Times New Roman" w:eastAsia="Times New Roman" w:hAnsi="Times New Roman" w:cs="Times New Roman"/>
          <w:bCs/>
          <w:sz w:val="24"/>
          <w:szCs w:val="24"/>
        </w:rPr>
        <w:t xml:space="preserve"> served as the split points for three bins</w:t>
      </w:r>
      <w:r w:rsidR="00915ADF">
        <w:rPr>
          <w:rFonts w:ascii="Times New Roman" w:eastAsia="Times New Roman" w:hAnsi="Times New Roman" w:cs="Times New Roman"/>
          <w:bCs/>
          <w:sz w:val="24"/>
          <w:szCs w:val="24"/>
        </w:rPr>
        <w:t>. These values were derived from the CIA World Factbook’s country comparison for electricity installed generating capacity, where Oman ranks 79, the United Arab Emirates 34, Saudi Arabia 20, and Kuwait 50; since the countries of focus range from 20 to roughly 80, the two spli</w:t>
      </w:r>
      <w:r w:rsidR="00C26414">
        <w:rPr>
          <w:rFonts w:ascii="Times New Roman" w:eastAsia="Times New Roman" w:hAnsi="Times New Roman" w:cs="Times New Roman"/>
          <w:bCs/>
          <w:sz w:val="24"/>
          <w:szCs w:val="24"/>
        </w:rPr>
        <w:t xml:space="preserve">t points were the </w:t>
      </w:r>
      <w:r w:rsidR="003327B5">
        <w:rPr>
          <w:rFonts w:ascii="Times New Roman" w:eastAsia="Times New Roman" w:hAnsi="Times New Roman" w:cs="Times New Roman"/>
          <w:bCs/>
          <w:sz w:val="24"/>
          <w:szCs w:val="24"/>
        </w:rPr>
        <w:t>converted calculations</w:t>
      </w:r>
      <w:r w:rsidR="00C26414">
        <w:rPr>
          <w:rFonts w:ascii="Times New Roman" w:eastAsia="Times New Roman" w:hAnsi="Times New Roman" w:cs="Times New Roman"/>
          <w:bCs/>
          <w:sz w:val="24"/>
          <w:szCs w:val="24"/>
        </w:rPr>
        <w:t xml:space="preserve"> of the capacity per capita for the countries a third and two-thirds down this range, Kazakhstan at 40 wit</w:t>
      </w:r>
      <w:r w:rsidR="003327B5">
        <w:rPr>
          <w:rFonts w:ascii="Times New Roman" w:eastAsia="Times New Roman" w:hAnsi="Times New Roman" w:cs="Times New Roman"/>
          <w:bCs/>
          <w:sz w:val="24"/>
          <w:szCs w:val="24"/>
        </w:rPr>
        <w:t>h a recorded 18,730,000 KW and</w:t>
      </w:r>
      <w:r>
        <w:rPr>
          <w:rFonts w:ascii="Times New Roman" w:eastAsia="Times New Roman" w:hAnsi="Times New Roman" w:cs="Times New Roman"/>
          <w:bCs/>
          <w:sz w:val="24"/>
          <w:szCs w:val="24"/>
        </w:rPr>
        <w:t xml:space="preserve"> </w:t>
      </w:r>
      <w:r w:rsidR="00C26414">
        <w:rPr>
          <w:rFonts w:ascii="Times New Roman" w:eastAsia="Times New Roman" w:hAnsi="Times New Roman" w:cs="Times New Roman"/>
          <w:bCs/>
          <w:sz w:val="24"/>
          <w:szCs w:val="24"/>
        </w:rPr>
        <w:t>North Korea</w:t>
      </w:r>
      <w:r w:rsidR="003029EE">
        <w:rPr>
          <w:rFonts w:ascii="Times New Roman" w:eastAsia="Times New Roman" w:hAnsi="Times New Roman" w:cs="Times New Roman"/>
          <w:bCs/>
          <w:sz w:val="24"/>
          <w:szCs w:val="24"/>
        </w:rPr>
        <w:t xml:space="preserve"> at 60</w:t>
      </w:r>
      <w:r w:rsidR="00C26414">
        <w:rPr>
          <w:rFonts w:ascii="Times New Roman" w:eastAsia="Times New Roman" w:hAnsi="Times New Roman" w:cs="Times New Roman"/>
          <w:bCs/>
          <w:sz w:val="24"/>
          <w:szCs w:val="24"/>
        </w:rPr>
        <w:t xml:space="preserve"> wi</w:t>
      </w:r>
      <w:r w:rsidR="003327B5">
        <w:rPr>
          <w:rFonts w:ascii="Times New Roman" w:eastAsia="Times New Roman" w:hAnsi="Times New Roman" w:cs="Times New Roman"/>
          <w:bCs/>
          <w:sz w:val="24"/>
          <w:szCs w:val="24"/>
        </w:rPr>
        <w:t>th 9,500,000 KW.</w:t>
      </w:r>
      <w:r w:rsidR="00C26414">
        <w:rPr>
          <w:rStyle w:val="FootnoteReference"/>
          <w:rFonts w:ascii="Times New Roman" w:eastAsia="Times New Roman" w:hAnsi="Times New Roman" w:cs="Times New Roman"/>
          <w:bCs/>
          <w:sz w:val="24"/>
          <w:szCs w:val="24"/>
        </w:rPr>
        <w:footnoteReference w:id="18"/>
      </w:r>
    </w:p>
    <w:p w:rsidR="00D8668E" w:rsidRPr="005A4AB2" w:rsidRDefault="00D8668E" w:rsidP="004B096D">
      <w:pPr>
        <w:spacing w:after="0" w:line="480" w:lineRule="auto"/>
        <w:ind w:firstLine="634"/>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3327B5">
        <w:rPr>
          <w:rFonts w:ascii="Times New Roman" w:eastAsia="Times New Roman" w:hAnsi="Times New Roman" w:cs="Times New Roman"/>
          <w:sz w:val="24"/>
          <w:szCs w:val="24"/>
        </w:rPr>
        <w:t xml:space="preserve">The first </w:t>
      </w:r>
      <w:r w:rsidR="003327B5" w:rsidRPr="00DC4D6A">
        <w:rPr>
          <w:rFonts w:ascii="Times New Roman" w:eastAsia="Times New Roman" w:hAnsi="Times New Roman" w:cs="Times New Roman"/>
          <w:sz w:val="24"/>
          <w:szCs w:val="24"/>
        </w:rPr>
        <w:t xml:space="preserve">table in Figure 6a </w:t>
      </w:r>
      <w:r w:rsidRPr="00DC4D6A">
        <w:rPr>
          <w:rFonts w:ascii="Times New Roman" w:eastAsia="Times New Roman" w:hAnsi="Times New Roman" w:cs="Times New Roman"/>
          <w:sz w:val="24"/>
          <w:szCs w:val="24"/>
        </w:rPr>
        <w:t xml:space="preserve"> shows that the data was spread fairly evenly between the bins</w:t>
      </w:r>
      <w:r w:rsidR="003327B5" w:rsidRPr="00DC4D6A">
        <w:rPr>
          <w:rFonts w:ascii="Times New Roman" w:eastAsia="Times New Roman" w:hAnsi="Times New Roman" w:cs="Times New Roman"/>
          <w:sz w:val="24"/>
          <w:szCs w:val="24"/>
        </w:rPr>
        <w:t xml:space="preserve">: </w:t>
      </w:r>
      <w:r w:rsidR="003029EE" w:rsidRPr="00DC4D6A">
        <w:rPr>
          <w:rFonts w:ascii="Times New Roman" w:eastAsia="Times New Roman" w:hAnsi="Times New Roman" w:cs="Times New Roman"/>
          <w:sz w:val="24"/>
          <w:szCs w:val="24"/>
        </w:rPr>
        <w:t xml:space="preserve">31.58% for the lowest, then </w:t>
      </w:r>
      <w:r w:rsidR="003029EE" w:rsidRPr="005A4AB2">
        <w:rPr>
          <w:rFonts w:ascii="Times New Roman" w:eastAsia="Times New Roman" w:hAnsi="Times New Roman" w:cs="Times New Roman"/>
          <w:sz w:val="24"/>
          <w:szCs w:val="24"/>
        </w:rPr>
        <w:t>23.35%, and 45.08</w:t>
      </w:r>
      <w:r w:rsidR="003327B5" w:rsidRPr="005A4AB2">
        <w:rPr>
          <w:rFonts w:ascii="Times New Roman" w:eastAsia="Times New Roman" w:hAnsi="Times New Roman" w:cs="Times New Roman"/>
          <w:sz w:val="24"/>
          <w:szCs w:val="24"/>
        </w:rPr>
        <w:t>% for the highest bin</w:t>
      </w:r>
      <w:r w:rsidR="004B096D" w:rsidRPr="005A4AB2">
        <w:rPr>
          <w:rFonts w:ascii="Times New Roman" w:eastAsia="Times New Roman" w:hAnsi="Times New Roman" w:cs="Times New Roman"/>
          <w:sz w:val="24"/>
          <w:szCs w:val="24"/>
        </w:rPr>
        <w:t>. T</w:t>
      </w:r>
      <w:r w:rsidRPr="005A4AB2">
        <w:rPr>
          <w:rFonts w:ascii="Times New Roman" w:eastAsia="Times New Roman" w:hAnsi="Times New Roman" w:cs="Times New Roman"/>
          <w:sz w:val="24"/>
          <w:szCs w:val="24"/>
        </w:rPr>
        <w:t xml:space="preserve">he </w:t>
      </w:r>
      <w:r w:rsidR="004B096D" w:rsidRPr="005A4AB2">
        <w:rPr>
          <w:rFonts w:ascii="Times New Roman" w:eastAsia="Times New Roman" w:hAnsi="Times New Roman" w:cs="Times New Roman"/>
          <w:sz w:val="24"/>
          <w:szCs w:val="24"/>
        </w:rPr>
        <w:t>table in Figure 6b</w:t>
      </w:r>
      <w:r w:rsidRPr="005A4AB2">
        <w:rPr>
          <w:rFonts w:ascii="Times New Roman" w:eastAsia="Times New Roman" w:hAnsi="Times New Roman" w:cs="Times New Roman"/>
          <w:sz w:val="24"/>
          <w:szCs w:val="24"/>
        </w:rPr>
        <w:t xml:space="preserve"> displays the conditional probabilities between the </w:t>
      </w:r>
      <w:r w:rsidR="003029EE" w:rsidRPr="005A4AB2">
        <w:rPr>
          <w:rFonts w:ascii="Times New Roman" w:eastAsia="Times New Roman" w:hAnsi="Times New Roman" w:cs="Times New Roman"/>
          <w:sz w:val="24"/>
          <w:szCs w:val="24"/>
        </w:rPr>
        <w:t>GDP per capita</w:t>
      </w:r>
      <w:r w:rsidRPr="005A4AB2">
        <w:rPr>
          <w:rFonts w:ascii="Times New Roman" w:eastAsia="Times New Roman" w:hAnsi="Times New Roman" w:cs="Times New Roman"/>
          <w:sz w:val="24"/>
          <w:szCs w:val="24"/>
        </w:rPr>
        <w:t xml:space="preserve"> and natural gas production</w:t>
      </w:r>
      <w:r w:rsidR="003029EE" w:rsidRPr="005A4AB2">
        <w:rPr>
          <w:rFonts w:ascii="Times New Roman" w:eastAsia="Times New Roman" w:hAnsi="Times New Roman" w:cs="Times New Roman"/>
          <w:sz w:val="24"/>
          <w:szCs w:val="24"/>
        </w:rPr>
        <w:t xml:space="preserve"> per capita</w:t>
      </w:r>
      <w:r w:rsidRPr="005A4AB2">
        <w:rPr>
          <w:rFonts w:ascii="Times New Roman" w:eastAsia="Times New Roman" w:hAnsi="Times New Roman" w:cs="Times New Roman"/>
          <w:sz w:val="24"/>
          <w:szCs w:val="24"/>
        </w:rPr>
        <w:t xml:space="preserve"> inputs and the electricity</w:t>
      </w:r>
      <w:r w:rsidR="003029EE" w:rsidRPr="005A4AB2">
        <w:rPr>
          <w:rFonts w:ascii="Times New Roman" w:eastAsia="Times New Roman" w:hAnsi="Times New Roman" w:cs="Times New Roman"/>
          <w:sz w:val="24"/>
          <w:szCs w:val="24"/>
        </w:rPr>
        <w:t xml:space="preserve"> installed</w:t>
      </w:r>
      <w:r w:rsidRPr="005A4AB2">
        <w:rPr>
          <w:rFonts w:ascii="Times New Roman" w:eastAsia="Times New Roman" w:hAnsi="Times New Roman" w:cs="Times New Roman"/>
          <w:sz w:val="24"/>
          <w:szCs w:val="24"/>
        </w:rPr>
        <w:t xml:space="preserve"> capacity </w:t>
      </w:r>
      <w:r w:rsidR="003029EE" w:rsidRPr="005A4AB2">
        <w:rPr>
          <w:rFonts w:ascii="Times New Roman" w:eastAsia="Times New Roman" w:hAnsi="Times New Roman" w:cs="Times New Roman"/>
          <w:sz w:val="24"/>
          <w:szCs w:val="24"/>
        </w:rPr>
        <w:t xml:space="preserve">per capita </w:t>
      </w:r>
      <w:r w:rsidRPr="005A4AB2">
        <w:rPr>
          <w:rFonts w:ascii="Times New Roman" w:eastAsia="Times New Roman" w:hAnsi="Times New Roman" w:cs="Times New Roman"/>
          <w:sz w:val="24"/>
          <w:szCs w:val="24"/>
        </w:rPr>
        <w:t>output.</w:t>
      </w:r>
    </w:p>
    <w:p w:rsidR="003327B5" w:rsidRPr="005A4AB2" w:rsidRDefault="003327B5" w:rsidP="004B096D">
      <w:pPr>
        <w:spacing w:after="0" w:line="240" w:lineRule="auto"/>
        <w:ind w:firstLine="634"/>
        <w:rPr>
          <w:rFonts w:ascii="Times New Roman" w:eastAsia="Times New Roman" w:hAnsi="Times New Roman" w:cs="Times New Roman"/>
          <w:sz w:val="24"/>
          <w:szCs w:val="24"/>
        </w:rPr>
      </w:pPr>
    </w:p>
    <w:p w:rsidR="003327B5" w:rsidRPr="005A4AB2" w:rsidRDefault="003327B5" w:rsidP="003029EE">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noProof/>
        </w:rPr>
      </w:pPr>
      <w:r w:rsidRPr="005A4AB2">
        <w:rPr>
          <w:noProof/>
        </w:rPr>
        <w:lastRenderedPageBreak/>
        <w:drawing>
          <wp:inline distT="0" distB="0" distL="0" distR="0" wp14:anchorId="6CEE77CE" wp14:editId="13770729">
            <wp:extent cx="2976563" cy="1514476"/>
            <wp:effectExtent l="0" t="0" r="1460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29EE" w:rsidRPr="005A4AB2" w:rsidRDefault="003029EE" w:rsidP="003029EE">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noProof/>
        </w:rPr>
      </w:pPr>
      <w:r w:rsidRPr="005A4AB2">
        <w:rPr>
          <w:noProof/>
        </w:rPr>
        <w:t xml:space="preserve"> </w:t>
      </w:r>
    </w:p>
    <w:p w:rsidR="003327B5" w:rsidRPr="005A4AB2" w:rsidRDefault="003327B5" w:rsidP="003029EE">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rPr>
      </w:pPr>
      <w:r w:rsidRPr="005A4AB2">
        <w:rPr>
          <w:rFonts w:asciiTheme="majorBidi" w:hAnsiTheme="majorBidi" w:cstheme="majorBidi"/>
          <w:noProof/>
          <w:sz w:val="24"/>
          <w:szCs w:val="24"/>
        </w:rPr>
        <w:t>(a) Simple Probability Table</w:t>
      </w:r>
    </w:p>
    <w:p w:rsidR="00C11D29" w:rsidRPr="005A4AB2" w:rsidRDefault="00C11D29" w:rsidP="003029EE">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noProof/>
        </w:rPr>
      </w:pPr>
    </w:p>
    <w:tbl>
      <w:tblPr>
        <w:tblStyle w:val="TableGrid"/>
        <w:tblW w:w="0" w:type="auto"/>
        <w:jc w:val="center"/>
        <w:tblInd w:w="-1230" w:type="dxa"/>
        <w:tblLook w:val="04A0" w:firstRow="1" w:lastRow="0" w:firstColumn="1" w:lastColumn="0" w:noHBand="0" w:noVBand="1"/>
      </w:tblPr>
      <w:tblGrid>
        <w:gridCol w:w="3345"/>
        <w:gridCol w:w="1260"/>
        <w:gridCol w:w="1170"/>
        <w:gridCol w:w="1260"/>
        <w:gridCol w:w="1118"/>
      </w:tblGrid>
      <w:tr w:rsidR="00C11D29" w:rsidRPr="005A4AB2" w:rsidTr="00C11D29">
        <w:trPr>
          <w:jc w:val="center"/>
        </w:trPr>
        <w:tc>
          <w:tcPr>
            <w:tcW w:w="8153" w:type="dxa"/>
            <w:gridSpan w:val="5"/>
            <w:shd w:val="clear" w:color="auto" w:fill="A6A6A6" w:themeFill="background1" w:themeFillShade="A6"/>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b/>
                <w:bCs/>
                <w:noProof/>
              </w:rPr>
            </w:pPr>
            <w:r w:rsidRPr="005A4AB2">
              <w:rPr>
                <w:rFonts w:asciiTheme="majorBidi" w:hAnsiTheme="majorBidi" w:cstheme="majorBidi"/>
                <w:b/>
                <w:bCs/>
                <w:noProof/>
              </w:rPr>
              <w:t>Electricity Installed Capacity (Watts per Capita)</w:t>
            </w:r>
          </w:p>
        </w:tc>
      </w:tr>
      <w:tr w:rsidR="00C11D29" w:rsidRPr="005A4AB2" w:rsidTr="00C11D29">
        <w:trPr>
          <w:jc w:val="center"/>
        </w:trPr>
        <w:tc>
          <w:tcPr>
            <w:tcW w:w="3345" w:type="dxa"/>
            <w:shd w:val="clear" w:color="auto" w:fill="D9D9D9" w:themeFill="background1" w:themeFillShade="D9"/>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GDP per Capita</w:t>
            </w:r>
          </w:p>
        </w:tc>
        <w:tc>
          <w:tcPr>
            <w:tcW w:w="2430" w:type="dxa"/>
            <w:gridSpan w:val="2"/>
            <w:shd w:val="clear" w:color="auto" w:fill="D9D9D9" w:themeFill="background1" w:themeFillShade="D9"/>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&lt;22818</w:t>
            </w:r>
          </w:p>
        </w:tc>
        <w:tc>
          <w:tcPr>
            <w:tcW w:w="2378" w:type="dxa"/>
            <w:gridSpan w:val="2"/>
            <w:shd w:val="clear" w:color="auto" w:fill="D9D9D9" w:themeFill="background1" w:themeFillShade="D9"/>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&lt;22818</w:t>
            </w:r>
          </w:p>
        </w:tc>
      </w:tr>
      <w:tr w:rsidR="00C11D29" w:rsidRPr="005A4AB2" w:rsidTr="00C11D29">
        <w:trPr>
          <w:jc w:val="center"/>
        </w:trPr>
        <w:tc>
          <w:tcPr>
            <w:tcW w:w="3345" w:type="dxa"/>
            <w:shd w:val="clear" w:color="auto" w:fill="D9D9D9" w:themeFill="background1" w:themeFillShade="D9"/>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Natural Gas Production per Capita</w:t>
            </w:r>
          </w:p>
        </w:tc>
        <w:tc>
          <w:tcPr>
            <w:tcW w:w="1260" w:type="dxa"/>
            <w:shd w:val="clear" w:color="auto" w:fill="D9D9D9" w:themeFill="background1" w:themeFillShade="D9"/>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&lt;84000</w:t>
            </w:r>
          </w:p>
        </w:tc>
        <w:tc>
          <w:tcPr>
            <w:tcW w:w="1170" w:type="dxa"/>
            <w:shd w:val="clear" w:color="auto" w:fill="D9D9D9" w:themeFill="background1" w:themeFillShade="D9"/>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&gt;84000</w:t>
            </w:r>
          </w:p>
        </w:tc>
        <w:tc>
          <w:tcPr>
            <w:tcW w:w="1260" w:type="dxa"/>
            <w:shd w:val="clear" w:color="auto" w:fill="D9D9D9" w:themeFill="background1" w:themeFillShade="D9"/>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&lt;84000</w:t>
            </w:r>
          </w:p>
        </w:tc>
        <w:tc>
          <w:tcPr>
            <w:tcW w:w="1118" w:type="dxa"/>
            <w:shd w:val="clear" w:color="auto" w:fill="D9D9D9" w:themeFill="background1" w:themeFillShade="D9"/>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&gt;84000</w:t>
            </w:r>
          </w:p>
        </w:tc>
      </w:tr>
      <w:tr w:rsidR="00C11D29" w:rsidRPr="005A4AB2" w:rsidTr="00C11D29">
        <w:trPr>
          <w:jc w:val="center"/>
        </w:trPr>
        <w:tc>
          <w:tcPr>
            <w:tcW w:w="3345" w:type="dxa"/>
            <w:shd w:val="clear" w:color="auto" w:fill="A6A6A6" w:themeFill="background1" w:themeFillShade="A6"/>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&lt;1300</w:t>
            </w:r>
          </w:p>
        </w:tc>
        <w:tc>
          <w:tcPr>
            <w:tcW w:w="1260"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0.9</w:t>
            </w:r>
          </w:p>
        </w:tc>
        <w:tc>
          <w:tcPr>
            <w:tcW w:w="1170"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0.4</w:t>
            </w:r>
          </w:p>
        </w:tc>
        <w:tc>
          <w:tcPr>
            <w:tcW w:w="1260"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0.01</w:t>
            </w:r>
          </w:p>
        </w:tc>
        <w:tc>
          <w:tcPr>
            <w:tcW w:w="1118"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0.018182</w:t>
            </w:r>
          </w:p>
        </w:tc>
      </w:tr>
      <w:tr w:rsidR="00C11D29" w:rsidRPr="005A4AB2" w:rsidTr="00C11D29">
        <w:trPr>
          <w:jc w:val="center"/>
        </w:trPr>
        <w:tc>
          <w:tcPr>
            <w:tcW w:w="3345" w:type="dxa"/>
            <w:shd w:val="clear" w:color="auto" w:fill="A6A6A6" w:themeFill="background1" w:themeFillShade="A6"/>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(1300, 2600)</w:t>
            </w:r>
          </w:p>
        </w:tc>
        <w:tc>
          <w:tcPr>
            <w:tcW w:w="1260"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0.025</w:t>
            </w:r>
          </w:p>
        </w:tc>
        <w:tc>
          <w:tcPr>
            <w:tcW w:w="1170"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0.457143</w:t>
            </w:r>
          </w:p>
        </w:tc>
        <w:tc>
          <w:tcPr>
            <w:tcW w:w="1260"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0.01</w:t>
            </w:r>
          </w:p>
        </w:tc>
        <w:tc>
          <w:tcPr>
            <w:tcW w:w="1118"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0.181818</w:t>
            </w:r>
          </w:p>
        </w:tc>
      </w:tr>
      <w:tr w:rsidR="00C11D29" w:rsidRPr="005A4AB2" w:rsidTr="00C11D29">
        <w:trPr>
          <w:jc w:val="center"/>
        </w:trPr>
        <w:tc>
          <w:tcPr>
            <w:tcW w:w="3345" w:type="dxa"/>
            <w:shd w:val="clear" w:color="auto" w:fill="A6A6A6" w:themeFill="background1" w:themeFillShade="A6"/>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&gt;2600</w:t>
            </w:r>
          </w:p>
        </w:tc>
        <w:tc>
          <w:tcPr>
            <w:tcW w:w="1260"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0..075</w:t>
            </w:r>
          </w:p>
        </w:tc>
        <w:tc>
          <w:tcPr>
            <w:tcW w:w="1170"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0.142857</w:t>
            </w:r>
          </w:p>
        </w:tc>
        <w:tc>
          <w:tcPr>
            <w:tcW w:w="1260"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0.98</w:t>
            </w:r>
          </w:p>
        </w:tc>
        <w:tc>
          <w:tcPr>
            <w:tcW w:w="1118" w:type="dxa"/>
            <w:vAlign w:val="center"/>
          </w:tcPr>
          <w:p w:rsidR="00C11D29" w:rsidRPr="005A4AB2" w:rsidRDefault="00C11D29" w:rsidP="00C11D29">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5A4AB2">
              <w:rPr>
                <w:rFonts w:asciiTheme="majorBidi" w:hAnsiTheme="majorBidi" w:cstheme="majorBidi"/>
                <w:noProof/>
              </w:rPr>
              <w:t>0.8</w:t>
            </w:r>
          </w:p>
        </w:tc>
      </w:tr>
    </w:tbl>
    <w:p w:rsidR="004B096D" w:rsidRPr="005A4AB2" w:rsidRDefault="004B096D" w:rsidP="004B096D">
      <w:pPr>
        <w:spacing w:after="0" w:line="240" w:lineRule="auto"/>
        <w:jc w:val="center"/>
        <w:rPr>
          <w:rFonts w:asciiTheme="majorBidi" w:hAnsiTheme="majorBidi" w:cstheme="majorBidi"/>
          <w:noProof/>
          <w:sz w:val="24"/>
          <w:szCs w:val="24"/>
        </w:rPr>
      </w:pPr>
    </w:p>
    <w:p w:rsidR="004B096D" w:rsidRPr="005A4AB2" w:rsidRDefault="004B096D" w:rsidP="004B096D">
      <w:pPr>
        <w:spacing w:after="0" w:line="240" w:lineRule="auto"/>
        <w:jc w:val="center"/>
        <w:rPr>
          <w:rFonts w:asciiTheme="majorBidi" w:eastAsia="Times New Roman" w:hAnsiTheme="majorBidi" w:cstheme="majorBidi"/>
          <w:sz w:val="24"/>
          <w:szCs w:val="24"/>
        </w:rPr>
      </w:pPr>
      <w:r w:rsidRPr="005A4AB2">
        <w:rPr>
          <w:rFonts w:asciiTheme="majorBidi" w:hAnsiTheme="majorBidi" w:cstheme="majorBidi"/>
          <w:noProof/>
          <w:sz w:val="24"/>
          <w:szCs w:val="24"/>
        </w:rPr>
        <w:t xml:space="preserve">(b) Conditional </w:t>
      </w:r>
      <w:r w:rsidRPr="005A4AB2">
        <w:rPr>
          <w:rFonts w:asciiTheme="majorBidi" w:eastAsia="Times New Roman" w:hAnsiTheme="majorBidi" w:cstheme="majorBidi"/>
          <w:sz w:val="24"/>
          <w:szCs w:val="24"/>
        </w:rPr>
        <w:t>Probability Table</w:t>
      </w:r>
    </w:p>
    <w:p w:rsidR="004B096D" w:rsidRPr="005A4AB2" w:rsidRDefault="004B096D" w:rsidP="004B096D">
      <w:pPr>
        <w:spacing w:after="0" w:line="240" w:lineRule="auto"/>
        <w:jc w:val="center"/>
        <w:rPr>
          <w:rFonts w:asciiTheme="majorBidi" w:hAnsiTheme="majorBidi" w:cstheme="majorBidi"/>
          <w:noProof/>
          <w:sz w:val="24"/>
          <w:szCs w:val="24"/>
        </w:rPr>
      </w:pPr>
    </w:p>
    <w:p w:rsidR="00D8668E" w:rsidRPr="005A4AB2" w:rsidRDefault="00D8668E" w:rsidP="004B096D">
      <w:pPr>
        <w:pStyle w:val="Caption"/>
        <w:spacing w:after="0" w:line="360" w:lineRule="auto"/>
        <w:jc w:val="center"/>
        <w:rPr>
          <w:rFonts w:asciiTheme="majorBidi" w:hAnsiTheme="majorBidi" w:cstheme="majorBidi"/>
          <w:color w:val="auto"/>
          <w:sz w:val="24"/>
          <w:szCs w:val="24"/>
        </w:rPr>
      </w:pPr>
      <w:r w:rsidRPr="005A4AB2">
        <w:rPr>
          <w:rFonts w:asciiTheme="majorBidi" w:hAnsiTheme="majorBidi" w:cstheme="majorBidi"/>
          <w:color w:val="auto"/>
          <w:sz w:val="24"/>
          <w:szCs w:val="24"/>
        </w:rPr>
        <w:t xml:space="preserve">Figure </w:t>
      </w:r>
      <w:r w:rsidR="004B096D" w:rsidRPr="005A4AB2">
        <w:rPr>
          <w:rFonts w:asciiTheme="majorBidi" w:hAnsiTheme="majorBidi" w:cstheme="majorBidi"/>
          <w:color w:val="auto"/>
          <w:sz w:val="24"/>
          <w:szCs w:val="24"/>
        </w:rPr>
        <w:t>6</w:t>
      </w:r>
      <w:r w:rsidRPr="005A4AB2">
        <w:rPr>
          <w:rFonts w:asciiTheme="majorBidi" w:hAnsiTheme="majorBidi" w:cstheme="majorBidi"/>
          <w:color w:val="auto"/>
          <w:sz w:val="24"/>
          <w:szCs w:val="24"/>
        </w:rPr>
        <w:t xml:space="preserve">. Tables for Electricity </w:t>
      </w:r>
      <w:r w:rsidR="00C26414" w:rsidRPr="005A4AB2">
        <w:rPr>
          <w:rFonts w:asciiTheme="majorBidi" w:hAnsiTheme="majorBidi" w:cstheme="majorBidi"/>
          <w:color w:val="auto"/>
          <w:sz w:val="24"/>
          <w:szCs w:val="24"/>
        </w:rPr>
        <w:t xml:space="preserve">Installed </w:t>
      </w:r>
      <w:r w:rsidRPr="005A4AB2">
        <w:rPr>
          <w:rFonts w:asciiTheme="majorBidi" w:hAnsiTheme="majorBidi" w:cstheme="majorBidi"/>
          <w:color w:val="auto"/>
          <w:sz w:val="24"/>
          <w:szCs w:val="24"/>
        </w:rPr>
        <w:t>Capacity</w:t>
      </w:r>
      <w:r w:rsidR="00C26414" w:rsidRPr="005A4AB2">
        <w:rPr>
          <w:rFonts w:asciiTheme="majorBidi" w:hAnsiTheme="majorBidi" w:cstheme="majorBidi"/>
          <w:color w:val="auto"/>
          <w:sz w:val="24"/>
          <w:szCs w:val="24"/>
        </w:rPr>
        <w:t xml:space="preserve"> per Capita</w:t>
      </w:r>
    </w:p>
    <w:p w:rsidR="003029EE" w:rsidRPr="005A4AB2" w:rsidRDefault="003029EE" w:rsidP="00BE6FAA">
      <w:pPr>
        <w:spacing w:after="0" w:line="360" w:lineRule="auto"/>
      </w:pPr>
    </w:p>
    <w:p w:rsidR="00D8668E" w:rsidRPr="005A4AB2" w:rsidRDefault="00D8668E" w:rsidP="00BE6FAA">
      <w:pPr>
        <w:pStyle w:val="ListParagraph"/>
        <w:widowControl w:val="0"/>
        <w:numPr>
          <w:ilvl w:val="0"/>
          <w:numId w:val="2"/>
        </w:numPr>
        <w:tabs>
          <w:tab w:val="left" w:pos="-1022"/>
          <w:tab w:val="left" w:pos="-720"/>
          <w:tab w:val="left" w:pos="450"/>
          <w:tab w:val="left" w:pos="720"/>
          <w:tab w:val="left" w:pos="117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360" w:lineRule="auto"/>
        <w:ind w:firstLine="0"/>
        <w:rPr>
          <w:rFonts w:ascii="Times New Roman" w:eastAsia="Times New Roman" w:hAnsi="Times New Roman" w:cs="Times New Roman"/>
          <w:b/>
          <w:sz w:val="24"/>
          <w:szCs w:val="24"/>
        </w:rPr>
      </w:pPr>
      <w:r w:rsidRPr="005A4AB2">
        <w:rPr>
          <w:rFonts w:ascii="Times New Roman" w:eastAsia="Times New Roman" w:hAnsi="Times New Roman" w:cs="Times New Roman"/>
          <w:b/>
          <w:sz w:val="24"/>
          <w:szCs w:val="24"/>
        </w:rPr>
        <w:t>Desalination Capacity per Capita</w:t>
      </w:r>
    </w:p>
    <w:p w:rsidR="00D8668E" w:rsidRDefault="00182278" w:rsidP="003029EE">
      <w:pPr>
        <w:spacing w:after="0" w:line="480" w:lineRule="auto"/>
        <w:ind w:firstLine="720"/>
        <w:rPr>
          <w:rFonts w:ascii="Times New Roman" w:eastAsia="Times New Roman" w:hAnsi="Times New Roman" w:cs="Times New Roman"/>
          <w:sz w:val="24"/>
          <w:szCs w:val="24"/>
        </w:rPr>
      </w:pPr>
      <w:r w:rsidRPr="005A4AB2">
        <w:rPr>
          <w:rFonts w:ascii="Times New Roman" w:eastAsia="Times New Roman" w:hAnsi="Times New Roman" w:cs="Times New Roman"/>
          <w:sz w:val="24"/>
          <w:szCs w:val="24"/>
        </w:rPr>
        <w:t>D</w:t>
      </w:r>
      <w:r w:rsidR="00D8668E" w:rsidRPr="005A4AB2">
        <w:rPr>
          <w:rFonts w:ascii="Times New Roman" w:eastAsia="Times New Roman" w:hAnsi="Times New Roman" w:cs="Times New Roman"/>
          <w:sz w:val="24"/>
          <w:szCs w:val="24"/>
        </w:rPr>
        <w:t>esalination capacity</w:t>
      </w:r>
      <w:r w:rsidRPr="005A4AB2">
        <w:rPr>
          <w:rFonts w:ascii="Times New Roman" w:eastAsia="Times New Roman" w:hAnsi="Times New Roman" w:cs="Times New Roman"/>
          <w:sz w:val="24"/>
          <w:szCs w:val="24"/>
        </w:rPr>
        <w:t xml:space="preserve"> per capita</w:t>
      </w:r>
      <w:r w:rsidR="00D8668E" w:rsidRPr="005A4AB2">
        <w:rPr>
          <w:rFonts w:ascii="Times New Roman" w:eastAsia="Times New Roman" w:hAnsi="Times New Roman" w:cs="Times New Roman"/>
          <w:sz w:val="24"/>
          <w:szCs w:val="24"/>
        </w:rPr>
        <w:t>, as facilitated by a nation’s electricity capacity, has a causal relationship with the water available</w:t>
      </w:r>
      <w:r w:rsidRPr="005A4AB2">
        <w:rPr>
          <w:rFonts w:ascii="Times New Roman" w:eastAsia="Times New Roman" w:hAnsi="Times New Roman" w:cs="Times New Roman"/>
          <w:sz w:val="24"/>
          <w:szCs w:val="24"/>
        </w:rPr>
        <w:t xml:space="preserve"> per capita</w:t>
      </w:r>
      <w:r w:rsidR="00D8668E" w:rsidRPr="005A4AB2">
        <w:rPr>
          <w:rFonts w:ascii="Times New Roman" w:eastAsia="Times New Roman" w:hAnsi="Times New Roman" w:cs="Times New Roman"/>
          <w:sz w:val="24"/>
          <w:szCs w:val="24"/>
        </w:rPr>
        <w:t xml:space="preserve"> node. Rising from a total production of 34 million cubic meters of water per year in 1995 to 109 million cubic meters of water per year in 2006, desalination in Oman contributed to 80 percent of the water supply in 2010.</w:t>
      </w:r>
      <w:r w:rsidR="00D8668E" w:rsidRPr="005A4AB2">
        <w:rPr>
          <w:rStyle w:val="FootnoteReference"/>
          <w:rFonts w:ascii="Times New Roman" w:eastAsia="Times New Roman" w:hAnsi="Times New Roman" w:cs="Times New Roman"/>
          <w:sz w:val="24"/>
          <w:szCs w:val="24"/>
        </w:rPr>
        <w:footnoteReference w:id="19"/>
      </w:r>
      <w:r w:rsidR="00D8668E" w:rsidRPr="005A4AB2">
        <w:rPr>
          <w:rFonts w:ascii="Times New Roman" w:eastAsia="Times New Roman" w:hAnsi="Times New Roman" w:cs="Times New Roman"/>
          <w:sz w:val="24"/>
          <w:szCs w:val="24"/>
        </w:rPr>
        <w:t xml:space="preserve"> Oman began its program in the early 1970s with the Ghubrah plant’s 7 multi-stage flash (MSF) units and another plant in Muscat. Although trailing behind Saudi Arabia as the world’s largest producer, with 17% of the global desalinated water capacity, and the</w:t>
      </w:r>
      <w:r w:rsidR="00D8668E">
        <w:rPr>
          <w:rFonts w:ascii="Times New Roman" w:eastAsia="Times New Roman" w:hAnsi="Times New Roman" w:cs="Times New Roman"/>
          <w:sz w:val="24"/>
          <w:szCs w:val="24"/>
        </w:rPr>
        <w:t xml:space="preserve"> United Arab Emirates as the second largest producer, Oman has made strides in expanding its program; the Sohar complex today </w:t>
      </w:r>
      <w:r w:rsidR="00D8668E">
        <w:rPr>
          <w:rFonts w:ascii="Times New Roman" w:eastAsia="Times New Roman" w:hAnsi="Times New Roman" w:cs="Times New Roman"/>
          <w:sz w:val="24"/>
          <w:szCs w:val="24"/>
        </w:rPr>
        <w:lastRenderedPageBreak/>
        <w:t>combines an MSF plant with smaller reverse osmosis (RO) and multiple-effect distillation (MED) plants to singlehandedly supply 208,000 cubic meters of water per day.</w:t>
      </w:r>
      <w:r w:rsidR="00D8668E">
        <w:rPr>
          <w:rStyle w:val="FootnoteReference"/>
          <w:rFonts w:ascii="Times New Roman" w:eastAsia="Times New Roman" w:hAnsi="Times New Roman" w:cs="Times New Roman"/>
          <w:sz w:val="24"/>
          <w:szCs w:val="24"/>
        </w:rPr>
        <w:footnoteReference w:id="20"/>
      </w:r>
    </w:p>
    <w:p w:rsidR="00D8668E" w:rsidRPr="00425880" w:rsidRDefault="00D8668E" w:rsidP="00F1323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extrapolated from the Economic and Social Commission for Western Asia’s paper on </w:t>
      </w:r>
      <w:r>
        <w:rPr>
          <w:rFonts w:ascii="Times New Roman" w:eastAsia="Times New Roman" w:hAnsi="Times New Roman" w:cs="Times New Roman"/>
          <w:i/>
          <w:iCs/>
          <w:sz w:val="24"/>
          <w:szCs w:val="24"/>
        </w:rPr>
        <w:t>Strengthening Development Coordination among Regional Actors in the ESCWA Region</w:t>
      </w:r>
      <w:r>
        <w:rPr>
          <w:rFonts w:ascii="Times New Roman" w:eastAsia="Times New Roman" w:hAnsi="Times New Roman" w:cs="Times New Roman"/>
          <w:sz w:val="24"/>
          <w:szCs w:val="24"/>
        </w:rPr>
        <w:t>, Oman, the United Arab Emirates, Saudi Arabia, and Kuwait have all experienced tremendous growth in desalination since the early 1970s.</w:t>
      </w:r>
      <w:r>
        <w:rPr>
          <w:rStyle w:val="FootnoteReference"/>
          <w:rFonts w:ascii="Times New Roman" w:eastAsia="Times New Roman" w:hAnsi="Times New Roman" w:cs="Times New Roman"/>
          <w:sz w:val="24"/>
          <w:szCs w:val="24"/>
        </w:rPr>
        <w:footnoteReference w:id="21"/>
      </w:r>
      <w:r w:rsidR="006A6387">
        <w:rPr>
          <w:rFonts w:ascii="Times New Roman" w:eastAsia="Times New Roman" w:hAnsi="Times New Roman" w:cs="Times New Roman"/>
          <w:sz w:val="24"/>
          <w:szCs w:val="24"/>
        </w:rPr>
        <w:t xml:space="preserve"> This dataset, however, tracked</w:t>
      </w:r>
      <w:r>
        <w:rPr>
          <w:rFonts w:ascii="Times New Roman" w:eastAsia="Times New Roman" w:hAnsi="Times New Roman" w:cs="Times New Roman"/>
          <w:sz w:val="24"/>
          <w:szCs w:val="24"/>
        </w:rPr>
        <w:t xml:space="preserve"> all four countries’ progress over </w:t>
      </w:r>
      <w:r w:rsidR="00F0409D">
        <w:rPr>
          <w:rFonts w:ascii="Times New Roman" w:eastAsia="Times New Roman" w:hAnsi="Times New Roman" w:cs="Times New Roman"/>
          <w:sz w:val="24"/>
          <w:szCs w:val="24"/>
        </w:rPr>
        <w:t>33</w:t>
      </w:r>
      <w:r>
        <w:rPr>
          <w:rFonts w:ascii="Times New Roman" w:eastAsia="Times New Roman" w:hAnsi="Times New Roman" w:cs="Times New Roman"/>
          <w:sz w:val="24"/>
          <w:szCs w:val="24"/>
        </w:rPr>
        <w:t xml:space="preserve"> years from 19</w:t>
      </w:r>
      <w:r w:rsidR="00F0409D">
        <w:rPr>
          <w:rFonts w:ascii="Times New Roman" w:eastAsia="Times New Roman" w:hAnsi="Times New Roman" w:cs="Times New Roman"/>
          <w:sz w:val="24"/>
          <w:szCs w:val="24"/>
        </w:rPr>
        <w:t>8</w:t>
      </w:r>
      <w:r w:rsidR="006A6387">
        <w:rPr>
          <w:rFonts w:ascii="Times New Roman" w:eastAsia="Times New Roman" w:hAnsi="Times New Roman" w:cs="Times New Roman"/>
          <w:sz w:val="24"/>
          <w:szCs w:val="24"/>
        </w:rPr>
        <w:t>0</w:t>
      </w:r>
      <w:r w:rsidR="00F0409D">
        <w:rPr>
          <w:rFonts w:ascii="Times New Roman" w:eastAsia="Times New Roman" w:hAnsi="Times New Roman" w:cs="Times New Roman"/>
          <w:sz w:val="24"/>
          <w:szCs w:val="24"/>
        </w:rPr>
        <w:t xml:space="preserve"> to 2012</w:t>
      </w:r>
      <w:r w:rsidR="006A6387">
        <w:rPr>
          <w:rFonts w:ascii="Times New Roman" w:eastAsia="Times New Roman" w:hAnsi="Times New Roman" w:cs="Times New Roman"/>
          <w:sz w:val="24"/>
          <w:szCs w:val="24"/>
        </w:rPr>
        <w:t>, and it split</w:t>
      </w:r>
      <w:r>
        <w:rPr>
          <w:rFonts w:ascii="Times New Roman" w:eastAsia="Times New Roman" w:hAnsi="Times New Roman" w:cs="Times New Roman"/>
          <w:sz w:val="24"/>
          <w:szCs w:val="24"/>
        </w:rPr>
        <w:t xml:space="preserve"> the values into two bins at</w:t>
      </w:r>
      <w:r w:rsidR="00F0409D">
        <w:rPr>
          <w:rFonts w:ascii="Times New Roman" w:eastAsia="Times New Roman" w:hAnsi="Times New Roman" w:cs="Times New Roman"/>
          <w:sz w:val="24"/>
          <w:szCs w:val="24"/>
        </w:rPr>
        <w:t xml:space="preserve"> 0.3 cubic meter</w:t>
      </w:r>
      <w:r w:rsidR="006D7B7C">
        <w:rPr>
          <w:rFonts w:ascii="Times New Roman" w:eastAsia="Times New Roman" w:hAnsi="Times New Roman" w:cs="Times New Roman"/>
          <w:sz w:val="24"/>
          <w:szCs w:val="24"/>
        </w:rPr>
        <w:t>s</w:t>
      </w:r>
      <w:r w:rsidR="00F0409D">
        <w:rPr>
          <w:rFonts w:ascii="Times New Roman" w:eastAsia="Times New Roman" w:hAnsi="Times New Roman" w:cs="Times New Roman"/>
          <w:sz w:val="24"/>
          <w:szCs w:val="24"/>
        </w:rPr>
        <w:t xml:space="preserve"> (or 300 liters) per capita per day</w:t>
      </w:r>
      <w:r w:rsidR="006A6387">
        <w:rPr>
          <w:rFonts w:ascii="Times New Roman" w:eastAsia="Times New Roman" w:hAnsi="Times New Roman" w:cs="Times New Roman"/>
          <w:sz w:val="24"/>
          <w:szCs w:val="24"/>
        </w:rPr>
        <w:t xml:space="preserve">; this </w:t>
      </w:r>
      <w:r w:rsidR="00F13233">
        <w:rPr>
          <w:rFonts w:ascii="Times New Roman" w:eastAsia="Times New Roman" w:hAnsi="Times New Roman" w:cs="Times New Roman"/>
          <w:sz w:val="24"/>
          <w:szCs w:val="24"/>
        </w:rPr>
        <w:t xml:space="preserve">value </w:t>
      </w:r>
      <w:r w:rsidR="005A2171">
        <w:rPr>
          <w:rFonts w:ascii="Times New Roman" w:eastAsia="Times New Roman" w:hAnsi="Times New Roman" w:cs="Times New Roman"/>
          <w:sz w:val="24"/>
          <w:szCs w:val="24"/>
        </w:rPr>
        <w:t xml:space="preserve">is double the </w:t>
      </w:r>
      <w:r w:rsidR="00F13233">
        <w:rPr>
          <w:rFonts w:ascii="Times New Roman" w:eastAsia="Times New Roman" w:hAnsi="Times New Roman" w:cs="Times New Roman"/>
          <w:sz w:val="24"/>
          <w:szCs w:val="24"/>
        </w:rPr>
        <w:t xml:space="preserve">global </w:t>
      </w:r>
      <w:r w:rsidR="005A2171">
        <w:rPr>
          <w:rFonts w:ascii="Times New Roman" w:eastAsia="Times New Roman" w:hAnsi="Times New Roman" w:cs="Times New Roman"/>
          <w:sz w:val="24"/>
          <w:szCs w:val="24"/>
        </w:rPr>
        <w:t>average daily water consumption of 150 liters</w:t>
      </w:r>
      <w:r w:rsidR="006A6387">
        <w:rPr>
          <w:rFonts w:ascii="Times New Roman" w:eastAsia="Times New Roman" w:hAnsi="Times New Roman" w:cs="Times New Roman"/>
          <w:sz w:val="24"/>
          <w:szCs w:val="24"/>
        </w:rPr>
        <w:t>,</w:t>
      </w:r>
      <w:r w:rsidR="005A2171">
        <w:rPr>
          <w:rFonts w:ascii="Times New Roman" w:eastAsia="Times New Roman" w:hAnsi="Times New Roman" w:cs="Times New Roman"/>
          <w:sz w:val="24"/>
          <w:szCs w:val="24"/>
        </w:rPr>
        <w:t xml:space="preserve"> or 0.</w:t>
      </w:r>
      <w:r w:rsidR="00F13233">
        <w:rPr>
          <w:rFonts w:ascii="Times New Roman" w:eastAsia="Times New Roman" w:hAnsi="Times New Roman" w:cs="Times New Roman"/>
          <w:sz w:val="24"/>
          <w:szCs w:val="24"/>
        </w:rPr>
        <w:t xml:space="preserve">15 cubic meters, and 230 million people around the world rely solely on desalination to provide this </w:t>
      </w:r>
      <w:r w:rsidR="00F13233" w:rsidRPr="00425880">
        <w:rPr>
          <w:rFonts w:ascii="Times New Roman" w:eastAsia="Times New Roman" w:hAnsi="Times New Roman" w:cs="Times New Roman"/>
          <w:sz w:val="24"/>
          <w:szCs w:val="24"/>
        </w:rPr>
        <w:t>water</w:t>
      </w:r>
      <w:r w:rsidR="006A6387" w:rsidRPr="00425880">
        <w:rPr>
          <w:rFonts w:ascii="Times New Roman" w:eastAsia="Times New Roman" w:hAnsi="Times New Roman" w:cs="Times New Roman"/>
          <w:sz w:val="24"/>
          <w:szCs w:val="24"/>
        </w:rPr>
        <w:t>.</w:t>
      </w:r>
      <w:r w:rsidR="00DC5258" w:rsidRPr="00425880">
        <w:rPr>
          <w:rStyle w:val="FootnoteReference"/>
          <w:rFonts w:ascii="Times New Roman" w:eastAsia="Times New Roman" w:hAnsi="Times New Roman" w:cs="Times New Roman"/>
          <w:sz w:val="24"/>
          <w:szCs w:val="24"/>
        </w:rPr>
        <w:footnoteReference w:id="22"/>
      </w:r>
    </w:p>
    <w:p w:rsidR="00201A2A" w:rsidRDefault="006D7B7C" w:rsidP="006D7B7C">
      <w:pPr>
        <w:spacing w:after="0" w:line="480" w:lineRule="auto"/>
        <w:ind w:firstLine="720"/>
        <w:rPr>
          <w:noProof/>
        </w:rPr>
      </w:pPr>
      <w:r w:rsidRPr="00425880">
        <w:rPr>
          <w:rFonts w:ascii="Times New Roman" w:eastAsia="Times New Roman" w:hAnsi="Times New Roman" w:cs="Times New Roman"/>
          <w:sz w:val="24"/>
          <w:szCs w:val="24"/>
        </w:rPr>
        <w:t>The table</w:t>
      </w:r>
      <w:r w:rsidR="00D8668E" w:rsidRPr="00425880">
        <w:rPr>
          <w:rFonts w:ascii="Times New Roman" w:eastAsia="Times New Roman" w:hAnsi="Times New Roman" w:cs="Times New Roman"/>
          <w:sz w:val="24"/>
          <w:szCs w:val="24"/>
        </w:rPr>
        <w:t xml:space="preserve"> in Figure </w:t>
      </w:r>
      <w:r w:rsidRPr="00425880">
        <w:rPr>
          <w:rFonts w:ascii="Times New Roman" w:eastAsia="Times New Roman" w:hAnsi="Times New Roman" w:cs="Times New Roman"/>
          <w:sz w:val="24"/>
          <w:szCs w:val="24"/>
        </w:rPr>
        <w:t xml:space="preserve">7a indicates that most of the historical </w:t>
      </w:r>
      <w:r w:rsidR="00D8668E" w:rsidRPr="00425880">
        <w:rPr>
          <w:rFonts w:ascii="Times New Roman" w:eastAsia="Times New Roman" w:hAnsi="Times New Roman" w:cs="Times New Roman"/>
          <w:sz w:val="24"/>
          <w:szCs w:val="24"/>
        </w:rPr>
        <w:t>desalination capacit</w:t>
      </w:r>
      <w:r w:rsidRPr="00425880">
        <w:rPr>
          <w:rFonts w:ascii="Times New Roman" w:eastAsia="Times New Roman" w:hAnsi="Times New Roman" w:cs="Times New Roman"/>
          <w:sz w:val="24"/>
          <w:szCs w:val="24"/>
        </w:rPr>
        <w:t>ies</w:t>
      </w:r>
      <w:r w:rsidR="00D8668E" w:rsidRPr="00425880">
        <w:rPr>
          <w:rFonts w:ascii="Times New Roman" w:eastAsia="Times New Roman" w:hAnsi="Times New Roman" w:cs="Times New Roman"/>
          <w:sz w:val="24"/>
          <w:szCs w:val="24"/>
        </w:rPr>
        <w:t xml:space="preserve"> in the Arabian Gulf</w:t>
      </w:r>
      <w:r w:rsidRPr="00425880">
        <w:rPr>
          <w:rFonts w:ascii="Times New Roman" w:eastAsia="Times New Roman" w:hAnsi="Times New Roman" w:cs="Times New Roman"/>
          <w:sz w:val="24"/>
          <w:szCs w:val="24"/>
        </w:rPr>
        <w:t xml:space="preserve"> are</w:t>
      </w:r>
      <w:r w:rsidR="00D8668E" w:rsidRPr="00425880">
        <w:rPr>
          <w:rFonts w:ascii="Times New Roman" w:eastAsia="Times New Roman" w:hAnsi="Times New Roman" w:cs="Times New Roman"/>
          <w:sz w:val="24"/>
          <w:szCs w:val="24"/>
        </w:rPr>
        <w:t xml:space="preserve"> above the </w:t>
      </w:r>
      <w:r w:rsidR="00DC5258" w:rsidRPr="00425880">
        <w:rPr>
          <w:rFonts w:ascii="Times New Roman" w:eastAsia="Times New Roman" w:hAnsi="Times New Roman" w:cs="Times New Roman"/>
          <w:sz w:val="24"/>
          <w:szCs w:val="24"/>
        </w:rPr>
        <w:t xml:space="preserve">0.3 cubic </w:t>
      </w:r>
      <w:r w:rsidR="008A3BE2" w:rsidRPr="00425880">
        <w:rPr>
          <w:rFonts w:ascii="Times New Roman" w:eastAsia="Times New Roman" w:hAnsi="Times New Roman" w:cs="Times New Roman"/>
          <w:sz w:val="24"/>
          <w:szCs w:val="24"/>
        </w:rPr>
        <w:t>meters</w:t>
      </w:r>
      <w:r w:rsidR="00DC5258" w:rsidRPr="00425880">
        <w:rPr>
          <w:rFonts w:ascii="Times New Roman" w:eastAsia="Times New Roman" w:hAnsi="Times New Roman" w:cs="Times New Roman"/>
          <w:sz w:val="24"/>
          <w:szCs w:val="24"/>
        </w:rPr>
        <w:t xml:space="preserve"> per capita per day </w:t>
      </w:r>
      <w:r w:rsidR="00D8668E" w:rsidRPr="00425880">
        <w:rPr>
          <w:rFonts w:ascii="Times New Roman" w:eastAsia="Times New Roman" w:hAnsi="Times New Roman" w:cs="Times New Roman"/>
          <w:sz w:val="24"/>
          <w:szCs w:val="24"/>
        </w:rPr>
        <w:t xml:space="preserve">mark, and </w:t>
      </w:r>
      <w:r w:rsidRPr="00425880">
        <w:rPr>
          <w:rFonts w:ascii="Times New Roman" w:eastAsia="Times New Roman" w:hAnsi="Times New Roman" w:cs="Times New Roman"/>
          <w:sz w:val="24"/>
          <w:szCs w:val="24"/>
        </w:rPr>
        <w:t>Figure 7b</w:t>
      </w:r>
      <w:r w:rsidR="00D8668E" w:rsidRPr="00425880">
        <w:rPr>
          <w:rFonts w:ascii="Times New Roman" w:eastAsia="Times New Roman" w:hAnsi="Times New Roman" w:cs="Times New Roman"/>
          <w:sz w:val="24"/>
          <w:szCs w:val="24"/>
        </w:rPr>
        <w:t xml:space="preserve"> uses conditional probability to quantitatively relate electricity </w:t>
      </w:r>
      <w:r w:rsidR="00DC5258" w:rsidRPr="00425880">
        <w:rPr>
          <w:rFonts w:ascii="Times New Roman" w:eastAsia="Times New Roman" w:hAnsi="Times New Roman" w:cs="Times New Roman"/>
          <w:sz w:val="24"/>
          <w:szCs w:val="24"/>
        </w:rPr>
        <w:t xml:space="preserve">installed </w:t>
      </w:r>
      <w:r w:rsidR="00D8668E" w:rsidRPr="00425880">
        <w:rPr>
          <w:rFonts w:ascii="Times New Roman" w:eastAsia="Times New Roman" w:hAnsi="Times New Roman" w:cs="Times New Roman"/>
          <w:sz w:val="24"/>
          <w:szCs w:val="24"/>
        </w:rPr>
        <w:t xml:space="preserve">capacity </w:t>
      </w:r>
      <w:r w:rsidR="00E64B50" w:rsidRPr="00425880">
        <w:rPr>
          <w:rFonts w:ascii="Times New Roman" w:eastAsia="Times New Roman" w:hAnsi="Times New Roman" w:cs="Times New Roman"/>
          <w:sz w:val="24"/>
          <w:szCs w:val="24"/>
        </w:rPr>
        <w:t xml:space="preserve">per capita </w:t>
      </w:r>
      <w:r w:rsidR="00D8668E" w:rsidRPr="00425880">
        <w:rPr>
          <w:rFonts w:ascii="Times New Roman" w:eastAsia="Times New Roman" w:hAnsi="Times New Roman" w:cs="Times New Roman"/>
          <w:sz w:val="24"/>
          <w:szCs w:val="24"/>
        </w:rPr>
        <w:t>with desalination capacity</w:t>
      </w:r>
      <w:r w:rsidR="00E64B50" w:rsidRPr="00425880">
        <w:rPr>
          <w:rFonts w:ascii="Times New Roman" w:eastAsia="Times New Roman" w:hAnsi="Times New Roman" w:cs="Times New Roman"/>
          <w:sz w:val="24"/>
          <w:szCs w:val="24"/>
        </w:rPr>
        <w:t xml:space="preserve"> per capita</w:t>
      </w:r>
      <w:r w:rsidR="00D8668E" w:rsidRPr="00425880">
        <w:rPr>
          <w:rFonts w:ascii="Times New Roman" w:eastAsia="Times New Roman" w:hAnsi="Times New Roman" w:cs="Times New Roman"/>
          <w:sz w:val="24"/>
          <w:szCs w:val="24"/>
        </w:rPr>
        <w:t>.</w:t>
      </w:r>
      <w:r w:rsidR="00DC5258" w:rsidRPr="00425880">
        <w:rPr>
          <w:noProof/>
        </w:rPr>
        <w:t xml:space="preserve"> </w:t>
      </w:r>
    </w:p>
    <w:p w:rsidR="007C6D27" w:rsidRDefault="007C6D27" w:rsidP="006D7B7C">
      <w:pPr>
        <w:spacing w:after="0" w:line="480" w:lineRule="auto"/>
        <w:ind w:firstLine="720"/>
        <w:rPr>
          <w:noProof/>
        </w:rPr>
      </w:pPr>
    </w:p>
    <w:p w:rsidR="007C6D27" w:rsidRDefault="007C6D27" w:rsidP="006D7B7C">
      <w:pPr>
        <w:spacing w:after="0" w:line="480" w:lineRule="auto"/>
        <w:ind w:firstLine="720"/>
        <w:rPr>
          <w:noProof/>
        </w:rPr>
      </w:pPr>
    </w:p>
    <w:p w:rsidR="007C6D27" w:rsidRDefault="007C6D27" w:rsidP="006D7B7C">
      <w:pPr>
        <w:spacing w:after="0" w:line="480" w:lineRule="auto"/>
        <w:ind w:firstLine="720"/>
        <w:rPr>
          <w:noProof/>
        </w:rPr>
      </w:pPr>
    </w:p>
    <w:p w:rsidR="007C6D27" w:rsidRDefault="007C6D27" w:rsidP="006D7B7C">
      <w:pPr>
        <w:spacing w:after="0" w:line="480" w:lineRule="auto"/>
        <w:ind w:firstLine="720"/>
        <w:rPr>
          <w:noProof/>
        </w:rPr>
      </w:pPr>
    </w:p>
    <w:p w:rsidR="007C6D27" w:rsidRDefault="007C6D27" w:rsidP="006D7B7C">
      <w:pPr>
        <w:spacing w:after="0" w:line="480" w:lineRule="auto"/>
        <w:ind w:firstLine="720"/>
        <w:rPr>
          <w:noProof/>
        </w:rPr>
      </w:pPr>
    </w:p>
    <w:p w:rsidR="007C6D27" w:rsidRDefault="007C6D27" w:rsidP="006D7B7C">
      <w:pPr>
        <w:spacing w:after="0" w:line="480" w:lineRule="auto"/>
        <w:ind w:firstLine="720"/>
        <w:rPr>
          <w:noProof/>
        </w:rPr>
      </w:pPr>
    </w:p>
    <w:p w:rsidR="007C6D27" w:rsidRPr="00425880" w:rsidRDefault="007C6D27" w:rsidP="006D7B7C">
      <w:pPr>
        <w:spacing w:after="0" w:line="480" w:lineRule="auto"/>
        <w:ind w:firstLine="720"/>
        <w:rPr>
          <w:noProof/>
        </w:rPr>
      </w:pPr>
    </w:p>
    <w:p w:rsidR="00D8668E" w:rsidRPr="00425880" w:rsidRDefault="00103DC2" w:rsidP="00BE6FAA">
      <w:pPr>
        <w:spacing w:after="0" w:line="240" w:lineRule="auto"/>
        <w:jc w:val="center"/>
        <w:rPr>
          <w:noProof/>
        </w:rPr>
      </w:pPr>
      <w:r w:rsidRPr="00425880">
        <w:rPr>
          <w:noProof/>
        </w:rPr>
        <w:lastRenderedPageBreak/>
        <w:drawing>
          <wp:inline distT="0" distB="0" distL="0" distR="0" wp14:anchorId="42F1DF1F" wp14:editId="540990A3">
            <wp:extent cx="2976564" cy="1152524"/>
            <wp:effectExtent l="0" t="0" r="1460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3DC2" w:rsidRPr="00425880" w:rsidRDefault="00103DC2" w:rsidP="00BE6FAA">
      <w:pPr>
        <w:spacing w:after="0" w:line="240" w:lineRule="auto"/>
        <w:jc w:val="center"/>
        <w:rPr>
          <w:noProof/>
        </w:rPr>
      </w:pPr>
    </w:p>
    <w:p w:rsidR="006D7B7C" w:rsidRPr="00425880" w:rsidRDefault="006D7B7C" w:rsidP="006D7B7C">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rPr>
      </w:pPr>
      <w:r w:rsidRPr="00425880">
        <w:rPr>
          <w:rFonts w:asciiTheme="majorBidi" w:hAnsiTheme="majorBidi" w:cstheme="majorBidi"/>
          <w:noProof/>
          <w:sz w:val="24"/>
          <w:szCs w:val="24"/>
        </w:rPr>
        <w:t>(a) Simple Probability Table</w:t>
      </w:r>
    </w:p>
    <w:p w:rsidR="00095812" w:rsidRPr="00425880" w:rsidRDefault="00095812" w:rsidP="00DC5258">
      <w:pPr>
        <w:spacing w:after="0" w:line="240" w:lineRule="auto"/>
        <w:ind w:firstLine="720"/>
        <w:jc w:val="center"/>
        <w:rPr>
          <w:noProof/>
        </w:rPr>
      </w:pPr>
    </w:p>
    <w:tbl>
      <w:tblPr>
        <w:tblStyle w:val="TableGrid"/>
        <w:tblW w:w="0" w:type="auto"/>
        <w:tblLayout w:type="fixed"/>
        <w:tblLook w:val="04A0" w:firstRow="1" w:lastRow="0" w:firstColumn="1" w:lastColumn="0" w:noHBand="0" w:noVBand="1"/>
      </w:tblPr>
      <w:tblGrid>
        <w:gridCol w:w="4248"/>
        <w:gridCol w:w="1620"/>
        <w:gridCol w:w="1620"/>
        <w:gridCol w:w="1620"/>
      </w:tblGrid>
      <w:tr w:rsidR="00C11D29" w:rsidRPr="00425880" w:rsidTr="00095812">
        <w:tc>
          <w:tcPr>
            <w:tcW w:w="9108" w:type="dxa"/>
            <w:gridSpan w:val="4"/>
            <w:shd w:val="clear" w:color="auto" w:fill="A6A6A6" w:themeFill="background1" w:themeFillShade="A6"/>
          </w:tcPr>
          <w:p w:rsidR="00C11D29" w:rsidRPr="00425880" w:rsidRDefault="00095812" w:rsidP="00095812">
            <w:pPr>
              <w:jc w:val="center"/>
              <w:rPr>
                <w:rFonts w:ascii="Times New Roman" w:eastAsia="Times New Roman" w:hAnsi="Times New Roman" w:cs="Times New Roman"/>
                <w:b/>
                <w:bCs/>
                <w:sz w:val="24"/>
                <w:szCs w:val="24"/>
              </w:rPr>
            </w:pPr>
            <w:r w:rsidRPr="00425880">
              <w:rPr>
                <w:rFonts w:ascii="Times New Roman" w:eastAsia="Times New Roman" w:hAnsi="Times New Roman" w:cs="Times New Roman"/>
                <w:b/>
                <w:bCs/>
                <w:sz w:val="24"/>
                <w:szCs w:val="24"/>
              </w:rPr>
              <w:t>Desalination Capacity per Capita</w:t>
            </w:r>
            <w:r w:rsidR="00C11D29" w:rsidRPr="00425880">
              <w:rPr>
                <w:rFonts w:ascii="Times New Roman" w:eastAsia="Times New Roman" w:hAnsi="Times New Roman" w:cs="Times New Roman"/>
                <w:b/>
                <w:bCs/>
                <w:sz w:val="24"/>
                <w:szCs w:val="24"/>
              </w:rPr>
              <w:t xml:space="preserve"> (</w:t>
            </w:r>
            <w:r w:rsidRPr="00425880">
              <w:rPr>
                <w:rFonts w:ascii="Times New Roman" w:eastAsia="Times New Roman" w:hAnsi="Times New Roman" w:cs="Times New Roman"/>
                <w:b/>
                <w:bCs/>
                <w:sz w:val="24"/>
                <w:szCs w:val="24"/>
              </w:rPr>
              <w:t>Cubic Meters per Capita per Day</w:t>
            </w:r>
            <w:r w:rsidR="00C11D29" w:rsidRPr="00425880">
              <w:rPr>
                <w:rFonts w:ascii="Times New Roman" w:eastAsia="Times New Roman" w:hAnsi="Times New Roman" w:cs="Times New Roman"/>
                <w:b/>
                <w:bCs/>
                <w:sz w:val="24"/>
                <w:szCs w:val="24"/>
              </w:rPr>
              <w:t>)</w:t>
            </w:r>
          </w:p>
        </w:tc>
      </w:tr>
      <w:tr w:rsidR="00C11D29" w:rsidRPr="00425880" w:rsidTr="00095812">
        <w:tc>
          <w:tcPr>
            <w:tcW w:w="4248" w:type="dxa"/>
            <w:shd w:val="clear" w:color="auto" w:fill="D9D9D9" w:themeFill="background1" w:themeFillShade="D9"/>
          </w:tcPr>
          <w:p w:rsidR="00C11D29" w:rsidRPr="00425880" w:rsidRDefault="00095812" w:rsidP="00C11D29">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Electricity Installed Capacity per Capita</w:t>
            </w:r>
          </w:p>
        </w:tc>
        <w:tc>
          <w:tcPr>
            <w:tcW w:w="1620" w:type="dxa"/>
            <w:shd w:val="clear" w:color="auto" w:fill="D9D9D9" w:themeFill="background1" w:themeFillShade="D9"/>
          </w:tcPr>
          <w:p w:rsidR="00C11D29" w:rsidRPr="00425880" w:rsidRDefault="00C11D29" w:rsidP="00095812">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&lt;</w:t>
            </w:r>
            <w:r w:rsidR="00095812" w:rsidRPr="00425880">
              <w:rPr>
                <w:rFonts w:ascii="Times New Roman" w:eastAsia="Times New Roman" w:hAnsi="Times New Roman" w:cs="Times New Roman"/>
                <w:sz w:val="24"/>
                <w:szCs w:val="24"/>
              </w:rPr>
              <w:t>1300</w:t>
            </w:r>
          </w:p>
        </w:tc>
        <w:tc>
          <w:tcPr>
            <w:tcW w:w="1620" w:type="dxa"/>
            <w:shd w:val="clear" w:color="auto" w:fill="D9D9D9" w:themeFill="background1" w:themeFillShade="D9"/>
          </w:tcPr>
          <w:p w:rsidR="00C11D29" w:rsidRPr="00425880" w:rsidRDefault="00C11D29" w:rsidP="00095812">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w:t>
            </w:r>
            <w:r w:rsidR="00095812" w:rsidRPr="00425880">
              <w:rPr>
                <w:rFonts w:ascii="Times New Roman" w:eastAsia="Times New Roman" w:hAnsi="Times New Roman" w:cs="Times New Roman"/>
                <w:sz w:val="24"/>
                <w:szCs w:val="24"/>
              </w:rPr>
              <w:t>1300, 2600</w:t>
            </w:r>
            <w:r w:rsidRPr="00425880">
              <w:rPr>
                <w:rFonts w:ascii="Times New Roman" w:eastAsia="Times New Roman" w:hAnsi="Times New Roman" w:cs="Times New Roman"/>
                <w:sz w:val="24"/>
                <w:szCs w:val="24"/>
              </w:rPr>
              <w:t>)</w:t>
            </w:r>
          </w:p>
        </w:tc>
        <w:tc>
          <w:tcPr>
            <w:tcW w:w="1620" w:type="dxa"/>
            <w:shd w:val="clear" w:color="auto" w:fill="D9D9D9" w:themeFill="background1" w:themeFillShade="D9"/>
          </w:tcPr>
          <w:p w:rsidR="00C11D29" w:rsidRPr="00425880" w:rsidRDefault="00C11D29" w:rsidP="00095812">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&gt;</w:t>
            </w:r>
            <w:r w:rsidR="00095812" w:rsidRPr="00425880">
              <w:rPr>
                <w:rFonts w:ascii="Times New Roman" w:eastAsia="Times New Roman" w:hAnsi="Times New Roman" w:cs="Times New Roman"/>
                <w:sz w:val="24"/>
                <w:szCs w:val="24"/>
              </w:rPr>
              <w:t>2600</w:t>
            </w:r>
          </w:p>
        </w:tc>
      </w:tr>
      <w:tr w:rsidR="00C11D29" w:rsidRPr="00425880" w:rsidTr="00095812">
        <w:tc>
          <w:tcPr>
            <w:tcW w:w="4248" w:type="dxa"/>
            <w:shd w:val="clear" w:color="auto" w:fill="A6A6A6" w:themeFill="background1" w:themeFillShade="A6"/>
          </w:tcPr>
          <w:p w:rsidR="00C11D29" w:rsidRPr="00425880" w:rsidRDefault="00C11D29" w:rsidP="00095812">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&lt;</w:t>
            </w:r>
            <w:r w:rsidR="00095812" w:rsidRPr="00425880">
              <w:rPr>
                <w:rFonts w:ascii="Times New Roman" w:eastAsia="Times New Roman" w:hAnsi="Times New Roman" w:cs="Times New Roman"/>
                <w:sz w:val="24"/>
                <w:szCs w:val="24"/>
              </w:rPr>
              <w:t>0.3</w:t>
            </w:r>
          </w:p>
        </w:tc>
        <w:tc>
          <w:tcPr>
            <w:tcW w:w="1620" w:type="dxa"/>
          </w:tcPr>
          <w:p w:rsidR="00C11D29" w:rsidRPr="00425880" w:rsidRDefault="00C11D29" w:rsidP="00095812">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0.</w:t>
            </w:r>
            <w:r w:rsidR="00095812" w:rsidRPr="00425880">
              <w:rPr>
                <w:rFonts w:ascii="Times New Roman" w:eastAsia="Times New Roman" w:hAnsi="Times New Roman" w:cs="Times New Roman"/>
                <w:sz w:val="24"/>
                <w:szCs w:val="24"/>
              </w:rPr>
              <w:t>843137</w:t>
            </w:r>
          </w:p>
        </w:tc>
        <w:tc>
          <w:tcPr>
            <w:tcW w:w="1620" w:type="dxa"/>
          </w:tcPr>
          <w:p w:rsidR="00C11D29" w:rsidRPr="00425880" w:rsidRDefault="00C11D29" w:rsidP="00095812">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0.</w:t>
            </w:r>
            <w:r w:rsidR="00095812" w:rsidRPr="00425880">
              <w:rPr>
                <w:rFonts w:ascii="Times New Roman" w:eastAsia="Times New Roman" w:hAnsi="Times New Roman" w:cs="Times New Roman"/>
                <w:sz w:val="24"/>
                <w:szCs w:val="24"/>
              </w:rPr>
              <w:t>222222</w:t>
            </w:r>
          </w:p>
        </w:tc>
        <w:tc>
          <w:tcPr>
            <w:tcW w:w="1620" w:type="dxa"/>
          </w:tcPr>
          <w:p w:rsidR="00C11D29" w:rsidRPr="00425880" w:rsidRDefault="00C11D29" w:rsidP="00095812">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0.</w:t>
            </w:r>
            <w:r w:rsidR="00095812" w:rsidRPr="00425880">
              <w:rPr>
                <w:rFonts w:ascii="Times New Roman" w:eastAsia="Times New Roman" w:hAnsi="Times New Roman" w:cs="Times New Roman"/>
                <w:sz w:val="24"/>
                <w:szCs w:val="24"/>
              </w:rPr>
              <w:t>01</w:t>
            </w:r>
          </w:p>
        </w:tc>
      </w:tr>
      <w:tr w:rsidR="00C11D29" w:rsidRPr="00425880" w:rsidTr="00095812">
        <w:tc>
          <w:tcPr>
            <w:tcW w:w="4248" w:type="dxa"/>
            <w:shd w:val="clear" w:color="auto" w:fill="A6A6A6" w:themeFill="background1" w:themeFillShade="A6"/>
          </w:tcPr>
          <w:p w:rsidR="00C11D29" w:rsidRPr="00425880" w:rsidRDefault="00095812" w:rsidP="00BE6FAA">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&gt;0.3</w:t>
            </w:r>
          </w:p>
        </w:tc>
        <w:tc>
          <w:tcPr>
            <w:tcW w:w="1620" w:type="dxa"/>
          </w:tcPr>
          <w:p w:rsidR="00C11D29" w:rsidRPr="00425880" w:rsidRDefault="00095812" w:rsidP="00BE6FAA">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0.156863</w:t>
            </w:r>
          </w:p>
        </w:tc>
        <w:tc>
          <w:tcPr>
            <w:tcW w:w="1620" w:type="dxa"/>
          </w:tcPr>
          <w:p w:rsidR="00C11D29" w:rsidRPr="00425880" w:rsidRDefault="00C11D29" w:rsidP="00BE6FAA">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0.</w:t>
            </w:r>
            <w:r w:rsidR="00095812" w:rsidRPr="00425880">
              <w:rPr>
                <w:rFonts w:ascii="Times New Roman" w:eastAsia="Times New Roman" w:hAnsi="Times New Roman" w:cs="Times New Roman"/>
                <w:sz w:val="24"/>
                <w:szCs w:val="24"/>
              </w:rPr>
              <w:t>777778</w:t>
            </w:r>
          </w:p>
        </w:tc>
        <w:tc>
          <w:tcPr>
            <w:tcW w:w="1620" w:type="dxa"/>
          </w:tcPr>
          <w:p w:rsidR="00C11D29" w:rsidRPr="00425880" w:rsidRDefault="00C11D29" w:rsidP="00BE6FAA">
            <w:pPr>
              <w:jc w:val="center"/>
              <w:rPr>
                <w:rFonts w:ascii="Times New Roman" w:eastAsia="Times New Roman" w:hAnsi="Times New Roman" w:cs="Times New Roman"/>
                <w:sz w:val="24"/>
                <w:szCs w:val="24"/>
              </w:rPr>
            </w:pPr>
            <w:r w:rsidRPr="00425880">
              <w:rPr>
                <w:rFonts w:ascii="Times New Roman" w:eastAsia="Times New Roman" w:hAnsi="Times New Roman" w:cs="Times New Roman"/>
                <w:sz w:val="24"/>
                <w:szCs w:val="24"/>
              </w:rPr>
              <w:t>0.</w:t>
            </w:r>
            <w:r w:rsidR="00095812" w:rsidRPr="00425880">
              <w:rPr>
                <w:rFonts w:ascii="Times New Roman" w:eastAsia="Times New Roman" w:hAnsi="Times New Roman" w:cs="Times New Roman"/>
                <w:sz w:val="24"/>
                <w:szCs w:val="24"/>
              </w:rPr>
              <w:t>99</w:t>
            </w:r>
          </w:p>
        </w:tc>
      </w:tr>
    </w:tbl>
    <w:p w:rsidR="00D8668E" w:rsidRPr="00425880" w:rsidRDefault="00DC5258"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360"/>
        <w:jc w:val="center"/>
        <w:rPr>
          <w:noProof/>
        </w:rPr>
      </w:pPr>
      <w:r w:rsidRPr="00425880">
        <w:rPr>
          <w:noProof/>
        </w:rPr>
        <w:t xml:space="preserve">    </w:t>
      </w:r>
    </w:p>
    <w:p w:rsidR="006D7B7C" w:rsidRPr="00425880" w:rsidRDefault="006D7B7C" w:rsidP="006D7B7C">
      <w:pPr>
        <w:spacing w:after="0" w:line="480" w:lineRule="auto"/>
        <w:jc w:val="center"/>
        <w:rPr>
          <w:rFonts w:asciiTheme="majorBidi" w:hAnsiTheme="majorBidi" w:cstheme="majorBidi"/>
          <w:noProof/>
          <w:sz w:val="24"/>
          <w:szCs w:val="24"/>
        </w:rPr>
      </w:pPr>
      <w:r w:rsidRPr="00425880">
        <w:rPr>
          <w:rFonts w:asciiTheme="majorBidi" w:hAnsiTheme="majorBidi" w:cstheme="majorBidi"/>
          <w:noProof/>
          <w:sz w:val="24"/>
          <w:szCs w:val="24"/>
        </w:rPr>
        <w:t xml:space="preserve">(b) Conditional </w:t>
      </w:r>
      <w:r w:rsidRPr="00425880">
        <w:rPr>
          <w:rFonts w:asciiTheme="majorBidi" w:eastAsia="Times New Roman" w:hAnsiTheme="majorBidi" w:cstheme="majorBidi"/>
          <w:sz w:val="24"/>
          <w:szCs w:val="24"/>
        </w:rPr>
        <w:t>Probability Table</w:t>
      </w:r>
    </w:p>
    <w:p w:rsidR="00D860ED" w:rsidRDefault="00D8668E" w:rsidP="00C2773E">
      <w:pPr>
        <w:pStyle w:val="Caption"/>
        <w:spacing w:after="0"/>
        <w:jc w:val="center"/>
        <w:rPr>
          <w:rFonts w:asciiTheme="majorBidi" w:hAnsiTheme="majorBidi" w:cstheme="majorBidi"/>
          <w:color w:val="auto"/>
          <w:sz w:val="24"/>
          <w:szCs w:val="24"/>
        </w:rPr>
      </w:pPr>
      <w:r w:rsidRPr="00425880">
        <w:rPr>
          <w:rFonts w:asciiTheme="majorBidi" w:hAnsiTheme="majorBidi" w:cstheme="majorBidi"/>
          <w:color w:val="auto"/>
          <w:sz w:val="24"/>
          <w:szCs w:val="24"/>
        </w:rPr>
        <w:t xml:space="preserve">Figure </w:t>
      </w:r>
      <w:r w:rsidR="00103DC2" w:rsidRPr="00425880">
        <w:rPr>
          <w:rFonts w:asciiTheme="majorBidi" w:hAnsiTheme="majorBidi" w:cstheme="majorBidi"/>
          <w:color w:val="auto"/>
          <w:sz w:val="24"/>
          <w:szCs w:val="24"/>
        </w:rPr>
        <w:t>7</w:t>
      </w:r>
      <w:r w:rsidRPr="00425880">
        <w:rPr>
          <w:rFonts w:asciiTheme="majorBidi" w:hAnsiTheme="majorBidi" w:cstheme="majorBidi"/>
          <w:color w:val="auto"/>
          <w:sz w:val="24"/>
          <w:szCs w:val="24"/>
        </w:rPr>
        <w:t>. Tables for Desalination Capacity</w:t>
      </w:r>
      <w:r w:rsidR="00DC5258" w:rsidRPr="00425880">
        <w:rPr>
          <w:rFonts w:asciiTheme="majorBidi" w:hAnsiTheme="majorBidi" w:cstheme="majorBidi"/>
          <w:color w:val="auto"/>
          <w:sz w:val="24"/>
          <w:szCs w:val="24"/>
        </w:rPr>
        <w:t xml:space="preserve"> per Capita</w:t>
      </w:r>
    </w:p>
    <w:p w:rsidR="00BE4A63" w:rsidRDefault="00BE4A63" w:rsidP="00BE4A63"/>
    <w:p w:rsidR="003B7911" w:rsidRPr="007C6D27" w:rsidRDefault="003B7911" w:rsidP="003B7911">
      <w:pPr>
        <w:pStyle w:val="Caption"/>
        <w:numPr>
          <w:ilvl w:val="0"/>
          <w:numId w:val="3"/>
        </w:numPr>
        <w:ind w:left="360"/>
        <w:rPr>
          <w:rFonts w:ascii="Times New Roman" w:hAnsi="Times New Roman" w:cs="Times New Roman"/>
          <w:color w:val="auto"/>
          <w:sz w:val="24"/>
        </w:rPr>
      </w:pPr>
      <w:r w:rsidRPr="007C6D27">
        <w:rPr>
          <w:rFonts w:asciiTheme="majorBidi" w:hAnsiTheme="majorBidi" w:cstheme="majorBidi"/>
          <w:noProof/>
          <w:color w:val="auto"/>
          <w:sz w:val="24"/>
          <w:szCs w:val="24"/>
        </w:rPr>
        <w:t>Domestic Agriculture Nodes</w:t>
      </w:r>
    </w:p>
    <w:p w:rsidR="003B7911" w:rsidRPr="007C6D27" w:rsidRDefault="003B7911" w:rsidP="003B7911">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rFonts w:ascii="Times New Roman" w:eastAsia="Times New Roman" w:hAnsi="Times New Roman" w:cs="Times New Roman"/>
          <w:b/>
          <w:sz w:val="24"/>
          <w:szCs w:val="24"/>
        </w:rPr>
      </w:pPr>
      <w:r w:rsidRPr="007C6D27">
        <w:rPr>
          <w:noProof/>
        </w:rPr>
        <w:drawing>
          <wp:inline distT="0" distB="0" distL="0" distR="0" wp14:anchorId="5C22ADD6" wp14:editId="3973C5EE">
            <wp:extent cx="5123793" cy="3750879"/>
            <wp:effectExtent l="0" t="0" r="1270" b="254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23793" cy="3750879"/>
                    </a:xfrm>
                    <a:prstGeom prst="rect">
                      <a:avLst/>
                    </a:prstGeom>
                  </pic:spPr>
                </pic:pic>
              </a:graphicData>
            </a:graphic>
          </wp:inline>
        </w:drawing>
      </w:r>
    </w:p>
    <w:p w:rsidR="003B7911" w:rsidRDefault="003B7911" w:rsidP="007F59B6">
      <w:pPr>
        <w:pStyle w:val="Caption"/>
        <w:jc w:val="center"/>
        <w:rPr>
          <w:rFonts w:ascii="Times New Roman" w:hAnsi="Times New Roman" w:cs="Times New Roman"/>
          <w:color w:val="auto"/>
          <w:sz w:val="24"/>
        </w:rPr>
      </w:pPr>
      <w:r w:rsidRPr="007C6D27">
        <w:rPr>
          <w:rFonts w:ascii="Times New Roman" w:hAnsi="Times New Roman" w:cs="Times New Roman"/>
          <w:color w:val="auto"/>
          <w:sz w:val="24"/>
        </w:rPr>
        <w:t xml:space="preserve">Figure </w:t>
      </w:r>
      <w:r w:rsidR="007F59B6" w:rsidRPr="007C6D27">
        <w:rPr>
          <w:rFonts w:ascii="Times New Roman" w:hAnsi="Times New Roman" w:cs="Times New Roman"/>
          <w:color w:val="auto"/>
          <w:sz w:val="24"/>
        </w:rPr>
        <w:t>8</w:t>
      </w:r>
      <w:r w:rsidRPr="007C6D27">
        <w:rPr>
          <w:rFonts w:ascii="Times New Roman" w:hAnsi="Times New Roman" w:cs="Times New Roman"/>
          <w:color w:val="auto"/>
          <w:sz w:val="24"/>
        </w:rPr>
        <w:t>. The Four Domestic Agriculture Variables</w:t>
      </w:r>
    </w:p>
    <w:p w:rsidR="007C6D27" w:rsidRPr="007C6D27" w:rsidRDefault="007C6D27" w:rsidP="007C6D27"/>
    <w:p w:rsidR="003B7911" w:rsidRDefault="003B7911" w:rsidP="003B7911">
      <w:pPr>
        <w:pStyle w:val="ListParagraph"/>
        <w:widowControl w:val="0"/>
        <w:numPr>
          <w:ilvl w:val="0"/>
          <w:numId w:val="4"/>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Heat Stress </w:t>
      </w:r>
    </w:p>
    <w:p w:rsidR="003B7911" w:rsidRDefault="00383444" w:rsidP="007F59B6">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7C6D27">
        <w:rPr>
          <w:rFonts w:ascii="Times New Roman" w:eastAsia="Times New Roman" w:hAnsi="Times New Roman" w:cs="Times New Roman"/>
          <w:bCs/>
          <w:sz w:val="24"/>
          <w:szCs w:val="24"/>
        </w:rPr>
        <w:t xml:space="preserve">When analyzing the domestic agriculture nodes in </w:t>
      </w:r>
      <w:r w:rsidR="007F59B6" w:rsidRPr="007C6D27">
        <w:rPr>
          <w:rFonts w:ascii="Times New Roman" w:eastAsia="Times New Roman" w:hAnsi="Times New Roman" w:cs="Times New Roman"/>
          <w:bCs/>
          <w:sz w:val="24"/>
          <w:szCs w:val="24"/>
        </w:rPr>
        <w:t>Figure 8</w:t>
      </w:r>
      <w:r w:rsidRPr="007C6D27">
        <w:rPr>
          <w:rFonts w:ascii="Times New Roman" w:eastAsia="Times New Roman" w:hAnsi="Times New Roman" w:cs="Times New Roman"/>
          <w:bCs/>
          <w:sz w:val="24"/>
          <w:szCs w:val="24"/>
        </w:rPr>
        <w:t>, t</w:t>
      </w:r>
      <w:r w:rsidR="003B7911" w:rsidRPr="007C6D27">
        <w:rPr>
          <w:rFonts w:ascii="Times New Roman" w:eastAsia="Times New Roman" w:hAnsi="Times New Roman" w:cs="Times New Roman"/>
          <w:bCs/>
          <w:sz w:val="24"/>
          <w:szCs w:val="24"/>
        </w:rPr>
        <w:t>he heat stress node lacks a parent node, but it feeds into the water available per capita node. In the Arabian Gulf, the high temperatures and lack of rainfall make the region water insecure. If present</w:t>
      </w:r>
      <w:r w:rsidR="003B7911">
        <w:rPr>
          <w:rFonts w:ascii="Times New Roman" w:eastAsia="Times New Roman" w:hAnsi="Times New Roman" w:cs="Times New Roman"/>
          <w:bCs/>
          <w:sz w:val="24"/>
          <w:szCs w:val="24"/>
        </w:rPr>
        <w:t xml:space="preserve"> trends with heat stress continue, two-thirds of the global population, including the Arabian Gulf, will live in water-stressed conditions by 2025.</w:t>
      </w:r>
      <w:r w:rsidR="003B7911">
        <w:rPr>
          <w:rStyle w:val="FootnoteReference"/>
          <w:rFonts w:ascii="Times New Roman" w:eastAsia="Times New Roman" w:hAnsi="Times New Roman" w:cs="Times New Roman"/>
          <w:bCs/>
          <w:sz w:val="24"/>
          <w:szCs w:val="24"/>
        </w:rPr>
        <w:footnoteReference w:id="23"/>
      </w:r>
      <w:r w:rsidR="003B7911">
        <w:rPr>
          <w:rFonts w:ascii="Times New Roman" w:eastAsia="Times New Roman" w:hAnsi="Times New Roman" w:cs="Times New Roman"/>
          <w:bCs/>
          <w:sz w:val="24"/>
          <w:szCs w:val="24"/>
        </w:rPr>
        <w:t xml:space="preserve"> Heat stress, therefore, severely affect</w:t>
      </w:r>
      <w:r w:rsidR="00A56885">
        <w:rPr>
          <w:rFonts w:ascii="Times New Roman" w:eastAsia="Times New Roman" w:hAnsi="Times New Roman" w:cs="Times New Roman"/>
          <w:bCs/>
          <w:sz w:val="24"/>
          <w:szCs w:val="24"/>
        </w:rPr>
        <w:t>s</w:t>
      </w:r>
      <w:r w:rsidR="003B7911">
        <w:rPr>
          <w:rFonts w:ascii="Times New Roman" w:eastAsia="Times New Roman" w:hAnsi="Times New Roman" w:cs="Times New Roman"/>
          <w:bCs/>
          <w:sz w:val="24"/>
          <w:szCs w:val="24"/>
        </w:rPr>
        <w:t xml:space="preserve"> water availability. </w:t>
      </w:r>
    </w:p>
    <w:p w:rsidR="003B7911" w:rsidRPr="007C6D27" w:rsidRDefault="003B7911" w:rsidP="00A568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In generating </w:t>
      </w:r>
      <w:r w:rsidR="00A56885">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 xml:space="preserve">dataset for the </w:t>
      </w:r>
      <w:r w:rsidR="00A56885">
        <w:rPr>
          <w:rFonts w:ascii="Times New Roman" w:eastAsia="Times New Roman" w:hAnsi="Times New Roman" w:cs="Times New Roman"/>
          <w:bCs/>
          <w:sz w:val="24"/>
          <w:szCs w:val="24"/>
        </w:rPr>
        <w:t>heat stress variable</w:t>
      </w:r>
      <w:r>
        <w:rPr>
          <w:rFonts w:ascii="Times New Roman" w:eastAsia="Times New Roman" w:hAnsi="Times New Roman" w:cs="Times New Roman"/>
          <w:bCs/>
          <w:sz w:val="24"/>
          <w:szCs w:val="24"/>
        </w:rPr>
        <w:t xml:space="preserve">, measured in degrees Celsius, </w:t>
      </w:r>
      <w:r w:rsidR="00A56885">
        <w:rPr>
          <w:rFonts w:ascii="Times New Roman" w:eastAsia="Times New Roman" w:hAnsi="Times New Roman" w:cs="Times New Roman"/>
          <w:bCs/>
          <w:sz w:val="24"/>
          <w:szCs w:val="24"/>
        </w:rPr>
        <w:t xml:space="preserve">this study referenced </w:t>
      </w:r>
      <w:r>
        <w:rPr>
          <w:rFonts w:ascii="Times New Roman" w:eastAsia="Times New Roman" w:hAnsi="Times New Roman" w:cs="Times New Roman"/>
          <w:bCs/>
          <w:sz w:val="24"/>
          <w:szCs w:val="24"/>
        </w:rPr>
        <w:t>the National Oceanic and Atmospheric Administration (NOAA) National Climatic Data Center.</w:t>
      </w:r>
      <w:r>
        <w:rPr>
          <w:rStyle w:val="FootnoteReference"/>
          <w:rFonts w:ascii="Times New Roman" w:eastAsia="Times New Roman" w:hAnsi="Times New Roman" w:cs="Times New Roman"/>
          <w:bCs/>
          <w:sz w:val="24"/>
          <w:szCs w:val="24"/>
        </w:rPr>
        <w:footnoteReference w:id="24"/>
      </w:r>
      <w:r>
        <w:rPr>
          <w:rFonts w:ascii="Times New Roman" w:eastAsia="Times New Roman" w:hAnsi="Times New Roman" w:cs="Times New Roman"/>
          <w:bCs/>
          <w:sz w:val="24"/>
          <w:szCs w:val="24"/>
        </w:rPr>
        <w:t xml:space="preserve">  The dataset included only </w:t>
      </w:r>
      <w:r w:rsidR="00A56885">
        <w:rPr>
          <w:rFonts w:ascii="Times New Roman" w:eastAsia="Times New Roman" w:hAnsi="Times New Roman" w:cs="Times New Roman"/>
          <w:bCs/>
          <w:sz w:val="24"/>
          <w:szCs w:val="24"/>
        </w:rPr>
        <w:t>43</w:t>
      </w:r>
      <w:r>
        <w:rPr>
          <w:rFonts w:ascii="Times New Roman" w:eastAsia="Times New Roman" w:hAnsi="Times New Roman" w:cs="Times New Roman"/>
          <w:bCs/>
          <w:sz w:val="24"/>
          <w:szCs w:val="24"/>
        </w:rPr>
        <w:t xml:space="preserve"> points, one yearly from 19</w:t>
      </w:r>
      <w:r w:rsidR="00A56885">
        <w:rPr>
          <w:rFonts w:ascii="Times New Roman" w:eastAsia="Times New Roman" w:hAnsi="Times New Roman" w:cs="Times New Roman"/>
          <w:bCs/>
          <w:sz w:val="24"/>
          <w:szCs w:val="24"/>
        </w:rPr>
        <w:t>70</w:t>
      </w:r>
      <w:r>
        <w:rPr>
          <w:rFonts w:ascii="Times New Roman" w:eastAsia="Times New Roman" w:hAnsi="Times New Roman" w:cs="Times New Roman"/>
          <w:bCs/>
          <w:sz w:val="24"/>
          <w:szCs w:val="24"/>
        </w:rPr>
        <w:t xml:space="preserve"> to 201</w:t>
      </w:r>
      <w:r w:rsidR="00A56885">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because each point was measured </w:t>
      </w:r>
      <w:r w:rsidR="00A56885">
        <w:rPr>
          <w:rFonts w:ascii="Times New Roman" w:eastAsia="Times New Roman" w:hAnsi="Times New Roman" w:cs="Times New Roman"/>
          <w:bCs/>
          <w:sz w:val="24"/>
          <w:szCs w:val="24"/>
        </w:rPr>
        <w:t xml:space="preserve">as </w:t>
      </w:r>
      <w:r>
        <w:rPr>
          <w:rFonts w:ascii="Times New Roman" w:eastAsia="Times New Roman" w:hAnsi="Times New Roman" w:cs="Times New Roman"/>
          <w:bCs/>
          <w:sz w:val="24"/>
          <w:szCs w:val="24"/>
        </w:rPr>
        <w:t>an anomaly in respect to the 20</w:t>
      </w:r>
      <w:r w:rsidRPr="00AE686C">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century average global land temperature; the data was not country specific.</w:t>
      </w:r>
      <w:r>
        <w:rPr>
          <w:rStyle w:val="FootnoteReference"/>
          <w:rFonts w:ascii="Times New Roman" w:eastAsia="Times New Roman" w:hAnsi="Times New Roman" w:cs="Times New Roman"/>
          <w:bCs/>
          <w:sz w:val="24"/>
          <w:szCs w:val="24"/>
        </w:rPr>
        <w:footnoteReference w:id="25"/>
      </w:r>
      <w:r>
        <w:rPr>
          <w:rFonts w:ascii="Times New Roman" w:eastAsia="Times New Roman" w:hAnsi="Times New Roman" w:cs="Times New Roman"/>
          <w:bCs/>
          <w:sz w:val="24"/>
          <w:szCs w:val="24"/>
        </w:rPr>
        <w:t xml:space="preserve"> The heat stress d</w:t>
      </w:r>
      <w:r w:rsidR="007F59B6">
        <w:rPr>
          <w:rFonts w:ascii="Times New Roman" w:eastAsia="Times New Roman" w:hAnsi="Times New Roman" w:cs="Times New Roman"/>
          <w:bCs/>
          <w:sz w:val="24"/>
          <w:szCs w:val="24"/>
        </w:rPr>
        <w:t xml:space="preserve">ata was placed into two bins with a </w:t>
      </w:r>
      <w:r>
        <w:rPr>
          <w:rFonts w:ascii="Times New Roman" w:eastAsia="Times New Roman" w:hAnsi="Times New Roman" w:cs="Times New Roman"/>
          <w:bCs/>
          <w:sz w:val="24"/>
          <w:szCs w:val="24"/>
        </w:rPr>
        <w:t>0.5</w:t>
      </w:r>
      <w:r>
        <w:rPr>
          <w:rFonts w:ascii="Calibri" w:eastAsia="Times New Roman" w:hAnsi="Calibri" w:cs="Times New Roman"/>
          <w:bCs/>
          <w:sz w:val="24"/>
          <w:szCs w:val="24"/>
        </w:rPr>
        <w:t>°</w:t>
      </w:r>
      <w:r>
        <w:rPr>
          <w:rFonts w:ascii="Times New Roman" w:eastAsia="Times New Roman" w:hAnsi="Times New Roman" w:cs="Times New Roman"/>
          <w:bCs/>
          <w:sz w:val="24"/>
          <w:szCs w:val="24"/>
        </w:rPr>
        <w:t>C</w:t>
      </w:r>
      <w:r w:rsidR="007F59B6">
        <w:rPr>
          <w:rFonts w:ascii="Times New Roman" w:eastAsia="Times New Roman" w:hAnsi="Times New Roman" w:cs="Times New Roman"/>
          <w:bCs/>
          <w:sz w:val="24"/>
          <w:szCs w:val="24"/>
        </w:rPr>
        <w:t xml:space="preserve"> </w:t>
      </w:r>
      <w:r w:rsidR="007F59B6" w:rsidRPr="007C6D27">
        <w:rPr>
          <w:rFonts w:ascii="Times New Roman" w:eastAsia="Times New Roman" w:hAnsi="Times New Roman" w:cs="Times New Roman"/>
          <w:bCs/>
          <w:sz w:val="24"/>
          <w:szCs w:val="24"/>
        </w:rPr>
        <w:t>split point, halfway to the 1</w:t>
      </w:r>
      <w:r w:rsidR="00A56885" w:rsidRPr="007C6D27">
        <w:rPr>
          <w:rFonts w:ascii="Calibri" w:eastAsia="Times New Roman" w:hAnsi="Calibri" w:cs="Times New Roman"/>
          <w:bCs/>
          <w:sz w:val="24"/>
          <w:szCs w:val="24"/>
        </w:rPr>
        <w:t>°</w:t>
      </w:r>
      <w:r w:rsidR="00A56885" w:rsidRPr="007C6D27">
        <w:rPr>
          <w:rFonts w:ascii="Times New Roman" w:eastAsia="Times New Roman" w:hAnsi="Times New Roman" w:cs="Times New Roman"/>
          <w:bCs/>
          <w:sz w:val="24"/>
          <w:szCs w:val="24"/>
        </w:rPr>
        <w:t>C point at which stressed plants may begin to emit carbon dioxide</w:t>
      </w:r>
      <w:r w:rsidR="007F59B6" w:rsidRPr="007C6D27">
        <w:rPr>
          <w:rFonts w:ascii="Times New Roman" w:eastAsia="Times New Roman" w:hAnsi="Times New Roman" w:cs="Times New Roman"/>
          <w:bCs/>
          <w:sz w:val="24"/>
          <w:szCs w:val="24"/>
        </w:rPr>
        <w:t>,</w:t>
      </w:r>
      <w:r w:rsidR="00A56885" w:rsidRPr="007C6D27">
        <w:rPr>
          <w:rFonts w:ascii="Times New Roman" w:eastAsia="Times New Roman" w:hAnsi="Times New Roman" w:cs="Times New Roman"/>
          <w:bCs/>
          <w:sz w:val="24"/>
          <w:szCs w:val="24"/>
        </w:rPr>
        <w:t xml:space="preserve"> instead of absorbing it</w:t>
      </w:r>
      <w:r w:rsidR="008B07F2" w:rsidRPr="007C6D27">
        <w:rPr>
          <w:rFonts w:ascii="Times New Roman" w:eastAsia="Times New Roman" w:hAnsi="Times New Roman" w:cs="Times New Roman"/>
          <w:bCs/>
          <w:sz w:val="24"/>
          <w:szCs w:val="24"/>
        </w:rPr>
        <w:t>; land-based emissions sustained over long periods can further increase heat stress.</w:t>
      </w:r>
      <w:r w:rsidR="008B07F2" w:rsidRPr="007C6D27">
        <w:rPr>
          <w:rStyle w:val="FootnoteReference"/>
          <w:rFonts w:ascii="Times New Roman" w:eastAsia="Times New Roman" w:hAnsi="Times New Roman" w:cs="Times New Roman"/>
          <w:bCs/>
          <w:sz w:val="24"/>
          <w:szCs w:val="24"/>
        </w:rPr>
        <w:footnoteReference w:id="26"/>
      </w:r>
      <w:r w:rsidRPr="007C6D27">
        <w:rPr>
          <w:rFonts w:ascii="Times New Roman" w:eastAsia="Times New Roman" w:hAnsi="Times New Roman" w:cs="Times New Roman"/>
          <w:bCs/>
          <w:sz w:val="24"/>
          <w:szCs w:val="24"/>
        </w:rPr>
        <w:t xml:space="preserve"> </w:t>
      </w:r>
    </w:p>
    <w:p w:rsidR="00D26445" w:rsidRPr="007C6D27" w:rsidRDefault="003B7911" w:rsidP="007F59B6">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sidRPr="007C6D27">
        <w:rPr>
          <w:rFonts w:ascii="Times New Roman" w:eastAsia="Times New Roman" w:hAnsi="Times New Roman" w:cs="Times New Roman"/>
          <w:bCs/>
          <w:sz w:val="24"/>
          <w:szCs w:val="24"/>
        </w:rPr>
        <w:tab/>
      </w:r>
      <w:r w:rsidRPr="007C6D27">
        <w:rPr>
          <w:rFonts w:ascii="Times New Roman" w:eastAsia="Times New Roman" w:hAnsi="Times New Roman" w:cs="Times New Roman"/>
          <w:bCs/>
          <w:sz w:val="24"/>
          <w:szCs w:val="24"/>
        </w:rPr>
        <w:tab/>
        <w:t xml:space="preserve">Figure </w:t>
      </w:r>
      <w:r w:rsidR="007F59B6" w:rsidRPr="007C6D27">
        <w:rPr>
          <w:rFonts w:ascii="Times New Roman" w:eastAsia="Times New Roman" w:hAnsi="Times New Roman" w:cs="Times New Roman"/>
          <w:bCs/>
          <w:sz w:val="24"/>
          <w:szCs w:val="24"/>
        </w:rPr>
        <w:t>9</w:t>
      </w:r>
      <w:r w:rsidRPr="007C6D27">
        <w:rPr>
          <w:rFonts w:ascii="Times New Roman" w:eastAsia="Times New Roman" w:hAnsi="Times New Roman" w:cs="Times New Roman"/>
          <w:bCs/>
          <w:sz w:val="24"/>
          <w:szCs w:val="24"/>
        </w:rPr>
        <w:t xml:space="preserve"> display</w:t>
      </w:r>
      <w:r w:rsidR="00A56885" w:rsidRPr="007C6D27">
        <w:rPr>
          <w:rFonts w:ascii="Times New Roman" w:eastAsia="Times New Roman" w:hAnsi="Times New Roman" w:cs="Times New Roman"/>
          <w:bCs/>
          <w:sz w:val="24"/>
          <w:szCs w:val="24"/>
        </w:rPr>
        <w:t>s</w:t>
      </w:r>
      <w:r w:rsidRPr="007C6D27">
        <w:rPr>
          <w:rFonts w:ascii="Times New Roman" w:eastAsia="Times New Roman" w:hAnsi="Times New Roman" w:cs="Times New Roman"/>
          <w:bCs/>
          <w:sz w:val="24"/>
          <w:szCs w:val="24"/>
        </w:rPr>
        <w:t xml:space="preserve"> the probability distributions for the heat stress </w:t>
      </w:r>
      <w:r w:rsidR="00A56885" w:rsidRPr="007C6D27">
        <w:rPr>
          <w:rFonts w:ascii="Times New Roman" w:eastAsia="Times New Roman" w:hAnsi="Times New Roman" w:cs="Times New Roman"/>
          <w:bCs/>
          <w:sz w:val="24"/>
          <w:szCs w:val="24"/>
        </w:rPr>
        <w:t>variable</w:t>
      </w:r>
      <w:r w:rsidRPr="007C6D27">
        <w:rPr>
          <w:rFonts w:ascii="Times New Roman" w:eastAsia="Times New Roman" w:hAnsi="Times New Roman" w:cs="Times New Roman"/>
          <w:bCs/>
          <w:sz w:val="24"/>
          <w:szCs w:val="24"/>
        </w:rPr>
        <w:t>.</w:t>
      </w:r>
    </w:p>
    <w:tbl>
      <w:tblPr>
        <w:tblStyle w:val="TableGrid"/>
        <w:tblW w:w="0" w:type="auto"/>
        <w:jc w:val="center"/>
        <w:tblInd w:w="1435" w:type="dxa"/>
        <w:tblLook w:val="04A0" w:firstRow="1" w:lastRow="0" w:firstColumn="1" w:lastColumn="0" w:noHBand="0" w:noVBand="1"/>
      </w:tblPr>
      <w:tblGrid>
        <w:gridCol w:w="2674"/>
        <w:gridCol w:w="2675"/>
      </w:tblGrid>
      <w:tr w:rsidR="00D26445" w:rsidRPr="007C6D27" w:rsidTr="00AB027E">
        <w:trPr>
          <w:trHeight w:val="416"/>
          <w:jc w:val="center"/>
        </w:trPr>
        <w:tc>
          <w:tcPr>
            <w:tcW w:w="5349" w:type="dxa"/>
            <w:gridSpan w:val="2"/>
            <w:shd w:val="clear" w:color="auto" w:fill="BFBFBF" w:themeFill="background1" w:themeFillShade="BF"/>
            <w:vAlign w:val="center"/>
          </w:tcPr>
          <w:p w:rsidR="00D26445" w:rsidRPr="007C6D27" w:rsidRDefault="00D26445" w:rsidP="00D26445">
            <w:pPr>
              <w:jc w:val="center"/>
              <w:rPr>
                <w:rFonts w:ascii="Times New Roman" w:eastAsia="Times New Roman" w:hAnsi="Times New Roman" w:cs="Times New Roman"/>
                <w:sz w:val="20"/>
                <w:szCs w:val="20"/>
              </w:rPr>
            </w:pPr>
            <w:r w:rsidRPr="007C6D27">
              <w:rPr>
                <w:rFonts w:ascii="Times New Roman" w:eastAsia="Times New Roman" w:hAnsi="Times New Roman" w:cs="Times New Roman"/>
                <w:sz w:val="20"/>
                <w:szCs w:val="20"/>
              </w:rPr>
              <w:t>Heat Stress (Degrees Celsius)</w:t>
            </w:r>
          </w:p>
        </w:tc>
      </w:tr>
      <w:tr w:rsidR="00D26445" w:rsidRPr="007C6D27" w:rsidTr="00AB027E">
        <w:trPr>
          <w:trHeight w:val="416"/>
          <w:jc w:val="center"/>
        </w:trPr>
        <w:tc>
          <w:tcPr>
            <w:tcW w:w="2674" w:type="dxa"/>
            <w:shd w:val="clear" w:color="auto" w:fill="BFBFBF" w:themeFill="background1" w:themeFillShade="BF"/>
            <w:vAlign w:val="center"/>
          </w:tcPr>
          <w:p w:rsidR="00D26445" w:rsidRPr="007C6D27" w:rsidRDefault="00D26445" w:rsidP="00C11D29">
            <w:pPr>
              <w:jc w:val="center"/>
              <w:rPr>
                <w:rFonts w:ascii="Times New Roman" w:eastAsia="Times New Roman" w:hAnsi="Times New Roman" w:cs="Times New Roman"/>
                <w:b/>
                <w:bCs/>
                <w:sz w:val="20"/>
                <w:szCs w:val="20"/>
              </w:rPr>
            </w:pPr>
            <w:r w:rsidRPr="007C6D27">
              <w:rPr>
                <w:rFonts w:ascii="Times New Roman" w:eastAsia="Times New Roman" w:hAnsi="Times New Roman" w:cs="Times New Roman"/>
                <w:b/>
                <w:bCs/>
                <w:sz w:val="20"/>
                <w:szCs w:val="20"/>
              </w:rPr>
              <w:t>Bin</w:t>
            </w:r>
          </w:p>
        </w:tc>
        <w:tc>
          <w:tcPr>
            <w:tcW w:w="2675" w:type="dxa"/>
            <w:vAlign w:val="center"/>
          </w:tcPr>
          <w:p w:rsidR="00D26445" w:rsidRPr="007C6D27" w:rsidRDefault="00D26445" w:rsidP="00C11D29">
            <w:pPr>
              <w:jc w:val="center"/>
              <w:rPr>
                <w:rFonts w:ascii="Times New Roman" w:eastAsia="Times New Roman" w:hAnsi="Times New Roman" w:cs="Times New Roman"/>
                <w:b/>
                <w:bCs/>
                <w:sz w:val="20"/>
                <w:szCs w:val="20"/>
              </w:rPr>
            </w:pPr>
            <w:r w:rsidRPr="007C6D27">
              <w:rPr>
                <w:rFonts w:ascii="Times New Roman" w:eastAsia="Times New Roman" w:hAnsi="Times New Roman" w:cs="Times New Roman"/>
                <w:b/>
                <w:bCs/>
                <w:sz w:val="20"/>
                <w:szCs w:val="20"/>
              </w:rPr>
              <w:t>Probability</w:t>
            </w:r>
          </w:p>
        </w:tc>
      </w:tr>
      <w:tr w:rsidR="00D26445" w:rsidRPr="007C6D27" w:rsidTr="00AB027E">
        <w:trPr>
          <w:trHeight w:val="416"/>
          <w:jc w:val="center"/>
        </w:trPr>
        <w:tc>
          <w:tcPr>
            <w:tcW w:w="2674" w:type="dxa"/>
            <w:shd w:val="clear" w:color="auto" w:fill="BFBFBF" w:themeFill="background1" w:themeFillShade="BF"/>
            <w:vAlign w:val="center"/>
          </w:tcPr>
          <w:p w:rsidR="00D26445" w:rsidRPr="007C6D27" w:rsidRDefault="00D26445" w:rsidP="00C11D29">
            <w:pPr>
              <w:jc w:val="center"/>
              <w:rPr>
                <w:rFonts w:ascii="Times New Roman" w:eastAsia="Times New Roman" w:hAnsi="Times New Roman" w:cs="Times New Roman"/>
                <w:sz w:val="20"/>
                <w:szCs w:val="20"/>
              </w:rPr>
            </w:pPr>
            <w:r w:rsidRPr="007C6D27">
              <w:rPr>
                <w:rFonts w:ascii="Times New Roman" w:eastAsia="Times New Roman" w:hAnsi="Times New Roman" w:cs="Times New Roman"/>
                <w:sz w:val="20"/>
                <w:szCs w:val="20"/>
              </w:rPr>
              <w:t>&lt;0.5</w:t>
            </w:r>
          </w:p>
        </w:tc>
        <w:tc>
          <w:tcPr>
            <w:tcW w:w="2675" w:type="dxa"/>
            <w:vAlign w:val="center"/>
          </w:tcPr>
          <w:p w:rsidR="00D26445" w:rsidRPr="007C6D27" w:rsidRDefault="00D26445" w:rsidP="00C11D29">
            <w:pPr>
              <w:jc w:val="center"/>
              <w:rPr>
                <w:rFonts w:ascii="Times New Roman" w:eastAsia="Times New Roman" w:hAnsi="Times New Roman" w:cs="Times New Roman"/>
                <w:sz w:val="20"/>
                <w:szCs w:val="20"/>
              </w:rPr>
            </w:pPr>
            <w:r w:rsidRPr="007C6D27">
              <w:rPr>
                <w:rFonts w:ascii="Times New Roman" w:eastAsia="Times New Roman" w:hAnsi="Times New Roman" w:cs="Times New Roman"/>
                <w:sz w:val="20"/>
                <w:szCs w:val="20"/>
              </w:rPr>
              <w:t>0.5349</w:t>
            </w:r>
          </w:p>
        </w:tc>
      </w:tr>
      <w:tr w:rsidR="00D26445" w:rsidRPr="007C6D27" w:rsidTr="00AB027E">
        <w:trPr>
          <w:trHeight w:val="416"/>
          <w:jc w:val="center"/>
        </w:trPr>
        <w:tc>
          <w:tcPr>
            <w:tcW w:w="2674" w:type="dxa"/>
            <w:shd w:val="clear" w:color="auto" w:fill="BFBFBF" w:themeFill="background1" w:themeFillShade="BF"/>
            <w:vAlign w:val="center"/>
          </w:tcPr>
          <w:p w:rsidR="00D26445" w:rsidRPr="007C6D27" w:rsidRDefault="00D26445" w:rsidP="00BE6FAA">
            <w:pPr>
              <w:jc w:val="center"/>
              <w:rPr>
                <w:rFonts w:ascii="Times New Roman" w:eastAsia="Times New Roman" w:hAnsi="Times New Roman" w:cs="Times New Roman"/>
                <w:sz w:val="20"/>
                <w:szCs w:val="20"/>
              </w:rPr>
            </w:pPr>
            <w:r w:rsidRPr="007C6D27">
              <w:rPr>
                <w:rFonts w:ascii="Times New Roman" w:eastAsia="Times New Roman" w:hAnsi="Times New Roman" w:cs="Times New Roman"/>
                <w:sz w:val="20"/>
                <w:szCs w:val="20"/>
              </w:rPr>
              <w:t>&gt;0.5</w:t>
            </w:r>
          </w:p>
        </w:tc>
        <w:tc>
          <w:tcPr>
            <w:tcW w:w="2675" w:type="dxa"/>
            <w:vAlign w:val="center"/>
          </w:tcPr>
          <w:p w:rsidR="00D26445" w:rsidRPr="007C6D27" w:rsidRDefault="00D26445" w:rsidP="00BE6FAA">
            <w:pPr>
              <w:jc w:val="center"/>
              <w:rPr>
                <w:rFonts w:ascii="Times New Roman" w:eastAsia="Times New Roman" w:hAnsi="Times New Roman" w:cs="Times New Roman"/>
                <w:sz w:val="20"/>
                <w:szCs w:val="20"/>
              </w:rPr>
            </w:pPr>
            <w:r w:rsidRPr="007C6D27">
              <w:rPr>
                <w:rFonts w:ascii="Times New Roman" w:eastAsia="Times New Roman" w:hAnsi="Times New Roman" w:cs="Times New Roman"/>
                <w:sz w:val="20"/>
                <w:szCs w:val="20"/>
              </w:rPr>
              <w:t>0.4651</w:t>
            </w:r>
          </w:p>
        </w:tc>
      </w:tr>
    </w:tbl>
    <w:p w:rsidR="00D26445" w:rsidRPr="007C6D27" w:rsidRDefault="00D26445" w:rsidP="00BE6FAA">
      <w:pPr>
        <w:pStyle w:val="Caption"/>
        <w:spacing w:after="0"/>
        <w:jc w:val="center"/>
        <w:rPr>
          <w:rFonts w:asciiTheme="majorBidi" w:hAnsiTheme="majorBidi" w:cstheme="majorBidi"/>
          <w:color w:val="auto"/>
          <w:sz w:val="24"/>
          <w:szCs w:val="24"/>
        </w:rPr>
      </w:pPr>
    </w:p>
    <w:p w:rsidR="003B7911" w:rsidRDefault="003B7911" w:rsidP="007F59B6">
      <w:pPr>
        <w:pStyle w:val="Caption"/>
        <w:spacing w:after="0"/>
        <w:jc w:val="center"/>
        <w:rPr>
          <w:rFonts w:asciiTheme="majorBidi" w:hAnsiTheme="majorBidi" w:cstheme="majorBidi"/>
          <w:color w:val="auto"/>
          <w:sz w:val="24"/>
          <w:szCs w:val="24"/>
        </w:rPr>
      </w:pPr>
      <w:r w:rsidRPr="007C6D27">
        <w:rPr>
          <w:rFonts w:asciiTheme="majorBidi" w:hAnsiTheme="majorBidi" w:cstheme="majorBidi"/>
          <w:color w:val="auto"/>
          <w:sz w:val="24"/>
          <w:szCs w:val="24"/>
        </w:rPr>
        <w:t xml:space="preserve">Figure </w:t>
      </w:r>
      <w:r w:rsidR="007F59B6" w:rsidRPr="007C6D27">
        <w:rPr>
          <w:rFonts w:asciiTheme="majorBidi" w:hAnsiTheme="majorBidi" w:cstheme="majorBidi"/>
          <w:color w:val="auto"/>
          <w:sz w:val="24"/>
          <w:szCs w:val="24"/>
        </w:rPr>
        <w:t>9</w:t>
      </w:r>
      <w:r w:rsidRPr="007C6D27">
        <w:rPr>
          <w:rFonts w:asciiTheme="majorBidi" w:hAnsiTheme="majorBidi" w:cstheme="majorBidi"/>
          <w:color w:val="auto"/>
          <w:sz w:val="24"/>
          <w:szCs w:val="24"/>
        </w:rPr>
        <w:t>. Probability Tables for Heat Stress</w:t>
      </w:r>
    </w:p>
    <w:p w:rsidR="003B7911" w:rsidRDefault="003B7911" w:rsidP="003B7911">
      <w:pPr>
        <w:pStyle w:val="ListParagraph"/>
        <w:widowControl w:val="0"/>
        <w:numPr>
          <w:ilvl w:val="0"/>
          <w:numId w:val="4"/>
        </w:numPr>
        <w:tabs>
          <w:tab w:val="left" w:pos="-1022"/>
          <w:tab w:val="left" w:pos="-720"/>
          <w:tab w:val="left" w:pos="450"/>
          <w:tab w:val="left" w:pos="720"/>
          <w:tab w:val="left" w:pos="126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Water Available per Capita</w:t>
      </w:r>
    </w:p>
    <w:p w:rsidR="003B7911" w:rsidRDefault="003B7911" w:rsidP="00CB385F">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The water available node has </w:t>
      </w:r>
      <w:r w:rsidR="00CB385F">
        <w:rPr>
          <w:rFonts w:ascii="Times New Roman" w:eastAsia="Times New Roman" w:hAnsi="Times New Roman" w:cs="Times New Roman"/>
          <w:bCs/>
          <w:sz w:val="24"/>
          <w:szCs w:val="24"/>
        </w:rPr>
        <w:t>two</w:t>
      </w:r>
      <w:r>
        <w:rPr>
          <w:rFonts w:ascii="Times New Roman" w:eastAsia="Times New Roman" w:hAnsi="Times New Roman" w:cs="Times New Roman"/>
          <w:bCs/>
          <w:sz w:val="24"/>
          <w:szCs w:val="24"/>
        </w:rPr>
        <w:t xml:space="preserve"> p</w:t>
      </w:r>
      <w:r w:rsidR="00CB385F">
        <w:rPr>
          <w:rFonts w:ascii="Times New Roman" w:eastAsia="Times New Roman" w:hAnsi="Times New Roman" w:cs="Times New Roman"/>
          <w:bCs/>
          <w:sz w:val="24"/>
          <w:szCs w:val="24"/>
        </w:rPr>
        <w:t>arent nodes, and it also has one child node, water withdrawal for agriculture per capita</w:t>
      </w:r>
      <w:r>
        <w:rPr>
          <w:rFonts w:ascii="Times New Roman" w:eastAsia="Times New Roman" w:hAnsi="Times New Roman" w:cs="Times New Roman"/>
          <w:bCs/>
          <w:sz w:val="24"/>
          <w:szCs w:val="24"/>
        </w:rPr>
        <w:t xml:space="preserve">. In terms of water consumption, 86 percent of Oman’s water supply is used for agriculture, split evenly between industry and domestic use; the water supply subsequently affects the amount of water that can be </w:t>
      </w:r>
      <w:r w:rsidR="00CB385F">
        <w:rPr>
          <w:rFonts w:ascii="Times New Roman" w:eastAsia="Times New Roman" w:hAnsi="Times New Roman" w:cs="Times New Roman"/>
          <w:bCs/>
          <w:sz w:val="24"/>
          <w:szCs w:val="24"/>
        </w:rPr>
        <w:t>withdrawn and consumed for agriculture</w:t>
      </w:r>
      <w:r>
        <w:rPr>
          <w:rFonts w:ascii="Times New Roman" w:eastAsia="Times New Roman" w:hAnsi="Times New Roman" w:cs="Times New Roman"/>
          <w:bCs/>
          <w:sz w:val="24"/>
          <w:szCs w:val="24"/>
        </w:rPr>
        <w:t>.</w:t>
      </w:r>
      <w:r>
        <w:rPr>
          <w:rStyle w:val="FootnoteReference"/>
          <w:rFonts w:ascii="Times New Roman" w:eastAsia="Times New Roman" w:hAnsi="Times New Roman" w:cs="Times New Roman"/>
          <w:bCs/>
          <w:sz w:val="24"/>
          <w:szCs w:val="24"/>
        </w:rPr>
        <w:footnoteReference w:id="27"/>
      </w:r>
    </w:p>
    <w:p w:rsidR="003B7911" w:rsidRPr="00634EB9" w:rsidRDefault="007F3E06" w:rsidP="00C2773E">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Water available per capita</w:t>
      </w:r>
      <w:r w:rsidR="003B7911">
        <w:rPr>
          <w:rFonts w:ascii="Times New Roman" w:eastAsia="Times New Roman" w:hAnsi="Times New Roman" w:cs="Times New Roman"/>
          <w:bCs/>
          <w:sz w:val="24"/>
          <w:szCs w:val="24"/>
        </w:rPr>
        <w:t xml:space="preserve">, measured in cubic meters per </w:t>
      </w:r>
      <w:r w:rsidR="00971F12">
        <w:rPr>
          <w:rFonts w:ascii="Times New Roman" w:eastAsia="Times New Roman" w:hAnsi="Times New Roman" w:cs="Times New Roman"/>
          <w:bCs/>
          <w:sz w:val="24"/>
          <w:szCs w:val="24"/>
        </w:rPr>
        <w:t>capita</w:t>
      </w:r>
      <w:r w:rsidR="003B7911">
        <w:rPr>
          <w:rFonts w:ascii="Times New Roman" w:eastAsia="Times New Roman" w:hAnsi="Times New Roman" w:cs="Times New Roman"/>
          <w:bCs/>
          <w:sz w:val="24"/>
          <w:szCs w:val="24"/>
        </w:rPr>
        <w:t xml:space="preserve"> per year through the metric of total renewable resources, had data available for </w:t>
      </w:r>
      <w:r>
        <w:rPr>
          <w:rFonts w:ascii="Times New Roman" w:eastAsia="Times New Roman" w:hAnsi="Times New Roman" w:cs="Times New Roman"/>
          <w:bCs/>
          <w:sz w:val="24"/>
          <w:szCs w:val="24"/>
        </w:rPr>
        <w:t>43</w:t>
      </w:r>
      <w:r w:rsidR="003B7911">
        <w:rPr>
          <w:rFonts w:ascii="Times New Roman" w:eastAsia="Times New Roman" w:hAnsi="Times New Roman" w:cs="Times New Roman"/>
          <w:bCs/>
          <w:sz w:val="24"/>
          <w:szCs w:val="24"/>
        </w:rPr>
        <w:t xml:space="preserve"> years from 19</w:t>
      </w:r>
      <w:r>
        <w:rPr>
          <w:rFonts w:ascii="Times New Roman" w:eastAsia="Times New Roman" w:hAnsi="Times New Roman" w:cs="Times New Roman"/>
          <w:bCs/>
          <w:sz w:val="24"/>
          <w:szCs w:val="24"/>
        </w:rPr>
        <w:t>70</w:t>
      </w:r>
      <w:r w:rsidR="003B7911">
        <w:rPr>
          <w:rFonts w:ascii="Times New Roman" w:eastAsia="Times New Roman" w:hAnsi="Times New Roman" w:cs="Times New Roman"/>
          <w:bCs/>
          <w:sz w:val="24"/>
          <w:szCs w:val="24"/>
        </w:rPr>
        <w:t xml:space="preserve"> to 201</w:t>
      </w:r>
      <w:r>
        <w:rPr>
          <w:rFonts w:ascii="Times New Roman" w:eastAsia="Times New Roman" w:hAnsi="Times New Roman" w:cs="Times New Roman"/>
          <w:bCs/>
          <w:sz w:val="24"/>
          <w:szCs w:val="24"/>
        </w:rPr>
        <w:t>2</w:t>
      </w:r>
      <w:r w:rsidR="003B7911">
        <w:rPr>
          <w:rFonts w:ascii="Times New Roman" w:eastAsia="Times New Roman" w:hAnsi="Times New Roman" w:cs="Times New Roman"/>
          <w:bCs/>
          <w:sz w:val="24"/>
          <w:szCs w:val="24"/>
        </w:rPr>
        <w:t xml:space="preserve"> within the FAO AquaStat database.</w:t>
      </w:r>
      <w:r w:rsidR="003B7911">
        <w:rPr>
          <w:rStyle w:val="FootnoteReference"/>
          <w:rFonts w:ascii="Times New Roman" w:eastAsia="Times New Roman" w:hAnsi="Times New Roman" w:cs="Times New Roman"/>
          <w:bCs/>
          <w:sz w:val="24"/>
          <w:szCs w:val="24"/>
        </w:rPr>
        <w:footnoteReference w:id="28"/>
      </w:r>
      <w:r w:rsidR="003B7911">
        <w:rPr>
          <w:rFonts w:ascii="Times New Roman" w:eastAsia="Times New Roman" w:hAnsi="Times New Roman" w:cs="Times New Roman"/>
          <w:bCs/>
          <w:sz w:val="24"/>
          <w:szCs w:val="24"/>
        </w:rPr>
        <w:t xml:space="preserve"> This node included the four countries of Oman, the United Arab Emirates, Saud</w:t>
      </w:r>
      <w:r w:rsidR="00C2773E">
        <w:rPr>
          <w:rFonts w:ascii="Times New Roman" w:eastAsia="Times New Roman" w:hAnsi="Times New Roman" w:cs="Times New Roman"/>
          <w:bCs/>
          <w:sz w:val="24"/>
          <w:szCs w:val="24"/>
        </w:rPr>
        <w:t>i Arabia, and Kuwait to create 172 data points</w:t>
      </w:r>
      <w:r w:rsidR="003B7911">
        <w:rPr>
          <w:rFonts w:ascii="Times New Roman" w:eastAsia="Times New Roman" w:hAnsi="Times New Roman" w:cs="Times New Roman"/>
          <w:bCs/>
          <w:sz w:val="24"/>
          <w:szCs w:val="24"/>
        </w:rPr>
        <w:t>. In order to allow for a wider range of distribution,</w:t>
      </w:r>
      <w:r>
        <w:rPr>
          <w:rFonts w:ascii="Times New Roman" w:eastAsia="Times New Roman" w:hAnsi="Times New Roman" w:cs="Times New Roman"/>
          <w:bCs/>
          <w:sz w:val="24"/>
          <w:szCs w:val="24"/>
        </w:rPr>
        <w:t xml:space="preserve"> three bins were utilized with </w:t>
      </w:r>
      <w:r w:rsidR="00B54EBA">
        <w:rPr>
          <w:rFonts w:ascii="Times New Roman" w:eastAsia="Times New Roman" w:hAnsi="Times New Roman" w:cs="Times New Roman"/>
          <w:bCs/>
          <w:sz w:val="24"/>
          <w:szCs w:val="24"/>
        </w:rPr>
        <w:t xml:space="preserve">split points of </w:t>
      </w:r>
      <w:r>
        <w:rPr>
          <w:rFonts w:ascii="Times New Roman" w:eastAsia="Times New Roman" w:hAnsi="Times New Roman" w:cs="Times New Roman"/>
          <w:bCs/>
          <w:sz w:val="24"/>
          <w:szCs w:val="24"/>
        </w:rPr>
        <w:t>212 cubic meters per capita per year and 425 cubic meters per capita per year. T</w:t>
      </w:r>
      <w:r w:rsidR="00971F12">
        <w:rPr>
          <w:rFonts w:ascii="Times New Roman" w:eastAsia="Times New Roman" w:hAnsi="Times New Roman" w:cs="Times New Roman"/>
          <w:bCs/>
          <w:sz w:val="24"/>
          <w:szCs w:val="24"/>
        </w:rPr>
        <w:t>hese values from the World Resources Institute delineate when the nations have a year of extremely low availability (the lowest bin</w:t>
      </w:r>
      <w:r w:rsidR="00C2773E">
        <w:rPr>
          <w:rFonts w:ascii="Times New Roman" w:eastAsia="Times New Roman" w:hAnsi="Times New Roman" w:cs="Times New Roman"/>
          <w:bCs/>
          <w:sz w:val="24"/>
          <w:szCs w:val="24"/>
        </w:rPr>
        <w:t xml:space="preserve"> for this dataset</w:t>
      </w:r>
      <w:r w:rsidR="00971F12">
        <w:rPr>
          <w:rFonts w:ascii="Times New Roman" w:eastAsia="Times New Roman" w:hAnsi="Times New Roman" w:cs="Times New Roman"/>
          <w:bCs/>
          <w:sz w:val="24"/>
          <w:szCs w:val="24"/>
        </w:rPr>
        <w:t xml:space="preserve">) or low </w:t>
      </w:r>
      <w:r w:rsidR="00971F12" w:rsidRPr="00634EB9">
        <w:rPr>
          <w:rFonts w:ascii="Times New Roman" w:eastAsia="Times New Roman" w:hAnsi="Times New Roman" w:cs="Times New Roman"/>
          <w:bCs/>
          <w:sz w:val="24"/>
          <w:szCs w:val="24"/>
        </w:rPr>
        <w:t>availability (the middle bin)</w:t>
      </w:r>
      <w:r w:rsidR="00C2773E" w:rsidRPr="00634EB9">
        <w:rPr>
          <w:rFonts w:ascii="Times New Roman" w:eastAsia="Times New Roman" w:hAnsi="Times New Roman" w:cs="Times New Roman"/>
          <w:bCs/>
          <w:sz w:val="24"/>
          <w:szCs w:val="24"/>
        </w:rPr>
        <w:t xml:space="preserve"> of water</w:t>
      </w:r>
      <w:r w:rsidR="00971F12" w:rsidRPr="00634EB9">
        <w:rPr>
          <w:rFonts w:ascii="Times New Roman" w:eastAsia="Times New Roman" w:hAnsi="Times New Roman" w:cs="Times New Roman"/>
          <w:bCs/>
          <w:sz w:val="24"/>
          <w:szCs w:val="24"/>
        </w:rPr>
        <w:t>.</w:t>
      </w:r>
      <w:r w:rsidRPr="00634EB9">
        <w:rPr>
          <w:rFonts w:ascii="Times New Roman" w:eastAsia="Times New Roman" w:hAnsi="Times New Roman" w:cs="Times New Roman"/>
          <w:bCs/>
          <w:sz w:val="24"/>
          <w:szCs w:val="24"/>
        </w:rPr>
        <w:t xml:space="preserve"> </w:t>
      </w:r>
      <w:r w:rsidRPr="00634EB9">
        <w:rPr>
          <w:rStyle w:val="FootnoteReference"/>
          <w:rFonts w:ascii="Times New Roman" w:eastAsia="Times New Roman" w:hAnsi="Times New Roman" w:cs="Times New Roman"/>
          <w:bCs/>
          <w:sz w:val="24"/>
          <w:szCs w:val="24"/>
        </w:rPr>
        <w:footnoteReference w:id="29"/>
      </w:r>
    </w:p>
    <w:p w:rsidR="003B7911" w:rsidRPr="00634EB9" w:rsidRDefault="003B7911" w:rsidP="00C2773E">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sidRPr="00634EB9">
        <w:rPr>
          <w:rFonts w:ascii="Times New Roman" w:eastAsia="Times New Roman" w:hAnsi="Times New Roman" w:cs="Times New Roman"/>
          <w:bCs/>
          <w:sz w:val="24"/>
          <w:szCs w:val="24"/>
        </w:rPr>
        <w:tab/>
      </w:r>
      <w:r w:rsidRPr="00634EB9">
        <w:rPr>
          <w:rFonts w:ascii="Times New Roman" w:eastAsia="Times New Roman" w:hAnsi="Times New Roman" w:cs="Times New Roman"/>
          <w:bCs/>
          <w:sz w:val="24"/>
          <w:szCs w:val="24"/>
        </w:rPr>
        <w:tab/>
        <w:t>The table in Figure 1</w:t>
      </w:r>
      <w:r w:rsidR="00C2773E" w:rsidRPr="00634EB9">
        <w:rPr>
          <w:rFonts w:ascii="Times New Roman" w:eastAsia="Times New Roman" w:hAnsi="Times New Roman" w:cs="Times New Roman"/>
          <w:bCs/>
          <w:sz w:val="24"/>
          <w:szCs w:val="24"/>
        </w:rPr>
        <w:t>0</w:t>
      </w:r>
      <w:r w:rsidRPr="00634EB9">
        <w:rPr>
          <w:rFonts w:ascii="Times New Roman" w:eastAsia="Times New Roman" w:hAnsi="Times New Roman" w:cs="Times New Roman"/>
          <w:bCs/>
          <w:sz w:val="24"/>
          <w:szCs w:val="24"/>
        </w:rPr>
        <w:t xml:space="preserve"> demonstrates the heavy skew of water available towards low bins, and the bottom table shows the conditional probability relating </w:t>
      </w:r>
      <w:r w:rsidR="00971F12" w:rsidRPr="00634EB9">
        <w:rPr>
          <w:rFonts w:ascii="Times New Roman" w:eastAsia="Times New Roman" w:hAnsi="Times New Roman" w:cs="Times New Roman"/>
          <w:bCs/>
          <w:sz w:val="24"/>
          <w:szCs w:val="24"/>
        </w:rPr>
        <w:t>heat stress and desalination capacity per capita to water available per capita</w:t>
      </w:r>
      <w:r w:rsidRPr="00634EB9">
        <w:rPr>
          <w:rFonts w:ascii="Times New Roman" w:eastAsia="Times New Roman" w:hAnsi="Times New Roman" w:cs="Times New Roman"/>
          <w:bCs/>
          <w:sz w:val="24"/>
          <w:szCs w:val="24"/>
        </w:rPr>
        <w:t>.</w:t>
      </w:r>
    </w:p>
    <w:p w:rsidR="003B7911" w:rsidRPr="00634EB9" w:rsidRDefault="00C2773E" w:rsidP="003B7911">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360"/>
        <w:jc w:val="center"/>
        <w:rPr>
          <w:noProof/>
        </w:rPr>
      </w:pPr>
      <w:r w:rsidRPr="00634EB9">
        <w:rPr>
          <w:noProof/>
        </w:rPr>
        <w:lastRenderedPageBreak/>
        <w:drawing>
          <wp:inline distT="0" distB="0" distL="0" distR="0" wp14:anchorId="5A3462BA" wp14:editId="26BC68C4">
            <wp:extent cx="2976563" cy="1514476"/>
            <wp:effectExtent l="0" t="0" r="1460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773E" w:rsidRPr="00634EB9" w:rsidRDefault="00C2773E" w:rsidP="00C2773E">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r w:rsidRPr="00634EB9">
        <w:rPr>
          <w:rFonts w:asciiTheme="majorBidi" w:hAnsiTheme="majorBidi" w:cstheme="majorBidi"/>
          <w:noProof/>
          <w:sz w:val="24"/>
          <w:szCs w:val="24"/>
        </w:rPr>
        <w:t>(a) Simple Probability Table</w:t>
      </w:r>
    </w:p>
    <w:p w:rsidR="00C2773E" w:rsidRPr="00634EB9" w:rsidRDefault="00C2773E" w:rsidP="00C2773E">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rPr>
      </w:pPr>
    </w:p>
    <w:tbl>
      <w:tblPr>
        <w:tblStyle w:val="TableGrid"/>
        <w:tblW w:w="0" w:type="auto"/>
        <w:jc w:val="center"/>
        <w:tblInd w:w="-1230" w:type="dxa"/>
        <w:tblLook w:val="04A0" w:firstRow="1" w:lastRow="0" w:firstColumn="1" w:lastColumn="0" w:noHBand="0" w:noVBand="1"/>
      </w:tblPr>
      <w:tblGrid>
        <w:gridCol w:w="3345"/>
        <w:gridCol w:w="1260"/>
        <w:gridCol w:w="1170"/>
        <w:gridCol w:w="1260"/>
        <w:gridCol w:w="1118"/>
      </w:tblGrid>
      <w:tr w:rsidR="00E46CAB" w:rsidRPr="00634EB9" w:rsidTr="00581785">
        <w:trPr>
          <w:jc w:val="center"/>
        </w:trPr>
        <w:tc>
          <w:tcPr>
            <w:tcW w:w="8153" w:type="dxa"/>
            <w:gridSpan w:val="5"/>
            <w:shd w:val="clear" w:color="auto" w:fill="A6A6A6" w:themeFill="background1" w:themeFillShade="A6"/>
            <w:vAlign w:val="center"/>
          </w:tcPr>
          <w:p w:rsidR="00E46CAB" w:rsidRPr="00634EB9" w:rsidRDefault="00E46CAB" w:rsidP="00E46CAB">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b/>
                <w:bCs/>
                <w:noProof/>
              </w:rPr>
            </w:pPr>
            <w:r w:rsidRPr="00634EB9">
              <w:rPr>
                <w:rFonts w:asciiTheme="majorBidi" w:hAnsiTheme="majorBidi" w:cstheme="majorBidi"/>
                <w:b/>
                <w:bCs/>
                <w:noProof/>
              </w:rPr>
              <w:t>Water Available per Capita (Cubic Meters per Capita per Year)</w:t>
            </w:r>
          </w:p>
        </w:tc>
      </w:tr>
      <w:tr w:rsidR="00E46CAB" w:rsidRPr="00634EB9" w:rsidTr="00581785">
        <w:trPr>
          <w:jc w:val="center"/>
        </w:trPr>
        <w:tc>
          <w:tcPr>
            <w:tcW w:w="3345" w:type="dxa"/>
            <w:shd w:val="clear" w:color="auto" w:fill="D9D9D9" w:themeFill="background1" w:themeFillShade="D9"/>
            <w:vAlign w:val="center"/>
          </w:tcPr>
          <w:p w:rsidR="00E46CAB" w:rsidRPr="00634EB9" w:rsidRDefault="00E46CAB"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Desalinaiton Capacity per Capita</w:t>
            </w:r>
          </w:p>
        </w:tc>
        <w:tc>
          <w:tcPr>
            <w:tcW w:w="2430" w:type="dxa"/>
            <w:gridSpan w:val="2"/>
            <w:shd w:val="clear" w:color="auto" w:fill="D9D9D9" w:themeFill="background1" w:themeFillShade="D9"/>
            <w:vAlign w:val="center"/>
          </w:tcPr>
          <w:p w:rsidR="00E46CAB" w:rsidRPr="00634EB9" w:rsidRDefault="00E46CAB" w:rsidP="00E46CAB">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&lt;0.3</w:t>
            </w:r>
          </w:p>
        </w:tc>
        <w:tc>
          <w:tcPr>
            <w:tcW w:w="2378" w:type="dxa"/>
            <w:gridSpan w:val="2"/>
            <w:shd w:val="clear" w:color="auto" w:fill="D9D9D9" w:themeFill="background1" w:themeFillShade="D9"/>
            <w:vAlign w:val="center"/>
          </w:tcPr>
          <w:p w:rsidR="00E46CAB" w:rsidRPr="00634EB9" w:rsidRDefault="00E46CAB"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&gt;0.3</w:t>
            </w:r>
          </w:p>
        </w:tc>
      </w:tr>
      <w:tr w:rsidR="00E46CAB" w:rsidRPr="00634EB9" w:rsidTr="00581785">
        <w:trPr>
          <w:jc w:val="center"/>
        </w:trPr>
        <w:tc>
          <w:tcPr>
            <w:tcW w:w="3345" w:type="dxa"/>
            <w:shd w:val="clear" w:color="auto" w:fill="D9D9D9" w:themeFill="background1" w:themeFillShade="D9"/>
            <w:vAlign w:val="center"/>
          </w:tcPr>
          <w:p w:rsidR="00E46CAB" w:rsidRPr="00634EB9" w:rsidRDefault="00E46CAB"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Heat Stress</w:t>
            </w:r>
          </w:p>
        </w:tc>
        <w:tc>
          <w:tcPr>
            <w:tcW w:w="1260" w:type="dxa"/>
            <w:shd w:val="clear" w:color="auto" w:fill="D9D9D9" w:themeFill="background1" w:themeFillShade="D9"/>
            <w:vAlign w:val="center"/>
          </w:tcPr>
          <w:p w:rsidR="00E46CAB" w:rsidRPr="00634EB9" w:rsidRDefault="00E46CAB" w:rsidP="00E46CAB">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&lt;0.5</w:t>
            </w:r>
          </w:p>
        </w:tc>
        <w:tc>
          <w:tcPr>
            <w:tcW w:w="1170" w:type="dxa"/>
            <w:shd w:val="clear" w:color="auto" w:fill="D9D9D9" w:themeFill="background1" w:themeFillShade="D9"/>
            <w:vAlign w:val="center"/>
          </w:tcPr>
          <w:p w:rsidR="00E46CAB" w:rsidRPr="00634EB9" w:rsidRDefault="00E46CAB"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&gt;0.5</w:t>
            </w:r>
          </w:p>
        </w:tc>
        <w:tc>
          <w:tcPr>
            <w:tcW w:w="1260" w:type="dxa"/>
            <w:shd w:val="clear" w:color="auto" w:fill="D9D9D9" w:themeFill="background1" w:themeFillShade="D9"/>
            <w:vAlign w:val="center"/>
          </w:tcPr>
          <w:p w:rsidR="00E46CAB" w:rsidRPr="00634EB9" w:rsidRDefault="00E46CAB"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&lt;0.5</w:t>
            </w:r>
          </w:p>
        </w:tc>
        <w:tc>
          <w:tcPr>
            <w:tcW w:w="1118" w:type="dxa"/>
            <w:shd w:val="clear" w:color="auto" w:fill="D9D9D9" w:themeFill="background1" w:themeFillShade="D9"/>
            <w:vAlign w:val="center"/>
          </w:tcPr>
          <w:p w:rsidR="00E46CAB" w:rsidRPr="00634EB9" w:rsidRDefault="00E46CAB"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&gt;0.5</w:t>
            </w:r>
          </w:p>
        </w:tc>
      </w:tr>
      <w:tr w:rsidR="00E46CAB" w:rsidRPr="00634EB9" w:rsidTr="00581785">
        <w:trPr>
          <w:jc w:val="center"/>
        </w:trPr>
        <w:tc>
          <w:tcPr>
            <w:tcW w:w="3345" w:type="dxa"/>
            <w:shd w:val="clear" w:color="auto" w:fill="A6A6A6" w:themeFill="background1" w:themeFillShade="A6"/>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&lt;212</w:t>
            </w:r>
          </w:p>
        </w:tc>
        <w:tc>
          <w:tcPr>
            <w:tcW w:w="1260"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0.32</w:t>
            </w:r>
          </w:p>
        </w:tc>
        <w:tc>
          <w:tcPr>
            <w:tcW w:w="1170"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0.56</w:t>
            </w:r>
          </w:p>
        </w:tc>
        <w:tc>
          <w:tcPr>
            <w:tcW w:w="1260"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0.880952</w:t>
            </w:r>
          </w:p>
        </w:tc>
        <w:tc>
          <w:tcPr>
            <w:tcW w:w="1118"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0.836364</w:t>
            </w:r>
          </w:p>
        </w:tc>
      </w:tr>
      <w:tr w:rsidR="00E46CAB" w:rsidRPr="00634EB9" w:rsidTr="00581785">
        <w:trPr>
          <w:jc w:val="center"/>
        </w:trPr>
        <w:tc>
          <w:tcPr>
            <w:tcW w:w="3345" w:type="dxa"/>
            <w:shd w:val="clear" w:color="auto" w:fill="A6A6A6" w:themeFill="background1" w:themeFillShade="A6"/>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(212, 425)</w:t>
            </w:r>
          </w:p>
        </w:tc>
        <w:tc>
          <w:tcPr>
            <w:tcW w:w="1260"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0.26</w:t>
            </w:r>
          </w:p>
        </w:tc>
        <w:tc>
          <w:tcPr>
            <w:tcW w:w="1170"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0.04</w:t>
            </w:r>
          </w:p>
        </w:tc>
        <w:tc>
          <w:tcPr>
            <w:tcW w:w="1260"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0.01</w:t>
            </w:r>
          </w:p>
        </w:tc>
        <w:tc>
          <w:tcPr>
            <w:tcW w:w="1118"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0.072727</w:t>
            </w:r>
          </w:p>
        </w:tc>
      </w:tr>
      <w:tr w:rsidR="00E46CAB" w:rsidRPr="00634EB9" w:rsidTr="00581785">
        <w:trPr>
          <w:jc w:val="center"/>
        </w:trPr>
        <w:tc>
          <w:tcPr>
            <w:tcW w:w="3345" w:type="dxa"/>
            <w:shd w:val="clear" w:color="auto" w:fill="A6A6A6" w:themeFill="background1" w:themeFillShade="A6"/>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&gt;425</w:t>
            </w:r>
          </w:p>
        </w:tc>
        <w:tc>
          <w:tcPr>
            <w:tcW w:w="1260"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0.42</w:t>
            </w:r>
          </w:p>
        </w:tc>
        <w:tc>
          <w:tcPr>
            <w:tcW w:w="1170"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0.4</w:t>
            </w:r>
          </w:p>
        </w:tc>
        <w:tc>
          <w:tcPr>
            <w:tcW w:w="1260"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0.119048</w:t>
            </w:r>
          </w:p>
        </w:tc>
        <w:tc>
          <w:tcPr>
            <w:tcW w:w="1118" w:type="dxa"/>
            <w:vAlign w:val="center"/>
          </w:tcPr>
          <w:p w:rsidR="00E46CAB" w:rsidRPr="00634EB9" w:rsidRDefault="00E46CAB"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634EB9">
              <w:rPr>
                <w:rFonts w:asciiTheme="majorBidi" w:hAnsiTheme="majorBidi" w:cstheme="majorBidi"/>
                <w:noProof/>
              </w:rPr>
              <w:t>0.090909</w:t>
            </w:r>
          </w:p>
        </w:tc>
      </w:tr>
    </w:tbl>
    <w:p w:rsidR="00C2773E" w:rsidRPr="00634EB9" w:rsidRDefault="00C2773E" w:rsidP="00C2773E">
      <w:pPr>
        <w:spacing w:after="0" w:line="240" w:lineRule="auto"/>
        <w:jc w:val="center"/>
        <w:rPr>
          <w:rFonts w:asciiTheme="majorBidi" w:hAnsiTheme="majorBidi" w:cstheme="majorBidi"/>
          <w:noProof/>
          <w:sz w:val="24"/>
          <w:szCs w:val="24"/>
        </w:rPr>
      </w:pPr>
    </w:p>
    <w:p w:rsidR="00C2773E" w:rsidRPr="00634EB9" w:rsidRDefault="00C2773E" w:rsidP="00C2773E">
      <w:pPr>
        <w:spacing w:after="0" w:line="240" w:lineRule="auto"/>
        <w:jc w:val="center"/>
        <w:rPr>
          <w:rFonts w:asciiTheme="majorBidi" w:eastAsia="Times New Roman" w:hAnsiTheme="majorBidi" w:cstheme="majorBidi"/>
          <w:sz w:val="24"/>
          <w:szCs w:val="24"/>
        </w:rPr>
      </w:pPr>
      <w:r w:rsidRPr="00634EB9">
        <w:rPr>
          <w:rFonts w:asciiTheme="majorBidi" w:hAnsiTheme="majorBidi" w:cstheme="majorBidi"/>
          <w:noProof/>
          <w:sz w:val="24"/>
          <w:szCs w:val="24"/>
        </w:rPr>
        <w:t xml:space="preserve">(b) Conditional </w:t>
      </w:r>
      <w:r w:rsidRPr="00634EB9">
        <w:rPr>
          <w:rFonts w:asciiTheme="majorBidi" w:eastAsia="Times New Roman" w:hAnsiTheme="majorBidi" w:cstheme="majorBidi"/>
          <w:sz w:val="24"/>
          <w:szCs w:val="24"/>
        </w:rPr>
        <w:t>Probability Table</w:t>
      </w:r>
    </w:p>
    <w:p w:rsidR="00C2773E" w:rsidRPr="00634EB9" w:rsidRDefault="00C2773E" w:rsidP="00C2773E">
      <w:pPr>
        <w:spacing w:after="0" w:line="240" w:lineRule="auto"/>
        <w:jc w:val="center"/>
        <w:rPr>
          <w:rFonts w:asciiTheme="majorBidi" w:hAnsiTheme="majorBidi" w:cstheme="majorBidi"/>
          <w:noProof/>
          <w:sz w:val="24"/>
          <w:szCs w:val="24"/>
        </w:rPr>
      </w:pPr>
    </w:p>
    <w:p w:rsidR="003B7911" w:rsidRDefault="003B7911" w:rsidP="00C2773E">
      <w:pPr>
        <w:pStyle w:val="Caption"/>
        <w:spacing w:after="0"/>
        <w:jc w:val="center"/>
        <w:rPr>
          <w:rFonts w:asciiTheme="majorBidi" w:hAnsiTheme="majorBidi" w:cstheme="majorBidi"/>
          <w:color w:val="auto"/>
          <w:sz w:val="24"/>
          <w:szCs w:val="24"/>
        </w:rPr>
      </w:pPr>
      <w:r w:rsidRPr="00634EB9">
        <w:rPr>
          <w:rFonts w:asciiTheme="majorBidi" w:hAnsiTheme="majorBidi" w:cstheme="majorBidi"/>
          <w:color w:val="auto"/>
          <w:sz w:val="24"/>
          <w:szCs w:val="24"/>
        </w:rPr>
        <w:t xml:space="preserve">Figure </w:t>
      </w:r>
      <w:r w:rsidR="00C2773E" w:rsidRPr="00634EB9">
        <w:rPr>
          <w:rFonts w:asciiTheme="majorBidi" w:hAnsiTheme="majorBidi" w:cstheme="majorBidi"/>
          <w:color w:val="auto"/>
          <w:sz w:val="24"/>
          <w:szCs w:val="24"/>
        </w:rPr>
        <w:t>10</w:t>
      </w:r>
      <w:r w:rsidRPr="00634EB9">
        <w:rPr>
          <w:rFonts w:asciiTheme="majorBidi" w:hAnsiTheme="majorBidi" w:cstheme="majorBidi"/>
          <w:color w:val="auto"/>
          <w:sz w:val="24"/>
          <w:szCs w:val="24"/>
        </w:rPr>
        <w:t xml:space="preserve">. Tables for </w:t>
      </w:r>
      <w:r w:rsidR="00C2773E" w:rsidRPr="00634EB9">
        <w:rPr>
          <w:rFonts w:asciiTheme="majorBidi" w:hAnsiTheme="majorBidi" w:cstheme="majorBidi"/>
          <w:color w:val="auto"/>
          <w:sz w:val="24"/>
          <w:szCs w:val="24"/>
        </w:rPr>
        <w:t>Water Available</w:t>
      </w:r>
      <w:r w:rsidR="00971F12" w:rsidRPr="00634EB9">
        <w:rPr>
          <w:rFonts w:asciiTheme="majorBidi" w:hAnsiTheme="majorBidi" w:cstheme="majorBidi"/>
          <w:color w:val="auto"/>
          <w:sz w:val="24"/>
          <w:szCs w:val="24"/>
        </w:rPr>
        <w:t xml:space="preserve"> per Capita</w:t>
      </w:r>
    </w:p>
    <w:p w:rsidR="00A10F45" w:rsidRPr="00BE6FAA" w:rsidRDefault="00A10F45" w:rsidP="00BE6FAA"/>
    <w:p w:rsidR="003B7911" w:rsidRPr="00843CF1" w:rsidRDefault="003B7911" w:rsidP="003B7911">
      <w:pPr>
        <w:pStyle w:val="ListParagraph"/>
        <w:widowControl w:val="0"/>
        <w:numPr>
          <w:ilvl w:val="0"/>
          <w:numId w:val="4"/>
        </w:numPr>
        <w:tabs>
          <w:tab w:val="left" w:pos="-1022"/>
          <w:tab w:val="left" w:pos="-720"/>
          <w:tab w:val="left" w:pos="450"/>
          <w:tab w:val="left" w:pos="720"/>
          <w:tab w:val="left" w:pos="126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firstLine="0"/>
        <w:rPr>
          <w:rFonts w:ascii="Times New Roman" w:eastAsia="Times New Roman" w:hAnsi="Times New Roman" w:cs="Times New Roman"/>
          <w:b/>
          <w:sz w:val="24"/>
          <w:szCs w:val="24"/>
        </w:rPr>
      </w:pPr>
      <w:r w:rsidRPr="00843CF1">
        <w:rPr>
          <w:rFonts w:ascii="Times New Roman" w:eastAsia="Times New Roman" w:hAnsi="Times New Roman" w:cs="Times New Roman"/>
          <w:b/>
          <w:sz w:val="24"/>
          <w:szCs w:val="24"/>
        </w:rPr>
        <w:t>Water Withdrawal for Agriculture per Capita</w:t>
      </w:r>
    </w:p>
    <w:p w:rsidR="003B7911" w:rsidRDefault="003B7911" w:rsidP="00E97986">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31858">
        <w:rPr>
          <w:rFonts w:ascii="Times New Roman" w:eastAsia="Times New Roman" w:hAnsi="Times New Roman" w:cs="Times New Roman"/>
          <w:bCs/>
          <w:sz w:val="24"/>
          <w:szCs w:val="24"/>
        </w:rPr>
        <w:tab/>
      </w:r>
      <w:r w:rsidR="00383444">
        <w:rPr>
          <w:rFonts w:ascii="Times New Roman" w:eastAsia="Times New Roman" w:hAnsi="Times New Roman" w:cs="Times New Roman"/>
          <w:bCs/>
          <w:sz w:val="24"/>
          <w:szCs w:val="24"/>
        </w:rPr>
        <w:t>The water withdrawal for agriculture per capita</w:t>
      </w:r>
      <w:r>
        <w:rPr>
          <w:rFonts w:ascii="Times New Roman" w:eastAsia="Times New Roman" w:hAnsi="Times New Roman" w:cs="Times New Roman"/>
          <w:bCs/>
          <w:sz w:val="24"/>
          <w:szCs w:val="24"/>
        </w:rPr>
        <w:t xml:space="preserve"> node, linked above to the water available </w:t>
      </w:r>
      <w:r w:rsidR="00383444">
        <w:rPr>
          <w:rFonts w:ascii="Times New Roman" w:eastAsia="Times New Roman" w:hAnsi="Times New Roman" w:cs="Times New Roman"/>
          <w:bCs/>
          <w:sz w:val="24"/>
          <w:szCs w:val="24"/>
        </w:rPr>
        <w:t xml:space="preserve">per capita </w:t>
      </w:r>
      <w:r>
        <w:rPr>
          <w:rFonts w:ascii="Times New Roman" w:eastAsia="Times New Roman" w:hAnsi="Times New Roman" w:cs="Times New Roman"/>
          <w:bCs/>
          <w:sz w:val="24"/>
          <w:szCs w:val="24"/>
        </w:rPr>
        <w:t xml:space="preserve">node, connects to a child node of domestic </w:t>
      </w:r>
      <w:r w:rsidR="00383444">
        <w:rPr>
          <w:rFonts w:ascii="Times New Roman" w:eastAsia="Times New Roman" w:hAnsi="Times New Roman" w:cs="Times New Roman"/>
          <w:bCs/>
          <w:sz w:val="24"/>
          <w:szCs w:val="24"/>
        </w:rPr>
        <w:t>production of cereals per capita</w:t>
      </w:r>
      <w:r>
        <w:rPr>
          <w:rFonts w:ascii="Times New Roman" w:eastAsia="Times New Roman" w:hAnsi="Times New Roman" w:cs="Times New Roman"/>
          <w:bCs/>
          <w:sz w:val="24"/>
          <w:szCs w:val="24"/>
        </w:rPr>
        <w:t>. When the global population increases by about 3 billion people in the next 40 years, the food demand should also increase around 70% by 2050.</w:t>
      </w:r>
      <w:r w:rsidR="00A10F45">
        <w:rPr>
          <w:rStyle w:val="FootnoteReference"/>
          <w:rFonts w:ascii="Times New Roman" w:eastAsia="Times New Roman" w:hAnsi="Times New Roman" w:cs="Times New Roman"/>
          <w:bCs/>
          <w:sz w:val="24"/>
          <w:szCs w:val="24"/>
        </w:rPr>
        <w:footnoteReference w:id="30"/>
      </w:r>
      <w:r>
        <w:rPr>
          <w:rFonts w:ascii="Times New Roman" w:eastAsia="Times New Roman" w:hAnsi="Times New Roman" w:cs="Times New Roman"/>
          <w:bCs/>
          <w:sz w:val="24"/>
          <w:szCs w:val="24"/>
        </w:rPr>
        <w:t xml:space="preserve"> Since most of Oman’s domestic water consumption is devoted to domestic a</w:t>
      </w:r>
      <w:r w:rsidR="006E0B82">
        <w:rPr>
          <w:rFonts w:ascii="Times New Roman" w:eastAsia="Times New Roman" w:hAnsi="Times New Roman" w:cs="Times New Roman"/>
          <w:bCs/>
          <w:sz w:val="24"/>
          <w:szCs w:val="24"/>
        </w:rPr>
        <w:t>gricultural production, water withdrawal</w:t>
      </w:r>
      <w:r>
        <w:rPr>
          <w:rFonts w:ascii="Times New Roman" w:eastAsia="Times New Roman" w:hAnsi="Times New Roman" w:cs="Times New Roman"/>
          <w:bCs/>
          <w:sz w:val="24"/>
          <w:szCs w:val="24"/>
        </w:rPr>
        <w:t xml:space="preserve"> will become devoted to rising domestic agriculture demands in Oman and elsewhere.</w:t>
      </w:r>
      <w:r>
        <w:rPr>
          <w:rStyle w:val="FootnoteReference"/>
          <w:rFonts w:ascii="Times New Roman" w:eastAsia="Times New Roman" w:hAnsi="Times New Roman" w:cs="Times New Roman"/>
          <w:bCs/>
          <w:sz w:val="24"/>
          <w:szCs w:val="24"/>
        </w:rPr>
        <w:footnoteReference w:id="31"/>
      </w:r>
      <w:r>
        <w:rPr>
          <w:rFonts w:ascii="Times New Roman" w:eastAsia="Times New Roman" w:hAnsi="Times New Roman" w:cs="Times New Roman"/>
          <w:bCs/>
          <w:sz w:val="24"/>
          <w:szCs w:val="24"/>
        </w:rPr>
        <w:t xml:space="preserve"> </w:t>
      </w:r>
    </w:p>
    <w:p w:rsidR="003B7911" w:rsidRDefault="003B7911" w:rsidP="006C2B3B">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6E0B82">
        <w:rPr>
          <w:rFonts w:ascii="Times New Roman" w:eastAsia="Times New Roman" w:hAnsi="Times New Roman" w:cs="Times New Roman"/>
          <w:bCs/>
          <w:sz w:val="24"/>
          <w:szCs w:val="24"/>
        </w:rPr>
        <w:t>Water withdrawal for agriculture per capita</w:t>
      </w:r>
      <w:r>
        <w:rPr>
          <w:rFonts w:ascii="Times New Roman" w:eastAsia="Times New Roman" w:hAnsi="Times New Roman" w:cs="Times New Roman"/>
          <w:bCs/>
          <w:sz w:val="24"/>
          <w:szCs w:val="24"/>
        </w:rPr>
        <w:t xml:space="preserve">, </w:t>
      </w:r>
      <w:r w:rsidR="006E0B82">
        <w:rPr>
          <w:rFonts w:ascii="Times New Roman" w:eastAsia="Times New Roman" w:hAnsi="Times New Roman" w:cs="Times New Roman"/>
          <w:bCs/>
          <w:sz w:val="24"/>
          <w:szCs w:val="24"/>
        </w:rPr>
        <w:t xml:space="preserve">converted from </w:t>
      </w:r>
      <w:r>
        <w:rPr>
          <w:rFonts w:ascii="Times New Roman" w:eastAsia="Times New Roman" w:hAnsi="Times New Roman" w:cs="Times New Roman"/>
          <w:bCs/>
          <w:sz w:val="24"/>
          <w:szCs w:val="24"/>
        </w:rPr>
        <w:t>billion cubic meters per year</w:t>
      </w:r>
      <w:r w:rsidR="006E0B82">
        <w:rPr>
          <w:rFonts w:ascii="Times New Roman" w:eastAsia="Times New Roman" w:hAnsi="Times New Roman" w:cs="Times New Roman"/>
          <w:bCs/>
          <w:sz w:val="24"/>
          <w:szCs w:val="24"/>
        </w:rPr>
        <w:t xml:space="preserve"> to cubic meters per capita per year</w:t>
      </w:r>
      <w:r>
        <w:rPr>
          <w:rFonts w:ascii="Times New Roman" w:eastAsia="Times New Roman" w:hAnsi="Times New Roman" w:cs="Times New Roman"/>
          <w:bCs/>
          <w:sz w:val="24"/>
          <w:szCs w:val="24"/>
        </w:rPr>
        <w:t xml:space="preserve">, had </w:t>
      </w:r>
      <w:r w:rsidR="006E0B82">
        <w:rPr>
          <w:rFonts w:ascii="Times New Roman" w:eastAsia="Times New Roman" w:hAnsi="Times New Roman" w:cs="Times New Roman"/>
          <w:bCs/>
          <w:sz w:val="24"/>
          <w:szCs w:val="24"/>
        </w:rPr>
        <w:t>43</w:t>
      </w:r>
      <w:r w:rsidR="00EC692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data points for each of the four countries, Oman, the United Arab Emirates, Saudi Arabia, and Kuwait. The </w:t>
      </w:r>
      <w:r w:rsidR="006E0B82">
        <w:rPr>
          <w:rFonts w:ascii="Times New Roman" w:eastAsia="Times New Roman" w:hAnsi="Times New Roman" w:cs="Times New Roman"/>
          <w:bCs/>
          <w:sz w:val="24"/>
          <w:szCs w:val="24"/>
        </w:rPr>
        <w:t>172</w:t>
      </w:r>
      <w:r>
        <w:rPr>
          <w:rFonts w:ascii="Times New Roman" w:eastAsia="Times New Roman" w:hAnsi="Times New Roman" w:cs="Times New Roman"/>
          <w:bCs/>
          <w:sz w:val="24"/>
          <w:szCs w:val="24"/>
        </w:rPr>
        <w:t xml:space="preserve"> data points were found within the </w:t>
      </w:r>
      <w:r>
        <w:rPr>
          <w:rFonts w:ascii="Times New Roman" w:eastAsia="Times New Roman" w:hAnsi="Times New Roman" w:cs="Times New Roman"/>
          <w:bCs/>
          <w:sz w:val="24"/>
          <w:szCs w:val="24"/>
        </w:rPr>
        <w:lastRenderedPageBreak/>
        <w:t xml:space="preserve">FAO AquaStat </w:t>
      </w:r>
      <w:proofErr w:type="gramStart"/>
      <w:r>
        <w:rPr>
          <w:rFonts w:ascii="Times New Roman" w:eastAsia="Times New Roman" w:hAnsi="Times New Roman" w:cs="Times New Roman"/>
          <w:bCs/>
          <w:sz w:val="24"/>
          <w:szCs w:val="24"/>
        </w:rPr>
        <w:t>database,</w:t>
      </w:r>
      <w:proofErr w:type="gramEnd"/>
      <w:r>
        <w:rPr>
          <w:rFonts w:ascii="Times New Roman" w:eastAsia="Times New Roman" w:hAnsi="Times New Roman" w:cs="Times New Roman"/>
          <w:bCs/>
          <w:sz w:val="24"/>
          <w:szCs w:val="24"/>
        </w:rPr>
        <w:t xml:space="preserve"> and t</w:t>
      </w:r>
      <w:r w:rsidR="006E0B82">
        <w:rPr>
          <w:rFonts w:ascii="Times New Roman" w:eastAsia="Times New Roman" w:hAnsi="Times New Roman" w:cs="Times New Roman"/>
          <w:bCs/>
          <w:sz w:val="24"/>
          <w:szCs w:val="24"/>
        </w:rPr>
        <w:t>wo</w:t>
      </w:r>
      <w:r>
        <w:rPr>
          <w:rFonts w:ascii="Times New Roman" w:eastAsia="Times New Roman" w:hAnsi="Times New Roman" w:cs="Times New Roman"/>
          <w:bCs/>
          <w:sz w:val="24"/>
          <w:szCs w:val="24"/>
        </w:rPr>
        <w:t xml:space="preserve"> bins were subsequently generated.</w:t>
      </w:r>
      <w:r>
        <w:rPr>
          <w:rStyle w:val="FootnoteReference"/>
          <w:rFonts w:ascii="Times New Roman" w:eastAsia="Times New Roman" w:hAnsi="Times New Roman" w:cs="Times New Roman"/>
          <w:bCs/>
          <w:sz w:val="24"/>
          <w:szCs w:val="24"/>
        </w:rPr>
        <w:footnoteReference w:id="32"/>
      </w:r>
      <w:r>
        <w:rPr>
          <w:rFonts w:ascii="Times New Roman" w:eastAsia="Times New Roman" w:hAnsi="Times New Roman" w:cs="Times New Roman"/>
          <w:bCs/>
          <w:sz w:val="24"/>
          <w:szCs w:val="24"/>
        </w:rPr>
        <w:t xml:space="preserve"> The </w:t>
      </w:r>
      <w:r w:rsidR="00CF0F69">
        <w:rPr>
          <w:rFonts w:ascii="Times New Roman" w:eastAsia="Times New Roman" w:hAnsi="Times New Roman" w:cs="Times New Roman"/>
          <w:bCs/>
          <w:sz w:val="24"/>
          <w:szCs w:val="24"/>
        </w:rPr>
        <w:t xml:space="preserve">split point </w:t>
      </w:r>
      <w:r w:rsidR="006C2B3B">
        <w:rPr>
          <w:rFonts w:ascii="Times New Roman" w:eastAsia="Times New Roman" w:hAnsi="Times New Roman" w:cs="Times New Roman"/>
          <w:bCs/>
          <w:sz w:val="24"/>
          <w:szCs w:val="24"/>
        </w:rPr>
        <w:t xml:space="preserve">was </w:t>
      </w:r>
      <w:r w:rsidR="00CF0F69">
        <w:rPr>
          <w:rFonts w:ascii="Times New Roman" w:eastAsia="Times New Roman" w:hAnsi="Times New Roman" w:cs="Times New Roman"/>
          <w:bCs/>
          <w:sz w:val="24"/>
          <w:szCs w:val="24"/>
        </w:rPr>
        <w:t>682 c</w:t>
      </w:r>
      <w:r w:rsidR="00EC6921">
        <w:rPr>
          <w:rFonts w:ascii="Times New Roman" w:eastAsia="Times New Roman" w:hAnsi="Times New Roman" w:cs="Times New Roman"/>
          <w:bCs/>
          <w:sz w:val="24"/>
          <w:szCs w:val="24"/>
        </w:rPr>
        <w:t xml:space="preserve">ubic meters per capita per year; this study estimates this value as half of the average amount of water withdrawn for agriculture in </w:t>
      </w:r>
      <w:r w:rsidR="006C2B3B">
        <w:rPr>
          <w:rFonts w:ascii="Times New Roman" w:eastAsia="Times New Roman" w:hAnsi="Times New Roman" w:cs="Times New Roman"/>
          <w:bCs/>
          <w:sz w:val="24"/>
          <w:szCs w:val="24"/>
        </w:rPr>
        <w:t>each</w:t>
      </w:r>
      <w:r w:rsidR="00EC6921">
        <w:rPr>
          <w:rFonts w:ascii="Times New Roman" w:eastAsia="Times New Roman" w:hAnsi="Times New Roman" w:cs="Times New Roman"/>
          <w:bCs/>
          <w:sz w:val="24"/>
          <w:szCs w:val="24"/>
        </w:rPr>
        <w:t xml:space="preserve"> Middle East and North Africa </w:t>
      </w:r>
      <w:r w:rsidR="006C2B3B">
        <w:rPr>
          <w:rFonts w:ascii="Times New Roman" w:eastAsia="Times New Roman" w:hAnsi="Times New Roman" w:cs="Times New Roman"/>
          <w:bCs/>
          <w:sz w:val="24"/>
          <w:szCs w:val="24"/>
        </w:rPr>
        <w:t>country</w:t>
      </w:r>
      <w:r w:rsidR="00EC6921">
        <w:rPr>
          <w:rFonts w:ascii="Times New Roman" w:eastAsia="Times New Roman" w:hAnsi="Times New Roman" w:cs="Times New Roman"/>
          <w:bCs/>
          <w:sz w:val="24"/>
          <w:szCs w:val="24"/>
        </w:rPr>
        <w:t>, which average</w:t>
      </w:r>
      <w:r w:rsidR="006C2B3B">
        <w:rPr>
          <w:rFonts w:ascii="Times New Roman" w:eastAsia="Times New Roman" w:hAnsi="Times New Roman" w:cs="Times New Roman"/>
          <w:bCs/>
          <w:sz w:val="24"/>
          <w:szCs w:val="24"/>
        </w:rPr>
        <w:t xml:space="preserve"> a total </w:t>
      </w:r>
      <w:r w:rsidR="00EC6921">
        <w:rPr>
          <w:rFonts w:ascii="Times New Roman" w:eastAsia="Times New Roman" w:hAnsi="Times New Roman" w:cs="Times New Roman"/>
          <w:bCs/>
          <w:sz w:val="24"/>
          <w:szCs w:val="24"/>
        </w:rPr>
        <w:t>availability of 1,429 cubic meters per capita and var</w:t>
      </w:r>
      <w:r w:rsidR="006C2B3B">
        <w:rPr>
          <w:rFonts w:ascii="Times New Roman" w:eastAsia="Times New Roman" w:hAnsi="Times New Roman" w:cs="Times New Roman"/>
          <w:bCs/>
          <w:sz w:val="24"/>
          <w:szCs w:val="24"/>
        </w:rPr>
        <w:t xml:space="preserve">y in </w:t>
      </w:r>
      <w:r w:rsidR="00EC6921">
        <w:rPr>
          <w:rFonts w:ascii="Times New Roman" w:eastAsia="Times New Roman" w:hAnsi="Times New Roman" w:cs="Times New Roman"/>
          <w:bCs/>
          <w:sz w:val="24"/>
          <w:szCs w:val="24"/>
        </w:rPr>
        <w:t>withdrawal for agriculture.</w:t>
      </w:r>
      <w:r w:rsidR="00EC6921">
        <w:rPr>
          <w:rStyle w:val="FootnoteReference"/>
          <w:rFonts w:ascii="Times New Roman" w:eastAsia="Times New Roman" w:hAnsi="Times New Roman" w:cs="Times New Roman"/>
          <w:bCs/>
          <w:sz w:val="24"/>
          <w:szCs w:val="24"/>
        </w:rPr>
        <w:footnoteReference w:id="33"/>
      </w:r>
      <w:r w:rsidR="00EC6921">
        <w:rPr>
          <w:rFonts w:ascii="Times New Roman" w:eastAsia="Times New Roman" w:hAnsi="Times New Roman" w:cs="Times New Roman"/>
          <w:bCs/>
          <w:sz w:val="24"/>
          <w:szCs w:val="24"/>
        </w:rPr>
        <w:t xml:space="preserve"> Oman therefore uses </w:t>
      </w:r>
      <w:r w:rsidR="006C2B3B">
        <w:rPr>
          <w:rFonts w:ascii="Times New Roman" w:eastAsia="Times New Roman" w:hAnsi="Times New Roman" w:cs="Times New Roman"/>
          <w:bCs/>
          <w:sz w:val="24"/>
          <w:szCs w:val="24"/>
        </w:rPr>
        <w:t>nearly half as much</w:t>
      </w:r>
      <w:r w:rsidR="00EC6921">
        <w:rPr>
          <w:rFonts w:ascii="Times New Roman" w:eastAsia="Times New Roman" w:hAnsi="Times New Roman" w:cs="Times New Roman"/>
          <w:bCs/>
          <w:sz w:val="24"/>
          <w:szCs w:val="24"/>
        </w:rPr>
        <w:t xml:space="preserve"> water for agriculture than </w:t>
      </w:r>
      <w:r w:rsidR="006C2B3B">
        <w:rPr>
          <w:rFonts w:ascii="Times New Roman" w:eastAsia="Times New Roman" w:hAnsi="Times New Roman" w:cs="Times New Roman"/>
          <w:bCs/>
          <w:sz w:val="24"/>
          <w:szCs w:val="24"/>
        </w:rPr>
        <w:t xml:space="preserve">most </w:t>
      </w:r>
      <w:r w:rsidR="00EC6921">
        <w:rPr>
          <w:rFonts w:ascii="Times New Roman" w:eastAsia="Times New Roman" w:hAnsi="Times New Roman" w:cs="Times New Roman"/>
          <w:bCs/>
          <w:sz w:val="24"/>
          <w:szCs w:val="24"/>
        </w:rPr>
        <w:t>other MENA states.</w:t>
      </w:r>
    </w:p>
    <w:p w:rsidR="003B7911" w:rsidRPr="00BD2AB2" w:rsidRDefault="003B7911" w:rsidP="006127B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The table</w:t>
      </w:r>
      <w:r w:rsidR="006C2B3B">
        <w:rPr>
          <w:rFonts w:ascii="Times New Roman" w:eastAsia="Times New Roman" w:hAnsi="Times New Roman" w:cs="Times New Roman"/>
          <w:bCs/>
          <w:sz w:val="24"/>
          <w:szCs w:val="24"/>
        </w:rPr>
        <w:t xml:space="preserve"> </w:t>
      </w:r>
      <w:r w:rsidRPr="00BD2AB2">
        <w:rPr>
          <w:rFonts w:ascii="Times New Roman" w:eastAsia="Times New Roman" w:hAnsi="Times New Roman" w:cs="Times New Roman"/>
          <w:bCs/>
          <w:sz w:val="24"/>
          <w:szCs w:val="24"/>
        </w:rPr>
        <w:t xml:space="preserve">in Figure </w:t>
      </w:r>
      <w:r w:rsidR="006127B4" w:rsidRPr="00BD2AB2">
        <w:rPr>
          <w:rFonts w:ascii="Times New Roman" w:eastAsia="Times New Roman" w:hAnsi="Times New Roman" w:cs="Times New Roman"/>
          <w:bCs/>
          <w:sz w:val="24"/>
          <w:szCs w:val="24"/>
        </w:rPr>
        <w:t>11</w:t>
      </w:r>
      <w:r w:rsidR="006C2B3B" w:rsidRPr="00BD2AB2">
        <w:rPr>
          <w:rFonts w:ascii="Times New Roman" w:eastAsia="Times New Roman" w:hAnsi="Times New Roman" w:cs="Times New Roman"/>
          <w:bCs/>
          <w:sz w:val="24"/>
          <w:szCs w:val="24"/>
        </w:rPr>
        <w:t>a re</w:t>
      </w:r>
      <w:r w:rsidRPr="00BD2AB2">
        <w:rPr>
          <w:rFonts w:ascii="Times New Roman" w:eastAsia="Times New Roman" w:hAnsi="Times New Roman" w:cs="Times New Roman"/>
          <w:bCs/>
          <w:sz w:val="24"/>
          <w:szCs w:val="24"/>
        </w:rPr>
        <w:t>present</w:t>
      </w:r>
      <w:r w:rsidR="006C2B3B" w:rsidRPr="00BD2AB2">
        <w:rPr>
          <w:rFonts w:ascii="Times New Roman" w:eastAsia="Times New Roman" w:hAnsi="Times New Roman" w:cs="Times New Roman"/>
          <w:bCs/>
          <w:sz w:val="24"/>
          <w:szCs w:val="24"/>
        </w:rPr>
        <w:t>s</w:t>
      </w:r>
      <w:r w:rsidRPr="00BD2AB2">
        <w:rPr>
          <w:rFonts w:ascii="Times New Roman" w:eastAsia="Times New Roman" w:hAnsi="Times New Roman" w:cs="Times New Roman"/>
          <w:bCs/>
          <w:sz w:val="24"/>
          <w:szCs w:val="24"/>
        </w:rPr>
        <w:t xml:space="preserve"> the distribution of the variable’s data points within its own bins</w:t>
      </w:r>
      <w:r w:rsidR="006C2B3B" w:rsidRPr="00BD2AB2">
        <w:rPr>
          <w:rFonts w:ascii="Times New Roman" w:eastAsia="Times New Roman" w:hAnsi="Times New Roman" w:cs="Times New Roman"/>
          <w:bCs/>
          <w:sz w:val="24"/>
          <w:szCs w:val="24"/>
        </w:rPr>
        <w:t>,</w:t>
      </w:r>
      <w:r w:rsidRPr="00BD2AB2">
        <w:rPr>
          <w:rFonts w:ascii="Times New Roman" w:eastAsia="Times New Roman" w:hAnsi="Times New Roman" w:cs="Times New Roman"/>
          <w:bCs/>
          <w:sz w:val="24"/>
          <w:szCs w:val="24"/>
        </w:rPr>
        <w:t xml:space="preserve"> and the conditional probabilities</w:t>
      </w:r>
      <w:r w:rsidR="006C2B3B" w:rsidRPr="00BD2AB2">
        <w:rPr>
          <w:rFonts w:ascii="Times New Roman" w:eastAsia="Times New Roman" w:hAnsi="Times New Roman" w:cs="Times New Roman"/>
          <w:bCs/>
          <w:sz w:val="24"/>
          <w:szCs w:val="24"/>
        </w:rPr>
        <w:t xml:space="preserve"> in Figure </w:t>
      </w:r>
      <w:r w:rsidR="006127B4" w:rsidRPr="00BD2AB2">
        <w:rPr>
          <w:rFonts w:ascii="Times New Roman" w:eastAsia="Times New Roman" w:hAnsi="Times New Roman" w:cs="Times New Roman"/>
          <w:bCs/>
          <w:sz w:val="24"/>
          <w:szCs w:val="24"/>
        </w:rPr>
        <w:t>1</w:t>
      </w:r>
      <w:r w:rsidR="006C2B3B" w:rsidRPr="00BD2AB2">
        <w:rPr>
          <w:rFonts w:ascii="Times New Roman" w:eastAsia="Times New Roman" w:hAnsi="Times New Roman" w:cs="Times New Roman"/>
          <w:bCs/>
          <w:sz w:val="24"/>
          <w:szCs w:val="24"/>
        </w:rPr>
        <w:t>1b demonstrate</w:t>
      </w:r>
      <w:r w:rsidRPr="00BD2AB2">
        <w:rPr>
          <w:rFonts w:ascii="Times New Roman" w:eastAsia="Times New Roman" w:hAnsi="Times New Roman" w:cs="Times New Roman"/>
          <w:bCs/>
          <w:sz w:val="24"/>
          <w:szCs w:val="24"/>
        </w:rPr>
        <w:t xml:space="preserve"> the causal relationship between </w:t>
      </w:r>
      <w:r w:rsidR="00CF0F69" w:rsidRPr="00BD2AB2">
        <w:rPr>
          <w:rFonts w:ascii="Times New Roman" w:eastAsia="Times New Roman" w:hAnsi="Times New Roman" w:cs="Times New Roman"/>
          <w:bCs/>
          <w:sz w:val="24"/>
          <w:szCs w:val="24"/>
        </w:rPr>
        <w:t>water available per capita</w:t>
      </w:r>
      <w:r w:rsidRPr="00BD2AB2">
        <w:rPr>
          <w:rFonts w:ascii="Times New Roman" w:eastAsia="Times New Roman" w:hAnsi="Times New Roman" w:cs="Times New Roman"/>
          <w:bCs/>
          <w:sz w:val="24"/>
          <w:szCs w:val="24"/>
        </w:rPr>
        <w:t xml:space="preserve"> and </w:t>
      </w:r>
      <w:r w:rsidR="00CF0F69" w:rsidRPr="00BD2AB2">
        <w:rPr>
          <w:rFonts w:ascii="Times New Roman" w:eastAsia="Times New Roman" w:hAnsi="Times New Roman" w:cs="Times New Roman"/>
          <w:bCs/>
          <w:sz w:val="24"/>
          <w:szCs w:val="24"/>
        </w:rPr>
        <w:t>water withdrawal for agriculture per capita</w:t>
      </w:r>
      <w:r w:rsidRPr="00BD2AB2">
        <w:rPr>
          <w:rFonts w:ascii="Times New Roman" w:eastAsia="Times New Roman" w:hAnsi="Times New Roman" w:cs="Times New Roman"/>
          <w:bCs/>
          <w:sz w:val="24"/>
          <w:szCs w:val="24"/>
        </w:rPr>
        <w:t>.</w:t>
      </w:r>
    </w:p>
    <w:p w:rsidR="006E0B82" w:rsidRPr="00BD2AB2" w:rsidRDefault="006127B4" w:rsidP="006E0B82">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rFonts w:ascii="Times New Roman" w:eastAsia="Times New Roman" w:hAnsi="Times New Roman" w:cs="Times New Roman"/>
          <w:bCs/>
          <w:sz w:val="24"/>
          <w:szCs w:val="24"/>
        </w:rPr>
      </w:pPr>
      <w:r w:rsidRPr="00BD2AB2">
        <w:rPr>
          <w:noProof/>
        </w:rPr>
        <w:drawing>
          <wp:inline distT="0" distB="0" distL="0" distR="0" wp14:anchorId="1487C432" wp14:editId="377E6784">
            <wp:extent cx="2976564" cy="1152524"/>
            <wp:effectExtent l="0" t="0" r="1460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27B4" w:rsidRPr="00BD2AB2" w:rsidRDefault="006127B4" w:rsidP="006127B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r w:rsidRPr="00BD2AB2">
        <w:rPr>
          <w:rFonts w:asciiTheme="majorBidi" w:hAnsiTheme="majorBidi" w:cstheme="majorBidi"/>
          <w:noProof/>
          <w:sz w:val="24"/>
          <w:szCs w:val="24"/>
        </w:rPr>
        <w:t>(a) Simple Probability Table</w:t>
      </w:r>
    </w:p>
    <w:p w:rsidR="006127B4" w:rsidRPr="00BD2AB2" w:rsidRDefault="006127B4" w:rsidP="006127B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p>
    <w:tbl>
      <w:tblPr>
        <w:tblStyle w:val="TableGrid"/>
        <w:tblW w:w="0" w:type="auto"/>
        <w:jc w:val="center"/>
        <w:tblLayout w:type="fixed"/>
        <w:tblLook w:val="04A0" w:firstRow="1" w:lastRow="0" w:firstColumn="1" w:lastColumn="0" w:noHBand="0" w:noVBand="1"/>
      </w:tblPr>
      <w:tblGrid>
        <w:gridCol w:w="4248"/>
        <w:gridCol w:w="1620"/>
        <w:gridCol w:w="1620"/>
        <w:gridCol w:w="1620"/>
      </w:tblGrid>
      <w:tr w:rsidR="008B74E2" w:rsidRPr="00BD2AB2" w:rsidTr="003B3ECA">
        <w:trPr>
          <w:jc w:val="center"/>
        </w:trPr>
        <w:tc>
          <w:tcPr>
            <w:tcW w:w="9108" w:type="dxa"/>
            <w:gridSpan w:val="4"/>
            <w:shd w:val="clear" w:color="auto" w:fill="A6A6A6" w:themeFill="background1" w:themeFillShade="A6"/>
          </w:tcPr>
          <w:p w:rsidR="008B74E2" w:rsidRPr="00BD2AB2" w:rsidRDefault="008B74E2" w:rsidP="00581785">
            <w:pPr>
              <w:jc w:val="center"/>
              <w:rPr>
                <w:rFonts w:ascii="Times New Roman" w:eastAsia="Times New Roman" w:hAnsi="Times New Roman" w:cs="Times New Roman"/>
                <w:b/>
                <w:bCs/>
                <w:sz w:val="24"/>
                <w:szCs w:val="24"/>
              </w:rPr>
            </w:pPr>
            <w:r w:rsidRPr="00BD2AB2">
              <w:rPr>
                <w:rFonts w:ascii="Times New Roman" w:eastAsia="Times New Roman" w:hAnsi="Times New Roman" w:cs="Times New Roman"/>
                <w:b/>
                <w:bCs/>
                <w:sz w:val="24"/>
                <w:szCs w:val="24"/>
              </w:rPr>
              <w:t>Water Withdrawal for Agriculture per Capita (Cubic Meters per Capita per Year)</w:t>
            </w:r>
          </w:p>
        </w:tc>
      </w:tr>
      <w:tr w:rsidR="008B74E2" w:rsidRPr="00BD2AB2" w:rsidTr="003B3ECA">
        <w:trPr>
          <w:jc w:val="center"/>
        </w:trPr>
        <w:tc>
          <w:tcPr>
            <w:tcW w:w="4248" w:type="dxa"/>
            <w:shd w:val="clear" w:color="auto" w:fill="D9D9D9" w:themeFill="background1" w:themeFillShade="D9"/>
          </w:tcPr>
          <w:p w:rsidR="008B74E2" w:rsidRPr="00BD2AB2" w:rsidRDefault="008B74E2" w:rsidP="00581785">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Water Available per Capita</w:t>
            </w:r>
          </w:p>
        </w:tc>
        <w:tc>
          <w:tcPr>
            <w:tcW w:w="1620" w:type="dxa"/>
            <w:shd w:val="clear" w:color="auto" w:fill="D9D9D9" w:themeFill="background1" w:themeFillShade="D9"/>
          </w:tcPr>
          <w:p w:rsidR="008B74E2" w:rsidRPr="00BD2AB2" w:rsidRDefault="008B74E2" w:rsidP="008B74E2">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&lt;212</w:t>
            </w:r>
          </w:p>
        </w:tc>
        <w:tc>
          <w:tcPr>
            <w:tcW w:w="1620" w:type="dxa"/>
            <w:shd w:val="clear" w:color="auto" w:fill="D9D9D9" w:themeFill="background1" w:themeFillShade="D9"/>
          </w:tcPr>
          <w:p w:rsidR="008B74E2" w:rsidRPr="00BD2AB2" w:rsidRDefault="008B74E2" w:rsidP="008B74E2">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(212, 425)</w:t>
            </w:r>
          </w:p>
        </w:tc>
        <w:tc>
          <w:tcPr>
            <w:tcW w:w="1620" w:type="dxa"/>
            <w:shd w:val="clear" w:color="auto" w:fill="D9D9D9" w:themeFill="background1" w:themeFillShade="D9"/>
          </w:tcPr>
          <w:p w:rsidR="008B74E2" w:rsidRPr="00BD2AB2" w:rsidRDefault="008B74E2" w:rsidP="008B74E2">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&gt;</w:t>
            </w:r>
            <w:r w:rsidR="003B3ECA" w:rsidRPr="00BD2AB2">
              <w:rPr>
                <w:rFonts w:ascii="Times New Roman" w:eastAsia="Times New Roman" w:hAnsi="Times New Roman" w:cs="Times New Roman"/>
                <w:sz w:val="24"/>
                <w:szCs w:val="24"/>
              </w:rPr>
              <w:t>42</w:t>
            </w:r>
            <w:r w:rsidRPr="00BD2AB2">
              <w:rPr>
                <w:rFonts w:ascii="Times New Roman" w:eastAsia="Times New Roman" w:hAnsi="Times New Roman" w:cs="Times New Roman"/>
                <w:sz w:val="24"/>
                <w:szCs w:val="24"/>
              </w:rPr>
              <w:t>5</w:t>
            </w:r>
          </w:p>
        </w:tc>
      </w:tr>
      <w:tr w:rsidR="008B74E2" w:rsidRPr="00BD2AB2" w:rsidTr="003B3ECA">
        <w:trPr>
          <w:jc w:val="center"/>
        </w:trPr>
        <w:tc>
          <w:tcPr>
            <w:tcW w:w="4248" w:type="dxa"/>
            <w:shd w:val="clear" w:color="auto" w:fill="A6A6A6" w:themeFill="background1" w:themeFillShade="A6"/>
          </w:tcPr>
          <w:p w:rsidR="008B74E2" w:rsidRPr="00BD2AB2" w:rsidRDefault="008B74E2" w:rsidP="008B74E2">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&lt;682</w:t>
            </w:r>
          </w:p>
        </w:tc>
        <w:tc>
          <w:tcPr>
            <w:tcW w:w="1620" w:type="dxa"/>
          </w:tcPr>
          <w:p w:rsidR="008B74E2" w:rsidRPr="00BD2AB2" w:rsidRDefault="008B74E2" w:rsidP="00581785">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0.539823</w:t>
            </w:r>
          </w:p>
        </w:tc>
        <w:tc>
          <w:tcPr>
            <w:tcW w:w="1620" w:type="dxa"/>
          </w:tcPr>
          <w:p w:rsidR="008B74E2" w:rsidRPr="00BD2AB2" w:rsidRDefault="008B74E2" w:rsidP="00581785">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0.277778</w:t>
            </w:r>
          </w:p>
        </w:tc>
        <w:tc>
          <w:tcPr>
            <w:tcW w:w="1620" w:type="dxa"/>
          </w:tcPr>
          <w:p w:rsidR="008B74E2" w:rsidRPr="00BD2AB2" w:rsidRDefault="008B74E2" w:rsidP="00581785">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0.536585</w:t>
            </w:r>
          </w:p>
        </w:tc>
      </w:tr>
      <w:tr w:rsidR="008B74E2" w:rsidRPr="00BD2AB2" w:rsidTr="003B3ECA">
        <w:trPr>
          <w:jc w:val="center"/>
        </w:trPr>
        <w:tc>
          <w:tcPr>
            <w:tcW w:w="4248" w:type="dxa"/>
            <w:shd w:val="clear" w:color="auto" w:fill="A6A6A6" w:themeFill="background1" w:themeFillShade="A6"/>
          </w:tcPr>
          <w:p w:rsidR="008B74E2" w:rsidRPr="00BD2AB2" w:rsidRDefault="008B74E2" w:rsidP="00581785">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&gt;682</w:t>
            </w:r>
          </w:p>
        </w:tc>
        <w:tc>
          <w:tcPr>
            <w:tcW w:w="1620" w:type="dxa"/>
          </w:tcPr>
          <w:p w:rsidR="008B74E2" w:rsidRPr="00BD2AB2" w:rsidRDefault="008B74E2" w:rsidP="00581785">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0.460177</w:t>
            </w:r>
          </w:p>
        </w:tc>
        <w:tc>
          <w:tcPr>
            <w:tcW w:w="1620" w:type="dxa"/>
          </w:tcPr>
          <w:p w:rsidR="008B74E2" w:rsidRPr="00BD2AB2" w:rsidRDefault="008B74E2" w:rsidP="00581785">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0.722222</w:t>
            </w:r>
          </w:p>
        </w:tc>
        <w:tc>
          <w:tcPr>
            <w:tcW w:w="1620" w:type="dxa"/>
          </w:tcPr>
          <w:p w:rsidR="008B74E2" w:rsidRPr="00BD2AB2" w:rsidRDefault="008B74E2" w:rsidP="00581785">
            <w:pPr>
              <w:jc w:val="center"/>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0.463415</w:t>
            </w:r>
          </w:p>
        </w:tc>
      </w:tr>
    </w:tbl>
    <w:p w:rsidR="008B74E2" w:rsidRPr="00BD2AB2" w:rsidRDefault="008B74E2"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360"/>
        <w:jc w:val="center"/>
        <w:rPr>
          <w:rFonts w:ascii="Times New Roman" w:eastAsia="Times New Roman" w:hAnsi="Times New Roman" w:cs="Times New Roman"/>
          <w:b/>
          <w:sz w:val="24"/>
          <w:szCs w:val="24"/>
        </w:rPr>
      </w:pPr>
    </w:p>
    <w:p w:rsidR="006127B4" w:rsidRPr="00BD2AB2" w:rsidRDefault="006127B4" w:rsidP="006127B4">
      <w:pPr>
        <w:spacing w:after="0" w:line="240" w:lineRule="auto"/>
        <w:jc w:val="center"/>
        <w:rPr>
          <w:rFonts w:asciiTheme="majorBidi" w:eastAsia="Times New Roman" w:hAnsiTheme="majorBidi" w:cstheme="majorBidi"/>
          <w:sz w:val="24"/>
          <w:szCs w:val="24"/>
        </w:rPr>
      </w:pPr>
      <w:r w:rsidRPr="00BD2AB2">
        <w:rPr>
          <w:rFonts w:asciiTheme="majorBidi" w:hAnsiTheme="majorBidi" w:cstheme="majorBidi"/>
          <w:noProof/>
          <w:sz w:val="24"/>
          <w:szCs w:val="24"/>
        </w:rPr>
        <w:t xml:space="preserve">(b) Conditional </w:t>
      </w:r>
      <w:r w:rsidRPr="00BD2AB2">
        <w:rPr>
          <w:rFonts w:asciiTheme="majorBidi" w:eastAsia="Times New Roman" w:hAnsiTheme="majorBidi" w:cstheme="majorBidi"/>
          <w:sz w:val="24"/>
          <w:szCs w:val="24"/>
        </w:rPr>
        <w:t>Probability Table</w:t>
      </w:r>
    </w:p>
    <w:p w:rsidR="006127B4" w:rsidRPr="00BD2AB2" w:rsidRDefault="006127B4"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360"/>
        <w:jc w:val="center"/>
        <w:rPr>
          <w:rFonts w:ascii="Times New Roman" w:eastAsia="Times New Roman" w:hAnsi="Times New Roman" w:cs="Times New Roman"/>
          <w:b/>
          <w:sz w:val="24"/>
          <w:szCs w:val="24"/>
        </w:rPr>
      </w:pPr>
    </w:p>
    <w:p w:rsidR="00BE6FAA" w:rsidRDefault="003B7911" w:rsidP="006127B4">
      <w:pPr>
        <w:pStyle w:val="Caption"/>
        <w:spacing w:after="0"/>
        <w:jc w:val="center"/>
      </w:pPr>
      <w:proofErr w:type="gramStart"/>
      <w:r w:rsidRPr="00BD2AB2">
        <w:rPr>
          <w:rFonts w:asciiTheme="majorBidi" w:hAnsiTheme="majorBidi" w:cstheme="majorBidi"/>
          <w:color w:val="auto"/>
          <w:sz w:val="24"/>
          <w:szCs w:val="24"/>
        </w:rPr>
        <w:t xml:space="preserve">Figure </w:t>
      </w:r>
      <w:r w:rsidRPr="00BD2AB2">
        <w:rPr>
          <w:rFonts w:asciiTheme="majorBidi" w:hAnsiTheme="majorBidi" w:cstheme="majorBidi"/>
          <w:color w:val="auto"/>
          <w:sz w:val="24"/>
          <w:szCs w:val="24"/>
        </w:rPr>
        <w:fldChar w:fldCharType="begin"/>
      </w:r>
      <w:r w:rsidRPr="00BD2AB2">
        <w:rPr>
          <w:rFonts w:asciiTheme="majorBidi" w:hAnsiTheme="majorBidi" w:cstheme="majorBidi"/>
          <w:color w:val="auto"/>
          <w:sz w:val="24"/>
          <w:szCs w:val="24"/>
        </w:rPr>
        <w:instrText xml:space="preserve"> SEQ Figure \* ARABIC </w:instrText>
      </w:r>
      <w:r w:rsidRPr="00BD2AB2">
        <w:rPr>
          <w:rFonts w:asciiTheme="majorBidi" w:hAnsiTheme="majorBidi" w:cstheme="majorBidi"/>
          <w:color w:val="auto"/>
          <w:sz w:val="24"/>
          <w:szCs w:val="24"/>
        </w:rPr>
        <w:fldChar w:fldCharType="separate"/>
      </w:r>
      <w:r w:rsidR="0068685A" w:rsidRPr="00BD2AB2">
        <w:rPr>
          <w:rFonts w:asciiTheme="majorBidi" w:hAnsiTheme="majorBidi" w:cstheme="majorBidi"/>
          <w:noProof/>
          <w:color w:val="auto"/>
          <w:sz w:val="24"/>
          <w:szCs w:val="24"/>
        </w:rPr>
        <w:t>1</w:t>
      </w:r>
      <w:r w:rsidR="006127B4" w:rsidRPr="00BD2AB2">
        <w:rPr>
          <w:rFonts w:asciiTheme="majorBidi" w:hAnsiTheme="majorBidi" w:cstheme="majorBidi"/>
          <w:noProof/>
          <w:color w:val="auto"/>
          <w:sz w:val="24"/>
          <w:szCs w:val="24"/>
        </w:rPr>
        <w:t>1</w:t>
      </w:r>
      <w:r w:rsidRPr="00BD2AB2">
        <w:rPr>
          <w:rFonts w:asciiTheme="majorBidi" w:hAnsiTheme="majorBidi" w:cstheme="majorBidi"/>
          <w:color w:val="auto"/>
          <w:sz w:val="24"/>
          <w:szCs w:val="24"/>
        </w:rPr>
        <w:fldChar w:fldCharType="end"/>
      </w:r>
      <w:r w:rsidRPr="00BD2AB2">
        <w:rPr>
          <w:rFonts w:asciiTheme="majorBidi" w:hAnsiTheme="majorBidi" w:cstheme="majorBidi"/>
          <w:color w:val="auto"/>
          <w:sz w:val="24"/>
          <w:szCs w:val="24"/>
        </w:rPr>
        <w:t>.</w:t>
      </w:r>
      <w:proofErr w:type="gramEnd"/>
      <w:r w:rsidRPr="00BD2AB2">
        <w:rPr>
          <w:rFonts w:asciiTheme="majorBidi" w:hAnsiTheme="majorBidi" w:cstheme="majorBidi"/>
          <w:color w:val="auto"/>
          <w:sz w:val="24"/>
          <w:szCs w:val="24"/>
        </w:rPr>
        <w:t xml:space="preserve"> </w:t>
      </w:r>
      <w:r w:rsidR="006127B4" w:rsidRPr="00BD2AB2">
        <w:rPr>
          <w:rFonts w:asciiTheme="majorBidi" w:hAnsiTheme="majorBidi" w:cstheme="majorBidi"/>
          <w:color w:val="auto"/>
          <w:sz w:val="24"/>
          <w:szCs w:val="24"/>
        </w:rPr>
        <w:t>Tables for</w:t>
      </w:r>
      <w:r w:rsidRPr="00BD2AB2">
        <w:rPr>
          <w:rFonts w:asciiTheme="majorBidi" w:hAnsiTheme="majorBidi" w:cstheme="majorBidi"/>
          <w:color w:val="auto"/>
          <w:sz w:val="24"/>
          <w:szCs w:val="24"/>
        </w:rPr>
        <w:t xml:space="preserve"> </w:t>
      </w:r>
      <w:r w:rsidR="006127B4" w:rsidRPr="00BD2AB2">
        <w:rPr>
          <w:rFonts w:asciiTheme="majorBidi" w:hAnsiTheme="majorBidi" w:cstheme="majorBidi"/>
          <w:color w:val="auto"/>
          <w:sz w:val="24"/>
          <w:szCs w:val="24"/>
        </w:rPr>
        <w:t>Water Withdrawal</w:t>
      </w:r>
      <w:r w:rsidR="006127B4">
        <w:rPr>
          <w:rFonts w:asciiTheme="majorBidi" w:hAnsiTheme="majorBidi" w:cstheme="majorBidi"/>
          <w:color w:val="auto"/>
          <w:sz w:val="24"/>
          <w:szCs w:val="24"/>
        </w:rPr>
        <w:t xml:space="preserve"> for Agriculture per Capita</w:t>
      </w:r>
    </w:p>
    <w:p w:rsidR="00BE6FAA" w:rsidRPr="00BE6FAA" w:rsidRDefault="00BE6FAA" w:rsidP="00BE6FAA"/>
    <w:p w:rsidR="003B7911" w:rsidRDefault="003B7911" w:rsidP="003B7911">
      <w:pPr>
        <w:pStyle w:val="ListParagraph"/>
        <w:widowControl w:val="0"/>
        <w:numPr>
          <w:ilvl w:val="0"/>
          <w:numId w:val="4"/>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Domestic Production of Cereals per Capita </w:t>
      </w:r>
    </w:p>
    <w:p w:rsidR="003B7911" w:rsidRDefault="003B7911" w:rsidP="00531858">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 xml:space="preserve">Connected above with </w:t>
      </w:r>
      <w:r w:rsidR="00531858">
        <w:rPr>
          <w:rFonts w:ascii="Times New Roman" w:eastAsia="Times New Roman" w:hAnsi="Times New Roman" w:cs="Times New Roman"/>
          <w:bCs/>
          <w:sz w:val="24"/>
          <w:szCs w:val="24"/>
        </w:rPr>
        <w:t>water withdrawal for agriculture per capita</w:t>
      </w:r>
      <w:r>
        <w:rPr>
          <w:rFonts w:ascii="Times New Roman" w:eastAsia="Times New Roman" w:hAnsi="Times New Roman" w:cs="Times New Roman"/>
          <w:bCs/>
          <w:sz w:val="24"/>
          <w:szCs w:val="24"/>
        </w:rPr>
        <w:t xml:space="preserve"> and below with </w:t>
      </w:r>
      <w:r w:rsidR="00531858">
        <w:rPr>
          <w:rFonts w:ascii="Times New Roman" w:eastAsia="Times New Roman" w:hAnsi="Times New Roman" w:cs="Times New Roman"/>
          <w:bCs/>
          <w:sz w:val="24"/>
          <w:szCs w:val="24"/>
        </w:rPr>
        <w:t>annual food supply per capita</w:t>
      </w:r>
      <w:r>
        <w:rPr>
          <w:rFonts w:ascii="Times New Roman" w:eastAsia="Times New Roman" w:hAnsi="Times New Roman" w:cs="Times New Roman"/>
          <w:bCs/>
          <w:sz w:val="24"/>
          <w:szCs w:val="24"/>
        </w:rPr>
        <w:t>, the domestic production</w:t>
      </w:r>
      <w:r w:rsidR="00531858">
        <w:rPr>
          <w:rFonts w:ascii="Times New Roman" w:eastAsia="Times New Roman" w:hAnsi="Times New Roman" w:cs="Times New Roman"/>
          <w:bCs/>
          <w:sz w:val="24"/>
          <w:szCs w:val="24"/>
        </w:rPr>
        <w:t xml:space="preserve"> of cereals per capita</w:t>
      </w:r>
      <w:r>
        <w:rPr>
          <w:rFonts w:ascii="Times New Roman" w:eastAsia="Times New Roman" w:hAnsi="Times New Roman" w:cs="Times New Roman"/>
          <w:bCs/>
          <w:sz w:val="24"/>
          <w:szCs w:val="24"/>
        </w:rPr>
        <w:t xml:space="preserve"> node demonstrates causality with Oman’s food supply. Although Oman imports 80% of its food products, the nation </w:t>
      </w:r>
      <w:r>
        <w:rPr>
          <w:rFonts w:ascii="Times New Roman" w:eastAsia="Times New Roman" w:hAnsi="Times New Roman" w:cs="Times New Roman"/>
          <w:bCs/>
          <w:sz w:val="24"/>
          <w:szCs w:val="24"/>
        </w:rPr>
        <w:lastRenderedPageBreak/>
        <w:t>domestically produces the remainder of its food supply.</w:t>
      </w:r>
      <w:r>
        <w:rPr>
          <w:rStyle w:val="FootnoteReference"/>
          <w:rFonts w:ascii="Times New Roman" w:eastAsia="Times New Roman" w:hAnsi="Times New Roman" w:cs="Times New Roman"/>
          <w:bCs/>
          <w:sz w:val="24"/>
          <w:szCs w:val="24"/>
        </w:rPr>
        <w:footnoteReference w:id="34"/>
      </w:r>
      <w:r>
        <w:rPr>
          <w:rFonts w:ascii="Times New Roman" w:eastAsia="Times New Roman" w:hAnsi="Times New Roman" w:cs="Times New Roman"/>
          <w:bCs/>
          <w:sz w:val="24"/>
          <w:szCs w:val="24"/>
        </w:rPr>
        <w:t xml:space="preserve"> Subsequently, domestic production does affect the amount of food and</w:t>
      </w:r>
      <w:r w:rsidR="00531858">
        <w:rPr>
          <w:rFonts w:ascii="Times New Roman" w:eastAsia="Times New Roman" w:hAnsi="Times New Roman" w:cs="Times New Roman"/>
          <w:bCs/>
          <w:sz w:val="24"/>
          <w:szCs w:val="24"/>
        </w:rPr>
        <w:t>, therefore,</w:t>
      </w:r>
      <w:r>
        <w:rPr>
          <w:rFonts w:ascii="Times New Roman" w:eastAsia="Times New Roman" w:hAnsi="Times New Roman" w:cs="Times New Roman"/>
          <w:bCs/>
          <w:sz w:val="24"/>
          <w:szCs w:val="24"/>
        </w:rPr>
        <w:t xml:space="preserve"> calories available to Omanis.</w:t>
      </w:r>
    </w:p>
    <w:p w:rsidR="003B7911" w:rsidRPr="00052508" w:rsidRDefault="003B7911" w:rsidP="00AF5BE1">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Domestic </w:t>
      </w:r>
      <w:r w:rsidR="00722D57">
        <w:rPr>
          <w:rFonts w:ascii="Times New Roman" w:eastAsia="Times New Roman" w:hAnsi="Times New Roman" w:cs="Times New Roman"/>
          <w:bCs/>
          <w:sz w:val="24"/>
          <w:szCs w:val="24"/>
        </w:rPr>
        <w:t>production of cereals per capita</w:t>
      </w:r>
      <w:r>
        <w:rPr>
          <w:rFonts w:ascii="Times New Roman" w:eastAsia="Times New Roman" w:hAnsi="Times New Roman" w:cs="Times New Roman"/>
          <w:bCs/>
          <w:sz w:val="24"/>
          <w:szCs w:val="24"/>
        </w:rPr>
        <w:t xml:space="preserve"> was measured through data on the production of cereals, listed by FAOSTAT</w:t>
      </w:r>
      <w:r w:rsidR="00722D57">
        <w:rPr>
          <w:rFonts w:ascii="Times New Roman" w:eastAsia="Times New Roman" w:hAnsi="Times New Roman" w:cs="Times New Roman"/>
          <w:bCs/>
          <w:sz w:val="24"/>
          <w:szCs w:val="24"/>
        </w:rPr>
        <w:t xml:space="preserve"> in tons and then converted to tons per capita</w:t>
      </w:r>
      <w:r>
        <w:rPr>
          <w:rFonts w:ascii="Times New Roman" w:eastAsia="Times New Roman" w:hAnsi="Times New Roman" w:cs="Times New Roman"/>
          <w:bCs/>
          <w:sz w:val="24"/>
          <w:szCs w:val="24"/>
        </w:rPr>
        <w:t>.</w:t>
      </w:r>
      <w:r>
        <w:rPr>
          <w:rStyle w:val="FootnoteReference"/>
          <w:rFonts w:ascii="Times New Roman" w:eastAsia="Times New Roman" w:hAnsi="Times New Roman" w:cs="Times New Roman"/>
          <w:bCs/>
          <w:sz w:val="24"/>
          <w:szCs w:val="24"/>
        </w:rPr>
        <w:footnoteReference w:id="35"/>
      </w:r>
      <w:r>
        <w:rPr>
          <w:rFonts w:ascii="Times New Roman" w:eastAsia="Times New Roman" w:hAnsi="Times New Roman" w:cs="Times New Roman"/>
          <w:bCs/>
          <w:sz w:val="24"/>
          <w:szCs w:val="24"/>
        </w:rPr>
        <w:t xml:space="preserve"> The focus on cereals proved appropriate because cereals provide the greatest number of calories to Omanis.</w:t>
      </w:r>
      <w:r w:rsidR="00161072">
        <w:rPr>
          <w:rStyle w:val="FootnoteReference"/>
          <w:rFonts w:ascii="Times New Roman" w:eastAsia="Times New Roman" w:hAnsi="Times New Roman" w:cs="Times New Roman"/>
          <w:bCs/>
          <w:sz w:val="24"/>
          <w:szCs w:val="24"/>
        </w:rPr>
        <w:footnoteReference w:id="36"/>
      </w:r>
      <w:r>
        <w:rPr>
          <w:rFonts w:ascii="Times New Roman" w:eastAsia="Times New Roman" w:hAnsi="Times New Roman" w:cs="Times New Roman"/>
          <w:bCs/>
          <w:sz w:val="24"/>
          <w:szCs w:val="24"/>
        </w:rPr>
        <w:t xml:space="preserve"> Accordi</w:t>
      </w:r>
      <w:r w:rsidR="00722D57">
        <w:rPr>
          <w:rFonts w:ascii="Times New Roman" w:eastAsia="Times New Roman" w:hAnsi="Times New Roman" w:cs="Times New Roman"/>
          <w:bCs/>
          <w:sz w:val="24"/>
          <w:szCs w:val="24"/>
        </w:rPr>
        <w:t>ngly, the data spanned from 1970 to 2012, or 43</w:t>
      </w:r>
      <w:r>
        <w:rPr>
          <w:rFonts w:ascii="Times New Roman" w:eastAsia="Times New Roman" w:hAnsi="Times New Roman" w:cs="Times New Roman"/>
          <w:bCs/>
          <w:sz w:val="24"/>
          <w:szCs w:val="24"/>
        </w:rPr>
        <w:t xml:space="preserve"> years, for Oman, the United Arab Emirates, Saudi Arabia, and Kuwait. </w:t>
      </w:r>
      <w:r w:rsidR="00722D57">
        <w:rPr>
          <w:rFonts w:ascii="Times New Roman" w:eastAsia="Times New Roman" w:hAnsi="Times New Roman" w:cs="Times New Roman"/>
          <w:bCs/>
          <w:sz w:val="24"/>
          <w:szCs w:val="24"/>
        </w:rPr>
        <w:t>0.0045</w:t>
      </w:r>
      <w:r>
        <w:rPr>
          <w:rFonts w:ascii="Times New Roman" w:eastAsia="Times New Roman" w:hAnsi="Times New Roman" w:cs="Times New Roman"/>
          <w:bCs/>
          <w:sz w:val="24"/>
          <w:szCs w:val="24"/>
        </w:rPr>
        <w:t xml:space="preserve"> tons</w:t>
      </w:r>
      <w:r w:rsidR="00AF5BE1">
        <w:rPr>
          <w:rFonts w:ascii="Times New Roman" w:eastAsia="Times New Roman" w:hAnsi="Times New Roman" w:cs="Times New Roman"/>
          <w:bCs/>
          <w:sz w:val="24"/>
          <w:szCs w:val="24"/>
        </w:rPr>
        <w:t>, or 450 kilograms,</w:t>
      </w:r>
      <w:r w:rsidR="00722D57">
        <w:rPr>
          <w:rFonts w:ascii="Times New Roman" w:eastAsia="Times New Roman" w:hAnsi="Times New Roman" w:cs="Times New Roman"/>
          <w:bCs/>
          <w:sz w:val="24"/>
          <w:szCs w:val="24"/>
        </w:rPr>
        <w:t xml:space="preserve"> per capita</w:t>
      </w:r>
      <w:r>
        <w:rPr>
          <w:rFonts w:ascii="Times New Roman" w:eastAsia="Times New Roman" w:hAnsi="Times New Roman" w:cs="Times New Roman"/>
          <w:bCs/>
          <w:sz w:val="24"/>
          <w:szCs w:val="24"/>
        </w:rPr>
        <w:t xml:space="preserve"> acted as the split point between </w:t>
      </w:r>
      <w:r w:rsidR="00722D57">
        <w:rPr>
          <w:rFonts w:ascii="Times New Roman" w:eastAsia="Times New Roman" w:hAnsi="Times New Roman" w:cs="Times New Roman"/>
          <w:bCs/>
          <w:sz w:val="24"/>
          <w:szCs w:val="24"/>
        </w:rPr>
        <w:t xml:space="preserve">two bins, </w:t>
      </w:r>
      <w:r w:rsidR="00AF5BE1">
        <w:rPr>
          <w:rFonts w:ascii="Times New Roman" w:eastAsia="Times New Roman" w:hAnsi="Times New Roman" w:cs="Times New Roman"/>
          <w:bCs/>
          <w:sz w:val="24"/>
          <w:szCs w:val="24"/>
        </w:rPr>
        <w:t>and</w:t>
      </w:r>
      <w:r w:rsidR="001661A4">
        <w:rPr>
          <w:rFonts w:ascii="Times New Roman" w:eastAsia="Times New Roman" w:hAnsi="Times New Roman" w:cs="Times New Roman"/>
          <w:bCs/>
          <w:sz w:val="24"/>
          <w:szCs w:val="24"/>
        </w:rPr>
        <w:t xml:space="preserve"> the Food and Agriculture Organization notes </w:t>
      </w:r>
      <w:r w:rsidR="00AF5BE1">
        <w:rPr>
          <w:rFonts w:ascii="Times New Roman" w:eastAsia="Times New Roman" w:hAnsi="Times New Roman" w:cs="Times New Roman"/>
          <w:bCs/>
          <w:sz w:val="24"/>
          <w:szCs w:val="24"/>
        </w:rPr>
        <w:t xml:space="preserve">this value as the average </w:t>
      </w:r>
      <w:r w:rsidR="001661A4">
        <w:rPr>
          <w:rFonts w:ascii="Times New Roman" w:eastAsia="Times New Roman" w:hAnsi="Times New Roman" w:cs="Times New Roman"/>
          <w:bCs/>
          <w:sz w:val="24"/>
          <w:szCs w:val="24"/>
        </w:rPr>
        <w:t xml:space="preserve">per capita food production in the poorest regions of the world; this 450 kilograms per capita per  year is </w:t>
      </w:r>
      <w:r w:rsidR="001661A4" w:rsidRPr="00052508">
        <w:rPr>
          <w:rFonts w:ascii="Times New Roman" w:eastAsia="Times New Roman" w:hAnsi="Times New Roman" w:cs="Times New Roman"/>
          <w:bCs/>
          <w:sz w:val="24"/>
          <w:szCs w:val="24"/>
        </w:rPr>
        <w:t xml:space="preserve">doubled </w:t>
      </w:r>
      <w:r w:rsidR="00AF5BE1" w:rsidRPr="00052508">
        <w:rPr>
          <w:rFonts w:ascii="Times New Roman" w:eastAsia="Times New Roman" w:hAnsi="Times New Roman" w:cs="Times New Roman"/>
          <w:bCs/>
          <w:sz w:val="24"/>
          <w:szCs w:val="24"/>
        </w:rPr>
        <w:t>to</w:t>
      </w:r>
      <w:r w:rsidR="001661A4" w:rsidRPr="00052508">
        <w:rPr>
          <w:rFonts w:ascii="Times New Roman" w:eastAsia="Times New Roman" w:hAnsi="Times New Roman" w:cs="Times New Roman"/>
          <w:bCs/>
          <w:sz w:val="24"/>
          <w:szCs w:val="24"/>
        </w:rPr>
        <w:t xml:space="preserve"> 900 kilograms per capita per year for rich countries.</w:t>
      </w:r>
      <w:r w:rsidR="001661A4" w:rsidRPr="00052508">
        <w:rPr>
          <w:rStyle w:val="FootnoteReference"/>
          <w:rFonts w:ascii="Times New Roman" w:eastAsia="Times New Roman" w:hAnsi="Times New Roman" w:cs="Times New Roman"/>
          <w:bCs/>
          <w:sz w:val="24"/>
          <w:szCs w:val="24"/>
        </w:rPr>
        <w:footnoteReference w:id="37"/>
      </w:r>
    </w:p>
    <w:p w:rsidR="003B7911" w:rsidRDefault="003B7911" w:rsidP="00161072">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sidRPr="00052508">
        <w:rPr>
          <w:rFonts w:ascii="Times New Roman" w:eastAsia="Times New Roman" w:hAnsi="Times New Roman" w:cs="Times New Roman"/>
          <w:bCs/>
          <w:sz w:val="24"/>
          <w:szCs w:val="24"/>
        </w:rPr>
        <w:tab/>
      </w:r>
      <w:r w:rsidRPr="00052508">
        <w:rPr>
          <w:rFonts w:ascii="Times New Roman" w:eastAsia="Times New Roman" w:hAnsi="Times New Roman" w:cs="Times New Roman"/>
          <w:bCs/>
          <w:sz w:val="24"/>
          <w:szCs w:val="24"/>
        </w:rPr>
        <w:tab/>
        <w:t xml:space="preserve">The tables below in Figure </w:t>
      </w:r>
      <w:r w:rsidR="00161072" w:rsidRPr="00052508">
        <w:rPr>
          <w:rFonts w:ascii="Times New Roman" w:eastAsia="Times New Roman" w:hAnsi="Times New Roman" w:cs="Times New Roman"/>
          <w:bCs/>
          <w:sz w:val="24"/>
          <w:szCs w:val="24"/>
        </w:rPr>
        <w:t>1</w:t>
      </w:r>
      <w:r w:rsidRPr="00052508">
        <w:rPr>
          <w:rFonts w:ascii="Times New Roman" w:eastAsia="Times New Roman" w:hAnsi="Times New Roman" w:cs="Times New Roman"/>
          <w:bCs/>
          <w:sz w:val="24"/>
          <w:szCs w:val="24"/>
        </w:rPr>
        <w:t>2 demonstrate the typically low domestic agriculture within Oman (</w:t>
      </w:r>
      <w:r w:rsidR="00161072" w:rsidRPr="00052508">
        <w:rPr>
          <w:rFonts w:ascii="Times New Roman" w:eastAsia="Times New Roman" w:hAnsi="Times New Roman" w:cs="Times New Roman"/>
          <w:bCs/>
          <w:sz w:val="24"/>
          <w:szCs w:val="24"/>
        </w:rPr>
        <w:t xml:space="preserve">with </w:t>
      </w:r>
      <w:r w:rsidRPr="00052508">
        <w:rPr>
          <w:rFonts w:ascii="Times New Roman" w:eastAsia="Times New Roman" w:hAnsi="Times New Roman" w:cs="Times New Roman"/>
          <w:bCs/>
          <w:sz w:val="24"/>
          <w:szCs w:val="24"/>
        </w:rPr>
        <w:t>6</w:t>
      </w:r>
      <w:r w:rsidR="00161072" w:rsidRPr="00052508">
        <w:rPr>
          <w:rFonts w:ascii="Times New Roman" w:eastAsia="Times New Roman" w:hAnsi="Times New Roman" w:cs="Times New Roman"/>
          <w:bCs/>
          <w:sz w:val="24"/>
          <w:szCs w:val="24"/>
        </w:rPr>
        <w:t>0.01</w:t>
      </w:r>
      <w:r w:rsidRPr="00052508">
        <w:rPr>
          <w:rFonts w:ascii="Times New Roman" w:eastAsia="Times New Roman" w:hAnsi="Times New Roman" w:cs="Times New Roman"/>
          <w:bCs/>
          <w:sz w:val="24"/>
          <w:szCs w:val="24"/>
        </w:rPr>
        <w:t xml:space="preserve">% </w:t>
      </w:r>
      <w:r w:rsidR="00161072" w:rsidRPr="00052508">
        <w:rPr>
          <w:rFonts w:ascii="Times New Roman" w:eastAsia="Times New Roman" w:hAnsi="Times New Roman" w:cs="Times New Roman"/>
          <w:bCs/>
          <w:sz w:val="24"/>
          <w:szCs w:val="24"/>
        </w:rPr>
        <w:t xml:space="preserve">of the data points </w:t>
      </w:r>
      <w:r w:rsidRPr="00052508">
        <w:rPr>
          <w:rFonts w:ascii="Times New Roman" w:eastAsia="Times New Roman" w:hAnsi="Times New Roman" w:cs="Times New Roman"/>
          <w:bCs/>
          <w:sz w:val="24"/>
          <w:szCs w:val="24"/>
        </w:rPr>
        <w:t xml:space="preserve">below </w:t>
      </w:r>
      <w:r w:rsidR="00161072" w:rsidRPr="00052508">
        <w:rPr>
          <w:rFonts w:ascii="Times New Roman" w:eastAsia="Times New Roman" w:hAnsi="Times New Roman" w:cs="Times New Roman"/>
          <w:bCs/>
          <w:sz w:val="24"/>
          <w:szCs w:val="24"/>
        </w:rPr>
        <w:t>0.0045</w:t>
      </w:r>
      <w:r w:rsidRPr="00052508">
        <w:rPr>
          <w:rFonts w:ascii="Times New Roman" w:eastAsia="Times New Roman" w:hAnsi="Times New Roman" w:cs="Times New Roman"/>
          <w:bCs/>
          <w:sz w:val="24"/>
          <w:szCs w:val="24"/>
        </w:rPr>
        <w:t xml:space="preserve"> tons</w:t>
      </w:r>
      <w:r w:rsidR="00161072" w:rsidRPr="00052508">
        <w:rPr>
          <w:rFonts w:ascii="Times New Roman" w:eastAsia="Times New Roman" w:hAnsi="Times New Roman" w:cs="Times New Roman"/>
          <w:bCs/>
          <w:sz w:val="24"/>
          <w:szCs w:val="24"/>
        </w:rPr>
        <w:t xml:space="preserve"> per capita</w:t>
      </w:r>
      <w:r w:rsidRPr="00052508">
        <w:rPr>
          <w:rFonts w:ascii="Times New Roman" w:eastAsia="Times New Roman" w:hAnsi="Times New Roman" w:cs="Times New Roman"/>
          <w:bCs/>
          <w:sz w:val="24"/>
          <w:szCs w:val="24"/>
        </w:rPr>
        <w:t>), and the conditional probability table</w:t>
      </w:r>
      <w:r w:rsidR="00161072" w:rsidRPr="00052508">
        <w:rPr>
          <w:rFonts w:ascii="Times New Roman" w:eastAsia="Times New Roman" w:hAnsi="Times New Roman" w:cs="Times New Roman"/>
          <w:bCs/>
          <w:sz w:val="24"/>
          <w:szCs w:val="24"/>
        </w:rPr>
        <w:t xml:space="preserve"> relates</w:t>
      </w:r>
      <w:r w:rsidRPr="00052508">
        <w:rPr>
          <w:rFonts w:ascii="Times New Roman" w:eastAsia="Times New Roman" w:hAnsi="Times New Roman" w:cs="Times New Roman"/>
          <w:bCs/>
          <w:sz w:val="24"/>
          <w:szCs w:val="24"/>
        </w:rPr>
        <w:t xml:space="preserve"> </w:t>
      </w:r>
      <w:r w:rsidR="00161072" w:rsidRPr="00052508">
        <w:rPr>
          <w:rFonts w:ascii="Times New Roman" w:eastAsia="Times New Roman" w:hAnsi="Times New Roman" w:cs="Times New Roman"/>
          <w:bCs/>
          <w:sz w:val="24"/>
          <w:szCs w:val="24"/>
        </w:rPr>
        <w:t>water withdrawal for agriculture per capita</w:t>
      </w:r>
      <w:r w:rsidRPr="00052508">
        <w:rPr>
          <w:rFonts w:ascii="Times New Roman" w:eastAsia="Times New Roman" w:hAnsi="Times New Roman" w:cs="Times New Roman"/>
          <w:bCs/>
          <w:sz w:val="24"/>
          <w:szCs w:val="24"/>
        </w:rPr>
        <w:t xml:space="preserve"> to domestic </w:t>
      </w:r>
      <w:r w:rsidR="00161072" w:rsidRPr="00052508">
        <w:rPr>
          <w:rFonts w:ascii="Times New Roman" w:eastAsia="Times New Roman" w:hAnsi="Times New Roman" w:cs="Times New Roman"/>
          <w:bCs/>
          <w:sz w:val="24"/>
          <w:szCs w:val="24"/>
        </w:rPr>
        <w:t>production of cereals per capita.</w:t>
      </w:r>
    </w:p>
    <w:p w:rsidR="00052508" w:rsidRDefault="00052508" w:rsidP="00161072">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052508" w:rsidRDefault="00052508" w:rsidP="00161072">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052508" w:rsidRDefault="00052508" w:rsidP="00161072">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052508" w:rsidRDefault="00052508" w:rsidP="00161072">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052508" w:rsidRPr="00052508" w:rsidRDefault="00052508" w:rsidP="00161072">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3B3ECA" w:rsidRPr="00052508" w:rsidRDefault="00161072" w:rsidP="003B3EC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rFonts w:ascii="Times New Roman" w:eastAsia="Times New Roman" w:hAnsi="Times New Roman" w:cs="Times New Roman"/>
          <w:bCs/>
          <w:sz w:val="24"/>
          <w:szCs w:val="24"/>
        </w:rPr>
      </w:pPr>
      <w:r w:rsidRPr="00052508">
        <w:rPr>
          <w:noProof/>
        </w:rPr>
        <w:lastRenderedPageBreak/>
        <w:drawing>
          <wp:inline distT="0" distB="0" distL="0" distR="0" wp14:anchorId="6BDE8A02" wp14:editId="53615B12">
            <wp:extent cx="2976564" cy="1152524"/>
            <wp:effectExtent l="0" t="0" r="14605" b="101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61072" w:rsidRPr="00052508" w:rsidRDefault="00161072" w:rsidP="00161072">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r w:rsidRPr="00052508">
        <w:rPr>
          <w:rFonts w:asciiTheme="majorBidi" w:hAnsiTheme="majorBidi" w:cstheme="majorBidi"/>
          <w:noProof/>
          <w:sz w:val="24"/>
          <w:szCs w:val="24"/>
        </w:rPr>
        <w:t>(a) Simple Probability Table</w:t>
      </w:r>
    </w:p>
    <w:p w:rsidR="00161072" w:rsidRPr="00052508" w:rsidRDefault="00161072" w:rsidP="00161072">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p>
    <w:tbl>
      <w:tblPr>
        <w:tblStyle w:val="TableGrid"/>
        <w:tblW w:w="0" w:type="auto"/>
        <w:jc w:val="center"/>
        <w:tblLayout w:type="fixed"/>
        <w:tblLook w:val="04A0" w:firstRow="1" w:lastRow="0" w:firstColumn="1" w:lastColumn="0" w:noHBand="0" w:noVBand="1"/>
      </w:tblPr>
      <w:tblGrid>
        <w:gridCol w:w="4698"/>
        <w:gridCol w:w="1665"/>
        <w:gridCol w:w="1683"/>
      </w:tblGrid>
      <w:tr w:rsidR="003B3ECA" w:rsidRPr="00052508" w:rsidTr="003B3ECA">
        <w:trPr>
          <w:jc w:val="center"/>
        </w:trPr>
        <w:tc>
          <w:tcPr>
            <w:tcW w:w="8046" w:type="dxa"/>
            <w:gridSpan w:val="3"/>
            <w:shd w:val="clear" w:color="auto" w:fill="A6A6A6" w:themeFill="background1" w:themeFillShade="A6"/>
          </w:tcPr>
          <w:p w:rsidR="003B3ECA" w:rsidRPr="00052508" w:rsidRDefault="003B3ECA" w:rsidP="003B3ECA">
            <w:pPr>
              <w:jc w:val="center"/>
              <w:rPr>
                <w:rFonts w:ascii="Times New Roman" w:eastAsia="Times New Roman" w:hAnsi="Times New Roman" w:cs="Times New Roman"/>
                <w:b/>
                <w:bCs/>
                <w:sz w:val="24"/>
                <w:szCs w:val="24"/>
              </w:rPr>
            </w:pPr>
            <w:r w:rsidRPr="00052508">
              <w:rPr>
                <w:rFonts w:ascii="Times New Roman" w:eastAsia="Times New Roman" w:hAnsi="Times New Roman" w:cs="Times New Roman"/>
                <w:b/>
                <w:bCs/>
                <w:sz w:val="24"/>
                <w:szCs w:val="24"/>
              </w:rPr>
              <w:t>Domestic Production of Cereals per Capita (Tons per Capita per Year)</w:t>
            </w:r>
          </w:p>
        </w:tc>
      </w:tr>
      <w:tr w:rsidR="003B3ECA" w:rsidRPr="00052508" w:rsidTr="003B3ECA">
        <w:trPr>
          <w:trHeight w:val="143"/>
          <w:jc w:val="center"/>
        </w:trPr>
        <w:tc>
          <w:tcPr>
            <w:tcW w:w="4698" w:type="dxa"/>
            <w:shd w:val="clear" w:color="auto" w:fill="D9D9D9" w:themeFill="background1" w:themeFillShade="D9"/>
          </w:tcPr>
          <w:p w:rsidR="003B3ECA" w:rsidRPr="00052508" w:rsidRDefault="003B3ECA" w:rsidP="003B3ECA">
            <w:pPr>
              <w:jc w:val="center"/>
              <w:rPr>
                <w:rFonts w:ascii="Times New Roman" w:eastAsia="Times New Roman" w:hAnsi="Times New Roman" w:cs="Times New Roman"/>
                <w:sz w:val="24"/>
                <w:szCs w:val="24"/>
              </w:rPr>
            </w:pPr>
            <w:r w:rsidRPr="00052508">
              <w:rPr>
                <w:rFonts w:ascii="Times New Roman" w:eastAsia="Times New Roman" w:hAnsi="Times New Roman" w:cs="Times New Roman"/>
                <w:sz w:val="24"/>
                <w:szCs w:val="24"/>
              </w:rPr>
              <w:t>Water Withdrawal for Agriculture per Capita</w:t>
            </w:r>
          </w:p>
        </w:tc>
        <w:tc>
          <w:tcPr>
            <w:tcW w:w="1665" w:type="dxa"/>
            <w:shd w:val="clear" w:color="auto" w:fill="D9D9D9" w:themeFill="background1" w:themeFillShade="D9"/>
          </w:tcPr>
          <w:p w:rsidR="003B3ECA" w:rsidRPr="00052508" w:rsidRDefault="003B3ECA" w:rsidP="003B3ECA">
            <w:pPr>
              <w:jc w:val="center"/>
              <w:rPr>
                <w:rFonts w:ascii="Times New Roman" w:eastAsia="Times New Roman" w:hAnsi="Times New Roman" w:cs="Times New Roman"/>
                <w:sz w:val="24"/>
                <w:szCs w:val="24"/>
              </w:rPr>
            </w:pPr>
            <w:r w:rsidRPr="00052508">
              <w:rPr>
                <w:rFonts w:ascii="Times New Roman" w:eastAsia="Times New Roman" w:hAnsi="Times New Roman" w:cs="Times New Roman"/>
                <w:sz w:val="24"/>
                <w:szCs w:val="24"/>
              </w:rPr>
              <w:t>&lt;682</w:t>
            </w:r>
          </w:p>
        </w:tc>
        <w:tc>
          <w:tcPr>
            <w:tcW w:w="1683" w:type="dxa"/>
            <w:shd w:val="clear" w:color="auto" w:fill="D9D9D9" w:themeFill="background1" w:themeFillShade="D9"/>
          </w:tcPr>
          <w:p w:rsidR="003B3ECA" w:rsidRPr="00052508" w:rsidRDefault="003B3ECA" w:rsidP="00581785">
            <w:pPr>
              <w:jc w:val="center"/>
              <w:rPr>
                <w:rFonts w:ascii="Times New Roman" w:eastAsia="Times New Roman" w:hAnsi="Times New Roman" w:cs="Times New Roman"/>
                <w:sz w:val="24"/>
                <w:szCs w:val="24"/>
              </w:rPr>
            </w:pPr>
            <w:r w:rsidRPr="00052508">
              <w:rPr>
                <w:rFonts w:ascii="Times New Roman" w:eastAsia="Times New Roman" w:hAnsi="Times New Roman" w:cs="Times New Roman"/>
                <w:sz w:val="24"/>
                <w:szCs w:val="24"/>
              </w:rPr>
              <w:t>&gt;682</w:t>
            </w:r>
          </w:p>
        </w:tc>
      </w:tr>
      <w:tr w:rsidR="003B3ECA" w:rsidRPr="00052508" w:rsidTr="003B3ECA">
        <w:trPr>
          <w:jc w:val="center"/>
        </w:trPr>
        <w:tc>
          <w:tcPr>
            <w:tcW w:w="4698" w:type="dxa"/>
            <w:shd w:val="clear" w:color="auto" w:fill="A6A6A6" w:themeFill="background1" w:themeFillShade="A6"/>
          </w:tcPr>
          <w:p w:rsidR="003B3ECA" w:rsidRPr="00052508" w:rsidRDefault="003B3ECA" w:rsidP="003B3ECA">
            <w:pPr>
              <w:jc w:val="center"/>
              <w:rPr>
                <w:rFonts w:ascii="Times New Roman" w:eastAsia="Times New Roman" w:hAnsi="Times New Roman" w:cs="Times New Roman"/>
                <w:sz w:val="24"/>
                <w:szCs w:val="24"/>
              </w:rPr>
            </w:pPr>
            <w:r w:rsidRPr="00052508">
              <w:rPr>
                <w:rFonts w:ascii="Times New Roman" w:eastAsia="Times New Roman" w:hAnsi="Times New Roman" w:cs="Times New Roman"/>
                <w:sz w:val="24"/>
                <w:szCs w:val="24"/>
              </w:rPr>
              <w:t>&lt;0.0045</w:t>
            </w:r>
          </w:p>
        </w:tc>
        <w:tc>
          <w:tcPr>
            <w:tcW w:w="1665" w:type="dxa"/>
          </w:tcPr>
          <w:p w:rsidR="003B3ECA" w:rsidRPr="00052508" w:rsidRDefault="003B3ECA" w:rsidP="003B3ECA">
            <w:pPr>
              <w:jc w:val="center"/>
              <w:rPr>
                <w:rFonts w:ascii="Times New Roman" w:eastAsia="Times New Roman" w:hAnsi="Times New Roman" w:cs="Times New Roman"/>
                <w:sz w:val="24"/>
                <w:szCs w:val="24"/>
              </w:rPr>
            </w:pPr>
            <w:r w:rsidRPr="00052508">
              <w:rPr>
                <w:rFonts w:ascii="Times New Roman" w:eastAsia="Times New Roman" w:hAnsi="Times New Roman" w:cs="Times New Roman"/>
                <w:sz w:val="24"/>
                <w:szCs w:val="24"/>
              </w:rPr>
              <w:t>0.295455</w:t>
            </w:r>
          </w:p>
        </w:tc>
        <w:tc>
          <w:tcPr>
            <w:tcW w:w="1683" w:type="dxa"/>
          </w:tcPr>
          <w:p w:rsidR="003B3ECA" w:rsidRPr="00052508" w:rsidRDefault="003B3ECA" w:rsidP="00581785">
            <w:pPr>
              <w:jc w:val="center"/>
              <w:rPr>
                <w:rFonts w:ascii="Times New Roman" w:eastAsia="Times New Roman" w:hAnsi="Times New Roman" w:cs="Times New Roman"/>
                <w:sz w:val="24"/>
                <w:szCs w:val="24"/>
              </w:rPr>
            </w:pPr>
            <w:r w:rsidRPr="00052508">
              <w:rPr>
                <w:rFonts w:ascii="Times New Roman" w:eastAsia="Times New Roman" w:hAnsi="Times New Roman" w:cs="Times New Roman"/>
                <w:sz w:val="24"/>
                <w:szCs w:val="24"/>
              </w:rPr>
              <w:t>0.928571</w:t>
            </w:r>
          </w:p>
        </w:tc>
      </w:tr>
      <w:tr w:rsidR="003B3ECA" w:rsidRPr="00052508" w:rsidTr="003B3ECA">
        <w:trPr>
          <w:jc w:val="center"/>
        </w:trPr>
        <w:tc>
          <w:tcPr>
            <w:tcW w:w="4698" w:type="dxa"/>
            <w:shd w:val="clear" w:color="auto" w:fill="A6A6A6" w:themeFill="background1" w:themeFillShade="A6"/>
          </w:tcPr>
          <w:p w:rsidR="003B3ECA" w:rsidRPr="00052508" w:rsidRDefault="003B3ECA" w:rsidP="00581785">
            <w:pPr>
              <w:jc w:val="center"/>
              <w:rPr>
                <w:rFonts w:ascii="Times New Roman" w:eastAsia="Times New Roman" w:hAnsi="Times New Roman" w:cs="Times New Roman"/>
                <w:sz w:val="24"/>
                <w:szCs w:val="24"/>
              </w:rPr>
            </w:pPr>
            <w:r w:rsidRPr="00052508">
              <w:rPr>
                <w:rFonts w:ascii="Times New Roman" w:eastAsia="Times New Roman" w:hAnsi="Times New Roman" w:cs="Times New Roman"/>
                <w:sz w:val="24"/>
                <w:szCs w:val="24"/>
              </w:rPr>
              <w:t>&gt;0.0045</w:t>
            </w:r>
          </w:p>
        </w:tc>
        <w:tc>
          <w:tcPr>
            <w:tcW w:w="1665" w:type="dxa"/>
          </w:tcPr>
          <w:p w:rsidR="003B3ECA" w:rsidRPr="00052508" w:rsidRDefault="003B3ECA" w:rsidP="00581785">
            <w:pPr>
              <w:jc w:val="center"/>
              <w:rPr>
                <w:rFonts w:ascii="Times New Roman" w:eastAsia="Times New Roman" w:hAnsi="Times New Roman" w:cs="Times New Roman"/>
                <w:sz w:val="24"/>
                <w:szCs w:val="24"/>
              </w:rPr>
            </w:pPr>
            <w:r w:rsidRPr="00052508">
              <w:rPr>
                <w:rFonts w:ascii="Times New Roman" w:eastAsia="Times New Roman" w:hAnsi="Times New Roman" w:cs="Times New Roman"/>
                <w:sz w:val="24"/>
                <w:szCs w:val="24"/>
              </w:rPr>
              <w:t>0.704545</w:t>
            </w:r>
          </w:p>
        </w:tc>
        <w:tc>
          <w:tcPr>
            <w:tcW w:w="1683" w:type="dxa"/>
          </w:tcPr>
          <w:p w:rsidR="003B3ECA" w:rsidRPr="00052508" w:rsidRDefault="003B3ECA" w:rsidP="00581785">
            <w:pPr>
              <w:jc w:val="center"/>
              <w:rPr>
                <w:rFonts w:ascii="Times New Roman" w:eastAsia="Times New Roman" w:hAnsi="Times New Roman" w:cs="Times New Roman"/>
                <w:sz w:val="24"/>
                <w:szCs w:val="24"/>
              </w:rPr>
            </w:pPr>
            <w:r w:rsidRPr="00052508">
              <w:rPr>
                <w:rFonts w:ascii="Times New Roman" w:eastAsia="Times New Roman" w:hAnsi="Times New Roman" w:cs="Times New Roman"/>
                <w:sz w:val="24"/>
                <w:szCs w:val="24"/>
              </w:rPr>
              <w:t>0.071429</w:t>
            </w:r>
          </w:p>
        </w:tc>
      </w:tr>
    </w:tbl>
    <w:p w:rsidR="003B3ECA" w:rsidRPr="00052508" w:rsidRDefault="003B3ECA"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b/>
          <w:sz w:val="24"/>
          <w:szCs w:val="24"/>
        </w:rPr>
      </w:pPr>
    </w:p>
    <w:p w:rsidR="00161072" w:rsidRPr="00052508" w:rsidRDefault="00161072" w:rsidP="00161072">
      <w:pPr>
        <w:spacing w:after="0" w:line="240" w:lineRule="auto"/>
        <w:jc w:val="center"/>
        <w:rPr>
          <w:rFonts w:asciiTheme="majorBidi" w:eastAsia="Times New Roman" w:hAnsiTheme="majorBidi" w:cstheme="majorBidi"/>
          <w:sz w:val="24"/>
          <w:szCs w:val="24"/>
        </w:rPr>
      </w:pPr>
      <w:r w:rsidRPr="00052508">
        <w:rPr>
          <w:rFonts w:asciiTheme="majorBidi" w:hAnsiTheme="majorBidi" w:cstheme="majorBidi"/>
          <w:noProof/>
          <w:sz w:val="24"/>
          <w:szCs w:val="24"/>
        </w:rPr>
        <w:t xml:space="preserve">(b) Conditional </w:t>
      </w:r>
      <w:r w:rsidRPr="00052508">
        <w:rPr>
          <w:rFonts w:asciiTheme="majorBidi" w:eastAsia="Times New Roman" w:hAnsiTheme="majorBidi" w:cstheme="majorBidi"/>
          <w:sz w:val="24"/>
          <w:szCs w:val="24"/>
        </w:rPr>
        <w:t>Probability Table</w:t>
      </w:r>
    </w:p>
    <w:p w:rsidR="00161072" w:rsidRPr="00052508" w:rsidRDefault="00161072"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b/>
          <w:sz w:val="24"/>
          <w:szCs w:val="24"/>
        </w:rPr>
      </w:pPr>
    </w:p>
    <w:p w:rsidR="003B7911" w:rsidRDefault="003B7911" w:rsidP="00161072">
      <w:pPr>
        <w:pStyle w:val="Caption"/>
        <w:spacing w:after="0"/>
        <w:jc w:val="center"/>
        <w:rPr>
          <w:rFonts w:asciiTheme="majorBidi" w:hAnsiTheme="majorBidi" w:cstheme="majorBidi"/>
          <w:color w:val="auto"/>
          <w:sz w:val="24"/>
          <w:szCs w:val="24"/>
        </w:rPr>
      </w:pPr>
      <w:proofErr w:type="gramStart"/>
      <w:r w:rsidRPr="00052508">
        <w:rPr>
          <w:rFonts w:asciiTheme="majorBidi" w:hAnsiTheme="majorBidi" w:cstheme="majorBidi"/>
          <w:color w:val="auto"/>
          <w:sz w:val="24"/>
          <w:szCs w:val="24"/>
        </w:rPr>
        <w:t xml:space="preserve">Figure </w:t>
      </w:r>
      <w:r w:rsidR="00161072" w:rsidRPr="00052508">
        <w:rPr>
          <w:rFonts w:asciiTheme="majorBidi" w:hAnsiTheme="majorBidi" w:cstheme="majorBidi"/>
          <w:color w:val="auto"/>
          <w:sz w:val="24"/>
          <w:szCs w:val="24"/>
        </w:rPr>
        <w:t>12.</w:t>
      </w:r>
      <w:proofErr w:type="gramEnd"/>
      <w:r w:rsidRPr="00052508">
        <w:rPr>
          <w:rFonts w:asciiTheme="majorBidi" w:hAnsiTheme="majorBidi" w:cstheme="majorBidi"/>
          <w:color w:val="auto"/>
          <w:sz w:val="24"/>
          <w:szCs w:val="24"/>
        </w:rPr>
        <w:t xml:space="preserve"> Tables for Domestic Agricultural Production</w:t>
      </w:r>
    </w:p>
    <w:p w:rsidR="00F04C9B" w:rsidRDefault="00F04C9B" w:rsidP="00F04C9B"/>
    <w:p w:rsidR="00D860ED" w:rsidRPr="008948B5" w:rsidRDefault="00D860ED" w:rsidP="00D860ED">
      <w:pPr>
        <w:pStyle w:val="Caption"/>
        <w:numPr>
          <w:ilvl w:val="0"/>
          <w:numId w:val="3"/>
        </w:numPr>
        <w:ind w:left="360"/>
        <w:rPr>
          <w:rFonts w:ascii="Times New Roman" w:hAnsi="Times New Roman" w:cs="Times New Roman"/>
          <w:color w:val="auto"/>
          <w:sz w:val="24"/>
        </w:rPr>
      </w:pPr>
      <w:r>
        <w:rPr>
          <w:rFonts w:asciiTheme="majorBidi" w:hAnsiTheme="majorBidi" w:cstheme="majorBidi"/>
          <w:noProof/>
          <w:color w:val="auto"/>
          <w:sz w:val="24"/>
          <w:szCs w:val="24"/>
        </w:rPr>
        <w:t>Trade Nodes</w:t>
      </w:r>
    </w:p>
    <w:p w:rsidR="00D860ED" w:rsidRDefault="00D860ED" w:rsidP="00D860E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rFonts w:ascii="Times New Roman" w:eastAsia="Times New Roman" w:hAnsi="Times New Roman" w:cs="Times New Roman"/>
          <w:b/>
          <w:sz w:val="24"/>
          <w:szCs w:val="24"/>
        </w:rPr>
      </w:pPr>
      <w:r>
        <w:rPr>
          <w:noProof/>
        </w:rPr>
        <w:drawing>
          <wp:inline distT="0" distB="0" distL="0" distR="0" wp14:anchorId="6EE22FEC" wp14:editId="76555F67">
            <wp:extent cx="5076497" cy="370489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76497" cy="3704896"/>
                    </a:xfrm>
                    <a:prstGeom prst="rect">
                      <a:avLst/>
                    </a:prstGeom>
                  </pic:spPr>
                </pic:pic>
              </a:graphicData>
            </a:graphic>
          </wp:inline>
        </w:drawing>
      </w:r>
    </w:p>
    <w:p w:rsidR="00D860ED" w:rsidRDefault="00D860ED" w:rsidP="00AF5BE1">
      <w:pPr>
        <w:pStyle w:val="Caption"/>
        <w:jc w:val="center"/>
        <w:rPr>
          <w:rFonts w:ascii="Times New Roman" w:hAnsi="Times New Roman" w:cs="Times New Roman"/>
          <w:color w:val="auto"/>
          <w:sz w:val="24"/>
          <w:szCs w:val="22"/>
        </w:rPr>
      </w:pPr>
      <w:proofErr w:type="gramStart"/>
      <w:r w:rsidRPr="00D56C22">
        <w:rPr>
          <w:rFonts w:ascii="Times New Roman" w:hAnsi="Times New Roman" w:cs="Times New Roman"/>
          <w:color w:val="auto"/>
          <w:sz w:val="24"/>
          <w:szCs w:val="22"/>
        </w:rPr>
        <w:t xml:space="preserve">Figure </w:t>
      </w:r>
      <w:r w:rsidRPr="00D56C22">
        <w:rPr>
          <w:rFonts w:ascii="Times New Roman" w:hAnsi="Times New Roman" w:cs="Times New Roman"/>
          <w:color w:val="auto"/>
          <w:sz w:val="24"/>
          <w:szCs w:val="22"/>
        </w:rPr>
        <w:fldChar w:fldCharType="begin"/>
      </w:r>
      <w:r w:rsidRPr="00D56C22">
        <w:rPr>
          <w:rFonts w:ascii="Times New Roman" w:hAnsi="Times New Roman" w:cs="Times New Roman"/>
          <w:color w:val="auto"/>
          <w:sz w:val="24"/>
          <w:szCs w:val="22"/>
        </w:rPr>
        <w:instrText xml:space="preserve"> SEQ Figure \* ARABIC </w:instrText>
      </w:r>
      <w:r w:rsidRPr="00D56C22">
        <w:rPr>
          <w:rFonts w:ascii="Times New Roman" w:hAnsi="Times New Roman" w:cs="Times New Roman"/>
          <w:color w:val="auto"/>
          <w:sz w:val="24"/>
          <w:szCs w:val="22"/>
        </w:rPr>
        <w:fldChar w:fldCharType="separate"/>
      </w:r>
      <w:r w:rsidR="0068685A" w:rsidRPr="00D56C22">
        <w:rPr>
          <w:rFonts w:ascii="Times New Roman" w:hAnsi="Times New Roman" w:cs="Times New Roman"/>
          <w:noProof/>
          <w:color w:val="auto"/>
          <w:sz w:val="24"/>
          <w:szCs w:val="22"/>
        </w:rPr>
        <w:t>1</w:t>
      </w:r>
      <w:r w:rsidR="00AF5BE1" w:rsidRPr="00D56C22">
        <w:rPr>
          <w:rFonts w:ascii="Times New Roman" w:hAnsi="Times New Roman" w:cs="Times New Roman"/>
          <w:noProof/>
          <w:color w:val="auto"/>
          <w:sz w:val="24"/>
          <w:szCs w:val="22"/>
        </w:rPr>
        <w:t>3</w:t>
      </w:r>
      <w:r w:rsidRPr="00D56C22">
        <w:rPr>
          <w:rFonts w:ascii="Times New Roman" w:hAnsi="Times New Roman" w:cs="Times New Roman"/>
          <w:color w:val="auto"/>
          <w:sz w:val="24"/>
          <w:szCs w:val="22"/>
        </w:rPr>
        <w:fldChar w:fldCharType="end"/>
      </w:r>
      <w:r w:rsidRPr="00D56C22">
        <w:rPr>
          <w:rFonts w:ascii="Times New Roman" w:hAnsi="Times New Roman" w:cs="Times New Roman"/>
          <w:color w:val="auto"/>
          <w:sz w:val="24"/>
          <w:szCs w:val="22"/>
        </w:rPr>
        <w:t>.</w:t>
      </w:r>
      <w:proofErr w:type="gramEnd"/>
      <w:r w:rsidRPr="00D56C22">
        <w:rPr>
          <w:rFonts w:ascii="Times New Roman" w:hAnsi="Times New Roman" w:cs="Times New Roman"/>
          <w:color w:val="auto"/>
          <w:sz w:val="24"/>
          <w:szCs w:val="22"/>
        </w:rPr>
        <w:t xml:space="preserve"> The</w:t>
      </w:r>
      <w:r w:rsidRPr="00C335DE">
        <w:rPr>
          <w:rFonts w:ascii="Times New Roman" w:hAnsi="Times New Roman" w:cs="Times New Roman"/>
          <w:color w:val="auto"/>
          <w:sz w:val="24"/>
          <w:szCs w:val="22"/>
        </w:rPr>
        <w:t xml:space="preserve"> </w:t>
      </w:r>
      <w:r>
        <w:rPr>
          <w:rFonts w:ascii="Times New Roman" w:hAnsi="Times New Roman" w:cs="Times New Roman"/>
          <w:color w:val="auto"/>
          <w:sz w:val="24"/>
          <w:szCs w:val="22"/>
        </w:rPr>
        <w:t xml:space="preserve">Five </w:t>
      </w:r>
      <w:r w:rsidRPr="00C335DE">
        <w:rPr>
          <w:rFonts w:ascii="Times New Roman" w:hAnsi="Times New Roman" w:cs="Times New Roman"/>
          <w:color w:val="auto"/>
          <w:sz w:val="24"/>
          <w:szCs w:val="22"/>
        </w:rPr>
        <w:t>Trade Variables</w:t>
      </w:r>
    </w:p>
    <w:p w:rsidR="00D56C22" w:rsidRPr="00D56C22" w:rsidRDefault="00D56C22" w:rsidP="00D56C22"/>
    <w:p w:rsidR="00D860ED" w:rsidRDefault="00D860ED" w:rsidP="00D860ED">
      <w:pPr>
        <w:pStyle w:val="ListParagraph"/>
        <w:widowControl w:val="0"/>
        <w:numPr>
          <w:ilvl w:val="0"/>
          <w:numId w:val="6"/>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Trade per Capita</w:t>
      </w:r>
    </w:p>
    <w:p w:rsidR="00D860ED" w:rsidRPr="00D56C22" w:rsidRDefault="00AF5BE1" w:rsidP="000303C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observing the five trade nodes </w:t>
      </w:r>
      <w:r w:rsidRPr="00D56C22">
        <w:rPr>
          <w:rFonts w:ascii="Times New Roman" w:eastAsia="Times New Roman" w:hAnsi="Times New Roman" w:cs="Times New Roman"/>
          <w:sz w:val="24"/>
          <w:szCs w:val="24"/>
        </w:rPr>
        <w:t>in Figure 13, t</w:t>
      </w:r>
      <w:r w:rsidR="00D860ED" w:rsidRPr="00D56C22">
        <w:rPr>
          <w:rFonts w:ascii="Times New Roman" w:eastAsia="Times New Roman" w:hAnsi="Times New Roman" w:cs="Times New Roman"/>
          <w:sz w:val="24"/>
          <w:szCs w:val="24"/>
        </w:rPr>
        <w:t xml:space="preserve">he </w:t>
      </w:r>
      <w:r w:rsidR="00DD3776" w:rsidRPr="00D56C22">
        <w:rPr>
          <w:rFonts w:ascii="Times New Roman" w:eastAsia="Times New Roman" w:hAnsi="Times New Roman" w:cs="Times New Roman"/>
          <w:sz w:val="24"/>
          <w:szCs w:val="24"/>
        </w:rPr>
        <w:t xml:space="preserve">trade per capita </w:t>
      </w:r>
      <w:r w:rsidR="00D860ED" w:rsidRPr="00D56C22">
        <w:rPr>
          <w:rFonts w:ascii="Times New Roman" w:eastAsia="Times New Roman" w:hAnsi="Times New Roman" w:cs="Times New Roman"/>
          <w:sz w:val="24"/>
          <w:szCs w:val="24"/>
        </w:rPr>
        <w:t xml:space="preserve">node receives input from the </w:t>
      </w:r>
      <w:r w:rsidR="00DD3776" w:rsidRPr="00D56C22">
        <w:rPr>
          <w:rFonts w:ascii="Times New Roman" w:eastAsia="Times New Roman" w:hAnsi="Times New Roman" w:cs="Times New Roman"/>
          <w:sz w:val="24"/>
          <w:szCs w:val="24"/>
        </w:rPr>
        <w:t>GDP per capita</w:t>
      </w:r>
      <w:r w:rsidR="00D860ED" w:rsidRPr="00D56C22">
        <w:rPr>
          <w:rFonts w:ascii="Times New Roman" w:eastAsia="Times New Roman" w:hAnsi="Times New Roman" w:cs="Times New Roman"/>
          <w:sz w:val="24"/>
          <w:szCs w:val="24"/>
        </w:rPr>
        <w:t xml:space="preserve"> node from the energy category of nodes, and it influences the </w:t>
      </w:r>
      <w:r w:rsidR="00DD3776" w:rsidRPr="00D56C22">
        <w:rPr>
          <w:rFonts w:ascii="Times New Roman" w:eastAsia="Times New Roman" w:hAnsi="Times New Roman" w:cs="Times New Roman"/>
          <w:sz w:val="24"/>
          <w:szCs w:val="24"/>
        </w:rPr>
        <w:t>imports of cereals per capita</w:t>
      </w:r>
      <w:r w:rsidR="00D860ED" w:rsidRPr="00D56C22">
        <w:rPr>
          <w:rFonts w:ascii="Times New Roman" w:eastAsia="Times New Roman" w:hAnsi="Times New Roman" w:cs="Times New Roman"/>
          <w:sz w:val="24"/>
          <w:szCs w:val="24"/>
        </w:rPr>
        <w:t xml:space="preserve"> child node. A </w:t>
      </w:r>
      <w:r w:rsidR="00DD3776" w:rsidRPr="00D56C22">
        <w:rPr>
          <w:rFonts w:ascii="Times New Roman" w:eastAsia="Times New Roman" w:hAnsi="Times New Roman" w:cs="Times New Roman"/>
          <w:sz w:val="24"/>
          <w:szCs w:val="24"/>
        </w:rPr>
        <w:t>Food and Agriculture</w:t>
      </w:r>
      <w:r w:rsidR="00D860ED" w:rsidRPr="00D56C22">
        <w:rPr>
          <w:rFonts w:ascii="Times New Roman" w:eastAsia="Times New Roman" w:hAnsi="Times New Roman" w:cs="Times New Roman"/>
          <w:sz w:val="24"/>
          <w:szCs w:val="24"/>
        </w:rPr>
        <w:t xml:space="preserve"> Organization study on </w:t>
      </w:r>
      <w:r w:rsidR="00DD3776" w:rsidRPr="00D56C22">
        <w:rPr>
          <w:rFonts w:ascii="Times New Roman" w:eastAsia="Times New Roman" w:hAnsi="Times New Roman" w:cs="Times New Roman"/>
          <w:sz w:val="24"/>
          <w:szCs w:val="24"/>
        </w:rPr>
        <w:t>food security and trade</w:t>
      </w:r>
      <w:r w:rsidR="00D860ED" w:rsidRPr="00D56C22">
        <w:rPr>
          <w:rFonts w:ascii="Times New Roman" w:eastAsia="Times New Roman" w:hAnsi="Times New Roman" w:cs="Times New Roman"/>
          <w:sz w:val="24"/>
          <w:szCs w:val="24"/>
        </w:rPr>
        <w:t xml:space="preserve"> found that the </w:t>
      </w:r>
      <w:r w:rsidR="00DD3776" w:rsidRPr="00D56C22">
        <w:rPr>
          <w:rFonts w:ascii="Times New Roman" w:eastAsia="Times New Roman" w:hAnsi="Times New Roman" w:cs="Times New Roman"/>
          <w:sz w:val="24"/>
          <w:szCs w:val="24"/>
        </w:rPr>
        <w:t>international dimension in food security is significant; “trade policy influences both global food availability (in the case of a major importer or exporter), and national food availability (through both imports and production)</w:t>
      </w:r>
      <w:r w:rsidR="00D860ED" w:rsidRPr="00D56C22">
        <w:rPr>
          <w:rFonts w:ascii="Times New Roman" w:eastAsia="Times New Roman" w:hAnsi="Times New Roman" w:cs="Times New Roman"/>
          <w:sz w:val="24"/>
          <w:szCs w:val="24"/>
        </w:rPr>
        <w:t>.</w:t>
      </w:r>
      <w:r w:rsidR="00DD3776" w:rsidRPr="00D56C22">
        <w:rPr>
          <w:rFonts w:ascii="Times New Roman" w:eastAsia="Times New Roman" w:hAnsi="Times New Roman" w:cs="Times New Roman"/>
          <w:sz w:val="24"/>
          <w:szCs w:val="24"/>
        </w:rPr>
        <w:t>”</w:t>
      </w:r>
      <w:r w:rsidR="00D860ED" w:rsidRPr="00D56C22">
        <w:rPr>
          <w:rStyle w:val="FootnoteReference"/>
          <w:rFonts w:ascii="Times New Roman" w:eastAsia="Times New Roman" w:hAnsi="Times New Roman" w:cs="Times New Roman"/>
          <w:sz w:val="24"/>
          <w:szCs w:val="24"/>
        </w:rPr>
        <w:footnoteReference w:id="38"/>
      </w:r>
      <w:r w:rsidR="00ED6843" w:rsidRPr="00D56C22">
        <w:rPr>
          <w:rFonts w:ascii="Times New Roman" w:eastAsia="Times New Roman" w:hAnsi="Times New Roman" w:cs="Times New Roman"/>
          <w:sz w:val="24"/>
          <w:szCs w:val="24"/>
        </w:rPr>
        <w:t xml:space="preserve"> Consequently trade, defined by the </w:t>
      </w:r>
      <w:r w:rsidR="000303CB" w:rsidRPr="00D56C22">
        <w:rPr>
          <w:rFonts w:ascii="Times New Roman" w:eastAsia="Times New Roman" w:hAnsi="Times New Roman" w:cs="Times New Roman"/>
          <w:sz w:val="24"/>
          <w:szCs w:val="24"/>
        </w:rPr>
        <w:t>World B</w:t>
      </w:r>
      <w:r w:rsidR="00ED6843" w:rsidRPr="00D56C22">
        <w:rPr>
          <w:rFonts w:ascii="Times New Roman" w:eastAsia="Times New Roman" w:hAnsi="Times New Roman" w:cs="Times New Roman"/>
          <w:sz w:val="24"/>
          <w:szCs w:val="24"/>
        </w:rPr>
        <w:t xml:space="preserve">ank as “the sum of exports and imports of goods and services,” </w:t>
      </w:r>
      <w:r w:rsidR="00DD3776" w:rsidRPr="00D56C22">
        <w:rPr>
          <w:rFonts w:ascii="Times New Roman" w:eastAsia="Times New Roman" w:hAnsi="Times New Roman" w:cs="Times New Roman"/>
          <w:sz w:val="24"/>
          <w:szCs w:val="24"/>
        </w:rPr>
        <w:t>impacts the amount of food available for import.</w:t>
      </w:r>
      <w:r w:rsidRPr="00D56C22">
        <w:rPr>
          <w:rStyle w:val="FootnoteReference"/>
          <w:rFonts w:ascii="Times New Roman" w:eastAsia="Times New Roman" w:hAnsi="Times New Roman" w:cs="Times New Roman"/>
          <w:sz w:val="24"/>
          <w:szCs w:val="24"/>
        </w:rPr>
        <w:footnoteReference w:id="39"/>
      </w:r>
    </w:p>
    <w:p w:rsidR="00D860ED" w:rsidRPr="00D56C22" w:rsidRDefault="00D860ED" w:rsidP="0041361D">
      <w:pPr>
        <w:spacing w:after="0" w:line="480" w:lineRule="auto"/>
        <w:ind w:firstLine="720"/>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 xml:space="preserve">With this in mind, </w:t>
      </w:r>
      <w:r w:rsidR="000303CB" w:rsidRPr="00D56C22">
        <w:rPr>
          <w:rFonts w:ascii="Times New Roman" w:eastAsia="Times New Roman" w:hAnsi="Times New Roman" w:cs="Times New Roman"/>
          <w:sz w:val="24"/>
          <w:szCs w:val="24"/>
        </w:rPr>
        <w:t>trade per capita</w:t>
      </w:r>
      <w:r w:rsidRPr="00D56C22">
        <w:rPr>
          <w:rFonts w:ascii="Times New Roman" w:eastAsia="Times New Roman" w:hAnsi="Times New Roman" w:cs="Times New Roman"/>
          <w:sz w:val="24"/>
          <w:szCs w:val="24"/>
        </w:rPr>
        <w:t xml:space="preserve"> in this study </w:t>
      </w:r>
      <w:r w:rsidR="00AF5BE1" w:rsidRPr="00D56C22">
        <w:rPr>
          <w:rFonts w:ascii="Times New Roman" w:eastAsia="Times New Roman" w:hAnsi="Times New Roman" w:cs="Times New Roman"/>
          <w:sz w:val="24"/>
          <w:szCs w:val="24"/>
        </w:rPr>
        <w:t>was</w:t>
      </w:r>
      <w:r w:rsidRPr="00D56C22">
        <w:rPr>
          <w:rFonts w:ascii="Times New Roman" w:eastAsia="Times New Roman" w:hAnsi="Times New Roman" w:cs="Times New Roman"/>
          <w:sz w:val="24"/>
          <w:szCs w:val="24"/>
        </w:rPr>
        <w:t xml:space="preserve"> </w:t>
      </w:r>
      <w:r w:rsidR="000303CB" w:rsidRPr="00D56C22">
        <w:rPr>
          <w:rFonts w:ascii="Times New Roman" w:eastAsia="Times New Roman" w:hAnsi="Times New Roman" w:cs="Times New Roman"/>
          <w:sz w:val="24"/>
          <w:szCs w:val="24"/>
        </w:rPr>
        <w:t>measured in constant 2005 U.S. dollars</w:t>
      </w:r>
      <w:r w:rsidR="000A3C61" w:rsidRPr="00D56C22">
        <w:rPr>
          <w:rFonts w:ascii="Times New Roman" w:eastAsia="Times New Roman" w:hAnsi="Times New Roman" w:cs="Times New Roman"/>
          <w:sz w:val="24"/>
          <w:szCs w:val="24"/>
        </w:rPr>
        <w:t xml:space="preserve"> per capita</w:t>
      </w:r>
      <w:r w:rsidR="000303CB" w:rsidRPr="00D56C22">
        <w:rPr>
          <w:rFonts w:ascii="Times New Roman" w:eastAsia="Times New Roman" w:hAnsi="Times New Roman" w:cs="Times New Roman"/>
          <w:sz w:val="24"/>
          <w:szCs w:val="24"/>
        </w:rPr>
        <w:t>, converted from percent of GDP by multiplying the original data by GDP per capita.</w:t>
      </w:r>
      <w:r w:rsidRPr="00D56C22">
        <w:rPr>
          <w:rFonts w:ascii="Times New Roman" w:eastAsia="Times New Roman" w:hAnsi="Times New Roman" w:cs="Times New Roman"/>
          <w:sz w:val="24"/>
          <w:szCs w:val="24"/>
        </w:rPr>
        <w:t xml:space="preserve"> </w:t>
      </w:r>
      <w:r w:rsidR="000303CB" w:rsidRPr="00D56C22">
        <w:rPr>
          <w:rFonts w:ascii="Times New Roman" w:eastAsia="Times New Roman" w:hAnsi="Times New Roman" w:cs="Times New Roman"/>
          <w:sz w:val="24"/>
          <w:szCs w:val="24"/>
        </w:rPr>
        <w:t xml:space="preserve">Spanning from 1970 to 2012, </w:t>
      </w:r>
      <w:r w:rsidRPr="00D56C22">
        <w:rPr>
          <w:rFonts w:ascii="Times New Roman" w:eastAsia="Times New Roman" w:hAnsi="Times New Roman" w:cs="Times New Roman"/>
          <w:sz w:val="24"/>
          <w:szCs w:val="24"/>
        </w:rPr>
        <w:t>the data</w:t>
      </w:r>
      <w:r w:rsidR="00AF5BE1" w:rsidRPr="00D56C22">
        <w:rPr>
          <w:rFonts w:ascii="Times New Roman" w:eastAsia="Times New Roman" w:hAnsi="Times New Roman" w:cs="Times New Roman"/>
          <w:sz w:val="24"/>
          <w:szCs w:val="24"/>
        </w:rPr>
        <w:t>,</w:t>
      </w:r>
      <w:r w:rsidR="000303CB" w:rsidRPr="00D56C22">
        <w:rPr>
          <w:rFonts w:ascii="Times New Roman" w:eastAsia="Times New Roman" w:hAnsi="Times New Roman" w:cs="Times New Roman"/>
          <w:sz w:val="24"/>
          <w:szCs w:val="24"/>
        </w:rPr>
        <w:t xml:space="preserve"> </w:t>
      </w:r>
      <w:r w:rsidRPr="00D56C22">
        <w:rPr>
          <w:rFonts w:ascii="Times New Roman" w:eastAsia="Times New Roman" w:hAnsi="Times New Roman" w:cs="Times New Roman"/>
          <w:sz w:val="24"/>
          <w:szCs w:val="24"/>
        </w:rPr>
        <w:t>supplied by the World Bank, span</w:t>
      </w:r>
      <w:r w:rsidR="00AF5BE1" w:rsidRPr="00D56C22">
        <w:rPr>
          <w:rFonts w:ascii="Times New Roman" w:eastAsia="Times New Roman" w:hAnsi="Times New Roman" w:cs="Times New Roman"/>
          <w:sz w:val="24"/>
          <w:szCs w:val="24"/>
        </w:rPr>
        <w:t>ned</w:t>
      </w:r>
      <w:r w:rsidRPr="00D56C22">
        <w:rPr>
          <w:rFonts w:ascii="Times New Roman" w:eastAsia="Times New Roman" w:hAnsi="Times New Roman" w:cs="Times New Roman"/>
          <w:sz w:val="24"/>
          <w:szCs w:val="24"/>
        </w:rPr>
        <w:t xml:space="preserve"> </w:t>
      </w:r>
      <w:r w:rsidR="000303CB" w:rsidRPr="00D56C22">
        <w:rPr>
          <w:rFonts w:ascii="Times New Roman" w:eastAsia="Times New Roman" w:hAnsi="Times New Roman" w:cs="Times New Roman"/>
          <w:sz w:val="24"/>
          <w:szCs w:val="24"/>
        </w:rPr>
        <w:t>43</w:t>
      </w:r>
      <w:r w:rsidRPr="00D56C22">
        <w:rPr>
          <w:rFonts w:ascii="Times New Roman" w:eastAsia="Times New Roman" w:hAnsi="Times New Roman" w:cs="Times New Roman"/>
          <w:sz w:val="24"/>
          <w:szCs w:val="24"/>
        </w:rPr>
        <w:t xml:space="preserve"> years for Oman, </w:t>
      </w:r>
      <w:r w:rsidR="000303CB" w:rsidRPr="00D56C22">
        <w:rPr>
          <w:rFonts w:ascii="Times New Roman" w:eastAsia="Times New Roman" w:hAnsi="Times New Roman" w:cs="Times New Roman"/>
          <w:sz w:val="24"/>
          <w:szCs w:val="24"/>
        </w:rPr>
        <w:t xml:space="preserve">Saudi Arabia, and Kuwait; no data </w:t>
      </w:r>
      <w:r w:rsidR="00AF5BE1" w:rsidRPr="00D56C22">
        <w:rPr>
          <w:rFonts w:ascii="Times New Roman" w:eastAsia="Times New Roman" w:hAnsi="Times New Roman" w:cs="Times New Roman"/>
          <w:sz w:val="24"/>
          <w:szCs w:val="24"/>
        </w:rPr>
        <w:t>was</w:t>
      </w:r>
      <w:r w:rsidR="000303CB" w:rsidRPr="00D56C22">
        <w:rPr>
          <w:rFonts w:ascii="Times New Roman" w:eastAsia="Times New Roman" w:hAnsi="Times New Roman" w:cs="Times New Roman"/>
          <w:sz w:val="24"/>
          <w:szCs w:val="24"/>
        </w:rPr>
        <w:t xml:space="preserve"> availabl</w:t>
      </w:r>
      <w:r w:rsidR="0041361D">
        <w:rPr>
          <w:rFonts w:ascii="Times New Roman" w:eastAsia="Times New Roman" w:hAnsi="Times New Roman" w:cs="Times New Roman"/>
          <w:sz w:val="24"/>
          <w:szCs w:val="24"/>
        </w:rPr>
        <w:t>e for the United Arab Emirates.</w:t>
      </w:r>
      <w:r w:rsidRPr="00D56C22">
        <w:rPr>
          <w:rStyle w:val="FootnoteReference"/>
          <w:rFonts w:ascii="Times New Roman" w:eastAsia="Times New Roman" w:hAnsi="Times New Roman" w:cs="Times New Roman"/>
          <w:sz w:val="24"/>
          <w:szCs w:val="24"/>
        </w:rPr>
        <w:footnoteReference w:id="40"/>
      </w:r>
      <w:r w:rsidRPr="00D56C22">
        <w:rPr>
          <w:rFonts w:ascii="Times New Roman" w:eastAsia="Times New Roman" w:hAnsi="Times New Roman" w:cs="Times New Roman"/>
          <w:sz w:val="24"/>
          <w:szCs w:val="24"/>
        </w:rPr>
        <w:t xml:space="preserve"> The </w:t>
      </w:r>
      <w:r w:rsidR="000303CB" w:rsidRPr="00D56C22">
        <w:rPr>
          <w:rFonts w:ascii="Times New Roman" w:eastAsia="Times New Roman" w:hAnsi="Times New Roman" w:cs="Times New Roman"/>
          <w:sz w:val="24"/>
          <w:szCs w:val="24"/>
        </w:rPr>
        <w:t xml:space="preserve">129 </w:t>
      </w:r>
      <w:r w:rsidRPr="00D56C22">
        <w:rPr>
          <w:rFonts w:ascii="Times New Roman" w:eastAsia="Times New Roman" w:hAnsi="Times New Roman" w:cs="Times New Roman"/>
          <w:sz w:val="24"/>
          <w:szCs w:val="24"/>
        </w:rPr>
        <w:t xml:space="preserve">data points </w:t>
      </w:r>
      <w:r w:rsidR="00AF5BE1" w:rsidRPr="00D56C22">
        <w:rPr>
          <w:rFonts w:ascii="Times New Roman" w:eastAsia="Times New Roman" w:hAnsi="Times New Roman" w:cs="Times New Roman"/>
          <w:sz w:val="24"/>
          <w:szCs w:val="24"/>
        </w:rPr>
        <w:t>were</w:t>
      </w:r>
      <w:r w:rsidRPr="00D56C22">
        <w:rPr>
          <w:rFonts w:ascii="Times New Roman" w:eastAsia="Times New Roman" w:hAnsi="Times New Roman" w:cs="Times New Roman"/>
          <w:sz w:val="24"/>
          <w:szCs w:val="24"/>
        </w:rPr>
        <w:t xml:space="preserve"> divided into three bins; the lower split point </w:t>
      </w:r>
      <w:r w:rsidR="00AF5BE1" w:rsidRPr="00D56C22">
        <w:rPr>
          <w:rFonts w:ascii="Times New Roman" w:eastAsia="Times New Roman" w:hAnsi="Times New Roman" w:cs="Times New Roman"/>
          <w:sz w:val="24"/>
          <w:szCs w:val="24"/>
        </w:rPr>
        <w:t>wa</w:t>
      </w:r>
      <w:r w:rsidRPr="00D56C22">
        <w:rPr>
          <w:rFonts w:ascii="Times New Roman" w:eastAsia="Times New Roman" w:hAnsi="Times New Roman" w:cs="Times New Roman"/>
          <w:sz w:val="24"/>
          <w:szCs w:val="24"/>
        </w:rPr>
        <w:t xml:space="preserve">s </w:t>
      </w:r>
      <w:r w:rsidR="000303CB" w:rsidRPr="00D56C22">
        <w:rPr>
          <w:rFonts w:ascii="Times New Roman" w:eastAsia="Times New Roman" w:hAnsi="Times New Roman" w:cs="Times New Roman"/>
          <w:sz w:val="24"/>
          <w:szCs w:val="24"/>
        </w:rPr>
        <w:t>$10,000 per capita</w:t>
      </w:r>
      <w:r w:rsidR="002F2FA3" w:rsidRPr="00D56C22">
        <w:rPr>
          <w:rFonts w:ascii="Times New Roman" w:eastAsia="Times New Roman" w:hAnsi="Times New Roman" w:cs="Times New Roman"/>
          <w:sz w:val="24"/>
          <w:szCs w:val="24"/>
        </w:rPr>
        <w:t xml:space="preserve"> </w:t>
      </w:r>
      <w:r w:rsidRPr="00D56C22">
        <w:rPr>
          <w:rFonts w:ascii="Times New Roman" w:eastAsia="Times New Roman" w:hAnsi="Times New Roman" w:cs="Times New Roman"/>
          <w:sz w:val="24"/>
          <w:szCs w:val="24"/>
        </w:rPr>
        <w:t xml:space="preserve">and the higher split point is </w:t>
      </w:r>
      <w:r w:rsidR="000303CB" w:rsidRPr="00D56C22">
        <w:rPr>
          <w:rFonts w:ascii="Times New Roman" w:eastAsia="Times New Roman" w:hAnsi="Times New Roman" w:cs="Times New Roman"/>
          <w:sz w:val="24"/>
          <w:szCs w:val="24"/>
        </w:rPr>
        <w:t>$30,000 per capita</w:t>
      </w:r>
      <w:r w:rsidR="002F2FA3" w:rsidRPr="00D56C22">
        <w:rPr>
          <w:rFonts w:ascii="Times New Roman" w:eastAsia="Times New Roman" w:hAnsi="Times New Roman" w:cs="Times New Roman"/>
          <w:sz w:val="24"/>
          <w:szCs w:val="24"/>
        </w:rPr>
        <w:t>. While not grounded in past studies, these split points appear as points of concavity on the line graphs of the data change, sugge</w:t>
      </w:r>
      <w:r w:rsidR="0041361D">
        <w:rPr>
          <w:rFonts w:ascii="Times New Roman" w:eastAsia="Times New Roman" w:hAnsi="Times New Roman" w:cs="Times New Roman"/>
          <w:sz w:val="24"/>
          <w:szCs w:val="24"/>
        </w:rPr>
        <w:t xml:space="preserve">sting that the imports of food </w:t>
      </w:r>
      <w:r w:rsidR="002F2FA3" w:rsidRPr="00D56C22">
        <w:rPr>
          <w:rFonts w:ascii="Times New Roman" w:eastAsia="Times New Roman" w:hAnsi="Times New Roman" w:cs="Times New Roman"/>
          <w:sz w:val="24"/>
          <w:szCs w:val="24"/>
        </w:rPr>
        <w:t>per capita sta</w:t>
      </w:r>
      <w:r w:rsidR="00AF5BE1" w:rsidRPr="00D56C22">
        <w:rPr>
          <w:rFonts w:ascii="Times New Roman" w:eastAsia="Times New Roman" w:hAnsi="Times New Roman" w:cs="Times New Roman"/>
          <w:sz w:val="24"/>
          <w:szCs w:val="24"/>
        </w:rPr>
        <w:t>rts to increase in variability around those point</w:t>
      </w:r>
      <w:r w:rsidR="009512D8" w:rsidRPr="00D56C22">
        <w:rPr>
          <w:rFonts w:ascii="Times New Roman" w:eastAsia="Times New Roman" w:hAnsi="Times New Roman" w:cs="Times New Roman"/>
          <w:sz w:val="24"/>
          <w:szCs w:val="24"/>
        </w:rPr>
        <w:t>s.</w:t>
      </w:r>
      <w:r w:rsidR="00AF5BE1" w:rsidRPr="00D56C22">
        <w:rPr>
          <w:rStyle w:val="FootnoteReference"/>
          <w:rFonts w:ascii="Times New Roman" w:eastAsia="Times New Roman" w:hAnsi="Times New Roman" w:cs="Times New Roman"/>
          <w:sz w:val="24"/>
          <w:szCs w:val="24"/>
        </w:rPr>
        <w:footnoteReference w:id="41"/>
      </w:r>
      <w:r w:rsidR="002F2FA3" w:rsidRPr="00D56C22">
        <w:rPr>
          <w:rFonts w:ascii="Times New Roman" w:eastAsia="Times New Roman" w:hAnsi="Times New Roman" w:cs="Times New Roman"/>
          <w:sz w:val="24"/>
          <w:szCs w:val="24"/>
        </w:rPr>
        <w:t xml:space="preserve"> </w:t>
      </w:r>
    </w:p>
    <w:p w:rsidR="00D860ED" w:rsidRPr="00D56C22" w:rsidRDefault="009512D8" w:rsidP="00825B5B">
      <w:pPr>
        <w:spacing w:after="0" w:line="480" w:lineRule="auto"/>
        <w:ind w:firstLine="720"/>
      </w:pPr>
      <w:r w:rsidRPr="00D56C22">
        <w:rPr>
          <w:rFonts w:ascii="Times New Roman" w:eastAsia="Times New Roman" w:hAnsi="Times New Roman" w:cs="Times New Roman"/>
          <w:sz w:val="24"/>
          <w:szCs w:val="24"/>
        </w:rPr>
        <w:t>The table</w:t>
      </w:r>
      <w:r w:rsidR="00D860ED" w:rsidRPr="00D56C22">
        <w:rPr>
          <w:rFonts w:ascii="Times New Roman" w:eastAsia="Times New Roman" w:hAnsi="Times New Roman" w:cs="Times New Roman"/>
          <w:sz w:val="24"/>
          <w:szCs w:val="24"/>
        </w:rPr>
        <w:t xml:space="preserve"> in Figure 1</w:t>
      </w:r>
      <w:r w:rsidRPr="00D56C22">
        <w:rPr>
          <w:rFonts w:ascii="Times New Roman" w:eastAsia="Times New Roman" w:hAnsi="Times New Roman" w:cs="Times New Roman"/>
          <w:sz w:val="24"/>
          <w:szCs w:val="24"/>
        </w:rPr>
        <w:t>4a</w:t>
      </w:r>
      <w:r w:rsidR="00D860ED" w:rsidRPr="00D56C22">
        <w:rPr>
          <w:rFonts w:ascii="Times New Roman" w:eastAsia="Times New Roman" w:hAnsi="Times New Roman" w:cs="Times New Roman"/>
          <w:sz w:val="24"/>
          <w:szCs w:val="24"/>
        </w:rPr>
        <w:t xml:space="preserve"> show</w:t>
      </w:r>
      <w:r w:rsidRPr="00D56C22">
        <w:rPr>
          <w:rFonts w:ascii="Times New Roman" w:eastAsia="Times New Roman" w:hAnsi="Times New Roman" w:cs="Times New Roman"/>
          <w:sz w:val="24"/>
          <w:szCs w:val="24"/>
        </w:rPr>
        <w:t>s</w:t>
      </w:r>
      <w:r w:rsidR="00D860ED" w:rsidRPr="00D56C22">
        <w:rPr>
          <w:rFonts w:ascii="Times New Roman" w:eastAsia="Times New Roman" w:hAnsi="Times New Roman" w:cs="Times New Roman"/>
          <w:sz w:val="24"/>
          <w:szCs w:val="24"/>
        </w:rPr>
        <w:t xml:space="preserve"> a </w:t>
      </w:r>
      <w:r w:rsidRPr="00D56C22">
        <w:rPr>
          <w:rFonts w:ascii="Times New Roman" w:eastAsia="Times New Roman" w:hAnsi="Times New Roman" w:cs="Times New Roman"/>
          <w:sz w:val="24"/>
          <w:szCs w:val="24"/>
        </w:rPr>
        <w:t>bell-curve-</w:t>
      </w:r>
      <w:r w:rsidR="00F36FC4" w:rsidRPr="00D56C22">
        <w:rPr>
          <w:rFonts w:ascii="Times New Roman" w:eastAsia="Times New Roman" w:hAnsi="Times New Roman" w:cs="Times New Roman"/>
          <w:sz w:val="24"/>
          <w:szCs w:val="24"/>
        </w:rPr>
        <w:t xml:space="preserve">like distribution, with 28.07% of the data points in the lowest bin, 49.22% in the middle, and 22.71% in the highest. </w:t>
      </w:r>
      <w:r w:rsidR="00D860ED" w:rsidRPr="00D56C22">
        <w:rPr>
          <w:rFonts w:ascii="Times New Roman" w:eastAsia="Times New Roman" w:hAnsi="Times New Roman" w:cs="Times New Roman"/>
          <w:sz w:val="24"/>
          <w:szCs w:val="24"/>
        </w:rPr>
        <w:t>T</w:t>
      </w:r>
      <w:r w:rsidR="00825B5B">
        <w:rPr>
          <w:rFonts w:ascii="Times New Roman" w:eastAsia="Times New Roman" w:hAnsi="Times New Roman" w:cs="Times New Roman"/>
          <w:sz w:val="24"/>
          <w:szCs w:val="24"/>
        </w:rPr>
        <w:t>he table</w:t>
      </w:r>
      <w:r w:rsidRPr="00D56C22">
        <w:rPr>
          <w:rFonts w:ascii="Times New Roman" w:eastAsia="Times New Roman" w:hAnsi="Times New Roman" w:cs="Times New Roman"/>
          <w:sz w:val="24"/>
          <w:szCs w:val="24"/>
        </w:rPr>
        <w:t xml:space="preserve"> in Figure 14b </w:t>
      </w:r>
      <w:r w:rsidR="00F36FC4" w:rsidRPr="00D56C22">
        <w:rPr>
          <w:rFonts w:ascii="Times New Roman" w:eastAsia="Times New Roman" w:hAnsi="Times New Roman" w:cs="Times New Roman"/>
          <w:sz w:val="24"/>
          <w:szCs w:val="24"/>
        </w:rPr>
        <w:t>links GDP per capita to trade per capita</w:t>
      </w:r>
      <w:r w:rsidR="00D860ED" w:rsidRPr="00D56C22">
        <w:rPr>
          <w:rFonts w:ascii="Times New Roman" w:eastAsia="Times New Roman" w:hAnsi="Times New Roman" w:cs="Times New Roman"/>
          <w:sz w:val="24"/>
          <w:szCs w:val="24"/>
        </w:rPr>
        <w:t xml:space="preserve"> through a conditional probability.</w:t>
      </w:r>
    </w:p>
    <w:p w:rsidR="00D860ED" w:rsidRPr="00D56C22" w:rsidRDefault="009512D8" w:rsidP="00D860E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noProof/>
        </w:rPr>
      </w:pPr>
      <w:r w:rsidRPr="00D56C22">
        <w:rPr>
          <w:noProof/>
        </w:rPr>
        <w:lastRenderedPageBreak/>
        <w:drawing>
          <wp:inline distT="0" distB="0" distL="0" distR="0" wp14:anchorId="347ACDE7" wp14:editId="6639D63B">
            <wp:extent cx="2976563" cy="1514476"/>
            <wp:effectExtent l="0" t="0" r="1460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F36FC4" w:rsidRPr="00D56C22">
        <w:rPr>
          <w:noProof/>
        </w:rPr>
        <w:t xml:space="preserve">    </w:t>
      </w:r>
    </w:p>
    <w:p w:rsidR="009512D8" w:rsidRPr="00D56C22" w:rsidRDefault="009512D8" w:rsidP="009512D8">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r w:rsidRPr="00D56C22">
        <w:rPr>
          <w:rFonts w:asciiTheme="majorBidi" w:hAnsiTheme="majorBidi" w:cstheme="majorBidi"/>
          <w:noProof/>
          <w:sz w:val="24"/>
          <w:szCs w:val="24"/>
        </w:rPr>
        <w:t>(a) Simple Probability Table</w:t>
      </w:r>
    </w:p>
    <w:p w:rsidR="009512D8" w:rsidRPr="00D56C22" w:rsidRDefault="009512D8" w:rsidP="009512D8">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p>
    <w:tbl>
      <w:tblPr>
        <w:tblStyle w:val="TableGrid"/>
        <w:tblW w:w="0" w:type="auto"/>
        <w:jc w:val="center"/>
        <w:tblLayout w:type="fixed"/>
        <w:tblLook w:val="04A0" w:firstRow="1" w:lastRow="0" w:firstColumn="1" w:lastColumn="0" w:noHBand="0" w:noVBand="1"/>
      </w:tblPr>
      <w:tblGrid>
        <w:gridCol w:w="2718"/>
        <w:gridCol w:w="1800"/>
        <w:gridCol w:w="1800"/>
      </w:tblGrid>
      <w:tr w:rsidR="000A3C61" w:rsidRPr="00D56C22" w:rsidTr="00DA1E88">
        <w:trPr>
          <w:jc w:val="center"/>
        </w:trPr>
        <w:tc>
          <w:tcPr>
            <w:tcW w:w="6318" w:type="dxa"/>
            <w:gridSpan w:val="3"/>
            <w:shd w:val="clear" w:color="auto" w:fill="A6A6A6" w:themeFill="background1" w:themeFillShade="A6"/>
            <w:vAlign w:val="center"/>
          </w:tcPr>
          <w:p w:rsidR="000A3C61" w:rsidRPr="00D56C22" w:rsidRDefault="000A3C61" w:rsidP="00DA1E88">
            <w:pPr>
              <w:jc w:val="center"/>
              <w:rPr>
                <w:rFonts w:ascii="Times New Roman" w:eastAsia="Times New Roman" w:hAnsi="Times New Roman" w:cs="Times New Roman"/>
                <w:b/>
                <w:bCs/>
                <w:sz w:val="24"/>
                <w:szCs w:val="24"/>
              </w:rPr>
            </w:pPr>
            <w:r w:rsidRPr="00D56C22">
              <w:rPr>
                <w:rFonts w:ascii="Times New Roman" w:eastAsia="Times New Roman" w:hAnsi="Times New Roman" w:cs="Times New Roman"/>
                <w:b/>
                <w:bCs/>
                <w:sz w:val="24"/>
                <w:szCs w:val="24"/>
              </w:rPr>
              <w:t>Trade per Capita (Constant 2005 $U.S. per Capita)</w:t>
            </w:r>
          </w:p>
        </w:tc>
      </w:tr>
      <w:tr w:rsidR="00DA1E88" w:rsidRPr="00D56C22" w:rsidTr="00DA1E88">
        <w:trPr>
          <w:jc w:val="center"/>
        </w:trPr>
        <w:tc>
          <w:tcPr>
            <w:tcW w:w="2718" w:type="dxa"/>
            <w:shd w:val="clear" w:color="auto" w:fill="D9D9D9" w:themeFill="background1" w:themeFillShade="D9"/>
            <w:vAlign w:val="center"/>
          </w:tcPr>
          <w:p w:rsidR="00DA1E88" w:rsidRPr="00D56C22" w:rsidRDefault="00DA1E88" w:rsidP="00DA1E88">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GDP per Capita</w:t>
            </w:r>
          </w:p>
        </w:tc>
        <w:tc>
          <w:tcPr>
            <w:tcW w:w="1800" w:type="dxa"/>
            <w:shd w:val="clear" w:color="auto" w:fill="D9D9D9" w:themeFill="background1" w:themeFillShade="D9"/>
            <w:vAlign w:val="center"/>
          </w:tcPr>
          <w:p w:rsidR="00DA1E88" w:rsidRPr="00D56C22" w:rsidRDefault="00DA1E88" w:rsidP="00DA1E88">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&lt;22818</w:t>
            </w:r>
          </w:p>
        </w:tc>
        <w:tc>
          <w:tcPr>
            <w:tcW w:w="1800" w:type="dxa"/>
            <w:shd w:val="clear" w:color="auto" w:fill="D9D9D9" w:themeFill="background1" w:themeFillShade="D9"/>
            <w:vAlign w:val="center"/>
          </w:tcPr>
          <w:p w:rsidR="00DA1E88" w:rsidRPr="00D56C22" w:rsidRDefault="00DA1E88" w:rsidP="00DA1E88">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&gt;22818</w:t>
            </w:r>
          </w:p>
        </w:tc>
      </w:tr>
      <w:tr w:rsidR="00DA1E88" w:rsidRPr="00D56C22" w:rsidTr="00DA1E88">
        <w:trPr>
          <w:jc w:val="center"/>
        </w:trPr>
        <w:tc>
          <w:tcPr>
            <w:tcW w:w="2718" w:type="dxa"/>
            <w:shd w:val="clear" w:color="auto" w:fill="A6A6A6" w:themeFill="background1" w:themeFillShade="A6"/>
            <w:vAlign w:val="center"/>
          </w:tcPr>
          <w:p w:rsidR="00DA1E88" w:rsidRPr="00D56C22" w:rsidRDefault="00DA1E88" w:rsidP="00DA1E88">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&lt;10000</w:t>
            </w:r>
          </w:p>
        </w:tc>
        <w:tc>
          <w:tcPr>
            <w:tcW w:w="1800" w:type="dxa"/>
            <w:vAlign w:val="center"/>
          </w:tcPr>
          <w:p w:rsidR="00DA1E88" w:rsidRPr="00D56C22" w:rsidRDefault="00DA1E88" w:rsidP="00DA1E88">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0.505263</w:t>
            </w:r>
          </w:p>
        </w:tc>
        <w:tc>
          <w:tcPr>
            <w:tcW w:w="1800" w:type="dxa"/>
            <w:vAlign w:val="center"/>
          </w:tcPr>
          <w:p w:rsidR="00DA1E88" w:rsidRPr="00D56C22" w:rsidRDefault="00DA1E88" w:rsidP="00DA1E88">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0.01</w:t>
            </w:r>
          </w:p>
        </w:tc>
      </w:tr>
      <w:tr w:rsidR="00DA1E88" w:rsidRPr="00D56C22" w:rsidTr="00DA1E88">
        <w:trPr>
          <w:jc w:val="center"/>
        </w:trPr>
        <w:tc>
          <w:tcPr>
            <w:tcW w:w="2718" w:type="dxa"/>
            <w:shd w:val="clear" w:color="auto" w:fill="A6A6A6" w:themeFill="background1" w:themeFillShade="A6"/>
            <w:vAlign w:val="center"/>
          </w:tcPr>
          <w:p w:rsidR="00DA1E88" w:rsidRPr="00D56C22" w:rsidRDefault="00DA1E88" w:rsidP="00DA1E88">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(10000, 30000)</w:t>
            </w:r>
          </w:p>
        </w:tc>
        <w:tc>
          <w:tcPr>
            <w:tcW w:w="1800" w:type="dxa"/>
            <w:vAlign w:val="center"/>
          </w:tcPr>
          <w:p w:rsidR="00DA1E88" w:rsidRPr="00D56C22" w:rsidRDefault="00DA1E88" w:rsidP="00DA1E88">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0.494737</w:t>
            </w:r>
          </w:p>
        </w:tc>
        <w:tc>
          <w:tcPr>
            <w:tcW w:w="1800" w:type="dxa"/>
            <w:vAlign w:val="center"/>
          </w:tcPr>
          <w:p w:rsidR="00DA1E88" w:rsidRPr="00D56C22" w:rsidRDefault="00DA1E88" w:rsidP="00DA1E88">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0.5</w:t>
            </w:r>
          </w:p>
        </w:tc>
      </w:tr>
      <w:tr w:rsidR="00DA1E88" w:rsidRPr="00D56C22" w:rsidTr="00DA1E88">
        <w:trPr>
          <w:jc w:val="center"/>
        </w:trPr>
        <w:tc>
          <w:tcPr>
            <w:tcW w:w="2718" w:type="dxa"/>
            <w:shd w:val="clear" w:color="auto" w:fill="A6A6A6" w:themeFill="background1" w:themeFillShade="A6"/>
            <w:vAlign w:val="center"/>
          </w:tcPr>
          <w:p w:rsidR="00DA1E88" w:rsidRPr="00D56C22" w:rsidRDefault="00DA1E88" w:rsidP="00BE6FAA">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&gt;30000</w:t>
            </w:r>
          </w:p>
        </w:tc>
        <w:tc>
          <w:tcPr>
            <w:tcW w:w="1800" w:type="dxa"/>
            <w:vAlign w:val="center"/>
          </w:tcPr>
          <w:p w:rsidR="00DA1E88" w:rsidRPr="00D56C22" w:rsidRDefault="00DA1E88" w:rsidP="00BE6FAA">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0.01</w:t>
            </w:r>
          </w:p>
        </w:tc>
        <w:tc>
          <w:tcPr>
            <w:tcW w:w="1800" w:type="dxa"/>
            <w:vAlign w:val="center"/>
          </w:tcPr>
          <w:p w:rsidR="00DA1E88" w:rsidRPr="00D56C22" w:rsidRDefault="00DA1E88" w:rsidP="00BE6FAA">
            <w:pPr>
              <w:jc w:val="center"/>
              <w:rPr>
                <w:rFonts w:ascii="Times New Roman" w:eastAsia="Times New Roman" w:hAnsi="Times New Roman" w:cs="Times New Roman"/>
                <w:sz w:val="24"/>
                <w:szCs w:val="24"/>
              </w:rPr>
            </w:pPr>
            <w:r w:rsidRPr="00D56C22">
              <w:rPr>
                <w:rFonts w:ascii="Times New Roman" w:eastAsia="Times New Roman" w:hAnsi="Times New Roman" w:cs="Times New Roman"/>
                <w:sz w:val="24"/>
                <w:szCs w:val="24"/>
              </w:rPr>
              <w:t>0.5</w:t>
            </w:r>
          </w:p>
        </w:tc>
      </w:tr>
    </w:tbl>
    <w:p w:rsidR="000A3C61" w:rsidRPr="00D56C22" w:rsidRDefault="000A3C61"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b/>
          <w:sz w:val="24"/>
          <w:szCs w:val="24"/>
        </w:rPr>
      </w:pPr>
    </w:p>
    <w:p w:rsidR="009512D8" w:rsidRPr="00D56C22" w:rsidRDefault="009512D8" w:rsidP="009512D8">
      <w:pPr>
        <w:spacing w:after="0" w:line="240" w:lineRule="auto"/>
        <w:jc w:val="center"/>
        <w:rPr>
          <w:rFonts w:asciiTheme="majorBidi" w:eastAsia="Times New Roman" w:hAnsiTheme="majorBidi" w:cstheme="majorBidi"/>
          <w:sz w:val="24"/>
          <w:szCs w:val="24"/>
        </w:rPr>
      </w:pPr>
      <w:r w:rsidRPr="00D56C22">
        <w:rPr>
          <w:rFonts w:asciiTheme="majorBidi" w:hAnsiTheme="majorBidi" w:cstheme="majorBidi"/>
          <w:noProof/>
          <w:sz w:val="24"/>
          <w:szCs w:val="24"/>
        </w:rPr>
        <w:t xml:space="preserve">(b) Conditional </w:t>
      </w:r>
      <w:r w:rsidRPr="00D56C22">
        <w:rPr>
          <w:rFonts w:asciiTheme="majorBidi" w:eastAsia="Times New Roman" w:hAnsiTheme="majorBidi" w:cstheme="majorBidi"/>
          <w:sz w:val="24"/>
          <w:szCs w:val="24"/>
        </w:rPr>
        <w:t>Probability Table</w:t>
      </w:r>
    </w:p>
    <w:p w:rsidR="009512D8" w:rsidRPr="00D56C22" w:rsidRDefault="009512D8"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b/>
          <w:sz w:val="24"/>
          <w:szCs w:val="24"/>
        </w:rPr>
      </w:pPr>
    </w:p>
    <w:p w:rsidR="00D860ED" w:rsidRDefault="00D860ED" w:rsidP="000C3340">
      <w:pPr>
        <w:pStyle w:val="Caption"/>
        <w:spacing w:after="0"/>
        <w:jc w:val="center"/>
        <w:rPr>
          <w:rFonts w:asciiTheme="majorBidi" w:hAnsiTheme="majorBidi" w:cstheme="majorBidi"/>
          <w:color w:val="auto"/>
          <w:sz w:val="24"/>
          <w:szCs w:val="24"/>
        </w:rPr>
      </w:pPr>
      <w:proofErr w:type="gramStart"/>
      <w:r w:rsidRPr="00D56C22">
        <w:rPr>
          <w:rFonts w:asciiTheme="majorBidi" w:hAnsiTheme="majorBidi" w:cstheme="majorBidi"/>
          <w:color w:val="auto"/>
          <w:sz w:val="24"/>
          <w:szCs w:val="24"/>
        </w:rPr>
        <w:t xml:space="preserve">Figure </w:t>
      </w:r>
      <w:r w:rsidRPr="00D56C22">
        <w:rPr>
          <w:rFonts w:asciiTheme="majorBidi" w:hAnsiTheme="majorBidi" w:cstheme="majorBidi"/>
          <w:color w:val="auto"/>
          <w:sz w:val="24"/>
          <w:szCs w:val="24"/>
        </w:rPr>
        <w:fldChar w:fldCharType="begin"/>
      </w:r>
      <w:r w:rsidRPr="00D56C22">
        <w:rPr>
          <w:rFonts w:asciiTheme="majorBidi" w:hAnsiTheme="majorBidi" w:cstheme="majorBidi"/>
          <w:color w:val="auto"/>
          <w:sz w:val="24"/>
          <w:szCs w:val="24"/>
        </w:rPr>
        <w:instrText xml:space="preserve"> SEQ Figure \* ARABIC </w:instrText>
      </w:r>
      <w:r w:rsidRPr="00D56C22">
        <w:rPr>
          <w:rFonts w:asciiTheme="majorBidi" w:hAnsiTheme="majorBidi" w:cstheme="majorBidi"/>
          <w:color w:val="auto"/>
          <w:sz w:val="24"/>
          <w:szCs w:val="24"/>
        </w:rPr>
        <w:fldChar w:fldCharType="separate"/>
      </w:r>
      <w:r w:rsidR="0068685A" w:rsidRPr="00D56C22">
        <w:rPr>
          <w:rFonts w:asciiTheme="majorBidi" w:hAnsiTheme="majorBidi" w:cstheme="majorBidi"/>
          <w:noProof/>
          <w:color w:val="auto"/>
          <w:sz w:val="24"/>
          <w:szCs w:val="24"/>
        </w:rPr>
        <w:t>1</w:t>
      </w:r>
      <w:r w:rsidR="009512D8" w:rsidRPr="00D56C22">
        <w:rPr>
          <w:rFonts w:asciiTheme="majorBidi" w:hAnsiTheme="majorBidi" w:cstheme="majorBidi"/>
          <w:noProof/>
          <w:color w:val="auto"/>
          <w:sz w:val="24"/>
          <w:szCs w:val="24"/>
        </w:rPr>
        <w:t>4</w:t>
      </w:r>
      <w:r w:rsidRPr="00D56C22">
        <w:rPr>
          <w:rFonts w:asciiTheme="majorBidi" w:hAnsiTheme="majorBidi" w:cstheme="majorBidi"/>
          <w:color w:val="auto"/>
          <w:sz w:val="24"/>
          <w:szCs w:val="24"/>
        </w:rPr>
        <w:fldChar w:fldCharType="end"/>
      </w:r>
      <w:r w:rsidRPr="00D56C22">
        <w:rPr>
          <w:rFonts w:asciiTheme="majorBidi" w:hAnsiTheme="majorBidi" w:cstheme="majorBidi"/>
          <w:color w:val="auto"/>
          <w:sz w:val="24"/>
          <w:szCs w:val="24"/>
        </w:rPr>
        <w:t>.</w:t>
      </w:r>
      <w:proofErr w:type="gramEnd"/>
      <w:r w:rsidRPr="00D56C22">
        <w:rPr>
          <w:rFonts w:asciiTheme="majorBidi" w:hAnsiTheme="majorBidi" w:cstheme="majorBidi"/>
          <w:color w:val="auto"/>
          <w:sz w:val="24"/>
          <w:szCs w:val="24"/>
        </w:rPr>
        <w:t xml:space="preserve"> </w:t>
      </w:r>
      <w:r w:rsidR="000C3340" w:rsidRPr="00D56C22">
        <w:rPr>
          <w:rFonts w:asciiTheme="majorBidi" w:hAnsiTheme="majorBidi" w:cstheme="majorBidi"/>
          <w:color w:val="auto"/>
          <w:sz w:val="24"/>
          <w:szCs w:val="24"/>
        </w:rPr>
        <w:t>Tables</w:t>
      </w:r>
      <w:r w:rsidRPr="00D56C22">
        <w:rPr>
          <w:rFonts w:asciiTheme="majorBidi" w:hAnsiTheme="majorBidi" w:cstheme="majorBidi"/>
          <w:color w:val="auto"/>
          <w:sz w:val="24"/>
          <w:szCs w:val="24"/>
        </w:rPr>
        <w:t xml:space="preserve"> for </w:t>
      </w:r>
      <w:r w:rsidR="00F36FC4" w:rsidRPr="00D56C22">
        <w:rPr>
          <w:rFonts w:asciiTheme="majorBidi" w:hAnsiTheme="majorBidi" w:cstheme="majorBidi"/>
          <w:color w:val="auto"/>
          <w:sz w:val="24"/>
          <w:szCs w:val="24"/>
        </w:rPr>
        <w:t>Trade per Capita</w:t>
      </w:r>
    </w:p>
    <w:p w:rsidR="00BE6FAA" w:rsidRDefault="00BE6FAA" w:rsidP="00BE6FAA"/>
    <w:p w:rsidR="00D860ED" w:rsidRDefault="00D860ED" w:rsidP="00D860ED">
      <w:pPr>
        <w:pStyle w:val="ListParagraph"/>
        <w:widowControl w:val="0"/>
        <w:numPr>
          <w:ilvl w:val="0"/>
          <w:numId w:val="6"/>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International Exports of Cereals</w:t>
      </w:r>
    </w:p>
    <w:p w:rsidR="00D860ED" w:rsidRDefault="00D860ED" w:rsidP="009512D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w:t>
      </w:r>
      <w:r w:rsidR="009512D8">
        <w:rPr>
          <w:rFonts w:ascii="Times New Roman" w:eastAsia="Times New Roman" w:hAnsi="Times New Roman" w:cs="Times New Roman"/>
          <w:sz w:val="24"/>
          <w:szCs w:val="24"/>
        </w:rPr>
        <w:t>en analyzing the trade variables</w:t>
      </w:r>
      <w:r>
        <w:rPr>
          <w:rFonts w:ascii="Times New Roman" w:eastAsia="Times New Roman" w:hAnsi="Times New Roman" w:cs="Times New Roman"/>
          <w:sz w:val="24"/>
          <w:szCs w:val="24"/>
        </w:rPr>
        <w:t xml:space="preserve">, international exports from nations outside of the Arabian Gulf, affected by oil production in the oil-for-food trade, impact one child node, </w:t>
      </w:r>
      <w:r w:rsidR="00F36FC4">
        <w:rPr>
          <w:rFonts w:ascii="Times New Roman" w:eastAsia="Times New Roman" w:hAnsi="Times New Roman" w:cs="Times New Roman"/>
          <w:sz w:val="24"/>
          <w:szCs w:val="24"/>
        </w:rPr>
        <w:t>imports of cereals per capita</w:t>
      </w:r>
      <w:r>
        <w:rPr>
          <w:rFonts w:ascii="Times New Roman" w:eastAsia="Times New Roman" w:hAnsi="Times New Roman" w:cs="Times New Roman"/>
          <w:sz w:val="24"/>
          <w:szCs w:val="24"/>
        </w:rPr>
        <w:t xml:space="preserve">. From the standpoint of economics, the international exports node acts like supply while the food imports </w:t>
      </w:r>
      <w:r w:rsidR="00F36FC4">
        <w:rPr>
          <w:rFonts w:ascii="Times New Roman" w:eastAsia="Times New Roman" w:hAnsi="Times New Roman" w:cs="Times New Roman"/>
          <w:sz w:val="24"/>
          <w:szCs w:val="24"/>
        </w:rPr>
        <w:t xml:space="preserve">per capita </w:t>
      </w:r>
      <w:r>
        <w:rPr>
          <w:rFonts w:ascii="Times New Roman" w:eastAsia="Times New Roman" w:hAnsi="Times New Roman" w:cs="Times New Roman"/>
          <w:sz w:val="24"/>
          <w:szCs w:val="24"/>
        </w:rPr>
        <w:t>node acts like demand; as the 2008 cereal crisis demonstrated, an unwillingness of foreign exporters to sell food can severely limit the amount available for importation.</w:t>
      </w:r>
      <w:r>
        <w:rPr>
          <w:rStyle w:val="FootnoteReference"/>
          <w:rFonts w:ascii="Times New Roman" w:eastAsia="Times New Roman" w:hAnsi="Times New Roman" w:cs="Times New Roman"/>
          <w:sz w:val="24"/>
          <w:szCs w:val="24"/>
        </w:rPr>
        <w:footnoteReference w:id="42"/>
      </w:r>
      <w:r>
        <w:rPr>
          <w:rFonts w:ascii="Times New Roman" w:eastAsia="Times New Roman" w:hAnsi="Times New Roman" w:cs="Times New Roman"/>
          <w:sz w:val="24"/>
          <w:szCs w:val="24"/>
        </w:rPr>
        <w:t xml:space="preserve">  </w:t>
      </w:r>
    </w:p>
    <w:p w:rsidR="00D860ED" w:rsidRDefault="00D860ED" w:rsidP="00876B7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FAOSTAT provided the data for the international exports </w:t>
      </w:r>
      <w:r w:rsidR="008D077C">
        <w:rPr>
          <w:rFonts w:ascii="Times New Roman" w:eastAsia="Times New Roman" w:hAnsi="Times New Roman" w:cs="Times New Roman"/>
          <w:sz w:val="24"/>
          <w:szCs w:val="24"/>
        </w:rPr>
        <w:t xml:space="preserve">of cereals </w:t>
      </w:r>
      <w:r>
        <w:rPr>
          <w:rFonts w:ascii="Times New Roman" w:eastAsia="Times New Roman" w:hAnsi="Times New Roman" w:cs="Times New Roman"/>
          <w:sz w:val="24"/>
          <w:szCs w:val="24"/>
        </w:rPr>
        <w:t xml:space="preserve">variable, measured in </w:t>
      </w:r>
      <w:r w:rsidR="00876B77">
        <w:rPr>
          <w:rFonts w:ascii="Times New Roman" w:eastAsia="Times New Roman" w:hAnsi="Times New Roman" w:cs="Times New Roman"/>
          <w:sz w:val="24"/>
          <w:szCs w:val="24"/>
        </w:rPr>
        <w:t>tons of cereal exports</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3"/>
      </w:r>
      <w:r>
        <w:rPr>
          <w:rFonts w:ascii="Times New Roman" w:eastAsia="Times New Roman" w:hAnsi="Times New Roman" w:cs="Times New Roman"/>
          <w:sz w:val="24"/>
          <w:szCs w:val="24"/>
        </w:rPr>
        <w:t xml:space="preserve"> Cereals were chosen as the main crop because rice, flour, and wheat </w:t>
      </w:r>
      <w:r>
        <w:rPr>
          <w:rFonts w:ascii="Times New Roman" w:eastAsia="Times New Roman" w:hAnsi="Times New Roman" w:cs="Times New Roman"/>
          <w:sz w:val="24"/>
          <w:szCs w:val="24"/>
        </w:rPr>
        <w:lastRenderedPageBreak/>
        <w:t>serve as the top three providers of energy to Omanis.</w:t>
      </w:r>
      <w:r>
        <w:rPr>
          <w:rStyle w:val="FootnoteReference"/>
          <w:rFonts w:ascii="Times New Roman" w:eastAsia="Times New Roman" w:hAnsi="Times New Roman" w:cs="Times New Roman"/>
          <w:sz w:val="24"/>
          <w:szCs w:val="24"/>
        </w:rPr>
        <w:footnoteReference w:id="44"/>
      </w:r>
      <w:r>
        <w:rPr>
          <w:rFonts w:ascii="Times New Roman" w:eastAsia="Times New Roman" w:hAnsi="Times New Roman" w:cs="Times New Roman"/>
          <w:sz w:val="24"/>
          <w:szCs w:val="24"/>
        </w:rPr>
        <w:t xml:space="preserve"> For this node, the data spanned </w:t>
      </w:r>
      <w:r w:rsidR="00781D95">
        <w:rPr>
          <w:rFonts w:ascii="Times New Roman" w:eastAsia="Times New Roman" w:hAnsi="Times New Roman" w:cs="Times New Roman"/>
          <w:sz w:val="24"/>
          <w:szCs w:val="24"/>
        </w:rPr>
        <w:t>43</w:t>
      </w:r>
      <w:r>
        <w:rPr>
          <w:rFonts w:ascii="Times New Roman" w:eastAsia="Times New Roman" w:hAnsi="Times New Roman" w:cs="Times New Roman"/>
          <w:sz w:val="24"/>
          <w:szCs w:val="24"/>
        </w:rPr>
        <w:t xml:space="preserve"> years from 19</w:t>
      </w:r>
      <w:r w:rsidR="009A4666">
        <w:rPr>
          <w:rFonts w:ascii="Times New Roman" w:eastAsia="Times New Roman" w:hAnsi="Times New Roman" w:cs="Times New Roman"/>
          <w:sz w:val="24"/>
          <w:szCs w:val="24"/>
        </w:rPr>
        <w:t>70 to 2012</w:t>
      </w:r>
      <w:r>
        <w:rPr>
          <w:rFonts w:ascii="Times New Roman" w:eastAsia="Times New Roman" w:hAnsi="Times New Roman" w:cs="Times New Roman"/>
          <w:sz w:val="24"/>
          <w:szCs w:val="24"/>
        </w:rPr>
        <w:t>, and three foreign countries were examined: Pakistan, Thailand, and India. These countries were selected because they serve as Oman’s three most significant providers of cereals, accounting for 99% of Oman’s rice.</w:t>
      </w:r>
      <w:r>
        <w:rPr>
          <w:rStyle w:val="FootnoteReference"/>
          <w:rFonts w:ascii="Times New Roman" w:eastAsia="Times New Roman" w:hAnsi="Times New Roman" w:cs="Times New Roman"/>
          <w:sz w:val="24"/>
          <w:szCs w:val="24"/>
        </w:rPr>
        <w:footnoteReference w:id="45"/>
      </w:r>
      <w:r>
        <w:rPr>
          <w:rFonts w:ascii="Times New Roman" w:eastAsia="Times New Roman" w:hAnsi="Times New Roman" w:cs="Times New Roman"/>
          <w:sz w:val="24"/>
          <w:szCs w:val="24"/>
        </w:rPr>
        <w:t xml:space="preserve"> The </w:t>
      </w:r>
      <w:r w:rsidR="008D077C">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bins </w:t>
      </w:r>
      <w:r w:rsidR="008D077C">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split at the </w:t>
      </w:r>
      <w:r w:rsidR="008D077C">
        <w:rPr>
          <w:rFonts w:ascii="Times New Roman" w:eastAsia="Times New Roman" w:hAnsi="Times New Roman" w:cs="Times New Roman"/>
          <w:sz w:val="24"/>
          <w:szCs w:val="24"/>
        </w:rPr>
        <w:t>5,000,000 ton mark</w:t>
      </w:r>
      <w:r>
        <w:rPr>
          <w:rFonts w:ascii="Times New Roman" w:eastAsia="Times New Roman" w:hAnsi="Times New Roman" w:cs="Times New Roman"/>
          <w:sz w:val="24"/>
          <w:szCs w:val="24"/>
        </w:rPr>
        <w:t xml:space="preserve">, </w:t>
      </w:r>
      <w:r w:rsidR="008D077C">
        <w:rPr>
          <w:rFonts w:ascii="Times New Roman" w:eastAsia="Times New Roman" w:hAnsi="Times New Roman" w:cs="Times New Roman"/>
          <w:sz w:val="24"/>
          <w:szCs w:val="24"/>
        </w:rPr>
        <w:t>which this study interprets as the value that can incite a modern crisis of cereal unavailability; the 2008 crisis occurred when Pakistan and India dropped close to or below this mark.</w:t>
      </w:r>
      <w:r w:rsidR="008D077C">
        <w:rPr>
          <w:rStyle w:val="FootnoteReference"/>
          <w:rFonts w:ascii="Times New Roman" w:eastAsia="Times New Roman" w:hAnsi="Times New Roman" w:cs="Times New Roman"/>
          <w:sz w:val="24"/>
          <w:szCs w:val="24"/>
        </w:rPr>
        <w:footnoteReference w:id="46"/>
      </w:r>
      <w:r w:rsidR="008D077C">
        <w:rPr>
          <w:rFonts w:ascii="Times New Roman" w:eastAsia="Times New Roman" w:hAnsi="Times New Roman" w:cs="Times New Roman"/>
          <w:sz w:val="24"/>
          <w:szCs w:val="24"/>
        </w:rPr>
        <w:t xml:space="preserve"> </w:t>
      </w:r>
    </w:p>
    <w:p w:rsidR="00D860ED" w:rsidRPr="00FD25C9" w:rsidRDefault="008D077C" w:rsidP="009512D8">
      <w:pPr>
        <w:spacing w:after="0" w:line="480" w:lineRule="auto"/>
        <w:ind w:firstLine="720"/>
        <w:rPr>
          <w:rFonts w:ascii="Times New Roman" w:eastAsia="Times New Roman" w:hAnsi="Times New Roman" w:cs="Times New Roman"/>
          <w:sz w:val="24"/>
          <w:szCs w:val="24"/>
        </w:rPr>
      </w:pPr>
      <w:r w:rsidRPr="00FD25C9">
        <w:rPr>
          <w:rFonts w:ascii="Times New Roman" w:eastAsia="Times New Roman" w:hAnsi="Times New Roman" w:cs="Times New Roman"/>
          <w:sz w:val="24"/>
          <w:szCs w:val="24"/>
        </w:rPr>
        <w:t>Because the international exports of cereals node lacked parent nodes, the probability distribution in Figure 1</w:t>
      </w:r>
      <w:r w:rsidR="009512D8" w:rsidRPr="00FD25C9">
        <w:rPr>
          <w:rFonts w:ascii="Times New Roman" w:eastAsia="Times New Roman" w:hAnsi="Times New Roman" w:cs="Times New Roman"/>
          <w:sz w:val="24"/>
          <w:szCs w:val="24"/>
        </w:rPr>
        <w:t>5</w:t>
      </w:r>
      <w:r w:rsidRPr="00FD25C9">
        <w:rPr>
          <w:rFonts w:ascii="Times New Roman" w:eastAsia="Times New Roman" w:hAnsi="Times New Roman" w:cs="Times New Roman"/>
          <w:sz w:val="24"/>
          <w:szCs w:val="24"/>
        </w:rPr>
        <w:t xml:space="preserve"> was generated by merely dividing the number of cases</w:t>
      </w:r>
      <w:r w:rsidR="00876B77" w:rsidRPr="00FD25C9">
        <w:rPr>
          <w:rFonts w:ascii="Times New Roman" w:eastAsia="Times New Roman" w:hAnsi="Times New Roman" w:cs="Times New Roman"/>
          <w:sz w:val="24"/>
          <w:szCs w:val="24"/>
        </w:rPr>
        <w:t xml:space="preserve"> per </w:t>
      </w:r>
      <w:r w:rsidR="009512D8" w:rsidRPr="00FD25C9">
        <w:rPr>
          <w:rFonts w:ascii="Times New Roman" w:eastAsia="Times New Roman" w:hAnsi="Times New Roman" w:cs="Times New Roman"/>
          <w:sz w:val="24"/>
          <w:szCs w:val="24"/>
        </w:rPr>
        <w:t xml:space="preserve">bin by </w:t>
      </w:r>
      <w:r w:rsidR="00876B77" w:rsidRPr="00FD25C9">
        <w:rPr>
          <w:rFonts w:ascii="Times New Roman" w:eastAsia="Times New Roman" w:hAnsi="Times New Roman" w:cs="Times New Roman"/>
          <w:sz w:val="24"/>
          <w:szCs w:val="24"/>
        </w:rPr>
        <w:t>the number of data points.</w:t>
      </w:r>
      <w:r w:rsidR="00091670" w:rsidRPr="00FD25C9">
        <w:rPr>
          <w:noProof/>
        </w:rPr>
        <w:t xml:space="preserve">  </w:t>
      </w:r>
      <w:r w:rsidRPr="00FD25C9">
        <w:rPr>
          <w:rFonts w:ascii="Times New Roman" w:eastAsia="Times New Roman" w:hAnsi="Times New Roman" w:cs="Times New Roman"/>
          <w:sz w:val="24"/>
          <w:szCs w:val="24"/>
        </w:rPr>
        <w:t xml:space="preserve">  </w:t>
      </w:r>
    </w:p>
    <w:tbl>
      <w:tblPr>
        <w:tblStyle w:val="TableGrid"/>
        <w:tblW w:w="0" w:type="auto"/>
        <w:jc w:val="center"/>
        <w:tblInd w:w="1435" w:type="dxa"/>
        <w:tblLook w:val="04A0" w:firstRow="1" w:lastRow="0" w:firstColumn="1" w:lastColumn="0" w:noHBand="0" w:noVBand="1"/>
      </w:tblPr>
      <w:tblGrid>
        <w:gridCol w:w="2336"/>
        <w:gridCol w:w="2338"/>
      </w:tblGrid>
      <w:tr w:rsidR="00876B77" w:rsidRPr="00FD25C9" w:rsidTr="00994363">
        <w:trPr>
          <w:trHeight w:val="373"/>
          <w:jc w:val="center"/>
        </w:trPr>
        <w:tc>
          <w:tcPr>
            <w:tcW w:w="4674" w:type="dxa"/>
            <w:gridSpan w:val="2"/>
            <w:shd w:val="clear" w:color="auto" w:fill="BFBFBF" w:themeFill="background1" w:themeFillShade="BF"/>
            <w:vAlign w:val="center"/>
          </w:tcPr>
          <w:p w:rsidR="00876B77" w:rsidRPr="00FD25C9" w:rsidRDefault="00876B77" w:rsidP="00876B77">
            <w:pPr>
              <w:jc w:val="center"/>
              <w:rPr>
                <w:rFonts w:ascii="Times New Roman" w:eastAsia="Times New Roman" w:hAnsi="Times New Roman" w:cs="Times New Roman"/>
                <w:sz w:val="20"/>
                <w:szCs w:val="20"/>
              </w:rPr>
            </w:pPr>
            <w:r w:rsidRPr="00FD25C9">
              <w:rPr>
                <w:rFonts w:ascii="Times New Roman" w:eastAsia="Times New Roman" w:hAnsi="Times New Roman" w:cs="Times New Roman"/>
                <w:sz w:val="20"/>
                <w:szCs w:val="20"/>
              </w:rPr>
              <w:t>International Exports of Cereals (Tons)</w:t>
            </w:r>
          </w:p>
        </w:tc>
      </w:tr>
      <w:tr w:rsidR="00876B77" w:rsidRPr="00FD25C9" w:rsidTr="00FD25C9">
        <w:trPr>
          <w:trHeight w:val="373"/>
          <w:jc w:val="center"/>
        </w:trPr>
        <w:tc>
          <w:tcPr>
            <w:tcW w:w="2336" w:type="dxa"/>
            <w:shd w:val="clear" w:color="auto" w:fill="BFBFBF" w:themeFill="background1" w:themeFillShade="BF"/>
            <w:vAlign w:val="center"/>
          </w:tcPr>
          <w:p w:rsidR="00876B77" w:rsidRPr="00FD25C9" w:rsidRDefault="00876B77" w:rsidP="00C11D29">
            <w:pPr>
              <w:jc w:val="center"/>
              <w:rPr>
                <w:rFonts w:ascii="Times New Roman" w:eastAsia="Times New Roman" w:hAnsi="Times New Roman" w:cs="Times New Roman"/>
                <w:b/>
                <w:bCs/>
                <w:sz w:val="20"/>
                <w:szCs w:val="20"/>
              </w:rPr>
            </w:pPr>
            <w:r w:rsidRPr="00FD25C9">
              <w:rPr>
                <w:rFonts w:ascii="Times New Roman" w:eastAsia="Times New Roman" w:hAnsi="Times New Roman" w:cs="Times New Roman"/>
                <w:b/>
                <w:bCs/>
                <w:sz w:val="20"/>
                <w:szCs w:val="20"/>
              </w:rPr>
              <w:t>Bin</w:t>
            </w:r>
          </w:p>
        </w:tc>
        <w:tc>
          <w:tcPr>
            <w:tcW w:w="2338" w:type="dxa"/>
            <w:vAlign w:val="center"/>
          </w:tcPr>
          <w:p w:rsidR="00876B77" w:rsidRPr="00FD25C9" w:rsidRDefault="00876B77" w:rsidP="00C11D29">
            <w:pPr>
              <w:jc w:val="center"/>
              <w:rPr>
                <w:rFonts w:ascii="Times New Roman" w:eastAsia="Times New Roman" w:hAnsi="Times New Roman" w:cs="Times New Roman"/>
                <w:b/>
                <w:bCs/>
                <w:sz w:val="20"/>
                <w:szCs w:val="20"/>
              </w:rPr>
            </w:pPr>
            <w:r w:rsidRPr="00FD25C9">
              <w:rPr>
                <w:rFonts w:ascii="Times New Roman" w:eastAsia="Times New Roman" w:hAnsi="Times New Roman" w:cs="Times New Roman"/>
                <w:b/>
                <w:bCs/>
                <w:sz w:val="20"/>
                <w:szCs w:val="20"/>
              </w:rPr>
              <w:t>Probability</w:t>
            </w:r>
          </w:p>
        </w:tc>
      </w:tr>
      <w:tr w:rsidR="00876B77" w:rsidRPr="00FD25C9" w:rsidTr="00FD25C9">
        <w:trPr>
          <w:trHeight w:val="373"/>
          <w:jc w:val="center"/>
        </w:trPr>
        <w:tc>
          <w:tcPr>
            <w:tcW w:w="2336" w:type="dxa"/>
            <w:shd w:val="clear" w:color="auto" w:fill="BFBFBF" w:themeFill="background1" w:themeFillShade="BF"/>
            <w:vAlign w:val="center"/>
          </w:tcPr>
          <w:p w:rsidR="00876B77" w:rsidRPr="00FD25C9" w:rsidRDefault="00876B77" w:rsidP="00876B77">
            <w:pPr>
              <w:jc w:val="center"/>
              <w:rPr>
                <w:rFonts w:ascii="Times New Roman" w:eastAsia="Times New Roman" w:hAnsi="Times New Roman" w:cs="Times New Roman"/>
                <w:sz w:val="20"/>
                <w:szCs w:val="20"/>
              </w:rPr>
            </w:pPr>
            <w:r w:rsidRPr="00FD25C9">
              <w:rPr>
                <w:rFonts w:ascii="Times New Roman" w:eastAsia="Times New Roman" w:hAnsi="Times New Roman" w:cs="Times New Roman"/>
                <w:sz w:val="20"/>
                <w:szCs w:val="20"/>
              </w:rPr>
              <w:t>&lt;5,000,000</w:t>
            </w:r>
          </w:p>
        </w:tc>
        <w:tc>
          <w:tcPr>
            <w:tcW w:w="2338" w:type="dxa"/>
            <w:vAlign w:val="center"/>
          </w:tcPr>
          <w:p w:rsidR="00876B77" w:rsidRPr="00FD25C9" w:rsidRDefault="00876B77" w:rsidP="00876B77">
            <w:pPr>
              <w:jc w:val="center"/>
              <w:rPr>
                <w:rFonts w:ascii="Times New Roman" w:eastAsia="Times New Roman" w:hAnsi="Times New Roman" w:cs="Times New Roman"/>
                <w:sz w:val="20"/>
                <w:szCs w:val="20"/>
              </w:rPr>
            </w:pPr>
            <w:r w:rsidRPr="00FD25C9">
              <w:rPr>
                <w:rFonts w:ascii="Times New Roman" w:eastAsia="Times New Roman" w:hAnsi="Times New Roman" w:cs="Times New Roman"/>
                <w:sz w:val="20"/>
                <w:szCs w:val="20"/>
              </w:rPr>
              <w:t>0.6357</w:t>
            </w:r>
          </w:p>
        </w:tc>
      </w:tr>
      <w:tr w:rsidR="00876B77" w:rsidRPr="00FD25C9" w:rsidTr="00FD25C9">
        <w:trPr>
          <w:trHeight w:val="373"/>
          <w:jc w:val="center"/>
        </w:trPr>
        <w:tc>
          <w:tcPr>
            <w:tcW w:w="2336" w:type="dxa"/>
            <w:shd w:val="clear" w:color="auto" w:fill="BFBFBF" w:themeFill="background1" w:themeFillShade="BF"/>
            <w:vAlign w:val="center"/>
          </w:tcPr>
          <w:p w:rsidR="00876B77" w:rsidRPr="00FD25C9" w:rsidRDefault="00876B77" w:rsidP="00C11D29">
            <w:pPr>
              <w:jc w:val="center"/>
              <w:rPr>
                <w:rFonts w:ascii="Times New Roman" w:eastAsia="Times New Roman" w:hAnsi="Times New Roman" w:cs="Times New Roman"/>
                <w:sz w:val="20"/>
                <w:szCs w:val="20"/>
              </w:rPr>
            </w:pPr>
            <w:r w:rsidRPr="00FD25C9">
              <w:rPr>
                <w:rFonts w:ascii="Times New Roman" w:eastAsia="Times New Roman" w:hAnsi="Times New Roman" w:cs="Times New Roman"/>
                <w:sz w:val="20"/>
                <w:szCs w:val="20"/>
              </w:rPr>
              <w:t>&gt;5,000,000</w:t>
            </w:r>
          </w:p>
        </w:tc>
        <w:tc>
          <w:tcPr>
            <w:tcW w:w="2338" w:type="dxa"/>
            <w:vAlign w:val="center"/>
          </w:tcPr>
          <w:p w:rsidR="00876B77" w:rsidRPr="00FD25C9" w:rsidRDefault="00876B77" w:rsidP="00C11D29">
            <w:pPr>
              <w:jc w:val="center"/>
              <w:rPr>
                <w:rFonts w:ascii="Times New Roman" w:eastAsia="Times New Roman" w:hAnsi="Times New Roman" w:cs="Times New Roman"/>
                <w:sz w:val="20"/>
                <w:szCs w:val="20"/>
              </w:rPr>
            </w:pPr>
            <w:r w:rsidRPr="00FD25C9">
              <w:rPr>
                <w:rFonts w:ascii="Times New Roman" w:eastAsia="Times New Roman" w:hAnsi="Times New Roman" w:cs="Times New Roman"/>
                <w:sz w:val="20"/>
                <w:szCs w:val="20"/>
              </w:rPr>
              <w:t>0.3643</w:t>
            </w:r>
          </w:p>
        </w:tc>
      </w:tr>
    </w:tbl>
    <w:p w:rsidR="00876B77" w:rsidRPr="00FD25C9" w:rsidRDefault="00876B77" w:rsidP="00BE6FAA">
      <w:pPr>
        <w:spacing w:after="0" w:line="240" w:lineRule="auto"/>
        <w:jc w:val="center"/>
        <w:rPr>
          <w:rFonts w:ascii="Times New Roman" w:eastAsia="Times New Roman" w:hAnsi="Times New Roman" w:cs="Times New Roman"/>
          <w:sz w:val="24"/>
          <w:szCs w:val="24"/>
        </w:rPr>
      </w:pPr>
    </w:p>
    <w:p w:rsidR="00D860ED" w:rsidRDefault="00D860ED" w:rsidP="000C3340">
      <w:pPr>
        <w:pStyle w:val="Caption"/>
        <w:spacing w:after="0"/>
        <w:jc w:val="center"/>
        <w:rPr>
          <w:rFonts w:asciiTheme="majorBidi" w:hAnsiTheme="majorBidi" w:cstheme="majorBidi"/>
          <w:color w:val="auto"/>
          <w:sz w:val="24"/>
          <w:szCs w:val="24"/>
        </w:rPr>
      </w:pPr>
      <w:proofErr w:type="gramStart"/>
      <w:r w:rsidRPr="00FD25C9">
        <w:rPr>
          <w:rFonts w:asciiTheme="majorBidi" w:hAnsiTheme="majorBidi" w:cstheme="majorBidi"/>
          <w:color w:val="auto"/>
          <w:sz w:val="24"/>
          <w:szCs w:val="24"/>
        </w:rPr>
        <w:t xml:space="preserve">Figure </w:t>
      </w:r>
      <w:r w:rsidRPr="00FD25C9">
        <w:rPr>
          <w:rFonts w:asciiTheme="majorBidi" w:hAnsiTheme="majorBidi" w:cstheme="majorBidi"/>
          <w:color w:val="auto"/>
          <w:sz w:val="24"/>
          <w:szCs w:val="24"/>
        </w:rPr>
        <w:fldChar w:fldCharType="begin"/>
      </w:r>
      <w:r w:rsidRPr="00FD25C9">
        <w:rPr>
          <w:rFonts w:asciiTheme="majorBidi" w:hAnsiTheme="majorBidi" w:cstheme="majorBidi"/>
          <w:color w:val="auto"/>
          <w:sz w:val="24"/>
          <w:szCs w:val="24"/>
        </w:rPr>
        <w:instrText xml:space="preserve"> SEQ Figure \* ARABIC </w:instrText>
      </w:r>
      <w:r w:rsidRPr="00FD25C9">
        <w:rPr>
          <w:rFonts w:asciiTheme="majorBidi" w:hAnsiTheme="majorBidi" w:cstheme="majorBidi"/>
          <w:color w:val="auto"/>
          <w:sz w:val="24"/>
          <w:szCs w:val="24"/>
        </w:rPr>
        <w:fldChar w:fldCharType="separate"/>
      </w:r>
      <w:r w:rsidR="0068685A" w:rsidRPr="00FD25C9">
        <w:rPr>
          <w:rFonts w:asciiTheme="majorBidi" w:hAnsiTheme="majorBidi" w:cstheme="majorBidi"/>
          <w:noProof/>
          <w:color w:val="auto"/>
          <w:sz w:val="24"/>
          <w:szCs w:val="24"/>
        </w:rPr>
        <w:t>1</w:t>
      </w:r>
      <w:r w:rsidR="00AE5078" w:rsidRPr="00FD25C9">
        <w:rPr>
          <w:rFonts w:asciiTheme="majorBidi" w:hAnsiTheme="majorBidi" w:cstheme="majorBidi"/>
          <w:noProof/>
          <w:color w:val="auto"/>
          <w:sz w:val="24"/>
          <w:szCs w:val="24"/>
        </w:rPr>
        <w:t>5</w:t>
      </w:r>
      <w:r w:rsidRPr="00FD25C9">
        <w:rPr>
          <w:rFonts w:asciiTheme="majorBidi" w:hAnsiTheme="majorBidi" w:cstheme="majorBidi"/>
          <w:color w:val="auto"/>
          <w:sz w:val="24"/>
          <w:szCs w:val="24"/>
        </w:rPr>
        <w:fldChar w:fldCharType="end"/>
      </w:r>
      <w:r w:rsidRPr="00FD25C9">
        <w:rPr>
          <w:rFonts w:asciiTheme="majorBidi" w:hAnsiTheme="majorBidi" w:cstheme="majorBidi"/>
          <w:color w:val="auto"/>
          <w:sz w:val="24"/>
          <w:szCs w:val="24"/>
        </w:rPr>
        <w:t>.</w:t>
      </w:r>
      <w:proofErr w:type="gramEnd"/>
      <w:r w:rsidRPr="00FD25C9">
        <w:rPr>
          <w:rFonts w:asciiTheme="majorBidi" w:hAnsiTheme="majorBidi" w:cstheme="majorBidi"/>
          <w:color w:val="auto"/>
          <w:sz w:val="24"/>
          <w:szCs w:val="24"/>
        </w:rPr>
        <w:t xml:space="preserve"> </w:t>
      </w:r>
      <w:r w:rsidR="008D077C" w:rsidRPr="00FD25C9">
        <w:rPr>
          <w:rFonts w:asciiTheme="majorBidi" w:hAnsiTheme="majorBidi" w:cstheme="majorBidi"/>
          <w:color w:val="auto"/>
          <w:sz w:val="24"/>
          <w:szCs w:val="24"/>
        </w:rPr>
        <w:t>Probability</w:t>
      </w:r>
      <w:r w:rsidRPr="00FD25C9">
        <w:rPr>
          <w:rFonts w:asciiTheme="majorBidi" w:hAnsiTheme="majorBidi" w:cstheme="majorBidi"/>
          <w:color w:val="auto"/>
          <w:sz w:val="24"/>
          <w:szCs w:val="24"/>
        </w:rPr>
        <w:t xml:space="preserve"> Table for International Exports</w:t>
      </w:r>
      <w:r w:rsidR="008D077C" w:rsidRPr="00FD25C9">
        <w:rPr>
          <w:rFonts w:asciiTheme="majorBidi" w:hAnsiTheme="majorBidi" w:cstheme="majorBidi"/>
          <w:color w:val="auto"/>
          <w:sz w:val="24"/>
          <w:szCs w:val="24"/>
        </w:rPr>
        <w:t xml:space="preserve"> of Cereals</w:t>
      </w:r>
    </w:p>
    <w:p w:rsidR="00BE6FAA" w:rsidRPr="00BE6FAA" w:rsidRDefault="00BE6FAA" w:rsidP="00BE6FAA"/>
    <w:p w:rsidR="00D860ED" w:rsidRDefault="00D860ED" w:rsidP="00AE5078">
      <w:pPr>
        <w:pStyle w:val="ListParagraph"/>
        <w:widowControl w:val="0"/>
        <w:numPr>
          <w:ilvl w:val="0"/>
          <w:numId w:val="6"/>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Price of Cereals</w:t>
      </w:r>
    </w:p>
    <w:p w:rsidR="00D860ED" w:rsidRDefault="00D860ED" w:rsidP="00781D95">
      <w:pPr>
        <w:spacing w:after="0" w:line="480" w:lineRule="auto"/>
        <w:ind w:firstLine="720"/>
        <w:rPr>
          <w:rFonts w:ascii="Times New Roman" w:eastAsia="Times New Roman" w:hAnsi="Times New Roman" w:cs="Times New Roman"/>
          <w:sz w:val="24"/>
          <w:szCs w:val="24"/>
        </w:rPr>
      </w:pPr>
      <w:r w:rsidRPr="00FA524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price</w:t>
      </w:r>
      <w:r w:rsidR="0063433E">
        <w:rPr>
          <w:rFonts w:ascii="Times New Roman" w:eastAsia="Times New Roman" w:hAnsi="Times New Roman" w:cs="Times New Roman"/>
          <w:sz w:val="24"/>
          <w:szCs w:val="24"/>
        </w:rPr>
        <w:t xml:space="preserve"> of cereals</w:t>
      </w:r>
      <w:r>
        <w:rPr>
          <w:rFonts w:ascii="Times New Roman" w:eastAsia="Times New Roman" w:hAnsi="Times New Roman" w:cs="Times New Roman"/>
          <w:sz w:val="24"/>
          <w:szCs w:val="24"/>
        </w:rPr>
        <w:t xml:space="preserve"> node does not have any parent nodes, but it propagates downward into the </w:t>
      </w:r>
      <w:r w:rsidR="008D077C">
        <w:rPr>
          <w:rFonts w:ascii="Times New Roman" w:eastAsia="Times New Roman" w:hAnsi="Times New Roman" w:cs="Times New Roman"/>
          <w:sz w:val="24"/>
          <w:szCs w:val="24"/>
        </w:rPr>
        <w:t>import of cereals per capita</w:t>
      </w:r>
      <w:r>
        <w:rPr>
          <w:rFonts w:ascii="Times New Roman" w:eastAsia="Times New Roman" w:hAnsi="Times New Roman" w:cs="Times New Roman"/>
          <w:sz w:val="24"/>
          <w:szCs w:val="24"/>
        </w:rPr>
        <w:t xml:space="preserve"> node. Price connects to demand, represented by </w:t>
      </w:r>
      <w:r w:rsidR="00781D95">
        <w:rPr>
          <w:rFonts w:ascii="Times New Roman" w:eastAsia="Times New Roman" w:hAnsi="Times New Roman" w:cs="Times New Roman"/>
          <w:sz w:val="24"/>
          <w:szCs w:val="24"/>
        </w:rPr>
        <w:t>cereal imports</w:t>
      </w:r>
      <w:r>
        <w:rPr>
          <w:rFonts w:ascii="Times New Roman" w:eastAsia="Times New Roman" w:hAnsi="Times New Roman" w:cs="Times New Roman"/>
          <w:sz w:val="24"/>
          <w:szCs w:val="24"/>
        </w:rPr>
        <w:t xml:space="preserve"> in this model, in macroeconomics because a high price drives down demand, whereas a low price encourages buying and increases demand.</w:t>
      </w:r>
      <w:r>
        <w:rPr>
          <w:rStyle w:val="FootnoteReference"/>
          <w:rFonts w:ascii="Times New Roman" w:eastAsia="Times New Roman" w:hAnsi="Times New Roman" w:cs="Times New Roman"/>
          <w:sz w:val="24"/>
          <w:szCs w:val="24"/>
        </w:rPr>
        <w:footnoteReference w:id="47"/>
      </w:r>
      <w:r>
        <w:rPr>
          <w:rFonts w:ascii="Times New Roman" w:eastAsia="Times New Roman" w:hAnsi="Times New Roman" w:cs="Times New Roman"/>
          <w:sz w:val="24"/>
          <w:szCs w:val="24"/>
        </w:rPr>
        <w:t xml:space="preserve"> In 2008, the food price spike contributed directly to the collapse of demand and, subsequently, the global market.</w:t>
      </w:r>
      <w:r>
        <w:rPr>
          <w:rStyle w:val="FootnoteReference"/>
        </w:rPr>
        <w:footnoteReference w:id="48"/>
      </w:r>
    </w:p>
    <w:p w:rsidR="00D860ED" w:rsidRPr="00FD25C9" w:rsidRDefault="00D860ED" w:rsidP="00FD25C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this model, price was measured for ce</w:t>
      </w:r>
      <w:r w:rsidR="0063433E">
        <w:rPr>
          <w:rFonts w:ascii="Times New Roman" w:eastAsia="Times New Roman" w:hAnsi="Times New Roman" w:cs="Times New Roman"/>
          <w:sz w:val="24"/>
          <w:szCs w:val="24"/>
        </w:rPr>
        <w:t>reals, the main energy supplier in Omanis’ diets</w:t>
      </w:r>
      <w:r>
        <w:rPr>
          <w:rFonts w:ascii="Times New Roman" w:eastAsia="Times New Roman" w:hAnsi="Times New Roman" w:cs="Times New Roman"/>
          <w:sz w:val="24"/>
          <w:szCs w:val="24"/>
        </w:rPr>
        <w:t xml:space="preserve">, in </w:t>
      </w:r>
      <w:r w:rsidR="00781D95">
        <w:rPr>
          <w:rFonts w:ascii="Times New Roman" w:eastAsia="Times New Roman" w:hAnsi="Times New Roman" w:cs="Times New Roman"/>
          <w:sz w:val="24"/>
          <w:szCs w:val="24"/>
        </w:rPr>
        <w:t xml:space="preserve">constant 2005 </w:t>
      </w:r>
      <w:r>
        <w:rPr>
          <w:rFonts w:ascii="Times New Roman" w:eastAsia="Times New Roman" w:hAnsi="Times New Roman" w:cs="Times New Roman"/>
          <w:sz w:val="24"/>
          <w:szCs w:val="24"/>
        </w:rPr>
        <w:t xml:space="preserve">U.S. dollars per metric ton. The data spanned </w:t>
      </w:r>
      <w:r w:rsidR="00781D95">
        <w:rPr>
          <w:rFonts w:ascii="Times New Roman" w:eastAsia="Times New Roman" w:hAnsi="Times New Roman" w:cs="Times New Roman"/>
          <w:sz w:val="24"/>
          <w:szCs w:val="24"/>
        </w:rPr>
        <w:t>43</w:t>
      </w:r>
      <w:r>
        <w:rPr>
          <w:rFonts w:ascii="Times New Roman" w:eastAsia="Times New Roman" w:hAnsi="Times New Roman" w:cs="Times New Roman"/>
          <w:sz w:val="24"/>
          <w:szCs w:val="24"/>
        </w:rPr>
        <w:t xml:space="preserve"> years from 19</w:t>
      </w:r>
      <w:r w:rsidR="00781D95">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to 201</w:t>
      </w:r>
      <w:r w:rsidR="00781D9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but the data was not country specific and, therefore, required only </w:t>
      </w:r>
      <w:r w:rsidR="00781D95">
        <w:rPr>
          <w:rFonts w:ascii="Times New Roman" w:eastAsia="Times New Roman" w:hAnsi="Times New Roman" w:cs="Times New Roman"/>
          <w:sz w:val="24"/>
          <w:szCs w:val="24"/>
        </w:rPr>
        <w:t>43</w:t>
      </w:r>
      <w:r>
        <w:rPr>
          <w:rFonts w:ascii="Times New Roman" w:eastAsia="Times New Roman" w:hAnsi="Times New Roman" w:cs="Times New Roman"/>
          <w:sz w:val="24"/>
          <w:szCs w:val="24"/>
        </w:rPr>
        <w:t xml:space="preserve"> data points. The United States Department of Agriculture Economic Research Service presented the data at a monthly interval, so the </w:t>
      </w:r>
      <w:r w:rsidR="00781D95">
        <w:rPr>
          <w:rFonts w:ascii="Times New Roman" w:eastAsia="Times New Roman" w:hAnsi="Times New Roman" w:cs="Times New Roman"/>
          <w:sz w:val="24"/>
          <w:szCs w:val="24"/>
        </w:rPr>
        <w:t>average of the twelve months’ prices</w:t>
      </w:r>
      <w:r>
        <w:rPr>
          <w:rFonts w:ascii="Times New Roman" w:eastAsia="Times New Roman" w:hAnsi="Times New Roman" w:cs="Times New Roman"/>
          <w:sz w:val="24"/>
          <w:szCs w:val="24"/>
        </w:rPr>
        <w:t xml:space="preserve"> represent</w:t>
      </w:r>
      <w:r w:rsidR="00781D95">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year as a whole.</w:t>
      </w:r>
      <w:r>
        <w:rPr>
          <w:rStyle w:val="FootnoteReference"/>
          <w:rFonts w:ascii="Times New Roman" w:eastAsia="Times New Roman" w:hAnsi="Times New Roman" w:cs="Times New Roman"/>
          <w:sz w:val="24"/>
          <w:szCs w:val="24"/>
        </w:rPr>
        <w:footnoteReference w:id="49"/>
      </w:r>
      <w:r>
        <w:rPr>
          <w:rFonts w:ascii="Times New Roman" w:eastAsia="Times New Roman" w:hAnsi="Times New Roman" w:cs="Times New Roman"/>
          <w:sz w:val="24"/>
          <w:szCs w:val="24"/>
        </w:rPr>
        <w:t xml:space="preserve"> $1</w:t>
      </w:r>
      <w:r w:rsidR="00781D9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0 per metric ton served as the split point for the two bins, </w:t>
      </w:r>
      <w:r w:rsidR="00781D95">
        <w:rPr>
          <w:rFonts w:ascii="Times New Roman" w:eastAsia="Times New Roman" w:hAnsi="Times New Roman" w:cs="Times New Roman"/>
          <w:sz w:val="24"/>
          <w:szCs w:val="24"/>
        </w:rPr>
        <w:t>appearing as a recurring point of concavity on the line graph</w:t>
      </w:r>
      <w:r w:rsidR="00FD25C9">
        <w:rPr>
          <w:rFonts w:ascii="Times New Roman" w:eastAsia="Times New Roman" w:hAnsi="Times New Roman" w:cs="Times New Roman"/>
          <w:sz w:val="24"/>
          <w:szCs w:val="24"/>
        </w:rPr>
        <w:t xml:space="preserve"> of the data; </w:t>
      </w:r>
      <w:r w:rsidR="00E8402F">
        <w:rPr>
          <w:rFonts w:ascii="Times New Roman" w:eastAsia="Times New Roman" w:hAnsi="Times New Roman" w:cs="Times New Roman"/>
          <w:sz w:val="24"/>
          <w:szCs w:val="24"/>
        </w:rPr>
        <w:t xml:space="preserve">this concavity suggests that the prices change at a faster rate around $140 per metric ton and therefore produce greater </w:t>
      </w:r>
      <w:r w:rsidR="00E8402F" w:rsidRPr="00FD25C9">
        <w:rPr>
          <w:rFonts w:ascii="Times New Roman" w:eastAsia="Times New Roman" w:hAnsi="Times New Roman" w:cs="Times New Roman"/>
          <w:sz w:val="24"/>
          <w:szCs w:val="24"/>
        </w:rPr>
        <w:t>variability in cereal imports.</w:t>
      </w:r>
      <w:r w:rsidR="00E8402F" w:rsidRPr="00FD25C9">
        <w:rPr>
          <w:rStyle w:val="FootnoteReference"/>
          <w:rFonts w:ascii="Times New Roman" w:eastAsia="Times New Roman" w:hAnsi="Times New Roman" w:cs="Times New Roman"/>
          <w:sz w:val="24"/>
          <w:szCs w:val="24"/>
        </w:rPr>
        <w:footnoteReference w:id="50"/>
      </w:r>
    </w:p>
    <w:p w:rsidR="00D860ED" w:rsidRPr="00FD25C9" w:rsidRDefault="00D860ED" w:rsidP="00AE5078">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
          <w:sz w:val="24"/>
          <w:szCs w:val="24"/>
        </w:rPr>
      </w:pPr>
      <w:r w:rsidRPr="00FD25C9">
        <w:rPr>
          <w:rFonts w:ascii="Times New Roman" w:eastAsia="Times New Roman" w:hAnsi="Times New Roman" w:cs="Times New Roman"/>
          <w:sz w:val="24"/>
          <w:szCs w:val="24"/>
        </w:rPr>
        <w:tab/>
      </w:r>
      <w:r w:rsidRPr="00FD25C9">
        <w:rPr>
          <w:rFonts w:ascii="Times New Roman" w:eastAsia="Times New Roman" w:hAnsi="Times New Roman" w:cs="Times New Roman"/>
          <w:sz w:val="24"/>
          <w:szCs w:val="24"/>
        </w:rPr>
        <w:tab/>
        <w:t>Without a parent node, the probability distributions in Figure 1</w:t>
      </w:r>
      <w:r w:rsidR="00AE5078" w:rsidRPr="00FD25C9">
        <w:rPr>
          <w:rFonts w:ascii="Times New Roman" w:eastAsia="Times New Roman" w:hAnsi="Times New Roman" w:cs="Times New Roman"/>
          <w:sz w:val="24"/>
          <w:szCs w:val="24"/>
        </w:rPr>
        <w:t>6</w:t>
      </w:r>
      <w:r w:rsidRPr="00FD25C9">
        <w:rPr>
          <w:rFonts w:ascii="Times New Roman" w:eastAsia="Times New Roman" w:hAnsi="Times New Roman" w:cs="Times New Roman"/>
          <w:sz w:val="24"/>
          <w:szCs w:val="24"/>
        </w:rPr>
        <w:t xml:space="preserve"> simply represented the number of cases per bin for price divided by </w:t>
      </w:r>
      <w:r w:rsidR="00091670" w:rsidRPr="00FD25C9">
        <w:rPr>
          <w:rFonts w:ascii="Times New Roman" w:eastAsia="Times New Roman" w:hAnsi="Times New Roman" w:cs="Times New Roman"/>
          <w:sz w:val="24"/>
          <w:szCs w:val="24"/>
        </w:rPr>
        <w:t>43</w:t>
      </w:r>
      <w:r w:rsidRPr="00FD25C9">
        <w:rPr>
          <w:rFonts w:ascii="Times New Roman" w:eastAsia="Times New Roman" w:hAnsi="Times New Roman" w:cs="Times New Roman"/>
          <w:sz w:val="24"/>
          <w:szCs w:val="24"/>
        </w:rPr>
        <w:t>, the number of data points.</w:t>
      </w:r>
      <w:r w:rsidRPr="00FD25C9">
        <w:rPr>
          <w:noProof/>
        </w:rPr>
        <w:t xml:space="preserve">      </w:t>
      </w:r>
    </w:p>
    <w:tbl>
      <w:tblPr>
        <w:tblStyle w:val="TableGrid"/>
        <w:tblW w:w="0" w:type="auto"/>
        <w:jc w:val="center"/>
        <w:tblInd w:w="1435" w:type="dxa"/>
        <w:tblLook w:val="04A0" w:firstRow="1" w:lastRow="0" w:firstColumn="1" w:lastColumn="0" w:noHBand="0" w:noVBand="1"/>
      </w:tblPr>
      <w:tblGrid>
        <w:gridCol w:w="2800"/>
        <w:gridCol w:w="2803"/>
      </w:tblGrid>
      <w:tr w:rsidR="00876B77" w:rsidRPr="00FD25C9" w:rsidTr="00994363">
        <w:trPr>
          <w:trHeight w:val="385"/>
          <w:jc w:val="center"/>
        </w:trPr>
        <w:tc>
          <w:tcPr>
            <w:tcW w:w="5603" w:type="dxa"/>
            <w:gridSpan w:val="2"/>
            <w:shd w:val="clear" w:color="auto" w:fill="BFBFBF" w:themeFill="background1" w:themeFillShade="BF"/>
            <w:vAlign w:val="center"/>
          </w:tcPr>
          <w:p w:rsidR="00876B77" w:rsidRPr="00FD25C9" w:rsidRDefault="00876B77" w:rsidP="00C11D29">
            <w:pPr>
              <w:jc w:val="center"/>
              <w:rPr>
                <w:rFonts w:ascii="Times New Roman" w:eastAsia="Times New Roman" w:hAnsi="Times New Roman" w:cs="Times New Roman"/>
                <w:sz w:val="20"/>
                <w:szCs w:val="20"/>
              </w:rPr>
            </w:pPr>
            <w:r w:rsidRPr="00FD25C9">
              <w:rPr>
                <w:rFonts w:ascii="Times New Roman" w:eastAsia="Times New Roman" w:hAnsi="Times New Roman" w:cs="Times New Roman"/>
                <w:sz w:val="20"/>
                <w:szCs w:val="20"/>
              </w:rPr>
              <w:t>Price of Cereals (Constant 2005 $U.S. per Capita per Metric Ton)</w:t>
            </w:r>
          </w:p>
        </w:tc>
      </w:tr>
      <w:tr w:rsidR="00876B77" w:rsidRPr="00FD25C9" w:rsidTr="00994363">
        <w:trPr>
          <w:trHeight w:val="385"/>
          <w:jc w:val="center"/>
        </w:trPr>
        <w:tc>
          <w:tcPr>
            <w:tcW w:w="2800" w:type="dxa"/>
            <w:shd w:val="clear" w:color="auto" w:fill="BFBFBF" w:themeFill="background1" w:themeFillShade="BF"/>
            <w:vAlign w:val="center"/>
          </w:tcPr>
          <w:p w:rsidR="00876B77" w:rsidRPr="00FD25C9" w:rsidRDefault="00876B77" w:rsidP="00C11D29">
            <w:pPr>
              <w:jc w:val="center"/>
              <w:rPr>
                <w:rFonts w:ascii="Times New Roman" w:eastAsia="Times New Roman" w:hAnsi="Times New Roman" w:cs="Times New Roman"/>
                <w:b/>
                <w:bCs/>
                <w:sz w:val="20"/>
                <w:szCs w:val="20"/>
              </w:rPr>
            </w:pPr>
            <w:r w:rsidRPr="00FD25C9">
              <w:rPr>
                <w:rFonts w:ascii="Times New Roman" w:eastAsia="Times New Roman" w:hAnsi="Times New Roman" w:cs="Times New Roman"/>
                <w:b/>
                <w:bCs/>
                <w:sz w:val="20"/>
                <w:szCs w:val="20"/>
              </w:rPr>
              <w:t>Bin</w:t>
            </w:r>
          </w:p>
        </w:tc>
        <w:tc>
          <w:tcPr>
            <w:tcW w:w="2803" w:type="dxa"/>
            <w:vAlign w:val="center"/>
          </w:tcPr>
          <w:p w:rsidR="00876B77" w:rsidRPr="00FD25C9" w:rsidRDefault="00876B77" w:rsidP="00C11D29">
            <w:pPr>
              <w:jc w:val="center"/>
              <w:rPr>
                <w:rFonts w:ascii="Times New Roman" w:eastAsia="Times New Roman" w:hAnsi="Times New Roman" w:cs="Times New Roman"/>
                <w:b/>
                <w:bCs/>
                <w:sz w:val="20"/>
                <w:szCs w:val="20"/>
              </w:rPr>
            </w:pPr>
            <w:r w:rsidRPr="00FD25C9">
              <w:rPr>
                <w:rFonts w:ascii="Times New Roman" w:eastAsia="Times New Roman" w:hAnsi="Times New Roman" w:cs="Times New Roman"/>
                <w:b/>
                <w:bCs/>
                <w:sz w:val="20"/>
                <w:szCs w:val="20"/>
              </w:rPr>
              <w:t>Probability</w:t>
            </w:r>
          </w:p>
        </w:tc>
      </w:tr>
      <w:tr w:rsidR="00876B77" w:rsidRPr="00FD25C9" w:rsidTr="00994363">
        <w:trPr>
          <w:trHeight w:val="385"/>
          <w:jc w:val="center"/>
        </w:trPr>
        <w:tc>
          <w:tcPr>
            <w:tcW w:w="2800" w:type="dxa"/>
            <w:shd w:val="clear" w:color="auto" w:fill="BFBFBF" w:themeFill="background1" w:themeFillShade="BF"/>
            <w:vAlign w:val="center"/>
          </w:tcPr>
          <w:p w:rsidR="00876B77" w:rsidRPr="00FD25C9" w:rsidRDefault="00876B77" w:rsidP="00876B77">
            <w:pPr>
              <w:jc w:val="center"/>
              <w:rPr>
                <w:rFonts w:ascii="Times New Roman" w:eastAsia="Times New Roman" w:hAnsi="Times New Roman" w:cs="Times New Roman"/>
                <w:sz w:val="20"/>
                <w:szCs w:val="20"/>
              </w:rPr>
            </w:pPr>
            <w:r w:rsidRPr="00FD25C9">
              <w:rPr>
                <w:rFonts w:ascii="Times New Roman" w:eastAsia="Times New Roman" w:hAnsi="Times New Roman" w:cs="Times New Roman"/>
                <w:sz w:val="20"/>
                <w:szCs w:val="20"/>
              </w:rPr>
              <w:t>&lt;140</w:t>
            </w:r>
          </w:p>
        </w:tc>
        <w:tc>
          <w:tcPr>
            <w:tcW w:w="2803" w:type="dxa"/>
            <w:vAlign w:val="center"/>
          </w:tcPr>
          <w:p w:rsidR="00876B77" w:rsidRPr="00FD25C9" w:rsidRDefault="00876B77" w:rsidP="00C11D29">
            <w:pPr>
              <w:jc w:val="center"/>
              <w:rPr>
                <w:rFonts w:ascii="Times New Roman" w:eastAsia="Times New Roman" w:hAnsi="Times New Roman" w:cs="Times New Roman"/>
                <w:sz w:val="20"/>
                <w:szCs w:val="20"/>
              </w:rPr>
            </w:pPr>
            <w:r w:rsidRPr="00FD25C9">
              <w:rPr>
                <w:rFonts w:ascii="Times New Roman" w:eastAsia="Times New Roman" w:hAnsi="Times New Roman" w:cs="Times New Roman"/>
                <w:sz w:val="20"/>
                <w:szCs w:val="20"/>
              </w:rPr>
              <w:t>0.6977</w:t>
            </w:r>
          </w:p>
        </w:tc>
      </w:tr>
      <w:tr w:rsidR="00876B77" w:rsidRPr="00FD25C9" w:rsidTr="00994363">
        <w:trPr>
          <w:trHeight w:val="385"/>
          <w:jc w:val="center"/>
        </w:trPr>
        <w:tc>
          <w:tcPr>
            <w:tcW w:w="2800" w:type="dxa"/>
            <w:shd w:val="clear" w:color="auto" w:fill="BFBFBF" w:themeFill="background1" w:themeFillShade="BF"/>
            <w:vAlign w:val="center"/>
          </w:tcPr>
          <w:p w:rsidR="00876B77" w:rsidRPr="00FD25C9" w:rsidRDefault="00876B77" w:rsidP="00BE6FAA">
            <w:pPr>
              <w:jc w:val="center"/>
              <w:rPr>
                <w:rFonts w:ascii="Times New Roman" w:eastAsia="Times New Roman" w:hAnsi="Times New Roman" w:cs="Times New Roman"/>
                <w:sz w:val="20"/>
                <w:szCs w:val="20"/>
              </w:rPr>
            </w:pPr>
            <w:r w:rsidRPr="00FD25C9">
              <w:rPr>
                <w:rFonts w:ascii="Times New Roman" w:eastAsia="Times New Roman" w:hAnsi="Times New Roman" w:cs="Times New Roman"/>
                <w:sz w:val="20"/>
                <w:szCs w:val="20"/>
              </w:rPr>
              <w:t>&gt;140</w:t>
            </w:r>
          </w:p>
        </w:tc>
        <w:tc>
          <w:tcPr>
            <w:tcW w:w="2803" w:type="dxa"/>
            <w:vAlign w:val="center"/>
          </w:tcPr>
          <w:p w:rsidR="00876B77" w:rsidRPr="00FD25C9" w:rsidRDefault="00876B77" w:rsidP="00BE6FAA">
            <w:pPr>
              <w:jc w:val="center"/>
              <w:rPr>
                <w:rFonts w:ascii="Times New Roman" w:eastAsia="Times New Roman" w:hAnsi="Times New Roman" w:cs="Times New Roman"/>
                <w:sz w:val="20"/>
                <w:szCs w:val="20"/>
              </w:rPr>
            </w:pPr>
            <w:r w:rsidRPr="00FD25C9">
              <w:rPr>
                <w:rFonts w:ascii="Times New Roman" w:eastAsia="Times New Roman" w:hAnsi="Times New Roman" w:cs="Times New Roman"/>
                <w:sz w:val="20"/>
                <w:szCs w:val="20"/>
              </w:rPr>
              <w:t>0.3023</w:t>
            </w:r>
          </w:p>
        </w:tc>
      </w:tr>
    </w:tbl>
    <w:p w:rsidR="00876B77" w:rsidRPr="00FD25C9" w:rsidRDefault="00876B77" w:rsidP="00BE6FAA">
      <w:pPr>
        <w:spacing w:after="0" w:line="240" w:lineRule="auto"/>
        <w:jc w:val="center"/>
        <w:rPr>
          <w:rFonts w:ascii="Times New Roman" w:eastAsia="Times New Roman" w:hAnsi="Times New Roman" w:cs="Times New Roman"/>
          <w:b/>
          <w:sz w:val="24"/>
          <w:szCs w:val="24"/>
        </w:rPr>
      </w:pPr>
    </w:p>
    <w:p w:rsidR="00D860ED" w:rsidRDefault="00D860ED" w:rsidP="000C3340">
      <w:pPr>
        <w:pStyle w:val="Caption"/>
        <w:spacing w:after="0"/>
        <w:jc w:val="center"/>
        <w:rPr>
          <w:rFonts w:asciiTheme="majorBidi" w:hAnsiTheme="majorBidi" w:cstheme="majorBidi"/>
          <w:color w:val="auto"/>
          <w:sz w:val="24"/>
          <w:szCs w:val="24"/>
        </w:rPr>
      </w:pPr>
      <w:proofErr w:type="gramStart"/>
      <w:r w:rsidRPr="00FD25C9">
        <w:rPr>
          <w:rFonts w:asciiTheme="majorBidi" w:hAnsiTheme="majorBidi" w:cstheme="majorBidi"/>
          <w:color w:val="auto"/>
          <w:sz w:val="24"/>
          <w:szCs w:val="24"/>
        </w:rPr>
        <w:t xml:space="preserve">Figure </w:t>
      </w:r>
      <w:r w:rsidR="00AE5078" w:rsidRPr="00FD25C9">
        <w:rPr>
          <w:rFonts w:asciiTheme="majorBidi" w:hAnsiTheme="majorBidi" w:cstheme="majorBidi"/>
          <w:color w:val="auto"/>
          <w:sz w:val="24"/>
          <w:szCs w:val="24"/>
        </w:rPr>
        <w:t>16</w:t>
      </w:r>
      <w:r w:rsidRPr="00FD25C9">
        <w:rPr>
          <w:rFonts w:asciiTheme="majorBidi" w:hAnsiTheme="majorBidi" w:cstheme="majorBidi"/>
          <w:color w:val="auto"/>
          <w:sz w:val="24"/>
          <w:szCs w:val="24"/>
        </w:rPr>
        <w:t>.</w:t>
      </w:r>
      <w:proofErr w:type="gramEnd"/>
      <w:r w:rsidRPr="00FD25C9">
        <w:rPr>
          <w:rFonts w:asciiTheme="majorBidi" w:hAnsiTheme="majorBidi" w:cstheme="majorBidi"/>
          <w:color w:val="auto"/>
          <w:sz w:val="24"/>
          <w:szCs w:val="24"/>
        </w:rPr>
        <w:t xml:space="preserve"> Probability Table for Price</w:t>
      </w:r>
      <w:r w:rsidR="00091670" w:rsidRPr="00FD25C9">
        <w:rPr>
          <w:rFonts w:asciiTheme="majorBidi" w:hAnsiTheme="majorBidi" w:cstheme="majorBidi"/>
          <w:color w:val="auto"/>
          <w:sz w:val="24"/>
          <w:szCs w:val="24"/>
        </w:rPr>
        <w:t xml:space="preserve"> of Cereals</w:t>
      </w:r>
    </w:p>
    <w:p w:rsidR="00BE6FAA" w:rsidRPr="00BE6FAA" w:rsidRDefault="00BE6FAA" w:rsidP="00BE6FAA"/>
    <w:p w:rsidR="00D860ED" w:rsidRDefault="00D860ED" w:rsidP="00D860ED">
      <w:pPr>
        <w:pStyle w:val="ListParagraph"/>
        <w:widowControl w:val="0"/>
        <w:numPr>
          <w:ilvl w:val="0"/>
          <w:numId w:val="6"/>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Imports of Cereals per Capita</w:t>
      </w:r>
    </w:p>
    <w:p w:rsidR="00D860ED" w:rsidRDefault="00D860ED" w:rsidP="00CE1188">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51580A">
        <w:rPr>
          <w:rFonts w:ascii="Times New Roman" w:eastAsia="Times New Roman" w:hAnsi="Times New Roman" w:cs="Times New Roman"/>
          <w:bCs/>
          <w:sz w:val="24"/>
          <w:szCs w:val="24"/>
        </w:rPr>
        <w:t>The food imports</w:t>
      </w:r>
      <w:r w:rsidR="0063433E">
        <w:rPr>
          <w:rFonts w:ascii="Times New Roman" w:eastAsia="Times New Roman" w:hAnsi="Times New Roman" w:cs="Times New Roman"/>
          <w:bCs/>
          <w:sz w:val="24"/>
          <w:szCs w:val="24"/>
        </w:rPr>
        <w:t xml:space="preserve"> per capita</w:t>
      </w:r>
      <w:r w:rsidRPr="0051580A">
        <w:rPr>
          <w:rFonts w:ascii="Times New Roman" w:eastAsia="Times New Roman" w:hAnsi="Times New Roman" w:cs="Times New Roman"/>
          <w:bCs/>
          <w:sz w:val="24"/>
          <w:szCs w:val="24"/>
        </w:rPr>
        <w:t xml:space="preserve"> node receives</w:t>
      </w:r>
      <w:r w:rsidR="0063433E">
        <w:rPr>
          <w:rFonts w:ascii="Times New Roman" w:eastAsia="Times New Roman" w:hAnsi="Times New Roman" w:cs="Times New Roman"/>
          <w:bCs/>
          <w:sz w:val="24"/>
          <w:szCs w:val="24"/>
        </w:rPr>
        <w:t xml:space="preserve"> data from three parent nodes, trade per capita</w:t>
      </w:r>
      <w:r w:rsidRPr="0051580A">
        <w:rPr>
          <w:rFonts w:ascii="Times New Roman" w:eastAsia="Times New Roman" w:hAnsi="Times New Roman" w:cs="Times New Roman"/>
          <w:bCs/>
          <w:sz w:val="24"/>
          <w:szCs w:val="24"/>
        </w:rPr>
        <w:t xml:space="preserve">, international </w:t>
      </w:r>
      <w:r>
        <w:rPr>
          <w:rFonts w:ascii="Times New Roman" w:eastAsia="Times New Roman" w:hAnsi="Times New Roman" w:cs="Times New Roman"/>
          <w:bCs/>
          <w:sz w:val="24"/>
          <w:szCs w:val="24"/>
        </w:rPr>
        <w:t>exports</w:t>
      </w:r>
      <w:r w:rsidR="0063433E">
        <w:rPr>
          <w:rFonts w:ascii="Times New Roman" w:eastAsia="Times New Roman" w:hAnsi="Times New Roman" w:cs="Times New Roman"/>
          <w:bCs/>
          <w:sz w:val="24"/>
          <w:szCs w:val="24"/>
        </w:rPr>
        <w:t xml:space="preserve"> of cereals</w:t>
      </w:r>
      <w:r>
        <w:rPr>
          <w:rFonts w:ascii="Times New Roman" w:eastAsia="Times New Roman" w:hAnsi="Times New Roman" w:cs="Times New Roman"/>
          <w:bCs/>
          <w:sz w:val="24"/>
          <w:szCs w:val="24"/>
        </w:rPr>
        <w:t>, and prices</w:t>
      </w:r>
      <w:r w:rsidR="0063433E">
        <w:rPr>
          <w:rFonts w:ascii="Times New Roman" w:eastAsia="Times New Roman" w:hAnsi="Times New Roman" w:cs="Times New Roman"/>
          <w:bCs/>
          <w:sz w:val="24"/>
          <w:szCs w:val="24"/>
        </w:rPr>
        <w:t xml:space="preserve"> of cereals</w:t>
      </w:r>
      <w:r>
        <w:rPr>
          <w:rFonts w:ascii="Times New Roman" w:eastAsia="Times New Roman" w:hAnsi="Times New Roman" w:cs="Times New Roman"/>
          <w:bCs/>
          <w:sz w:val="24"/>
          <w:szCs w:val="24"/>
        </w:rPr>
        <w:t xml:space="preserve">, and it connects to the </w:t>
      </w:r>
      <w:r w:rsidR="0063433E">
        <w:rPr>
          <w:rFonts w:ascii="Times New Roman" w:eastAsia="Times New Roman" w:hAnsi="Times New Roman" w:cs="Times New Roman"/>
          <w:bCs/>
          <w:sz w:val="24"/>
          <w:szCs w:val="24"/>
        </w:rPr>
        <w:t xml:space="preserve">annual food supply per capita </w:t>
      </w:r>
      <w:r>
        <w:rPr>
          <w:rFonts w:ascii="Times New Roman" w:eastAsia="Times New Roman" w:hAnsi="Times New Roman" w:cs="Times New Roman"/>
          <w:bCs/>
          <w:sz w:val="24"/>
          <w:szCs w:val="24"/>
        </w:rPr>
        <w:t xml:space="preserve">node beneath it. In contributing to the total </w:t>
      </w:r>
      <w:r w:rsidR="0063433E">
        <w:rPr>
          <w:rFonts w:ascii="Times New Roman" w:eastAsia="Times New Roman" w:hAnsi="Times New Roman" w:cs="Times New Roman"/>
          <w:bCs/>
          <w:sz w:val="24"/>
          <w:szCs w:val="24"/>
        </w:rPr>
        <w:t>amount of food available</w:t>
      </w:r>
      <w:r>
        <w:rPr>
          <w:rFonts w:ascii="Times New Roman" w:eastAsia="Times New Roman" w:hAnsi="Times New Roman" w:cs="Times New Roman"/>
          <w:bCs/>
          <w:sz w:val="24"/>
          <w:szCs w:val="24"/>
        </w:rPr>
        <w:t xml:space="preserve"> for consumption by the population, food imports account for 90% of the Gulf Cooperation Council’s food supply and 80% of Oman’s food supply. Furthermore, these imports are expected to grow to $4.8 billion </w:t>
      </w:r>
      <w:r>
        <w:rPr>
          <w:rFonts w:ascii="Times New Roman" w:eastAsia="Times New Roman" w:hAnsi="Times New Roman" w:cs="Times New Roman"/>
          <w:bCs/>
          <w:sz w:val="24"/>
          <w:szCs w:val="24"/>
        </w:rPr>
        <w:lastRenderedPageBreak/>
        <w:t>and over 3.2 million tons, a 5.3 percent increase from 2011, by 2020.</w:t>
      </w:r>
      <w:r>
        <w:rPr>
          <w:rStyle w:val="FootnoteReference"/>
          <w:rFonts w:ascii="Times New Roman" w:eastAsia="Times New Roman" w:hAnsi="Times New Roman" w:cs="Times New Roman"/>
          <w:bCs/>
          <w:sz w:val="24"/>
          <w:szCs w:val="24"/>
        </w:rPr>
        <w:footnoteReference w:id="51"/>
      </w:r>
      <w:r>
        <w:rPr>
          <w:rFonts w:ascii="Times New Roman" w:eastAsia="Times New Roman" w:hAnsi="Times New Roman" w:cs="Times New Roman"/>
          <w:bCs/>
          <w:sz w:val="24"/>
          <w:szCs w:val="24"/>
        </w:rPr>
        <w:t xml:space="preserve"> </w:t>
      </w:r>
    </w:p>
    <w:p w:rsidR="00D860ED" w:rsidRPr="00FD25C9" w:rsidRDefault="00D860ED" w:rsidP="00FF0716">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AE5078">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FAOSTAT contributed </w:t>
      </w:r>
      <w:r w:rsidR="00CE1188">
        <w:rPr>
          <w:rFonts w:ascii="Times New Roman" w:eastAsia="Times New Roman" w:hAnsi="Times New Roman" w:cs="Times New Roman"/>
          <w:bCs/>
          <w:sz w:val="24"/>
          <w:szCs w:val="24"/>
        </w:rPr>
        <w:t>43</w:t>
      </w:r>
      <w:r>
        <w:rPr>
          <w:rFonts w:ascii="Times New Roman" w:eastAsia="Times New Roman" w:hAnsi="Times New Roman" w:cs="Times New Roman"/>
          <w:bCs/>
          <w:sz w:val="24"/>
          <w:szCs w:val="24"/>
        </w:rPr>
        <w:t xml:space="preserve"> years of data </w:t>
      </w:r>
      <w:r w:rsidR="00AE5078">
        <w:rPr>
          <w:rFonts w:ascii="Times New Roman" w:eastAsia="Times New Roman" w:hAnsi="Times New Roman" w:cs="Times New Roman"/>
          <w:bCs/>
          <w:sz w:val="24"/>
          <w:szCs w:val="24"/>
        </w:rPr>
        <w:t xml:space="preserve">from 1970 to 2012 </w:t>
      </w:r>
      <w:r>
        <w:rPr>
          <w:rFonts w:ascii="Times New Roman" w:eastAsia="Times New Roman" w:hAnsi="Times New Roman" w:cs="Times New Roman"/>
          <w:bCs/>
          <w:sz w:val="24"/>
          <w:szCs w:val="24"/>
        </w:rPr>
        <w:t xml:space="preserve">on the import of cereals, </w:t>
      </w:r>
      <w:r w:rsidR="008017FD">
        <w:rPr>
          <w:rFonts w:ascii="Times New Roman" w:eastAsia="Times New Roman" w:hAnsi="Times New Roman" w:cs="Times New Roman"/>
          <w:bCs/>
          <w:sz w:val="24"/>
          <w:szCs w:val="24"/>
        </w:rPr>
        <w:t>converted from</w:t>
      </w:r>
      <w:r>
        <w:rPr>
          <w:rFonts w:ascii="Times New Roman" w:eastAsia="Times New Roman" w:hAnsi="Times New Roman" w:cs="Times New Roman"/>
          <w:bCs/>
          <w:sz w:val="24"/>
          <w:szCs w:val="24"/>
        </w:rPr>
        <w:t xml:space="preserve"> tons</w:t>
      </w:r>
      <w:r w:rsidR="008017FD">
        <w:rPr>
          <w:rFonts w:ascii="Times New Roman" w:eastAsia="Times New Roman" w:hAnsi="Times New Roman" w:cs="Times New Roman"/>
          <w:bCs/>
          <w:sz w:val="24"/>
          <w:szCs w:val="24"/>
        </w:rPr>
        <w:t xml:space="preserve"> to tons per capita by dividing by population</w:t>
      </w:r>
      <w:r w:rsidR="00AE5078">
        <w:rPr>
          <w:rFonts w:ascii="Times New Roman" w:eastAsia="Times New Roman" w:hAnsi="Times New Roman" w:cs="Times New Roman"/>
          <w:bCs/>
          <w:sz w:val="24"/>
          <w:szCs w:val="24"/>
        </w:rPr>
        <w:t>.</w:t>
      </w:r>
      <w:r>
        <w:rPr>
          <w:rStyle w:val="FootnoteReference"/>
          <w:rFonts w:ascii="Times New Roman" w:eastAsia="Times New Roman" w:hAnsi="Times New Roman" w:cs="Times New Roman"/>
          <w:bCs/>
          <w:sz w:val="24"/>
          <w:szCs w:val="24"/>
        </w:rPr>
        <w:footnoteReference w:id="52"/>
      </w:r>
      <w:r>
        <w:rPr>
          <w:rFonts w:ascii="Times New Roman" w:eastAsia="Times New Roman" w:hAnsi="Times New Roman" w:cs="Times New Roman"/>
          <w:bCs/>
          <w:sz w:val="24"/>
          <w:szCs w:val="24"/>
        </w:rPr>
        <w:t xml:space="preserve"> </w:t>
      </w:r>
      <w:r w:rsidR="00CE1188">
        <w:rPr>
          <w:rFonts w:ascii="Times New Roman" w:eastAsia="Times New Roman" w:hAnsi="Times New Roman" w:cs="Times New Roman"/>
          <w:bCs/>
          <w:sz w:val="24"/>
          <w:szCs w:val="24"/>
        </w:rPr>
        <w:t xml:space="preserve">172 </w:t>
      </w:r>
      <w:r>
        <w:rPr>
          <w:rFonts w:ascii="Times New Roman" w:eastAsia="Times New Roman" w:hAnsi="Times New Roman" w:cs="Times New Roman"/>
          <w:bCs/>
          <w:sz w:val="24"/>
          <w:szCs w:val="24"/>
        </w:rPr>
        <w:t>data points were aggregated from four countries, Oman, the United Arab Emirates, Saudi Arabia, and Kuwait, and cereals were the focus in order to stay consistent with the rest of the n</w:t>
      </w:r>
      <w:r w:rsidR="008017FD">
        <w:rPr>
          <w:rFonts w:ascii="Times New Roman" w:eastAsia="Times New Roman" w:hAnsi="Times New Roman" w:cs="Times New Roman"/>
          <w:bCs/>
          <w:sz w:val="24"/>
          <w:szCs w:val="24"/>
        </w:rPr>
        <w:t>odes in the trade category. The split point</w:t>
      </w:r>
      <w:r>
        <w:rPr>
          <w:rFonts w:ascii="Times New Roman" w:eastAsia="Times New Roman" w:hAnsi="Times New Roman" w:cs="Times New Roman"/>
          <w:bCs/>
          <w:sz w:val="24"/>
          <w:szCs w:val="24"/>
        </w:rPr>
        <w:t xml:space="preserve"> for the </w:t>
      </w:r>
      <w:r w:rsidR="008017FD">
        <w:rPr>
          <w:rFonts w:ascii="Times New Roman" w:eastAsia="Times New Roman" w:hAnsi="Times New Roman" w:cs="Times New Roman"/>
          <w:bCs/>
          <w:sz w:val="24"/>
          <w:szCs w:val="24"/>
        </w:rPr>
        <w:t>two bins</w:t>
      </w:r>
      <w:r>
        <w:rPr>
          <w:rFonts w:ascii="Times New Roman" w:eastAsia="Times New Roman" w:hAnsi="Times New Roman" w:cs="Times New Roman"/>
          <w:bCs/>
          <w:sz w:val="24"/>
          <w:szCs w:val="24"/>
        </w:rPr>
        <w:t xml:space="preserve"> was </w:t>
      </w:r>
      <w:r w:rsidR="008017FD">
        <w:rPr>
          <w:rFonts w:ascii="Times New Roman" w:eastAsia="Times New Roman" w:hAnsi="Times New Roman" w:cs="Times New Roman"/>
          <w:bCs/>
          <w:sz w:val="24"/>
          <w:szCs w:val="24"/>
        </w:rPr>
        <w:t xml:space="preserve">0.25 </w:t>
      </w:r>
      <w:r>
        <w:rPr>
          <w:rFonts w:ascii="Times New Roman" w:eastAsia="Times New Roman" w:hAnsi="Times New Roman" w:cs="Times New Roman"/>
          <w:bCs/>
          <w:sz w:val="24"/>
          <w:szCs w:val="24"/>
        </w:rPr>
        <w:t>tons</w:t>
      </w:r>
      <w:r w:rsidR="008017FD">
        <w:rPr>
          <w:rFonts w:ascii="Times New Roman" w:eastAsia="Times New Roman" w:hAnsi="Times New Roman" w:cs="Times New Roman"/>
          <w:bCs/>
          <w:sz w:val="24"/>
          <w:szCs w:val="24"/>
        </w:rPr>
        <w:t xml:space="preserve"> per capita</w:t>
      </w:r>
      <w:r>
        <w:rPr>
          <w:rFonts w:ascii="Times New Roman" w:eastAsia="Times New Roman" w:hAnsi="Times New Roman" w:cs="Times New Roman"/>
          <w:bCs/>
          <w:sz w:val="24"/>
          <w:szCs w:val="24"/>
        </w:rPr>
        <w:t xml:space="preserve">, </w:t>
      </w:r>
      <w:r w:rsidR="008017FD">
        <w:rPr>
          <w:rFonts w:ascii="Times New Roman" w:eastAsia="Times New Roman" w:hAnsi="Times New Roman" w:cs="Times New Roman"/>
          <w:bCs/>
          <w:sz w:val="24"/>
          <w:szCs w:val="24"/>
        </w:rPr>
        <w:t xml:space="preserve">the value that this study anticipates would result in insufficient cereal imports, as in 2004 </w:t>
      </w:r>
      <w:r w:rsidR="00FF0716">
        <w:rPr>
          <w:rFonts w:ascii="Times New Roman" w:eastAsia="Times New Roman" w:hAnsi="Times New Roman" w:cs="Times New Roman"/>
          <w:bCs/>
          <w:sz w:val="24"/>
          <w:szCs w:val="24"/>
        </w:rPr>
        <w:t>when China’s cereal stocks hit their lowest point since the early 1980s and when the United States and European Union began their two-year decline in w</w:t>
      </w:r>
      <w:r w:rsidR="00FF0716" w:rsidRPr="00FD25C9">
        <w:rPr>
          <w:rFonts w:ascii="Times New Roman" w:eastAsia="Times New Roman" w:hAnsi="Times New Roman" w:cs="Times New Roman"/>
          <w:bCs/>
          <w:sz w:val="24"/>
          <w:szCs w:val="24"/>
        </w:rPr>
        <w:t>heat and maize production.</w:t>
      </w:r>
      <w:r w:rsidR="00FF0716" w:rsidRPr="00FD25C9">
        <w:rPr>
          <w:rStyle w:val="FootnoteReference"/>
          <w:rFonts w:ascii="Times New Roman" w:eastAsia="Times New Roman" w:hAnsi="Times New Roman" w:cs="Times New Roman"/>
          <w:bCs/>
          <w:sz w:val="24"/>
          <w:szCs w:val="24"/>
        </w:rPr>
        <w:footnoteReference w:id="53"/>
      </w:r>
    </w:p>
    <w:p w:rsidR="00D860ED" w:rsidRDefault="00D860ED" w:rsidP="00FF0716">
      <w:pPr>
        <w:spacing w:after="0" w:line="480" w:lineRule="auto"/>
        <w:ind w:firstLine="720"/>
        <w:rPr>
          <w:rFonts w:ascii="Times New Roman" w:eastAsia="Times New Roman" w:hAnsi="Times New Roman" w:cs="Times New Roman"/>
          <w:sz w:val="24"/>
          <w:szCs w:val="24"/>
        </w:rPr>
      </w:pPr>
      <w:r w:rsidRPr="00FD25C9">
        <w:rPr>
          <w:rFonts w:ascii="Times New Roman" w:eastAsia="Times New Roman" w:hAnsi="Times New Roman" w:cs="Times New Roman"/>
          <w:sz w:val="24"/>
          <w:szCs w:val="24"/>
        </w:rPr>
        <w:t>The table in Figure 1</w:t>
      </w:r>
      <w:r w:rsidR="00FF0716" w:rsidRPr="00FD25C9">
        <w:rPr>
          <w:rFonts w:ascii="Times New Roman" w:eastAsia="Times New Roman" w:hAnsi="Times New Roman" w:cs="Times New Roman"/>
          <w:sz w:val="24"/>
          <w:szCs w:val="24"/>
        </w:rPr>
        <w:t>7a</w:t>
      </w:r>
      <w:r w:rsidRPr="00FD25C9">
        <w:rPr>
          <w:rFonts w:ascii="Times New Roman" w:eastAsia="Times New Roman" w:hAnsi="Times New Roman" w:cs="Times New Roman"/>
          <w:sz w:val="24"/>
          <w:szCs w:val="24"/>
        </w:rPr>
        <w:t xml:space="preserve"> demonstrate</w:t>
      </w:r>
      <w:r w:rsidR="000C3340" w:rsidRPr="00FD25C9">
        <w:rPr>
          <w:rFonts w:ascii="Times New Roman" w:eastAsia="Times New Roman" w:hAnsi="Times New Roman" w:cs="Times New Roman"/>
          <w:sz w:val="24"/>
          <w:szCs w:val="24"/>
        </w:rPr>
        <w:t>s</w:t>
      </w:r>
      <w:r w:rsidRPr="00FD25C9">
        <w:rPr>
          <w:rFonts w:ascii="Times New Roman" w:eastAsia="Times New Roman" w:hAnsi="Times New Roman" w:cs="Times New Roman"/>
          <w:sz w:val="24"/>
          <w:szCs w:val="24"/>
        </w:rPr>
        <w:t xml:space="preserve"> a skew towards imports</w:t>
      </w:r>
      <w:r w:rsidR="00FF0716" w:rsidRPr="00FD25C9">
        <w:rPr>
          <w:rFonts w:ascii="Times New Roman" w:eastAsia="Times New Roman" w:hAnsi="Times New Roman" w:cs="Times New Roman"/>
          <w:sz w:val="24"/>
          <w:szCs w:val="24"/>
        </w:rPr>
        <w:t xml:space="preserve"> of cereals </w:t>
      </w:r>
      <w:r w:rsidRPr="00FD25C9">
        <w:rPr>
          <w:rFonts w:ascii="Times New Roman" w:eastAsia="Times New Roman" w:hAnsi="Times New Roman" w:cs="Times New Roman"/>
          <w:sz w:val="24"/>
          <w:szCs w:val="24"/>
        </w:rPr>
        <w:t xml:space="preserve">under </w:t>
      </w:r>
      <w:r w:rsidR="008017FD" w:rsidRPr="00FD25C9">
        <w:rPr>
          <w:rFonts w:ascii="Times New Roman" w:eastAsia="Times New Roman" w:hAnsi="Times New Roman" w:cs="Times New Roman"/>
          <w:sz w:val="24"/>
          <w:szCs w:val="24"/>
        </w:rPr>
        <w:t>0.25 tons per capita</w:t>
      </w:r>
      <w:r w:rsidRPr="00FD25C9">
        <w:rPr>
          <w:rFonts w:ascii="Times New Roman" w:eastAsia="Times New Roman" w:hAnsi="Times New Roman" w:cs="Times New Roman"/>
          <w:sz w:val="24"/>
          <w:szCs w:val="24"/>
        </w:rPr>
        <w:t>, enabling better observation of the recent ri</w:t>
      </w:r>
      <w:r w:rsidR="00FF0716" w:rsidRPr="00FD25C9">
        <w:rPr>
          <w:rFonts w:ascii="Times New Roman" w:eastAsia="Times New Roman" w:hAnsi="Times New Roman" w:cs="Times New Roman"/>
          <w:sz w:val="24"/>
          <w:szCs w:val="24"/>
        </w:rPr>
        <w:t xml:space="preserve">se in imports. The table in Figure 17b </w:t>
      </w:r>
      <w:r w:rsidRPr="00FD25C9">
        <w:rPr>
          <w:rFonts w:ascii="Times New Roman" w:eastAsia="Times New Roman" w:hAnsi="Times New Roman" w:cs="Times New Roman"/>
          <w:sz w:val="24"/>
          <w:szCs w:val="24"/>
        </w:rPr>
        <w:t>shows the conditional probabilit</w:t>
      </w:r>
      <w:r w:rsidR="008017FD" w:rsidRPr="00FD25C9">
        <w:rPr>
          <w:rFonts w:ascii="Times New Roman" w:eastAsia="Times New Roman" w:hAnsi="Times New Roman" w:cs="Times New Roman"/>
          <w:sz w:val="24"/>
          <w:szCs w:val="24"/>
        </w:rPr>
        <w:t xml:space="preserve">ies between </w:t>
      </w:r>
      <w:proofErr w:type="gramStart"/>
      <w:r w:rsidR="008017FD" w:rsidRPr="00FD25C9">
        <w:rPr>
          <w:rFonts w:ascii="Times New Roman" w:eastAsia="Times New Roman" w:hAnsi="Times New Roman" w:cs="Times New Roman"/>
          <w:sz w:val="24"/>
          <w:szCs w:val="24"/>
        </w:rPr>
        <w:t>trade</w:t>
      </w:r>
      <w:proofErr w:type="gramEnd"/>
      <w:r w:rsidR="008017FD" w:rsidRPr="00FD25C9">
        <w:rPr>
          <w:rFonts w:ascii="Times New Roman" w:eastAsia="Times New Roman" w:hAnsi="Times New Roman" w:cs="Times New Roman"/>
          <w:sz w:val="24"/>
          <w:szCs w:val="24"/>
        </w:rPr>
        <w:t xml:space="preserve"> per capita</w:t>
      </w:r>
      <w:r w:rsidRPr="00FD25C9">
        <w:rPr>
          <w:rFonts w:ascii="Times New Roman" w:eastAsia="Times New Roman" w:hAnsi="Times New Roman" w:cs="Times New Roman"/>
          <w:sz w:val="24"/>
          <w:szCs w:val="24"/>
        </w:rPr>
        <w:t>, international exports</w:t>
      </w:r>
      <w:r w:rsidR="008017FD" w:rsidRPr="00FD25C9">
        <w:rPr>
          <w:rFonts w:ascii="Times New Roman" w:eastAsia="Times New Roman" w:hAnsi="Times New Roman" w:cs="Times New Roman"/>
          <w:sz w:val="24"/>
          <w:szCs w:val="24"/>
        </w:rPr>
        <w:t xml:space="preserve"> of cereals</w:t>
      </w:r>
      <w:r w:rsidRPr="00FD25C9">
        <w:rPr>
          <w:rFonts w:ascii="Times New Roman" w:eastAsia="Times New Roman" w:hAnsi="Times New Roman" w:cs="Times New Roman"/>
          <w:sz w:val="24"/>
          <w:szCs w:val="24"/>
        </w:rPr>
        <w:t>,</w:t>
      </w:r>
      <w:r w:rsidR="008017FD" w:rsidRPr="00FD25C9">
        <w:rPr>
          <w:rFonts w:ascii="Times New Roman" w:eastAsia="Times New Roman" w:hAnsi="Times New Roman" w:cs="Times New Roman"/>
          <w:sz w:val="24"/>
          <w:szCs w:val="24"/>
        </w:rPr>
        <w:t xml:space="preserve"> price of cereals, and imports of cereals per capita.</w:t>
      </w:r>
    </w:p>
    <w:p w:rsidR="009D6A39" w:rsidRDefault="009D6A39" w:rsidP="00FF0716">
      <w:pPr>
        <w:spacing w:after="0" w:line="480" w:lineRule="auto"/>
        <w:ind w:firstLine="720"/>
        <w:rPr>
          <w:rFonts w:ascii="Times New Roman" w:eastAsia="Times New Roman" w:hAnsi="Times New Roman" w:cs="Times New Roman"/>
          <w:sz w:val="24"/>
          <w:szCs w:val="24"/>
        </w:rPr>
      </w:pPr>
    </w:p>
    <w:p w:rsidR="009D6A39" w:rsidRDefault="009D6A39" w:rsidP="00FF0716">
      <w:pPr>
        <w:spacing w:after="0" w:line="480" w:lineRule="auto"/>
        <w:ind w:firstLine="720"/>
        <w:rPr>
          <w:rFonts w:ascii="Times New Roman" w:eastAsia="Times New Roman" w:hAnsi="Times New Roman" w:cs="Times New Roman"/>
          <w:sz w:val="24"/>
          <w:szCs w:val="24"/>
        </w:rPr>
      </w:pPr>
    </w:p>
    <w:p w:rsidR="009D6A39" w:rsidRDefault="009D6A39" w:rsidP="00FF0716">
      <w:pPr>
        <w:spacing w:after="0" w:line="480" w:lineRule="auto"/>
        <w:ind w:firstLine="720"/>
        <w:rPr>
          <w:rFonts w:ascii="Times New Roman" w:eastAsia="Times New Roman" w:hAnsi="Times New Roman" w:cs="Times New Roman"/>
          <w:sz w:val="24"/>
          <w:szCs w:val="24"/>
        </w:rPr>
      </w:pPr>
    </w:p>
    <w:p w:rsidR="009D6A39" w:rsidRDefault="009D6A39" w:rsidP="00FF0716">
      <w:pPr>
        <w:spacing w:after="0" w:line="480" w:lineRule="auto"/>
        <w:ind w:firstLine="720"/>
        <w:rPr>
          <w:rFonts w:ascii="Times New Roman" w:eastAsia="Times New Roman" w:hAnsi="Times New Roman" w:cs="Times New Roman"/>
          <w:sz w:val="24"/>
          <w:szCs w:val="24"/>
        </w:rPr>
      </w:pPr>
    </w:p>
    <w:p w:rsidR="009D6A39" w:rsidRDefault="009D6A39" w:rsidP="00FF0716">
      <w:pPr>
        <w:spacing w:after="0" w:line="480" w:lineRule="auto"/>
        <w:ind w:firstLine="720"/>
        <w:rPr>
          <w:rFonts w:ascii="Times New Roman" w:eastAsia="Times New Roman" w:hAnsi="Times New Roman" w:cs="Times New Roman"/>
          <w:sz w:val="24"/>
          <w:szCs w:val="24"/>
        </w:rPr>
      </w:pPr>
    </w:p>
    <w:p w:rsidR="009D6A39" w:rsidRPr="00FD25C9" w:rsidRDefault="009D6A39" w:rsidP="00FF0716">
      <w:pPr>
        <w:spacing w:after="0" w:line="480" w:lineRule="auto"/>
        <w:ind w:firstLine="720"/>
      </w:pPr>
    </w:p>
    <w:p w:rsidR="00CE1188" w:rsidRPr="00FD25C9" w:rsidRDefault="000C3340" w:rsidP="00D860ED">
      <w:pPr>
        <w:spacing w:after="0" w:line="480" w:lineRule="auto"/>
        <w:jc w:val="center"/>
        <w:rPr>
          <w:noProof/>
        </w:rPr>
      </w:pPr>
      <w:r w:rsidRPr="00FD25C9">
        <w:rPr>
          <w:noProof/>
        </w:rPr>
        <w:lastRenderedPageBreak/>
        <w:drawing>
          <wp:inline distT="0" distB="0" distL="0" distR="0" wp14:anchorId="75E93955" wp14:editId="0F495816">
            <wp:extent cx="2976564" cy="1152524"/>
            <wp:effectExtent l="0" t="0" r="14605" b="101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F0716" w:rsidRPr="00FD25C9" w:rsidRDefault="00FF0716" w:rsidP="00FF0716">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r w:rsidRPr="00FD25C9">
        <w:rPr>
          <w:rFonts w:asciiTheme="majorBidi" w:hAnsiTheme="majorBidi" w:cstheme="majorBidi"/>
          <w:noProof/>
          <w:sz w:val="24"/>
          <w:szCs w:val="24"/>
        </w:rPr>
        <w:t>(a) Simple Probability Table</w:t>
      </w:r>
    </w:p>
    <w:p w:rsidR="00FF0716" w:rsidRPr="00FD25C9" w:rsidRDefault="00FF0716" w:rsidP="00FF0716">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p>
    <w:tbl>
      <w:tblPr>
        <w:tblStyle w:val="TableGrid"/>
        <w:tblW w:w="9360" w:type="dxa"/>
        <w:jc w:val="center"/>
        <w:tblInd w:w="-432" w:type="dxa"/>
        <w:tblLayout w:type="fixed"/>
        <w:tblLook w:val="04A0" w:firstRow="1" w:lastRow="0" w:firstColumn="1" w:lastColumn="0" w:noHBand="0" w:noVBand="1"/>
      </w:tblPr>
      <w:tblGrid>
        <w:gridCol w:w="1800"/>
        <w:gridCol w:w="630"/>
        <w:gridCol w:w="630"/>
        <w:gridCol w:w="630"/>
        <w:gridCol w:w="630"/>
        <w:gridCol w:w="630"/>
        <w:gridCol w:w="630"/>
        <w:gridCol w:w="630"/>
        <w:gridCol w:w="630"/>
        <w:gridCol w:w="630"/>
        <w:gridCol w:w="630"/>
        <w:gridCol w:w="630"/>
        <w:gridCol w:w="630"/>
      </w:tblGrid>
      <w:tr w:rsidR="00994363" w:rsidRPr="00FD25C9" w:rsidTr="00D213DD">
        <w:trPr>
          <w:jc w:val="center"/>
        </w:trPr>
        <w:tc>
          <w:tcPr>
            <w:tcW w:w="9360" w:type="dxa"/>
            <w:gridSpan w:val="13"/>
            <w:shd w:val="clear" w:color="auto" w:fill="A6A6A6" w:themeFill="background1" w:themeFillShade="A6"/>
          </w:tcPr>
          <w:p w:rsidR="00994363" w:rsidRPr="00FD25C9" w:rsidRDefault="00994363" w:rsidP="00994363">
            <w:pPr>
              <w:jc w:val="center"/>
              <w:rPr>
                <w:rFonts w:ascii="Times New Roman" w:eastAsia="Times New Roman" w:hAnsi="Times New Roman" w:cs="Times New Roman"/>
                <w:b/>
                <w:bCs/>
                <w:sz w:val="12"/>
                <w:szCs w:val="12"/>
              </w:rPr>
            </w:pPr>
            <w:r w:rsidRPr="00FD25C9">
              <w:rPr>
                <w:rFonts w:ascii="Times New Roman" w:eastAsia="Times New Roman" w:hAnsi="Times New Roman" w:cs="Times New Roman"/>
                <w:b/>
                <w:bCs/>
                <w:sz w:val="12"/>
                <w:szCs w:val="12"/>
              </w:rPr>
              <w:t>Imports of Cereals per Capita (Tons per Capita)</w:t>
            </w:r>
          </w:p>
        </w:tc>
      </w:tr>
      <w:tr w:rsidR="00D213DD" w:rsidRPr="00FD25C9" w:rsidTr="00581785">
        <w:trPr>
          <w:jc w:val="center"/>
        </w:trPr>
        <w:tc>
          <w:tcPr>
            <w:tcW w:w="1800" w:type="dxa"/>
            <w:shd w:val="clear" w:color="auto" w:fill="D9D9D9" w:themeFill="background1" w:themeFillShade="D9"/>
          </w:tcPr>
          <w:p w:rsidR="00D213DD" w:rsidRPr="00FD25C9" w:rsidRDefault="00D213DD" w:rsidP="00994363">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Price of Cereals</w:t>
            </w:r>
          </w:p>
        </w:tc>
        <w:tc>
          <w:tcPr>
            <w:tcW w:w="3780" w:type="dxa"/>
            <w:gridSpan w:val="6"/>
            <w:shd w:val="clear" w:color="auto" w:fill="D9D9D9" w:themeFill="background1" w:themeFillShade="D9"/>
          </w:tcPr>
          <w:p w:rsidR="00D213DD" w:rsidRPr="00FD25C9" w:rsidRDefault="00D213DD" w:rsidP="00994363">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&lt;140</w:t>
            </w:r>
          </w:p>
        </w:tc>
        <w:tc>
          <w:tcPr>
            <w:tcW w:w="3780" w:type="dxa"/>
            <w:gridSpan w:val="6"/>
            <w:shd w:val="clear" w:color="auto" w:fill="D9D9D9" w:themeFill="background1" w:themeFillShade="D9"/>
          </w:tcPr>
          <w:p w:rsidR="00D213DD" w:rsidRPr="00FD25C9" w:rsidRDefault="00D213DD" w:rsidP="00994363">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&gt;140</w:t>
            </w:r>
          </w:p>
        </w:tc>
      </w:tr>
      <w:tr w:rsidR="00D213DD" w:rsidRPr="00FD25C9" w:rsidTr="00581785">
        <w:trPr>
          <w:jc w:val="center"/>
        </w:trPr>
        <w:tc>
          <w:tcPr>
            <w:tcW w:w="1800" w:type="dxa"/>
            <w:shd w:val="clear" w:color="auto" w:fill="D9D9D9" w:themeFill="background1" w:themeFillShade="D9"/>
          </w:tcPr>
          <w:p w:rsidR="00D213DD" w:rsidRPr="00FD25C9" w:rsidRDefault="00D213DD" w:rsidP="00994363">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International Exports of Cereals</w:t>
            </w:r>
          </w:p>
        </w:tc>
        <w:tc>
          <w:tcPr>
            <w:tcW w:w="1890" w:type="dxa"/>
            <w:gridSpan w:val="3"/>
            <w:shd w:val="clear" w:color="auto" w:fill="D9D9D9" w:themeFill="background1" w:themeFillShade="D9"/>
          </w:tcPr>
          <w:p w:rsidR="00D213DD" w:rsidRPr="00FD25C9" w:rsidRDefault="00D213DD" w:rsidP="00994363">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&lt;5</w:t>
            </w:r>
          </w:p>
        </w:tc>
        <w:tc>
          <w:tcPr>
            <w:tcW w:w="1890" w:type="dxa"/>
            <w:gridSpan w:val="3"/>
            <w:shd w:val="clear" w:color="auto" w:fill="D9D9D9" w:themeFill="background1" w:themeFillShade="D9"/>
          </w:tcPr>
          <w:p w:rsidR="00D213DD" w:rsidRPr="00FD25C9" w:rsidRDefault="00D213DD" w:rsidP="00994363">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&gt;5</w:t>
            </w:r>
          </w:p>
        </w:tc>
        <w:tc>
          <w:tcPr>
            <w:tcW w:w="1890" w:type="dxa"/>
            <w:gridSpan w:val="3"/>
            <w:shd w:val="clear" w:color="auto" w:fill="D9D9D9" w:themeFill="background1" w:themeFillShade="D9"/>
          </w:tcPr>
          <w:p w:rsidR="00D213DD" w:rsidRPr="00FD25C9" w:rsidRDefault="00D213DD" w:rsidP="00994363">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&lt;5</w:t>
            </w:r>
          </w:p>
        </w:tc>
        <w:tc>
          <w:tcPr>
            <w:tcW w:w="1890" w:type="dxa"/>
            <w:gridSpan w:val="3"/>
            <w:shd w:val="clear" w:color="auto" w:fill="D9D9D9" w:themeFill="background1" w:themeFillShade="D9"/>
          </w:tcPr>
          <w:p w:rsidR="00D213DD" w:rsidRPr="00FD25C9" w:rsidRDefault="00D213DD" w:rsidP="00994363">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&gt;5</w:t>
            </w:r>
          </w:p>
        </w:tc>
      </w:tr>
      <w:tr w:rsidR="00D213DD" w:rsidRPr="00FD25C9" w:rsidTr="00D213DD">
        <w:trPr>
          <w:jc w:val="center"/>
        </w:trPr>
        <w:tc>
          <w:tcPr>
            <w:tcW w:w="180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Trade per Capita</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&lt;10000</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 , )</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&gt;30000</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&lt;10000</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 , )</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&gt;30000</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&lt;10000</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 , )</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&gt;30000</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&lt;10000</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 , )</w:t>
            </w:r>
          </w:p>
        </w:tc>
        <w:tc>
          <w:tcPr>
            <w:tcW w:w="630" w:type="dxa"/>
            <w:shd w:val="clear" w:color="auto" w:fill="D9D9D9" w:themeFill="background1" w:themeFillShade="D9"/>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&gt;30000</w:t>
            </w:r>
          </w:p>
        </w:tc>
      </w:tr>
      <w:tr w:rsidR="00D213DD" w:rsidRPr="00FD25C9" w:rsidTr="00D213DD">
        <w:trPr>
          <w:jc w:val="center"/>
        </w:trPr>
        <w:tc>
          <w:tcPr>
            <w:tcW w:w="1800" w:type="dxa"/>
            <w:shd w:val="clear" w:color="auto" w:fill="A6A6A6" w:themeFill="background1" w:themeFillShade="A6"/>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&lt;0.25</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0.813953</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0.763158</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0.925926</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0.294118</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0.159091</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0.333333</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0.8125</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0.8</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0.99</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0.25</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0.142857</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0.1</w:t>
            </w:r>
          </w:p>
        </w:tc>
      </w:tr>
      <w:tr w:rsidR="00D213DD" w:rsidRPr="00FD25C9" w:rsidTr="00D213DD">
        <w:trPr>
          <w:jc w:val="center"/>
        </w:trPr>
        <w:tc>
          <w:tcPr>
            <w:tcW w:w="1800" w:type="dxa"/>
            <w:shd w:val="clear" w:color="auto" w:fill="A6A6A6" w:themeFill="background1" w:themeFillShade="A6"/>
          </w:tcPr>
          <w:p w:rsidR="00D213DD" w:rsidRPr="00FD25C9" w:rsidRDefault="00D213DD" w:rsidP="00BE6FAA">
            <w:pPr>
              <w:jc w:val="center"/>
              <w:rPr>
                <w:rFonts w:ascii="Times New Roman" w:eastAsia="Times New Roman" w:hAnsi="Times New Roman" w:cs="Times New Roman"/>
                <w:sz w:val="12"/>
                <w:szCs w:val="12"/>
              </w:rPr>
            </w:pPr>
            <w:r w:rsidRPr="00FD25C9">
              <w:rPr>
                <w:rFonts w:ascii="Times New Roman" w:eastAsia="Times New Roman" w:hAnsi="Times New Roman" w:cs="Times New Roman"/>
                <w:sz w:val="12"/>
                <w:szCs w:val="12"/>
              </w:rPr>
              <w:t>&gt;0.25</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0.186047</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0.236842</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0.074074</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0.705882</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0.840909</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0.666667</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0.1875</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0.2</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0.01</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0.75</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0.857143</w:t>
            </w:r>
          </w:p>
        </w:tc>
        <w:tc>
          <w:tcPr>
            <w:tcW w:w="630" w:type="dxa"/>
          </w:tcPr>
          <w:p w:rsidR="00D213DD" w:rsidRPr="00FD25C9" w:rsidRDefault="00D213DD" w:rsidP="00BE6FAA">
            <w:pPr>
              <w:jc w:val="center"/>
              <w:rPr>
                <w:rFonts w:ascii="Times New Roman" w:eastAsia="Times New Roman" w:hAnsi="Times New Roman" w:cs="Times New Roman"/>
                <w:sz w:val="11"/>
                <w:szCs w:val="11"/>
              </w:rPr>
            </w:pPr>
            <w:r w:rsidRPr="00FD25C9">
              <w:rPr>
                <w:rFonts w:ascii="Times New Roman" w:eastAsia="Times New Roman" w:hAnsi="Times New Roman" w:cs="Times New Roman"/>
                <w:sz w:val="11"/>
                <w:szCs w:val="11"/>
              </w:rPr>
              <w:t>0.9</w:t>
            </w:r>
          </w:p>
        </w:tc>
      </w:tr>
    </w:tbl>
    <w:p w:rsidR="00994363" w:rsidRPr="00FD25C9" w:rsidRDefault="00994363" w:rsidP="00BE6FAA">
      <w:pPr>
        <w:spacing w:after="0" w:line="240" w:lineRule="auto"/>
        <w:jc w:val="center"/>
        <w:rPr>
          <w:rFonts w:ascii="Times New Roman" w:eastAsia="Times New Roman" w:hAnsi="Times New Roman" w:cs="Times New Roman"/>
          <w:sz w:val="24"/>
          <w:szCs w:val="24"/>
        </w:rPr>
      </w:pPr>
    </w:p>
    <w:p w:rsidR="00FF0716" w:rsidRPr="00FD25C9" w:rsidRDefault="00FF0716" w:rsidP="00FF0716">
      <w:pPr>
        <w:spacing w:after="0" w:line="240" w:lineRule="auto"/>
        <w:jc w:val="center"/>
        <w:rPr>
          <w:rFonts w:asciiTheme="majorBidi" w:eastAsia="Times New Roman" w:hAnsiTheme="majorBidi" w:cstheme="majorBidi"/>
          <w:sz w:val="24"/>
          <w:szCs w:val="24"/>
        </w:rPr>
      </w:pPr>
      <w:r w:rsidRPr="00FD25C9">
        <w:rPr>
          <w:rFonts w:asciiTheme="majorBidi" w:hAnsiTheme="majorBidi" w:cstheme="majorBidi"/>
          <w:noProof/>
          <w:sz w:val="24"/>
          <w:szCs w:val="24"/>
        </w:rPr>
        <w:t xml:space="preserve">(b) Conditional </w:t>
      </w:r>
      <w:r w:rsidRPr="00FD25C9">
        <w:rPr>
          <w:rFonts w:asciiTheme="majorBidi" w:eastAsia="Times New Roman" w:hAnsiTheme="majorBidi" w:cstheme="majorBidi"/>
          <w:sz w:val="24"/>
          <w:szCs w:val="24"/>
        </w:rPr>
        <w:t>Probability Table</w:t>
      </w:r>
    </w:p>
    <w:p w:rsidR="00FF0716" w:rsidRPr="00FD25C9" w:rsidRDefault="00FF0716" w:rsidP="00BE6FAA">
      <w:pPr>
        <w:spacing w:after="0" w:line="240" w:lineRule="auto"/>
        <w:jc w:val="center"/>
        <w:rPr>
          <w:rFonts w:ascii="Times New Roman" w:eastAsia="Times New Roman" w:hAnsi="Times New Roman" w:cs="Times New Roman"/>
          <w:sz w:val="24"/>
          <w:szCs w:val="24"/>
        </w:rPr>
      </w:pPr>
    </w:p>
    <w:p w:rsidR="00D860ED" w:rsidRDefault="00D860ED" w:rsidP="000C3340">
      <w:pPr>
        <w:pStyle w:val="Caption"/>
        <w:spacing w:after="0"/>
        <w:jc w:val="center"/>
        <w:rPr>
          <w:rFonts w:asciiTheme="majorBidi" w:hAnsiTheme="majorBidi" w:cstheme="majorBidi"/>
          <w:color w:val="auto"/>
          <w:sz w:val="24"/>
          <w:szCs w:val="24"/>
        </w:rPr>
      </w:pPr>
      <w:proofErr w:type="gramStart"/>
      <w:r w:rsidRPr="00FD25C9">
        <w:rPr>
          <w:rFonts w:asciiTheme="majorBidi" w:hAnsiTheme="majorBidi" w:cstheme="majorBidi"/>
          <w:color w:val="auto"/>
          <w:sz w:val="24"/>
          <w:szCs w:val="24"/>
        </w:rPr>
        <w:t xml:space="preserve">Figure </w:t>
      </w:r>
      <w:r w:rsidRPr="00FD25C9">
        <w:rPr>
          <w:rFonts w:asciiTheme="majorBidi" w:hAnsiTheme="majorBidi" w:cstheme="majorBidi"/>
          <w:color w:val="auto"/>
          <w:sz w:val="24"/>
          <w:szCs w:val="24"/>
        </w:rPr>
        <w:fldChar w:fldCharType="begin"/>
      </w:r>
      <w:r w:rsidRPr="00FD25C9">
        <w:rPr>
          <w:rFonts w:asciiTheme="majorBidi" w:hAnsiTheme="majorBidi" w:cstheme="majorBidi"/>
          <w:color w:val="auto"/>
          <w:sz w:val="24"/>
          <w:szCs w:val="24"/>
        </w:rPr>
        <w:instrText xml:space="preserve"> SEQ Figure \* ARABIC </w:instrText>
      </w:r>
      <w:r w:rsidRPr="00FD25C9">
        <w:rPr>
          <w:rFonts w:asciiTheme="majorBidi" w:hAnsiTheme="majorBidi" w:cstheme="majorBidi"/>
          <w:color w:val="auto"/>
          <w:sz w:val="24"/>
          <w:szCs w:val="24"/>
        </w:rPr>
        <w:fldChar w:fldCharType="separate"/>
      </w:r>
      <w:r w:rsidR="0068685A" w:rsidRPr="00FD25C9">
        <w:rPr>
          <w:rFonts w:asciiTheme="majorBidi" w:hAnsiTheme="majorBidi" w:cstheme="majorBidi"/>
          <w:noProof/>
          <w:color w:val="auto"/>
          <w:sz w:val="24"/>
          <w:szCs w:val="24"/>
        </w:rPr>
        <w:t>1</w:t>
      </w:r>
      <w:r w:rsidR="000C3340" w:rsidRPr="00FD25C9">
        <w:rPr>
          <w:rFonts w:asciiTheme="majorBidi" w:hAnsiTheme="majorBidi" w:cstheme="majorBidi"/>
          <w:noProof/>
          <w:color w:val="auto"/>
          <w:sz w:val="24"/>
          <w:szCs w:val="24"/>
        </w:rPr>
        <w:t>7</w:t>
      </w:r>
      <w:r w:rsidRPr="00FD25C9">
        <w:rPr>
          <w:rFonts w:asciiTheme="majorBidi" w:hAnsiTheme="majorBidi" w:cstheme="majorBidi"/>
          <w:color w:val="auto"/>
          <w:sz w:val="24"/>
          <w:szCs w:val="24"/>
        </w:rPr>
        <w:fldChar w:fldCharType="end"/>
      </w:r>
      <w:r w:rsidRPr="00FD25C9">
        <w:rPr>
          <w:rFonts w:asciiTheme="majorBidi" w:hAnsiTheme="majorBidi" w:cstheme="majorBidi"/>
          <w:color w:val="auto"/>
          <w:sz w:val="24"/>
          <w:szCs w:val="24"/>
        </w:rPr>
        <w:t>.</w:t>
      </w:r>
      <w:proofErr w:type="gramEnd"/>
      <w:r w:rsidRPr="00FD25C9">
        <w:rPr>
          <w:rFonts w:asciiTheme="majorBidi" w:hAnsiTheme="majorBidi" w:cstheme="majorBidi"/>
          <w:color w:val="auto"/>
          <w:sz w:val="24"/>
          <w:szCs w:val="24"/>
        </w:rPr>
        <w:t xml:space="preserve"> Conditional Probability Tables for </w:t>
      </w:r>
      <w:r w:rsidR="008017FD" w:rsidRPr="00FD25C9">
        <w:rPr>
          <w:rFonts w:asciiTheme="majorBidi" w:hAnsiTheme="majorBidi" w:cstheme="majorBidi"/>
          <w:color w:val="auto"/>
          <w:sz w:val="24"/>
          <w:szCs w:val="24"/>
        </w:rPr>
        <w:t>Imports</w:t>
      </w:r>
      <w:r w:rsidR="008017FD">
        <w:rPr>
          <w:rFonts w:asciiTheme="majorBidi" w:hAnsiTheme="majorBidi" w:cstheme="majorBidi"/>
          <w:color w:val="auto"/>
          <w:sz w:val="24"/>
          <w:szCs w:val="24"/>
        </w:rPr>
        <w:t xml:space="preserve"> of Cereals per Capita</w:t>
      </w:r>
    </w:p>
    <w:p w:rsidR="00BE6FAA" w:rsidRPr="00BE6FAA" w:rsidRDefault="00BE6FAA" w:rsidP="00BE6FAA"/>
    <w:p w:rsidR="00D860ED" w:rsidRPr="002D4421" w:rsidRDefault="00D860ED" w:rsidP="00D860ED">
      <w:pPr>
        <w:pStyle w:val="ListParagraph"/>
        <w:widowControl w:val="0"/>
        <w:numPr>
          <w:ilvl w:val="0"/>
          <w:numId w:val="6"/>
        </w:numPr>
        <w:tabs>
          <w:tab w:val="left" w:pos="-1022"/>
          <w:tab w:val="left" w:pos="-720"/>
          <w:tab w:val="left" w:pos="450"/>
          <w:tab w:val="left" w:pos="720"/>
          <w:tab w:val="left" w:pos="117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firstLine="0"/>
        <w:rPr>
          <w:rFonts w:ascii="Times New Roman" w:eastAsia="Times New Roman" w:hAnsi="Times New Roman" w:cs="Times New Roman"/>
          <w:b/>
          <w:sz w:val="24"/>
          <w:szCs w:val="24"/>
        </w:rPr>
      </w:pPr>
      <w:r w:rsidRPr="002D4421">
        <w:rPr>
          <w:rFonts w:ascii="Times New Roman" w:eastAsia="Times New Roman" w:hAnsi="Times New Roman" w:cs="Times New Roman"/>
          <w:b/>
          <w:sz w:val="24"/>
          <w:szCs w:val="24"/>
        </w:rPr>
        <w:t>Annual Food Supply per Capita</w:t>
      </w:r>
    </w:p>
    <w:p w:rsidR="00D860ED" w:rsidRPr="002C1807" w:rsidRDefault="00D860ED" w:rsidP="00156FB8">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2C1807">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 xml:space="preserve">he </w:t>
      </w:r>
      <w:r w:rsidR="002C1807">
        <w:rPr>
          <w:rFonts w:ascii="Times New Roman" w:eastAsia="Times New Roman" w:hAnsi="Times New Roman" w:cs="Times New Roman"/>
          <w:bCs/>
          <w:sz w:val="24"/>
          <w:szCs w:val="24"/>
        </w:rPr>
        <w:t>annual food supply per capita</w:t>
      </w:r>
      <w:r>
        <w:rPr>
          <w:rFonts w:ascii="Times New Roman" w:eastAsia="Times New Roman" w:hAnsi="Times New Roman" w:cs="Times New Roman"/>
          <w:bCs/>
          <w:sz w:val="24"/>
          <w:szCs w:val="24"/>
        </w:rPr>
        <w:t xml:space="preserve"> node </w:t>
      </w:r>
      <w:r w:rsidR="002C1807">
        <w:rPr>
          <w:rFonts w:ascii="Times New Roman" w:eastAsia="Times New Roman" w:hAnsi="Times New Roman" w:cs="Times New Roman"/>
          <w:bCs/>
          <w:sz w:val="24"/>
          <w:szCs w:val="24"/>
        </w:rPr>
        <w:t xml:space="preserve">has </w:t>
      </w:r>
      <w:r w:rsidR="00AF7E77">
        <w:rPr>
          <w:rFonts w:ascii="Times New Roman" w:eastAsia="Times New Roman" w:hAnsi="Times New Roman" w:cs="Times New Roman"/>
          <w:bCs/>
          <w:sz w:val="24"/>
          <w:szCs w:val="24"/>
        </w:rPr>
        <w:t>two</w:t>
      </w:r>
      <w:r w:rsidR="002C1807">
        <w:rPr>
          <w:rFonts w:ascii="Times New Roman" w:eastAsia="Times New Roman" w:hAnsi="Times New Roman" w:cs="Times New Roman"/>
          <w:bCs/>
          <w:sz w:val="24"/>
          <w:szCs w:val="24"/>
        </w:rPr>
        <w:t xml:space="preserve"> parent node</w:t>
      </w:r>
      <w:r w:rsidR="00AF7E77">
        <w:rPr>
          <w:rFonts w:ascii="Times New Roman" w:eastAsia="Times New Roman" w:hAnsi="Times New Roman" w:cs="Times New Roman"/>
          <w:bCs/>
          <w:sz w:val="24"/>
          <w:szCs w:val="24"/>
        </w:rPr>
        <w:t>s</w:t>
      </w:r>
      <w:r w:rsidR="002C1807">
        <w:rPr>
          <w:rFonts w:ascii="Times New Roman" w:eastAsia="Times New Roman" w:hAnsi="Times New Roman" w:cs="Times New Roman"/>
          <w:bCs/>
          <w:sz w:val="24"/>
          <w:szCs w:val="24"/>
        </w:rPr>
        <w:t>, imports of cereals per capita</w:t>
      </w:r>
      <w:r w:rsidR="00AF7E77">
        <w:rPr>
          <w:rFonts w:ascii="Times New Roman" w:eastAsia="Times New Roman" w:hAnsi="Times New Roman" w:cs="Times New Roman"/>
          <w:bCs/>
          <w:sz w:val="24"/>
          <w:szCs w:val="24"/>
        </w:rPr>
        <w:t xml:space="preserve"> and domestic production of cereals per capita</w:t>
      </w:r>
      <w:r w:rsidR="002C18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one child node, the network’s final node. Since average Daily Energy Supply (DES) is measured as kilocalories per person per day, its two parent nodes divide according to that unit of measurement. Co</w:t>
      </w:r>
      <w:r w:rsidR="002C1807">
        <w:rPr>
          <w:rFonts w:ascii="Times New Roman" w:eastAsia="Times New Roman" w:hAnsi="Times New Roman" w:cs="Times New Roman"/>
          <w:bCs/>
          <w:sz w:val="24"/>
          <w:szCs w:val="24"/>
        </w:rPr>
        <w:t>nsequently, the population growth node contributes to</w:t>
      </w:r>
      <w:r>
        <w:rPr>
          <w:rFonts w:ascii="Times New Roman" w:eastAsia="Times New Roman" w:hAnsi="Times New Roman" w:cs="Times New Roman"/>
          <w:bCs/>
          <w:sz w:val="24"/>
          <w:szCs w:val="24"/>
        </w:rPr>
        <w:t xml:space="preserve"> the “person” measurement while the </w:t>
      </w:r>
      <w:r w:rsidR="002C1807">
        <w:rPr>
          <w:rFonts w:ascii="Times New Roman" w:eastAsia="Times New Roman" w:hAnsi="Times New Roman" w:cs="Times New Roman"/>
          <w:bCs/>
          <w:sz w:val="24"/>
          <w:szCs w:val="24"/>
        </w:rPr>
        <w:t>annual food supply</w:t>
      </w:r>
      <w:r>
        <w:rPr>
          <w:rFonts w:ascii="Times New Roman" w:eastAsia="Times New Roman" w:hAnsi="Times New Roman" w:cs="Times New Roman"/>
          <w:bCs/>
          <w:sz w:val="24"/>
          <w:szCs w:val="24"/>
        </w:rPr>
        <w:t xml:space="preserve"> node covers the “kilocalories</w:t>
      </w:r>
      <w:r w:rsidR="002C18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2C1807">
        <w:rPr>
          <w:rFonts w:ascii="Times New Roman" w:eastAsia="Times New Roman" w:hAnsi="Times New Roman" w:cs="Times New Roman"/>
          <w:bCs/>
          <w:sz w:val="24"/>
          <w:szCs w:val="24"/>
        </w:rPr>
        <w:t>shifting from the weight of food available to the caloric intake available to people; not all of the food supply reaches human consumption because, for instance, livestock and camels consume fodders and cereal feed.</w:t>
      </w:r>
      <w:r w:rsidR="00156FB8">
        <w:rPr>
          <w:rStyle w:val="FootnoteReference"/>
          <w:rFonts w:ascii="Times New Roman" w:eastAsia="Times New Roman" w:hAnsi="Times New Roman" w:cs="Times New Roman"/>
          <w:bCs/>
          <w:sz w:val="24"/>
          <w:szCs w:val="24"/>
        </w:rPr>
        <w:footnoteReference w:id="54"/>
      </w:r>
      <w:r w:rsidR="002C1807">
        <w:rPr>
          <w:rFonts w:ascii="Times New Roman" w:eastAsia="Times New Roman" w:hAnsi="Times New Roman" w:cs="Times New Roman"/>
          <w:bCs/>
          <w:sz w:val="24"/>
          <w:szCs w:val="24"/>
        </w:rPr>
        <w:t xml:space="preserve"> Additionally, the government diverts cereals to strategic storage sites</w:t>
      </w:r>
      <w:r w:rsidR="00156FB8">
        <w:rPr>
          <w:rFonts w:ascii="Times New Roman" w:eastAsia="Times New Roman" w:hAnsi="Times New Roman" w:cs="Times New Roman"/>
          <w:bCs/>
          <w:sz w:val="24"/>
          <w:szCs w:val="24"/>
        </w:rPr>
        <w:t xml:space="preserve">, creating the most developed storage system in the GCC; in 2010, Oman stored the equivalent of one year of rice, six months of edible sugar, oils, and milk, and five months of wheat, and Oman has plans to amplify wheat storage up to 17 months at the ports of </w:t>
      </w:r>
      <w:proofErr w:type="spellStart"/>
      <w:r w:rsidR="00156FB8">
        <w:rPr>
          <w:rFonts w:ascii="Times New Roman" w:eastAsia="Times New Roman" w:hAnsi="Times New Roman" w:cs="Times New Roman"/>
          <w:bCs/>
          <w:sz w:val="24"/>
          <w:szCs w:val="24"/>
        </w:rPr>
        <w:lastRenderedPageBreak/>
        <w:t>Sohar</w:t>
      </w:r>
      <w:proofErr w:type="spellEnd"/>
      <w:r w:rsidR="00156FB8">
        <w:rPr>
          <w:rFonts w:ascii="Times New Roman" w:eastAsia="Times New Roman" w:hAnsi="Times New Roman" w:cs="Times New Roman"/>
          <w:bCs/>
          <w:sz w:val="24"/>
          <w:szCs w:val="24"/>
        </w:rPr>
        <w:t xml:space="preserve"> and </w:t>
      </w:r>
      <w:proofErr w:type="spellStart"/>
      <w:r w:rsidR="00156FB8">
        <w:rPr>
          <w:rFonts w:ascii="Times New Roman" w:eastAsia="Times New Roman" w:hAnsi="Times New Roman" w:cs="Times New Roman"/>
          <w:bCs/>
          <w:sz w:val="24"/>
          <w:szCs w:val="24"/>
        </w:rPr>
        <w:t>Salalah</w:t>
      </w:r>
      <w:proofErr w:type="spellEnd"/>
      <w:r w:rsidR="00156FB8">
        <w:rPr>
          <w:rFonts w:ascii="Times New Roman" w:eastAsia="Times New Roman" w:hAnsi="Times New Roman" w:cs="Times New Roman"/>
          <w:bCs/>
          <w:sz w:val="24"/>
          <w:szCs w:val="24"/>
        </w:rPr>
        <w:t>.</w:t>
      </w:r>
      <w:r w:rsidR="00156FB8">
        <w:rPr>
          <w:rStyle w:val="FootnoteReference"/>
          <w:rFonts w:ascii="Times New Roman" w:eastAsia="Times New Roman" w:hAnsi="Times New Roman" w:cs="Times New Roman"/>
          <w:bCs/>
          <w:sz w:val="24"/>
          <w:szCs w:val="24"/>
        </w:rPr>
        <w:footnoteReference w:id="55"/>
      </w:r>
      <w:r w:rsidR="002C1807">
        <w:rPr>
          <w:rFonts w:ascii="Times New Roman" w:eastAsia="Times New Roman" w:hAnsi="Times New Roman" w:cs="Times New Roman"/>
          <w:bCs/>
          <w:sz w:val="24"/>
          <w:szCs w:val="24"/>
        </w:rPr>
        <w:t xml:space="preserve"> </w:t>
      </w:r>
    </w:p>
    <w:p w:rsidR="00D860ED" w:rsidRPr="00300FD4" w:rsidRDefault="00D860ED" w:rsidP="00A4704C">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AF7E77">
        <w:rPr>
          <w:rFonts w:ascii="Times New Roman" w:eastAsia="Times New Roman" w:hAnsi="Times New Roman" w:cs="Times New Roman"/>
          <w:bCs/>
          <w:sz w:val="24"/>
          <w:szCs w:val="24"/>
        </w:rPr>
        <w:t>Annual food supply per capita</w:t>
      </w:r>
      <w:r>
        <w:rPr>
          <w:rFonts w:ascii="Times New Roman" w:eastAsia="Times New Roman" w:hAnsi="Times New Roman" w:cs="Times New Roman"/>
          <w:bCs/>
          <w:sz w:val="24"/>
          <w:szCs w:val="24"/>
        </w:rPr>
        <w:t xml:space="preserve"> </w:t>
      </w:r>
      <w:r w:rsidR="00AF7E77">
        <w:rPr>
          <w:rFonts w:ascii="Times New Roman" w:eastAsia="Times New Roman" w:hAnsi="Times New Roman" w:cs="Times New Roman"/>
          <w:bCs/>
          <w:sz w:val="24"/>
          <w:szCs w:val="24"/>
        </w:rPr>
        <w:t xml:space="preserve">is measured </w:t>
      </w:r>
      <w:r>
        <w:rPr>
          <w:rFonts w:ascii="Times New Roman" w:eastAsia="Times New Roman" w:hAnsi="Times New Roman" w:cs="Times New Roman"/>
          <w:bCs/>
          <w:sz w:val="24"/>
          <w:szCs w:val="24"/>
        </w:rPr>
        <w:t xml:space="preserve">in kilograms per capita per year. The data was available through FAOSTAT for </w:t>
      </w:r>
      <w:r w:rsidR="00AF7E77">
        <w:rPr>
          <w:rFonts w:ascii="Times New Roman" w:eastAsia="Times New Roman" w:hAnsi="Times New Roman" w:cs="Times New Roman"/>
          <w:bCs/>
          <w:sz w:val="24"/>
          <w:szCs w:val="24"/>
        </w:rPr>
        <w:t xml:space="preserve">43 </w:t>
      </w:r>
      <w:r>
        <w:rPr>
          <w:rFonts w:ascii="Times New Roman" w:eastAsia="Times New Roman" w:hAnsi="Times New Roman" w:cs="Times New Roman"/>
          <w:bCs/>
          <w:sz w:val="24"/>
          <w:szCs w:val="24"/>
        </w:rPr>
        <w:t xml:space="preserve">years for Oman, the United Arab Emirates, Saudi Arabia, and the UAE, combining into </w:t>
      </w:r>
      <w:r w:rsidR="00AF7E77">
        <w:rPr>
          <w:rFonts w:ascii="Times New Roman" w:eastAsia="Times New Roman" w:hAnsi="Times New Roman" w:cs="Times New Roman"/>
          <w:bCs/>
          <w:sz w:val="24"/>
          <w:szCs w:val="24"/>
        </w:rPr>
        <w:t xml:space="preserve">172 </w:t>
      </w:r>
      <w:r>
        <w:rPr>
          <w:rFonts w:ascii="Times New Roman" w:eastAsia="Times New Roman" w:hAnsi="Times New Roman" w:cs="Times New Roman"/>
          <w:bCs/>
          <w:sz w:val="24"/>
          <w:szCs w:val="24"/>
        </w:rPr>
        <w:t>data points.</w:t>
      </w:r>
      <w:r>
        <w:rPr>
          <w:rStyle w:val="FootnoteReference"/>
          <w:rFonts w:ascii="Times New Roman" w:eastAsia="Times New Roman" w:hAnsi="Times New Roman" w:cs="Times New Roman"/>
          <w:bCs/>
          <w:sz w:val="24"/>
          <w:szCs w:val="24"/>
        </w:rPr>
        <w:footnoteReference w:id="56"/>
      </w:r>
      <w:r w:rsidR="00AF7E77">
        <w:rPr>
          <w:rFonts w:ascii="Times New Roman" w:eastAsia="Times New Roman" w:hAnsi="Times New Roman" w:cs="Times New Roman"/>
          <w:bCs/>
          <w:sz w:val="24"/>
          <w:szCs w:val="24"/>
        </w:rPr>
        <w:t xml:space="preserve"> The </w:t>
      </w:r>
      <w:r>
        <w:rPr>
          <w:rFonts w:ascii="Times New Roman" w:eastAsia="Times New Roman" w:hAnsi="Times New Roman" w:cs="Times New Roman"/>
          <w:bCs/>
          <w:sz w:val="24"/>
          <w:szCs w:val="24"/>
        </w:rPr>
        <w:t>split</w:t>
      </w:r>
      <w:r w:rsidR="00AF7E77">
        <w:rPr>
          <w:rFonts w:ascii="Times New Roman" w:eastAsia="Times New Roman" w:hAnsi="Times New Roman" w:cs="Times New Roman"/>
          <w:bCs/>
          <w:sz w:val="24"/>
          <w:szCs w:val="24"/>
        </w:rPr>
        <w:t xml:space="preserve"> </w:t>
      </w:r>
      <w:r w:rsidR="008A3BE2">
        <w:rPr>
          <w:rFonts w:ascii="Times New Roman" w:eastAsia="Times New Roman" w:hAnsi="Times New Roman" w:cs="Times New Roman"/>
          <w:bCs/>
          <w:sz w:val="24"/>
          <w:szCs w:val="24"/>
        </w:rPr>
        <w:t>point used for the two bins was</w:t>
      </w:r>
      <w:r w:rsidR="00AF7E7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150</w:t>
      </w:r>
      <w:r w:rsidR="005D16B2">
        <w:rPr>
          <w:rFonts w:ascii="Times New Roman" w:eastAsia="Times New Roman" w:hAnsi="Times New Roman" w:cs="Times New Roman"/>
          <w:bCs/>
          <w:sz w:val="24"/>
          <w:szCs w:val="24"/>
        </w:rPr>
        <w:t xml:space="preserve"> kilograms per capita per year. This value is equival</w:t>
      </w:r>
      <w:r w:rsidR="00A4704C">
        <w:rPr>
          <w:rFonts w:ascii="Times New Roman" w:eastAsia="Times New Roman" w:hAnsi="Times New Roman" w:cs="Times New Roman"/>
          <w:bCs/>
          <w:sz w:val="24"/>
          <w:szCs w:val="24"/>
        </w:rPr>
        <w:t xml:space="preserve">ent to the amount of wheat needed for a low-level </w:t>
      </w:r>
      <w:r w:rsidR="00A4704C" w:rsidRPr="00300FD4">
        <w:rPr>
          <w:rFonts w:ascii="Times New Roman" w:eastAsia="Times New Roman" w:hAnsi="Times New Roman" w:cs="Times New Roman"/>
          <w:bCs/>
          <w:sz w:val="24"/>
          <w:szCs w:val="24"/>
        </w:rPr>
        <w:t>consumption diet, where the wheat provides a daily caloric value of about 1,200 and supplementary foods pro</w:t>
      </w:r>
      <w:r w:rsidR="00156FB8" w:rsidRPr="00300FD4">
        <w:rPr>
          <w:rFonts w:ascii="Times New Roman" w:eastAsia="Times New Roman" w:hAnsi="Times New Roman" w:cs="Times New Roman"/>
          <w:bCs/>
          <w:sz w:val="24"/>
          <w:szCs w:val="24"/>
        </w:rPr>
        <w:t>vide additional caloric intake.</w:t>
      </w:r>
      <w:r w:rsidR="00A4704C" w:rsidRPr="00300FD4">
        <w:rPr>
          <w:rStyle w:val="FootnoteReference"/>
          <w:rFonts w:ascii="Times New Roman" w:eastAsia="Times New Roman" w:hAnsi="Times New Roman" w:cs="Times New Roman"/>
          <w:bCs/>
          <w:sz w:val="24"/>
          <w:szCs w:val="24"/>
        </w:rPr>
        <w:footnoteReference w:id="57"/>
      </w:r>
    </w:p>
    <w:p w:rsidR="00D860ED" w:rsidRPr="00300FD4" w:rsidRDefault="00D860ED" w:rsidP="00156FB8">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sidRPr="00300FD4">
        <w:rPr>
          <w:rFonts w:ascii="Times New Roman" w:eastAsia="Times New Roman" w:hAnsi="Times New Roman" w:cs="Times New Roman"/>
          <w:bCs/>
          <w:sz w:val="24"/>
          <w:szCs w:val="24"/>
        </w:rPr>
        <w:tab/>
      </w:r>
      <w:r w:rsidRPr="00300FD4">
        <w:rPr>
          <w:rFonts w:ascii="Times New Roman" w:eastAsia="Times New Roman" w:hAnsi="Times New Roman" w:cs="Times New Roman"/>
          <w:bCs/>
          <w:sz w:val="24"/>
          <w:szCs w:val="24"/>
        </w:rPr>
        <w:tab/>
        <w:t>As the table</w:t>
      </w:r>
      <w:r w:rsidR="00156FB8" w:rsidRPr="00300FD4">
        <w:rPr>
          <w:rFonts w:ascii="Times New Roman" w:eastAsia="Times New Roman" w:hAnsi="Times New Roman" w:cs="Times New Roman"/>
          <w:bCs/>
          <w:sz w:val="24"/>
          <w:szCs w:val="24"/>
        </w:rPr>
        <w:t xml:space="preserve"> in Figure 18a</w:t>
      </w:r>
      <w:r w:rsidRPr="00300FD4">
        <w:rPr>
          <w:rFonts w:ascii="Times New Roman" w:eastAsia="Times New Roman" w:hAnsi="Times New Roman" w:cs="Times New Roman"/>
          <w:bCs/>
          <w:sz w:val="24"/>
          <w:szCs w:val="24"/>
        </w:rPr>
        <w:t xml:space="preserve"> demonstrate</w:t>
      </w:r>
      <w:r w:rsidR="00156FB8" w:rsidRPr="00300FD4">
        <w:rPr>
          <w:rFonts w:ascii="Times New Roman" w:eastAsia="Times New Roman" w:hAnsi="Times New Roman" w:cs="Times New Roman"/>
          <w:bCs/>
          <w:sz w:val="24"/>
          <w:szCs w:val="24"/>
        </w:rPr>
        <w:t>s</w:t>
      </w:r>
      <w:r w:rsidRPr="00300FD4">
        <w:rPr>
          <w:rFonts w:ascii="Times New Roman" w:eastAsia="Times New Roman" w:hAnsi="Times New Roman" w:cs="Times New Roman"/>
          <w:bCs/>
          <w:sz w:val="24"/>
          <w:szCs w:val="24"/>
        </w:rPr>
        <w:t xml:space="preserve">, </w:t>
      </w:r>
      <w:r w:rsidR="00A4704C" w:rsidRPr="00300FD4">
        <w:rPr>
          <w:rFonts w:ascii="Times New Roman" w:eastAsia="Times New Roman" w:hAnsi="Times New Roman" w:cs="Times New Roman"/>
          <w:bCs/>
          <w:sz w:val="24"/>
          <w:szCs w:val="24"/>
        </w:rPr>
        <w:t>the data favors the lower bin of less than 150 kilograms per capita per year. The</w:t>
      </w:r>
      <w:r w:rsidRPr="00300FD4">
        <w:rPr>
          <w:rFonts w:ascii="Times New Roman" w:eastAsia="Times New Roman" w:hAnsi="Times New Roman" w:cs="Times New Roman"/>
          <w:bCs/>
          <w:sz w:val="24"/>
          <w:szCs w:val="24"/>
        </w:rPr>
        <w:t xml:space="preserve"> </w:t>
      </w:r>
      <w:r w:rsidR="00156FB8" w:rsidRPr="00300FD4">
        <w:rPr>
          <w:rFonts w:ascii="Times New Roman" w:eastAsia="Times New Roman" w:hAnsi="Times New Roman" w:cs="Times New Roman"/>
          <w:bCs/>
          <w:sz w:val="24"/>
          <w:szCs w:val="24"/>
        </w:rPr>
        <w:t>table in Figure 18b</w:t>
      </w:r>
      <w:r w:rsidRPr="00300FD4">
        <w:rPr>
          <w:rFonts w:ascii="Times New Roman" w:eastAsia="Times New Roman" w:hAnsi="Times New Roman" w:cs="Times New Roman"/>
          <w:bCs/>
          <w:sz w:val="24"/>
          <w:szCs w:val="24"/>
        </w:rPr>
        <w:t xml:space="preserve"> shows the conditional probabilities between </w:t>
      </w:r>
      <w:r w:rsidR="00A4704C" w:rsidRPr="00300FD4">
        <w:rPr>
          <w:rFonts w:ascii="Times New Roman" w:eastAsia="Times New Roman" w:hAnsi="Times New Roman" w:cs="Times New Roman"/>
          <w:bCs/>
          <w:sz w:val="24"/>
          <w:szCs w:val="24"/>
        </w:rPr>
        <w:t xml:space="preserve">imports of cereals per capita, domestic </w:t>
      </w:r>
      <w:r w:rsidRPr="00300FD4">
        <w:rPr>
          <w:rFonts w:ascii="Times New Roman" w:eastAsia="Times New Roman" w:hAnsi="Times New Roman" w:cs="Times New Roman"/>
          <w:bCs/>
          <w:sz w:val="24"/>
          <w:szCs w:val="24"/>
        </w:rPr>
        <w:t>production</w:t>
      </w:r>
      <w:r w:rsidR="00A4704C" w:rsidRPr="00300FD4">
        <w:rPr>
          <w:rFonts w:ascii="Times New Roman" w:eastAsia="Times New Roman" w:hAnsi="Times New Roman" w:cs="Times New Roman"/>
          <w:bCs/>
          <w:sz w:val="24"/>
          <w:szCs w:val="24"/>
        </w:rPr>
        <w:t xml:space="preserve"> of cereals per capita, and annual food supply per capita</w:t>
      </w:r>
      <w:r w:rsidRPr="00300FD4">
        <w:rPr>
          <w:rFonts w:ascii="Times New Roman" w:eastAsia="Times New Roman" w:hAnsi="Times New Roman" w:cs="Times New Roman"/>
          <w:bCs/>
          <w:sz w:val="24"/>
          <w:szCs w:val="24"/>
        </w:rPr>
        <w:t>.</w:t>
      </w:r>
    </w:p>
    <w:p w:rsidR="00A4704C" w:rsidRPr="00300FD4" w:rsidRDefault="00156FB8" w:rsidP="00A4704C">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rFonts w:ascii="Times New Roman" w:eastAsia="Times New Roman" w:hAnsi="Times New Roman" w:cs="Times New Roman"/>
          <w:bCs/>
          <w:sz w:val="24"/>
          <w:szCs w:val="24"/>
        </w:rPr>
      </w:pPr>
      <w:r w:rsidRPr="00300FD4">
        <w:rPr>
          <w:noProof/>
        </w:rPr>
        <w:drawing>
          <wp:inline distT="0" distB="0" distL="0" distR="0" wp14:anchorId="6325C657" wp14:editId="3B36EF44">
            <wp:extent cx="2976564" cy="1152524"/>
            <wp:effectExtent l="0" t="0" r="14605" b="101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6FB8" w:rsidRPr="00300FD4" w:rsidRDefault="00156FB8" w:rsidP="00156FB8">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r w:rsidRPr="00300FD4">
        <w:rPr>
          <w:rFonts w:asciiTheme="majorBidi" w:hAnsiTheme="majorBidi" w:cstheme="majorBidi"/>
          <w:noProof/>
          <w:sz w:val="24"/>
          <w:szCs w:val="24"/>
        </w:rPr>
        <w:t>(a) Simple Probability Table</w:t>
      </w:r>
    </w:p>
    <w:p w:rsidR="00156FB8" w:rsidRPr="00300FD4" w:rsidRDefault="00156FB8" w:rsidP="00156FB8">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p>
    <w:tbl>
      <w:tblPr>
        <w:tblStyle w:val="TableGrid"/>
        <w:tblW w:w="0" w:type="auto"/>
        <w:jc w:val="center"/>
        <w:tblInd w:w="-1230" w:type="dxa"/>
        <w:tblLayout w:type="fixed"/>
        <w:tblLook w:val="04A0" w:firstRow="1" w:lastRow="0" w:firstColumn="1" w:lastColumn="0" w:noHBand="0" w:noVBand="1"/>
      </w:tblPr>
      <w:tblGrid>
        <w:gridCol w:w="4077"/>
        <w:gridCol w:w="1170"/>
        <w:gridCol w:w="1105"/>
        <w:gridCol w:w="1170"/>
        <w:gridCol w:w="1170"/>
      </w:tblGrid>
      <w:tr w:rsidR="00D213DD" w:rsidRPr="00300FD4" w:rsidTr="00D213DD">
        <w:trPr>
          <w:jc w:val="center"/>
        </w:trPr>
        <w:tc>
          <w:tcPr>
            <w:tcW w:w="8692" w:type="dxa"/>
            <w:gridSpan w:val="5"/>
            <w:shd w:val="clear" w:color="auto" w:fill="A6A6A6" w:themeFill="background1" w:themeFillShade="A6"/>
            <w:vAlign w:val="center"/>
          </w:tcPr>
          <w:p w:rsidR="00D213DD" w:rsidRPr="00300FD4" w:rsidRDefault="00A4704C" w:rsidP="00D213D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b/>
                <w:bCs/>
                <w:noProof/>
              </w:rPr>
            </w:pPr>
            <w:r w:rsidRPr="00300FD4">
              <w:rPr>
                <w:noProof/>
              </w:rPr>
              <w:t xml:space="preserve"> </w:t>
            </w:r>
            <w:r w:rsidR="00D213DD" w:rsidRPr="00300FD4">
              <w:rPr>
                <w:rFonts w:asciiTheme="majorBidi" w:hAnsiTheme="majorBidi" w:cstheme="majorBidi"/>
                <w:b/>
                <w:bCs/>
                <w:noProof/>
              </w:rPr>
              <w:t>Annual Food Supply per Capita (Kilograms per Capita per Year)</w:t>
            </w:r>
          </w:p>
        </w:tc>
      </w:tr>
      <w:tr w:rsidR="00D213DD" w:rsidRPr="00300FD4" w:rsidTr="00D213DD">
        <w:trPr>
          <w:jc w:val="center"/>
        </w:trPr>
        <w:tc>
          <w:tcPr>
            <w:tcW w:w="4077" w:type="dxa"/>
            <w:shd w:val="clear" w:color="auto" w:fill="D9D9D9" w:themeFill="background1" w:themeFillShade="D9"/>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Imports of Cereals per Capita</w:t>
            </w:r>
          </w:p>
        </w:tc>
        <w:tc>
          <w:tcPr>
            <w:tcW w:w="2275" w:type="dxa"/>
            <w:gridSpan w:val="2"/>
            <w:shd w:val="clear" w:color="auto" w:fill="D9D9D9" w:themeFill="background1" w:themeFillShade="D9"/>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&lt;0.25</w:t>
            </w:r>
          </w:p>
        </w:tc>
        <w:tc>
          <w:tcPr>
            <w:tcW w:w="2340" w:type="dxa"/>
            <w:gridSpan w:val="2"/>
            <w:shd w:val="clear" w:color="auto" w:fill="D9D9D9" w:themeFill="background1" w:themeFillShade="D9"/>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&gt;0.25</w:t>
            </w:r>
          </w:p>
        </w:tc>
      </w:tr>
      <w:tr w:rsidR="00D213DD" w:rsidRPr="00300FD4" w:rsidTr="00D213DD">
        <w:trPr>
          <w:jc w:val="center"/>
        </w:trPr>
        <w:tc>
          <w:tcPr>
            <w:tcW w:w="4077" w:type="dxa"/>
            <w:shd w:val="clear" w:color="auto" w:fill="D9D9D9" w:themeFill="background1" w:themeFillShade="D9"/>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Domestic Production of Cereals per Capita</w:t>
            </w:r>
          </w:p>
        </w:tc>
        <w:tc>
          <w:tcPr>
            <w:tcW w:w="1170" w:type="dxa"/>
            <w:shd w:val="clear" w:color="auto" w:fill="D9D9D9" w:themeFill="background1" w:themeFillShade="D9"/>
            <w:vAlign w:val="center"/>
          </w:tcPr>
          <w:p w:rsidR="00D213DD" w:rsidRPr="00300FD4" w:rsidRDefault="00D213DD" w:rsidP="00D213D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&lt;0.0045</w:t>
            </w:r>
          </w:p>
        </w:tc>
        <w:tc>
          <w:tcPr>
            <w:tcW w:w="1105" w:type="dxa"/>
            <w:shd w:val="clear" w:color="auto" w:fill="D9D9D9" w:themeFill="background1" w:themeFillShade="D9"/>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&gt;0.0045</w:t>
            </w:r>
          </w:p>
        </w:tc>
        <w:tc>
          <w:tcPr>
            <w:tcW w:w="1170" w:type="dxa"/>
            <w:shd w:val="clear" w:color="auto" w:fill="D9D9D9" w:themeFill="background1" w:themeFillShade="D9"/>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&lt;0.0045</w:t>
            </w:r>
          </w:p>
        </w:tc>
        <w:tc>
          <w:tcPr>
            <w:tcW w:w="1170" w:type="dxa"/>
            <w:shd w:val="clear" w:color="auto" w:fill="D9D9D9" w:themeFill="background1" w:themeFillShade="D9"/>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&gt;0.0045</w:t>
            </w:r>
          </w:p>
        </w:tc>
      </w:tr>
      <w:tr w:rsidR="00D213DD" w:rsidRPr="00300FD4" w:rsidTr="00D213DD">
        <w:trPr>
          <w:jc w:val="center"/>
        </w:trPr>
        <w:tc>
          <w:tcPr>
            <w:tcW w:w="4077" w:type="dxa"/>
            <w:shd w:val="clear" w:color="auto" w:fill="A6A6A6" w:themeFill="background1" w:themeFillShade="A6"/>
            <w:vAlign w:val="center"/>
          </w:tcPr>
          <w:p w:rsidR="00D213DD" w:rsidRPr="00300FD4" w:rsidRDefault="00D213DD" w:rsidP="00D213D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&lt;150</w:t>
            </w:r>
          </w:p>
        </w:tc>
        <w:tc>
          <w:tcPr>
            <w:tcW w:w="1170" w:type="dxa"/>
            <w:vAlign w:val="center"/>
          </w:tcPr>
          <w:p w:rsidR="00D213DD" w:rsidRPr="00300FD4" w:rsidRDefault="00D213DD" w:rsidP="00D213D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0.863636</w:t>
            </w:r>
          </w:p>
        </w:tc>
        <w:tc>
          <w:tcPr>
            <w:tcW w:w="1105" w:type="dxa"/>
            <w:vAlign w:val="center"/>
          </w:tcPr>
          <w:p w:rsidR="00D213DD" w:rsidRPr="00300FD4" w:rsidRDefault="00D213DD" w:rsidP="00D213D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0.611111</w:t>
            </w:r>
          </w:p>
        </w:tc>
        <w:tc>
          <w:tcPr>
            <w:tcW w:w="1170" w:type="dxa"/>
            <w:vAlign w:val="center"/>
          </w:tcPr>
          <w:p w:rsidR="00D213DD" w:rsidRPr="00300FD4" w:rsidRDefault="00D213DD" w:rsidP="00D213D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0.5</w:t>
            </w:r>
          </w:p>
        </w:tc>
        <w:tc>
          <w:tcPr>
            <w:tcW w:w="1170" w:type="dxa"/>
            <w:vAlign w:val="center"/>
          </w:tcPr>
          <w:p w:rsidR="00D213DD" w:rsidRPr="00300FD4" w:rsidRDefault="00D213DD" w:rsidP="00D213D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0.53125</w:t>
            </w:r>
          </w:p>
        </w:tc>
      </w:tr>
      <w:tr w:rsidR="00D213DD" w:rsidRPr="00300FD4" w:rsidTr="00D213DD">
        <w:trPr>
          <w:jc w:val="center"/>
        </w:trPr>
        <w:tc>
          <w:tcPr>
            <w:tcW w:w="4077" w:type="dxa"/>
            <w:shd w:val="clear" w:color="auto" w:fill="A6A6A6" w:themeFill="background1" w:themeFillShade="A6"/>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&gt;150</w:t>
            </w:r>
          </w:p>
        </w:tc>
        <w:tc>
          <w:tcPr>
            <w:tcW w:w="1170" w:type="dxa"/>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0.136364</w:t>
            </w:r>
          </w:p>
        </w:tc>
        <w:tc>
          <w:tcPr>
            <w:tcW w:w="1105" w:type="dxa"/>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0.388889</w:t>
            </w:r>
          </w:p>
        </w:tc>
        <w:tc>
          <w:tcPr>
            <w:tcW w:w="1170" w:type="dxa"/>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0.5</w:t>
            </w:r>
          </w:p>
        </w:tc>
        <w:tc>
          <w:tcPr>
            <w:tcW w:w="1170" w:type="dxa"/>
            <w:vAlign w:val="center"/>
          </w:tcPr>
          <w:p w:rsidR="00D213DD" w:rsidRPr="00300FD4" w:rsidRDefault="00D213DD"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300FD4">
              <w:rPr>
                <w:rFonts w:asciiTheme="majorBidi" w:hAnsiTheme="majorBidi" w:cstheme="majorBidi"/>
                <w:noProof/>
              </w:rPr>
              <w:t>0.46875</w:t>
            </w:r>
          </w:p>
        </w:tc>
      </w:tr>
    </w:tbl>
    <w:p w:rsidR="00D213DD" w:rsidRPr="00300FD4" w:rsidRDefault="00D213DD"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bCs/>
          <w:sz w:val="24"/>
          <w:szCs w:val="24"/>
        </w:rPr>
      </w:pPr>
    </w:p>
    <w:p w:rsidR="00156FB8" w:rsidRPr="00300FD4" w:rsidRDefault="00156FB8" w:rsidP="00156FB8">
      <w:pPr>
        <w:spacing w:after="0" w:line="240" w:lineRule="auto"/>
        <w:jc w:val="center"/>
        <w:rPr>
          <w:rFonts w:asciiTheme="majorBidi" w:eastAsia="Times New Roman" w:hAnsiTheme="majorBidi" w:cstheme="majorBidi"/>
          <w:sz w:val="24"/>
          <w:szCs w:val="24"/>
        </w:rPr>
      </w:pPr>
      <w:r w:rsidRPr="00300FD4">
        <w:rPr>
          <w:rFonts w:asciiTheme="majorBidi" w:hAnsiTheme="majorBidi" w:cstheme="majorBidi"/>
          <w:noProof/>
          <w:sz w:val="24"/>
          <w:szCs w:val="24"/>
        </w:rPr>
        <w:t xml:space="preserve">(b) Conditional </w:t>
      </w:r>
      <w:r w:rsidRPr="00300FD4">
        <w:rPr>
          <w:rFonts w:asciiTheme="majorBidi" w:eastAsia="Times New Roman" w:hAnsiTheme="majorBidi" w:cstheme="majorBidi"/>
          <w:sz w:val="24"/>
          <w:szCs w:val="24"/>
        </w:rPr>
        <w:t>Probability Table</w:t>
      </w:r>
    </w:p>
    <w:p w:rsidR="00156FB8" w:rsidRPr="00300FD4" w:rsidRDefault="00156FB8"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bCs/>
          <w:sz w:val="24"/>
          <w:szCs w:val="24"/>
        </w:rPr>
      </w:pPr>
    </w:p>
    <w:p w:rsidR="00D860ED" w:rsidRDefault="00D860ED" w:rsidP="00156FB8">
      <w:pPr>
        <w:pStyle w:val="Caption"/>
        <w:spacing w:after="0"/>
        <w:jc w:val="center"/>
        <w:rPr>
          <w:rFonts w:asciiTheme="majorBidi" w:hAnsiTheme="majorBidi" w:cstheme="majorBidi"/>
          <w:color w:val="auto"/>
          <w:sz w:val="24"/>
          <w:szCs w:val="24"/>
        </w:rPr>
      </w:pPr>
      <w:proofErr w:type="gramStart"/>
      <w:r w:rsidRPr="00300FD4">
        <w:rPr>
          <w:rFonts w:asciiTheme="majorBidi" w:hAnsiTheme="majorBidi" w:cstheme="majorBidi"/>
          <w:color w:val="auto"/>
          <w:sz w:val="24"/>
          <w:szCs w:val="24"/>
        </w:rPr>
        <w:t xml:space="preserve">Figure </w:t>
      </w:r>
      <w:r w:rsidR="00156FB8" w:rsidRPr="00300FD4">
        <w:rPr>
          <w:rFonts w:asciiTheme="majorBidi" w:hAnsiTheme="majorBidi" w:cstheme="majorBidi"/>
          <w:color w:val="auto"/>
          <w:sz w:val="24"/>
          <w:szCs w:val="24"/>
        </w:rPr>
        <w:t>18</w:t>
      </w:r>
      <w:r w:rsidRPr="00300FD4">
        <w:rPr>
          <w:rFonts w:asciiTheme="majorBidi" w:hAnsiTheme="majorBidi" w:cstheme="majorBidi"/>
          <w:color w:val="auto"/>
          <w:sz w:val="24"/>
          <w:szCs w:val="24"/>
        </w:rPr>
        <w:t>.</w:t>
      </w:r>
      <w:proofErr w:type="gramEnd"/>
      <w:r w:rsidRPr="00300FD4">
        <w:rPr>
          <w:rFonts w:asciiTheme="majorBidi" w:hAnsiTheme="majorBidi" w:cstheme="majorBidi"/>
          <w:color w:val="auto"/>
          <w:sz w:val="24"/>
          <w:szCs w:val="24"/>
        </w:rPr>
        <w:t xml:space="preserve"> Tables for </w:t>
      </w:r>
      <w:r w:rsidR="00A4704C" w:rsidRPr="00300FD4">
        <w:rPr>
          <w:rFonts w:asciiTheme="majorBidi" w:hAnsiTheme="majorBidi" w:cstheme="majorBidi"/>
          <w:color w:val="auto"/>
          <w:sz w:val="24"/>
          <w:szCs w:val="24"/>
        </w:rPr>
        <w:t>Annual Food Supply per Capita</w:t>
      </w:r>
    </w:p>
    <w:p w:rsidR="00156FB8" w:rsidRDefault="00156FB8" w:rsidP="00156FB8"/>
    <w:p w:rsidR="00F7266D" w:rsidRPr="008948B5" w:rsidRDefault="00F7266D" w:rsidP="00F7266D">
      <w:pPr>
        <w:pStyle w:val="Caption"/>
        <w:numPr>
          <w:ilvl w:val="0"/>
          <w:numId w:val="3"/>
        </w:numPr>
        <w:ind w:left="360"/>
        <w:rPr>
          <w:rFonts w:ascii="Times New Roman" w:hAnsi="Times New Roman" w:cs="Times New Roman"/>
          <w:color w:val="auto"/>
          <w:sz w:val="24"/>
        </w:rPr>
      </w:pPr>
      <w:r>
        <w:rPr>
          <w:rFonts w:asciiTheme="majorBidi" w:hAnsiTheme="majorBidi" w:cstheme="majorBidi"/>
          <w:noProof/>
          <w:color w:val="auto"/>
          <w:sz w:val="24"/>
          <w:szCs w:val="24"/>
        </w:rPr>
        <w:lastRenderedPageBreak/>
        <w:t>Human Factor Nodes</w:t>
      </w:r>
    </w:p>
    <w:p w:rsidR="00F7266D" w:rsidRDefault="00F7266D" w:rsidP="00F7266D">
      <w:pPr>
        <w:pStyle w:val="Caption"/>
        <w:jc w:val="center"/>
        <w:rPr>
          <w:rFonts w:ascii="Times New Roman" w:eastAsia="Times New Roman" w:hAnsi="Times New Roman" w:cs="Times New Roman"/>
          <w:sz w:val="24"/>
          <w:szCs w:val="24"/>
        </w:rPr>
      </w:pPr>
      <w:r>
        <w:rPr>
          <w:noProof/>
        </w:rPr>
        <w:drawing>
          <wp:inline distT="0" distB="0" distL="0" distR="0" wp14:anchorId="7C753759" wp14:editId="278421A8">
            <wp:extent cx="4824248" cy="343688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24248" cy="3436882"/>
                    </a:xfrm>
                    <a:prstGeom prst="rect">
                      <a:avLst/>
                    </a:prstGeom>
                  </pic:spPr>
                </pic:pic>
              </a:graphicData>
            </a:graphic>
          </wp:inline>
        </w:drawing>
      </w:r>
    </w:p>
    <w:p w:rsidR="00F7266D" w:rsidRPr="00300FD4" w:rsidRDefault="00F7266D" w:rsidP="002665E4">
      <w:pPr>
        <w:pStyle w:val="Caption"/>
        <w:spacing w:after="0"/>
        <w:jc w:val="center"/>
        <w:rPr>
          <w:rFonts w:ascii="Times New Roman" w:hAnsi="Times New Roman" w:cs="Times New Roman"/>
          <w:color w:val="auto"/>
          <w:sz w:val="24"/>
        </w:rPr>
      </w:pPr>
      <w:proofErr w:type="gramStart"/>
      <w:r w:rsidRPr="00300FD4">
        <w:rPr>
          <w:rFonts w:ascii="Times New Roman" w:hAnsi="Times New Roman" w:cs="Times New Roman"/>
          <w:color w:val="auto"/>
          <w:sz w:val="24"/>
        </w:rPr>
        <w:t xml:space="preserve">Figure </w:t>
      </w:r>
      <w:r w:rsidR="00156FB8" w:rsidRPr="00300FD4">
        <w:rPr>
          <w:rFonts w:ascii="Times New Roman" w:hAnsi="Times New Roman" w:cs="Times New Roman"/>
          <w:color w:val="auto"/>
          <w:sz w:val="24"/>
        </w:rPr>
        <w:t>19</w:t>
      </w:r>
      <w:r w:rsidRPr="00300FD4">
        <w:rPr>
          <w:rFonts w:ascii="Times New Roman" w:hAnsi="Times New Roman" w:cs="Times New Roman"/>
          <w:color w:val="auto"/>
          <w:sz w:val="24"/>
        </w:rPr>
        <w:t>.</w:t>
      </w:r>
      <w:proofErr w:type="gramEnd"/>
      <w:r w:rsidRPr="00300FD4">
        <w:rPr>
          <w:rFonts w:ascii="Times New Roman" w:hAnsi="Times New Roman" w:cs="Times New Roman"/>
          <w:color w:val="auto"/>
          <w:sz w:val="24"/>
        </w:rPr>
        <w:t xml:space="preserve"> The Four Human Factor Variables</w:t>
      </w:r>
    </w:p>
    <w:p w:rsidR="002665E4" w:rsidRPr="00300FD4" w:rsidRDefault="002665E4" w:rsidP="002665E4"/>
    <w:p w:rsidR="00F7266D" w:rsidRPr="00300FD4" w:rsidRDefault="00F7266D" w:rsidP="002665E4">
      <w:pPr>
        <w:pStyle w:val="ListParagraph"/>
        <w:widowControl w:val="0"/>
        <w:numPr>
          <w:ilvl w:val="0"/>
          <w:numId w:val="5"/>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1080"/>
        <w:rPr>
          <w:rFonts w:ascii="Times New Roman" w:eastAsia="Times New Roman" w:hAnsi="Times New Roman" w:cs="Times New Roman"/>
          <w:b/>
          <w:sz w:val="24"/>
          <w:szCs w:val="24"/>
        </w:rPr>
      </w:pPr>
      <w:r w:rsidRPr="00300FD4">
        <w:rPr>
          <w:rFonts w:ascii="Times New Roman" w:eastAsia="Times New Roman" w:hAnsi="Times New Roman" w:cs="Times New Roman"/>
          <w:b/>
          <w:sz w:val="24"/>
          <w:szCs w:val="24"/>
        </w:rPr>
        <w:t>Net Migration</w:t>
      </w:r>
      <w:r w:rsidR="00BB5101" w:rsidRPr="00300FD4">
        <w:rPr>
          <w:rFonts w:ascii="Times New Roman" w:eastAsia="Times New Roman" w:hAnsi="Times New Roman" w:cs="Times New Roman"/>
          <w:b/>
          <w:sz w:val="24"/>
          <w:szCs w:val="24"/>
        </w:rPr>
        <w:t xml:space="preserve"> and Domestic Net Population Growth</w:t>
      </w:r>
    </w:p>
    <w:p w:rsidR="00F7266D" w:rsidRPr="00300FD4" w:rsidRDefault="00F7266D"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sidRPr="00300FD4">
        <w:rPr>
          <w:rFonts w:ascii="Times New Roman" w:eastAsia="Times New Roman" w:hAnsi="Times New Roman" w:cs="Times New Roman"/>
          <w:bCs/>
          <w:sz w:val="24"/>
          <w:szCs w:val="24"/>
        </w:rPr>
        <w:tab/>
      </w:r>
      <w:r w:rsidRPr="00300FD4">
        <w:rPr>
          <w:rFonts w:ascii="Times New Roman" w:eastAsia="Times New Roman" w:hAnsi="Times New Roman" w:cs="Times New Roman"/>
          <w:bCs/>
          <w:sz w:val="24"/>
          <w:szCs w:val="24"/>
        </w:rPr>
        <w:tab/>
      </w:r>
      <w:r w:rsidR="002665E4" w:rsidRPr="00300FD4">
        <w:rPr>
          <w:rFonts w:ascii="Times New Roman" w:eastAsia="Times New Roman" w:hAnsi="Times New Roman" w:cs="Times New Roman"/>
          <w:bCs/>
          <w:sz w:val="24"/>
          <w:szCs w:val="24"/>
        </w:rPr>
        <w:t>In regards to the four human factors variables in Figure 19, n</w:t>
      </w:r>
      <w:r w:rsidRPr="00300FD4">
        <w:rPr>
          <w:rFonts w:ascii="Times New Roman" w:eastAsia="Times New Roman" w:hAnsi="Times New Roman" w:cs="Times New Roman"/>
          <w:bCs/>
          <w:sz w:val="24"/>
          <w:szCs w:val="24"/>
        </w:rPr>
        <w:t>et migration</w:t>
      </w:r>
      <w:r w:rsidR="00BB5101" w:rsidRPr="00300FD4">
        <w:rPr>
          <w:rFonts w:ascii="Times New Roman" w:eastAsia="Times New Roman" w:hAnsi="Times New Roman" w:cs="Times New Roman"/>
          <w:bCs/>
          <w:sz w:val="24"/>
          <w:szCs w:val="24"/>
        </w:rPr>
        <w:t xml:space="preserve"> and domestic net population growth</w:t>
      </w:r>
      <w:r w:rsidRPr="00300FD4">
        <w:rPr>
          <w:rFonts w:ascii="Times New Roman" w:eastAsia="Times New Roman" w:hAnsi="Times New Roman" w:cs="Times New Roman"/>
          <w:bCs/>
          <w:sz w:val="24"/>
          <w:szCs w:val="24"/>
        </w:rPr>
        <w:t xml:space="preserve"> represent the various ways a person can enter or leave a nation</w:t>
      </w:r>
      <w:r w:rsidR="002665E4" w:rsidRPr="00300FD4">
        <w:rPr>
          <w:rFonts w:ascii="Times New Roman" w:eastAsia="Times New Roman" w:hAnsi="Times New Roman" w:cs="Times New Roman"/>
          <w:bCs/>
          <w:sz w:val="24"/>
          <w:szCs w:val="24"/>
        </w:rPr>
        <w:t xml:space="preserve"> or contribute to the population within the country</w:t>
      </w:r>
      <w:r w:rsidRPr="00300FD4">
        <w:rPr>
          <w:rFonts w:ascii="Times New Roman" w:eastAsia="Times New Roman" w:hAnsi="Times New Roman" w:cs="Times New Roman"/>
          <w:bCs/>
          <w:sz w:val="24"/>
          <w:szCs w:val="24"/>
        </w:rPr>
        <w:t xml:space="preserve">. Subsequently, they contribute to the </w:t>
      </w:r>
      <w:r w:rsidR="00BB5101" w:rsidRPr="00300FD4">
        <w:rPr>
          <w:rFonts w:ascii="Times New Roman" w:eastAsia="Times New Roman" w:hAnsi="Times New Roman" w:cs="Times New Roman"/>
          <w:bCs/>
          <w:sz w:val="24"/>
          <w:szCs w:val="24"/>
        </w:rPr>
        <w:t>rate of change</w:t>
      </w:r>
      <w:r w:rsidRPr="00300FD4">
        <w:rPr>
          <w:rFonts w:ascii="Times New Roman" w:eastAsia="Times New Roman" w:hAnsi="Times New Roman" w:cs="Times New Roman"/>
          <w:bCs/>
          <w:sz w:val="24"/>
          <w:szCs w:val="24"/>
        </w:rPr>
        <w:t xml:space="preserve"> in their population </w:t>
      </w:r>
      <w:r w:rsidR="00BB5101" w:rsidRPr="00300FD4">
        <w:rPr>
          <w:rFonts w:ascii="Times New Roman" w:eastAsia="Times New Roman" w:hAnsi="Times New Roman" w:cs="Times New Roman"/>
          <w:bCs/>
          <w:sz w:val="24"/>
          <w:szCs w:val="24"/>
        </w:rPr>
        <w:t xml:space="preserve">growth </w:t>
      </w:r>
      <w:r w:rsidRPr="00300FD4">
        <w:rPr>
          <w:rFonts w:ascii="Times New Roman" w:eastAsia="Times New Roman" w:hAnsi="Times New Roman" w:cs="Times New Roman"/>
          <w:bCs/>
          <w:sz w:val="24"/>
          <w:szCs w:val="24"/>
        </w:rPr>
        <w:t>child node.</w:t>
      </w:r>
    </w:p>
    <w:p w:rsidR="00F7266D" w:rsidRPr="00F66132" w:rsidRDefault="00F7266D" w:rsidP="00223581">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sidRPr="00300FD4">
        <w:rPr>
          <w:rFonts w:ascii="Times New Roman" w:eastAsia="Times New Roman" w:hAnsi="Times New Roman" w:cs="Times New Roman"/>
          <w:bCs/>
          <w:sz w:val="24"/>
          <w:szCs w:val="24"/>
        </w:rPr>
        <w:tab/>
      </w:r>
      <w:r w:rsidRPr="00300FD4">
        <w:rPr>
          <w:rFonts w:ascii="Times New Roman" w:eastAsia="Times New Roman" w:hAnsi="Times New Roman" w:cs="Times New Roman"/>
          <w:bCs/>
          <w:sz w:val="24"/>
          <w:szCs w:val="24"/>
        </w:rPr>
        <w:tab/>
        <w:t>Net migration data, measured in the unit of people per year, was</w:t>
      </w:r>
      <w:r>
        <w:rPr>
          <w:rFonts w:ascii="Times New Roman" w:eastAsia="Times New Roman" w:hAnsi="Times New Roman" w:cs="Times New Roman"/>
          <w:bCs/>
          <w:sz w:val="24"/>
          <w:szCs w:val="24"/>
        </w:rPr>
        <w:t xml:space="preserve"> compiled from the World Bank</w:t>
      </w:r>
      <w:r w:rsidR="00BB5101">
        <w:rPr>
          <w:rFonts w:ascii="Times New Roman" w:eastAsia="Times New Roman" w:hAnsi="Times New Roman" w:cs="Times New Roman"/>
          <w:bCs/>
          <w:sz w:val="24"/>
          <w:szCs w:val="24"/>
        </w:rPr>
        <w:t>. Domestic net population growth, calculated by subtracting the</w:t>
      </w:r>
      <w:r>
        <w:rPr>
          <w:rFonts w:ascii="Times New Roman" w:eastAsia="Times New Roman" w:hAnsi="Times New Roman" w:cs="Times New Roman"/>
          <w:bCs/>
          <w:sz w:val="24"/>
          <w:szCs w:val="24"/>
        </w:rPr>
        <w:t xml:space="preserve"> death rate</w:t>
      </w:r>
      <w:r w:rsidR="00BB5101">
        <w:rPr>
          <w:rFonts w:ascii="Times New Roman" w:eastAsia="Times New Roman" w:hAnsi="Times New Roman" w:cs="Times New Roman"/>
          <w:bCs/>
          <w:sz w:val="24"/>
          <w:szCs w:val="24"/>
        </w:rPr>
        <w:t xml:space="preserve"> from the birth rate and</w:t>
      </w:r>
      <w:r>
        <w:rPr>
          <w:rFonts w:ascii="Times New Roman" w:eastAsia="Times New Roman" w:hAnsi="Times New Roman" w:cs="Times New Roman"/>
          <w:bCs/>
          <w:sz w:val="24"/>
          <w:szCs w:val="24"/>
        </w:rPr>
        <w:t xml:space="preserve"> measured per 1,000 people, came from the same World Bank source.</w:t>
      </w:r>
      <w:r>
        <w:rPr>
          <w:rStyle w:val="FootnoteReference"/>
          <w:rFonts w:ascii="Times New Roman" w:eastAsia="Times New Roman" w:hAnsi="Times New Roman" w:cs="Times New Roman"/>
          <w:bCs/>
          <w:sz w:val="24"/>
          <w:szCs w:val="24"/>
        </w:rPr>
        <w:footnoteReference w:id="58"/>
      </w:r>
      <w:r w:rsidR="00BB5101">
        <w:rPr>
          <w:rFonts w:ascii="Times New Roman" w:eastAsia="Times New Roman" w:hAnsi="Times New Roman" w:cs="Times New Roman"/>
          <w:bCs/>
          <w:sz w:val="24"/>
          <w:szCs w:val="24"/>
        </w:rPr>
        <w:t xml:space="preserve"> 43</w:t>
      </w:r>
      <w:r>
        <w:rPr>
          <w:rFonts w:ascii="Times New Roman" w:eastAsia="Times New Roman" w:hAnsi="Times New Roman" w:cs="Times New Roman"/>
          <w:bCs/>
          <w:sz w:val="24"/>
          <w:szCs w:val="24"/>
        </w:rPr>
        <w:t xml:space="preserve"> data points were recorded for each variable for each of the four countries: Oman, the United Arab Emirates, Saudi</w:t>
      </w:r>
      <w:r w:rsidR="00BB5101">
        <w:rPr>
          <w:rFonts w:ascii="Times New Roman" w:eastAsia="Times New Roman" w:hAnsi="Times New Roman" w:cs="Times New Roman"/>
          <w:bCs/>
          <w:sz w:val="24"/>
          <w:szCs w:val="24"/>
        </w:rPr>
        <w:t xml:space="preserve"> Arabia, and Kuwait. </w:t>
      </w:r>
      <w:r w:rsidR="002665E4">
        <w:rPr>
          <w:rFonts w:ascii="Times New Roman" w:eastAsia="Times New Roman" w:hAnsi="Times New Roman" w:cs="Times New Roman"/>
          <w:bCs/>
          <w:sz w:val="24"/>
          <w:szCs w:val="24"/>
        </w:rPr>
        <w:t>In regards to the</w:t>
      </w:r>
      <w:r w:rsidR="00BB5101">
        <w:rPr>
          <w:rFonts w:ascii="Times New Roman" w:eastAsia="Times New Roman" w:hAnsi="Times New Roman" w:cs="Times New Roman"/>
          <w:bCs/>
          <w:sz w:val="24"/>
          <w:szCs w:val="24"/>
        </w:rPr>
        <w:t xml:space="preserve"> 172</w:t>
      </w:r>
      <w:r>
        <w:rPr>
          <w:rFonts w:ascii="Times New Roman" w:eastAsia="Times New Roman" w:hAnsi="Times New Roman" w:cs="Times New Roman"/>
          <w:bCs/>
          <w:sz w:val="24"/>
          <w:szCs w:val="24"/>
        </w:rPr>
        <w:t xml:space="preserve"> total points</w:t>
      </w:r>
      <w:r w:rsidR="002665E4">
        <w:rPr>
          <w:rFonts w:ascii="Times New Roman" w:eastAsia="Times New Roman" w:hAnsi="Times New Roman" w:cs="Times New Roman"/>
          <w:bCs/>
          <w:sz w:val="24"/>
          <w:szCs w:val="24"/>
        </w:rPr>
        <w:t xml:space="preserve"> for each variable</w:t>
      </w:r>
      <w:r>
        <w:rPr>
          <w:rFonts w:ascii="Times New Roman" w:eastAsia="Times New Roman" w:hAnsi="Times New Roman" w:cs="Times New Roman"/>
          <w:bCs/>
          <w:sz w:val="24"/>
          <w:szCs w:val="24"/>
        </w:rPr>
        <w:t xml:space="preserve">, net </w:t>
      </w:r>
      <w:r>
        <w:rPr>
          <w:rFonts w:ascii="Times New Roman" w:eastAsia="Times New Roman" w:hAnsi="Times New Roman" w:cs="Times New Roman"/>
          <w:bCs/>
          <w:sz w:val="24"/>
          <w:szCs w:val="24"/>
        </w:rPr>
        <w:lastRenderedPageBreak/>
        <w:t>migration was divided into</w:t>
      </w:r>
      <w:r w:rsidR="0033416F">
        <w:rPr>
          <w:rFonts w:ascii="Times New Roman" w:eastAsia="Times New Roman" w:hAnsi="Times New Roman" w:cs="Times New Roman"/>
          <w:bCs/>
          <w:sz w:val="24"/>
          <w:szCs w:val="24"/>
        </w:rPr>
        <w:t xml:space="preserve"> </w:t>
      </w:r>
      <w:r w:rsidR="00BB5101">
        <w:rPr>
          <w:rFonts w:ascii="Times New Roman" w:eastAsia="Times New Roman" w:hAnsi="Times New Roman" w:cs="Times New Roman"/>
          <w:bCs/>
          <w:sz w:val="24"/>
          <w:szCs w:val="24"/>
        </w:rPr>
        <w:t>three</w:t>
      </w:r>
      <w:r>
        <w:rPr>
          <w:rFonts w:ascii="Times New Roman" w:eastAsia="Times New Roman" w:hAnsi="Times New Roman" w:cs="Times New Roman"/>
          <w:bCs/>
          <w:sz w:val="24"/>
          <w:szCs w:val="24"/>
        </w:rPr>
        <w:t xml:space="preserve"> bins split at </w:t>
      </w:r>
      <w:r w:rsidR="003D134E">
        <w:rPr>
          <w:rFonts w:ascii="Times New Roman" w:eastAsia="Times New Roman" w:hAnsi="Times New Roman" w:cs="Times New Roman"/>
          <w:bCs/>
          <w:sz w:val="24"/>
          <w:szCs w:val="24"/>
        </w:rPr>
        <w:t>20</w:t>
      </w:r>
      <w:r w:rsidR="0033416F">
        <w:rPr>
          <w:rFonts w:ascii="Times New Roman" w:eastAsia="Times New Roman" w:hAnsi="Times New Roman" w:cs="Times New Roman"/>
          <w:bCs/>
          <w:sz w:val="24"/>
          <w:szCs w:val="24"/>
        </w:rPr>
        <w:t>,000 and 10</w:t>
      </w:r>
      <w:r w:rsidR="003D134E">
        <w:rPr>
          <w:rFonts w:ascii="Times New Roman" w:eastAsia="Times New Roman" w:hAnsi="Times New Roman" w:cs="Times New Roman"/>
          <w:bCs/>
          <w:sz w:val="24"/>
          <w:szCs w:val="24"/>
        </w:rPr>
        <w:t>0</w:t>
      </w:r>
      <w:r w:rsidR="0033416F">
        <w:rPr>
          <w:rFonts w:ascii="Times New Roman" w:eastAsia="Times New Roman" w:hAnsi="Times New Roman" w:cs="Times New Roman"/>
          <w:bCs/>
          <w:sz w:val="24"/>
          <w:szCs w:val="24"/>
        </w:rPr>
        <w:t>,000</w:t>
      </w:r>
      <w:r>
        <w:rPr>
          <w:rFonts w:ascii="Times New Roman" w:eastAsia="Times New Roman" w:hAnsi="Times New Roman" w:cs="Times New Roman"/>
          <w:bCs/>
          <w:sz w:val="24"/>
          <w:szCs w:val="24"/>
        </w:rPr>
        <w:t xml:space="preserve"> people per year</w:t>
      </w:r>
      <w:r w:rsidR="003D134E">
        <w:rPr>
          <w:rFonts w:ascii="Times New Roman" w:eastAsia="Times New Roman" w:hAnsi="Times New Roman" w:cs="Times New Roman"/>
          <w:bCs/>
          <w:sz w:val="24"/>
          <w:szCs w:val="24"/>
        </w:rPr>
        <w:t xml:space="preserve">; </w:t>
      </w:r>
      <w:r w:rsidR="00223581">
        <w:rPr>
          <w:rFonts w:ascii="Times New Roman" w:eastAsia="Times New Roman" w:hAnsi="Times New Roman" w:cs="Times New Roman"/>
          <w:bCs/>
          <w:sz w:val="24"/>
          <w:szCs w:val="24"/>
        </w:rPr>
        <w:t>100,000 people per year</w:t>
      </w:r>
      <w:r w:rsidR="003D134E">
        <w:rPr>
          <w:rFonts w:ascii="Times New Roman" w:eastAsia="Times New Roman" w:hAnsi="Times New Roman" w:cs="Times New Roman"/>
          <w:bCs/>
          <w:sz w:val="24"/>
          <w:szCs w:val="24"/>
        </w:rPr>
        <w:t xml:space="preserve"> serves as the </w:t>
      </w:r>
      <w:r w:rsidR="00223581">
        <w:rPr>
          <w:rFonts w:ascii="Times New Roman" w:eastAsia="Times New Roman" w:hAnsi="Times New Roman" w:cs="Times New Roman"/>
          <w:bCs/>
          <w:sz w:val="24"/>
          <w:szCs w:val="24"/>
        </w:rPr>
        <w:t>lowest value</w:t>
      </w:r>
      <w:r w:rsidR="003D134E">
        <w:rPr>
          <w:rFonts w:ascii="Times New Roman" w:eastAsia="Times New Roman" w:hAnsi="Times New Roman" w:cs="Times New Roman"/>
          <w:bCs/>
          <w:sz w:val="24"/>
          <w:szCs w:val="24"/>
        </w:rPr>
        <w:t xml:space="preserve"> for annual </w:t>
      </w:r>
      <w:r w:rsidR="00223581">
        <w:rPr>
          <w:rFonts w:ascii="Times New Roman" w:eastAsia="Times New Roman" w:hAnsi="Times New Roman" w:cs="Times New Roman"/>
          <w:bCs/>
          <w:sz w:val="24"/>
          <w:szCs w:val="24"/>
        </w:rPr>
        <w:t xml:space="preserve">net </w:t>
      </w:r>
      <w:r w:rsidR="003D134E">
        <w:rPr>
          <w:rFonts w:ascii="Times New Roman" w:eastAsia="Times New Roman" w:hAnsi="Times New Roman" w:cs="Times New Roman"/>
          <w:bCs/>
          <w:sz w:val="24"/>
          <w:szCs w:val="24"/>
        </w:rPr>
        <w:t xml:space="preserve">migration for the </w:t>
      </w:r>
      <w:r w:rsidR="00223581">
        <w:rPr>
          <w:rFonts w:ascii="Times New Roman" w:eastAsia="Times New Roman" w:hAnsi="Times New Roman" w:cs="Times New Roman"/>
          <w:bCs/>
          <w:sz w:val="24"/>
          <w:szCs w:val="24"/>
        </w:rPr>
        <w:t>top ten Muslim countries (where Oman and the United Arab Emirates currently fall), and 20,000 is the lower bound for the top fifteen (where Saudi Arabia and Kuwait currently reside).</w:t>
      </w:r>
      <w:r w:rsidR="00223581">
        <w:rPr>
          <w:rStyle w:val="FootnoteReference"/>
          <w:rFonts w:ascii="Times New Roman" w:eastAsia="Times New Roman" w:hAnsi="Times New Roman" w:cs="Times New Roman"/>
          <w:bCs/>
          <w:sz w:val="24"/>
          <w:szCs w:val="24"/>
        </w:rPr>
        <w:footnoteReference w:id="59"/>
      </w:r>
      <w:r w:rsidR="0022358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 </w:t>
      </w:r>
      <w:r w:rsidR="007C4B30">
        <w:rPr>
          <w:rFonts w:ascii="Times New Roman" w:eastAsia="Times New Roman" w:hAnsi="Times New Roman" w:cs="Times New Roman"/>
          <w:bCs/>
          <w:sz w:val="24"/>
          <w:szCs w:val="24"/>
        </w:rPr>
        <w:t>domestic net population growth</w:t>
      </w:r>
      <w:r>
        <w:rPr>
          <w:rFonts w:ascii="Times New Roman" w:eastAsia="Times New Roman" w:hAnsi="Times New Roman" w:cs="Times New Roman"/>
          <w:bCs/>
          <w:sz w:val="24"/>
          <w:szCs w:val="24"/>
        </w:rPr>
        <w:t xml:space="preserve"> had two bins, </w:t>
      </w:r>
      <w:r w:rsidR="007C4B30">
        <w:rPr>
          <w:rFonts w:ascii="Times New Roman" w:eastAsia="Times New Roman" w:hAnsi="Times New Roman" w:cs="Times New Roman"/>
          <w:bCs/>
          <w:sz w:val="24"/>
          <w:szCs w:val="24"/>
        </w:rPr>
        <w:t>split at 2</w:t>
      </w:r>
      <w:r>
        <w:rPr>
          <w:rFonts w:ascii="Times New Roman" w:eastAsia="Times New Roman" w:hAnsi="Times New Roman" w:cs="Times New Roman"/>
          <w:bCs/>
          <w:sz w:val="24"/>
          <w:szCs w:val="24"/>
        </w:rPr>
        <w:t xml:space="preserve">0 per 1,000 people, </w:t>
      </w:r>
      <w:r w:rsidR="00907A80">
        <w:rPr>
          <w:rFonts w:ascii="Times New Roman" w:eastAsia="Times New Roman" w:hAnsi="Times New Roman" w:cs="Times New Roman"/>
          <w:bCs/>
          <w:sz w:val="24"/>
          <w:szCs w:val="24"/>
        </w:rPr>
        <w:t xml:space="preserve">considered a high rate; one-sixth of the </w:t>
      </w:r>
      <w:r w:rsidR="00907A80" w:rsidRPr="00300FD4">
        <w:rPr>
          <w:rFonts w:ascii="Times New Roman" w:eastAsia="Times New Roman" w:hAnsi="Times New Roman" w:cs="Times New Roman"/>
          <w:bCs/>
          <w:sz w:val="24"/>
          <w:szCs w:val="24"/>
        </w:rPr>
        <w:t xml:space="preserve">world’s population experiences this high rate, predominantly in countries in Africa, Latin America, </w:t>
      </w:r>
      <w:r w:rsidR="00907A80" w:rsidRPr="00F66132">
        <w:rPr>
          <w:rFonts w:ascii="Times New Roman" w:eastAsia="Times New Roman" w:hAnsi="Times New Roman" w:cs="Times New Roman"/>
          <w:bCs/>
          <w:sz w:val="24"/>
          <w:szCs w:val="24"/>
        </w:rPr>
        <w:t>and Western and Southern Asia.</w:t>
      </w:r>
      <w:r w:rsidR="00907A80" w:rsidRPr="00F66132">
        <w:rPr>
          <w:rStyle w:val="FootnoteReference"/>
          <w:rFonts w:ascii="Times New Roman" w:eastAsia="Times New Roman" w:hAnsi="Times New Roman" w:cs="Times New Roman"/>
          <w:bCs/>
          <w:sz w:val="24"/>
          <w:szCs w:val="24"/>
        </w:rPr>
        <w:footnoteReference w:id="60"/>
      </w:r>
    </w:p>
    <w:p w:rsidR="00F7266D" w:rsidRPr="00F66132" w:rsidRDefault="00F7266D"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sidRPr="00F66132">
        <w:rPr>
          <w:rFonts w:ascii="Times New Roman" w:eastAsia="Times New Roman" w:hAnsi="Times New Roman" w:cs="Times New Roman"/>
          <w:bCs/>
          <w:sz w:val="24"/>
          <w:szCs w:val="24"/>
        </w:rPr>
        <w:tab/>
      </w:r>
      <w:r w:rsidRPr="00F66132">
        <w:rPr>
          <w:rFonts w:ascii="Times New Roman" w:eastAsia="Times New Roman" w:hAnsi="Times New Roman" w:cs="Times New Roman"/>
          <w:bCs/>
          <w:sz w:val="24"/>
          <w:szCs w:val="24"/>
        </w:rPr>
        <w:tab/>
        <w:t>The table</w:t>
      </w:r>
      <w:r w:rsidR="002665E4" w:rsidRPr="00F66132">
        <w:rPr>
          <w:rFonts w:ascii="Times New Roman" w:eastAsia="Times New Roman" w:hAnsi="Times New Roman" w:cs="Times New Roman"/>
          <w:bCs/>
          <w:sz w:val="24"/>
          <w:szCs w:val="24"/>
        </w:rPr>
        <w:t xml:space="preserve"> in Figure 20a</w:t>
      </w:r>
      <w:r w:rsidRPr="00F66132">
        <w:rPr>
          <w:rFonts w:ascii="Times New Roman" w:eastAsia="Times New Roman" w:hAnsi="Times New Roman" w:cs="Times New Roman"/>
          <w:bCs/>
          <w:sz w:val="24"/>
          <w:szCs w:val="24"/>
        </w:rPr>
        <w:t xml:space="preserve"> show</w:t>
      </w:r>
      <w:r w:rsidR="002665E4" w:rsidRPr="00F66132">
        <w:rPr>
          <w:rFonts w:ascii="Times New Roman" w:eastAsia="Times New Roman" w:hAnsi="Times New Roman" w:cs="Times New Roman"/>
          <w:bCs/>
          <w:sz w:val="24"/>
          <w:szCs w:val="24"/>
        </w:rPr>
        <w:t>s</w:t>
      </w:r>
      <w:r w:rsidRPr="00F66132">
        <w:rPr>
          <w:rFonts w:ascii="Times New Roman" w:eastAsia="Times New Roman" w:hAnsi="Times New Roman" w:cs="Times New Roman"/>
          <w:bCs/>
          <w:sz w:val="24"/>
          <w:szCs w:val="24"/>
        </w:rPr>
        <w:t xml:space="preserve"> the</w:t>
      </w:r>
      <w:r w:rsidR="002665E4" w:rsidRPr="00F66132">
        <w:rPr>
          <w:rFonts w:ascii="Times New Roman" w:eastAsia="Times New Roman" w:hAnsi="Times New Roman" w:cs="Times New Roman"/>
          <w:bCs/>
          <w:sz w:val="24"/>
          <w:szCs w:val="24"/>
        </w:rPr>
        <w:t xml:space="preserve"> bell-curve-like shape of the net migration data within its bins, and Figure 20b is the</w:t>
      </w:r>
      <w:r w:rsidRPr="00F66132">
        <w:rPr>
          <w:rFonts w:ascii="Times New Roman" w:eastAsia="Times New Roman" w:hAnsi="Times New Roman" w:cs="Times New Roman"/>
          <w:bCs/>
          <w:sz w:val="24"/>
          <w:szCs w:val="24"/>
        </w:rPr>
        <w:t xml:space="preserve"> </w:t>
      </w:r>
      <w:r w:rsidR="00907A80" w:rsidRPr="00F66132">
        <w:rPr>
          <w:rFonts w:ascii="Times New Roman" w:eastAsia="Times New Roman" w:hAnsi="Times New Roman" w:cs="Times New Roman"/>
          <w:bCs/>
          <w:sz w:val="24"/>
          <w:szCs w:val="24"/>
        </w:rPr>
        <w:t>conditional probability distribution between</w:t>
      </w:r>
      <w:r w:rsidRPr="00F66132">
        <w:rPr>
          <w:rFonts w:ascii="Times New Roman" w:eastAsia="Times New Roman" w:hAnsi="Times New Roman" w:cs="Times New Roman"/>
          <w:bCs/>
          <w:sz w:val="24"/>
          <w:szCs w:val="24"/>
        </w:rPr>
        <w:t xml:space="preserve"> </w:t>
      </w:r>
      <w:r w:rsidR="00907A80" w:rsidRPr="00F66132">
        <w:rPr>
          <w:rFonts w:ascii="Times New Roman" w:eastAsia="Times New Roman" w:hAnsi="Times New Roman" w:cs="Times New Roman"/>
          <w:bCs/>
          <w:sz w:val="24"/>
          <w:szCs w:val="24"/>
        </w:rPr>
        <w:t>oil rents per capita and net migration</w:t>
      </w:r>
      <w:r w:rsidR="002665E4" w:rsidRPr="00F66132">
        <w:rPr>
          <w:rFonts w:ascii="Times New Roman" w:eastAsia="Times New Roman" w:hAnsi="Times New Roman" w:cs="Times New Roman"/>
          <w:bCs/>
          <w:sz w:val="24"/>
          <w:szCs w:val="24"/>
        </w:rPr>
        <w:t>. Figure 20c indicates a left</w:t>
      </w:r>
      <w:r w:rsidR="009752B7" w:rsidRPr="00F66132">
        <w:rPr>
          <w:rFonts w:ascii="Times New Roman" w:eastAsia="Times New Roman" w:hAnsi="Times New Roman" w:cs="Times New Roman"/>
          <w:bCs/>
          <w:sz w:val="24"/>
          <w:szCs w:val="24"/>
        </w:rPr>
        <w:t>-skewed</w:t>
      </w:r>
      <w:r w:rsidR="00907A80" w:rsidRPr="00F66132">
        <w:rPr>
          <w:rFonts w:ascii="Times New Roman" w:eastAsia="Times New Roman" w:hAnsi="Times New Roman" w:cs="Times New Roman"/>
          <w:bCs/>
          <w:sz w:val="24"/>
          <w:szCs w:val="24"/>
        </w:rPr>
        <w:t xml:space="preserve"> probability distribution </w:t>
      </w:r>
      <w:r w:rsidR="002665E4" w:rsidRPr="00F66132">
        <w:rPr>
          <w:rFonts w:ascii="Times New Roman" w:eastAsia="Times New Roman" w:hAnsi="Times New Roman" w:cs="Times New Roman"/>
          <w:bCs/>
          <w:sz w:val="24"/>
          <w:szCs w:val="24"/>
        </w:rPr>
        <w:t>for</w:t>
      </w:r>
      <w:r w:rsidR="00907A80" w:rsidRPr="00F66132">
        <w:rPr>
          <w:rFonts w:ascii="Times New Roman" w:eastAsia="Times New Roman" w:hAnsi="Times New Roman" w:cs="Times New Roman"/>
          <w:bCs/>
          <w:sz w:val="24"/>
          <w:szCs w:val="24"/>
        </w:rPr>
        <w:t xml:space="preserve"> the </w:t>
      </w:r>
      <w:r w:rsidR="009752B7" w:rsidRPr="00F66132">
        <w:rPr>
          <w:rFonts w:ascii="Times New Roman" w:eastAsia="Times New Roman" w:hAnsi="Times New Roman" w:cs="Times New Roman"/>
          <w:bCs/>
          <w:sz w:val="24"/>
          <w:szCs w:val="24"/>
        </w:rPr>
        <w:t xml:space="preserve">parentless </w:t>
      </w:r>
      <w:r w:rsidR="00907A80" w:rsidRPr="00F66132">
        <w:rPr>
          <w:rFonts w:ascii="Times New Roman" w:eastAsia="Times New Roman" w:hAnsi="Times New Roman" w:cs="Times New Roman"/>
          <w:bCs/>
          <w:sz w:val="24"/>
          <w:szCs w:val="24"/>
        </w:rPr>
        <w:t xml:space="preserve">domestic net population growth variable. </w:t>
      </w:r>
    </w:p>
    <w:p w:rsidR="00F66132" w:rsidRPr="00F66132" w:rsidRDefault="00F66132"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F66132" w:rsidRPr="00F66132" w:rsidRDefault="00F66132"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F66132" w:rsidRPr="00F66132" w:rsidRDefault="00F66132"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F66132" w:rsidRPr="00F66132" w:rsidRDefault="00F66132"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F66132" w:rsidRPr="00F66132" w:rsidRDefault="00F66132"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F66132" w:rsidRPr="00F66132" w:rsidRDefault="00F66132"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F66132" w:rsidRPr="00F66132" w:rsidRDefault="00F66132"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F66132" w:rsidRPr="00F66132" w:rsidRDefault="00F66132"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p>
    <w:p w:rsidR="00C061D7" w:rsidRPr="00F66132" w:rsidRDefault="003D134E" w:rsidP="00876B77">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noProof/>
        </w:rPr>
      </w:pPr>
      <w:r w:rsidRPr="00F66132">
        <w:rPr>
          <w:noProof/>
        </w:rPr>
        <w:lastRenderedPageBreak/>
        <w:drawing>
          <wp:inline distT="0" distB="0" distL="0" distR="0" wp14:anchorId="44994B75" wp14:editId="47F0ADA2">
            <wp:extent cx="2977116" cy="1382232"/>
            <wp:effectExtent l="0" t="0" r="13970" b="279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7266D" w:rsidRPr="00F66132">
        <w:rPr>
          <w:noProof/>
        </w:rPr>
        <w:t xml:space="preserve">      </w:t>
      </w:r>
    </w:p>
    <w:p w:rsidR="002665E4" w:rsidRPr="00F66132" w:rsidRDefault="002665E4"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r w:rsidRPr="00F66132">
        <w:rPr>
          <w:rFonts w:asciiTheme="majorBidi" w:hAnsiTheme="majorBidi" w:cstheme="majorBidi"/>
          <w:noProof/>
          <w:sz w:val="24"/>
          <w:szCs w:val="24"/>
        </w:rPr>
        <w:t>(a) Simple Probability Table for Net Migration</w:t>
      </w:r>
    </w:p>
    <w:p w:rsidR="002665E4" w:rsidRPr="00F66132" w:rsidRDefault="002665E4"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p>
    <w:tbl>
      <w:tblPr>
        <w:tblStyle w:val="TableGrid"/>
        <w:tblW w:w="0" w:type="auto"/>
        <w:jc w:val="center"/>
        <w:tblLayout w:type="fixed"/>
        <w:tblLook w:val="04A0" w:firstRow="1" w:lastRow="0" w:firstColumn="1" w:lastColumn="0" w:noHBand="0" w:noVBand="1"/>
      </w:tblPr>
      <w:tblGrid>
        <w:gridCol w:w="4248"/>
        <w:gridCol w:w="1620"/>
        <w:gridCol w:w="1620"/>
        <w:gridCol w:w="1620"/>
      </w:tblGrid>
      <w:tr w:rsidR="00C061D7" w:rsidRPr="00F66132" w:rsidTr="00581785">
        <w:trPr>
          <w:jc w:val="center"/>
        </w:trPr>
        <w:tc>
          <w:tcPr>
            <w:tcW w:w="9108" w:type="dxa"/>
            <w:gridSpan w:val="4"/>
            <w:shd w:val="clear" w:color="auto" w:fill="A6A6A6" w:themeFill="background1" w:themeFillShade="A6"/>
          </w:tcPr>
          <w:p w:rsidR="00C061D7" w:rsidRPr="00F66132" w:rsidRDefault="00C061D7" w:rsidP="00C061D7">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Net Migration (per Year)</w:t>
            </w:r>
          </w:p>
        </w:tc>
      </w:tr>
      <w:tr w:rsidR="00C061D7" w:rsidRPr="00F66132" w:rsidTr="00581785">
        <w:trPr>
          <w:jc w:val="center"/>
        </w:trPr>
        <w:tc>
          <w:tcPr>
            <w:tcW w:w="4248" w:type="dxa"/>
            <w:shd w:val="clear" w:color="auto" w:fill="D9D9D9" w:themeFill="background1" w:themeFillShade="D9"/>
          </w:tcPr>
          <w:p w:rsidR="00C061D7"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Oil Rents per Capita</w:t>
            </w:r>
          </w:p>
        </w:tc>
        <w:tc>
          <w:tcPr>
            <w:tcW w:w="1620" w:type="dxa"/>
            <w:shd w:val="clear" w:color="auto" w:fill="D9D9D9" w:themeFill="background1" w:themeFillShade="D9"/>
          </w:tcPr>
          <w:p w:rsidR="00C061D7"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&lt;5000</w:t>
            </w:r>
          </w:p>
        </w:tc>
        <w:tc>
          <w:tcPr>
            <w:tcW w:w="1620" w:type="dxa"/>
            <w:shd w:val="clear" w:color="auto" w:fill="D9D9D9" w:themeFill="background1" w:themeFillShade="D9"/>
          </w:tcPr>
          <w:p w:rsidR="00C061D7"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(5000, 10000)</w:t>
            </w:r>
          </w:p>
        </w:tc>
        <w:tc>
          <w:tcPr>
            <w:tcW w:w="1620" w:type="dxa"/>
            <w:shd w:val="clear" w:color="auto" w:fill="D9D9D9" w:themeFill="background1" w:themeFillShade="D9"/>
          </w:tcPr>
          <w:p w:rsidR="00C061D7"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&gt;10000</w:t>
            </w:r>
          </w:p>
        </w:tc>
      </w:tr>
      <w:tr w:rsidR="00C061D7" w:rsidRPr="00F66132" w:rsidTr="00581785">
        <w:trPr>
          <w:jc w:val="center"/>
        </w:trPr>
        <w:tc>
          <w:tcPr>
            <w:tcW w:w="4248" w:type="dxa"/>
            <w:shd w:val="clear" w:color="auto" w:fill="A6A6A6" w:themeFill="background1" w:themeFillShade="A6"/>
          </w:tcPr>
          <w:p w:rsidR="00C061D7" w:rsidRPr="00F66132" w:rsidRDefault="00C061D7" w:rsidP="00737944">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&lt;</w:t>
            </w:r>
            <w:r w:rsidR="00737944" w:rsidRPr="00F66132">
              <w:rPr>
                <w:rFonts w:ascii="Times New Roman" w:eastAsia="Times New Roman" w:hAnsi="Times New Roman" w:cs="Times New Roman"/>
                <w:sz w:val="24"/>
                <w:szCs w:val="24"/>
              </w:rPr>
              <w:t>20000</w:t>
            </w:r>
          </w:p>
        </w:tc>
        <w:tc>
          <w:tcPr>
            <w:tcW w:w="1620" w:type="dxa"/>
          </w:tcPr>
          <w:p w:rsidR="00C061D7"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0.666667</w:t>
            </w:r>
          </w:p>
        </w:tc>
        <w:tc>
          <w:tcPr>
            <w:tcW w:w="1620" w:type="dxa"/>
          </w:tcPr>
          <w:p w:rsidR="00C061D7"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0.175439</w:t>
            </w:r>
          </w:p>
        </w:tc>
        <w:tc>
          <w:tcPr>
            <w:tcW w:w="1620" w:type="dxa"/>
          </w:tcPr>
          <w:p w:rsidR="00C061D7" w:rsidRPr="00F66132" w:rsidRDefault="00737944" w:rsidP="00737944">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0.01</w:t>
            </w:r>
          </w:p>
        </w:tc>
      </w:tr>
      <w:tr w:rsidR="00C061D7" w:rsidRPr="00F66132" w:rsidTr="00581785">
        <w:trPr>
          <w:jc w:val="center"/>
        </w:trPr>
        <w:tc>
          <w:tcPr>
            <w:tcW w:w="4248" w:type="dxa"/>
            <w:shd w:val="clear" w:color="auto" w:fill="A6A6A6" w:themeFill="background1" w:themeFillShade="A6"/>
          </w:tcPr>
          <w:p w:rsidR="00C061D7"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(20000, 100000)</w:t>
            </w:r>
          </w:p>
        </w:tc>
        <w:tc>
          <w:tcPr>
            <w:tcW w:w="1620" w:type="dxa"/>
          </w:tcPr>
          <w:p w:rsidR="00C061D7"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0.122807</w:t>
            </w:r>
          </w:p>
        </w:tc>
        <w:tc>
          <w:tcPr>
            <w:tcW w:w="1620" w:type="dxa"/>
          </w:tcPr>
          <w:p w:rsidR="00C061D7"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0.45614</w:t>
            </w:r>
          </w:p>
        </w:tc>
        <w:tc>
          <w:tcPr>
            <w:tcW w:w="1620" w:type="dxa"/>
          </w:tcPr>
          <w:p w:rsidR="00C061D7" w:rsidRPr="00F66132" w:rsidRDefault="00C061D7" w:rsidP="00737944">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0.</w:t>
            </w:r>
            <w:r w:rsidR="00737944" w:rsidRPr="00F66132">
              <w:rPr>
                <w:rFonts w:ascii="Times New Roman" w:eastAsia="Times New Roman" w:hAnsi="Times New Roman" w:cs="Times New Roman"/>
                <w:sz w:val="24"/>
                <w:szCs w:val="24"/>
              </w:rPr>
              <w:t>87931</w:t>
            </w:r>
          </w:p>
        </w:tc>
      </w:tr>
      <w:tr w:rsidR="00737944" w:rsidRPr="00F66132" w:rsidTr="00581785">
        <w:trPr>
          <w:jc w:val="center"/>
        </w:trPr>
        <w:tc>
          <w:tcPr>
            <w:tcW w:w="4248" w:type="dxa"/>
            <w:shd w:val="clear" w:color="auto" w:fill="A6A6A6" w:themeFill="background1" w:themeFillShade="A6"/>
          </w:tcPr>
          <w:p w:rsidR="00737944"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&gt;100000</w:t>
            </w:r>
          </w:p>
        </w:tc>
        <w:tc>
          <w:tcPr>
            <w:tcW w:w="1620" w:type="dxa"/>
          </w:tcPr>
          <w:p w:rsidR="00737944"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0.210526</w:t>
            </w:r>
          </w:p>
        </w:tc>
        <w:tc>
          <w:tcPr>
            <w:tcW w:w="1620" w:type="dxa"/>
          </w:tcPr>
          <w:p w:rsidR="00737944"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0.368421</w:t>
            </w:r>
          </w:p>
        </w:tc>
        <w:tc>
          <w:tcPr>
            <w:tcW w:w="1620" w:type="dxa"/>
          </w:tcPr>
          <w:p w:rsidR="00737944" w:rsidRPr="00F66132" w:rsidRDefault="00737944" w:rsidP="00581785">
            <w:pPr>
              <w:jc w:val="center"/>
              <w:rPr>
                <w:rFonts w:ascii="Times New Roman" w:eastAsia="Times New Roman" w:hAnsi="Times New Roman" w:cs="Times New Roman"/>
                <w:sz w:val="24"/>
                <w:szCs w:val="24"/>
              </w:rPr>
            </w:pPr>
            <w:r w:rsidRPr="00F66132">
              <w:rPr>
                <w:rFonts w:ascii="Times New Roman" w:eastAsia="Times New Roman" w:hAnsi="Times New Roman" w:cs="Times New Roman"/>
                <w:sz w:val="24"/>
                <w:szCs w:val="24"/>
              </w:rPr>
              <w:t>0.12069</w:t>
            </w:r>
          </w:p>
        </w:tc>
      </w:tr>
    </w:tbl>
    <w:p w:rsidR="002665E4" w:rsidRPr="00F66132" w:rsidRDefault="002665E4" w:rsidP="002665E4">
      <w:pPr>
        <w:spacing w:after="0" w:line="240" w:lineRule="auto"/>
        <w:jc w:val="center"/>
        <w:rPr>
          <w:rFonts w:asciiTheme="majorBidi" w:hAnsiTheme="majorBidi" w:cstheme="majorBidi"/>
          <w:noProof/>
          <w:sz w:val="24"/>
          <w:szCs w:val="24"/>
        </w:rPr>
      </w:pPr>
    </w:p>
    <w:p w:rsidR="002665E4" w:rsidRPr="00F66132" w:rsidRDefault="002665E4" w:rsidP="002665E4">
      <w:pPr>
        <w:spacing w:after="0" w:line="240" w:lineRule="auto"/>
        <w:jc w:val="center"/>
        <w:rPr>
          <w:rFonts w:asciiTheme="majorBidi" w:eastAsia="Times New Roman" w:hAnsiTheme="majorBidi" w:cstheme="majorBidi"/>
          <w:sz w:val="24"/>
          <w:szCs w:val="24"/>
        </w:rPr>
      </w:pPr>
      <w:r w:rsidRPr="00F66132">
        <w:rPr>
          <w:rFonts w:asciiTheme="majorBidi" w:hAnsiTheme="majorBidi" w:cstheme="majorBidi"/>
          <w:noProof/>
          <w:sz w:val="24"/>
          <w:szCs w:val="24"/>
        </w:rPr>
        <w:t xml:space="preserve">(b) Conditional </w:t>
      </w:r>
      <w:r w:rsidRPr="00F66132">
        <w:rPr>
          <w:rFonts w:asciiTheme="majorBidi" w:eastAsia="Times New Roman" w:hAnsiTheme="majorBidi" w:cstheme="majorBidi"/>
          <w:sz w:val="24"/>
          <w:szCs w:val="24"/>
        </w:rPr>
        <w:t>Probability Table for Net Migration</w:t>
      </w:r>
    </w:p>
    <w:p w:rsidR="002665E4" w:rsidRPr="00F66132" w:rsidRDefault="002665E4" w:rsidP="002665E4">
      <w:pPr>
        <w:spacing w:after="0" w:line="240" w:lineRule="auto"/>
        <w:jc w:val="center"/>
        <w:rPr>
          <w:rFonts w:asciiTheme="majorBidi" w:eastAsia="Times New Roman" w:hAnsiTheme="majorBidi" w:cstheme="majorBidi"/>
          <w:sz w:val="24"/>
          <w:szCs w:val="24"/>
        </w:rPr>
      </w:pPr>
    </w:p>
    <w:tbl>
      <w:tblPr>
        <w:tblStyle w:val="TableGrid"/>
        <w:tblW w:w="0" w:type="auto"/>
        <w:jc w:val="center"/>
        <w:tblInd w:w="1435" w:type="dxa"/>
        <w:tblLook w:val="04A0" w:firstRow="1" w:lastRow="0" w:firstColumn="1" w:lastColumn="0" w:noHBand="0" w:noVBand="1"/>
      </w:tblPr>
      <w:tblGrid>
        <w:gridCol w:w="2336"/>
        <w:gridCol w:w="2338"/>
      </w:tblGrid>
      <w:tr w:rsidR="00876B77" w:rsidRPr="00F66132" w:rsidTr="00C061D7">
        <w:trPr>
          <w:trHeight w:val="373"/>
          <w:jc w:val="center"/>
        </w:trPr>
        <w:tc>
          <w:tcPr>
            <w:tcW w:w="4674" w:type="dxa"/>
            <w:gridSpan w:val="2"/>
            <w:shd w:val="clear" w:color="auto" w:fill="BFBFBF" w:themeFill="background1" w:themeFillShade="BF"/>
            <w:vAlign w:val="center"/>
          </w:tcPr>
          <w:p w:rsidR="00876B77" w:rsidRPr="00F66132" w:rsidRDefault="00876B77" w:rsidP="00BE6FAA">
            <w:pPr>
              <w:jc w:val="center"/>
              <w:rPr>
                <w:rFonts w:ascii="Times New Roman" w:eastAsia="Times New Roman" w:hAnsi="Times New Roman" w:cs="Times New Roman"/>
                <w:sz w:val="20"/>
                <w:szCs w:val="20"/>
              </w:rPr>
            </w:pPr>
            <w:r w:rsidRPr="00F66132">
              <w:rPr>
                <w:rFonts w:ascii="Times New Roman" w:eastAsia="Times New Roman" w:hAnsi="Times New Roman" w:cs="Times New Roman"/>
                <w:sz w:val="20"/>
                <w:szCs w:val="20"/>
              </w:rPr>
              <w:t>Domestic Net Population Growth (per 1,000 people)</w:t>
            </w:r>
          </w:p>
        </w:tc>
      </w:tr>
      <w:tr w:rsidR="00876B77" w:rsidRPr="00F66132" w:rsidTr="002665E4">
        <w:trPr>
          <w:trHeight w:val="373"/>
          <w:jc w:val="center"/>
        </w:trPr>
        <w:tc>
          <w:tcPr>
            <w:tcW w:w="2336" w:type="dxa"/>
            <w:shd w:val="clear" w:color="auto" w:fill="BFBFBF" w:themeFill="background1" w:themeFillShade="BF"/>
            <w:vAlign w:val="center"/>
          </w:tcPr>
          <w:p w:rsidR="00876B77" w:rsidRPr="00F66132" w:rsidRDefault="00876B77" w:rsidP="00BE6FAA">
            <w:pPr>
              <w:jc w:val="center"/>
              <w:rPr>
                <w:rFonts w:ascii="Times New Roman" w:eastAsia="Times New Roman" w:hAnsi="Times New Roman" w:cs="Times New Roman"/>
                <w:b/>
                <w:bCs/>
                <w:sz w:val="20"/>
                <w:szCs w:val="20"/>
              </w:rPr>
            </w:pPr>
            <w:r w:rsidRPr="00F66132">
              <w:rPr>
                <w:rFonts w:ascii="Times New Roman" w:eastAsia="Times New Roman" w:hAnsi="Times New Roman" w:cs="Times New Roman"/>
                <w:b/>
                <w:bCs/>
                <w:sz w:val="20"/>
                <w:szCs w:val="20"/>
              </w:rPr>
              <w:t>Bin</w:t>
            </w:r>
          </w:p>
        </w:tc>
        <w:tc>
          <w:tcPr>
            <w:tcW w:w="2338" w:type="dxa"/>
            <w:vAlign w:val="center"/>
          </w:tcPr>
          <w:p w:rsidR="00876B77" w:rsidRPr="00F66132" w:rsidRDefault="00876B77" w:rsidP="00BE6FAA">
            <w:pPr>
              <w:jc w:val="center"/>
              <w:rPr>
                <w:rFonts w:ascii="Times New Roman" w:eastAsia="Times New Roman" w:hAnsi="Times New Roman" w:cs="Times New Roman"/>
                <w:b/>
                <w:bCs/>
                <w:sz w:val="20"/>
                <w:szCs w:val="20"/>
              </w:rPr>
            </w:pPr>
            <w:r w:rsidRPr="00F66132">
              <w:rPr>
                <w:rFonts w:ascii="Times New Roman" w:eastAsia="Times New Roman" w:hAnsi="Times New Roman" w:cs="Times New Roman"/>
                <w:b/>
                <w:bCs/>
                <w:sz w:val="20"/>
                <w:szCs w:val="20"/>
              </w:rPr>
              <w:t>Probability</w:t>
            </w:r>
          </w:p>
        </w:tc>
      </w:tr>
      <w:tr w:rsidR="00876B77" w:rsidRPr="00F66132" w:rsidTr="002665E4">
        <w:trPr>
          <w:trHeight w:val="373"/>
          <w:jc w:val="center"/>
        </w:trPr>
        <w:tc>
          <w:tcPr>
            <w:tcW w:w="2336" w:type="dxa"/>
            <w:shd w:val="clear" w:color="auto" w:fill="BFBFBF" w:themeFill="background1" w:themeFillShade="BF"/>
            <w:vAlign w:val="center"/>
          </w:tcPr>
          <w:p w:rsidR="00876B77" w:rsidRPr="00F66132" w:rsidRDefault="00876B77" w:rsidP="00BE6FAA">
            <w:pPr>
              <w:jc w:val="center"/>
              <w:rPr>
                <w:rFonts w:ascii="Times New Roman" w:eastAsia="Times New Roman" w:hAnsi="Times New Roman" w:cs="Times New Roman"/>
                <w:sz w:val="20"/>
                <w:szCs w:val="20"/>
              </w:rPr>
            </w:pPr>
            <w:r w:rsidRPr="00F66132">
              <w:rPr>
                <w:rFonts w:ascii="Times New Roman" w:eastAsia="Times New Roman" w:hAnsi="Times New Roman" w:cs="Times New Roman"/>
                <w:sz w:val="20"/>
                <w:szCs w:val="20"/>
              </w:rPr>
              <w:t>&lt;20</w:t>
            </w:r>
          </w:p>
        </w:tc>
        <w:tc>
          <w:tcPr>
            <w:tcW w:w="2338" w:type="dxa"/>
            <w:vAlign w:val="center"/>
          </w:tcPr>
          <w:p w:rsidR="00876B77" w:rsidRPr="00F66132" w:rsidRDefault="00876B77" w:rsidP="00BE6FAA">
            <w:pPr>
              <w:jc w:val="center"/>
              <w:rPr>
                <w:rFonts w:ascii="Times New Roman" w:eastAsia="Times New Roman" w:hAnsi="Times New Roman" w:cs="Times New Roman"/>
                <w:sz w:val="20"/>
                <w:szCs w:val="20"/>
              </w:rPr>
            </w:pPr>
            <w:r w:rsidRPr="00F66132">
              <w:rPr>
                <w:rFonts w:ascii="Times New Roman" w:eastAsia="Times New Roman" w:hAnsi="Times New Roman" w:cs="Times New Roman"/>
                <w:sz w:val="20"/>
                <w:szCs w:val="20"/>
              </w:rPr>
              <w:t>0.34302</w:t>
            </w:r>
          </w:p>
        </w:tc>
      </w:tr>
      <w:tr w:rsidR="00876B77" w:rsidRPr="00F66132" w:rsidTr="002665E4">
        <w:trPr>
          <w:trHeight w:val="373"/>
          <w:jc w:val="center"/>
        </w:trPr>
        <w:tc>
          <w:tcPr>
            <w:tcW w:w="2336" w:type="dxa"/>
            <w:shd w:val="clear" w:color="auto" w:fill="BFBFBF" w:themeFill="background1" w:themeFillShade="BF"/>
            <w:vAlign w:val="center"/>
          </w:tcPr>
          <w:p w:rsidR="00876B77" w:rsidRPr="00F66132" w:rsidRDefault="00876B77" w:rsidP="00BE6FAA">
            <w:pPr>
              <w:jc w:val="center"/>
              <w:rPr>
                <w:rFonts w:ascii="Times New Roman" w:eastAsia="Times New Roman" w:hAnsi="Times New Roman" w:cs="Times New Roman"/>
                <w:sz w:val="20"/>
                <w:szCs w:val="20"/>
              </w:rPr>
            </w:pPr>
            <w:r w:rsidRPr="00F66132">
              <w:rPr>
                <w:rFonts w:ascii="Times New Roman" w:eastAsia="Times New Roman" w:hAnsi="Times New Roman" w:cs="Times New Roman"/>
                <w:sz w:val="20"/>
                <w:szCs w:val="20"/>
              </w:rPr>
              <w:t>&gt;20</w:t>
            </w:r>
          </w:p>
        </w:tc>
        <w:tc>
          <w:tcPr>
            <w:tcW w:w="2338" w:type="dxa"/>
            <w:vAlign w:val="center"/>
          </w:tcPr>
          <w:p w:rsidR="00876B77" w:rsidRPr="00F66132" w:rsidRDefault="00876B77" w:rsidP="00BE6FAA">
            <w:pPr>
              <w:jc w:val="center"/>
              <w:rPr>
                <w:rFonts w:ascii="Times New Roman" w:eastAsia="Times New Roman" w:hAnsi="Times New Roman" w:cs="Times New Roman"/>
                <w:sz w:val="20"/>
                <w:szCs w:val="20"/>
              </w:rPr>
            </w:pPr>
            <w:r w:rsidRPr="00F66132">
              <w:rPr>
                <w:rFonts w:ascii="Times New Roman" w:eastAsia="Times New Roman" w:hAnsi="Times New Roman" w:cs="Times New Roman"/>
                <w:sz w:val="20"/>
                <w:szCs w:val="20"/>
              </w:rPr>
              <w:t>0.65698</w:t>
            </w:r>
          </w:p>
        </w:tc>
      </w:tr>
    </w:tbl>
    <w:p w:rsidR="00F7266D" w:rsidRPr="00F66132" w:rsidRDefault="00F7266D"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noProof/>
        </w:rPr>
      </w:pPr>
      <w:r w:rsidRPr="00F66132">
        <w:rPr>
          <w:noProof/>
        </w:rPr>
        <w:t xml:space="preserve">   </w:t>
      </w:r>
    </w:p>
    <w:p w:rsidR="002665E4" w:rsidRPr="00F66132" w:rsidRDefault="002665E4" w:rsidP="002665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hAnsiTheme="majorBidi" w:cstheme="majorBidi"/>
          <w:noProof/>
          <w:sz w:val="24"/>
          <w:szCs w:val="24"/>
        </w:rPr>
      </w:pPr>
      <w:r w:rsidRPr="00F66132">
        <w:rPr>
          <w:rFonts w:asciiTheme="majorBidi" w:hAnsiTheme="majorBidi" w:cstheme="majorBidi"/>
          <w:noProof/>
          <w:sz w:val="24"/>
          <w:szCs w:val="24"/>
        </w:rPr>
        <w:t>(c) Probability Table for Domestic Net Population Growth</w:t>
      </w:r>
    </w:p>
    <w:p w:rsidR="002665E4" w:rsidRPr="00F66132" w:rsidRDefault="002665E4"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b/>
          <w:sz w:val="24"/>
          <w:szCs w:val="24"/>
        </w:rPr>
      </w:pPr>
    </w:p>
    <w:p w:rsidR="00F7266D" w:rsidRDefault="00F7266D" w:rsidP="002665E4">
      <w:pPr>
        <w:pStyle w:val="Caption"/>
        <w:spacing w:after="0"/>
        <w:jc w:val="center"/>
        <w:rPr>
          <w:rFonts w:asciiTheme="majorBidi" w:hAnsiTheme="majorBidi" w:cstheme="majorBidi"/>
          <w:color w:val="auto"/>
          <w:sz w:val="24"/>
          <w:szCs w:val="24"/>
        </w:rPr>
      </w:pPr>
      <w:proofErr w:type="gramStart"/>
      <w:r w:rsidRPr="00F66132">
        <w:rPr>
          <w:rFonts w:asciiTheme="majorBidi" w:hAnsiTheme="majorBidi" w:cstheme="majorBidi"/>
          <w:color w:val="auto"/>
          <w:sz w:val="24"/>
          <w:szCs w:val="24"/>
        </w:rPr>
        <w:t xml:space="preserve">Figure </w:t>
      </w:r>
      <w:r w:rsidRPr="00F66132">
        <w:rPr>
          <w:rFonts w:asciiTheme="majorBidi" w:hAnsiTheme="majorBidi" w:cstheme="majorBidi"/>
          <w:color w:val="auto"/>
          <w:sz w:val="24"/>
          <w:szCs w:val="24"/>
        </w:rPr>
        <w:fldChar w:fldCharType="begin"/>
      </w:r>
      <w:r w:rsidRPr="00F66132">
        <w:rPr>
          <w:rFonts w:asciiTheme="majorBidi" w:hAnsiTheme="majorBidi" w:cstheme="majorBidi"/>
          <w:color w:val="auto"/>
          <w:sz w:val="24"/>
          <w:szCs w:val="24"/>
        </w:rPr>
        <w:instrText xml:space="preserve"> SEQ Figure \* ARABIC </w:instrText>
      </w:r>
      <w:r w:rsidRPr="00F66132">
        <w:rPr>
          <w:rFonts w:asciiTheme="majorBidi" w:hAnsiTheme="majorBidi" w:cstheme="majorBidi"/>
          <w:color w:val="auto"/>
          <w:sz w:val="24"/>
          <w:szCs w:val="24"/>
        </w:rPr>
        <w:fldChar w:fldCharType="separate"/>
      </w:r>
      <w:r w:rsidR="002665E4" w:rsidRPr="00F66132">
        <w:rPr>
          <w:rFonts w:asciiTheme="majorBidi" w:hAnsiTheme="majorBidi" w:cstheme="majorBidi"/>
          <w:noProof/>
          <w:color w:val="auto"/>
          <w:sz w:val="24"/>
          <w:szCs w:val="24"/>
        </w:rPr>
        <w:t>20</w:t>
      </w:r>
      <w:r w:rsidRPr="00F66132">
        <w:rPr>
          <w:rFonts w:asciiTheme="majorBidi" w:hAnsiTheme="majorBidi" w:cstheme="majorBidi"/>
          <w:color w:val="auto"/>
          <w:sz w:val="24"/>
          <w:szCs w:val="24"/>
        </w:rPr>
        <w:fldChar w:fldCharType="end"/>
      </w:r>
      <w:r w:rsidRPr="00F66132">
        <w:rPr>
          <w:rFonts w:asciiTheme="majorBidi" w:hAnsiTheme="majorBidi" w:cstheme="majorBidi"/>
          <w:color w:val="auto"/>
          <w:sz w:val="24"/>
          <w:szCs w:val="24"/>
        </w:rPr>
        <w:t>.</w:t>
      </w:r>
      <w:proofErr w:type="gramEnd"/>
      <w:r w:rsidRPr="00F66132">
        <w:rPr>
          <w:rFonts w:asciiTheme="majorBidi" w:hAnsiTheme="majorBidi" w:cstheme="majorBidi"/>
          <w:color w:val="auto"/>
          <w:sz w:val="24"/>
          <w:szCs w:val="24"/>
        </w:rPr>
        <w:t xml:space="preserve"> Probability</w:t>
      </w:r>
      <w:r w:rsidRPr="007A1B85">
        <w:rPr>
          <w:rFonts w:asciiTheme="majorBidi" w:hAnsiTheme="majorBidi" w:cstheme="majorBidi"/>
          <w:color w:val="auto"/>
          <w:sz w:val="24"/>
          <w:szCs w:val="24"/>
        </w:rPr>
        <w:t xml:space="preserve"> Tables for Net Migration, Birth Rate, and Death Rate</w:t>
      </w:r>
    </w:p>
    <w:p w:rsidR="002665E4" w:rsidRPr="00BE6FAA" w:rsidRDefault="002665E4" w:rsidP="00BE6FAA"/>
    <w:p w:rsidR="00F7266D" w:rsidRDefault="00F7266D" w:rsidP="00F7266D">
      <w:pPr>
        <w:pStyle w:val="ListParagraph"/>
        <w:widowControl w:val="0"/>
        <w:numPr>
          <w:ilvl w:val="0"/>
          <w:numId w:val="5"/>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Population Growth</w:t>
      </w:r>
    </w:p>
    <w:p w:rsidR="00F7266D" w:rsidRDefault="00F7266D" w:rsidP="009752B7">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The population</w:t>
      </w:r>
      <w:r w:rsidR="009752B7">
        <w:rPr>
          <w:rFonts w:ascii="Times New Roman" w:eastAsia="Times New Roman" w:hAnsi="Times New Roman" w:cs="Times New Roman"/>
          <w:bCs/>
          <w:sz w:val="24"/>
          <w:szCs w:val="24"/>
        </w:rPr>
        <w:t xml:space="preserve"> growth</w:t>
      </w:r>
      <w:r>
        <w:rPr>
          <w:rFonts w:ascii="Times New Roman" w:eastAsia="Times New Roman" w:hAnsi="Times New Roman" w:cs="Times New Roman"/>
          <w:bCs/>
          <w:sz w:val="24"/>
          <w:szCs w:val="24"/>
        </w:rPr>
        <w:t xml:space="preserve"> node has </w:t>
      </w:r>
      <w:r w:rsidR="009752B7">
        <w:rPr>
          <w:rFonts w:ascii="Times New Roman" w:eastAsia="Times New Roman" w:hAnsi="Times New Roman" w:cs="Times New Roman"/>
          <w:bCs/>
          <w:sz w:val="24"/>
          <w:szCs w:val="24"/>
        </w:rPr>
        <w:t xml:space="preserve">two </w:t>
      </w:r>
      <w:r>
        <w:rPr>
          <w:rFonts w:ascii="Times New Roman" w:eastAsia="Times New Roman" w:hAnsi="Times New Roman" w:cs="Times New Roman"/>
          <w:bCs/>
          <w:sz w:val="24"/>
          <w:szCs w:val="24"/>
        </w:rPr>
        <w:t xml:space="preserve">parent nodes and the network’s final node as its child node. Since average Daily Energy Supply (DES) is measured as kilocalories per person per day, its two parent nodes divide according to that unit of measurement. As mentioned before, the population </w:t>
      </w:r>
      <w:r w:rsidR="009752B7">
        <w:rPr>
          <w:rFonts w:ascii="Times New Roman" w:eastAsia="Times New Roman" w:hAnsi="Times New Roman" w:cs="Times New Roman"/>
          <w:bCs/>
          <w:sz w:val="24"/>
          <w:szCs w:val="24"/>
        </w:rPr>
        <w:t xml:space="preserve">growth </w:t>
      </w:r>
      <w:r>
        <w:rPr>
          <w:rFonts w:ascii="Times New Roman" w:eastAsia="Times New Roman" w:hAnsi="Times New Roman" w:cs="Times New Roman"/>
          <w:bCs/>
          <w:sz w:val="24"/>
          <w:szCs w:val="24"/>
        </w:rPr>
        <w:t xml:space="preserve">node provides the “person” measurement while the </w:t>
      </w:r>
      <w:r w:rsidR="009752B7">
        <w:rPr>
          <w:rFonts w:ascii="Times New Roman" w:eastAsia="Times New Roman" w:hAnsi="Times New Roman" w:cs="Times New Roman"/>
          <w:bCs/>
          <w:sz w:val="24"/>
          <w:szCs w:val="24"/>
        </w:rPr>
        <w:t>annual food supply per capita</w:t>
      </w:r>
      <w:r>
        <w:rPr>
          <w:rFonts w:ascii="Times New Roman" w:eastAsia="Times New Roman" w:hAnsi="Times New Roman" w:cs="Times New Roman"/>
          <w:bCs/>
          <w:sz w:val="24"/>
          <w:szCs w:val="24"/>
        </w:rPr>
        <w:t xml:space="preserve"> node covers the “kilocalories” in the form of food supply. </w:t>
      </w:r>
    </w:p>
    <w:p w:rsidR="00F7266D" w:rsidRPr="00F66132" w:rsidRDefault="00F7266D" w:rsidP="00C02003">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Population </w:t>
      </w:r>
      <w:r w:rsidR="009752B7">
        <w:rPr>
          <w:rFonts w:ascii="Times New Roman" w:eastAsia="Times New Roman" w:hAnsi="Times New Roman" w:cs="Times New Roman"/>
          <w:bCs/>
          <w:sz w:val="24"/>
          <w:szCs w:val="24"/>
        </w:rPr>
        <w:t xml:space="preserve">growth </w:t>
      </w:r>
      <w:r>
        <w:rPr>
          <w:rFonts w:ascii="Times New Roman" w:eastAsia="Times New Roman" w:hAnsi="Times New Roman" w:cs="Times New Roman"/>
          <w:bCs/>
          <w:sz w:val="24"/>
          <w:szCs w:val="24"/>
        </w:rPr>
        <w:t xml:space="preserve">was based off data from </w:t>
      </w:r>
      <w:r w:rsidR="009752B7">
        <w:rPr>
          <w:rFonts w:ascii="Times New Roman" w:eastAsia="Times New Roman" w:hAnsi="Times New Roman" w:cs="Times New Roman"/>
          <w:bCs/>
          <w:sz w:val="24"/>
          <w:szCs w:val="24"/>
        </w:rPr>
        <w:t>the World Bank. A</w:t>
      </w:r>
      <w:r>
        <w:rPr>
          <w:rFonts w:ascii="Times New Roman" w:eastAsia="Times New Roman" w:hAnsi="Times New Roman" w:cs="Times New Roman"/>
          <w:bCs/>
          <w:sz w:val="24"/>
          <w:szCs w:val="24"/>
        </w:rPr>
        <w:t xml:space="preserve">vailable </w:t>
      </w:r>
      <w:r w:rsidR="009752B7">
        <w:rPr>
          <w:rFonts w:ascii="Times New Roman" w:eastAsia="Times New Roman" w:hAnsi="Times New Roman" w:cs="Times New Roman"/>
          <w:bCs/>
          <w:sz w:val="24"/>
          <w:szCs w:val="24"/>
        </w:rPr>
        <w:t xml:space="preserve">for </w:t>
      </w:r>
      <w:r w:rsidR="00B93DAC">
        <w:rPr>
          <w:rFonts w:ascii="Times New Roman" w:eastAsia="Times New Roman" w:hAnsi="Times New Roman" w:cs="Times New Roman"/>
          <w:bCs/>
          <w:sz w:val="24"/>
          <w:szCs w:val="24"/>
        </w:rPr>
        <w:t>43 years</w:t>
      </w:r>
      <w:r>
        <w:rPr>
          <w:rFonts w:ascii="Times New Roman" w:eastAsia="Times New Roman" w:hAnsi="Times New Roman" w:cs="Times New Roman"/>
          <w:bCs/>
          <w:sz w:val="24"/>
          <w:szCs w:val="24"/>
        </w:rPr>
        <w:t xml:space="preserve"> for Oman, the United Arab Emirates, Saudi Arabia, and </w:t>
      </w:r>
      <w:r w:rsidR="00B93DAC">
        <w:rPr>
          <w:rFonts w:ascii="Times New Roman" w:eastAsia="Times New Roman" w:hAnsi="Times New Roman" w:cs="Times New Roman"/>
          <w:bCs/>
          <w:sz w:val="24"/>
          <w:szCs w:val="24"/>
        </w:rPr>
        <w:t>Kuwait</w:t>
      </w:r>
      <w:r>
        <w:rPr>
          <w:rFonts w:ascii="Times New Roman" w:eastAsia="Times New Roman" w:hAnsi="Times New Roman" w:cs="Times New Roman"/>
          <w:bCs/>
          <w:sz w:val="24"/>
          <w:szCs w:val="24"/>
        </w:rPr>
        <w:t xml:space="preserve">, </w:t>
      </w:r>
      <w:r w:rsidR="00B93DAC">
        <w:rPr>
          <w:rFonts w:ascii="Times New Roman" w:eastAsia="Times New Roman" w:hAnsi="Times New Roman" w:cs="Times New Roman"/>
          <w:bCs/>
          <w:sz w:val="24"/>
          <w:szCs w:val="24"/>
        </w:rPr>
        <w:t>the data combined into 172</w:t>
      </w:r>
      <w:r>
        <w:rPr>
          <w:rFonts w:ascii="Times New Roman" w:eastAsia="Times New Roman" w:hAnsi="Times New Roman" w:cs="Times New Roman"/>
          <w:bCs/>
          <w:sz w:val="24"/>
          <w:szCs w:val="24"/>
        </w:rPr>
        <w:t xml:space="preserve"> points</w:t>
      </w:r>
      <w:r w:rsidR="00B93DAC">
        <w:rPr>
          <w:rFonts w:ascii="Times New Roman" w:eastAsia="Times New Roman" w:hAnsi="Times New Roman" w:cs="Times New Roman"/>
          <w:bCs/>
          <w:sz w:val="24"/>
          <w:szCs w:val="24"/>
        </w:rPr>
        <w:t xml:space="preserve">, </w:t>
      </w:r>
      <w:r w:rsidR="00B93DAC">
        <w:rPr>
          <w:rFonts w:ascii="Times New Roman" w:eastAsia="Times New Roman" w:hAnsi="Times New Roman" w:cs="Times New Roman"/>
          <w:bCs/>
          <w:sz w:val="24"/>
          <w:szCs w:val="24"/>
        </w:rPr>
        <w:lastRenderedPageBreak/>
        <w:t>measured as percentiles</w:t>
      </w:r>
      <w:r>
        <w:rPr>
          <w:rFonts w:ascii="Times New Roman" w:eastAsia="Times New Roman" w:hAnsi="Times New Roman" w:cs="Times New Roman"/>
          <w:bCs/>
          <w:sz w:val="24"/>
          <w:szCs w:val="24"/>
        </w:rPr>
        <w:t>.</w:t>
      </w:r>
      <w:r>
        <w:rPr>
          <w:rStyle w:val="FootnoteReference"/>
          <w:rFonts w:ascii="Times New Roman" w:eastAsia="Times New Roman" w:hAnsi="Times New Roman" w:cs="Times New Roman"/>
          <w:bCs/>
          <w:sz w:val="24"/>
          <w:szCs w:val="24"/>
        </w:rPr>
        <w:footnoteReference w:id="61"/>
      </w:r>
      <w:r>
        <w:rPr>
          <w:rFonts w:ascii="Times New Roman" w:eastAsia="Times New Roman" w:hAnsi="Times New Roman" w:cs="Times New Roman"/>
          <w:bCs/>
          <w:sz w:val="24"/>
          <w:szCs w:val="24"/>
        </w:rPr>
        <w:t xml:space="preserve"> The one split point used for the two bins was </w:t>
      </w:r>
      <w:r w:rsidR="00B93DAC">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 xml:space="preserve">, </w:t>
      </w:r>
      <w:r w:rsidRPr="00B93DAC">
        <w:rPr>
          <w:rFonts w:ascii="Times New Roman" w:eastAsia="Times New Roman" w:hAnsi="Times New Roman" w:cs="Times New Roman"/>
          <w:bCs/>
          <w:sz w:val="24"/>
          <w:szCs w:val="24"/>
        </w:rPr>
        <w:t>representing</w:t>
      </w:r>
      <w:r w:rsidR="00B93DAC">
        <w:rPr>
          <w:rFonts w:ascii="Times New Roman" w:eastAsia="Times New Roman" w:hAnsi="Times New Roman" w:cs="Times New Roman"/>
          <w:bCs/>
          <w:sz w:val="24"/>
          <w:szCs w:val="24"/>
        </w:rPr>
        <w:t xml:space="preserve"> </w:t>
      </w:r>
      <w:r w:rsidR="0001143A">
        <w:rPr>
          <w:rFonts w:ascii="Times New Roman" w:eastAsia="Times New Roman" w:hAnsi="Times New Roman" w:cs="Times New Roman"/>
          <w:bCs/>
          <w:sz w:val="24"/>
          <w:szCs w:val="24"/>
        </w:rPr>
        <w:t xml:space="preserve">high population growth during </w:t>
      </w:r>
      <w:r w:rsidR="00B93DAC">
        <w:rPr>
          <w:rFonts w:ascii="Times New Roman" w:eastAsia="Times New Roman" w:hAnsi="Times New Roman" w:cs="Times New Roman"/>
          <w:bCs/>
          <w:sz w:val="24"/>
          <w:szCs w:val="24"/>
        </w:rPr>
        <w:t>two different</w:t>
      </w:r>
      <w:r w:rsidR="0001143A">
        <w:rPr>
          <w:rFonts w:ascii="Times New Roman" w:eastAsia="Times New Roman" w:hAnsi="Times New Roman" w:cs="Times New Roman"/>
          <w:bCs/>
          <w:sz w:val="24"/>
          <w:szCs w:val="24"/>
        </w:rPr>
        <w:t xml:space="preserve"> phenomena</w:t>
      </w:r>
      <w:r w:rsidR="00B93DAC">
        <w:rPr>
          <w:rFonts w:ascii="Times New Roman" w:eastAsia="Times New Roman" w:hAnsi="Times New Roman" w:cs="Times New Roman"/>
          <w:bCs/>
          <w:sz w:val="24"/>
          <w:szCs w:val="24"/>
        </w:rPr>
        <w:t xml:space="preserve">: 1) the </w:t>
      </w:r>
      <w:r w:rsidR="00C02003">
        <w:rPr>
          <w:rFonts w:ascii="Times New Roman" w:eastAsia="Times New Roman" w:hAnsi="Times New Roman" w:cs="Times New Roman"/>
          <w:bCs/>
          <w:sz w:val="24"/>
          <w:szCs w:val="24"/>
        </w:rPr>
        <w:t>decrease in</w:t>
      </w:r>
      <w:r w:rsidR="00B93DAC">
        <w:rPr>
          <w:rFonts w:ascii="Times New Roman" w:eastAsia="Times New Roman" w:hAnsi="Times New Roman" w:cs="Times New Roman"/>
          <w:bCs/>
          <w:sz w:val="24"/>
          <w:szCs w:val="24"/>
        </w:rPr>
        <w:t xml:space="preserve"> death rates </w:t>
      </w:r>
      <w:r w:rsidR="00C02003">
        <w:rPr>
          <w:rFonts w:ascii="Times New Roman" w:eastAsia="Times New Roman" w:hAnsi="Times New Roman" w:cs="Times New Roman"/>
          <w:bCs/>
          <w:sz w:val="24"/>
          <w:szCs w:val="24"/>
        </w:rPr>
        <w:t>after the 1960s</w:t>
      </w:r>
      <w:r w:rsidR="00C02003" w:rsidRPr="00C02003">
        <w:rPr>
          <w:rFonts w:ascii="Times New Roman" w:eastAsia="Times New Roman" w:hAnsi="Times New Roman" w:cs="Times New Roman"/>
          <w:bCs/>
          <w:sz w:val="24"/>
          <w:szCs w:val="24"/>
        </w:rPr>
        <w:t xml:space="preserve"> </w:t>
      </w:r>
      <w:r w:rsidR="00C02003">
        <w:rPr>
          <w:rFonts w:ascii="Times New Roman" w:eastAsia="Times New Roman" w:hAnsi="Times New Roman" w:cs="Times New Roman"/>
          <w:bCs/>
          <w:sz w:val="24"/>
          <w:szCs w:val="24"/>
        </w:rPr>
        <w:t>in the developing world, which preceded</w:t>
      </w:r>
      <w:r w:rsidR="00B93DAC">
        <w:rPr>
          <w:rFonts w:ascii="Times New Roman" w:eastAsia="Times New Roman" w:hAnsi="Times New Roman" w:cs="Times New Roman"/>
          <w:bCs/>
          <w:sz w:val="24"/>
          <w:szCs w:val="24"/>
        </w:rPr>
        <w:t xml:space="preserve"> the decline of birth rates </w:t>
      </w:r>
      <w:r w:rsidR="00C02003">
        <w:rPr>
          <w:rFonts w:ascii="Times New Roman" w:eastAsia="Times New Roman" w:hAnsi="Times New Roman" w:cs="Times New Roman"/>
          <w:bCs/>
          <w:sz w:val="24"/>
          <w:szCs w:val="24"/>
        </w:rPr>
        <w:t>and</w:t>
      </w:r>
      <w:r w:rsidR="0001143A">
        <w:rPr>
          <w:rFonts w:ascii="Times New Roman" w:eastAsia="Times New Roman" w:hAnsi="Times New Roman" w:cs="Times New Roman"/>
          <w:bCs/>
          <w:sz w:val="24"/>
          <w:szCs w:val="24"/>
        </w:rPr>
        <w:t xml:space="preserve"> 2) modern economic growth and </w:t>
      </w:r>
      <w:r w:rsidR="0001143A" w:rsidRPr="00F66132">
        <w:rPr>
          <w:rFonts w:ascii="Times New Roman" w:eastAsia="Times New Roman" w:hAnsi="Times New Roman" w:cs="Times New Roman"/>
          <w:bCs/>
          <w:sz w:val="24"/>
          <w:szCs w:val="24"/>
        </w:rPr>
        <w:t>human devel</w:t>
      </w:r>
      <w:r w:rsidR="00C02003" w:rsidRPr="00F66132">
        <w:rPr>
          <w:rFonts w:ascii="Times New Roman" w:eastAsia="Times New Roman" w:hAnsi="Times New Roman" w:cs="Times New Roman"/>
          <w:bCs/>
          <w:sz w:val="24"/>
          <w:szCs w:val="24"/>
        </w:rPr>
        <w:t>opment in developing countries.</w:t>
      </w:r>
      <w:r w:rsidR="0001143A" w:rsidRPr="00F66132">
        <w:rPr>
          <w:rStyle w:val="FootnoteReference"/>
          <w:rFonts w:ascii="Times New Roman" w:eastAsia="Times New Roman" w:hAnsi="Times New Roman" w:cs="Times New Roman"/>
          <w:bCs/>
          <w:sz w:val="24"/>
          <w:szCs w:val="24"/>
        </w:rPr>
        <w:footnoteReference w:id="62"/>
      </w:r>
    </w:p>
    <w:p w:rsidR="00F7266D" w:rsidRPr="00F66132" w:rsidRDefault="00F7266D" w:rsidP="00C02003">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sidRPr="00F66132">
        <w:rPr>
          <w:rFonts w:ascii="Times New Roman" w:eastAsia="Times New Roman" w:hAnsi="Times New Roman" w:cs="Times New Roman"/>
          <w:bCs/>
          <w:sz w:val="24"/>
          <w:szCs w:val="24"/>
        </w:rPr>
        <w:tab/>
      </w:r>
      <w:r w:rsidRPr="00F66132">
        <w:rPr>
          <w:rFonts w:ascii="Times New Roman" w:eastAsia="Times New Roman" w:hAnsi="Times New Roman" w:cs="Times New Roman"/>
          <w:bCs/>
          <w:sz w:val="24"/>
          <w:szCs w:val="24"/>
        </w:rPr>
        <w:tab/>
        <w:t>As the table in Figure 2</w:t>
      </w:r>
      <w:r w:rsidR="00C02003" w:rsidRPr="00F66132">
        <w:rPr>
          <w:rFonts w:ascii="Times New Roman" w:eastAsia="Times New Roman" w:hAnsi="Times New Roman" w:cs="Times New Roman"/>
          <w:bCs/>
          <w:sz w:val="24"/>
          <w:szCs w:val="24"/>
        </w:rPr>
        <w:t>1a</w:t>
      </w:r>
      <w:r w:rsidRPr="00F66132">
        <w:rPr>
          <w:rFonts w:ascii="Times New Roman" w:eastAsia="Times New Roman" w:hAnsi="Times New Roman" w:cs="Times New Roman"/>
          <w:bCs/>
          <w:sz w:val="24"/>
          <w:szCs w:val="24"/>
        </w:rPr>
        <w:t xml:space="preserve"> demonstrate</w:t>
      </w:r>
      <w:r w:rsidR="00C02003" w:rsidRPr="00F66132">
        <w:rPr>
          <w:rFonts w:ascii="Times New Roman" w:eastAsia="Times New Roman" w:hAnsi="Times New Roman" w:cs="Times New Roman"/>
          <w:bCs/>
          <w:sz w:val="24"/>
          <w:szCs w:val="24"/>
        </w:rPr>
        <w:t>s</w:t>
      </w:r>
      <w:r w:rsidRPr="00F66132">
        <w:rPr>
          <w:rFonts w:ascii="Times New Roman" w:eastAsia="Times New Roman" w:hAnsi="Times New Roman" w:cs="Times New Roman"/>
          <w:bCs/>
          <w:sz w:val="24"/>
          <w:szCs w:val="24"/>
        </w:rPr>
        <w:t xml:space="preserve">, the Arabian Gulf </w:t>
      </w:r>
      <w:r w:rsidR="008A3BE2" w:rsidRPr="00F66132">
        <w:rPr>
          <w:rFonts w:ascii="Times New Roman" w:eastAsia="Times New Roman" w:hAnsi="Times New Roman" w:cs="Times New Roman"/>
          <w:bCs/>
          <w:sz w:val="24"/>
          <w:szCs w:val="24"/>
        </w:rPr>
        <w:t>population has</w:t>
      </w:r>
      <w:r w:rsidRPr="00F66132">
        <w:rPr>
          <w:rFonts w:ascii="Times New Roman" w:eastAsia="Times New Roman" w:hAnsi="Times New Roman" w:cs="Times New Roman"/>
          <w:bCs/>
          <w:sz w:val="24"/>
          <w:szCs w:val="24"/>
        </w:rPr>
        <w:t xml:space="preserve"> grown significantly in recent years, and </w:t>
      </w:r>
      <w:r w:rsidR="00C02003" w:rsidRPr="00F66132">
        <w:rPr>
          <w:rFonts w:ascii="Times New Roman" w:eastAsia="Times New Roman" w:hAnsi="Times New Roman" w:cs="Times New Roman"/>
          <w:bCs/>
          <w:sz w:val="24"/>
          <w:szCs w:val="24"/>
        </w:rPr>
        <w:t>the</w:t>
      </w:r>
      <w:r w:rsidRPr="00F66132">
        <w:rPr>
          <w:rFonts w:ascii="Times New Roman" w:eastAsia="Times New Roman" w:hAnsi="Times New Roman" w:cs="Times New Roman"/>
          <w:bCs/>
          <w:sz w:val="24"/>
          <w:szCs w:val="24"/>
        </w:rPr>
        <w:t xml:space="preserve"> table </w:t>
      </w:r>
      <w:r w:rsidR="00C02003" w:rsidRPr="00F66132">
        <w:rPr>
          <w:rFonts w:ascii="Times New Roman" w:eastAsia="Times New Roman" w:hAnsi="Times New Roman" w:cs="Times New Roman"/>
          <w:bCs/>
          <w:sz w:val="24"/>
          <w:szCs w:val="24"/>
        </w:rPr>
        <w:t xml:space="preserve">in Figure 21b </w:t>
      </w:r>
      <w:r w:rsidRPr="00F66132">
        <w:rPr>
          <w:rFonts w:ascii="Times New Roman" w:eastAsia="Times New Roman" w:hAnsi="Times New Roman" w:cs="Times New Roman"/>
          <w:bCs/>
          <w:sz w:val="24"/>
          <w:szCs w:val="24"/>
        </w:rPr>
        <w:t xml:space="preserve">shows the conditional probabilities between </w:t>
      </w:r>
      <w:r w:rsidR="00C02003" w:rsidRPr="00F66132">
        <w:rPr>
          <w:rFonts w:ascii="Times New Roman" w:eastAsia="Times New Roman" w:hAnsi="Times New Roman" w:cs="Times New Roman"/>
          <w:bCs/>
          <w:sz w:val="24"/>
          <w:szCs w:val="24"/>
        </w:rPr>
        <w:t>net migration, domestic net population growth, and total population growth</w:t>
      </w:r>
      <w:r w:rsidRPr="00F66132">
        <w:rPr>
          <w:rFonts w:ascii="Times New Roman" w:eastAsia="Times New Roman" w:hAnsi="Times New Roman" w:cs="Times New Roman"/>
          <w:bCs/>
          <w:sz w:val="24"/>
          <w:szCs w:val="24"/>
        </w:rPr>
        <w:t>.</w:t>
      </w:r>
    </w:p>
    <w:p w:rsidR="00F7266D" w:rsidRPr="00F66132" w:rsidRDefault="00C02003" w:rsidP="00F7266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noProof/>
        </w:rPr>
      </w:pPr>
      <w:r w:rsidRPr="00F66132">
        <w:rPr>
          <w:noProof/>
        </w:rPr>
        <w:drawing>
          <wp:inline distT="0" distB="0" distL="0" distR="0" wp14:anchorId="073FB8BA" wp14:editId="329E5B50">
            <wp:extent cx="2976564" cy="1152524"/>
            <wp:effectExtent l="0" t="0" r="14605" b="1016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02003" w:rsidRPr="00F66132" w:rsidRDefault="00C02003" w:rsidP="00F7266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noProof/>
        </w:rPr>
      </w:pPr>
      <w:r w:rsidRPr="00F66132">
        <w:rPr>
          <w:rFonts w:asciiTheme="majorBidi" w:hAnsiTheme="majorBidi" w:cstheme="majorBidi"/>
          <w:noProof/>
          <w:sz w:val="24"/>
          <w:szCs w:val="24"/>
        </w:rPr>
        <w:t>(a) Simple Probability Table</w:t>
      </w:r>
    </w:p>
    <w:tbl>
      <w:tblPr>
        <w:tblStyle w:val="TableGrid"/>
        <w:tblW w:w="0" w:type="auto"/>
        <w:jc w:val="center"/>
        <w:tblInd w:w="-1230" w:type="dxa"/>
        <w:tblLook w:val="04A0" w:firstRow="1" w:lastRow="0" w:firstColumn="1" w:lastColumn="0" w:noHBand="0" w:noVBand="1"/>
      </w:tblPr>
      <w:tblGrid>
        <w:gridCol w:w="3345"/>
        <w:gridCol w:w="1138"/>
        <w:gridCol w:w="1088"/>
        <w:gridCol w:w="1015"/>
        <w:gridCol w:w="966"/>
        <w:gridCol w:w="1023"/>
        <w:gridCol w:w="900"/>
      </w:tblGrid>
      <w:tr w:rsidR="00284F17" w:rsidRPr="00F66132" w:rsidTr="00284F17">
        <w:trPr>
          <w:jc w:val="center"/>
        </w:trPr>
        <w:tc>
          <w:tcPr>
            <w:tcW w:w="9475" w:type="dxa"/>
            <w:gridSpan w:val="7"/>
            <w:shd w:val="clear" w:color="auto" w:fill="A6A6A6" w:themeFill="background1" w:themeFillShade="A6"/>
            <w:vAlign w:val="center"/>
          </w:tcPr>
          <w:p w:rsidR="00284F17" w:rsidRPr="00F66132" w:rsidRDefault="00284F17" w:rsidP="00284F17">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b/>
                <w:bCs/>
                <w:noProof/>
                <w:sz w:val="20"/>
                <w:szCs w:val="20"/>
              </w:rPr>
            </w:pPr>
            <w:r w:rsidRPr="00F66132">
              <w:rPr>
                <w:rFonts w:asciiTheme="majorBidi" w:hAnsiTheme="majorBidi" w:cstheme="majorBidi"/>
                <w:b/>
                <w:bCs/>
                <w:noProof/>
                <w:sz w:val="20"/>
                <w:szCs w:val="20"/>
              </w:rPr>
              <w:t>Population Growth (Percentile)</w:t>
            </w:r>
          </w:p>
        </w:tc>
      </w:tr>
      <w:tr w:rsidR="00284F17" w:rsidRPr="00F66132" w:rsidTr="00284F17">
        <w:trPr>
          <w:jc w:val="center"/>
        </w:trPr>
        <w:tc>
          <w:tcPr>
            <w:tcW w:w="3345" w:type="dxa"/>
            <w:shd w:val="clear" w:color="auto" w:fill="D9D9D9" w:themeFill="background1" w:themeFillShade="D9"/>
            <w:vAlign w:val="center"/>
          </w:tcPr>
          <w:p w:rsidR="00284F17" w:rsidRPr="00F66132"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Net Migration</w:t>
            </w:r>
          </w:p>
        </w:tc>
        <w:tc>
          <w:tcPr>
            <w:tcW w:w="2226" w:type="dxa"/>
            <w:gridSpan w:val="2"/>
            <w:shd w:val="clear" w:color="auto" w:fill="D9D9D9" w:themeFill="background1" w:themeFillShade="D9"/>
            <w:vAlign w:val="center"/>
          </w:tcPr>
          <w:p w:rsidR="00284F17" w:rsidRPr="00F66132"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&lt;20000</w:t>
            </w:r>
          </w:p>
        </w:tc>
        <w:tc>
          <w:tcPr>
            <w:tcW w:w="1981" w:type="dxa"/>
            <w:gridSpan w:val="2"/>
            <w:shd w:val="clear" w:color="auto" w:fill="D9D9D9" w:themeFill="background1" w:themeFillShade="D9"/>
            <w:vAlign w:val="center"/>
          </w:tcPr>
          <w:p w:rsidR="00284F17" w:rsidRPr="00F66132"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20000, 100000</w:t>
            </w:r>
          </w:p>
        </w:tc>
        <w:tc>
          <w:tcPr>
            <w:tcW w:w="1923" w:type="dxa"/>
            <w:gridSpan w:val="2"/>
            <w:shd w:val="clear" w:color="auto" w:fill="D9D9D9" w:themeFill="background1" w:themeFillShade="D9"/>
          </w:tcPr>
          <w:p w:rsidR="00284F17" w:rsidRPr="00F66132"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&gt;100000</w:t>
            </w:r>
          </w:p>
        </w:tc>
      </w:tr>
      <w:tr w:rsidR="00284F17" w:rsidRPr="00F66132" w:rsidTr="00284F17">
        <w:trPr>
          <w:jc w:val="center"/>
        </w:trPr>
        <w:tc>
          <w:tcPr>
            <w:tcW w:w="3345" w:type="dxa"/>
            <w:shd w:val="clear" w:color="auto" w:fill="D9D9D9" w:themeFill="background1" w:themeFillShade="D9"/>
            <w:vAlign w:val="center"/>
          </w:tcPr>
          <w:p w:rsidR="00284F17" w:rsidRPr="00F66132"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Domestic Net Population Growth</w:t>
            </w:r>
          </w:p>
        </w:tc>
        <w:tc>
          <w:tcPr>
            <w:tcW w:w="1138" w:type="dxa"/>
            <w:shd w:val="clear" w:color="auto" w:fill="D9D9D9" w:themeFill="background1" w:themeFillShade="D9"/>
            <w:vAlign w:val="center"/>
          </w:tcPr>
          <w:p w:rsidR="00284F17" w:rsidRPr="00F66132"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&lt;20</w:t>
            </w:r>
          </w:p>
        </w:tc>
        <w:tc>
          <w:tcPr>
            <w:tcW w:w="1088" w:type="dxa"/>
            <w:shd w:val="clear" w:color="auto" w:fill="D9D9D9" w:themeFill="background1" w:themeFillShade="D9"/>
            <w:vAlign w:val="center"/>
          </w:tcPr>
          <w:p w:rsidR="00284F17" w:rsidRPr="00F66132"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&gt;20</w:t>
            </w:r>
          </w:p>
        </w:tc>
        <w:tc>
          <w:tcPr>
            <w:tcW w:w="1015" w:type="dxa"/>
            <w:shd w:val="clear" w:color="auto" w:fill="D9D9D9" w:themeFill="background1" w:themeFillShade="D9"/>
            <w:vAlign w:val="center"/>
          </w:tcPr>
          <w:p w:rsidR="00284F17" w:rsidRPr="00F66132"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&lt;20</w:t>
            </w:r>
          </w:p>
        </w:tc>
        <w:tc>
          <w:tcPr>
            <w:tcW w:w="966" w:type="dxa"/>
            <w:shd w:val="clear" w:color="auto" w:fill="D9D9D9" w:themeFill="background1" w:themeFillShade="D9"/>
            <w:vAlign w:val="center"/>
          </w:tcPr>
          <w:p w:rsidR="00284F17" w:rsidRPr="00F66132"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&gt;20</w:t>
            </w:r>
          </w:p>
        </w:tc>
        <w:tc>
          <w:tcPr>
            <w:tcW w:w="1023" w:type="dxa"/>
            <w:shd w:val="clear" w:color="auto" w:fill="D9D9D9" w:themeFill="background1" w:themeFillShade="D9"/>
          </w:tcPr>
          <w:p w:rsidR="00284F17" w:rsidRPr="00F66132"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&lt;20</w:t>
            </w:r>
          </w:p>
        </w:tc>
        <w:tc>
          <w:tcPr>
            <w:tcW w:w="900" w:type="dxa"/>
            <w:shd w:val="clear" w:color="auto" w:fill="D9D9D9" w:themeFill="background1" w:themeFillShade="D9"/>
          </w:tcPr>
          <w:p w:rsidR="00284F17" w:rsidRPr="00F66132"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&gt;20</w:t>
            </w:r>
          </w:p>
        </w:tc>
      </w:tr>
      <w:tr w:rsidR="00284F17" w:rsidRPr="00F66132" w:rsidTr="00284F17">
        <w:trPr>
          <w:jc w:val="center"/>
        </w:trPr>
        <w:tc>
          <w:tcPr>
            <w:tcW w:w="3345" w:type="dxa"/>
            <w:shd w:val="clear" w:color="auto" w:fill="A6A6A6" w:themeFill="background1" w:themeFillShade="A6"/>
            <w:vAlign w:val="center"/>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&lt;4</w:t>
            </w:r>
          </w:p>
        </w:tc>
        <w:tc>
          <w:tcPr>
            <w:tcW w:w="1138" w:type="dxa"/>
            <w:vAlign w:val="center"/>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w:t>
            </w:r>
          </w:p>
        </w:tc>
        <w:tc>
          <w:tcPr>
            <w:tcW w:w="1088" w:type="dxa"/>
            <w:vAlign w:val="center"/>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0.589744</w:t>
            </w:r>
          </w:p>
        </w:tc>
        <w:tc>
          <w:tcPr>
            <w:tcW w:w="1015" w:type="dxa"/>
            <w:vAlign w:val="center"/>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0.6</w:t>
            </w:r>
          </w:p>
        </w:tc>
        <w:tc>
          <w:tcPr>
            <w:tcW w:w="966" w:type="dxa"/>
            <w:vAlign w:val="center"/>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0.092593</w:t>
            </w:r>
          </w:p>
        </w:tc>
        <w:tc>
          <w:tcPr>
            <w:tcW w:w="1023" w:type="dxa"/>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0.25</w:t>
            </w:r>
          </w:p>
        </w:tc>
        <w:tc>
          <w:tcPr>
            <w:tcW w:w="900" w:type="dxa"/>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0.2</w:t>
            </w:r>
          </w:p>
        </w:tc>
      </w:tr>
      <w:tr w:rsidR="00284F17" w:rsidRPr="00F66132" w:rsidTr="00284F17">
        <w:trPr>
          <w:jc w:val="center"/>
        </w:trPr>
        <w:tc>
          <w:tcPr>
            <w:tcW w:w="3345" w:type="dxa"/>
            <w:shd w:val="clear" w:color="auto" w:fill="A6A6A6" w:themeFill="background1" w:themeFillShade="A6"/>
            <w:vAlign w:val="center"/>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&gt;4</w:t>
            </w:r>
          </w:p>
        </w:tc>
        <w:tc>
          <w:tcPr>
            <w:tcW w:w="1138" w:type="dxa"/>
            <w:vAlign w:val="center"/>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0.01</w:t>
            </w:r>
          </w:p>
        </w:tc>
        <w:tc>
          <w:tcPr>
            <w:tcW w:w="1088" w:type="dxa"/>
            <w:vAlign w:val="center"/>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0.410256</w:t>
            </w:r>
          </w:p>
        </w:tc>
        <w:tc>
          <w:tcPr>
            <w:tcW w:w="1015" w:type="dxa"/>
            <w:vAlign w:val="center"/>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0.4</w:t>
            </w:r>
          </w:p>
        </w:tc>
        <w:tc>
          <w:tcPr>
            <w:tcW w:w="966" w:type="dxa"/>
            <w:vAlign w:val="center"/>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0.907407</w:t>
            </w:r>
          </w:p>
        </w:tc>
        <w:tc>
          <w:tcPr>
            <w:tcW w:w="1023" w:type="dxa"/>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0.75</w:t>
            </w:r>
          </w:p>
        </w:tc>
        <w:tc>
          <w:tcPr>
            <w:tcW w:w="900" w:type="dxa"/>
          </w:tcPr>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sz w:val="20"/>
                <w:szCs w:val="20"/>
              </w:rPr>
            </w:pPr>
            <w:r w:rsidRPr="00F66132">
              <w:rPr>
                <w:rFonts w:asciiTheme="majorBidi" w:hAnsiTheme="majorBidi" w:cstheme="majorBidi"/>
                <w:noProof/>
                <w:sz w:val="20"/>
                <w:szCs w:val="20"/>
              </w:rPr>
              <w:t>0.8</w:t>
            </w:r>
          </w:p>
        </w:tc>
      </w:tr>
    </w:tbl>
    <w:p w:rsidR="00284F17" w:rsidRPr="00F66132"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b/>
          <w:sz w:val="24"/>
          <w:szCs w:val="24"/>
        </w:rPr>
      </w:pPr>
    </w:p>
    <w:p w:rsidR="00B648BE" w:rsidRPr="00F66132" w:rsidRDefault="00B648BE"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eastAsia="Times New Roman" w:hAnsiTheme="majorBidi" w:cstheme="majorBidi"/>
          <w:sz w:val="24"/>
          <w:szCs w:val="24"/>
        </w:rPr>
      </w:pPr>
      <w:r w:rsidRPr="00F66132">
        <w:rPr>
          <w:rFonts w:asciiTheme="majorBidi" w:hAnsiTheme="majorBidi" w:cstheme="majorBidi"/>
          <w:noProof/>
          <w:sz w:val="24"/>
          <w:szCs w:val="24"/>
        </w:rPr>
        <w:t xml:space="preserve">(b) Conditional </w:t>
      </w:r>
      <w:r w:rsidRPr="00F66132">
        <w:rPr>
          <w:rFonts w:asciiTheme="majorBidi" w:eastAsia="Times New Roman" w:hAnsiTheme="majorBidi" w:cstheme="majorBidi"/>
          <w:sz w:val="24"/>
          <w:szCs w:val="24"/>
        </w:rPr>
        <w:t>Probability Table</w:t>
      </w:r>
    </w:p>
    <w:p w:rsidR="00B648BE" w:rsidRPr="00F66132" w:rsidRDefault="00B648BE"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b/>
          <w:sz w:val="24"/>
          <w:szCs w:val="24"/>
        </w:rPr>
      </w:pPr>
    </w:p>
    <w:p w:rsidR="00F7266D" w:rsidRDefault="00F7266D" w:rsidP="00B648BE">
      <w:pPr>
        <w:pStyle w:val="Caption"/>
        <w:spacing w:after="0"/>
        <w:jc w:val="center"/>
        <w:rPr>
          <w:rFonts w:asciiTheme="majorBidi" w:hAnsiTheme="majorBidi" w:cstheme="majorBidi"/>
          <w:color w:val="auto"/>
          <w:sz w:val="24"/>
          <w:szCs w:val="24"/>
        </w:rPr>
      </w:pPr>
      <w:proofErr w:type="gramStart"/>
      <w:r w:rsidRPr="00F66132">
        <w:rPr>
          <w:rFonts w:asciiTheme="majorBidi" w:hAnsiTheme="majorBidi" w:cstheme="majorBidi"/>
          <w:color w:val="auto"/>
          <w:sz w:val="24"/>
          <w:szCs w:val="24"/>
        </w:rPr>
        <w:t xml:space="preserve">Figure </w:t>
      </w:r>
      <w:r w:rsidR="00B648BE" w:rsidRPr="00F66132">
        <w:rPr>
          <w:rFonts w:asciiTheme="majorBidi" w:hAnsiTheme="majorBidi" w:cstheme="majorBidi"/>
          <w:color w:val="auto"/>
          <w:sz w:val="24"/>
          <w:szCs w:val="24"/>
        </w:rPr>
        <w:t>21</w:t>
      </w:r>
      <w:r w:rsidRPr="00F66132">
        <w:rPr>
          <w:rFonts w:asciiTheme="majorBidi" w:hAnsiTheme="majorBidi" w:cstheme="majorBidi"/>
          <w:color w:val="auto"/>
          <w:sz w:val="24"/>
          <w:szCs w:val="24"/>
        </w:rPr>
        <w:t>.</w:t>
      </w:r>
      <w:proofErr w:type="gramEnd"/>
      <w:r w:rsidRPr="00F66132">
        <w:rPr>
          <w:rFonts w:asciiTheme="majorBidi" w:hAnsiTheme="majorBidi" w:cstheme="majorBidi"/>
          <w:color w:val="auto"/>
          <w:sz w:val="24"/>
          <w:szCs w:val="24"/>
        </w:rPr>
        <w:t xml:space="preserve"> Conditional Probability</w:t>
      </w:r>
      <w:r w:rsidRPr="007A1B85">
        <w:rPr>
          <w:rFonts w:asciiTheme="majorBidi" w:hAnsiTheme="majorBidi" w:cstheme="majorBidi"/>
          <w:color w:val="auto"/>
          <w:sz w:val="24"/>
          <w:szCs w:val="24"/>
        </w:rPr>
        <w:t xml:space="preserve"> Tables for Population</w:t>
      </w:r>
      <w:r w:rsidR="00AA0EF0">
        <w:rPr>
          <w:rFonts w:asciiTheme="majorBidi" w:hAnsiTheme="majorBidi" w:cstheme="majorBidi"/>
          <w:color w:val="auto"/>
          <w:sz w:val="24"/>
          <w:szCs w:val="24"/>
        </w:rPr>
        <w:t xml:space="preserve"> Growth</w:t>
      </w:r>
    </w:p>
    <w:p w:rsidR="00BE6FAA" w:rsidRPr="00BE6FAA" w:rsidRDefault="00BE6FAA" w:rsidP="00BE6FAA"/>
    <w:p w:rsidR="00F7266D" w:rsidRPr="00D56239" w:rsidRDefault="00F7266D" w:rsidP="00F7266D">
      <w:pPr>
        <w:pStyle w:val="ListParagraph"/>
        <w:widowControl w:val="0"/>
        <w:numPr>
          <w:ilvl w:val="0"/>
          <w:numId w:val="5"/>
        </w:numPr>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ind w:left="1080"/>
        <w:rPr>
          <w:rFonts w:ascii="Times New Roman" w:eastAsia="Times New Roman" w:hAnsi="Times New Roman" w:cs="Times New Roman"/>
          <w:b/>
          <w:sz w:val="24"/>
          <w:szCs w:val="24"/>
        </w:rPr>
      </w:pPr>
      <w:r w:rsidRPr="00D56239">
        <w:rPr>
          <w:rFonts w:ascii="Times New Roman" w:eastAsia="Times New Roman" w:hAnsi="Times New Roman" w:cs="Times New Roman"/>
          <w:b/>
          <w:sz w:val="24"/>
          <w:szCs w:val="24"/>
        </w:rPr>
        <w:t>Average Daily Energy Supply (DES)</w:t>
      </w:r>
    </w:p>
    <w:p w:rsidR="00F7266D" w:rsidRPr="00E02E4D" w:rsidRDefault="00F7266D" w:rsidP="00F7266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E02E4D">
        <w:rPr>
          <w:rFonts w:ascii="Times New Roman" w:eastAsia="Times New Roman" w:hAnsi="Times New Roman" w:cs="Times New Roman"/>
          <w:bCs/>
          <w:sz w:val="24"/>
          <w:szCs w:val="24"/>
        </w:rPr>
        <w:t>The choice of daily energy supply as the final node of the Bayesian belief network</w:t>
      </w:r>
      <w:r>
        <w:rPr>
          <w:rFonts w:ascii="Times New Roman" w:eastAsia="Times New Roman" w:hAnsi="Times New Roman" w:cs="Times New Roman"/>
          <w:bCs/>
          <w:sz w:val="24"/>
          <w:szCs w:val="24"/>
        </w:rPr>
        <w:t xml:space="preserve"> </w:t>
      </w:r>
      <w:r w:rsidRPr="00E02E4D">
        <w:rPr>
          <w:rFonts w:ascii="Times New Roman" w:eastAsia="Times New Roman" w:hAnsi="Times New Roman" w:cs="Times New Roman"/>
          <w:bCs/>
          <w:sz w:val="24"/>
          <w:szCs w:val="24"/>
        </w:rPr>
        <w:t xml:space="preserve">requires explanation. Return first to the FAO’s definition of food security: “Food security exists when all people, at all times, have physical, social and economic access to sufficient, safe and </w:t>
      </w:r>
      <w:r w:rsidRPr="00E02E4D">
        <w:rPr>
          <w:rFonts w:ascii="Times New Roman" w:eastAsia="Times New Roman" w:hAnsi="Times New Roman" w:cs="Times New Roman"/>
          <w:bCs/>
          <w:sz w:val="24"/>
          <w:szCs w:val="24"/>
        </w:rPr>
        <w:lastRenderedPageBreak/>
        <w:t>nutritious food to meet their dietary needs and food preferences for an active and healthy life."</w:t>
      </w:r>
      <w:r w:rsidRPr="00E02E4D">
        <w:rPr>
          <w:rFonts w:ascii="Times New Roman" w:eastAsia="Times New Roman" w:hAnsi="Times New Roman" w:cs="Times New Roman"/>
          <w:bCs/>
          <w:sz w:val="24"/>
          <w:szCs w:val="24"/>
          <w:vertAlign w:val="superscript"/>
        </w:rPr>
        <w:footnoteReference w:id="63"/>
      </w:r>
      <w:r w:rsidRPr="00E02E4D">
        <w:rPr>
          <w:rFonts w:ascii="Times New Roman" w:eastAsia="Times New Roman" w:hAnsi="Times New Roman" w:cs="Times New Roman"/>
          <w:bCs/>
          <w:sz w:val="24"/>
          <w:szCs w:val="24"/>
        </w:rPr>
        <w:t xml:space="preserve"> In order to consistently maintain a healthy daily energy supply, individuals will require stable access to nutritious foods. Furthermore, meeting daily standards for energy supply will enable both expatriates and nationals in Oman to perform necessary tasks in an active lifestyle. Consequently, DES meets the FAO definition’s demands for access and a healthy life. By averaging out the daily energy supply of all Oman’s inhabitants, too, the threshold set for DES will indicate whether or not a satisfactory portion of the population has become food secure. </w:t>
      </w:r>
    </w:p>
    <w:p w:rsidR="00F7266D" w:rsidRDefault="00F7266D" w:rsidP="00EB0086">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11027E">
        <w:rPr>
          <w:rFonts w:ascii="Times New Roman" w:eastAsia="Times New Roman" w:hAnsi="Times New Roman" w:cs="Times New Roman"/>
          <w:b/>
          <w:sz w:val="24"/>
          <w:szCs w:val="24"/>
        </w:rPr>
        <w:tab/>
      </w:r>
      <w:r w:rsidRPr="00DE781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dataset for Average DES came from the Food and Agriculture Organization of the United Nations Statistics Division (FAOSTAT). Unfortunately there was no data specifically for Oman for this variable, measured in kilocalories per person per day, so the </w:t>
      </w:r>
      <w:r w:rsidR="0001143A">
        <w:rPr>
          <w:rFonts w:ascii="Times New Roman" w:eastAsia="Times New Roman" w:hAnsi="Times New Roman" w:cs="Times New Roman"/>
          <w:sz w:val="24"/>
          <w:szCs w:val="24"/>
        </w:rPr>
        <w:t>129</w:t>
      </w:r>
      <w:r>
        <w:rPr>
          <w:rFonts w:ascii="Times New Roman" w:eastAsia="Times New Roman" w:hAnsi="Times New Roman" w:cs="Times New Roman"/>
          <w:sz w:val="24"/>
          <w:szCs w:val="24"/>
        </w:rPr>
        <w:t xml:space="preserve"> included data points spanned from the years 19</w:t>
      </w:r>
      <w:r w:rsidR="0001143A">
        <w:rPr>
          <w:rFonts w:ascii="Times New Roman" w:eastAsia="Times New Roman" w:hAnsi="Times New Roman" w:cs="Times New Roman"/>
          <w:sz w:val="24"/>
          <w:szCs w:val="24"/>
        </w:rPr>
        <w:t>71</w:t>
      </w:r>
      <w:r>
        <w:rPr>
          <w:rFonts w:ascii="Times New Roman" w:eastAsia="Times New Roman" w:hAnsi="Times New Roman" w:cs="Times New Roman"/>
          <w:sz w:val="24"/>
          <w:szCs w:val="24"/>
        </w:rPr>
        <w:t xml:space="preserve"> to 201</w:t>
      </w:r>
      <w:r w:rsidR="0001143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for the three Arabian Gulf countries listed in the FAOSTAT database: the United Arab Emirates, Saudi Arabia, and Kuwait.</w:t>
      </w:r>
      <w:r w:rsidR="00EB0086">
        <w:rPr>
          <w:rStyle w:val="FootnoteReference"/>
          <w:rFonts w:ascii="Times New Roman" w:eastAsia="Times New Roman" w:hAnsi="Times New Roman" w:cs="Times New Roman"/>
          <w:sz w:val="24"/>
          <w:szCs w:val="24"/>
        </w:rPr>
        <w:footnoteReference w:id="64"/>
      </w:r>
      <w:r>
        <w:rPr>
          <w:rFonts w:ascii="Times New Roman" w:eastAsia="Times New Roman" w:hAnsi="Times New Roman" w:cs="Times New Roman"/>
          <w:sz w:val="24"/>
          <w:szCs w:val="24"/>
        </w:rPr>
        <w:t xml:space="preserve"> Due to data constraints, this project operates with the assumption that other nations’ data can serve as an estimated values for Oman. In fact, the GRM International Report indicates a close correlation between Oman and Kuwait.</w:t>
      </w:r>
      <w:r>
        <w:rPr>
          <w:rStyle w:val="FootnoteReference"/>
          <w:rFonts w:ascii="Times New Roman" w:eastAsia="Times New Roman" w:hAnsi="Times New Roman" w:cs="Times New Roman"/>
          <w:sz w:val="24"/>
          <w:szCs w:val="24"/>
        </w:rPr>
        <w:footnoteReference w:id="65"/>
      </w:r>
      <w:r>
        <w:rPr>
          <w:rFonts w:ascii="Times New Roman" w:eastAsia="Times New Roman" w:hAnsi="Times New Roman" w:cs="Times New Roman"/>
          <w:sz w:val="24"/>
          <w:szCs w:val="24"/>
        </w:rPr>
        <w:t xml:space="preserve"> </w:t>
      </w:r>
      <w:r w:rsidR="0001143A">
        <w:rPr>
          <w:rFonts w:ascii="Times New Roman" w:eastAsia="Times New Roman" w:hAnsi="Times New Roman" w:cs="Times New Roman"/>
          <w:sz w:val="24"/>
          <w:szCs w:val="24"/>
        </w:rPr>
        <w:t>The node utilized four different bins, and the lowest split point was the comfortable lower bound for DES</w:t>
      </w:r>
      <w:r w:rsidR="001102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established in the GRM International Report,</w:t>
      </w:r>
      <w:r w:rsidR="0011027E">
        <w:rPr>
          <w:rFonts w:ascii="Times New Roman" w:eastAsia="Times New Roman" w:hAnsi="Times New Roman" w:cs="Times New Roman"/>
          <w:sz w:val="24"/>
          <w:szCs w:val="24"/>
        </w:rPr>
        <w:t xml:space="preserve"> 2</w:t>
      </w:r>
      <w:r w:rsidR="002D5874">
        <w:rPr>
          <w:rFonts w:ascii="Times New Roman" w:eastAsia="Times New Roman" w:hAnsi="Times New Roman" w:cs="Times New Roman"/>
          <w:sz w:val="24"/>
          <w:szCs w:val="24"/>
        </w:rPr>
        <w:t>,</w:t>
      </w:r>
      <w:r w:rsidR="0011027E">
        <w:rPr>
          <w:rFonts w:ascii="Times New Roman" w:eastAsia="Times New Roman" w:hAnsi="Times New Roman" w:cs="Times New Roman"/>
          <w:sz w:val="24"/>
          <w:szCs w:val="24"/>
        </w:rPr>
        <w:t xml:space="preserve">100 kilocalories per person per day. </w:t>
      </w:r>
      <w:r w:rsidR="002D5874">
        <w:rPr>
          <w:rFonts w:ascii="Times New Roman" w:eastAsia="Times New Roman" w:hAnsi="Times New Roman" w:cs="Times New Roman"/>
          <w:sz w:val="24"/>
          <w:szCs w:val="24"/>
        </w:rPr>
        <w:t>The second split point was 3,000 kilocalories per person per day, which is a high boundary for caloric intake for children, the recommended intake for women with heavy work, and the recommended value for moderately active men.</w:t>
      </w:r>
      <w:r w:rsidR="002D5874">
        <w:rPr>
          <w:rStyle w:val="FootnoteReference"/>
          <w:rFonts w:ascii="Times New Roman" w:eastAsia="Times New Roman" w:hAnsi="Times New Roman" w:cs="Times New Roman"/>
          <w:sz w:val="24"/>
          <w:szCs w:val="24"/>
        </w:rPr>
        <w:footnoteReference w:id="66"/>
      </w:r>
      <w:r w:rsidR="002D5874">
        <w:rPr>
          <w:rFonts w:ascii="Times New Roman" w:eastAsia="Times New Roman" w:hAnsi="Times New Roman" w:cs="Times New Roman"/>
          <w:sz w:val="24"/>
          <w:szCs w:val="24"/>
        </w:rPr>
        <w:t xml:space="preserve"> </w:t>
      </w:r>
      <w:r w:rsidR="0011027E">
        <w:rPr>
          <w:rFonts w:ascii="Times New Roman" w:eastAsia="Times New Roman" w:hAnsi="Times New Roman" w:cs="Times New Roman"/>
          <w:sz w:val="24"/>
          <w:szCs w:val="24"/>
        </w:rPr>
        <w:t xml:space="preserve">The </w:t>
      </w:r>
      <w:r w:rsidR="002D5874">
        <w:rPr>
          <w:rFonts w:ascii="Times New Roman" w:eastAsia="Times New Roman" w:hAnsi="Times New Roman" w:cs="Times New Roman"/>
          <w:sz w:val="24"/>
          <w:szCs w:val="24"/>
        </w:rPr>
        <w:t xml:space="preserve">third split point was 3250 kilocalories per person per day, the average food intake in the world’s developed </w:t>
      </w:r>
      <w:r w:rsidR="002D5874">
        <w:rPr>
          <w:rFonts w:ascii="Times New Roman" w:eastAsia="Times New Roman" w:hAnsi="Times New Roman" w:cs="Times New Roman"/>
          <w:sz w:val="24"/>
          <w:szCs w:val="24"/>
        </w:rPr>
        <w:lastRenderedPageBreak/>
        <w:t>countries.</w:t>
      </w:r>
      <w:r w:rsidR="002D5874">
        <w:rPr>
          <w:rStyle w:val="FootnoteReference"/>
          <w:rFonts w:ascii="Times New Roman" w:eastAsia="Times New Roman" w:hAnsi="Times New Roman" w:cs="Times New Roman"/>
          <w:sz w:val="24"/>
          <w:szCs w:val="24"/>
        </w:rPr>
        <w:footnoteReference w:id="67"/>
      </w:r>
      <w:r w:rsidR="002D5874">
        <w:rPr>
          <w:rFonts w:ascii="Times New Roman" w:eastAsia="Times New Roman" w:hAnsi="Times New Roman" w:cs="Times New Roman"/>
          <w:sz w:val="24"/>
          <w:szCs w:val="24"/>
        </w:rPr>
        <w:t xml:space="preserve"> </w:t>
      </w:r>
      <w:r w:rsidR="00AE7006">
        <w:rPr>
          <w:rFonts w:ascii="Times New Roman" w:eastAsia="Times New Roman" w:hAnsi="Times New Roman" w:cs="Times New Roman"/>
          <w:sz w:val="24"/>
          <w:szCs w:val="24"/>
        </w:rPr>
        <w:t>And the highest split point</w:t>
      </w:r>
      <w:r w:rsidR="0011027E">
        <w:rPr>
          <w:rFonts w:ascii="Times New Roman" w:eastAsia="Times New Roman" w:hAnsi="Times New Roman" w:cs="Times New Roman"/>
          <w:sz w:val="24"/>
          <w:szCs w:val="24"/>
        </w:rPr>
        <w:t>,</w:t>
      </w:r>
      <w:r w:rsidR="00AE7006">
        <w:rPr>
          <w:rFonts w:ascii="Times New Roman" w:eastAsia="Times New Roman" w:hAnsi="Times New Roman" w:cs="Times New Roman"/>
          <w:sz w:val="24"/>
          <w:szCs w:val="24"/>
        </w:rPr>
        <w:t xml:space="preserve"> 3,500 kilocalories per person per day,</w:t>
      </w:r>
      <w:r w:rsidR="0011027E">
        <w:rPr>
          <w:rFonts w:ascii="Times New Roman" w:eastAsia="Times New Roman" w:hAnsi="Times New Roman" w:cs="Times New Roman"/>
          <w:sz w:val="24"/>
          <w:szCs w:val="24"/>
        </w:rPr>
        <w:t xml:space="preserve"> </w:t>
      </w:r>
      <w:r w:rsidR="00AE7006">
        <w:rPr>
          <w:rFonts w:ascii="Times New Roman" w:eastAsia="Times New Roman" w:hAnsi="Times New Roman" w:cs="Times New Roman"/>
          <w:sz w:val="24"/>
          <w:szCs w:val="24"/>
        </w:rPr>
        <w:t>obesity becomes more of a threat because 3,500 kilocalories comprise one pound of fat.</w:t>
      </w:r>
      <w:r w:rsidR="008E3CE4">
        <w:rPr>
          <w:rStyle w:val="FootnoteReference"/>
          <w:rFonts w:ascii="Times New Roman" w:eastAsia="Times New Roman" w:hAnsi="Times New Roman" w:cs="Times New Roman"/>
          <w:sz w:val="24"/>
          <w:szCs w:val="24"/>
        </w:rPr>
        <w:footnoteReference w:id="68"/>
      </w:r>
      <w:r w:rsidR="00AE7006">
        <w:rPr>
          <w:rFonts w:ascii="Times New Roman" w:eastAsia="Times New Roman" w:hAnsi="Times New Roman" w:cs="Times New Roman"/>
          <w:sz w:val="24"/>
          <w:szCs w:val="24"/>
        </w:rPr>
        <w:t xml:space="preserve"> With these split points, </w:t>
      </w:r>
      <w:r w:rsidR="0011027E">
        <w:rPr>
          <w:rFonts w:ascii="Times New Roman" w:eastAsia="Times New Roman" w:hAnsi="Times New Roman" w:cs="Times New Roman"/>
          <w:sz w:val="24"/>
          <w:szCs w:val="24"/>
        </w:rPr>
        <w:t>the data</w:t>
      </w:r>
      <w:r w:rsidR="00AE7006">
        <w:rPr>
          <w:rFonts w:ascii="Times New Roman" w:eastAsia="Times New Roman" w:hAnsi="Times New Roman" w:cs="Times New Roman"/>
          <w:sz w:val="24"/>
          <w:szCs w:val="24"/>
        </w:rPr>
        <w:t xml:space="preserve"> adopted</w:t>
      </w:r>
      <w:r w:rsidR="0011027E">
        <w:rPr>
          <w:rFonts w:ascii="Times New Roman" w:eastAsia="Times New Roman" w:hAnsi="Times New Roman" w:cs="Times New Roman"/>
          <w:sz w:val="24"/>
          <w:szCs w:val="24"/>
        </w:rPr>
        <w:t xml:space="preserve"> a bell-shaped structure for the purpose of sensitivity testing.</w:t>
      </w:r>
      <w:r>
        <w:rPr>
          <w:rFonts w:ascii="Times New Roman" w:eastAsia="Times New Roman" w:hAnsi="Times New Roman" w:cs="Times New Roman"/>
          <w:sz w:val="24"/>
          <w:szCs w:val="24"/>
        </w:rPr>
        <w:t xml:space="preserve"> </w:t>
      </w:r>
    </w:p>
    <w:p w:rsidR="00F7266D" w:rsidRPr="001E7227" w:rsidRDefault="00F7266D" w:rsidP="001E7227">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A2171" w:rsidRPr="001E7227">
        <w:rPr>
          <w:rFonts w:ascii="Times New Roman" w:eastAsia="Times New Roman" w:hAnsi="Times New Roman" w:cs="Times New Roman"/>
          <w:bCs/>
          <w:sz w:val="24"/>
          <w:szCs w:val="24"/>
        </w:rPr>
        <w:t>Figure 22</w:t>
      </w:r>
      <w:r w:rsidR="008E3CE4" w:rsidRPr="001E7227">
        <w:rPr>
          <w:rFonts w:ascii="Times New Roman" w:eastAsia="Times New Roman" w:hAnsi="Times New Roman" w:cs="Times New Roman"/>
          <w:bCs/>
          <w:sz w:val="24"/>
          <w:szCs w:val="24"/>
        </w:rPr>
        <w:t>a</w:t>
      </w:r>
      <w:r w:rsidRPr="001E7227">
        <w:rPr>
          <w:rFonts w:ascii="Times New Roman" w:eastAsia="Times New Roman" w:hAnsi="Times New Roman" w:cs="Times New Roman"/>
          <w:bCs/>
          <w:sz w:val="24"/>
          <w:szCs w:val="24"/>
        </w:rPr>
        <w:t xml:space="preserve"> shows the skew toward high </w:t>
      </w:r>
      <w:r w:rsidR="001E7227">
        <w:rPr>
          <w:rFonts w:ascii="Times New Roman" w:eastAsia="Times New Roman" w:hAnsi="Times New Roman" w:cs="Times New Roman"/>
          <w:bCs/>
          <w:sz w:val="24"/>
          <w:szCs w:val="24"/>
        </w:rPr>
        <w:t>DES</w:t>
      </w:r>
      <w:r w:rsidRPr="001E7227">
        <w:rPr>
          <w:rFonts w:ascii="Times New Roman" w:eastAsia="Times New Roman" w:hAnsi="Times New Roman" w:cs="Times New Roman"/>
          <w:bCs/>
          <w:sz w:val="24"/>
          <w:szCs w:val="24"/>
        </w:rPr>
        <w:t xml:space="preserve">, and </w:t>
      </w:r>
      <w:r w:rsidR="005A2171" w:rsidRPr="001E7227">
        <w:rPr>
          <w:rFonts w:ascii="Times New Roman" w:eastAsia="Times New Roman" w:hAnsi="Times New Roman" w:cs="Times New Roman"/>
          <w:bCs/>
          <w:sz w:val="24"/>
          <w:szCs w:val="24"/>
        </w:rPr>
        <w:t>Figure 22b</w:t>
      </w:r>
      <w:r w:rsidRPr="001E7227">
        <w:rPr>
          <w:rFonts w:ascii="Times New Roman" w:eastAsia="Times New Roman" w:hAnsi="Times New Roman" w:cs="Times New Roman"/>
          <w:bCs/>
          <w:sz w:val="24"/>
          <w:szCs w:val="24"/>
        </w:rPr>
        <w:t xml:space="preserve"> shows the cond</w:t>
      </w:r>
      <w:r w:rsidR="005A2171" w:rsidRPr="001E7227">
        <w:rPr>
          <w:rFonts w:ascii="Times New Roman" w:eastAsia="Times New Roman" w:hAnsi="Times New Roman" w:cs="Times New Roman"/>
          <w:bCs/>
          <w:sz w:val="24"/>
          <w:szCs w:val="24"/>
        </w:rPr>
        <w:t xml:space="preserve">itional probabilities relating annual food supply per capita, population growth, and average DES. </w:t>
      </w:r>
    </w:p>
    <w:p w:rsidR="00BE6FAA" w:rsidRPr="001E7227" w:rsidRDefault="008E3CE4" w:rsidP="008E3C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rFonts w:ascii="Times New Roman" w:eastAsia="Times New Roman" w:hAnsi="Times New Roman" w:cs="Times New Roman"/>
          <w:bCs/>
          <w:sz w:val="24"/>
          <w:szCs w:val="24"/>
        </w:rPr>
      </w:pPr>
      <w:r w:rsidRPr="001E7227">
        <w:rPr>
          <w:noProof/>
        </w:rPr>
        <w:drawing>
          <wp:inline distT="0" distB="0" distL="0" distR="0" wp14:anchorId="3F7A0D44" wp14:editId="485BB96D">
            <wp:extent cx="3000375" cy="1957388"/>
            <wp:effectExtent l="0" t="0" r="9525"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E3CE4" w:rsidRPr="001E7227" w:rsidRDefault="008E3CE4" w:rsidP="008E3C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noProof/>
        </w:rPr>
      </w:pPr>
      <w:r w:rsidRPr="001E7227">
        <w:rPr>
          <w:rFonts w:asciiTheme="majorBidi" w:hAnsiTheme="majorBidi" w:cstheme="majorBidi"/>
          <w:noProof/>
          <w:sz w:val="24"/>
          <w:szCs w:val="24"/>
        </w:rPr>
        <w:t>(a) Simple Probability Table</w:t>
      </w:r>
    </w:p>
    <w:tbl>
      <w:tblPr>
        <w:tblStyle w:val="TableGrid"/>
        <w:tblW w:w="0" w:type="auto"/>
        <w:jc w:val="center"/>
        <w:tblInd w:w="-1230" w:type="dxa"/>
        <w:tblLook w:val="04A0" w:firstRow="1" w:lastRow="0" w:firstColumn="1" w:lastColumn="0" w:noHBand="0" w:noVBand="1"/>
      </w:tblPr>
      <w:tblGrid>
        <w:gridCol w:w="3345"/>
        <w:gridCol w:w="1260"/>
        <w:gridCol w:w="1170"/>
        <w:gridCol w:w="1260"/>
        <w:gridCol w:w="1118"/>
      </w:tblGrid>
      <w:tr w:rsidR="00284F17" w:rsidRPr="001E7227" w:rsidTr="00581785">
        <w:trPr>
          <w:jc w:val="center"/>
        </w:trPr>
        <w:tc>
          <w:tcPr>
            <w:tcW w:w="8153" w:type="dxa"/>
            <w:gridSpan w:val="5"/>
            <w:shd w:val="clear" w:color="auto" w:fill="A6A6A6" w:themeFill="background1" w:themeFillShade="A6"/>
            <w:vAlign w:val="center"/>
          </w:tcPr>
          <w:p w:rsidR="00284F17" w:rsidRPr="001E7227" w:rsidRDefault="00284F17" w:rsidP="005A2171">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b/>
                <w:bCs/>
                <w:noProof/>
              </w:rPr>
            </w:pPr>
            <w:r w:rsidRPr="001E7227">
              <w:rPr>
                <w:rFonts w:asciiTheme="majorBidi" w:hAnsiTheme="majorBidi" w:cstheme="majorBidi"/>
                <w:b/>
                <w:bCs/>
                <w:noProof/>
              </w:rPr>
              <w:t>Average DES (Kilocalories per Person per Day)</w:t>
            </w:r>
          </w:p>
        </w:tc>
      </w:tr>
      <w:tr w:rsidR="00284F17" w:rsidRPr="001E7227" w:rsidTr="00581785">
        <w:trPr>
          <w:jc w:val="center"/>
        </w:trPr>
        <w:tc>
          <w:tcPr>
            <w:tcW w:w="3345" w:type="dxa"/>
            <w:shd w:val="clear" w:color="auto" w:fill="D9D9D9" w:themeFill="background1" w:themeFillShade="D9"/>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Annual Food Supply per Capita</w:t>
            </w:r>
          </w:p>
        </w:tc>
        <w:tc>
          <w:tcPr>
            <w:tcW w:w="2430" w:type="dxa"/>
            <w:gridSpan w:val="2"/>
            <w:shd w:val="clear" w:color="auto" w:fill="D9D9D9" w:themeFill="background1" w:themeFillShade="D9"/>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&lt;150</w:t>
            </w:r>
          </w:p>
        </w:tc>
        <w:tc>
          <w:tcPr>
            <w:tcW w:w="2378" w:type="dxa"/>
            <w:gridSpan w:val="2"/>
            <w:shd w:val="clear" w:color="auto" w:fill="D9D9D9" w:themeFill="background1" w:themeFillShade="D9"/>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&gt;150</w:t>
            </w:r>
          </w:p>
        </w:tc>
      </w:tr>
      <w:tr w:rsidR="00284F17" w:rsidRPr="001E7227" w:rsidTr="00581785">
        <w:trPr>
          <w:jc w:val="center"/>
        </w:trPr>
        <w:tc>
          <w:tcPr>
            <w:tcW w:w="3345" w:type="dxa"/>
            <w:shd w:val="clear" w:color="auto" w:fill="D9D9D9" w:themeFill="background1" w:themeFillShade="D9"/>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Population Growth</w:t>
            </w:r>
          </w:p>
        </w:tc>
        <w:tc>
          <w:tcPr>
            <w:tcW w:w="1260" w:type="dxa"/>
            <w:shd w:val="clear" w:color="auto" w:fill="D9D9D9" w:themeFill="background1" w:themeFillShade="D9"/>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&lt;4</w:t>
            </w:r>
          </w:p>
        </w:tc>
        <w:tc>
          <w:tcPr>
            <w:tcW w:w="1170" w:type="dxa"/>
            <w:shd w:val="clear" w:color="auto" w:fill="D9D9D9" w:themeFill="background1" w:themeFillShade="D9"/>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&gt;4</w:t>
            </w:r>
          </w:p>
        </w:tc>
        <w:tc>
          <w:tcPr>
            <w:tcW w:w="1260" w:type="dxa"/>
            <w:shd w:val="clear" w:color="auto" w:fill="D9D9D9" w:themeFill="background1" w:themeFillShade="D9"/>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&lt;4</w:t>
            </w:r>
          </w:p>
        </w:tc>
        <w:tc>
          <w:tcPr>
            <w:tcW w:w="1118" w:type="dxa"/>
            <w:shd w:val="clear" w:color="auto" w:fill="D9D9D9" w:themeFill="background1" w:themeFillShade="D9"/>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&gt;4</w:t>
            </w:r>
          </w:p>
        </w:tc>
      </w:tr>
      <w:tr w:rsidR="00284F17" w:rsidRPr="001E7227" w:rsidTr="00581785">
        <w:trPr>
          <w:jc w:val="center"/>
        </w:trPr>
        <w:tc>
          <w:tcPr>
            <w:tcW w:w="3345" w:type="dxa"/>
            <w:shd w:val="clear" w:color="auto" w:fill="A6A6A6" w:themeFill="background1" w:themeFillShade="A6"/>
            <w:vAlign w:val="center"/>
          </w:tcPr>
          <w:p w:rsidR="00284F17" w:rsidRPr="001E7227" w:rsidRDefault="00284F17" w:rsidP="00284F17">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&lt;2100</w:t>
            </w:r>
          </w:p>
        </w:tc>
        <w:tc>
          <w:tcPr>
            <w:tcW w:w="1260" w:type="dxa"/>
            <w:vAlign w:val="center"/>
          </w:tcPr>
          <w:p w:rsidR="00284F17" w:rsidRPr="001E7227" w:rsidRDefault="00284F17" w:rsidP="00284F17">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0.038462</w:t>
            </w:r>
          </w:p>
        </w:tc>
        <w:tc>
          <w:tcPr>
            <w:tcW w:w="1170" w:type="dxa"/>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0.08642</w:t>
            </w:r>
          </w:p>
        </w:tc>
        <w:tc>
          <w:tcPr>
            <w:tcW w:w="1260" w:type="dxa"/>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0.01</w:t>
            </w:r>
          </w:p>
        </w:tc>
        <w:tc>
          <w:tcPr>
            <w:tcW w:w="1118" w:type="dxa"/>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0.01</w:t>
            </w:r>
          </w:p>
        </w:tc>
      </w:tr>
      <w:tr w:rsidR="00284F17" w:rsidRPr="001E7227" w:rsidTr="00581785">
        <w:trPr>
          <w:jc w:val="center"/>
        </w:trPr>
        <w:tc>
          <w:tcPr>
            <w:tcW w:w="3345" w:type="dxa"/>
            <w:shd w:val="clear" w:color="auto" w:fill="A6A6A6" w:themeFill="background1" w:themeFillShade="A6"/>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(2100, 3000)</w:t>
            </w:r>
          </w:p>
        </w:tc>
        <w:tc>
          <w:tcPr>
            <w:tcW w:w="1260" w:type="dxa"/>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w:t>
            </w:r>
            <w:r w:rsidR="00775AF2" w:rsidRPr="001E7227">
              <w:rPr>
                <w:rFonts w:asciiTheme="majorBidi" w:hAnsiTheme="majorBidi" w:cstheme="majorBidi"/>
                <w:noProof/>
              </w:rPr>
              <w:t>346154</w:t>
            </w:r>
          </w:p>
        </w:tc>
        <w:tc>
          <w:tcPr>
            <w:tcW w:w="1170"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0.333333</w:t>
            </w:r>
          </w:p>
        </w:tc>
        <w:tc>
          <w:tcPr>
            <w:tcW w:w="1260"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0.289474</w:t>
            </w:r>
          </w:p>
        </w:tc>
        <w:tc>
          <w:tcPr>
            <w:tcW w:w="1118"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0.074074</w:t>
            </w:r>
          </w:p>
        </w:tc>
      </w:tr>
      <w:tr w:rsidR="00284F17" w:rsidRPr="001E7227" w:rsidTr="00581785">
        <w:trPr>
          <w:jc w:val="center"/>
        </w:trPr>
        <w:tc>
          <w:tcPr>
            <w:tcW w:w="3345" w:type="dxa"/>
            <w:shd w:val="clear" w:color="auto" w:fill="A6A6A6" w:themeFill="background1" w:themeFillShade="A6"/>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(3000, 3250)</w:t>
            </w:r>
          </w:p>
        </w:tc>
        <w:tc>
          <w:tcPr>
            <w:tcW w:w="1260"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0.230769</w:t>
            </w:r>
          </w:p>
        </w:tc>
        <w:tc>
          <w:tcPr>
            <w:tcW w:w="1170"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0.283951</w:t>
            </w:r>
          </w:p>
        </w:tc>
        <w:tc>
          <w:tcPr>
            <w:tcW w:w="1260"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0.342105</w:t>
            </w:r>
          </w:p>
        </w:tc>
        <w:tc>
          <w:tcPr>
            <w:tcW w:w="1118"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0.444444</w:t>
            </w:r>
          </w:p>
        </w:tc>
      </w:tr>
      <w:tr w:rsidR="00284F17" w:rsidRPr="001E7227" w:rsidTr="00581785">
        <w:trPr>
          <w:jc w:val="center"/>
        </w:trPr>
        <w:tc>
          <w:tcPr>
            <w:tcW w:w="3345" w:type="dxa"/>
            <w:shd w:val="clear" w:color="auto" w:fill="A6A6A6" w:themeFill="background1" w:themeFillShade="A6"/>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(3250, 3500)</w:t>
            </w:r>
          </w:p>
        </w:tc>
        <w:tc>
          <w:tcPr>
            <w:tcW w:w="1260"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0.346154</w:t>
            </w:r>
          </w:p>
        </w:tc>
        <w:tc>
          <w:tcPr>
            <w:tcW w:w="1170"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0.259259</w:t>
            </w:r>
          </w:p>
        </w:tc>
        <w:tc>
          <w:tcPr>
            <w:tcW w:w="1260"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0.315789</w:t>
            </w:r>
          </w:p>
        </w:tc>
        <w:tc>
          <w:tcPr>
            <w:tcW w:w="1118"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0.333333</w:t>
            </w:r>
          </w:p>
        </w:tc>
      </w:tr>
      <w:tr w:rsidR="00284F17" w:rsidRPr="001E7227" w:rsidTr="00581785">
        <w:trPr>
          <w:jc w:val="center"/>
        </w:trPr>
        <w:tc>
          <w:tcPr>
            <w:tcW w:w="3345" w:type="dxa"/>
            <w:shd w:val="clear" w:color="auto" w:fill="A6A6A6" w:themeFill="background1" w:themeFillShade="A6"/>
            <w:vAlign w:val="center"/>
          </w:tcPr>
          <w:p w:rsidR="00284F17" w:rsidRPr="001E7227" w:rsidRDefault="00284F17"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&gt;3500</w:t>
            </w:r>
          </w:p>
        </w:tc>
        <w:tc>
          <w:tcPr>
            <w:tcW w:w="1260"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0.038462</w:t>
            </w:r>
          </w:p>
        </w:tc>
        <w:tc>
          <w:tcPr>
            <w:tcW w:w="1170"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0.037037</w:t>
            </w:r>
          </w:p>
        </w:tc>
        <w:tc>
          <w:tcPr>
            <w:tcW w:w="1260"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0.052632</w:t>
            </w:r>
          </w:p>
        </w:tc>
        <w:tc>
          <w:tcPr>
            <w:tcW w:w="1118" w:type="dxa"/>
            <w:vAlign w:val="center"/>
          </w:tcPr>
          <w:p w:rsidR="00284F17" w:rsidRPr="001E7227" w:rsidRDefault="00775AF2" w:rsidP="00581785">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Theme="majorBidi" w:hAnsiTheme="majorBidi" w:cstheme="majorBidi"/>
                <w:noProof/>
              </w:rPr>
            </w:pPr>
            <w:r w:rsidRPr="001E7227">
              <w:rPr>
                <w:rFonts w:asciiTheme="majorBidi" w:hAnsiTheme="majorBidi" w:cstheme="majorBidi"/>
                <w:noProof/>
              </w:rPr>
              <w:t>0.148148</w:t>
            </w:r>
          </w:p>
        </w:tc>
      </w:tr>
    </w:tbl>
    <w:p w:rsidR="00284F17" w:rsidRPr="001E7227" w:rsidRDefault="00284F17"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sz w:val="24"/>
          <w:szCs w:val="24"/>
        </w:rPr>
      </w:pPr>
    </w:p>
    <w:p w:rsidR="008E3CE4" w:rsidRDefault="008E3CE4" w:rsidP="008E3CE4">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heme="majorBidi" w:eastAsia="Times New Roman" w:hAnsiTheme="majorBidi" w:cstheme="majorBidi"/>
          <w:sz w:val="24"/>
          <w:szCs w:val="24"/>
        </w:rPr>
      </w:pPr>
      <w:r w:rsidRPr="001E7227">
        <w:rPr>
          <w:rFonts w:asciiTheme="majorBidi" w:hAnsiTheme="majorBidi" w:cstheme="majorBidi"/>
          <w:noProof/>
          <w:sz w:val="24"/>
          <w:szCs w:val="24"/>
        </w:rPr>
        <w:t xml:space="preserve">(b) Conditional </w:t>
      </w:r>
      <w:r w:rsidRPr="001E7227">
        <w:rPr>
          <w:rFonts w:asciiTheme="majorBidi" w:eastAsia="Times New Roman" w:hAnsiTheme="majorBidi" w:cstheme="majorBidi"/>
          <w:sz w:val="24"/>
          <w:szCs w:val="24"/>
        </w:rPr>
        <w:t>Probability Table</w:t>
      </w:r>
    </w:p>
    <w:p w:rsidR="008E3CE4" w:rsidRDefault="008E3CE4"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cs="Times New Roman"/>
          <w:sz w:val="24"/>
          <w:szCs w:val="24"/>
        </w:rPr>
      </w:pPr>
    </w:p>
    <w:p w:rsidR="00537960" w:rsidRDefault="00F7266D" w:rsidP="005A2171">
      <w:pPr>
        <w:pStyle w:val="Caption"/>
        <w:spacing w:after="0"/>
        <w:jc w:val="center"/>
        <w:rPr>
          <w:rFonts w:asciiTheme="majorBidi" w:hAnsiTheme="majorBidi" w:cstheme="majorBidi"/>
          <w:color w:val="auto"/>
          <w:sz w:val="24"/>
          <w:szCs w:val="24"/>
        </w:rPr>
      </w:pPr>
      <w:proofErr w:type="gramStart"/>
      <w:r w:rsidRPr="001E7227">
        <w:rPr>
          <w:rFonts w:asciiTheme="majorBidi" w:hAnsiTheme="majorBidi" w:cstheme="majorBidi"/>
          <w:color w:val="auto"/>
          <w:sz w:val="24"/>
          <w:szCs w:val="24"/>
        </w:rPr>
        <w:t xml:space="preserve">Figure </w:t>
      </w:r>
      <w:r w:rsidRPr="001E7227">
        <w:rPr>
          <w:rFonts w:asciiTheme="majorBidi" w:hAnsiTheme="majorBidi" w:cstheme="majorBidi"/>
          <w:color w:val="auto"/>
          <w:sz w:val="24"/>
          <w:szCs w:val="24"/>
        </w:rPr>
        <w:fldChar w:fldCharType="begin"/>
      </w:r>
      <w:r w:rsidRPr="001E7227">
        <w:rPr>
          <w:rFonts w:asciiTheme="majorBidi" w:hAnsiTheme="majorBidi" w:cstheme="majorBidi"/>
          <w:color w:val="auto"/>
          <w:sz w:val="24"/>
          <w:szCs w:val="24"/>
        </w:rPr>
        <w:instrText xml:space="preserve"> SEQ Figure \* ARABIC </w:instrText>
      </w:r>
      <w:r w:rsidRPr="001E7227">
        <w:rPr>
          <w:rFonts w:asciiTheme="majorBidi" w:hAnsiTheme="majorBidi" w:cstheme="majorBidi"/>
          <w:color w:val="auto"/>
          <w:sz w:val="24"/>
          <w:szCs w:val="24"/>
        </w:rPr>
        <w:fldChar w:fldCharType="separate"/>
      </w:r>
      <w:r w:rsidR="0068685A" w:rsidRPr="001E7227">
        <w:rPr>
          <w:rFonts w:asciiTheme="majorBidi" w:hAnsiTheme="majorBidi" w:cstheme="majorBidi"/>
          <w:noProof/>
          <w:color w:val="auto"/>
          <w:sz w:val="24"/>
          <w:szCs w:val="24"/>
        </w:rPr>
        <w:t>2</w:t>
      </w:r>
      <w:r w:rsidR="008E3CE4" w:rsidRPr="001E7227">
        <w:rPr>
          <w:rFonts w:asciiTheme="majorBidi" w:hAnsiTheme="majorBidi" w:cstheme="majorBidi"/>
          <w:noProof/>
          <w:color w:val="auto"/>
          <w:sz w:val="24"/>
          <w:szCs w:val="24"/>
        </w:rPr>
        <w:t>2</w:t>
      </w:r>
      <w:r w:rsidRPr="001E7227">
        <w:rPr>
          <w:rFonts w:asciiTheme="majorBidi" w:hAnsiTheme="majorBidi" w:cstheme="majorBidi"/>
          <w:color w:val="auto"/>
          <w:sz w:val="24"/>
          <w:szCs w:val="24"/>
        </w:rPr>
        <w:fldChar w:fldCharType="end"/>
      </w:r>
      <w:r w:rsidRPr="001E7227">
        <w:rPr>
          <w:rFonts w:asciiTheme="majorBidi" w:hAnsiTheme="majorBidi" w:cstheme="majorBidi"/>
          <w:color w:val="auto"/>
          <w:sz w:val="24"/>
          <w:szCs w:val="24"/>
        </w:rPr>
        <w:t>.</w:t>
      </w:r>
      <w:proofErr w:type="gramEnd"/>
      <w:r w:rsidRPr="001E7227">
        <w:rPr>
          <w:rFonts w:asciiTheme="majorBidi" w:hAnsiTheme="majorBidi" w:cstheme="majorBidi"/>
          <w:color w:val="auto"/>
          <w:sz w:val="24"/>
          <w:szCs w:val="24"/>
        </w:rPr>
        <w:t xml:space="preserve"> Tables for Average Daily Energy Supply</w:t>
      </w:r>
      <w:r w:rsidR="005A2171" w:rsidRPr="001E7227">
        <w:rPr>
          <w:rFonts w:asciiTheme="majorBidi" w:hAnsiTheme="majorBidi" w:cstheme="majorBidi"/>
          <w:color w:val="auto"/>
          <w:sz w:val="24"/>
          <w:szCs w:val="24"/>
        </w:rPr>
        <w:t xml:space="preserve"> (DES)</w:t>
      </w:r>
    </w:p>
    <w:p w:rsidR="00664F7E" w:rsidRDefault="00664F7E" w:rsidP="00664F7E"/>
    <w:p w:rsidR="00664F7E" w:rsidRPr="00664F7E" w:rsidRDefault="00664F7E" w:rsidP="00664F7E"/>
    <w:p w:rsidR="00BE6FAA" w:rsidRDefault="00BE6FAA" w:rsidP="00BE6FAA"/>
    <w:p w:rsidR="00BE6FAA" w:rsidRDefault="00BE6FAA" w:rsidP="00BE6FAA">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
          <w:bCs/>
          <w:sz w:val="24"/>
          <w:szCs w:val="24"/>
        </w:rPr>
      </w:pPr>
    </w:p>
    <w:p w:rsidR="00664F7E" w:rsidRDefault="00E7069A" w:rsidP="00664F7E">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w:t>
      </w:r>
      <w:r w:rsidR="00664F7E">
        <w:rPr>
          <w:rFonts w:ascii="Times New Roman" w:eastAsia="Times New Roman" w:hAnsi="Times New Roman" w:cs="Times New Roman"/>
          <w:b/>
          <w:bCs/>
          <w:sz w:val="24"/>
          <w:szCs w:val="24"/>
        </w:rPr>
        <w:t xml:space="preserve">I. </w:t>
      </w:r>
      <w:r w:rsidR="00664F7E">
        <w:rPr>
          <w:rFonts w:ascii="Times New Roman" w:eastAsia="Times New Roman" w:hAnsi="Times New Roman" w:cs="Times New Roman"/>
          <w:b/>
          <w:bCs/>
          <w:sz w:val="24"/>
          <w:szCs w:val="24"/>
        </w:rPr>
        <w:tab/>
      </w:r>
      <w:r w:rsidR="00664F7E">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Testing for Crisis Aversion</w:t>
      </w:r>
    </w:p>
    <w:p w:rsidR="00E7069A" w:rsidRPr="0091786D" w:rsidRDefault="00AD0E01" w:rsidP="0000609F">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After finishing the construction of the Bayesian belief network, the project then endeavored to measure the </w:t>
      </w:r>
      <w:r w:rsidRPr="00FC3A4B">
        <w:rPr>
          <w:rFonts w:asciiTheme="majorBidi" w:hAnsiTheme="majorBidi" w:cstheme="majorBidi"/>
          <w:sz w:val="24"/>
          <w:szCs w:val="24"/>
          <w:shd w:val="clear" w:color="auto" w:fill="FFFFFF"/>
        </w:rPr>
        <w:t xml:space="preserve">sensitivity of DES in possible </w:t>
      </w:r>
      <w:r w:rsidR="005E2CCD">
        <w:rPr>
          <w:rFonts w:asciiTheme="majorBidi" w:hAnsiTheme="majorBidi" w:cstheme="majorBidi"/>
          <w:sz w:val="24"/>
          <w:szCs w:val="24"/>
          <w:shd w:val="clear" w:color="auto" w:fill="FFFFFF"/>
        </w:rPr>
        <w:t>crises. This testing involved</w:t>
      </w:r>
      <w:r>
        <w:rPr>
          <w:rFonts w:asciiTheme="majorBidi" w:hAnsiTheme="majorBidi" w:cstheme="majorBidi"/>
          <w:sz w:val="24"/>
          <w:szCs w:val="24"/>
          <w:shd w:val="clear" w:color="auto" w:fill="FFFFFF"/>
        </w:rPr>
        <w:t xml:space="preserve"> fixin</w:t>
      </w:r>
      <w:r w:rsidR="0091786D">
        <w:rPr>
          <w:rFonts w:asciiTheme="majorBidi" w:hAnsiTheme="majorBidi" w:cstheme="majorBidi"/>
          <w:sz w:val="24"/>
          <w:szCs w:val="24"/>
          <w:shd w:val="clear" w:color="auto" w:fill="FFFFFF"/>
        </w:rPr>
        <w:t xml:space="preserve">g the values of certain parent nodes and calculating the </w:t>
      </w:r>
      <w:r>
        <w:rPr>
          <w:rFonts w:asciiTheme="majorBidi" w:hAnsiTheme="majorBidi" w:cstheme="majorBidi"/>
          <w:sz w:val="24"/>
          <w:szCs w:val="24"/>
          <w:shd w:val="clear" w:color="auto" w:fill="FFFFFF"/>
        </w:rPr>
        <w:t xml:space="preserve">change in probability </w:t>
      </w:r>
      <w:r w:rsidRPr="0091786D">
        <w:rPr>
          <w:rFonts w:asciiTheme="majorBidi" w:hAnsiTheme="majorBidi" w:cstheme="majorBidi"/>
          <w:sz w:val="24"/>
          <w:szCs w:val="24"/>
          <w:shd w:val="clear" w:color="auto" w:fill="FFFFFF"/>
        </w:rPr>
        <w:t>di</w:t>
      </w:r>
      <w:r w:rsidR="005E2CCD" w:rsidRPr="0091786D">
        <w:rPr>
          <w:rFonts w:asciiTheme="majorBidi" w:hAnsiTheme="majorBidi" w:cstheme="majorBidi"/>
          <w:sz w:val="24"/>
          <w:szCs w:val="24"/>
          <w:shd w:val="clear" w:color="auto" w:fill="FFFFFF"/>
        </w:rPr>
        <w:t xml:space="preserve">stribution for </w:t>
      </w:r>
      <w:r w:rsidR="0091786D">
        <w:rPr>
          <w:rFonts w:asciiTheme="majorBidi" w:hAnsiTheme="majorBidi" w:cstheme="majorBidi"/>
          <w:sz w:val="24"/>
          <w:szCs w:val="24"/>
          <w:shd w:val="clear" w:color="auto" w:fill="FFFFFF"/>
        </w:rPr>
        <w:t xml:space="preserve">the final node, </w:t>
      </w:r>
      <w:r w:rsidR="005E2CCD" w:rsidRPr="0091786D">
        <w:rPr>
          <w:rFonts w:asciiTheme="majorBidi" w:hAnsiTheme="majorBidi" w:cstheme="majorBidi"/>
          <w:sz w:val="24"/>
          <w:szCs w:val="24"/>
          <w:shd w:val="clear" w:color="auto" w:fill="FFFFFF"/>
        </w:rPr>
        <w:t>average DES</w:t>
      </w:r>
      <w:r w:rsidR="0091786D">
        <w:rPr>
          <w:rFonts w:asciiTheme="majorBidi" w:hAnsiTheme="majorBidi" w:cstheme="majorBidi"/>
          <w:sz w:val="24"/>
          <w:szCs w:val="24"/>
          <w:shd w:val="clear" w:color="auto" w:fill="FFFFFF"/>
        </w:rPr>
        <w:t>.</w:t>
      </w:r>
      <w:r w:rsidR="005E2CCD" w:rsidRPr="0091786D">
        <w:rPr>
          <w:rFonts w:asciiTheme="majorBidi" w:hAnsiTheme="majorBidi" w:cstheme="majorBidi"/>
          <w:sz w:val="24"/>
          <w:szCs w:val="24"/>
          <w:shd w:val="clear" w:color="auto" w:fill="FFFFFF"/>
        </w:rPr>
        <w:t xml:space="preserve"> </w:t>
      </w:r>
      <w:r w:rsidR="0091786D">
        <w:rPr>
          <w:rFonts w:asciiTheme="majorBidi" w:hAnsiTheme="majorBidi" w:cstheme="majorBidi"/>
          <w:sz w:val="24"/>
          <w:szCs w:val="24"/>
          <w:shd w:val="clear" w:color="auto" w:fill="FFFFFF"/>
        </w:rPr>
        <w:t xml:space="preserve">The change for each bin in the probability distribution was derived by subtracting the </w:t>
      </w:r>
      <w:r w:rsidR="0000609F">
        <w:rPr>
          <w:rFonts w:asciiTheme="majorBidi" w:hAnsiTheme="majorBidi" w:cstheme="majorBidi"/>
          <w:sz w:val="24"/>
          <w:szCs w:val="24"/>
          <w:shd w:val="clear" w:color="auto" w:fill="FFFFFF"/>
        </w:rPr>
        <w:t>final probabilities</w:t>
      </w:r>
      <w:r w:rsidR="0091786D">
        <w:rPr>
          <w:rFonts w:asciiTheme="majorBidi" w:hAnsiTheme="majorBidi" w:cstheme="majorBidi"/>
          <w:sz w:val="24"/>
          <w:szCs w:val="24"/>
          <w:shd w:val="clear" w:color="auto" w:fill="FFFFFF"/>
        </w:rPr>
        <w:t xml:space="preserve"> from the </w:t>
      </w:r>
      <w:r w:rsidRPr="0091786D">
        <w:rPr>
          <w:rFonts w:asciiTheme="majorBidi" w:hAnsiTheme="majorBidi" w:cstheme="majorBidi"/>
          <w:sz w:val="24"/>
          <w:szCs w:val="24"/>
          <w:shd w:val="clear" w:color="auto" w:fill="FFFFFF"/>
        </w:rPr>
        <w:t>ori</w:t>
      </w:r>
      <w:r w:rsidR="0091786D" w:rsidRPr="0091786D">
        <w:rPr>
          <w:rFonts w:asciiTheme="majorBidi" w:hAnsiTheme="majorBidi" w:cstheme="majorBidi"/>
          <w:sz w:val="24"/>
          <w:szCs w:val="24"/>
          <w:shd w:val="clear" w:color="auto" w:fill="FFFFFF"/>
        </w:rPr>
        <w:t>ginal</w:t>
      </w:r>
      <w:r w:rsidR="0000609F">
        <w:rPr>
          <w:rFonts w:asciiTheme="majorBidi" w:hAnsiTheme="majorBidi" w:cstheme="majorBidi"/>
          <w:sz w:val="24"/>
          <w:szCs w:val="24"/>
          <w:shd w:val="clear" w:color="auto" w:fill="FFFFFF"/>
        </w:rPr>
        <w:t>s</w:t>
      </w:r>
      <w:r w:rsidRPr="0091786D">
        <w:rPr>
          <w:rFonts w:asciiTheme="majorBidi" w:hAnsiTheme="majorBidi" w:cstheme="majorBidi"/>
          <w:sz w:val="24"/>
          <w:szCs w:val="24"/>
          <w:shd w:val="clear" w:color="auto" w:fill="FFFFFF"/>
        </w:rPr>
        <w:t>, displayed in Figure 23</w:t>
      </w:r>
      <w:r w:rsidR="005E2CCD" w:rsidRPr="0091786D">
        <w:rPr>
          <w:rFonts w:asciiTheme="majorBidi" w:hAnsiTheme="majorBidi" w:cstheme="majorBidi"/>
          <w:sz w:val="24"/>
          <w:szCs w:val="24"/>
          <w:shd w:val="clear" w:color="auto" w:fill="FFFFFF"/>
        </w:rPr>
        <w:t>. Note that average DES had</w:t>
      </w:r>
      <w:r w:rsidRPr="0091786D">
        <w:rPr>
          <w:rFonts w:asciiTheme="majorBidi" w:hAnsiTheme="majorBidi" w:cstheme="majorBidi"/>
          <w:sz w:val="24"/>
          <w:szCs w:val="24"/>
          <w:shd w:val="clear" w:color="auto" w:fill="FFFFFF"/>
        </w:rPr>
        <w:t xml:space="preserve"> an initial distribution of </w:t>
      </w:r>
      <w:r w:rsidR="00A249CD" w:rsidRPr="0091786D">
        <w:rPr>
          <w:rFonts w:asciiTheme="majorBidi" w:hAnsiTheme="majorBidi" w:cstheme="majorBidi"/>
          <w:sz w:val="24"/>
          <w:szCs w:val="24"/>
          <w:shd w:val="clear" w:color="auto" w:fill="FFFFFF"/>
        </w:rPr>
        <w:t xml:space="preserve">4.84% for its lowest bin, 27.67% for the next, 30.98% in the middle, 30.30% in the second </w:t>
      </w:r>
      <w:proofErr w:type="gramStart"/>
      <w:r w:rsidR="00A249CD" w:rsidRPr="0091786D">
        <w:rPr>
          <w:rFonts w:asciiTheme="majorBidi" w:hAnsiTheme="majorBidi" w:cstheme="majorBidi"/>
          <w:sz w:val="24"/>
          <w:szCs w:val="24"/>
          <w:shd w:val="clear" w:color="auto" w:fill="FFFFFF"/>
        </w:rPr>
        <w:t>highest,</w:t>
      </w:r>
      <w:proofErr w:type="gramEnd"/>
      <w:r w:rsidR="00A249CD" w:rsidRPr="0091786D">
        <w:rPr>
          <w:rFonts w:asciiTheme="majorBidi" w:hAnsiTheme="majorBidi" w:cstheme="majorBidi"/>
          <w:sz w:val="24"/>
          <w:szCs w:val="24"/>
          <w:shd w:val="clear" w:color="auto" w:fill="FFFFFF"/>
        </w:rPr>
        <w:t xml:space="preserve"> and 6.20% in the highest</w:t>
      </w:r>
      <w:r w:rsidR="0091786D">
        <w:rPr>
          <w:rFonts w:asciiTheme="majorBidi" w:hAnsiTheme="majorBidi" w:cstheme="majorBidi"/>
          <w:sz w:val="24"/>
          <w:szCs w:val="24"/>
          <w:shd w:val="clear" w:color="auto" w:fill="FFFFFF"/>
        </w:rPr>
        <w:t xml:space="preserve"> bin</w:t>
      </w:r>
      <w:r w:rsidR="00A249CD" w:rsidRPr="0091786D">
        <w:rPr>
          <w:rFonts w:asciiTheme="majorBidi" w:hAnsiTheme="majorBidi" w:cstheme="majorBidi"/>
          <w:sz w:val="24"/>
          <w:szCs w:val="24"/>
          <w:shd w:val="clear" w:color="auto" w:fill="FFFFFF"/>
        </w:rPr>
        <w:t>.</w:t>
      </w:r>
    </w:p>
    <w:p w:rsidR="00BE6FAA" w:rsidRPr="0091786D" w:rsidRDefault="00A249CD" w:rsidP="00A249CD">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jc w:val="center"/>
        <w:rPr>
          <w:rFonts w:ascii="Times New Roman" w:eastAsia="Times New Roman" w:hAnsi="Times New Roman" w:cs="Times New Roman"/>
          <w:b/>
          <w:bCs/>
          <w:sz w:val="24"/>
          <w:szCs w:val="24"/>
        </w:rPr>
      </w:pPr>
      <w:r w:rsidRPr="0091786D">
        <w:rPr>
          <w:noProof/>
        </w:rPr>
        <w:drawing>
          <wp:inline distT="0" distB="0" distL="0" distR="0" wp14:anchorId="61533C57" wp14:editId="513EC9E5">
            <wp:extent cx="4819650" cy="3475196"/>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826439" cy="3480091"/>
                    </a:xfrm>
                    <a:prstGeom prst="rect">
                      <a:avLst/>
                    </a:prstGeom>
                  </pic:spPr>
                </pic:pic>
              </a:graphicData>
            </a:graphic>
          </wp:inline>
        </w:drawing>
      </w:r>
    </w:p>
    <w:p w:rsidR="00A249CD" w:rsidRDefault="00A249CD" w:rsidP="00A249CD">
      <w:pPr>
        <w:pStyle w:val="Caption"/>
        <w:spacing w:after="0"/>
        <w:jc w:val="center"/>
        <w:rPr>
          <w:rFonts w:asciiTheme="majorBidi" w:hAnsiTheme="majorBidi" w:cstheme="majorBidi"/>
          <w:color w:val="auto"/>
          <w:sz w:val="24"/>
          <w:szCs w:val="24"/>
        </w:rPr>
      </w:pPr>
      <w:proofErr w:type="gramStart"/>
      <w:r w:rsidRPr="0091786D">
        <w:rPr>
          <w:rFonts w:asciiTheme="majorBidi" w:hAnsiTheme="majorBidi" w:cstheme="majorBidi"/>
          <w:color w:val="auto"/>
          <w:sz w:val="24"/>
          <w:szCs w:val="24"/>
        </w:rPr>
        <w:t xml:space="preserve">Figure </w:t>
      </w:r>
      <w:r w:rsidRPr="0091786D">
        <w:rPr>
          <w:rFonts w:asciiTheme="majorBidi" w:hAnsiTheme="majorBidi" w:cstheme="majorBidi"/>
          <w:color w:val="auto"/>
          <w:sz w:val="24"/>
          <w:szCs w:val="24"/>
        </w:rPr>
        <w:fldChar w:fldCharType="begin"/>
      </w:r>
      <w:r w:rsidRPr="0091786D">
        <w:rPr>
          <w:rFonts w:asciiTheme="majorBidi" w:hAnsiTheme="majorBidi" w:cstheme="majorBidi"/>
          <w:color w:val="auto"/>
          <w:sz w:val="24"/>
          <w:szCs w:val="24"/>
        </w:rPr>
        <w:instrText xml:space="preserve"> SEQ Figure \* ARABIC </w:instrText>
      </w:r>
      <w:r w:rsidRPr="0091786D">
        <w:rPr>
          <w:rFonts w:asciiTheme="majorBidi" w:hAnsiTheme="majorBidi" w:cstheme="majorBidi"/>
          <w:color w:val="auto"/>
          <w:sz w:val="24"/>
          <w:szCs w:val="24"/>
        </w:rPr>
        <w:fldChar w:fldCharType="separate"/>
      </w:r>
      <w:r w:rsidRPr="0091786D">
        <w:rPr>
          <w:rFonts w:asciiTheme="majorBidi" w:hAnsiTheme="majorBidi" w:cstheme="majorBidi"/>
          <w:noProof/>
          <w:color w:val="auto"/>
          <w:sz w:val="24"/>
          <w:szCs w:val="24"/>
        </w:rPr>
        <w:t>23</w:t>
      </w:r>
      <w:r w:rsidRPr="0091786D">
        <w:rPr>
          <w:rFonts w:asciiTheme="majorBidi" w:hAnsiTheme="majorBidi" w:cstheme="majorBidi"/>
          <w:color w:val="auto"/>
          <w:sz w:val="24"/>
          <w:szCs w:val="24"/>
        </w:rPr>
        <w:fldChar w:fldCharType="end"/>
      </w:r>
      <w:r w:rsidRPr="0091786D">
        <w:rPr>
          <w:rFonts w:asciiTheme="majorBidi" w:hAnsiTheme="majorBidi" w:cstheme="majorBidi"/>
          <w:color w:val="auto"/>
          <w:sz w:val="24"/>
          <w:szCs w:val="24"/>
        </w:rPr>
        <w:t>.</w:t>
      </w:r>
      <w:proofErr w:type="gramEnd"/>
      <w:r w:rsidRPr="0091786D">
        <w:rPr>
          <w:rFonts w:asciiTheme="majorBidi" w:hAnsiTheme="majorBidi" w:cstheme="majorBidi"/>
          <w:color w:val="auto"/>
          <w:sz w:val="24"/>
          <w:szCs w:val="24"/>
        </w:rPr>
        <w:t xml:space="preserve"> Original Probability Distribution for Average Daily Energy Supply (DES</w:t>
      </w:r>
      <w:r>
        <w:rPr>
          <w:rFonts w:asciiTheme="majorBidi" w:hAnsiTheme="majorBidi" w:cstheme="majorBidi"/>
          <w:color w:val="auto"/>
          <w:sz w:val="24"/>
          <w:szCs w:val="24"/>
        </w:rPr>
        <w:t>)</w:t>
      </w:r>
    </w:p>
    <w:p w:rsidR="005E2CCD" w:rsidRDefault="005E2CCD" w:rsidP="005E2CCD"/>
    <w:p w:rsidR="00B9635C" w:rsidRDefault="005E2CCD" w:rsidP="005E2CCD">
      <w:pPr>
        <w:rPr>
          <w:rFonts w:asciiTheme="majorBidi" w:hAnsiTheme="majorBidi" w:cstheme="majorBidi"/>
          <w:b/>
          <w:bCs/>
          <w:sz w:val="24"/>
          <w:szCs w:val="24"/>
        </w:rPr>
      </w:pPr>
      <w:r>
        <w:rPr>
          <w:rFonts w:asciiTheme="majorBidi" w:hAnsiTheme="majorBidi" w:cstheme="majorBidi"/>
          <w:b/>
          <w:bCs/>
          <w:sz w:val="24"/>
          <w:szCs w:val="24"/>
        </w:rPr>
        <w:t>1.  In</w:t>
      </w:r>
      <w:r w:rsidR="00B9635C">
        <w:rPr>
          <w:rFonts w:asciiTheme="majorBidi" w:hAnsiTheme="majorBidi" w:cstheme="majorBidi"/>
          <w:b/>
          <w:bCs/>
          <w:sz w:val="24"/>
          <w:szCs w:val="24"/>
        </w:rPr>
        <w:t>ternational Refusal to Sell Cereals</w:t>
      </w:r>
    </w:p>
    <w:p w:rsidR="005E2CCD" w:rsidRPr="0000609F" w:rsidRDefault="005E2CCD" w:rsidP="00157015">
      <w:pPr>
        <w:spacing w:after="0" w:line="480" w:lineRule="auto"/>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The first crisis for observation attempted to emulate the 2008 global food price spike. That year, the price of cereals nearly tripled from $180 per ton in 2007 to $386 per ton. International exporters reduced availability from 4,309,986 tons in 2007 to 3,204,774 tons in </w:t>
      </w:r>
      <w:r>
        <w:rPr>
          <w:rFonts w:asciiTheme="majorBidi" w:hAnsiTheme="majorBidi" w:cstheme="majorBidi"/>
          <w:sz w:val="24"/>
          <w:szCs w:val="24"/>
        </w:rPr>
        <w:lastRenderedPageBreak/>
        <w:t xml:space="preserve">2008. </w:t>
      </w:r>
      <w:r w:rsidR="001D7769">
        <w:rPr>
          <w:rFonts w:asciiTheme="majorBidi" w:hAnsiTheme="majorBidi" w:cstheme="majorBidi"/>
          <w:sz w:val="24"/>
          <w:szCs w:val="24"/>
        </w:rPr>
        <w:t>The</w:t>
      </w:r>
      <w:r>
        <w:rPr>
          <w:rFonts w:asciiTheme="majorBidi" w:hAnsiTheme="majorBidi" w:cstheme="majorBidi"/>
          <w:sz w:val="24"/>
          <w:szCs w:val="24"/>
        </w:rPr>
        <w:t xml:space="preserve"> effects of these changes propagated into Oman’s ability to import cereals, subsequently obtaining only 646,160 tons of cereals in 2008.</w:t>
      </w:r>
      <w:r w:rsidR="00081787">
        <w:rPr>
          <w:rStyle w:val="FootnoteReference"/>
          <w:rFonts w:asciiTheme="majorBidi" w:hAnsiTheme="majorBidi" w:cstheme="majorBidi"/>
          <w:sz w:val="24"/>
          <w:szCs w:val="24"/>
        </w:rPr>
        <w:footnoteReference w:id="69"/>
      </w:r>
      <w:r>
        <w:rPr>
          <w:rFonts w:asciiTheme="majorBidi" w:hAnsiTheme="majorBidi" w:cstheme="majorBidi"/>
          <w:sz w:val="24"/>
          <w:szCs w:val="24"/>
        </w:rPr>
        <w:t xml:space="preserve"> Accordingly, the scenario involving the international refusal to sell cereals fixed the probability distributions of two nodes: international exports of cereals was fixed to its lower </w:t>
      </w:r>
      <w:r w:rsidR="001D7769">
        <w:rPr>
          <w:rFonts w:asciiTheme="majorBidi" w:hAnsiTheme="majorBidi" w:cstheme="majorBidi"/>
          <w:sz w:val="24"/>
          <w:szCs w:val="24"/>
        </w:rPr>
        <w:t xml:space="preserve">bin of less than 5,000,000 </w:t>
      </w:r>
      <w:r w:rsidR="001D7769" w:rsidRPr="0000609F">
        <w:rPr>
          <w:rFonts w:asciiTheme="majorBidi" w:hAnsiTheme="majorBidi" w:cstheme="majorBidi"/>
          <w:sz w:val="24"/>
          <w:szCs w:val="24"/>
        </w:rPr>
        <w:t>tons, and the price of cereals node was set to its higher bin of greater than $140 per metric ton. Figure 24a displays the subsequent changes in the Bayesian belief network, and Figure 24b calculated the changes in probability distribution for each bin in average DES.</w:t>
      </w:r>
      <w:r w:rsidR="00956D63" w:rsidRPr="0000609F">
        <w:rPr>
          <w:rFonts w:asciiTheme="majorBidi" w:hAnsiTheme="majorBidi" w:cstheme="majorBidi"/>
          <w:sz w:val="24"/>
          <w:szCs w:val="24"/>
        </w:rPr>
        <w:t xml:space="preserve"> In this scenario, the likelihood of Oman having a lower average DES increased, as the lowest bin and second lowest bin respectively increased 0.36% and 1.13% in probability. All bins in excess of 3,000 kilocalories per person per day decreased in probability. The middle bin dropped 0.84%, the second highest by </w:t>
      </w:r>
      <w:proofErr w:type="gramStart"/>
      <w:r w:rsidR="00956D63" w:rsidRPr="0000609F">
        <w:rPr>
          <w:rFonts w:asciiTheme="majorBidi" w:hAnsiTheme="majorBidi" w:cstheme="majorBidi"/>
          <w:sz w:val="24"/>
          <w:szCs w:val="24"/>
        </w:rPr>
        <w:t>0.19%,</w:t>
      </w:r>
      <w:proofErr w:type="gramEnd"/>
      <w:r w:rsidR="00956D63" w:rsidRPr="0000609F">
        <w:rPr>
          <w:rFonts w:asciiTheme="majorBidi" w:hAnsiTheme="majorBidi" w:cstheme="majorBidi"/>
          <w:sz w:val="24"/>
          <w:szCs w:val="24"/>
        </w:rPr>
        <w:t xml:space="preserve"> and the </w:t>
      </w:r>
      <w:r w:rsidR="00157015" w:rsidRPr="0000609F">
        <w:rPr>
          <w:rFonts w:asciiTheme="majorBidi" w:hAnsiTheme="majorBidi" w:cstheme="majorBidi"/>
          <w:sz w:val="24"/>
          <w:szCs w:val="24"/>
        </w:rPr>
        <w:t>highes</w:t>
      </w:r>
      <w:r w:rsidR="00956D63" w:rsidRPr="0000609F">
        <w:rPr>
          <w:rFonts w:asciiTheme="majorBidi" w:hAnsiTheme="majorBidi" w:cstheme="majorBidi"/>
          <w:sz w:val="24"/>
          <w:szCs w:val="24"/>
        </w:rPr>
        <w:t xml:space="preserve">t by 0.44%. </w:t>
      </w:r>
    </w:p>
    <w:tbl>
      <w:tblPr>
        <w:tblpPr w:leftFromText="180" w:rightFromText="180" w:vertAnchor="text" w:horzAnchor="page" w:tblpX="7987" w:tblpY="2255"/>
        <w:tblW w:w="2280" w:type="dxa"/>
        <w:tblLook w:val="04A0" w:firstRow="1" w:lastRow="0" w:firstColumn="1" w:lastColumn="0" w:noHBand="0" w:noVBand="1"/>
      </w:tblPr>
      <w:tblGrid>
        <w:gridCol w:w="1180"/>
        <w:gridCol w:w="1100"/>
      </w:tblGrid>
      <w:tr w:rsidR="00B65972" w:rsidRPr="0000609F" w:rsidTr="00B65972">
        <w:trPr>
          <w:trHeight w:val="300"/>
        </w:trPr>
        <w:tc>
          <w:tcPr>
            <w:tcW w:w="118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B65972" w:rsidRPr="0000609F" w:rsidRDefault="00B65972" w:rsidP="00B65972">
            <w:pPr>
              <w:spacing w:after="0" w:line="240" w:lineRule="auto"/>
              <w:jc w:val="center"/>
              <w:rPr>
                <w:rFonts w:ascii="Calibri" w:eastAsia="Times New Roman" w:hAnsi="Calibri" w:cs="Times New Roman"/>
                <w:b/>
                <w:bCs/>
                <w:color w:val="FFFFFF"/>
                <w:sz w:val="18"/>
                <w:szCs w:val="18"/>
              </w:rPr>
            </w:pPr>
            <w:r w:rsidRPr="0000609F">
              <w:rPr>
                <w:rFonts w:ascii="Calibri" w:eastAsia="Times New Roman" w:hAnsi="Calibri" w:cs="Times New Roman"/>
                <w:b/>
                <w:bCs/>
                <w:color w:val="FFFFFF"/>
                <w:sz w:val="18"/>
                <w:szCs w:val="18"/>
              </w:rPr>
              <w:t>Bin</w:t>
            </w:r>
          </w:p>
        </w:tc>
        <w:tc>
          <w:tcPr>
            <w:tcW w:w="11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B65972" w:rsidRPr="0000609F" w:rsidRDefault="00B65972" w:rsidP="00B65972">
            <w:pPr>
              <w:spacing w:after="0" w:line="240" w:lineRule="auto"/>
              <w:jc w:val="center"/>
              <w:rPr>
                <w:rFonts w:ascii="Calibri" w:eastAsia="Times New Roman" w:hAnsi="Calibri" w:cs="Times New Roman"/>
                <w:b/>
                <w:bCs/>
                <w:color w:val="FFFFFF"/>
                <w:sz w:val="18"/>
                <w:szCs w:val="18"/>
              </w:rPr>
            </w:pPr>
            <w:r w:rsidRPr="0000609F">
              <w:rPr>
                <w:rFonts w:ascii="Calibri" w:eastAsia="Times New Roman" w:hAnsi="Calibri" w:cs="Times New Roman"/>
                <w:b/>
                <w:bCs/>
                <w:color w:val="FFFFFF"/>
                <w:sz w:val="18"/>
                <w:szCs w:val="18"/>
              </w:rPr>
              <w:t>Change</w:t>
            </w:r>
          </w:p>
        </w:tc>
      </w:tr>
      <w:tr w:rsidR="00B65972" w:rsidRPr="0000609F" w:rsidTr="00B65972">
        <w:trPr>
          <w:trHeight w:val="300"/>
        </w:trPr>
        <w:tc>
          <w:tcPr>
            <w:tcW w:w="1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B65972" w:rsidRPr="0000609F" w:rsidRDefault="00B65972" w:rsidP="00B65972">
            <w:pPr>
              <w:spacing w:after="0" w:line="240" w:lineRule="auto"/>
              <w:jc w:val="center"/>
              <w:rPr>
                <w:rFonts w:ascii="Calibri" w:eastAsia="Times New Roman" w:hAnsi="Calibri" w:cs="Times New Roman"/>
                <w:color w:val="000000"/>
                <w:sz w:val="18"/>
                <w:szCs w:val="18"/>
              </w:rPr>
            </w:pPr>
            <w:r w:rsidRPr="0000609F">
              <w:rPr>
                <w:rFonts w:ascii="Calibri" w:eastAsia="Times New Roman" w:hAnsi="Calibri" w:cs="Times New Roman"/>
                <w:color w:val="000000"/>
                <w:sz w:val="18"/>
                <w:szCs w:val="18"/>
              </w:rPr>
              <w:t>&lt;2100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B65972" w:rsidRPr="0000609F" w:rsidRDefault="00B65972" w:rsidP="00B65972">
            <w:pPr>
              <w:spacing w:after="0" w:line="240" w:lineRule="auto"/>
              <w:jc w:val="center"/>
              <w:rPr>
                <w:rFonts w:ascii="Calibri" w:eastAsia="Times New Roman" w:hAnsi="Calibri" w:cs="Times New Roman"/>
                <w:color w:val="000000"/>
                <w:sz w:val="18"/>
                <w:szCs w:val="18"/>
              </w:rPr>
            </w:pPr>
            <w:r w:rsidRPr="0000609F">
              <w:rPr>
                <w:rFonts w:ascii="Calibri" w:eastAsia="Times New Roman" w:hAnsi="Calibri" w:cs="Times New Roman"/>
                <w:color w:val="000000"/>
                <w:sz w:val="18"/>
                <w:szCs w:val="18"/>
              </w:rPr>
              <w:t>+0.36%</w:t>
            </w:r>
          </w:p>
        </w:tc>
      </w:tr>
      <w:tr w:rsidR="00B65972" w:rsidRPr="0000609F" w:rsidTr="00B65972">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65972" w:rsidRPr="0000609F" w:rsidRDefault="00B65972" w:rsidP="00B65972">
            <w:pPr>
              <w:spacing w:after="0" w:line="240" w:lineRule="auto"/>
              <w:jc w:val="center"/>
              <w:rPr>
                <w:rFonts w:ascii="Calibri" w:eastAsia="Times New Roman" w:hAnsi="Calibri" w:cs="Times New Roman"/>
                <w:color w:val="000000"/>
                <w:sz w:val="18"/>
                <w:szCs w:val="18"/>
              </w:rPr>
            </w:pPr>
            <w:r w:rsidRPr="0000609F">
              <w:rPr>
                <w:rFonts w:ascii="Calibri" w:eastAsia="Times New Roman" w:hAnsi="Calibri" w:cs="Times New Roman"/>
                <w:color w:val="000000"/>
                <w:sz w:val="18"/>
                <w:szCs w:val="18"/>
              </w:rPr>
              <w:t>(2100, 3000)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65972" w:rsidRPr="0000609F" w:rsidRDefault="00B65972" w:rsidP="00B65972">
            <w:pPr>
              <w:spacing w:after="0" w:line="240" w:lineRule="auto"/>
              <w:jc w:val="center"/>
              <w:rPr>
                <w:rFonts w:ascii="Calibri" w:eastAsia="Times New Roman" w:hAnsi="Calibri" w:cs="Times New Roman"/>
                <w:color w:val="000000"/>
                <w:sz w:val="18"/>
                <w:szCs w:val="18"/>
              </w:rPr>
            </w:pPr>
            <w:r w:rsidRPr="0000609F">
              <w:rPr>
                <w:rFonts w:ascii="Calibri" w:eastAsia="Times New Roman" w:hAnsi="Calibri" w:cs="Times New Roman"/>
                <w:color w:val="000000"/>
                <w:sz w:val="18"/>
                <w:szCs w:val="18"/>
              </w:rPr>
              <w:t>+1.13%</w:t>
            </w:r>
          </w:p>
        </w:tc>
      </w:tr>
      <w:tr w:rsidR="00B65972" w:rsidRPr="0000609F" w:rsidTr="00B65972">
        <w:trPr>
          <w:trHeight w:val="300"/>
        </w:trPr>
        <w:tc>
          <w:tcPr>
            <w:tcW w:w="1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B65972" w:rsidRPr="0000609F" w:rsidRDefault="00B65972" w:rsidP="00B65972">
            <w:pPr>
              <w:spacing w:after="0" w:line="240" w:lineRule="auto"/>
              <w:jc w:val="center"/>
              <w:rPr>
                <w:rFonts w:ascii="Calibri" w:eastAsia="Times New Roman" w:hAnsi="Calibri" w:cs="Times New Roman"/>
                <w:color w:val="000000"/>
                <w:sz w:val="18"/>
                <w:szCs w:val="18"/>
              </w:rPr>
            </w:pPr>
            <w:r w:rsidRPr="0000609F">
              <w:rPr>
                <w:rFonts w:ascii="Calibri" w:eastAsia="Times New Roman" w:hAnsi="Calibri" w:cs="Times New Roman"/>
                <w:color w:val="000000"/>
                <w:sz w:val="18"/>
                <w:szCs w:val="18"/>
              </w:rPr>
              <w:t>(3000, 3250)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B65972" w:rsidRPr="0000609F" w:rsidRDefault="00B65972" w:rsidP="00B65972">
            <w:pPr>
              <w:spacing w:after="0" w:line="240" w:lineRule="auto"/>
              <w:jc w:val="center"/>
              <w:rPr>
                <w:rFonts w:ascii="Calibri" w:eastAsia="Times New Roman" w:hAnsi="Calibri" w:cs="Times New Roman"/>
                <w:color w:val="000000"/>
                <w:sz w:val="18"/>
                <w:szCs w:val="18"/>
              </w:rPr>
            </w:pPr>
            <w:r w:rsidRPr="0000609F">
              <w:rPr>
                <w:rFonts w:ascii="Calibri" w:eastAsia="Times New Roman" w:hAnsi="Calibri" w:cs="Times New Roman"/>
                <w:color w:val="000000"/>
                <w:sz w:val="18"/>
                <w:szCs w:val="18"/>
              </w:rPr>
              <w:t>-0.84%</w:t>
            </w:r>
          </w:p>
        </w:tc>
      </w:tr>
      <w:tr w:rsidR="00B65972" w:rsidRPr="0000609F" w:rsidTr="00B65972">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65972" w:rsidRPr="0000609F" w:rsidRDefault="00B65972" w:rsidP="00B65972">
            <w:pPr>
              <w:spacing w:after="0" w:line="240" w:lineRule="auto"/>
              <w:jc w:val="center"/>
              <w:rPr>
                <w:rFonts w:ascii="Calibri" w:eastAsia="Times New Roman" w:hAnsi="Calibri" w:cs="Times New Roman"/>
                <w:color w:val="000000"/>
                <w:sz w:val="18"/>
                <w:szCs w:val="18"/>
              </w:rPr>
            </w:pPr>
            <w:r w:rsidRPr="0000609F">
              <w:rPr>
                <w:rFonts w:ascii="Calibri" w:eastAsia="Times New Roman" w:hAnsi="Calibri" w:cs="Times New Roman"/>
                <w:color w:val="000000"/>
                <w:sz w:val="18"/>
                <w:szCs w:val="18"/>
              </w:rPr>
              <w:t>(3250, 3500)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65972" w:rsidRPr="0000609F" w:rsidRDefault="00B65972" w:rsidP="00B65972">
            <w:pPr>
              <w:spacing w:after="0" w:line="240" w:lineRule="auto"/>
              <w:jc w:val="center"/>
              <w:rPr>
                <w:rFonts w:ascii="Calibri" w:eastAsia="Times New Roman" w:hAnsi="Calibri" w:cs="Times New Roman"/>
                <w:color w:val="000000"/>
                <w:sz w:val="18"/>
                <w:szCs w:val="18"/>
              </w:rPr>
            </w:pPr>
            <w:r w:rsidRPr="0000609F">
              <w:rPr>
                <w:rFonts w:ascii="Calibri" w:eastAsia="Times New Roman" w:hAnsi="Calibri" w:cs="Times New Roman"/>
                <w:color w:val="000000"/>
                <w:sz w:val="18"/>
                <w:szCs w:val="18"/>
              </w:rPr>
              <w:t>-0.19%</w:t>
            </w:r>
          </w:p>
        </w:tc>
      </w:tr>
      <w:tr w:rsidR="00B65972" w:rsidRPr="0000609F" w:rsidTr="00B65972">
        <w:trPr>
          <w:trHeight w:val="300"/>
        </w:trPr>
        <w:tc>
          <w:tcPr>
            <w:tcW w:w="118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B65972" w:rsidRPr="0000609F" w:rsidRDefault="00B65972" w:rsidP="00B65972">
            <w:pPr>
              <w:spacing w:after="0" w:line="240" w:lineRule="auto"/>
              <w:jc w:val="center"/>
              <w:rPr>
                <w:rFonts w:ascii="Calibri" w:eastAsia="Times New Roman" w:hAnsi="Calibri" w:cs="Times New Roman"/>
                <w:color w:val="000000"/>
                <w:sz w:val="18"/>
                <w:szCs w:val="18"/>
              </w:rPr>
            </w:pPr>
            <w:r w:rsidRPr="0000609F">
              <w:rPr>
                <w:rFonts w:ascii="Calibri" w:eastAsia="Times New Roman" w:hAnsi="Calibri" w:cs="Times New Roman"/>
                <w:color w:val="000000"/>
                <w:sz w:val="18"/>
                <w:szCs w:val="18"/>
              </w:rPr>
              <w:t>&gt;3500</w:t>
            </w:r>
          </w:p>
        </w:tc>
        <w:tc>
          <w:tcPr>
            <w:tcW w:w="110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B65972" w:rsidRPr="0000609F" w:rsidRDefault="00B65972" w:rsidP="00B65972">
            <w:pPr>
              <w:spacing w:after="0" w:line="240" w:lineRule="auto"/>
              <w:jc w:val="center"/>
              <w:rPr>
                <w:rFonts w:ascii="Calibri" w:eastAsia="Times New Roman" w:hAnsi="Calibri" w:cs="Times New Roman"/>
                <w:color w:val="000000"/>
                <w:sz w:val="18"/>
                <w:szCs w:val="18"/>
              </w:rPr>
            </w:pPr>
            <w:r w:rsidRPr="0000609F">
              <w:rPr>
                <w:rFonts w:ascii="Calibri" w:eastAsia="Times New Roman" w:hAnsi="Calibri" w:cs="Times New Roman"/>
                <w:color w:val="000000"/>
                <w:sz w:val="18"/>
                <w:szCs w:val="18"/>
              </w:rPr>
              <w:t>-0.44%</w:t>
            </w:r>
          </w:p>
        </w:tc>
      </w:tr>
    </w:tbl>
    <w:p w:rsidR="00B9635C" w:rsidRPr="0000609F" w:rsidRDefault="00B9635C" w:rsidP="00B65972">
      <w:pPr>
        <w:rPr>
          <w:rFonts w:asciiTheme="majorBidi" w:hAnsiTheme="majorBidi" w:cstheme="majorBidi"/>
          <w:b/>
          <w:bCs/>
          <w:sz w:val="24"/>
          <w:szCs w:val="24"/>
        </w:rPr>
      </w:pPr>
      <w:r w:rsidRPr="0000609F">
        <w:rPr>
          <w:noProof/>
        </w:rPr>
        <w:drawing>
          <wp:inline distT="0" distB="0" distL="0" distR="0" wp14:anchorId="19B28E6F" wp14:editId="720EF77C">
            <wp:extent cx="3709231" cy="2655904"/>
            <wp:effectExtent l="0" t="0" r="571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720652" cy="2664082"/>
                    </a:xfrm>
                    <a:prstGeom prst="rect">
                      <a:avLst/>
                    </a:prstGeom>
                  </pic:spPr>
                </pic:pic>
              </a:graphicData>
            </a:graphic>
          </wp:inline>
        </w:drawing>
      </w:r>
    </w:p>
    <w:p w:rsidR="00B65972" w:rsidRPr="0000609F" w:rsidRDefault="00B65972" w:rsidP="00B65972">
      <w:pPr>
        <w:pStyle w:val="ListParagraph"/>
        <w:numPr>
          <w:ilvl w:val="0"/>
          <w:numId w:val="15"/>
        </w:numPr>
        <w:rPr>
          <w:rFonts w:asciiTheme="majorBidi" w:hAnsiTheme="majorBidi" w:cstheme="majorBidi"/>
          <w:sz w:val="24"/>
          <w:szCs w:val="24"/>
        </w:rPr>
      </w:pPr>
      <w:r w:rsidRPr="0000609F">
        <w:rPr>
          <w:rFonts w:asciiTheme="majorBidi" w:hAnsiTheme="majorBidi" w:cstheme="majorBidi"/>
          <w:sz w:val="24"/>
          <w:szCs w:val="24"/>
        </w:rPr>
        <w:t>Changes in the Network</w:t>
      </w:r>
      <w:r w:rsidRPr="0000609F">
        <w:rPr>
          <w:rFonts w:asciiTheme="majorBidi" w:hAnsiTheme="majorBidi" w:cstheme="majorBidi"/>
          <w:sz w:val="24"/>
          <w:szCs w:val="24"/>
        </w:rPr>
        <w:tab/>
      </w:r>
      <w:r w:rsidRPr="0000609F">
        <w:rPr>
          <w:rFonts w:asciiTheme="majorBidi" w:hAnsiTheme="majorBidi" w:cstheme="majorBidi"/>
          <w:sz w:val="24"/>
          <w:szCs w:val="24"/>
        </w:rPr>
        <w:tab/>
        <w:t xml:space="preserve">    (b) Difference in Average DES</w:t>
      </w:r>
    </w:p>
    <w:p w:rsidR="00B65972" w:rsidRPr="0000609F" w:rsidRDefault="00B65972" w:rsidP="00B65972">
      <w:pPr>
        <w:pStyle w:val="Caption"/>
        <w:spacing w:after="0"/>
        <w:jc w:val="center"/>
        <w:rPr>
          <w:rFonts w:asciiTheme="majorBidi" w:hAnsiTheme="majorBidi" w:cstheme="majorBidi"/>
          <w:color w:val="auto"/>
          <w:sz w:val="24"/>
          <w:szCs w:val="24"/>
        </w:rPr>
      </w:pPr>
      <w:proofErr w:type="gramStart"/>
      <w:r w:rsidRPr="0000609F">
        <w:rPr>
          <w:rFonts w:asciiTheme="majorBidi" w:hAnsiTheme="majorBidi" w:cstheme="majorBidi"/>
          <w:color w:val="auto"/>
          <w:sz w:val="24"/>
          <w:szCs w:val="24"/>
        </w:rPr>
        <w:t xml:space="preserve">Figure </w:t>
      </w:r>
      <w:r w:rsidRPr="0000609F">
        <w:rPr>
          <w:rFonts w:asciiTheme="majorBidi" w:hAnsiTheme="majorBidi" w:cstheme="majorBidi"/>
          <w:color w:val="auto"/>
          <w:sz w:val="24"/>
          <w:szCs w:val="24"/>
        </w:rPr>
        <w:fldChar w:fldCharType="begin"/>
      </w:r>
      <w:r w:rsidRPr="0000609F">
        <w:rPr>
          <w:rFonts w:asciiTheme="majorBidi" w:hAnsiTheme="majorBidi" w:cstheme="majorBidi"/>
          <w:color w:val="auto"/>
          <w:sz w:val="24"/>
          <w:szCs w:val="24"/>
        </w:rPr>
        <w:instrText xml:space="preserve"> SEQ Figure \* ARABIC </w:instrText>
      </w:r>
      <w:r w:rsidRPr="0000609F">
        <w:rPr>
          <w:rFonts w:asciiTheme="majorBidi" w:hAnsiTheme="majorBidi" w:cstheme="majorBidi"/>
          <w:color w:val="auto"/>
          <w:sz w:val="24"/>
          <w:szCs w:val="24"/>
        </w:rPr>
        <w:fldChar w:fldCharType="separate"/>
      </w:r>
      <w:r w:rsidRPr="0000609F">
        <w:rPr>
          <w:rFonts w:asciiTheme="majorBidi" w:hAnsiTheme="majorBidi" w:cstheme="majorBidi"/>
          <w:noProof/>
          <w:color w:val="auto"/>
          <w:sz w:val="24"/>
          <w:szCs w:val="24"/>
        </w:rPr>
        <w:t>24</w:t>
      </w:r>
      <w:r w:rsidRPr="0000609F">
        <w:rPr>
          <w:rFonts w:asciiTheme="majorBidi" w:hAnsiTheme="majorBidi" w:cstheme="majorBidi"/>
          <w:color w:val="auto"/>
          <w:sz w:val="24"/>
          <w:szCs w:val="24"/>
        </w:rPr>
        <w:fldChar w:fldCharType="end"/>
      </w:r>
      <w:r w:rsidRPr="0000609F">
        <w:rPr>
          <w:rFonts w:asciiTheme="majorBidi" w:hAnsiTheme="majorBidi" w:cstheme="majorBidi"/>
          <w:color w:val="auto"/>
          <w:sz w:val="24"/>
          <w:szCs w:val="24"/>
        </w:rPr>
        <w:t>.</w:t>
      </w:r>
      <w:proofErr w:type="gramEnd"/>
      <w:r w:rsidRPr="0000609F">
        <w:rPr>
          <w:rFonts w:asciiTheme="majorBidi" w:hAnsiTheme="majorBidi" w:cstheme="majorBidi"/>
          <w:color w:val="auto"/>
          <w:sz w:val="24"/>
          <w:szCs w:val="24"/>
        </w:rPr>
        <w:t xml:space="preserve"> Change in Probability Distribution During an </w:t>
      </w:r>
    </w:p>
    <w:p w:rsidR="00B65972" w:rsidRDefault="00B65972" w:rsidP="00B65972">
      <w:pPr>
        <w:pStyle w:val="Caption"/>
        <w:spacing w:after="0"/>
        <w:jc w:val="center"/>
        <w:rPr>
          <w:rFonts w:asciiTheme="majorBidi" w:hAnsiTheme="majorBidi" w:cstheme="majorBidi"/>
          <w:color w:val="auto"/>
          <w:sz w:val="24"/>
          <w:szCs w:val="24"/>
        </w:rPr>
      </w:pPr>
      <w:r w:rsidRPr="0000609F">
        <w:rPr>
          <w:rFonts w:asciiTheme="majorBidi" w:hAnsiTheme="majorBidi" w:cstheme="majorBidi"/>
          <w:color w:val="auto"/>
          <w:sz w:val="24"/>
          <w:szCs w:val="24"/>
        </w:rPr>
        <w:t>International Refusal to Sell Cereals</w:t>
      </w:r>
    </w:p>
    <w:p w:rsidR="000E4ED0" w:rsidRDefault="000E4ED0" w:rsidP="00B9635C">
      <w:pPr>
        <w:rPr>
          <w:rFonts w:asciiTheme="majorBidi" w:hAnsiTheme="majorBidi" w:cstheme="majorBidi"/>
          <w:b/>
          <w:bCs/>
          <w:sz w:val="24"/>
          <w:szCs w:val="24"/>
        </w:rPr>
      </w:pPr>
    </w:p>
    <w:p w:rsidR="00045BEB" w:rsidRDefault="00045BEB" w:rsidP="00B9635C">
      <w:pPr>
        <w:rPr>
          <w:rFonts w:asciiTheme="majorBidi" w:hAnsiTheme="majorBidi" w:cstheme="majorBidi"/>
          <w:b/>
          <w:bCs/>
          <w:sz w:val="24"/>
          <w:szCs w:val="24"/>
        </w:rPr>
      </w:pPr>
    </w:p>
    <w:p w:rsidR="00B9635C" w:rsidRDefault="000E4ED0" w:rsidP="00B9635C">
      <w:pPr>
        <w:rPr>
          <w:rFonts w:asciiTheme="majorBidi" w:hAnsiTheme="majorBidi" w:cstheme="majorBidi"/>
          <w:b/>
          <w:bCs/>
          <w:sz w:val="24"/>
          <w:szCs w:val="24"/>
        </w:rPr>
      </w:pPr>
      <w:r>
        <w:rPr>
          <w:rFonts w:asciiTheme="majorBidi" w:hAnsiTheme="majorBidi" w:cstheme="majorBidi"/>
          <w:b/>
          <w:bCs/>
          <w:sz w:val="24"/>
          <w:szCs w:val="24"/>
        </w:rPr>
        <w:lastRenderedPageBreak/>
        <w:t xml:space="preserve">2. </w:t>
      </w:r>
      <w:r w:rsidR="00B9635C">
        <w:rPr>
          <w:rFonts w:asciiTheme="majorBidi" w:hAnsiTheme="majorBidi" w:cstheme="majorBidi"/>
          <w:b/>
          <w:bCs/>
          <w:sz w:val="24"/>
          <w:szCs w:val="24"/>
        </w:rPr>
        <w:t>Plummet in the Price of Oil</w:t>
      </w:r>
    </w:p>
    <w:p w:rsidR="009C6084" w:rsidRPr="009C6084" w:rsidRDefault="000E4ED0" w:rsidP="009C6084">
      <w:pPr>
        <w:spacing w:after="0" w:line="480" w:lineRule="auto"/>
        <w:rPr>
          <w:rFonts w:asciiTheme="majorBidi" w:hAnsiTheme="majorBidi" w:cstheme="majorBidi"/>
          <w:sz w:val="24"/>
          <w:szCs w:val="24"/>
        </w:rPr>
      </w:pPr>
      <w:r>
        <w:rPr>
          <w:rFonts w:asciiTheme="majorBidi" w:hAnsiTheme="majorBidi" w:cstheme="majorBidi"/>
          <w:b/>
          <w:bCs/>
          <w:sz w:val="24"/>
          <w:szCs w:val="24"/>
        </w:rPr>
        <w:tab/>
      </w:r>
      <w:r w:rsidRPr="000E4ED0">
        <w:rPr>
          <w:rFonts w:asciiTheme="majorBidi" w:hAnsiTheme="majorBidi" w:cstheme="majorBidi"/>
          <w:sz w:val="24"/>
          <w:szCs w:val="24"/>
        </w:rPr>
        <w:t>A</w:t>
      </w:r>
      <w:r>
        <w:rPr>
          <w:rFonts w:asciiTheme="majorBidi" w:hAnsiTheme="majorBidi" w:cstheme="majorBidi"/>
          <w:sz w:val="24"/>
          <w:szCs w:val="24"/>
        </w:rPr>
        <w:t xml:space="preserve"> second crisis scenario focuses on the importance of oil in the global exchange of food. As oil rents per capita act as </w:t>
      </w:r>
      <w:r w:rsidRPr="009C6084">
        <w:rPr>
          <w:rFonts w:asciiTheme="majorBidi" w:hAnsiTheme="majorBidi" w:cstheme="majorBidi"/>
          <w:sz w:val="24"/>
          <w:szCs w:val="24"/>
        </w:rPr>
        <w:t>the first node in the Bayesian belief network, a dramatic shift in the price of oil affects the entire network, all the way down to average DES. Since June 2014, oil prices have more than halved from $110 a barrel to below $50 a barrel, sitting at their lowest level since May 2009.</w:t>
      </w:r>
      <w:r w:rsidRPr="009C6084">
        <w:rPr>
          <w:rStyle w:val="FootnoteReference"/>
          <w:rFonts w:asciiTheme="majorBidi" w:hAnsiTheme="majorBidi" w:cstheme="majorBidi"/>
          <w:sz w:val="24"/>
          <w:szCs w:val="24"/>
        </w:rPr>
        <w:footnoteReference w:id="70"/>
      </w:r>
      <w:r w:rsidRPr="009C6084">
        <w:rPr>
          <w:rFonts w:asciiTheme="majorBidi" w:hAnsiTheme="majorBidi" w:cstheme="majorBidi"/>
          <w:sz w:val="24"/>
          <w:szCs w:val="24"/>
        </w:rPr>
        <w:t xml:space="preserve"> These low prices strain Arabian Gulf economies, as Kuwait needs a long-term price of $79 per barrel to balance its budget, the UAE $81, and Saudi Arabia $104.</w:t>
      </w:r>
      <w:r w:rsidRPr="009C6084">
        <w:rPr>
          <w:rStyle w:val="FootnoteReference"/>
          <w:rFonts w:asciiTheme="majorBidi" w:hAnsiTheme="majorBidi" w:cstheme="majorBidi"/>
          <w:sz w:val="24"/>
          <w:szCs w:val="24"/>
        </w:rPr>
        <w:footnoteReference w:id="71"/>
      </w:r>
      <w:r w:rsidR="00045BEB" w:rsidRPr="009C6084">
        <w:rPr>
          <w:rFonts w:asciiTheme="majorBidi" w:hAnsiTheme="majorBidi" w:cstheme="majorBidi"/>
          <w:sz w:val="24"/>
          <w:szCs w:val="24"/>
        </w:rPr>
        <w:t xml:space="preserve">  To emulate these effects in Figure 25a, oil rents per capita was fixed to its lowest bin of less than $5000 per capita. In this scenario, the change in probability distribution for average DES produced less conclusive results in Figure 25b, as the lowest bin decreased 0.58% while the second lowest increased 1.38% in probability. The middle bin and highest bin also decreased while the second highest bin increased in probability. </w:t>
      </w:r>
      <w:r w:rsidR="0000609F" w:rsidRPr="009C6084">
        <w:rPr>
          <w:rFonts w:asciiTheme="majorBidi" w:hAnsiTheme="majorBidi" w:cstheme="majorBidi"/>
          <w:sz w:val="24"/>
          <w:szCs w:val="24"/>
        </w:rPr>
        <w:t>Unaccounted for external factors may account for the inconclusiveness of the results, or alternatively, a decrease in oil rents may have short-term positive and negative effects on food security; while higher oil prices and oil rents</w:t>
      </w:r>
      <w:r w:rsidR="009C6084" w:rsidRPr="009C6084">
        <w:rPr>
          <w:rFonts w:asciiTheme="majorBidi" w:hAnsiTheme="majorBidi" w:cstheme="majorBidi"/>
          <w:sz w:val="24"/>
          <w:szCs w:val="24"/>
        </w:rPr>
        <w:t>, for instance,</w:t>
      </w:r>
      <w:r w:rsidR="0000609F" w:rsidRPr="009C6084">
        <w:rPr>
          <w:rFonts w:asciiTheme="majorBidi" w:hAnsiTheme="majorBidi" w:cstheme="majorBidi"/>
          <w:sz w:val="24"/>
          <w:szCs w:val="24"/>
        </w:rPr>
        <w:t xml:space="preserve"> bolster the buyin</w:t>
      </w:r>
      <w:r w:rsidR="009C6084" w:rsidRPr="009C6084">
        <w:rPr>
          <w:rFonts w:asciiTheme="majorBidi" w:hAnsiTheme="majorBidi" w:cstheme="majorBidi"/>
          <w:sz w:val="24"/>
          <w:szCs w:val="24"/>
        </w:rPr>
        <w:t>g power of Arabian Gulf nations and increase the annual food supply, the economic boom may attract more expatriates and create unstainable population growth.</w:t>
      </w:r>
    </w:p>
    <w:p w:rsidR="00045BEB" w:rsidRDefault="009C6084" w:rsidP="009C6084">
      <w:pPr>
        <w:spacing w:after="0" w:line="480" w:lineRule="auto"/>
        <w:rPr>
          <w:rFonts w:asciiTheme="majorBidi" w:hAnsiTheme="majorBidi" w:cstheme="majorBidi"/>
          <w:b/>
          <w:bCs/>
          <w:sz w:val="24"/>
          <w:szCs w:val="24"/>
        </w:rPr>
      </w:pPr>
      <w:r w:rsidRPr="009C6084">
        <w:rPr>
          <w:noProof/>
        </w:rPr>
        <w:t xml:space="preserve"> </w:t>
      </w:r>
      <w:r w:rsidR="00045BEB" w:rsidRPr="009C6084">
        <w:rPr>
          <w:rFonts w:asciiTheme="majorBidi" w:hAnsiTheme="majorBidi" w:cstheme="majorBidi"/>
          <w:b/>
          <w:bCs/>
          <w:sz w:val="24"/>
          <w:szCs w:val="24"/>
        </w:rPr>
        <w:t xml:space="preserve"> </w:t>
      </w:r>
    </w:p>
    <w:p w:rsidR="009C6084" w:rsidRDefault="009C6084" w:rsidP="009C6084">
      <w:pPr>
        <w:spacing w:after="0" w:line="480" w:lineRule="auto"/>
        <w:rPr>
          <w:rFonts w:asciiTheme="majorBidi" w:hAnsiTheme="majorBidi" w:cstheme="majorBidi"/>
          <w:b/>
          <w:bCs/>
          <w:sz w:val="24"/>
          <w:szCs w:val="24"/>
        </w:rPr>
      </w:pPr>
    </w:p>
    <w:p w:rsidR="009C6084" w:rsidRDefault="009C6084" w:rsidP="009C6084">
      <w:pPr>
        <w:spacing w:after="0" w:line="480" w:lineRule="auto"/>
        <w:rPr>
          <w:rFonts w:asciiTheme="majorBidi" w:hAnsiTheme="majorBidi" w:cstheme="majorBidi"/>
          <w:b/>
          <w:bCs/>
          <w:sz w:val="24"/>
          <w:szCs w:val="24"/>
        </w:rPr>
      </w:pPr>
    </w:p>
    <w:p w:rsidR="009C6084" w:rsidRDefault="009C6084" w:rsidP="009C6084">
      <w:pPr>
        <w:spacing w:after="0" w:line="480" w:lineRule="auto"/>
        <w:rPr>
          <w:rFonts w:asciiTheme="majorBidi" w:hAnsiTheme="majorBidi" w:cstheme="majorBidi"/>
          <w:b/>
          <w:bCs/>
          <w:sz w:val="24"/>
          <w:szCs w:val="24"/>
        </w:rPr>
      </w:pPr>
    </w:p>
    <w:p w:rsidR="009C6084" w:rsidRDefault="009C6084" w:rsidP="009C6084">
      <w:pPr>
        <w:spacing w:after="0" w:line="480" w:lineRule="auto"/>
        <w:rPr>
          <w:rFonts w:asciiTheme="majorBidi" w:hAnsiTheme="majorBidi" w:cstheme="majorBidi"/>
          <w:b/>
          <w:bCs/>
          <w:sz w:val="24"/>
          <w:szCs w:val="24"/>
        </w:rPr>
      </w:pPr>
    </w:p>
    <w:p w:rsidR="009C6084" w:rsidRDefault="009C6084" w:rsidP="009C6084">
      <w:pPr>
        <w:spacing w:after="0" w:line="480" w:lineRule="auto"/>
        <w:rPr>
          <w:rFonts w:asciiTheme="majorBidi" w:hAnsiTheme="majorBidi" w:cstheme="majorBidi"/>
          <w:b/>
          <w:bCs/>
          <w:sz w:val="24"/>
          <w:szCs w:val="24"/>
        </w:rPr>
      </w:pPr>
    </w:p>
    <w:p w:rsidR="009C6084" w:rsidRDefault="009C6084" w:rsidP="009C6084">
      <w:pPr>
        <w:spacing w:after="0" w:line="480" w:lineRule="auto"/>
        <w:rPr>
          <w:rFonts w:asciiTheme="majorBidi" w:hAnsiTheme="majorBidi" w:cstheme="majorBidi"/>
          <w:b/>
          <w:bCs/>
          <w:sz w:val="24"/>
          <w:szCs w:val="24"/>
        </w:rPr>
      </w:pPr>
      <w:r w:rsidRPr="009C6084">
        <w:rPr>
          <w:noProof/>
        </w:rPr>
        <w:lastRenderedPageBreak/>
        <w:drawing>
          <wp:anchor distT="0" distB="0" distL="114300" distR="114300" simplePos="0" relativeHeight="251658240" behindDoc="1" locked="0" layoutInCell="1" allowOverlap="1" wp14:anchorId="1872CC5F" wp14:editId="071706E5">
            <wp:simplePos x="0" y="0"/>
            <wp:positionH relativeFrom="column">
              <wp:posOffset>107950</wp:posOffset>
            </wp:positionH>
            <wp:positionV relativeFrom="paragraph">
              <wp:posOffset>-11430</wp:posOffset>
            </wp:positionV>
            <wp:extent cx="3657600" cy="2811145"/>
            <wp:effectExtent l="0" t="0" r="0" b="8255"/>
            <wp:wrapSquare wrapText="bothSides"/>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657600" cy="2811145"/>
                    </a:xfrm>
                    <a:prstGeom prst="rect">
                      <a:avLst/>
                    </a:prstGeom>
                  </pic:spPr>
                </pic:pic>
              </a:graphicData>
            </a:graphic>
            <wp14:sizeRelH relativeFrom="page">
              <wp14:pctWidth>0</wp14:pctWidth>
            </wp14:sizeRelH>
            <wp14:sizeRelV relativeFrom="page">
              <wp14:pctHeight>0</wp14:pctHeight>
            </wp14:sizeRelV>
          </wp:anchor>
        </w:drawing>
      </w:r>
    </w:p>
    <w:p w:rsidR="009C6084" w:rsidRDefault="009C6084" w:rsidP="009C6084">
      <w:pPr>
        <w:spacing w:after="0" w:line="480" w:lineRule="auto"/>
        <w:rPr>
          <w:rFonts w:asciiTheme="majorBidi" w:hAnsiTheme="majorBidi" w:cstheme="majorBidi"/>
          <w:b/>
          <w:bCs/>
          <w:sz w:val="24"/>
          <w:szCs w:val="24"/>
        </w:rPr>
      </w:pPr>
    </w:p>
    <w:p w:rsidR="009C6084" w:rsidRDefault="009C6084" w:rsidP="009C6084">
      <w:pPr>
        <w:spacing w:after="0" w:line="480" w:lineRule="auto"/>
        <w:rPr>
          <w:rFonts w:asciiTheme="majorBidi" w:hAnsiTheme="majorBidi" w:cstheme="majorBidi"/>
          <w:b/>
          <w:bCs/>
          <w:sz w:val="24"/>
          <w:szCs w:val="24"/>
        </w:rPr>
      </w:pPr>
    </w:p>
    <w:p w:rsidR="009C6084" w:rsidRDefault="009C6084" w:rsidP="009C6084">
      <w:pPr>
        <w:spacing w:after="0" w:line="480" w:lineRule="auto"/>
        <w:rPr>
          <w:rFonts w:asciiTheme="majorBidi" w:hAnsiTheme="majorBidi" w:cstheme="majorBidi"/>
          <w:b/>
          <w:bCs/>
          <w:sz w:val="24"/>
          <w:szCs w:val="24"/>
        </w:rPr>
      </w:pPr>
    </w:p>
    <w:tbl>
      <w:tblPr>
        <w:tblpPr w:leftFromText="180" w:rightFromText="180" w:vertAnchor="text" w:horzAnchor="page" w:tblpX="7888" w:tblpY="223"/>
        <w:tblW w:w="2280" w:type="dxa"/>
        <w:tblLook w:val="04A0" w:firstRow="1" w:lastRow="0" w:firstColumn="1" w:lastColumn="0" w:noHBand="0" w:noVBand="1"/>
      </w:tblPr>
      <w:tblGrid>
        <w:gridCol w:w="1180"/>
        <w:gridCol w:w="1100"/>
      </w:tblGrid>
      <w:tr w:rsidR="009C6084" w:rsidRPr="009C6084" w:rsidTr="009C6084">
        <w:trPr>
          <w:trHeight w:val="300"/>
        </w:trPr>
        <w:tc>
          <w:tcPr>
            <w:tcW w:w="118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9C6084" w:rsidRPr="009C6084" w:rsidRDefault="009C6084" w:rsidP="009C6084">
            <w:pPr>
              <w:spacing w:after="0" w:line="240" w:lineRule="auto"/>
              <w:jc w:val="center"/>
              <w:rPr>
                <w:rFonts w:ascii="Calibri" w:eastAsia="Times New Roman" w:hAnsi="Calibri" w:cs="Times New Roman"/>
                <w:b/>
                <w:bCs/>
                <w:color w:val="FFFFFF"/>
                <w:sz w:val="18"/>
                <w:szCs w:val="18"/>
              </w:rPr>
            </w:pPr>
            <w:r w:rsidRPr="009C6084">
              <w:rPr>
                <w:rFonts w:ascii="Calibri" w:eastAsia="Times New Roman" w:hAnsi="Calibri" w:cs="Times New Roman"/>
                <w:b/>
                <w:bCs/>
                <w:color w:val="FFFFFF"/>
                <w:sz w:val="18"/>
                <w:szCs w:val="18"/>
              </w:rPr>
              <w:t>Bin</w:t>
            </w:r>
          </w:p>
        </w:tc>
        <w:tc>
          <w:tcPr>
            <w:tcW w:w="11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9C6084" w:rsidRPr="009C6084" w:rsidRDefault="009C6084" w:rsidP="009C6084">
            <w:pPr>
              <w:spacing w:after="0" w:line="240" w:lineRule="auto"/>
              <w:jc w:val="center"/>
              <w:rPr>
                <w:rFonts w:ascii="Calibri" w:eastAsia="Times New Roman" w:hAnsi="Calibri" w:cs="Times New Roman"/>
                <w:b/>
                <w:bCs/>
                <w:color w:val="FFFFFF"/>
                <w:sz w:val="18"/>
                <w:szCs w:val="18"/>
              </w:rPr>
            </w:pPr>
            <w:r w:rsidRPr="009C6084">
              <w:rPr>
                <w:rFonts w:ascii="Calibri" w:eastAsia="Times New Roman" w:hAnsi="Calibri" w:cs="Times New Roman"/>
                <w:b/>
                <w:bCs/>
                <w:color w:val="FFFFFF"/>
                <w:sz w:val="18"/>
                <w:szCs w:val="18"/>
              </w:rPr>
              <w:t>Change</w:t>
            </w:r>
          </w:p>
        </w:tc>
      </w:tr>
      <w:tr w:rsidR="009C6084" w:rsidRPr="009C6084" w:rsidTr="009C6084">
        <w:trPr>
          <w:trHeight w:val="300"/>
        </w:trPr>
        <w:tc>
          <w:tcPr>
            <w:tcW w:w="1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C6084" w:rsidRPr="009C6084" w:rsidRDefault="009C6084" w:rsidP="009C6084">
            <w:pPr>
              <w:spacing w:after="0" w:line="240" w:lineRule="auto"/>
              <w:jc w:val="center"/>
              <w:rPr>
                <w:rFonts w:ascii="Calibri" w:eastAsia="Times New Roman" w:hAnsi="Calibri" w:cs="Times New Roman"/>
                <w:color w:val="000000"/>
                <w:sz w:val="18"/>
                <w:szCs w:val="18"/>
              </w:rPr>
            </w:pPr>
            <w:r w:rsidRPr="009C6084">
              <w:rPr>
                <w:rFonts w:ascii="Calibri" w:eastAsia="Times New Roman" w:hAnsi="Calibri" w:cs="Times New Roman"/>
                <w:color w:val="000000"/>
                <w:sz w:val="18"/>
                <w:szCs w:val="18"/>
              </w:rPr>
              <w:t>&lt;2100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C6084" w:rsidRPr="009C6084" w:rsidRDefault="009C6084" w:rsidP="009C6084">
            <w:pPr>
              <w:spacing w:after="0" w:line="240" w:lineRule="auto"/>
              <w:jc w:val="center"/>
              <w:rPr>
                <w:rFonts w:ascii="Calibri" w:eastAsia="Times New Roman" w:hAnsi="Calibri" w:cs="Times New Roman"/>
                <w:color w:val="000000"/>
                <w:sz w:val="18"/>
                <w:szCs w:val="18"/>
              </w:rPr>
            </w:pPr>
            <w:r w:rsidRPr="009C6084">
              <w:rPr>
                <w:rFonts w:ascii="Calibri" w:eastAsia="Times New Roman" w:hAnsi="Calibri" w:cs="Times New Roman"/>
                <w:color w:val="000000"/>
                <w:sz w:val="18"/>
                <w:szCs w:val="18"/>
              </w:rPr>
              <w:t>-0.58%</w:t>
            </w:r>
          </w:p>
        </w:tc>
      </w:tr>
      <w:tr w:rsidR="009C6084" w:rsidRPr="009C6084" w:rsidTr="009C6084">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C6084" w:rsidRPr="009C6084" w:rsidRDefault="009C6084" w:rsidP="009C6084">
            <w:pPr>
              <w:spacing w:after="0" w:line="240" w:lineRule="auto"/>
              <w:jc w:val="center"/>
              <w:rPr>
                <w:rFonts w:ascii="Calibri" w:eastAsia="Times New Roman" w:hAnsi="Calibri" w:cs="Times New Roman"/>
                <w:color w:val="000000"/>
                <w:sz w:val="18"/>
                <w:szCs w:val="18"/>
              </w:rPr>
            </w:pPr>
            <w:r w:rsidRPr="009C6084">
              <w:rPr>
                <w:rFonts w:ascii="Calibri" w:eastAsia="Times New Roman" w:hAnsi="Calibri" w:cs="Times New Roman"/>
                <w:color w:val="000000"/>
                <w:sz w:val="18"/>
                <w:szCs w:val="18"/>
              </w:rPr>
              <w:t>(2100, 3000)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C6084" w:rsidRPr="009C6084" w:rsidRDefault="009C6084" w:rsidP="009C6084">
            <w:pPr>
              <w:spacing w:after="0" w:line="240" w:lineRule="auto"/>
              <w:jc w:val="center"/>
              <w:rPr>
                <w:rFonts w:ascii="Calibri" w:eastAsia="Times New Roman" w:hAnsi="Calibri" w:cs="Times New Roman"/>
                <w:color w:val="000000"/>
                <w:sz w:val="18"/>
                <w:szCs w:val="18"/>
              </w:rPr>
            </w:pPr>
            <w:r w:rsidRPr="009C6084">
              <w:rPr>
                <w:rFonts w:ascii="Calibri" w:eastAsia="Times New Roman" w:hAnsi="Calibri" w:cs="Times New Roman"/>
                <w:color w:val="000000"/>
                <w:sz w:val="18"/>
                <w:szCs w:val="18"/>
              </w:rPr>
              <w:t>+1.38%</w:t>
            </w:r>
          </w:p>
        </w:tc>
      </w:tr>
      <w:tr w:rsidR="009C6084" w:rsidRPr="009C6084" w:rsidTr="009C6084">
        <w:trPr>
          <w:trHeight w:val="300"/>
        </w:trPr>
        <w:tc>
          <w:tcPr>
            <w:tcW w:w="1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C6084" w:rsidRPr="009C6084" w:rsidRDefault="009C6084" w:rsidP="009C6084">
            <w:pPr>
              <w:spacing w:after="0" w:line="240" w:lineRule="auto"/>
              <w:jc w:val="center"/>
              <w:rPr>
                <w:rFonts w:ascii="Calibri" w:eastAsia="Times New Roman" w:hAnsi="Calibri" w:cs="Times New Roman"/>
                <w:color w:val="000000"/>
                <w:sz w:val="18"/>
                <w:szCs w:val="18"/>
              </w:rPr>
            </w:pPr>
            <w:r w:rsidRPr="009C6084">
              <w:rPr>
                <w:rFonts w:ascii="Calibri" w:eastAsia="Times New Roman" w:hAnsi="Calibri" w:cs="Times New Roman"/>
                <w:color w:val="000000"/>
                <w:sz w:val="18"/>
                <w:szCs w:val="18"/>
              </w:rPr>
              <w:t>(3000, 3250)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9C6084" w:rsidRPr="009C6084" w:rsidRDefault="009C6084" w:rsidP="009C6084">
            <w:pPr>
              <w:spacing w:after="0" w:line="240" w:lineRule="auto"/>
              <w:jc w:val="center"/>
              <w:rPr>
                <w:rFonts w:ascii="Calibri" w:eastAsia="Times New Roman" w:hAnsi="Calibri" w:cs="Times New Roman"/>
                <w:color w:val="000000"/>
                <w:sz w:val="18"/>
                <w:szCs w:val="18"/>
              </w:rPr>
            </w:pPr>
            <w:r w:rsidRPr="009C6084">
              <w:rPr>
                <w:rFonts w:ascii="Calibri" w:eastAsia="Times New Roman" w:hAnsi="Calibri" w:cs="Times New Roman"/>
                <w:color w:val="000000"/>
                <w:sz w:val="18"/>
                <w:szCs w:val="18"/>
              </w:rPr>
              <w:t>-1.20%</w:t>
            </w:r>
          </w:p>
        </w:tc>
      </w:tr>
      <w:tr w:rsidR="009C6084" w:rsidRPr="009C6084" w:rsidTr="009C6084">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C6084" w:rsidRPr="009C6084" w:rsidRDefault="009C6084" w:rsidP="009C6084">
            <w:pPr>
              <w:spacing w:after="0" w:line="240" w:lineRule="auto"/>
              <w:jc w:val="center"/>
              <w:rPr>
                <w:rFonts w:ascii="Calibri" w:eastAsia="Times New Roman" w:hAnsi="Calibri" w:cs="Times New Roman"/>
                <w:color w:val="000000"/>
                <w:sz w:val="18"/>
                <w:szCs w:val="18"/>
              </w:rPr>
            </w:pPr>
            <w:r w:rsidRPr="009C6084">
              <w:rPr>
                <w:rFonts w:ascii="Calibri" w:eastAsia="Times New Roman" w:hAnsi="Calibri" w:cs="Times New Roman"/>
                <w:color w:val="000000"/>
                <w:sz w:val="18"/>
                <w:szCs w:val="18"/>
              </w:rPr>
              <w:t>(3250, 3500)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C6084" w:rsidRPr="009C6084" w:rsidRDefault="009C6084" w:rsidP="009C6084">
            <w:pPr>
              <w:spacing w:after="0" w:line="240" w:lineRule="auto"/>
              <w:jc w:val="center"/>
              <w:rPr>
                <w:rFonts w:ascii="Calibri" w:eastAsia="Times New Roman" w:hAnsi="Calibri" w:cs="Times New Roman"/>
                <w:color w:val="000000"/>
                <w:sz w:val="18"/>
                <w:szCs w:val="18"/>
              </w:rPr>
            </w:pPr>
            <w:r w:rsidRPr="009C6084">
              <w:rPr>
                <w:rFonts w:ascii="Calibri" w:eastAsia="Times New Roman" w:hAnsi="Calibri" w:cs="Times New Roman"/>
                <w:color w:val="000000"/>
                <w:sz w:val="18"/>
                <w:szCs w:val="18"/>
              </w:rPr>
              <w:t>+0.93%</w:t>
            </w:r>
          </w:p>
        </w:tc>
      </w:tr>
      <w:tr w:rsidR="009C6084" w:rsidRPr="009C6084" w:rsidTr="009C6084">
        <w:trPr>
          <w:trHeight w:val="300"/>
        </w:trPr>
        <w:tc>
          <w:tcPr>
            <w:tcW w:w="118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9C6084" w:rsidRPr="009C6084" w:rsidRDefault="009C6084" w:rsidP="009C6084">
            <w:pPr>
              <w:spacing w:after="0" w:line="240" w:lineRule="auto"/>
              <w:jc w:val="center"/>
              <w:rPr>
                <w:rFonts w:ascii="Calibri" w:eastAsia="Times New Roman" w:hAnsi="Calibri" w:cs="Times New Roman"/>
                <w:color w:val="000000"/>
                <w:sz w:val="18"/>
                <w:szCs w:val="18"/>
              </w:rPr>
            </w:pPr>
            <w:r w:rsidRPr="009C6084">
              <w:rPr>
                <w:rFonts w:ascii="Calibri" w:eastAsia="Times New Roman" w:hAnsi="Calibri" w:cs="Times New Roman"/>
                <w:color w:val="000000"/>
                <w:sz w:val="18"/>
                <w:szCs w:val="18"/>
              </w:rPr>
              <w:t>&gt;3500</w:t>
            </w:r>
          </w:p>
        </w:tc>
        <w:tc>
          <w:tcPr>
            <w:tcW w:w="110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9C6084" w:rsidRPr="009C6084" w:rsidRDefault="009C6084" w:rsidP="009C6084">
            <w:pPr>
              <w:spacing w:after="0" w:line="240" w:lineRule="auto"/>
              <w:jc w:val="center"/>
              <w:rPr>
                <w:rFonts w:ascii="Calibri" w:eastAsia="Times New Roman" w:hAnsi="Calibri" w:cs="Times New Roman"/>
                <w:color w:val="000000"/>
                <w:sz w:val="18"/>
                <w:szCs w:val="18"/>
              </w:rPr>
            </w:pPr>
            <w:r w:rsidRPr="009C6084">
              <w:rPr>
                <w:rFonts w:ascii="Calibri" w:eastAsia="Times New Roman" w:hAnsi="Calibri" w:cs="Times New Roman"/>
                <w:color w:val="000000"/>
                <w:sz w:val="18"/>
                <w:szCs w:val="18"/>
              </w:rPr>
              <w:t>-0.53%</w:t>
            </w:r>
          </w:p>
        </w:tc>
      </w:tr>
    </w:tbl>
    <w:p w:rsidR="009C6084" w:rsidRDefault="009C6084" w:rsidP="009C6084">
      <w:pPr>
        <w:spacing w:after="0" w:line="480" w:lineRule="auto"/>
        <w:rPr>
          <w:rFonts w:asciiTheme="majorBidi" w:hAnsiTheme="majorBidi" w:cstheme="majorBidi"/>
          <w:b/>
          <w:bCs/>
          <w:sz w:val="24"/>
          <w:szCs w:val="24"/>
        </w:rPr>
      </w:pPr>
    </w:p>
    <w:p w:rsidR="009C6084" w:rsidRDefault="009C6084" w:rsidP="009C6084">
      <w:pPr>
        <w:spacing w:after="0" w:line="480" w:lineRule="auto"/>
        <w:rPr>
          <w:rFonts w:asciiTheme="majorBidi" w:hAnsiTheme="majorBidi" w:cstheme="majorBidi"/>
          <w:b/>
          <w:bCs/>
          <w:sz w:val="24"/>
          <w:szCs w:val="24"/>
        </w:rPr>
      </w:pPr>
    </w:p>
    <w:p w:rsidR="009C6084" w:rsidRDefault="009C6084" w:rsidP="009C6084">
      <w:pPr>
        <w:spacing w:after="0" w:line="480" w:lineRule="auto"/>
        <w:rPr>
          <w:rFonts w:asciiTheme="majorBidi" w:hAnsiTheme="majorBidi" w:cstheme="majorBidi"/>
          <w:b/>
          <w:bCs/>
          <w:sz w:val="24"/>
          <w:szCs w:val="24"/>
        </w:rPr>
      </w:pPr>
    </w:p>
    <w:p w:rsidR="009C6084" w:rsidRDefault="009C6084" w:rsidP="009C6084">
      <w:pPr>
        <w:spacing w:after="0" w:line="480" w:lineRule="auto"/>
        <w:rPr>
          <w:rFonts w:asciiTheme="majorBidi" w:hAnsiTheme="majorBidi" w:cstheme="majorBidi"/>
          <w:b/>
          <w:bCs/>
          <w:sz w:val="24"/>
          <w:szCs w:val="24"/>
        </w:rPr>
      </w:pPr>
    </w:p>
    <w:p w:rsidR="009C6084" w:rsidRPr="009C6084" w:rsidRDefault="009C6084" w:rsidP="009C6084">
      <w:pPr>
        <w:spacing w:after="0" w:line="480" w:lineRule="auto"/>
        <w:rPr>
          <w:rFonts w:asciiTheme="majorBidi" w:hAnsiTheme="majorBidi" w:cstheme="majorBidi"/>
          <w:b/>
          <w:bCs/>
          <w:sz w:val="24"/>
          <w:szCs w:val="24"/>
        </w:rPr>
      </w:pPr>
    </w:p>
    <w:p w:rsidR="00045BEB" w:rsidRPr="009C6084" w:rsidRDefault="00045BEB" w:rsidP="00045BEB">
      <w:pPr>
        <w:pStyle w:val="ListParagraph"/>
        <w:numPr>
          <w:ilvl w:val="0"/>
          <w:numId w:val="16"/>
        </w:numPr>
        <w:rPr>
          <w:rFonts w:asciiTheme="majorBidi" w:hAnsiTheme="majorBidi" w:cstheme="majorBidi"/>
          <w:sz w:val="24"/>
          <w:szCs w:val="24"/>
        </w:rPr>
      </w:pPr>
      <w:r w:rsidRPr="009C6084">
        <w:rPr>
          <w:rFonts w:asciiTheme="majorBidi" w:hAnsiTheme="majorBidi" w:cstheme="majorBidi"/>
          <w:sz w:val="24"/>
          <w:szCs w:val="24"/>
        </w:rPr>
        <w:t>Changes in the Network</w:t>
      </w:r>
      <w:r w:rsidRPr="009C6084">
        <w:rPr>
          <w:rFonts w:asciiTheme="majorBidi" w:hAnsiTheme="majorBidi" w:cstheme="majorBidi"/>
          <w:sz w:val="24"/>
          <w:szCs w:val="24"/>
        </w:rPr>
        <w:tab/>
      </w:r>
      <w:r w:rsidRPr="009C6084">
        <w:rPr>
          <w:rFonts w:asciiTheme="majorBidi" w:hAnsiTheme="majorBidi" w:cstheme="majorBidi"/>
          <w:sz w:val="24"/>
          <w:szCs w:val="24"/>
        </w:rPr>
        <w:tab/>
      </w:r>
      <w:r w:rsidR="005955BB" w:rsidRPr="009C6084">
        <w:rPr>
          <w:rFonts w:asciiTheme="majorBidi" w:hAnsiTheme="majorBidi" w:cstheme="majorBidi"/>
          <w:sz w:val="24"/>
          <w:szCs w:val="24"/>
        </w:rPr>
        <w:t xml:space="preserve"> </w:t>
      </w:r>
      <w:r w:rsidRPr="009C6084">
        <w:rPr>
          <w:rFonts w:asciiTheme="majorBidi" w:hAnsiTheme="majorBidi" w:cstheme="majorBidi"/>
          <w:sz w:val="24"/>
          <w:szCs w:val="24"/>
        </w:rPr>
        <w:t xml:space="preserve">  (b) Difference in Average DES</w:t>
      </w:r>
    </w:p>
    <w:p w:rsidR="00045BEB" w:rsidRPr="009C6084" w:rsidRDefault="00045BEB" w:rsidP="00045BEB">
      <w:pPr>
        <w:pStyle w:val="Caption"/>
        <w:spacing w:after="0"/>
        <w:jc w:val="center"/>
        <w:rPr>
          <w:rFonts w:asciiTheme="majorBidi" w:hAnsiTheme="majorBidi" w:cstheme="majorBidi"/>
          <w:color w:val="auto"/>
          <w:sz w:val="24"/>
          <w:szCs w:val="24"/>
        </w:rPr>
      </w:pPr>
    </w:p>
    <w:p w:rsidR="00B9635C" w:rsidRPr="009C6084" w:rsidRDefault="00045BEB" w:rsidP="00045BEB">
      <w:pPr>
        <w:pStyle w:val="Caption"/>
        <w:spacing w:after="0"/>
        <w:jc w:val="center"/>
        <w:rPr>
          <w:rFonts w:asciiTheme="majorBidi" w:hAnsiTheme="majorBidi" w:cstheme="majorBidi"/>
          <w:color w:val="auto"/>
          <w:sz w:val="24"/>
          <w:szCs w:val="24"/>
        </w:rPr>
      </w:pPr>
      <w:proofErr w:type="gramStart"/>
      <w:r w:rsidRPr="009C6084">
        <w:rPr>
          <w:rFonts w:asciiTheme="majorBidi" w:hAnsiTheme="majorBidi" w:cstheme="majorBidi"/>
          <w:color w:val="auto"/>
          <w:sz w:val="24"/>
          <w:szCs w:val="24"/>
        </w:rPr>
        <w:t xml:space="preserve">Figure </w:t>
      </w:r>
      <w:r w:rsidRPr="009C6084">
        <w:rPr>
          <w:rFonts w:asciiTheme="majorBidi" w:hAnsiTheme="majorBidi" w:cstheme="majorBidi"/>
          <w:color w:val="auto"/>
          <w:sz w:val="24"/>
          <w:szCs w:val="24"/>
        </w:rPr>
        <w:fldChar w:fldCharType="begin"/>
      </w:r>
      <w:r w:rsidRPr="009C6084">
        <w:rPr>
          <w:rFonts w:asciiTheme="majorBidi" w:hAnsiTheme="majorBidi" w:cstheme="majorBidi"/>
          <w:color w:val="auto"/>
          <w:sz w:val="24"/>
          <w:szCs w:val="24"/>
        </w:rPr>
        <w:instrText xml:space="preserve"> SEQ Figure \* ARABIC </w:instrText>
      </w:r>
      <w:r w:rsidRPr="009C6084">
        <w:rPr>
          <w:rFonts w:asciiTheme="majorBidi" w:hAnsiTheme="majorBidi" w:cstheme="majorBidi"/>
          <w:color w:val="auto"/>
          <w:sz w:val="24"/>
          <w:szCs w:val="24"/>
        </w:rPr>
        <w:fldChar w:fldCharType="separate"/>
      </w:r>
      <w:r w:rsidRPr="009C6084">
        <w:rPr>
          <w:rFonts w:asciiTheme="majorBidi" w:hAnsiTheme="majorBidi" w:cstheme="majorBidi"/>
          <w:noProof/>
          <w:color w:val="auto"/>
          <w:sz w:val="24"/>
          <w:szCs w:val="24"/>
        </w:rPr>
        <w:t>25</w:t>
      </w:r>
      <w:r w:rsidRPr="009C6084">
        <w:rPr>
          <w:rFonts w:asciiTheme="majorBidi" w:hAnsiTheme="majorBidi" w:cstheme="majorBidi"/>
          <w:color w:val="auto"/>
          <w:sz w:val="24"/>
          <w:szCs w:val="24"/>
        </w:rPr>
        <w:fldChar w:fldCharType="end"/>
      </w:r>
      <w:r w:rsidRPr="009C6084">
        <w:rPr>
          <w:rFonts w:asciiTheme="majorBidi" w:hAnsiTheme="majorBidi" w:cstheme="majorBidi"/>
          <w:color w:val="auto"/>
          <w:sz w:val="24"/>
          <w:szCs w:val="24"/>
        </w:rPr>
        <w:t>.</w:t>
      </w:r>
      <w:proofErr w:type="gramEnd"/>
      <w:r w:rsidRPr="009C6084">
        <w:rPr>
          <w:rFonts w:asciiTheme="majorBidi" w:hAnsiTheme="majorBidi" w:cstheme="majorBidi"/>
          <w:color w:val="auto"/>
          <w:sz w:val="24"/>
          <w:szCs w:val="24"/>
        </w:rPr>
        <w:t xml:space="preserve"> Change in Probability Distribution During a </w:t>
      </w:r>
    </w:p>
    <w:p w:rsidR="00045BEB" w:rsidRPr="00045BEB" w:rsidRDefault="00045BEB" w:rsidP="00045BEB">
      <w:pPr>
        <w:jc w:val="center"/>
        <w:rPr>
          <w:b/>
          <w:bCs/>
        </w:rPr>
      </w:pPr>
      <w:r w:rsidRPr="009C6084">
        <w:rPr>
          <w:rFonts w:asciiTheme="majorBidi" w:hAnsiTheme="majorBidi" w:cstheme="majorBidi"/>
          <w:b/>
          <w:bCs/>
          <w:sz w:val="24"/>
          <w:szCs w:val="24"/>
        </w:rPr>
        <w:t>Plummet in the Price of Oil</w:t>
      </w:r>
    </w:p>
    <w:p w:rsidR="009C6084" w:rsidRDefault="009C6084" w:rsidP="00B9635C">
      <w:pPr>
        <w:rPr>
          <w:rFonts w:asciiTheme="majorBidi" w:hAnsiTheme="majorBidi" w:cstheme="majorBidi"/>
          <w:b/>
          <w:bCs/>
          <w:sz w:val="24"/>
          <w:szCs w:val="24"/>
        </w:rPr>
      </w:pPr>
    </w:p>
    <w:p w:rsidR="009C6084" w:rsidRDefault="00045BEB" w:rsidP="00B9635C">
      <w:pPr>
        <w:rPr>
          <w:rFonts w:asciiTheme="majorBidi" w:hAnsiTheme="majorBidi" w:cstheme="majorBidi"/>
          <w:b/>
          <w:bCs/>
          <w:sz w:val="24"/>
          <w:szCs w:val="24"/>
        </w:rPr>
      </w:pPr>
      <w:r>
        <w:rPr>
          <w:rFonts w:asciiTheme="majorBidi" w:hAnsiTheme="majorBidi" w:cstheme="majorBidi"/>
          <w:b/>
          <w:bCs/>
          <w:sz w:val="24"/>
          <w:szCs w:val="24"/>
        </w:rPr>
        <w:t xml:space="preserve">3. </w:t>
      </w:r>
      <w:r w:rsidR="003A75C4">
        <w:rPr>
          <w:rFonts w:asciiTheme="majorBidi" w:hAnsiTheme="majorBidi" w:cstheme="majorBidi"/>
          <w:b/>
          <w:bCs/>
          <w:sz w:val="24"/>
          <w:szCs w:val="24"/>
        </w:rPr>
        <w:t>Mass Emigration of the Expatriate Workforce</w:t>
      </w:r>
    </w:p>
    <w:p w:rsidR="005955BB" w:rsidRPr="001D2892" w:rsidRDefault="00045BEB" w:rsidP="008A22E3">
      <w:pPr>
        <w:spacing w:after="0" w:line="480" w:lineRule="auto"/>
        <w:rPr>
          <w:rFonts w:asciiTheme="majorBidi" w:hAnsiTheme="majorBidi" w:cstheme="majorBidi"/>
          <w:sz w:val="24"/>
          <w:szCs w:val="24"/>
        </w:rPr>
      </w:pPr>
      <w:r>
        <w:rPr>
          <w:rFonts w:asciiTheme="majorBidi" w:hAnsiTheme="majorBidi" w:cstheme="majorBidi"/>
          <w:b/>
          <w:bCs/>
          <w:sz w:val="24"/>
          <w:szCs w:val="24"/>
        </w:rPr>
        <w:tab/>
      </w:r>
      <w:r w:rsidR="005955BB">
        <w:rPr>
          <w:rFonts w:asciiTheme="majorBidi" w:hAnsiTheme="majorBidi" w:cstheme="majorBidi"/>
          <w:sz w:val="24"/>
          <w:szCs w:val="24"/>
        </w:rPr>
        <w:t>In February 2014, the expatriate population in Oman reached 1.7659 million to comprise 44.2 percent of the nation’s entire population. Of the 1.7659 million, 1.5345 million provide crucial work in the Omani economy, but especially construction and infrastructure projects. Therefore, if, for instance, the Omani government dramatically cuts its 3.2 billion Omani riyal allocation, 24 percent of overall public expenditure, for investment expenditure, the lack of work could encourage a mass emigration of the expatriate workforce from Oman.</w:t>
      </w:r>
      <w:r w:rsidR="009C6084">
        <w:rPr>
          <w:rStyle w:val="FootnoteReference"/>
          <w:rFonts w:asciiTheme="majorBidi" w:hAnsiTheme="majorBidi" w:cstheme="majorBidi"/>
          <w:sz w:val="24"/>
          <w:szCs w:val="24"/>
        </w:rPr>
        <w:footnoteReference w:id="72"/>
      </w:r>
      <w:r w:rsidR="005955BB">
        <w:rPr>
          <w:rFonts w:asciiTheme="majorBidi" w:hAnsiTheme="majorBidi" w:cstheme="majorBidi"/>
          <w:sz w:val="24"/>
          <w:szCs w:val="24"/>
        </w:rPr>
        <w:t xml:space="preserve"> The effects of this population shift could cripple the economy and food security situation. To simulate this scenario in </w:t>
      </w:r>
      <w:r w:rsidR="005955BB" w:rsidRPr="008A22E3">
        <w:rPr>
          <w:rFonts w:asciiTheme="majorBidi" w:hAnsiTheme="majorBidi" w:cstheme="majorBidi"/>
          <w:sz w:val="24"/>
          <w:szCs w:val="24"/>
        </w:rPr>
        <w:t xml:space="preserve">Figure 26a, net migration was fixed to its lowest bin of less than 20,000 people, wherein the </w:t>
      </w:r>
      <w:r w:rsidR="005955BB" w:rsidRPr="008A22E3">
        <w:rPr>
          <w:rFonts w:asciiTheme="majorBidi" w:hAnsiTheme="majorBidi" w:cstheme="majorBidi"/>
          <w:sz w:val="24"/>
          <w:szCs w:val="24"/>
        </w:rPr>
        <w:lastRenderedPageBreak/>
        <w:t xml:space="preserve">value for a given year could be negative. The resulting change in probability distribution for average DES produced unclear results in Figure 26b, but there was a greater shift towards the lower, food-insecure bins. Although the lowest bin decreased 1.10%, the second lowest bin increased more than the second highest bin in probability, respectively 2.72% and 1.77%. The middle </w:t>
      </w:r>
      <w:r w:rsidR="005955BB" w:rsidRPr="001D2892">
        <w:rPr>
          <w:rFonts w:asciiTheme="majorBidi" w:hAnsiTheme="majorBidi" w:cstheme="majorBidi"/>
          <w:sz w:val="24"/>
          <w:szCs w:val="24"/>
        </w:rPr>
        <w:t xml:space="preserve">bin and highest bin both decreased at 2.34% and 1.04%. </w:t>
      </w:r>
      <w:r w:rsidR="008A22E3" w:rsidRPr="001D2892">
        <w:rPr>
          <w:rFonts w:asciiTheme="majorBidi" w:hAnsiTheme="majorBidi" w:cstheme="majorBidi"/>
          <w:sz w:val="24"/>
          <w:szCs w:val="24"/>
        </w:rPr>
        <w:t>One possible explanation for the inconclusive results is the duality of the short-term effects of mass emigration. With less people in Oman, the remaining people would have a greater caloric share per person, but the economic vitality Oman needs to obtain the food would become diminished.</w:t>
      </w:r>
    </w:p>
    <w:p w:rsidR="00045BEB" w:rsidRPr="001D2892" w:rsidRDefault="00045BEB" w:rsidP="005955BB">
      <w:pPr>
        <w:spacing w:line="480" w:lineRule="auto"/>
        <w:rPr>
          <w:rFonts w:asciiTheme="majorBidi" w:hAnsiTheme="majorBidi" w:cstheme="majorBidi"/>
          <w:sz w:val="24"/>
          <w:szCs w:val="24"/>
        </w:rPr>
      </w:pPr>
    </w:p>
    <w:tbl>
      <w:tblPr>
        <w:tblpPr w:leftFromText="180" w:rightFromText="180" w:vertAnchor="text" w:horzAnchor="page" w:tblpX="7651" w:tblpY="1634"/>
        <w:tblW w:w="2280" w:type="dxa"/>
        <w:tblLook w:val="04A0" w:firstRow="1" w:lastRow="0" w:firstColumn="1" w:lastColumn="0" w:noHBand="0" w:noVBand="1"/>
      </w:tblPr>
      <w:tblGrid>
        <w:gridCol w:w="1180"/>
        <w:gridCol w:w="1100"/>
      </w:tblGrid>
      <w:tr w:rsidR="005E34BC" w:rsidRPr="001D2892" w:rsidTr="005E34BC">
        <w:trPr>
          <w:trHeight w:val="300"/>
        </w:trPr>
        <w:tc>
          <w:tcPr>
            <w:tcW w:w="118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5E34BC" w:rsidRPr="001D2892" w:rsidRDefault="005E34BC" w:rsidP="005E34BC">
            <w:pPr>
              <w:spacing w:after="0" w:line="240" w:lineRule="auto"/>
              <w:jc w:val="center"/>
              <w:rPr>
                <w:rFonts w:ascii="Calibri" w:eastAsia="Times New Roman" w:hAnsi="Calibri" w:cs="Times New Roman"/>
                <w:b/>
                <w:bCs/>
                <w:color w:val="FFFFFF"/>
                <w:sz w:val="18"/>
                <w:szCs w:val="18"/>
              </w:rPr>
            </w:pPr>
            <w:r w:rsidRPr="001D2892">
              <w:rPr>
                <w:rFonts w:ascii="Calibri" w:eastAsia="Times New Roman" w:hAnsi="Calibri" w:cs="Times New Roman"/>
                <w:b/>
                <w:bCs/>
                <w:color w:val="FFFFFF"/>
                <w:sz w:val="18"/>
                <w:szCs w:val="18"/>
              </w:rPr>
              <w:t>Bin</w:t>
            </w:r>
          </w:p>
        </w:tc>
        <w:tc>
          <w:tcPr>
            <w:tcW w:w="11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5E34BC" w:rsidRPr="001D2892" w:rsidRDefault="005E34BC" w:rsidP="005E34BC">
            <w:pPr>
              <w:spacing w:after="0" w:line="240" w:lineRule="auto"/>
              <w:jc w:val="center"/>
              <w:rPr>
                <w:rFonts w:ascii="Calibri" w:eastAsia="Times New Roman" w:hAnsi="Calibri" w:cs="Times New Roman"/>
                <w:b/>
                <w:bCs/>
                <w:color w:val="FFFFFF"/>
                <w:sz w:val="18"/>
                <w:szCs w:val="18"/>
              </w:rPr>
            </w:pPr>
            <w:r w:rsidRPr="001D2892">
              <w:rPr>
                <w:rFonts w:ascii="Calibri" w:eastAsia="Times New Roman" w:hAnsi="Calibri" w:cs="Times New Roman"/>
                <w:b/>
                <w:bCs/>
                <w:color w:val="FFFFFF"/>
                <w:sz w:val="18"/>
                <w:szCs w:val="18"/>
              </w:rPr>
              <w:t>Change</w:t>
            </w:r>
          </w:p>
        </w:tc>
      </w:tr>
      <w:tr w:rsidR="005E34BC" w:rsidRPr="001D2892" w:rsidTr="005E34BC">
        <w:trPr>
          <w:trHeight w:val="300"/>
        </w:trPr>
        <w:tc>
          <w:tcPr>
            <w:tcW w:w="1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E34BC" w:rsidRPr="001D2892" w:rsidRDefault="005E34BC" w:rsidP="005E34BC">
            <w:pPr>
              <w:spacing w:after="0" w:line="240" w:lineRule="auto"/>
              <w:jc w:val="center"/>
              <w:rPr>
                <w:rFonts w:ascii="Calibri" w:eastAsia="Times New Roman" w:hAnsi="Calibri" w:cs="Times New Roman"/>
                <w:color w:val="000000"/>
                <w:sz w:val="18"/>
                <w:szCs w:val="18"/>
              </w:rPr>
            </w:pPr>
            <w:r w:rsidRPr="001D2892">
              <w:rPr>
                <w:rFonts w:ascii="Calibri" w:eastAsia="Times New Roman" w:hAnsi="Calibri" w:cs="Times New Roman"/>
                <w:color w:val="000000"/>
                <w:sz w:val="18"/>
                <w:szCs w:val="18"/>
              </w:rPr>
              <w:t>&lt;2100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E34BC" w:rsidRPr="001D2892" w:rsidRDefault="005E34BC" w:rsidP="005E34BC">
            <w:pPr>
              <w:spacing w:after="0" w:line="240" w:lineRule="auto"/>
              <w:jc w:val="center"/>
              <w:rPr>
                <w:rFonts w:ascii="Calibri" w:eastAsia="Times New Roman" w:hAnsi="Calibri" w:cs="Times New Roman"/>
                <w:color w:val="000000"/>
                <w:sz w:val="18"/>
                <w:szCs w:val="18"/>
              </w:rPr>
            </w:pPr>
            <w:r w:rsidRPr="001D2892">
              <w:rPr>
                <w:rFonts w:ascii="Calibri" w:eastAsia="Times New Roman" w:hAnsi="Calibri" w:cs="Times New Roman"/>
                <w:color w:val="000000"/>
                <w:sz w:val="18"/>
                <w:szCs w:val="18"/>
              </w:rPr>
              <w:t>-1.10%</w:t>
            </w:r>
          </w:p>
        </w:tc>
      </w:tr>
      <w:tr w:rsidR="005E34BC" w:rsidRPr="001D2892" w:rsidTr="005E34BC">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4BC" w:rsidRPr="001D2892" w:rsidRDefault="005E34BC" w:rsidP="005E34BC">
            <w:pPr>
              <w:spacing w:after="0" w:line="240" w:lineRule="auto"/>
              <w:jc w:val="center"/>
              <w:rPr>
                <w:rFonts w:ascii="Calibri" w:eastAsia="Times New Roman" w:hAnsi="Calibri" w:cs="Times New Roman"/>
                <w:color w:val="000000"/>
                <w:sz w:val="18"/>
                <w:szCs w:val="18"/>
              </w:rPr>
            </w:pPr>
            <w:r w:rsidRPr="001D2892">
              <w:rPr>
                <w:rFonts w:ascii="Calibri" w:eastAsia="Times New Roman" w:hAnsi="Calibri" w:cs="Times New Roman"/>
                <w:color w:val="000000"/>
                <w:sz w:val="18"/>
                <w:szCs w:val="18"/>
              </w:rPr>
              <w:t>(2100, 3000)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4BC" w:rsidRPr="001D2892" w:rsidRDefault="005E34BC" w:rsidP="005E34BC">
            <w:pPr>
              <w:spacing w:after="0" w:line="240" w:lineRule="auto"/>
              <w:jc w:val="center"/>
              <w:rPr>
                <w:rFonts w:ascii="Calibri" w:eastAsia="Times New Roman" w:hAnsi="Calibri" w:cs="Times New Roman"/>
                <w:color w:val="000000"/>
                <w:sz w:val="18"/>
                <w:szCs w:val="18"/>
              </w:rPr>
            </w:pPr>
            <w:r w:rsidRPr="001D2892">
              <w:rPr>
                <w:rFonts w:ascii="Calibri" w:eastAsia="Times New Roman" w:hAnsi="Calibri" w:cs="Times New Roman"/>
                <w:color w:val="000000"/>
                <w:sz w:val="18"/>
                <w:szCs w:val="18"/>
              </w:rPr>
              <w:t>+2.72%</w:t>
            </w:r>
          </w:p>
        </w:tc>
      </w:tr>
      <w:tr w:rsidR="005E34BC" w:rsidRPr="001D2892" w:rsidTr="005E34BC">
        <w:trPr>
          <w:trHeight w:val="300"/>
        </w:trPr>
        <w:tc>
          <w:tcPr>
            <w:tcW w:w="1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E34BC" w:rsidRPr="001D2892" w:rsidRDefault="005E34BC" w:rsidP="005E34BC">
            <w:pPr>
              <w:spacing w:after="0" w:line="240" w:lineRule="auto"/>
              <w:jc w:val="center"/>
              <w:rPr>
                <w:rFonts w:ascii="Calibri" w:eastAsia="Times New Roman" w:hAnsi="Calibri" w:cs="Times New Roman"/>
                <w:color w:val="000000"/>
                <w:sz w:val="18"/>
                <w:szCs w:val="18"/>
              </w:rPr>
            </w:pPr>
            <w:r w:rsidRPr="001D2892">
              <w:rPr>
                <w:rFonts w:ascii="Calibri" w:eastAsia="Times New Roman" w:hAnsi="Calibri" w:cs="Times New Roman"/>
                <w:color w:val="000000"/>
                <w:sz w:val="18"/>
                <w:szCs w:val="18"/>
              </w:rPr>
              <w:t>(3000, 3250)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5E34BC" w:rsidRPr="001D2892" w:rsidRDefault="005E34BC" w:rsidP="005E34BC">
            <w:pPr>
              <w:spacing w:after="0" w:line="240" w:lineRule="auto"/>
              <w:jc w:val="center"/>
              <w:rPr>
                <w:rFonts w:ascii="Calibri" w:eastAsia="Times New Roman" w:hAnsi="Calibri" w:cs="Times New Roman"/>
                <w:color w:val="000000"/>
                <w:sz w:val="18"/>
                <w:szCs w:val="18"/>
              </w:rPr>
            </w:pPr>
            <w:r w:rsidRPr="001D2892">
              <w:rPr>
                <w:rFonts w:ascii="Calibri" w:eastAsia="Times New Roman" w:hAnsi="Calibri" w:cs="Times New Roman"/>
                <w:color w:val="000000"/>
                <w:sz w:val="18"/>
                <w:szCs w:val="18"/>
              </w:rPr>
              <w:t>-2.34%</w:t>
            </w:r>
          </w:p>
        </w:tc>
      </w:tr>
      <w:tr w:rsidR="005E34BC" w:rsidRPr="001D2892" w:rsidTr="005E34BC">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4BC" w:rsidRPr="001D2892" w:rsidRDefault="005E34BC" w:rsidP="005E34BC">
            <w:pPr>
              <w:spacing w:after="0" w:line="240" w:lineRule="auto"/>
              <w:jc w:val="center"/>
              <w:rPr>
                <w:rFonts w:ascii="Calibri" w:eastAsia="Times New Roman" w:hAnsi="Calibri" w:cs="Times New Roman"/>
                <w:color w:val="000000"/>
                <w:sz w:val="18"/>
                <w:szCs w:val="18"/>
              </w:rPr>
            </w:pPr>
            <w:r w:rsidRPr="001D2892">
              <w:rPr>
                <w:rFonts w:ascii="Calibri" w:eastAsia="Times New Roman" w:hAnsi="Calibri" w:cs="Times New Roman"/>
                <w:color w:val="000000"/>
                <w:sz w:val="18"/>
                <w:szCs w:val="18"/>
              </w:rPr>
              <w:t>(3250, 3500)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E34BC" w:rsidRPr="001D2892" w:rsidRDefault="005E34BC" w:rsidP="005E34BC">
            <w:pPr>
              <w:spacing w:after="0" w:line="240" w:lineRule="auto"/>
              <w:jc w:val="center"/>
              <w:rPr>
                <w:rFonts w:ascii="Calibri" w:eastAsia="Times New Roman" w:hAnsi="Calibri" w:cs="Times New Roman"/>
                <w:color w:val="000000"/>
                <w:sz w:val="18"/>
                <w:szCs w:val="18"/>
              </w:rPr>
            </w:pPr>
            <w:r w:rsidRPr="001D2892">
              <w:rPr>
                <w:rFonts w:ascii="Calibri" w:eastAsia="Times New Roman" w:hAnsi="Calibri" w:cs="Times New Roman"/>
                <w:color w:val="000000"/>
                <w:sz w:val="18"/>
                <w:szCs w:val="18"/>
              </w:rPr>
              <w:t>+1.77%</w:t>
            </w:r>
          </w:p>
        </w:tc>
      </w:tr>
      <w:tr w:rsidR="005E34BC" w:rsidRPr="001D2892" w:rsidTr="005E34BC">
        <w:trPr>
          <w:trHeight w:val="300"/>
        </w:trPr>
        <w:tc>
          <w:tcPr>
            <w:tcW w:w="118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5E34BC" w:rsidRPr="001D2892" w:rsidRDefault="005E34BC" w:rsidP="005E34BC">
            <w:pPr>
              <w:spacing w:after="0" w:line="240" w:lineRule="auto"/>
              <w:jc w:val="center"/>
              <w:rPr>
                <w:rFonts w:ascii="Calibri" w:eastAsia="Times New Roman" w:hAnsi="Calibri" w:cs="Times New Roman"/>
                <w:color w:val="000000"/>
                <w:sz w:val="18"/>
                <w:szCs w:val="18"/>
              </w:rPr>
            </w:pPr>
            <w:r w:rsidRPr="001D2892">
              <w:rPr>
                <w:rFonts w:ascii="Calibri" w:eastAsia="Times New Roman" w:hAnsi="Calibri" w:cs="Times New Roman"/>
                <w:color w:val="000000"/>
                <w:sz w:val="18"/>
                <w:szCs w:val="18"/>
              </w:rPr>
              <w:t>&gt;3500</w:t>
            </w:r>
          </w:p>
        </w:tc>
        <w:tc>
          <w:tcPr>
            <w:tcW w:w="110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5E34BC" w:rsidRPr="001D2892" w:rsidRDefault="005E34BC" w:rsidP="005E34BC">
            <w:pPr>
              <w:spacing w:after="0" w:line="240" w:lineRule="auto"/>
              <w:jc w:val="center"/>
              <w:rPr>
                <w:rFonts w:ascii="Calibri" w:eastAsia="Times New Roman" w:hAnsi="Calibri" w:cs="Times New Roman"/>
                <w:color w:val="000000"/>
                <w:sz w:val="18"/>
                <w:szCs w:val="18"/>
              </w:rPr>
            </w:pPr>
            <w:r w:rsidRPr="001D2892">
              <w:rPr>
                <w:rFonts w:ascii="Calibri" w:eastAsia="Times New Roman" w:hAnsi="Calibri" w:cs="Times New Roman"/>
                <w:color w:val="000000"/>
                <w:sz w:val="18"/>
                <w:szCs w:val="18"/>
              </w:rPr>
              <w:t>-1.04%</w:t>
            </w:r>
          </w:p>
        </w:tc>
      </w:tr>
    </w:tbl>
    <w:p w:rsidR="005955BB" w:rsidRPr="001D2892" w:rsidRDefault="003A75C4" w:rsidP="005E34BC">
      <w:pPr>
        <w:spacing w:after="0" w:line="480" w:lineRule="auto"/>
        <w:rPr>
          <w:rFonts w:asciiTheme="majorBidi" w:hAnsiTheme="majorBidi" w:cstheme="majorBidi"/>
          <w:sz w:val="24"/>
          <w:szCs w:val="24"/>
        </w:rPr>
      </w:pPr>
      <w:r w:rsidRPr="001D2892">
        <w:rPr>
          <w:noProof/>
        </w:rPr>
        <w:drawing>
          <wp:inline distT="0" distB="0" distL="0" distR="0" wp14:anchorId="42D58A63" wp14:editId="152ADE2C">
            <wp:extent cx="3574720" cy="2524836"/>
            <wp:effectExtent l="0" t="0" r="6985" b="889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587996" cy="2534213"/>
                    </a:xfrm>
                    <a:prstGeom prst="rect">
                      <a:avLst/>
                    </a:prstGeom>
                  </pic:spPr>
                </pic:pic>
              </a:graphicData>
            </a:graphic>
          </wp:inline>
        </w:drawing>
      </w:r>
    </w:p>
    <w:p w:rsidR="005955BB" w:rsidRPr="001D2892" w:rsidRDefault="008A22E3" w:rsidP="005955BB">
      <w:pPr>
        <w:pStyle w:val="ListParagraph"/>
        <w:numPr>
          <w:ilvl w:val="0"/>
          <w:numId w:val="17"/>
        </w:numPr>
        <w:rPr>
          <w:rFonts w:asciiTheme="majorBidi" w:hAnsiTheme="majorBidi" w:cstheme="majorBidi"/>
          <w:sz w:val="24"/>
          <w:szCs w:val="24"/>
        </w:rPr>
      </w:pPr>
      <w:r w:rsidRPr="001D2892">
        <w:rPr>
          <w:rFonts w:asciiTheme="majorBidi" w:hAnsiTheme="majorBidi" w:cstheme="majorBidi"/>
          <w:sz w:val="24"/>
          <w:szCs w:val="24"/>
        </w:rPr>
        <w:t>Changes in the Network</w:t>
      </w:r>
      <w:r w:rsidRPr="001D2892">
        <w:rPr>
          <w:rFonts w:asciiTheme="majorBidi" w:hAnsiTheme="majorBidi" w:cstheme="majorBidi"/>
          <w:sz w:val="24"/>
          <w:szCs w:val="24"/>
        </w:rPr>
        <w:tab/>
        <w:t xml:space="preserve"> </w:t>
      </w:r>
      <w:r w:rsidR="001D2892">
        <w:rPr>
          <w:rFonts w:asciiTheme="majorBidi" w:hAnsiTheme="majorBidi" w:cstheme="majorBidi"/>
          <w:sz w:val="24"/>
          <w:szCs w:val="24"/>
        </w:rPr>
        <w:t xml:space="preserve">   </w:t>
      </w:r>
      <w:r w:rsidRPr="001D2892">
        <w:rPr>
          <w:rFonts w:asciiTheme="majorBidi" w:hAnsiTheme="majorBidi" w:cstheme="majorBidi"/>
          <w:sz w:val="24"/>
          <w:szCs w:val="24"/>
        </w:rPr>
        <w:t xml:space="preserve">     </w:t>
      </w:r>
      <w:r w:rsidR="005955BB" w:rsidRPr="001D2892">
        <w:rPr>
          <w:rFonts w:asciiTheme="majorBidi" w:hAnsiTheme="majorBidi" w:cstheme="majorBidi"/>
          <w:sz w:val="24"/>
          <w:szCs w:val="24"/>
        </w:rPr>
        <w:t xml:space="preserve">   (b) Difference in Average DES</w:t>
      </w:r>
    </w:p>
    <w:p w:rsidR="005955BB" w:rsidRPr="001D2892" w:rsidRDefault="005955BB" w:rsidP="005E34BC">
      <w:pPr>
        <w:pStyle w:val="Caption"/>
        <w:spacing w:after="0"/>
        <w:jc w:val="center"/>
        <w:rPr>
          <w:rFonts w:asciiTheme="majorBidi" w:hAnsiTheme="majorBidi" w:cstheme="majorBidi"/>
          <w:color w:val="auto"/>
          <w:sz w:val="24"/>
          <w:szCs w:val="24"/>
        </w:rPr>
      </w:pPr>
      <w:proofErr w:type="gramStart"/>
      <w:r w:rsidRPr="001D2892">
        <w:rPr>
          <w:rFonts w:asciiTheme="majorBidi" w:hAnsiTheme="majorBidi" w:cstheme="majorBidi"/>
          <w:color w:val="auto"/>
          <w:sz w:val="24"/>
          <w:szCs w:val="24"/>
        </w:rPr>
        <w:t xml:space="preserve">Figure </w:t>
      </w:r>
      <w:r w:rsidR="005E34BC" w:rsidRPr="001D2892">
        <w:rPr>
          <w:rFonts w:asciiTheme="majorBidi" w:hAnsiTheme="majorBidi" w:cstheme="majorBidi"/>
          <w:color w:val="auto"/>
          <w:sz w:val="24"/>
          <w:szCs w:val="24"/>
        </w:rPr>
        <w:t>26</w:t>
      </w:r>
      <w:r w:rsidRPr="001D2892">
        <w:rPr>
          <w:rFonts w:asciiTheme="majorBidi" w:hAnsiTheme="majorBidi" w:cstheme="majorBidi"/>
          <w:color w:val="auto"/>
          <w:sz w:val="24"/>
          <w:szCs w:val="24"/>
        </w:rPr>
        <w:t>.</w:t>
      </w:r>
      <w:proofErr w:type="gramEnd"/>
      <w:r w:rsidRPr="001D2892">
        <w:rPr>
          <w:rFonts w:asciiTheme="majorBidi" w:hAnsiTheme="majorBidi" w:cstheme="majorBidi"/>
          <w:color w:val="auto"/>
          <w:sz w:val="24"/>
          <w:szCs w:val="24"/>
        </w:rPr>
        <w:t xml:space="preserve"> Change in Probability Distribution During a </w:t>
      </w:r>
    </w:p>
    <w:p w:rsidR="005955BB" w:rsidRDefault="005E34BC" w:rsidP="005955BB">
      <w:pPr>
        <w:jc w:val="center"/>
        <w:rPr>
          <w:rFonts w:asciiTheme="majorBidi" w:hAnsiTheme="majorBidi" w:cstheme="majorBidi"/>
          <w:b/>
          <w:bCs/>
          <w:sz w:val="24"/>
          <w:szCs w:val="24"/>
        </w:rPr>
      </w:pPr>
      <w:r w:rsidRPr="001D2892">
        <w:rPr>
          <w:rFonts w:asciiTheme="majorBidi" w:hAnsiTheme="majorBidi" w:cstheme="majorBidi"/>
          <w:b/>
          <w:bCs/>
          <w:sz w:val="24"/>
          <w:szCs w:val="24"/>
        </w:rPr>
        <w:t>Mass Emigration</w:t>
      </w:r>
      <w:r>
        <w:rPr>
          <w:rFonts w:asciiTheme="majorBidi" w:hAnsiTheme="majorBidi" w:cstheme="majorBidi"/>
          <w:b/>
          <w:bCs/>
          <w:sz w:val="24"/>
          <w:szCs w:val="24"/>
        </w:rPr>
        <w:t xml:space="preserve"> in the Expatriate Workforce</w:t>
      </w:r>
    </w:p>
    <w:p w:rsidR="00FF03DE" w:rsidRDefault="00FF03DE" w:rsidP="005955BB">
      <w:pPr>
        <w:jc w:val="center"/>
        <w:rPr>
          <w:rFonts w:asciiTheme="majorBidi" w:hAnsiTheme="majorBidi" w:cstheme="majorBidi"/>
          <w:b/>
          <w:bCs/>
          <w:sz w:val="24"/>
          <w:szCs w:val="24"/>
        </w:rPr>
      </w:pPr>
    </w:p>
    <w:p w:rsidR="00FF03DE" w:rsidRDefault="00FF03DE" w:rsidP="005955BB">
      <w:pPr>
        <w:jc w:val="center"/>
        <w:rPr>
          <w:rFonts w:asciiTheme="majorBidi" w:hAnsiTheme="majorBidi" w:cstheme="majorBidi"/>
          <w:b/>
          <w:bCs/>
          <w:sz w:val="24"/>
          <w:szCs w:val="24"/>
        </w:rPr>
      </w:pPr>
    </w:p>
    <w:p w:rsidR="00FF03DE" w:rsidRDefault="00FF03DE" w:rsidP="005955BB">
      <w:pPr>
        <w:jc w:val="center"/>
        <w:rPr>
          <w:rFonts w:asciiTheme="majorBidi" w:hAnsiTheme="majorBidi" w:cstheme="majorBidi"/>
          <w:b/>
          <w:bCs/>
          <w:sz w:val="24"/>
          <w:szCs w:val="24"/>
        </w:rPr>
      </w:pPr>
    </w:p>
    <w:p w:rsidR="00FF03DE" w:rsidRPr="00045BEB" w:rsidRDefault="00FF03DE" w:rsidP="005955BB">
      <w:pPr>
        <w:jc w:val="center"/>
        <w:rPr>
          <w:b/>
          <w:bCs/>
        </w:rPr>
      </w:pPr>
    </w:p>
    <w:p w:rsidR="003A75C4" w:rsidRDefault="005E34BC" w:rsidP="003A75C4">
      <w:pPr>
        <w:rPr>
          <w:rFonts w:asciiTheme="majorBidi" w:hAnsiTheme="majorBidi" w:cstheme="majorBidi"/>
          <w:b/>
          <w:bCs/>
          <w:sz w:val="24"/>
          <w:szCs w:val="24"/>
        </w:rPr>
      </w:pPr>
      <w:r>
        <w:rPr>
          <w:rFonts w:asciiTheme="majorBidi" w:hAnsiTheme="majorBidi" w:cstheme="majorBidi"/>
          <w:b/>
          <w:bCs/>
          <w:sz w:val="24"/>
          <w:szCs w:val="24"/>
        </w:rPr>
        <w:lastRenderedPageBreak/>
        <w:t xml:space="preserve">4. </w:t>
      </w:r>
      <w:r w:rsidR="003A75C4">
        <w:rPr>
          <w:rFonts w:asciiTheme="majorBidi" w:hAnsiTheme="majorBidi" w:cstheme="majorBidi"/>
          <w:b/>
          <w:bCs/>
          <w:sz w:val="24"/>
          <w:szCs w:val="24"/>
        </w:rPr>
        <w:t>Drought</w:t>
      </w:r>
    </w:p>
    <w:p w:rsidR="005E34BC" w:rsidRPr="00FF03DE" w:rsidRDefault="005E34BC" w:rsidP="00FF03DE">
      <w:pPr>
        <w:spacing w:after="0" w:line="480" w:lineRule="auto"/>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Drought is one of the most damaging natural disasters, causing millions of deaths and hundreds of billions of dollars worldwide since 1967.</w:t>
      </w:r>
      <w:r>
        <w:rPr>
          <w:rStyle w:val="FootnoteReference"/>
          <w:rFonts w:asciiTheme="majorBidi" w:hAnsiTheme="majorBidi" w:cstheme="majorBidi"/>
          <w:sz w:val="24"/>
          <w:szCs w:val="24"/>
        </w:rPr>
        <w:footnoteReference w:id="73"/>
      </w:r>
      <w:r>
        <w:rPr>
          <w:rFonts w:asciiTheme="majorBidi" w:hAnsiTheme="majorBidi" w:cstheme="majorBidi"/>
          <w:sz w:val="24"/>
          <w:szCs w:val="24"/>
        </w:rPr>
        <w:t xml:space="preserve">  In the Arabian Peninsula, increasing global </w:t>
      </w:r>
      <w:r w:rsidRPr="00FF03DE">
        <w:rPr>
          <w:rFonts w:asciiTheme="majorBidi" w:hAnsiTheme="majorBidi" w:cstheme="majorBidi"/>
          <w:sz w:val="24"/>
          <w:szCs w:val="24"/>
        </w:rPr>
        <w:t>temperatures, decreasing soil moisture, and rising evapotranspiration threaten the already arid land, which indirectly affects the domestic production of cereals per capita.</w:t>
      </w:r>
      <w:r w:rsidRPr="00FF03DE">
        <w:rPr>
          <w:rStyle w:val="FootnoteReference"/>
          <w:rFonts w:asciiTheme="majorBidi" w:hAnsiTheme="majorBidi" w:cstheme="majorBidi"/>
          <w:sz w:val="24"/>
          <w:szCs w:val="24"/>
        </w:rPr>
        <w:footnoteReference w:id="74"/>
      </w:r>
      <w:r w:rsidRPr="00FF03DE">
        <w:rPr>
          <w:rFonts w:asciiTheme="majorBidi" w:hAnsiTheme="majorBidi" w:cstheme="majorBidi"/>
          <w:sz w:val="24"/>
          <w:szCs w:val="24"/>
        </w:rPr>
        <w:t xml:space="preserve"> This scenario measures the effects of a decrease in water available for any reason, fixing the lowest bin </w:t>
      </w:r>
      <w:r w:rsidR="004A6EB5" w:rsidRPr="00FF03DE">
        <w:rPr>
          <w:rFonts w:asciiTheme="majorBidi" w:hAnsiTheme="majorBidi" w:cstheme="majorBidi"/>
          <w:sz w:val="24"/>
          <w:szCs w:val="24"/>
        </w:rPr>
        <w:t xml:space="preserve">in Figure 27a </w:t>
      </w:r>
      <w:r w:rsidRPr="00FF03DE">
        <w:rPr>
          <w:rFonts w:asciiTheme="majorBidi" w:hAnsiTheme="majorBidi" w:cstheme="majorBidi"/>
          <w:sz w:val="24"/>
          <w:szCs w:val="24"/>
        </w:rPr>
        <w:t xml:space="preserve">of less than 212 </w:t>
      </w:r>
      <w:r w:rsidR="004A6EB5" w:rsidRPr="00FF03DE">
        <w:rPr>
          <w:rFonts w:asciiTheme="majorBidi" w:hAnsiTheme="majorBidi" w:cstheme="majorBidi"/>
          <w:sz w:val="24"/>
          <w:szCs w:val="24"/>
        </w:rPr>
        <w:t xml:space="preserve">cubic meters per capita in the water available per capita node. With negative 0.10% as the largest change of probability for a bin in average DES in Figure 27b, the small changes in the probability distribution indicate that drought may have less severe </w:t>
      </w:r>
      <w:r w:rsidR="00FF03DE">
        <w:rPr>
          <w:rFonts w:asciiTheme="majorBidi" w:hAnsiTheme="majorBidi" w:cstheme="majorBidi"/>
          <w:sz w:val="24"/>
          <w:szCs w:val="24"/>
        </w:rPr>
        <w:t>effects</w:t>
      </w:r>
      <w:r w:rsidR="004A6EB5" w:rsidRPr="00FF03DE">
        <w:rPr>
          <w:rFonts w:asciiTheme="majorBidi" w:hAnsiTheme="majorBidi" w:cstheme="majorBidi"/>
          <w:sz w:val="24"/>
          <w:szCs w:val="24"/>
        </w:rPr>
        <w:t xml:space="preserve"> than the other crises.  This conclusion appears cogent because Arabian Gulf nations have taken measures since 2000 to manage water resources, combat desertification, and reuse wastewater.</w:t>
      </w:r>
      <w:r w:rsidR="004A6EB5" w:rsidRPr="00FF03DE">
        <w:rPr>
          <w:rStyle w:val="FootnoteReference"/>
          <w:rFonts w:asciiTheme="majorBidi" w:hAnsiTheme="majorBidi" w:cstheme="majorBidi"/>
          <w:sz w:val="24"/>
          <w:szCs w:val="24"/>
        </w:rPr>
        <w:footnoteReference w:id="75"/>
      </w:r>
    </w:p>
    <w:tbl>
      <w:tblPr>
        <w:tblpPr w:leftFromText="180" w:rightFromText="180" w:vertAnchor="text" w:horzAnchor="page" w:tblpX="7716" w:tblpY="2058"/>
        <w:tblW w:w="2280" w:type="dxa"/>
        <w:tblLook w:val="04A0" w:firstRow="1" w:lastRow="0" w:firstColumn="1" w:lastColumn="0" w:noHBand="0" w:noVBand="1"/>
      </w:tblPr>
      <w:tblGrid>
        <w:gridCol w:w="1180"/>
        <w:gridCol w:w="1100"/>
      </w:tblGrid>
      <w:tr w:rsidR="004A6EB5" w:rsidRPr="00FF03DE" w:rsidTr="004A6EB5">
        <w:trPr>
          <w:trHeight w:val="300"/>
        </w:trPr>
        <w:tc>
          <w:tcPr>
            <w:tcW w:w="118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4A6EB5" w:rsidRPr="00FF03DE" w:rsidRDefault="004A6EB5" w:rsidP="004A6EB5">
            <w:pPr>
              <w:spacing w:after="0" w:line="240" w:lineRule="auto"/>
              <w:jc w:val="center"/>
              <w:rPr>
                <w:rFonts w:ascii="Calibri" w:eastAsia="Times New Roman" w:hAnsi="Calibri" w:cs="Times New Roman"/>
                <w:b/>
                <w:bCs/>
                <w:color w:val="FFFFFF"/>
                <w:sz w:val="18"/>
                <w:szCs w:val="18"/>
              </w:rPr>
            </w:pPr>
            <w:r w:rsidRPr="00FF03DE">
              <w:rPr>
                <w:rFonts w:ascii="Calibri" w:eastAsia="Times New Roman" w:hAnsi="Calibri" w:cs="Times New Roman"/>
                <w:b/>
                <w:bCs/>
                <w:color w:val="FFFFFF"/>
                <w:sz w:val="18"/>
                <w:szCs w:val="18"/>
              </w:rPr>
              <w:t>Bin</w:t>
            </w:r>
          </w:p>
        </w:tc>
        <w:tc>
          <w:tcPr>
            <w:tcW w:w="11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4A6EB5" w:rsidRPr="00FF03DE" w:rsidRDefault="004A6EB5" w:rsidP="004A6EB5">
            <w:pPr>
              <w:spacing w:after="0" w:line="240" w:lineRule="auto"/>
              <w:jc w:val="center"/>
              <w:rPr>
                <w:rFonts w:ascii="Calibri" w:eastAsia="Times New Roman" w:hAnsi="Calibri" w:cs="Times New Roman"/>
                <w:b/>
                <w:bCs/>
                <w:color w:val="FFFFFF"/>
                <w:sz w:val="18"/>
                <w:szCs w:val="18"/>
              </w:rPr>
            </w:pPr>
            <w:r w:rsidRPr="00FF03DE">
              <w:rPr>
                <w:rFonts w:ascii="Calibri" w:eastAsia="Times New Roman" w:hAnsi="Calibri" w:cs="Times New Roman"/>
                <w:b/>
                <w:bCs/>
                <w:color w:val="FFFFFF"/>
                <w:sz w:val="18"/>
                <w:szCs w:val="18"/>
              </w:rPr>
              <w:t>Change</w:t>
            </w:r>
          </w:p>
        </w:tc>
      </w:tr>
      <w:tr w:rsidR="004A6EB5" w:rsidRPr="00FF03DE" w:rsidTr="004A6EB5">
        <w:trPr>
          <w:trHeight w:val="300"/>
        </w:trPr>
        <w:tc>
          <w:tcPr>
            <w:tcW w:w="1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A6EB5" w:rsidRPr="00FF03DE" w:rsidRDefault="004A6EB5" w:rsidP="004A6EB5">
            <w:pPr>
              <w:spacing w:after="0" w:line="240" w:lineRule="auto"/>
              <w:jc w:val="center"/>
              <w:rPr>
                <w:rFonts w:ascii="Calibri" w:eastAsia="Times New Roman" w:hAnsi="Calibri" w:cs="Times New Roman"/>
                <w:color w:val="000000"/>
                <w:sz w:val="18"/>
                <w:szCs w:val="18"/>
              </w:rPr>
            </w:pPr>
            <w:r w:rsidRPr="00FF03DE">
              <w:rPr>
                <w:rFonts w:ascii="Calibri" w:eastAsia="Times New Roman" w:hAnsi="Calibri" w:cs="Times New Roman"/>
                <w:color w:val="000000"/>
                <w:sz w:val="18"/>
                <w:szCs w:val="18"/>
              </w:rPr>
              <w:t>&lt;2100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A6EB5" w:rsidRPr="00FF03DE" w:rsidRDefault="004A6EB5" w:rsidP="004A6EB5">
            <w:pPr>
              <w:spacing w:after="0" w:line="240" w:lineRule="auto"/>
              <w:jc w:val="center"/>
              <w:rPr>
                <w:rFonts w:ascii="Calibri" w:eastAsia="Times New Roman" w:hAnsi="Calibri" w:cs="Times New Roman"/>
                <w:color w:val="000000"/>
                <w:sz w:val="18"/>
                <w:szCs w:val="18"/>
              </w:rPr>
            </w:pPr>
            <w:r w:rsidRPr="00FF03DE">
              <w:rPr>
                <w:rFonts w:ascii="Calibri" w:eastAsia="Times New Roman" w:hAnsi="Calibri" w:cs="Times New Roman"/>
                <w:color w:val="000000"/>
                <w:sz w:val="18"/>
                <w:szCs w:val="18"/>
              </w:rPr>
              <w:t>+0.03%</w:t>
            </w:r>
          </w:p>
        </w:tc>
      </w:tr>
      <w:tr w:rsidR="004A6EB5" w:rsidRPr="00FF03DE" w:rsidTr="004A6EB5">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6EB5" w:rsidRPr="00FF03DE" w:rsidRDefault="004A6EB5" w:rsidP="004A6EB5">
            <w:pPr>
              <w:spacing w:after="0" w:line="240" w:lineRule="auto"/>
              <w:jc w:val="center"/>
              <w:rPr>
                <w:rFonts w:ascii="Calibri" w:eastAsia="Times New Roman" w:hAnsi="Calibri" w:cs="Times New Roman"/>
                <w:color w:val="000000"/>
                <w:sz w:val="18"/>
                <w:szCs w:val="18"/>
              </w:rPr>
            </w:pPr>
            <w:r w:rsidRPr="00FF03DE">
              <w:rPr>
                <w:rFonts w:ascii="Calibri" w:eastAsia="Times New Roman" w:hAnsi="Calibri" w:cs="Times New Roman"/>
                <w:color w:val="000000"/>
                <w:sz w:val="18"/>
                <w:szCs w:val="18"/>
              </w:rPr>
              <w:t>(2100, 3000)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6EB5" w:rsidRPr="00FF03DE" w:rsidRDefault="004A6EB5" w:rsidP="004A6EB5">
            <w:pPr>
              <w:spacing w:after="0" w:line="240" w:lineRule="auto"/>
              <w:jc w:val="center"/>
              <w:rPr>
                <w:rFonts w:ascii="Calibri" w:eastAsia="Times New Roman" w:hAnsi="Calibri" w:cs="Times New Roman"/>
                <w:color w:val="000000"/>
                <w:sz w:val="18"/>
                <w:szCs w:val="18"/>
              </w:rPr>
            </w:pPr>
            <w:r w:rsidRPr="00FF03DE">
              <w:rPr>
                <w:rFonts w:ascii="Calibri" w:eastAsia="Times New Roman" w:hAnsi="Calibri" w:cs="Times New Roman"/>
                <w:color w:val="000000"/>
                <w:sz w:val="18"/>
                <w:szCs w:val="18"/>
              </w:rPr>
              <w:t>-0.10%</w:t>
            </w:r>
          </w:p>
        </w:tc>
      </w:tr>
      <w:tr w:rsidR="004A6EB5" w:rsidRPr="00FF03DE" w:rsidTr="004A6EB5">
        <w:trPr>
          <w:trHeight w:val="300"/>
        </w:trPr>
        <w:tc>
          <w:tcPr>
            <w:tcW w:w="1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A6EB5" w:rsidRPr="00FF03DE" w:rsidRDefault="004A6EB5" w:rsidP="004A6EB5">
            <w:pPr>
              <w:spacing w:after="0" w:line="240" w:lineRule="auto"/>
              <w:jc w:val="center"/>
              <w:rPr>
                <w:rFonts w:ascii="Calibri" w:eastAsia="Times New Roman" w:hAnsi="Calibri" w:cs="Times New Roman"/>
                <w:color w:val="000000"/>
                <w:sz w:val="18"/>
                <w:szCs w:val="18"/>
              </w:rPr>
            </w:pPr>
            <w:r w:rsidRPr="00FF03DE">
              <w:rPr>
                <w:rFonts w:ascii="Calibri" w:eastAsia="Times New Roman" w:hAnsi="Calibri" w:cs="Times New Roman"/>
                <w:color w:val="000000"/>
                <w:sz w:val="18"/>
                <w:szCs w:val="18"/>
              </w:rPr>
              <w:t>(3000, 3250)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4A6EB5" w:rsidRPr="00FF03DE" w:rsidRDefault="004A6EB5" w:rsidP="004A6EB5">
            <w:pPr>
              <w:spacing w:after="0" w:line="240" w:lineRule="auto"/>
              <w:jc w:val="center"/>
              <w:rPr>
                <w:rFonts w:ascii="Calibri" w:eastAsia="Times New Roman" w:hAnsi="Calibri" w:cs="Times New Roman"/>
                <w:color w:val="000000"/>
                <w:sz w:val="18"/>
                <w:szCs w:val="18"/>
              </w:rPr>
            </w:pPr>
            <w:r w:rsidRPr="00FF03DE">
              <w:rPr>
                <w:rFonts w:ascii="Calibri" w:eastAsia="Times New Roman" w:hAnsi="Calibri" w:cs="Times New Roman"/>
                <w:color w:val="000000"/>
                <w:sz w:val="18"/>
                <w:szCs w:val="18"/>
              </w:rPr>
              <w:t>+0.09%</w:t>
            </w:r>
          </w:p>
        </w:tc>
      </w:tr>
      <w:tr w:rsidR="004A6EB5" w:rsidRPr="00FF03DE" w:rsidTr="004A6EB5">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6EB5" w:rsidRPr="00FF03DE" w:rsidRDefault="004A6EB5" w:rsidP="004A6EB5">
            <w:pPr>
              <w:spacing w:after="0" w:line="240" w:lineRule="auto"/>
              <w:jc w:val="center"/>
              <w:rPr>
                <w:rFonts w:ascii="Calibri" w:eastAsia="Times New Roman" w:hAnsi="Calibri" w:cs="Times New Roman"/>
                <w:color w:val="000000"/>
                <w:sz w:val="18"/>
                <w:szCs w:val="18"/>
              </w:rPr>
            </w:pPr>
            <w:r w:rsidRPr="00FF03DE">
              <w:rPr>
                <w:rFonts w:ascii="Calibri" w:eastAsia="Times New Roman" w:hAnsi="Calibri" w:cs="Times New Roman"/>
                <w:color w:val="000000"/>
                <w:sz w:val="18"/>
                <w:szCs w:val="18"/>
              </w:rPr>
              <w:t>(3250, 3500)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6EB5" w:rsidRPr="00FF03DE" w:rsidRDefault="004A6EB5" w:rsidP="004A6EB5">
            <w:pPr>
              <w:spacing w:after="0" w:line="240" w:lineRule="auto"/>
              <w:jc w:val="center"/>
              <w:rPr>
                <w:rFonts w:ascii="Calibri" w:eastAsia="Times New Roman" w:hAnsi="Calibri" w:cs="Times New Roman"/>
                <w:color w:val="000000"/>
                <w:sz w:val="18"/>
                <w:szCs w:val="18"/>
              </w:rPr>
            </w:pPr>
            <w:r w:rsidRPr="00FF03DE">
              <w:rPr>
                <w:rFonts w:ascii="Calibri" w:eastAsia="Times New Roman" w:hAnsi="Calibri" w:cs="Times New Roman"/>
                <w:color w:val="000000"/>
                <w:sz w:val="18"/>
                <w:szCs w:val="18"/>
              </w:rPr>
              <w:t>-0.05%</w:t>
            </w:r>
          </w:p>
        </w:tc>
      </w:tr>
      <w:tr w:rsidR="004A6EB5" w:rsidRPr="00FF03DE" w:rsidTr="004A6EB5">
        <w:trPr>
          <w:trHeight w:val="300"/>
        </w:trPr>
        <w:tc>
          <w:tcPr>
            <w:tcW w:w="118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4A6EB5" w:rsidRPr="00FF03DE" w:rsidRDefault="004A6EB5" w:rsidP="004A6EB5">
            <w:pPr>
              <w:spacing w:after="0" w:line="240" w:lineRule="auto"/>
              <w:jc w:val="center"/>
              <w:rPr>
                <w:rFonts w:ascii="Calibri" w:eastAsia="Times New Roman" w:hAnsi="Calibri" w:cs="Times New Roman"/>
                <w:color w:val="000000"/>
                <w:sz w:val="18"/>
                <w:szCs w:val="18"/>
              </w:rPr>
            </w:pPr>
            <w:r w:rsidRPr="00FF03DE">
              <w:rPr>
                <w:rFonts w:ascii="Calibri" w:eastAsia="Times New Roman" w:hAnsi="Calibri" w:cs="Times New Roman"/>
                <w:color w:val="000000"/>
                <w:sz w:val="18"/>
                <w:szCs w:val="18"/>
              </w:rPr>
              <w:t>&gt;3500</w:t>
            </w:r>
          </w:p>
        </w:tc>
        <w:tc>
          <w:tcPr>
            <w:tcW w:w="110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4A6EB5" w:rsidRPr="00FF03DE" w:rsidRDefault="004A6EB5" w:rsidP="004A6EB5">
            <w:pPr>
              <w:spacing w:after="0" w:line="240" w:lineRule="auto"/>
              <w:jc w:val="center"/>
              <w:rPr>
                <w:rFonts w:ascii="Calibri" w:eastAsia="Times New Roman" w:hAnsi="Calibri" w:cs="Times New Roman"/>
                <w:color w:val="000000"/>
                <w:sz w:val="18"/>
                <w:szCs w:val="18"/>
              </w:rPr>
            </w:pPr>
            <w:r w:rsidRPr="00FF03DE">
              <w:rPr>
                <w:rFonts w:ascii="Calibri" w:eastAsia="Times New Roman" w:hAnsi="Calibri" w:cs="Times New Roman"/>
                <w:color w:val="000000"/>
                <w:sz w:val="18"/>
                <w:szCs w:val="18"/>
              </w:rPr>
              <w:t>+0.05%</w:t>
            </w:r>
          </w:p>
        </w:tc>
      </w:tr>
    </w:tbl>
    <w:p w:rsidR="004A6EB5" w:rsidRPr="00FF03DE" w:rsidRDefault="003A75C4" w:rsidP="004A6EB5">
      <w:pPr>
        <w:rPr>
          <w:rFonts w:asciiTheme="majorBidi" w:hAnsiTheme="majorBidi" w:cstheme="majorBidi"/>
          <w:b/>
          <w:bCs/>
          <w:sz w:val="24"/>
          <w:szCs w:val="24"/>
        </w:rPr>
      </w:pPr>
      <w:r w:rsidRPr="00FF03DE">
        <w:rPr>
          <w:noProof/>
        </w:rPr>
        <w:drawing>
          <wp:inline distT="0" distB="0" distL="0" distR="0" wp14:anchorId="001245CD" wp14:editId="580C67BE">
            <wp:extent cx="3831488" cy="2606722"/>
            <wp:effectExtent l="0" t="0" r="0" b="3175"/>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848643" cy="2618393"/>
                    </a:xfrm>
                    <a:prstGeom prst="rect">
                      <a:avLst/>
                    </a:prstGeom>
                  </pic:spPr>
                </pic:pic>
              </a:graphicData>
            </a:graphic>
          </wp:inline>
        </w:drawing>
      </w:r>
    </w:p>
    <w:p w:rsidR="004A6EB5" w:rsidRPr="00FF03DE" w:rsidRDefault="004A6EB5" w:rsidP="004A6EB5">
      <w:pPr>
        <w:pStyle w:val="ListParagraph"/>
        <w:numPr>
          <w:ilvl w:val="0"/>
          <w:numId w:val="18"/>
        </w:numPr>
        <w:rPr>
          <w:rFonts w:asciiTheme="majorBidi" w:hAnsiTheme="majorBidi" w:cstheme="majorBidi"/>
          <w:sz w:val="24"/>
          <w:szCs w:val="24"/>
        </w:rPr>
      </w:pPr>
      <w:r w:rsidRPr="00FF03DE">
        <w:rPr>
          <w:rFonts w:asciiTheme="majorBidi" w:hAnsiTheme="majorBidi" w:cstheme="majorBidi"/>
          <w:sz w:val="24"/>
          <w:szCs w:val="24"/>
        </w:rPr>
        <w:t xml:space="preserve">Changes in the Network </w:t>
      </w:r>
      <w:r w:rsidRPr="00FF03DE">
        <w:rPr>
          <w:rFonts w:asciiTheme="majorBidi" w:hAnsiTheme="majorBidi" w:cstheme="majorBidi"/>
          <w:sz w:val="24"/>
          <w:szCs w:val="24"/>
        </w:rPr>
        <w:tab/>
        <w:t xml:space="preserve">           (b) Difference in Average DES</w:t>
      </w:r>
    </w:p>
    <w:p w:rsidR="004A6EB5" w:rsidRPr="00045BEB" w:rsidRDefault="004A6EB5" w:rsidP="001114A2">
      <w:pPr>
        <w:pStyle w:val="Caption"/>
        <w:spacing w:after="0"/>
        <w:jc w:val="center"/>
        <w:rPr>
          <w:b w:val="0"/>
          <w:bCs w:val="0"/>
        </w:rPr>
      </w:pPr>
      <w:proofErr w:type="gramStart"/>
      <w:r w:rsidRPr="00FF03DE">
        <w:rPr>
          <w:rFonts w:asciiTheme="majorBidi" w:hAnsiTheme="majorBidi" w:cstheme="majorBidi"/>
          <w:color w:val="auto"/>
          <w:sz w:val="24"/>
          <w:szCs w:val="24"/>
        </w:rPr>
        <w:t>Figure 27.</w:t>
      </w:r>
      <w:proofErr w:type="gramEnd"/>
      <w:r w:rsidRPr="00FF03DE">
        <w:rPr>
          <w:rFonts w:asciiTheme="majorBidi" w:hAnsiTheme="majorBidi" w:cstheme="majorBidi"/>
          <w:color w:val="auto"/>
          <w:sz w:val="24"/>
          <w:szCs w:val="24"/>
        </w:rPr>
        <w:t xml:space="preserve"> Change in Probability Distribution </w:t>
      </w:r>
      <w:proofErr w:type="gramStart"/>
      <w:r w:rsidRPr="00FF03DE">
        <w:rPr>
          <w:rFonts w:asciiTheme="majorBidi" w:hAnsiTheme="majorBidi" w:cstheme="majorBidi"/>
          <w:color w:val="auto"/>
          <w:sz w:val="24"/>
          <w:szCs w:val="24"/>
        </w:rPr>
        <w:t>During</w:t>
      </w:r>
      <w:proofErr w:type="gramEnd"/>
      <w:r w:rsidRPr="00FF03DE">
        <w:rPr>
          <w:rFonts w:asciiTheme="majorBidi" w:hAnsiTheme="majorBidi" w:cstheme="majorBidi"/>
          <w:color w:val="auto"/>
          <w:sz w:val="24"/>
          <w:szCs w:val="24"/>
        </w:rPr>
        <w:t xml:space="preserve"> a</w:t>
      </w:r>
      <w:r w:rsidR="001114A2" w:rsidRPr="00FF03DE">
        <w:rPr>
          <w:rFonts w:asciiTheme="majorBidi" w:hAnsiTheme="majorBidi" w:cstheme="majorBidi"/>
          <w:color w:val="auto"/>
          <w:sz w:val="24"/>
          <w:szCs w:val="24"/>
        </w:rPr>
        <w:t xml:space="preserve"> Drought</w:t>
      </w:r>
    </w:p>
    <w:p w:rsidR="0068685A" w:rsidRDefault="0068685A" w:rsidP="0068685A">
      <w:pPr>
        <w:rPr>
          <w:rFonts w:asciiTheme="majorBidi" w:hAnsiTheme="majorBidi" w:cstheme="majorBidi"/>
          <w:b/>
          <w:bCs/>
          <w:sz w:val="24"/>
          <w:szCs w:val="24"/>
        </w:rPr>
      </w:pPr>
      <w:r>
        <w:rPr>
          <w:rFonts w:asciiTheme="majorBidi" w:hAnsiTheme="majorBidi" w:cstheme="majorBidi"/>
          <w:b/>
          <w:bCs/>
          <w:sz w:val="24"/>
          <w:szCs w:val="24"/>
        </w:rPr>
        <w:lastRenderedPageBreak/>
        <w:t>Attack on Strategic Storage Sites</w:t>
      </w:r>
    </w:p>
    <w:p w:rsidR="00157015" w:rsidRPr="005E2CCD" w:rsidRDefault="00C851BB" w:rsidP="0070496F">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As </w:t>
      </w:r>
      <w:r w:rsidRPr="0070496F">
        <w:rPr>
          <w:rFonts w:asciiTheme="majorBidi" w:hAnsiTheme="majorBidi" w:cstheme="majorBidi"/>
          <w:sz w:val="24"/>
          <w:szCs w:val="24"/>
        </w:rPr>
        <w:t>previously discussed, Oman’s Public Authority for Stores and Food Reserve has established warehouses to stockpile minimum thresholds of food commodities. Another potential crisis would be the destruction of strategic warehouses through enemy attack, natural disaster, or another means of compromis</w:t>
      </w:r>
      <w:r w:rsidR="00157015" w:rsidRPr="0070496F">
        <w:rPr>
          <w:rFonts w:asciiTheme="majorBidi" w:hAnsiTheme="majorBidi" w:cstheme="majorBidi"/>
          <w:sz w:val="24"/>
          <w:szCs w:val="24"/>
        </w:rPr>
        <w:t xml:space="preserve">ing the </w:t>
      </w:r>
      <w:r w:rsidRPr="0070496F">
        <w:rPr>
          <w:rFonts w:asciiTheme="majorBidi" w:hAnsiTheme="majorBidi" w:cstheme="majorBidi"/>
          <w:sz w:val="24"/>
          <w:szCs w:val="24"/>
        </w:rPr>
        <w:t>stored food.</w:t>
      </w:r>
      <w:r w:rsidR="00FF03DE" w:rsidRPr="0070496F">
        <w:rPr>
          <w:rStyle w:val="FootnoteReference"/>
          <w:rFonts w:asciiTheme="majorBidi" w:hAnsiTheme="majorBidi" w:cstheme="majorBidi"/>
          <w:sz w:val="24"/>
          <w:szCs w:val="24"/>
        </w:rPr>
        <w:footnoteReference w:id="76"/>
      </w:r>
      <w:r w:rsidRPr="0070496F">
        <w:rPr>
          <w:rFonts w:asciiTheme="majorBidi" w:hAnsiTheme="majorBidi" w:cstheme="majorBidi"/>
          <w:sz w:val="24"/>
          <w:szCs w:val="24"/>
        </w:rPr>
        <w:t xml:space="preserve"> </w:t>
      </w:r>
      <w:r w:rsidR="00157015" w:rsidRPr="0070496F">
        <w:rPr>
          <w:rFonts w:asciiTheme="majorBidi" w:hAnsiTheme="majorBidi" w:cstheme="majorBidi"/>
          <w:sz w:val="24"/>
          <w:szCs w:val="24"/>
        </w:rPr>
        <w:t xml:space="preserve">To simulate this scenario in Figure </w:t>
      </w:r>
      <w:proofErr w:type="gramStart"/>
      <w:r w:rsidR="00157015" w:rsidRPr="0070496F">
        <w:rPr>
          <w:rFonts w:asciiTheme="majorBidi" w:hAnsiTheme="majorBidi" w:cstheme="majorBidi"/>
          <w:sz w:val="24"/>
          <w:szCs w:val="24"/>
        </w:rPr>
        <w:t>28a,</w:t>
      </w:r>
      <w:proofErr w:type="gramEnd"/>
      <w:r w:rsidR="00157015" w:rsidRPr="0070496F">
        <w:rPr>
          <w:rFonts w:asciiTheme="majorBidi" w:hAnsiTheme="majorBidi" w:cstheme="majorBidi"/>
          <w:sz w:val="24"/>
          <w:szCs w:val="24"/>
        </w:rPr>
        <w:t xml:space="preserve"> or any other massive loss in food supply through transportation and storage issues, the annual food supply per capita node was fixed to its lower bin of 150 kilograms per capita per year, indicating that food availability may drop below this mark. Figure 28b calculated the changes in probability distribution for each bin in average DES, greatly increasing the likelihood of Oman having a lower average DES and becoming more food insecure. The lowest bin and second lowest bin respectively increased 1.96% and 6.16% in probability. The</w:t>
      </w:r>
      <w:r w:rsidR="002D06B3" w:rsidRPr="0070496F">
        <w:rPr>
          <w:rFonts w:asciiTheme="majorBidi" w:hAnsiTheme="majorBidi" w:cstheme="majorBidi"/>
          <w:sz w:val="24"/>
          <w:szCs w:val="24"/>
        </w:rPr>
        <w:t xml:space="preserve"> bins with split points greater than 3</w:t>
      </w:r>
      <w:r w:rsidR="00157015" w:rsidRPr="0070496F">
        <w:rPr>
          <w:rFonts w:asciiTheme="majorBidi" w:hAnsiTheme="majorBidi" w:cstheme="majorBidi"/>
          <w:sz w:val="24"/>
          <w:szCs w:val="24"/>
        </w:rPr>
        <w:t xml:space="preserve">,000 kilocalories per person per day each decreased in probability. The middle bin dropped 4.45%, the second highest by </w:t>
      </w:r>
      <w:proofErr w:type="gramStart"/>
      <w:r w:rsidR="00157015" w:rsidRPr="0070496F">
        <w:rPr>
          <w:rFonts w:asciiTheme="majorBidi" w:hAnsiTheme="majorBidi" w:cstheme="majorBidi"/>
          <w:sz w:val="24"/>
          <w:szCs w:val="24"/>
        </w:rPr>
        <w:t>1.03%,</w:t>
      </w:r>
      <w:proofErr w:type="gramEnd"/>
      <w:r w:rsidR="00157015" w:rsidRPr="0070496F">
        <w:rPr>
          <w:rFonts w:asciiTheme="majorBidi" w:hAnsiTheme="majorBidi" w:cstheme="majorBidi"/>
          <w:sz w:val="24"/>
          <w:szCs w:val="24"/>
        </w:rPr>
        <w:t xml:space="preserve"> and the highest by 2.44%.</w:t>
      </w:r>
      <w:r w:rsidR="00157015">
        <w:rPr>
          <w:rFonts w:asciiTheme="majorBidi" w:hAnsiTheme="majorBidi" w:cstheme="majorBidi"/>
          <w:sz w:val="24"/>
          <w:szCs w:val="24"/>
        </w:rPr>
        <w:t xml:space="preserve"> </w:t>
      </w:r>
    </w:p>
    <w:tbl>
      <w:tblPr>
        <w:tblpPr w:leftFromText="180" w:rightFromText="180" w:vertAnchor="text" w:horzAnchor="page" w:tblpX="7867" w:tblpY="2306"/>
        <w:tblW w:w="2280" w:type="dxa"/>
        <w:tblLook w:val="04A0" w:firstRow="1" w:lastRow="0" w:firstColumn="1" w:lastColumn="0" w:noHBand="0" w:noVBand="1"/>
      </w:tblPr>
      <w:tblGrid>
        <w:gridCol w:w="1180"/>
        <w:gridCol w:w="1100"/>
      </w:tblGrid>
      <w:tr w:rsidR="001114A2" w:rsidRPr="00956D63" w:rsidTr="001114A2">
        <w:trPr>
          <w:trHeight w:val="300"/>
        </w:trPr>
        <w:tc>
          <w:tcPr>
            <w:tcW w:w="118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1114A2" w:rsidRPr="00956D63" w:rsidRDefault="001114A2" w:rsidP="001114A2">
            <w:pPr>
              <w:spacing w:after="0" w:line="240" w:lineRule="auto"/>
              <w:jc w:val="center"/>
              <w:rPr>
                <w:rFonts w:ascii="Calibri" w:eastAsia="Times New Roman" w:hAnsi="Calibri" w:cs="Times New Roman"/>
                <w:b/>
                <w:bCs/>
                <w:color w:val="FFFFFF"/>
                <w:sz w:val="18"/>
                <w:szCs w:val="18"/>
              </w:rPr>
            </w:pPr>
            <w:r w:rsidRPr="00956D63">
              <w:rPr>
                <w:rFonts w:ascii="Calibri" w:eastAsia="Times New Roman" w:hAnsi="Calibri" w:cs="Times New Roman"/>
                <w:b/>
                <w:bCs/>
                <w:color w:val="FFFFFF"/>
                <w:sz w:val="18"/>
                <w:szCs w:val="18"/>
              </w:rPr>
              <w:t>Bin</w:t>
            </w:r>
          </w:p>
        </w:tc>
        <w:tc>
          <w:tcPr>
            <w:tcW w:w="11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1114A2" w:rsidRPr="00956D63" w:rsidRDefault="001114A2" w:rsidP="001114A2">
            <w:pPr>
              <w:spacing w:after="0" w:line="240" w:lineRule="auto"/>
              <w:jc w:val="center"/>
              <w:rPr>
                <w:rFonts w:ascii="Calibri" w:eastAsia="Times New Roman" w:hAnsi="Calibri" w:cs="Times New Roman"/>
                <w:b/>
                <w:bCs/>
                <w:color w:val="FFFFFF"/>
                <w:sz w:val="18"/>
                <w:szCs w:val="18"/>
              </w:rPr>
            </w:pPr>
            <w:r w:rsidRPr="00956D63">
              <w:rPr>
                <w:rFonts w:ascii="Calibri" w:eastAsia="Times New Roman" w:hAnsi="Calibri" w:cs="Times New Roman"/>
                <w:b/>
                <w:bCs/>
                <w:color w:val="FFFFFF"/>
                <w:sz w:val="18"/>
                <w:szCs w:val="18"/>
              </w:rPr>
              <w:t>Change</w:t>
            </w:r>
          </w:p>
        </w:tc>
      </w:tr>
      <w:tr w:rsidR="001114A2" w:rsidRPr="00956D63" w:rsidTr="001114A2">
        <w:trPr>
          <w:trHeight w:val="300"/>
        </w:trPr>
        <w:tc>
          <w:tcPr>
            <w:tcW w:w="1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1114A2" w:rsidRPr="00956D63" w:rsidRDefault="001114A2" w:rsidP="001114A2">
            <w:pPr>
              <w:spacing w:after="0" w:line="240" w:lineRule="auto"/>
              <w:jc w:val="center"/>
              <w:rPr>
                <w:rFonts w:ascii="Calibri" w:eastAsia="Times New Roman" w:hAnsi="Calibri" w:cs="Times New Roman"/>
                <w:color w:val="000000"/>
                <w:sz w:val="18"/>
                <w:szCs w:val="18"/>
              </w:rPr>
            </w:pPr>
            <w:r w:rsidRPr="00956D63">
              <w:rPr>
                <w:rFonts w:ascii="Calibri" w:eastAsia="Times New Roman" w:hAnsi="Calibri" w:cs="Times New Roman"/>
                <w:color w:val="000000"/>
                <w:sz w:val="18"/>
                <w:szCs w:val="18"/>
              </w:rPr>
              <w:t>&lt;2100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1114A2" w:rsidRPr="00956D63" w:rsidRDefault="001114A2" w:rsidP="001114A2">
            <w:pPr>
              <w:spacing w:after="0" w:line="240" w:lineRule="auto"/>
              <w:jc w:val="center"/>
              <w:rPr>
                <w:rFonts w:ascii="Calibri" w:eastAsia="Times New Roman" w:hAnsi="Calibri" w:cs="Times New Roman"/>
                <w:color w:val="000000"/>
                <w:sz w:val="18"/>
                <w:szCs w:val="18"/>
              </w:rPr>
            </w:pPr>
            <w:r w:rsidRPr="00956D63">
              <w:rPr>
                <w:rFonts w:ascii="Calibri" w:eastAsia="Times New Roman" w:hAnsi="Calibri" w:cs="Times New Roman"/>
                <w:color w:val="000000"/>
                <w:sz w:val="18"/>
                <w:szCs w:val="18"/>
              </w:rPr>
              <w:t>+</w:t>
            </w:r>
            <w:r>
              <w:rPr>
                <w:rFonts w:ascii="Calibri" w:eastAsia="Times New Roman" w:hAnsi="Calibri" w:cs="Times New Roman"/>
                <w:color w:val="000000"/>
                <w:sz w:val="18"/>
                <w:szCs w:val="18"/>
              </w:rPr>
              <w:t>1.96</w:t>
            </w:r>
            <w:r w:rsidRPr="00956D63">
              <w:rPr>
                <w:rFonts w:ascii="Calibri" w:eastAsia="Times New Roman" w:hAnsi="Calibri" w:cs="Times New Roman"/>
                <w:color w:val="000000"/>
                <w:sz w:val="18"/>
                <w:szCs w:val="18"/>
              </w:rPr>
              <w:t>%</w:t>
            </w:r>
          </w:p>
        </w:tc>
      </w:tr>
      <w:tr w:rsidR="001114A2" w:rsidRPr="00956D63" w:rsidTr="001114A2">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114A2" w:rsidRPr="00956D63" w:rsidRDefault="001114A2" w:rsidP="001114A2">
            <w:pPr>
              <w:spacing w:after="0" w:line="240" w:lineRule="auto"/>
              <w:jc w:val="center"/>
              <w:rPr>
                <w:rFonts w:ascii="Calibri" w:eastAsia="Times New Roman" w:hAnsi="Calibri" w:cs="Times New Roman"/>
                <w:color w:val="000000"/>
                <w:sz w:val="18"/>
                <w:szCs w:val="18"/>
              </w:rPr>
            </w:pPr>
            <w:r w:rsidRPr="00956D63">
              <w:rPr>
                <w:rFonts w:ascii="Calibri" w:eastAsia="Times New Roman" w:hAnsi="Calibri" w:cs="Times New Roman"/>
                <w:color w:val="000000"/>
                <w:sz w:val="18"/>
                <w:szCs w:val="18"/>
              </w:rPr>
              <w:t>(2100, 3000)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114A2" w:rsidRPr="00956D63" w:rsidRDefault="001114A2" w:rsidP="001114A2">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+6.16</w:t>
            </w:r>
            <w:r w:rsidRPr="00956D63">
              <w:rPr>
                <w:rFonts w:ascii="Calibri" w:eastAsia="Times New Roman" w:hAnsi="Calibri" w:cs="Times New Roman"/>
                <w:color w:val="000000"/>
                <w:sz w:val="18"/>
                <w:szCs w:val="18"/>
              </w:rPr>
              <w:t>%</w:t>
            </w:r>
          </w:p>
        </w:tc>
      </w:tr>
      <w:tr w:rsidR="001114A2" w:rsidRPr="00956D63" w:rsidTr="001114A2">
        <w:trPr>
          <w:trHeight w:val="300"/>
        </w:trPr>
        <w:tc>
          <w:tcPr>
            <w:tcW w:w="11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1114A2" w:rsidRPr="00956D63" w:rsidRDefault="001114A2" w:rsidP="001114A2">
            <w:pPr>
              <w:spacing w:after="0" w:line="240" w:lineRule="auto"/>
              <w:jc w:val="center"/>
              <w:rPr>
                <w:rFonts w:ascii="Calibri" w:eastAsia="Times New Roman" w:hAnsi="Calibri" w:cs="Times New Roman"/>
                <w:color w:val="000000"/>
                <w:sz w:val="18"/>
                <w:szCs w:val="18"/>
              </w:rPr>
            </w:pPr>
            <w:r w:rsidRPr="00956D63">
              <w:rPr>
                <w:rFonts w:ascii="Calibri" w:eastAsia="Times New Roman" w:hAnsi="Calibri" w:cs="Times New Roman"/>
                <w:color w:val="000000"/>
                <w:sz w:val="18"/>
                <w:szCs w:val="18"/>
              </w:rPr>
              <w:t>(3000, 3250)</w:t>
            </w:r>
          </w:p>
        </w:tc>
        <w:tc>
          <w:tcPr>
            <w:tcW w:w="11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1114A2" w:rsidRPr="00956D63" w:rsidRDefault="001114A2" w:rsidP="001114A2">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-4.45</w:t>
            </w:r>
            <w:r w:rsidRPr="00956D63">
              <w:rPr>
                <w:rFonts w:ascii="Calibri" w:eastAsia="Times New Roman" w:hAnsi="Calibri" w:cs="Times New Roman"/>
                <w:color w:val="000000"/>
                <w:sz w:val="18"/>
                <w:szCs w:val="18"/>
              </w:rPr>
              <w:t>%</w:t>
            </w:r>
          </w:p>
        </w:tc>
      </w:tr>
      <w:tr w:rsidR="001114A2" w:rsidRPr="00956D63" w:rsidTr="001114A2">
        <w:trPr>
          <w:trHeight w:val="300"/>
        </w:trPr>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114A2" w:rsidRPr="00956D63" w:rsidRDefault="001114A2" w:rsidP="001114A2">
            <w:pPr>
              <w:spacing w:after="0" w:line="240" w:lineRule="auto"/>
              <w:jc w:val="center"/>
              <w:rPr>
                <w:rFonts w:ascii="Calibri" w:eastAsia="Times New Roman" w:hAnsi="Calibri" w:cs="Times New Roman"/>
                <w:color w:val="000000"/>
                <w:sz w:val="18"/>
                <w:szCs w:val="18"/>
              </w:rPr>
            </w:pPr>
            <w:r w:rsidRPr="00956D63">
              <w:rPr>
                <w:rFonts w:ascii="Calibri" w:eastAsia="Times New Roman" w:hAnsi="Calibri" w:cs="Times New Roman"/>
                <w:color w:val="000000"/>
                <w:sz w:val="18"/>
                <w:szCs w:val="18"/>
              </w:rPr>
              <w:t>(3250, 3500)</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114A2" w:rsidRPr="00956D63" w:rsidRDefault="001114A2" w:rsidP="001114A2">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-1.03</w:t>
            </w:r>
            <w:r w:rsidRPr="00956D63">
              <w:rPr>
                <w:rFonts w:ascii="Calibri" w:eastAsia="Times New Roman" w:hAnsi="Calibri" w:cs="Times New Roman"/>
                <w:color w:val="000000"/>
                <w:sz w:val="18"/>
                <w:szCs w:val="18"/>
              </w:rPr>
              <w:t>%</w:t>
            </w:r>
          </w:p>
        </w:tc>
      </w:tr>
      <w:tr w:rsidR="001114A2" w:rsidRPr="00956D63" w:rsidTr="001114A2">
        <w:trPr>
          <w:trHeight w:val="300"/>
        </w:trPr>
        <w:tc>
          <w:tcPr>
            <w:tcW w:w="118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1114A2" w:rsidRPr="00956D63" w:rsidRDefault="001114A2" w:rsidP="001114A2">
            <w:pPr>
              <w:spacing w:after="0" w:line="240" w:lineRule="auto"/>
              <w:jc w:val="center"/>
              <w:rPr>
                <w:rFonts w:ascii="Calibri" w:eastAsia="Times New Roman" w:hAnsi="Calibri" w:cs="Times New Roman"/>
                <w:color w:val="000000"/>
                <w:sz w:val="18"/>
                <w:szCs w:val="18"/>
              </w:rPr>
            </w:pPr>
            <w:r w:rsidRPr="00956D63">
              <w:rPr>
                <w:rFonts w:ascii="Calibri" w:eastAsia="Times New Roman" w:hAnsi="Calibri" w:cs="Times New Roman"/>
                <w:color w:val="000000"/>
                <w:sz w:val="18"/>
                <w:szCs w:val="18"/>
              </w:rPr>
              <w:t>&gt;3500</w:t>
            </w:r>
          </w:p>
        </w:tc>
        <w:tc>
          <w:tcPr>
            <w:tcW w:w="110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1114A2" w:rsidRPr="00956D63" w:rsidRDefault="001114A2" w:rsidP="001114A2">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-2.44</w:t>
            </w:r>
            <w:r w:rsidRPr="00956D63">
              <w:rPr>
                <w:rFonts w:ascii="Calibri" w:eastAsia="Times New Roman" w:hAnsi="Calibri" w:cs="Times New Roman"/>
                <w:color w:val="000000"/>
                <w:sz w:val="18"/>
                <w:szCs w:val="18"/>
              </w:rPr>
              <w:t>%</w:t>
            </w:r>
          </w:p>
        </w:tc>
      </w:tr>
    </w:tbl>
    <w:p w:rsidR="001114A2" w:rsidRPr="005E34BC" w:rsidRDefault="001114A2" w:rsidP="001114A2">
      <w:pPr>
        <w:spacing w:after="0" w:line="480" w:lineRule="auto"/>
        <w:rPr>
          <w:rFonts w:asciiTheme="majorBidi" w:hAnsiTheme="majorBidi" w:cstheme="majorBidi"/>
          <w:sz w:val="24"/>
          <w:szCs w:val="24"/>
        </w:rPr>
      </w:pPr>
      <w:r>
        <w:rPr>
          <w:noProof/>
        </w:rPr>
        <w:drawing>
          <wp:inline distT="0" distB="0" distL="0" distR="0" wp14:anchorId="6736D0E3" wp14:editId="3CF87C8A">
            <wp:extent cx="3791968" cy="2688609"/>
            <wp:effectExtent l="0" t="0" r="0"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799635" cy="2694045"/>
                    </a:xfrm>
                    <a:prstGeom prst="rect">
                      <a:avLst/>
                    </a:prstGeom>
                  </pic:spPr>
                </pic:pic>
              </a:graphicData>
            </a:graphic>
          </wp:inline>
        </w:drawing>
      </w:r>
      <w:r w:rsidRPr="001114A2">
        <w:rPr>
          <w:rFonts w:asciiTheme="majorBidi" w:hAnsiTheme="majorBidi" w:cstheme="majorBidi"/>
          <w:sz w:val="24"/>
          <w:szCs w:val="24"/>
        </w:rPr>
        <w:t xml:space="preserve"> </w:t>
      </w:r>
    </w:p>
    <w:p w:rsidR="001114A2" w:rsidRDefault="001114A2" w:rsidP="001114A2">
      <w:pPr>
        <w:pStyle w:val="ListParagraph"/>
        <w:numPr>
          <w:ilvl w:val="0"/>
          <w:numId w:val="19"/>
        </w:numPr>
        <w:rPr>
          <w:rFonts w:asciiTheme="majorBidi" w:hAnsiTheme="majorBidi" w:cstheme="majorBidi"/>
          <w:sz w:val="24"/>
          <w:szCs w:val="24"/>
        </w:rPr>
      </w:pPr>
      <w:r w:rsidRPr="00B65972">
        <w:rPr>
          <w:rFonts w:asciiTheme="majorBidi" w:hAnsiTheme="majorBidi" w:cstheme="majorBidi"/>
          <w:sz w:val="24"/>
          <w:szCs w:val="24"/>
        </w:rPr>
        <w:t>Chan</w:t>
      </w:r>
      <w:r>
        <w:rPr>
          <w:rFonts w:asciiTheme="majorBidi" w:hAnsiTheme="majorBidi" w:cstheme="majorBidi"/>
          <w:sz w:val="24"/>
          <w:szCs w:val="24"/>
        </w:rPr>
        <w:t xml:space="preserve">ges in the Network </w:t>
      </w:r>
      <w:r>
        <w:rPr>
          <w:rFonts w:asciiTheme="majorBidi" w:hAnsiTheme="majorBidi" w:cstheme="majorBidi"/>
          <w:sz w:val="24"/>
          <w:szCs w:val="24"/>
        </w:rPr>
        <w:tab/>
        <w:t xml:space="preserve">         </w:t>
      </w:r>
      <w:r w:rsidRPr="00B65972">
        <w:rPr>
          <w:rFonts w:asciiTheme="majorBidi" w:hAnsiTheme="majorBidi" w:cstheme="majorBidi"/>
          <w:sz w:val="24"/>
          <w:szCs w:val="24"/>
        </w:rPr>
        <w:t xml:space="preserve">  (b) Difference in Average DES</w:t>
      </w:r>
    </w:p>
    <w:p w:rsidR="001114A2" w:rsidRPr="001114A2" w:rsidRDefault="001114A2" w:rsidP="0070496F">
      <w:pPr>
        <w:spacing w:after="0" w:line="240" w:lineRule="auto"/>
        <w:jc w:val="center"/>
        <w:rPr>
          <w:rFonts w:asciiTheme="majorBidi" w:hAnsiTheme="majorBidi" w:cstheme="majorBidi"/>
          <w:b/>
          <w:bCs/>
          <w:sz w:val="24"/>
          <w:szCs w:val="24"/>
        </w:rPr>
      </w:pPr>
      <w:proofErr w:type="gramStart"/>
      <w:r w:rsidRPr="0070496F">
        <w:rPr>
          <w:rFonts w:asciiTheme="majorBidi" w:hAnsiTheme="majorBidi" w:cstheme="majorBidi"/>
          <w:b/>
          <w:bCs/>
          <w:sz w:val="24"/>
          <w:szCs w:val="24"/>
        </w:rPr>
        <w:t>Figure 28.</w:t>
      </w:r>
      <w:proofErr w:type="gramEnd"/>
      <w:r w:rsidRPr="0070496F">
        <w:rPr>
          <w:rFonts w:asciiTheme="majorBidi" w:hAnsiTheme="majorBidi" w:cstheme="majorBidi"/>
          <w:b/>
          <w:bCs/>
          <w:sz w:val="24"/>
          <w:szCs w:val="24"/>
        </w:rPr>
        <w:t xml:space="preserve"> Change in Probability Distribution </w:t>
      </w:r>
      <w:proofErr w:type="gramStart"/>
      <w:r w:rsidRPr="0070496F">
        <w:rPr>
          <w:rFonts w:asciiTheme="majorBidi" w:hAnsiTheme="majorBidi" w:cstheme="majorBidi"/>
          <w:b/>
          <w:bCs/>
          <w:sz w:val="24"/>
          <w:szCs w:val="24"/>
        </w:rPr>
        <w:t>During</w:t>
      </w:r>
      <w:proofErr w:type="gramEnd"/>
      <w:r w:rsidRPr="0070496F">
        <w:rPr>
          <w:rFonts w:asciiTheme="majorBidi" w:hAnsiTheme="majorBidi" w:cstheme="majorBidi"/>
          <w:b/>
          <w:bCs/>
          <w:sz w:val="24"/>
          <w:szCs w:val="24"/>
        </w:rPr>
        <w:t xml:space="preserve"> an</w:t>
      </w:r>
      <w:r w:rsidR="0070496F">
        <w:rPr>
          <w:rFonts w:asciiTheme="majorBidi" w:hAnsiTheme="majorBidi" w:cstheme="majorBidi"/>
          <w:b/>
          <w:bCs/>
          <w:sz w:val="24"/>
          <w:szCs w:val="24"/>
        </w:rPr>
        <w:t xml:space="preserve"> </w:t>
      </w:r>
      <w:r w:rsidRPr="0070496F">
        <w:rPr>
          <w:rFonts w:asciiTheme="majorBidi" w:hAnsiTheme="majorBidi" w:cstheme="majorBidi"/>
          <w:b/>
          <w:bCs/>
          <w:sz w:val="24"/>
          <w:szCs w:val="24"/>
        </w:rPr>
        <w:t>Attack on Strategic Storage Sites</w:t>
      </w:r>
    </w:p>
    <w:p w:rsidR="0070496F" w:rsidRDefault="0070496F" w:rsidP="0070496F">
      <w:pPr>
        <w:widowControl w:val="0"/>
        <w:tabs>
          <w:tab w:val="left" w:pos="-1022"/>
          <w:tab w:val="left" w:pos="-720"/>
          <w:tab w:val="left" w:pos="450"/>
          <w:tab w:val="left" w:pos="72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II.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Conclusion</w:t>
      </w:r>
    </w:p>
    <w:p w:rsidR="0070496F" w:rsidRPr="0070496F" w:rsidRDefault="0070496F" w:rsidP="0070496F">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Of the five scenarios explored in this study, the two greatest threats appear to come from an attack on strategic storage sites, which would drastically decrease Oman’s annual food supply, and an international refusal to sell crops, which would also indirectly diminish annual food supply. These two crises produced clear, one-directional movement towards more food insecure probability distributions in average Daily Energy Supply. </w:t>
      </w:r>
      <w:r>
        <w:rPr>
          <w:rFonts w:ascii="Times New Roman" w:eastAsia="Times New Roman" w:hAnsi="Times New Roman" w:cs="Times New Roman"/>
          <w:sz w:val="24"/>
          <w:szCs w:val="24"/>
        </w:rPr>
        <w:t xml:space="preserve"> </w:t>
      </w:r>
    </w:p>
    <w:p w:rsidR="00537960" w:rsidRDefault="00537960" w:rsidP="00157015">
      <w:pPr>
        <w:spacing w:after="0" w:line="480" w:lineRule="auto"/>
        <w:rPr>
          <w:rFonts w:asciiTheme="majorBidi" w:hAnsiTheme="majorBidi" w:cstheme="majorBidi"/>
          <w:sz w:val="24"/>
          <w:szCs w:val="24"/>
        </w:rPr>
      </w:pPr>
    </w:p>
    <w:p w:rsidR="00731EEF" w:rsidRDefault="00731EEF" w:rsidP="00157015">
      <w:pPr>
        <w:spacing w:after="0" w:line="480" w:lineRule="auto"/>
        <w:rPr>
          <w:rFonts w:asciiTheme="majorBidi" w:hAnsiTheme="majorBidi" w:cstheme="majorBidi"/>
          <w:sz w:val="24"/>
          <w:szCs w:val="24"/>
        </w:rPr>
      </w:pPr>
    </w:p>
    <w:p w:rsidR="00731EEF" w:rsidRDefault="00731EEF" w:rsidP="00157015">
      <w:pPr>
        <w:spacing w:after="0" w:line="480" w:lineRule="auto"/>
        <w:rPr>
          <w:rFonts w:asciiTheme="majorBidi" w:hAnsiTheme="majorBidi" w:cstheme="majorBidi"/>
          <w:sz w:val="24"/>
          <w:szCs w:val="24"/>
        </w:rPr>
      </w:pPr>
    </w:p>
    <w:p w:rsidR="00731EEF" w:rsidRDefault="00731EEF" w:rsidP="00157015">
      <w:pPr>
        <w:spacing w:after="0" w:line="480" w:lineRule="auto"/>
        <w:rPr>
          <w:rFonts w:asciiTheme="majorBidi" w:hAnsiTheme="majorBidi" w:cstheme="majorBidi"/>
          <w:sz w:val="24"/>
          <w:szCs w:val="24"/>
        </w:rPr>
      </w:pPr>
    </w:p>
    <w:p w:rsidR="00731EEF" w:rsidRDefault="00731EEF" w:rsidP="00157015">
      <w:pPr>
        <w:spacing w:after="0" w:line="480" w:lineRule="auto"/>
        <w:rPr>
          <w:rFonts w:asciiTheme="majorBidi" w:hAnsiTheme="majorBidi" w:cstheme="majorBidi"/>
          <w:sz w:val="24"/>
          <w:szCs w:val="24"/>
        </w:rPr>
      </w:pPr>
    </w:p>
    <w:p w:rsidR="00731EEF" w:rsidRDefault="00731EEF" w:rsidP="00157015">
      <w:pPr>
        <w:spacing w:after="0" w:line="480" w:lineRule="auto"/>
        <w:rPr>
          <w:rFonts w:asciiTheme="majorBidi" w:hAnsiTheme="majorBidi" w:cstheme="majorBidi"/>
          <w:sz w:val="24"/>
          <w:szCs w:val="24"/>
        </w:rPr>
      </w:pPr>
    </w:p>
    <w:p w:rsidR="00731EEF" w:rsidRDefault="00731EEF" w:rsidP="00157015">
      <w:pPr>
        <w:spacing w:after="0" w:line="480" w:lineRule="auto"/>
        <w:rPr>
          <w:rFonts w:asciiTheme="majorBidi" w:hAnsiTheme="majorBidi" w:cstheme="majorBidi"/>
          <w:sz w:val="24"/>
          <w:szCs w:val="24"/>
        </w:rPr>
      </w:pPr>
    </w:p>
    <w:p w:rsidR="00731EEF" w:rsidRDefault="00731EEF" w:rsidP="00157015">
      <w:pPr>
        <w:spacing w:after="0" w:line="480" w:lineRule="auto"/>
        <w:rPr>
          <w:rFonts w:asciiTheme="majorBidi" w:hAnsiTheme="majorBidi" w:cstheme="majorBidi"/>
          <w:sz w:val="24"/>
          <w:szCs w:val="24"/>
        </w:rPr>
      </w:pPr>
    </w:p>
    <w:p w:rsidR="00731EEF" w:rsidRDefault="00731EEF" w:rsidP="00157015">
      <w:pPr>
        <w:spacing w:after="0" w:line="480" w:lineRule="auto"/>
        <w:rPr>
          <w:rFonts w:asciiTheme="majorBidi" w:hAnsiTheme="majorBidi" w:cstheme="majorBidi"/>
          <w:sz w:val="24"/>
          <w:szCs w:val="24"/>
        </w:rPr>
      </w:pPr>
    </w:p>
    <w:p w:rsidR="00731EEF" w:rsidRDefault="00731EEF" w:rsidP="00157015">
      <w:pPr>
        <w:spacing w:after="0" w:line="480" w:lineRule="auto"/>
        <w:rPr>
          <w:rFonts w:asciiTheme="majorBidi" w:hAnsiTheme="majorBidi" w:cstheme="majorBidi"/>
          <w:sz w:val="24"/>
          <w:szCs w:val="24"/>
        </w:rPr>
      </w:pPr>
    </w:p>
    <w:p w:rsidR="00FD25C9" w:rsidRDefault="00FD25C9" w:rsidP="00157015">
      <w:pPr>
        <w:spacing w:after="0" w:line="480" w:lineRule="auto"/>
        <w:rPr>
          <w:rFonts w:asciiTheme="majorBidi" w:hAnsiTheme="majorBidi" w:cstheme="majorBidi"/>
          <w:sz w:val="24"/>
          <w:szCs w:val="24"/>
        </w:rPr>
      </w:pPr>
    </w:p>
    <w:p w:rsidR="00FD25C9" w:rsidRDefault="00FD25C9" w:rsidP="00157015">
      <w:pPr>
        <w:spacing w:after="0" w:line="480" w:lineRule="auto"/>
        <w:rPr>
          <w:rFonts w:asciiTheme="majorBidi" w:hAnsiTheme="majorBidi" w:cstheme="majorBidi"/>
          <w:sz w:val="24"/>
          <w:szCs w:val="24"/>
        </w:rPr>
      </w:pPr>
    </w:p>
    <w:p w:rsidR="00FD25C9" w:rsidRDefault="00FD25C9" w:rsidP="00157015">
      <w:pPr>
        <w:spacing w:after="0" w:line="480" w:lineRule="auto"/>
        <w:rPr>
          <w:rFonts w:asciiTheme="majorBidi" w:hAnsiTheme="majorBidi" w:cstheme="majorBidi"/>
          <w:sz w:val="24"/>
          <w:szCs w:val="24"/>
        </w:rPr>
      </w:pPr>
    </w:p>
    <w:p w:rsidR="00FD25C9" w:rsidRDefault="00FD25C9" w:rsidP="00157015">
      <w:pPr>
        <w:spacing w:after="0" w:line="480" w:lineRule="auto"/>
        <w:rPr>
          <w:rFonts w:asciiTheme="majorBidi" w:hAnsiTheme="majorBidi" w:cstheme="majorBidi"/>
          <w:sz w:val="24"/>
          <w:szCs w:val="24"/>
        </w:rPr>
      </w:pPr>
    </w:p>
    <w:p w:rsidR="00FD25C9" w:rsidRDefault="00FD25C9" w:rsidP="00157015">
      <w:pPr>
        <w:spacing w:after="0" w:line="480" w:lineRule="auto"/>
        <w:rPr>
          <w:rFonts w:asciiTheme="majorBidi" w:hAnsiTheme="majorBidi" w:cstheme="majorBidi"/>
          <w:sz w:val="24"/>
          <w:szCs w:val="24"/>
        </w:rPr>
      </w:pPr>
    </w:p>
    <w:p w:rsidR="00FD25C9" w:rsidRDefault="00FD25C9" w:rsidP="00157015">
      <w:pPr>
        <w:spacing w:after="0" w:line="480" w:lineRule="auto"/>
        <w:rPr>
          <w:rFonts w:asciiTheme="majorBidi" w:hAnsiTheme="majorBidi" w:cstheme="majorBidi"/>
          <w:sz w:val="24"/>
          <w:szCs w:val="24"/>
        </w:rPr>
      </w:pPr>
    </w:p>
    <w:p w:rsidR="00FD25C9" w:rsidRDefault="00FD25C9" w:rsidP="00157015">
      <w:pPr>
        <w:spacing w:after="0" w:line="480" w:lineRule="auto"/>
        <w:rPr>
          <w:rFonts w:asciiTheme="majorBidi" w:hAnsiTheme="majorBidi" w:cstheme="majorBidi"/>
          <w:sz w:val="24"/>
          <w:szCs w:val="24"/>
        </w:rPr>
      </w:pPr>
    </w:p>
    <w:p w:rsidR="00731EEF" w:rsidRDefault="00731EEF" w:rsidP="00731EEF">
      <w:pPr>
        <w:spacing w:after="0" w:line="480" w:lineRule="auto"/>
        <w:jc w:val="center"/>
        <w:rPr>
          <w:rFonts w:asciiTheme="majorBidi" w:hAnsiTheme="majorBidi" w:cstheme="majorBidi"/>
          <w:sz w:val="24"/>
          <w:szCs w:val="24"/>
        </w:rPr>
      </w:pPr>
      <w:r>
        <w:rPr>
          <w:rFonts w:asciiTheme="majorBidi" w:hAnsiTheme="majorBidi" w:cstheme="majorBidi"/>
          <w:sz w:val="24"/>
          <w:szCs w:val="24"/>
        </w:rPr>
        <w:lastRenderedPageBreak/>
        <w:t>Works Cited</w:t>
      </w:r>
    </w:p>
    <w:p w:rsidR="0070496F" w:rsidRDefault="0070496F" w:rsidP="0070496F">
      <w:pPr>
        <w:spacing w:after="0" w:line="240" w:lineRule="auto"/>
        <w:rPr>
          <w:rFonts w:asciiTheme="majorBidi" w:hAnsiTheme="majorBidi" w:cstheme="majorBidi"/>
          <w:sz w:val="24"/>
          <w:szCs w:val="24"/>
        </w:rPr>
      </w:pPr>
      <w:proofErr w:type="gramStart"/>
      <w:r w:rsidRPr="0070496F">
        <w:rPr>
          <w:rFonts w:asciiTheme="majorBidi" w:hAnsiTheme="majorBidi" w:cstheme="majorBidi"/>
          <w:sz w:val="24"/>
          <w:szCs w:val="24"/>
        </w:rPr>
        <w:t>Al-Alawi,</w:t>
      </w:r>
      <w:r>
        <w:rPr>
          <w:rFonts w:asciiTheme="majorBidi" w:hAnsiTheme="majorBidi" w:cstheme="majorBidi"/>
          <w:sz w:val="24"/>
          <w:szCs w:val="24"/>
        </w:rPr>
        <w:t xml:space="preserve"> </w:t>
      </w:r>
      <w:r w:rsidRPr="0070496F">
        <w:rPr>
          <w:rFonts w:asciiTheme="majorBidi" w:hAnsiTheme="majorBidi" w:cstheme="majorBidi"/>
          <w:sz w:val="24"/>
          <w:szCs w:val="24"/>
        </w:rPr>
        <w:t>Othman</w:t>
      </w:r>
      <w:r>
        <w:rPr>
          <w:rFonts w:asciiTheme="majorBidi" w:hAnsiTheme="majorBidi" w:cstheme="majorBidi"/>
          <w:sz w:val="24"/>
          <w:szCs w:val="24"/>
        </w:rPr>
        <w:t>.</w:t>
      </w:r>
      <w:proofErr w:type="gramEnd"/>
      <w:r w:rsidRPr="0070496F">
        <w:rPr>
          <w:rFonts w:asciiTheme="majorBidi" w:hAnsiTheme="majorBidi" w:cstheme="majorBidi"/>
          <w:sz w:val="24"/>
          <w:szCs w:val="24"/>
        </w:rPr>
        <w:t xml:space="preserve"> </w:t>
      </w:r>
      <w:proofErr w:type="gramStart"/>
      <w:r w:rsidRPr="0070496F">
        <w:rPr>
          <w:rFonts w:asciiTheme="majorBidi" w:hAnsiTheme="majorBidi" w:cstheme="majorBidi"/>
          <w:sz w:val="24"/>
          <w:szCs w:val="24"/>
        </w:rPr>
        <w:t xml:space="preserve">“Drought Conditions and Management </w:t>
      </w:r>
      <w:r>
        <w:rPr>
          <w:rFonts w:asciiTheme="majorBidi" w:hAnsiTheme="majorBidi" w:cstheme="majorBidi"/>
          <w:sz w:val="24"/>
          <w:szCs w:val="24"/>
        </w:rPr>
        <w:t>Strategies in Sultanate of Oman.</w:t>
      </w:r>
      <w:r w:rsidRPr="0070496F">
        <w:rPr>
          <w:rFonts w:asciiTheme="majorBidi" w:hAnsiTheme="majorBidi" w:cstheme="majorBidi"/>
          <w:sz w:val="24"/>
          <w:szCs w:val="24"/>
        </w:rPr>
        <w:t>”</w:t>
      </w:r>
      <w:proofErr w:type="gramEnd"/>
      <w:r w:rsidRPr="0070496F">
        <w:rPr>
          <w:rFonts w:asciiTheme="majorBidi" w:hAnsiTheme="majorBidi" w:cstheme="majorBidi"/>
          <w:sz w:val="24"/>
          <w:szCs w:val="24"/>
        </w:rPr>
        <w:t xml:space="preserve"> </w:t>
      </w:r>
    </w:p>
    <w:p w:rsidR="0070496F" w:rsidRDefault="0070496F" w:rsidP="0070496F">
      <w:pPr>
        <w:spacing w:after="0" w:line="240" w:lineRule="auto"/>
        <w:ind w:firstLine="720"/>
        <w:rPr>
          <w:rFonts w:asciiTheme="majorBidi" w:hAnsiTheme="majorBidi" w:cstheme="majorBidi"/>
          <w:sz w:val="24"/>
          <w:szCs w:val="24"/>
        </w:rPr>
      </w:pPr>
      <w:proofErr w:type="gramStart"/>
      <w:r w:rsidRPr="0070496F">
        <w:rPr>
          <w:rFonts w:asciiTheme="majorBidi" w:hAnsiTheme="majorBidi" w:cstheme="majorBidi"/>
          <w:sz w:val="24"/>
          <w:szCs w:val="24"/>
        </w:rPr>
        <w:t>Minist</w:t>
      </w:r>
      <w:r>
        <w:rPr>
          <w:rFonts w:asciiTheme="majorBidi" w:hAnsiTheme="majorBidi" w:cstheme="majorBidi"/>
          <w:sz w:val="24"/>
          <w:szCs w:val="24"/>
        </w:rPr>
        <w:t>ry of Agriculture and Fisheries.</w:t>
      </w:r>
      <w:proofErr w:type="gramEnd"/>
      <w:r>
        <w:rPr>
          <w:rFonts w:asciiTheme="majorBidi" w:hAnsiTheme="majorBidi" w:cstheme="majorBidi"/>
          <w:sz w:val="24"/>
          <w:szCs w:val="24"/>
        </w:rPr>
        <w:t xml:space="preserve"> 2014.</w:t>
      </w:r>
      <w:r w:rsidRPr="0070496F">
        <w:rPr>
          <w:rFonts w:asciiTheme="majorBidi" w:hAnsiTheme="majorBidi" w:cstheme="majorBidi"/>
          <w:sz w:val="24"/>
          <w:szCs w:val="24"/>
        </w:rPr>
        <w:t xml:space="preserve"> http://www.ais.unwater.org/</w:t>
      </w:r>
    </w:p>
    <w:p w:rsidR="0070496F" w:rsidRDefault="0070496F" w:rsidP="0070496F">
      <w:pPr>
        <w:spacing w:after="0" w:line="240" w:lineRule="auto"/>
        <w:ind w:firstLine="720"/>
        <w:rPr>
          <w:rFonts w:asciiTheme="majorBidi" w:hAnsiTheme="majorBidi" w:cstheme="majorBidi"/>
          <w:sz w:val="24"/>
          <w:szCs w:val="24"/>
        </w:rPr>
      </w:pPr>
      <w:proofErr w:type="spellStart"/>
      <w:r w:rsidRPr="0070496F">
        <w:rPr>
          <w:rFonts w:asciiTheme="majorBidi" w:hAnsiTheme="majorBidi" w:cstheme="majorBidi"/>
          <w:sz w:val="24"/>
          <w:szCs w:val="24"/>
        </w:rPr>
        <w:t>ais</w:t>
      </w:r>
      <w:proofErr w:type="spellEnd"/>
      <w:r w:rsidRPr="0070496F">
        <w:rPr>
          <w:rFonts w:asciiTheme="majorBidi" w:hAnsiTheme="majorBidi" w:cstheme="majorBidi"/>
          <w:sz w:val="24"/>
          <w:szCs w:val="24"/>
        </w:rPr>
        <w:t>/</w:t>
      </w:r>
      <w:proofErr w:type="spellStart"/>
      <w:r w:rsidRPr="0070496F">
        <w:rPr>
          <w:rFonts w:asciiTheme="majorBidi" w:hAnsiTheme="majorBidi" w:cstheme="majorBidi"/>
          <w:sz w:val="24"/>
          <w:szCs w:val="24"/>
        </w:rPr>
        <w:t>pluginfile.php</w:t>
      </w:r>
      <w:proofErr w:type="spellEnd"/>
      <w:r w:rsidRPr="0070496F">
        <w:rPr>
          <w:rFonts w:asciiTheme="majorBidi" w:hAnsiTheme="majorBidi" w:cstheme="majorBidi"/>
          <w:sz w:val="24"/>
          <w:szCs w:val="24"/>
        </w:rPr>
        <w:t>/605/</w:t>
      </w:r>
      <w:proofErr w:type="spellStart"/>
      <w:r w:rsidRPr="0070496F">
        <w:rPr>
          <w:rFonts w:asciiTheme="majorBidi" w:hAnsiTheme="majorBidi" w:cstheme="majorBidi"/>
          <w:sz w:val="24"/>
          <w:szCs w:val="24"/>
        </w:rPr>
        <w:t>mod_page</w:t>
      </w:r>
      <w:proofErr w:type="spellEnd"/>
      <w:r w:rsidRPr="0070496F">
        <w:rPr>
          <w:rFonts w:asciiTheme="majorBidi" w:hAnsiTheme="majorBidi" w:cstheme="majorBidi"/>
          <w:sz w:val="24"/>
          <w:szCs w:val="24"/>
        </w:rPr>
        <w:t>/content/22/Oman.pdf (accessed March 3, 2015).</w:t>
      </w:r>
    </w:p>
    <w:p w:rsidR="0070496F" w:rsidRDefault="0070496F" w:rsidP="0070496F">
      <w:pPr>
        <w:spacing w:after="0" w:line="240" w:lineRule="auto"/>
        <w:ind w:firstLine="720"/>
        <w:rPr>
          <w:rFonts w:asciiTheme="majorBidi" w:hAnsiTheme="majorBidi" w:cstheme="majorBidi"/>
          <w:sz w:val="24"/>
          <w:szCs w:val="24"/>
        </w:rPr>
      </w:pPr>
    </w:p>
    <w:p w:rsidR="009D6A39" w:rsidRDefault="009D6A39" w:rsidP="009D6A39">
      <w:pPr>
        <w:spacing w:after="0" w:line="240" w:lineRule="auto"/>
        <w:rPr>
          <w:rFonts w:asciiTheme="majorBidi" w:hAnsiTheme="majorBidi" w:cstheme="majorBidi"/>
          <w:sz w:val="24"/>
          <w:szCs w:val="24"/>
        </w:rPr>
      </w:pPr>
      <w:proofErr w:type="gramStart"/>
      <w:r w:rsidRPr="009D6A39">
        <w:rPr>
          <w:rFonts w:asciiTheme="majorBidi" w:hAnsiTheme="majorBidi" w:cstheme="majorBidi"/>
          <w:sz w:val="24"/>
          <w:szCs w:val="24"/>
        </w:rPr>
        <w:t>Al-</w:t>
      </w:r>
      <w:proofErr w:type="spellStart"/>
      <w:r w:rsidRPr="009D6A39">
        <w:rPr>
          <w:rFonts w:asciiTheme="majorBidi" w:hAnsiTheme="majorBidi" w:cstheme="majorBidi"/>
          <w:sz w:val="24"/>
          <w:szCs w:val="24"/>
        </w:rPr>
        <w:t>Mashakhi</w:t>
      </w:r>
      <w:proofErr w:type="spellEnd"/>
      <w:r>
        <w:rPr>
          <w:rFonts w:asciiTheme="majorBidi" w:hAnsiTheme="majorBidi" w:cstheme="majorBidi"/>
          <w:sz w:val="24"/>
          <w:szCs w:val="24"/>
        </w:rPr>
        <w:t xml:space="preserve">, </w:t>
      </w:r>
      <w:r w:rsidRPr="009D6A39">
        <w:rPr>
          <w:rFonts w:asciiTheme="majorBidi" w:hAnsiTheme="majorBidi" w:cstheme="majorBidi"/>
          <w:sz w:val="24"/>
          <w:szCs w:val="24"/>
        </w:rPr>
        <w:t>Mohammed</w:t>
      </w:r>
      <w:r>
        <w:rPr>
          <w:rFonts w:asciiTheme="majorBidi" w:hAnsiTheme="majorBidi" w:cstheme="majorBidi"/>
          <w:sz w:val="24"/>
          <w:szCs w:val="24"/>
        </w:rPr>
        <w:t>, and El-Hag Koll.</w:t>
      </w:r>
      <w:proofErr w:type="gramEnd"/>
      <w:r w:rsidRPr="009D6A39">
        <w:rPr>
          <w:rFonts w:asciiTheme="majorBidi" w:hAnsiTheme="majorBidi" w:cstheme="majorBidi"/>
          <w:sz w:val="24"/>
          <w:szCs w:val="24"/>
        </w:rPr>
        <w:t xml:space="preserve"> “Oman: Country P</w:t>
      </w:r>
      <w:r>
        <w:rPr>
          <w:rFonts w:asciiTheme="majorBidi" w:hAnsiTheme="majorBidi" w:cstheme="majorBidi"/>
          <w:sz w:val="24"/>
          <w:szCs w:val="24"/>
        </w:rPr>
        <w:t xml:space="preserve">asture/Forage Resource </w:t>
      </w:r>
    </w:p>
    <w:p w:rsidR="009D6A39" w:rsidRDefault="009D6A39" w:rsidP="009D6A39">
      <w:pPr>
        <w:spacing w:after="0" w:line="240" w:lineRule="auto"/>
        <w:ind w:firstLine="720"/>
        <w:rPr>
          <w:rFonts w:asciiTheme="majorBidi" w:hAnsiTheme="majorBidi" w:cstheme="majorBidi"/>
          <w:sz w:val="24"/>
          <w:szCs w:val="24"/>
        </w:rPr>
      </w:pPr>
      <w:proofErr w:type="gramStart"/>
      <w:r>
        <w:rPr>
          <w:rFonts w:asciiTheme="majorBidi" w:hAnsiTheme="majorBidi" w:cstheme="majorBidi"/>
          <w:sz w:val="24"/>
          <w:szCs w:val="24"/>
        </w:rPr>
        <w:t>Profiles.</w:t>
      </w:r>
      <w:r w:rsidRPr="009D6A39">
        <w:rPr>
          <w:rFonts w:asciiTheme="majorBidi" w:hAnsiTheme="majorBidi" w:cstheme="majorBidi"/>
          <w:sz w:val="24"/>
          <w:szCs w:val="24"/>
        </w:rPr>
        <w:t>”</w:t>
      </w:r>
      <w:proofErr w:type="gramEnd"/>
      <w:r w:rsidRPr="009D6A39">
        <w:rPr>
          <w:rFonts w:asciiTheme="majorBidi" w:hAnsiTheme="majorBidi" w:cstheme="majorBidi"/>
          <w:sz w:val="24"/>
          <w:szCs w:val="24"/>
        </w:rPr>
        <w:t xml:space="preserve"> </w:t>
      </w:r>
      <w:proofErr w:type="gramStart"/>
      <w:r w:rsidRPr="009D6A39">
        <w:rPr>
          <w:rFonts w:asciiTheme="majorBidi" w:hAnsiTheme="majorBidi" w:cstheme="majorBidi"/>
          <w:sz w:val="24"/>
          <w:szCs w:val="24"/>
        </w:rPr>
        <w:t>Food and Agriculture Organization of the United Nations</w:t>
      </w:r>
      <w:r>
        <w:rPr>
          <w:rFonts w:asciiTheme="majorBidi" w:hAnsiTheme="majorBidi" w:cstheme="majorBidi"/>
          <w:sz w:val="24"/>
          <w:szCs w:val="24"/>
        </w:rPr>
        <w:t>.</w:t>
      </w:r>
      <w:proofErr w:type="gramEnd"/>
      <w:r>
        <w:rPr>
          <w:rFonts w:asciiTheme="majorBidi" w:hAnsiTheme="majorBidi" w:cstheme="majorBidi"/>
          <w:sz w:val="24"/>
          <w:szCs w:val="24"/>
        </w:rPr>
        <w:t xml:space="preserve"> April 2007.</w:t>
      </w:r>
      <w:r w:rsidRPr="009D6A39">
        <w:rPr>
          <w:rFonts w:asciiTheme="majorBidi" w:hAnsiTheme="majorBidi" w:cstheme="majorBidi"/>
          <w:sz w:val="24"/>
          <w:szCs w:val="24"/>
        </w:rPr>
        <w:t xml:space="preserve"> </w:t>
      </w:r>
    </w:p>
    <w:p w:rsidR="009D6A39" w:rsidRDefault="009D6A39" w:rsidP="009D6A39">
      <w:pPr>
        <w:spacing w:after="0" w:line="240" w:lineRule="auto"/>
        <w:ind w:firstLine="720"/>
        <w:rPr>
          <w:rFonts w:asciiTheme="majorBidi" w:hAnsiTheme="majorBidi" w:cstheme="majorBidi"/>
          <w:sz w:val="24"/>
          <w:szCs w:val="24"/>
        </w:rPr>
      </w:pPr>
      <w:r w:rsidRPr="009D6A39">
        <w:rPr>
          <w:rFonts w:asciiTheme="majorBidi" w:hAnsiTheme="majorBidi" w:cstheme="majorBidi"/>
          <w:sz w:val="24"/>
          <w:szCs w:val="24"/>
        </w:rPr>
        <w:t xml:space="preserve">http://www.fao.org/ag/agp/AGPC/doc/Counprof/oman/oman.htm (accessed </w:t>
      </w:r>
    </w:p>
    <w:p w:rsidR="009D6A39" w:rsidRDefault="009D6A39" w:rsidP="009D6A39">
      <w:pPr>
        <w:spacing w:after="0" w:line="240" w:lineRule="auto"/>
        <w:ind w:firstLine="720"/>
        <w:rPr>
          <w:rFonts w:asciiTheme="majorBidi" w:hAnsiTheme="majorBidi" w:cstheme="majorBidi"/>
          <w:sz w:val="24"/>
          <w:szCs w:val="24"/>
        </w:rPr>
      </w:pPr>
      <w:r w:rsidRPr="009D6A39">
        <w:rPr>
          <w:rFonts w:asciiTheme="majorBidi" w:hAnsiTheme="majorBidi" w:cstheme="majorBidi"/>
          <w:sz w:val="24"/>
          <w:szCs w:val="24"/>
        </w:rPr>
        <w:t>March 2, 2015).</w:t>
      </w:r>
    </w:p>
    <w:p w:rsidR="009D6A39" w:rsidRDefault="009D6A39" w:rsidP="009D6A39">
      <w:pPr>
        <w:spacing w:after="0" w:line="240" w:lineRule="auto"/>
        <w:ind w:firstLine="720"/>
        <w:rPr>
          <w:rFonts w:asciiTheme="majorBidi" w:hAnsiTheme="majorBidi" w:cstheme="majorBidi"/>
          <w:sz w:val="24"/>
          <w:szCs w:val="24"/>
        </w:rPr>
      </w:pPr>
    </w:p>
    <w:p w:rsidR="008E0E87" w:rsidRDefault="008E0E87" w:rsidP="008E0E87">
      <w:pPr>
        <w:spacing w:after="0" w:line="240" w:lineRule="auto"/>
        <w:rPr>
          <w:rFonts w:asciiTheme="majorBidi" w:hAnsiTheme="majorBidi" w:cstheme="majorBidi"/>
          <w:sz w:val="24"/>
          <w:szCs w:val="24"/>
        </w:rPr>
      </w:pPr>
      <w:proofErr w:type="spellStart"/>
      <w:r w:rsidRPr="008E0E87">
        <w:rPr>
          <w:rFonts w:asciiTheme="majorBidi" w:hAnsiTheme="majorBidi" w:cstheme="majorBidi"/>
          <w:sz w:val="24"/>
          <w:szCs w:val="24"/>
        </w:rPr>
        <w:t>Beblawi</w:t>
      </w:r>
      <w:proofErr w:type="spellEnd"/>
      <w:r w:rsidRPr="008E0E87">
        <w:rPr>
          <w:rFonts w:asciiTheme="majorBidi" w:hAnsiTheme="majorBidi" w:cstheme="majorBidi"/>
          <w:sz w:val="24"/>
          <w:szCs w:val="24"/>
        </w:rPr>
        <w:t xml:space="preserve">, </w:t>
      </w:r>
      <w:proofErr w:type="spellStart"/>
      <w:r w:rsidRPr="008E0E87">
        <w:rPr>
          <w:rFonts w:asciiTheme="majorBidi" w:hAnsiTheme="majorBidi" w:cstheme="majorBidi"/>
          <w:sz w:val="24"/>
          <w:szCs w:val="24"/>
        </w:rPr>
        <w:t>Hazem</w:t>
      </w:r>
      <w:proofErr w:type="spellEnd"/>
      <w:r w:rsidRPr="008E0E87">
        <w:rPr>
          <w:rFonts w:asciiTheme="majorBidi" w:hAnsiTheme="majorBidi" w:cstheme="majorBidi"/>
          <w:sz w:val="24"/>
          <w:szCs w:val="24"/>
        </w:rPr>
        <w:t xml:space="preserve">. </w:t>
      </w:r>
      <w:proofErr w:type="gramStart"/>
      <w:r w:rsidRPr="008E0E87">
        <w:rPr>
          <w:rFonts w:asciiTheme="majorBidi" w:hAnsiTheme="majorBidi" w:cstheme="majorBidi"/>
          <w:sz w:val="24"/>
          <w:szCs w:val="24"/>
        </w:rPr>
        <w:t xml:space="preserve">“The </w:t>
      </w:r>
      <w:proofErr w:type="spellStart"/>
      <w:r w:rsidRPr="008E0E87">
        <w:rPr>
          <w:rFonts w:asciiTheme="majorBidi" w:hAnsiTheme="majorBidi" w:cstheme="majorBidi"/>
          <w:sz w:val="24"/>
          <w:szCs w:val="24"/>
        </w:rPr>
        <w:t>Rentier</w:t>
      </w:r>
      <w:proofErr w:type="spellEnd"/>
      <w:r w:rsidRPr="008E0E87">
        <w:rPr>
          <w:rFonts w:asciiTheme="majorBidi" w:hAnsiTheme="majorBidi" w:cstheme="majorBidi"/>
          <w:sz w:val="24"/>
          <w:szCs w:val="24"/>
        </w:rPr>
        <w:t xml:space="preserve"> State in the Arab World.”</w:t>
      </w:r>
      <w:proofErr w:type="gramEnd"/>
      <w:r w:rsidRPr="008E0E87">
        <w:rPr>
          <w:rFonts w:asciiTheme="majorBidi" w:hAnsiTheme="majorBidi" w:cstheme="majorBidi"/>
          <w:sz w:val="24"/>
          <w:szCs w:val="24"/>
        </w:rPr>
        <w:t xml:space="preserve"> </w:t>
      </w:r>
      <w:r w:rsidRPr="008E0E87">
        <w:rPr>
          <w:rFonts w:asciiTheme="majorBidi" w:hAnsiTheme="majorBidi" w:cstheme="majorBidi"/>
          <w:i/>
          <w:iCs/>
          <w:sz w:val="24"/>
          <w:szCs w:val="24"/>
        </w:rPr>
        <w:t xml:space="preserve">Arab Studies Quarterly </w:t>
      </w:r>
      <w:r w:rsidRPr="008E0E87">
        <w:rPr>
          <w:rFonts w:asciiTheme="majorBidi" w:hAnsiTheme="majorBidi" w:cstheme="majorBidi"/>
          <w:sz w:val="24"/>
          <w:szCs w:val="24"/>
        </w:rPr>
        <w:t xml:space="preserve">Vol. 9, No. 4 </w:t>
      </w:r>
    </w:p>
    <w:p w:rsidR="008E0E87" w:rsidRDefault="00300FD4" w:rsidP="00252018">
      <w:pPr>
        <w:spacing w:after="0" w:line="240" w:lineRule="auto"/>
        <w:ind w:firstLine="720"/>
        <w:rPr>
          <w:rFonts w:asciiTheme="majorBidi" w:hAnsiTheme="majorBidi" w:cstheme="majorBidi"/>
          <w:sz w:val="24"/>
          <w:szCs w:val="24"/>
        </w:rPr>
      </w:pPr>
      <w:r>
        <w:rPr>
          <w:rFonts w:asciiTheme="majorBidi" w:hAnsiTheme="majorBidi" w:cstheme="majorBidi"/>
          <w:sz w:val="24"/>
          <w:szCs w:val="24"/>
        </w:rPr>
        <w:t>Fall 1987</w:t>
      </w:r>
      <w:r w:rsidR="00252018">
        <w:rPr>
          <w:rFonts w:asciiTheme="majorBidi" w:hAnsiTheme="majorBidi" w:cstheme="majorBidi"/>
          <w:sz w:val="24"/>
          <w:szCs w:val="24"/>
        </w:rPr>
        <w:t>,</w:t>
      </w:r>
      <w:r w:rsidR="008E0E87" w:rsidRPr="008E0E87">
        <w:rPr>
          <w:rFonts w:asciiTheme="majorBidi" w:hAnsiTheme="majorBidi" w:cstheme="majorBidi"/>
          <w:sz w:val="24"/>
          <w:szCs w:val="24"/>
        </w:rPr>
        <w:t xml:space="preserve"> 383 – 384.</w:t>
      </w:r>
    </w:p>
    <w:p w:rsidR="007C6D27" w:rsidRDefault="007C6D27" w:rsidP="00252018">
      <w:pPr>
        <w:spacing w:after="0" w:line="240" w:lineRule="auto"/>
        <w:ind w:firstLine="720"/>
        <w:rPr>
          <w:rFonts w:asciiTheme="majorBidi" w:hAnsiTheme="majorBidi" w:cstheme="majorBidi"/>
          <w:sz w:val="24"/>
          <w:szCs w:val="24"/>
        </w:rPr>
      </w:pPr>
    </w:p>
    <w:p w:rsidR="007C6D27" w:rsidRPr="00300FD4" w:rsidRDefault="007C6D27" w:rsidP="00425880">
      <w:pPr>
        <w:spacing w:after="0" w:line="240" w:lineRule="auto"/>
        <w:rPr>
          <w:rFonts w:asciiTheme="majorBidi" w:hAnsiTheme="majorBidi" w:cstheme="majorBidi"/>
          <w:sz w:val="24"/>
          <w:szCs w:val="24"/>
        </w:rPr>
      </w:pPr>
      <w:proofErr w:type="spellStart"/>
      <w:proofErr w:type="gramStart"/>
      <w:r w:rsidRPr="00300FD4">
        <w:rPr>
          <w:rFonts w:asciiTheme="majorBidi" w:hAnsiTheme="majorBidi" w:cstheme="majorBidi"/>
          <w:sz w:val="24"/>
          <w:szCs w:val="24"/>
        </w:rPr>
        <w:t>B</w:t>
      </w:r>
      <w:r w:rsidR="00EE01CB" w:rsidRPr="00300FD4">
        <w:rPr>
          <w:rFonts w:asciiTheme="majorBidi" w:hAnsiTheme="majorBidi" w:cstheme="majorBidi"/>
          <w:sz w:val="24"/>
          <w:szCs w:val="24"/>
        </w:rPr>
        <w:t>errens</w:t>
      </w:r>
      <w:proofErr w:type="spellEnd"/>
      <w:r w:rsidR="00EE01CB" w:rsidRPr="00300FD4">
        <w:rPr>
          <w:rFonts w:asciiTheme="majorBidi" w:hAnsiTheme="majorBidi" w:cstheme="majorBidi"/>
          <w:sz w:val="24"/>
          <w:szCs w:val="24"/>
        </w:rPr>
        <w:t>.</w:t>
      </w:r>
      <w:proofErr w:type="gramEnd"/>
      <w:r w:rsidRPr="00300FD4">
        <w:rPr>
          <w:rFonts w:asciiTheme="majorBidi" w:hAnsiTheme="majorBidi" w:cstheme="majorBidi"/>
          <w:sz w:val="24"/>
          <w:szCs w:val="24"/>
        </w:rPr>
        <w:t xml:space="preserve"> “A Degree by Degree Explanation of What W</w:t>
      </w:r>
      <w:r w:rsidR="00EE01CB" w:rsidRPr="00300FD4">
        <w:rPr>
          <w:rFonts w:asciiTheme="majorBidi" w:hAnsiTheme="majorBidi" w:cstheme="majorBidi"/>
          <w:sz w:val="24"/>
          <w:szCs w:val="24"/>
        </w:rPr>
        <w:t>ill Happen When the Earth Warms.</w:t>
      </w:r>
      <w:r w:rsidRPr="00300FD4">
        <w:rPr>
          <w:rFonts w:asciiTheme="majorBidi" w:hAnsiTheme="majorBidi" w:cstheme="majorBidi"/>
          <w:sz w:val="24"/>
          <w:szCs w:val="24"/>
        </w:rPr>
        <w:t xml:space="preserve">” </w:t>
      </w:r>
    </w:p>
    <w:p w:rsidR="00300FD4" w:rsidRDefault="007C6D27" w:rsidP="007C6D27">
      <w:pPr>
        <w:spacing w:after="0" w:line="240" w:lineRule="auto"/>
        <w:ind w:firstLine="720"/>
        <w:rPr>
          <w:rFonts w:asciiTheme="majorBidi" w:hAnsiTheme="majorBidi" w:cstheme="majorBidi"/>
          <w:sz w:val="24"/>
          <w:szCs w:val="24"/>
        </w:rPr>
      </w:pPr>
      <w:r w:rsidRPr="00300FD4">
        <w:rPr>
          <w:rFonts w:asciiTheme="majorBidi" w:hAnsiTheme="majorBidi" w:cstheme="majorBidi"/>
          <w:sz w:val="24"/>
          <w:szCs w:val="24"/>
        </w:rPr>
        <w:t>March 20</w:t>
      </w:r>
      <w:r w:rsidR="00EE01CB" w:rsidRPr="00300FD4">
        <w:rPr>
          <w:rFonts w:asciiTheme="majorBidi" w:hAnsiTheme="majorBidi" w:cstheme="majorBidi"/>
          <w:sz w:val="24"/>
          <w:szCs w:val="24"/>
        </w:rPr>
        <w:t>, 2015.</w:t>
      </w:r>
      <w:r w:rsidRPr="00300FD4">
        <w:rPr>
          <w:rFonts w:asciiTheme="majorBidi" w:hAnsiTheme="majorBidi" w:cstheme="majorBidi"/>
          <w:sz w:val="24"/>
          <w:szCs w:val="24"/>
        </w:rPr>
        <w:t xml:space="preserve"> </w:t>
      </w:r>
      <w:hyperlink r:id="rId32" w:history="1">
        <w:r w:rsidRPr="00300FD4">
          <w:rPr>
            <w:rStyle w:val="Hyperlink"/>
            <w:rFonts w:asciiTheme="majorBidi" w:hAnsiTheme="majorBidi" w:cstheme="majorBidi"/>
            <w:color w:val="auto"/>
            <w:sz w:val="24"/>
            <w:szCs w:val="24"/>
            <w:u w:val="none"/>
          </w:rPr>
          <w:t>http://globalwarming.berrens.nl/globalwarming.htm</w:t>
        </w:r>
      </w:hyperlink>
      <w:r w:rsidRPr="00300FD4">
        <w:rPr>
          <w:rFonts w:asciiTheme="majorBidi" w:hAnsiTheme="majorBidi" w:cstheme="majorBidi"/>
          <w:sz w:val="24"/>
          <w:szCs w:val="24"/>
        </w:rPr>
        <w:t xml:space="preserve"> (accessed </w:t>
      </w:r>
    </w:p>
    <w:p w:rsidR="00425880" w:rsidRDefault="007C6D27" w:rsidP="007C6D27">
      <w:pPr>
        <w:spacing w:after="0" w:line="240" w:lineRule="auto"/>
        <w:ind w:firstLine="720"/>
        <w:rPr>
          <w:rFonts w:asciiTheme="majorBidi" w:hAnsiTheme="majorBidi" w:cstheme="majorBidi"/>
          <w:sz w:val="24"/>
          <w:szCs w:val="24"/>
        </w:rPr>
      </w:pPr>
      <w:r w:rsidRPr="00300FD4">
        <w:rPr>
          <w:rFonts w:asciiTheme="majorBidi" w:hAnsiTheme="majorBidi" w:cstheme="majorBidi"/>
          <w:sz w:val="24"/>
          <w:szCs w:val="24"/>
        </w:rPr>
        <w:t>March 20, 2015).</w:t>
      </w:r>
    </w:p>
    <w:p w:rsidR="0000609F" w:rsidRDefault="0000609F" w:rsidP="0000609F">
      <w:pPr>
        <w:spacing w:after="0" w:line="240" w:lineRule="auto"/>
        <w:rPr>
          <w:rFonts w:asciiTheme="majorBidi" w:hAnsiTheme="majorBidi" w:cstheme="majorBidi"/>
          <w:sz w:val="24"/>
          <w:szCs w:val="24"/>
        </w:rPr>
      </w:pPr>
    </w:p>
    <w:p w:rsidR="0000609F" w:rsidRDefault="0000609F" w:rsidP="0000609F">
      <w:pPr>
        <w:spacing w:after="0" w:line="240" w:lineRule="auto"/>
        <w:rPr>
          <w:rFonts w:asciiTheme="majorBidi" w:hAnsiTheme="majorBidi" w:cstheme="majorBidi"/>
          <w:sz w:val="24"/>
          <w:szCs w:val="24"/>
        </w:rPr>
      </w:pPr>
      <w:r w:rsidRPr="0000609F">
        <w:rPr>
          <w:rFonts w:asciiTheme="majorBidi" w:hAnsiTheme="majorBidi" w:cstheme="majorBidi"/>
          <w:sz w:val="24"/>
          <w:szCs w:val="24"/>
        </w:rPr>
        <w:t>Bowler,</w:t>
      </w:r>
      <w:r>
        <w:rPr>
          <w:rFonts w:asciiTheme="majorBidi" w:hAnsiTheme="majorBidi" w:cstheme="majorBidi"/>
          <w:sz w:val="24"/>
          <w:szCs w:val="24"/>
        </w:rPr>
        <w:t xml:space="preserve"> </w:t>
      </w:r>
      <w:r w:rsidRPr="0000609F">
        <w:rPr>
          <w:rFonts w:asciiTheme="majorBidi" w:hAnsiTheme="majorBidi" w:cstheme="majorBidi"/>
          <w:sz w:val="24"/>
          <w:szCs w:val="24"/>
        </w:rPr>
        <w:t>Tim</w:t>
      </w:r>
      <w:r>
        <w:rPr>
          <w:rFonts w:asciiTheme="majorBidi" w:hAnsiTheme="majorBidi" w:cstheme="majorBidi"/>
          <w:sz w:val="24"/>
          <w:szCs w:val="24"/>
        </w:rPr>
        <w:t>.</w:t>
      </w:r>
      <w:r w:rsidRPr="0000609F">
        <w:rPr>
          <w:rFonts w:asciiTheme="majorBidi" w:hAnsiTheme="majorBidi" w:cstheme="majorBidi"/>
          <w:sz w:val="24"/>
          <w:szCs w:val="24"/>
        </w:rPr>
        <w:t xml:space="preserve"> “Failing Oil Prices: Who are the Winners and Losers</w:t>
      </w:r>
      <w:proofErr w:type="gramStart"/>
      <w:r w:rsidRPr="0000609F">
        <w:rPr>
          <w:rFonts w:asciiTheme="majorBidi" w:hAnsiTheme="majorBidi" w:cstheme="majorBidi"/>
          <w:sz w:val="24"/>
          <w:szCs w:val="24"/>
        </w:rPr>
        <w:t>?</w:t>
      </w:r>
      <w:r>
        <w:rPr>
          <w:rFonts w:asciiTheme="majorBidi" w:hAnsiTheme="majorBidi" w:cstheme="majorBidi"/>
          <w:sz w:val="24"/>
          <w:szCs w:val="24"/>
        </w:rPr>
        <w:t>.</w:t>
      </w:r>
      <w:proofErr w:type="gramEnd"/>
      <w:r w:rsidRPr="0000609F">
        <w:rPr>
          <w:rFonts w:asciiTheme="majorBidi" w:hAnsiTheme="majorBidi" w:cstheme="majorBidi"/>
          <w:sz w:val="24"/>
          <w:szCs w:val="24"/>
        </w:rPr>
        <w:t>” BBC</w:t>
      </w:r>
      <w:r>
        <w:rPr>
          <w:rFonts w:asciiTheme="majorBidi" w:hAnsiTheme="majorBidi" w:cstheme="majorBidi"/>
          <w:sz w:val="24"/>
          <w:szCs w:val="24"/>
        </w:rPr>
        <w:t xml:space="preserve"> News.</w:t>
      </w:r>
    </w:p>
    <w:p w:rsidR="0000609F" w:rsidRDefault="0000609F" w:rsidP="0000609F">
      <w:pPr>
        <w:spacing w:after="0" w:line="240" w:lineRule="auto"/>
        <w:ind w:firstLine="720"/>
        <w:rPr>
          <w:rFonts w:asciiTheme="majorBidi" w:hAnsiTheme="majorBidi" w:cstheme="majorBidi"/>
          <w:sz w:val="24"/>
          <w:szCs w:val="24"/>
        </w:rPr>
      </w:pPr>
      <w:r>
        <w:rPr>
          <w:rFonts w:asciiTheme="majorBidi" w:hAnsiTheme="majorBidi" w:cstheme="majorBidi"/>
          <w:sz w:val="24"/>
          <w:szCs w:val="24"/>
        </w:rPr>
        <w:t>January 19, 2015.</w:t>
      </w:r>
      <w:r w:rsidRPr="0000609F">
        <w:rPr>
          <w:rFonts w:asciiTheme="majorBidi" w:hAnsiTheme="majorBidi" w:cstheme="majorBidi"/>
          <w:sz w:val="24"/>
          <w:szCs w:val="24"/>
        </w:rPr>
        <w:t xml:space="preserve">  http://www.bbc.com/news/business-29643612 (accessed </w:t>
      </w:r>
    </w:p>
    <w:p w:rsidR="0000609F" w:rsidRPr="0000609F" w:rsidRDefault="0000609F" w:rsidP="0000609F">
      <w:pPr>
        <w:spacing w:after="0" w:line="240" w:lineRule="auto"/>
        <w:ind w:firstLine="720"/>
        <w:rPr>
          <w:rFonts w:asciiTheme="majorBidi" w:hAnsiTheme="majorBidi" w:cstheme="majorBidi"/>
          <w:sz w:val="24"/>
          <w:szCs w:val="24"/>
        </w:rPr>
      </w:pPr>
      <w:r w:rsidRPr="0000609F">
        <w:rPr>
          <w:rFonts w:asciiTheme="majorBidi" w:hAnsiTheme="majorBidi" w:cstheme="majorBidi"/>
          <w:sz w:val="24"/>
          <w:szCs w:val="24"/>
        </w:rPr>
        <w:t xml:space="preserve">February 28, 2015). </w:t>
      </w:r>
    </w:p>
    <w:p w:rsidR="0000609F" w:rsidRDefault="0000609F" w:rsidP="0000609F">
      <w:pPr>
        <w:spacing w:after="0" w:line="240" w:lineRule="auto"/>
        <w:rPr>
          <w:rFonts w:asciiTheme="majorBidi" w:hAnsiTheme="majorBidi" w:cstheme="majorBidi"/>
          <w:sz w:val="24"/>
          <w:szCs w:val="24"/>
        </w:rPr>
      </w:pPr>
    </w:p>
    <w:p w:rsidR="00772A35" w:rsidRDefault="00772A35" w:rsidP="00772A35">
      <w:pPr>
        <w:spacing w:after="0" w:line="240" w:lineRule="auto"/>
        <w:rPr>
          <w:rFonts w:asciiTheme="majorBidi" w:hAnsiTheme="majorBidi" w:cstheme="majorBidi"/>
          <w:sz w:val="24"/>
          <w:szCs w:val="24"/>
        </w:rPr>
      </w:pPr>
      <w:proofErr w:type="gramStart"/>
      <w:r w:rsidRPr="00772A35">
        <w:rPr>
          <w:rFonts w:asciiTheme="majorBidi" w:hAnsiTheme="majorBidi" w:cstheme="majorBidi"/>
          <w:sz w:val="24"/>
          <w:szCs w:val="24"/>
        </w:rPr>
        <w:t>Centers for</w:t>
      </w:r>
      <w:r>
        <w:rPr>
          <w:rFonts w:asciiTheme="majorBidi" w:hAnsiTheme="majorBidi" w:cstheme="majorBidi"/>
          <w:sz w:val="24"/>
          <w:szCs w:val="24"/>
        </w:rPr>
        <w:t xml:space="preserve"> Disease Control and Prevention.</w:t>
      </w:r>
      <w:proofErr w:type="gramEnd"/>
      <w:r w:rsidRPr="00772A35">
        <w:rPr>
          <w:rFonts w:asciiTheme="majorBidi" w:hAnsiTheme="majorBidi" w:cstheme="majorBidi"/>
          <w:sz w:val="24"/>
          <w:szCs w:val="24"/>
        </w:rPr>
        <w:t xml:space="preserve"> </w:t>
      </w:r>
      <w:proofErr w:type="gramStart"/>
      <w:r w:rsidRPr="00772A35">
        <w:rPr>
          <w:rFonts w:asciiTheme="majorBidi" w:hAnsiTheme="majorBidi" w:cstheme="majorBidi"/>
          <w:sz w:val="24"/>
          <w:szCs w:val="24"/>
        </w:rPr>
        <w:t>“</w:t>
      </w:r>
      <w:r>
        <w:rPr>
          <w:rFonts w:asciiTheme="majorBidi" w:hAnsiTheme="majorBidi" w:cstheme="majorBidi"/>
          <w:sz w:val="24"/>
          <w:szCs w:val="24"/>
        </w:rPr>
        <w:t>Losing Weight.</w:t>
      </w:r>
      <w:r w:rsidRPr="00772A35">
        <w:rPr>
          <w:rFonts w:asciiTheme="majorBidi" w:hAnsiTheme="majorBidi" w:cstheme="majorBidi"/>
          <w:sz w:val="24"/>
          <w:szCs w:val="24"/>
        </w:rPr>
        <w:t>”</w:t>
      </w:r>
      <w:proofErr w:type="gramEnd"/>
      <w:r w:rsidRPr="00772A35">
        <w:rPr>
          <w:rFonts w:asciiTheme="majorBidi" w:hAnsiTheme="majorBidi" w:cstheme="majorBidi"/>
          <w:sz w:val="24"/>
          <w:szCs w:val="24"/>
        </w:rPr>
        <w:t xml:space="preserve"> August 17, 2011</w:t>
      </w:r>
      <w:r>
        <w:rPr>
          <w:rFonts w:asciiTheme="majorBidi" w:hAnsiTheme="majorBidi" w:cstheme="majorBidi"/>
          <w:sz w:val="24"/>
          <w:szCs w:val="24"/>
        </w:rPr>
        <w:t>.</w:t>
      </w:r>
      <w:r w:rsidRPr="00772A35">
        <w:rPr>
          <w:rFonts w:asciiTheme="majorBidi" w:hAnsiTheme="majorBidi" w:cstheme="majorBidi"/>
          <w:sz w:val="24"/>
          <w:szCs w:val="24"/>
        </w:rPr>
        <w:t xml:space="preserve"> </w:t>
      </w:r>
    </w:p>
    <w:p w:rsidR="00772A35" w:rsidRDefault="00772A35" w:rsidP="00772A35">
      <w:pPr>
        <w:spacing w:after="0" w:line="240" w:lineRule="auto"/>
        <w:ind w:left="720"/>
        <w:rPr>
          <w:rFonts w:asciiTheme="majorBidi" w:hAnsiTheme="majorBidi" w:cstheme="majorBidi"/>
          <w:sz w:val="24"/>
          <w:szCs w:val="24"/>
        </w:rPr>
      </w:pPr>
      <w:r w:rsidRPr="00772A35">
        <w:rPr>
          <w:rFonts w:asciiTheme="majorBidi" w:hAnsiTheme="majorBidi" w:cstheme="majorBidi"/>
          <w:sz w:val="24"/>
          <w:szCs w:val="24"/>
        </w:rPr>
        <w:t>http://www.cdc.gov/HEALTHYWEIGHT/LOSING_WEIGHT/INDEX.HTML (accessed November 27, 2014).</w:t>
      </w:r>
    </w:p>
    <w:p w:rsidR="00772A35" w:rsidRDefault="00772A35" w:rsidP="001E7227">
      <w:pPr>
        <w:spacing w:after="0" w:line="240" w:lineRule="auto"/>
        <w:rPr>
          <w:rFonts w:asciiTheme="majorBidi" w:hAnsiTheme="majorBidi" w:cstheme="majorBidi"/>
          <w:sz w:val="24"/>
          <w:szCs w:val="24"/>
        </w:rPr>
      </w:pPr>
    </w:p>
    <w:p w:rsidR="001E7227" w:rsidRPr="00300FD4" w:rsidRDefault="001E7227" w:rsidP="00772A35">
      <w:pPr>
        <w:spacing w:after="0" w:line="240" w:lineRule="auto"/>
        <w:rPr>
          <w:rFonts w:asciiTheme="majorBidi" w:hAnsiTheme="majorBidi" w:cstheme="majorBidi"/>
          <w:sz w:val="24"/>
          <w:szCs w:val="24"/>
        </w:rPr>
      </w:pPr>
      <w:r w:rsidRPr="001E7227">
        <w:rPr>
          <w:rFonts w:asciiTheme="majorBidi" w:hAnsiTheme="majorBidi" w:cstheme="majorBidi"/>
          <w:sz w:val="24"/>
          <w:szCs w:val="24"/>
        </w:rPr>
        <w:t>Cohen,</w:t>
      </w:r>
      <w:r>
        <w:rPr>
          <w:rFonts w:asciiTheme="majorBidi" w:hAnsiTheme="majorBidi" w:cstheme="majorBidi"/>
          <w:sz w:val="24"/>
          <w:szCs w:val="24"/>
        </w:rPr>
        <w:t xml:space="preserve"> </w:t>
      </w:r>
      <w:r w:rsidRPr="001E7227">
        <w:rPr>
          <w:rFonts w:asciiTheme="majorBidi" w:hAnsiTheme="majorBidi" w:cstheme="majorBidi"/>
          <w:sz w:val="24"/>
          <w:szCs w:val="24"/>
        </w:rPr>
        <w:t>Joel</w:t>
      </w:r>
      <w:r w:rsidR="00772A35">
        <w:rPr>
          <w:rFonts w:asciiTheme="majorBidi" w:hAnsiTheme="majorBidi" w:cstheme="majorBidi"/>
          <w:sz w:val="24"/>
          <w:szCs w:val="24"/>
        </w:rPr>
        <w:t>.</w:t>
      </w:r>
      <w:r w:rsidRPr="001E7227">
        <w:rPr>
          <w:rFonts w:asciiTheme="majorBidi" w:hAnsiTheme="majorBidi" w:cstheme="majorBidi"/>
          <w:sz w:val="24"/>
          <w:szCs w:val="24"/>
        </w:rPr>
        <w:t xml:space="preserve"> </w:t>
      </w:r>
      <w:r w:rsidRPr="001E7227">
        <w:rPr>
          <w:rFonts w:asciiTheme="majorBidi" w:hAnsiTheme="majorBidi" w:cstheme="majorBidi"/>
          <w:i/>
          <w:iCs/>
          <w:sz w:val="24"/>
          <w:szCs w:val="24"/>
        </w:rPr>
        <w:t>How Many People Can the Earth Support</w:t>
      </w:r>
      <w:proofErr w:type="gramStart"/>
      <w:r w:rsidRPr="001E7227">
        <w:rPr>
          <w:rFonts w:asciiTheme="majorBidi" w:hAnsiTheme="majorBidi" w:cstheme="majorBidi"/>
          <w:i/>
          <w:iCs/>
          <w:sz w:val="24"/>
          <w:szCs w:val="24"/>
        </w:rPr>
        <w:t>?</w:t>
      </w:r>
      <w:r w:rsidR="00772A35">
        <w:rPr>
          <w:rFonts w:asciiTheme="majorBidi" w:hAnsiTheme="majorBidi" w:cstheme="majorBidi"/>
          <w:i/>
          <w:iCs/>
          <w:sz w:val="24"/>
          <w:szCs w:val="24"/>
        </w:rPr>
        <w:t>.</w:t>
      </w:r>
      <w:proofErr w:type="gramEnd"/>
      <w:r w:rsidR="00772A35">
        <w:rPr>
          <w:rFonts w:asciiTheme="majorBidi" w:hAnsiTheme="majorBidi" w:cstheme="majorBidi"/>
          <w:i/>
          <w:iCs/>
          <w:sz w:val="24"/>
          <w:szCs w:val="24"/>
        </w:rPr>
        <w:t xml:space="preserve"> </w:t>
      </w:r>
      <w:r w:rsidRPr="001E7227">
        <w:rPr>
          <w:rFonts w:asciiTheme="majorBidi" w:hAnsiTheme="majorBidi" w:cstheme="majorBidi"/>
          <w:sz w:val="24"/>
          <w:szCs w:val="24"/>
        </w:rPr>
        <w:t>New York: W.W. Norton, 1995</w:t>
      </w:r>
      <w:r w:rsidR="00772A35">
        <w:rPr>
          <w:rFonts w:asciiTheme="majorBidi" w:hAnsiTheme="majorBidi" w:cstheme="majorBidi"/>
          <w:sz w:val="24"/>
          <w:szCs w:val="24"/>
        </w:rPr>
        <w:t>.</w:t>
      </w:r>
    </w:p>
    <w:p w:rsidR="007C6D27" w:rsidRDefault="007C6D27" w:rsidP="00AD02DC">
      <w:pPr>
        <w:spacing w:after="0" w:line="240" w:lineRule="auto"/>
        <w:rPr>
          <w:rFonts w:asciiTheme="majorBidi" w:hAnsiTheme="majorBidi" w:cstheme="majorBidi"/>
          <w:sz w:val="24"/>
          <w:szCs w:val="24"/>
        </w:rPr>
      </w:pPr>
    </w:p>
    <w:p w:rsidR="00AD02DC" w:rsidRDefault="00AD02DC" w:rsidP="00AD02DC">
      <w:pPr>
        <w:spacing w:after="0" w:line="240" w:lineRule="auto"/>
        <w:rPr>
          <w:rFonts w:asciiTheme="majorBidi" w:hAnsiTheme="majorBidi" w:cstheme="majorBidi"/>
          <w:sz w:val="24"/>
          <w:szCs w:val="24"/>
        </w:rPr>
      </w:pPr>
      <w:proofErr w:type="spellStart"/>
      <w:r w:rsidRPr="00AD02DC">
        <w:rPr>
          <w:rFonts w:asciiTheme="majorBidi" w:hAnsiTheme="majorBidi" w:cstheme="majorBidi"/>
          <w:sz w:val="24"/>
          <w:szCs w:val="24"/>
        </w:rPr>
        <w:t>Damerow</w:t>
      </w:r>
      <w:proofErr w:type="spellEnd"/>
      <w:r w:rsidRPr="00AD02DC">
        <w:rPr>
          <w:rFonts w:asciiTheme="majorBidi" w:hAnsiTheme="majorBidi" w:cstheme="majorBidi"/>
          <w:sz w:val="24"/>
          <w:szCs w:val="24"/>
        </w:rPr>
        <w:t xml:space="preserve">, </w:t>
      </w:r>
      <w:r w:rsidRPr="00AD02DC">
        <w:rPr>
          <w:rFonts w:asciiTheme="majorBidi" w:hAnsiTheme="majorBidi" w:cstheme="majorBidi"/>
          <w:sz w:val="24"/>
          <w:szCs w:val="24"/>
        </w:rPr>
        <w:t>Harold</w:t>
      </w:r>
      <w:r>
        <w:rPr>
          <w:rFonts w:asciiTheme="majorBidi" w:hAnsiTheme="majorBidi" w:cstheme="majorBidi"/>
          <w:sz w:val="24"/>
          <w:szCs w:val="24"/>
        </w:rPr>
        <w:t>.</w:t>
      </w:r>
      <w:r w:rsidRPr="00AD02DC">
        <w:rPr>
          <w:rFonts w:asciiTheme="majorBidi" w:hAnsiTheme="majorBidi" w:cstheme="majorBidi"/>
          <w:sz w:val="24"/>
          <w:szCs w:val="24"/>
        </w:rPr>
        <w:t xml:space="preserve"> </w:t>
      </w:r>
      <w:proofErr w:type="gramStart"/>
      <w:r w:rsidRPr="00AD02DC">
        <w:rPr>
          <w:rFonts w:asciiTheme="majorBidi" w:hAnsiTheme="majorBidi" w:cstheme="majorBidi"/>
          <w:sz w:val="24"/>
          <w:szCs w:val="24"/>
        </w:rPr>
        <w:t>“Populati</w:t>
      </w:r>
      <w:r>
        <w:rPr>
          <w:rFonts w:asciiTheme="majorBidi" w:hAnsiTheme="majorBidi" w:cstheme="majorBidi"/>
          <w:sz w:val="24"/>
          <w:szCs w:val="24"/>
        </w:rPr>
        <w:t>on Geography.</w:t>
      </w:r>
      <w:r w:rsidRPr="00AD02DC">
        <w:rPr>
          <w:rFonts w:asciiTheme="majorBidi" w:hAnsiTheme="majorBidi" w:cstheme="majorBidi"/>
          <w:sz w:val="24"/>
          <w:szCs w:val="24"/>
        </w:rPr>
        <w:t>”</w:t>
      </w:r>
      <w:proofErr w:type="gramEnd"/>
      <w:r w:rsidRPr="00AD02DC">
        <w:rPr>
          <w:rFonts w:asciiTheme="majorBidi" w:hAnsiTheme="majorBidi" w:cstheme="majorBidi"/>
          <w:sz w:val="24"/>
          <w:szCs w:val="24"/>
        </w:rPr>
        <w:t xml:space="preserve"> </w:t>
      </w:r>
      <w:proofErr w:type="gramStart"/>
      <w:r w:rsidRPr="00AD02DC">
        <w:rPr>
          <w:rFonts w:asciiTheme="majorBidi" w:hAnsiTheme="majorBidi" w:cstheme="majorBidi"/>
          <w:sz w:val="24"/>
          <w:szCs w:val="24"/>
        </w:rPr>
        <w:t>Union County College</w:t>
      </w:r>
      <w:r>
        <w:rPr>
          <w:rFonts w:asciiTheme="majorBidi" w:hAnsiTheme="majorBidi" w:cstheme="majorBidi"/>
          <w:sz w:val="24"/>
          <w:szCs w:val="24"/>
        </w:rPr>
        <w:t>.</w:t>
      </w:r>
      <w:proofErr w:type="gramEnd"/>
      <w:r>
        <w:rPr>
          <w:rFonts w:asciiTheme="majorBidi" w:hAnsiTheme="majorBidi" w:cstheme="majorBidi"/>
          <w:sz w:val="24"/>
          <w:szCs w:val="24"/>
        </w:rPr>
        <w:t xml:space="preserve"> January 2015. </w:t>
      </w:r>
    </w:p>
    <w:p w:rsidR="00AD02DC" w:rsidRDefault="00AD02DC" w:rsidP="00AD02DC">
      <w:pPr>
        <w:spacing w:after="0" w:line="240" w:lineRule="auto"/>
        <w:ind w:firstLine="720"/>
        <w:rPr>
          <w:rFonts w:asciiTheme="majorBidi" w:hAnsiTheme="majorBidi" w:cstheme="majorBidi"/>
          <w:sz w:val="24"/>
          <w:szCs w:val="24"/>
        </w:rPr>
      </w:pPr>
      <w:r w:rsidRPr="00AD02DC">
        <w:rPr>
          <w:rFonts w:asciiTheme="majorBidi" w:hAnsiTheme="majorBidi" w:cstheme="majorBidi"/>
          <w:sz w:val="24"/>
          <w:szCs w:val="24"/>
        </w:rPr>
        <w:t xml:space="preserve">http://faculty.ucc.edu/egh-damerow/population_geography.htm (accessed </w:t>
      </w:r>
    </w:p>
    <w:p w:rsidR="00AD02DC" w:rsidRDefault="00AD02DC" w:rsidP="00AD02DC">
      <w:pPr>
        <w:spacing w:after="0" w:line="240" w:lineRule="auto"/>
        <w:ind w:firstLine="720"/>
        <w:rPr>
          <w:rFonts w:asciiTheme="majorBidi" w:hAnsiTheme="majorBidi" w:cstheme="majorBidi"/>
          <w:sz w:val="24"/>
          <w:szCs w:val="24"/>
        </w:rPr>
      </w:pPr>
      <w:r w:rsidRPr="00AD02DC">
        <w:rPr>
          <w:rFonts w:asciiTheme="majorBidi" w:hAnsiTheme="majorBidi" w:cstheme="majorBidi"/>
          <w:sz w:val="24"/>
          <w:szCs w:val="24"/>
        </w:rPr>
        <w:t>March 2, 2015).</w:t>
      </w:r>
    </w:p>
    <w:p w:rsidR="00EB0086" w:rsidRDefault="00EB0086" w:rsidP="00AD02DC">
      <w:pPr>
        <w:spacing w:after="0" w:line="240" w:lineRule="auto"/>
        <w:ind w:firstLine="720"/>
        <w:rPr>
          <w:rFonts w:asciiTheme="majorBidi" w:hAnsiTheme="majorBidi" w:cstheme="majorBidi"/>
          <w:sz w:val="24"/>
          <w:szCs w:val="24"/>
        </w:rPr>
      </w:pPr>
    </w:p>
    <w:p w:rsidR="00EB0086" w:rsidRPr="00112533" w:rsidRDefault="00EB0086" w:rsidP="00EB0086">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Cs/>
          <w:sz w:val="24"/>
          <w:szCs w:val="24"/>
        </w:rPr>
      </w:pPr>
      <w:r w:rsidRPr="00112533">
        <w:rPr>
          <w:rFonts w:ascii="Times New Roman" w:eastAsia="Times New Roman" w:hAnsi="Times New Roman" w:cs="Times New Roman"/>
          <w:bCs/>
          <w:sz w:val="24"/>
          <w:szCs w:val="24"/>
        </w:rPr>
        <w:t xml:space="preserve">De </w:t>
      </w:r>
      <w:proofErr w:type="spellStart"/>
      <w:r w:rsidRPr="00112533">
        <w:rPr>
          <w:rFonts w:ascii="Times New Roman" w:eastAsia="Times New Roman" w:hAnsi="Times New Roman" w:cs="Times New Roman"/>
          <w:bCs/>
          <w:sz w:val="24"/>
          <w:szCs w:val="24"/>
        </w:rPr>
        <w:t>Haen</w:t>
      </w:r>
      <w:proofErr w:type="spellEnd"/>
      <w:r w:rsidRPr="00112533">
        <w:rPr>
          <w:rFonts w:ascii="Times New Roman" w:eastAsia="Times New Roman" w:hAnsi="Times New Roman" w:cs="Times New Roman"/>
          <w:bCs/>
          <w:sz w:val="24"/>
          <w:szCs w:val="24"/>
        </w:rPr>
        <w:t xml:space="preserve">, </w:t>
      </w:r>
      <w:proofErr w:type="spellStart"/>
      <w:r w:rsidRPr="00112533">
        <w:rPr>
          <w:rFonts w:ascii="Times New Roman" w:eastAsia="Times New Roman" w:hAnsi="Times New Roman" w:cs="Times New Roman"/>
          <w:bCs/>
          <w:sz w:val="24"/>
          <w:szCs w:val="24"/>
        </w:rPr>
        <w:t>Hartwig</w:t>
      </w:r>
      <w:proofErr w:type="spellEnd"/>
      <w:r w:rsidRPr="00112533">
        <w:rPr>
          <w:rFonts w:ascii="Times New Roman" w:eastAsia="Times New Roman" w:hAnsi="Times New Roman" w:cs="Times New Roman"/>
          <w:bCs/>
          <w:sz w:val="24"/>
          <w:szCs w:val="24"/>
        </w:rPr>
        <w:t xml:space="preserve">, David </w:t>
      </w:r>
      <w:proofErr w:type="spellStart"/>
      <w:r w:rsidRPr="00112533">
        <w:rPr>
          <w:rFonts w:ascii="Times New Roman" w:eastAsia="Times New Roman" w:hAnsi="Times New Roman" w:cs="Times New Roman"/>
          <w:bCs/>
          <w:sz w:val="24"/>
          <w:szCs w:val="24"/>
        </w:rPr>
        <w:t>Wilcock</w:t>
      </w:r>
      <w:proofErr w:type="spellEnd"/>
      <w:r w:rsidRPr="00112533">
        <w:rPr>
          <w:rFonts w:ascii="Times New Roman" w:eastAsia="Times New Roman" w:hAnsi="Times New Roman" w:cs="Times New Roman"/>
          <w:bCs/>
          <w:sz w:val="24"/>
          <w:szCs w:val="24"/>
        </w:rPr>
        <w:t xml:space="preserve">, Simon </w:t>
      </w:r>
      <w:proofErr w:type="spellStart"/>
      <w:r w:rsidRPr="00112533">
        <w:rPr>
          <w:rFonts w:ascii="Times New Roman" w:eastAsia="Times New Roman" w:hAnsi="Times New Roman" w:cs="Times New Roman"/>
          <w:bCs/>
          <w:sz w:val="24"/>
          <w:szCs w:val="24"/>
        </w:rPr>
        <w:t>Chater</w:t>
      </w:r>
      <w:proofErr w:type="spellEnd"/>
      <w:r w:rsidRPr="00112533">
        <w:rPr>
          <w:rFonts w:ascii="Times New Roman" w:eastAsia="Times New Roman" w:hAnsi="Times New Roman" w:cs="Times New Roman"/>
          <w:bCs/>
          <w:sz w:val="24"/>
          <w:szCs w:val="24"/>
        </w:rPr>
        <w:t xml:space="preserve">, Brenda Townsend-Hall, Richard Markham, </w:t>
      </w:r>
    </w:p>
    <w:p w:rsidR="00EB0086" w:rsidRPr="00112533" w:rsidRDefault="00EB0086" w:rsidP="00EB0086">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112533">
        <w:rPr>
          <w:rFonts w:ascii="Times New Roman" w:eastAsia="Times New Roman" w:hAnsi="Times New Roman" w:cs="Times New Roman"/>
          <w:bCs/>
          <w:sz w:val="24"/>
          <w:szCs w:val="24"/>
        </w:rPr>
        <w:tab/>
      </w:r>
      <w:proofErr w:type="gramStart"/>
      <w:r w:rsidRPr="00112533">
        <w:rPr>
          <w:rFonts w:ascii="Times New Roman" w:eastAsia="Times New Roman" w:hAnsi="Times New Roman" w:cs="Times New Roman"/>
          <w:bCs/>
          <w:sz w:val="24"/>
          <w:szCs w:val="24"/>
        </w:rPr>
        <w:t>and</w:t>
      </w:r>
      <w:proofErr w:type="gramEnd"/>
      <w:r w:rsidRPr="00112533">
        <w:rPr>
          <w:rFonts w:ascii="Times New Roman" w:eastAsia="Times New Roman" w:hAnsi="Times New Roman" w:cs="Times New Roman"/>
          <w:bCs/>
          <w:sz w:val="24"/>
          <w:szCs w:val="24"/>
        </w:rPr>
        <w:t xml:space="preserve"> </w:t>
      </w:r>
      <w:proofErr w:type="spellStart"/>
      <w:r w:rsidRPr="00112533">
        <w:rPr>
          <w:rFonts w:ascii="Times New Roman" w:eastAsia="Times New Roman" w:hAnsi="Times New Roman" w:cs="Times New Roman"/>
          <w:bCs/>
          <w:sz w:val="24"/>
          <w:szCs w:val="24"/>
        </w:rPr>
        <w:t>Christel</w:t>
      </w:r>
      <w:proofErr w:type="spellEnd"/>
      <w:r w:rsidRPr="00112533">
        <w:rPr>
          <w:rFonts w:ascii="Times New Roman" w:eastAsia="Times New Roman" w:hAnsi="Times New Roman" w:cs="Times New Roman"/>
          <w:bCs/>
          <w:sz w:val="24"/>
          <w:szCs w:val="24"/>
        </w:rPr>
        <w:t xml:space="preserve"> Blank. </w:t>
      </w:r>
      <w:proofErr w:type="gramStart"/>
      <w:r w:rsidRPr="00112533">
        <w:rPr>
          <w:rFonts w:ascii="Times New Roman" w:eastAsia="Times New Roman" w:hAnsi="Times New Roman" w:cs="Times New Roman"/>
          <w:bCs/>
          <w:sz w:val="24"/>
          <w:szCs w:val="24"/>
        </w:rPr>
        <w:t>“The State of Food Insecurity in the World.”</w:t>
      </w:r>
      <w:proofErr w:type="gramEnd"/>
      <w:r w:rsidRPr="00112533">
        <w:rPr>
          <w:rFonts w:ascii="Times New Roman" w:eastAsia="Times New Roman" w:hAnsi="Times New Roman" w:cs="Times New Roman"/>
          <w:bCs/>
          <w:sz w:val="24"/>
          <w:szCs w:val="24"/>
        </w:rPr>
        <w:t xml:space="preserve"> </w:t>
      </w:r>
      <w:r w:rsidRPr="00112533">
        <w:rPr>
          <w:rFonts w:ascii="Times New Roman" w:eastAsia="Times New Roman" w:hAnsi="Times New Roman" w:cs="Times New Roman"/>
          <w:sz w:val="24"/>
          <w:szCs w:val="24"/>
        </w:rPr>
        <w:t xml:space="preserve">Food and Agriculture </w:t>
      </w:r>
    </w:p>
    <w:p w:rsidR="00EB0086" w:rsidRDefault="00EB0086" w:rsidP="00EB0086">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112533">
        <w:rPr>
          <w:rFonts w:ascii="Times New Roman" w:eastAsia="Times New Roman" w:hAnsi="Times New Roman" w:cs="Times New Roman"/>
          <w:sz w:val="24"/>
          <w:szCs w:val="24"/>
        </w:rPr>
        <w:tab/>
      </w:r>
      <w:proofErr w:type="gramStart"/>
      <w:r w:rsidRPr="00112533">
        <w:rPr>
          <w:rFonts w:ascii="Times New Roman" w:eastAsia="Times New Roman" w:hAnsi="Times New Roman" w:cs="Times New Roman"/>
          <w:sz w:val="24"/>
          <w:szCs w:val="24"/>
        </w:rPr>
        <w:t>Organization Economic and</w:t>
      </w:r>
      <w:r>
        <w:rPr>
          <w:rFonts w:ascii="Times New Roman" w:eastAsia="Times New Roman" w:hAnsi="Times New Roman" w:cs="Times New Roman"/>
          <w:sz w:val="24"/>
          <w:szCs w:val="24"/>
        </w:rPr>
        <w:t xml:space="preserve"> Social Development Department.</w:t>
      </w:r>
      <w:proofErr w:type="gramEnd"/>
      <w:r>
        <w:rPr>
          <w:rFonts w:ascii="Times New Roman" w:eastAsia="Times New Roman" w:hAnsi="Times New Roman" w:cs="Times New Roman"/>
          <w:sz w:val="24"/>
          <w:szCs w:val="24"/>
        </w:rPr>
        <w:t xml:space="preserve"> </w:t>
      </w:r>
      <w:r w:rsidRPr="00EB0086">
        <w:rPr>
          <w:rFonts w:ascii="Times New Roman" w:eastAsia="Times New Roman" w:hAnsi="Times New Roman" w:cs="Times New Roman"/>
          <w:sz w:val="24"/>
          <w:szCs w:val="24"/>
        </w:rPr>
        <w:t>http://www.fao.org/</w:t>
      </w:r>
    </w:p>
    <w:p w:rsidR="00AD02DC" w:rsidRPr="00EB0086" w:rsidRDefault="00EB0086" w:rsidP="00EB0086">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2533">
        <w:rPr>
          <w:rFonts w:ascii="Times New Roman" w:eastAsia="Times New Roman" w:hAnsi="Times New Roman" w:cs="Times New Roman"/>
          <w:sz w:val="24"/>
          <w:szCs w:val="24"/>
        </w:rPr>
        <w:t>economic/en/#.</w:t>
      </w:r>
      <w:proofErr w:type="spellStart"/>
      <w:r w:rsidRPr="00112533">
        <w:rPr>
          <w:rFonts w:ascii="Times New Roman" w:eastAsia="Times New Roman" w:hAnsi="Times New Roman" w:cs="Times New Roman"/>
          <w:sz w:val="24"/>
          <w:szCs w:val="24"/>
        </w:rPr>
        <w:t>UtNbmdJDtgg</w:t>
      </w:r>
      <w:proofErr w:type="spellEnd"/>
      <w:r w:rsidRPr="00112533">
        <w:rPr>
          <w:rFonts w:ascii="Times New Roman" w:eastAsia="Times New Roman" w:hAnsi="Times New Roman" w:cs="Times New Roman"/>
          <w:sz w:val="24"/>
          <w:szCs w:val="24"/>
        </w:rPr>
        <w:t xml:space="preserve"> (accessed December 02, 2013).</w:t>
      </w:r>
    </w:p>
    <w:p w:rsidR="00EB0086" w:rsidRPr="00300FD4" w:rsidRDefault="00EB0086" w:rsidP="00AD02DC">
      <w:pPr>
        <w:spacing w:after="0" w:line="240" w:lineRule="auto"/>
        <w:rPr>
          <w:rFonts w:asciiTheme="majorBidi" w:hAnsiTheme="majorBidi" w:cstheme="majorBidi"/>
          <w:sz w:val="24"/>
          <w:szCs w:val="24"/>
        </w:rPr>
      </w:pPr>
    </w:p>
    <w:p w:rsidR="00425880" w:rsidRPr="00425880" w:rsidRDefault="00425880" w:rsidP="00425880">
      <w:pPr>
        <w:spacing w:after="0" w:line="240" w:lineRule="auto"/>
        <w:rPr>
          <w:rFonts w:asciiTheme="majorBidi" w:hAnsiTheme="majorBidi" w:cstheme="majorBidi"/>
          <w:sz w:val="24"/>
          <w:szCs w:val="24"/>
        </w:rPr>
      </w:pPr>
      <w:r w:rsidRPr="00300FD4">
        <w:rPr>
          <w:rFonts w:asciiTheme="majorBidi" w:hAnsiTheme="majorBidi" w:cstheme="majorBidi"/>
          <w:sz w:val="24"/>
          <w:szCs w:val="24"/>
        </w:rPr>
        <w:t xml:space="preserve">Economic and Social Commission for Western </w:t>
      </w:r>
      <w:proofErr w:type="spellStart"/>
      <w:r w:rsidRPr="00300FD4">
        <w:rPr>
          <w:rFonts w:asciiTheme="majorBidi" w:hAnsiTheme="majorBidi" w:cstheme="majorBidi"/>
          <w:sz w:val="24"/>
          <w:szCs w:val="24"/>
        </w:rPr>
        <w:t>Asia</w:t>
      </w:r>
      <w:proofErr w:type="gramStart"/>
      <w:r w:rsidRPr="00300FD4">
        <w:rPr>
          <w:rFonts w:asciiTheme="majorBidi" w:hAnsiTheme="majorBidi" w:cstheme="majorBidi"/>
          <w:sz w:val="24"/>
          <w:szCs w:val="24"/>
        </w:rPr>
        <w:t>.“</w:t>
      </w:r>
      <w:proofErr w:type="gramEnd"/>
      <w:r w:rsidRPr="00300FD4">
        <w:rPr>
          <w:rFonts w:asciiTheme="majorBidi" w:hAnsiTheme="majorBidi" w:cstheme="majorBidi"/>
          <w:sz w:val="24"/>
          <w:szCs w:val="24"/>
        </w:rPr>
        <w:t>ESCWA</w:t>
      </w:r>
      <w:proofErr w:type="spellEnd"/>
      <w:r w:rsidRPr="00425880">
        <w:rPr>
          <w:rFonts w:asciiTheme="majorBidi" w:hAnsiTheme="majorBidi" w:cstheme="majorBidi"/>
          <w:sz w:val="24"/>
          <w:szCs w:val="24"/>
        </w:rPr>
        <w:t xml:space="preserve"> Water Development Report 3.” </w:t>
      </w:r>
    </w:p>
    <w:p w:rsidR="00425880" w:rsidRPr="00425880" w:rsidRDefault="00425880" w:rsidP="00425880">
      <w:pPr>
        <w:spacing w:after="0" w:line="240" w:lineRule="auto"/>
        <w:rPr>
          <w:rFonts w:asciiTheme="majorBidi" w:hAnsiTheme="majorBidi" w:cstheme="majorBidi"/>
          <w:sz w:val="24"/>
          <w:szCs w:val="24"/>
        </w:rPr>
      </w:pPr>
      <w:r w:rsidRPr="00425880">
        <w:rPr>
          <w:rFonts w:asciiTheme="majorBidi" w:hAnsiTheme="majorBidi" w:cstheme="majorBidi"/>
          <w:sz w:val="24"/>
          <w:szCs w:val="24"/>
        </w:rPr>
        <w:tab/>
      </w:r>
      <w:proofErr w:type="gramStart"/>
      <w:r w:rsidRPr="00425880">
        <w:rPr>
          <w:rFonts w:asciiTheme="majorBidi" w:hAnsiTheme="majorBidi" w:cstheme="majorBidi"/>
          <w:sz w:val="24"/>
          <w:szCs w:val="24"/>
        </w:rPr>
        <w:t>United Nations (2009).</w:t>
      </w:r>
      <w:proofErr w:type="gramEnd"/>
    </w:p>
    <w:p w:rsidR="00425880" w:rsidRDefault="00425880" w:rsidP="00252018">
      <w:pPr>
        <w:spacing w:after="0" w:line="240" w:lineRule="auto"/>
        <w:ind w:firstLine="720"/>
        <w:rPr>
          <w:rFonts w:asciiTheme="majorBidi" w:hAnsiTheme="majorBidi" w:cstheme="majorBidi"/>
          <w:sz w:val="24"/>
          <w:szCs w:val="24"/>
        </w:rPr>
      </w:pPr>
    </w:p>
    <w:p w:rsidR="00425880"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BA2ECF">
        <w:rPr>
          <w:rFonts w:ascii="Times New Roman" w:eastAsia="Times New Roman" w:hAnsi="Times New Roman" w:cs="Times New Roman"/>
          <w:sz w:val="24"/>
          <w:szCs w:val="24"/>
        </w:rPr>
        <w:t xml:space="preserve">Food and Agriculture Organization </w:t>
      </w:r>
      <w:proofErr w:type="spellStart"/>
      <w:r w:rsidRPr="00BA2ECF">
        <w:rPr>
          <w:rFonts w:ascii="Times New Roman" w:eastAsia="Times New Roman" w:hAnsi="Times New Roman" w:cs="Times New Roman"/>
          <w:sz w:val="24"/>
          <w:szCs w:val="24"/>
        </w:rPr>
        <w:t>AquaStat</w:t>
      </w:r>
      <w:proofErr w:type="spellEnd"/>
      <w:r>
        <w:rPr>
          <w:rFonts w:ascii="Times New Roman" w:eastAsia="Times New Roman" w:hAnsi="Times New Roman" w:cs="Times New Roman"/>
          <w:sz w:val="24"/>
          <w:szCs w:val="24"/>
        </w:rPr>
        <w:t>.</w:t>
      </w:r>
      <w:proofErr w:type="gramEnd"/>
      <w:r w:rsidRPr="00BA2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Oman.” </w:t>
      </w:r>
      <w:proofErr w:type="spellStart"/>
      <w:proofErr w:type="gramStart"/>
      <w:r>
        <w:rPr>
          <w:rFonts w:ascii="Times New Roman" w:eastAsia="Times New Roman" w:hAnsi="Times New Roman" w:cs="Times New Roman"/>
          <w:sz w:val="24"/>
          <w:szCs w:val="24"/>
        </w:rPr>
        <w:t>AquaStat</w:t>
      </w:r>
      <w:proofErr w:type="spellEnd"/>
      <w:r>
        <w:rPr>
          <w:rFonts w:ascii="Times New Roman" w:eastAsia="Times New Roman" w:hAnsi="Times New Roman" w:cs="Times New Roman"/>
          <w:sz w:val="24"/>
          <w:szCs w:val="24"/>
        </w:rPr>
        <w:t>.</w:t>
      </w:r>
      <w:proofErr w:type="gramEnd"/>
      <w:r w:rsidRPr="00BA2ECF">
        <w:rPr>
          <w:rFonts w:ascii="Times New Roman" w:eastAsia="Times New Roman" w:hAnsi="Times New Roman" w:cs="Times New Roman"/>
          <w:sz w:val="24"/>
          <w:szCs w:val="24"/>
        </w:rPr>
        <w:t xml:space="preserve"> </w:t>
      </w:r>
    </w:p>
    <w:p w:rsidR="00425880"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50"/>
        <w:rPr>
          <w:rFonts w:ascii="Times New Roman" w:eastAsia="Times New Roman" w:hAnsi="Times New Roman" w:cs="Times New Roman"/>
          <w:sz w:val="24"/>
          <w:szCs w:val="24"/>
        </w:rPr>
      </w:pPr>
      <w:r w:rsidRPr="00BA2ECF">
        <w:rPr>
          <w:rFonts w:ascii="Times New Roman" w:eastAsia="Times New Roman" w:hAnsi="Times New Roman" w:cs="Times New Roman"/>
          <w:sz w:val="24"/>
          <w:szCs w:val="24"/>
        </w:rPr>
        <w:t>2008</w:t>
      </w:r>
      <w:proofErr w:type="gramStart"/>
      <w:r>
        <w:rPr>
          <w:rFonts w:ascii="Times New Roman" w:eastAsia="Times New Roman" w:hAnsi="Times New Roman" w:cs="Times New Roman"/>
          <w:sz w:val="24"/>
          <w:szCs w:val="24"/>
        </w:rPr>
        <w:t>.</w:t>
      </w:r>
      <w:r w:rsidRPr="00BA2ECF">
        <w:rPr>
          <w:rFonts w:ascii="Times New Roman" w:eastAsia="Times New Roman" w:hAnsi="Times New Roman" w:cs="Times New Roman"/>
          <w:sz w:val="24"/>
          <w:szCs w:val="24"/>
        </w:rPr>
        <w:t>http</w:t>
      </w:r>
      <w:proofErr w:type="gramEnd"/>
      <w:r w:rsidRPr="00BA2ECF">
        <w:rPr>
          <w:rFonts w:ascii="Times New Roman" w:eastAsia="Times New Roman" w:hAnsi="Times New Roman" w:cs="Times New Roman"/>
          <w:sz w:val="24"/>
          <w:szCs w:val="24"/>
        </w:rPr>
        <w:t>://www.fao.org/nr/water/aquastat/countries_regions/oman/index.stm (accessed November 30, 2014).</w:t>
      </w:r>
    </w:p>
    <w:p w:rsidR="00425880" w:rsidRDefault="00425880" w:rsidP="00883A3F">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883A3F" w:rsidRDefault="00883A3F" w:rsidP="00883A3F">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i/>
          <w:iCs/>
          <w:sz w:val="24"/>
          <w:szCs w:val="24"/>
        </w:rPr>
      </w:pPr>
      <w:r w:rsidRPr="00883A3F">
        <w:rPr>
          <w:rFonts w:ascii="Times New Roman" w:eastAsia="Times New Roman" w:hAnsi="Times New Roman" w:cs="Times New Roman"/>
          <w:sz w:val="24"/>
          <w:szCs w:val="24"/>
        </w:rPr>
        <w:t xml:space="preserve">Food and Agriculture Organization Economic and Social Development Department, </w:t>
      </w:r>
      <w:r w:rsidRPr="00883A3F">
        <w:rPr>
          <w:rFonts w:ascii="Times New Roman" w:eastAsia="Times New Roman" w:hAnsi="Times New Roman" w:cs="Times New Roman"/>
          <w:i/>
          <w:iCs/>
          <w:sz w:val="24"/>
          <w:szCs w:val="24"/>
        </w:rPr>
        <w:t xml:space="preserve">Trade </w:t>
      </w:r>
    </w:p>
    <w:p w:rsidR="00883A3F" w:rsidRDefault="00883A3F" w:rsidP="00300FD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sidRPr="00883A3F">
        <w:rPr>
          <w:rFonts w:ascii="Times New Roman" w:eastAsia="Times New Roman" w:hAnsi="Times New Roman" w:cs="Times New Roman"/>
          <w:i/>
          <w:iCs/>
          <w:sz w:val="24"/>
          <w:szCs w:val="24"/>
        </w:rPr>
        <w:t>Reforms and Food Securit</w:t>
      </w:r>
      <w:r w:rsidR="00300FD4">
        <w:rPr>
          <w:rFonts w:ascii="Times New Roman" w:eastAsia="Times New Roman" w:hAnsi="Times New Roman" w:cs="Times New Roman"/>
          <w:i/>
          <w:iCs/>
          <w:sz w:val="24"/>
          <w:szCs w:val="24"/>
        </w:rPr>
        <w:t xml:space="preserve">y: Conceptualizing the Linkages. </w:t>
      </w:r>
      <w:proofErr w:type="gramStart"/>
      <w:r w:rsidRPr="00883A3F">
        <w:rPr>
          <w:rFonts w:ascii="Times New Roman" w:eastAsia="Times New Roman" w:hAnsi="Times New Roman" w:cs="Times New Roman"/>
          <w:sz w:val="24"/>
          <w:szCs w:val="24"/>
        </w:rPr>
        <w:t>Rome, 2003</w:t>
      </w:r>
      <w:r w:rsidR="00300FD4">
        <w:rPr>
          <w:rFonts w:ascii="Times New Roman" w:eastAsia="Times New Roman" w:hAnsi="Times New Roman" w:cs="Times New Roman"/>
          <w:sz w:val="24"/>
          <w:szCs w:val="24"/>
        </w:rPr>
        <w:t>.</w:t>
      </w:r>
      <w:proofErr w:type="gramEnd"/>
    </w:p>
    <w:p w:rsidR="000227F2" w:rsidRDefault="000227F2"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425880"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bookmarkStart w:id="0" w:name="_GoBack"/>
      <w:bookmarkEnd w:id="0"/>
      <w:proofErr w:type="gramStart"/>
      <w:r w:rsidRPr="00A63A02">
        <w:rPr>
          <w:rFonts w:ascii="Times New Roman" w:eastAsia="Times New Roman" w:hAnsi="Times New Roman" w:cs="Times New Roman"/>
          <w:sz w:val="24"/>
          <w:szCs w:val="24"/>
        </w:rPr>
        <w:t>Food and Agriculture Organization Global Agro-Ecological Zones</w:t>
      </w:r>
      <w:r>
        <w:rPr>
          <w:rFonts w:ascii="Times New Roman" w:eastAsia="Times New Roman" w:hAnsi="Times New Roman" w:cs="Times New Roman"/>
          <w:sz w:val="24"/>
          <w:szCs w:val="24"/>
        </w:rPr>
        <w:t>.</w:t>
      </w:r>
      <w:proofErr w:type="gramEnd"/>
      <w:r w:rsidRPr="00A63A02">
        <w:rPr>
          <w:rFonts w:ascii="Times New Roman" w:eastAsia="Times New Roman" w:hAnsi="Times New Roman" w:cs="Times New Roman"/>
          <w:sz w:val="24"/>
          <w:szCs w:val="24"/>
        </w:rPr>
        <w:t xml:space="preserve"> </w:t>
      </w:r>
      <w:proofErr w:type="gramStart"/>
      <w:r w:rsidRPr="00A63A02">
        <w:rPr>
          <w:rFonts w:ascii="Times New Roman" w:eastAsia="Times New Roman" w:hAnsi="Times New Roman" w:cs="Times New Roman"/>
          <w:sz w:val="24"/>
          <w:szCs w:val="24"/>
        </w:rPr>
        <w:t>“GAEZ</w:t>
      </w:r>
      <w:r>
        <w:rPr>
          <w:rFonts w:ascii="Times New Roman" w:eastAsia="Times New Roman" w:hAnsi="Times New Roman" w:cs="Times New Roman"/>
          <w:sz w:val="24"/>
          <w:szCs w:val="24"/>
        </w:rPr>
        <w:t>.</w:t>
      </w:r>
      <w:r w:rsidRPr="00A63A02">
        <w:rPr>
          <w:rFonts w:ascii="Times New Roman" w:eastAsia="Times New Roman" w:hAnsi="Times New Roman" w:cs="Times New Roman"/>
          <w:sz w:val="24"/>
          <w:szCs w:val="24"/>
        </w:rPr>
        <w:t>”</w:t>
      </w:r>
      <w:proofErr w:type="gramEnd"/>
      <w:r w:rsidRPr="00A63A02">
        <w:rPr>
          <w:rFonts w:ascii="Times New Roman" w:eastAsia="Times New Roman" w:hAnsi="Times New Roman" w:cs="Times New Roman"/>
          <w:sz w:val="24"/>
          <w:szCs w:val="24"/>
        </w:rPr>
        <w:t xml:space="preserve"> International </w:t>
      </w:r>
    </w:p>
    <w:p w:rsidR="00425880"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63A02">
        <w:rPr>
          <w:rFonts w:ascii="Times New Roman" w:eastAsia="Times New Roman" w:hAnsi="Times New Roman" w:cs="Times New Roman"/>
          <w:sz w:val="24"/>
          <w:szCs w:val="24"/>
        </w:rPr>
        <w:t>Institu</w:t>
      </w:r>
      <w:r>
        <w:rPr>
          <w:rFonts w:ascii="Times New Roman" w:eastAsia="Times New Roman" w:hAnsi="Times New Roman" w:cs="Times New Roman"/>
          <w:sz w:val="24"/>
          <w:szCs w:val="24"/>
        </w:rPr>
        <w:t>te for Applied Systems Analysis.</w:t>
      </w:r>
      <w:r w:rsidRPr="00A63A02">
        <w:rPr>
          <w:rFonts w:ascii="Times New Roman" w:eastAsia="Times New Roman" w:hAnsi="Times New Roman" w:cs="Times New Roman"/>
          <w:sz w:val="24"/>
          <w:szCs w:val="24"/>
        </w:rPr>
        <w:t xml:space="preserve"> 2014</w:t>
      </w:r>
      <w:r>
        <w:rPr>
          <w:rFonts w:ascii="Times New Roman" w:eastAsia="Times New Roman" w:hAnsi="Times New Roman" w:cs="Times New Roman"/>
          <w:sz w:val="24"/>
          <w:szCs w:val="24"/>
        </w:rPr>
        <w:t xml:space="preserve">. </w:t>
      </w:r>
      <w:r w:rsidRPr="00A63A02">
        <w:rPr>
          <w:rFonts w:ascii="Times New Roman" w:eastAsia="Times New Roman" w:hAnsi="Times New Roman" w:cs="Times New Roman"/>
          <w:sz w:val="24"/>
          <w:szCs w:val="24"/>
        </w:rPr>
        <w:t xml:space="preserve"> http://gaez.fao.org/Main.html# (accessed </w:t>
      </w:r>
    </w:p>
    <w:p w:rsidR="00425880" w:rsidRPr="00BA2ECF"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63A02">
        <w:rPr>
          <w:rFonts w:ascii="Times New Roman" w:eastAsia="Times New Roman" w:hAnsi="Times New Roman" w:cs="Times New Roman"/>
          <w:sz w:val="24"/>
          <w:szCs w:val="24"/>
        </w:rPr>
        <w:t>November 19, 2014).</w:t>
      </w:r>
    </w:p>
    <w:p w:rsidR="00425880"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425880"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6A63E3">
        <w:rPr>
          <w:rFonts w:ascii="Times New Roman" w:eastAsia="Times New Roman" w:hAnsi="Times New Roman" w:cs="Times New Roman"/>
          <w:sz w:val="24"/>
          <w:szCs w:val="24"/>
        </w:rPr>
        <w:t>Food and Agriculture Organization Statistics Division</w:t>
      </w:r>
      <w:r>
        <w:rPr>
          <w:rFonts w:ascii="Times New Roman" w:eastAsia="Times New Roman" w:hAnsi="Times New Roman" w:cs="Times New Roman"/>
          <w:sz w:val="24"/>
          <w:szCs w:val="24"/>
        </w:rPr>
        <w:t>.</w:t>
      </w:r>
      <w:proofErr w:type="gramEnd"/>
      <w:r w:rsidRPr="006A63E3">
        <w:rPr>
          <w:rFonts w:ascii="Times New Roman" w:eastAsia="Times New Roman" w:hAnsi="Times New Roman" w:cs="Times New Roman"/>
          <w:sz w:val="24"/>
          <w:szCs w:val="24"/>
        </w:rPr>
        <w:t xml:space="preserve"> </w:t>
      </w:r>
      <w:proofErr w:type="gramStart"/>
      <w:r w:rsidRPr="006A63E3">
        <w:rPr>
          <w:rFonts w:ascii="Times New Roman" w:eastAsia="Times New Roman" w:hAnsi="Times New Roman" w:cs="Times New Roman"/>
          <w:sz w:val="24"/>
          <w:szCs w:val="24"/>
        </w:rPr>
        <w:t>“Browse Data</w:t>
      </w:r>
      <w:r>
        <w:rPr>
          <w:rFonts w:ascii="Times New Roman" w:eastAsia="Times New Roman" w:hAnsi="Times New Roman" w:cs="Times New Roman"/>
          <w:sz w:val="24"/>
          <w:szCs w:val="24"/>
        </w:rPr>
        <w:t>.</w:t>
      </w:r>
      <w:r w:rsidRPr="006A63E3">
        <w:rPr>
          <w:rFonts w:ascii="Times New Roman" w:eastAsia="Times New Roman" w:hAnsi="Times New Roman" w:cs="Times New Roman"/>
          <w:sz w:val="24"/>
          <w:szCs w:val="24"/>
        </w:rPr>
        <w:t>”</w:t>
      </w:r>
      <w:proofErr w:type="gramEnd"/>
      <w:r w:rsidRPr="006A63E3">
        <w:rPr>
          <w:rFonts w:ascii="Times New Roman" w:eastAsia="Times New Roman" w:hAnsi="Times New Roman" w:cs="Times New Roman"/>
          <w:sz w:val="24"/>
          <w:szCs w:val="24"/>
        </w:rPr>
        <w:t xml:space="preserve"> </w:t>
      </w:r>
      <w:proofErr w:type="gramStart"/>
      <w:r w:rsidRPr="006A63E3">
        <w:rPr>
          <w:rFonts w:ascii="Times New Roman" w:eastAsia="Times New Roman" w:hAnsi="Times New Roman" w:cs="Times New Roman"/>
          <w:sz w:val="24"/>
          <w:szCs w:val="24"/>
        </w:rPr>
        <w:t>Food Security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6A63E3">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425880" w:rsidRPr="00112533"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A63E3">
        <w:rPr>
          <w:rFonts w:ascii="Times New Roman" w:eastAsia="Times New Roman" w:hAnsi="Times New Roman" w:cs="Times New Roman"/>
          <w:sz w:val="24"/>
          <w:szCs w:val="24"/>
        </w:rPr>
        <w:t>http://faostat3.fao.org/browse/T/TP/E (accessed November 20, 2014).</w:t>
      </w:r>
    </w:p>
    <w:p w:rsidR="00425880" w:rsidRPr="00112533"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425880" w:rsidRPr="00112533"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112533">
        <w:rPr>
          <w:rFonts w:ascii="Times New Roman" w:eastAsia="Times New Roman" w:hAnsi="Times New Roman" w:cs="Times New Roman"/>
          <w:sz w:val="24"/>
          <w:szCs w:val="24"/>
        </w:rPr>
        <w:t>Food and Agriculture Organization Statistics Division.</w:t>
      </w:r>
      <w:proofErr w:type="gramEnd"/>
      <w:r w:rsidRPr="00112533">
        <w:rPr>
          <w:rFonts w:ascii="Times New Roman" w:eastAsia="Times New Roman" w:hAnsi="Times New Roman" w:cs="Times New Roman"/>
          <w:sz w:val="24"/>
          <w:szCs w:val="24"/>
        </w:rPr>
        <w:t xml:space="preserve"> “Updating the Minimum Dietary Energy </w:t>
      </w:r>
    </w:p>
    <w:p w:rsidR="00425880" w:rsidRPr="00112533"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i/>
          <w:iCs/>
          <w:sz w:val="24"/>
          <w:szCs w:val="24"/>
        </w:rPr>
      </w:pPr>
      <w:r w:rsidRPr="00112533">
        <w:rPr>
          <w:rFonts w:ascii="Times New Roman" w:eastAsia="Times New Roman" w:hAnsi="Times New Roman" w:cs="Times New Roman"/>
          <w:sz w:val="24"/>
          <w:szCs w:val="24"/>
        </w:rPr>
        <w:tab/>
      </w:r>
      <w:proofErr w:type="gramStart"/>
      <w:r w:rsidRPr="00112533">
        <w:rPr>
          <w:rFonts w:ascii="Times New Roman" w:eastAsia="Times New Roman" w:hAnsi="Times New Roman" w:cs="Times New Roman"/>
          <w:sz w:val="24"/>
          <w:szCs w:val="24"/>
        </w:rPr>
        <w:t>Requirements.”</w:t>
      </w:r>
      <w:proofErr w:type="gramEnd"/>
      <w:r w:rsidRPr="00112533">
        <w:rPr>
          <w:rFonts w:ascii="Times New Roman" w:eastAsia="Times New Roman" w:hAnsi="Times New Roman" w:cs="Times New Roman"/>
          <w:sz w:val="24"/>
          <w:szCs w:val="24"/>
        </w:rPr>
        <w:t xml:space="preserve"> </w:t>
      </w:r>
      <w:r w:rsidRPr="00112533">
        <w:rPr>
          <w:rFonts w:ascii="Times New Roman" w:eastAsia="Times New Roman" w:hAnsi="Times New Roman" w:cs="Times New Roman"/>
          <w:i/>
          <w:iCs/>
          <w:sz w:val="24"/>
          <w:szCs w:val="24"/>
        </w:rPr>
        <w:t xml:space="preserve">Food and Agriculture Organization Methodology for the Measurement of </w:t>
      </w:r>
    </w:p>
    <w:p w:rsidR="00425880" w:rsidRPr="00112533"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i/>
          <w:iCs/>
          <w:sz w:val="24"/>
          <w:szCs w:val="24"/>
        </w:rPr>
      </w:pPr>
      <w:r w:rsidRPr="00112533">
        <w:rPr>
          <w:rFonts w:ascii="Times New Roman" w:eastAsia="Times New Roman" w:hAnsi="Times New Roman" w:cs="Times New Roman"/>
          <w:i/>
          <w:iCs/>
          <w:sz w:val="24"/>
          <w:szCs w:val="24"/>
        </w:rPr>
        <w:tab/>
      </w:r>
      <w:proofErr w:type="gramStart"/>
      <w:r w:rsidRPr="00112533">
        <w:rPr>
          <w:rFonts w:ascii="Times New Roman" w:eastAsia="Times New Roman" w:hAnsi="Times New Roman" w:cs="Times New Roman"/>
          <w:i/>
          <w:iCs/>
          <w:sz w:val="24"/>
          <w:szCs w:val="24"/>
        </w:rPr>
        <w:t xml:space="preserve">Food Deprivation </w:t>
      </w:r>
      <w:r w:rsidRPr="00112533">
        <w:rPr>
          <w:rFonts w:ascii="Times New Roman" w:eastAsia="Times New Roman" w:hAnsi="Times New Roman" w:cs="Times New Roman"/>
          <w:sz w:val="24"/>
          <w:szCs w:val="24"/>
        </w:rPr>
        <w:t>(2008).</w:t>
      </w:r>
      <w:proofErr w:type="gramEnd"/>
      <w:r w:rsidRPr="00112533">
        <w:rPr>
          <w:rFonts w:ascii="Times New Roman" w:eastAsia="Times New Roman" w:hAnsi="Times New Roman" w:cs="Times New Roman"/>
          <w:sz w:val="24"/>
          <w:szCs w:val="24"/>
        </w:rPr>
        <w:t xml:space="preserve"> </w:t>
      </w:r>
    </w:p>
    <w:p w:rsidR="00425880" w:rsidRPr="00112533"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112533">
        <w:rPr>
          <w:rFonts w:ascii="Times New Roman" w:eastAsia="Times New Roman" w:hAnsi="Times New Roman" w:cs="Times New Roman"/>
          <w:sz w:val="24"/>
          <w:szCs w:val="24"/>
        </w:rPr>
        <w:tab/>
        <w:t>http://www.fao.org/fileadmin/templates/ess/documents/food_security_statistics/metadata/un</w:t>
      </w:r>
    </w:p>
    <w:p w:rsidR="00425880"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112533">
        <w:rPr>
          <w:rFonts w:ascii="Times New Roman" w:eastAsia="Times New Roman" w:hAnsi="Times New Roman" w:cs="Times New Roman"/>
          <w:sz w:val="24"/>
          <w:szCs w:val="24"/>
        </w:rPr>
        <w:tab/>
        <w:t>dernourishment_methodology.pdf (accessed December 18, 2013).</w:t>
      </w:r>
    </w:p>
    <w:p w:rsidR="003A4672" w:rsidRDefault="003A4672"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3A4672" w:rsidRDefault="003A4672" w:rsidP="003A467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3A4672">
        <w:rPr>
          <w:rFonts w:ascii="Times New Roman" w:eastAsia="Times New Roman" w:hAnsi="Times New Roman" w:cs="Times New Roman"/>
          <w:sz w:val="24"/>
          <w:szCs w:val="24"/>
        </w:rPr>
        <w:t xml:space="preserve">Food and Agriculture Organization of the United Nations, “Cutting Food Waste to Feed the </w:t>
      </w:r>
    </w:p>
    <w:p w:rsidR="003A4672" w:rsidRPr="00112533" w:rsidRDefault="003A4672" w:rsidP="003A467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50"/>
        <w:rPr>
          <w:rFonts w:ascii="Times New Roman" w:eastAsia="Times New Roman" w:hAnsi="Times New Roman" w:cs="Times New Roman"/>
          <w:sz w:val="24"/>
          <w:szCs w:val="24"/>
        </w:rPr>
      </w:pPr>
      <w:proofErr w:type="gramStart"/>
      <w:r w:rsidRPr="003A4672">
        <w:rPr>
          <w:rFonts w:ascii="Times New Roman" w:eastAsia="Times New Roman" w:hAnsi="Times New Roman" w:cs="Times New Roman"/>
          <w:sz w:val="24"/>
          <w:szCs w:val="24"/>
        </w:rPr>
        <w:t>World,” May 11, 2011, http://www.fao.org/news/story/en/item/74192/icode/ (accessed March 2, 2015).</w:t>
      </w:r>
      <w:proofErr w:type="gramEnd"/>
    </w:p>
    <w:p w:rsidR="00425880" w:rsidRPr="00112533"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425880"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447134">
        <w:rPr>
          <w:rFonts w:ascii="Times New Roman" w:eastAsia="Times New Roman" w:hAnsi="Times New Roman" w:cs="Times New Roman"/>
          <w:sz w:val="24"/>
          <w:szCs w:val="24"/>
        </w:rPr>
        <w:t>Food and Agriculture Org</w:t>
      </w:r>
      <w:r>
        <w:rPr>
          <w:rFonts w:ascii="Times New Roman" w:eastAsia="Times New Roman" w:hAnsi="Times New Roman" w:cs="Times New Roman"/>
          <w:sz w:val="24"/>
          <w:szCs w:val="24"/>
        </w:rPr>
        <w:t>anization of the United Nations.</w:t>
      </w:r>
      <w:proofErr w:type="gramEnd"/>
      <w:r w:rsidRPr="00447134">
        <w:rPr>
          <w:rFonts w:ascii="Times New Roman" w:eastAsia="Times New Roman" w:hAnsi="Times New Roman" w:cs="Times New Roman"/>
          <w:sz w:val="24"/>
          <w:szCs w:val="24"/>
        </w:rPr>
        <w:t xml:space="preserve"> “Food Imports by Oman Set to Grow </w:t>
      </w:r>
    </w:p>
    <w:p w:rsidR="00425880"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50"/>
        <w:rPr>
          <w:rFonts w:ascii="Times New Roman" w:eastAsia="Times New Roman" w:hAnsi="Times New Roman" w:cs="Times New Roman"/>
          <w:sz w:val="24"/>
          <w:szCs w:val="24"/>
        </w:rPr>
      </w:pPr>
      <w:proofErr w:type="gramStart"/>
      <w:r w:rsidRPr="00447134">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$4.8bn.</w:t>
      </w:r>
      <w:r w:rsidRPr="00447134">
        <w:rPr>
          <w:rFonts w:ascii="Times New Roman" w:eastAsia="Times New Roman" w:hAnsi="Times New Roman" w:cs="Times New Roman"/>
          <w:sz w:val="24"/>
          <w:szCs w:val="24"/>
        </w:rPr>
        <w:t xml:space="preserve">” </w:t>
      </w:r>
      <w:proofErr w:type="gramStart"/>
      <w:r w:rsidRPr="00447134">
        <w:rPr>
          <w:rFonts w:ascii="Times New Roman" w:eastAsia="Times New Roman" w:hAnsi="Times New Roman" w:cs="Times New Roman"/>
          <w:sz w:val="24"/>
          <w:szCs w:val="24"/>
        </w:rPr>
        <w:t>Regional Office for</w:t>
      </w:r>
      <w:r>
        <w:rPr>
          <w:rFonts w:ascii="Times New Roman" w:eastAsia="Times New Roman" w:hAnsi="Times New Roman" w:cs="Times New Roman"/>
          <w:sz w:val="24"/>
          <w:szCs w:val="24"/>
        </w:rPr>
        <w:t xml:space="preserve"> the Near East and North Africa.</w:t>
      </w:r>
      <w:proofErr w:type="gramEnd"/>
      <w:r>
        <w:rPr>
          <w:rFonts w:ascii="Times New Roman" w:eastAsia="Times New Roman" w:hAnsi="Times New Roman" w:cs="Times New Roman"/>
          <w:sz w:val="24"/>
          <w:szCs w:val="24"/>
        </w:rPr>
        <w:t xml:space="preserve"> November 9, 2011.</w:t>
      </w:r>
      <w:r w:rsidRPr="00447134">
        <w:rPr>
          <w:rFonts w:ascii="Times New Roman" w:eastAsia="Times New Roman" w:hAnsi="Times New Roman" w:cs="Times New Roman"/>
          <w:sz w:val="24"/>
          <w:szCs w:val="24"/>
        </w:rPr>
        <w:t xml:space="preserve"> </w:t>
      </w:r>
      <w:proofErr w:type="gramStart"/>
      <w:r w:rsidRPr="00447134">
        <w:rPr>
          <w:rFonts w:ascii="Times New Roman" w:eastAsia="Times New Roman" w:hAnsi="Times New Roman" w:cs="Times New Roman"/>
          <w:sz w:val="24"/>
          <w:szCs w:val="24"/>
        </w:rPr>
        <w:t>http://neareast.fao.org/Pages/NewsDetails.aspx?lang=EN&amp;id=2402627&amp;I=0&amp;DId=0&amp;CId=0&amp;CMSId=21 (accessed November 19, 2014).</w:t>
      </w:r>
      <w:proofErr w:type="gramEnd"/>
    </w:p>
    <w:p w:rsidR="00425880"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425880" w:rsidRPr="00112533"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112533">
        <w:rPr>
          <w:rFonts w:ascii="Times New Roman" w:eastAsia="Times New Roman" w:hAnsi="Times New Roman" w:cs="Times New Roman"/>
          <w:sz w:val="24"/>
          <w:szCs w:val="24"/>
        </w:rPr>
        <w:t>Food and Agriculture Organization of the United Nations.</w:t>
      </w:r>
      <w:proofErr w:type="gramEnd"/>
      <w:r w:rsidRPr="00112533">
        <w:rPr>
          <w:rFonts w:ascii="Times New Roman" w:eastAsia="Times New Roman" w:hAnsi="Times New Roman" w:cs="Times New Roman"/>
          <w:sz w:val="24"/>
          <w:szCs w:val="24"/>
        </w:rPr>
        <w:t xml:space="preserve"> </w:t>
      </w:r>
      <w:proofErr w:type="gramStart"/>
      <w:r w:rsidRPr="00112533">
        <w:rPr>
          <w:rFonts w:ascii="Times New Roman" w:eastAsia="Times New Roman" w:hAnsi="Times New Roman" w:cs="Times New Roman"/>
          <w:sz w:val="24"/>
          <w:szCs w:val="24"/>
        </w:rPr>
        <w:t>“Food Security Indicators.”</w:t>
      </w:r>
      <w:proofErr w:type="gramEnd"/>
      <w:r w:rsidRPr="00112533">
        <w:rPr>
          <w:rFonts w:ascii="Times New Roman" w:eastAsia="Times New Roman" w:hAnsi="Times New Roman" w:cs="Times New Roman"/>
          <w:sz w:val="24"/>
          <w:szCs w:val="24"/>
        </w:rPr>
        <w:t xml:space="preserve"> Food and </w:t>
      </w:r>
    </w:p>
    <w:p w:rsidR="00425880"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112533">
        <w:rPr>
          <w:rFonts w:ascii="Times New Roman" w:eastAsia="Times New Roman" w:hAnsi="Times New Roman" w:cs="Times New Roman"/>
          <w:sz w:val="24"/>
          <w:szCs w:val="24"/>
        </w:rPr>
        <w:tab/>
      </w:r>
      <w:proofErr w:type="gramStart"/>
      <w:r w:rsidRPr="00112533">
        <w:rPr>
          <w:rFonts w:ascii="Times New Roman" w:eastAsia="Times New Roman" w:hAnsi="Times New Roman" w:cs="Times New Roman"/>
          <w:sz w:val="24"/>
          <w:szCs w:val="24"/>
        </w:rPr>
        <w:t>Agriculture Organization of the United Nations.</w:t>
      </w:r>
      <w:proofErr w:type="gramEnd"/>
      <w:r w:rsidRPr="001125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2015. </w:t>
      </w:r>
      <w:r w:rsidRPr="00425880">
        <w:rPr>
          <w:rFonts w:ascii="Times New Roman" w:eastAsia="Times New Roman" w:hAnsi="Times New Roman" w:cs="Times New Roman"/>
          <w:sz w:val="24"/>
          <w:szCs w:val="24"/>
        </w:rPr>
        <w:t>http://www.fao.org/economic/ess/</w:t>
      </w:r>
    </w:p>
    <w:p w:rsidR="00425880" w:rsidRPr="00112533" w:rsidRDefault="00425880" w:rsidP="00425880">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proofErr w:type="gramStart"/>
      <w:r w:rsidRPr="00112533">
        <w:rPr>
          <w:rFonts w:ascii="Times New Roman" w:eastAsia="Times New Roman" w:hAnsi="Times New Roman" w:cs="Times New Roman"/>
          <w:sz w:val="24"/>
          <w:szCs w:val="24"/>
        </w:rPr>
        <w:t>ess</w:t>
      </w:r>
      <w:proofErr w:type="spellEnd"/>
      <w:proofErr w:type="gramEnd"/>
      <w:r w:rsidRPr="00112533">
        <w:rPr>
          <w:rFonts w:ascii="Times New Roman" w:eastAsia="Times New Roman" w:hAnsi="Times New Roman" w:cs="Times New Roman"/>
          <w:sz w:val="24"/>
          <w:szCs w:val="24"/>
        </w:rPr>
        <w:t>-</w:t>
      </w:r>
      <w:r w:rsidRPr="00112533">
        <w:rPr>
          <w:rFonts w:ascii="Times New Roman" w:eastAsia="Times New Roman" w:hAnsi="Times New Roman" w:cs="Times New Roman"/>
          <w:sz w:val="24"/>
          <w:szCs w:val="24"/>
        </w:rPr>
        <w:tab/>
        <w:t>fs/</w:t>
      </w:r>
      <w:proofErr w:type="spellStart"/>
      <w:r w:rsidRPr="00112533">
        <w:rPr>
          <w:rFonts w:ascii="Times New Roman" w:eastAsia="Times New Roman" w:hAnsi="Times New Roman" w:cs="Times New Roman"/>
          <w:sz w:val="24"/>
          <w:szCs w:val="24"/>
        </w:rPr>
        <w:t>ess-fadata</w:t>
      </w:r>
      <w:proofErr w:type="spellEnd"/>
      <w:r w:rsidRPr="00112533">
        <w:rPr>
          <w:rFonts w:ascii="Times New Roman" w:eastAsia="Times New Roman" w:hAnsi="Times New Roman" w:cs="Times New Roman"/>
          <w:sz w:val="24"/>
          <w:szCs w:val="24"/>
        </w:rPr>
        <w:t>/en/#.</w:t>
      </w:r>
      <w:proofErr w:type="spellStart"/>
      <w:r w:rsidRPr="00112533">
        <w:rPr>
          <w:rFonts w:ascii="Times New Roman" w:eastAsia="Times New Roman" w:hAnsi="Times New Roman" w:cs="Times New Roman"/>
          <w:sz w:val="24"/>
          <w:szCs w:val="24"/>
        </w:rPr>
        <w:t>UtOYntJDtgg</w:t>
      </w:r>
      <w:proofErr w:type="spellEnd"/>
      <w:r w:rsidRPr="00112533">
        <w:rPr>
          <w:rFonts w:ascii="Times New Roman" w:eastAsia="Times New Roman" w:hAnsi="Times New Roman" w:cs="Times New Roman"/>
          <w:sz w:val="24"/>
          <w:szCs w:val="24"/>
        </w:rPr>
        <w:t xml:space="preserve"> (accessed November 29, 2013).</w:t>
      </w:r>
    </w:p>
    <w:p w:rsidR="00425880" w:rsidRDefault="00425880" w:rsidP="00252018">
      <w:pPr>
        <w:spacing w:after="0" w:line="240" w:lineRule="auto"/>
        <w:ind w:firstLine="720"/>
        <w:rPr>
          <w:rFonts w:asciiTheme="majorBidi" w:hAnsiTheme="majorBidi" w:cstheme="majorBidi"/>
          <w:sz w:val="24"/>
          <w:szCs w:val="24"/>
        </w:rPr>
      </w:pPr>
    </w:p>
    <w:p w:rsidR="00252018" w:rsidRDefault="00252018" w:rsidP="00252018">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252018">
        <w:rPr>
          <w:rFonts w:ascii="Times New Roman" w:eastAsia="Times New Roman" w:hAnsi="Times New Roman" w:cs="Times New Roman"/>
          <w:sz w:val="24"/>
          <w:szCs w:val="24"/>
        </w:rPr>
        <w:t>“GDP and Trade Growth</w:t>
      </w:r>
      <w:r>
        <w:rPr>
          <w:rFonts w:ascii="Times New Roman" w:eastAsia="Times New Roman" w:hAnsi="Times New Roman" w:cs="Times New Roman"/>
          <w:sz w:val="24"/>
          <w:szCs w:val="24"/>
        </w:rPr>
        <w:t>.</w:t>
      </w:r>
      <w:r w:rsidRPr="00252018">
        <w:rPr>
          <w:rFonts w:ascii="Times New Roman" w:eastAsia="Times New Roman" w:hAnsi="Times New Roman" w:cs="Times New Roman"/>
          <w:sz w:val="24"/>
          <w:szCs w:val="24"/>
        </w:rPr>
        <w:t>”</w:t>
      </w:r>
      <w:proofErr w:type="gramEnd"/>
      <w:r w:rsidRPr="00252018">
        <w:rPr>
          <w:rFonts w:ascii="Times New Roman" w:eastAsia="Times New Roman" w:hAnsi="Times New Roman" w:cs="Times New Roman"/>
          <w:sz w:val="24"/>
          <w:szCs w:val="24"/>
        </w:rPr>
        <w:t xml:space="preserve"> </w:t>
      </w:r>
      <w:proofErr w:type="gramStart"/>
      <w:r w:rsidR="005A4AB2">
        <w:rPr>
          <w:rFonts w:ascii="Times New Roman" w:eastAsia="Times New Roman" w:hAnsi="Times New Roman" w:cs="Times New Roman"/>
          <w:i/>
          <w:iCs/>
          <w:sz w:val="24"/>
          <w:szCs w:val="24"/>
        </w:rPr>
        <w:t>The Economist.</w:t>
      </w:r>
      <w:proofErr w:type="gramEnd"/>
      <w:r w:rsidRPr="00252018">
        <w:rPr>
          <w:rFonts w:ascii="Times New Roman" w:eastAsia="Times New Roman" w:hAnsi="Times New Roman" w:cs="Times New Roman"/>
          <w:i/>
          <w:iCs/>
          <w:sz w:val="24"/>
          <w:szCs w:val="24"/>
        </w:rPr>
        <w:t xml:space="preserve"> </w:t>
      </w:r>
      <w:r w:rsidRPr="00252018">
        <w:rPr>
          <w:rFonts w:ascii="Times New Roman" w:eastAsia="Times New Roman" w:hAnsi="Times New Roman" w:cs="Times New Roman"/>
          <w:sz w:val="24"/>
          <w:szCs w:val="24"/>
        </w:rPr>
        <w:t>May 26, 2011</w:t>
      </w:r>
      <w:r>
        <w:rPr>
          <w:rFonts w:ascii="Times New Roman" w:eastAsia="Times New Roman" w:hAnsi="Times New Roman" w:cs="Times New Roman"/>
          <w:sz w:val="24"/>
          <w:szCs w:val="24"/>
        </w:rPr>
        <w:t xml:space="preserve">. </w:t>
      </w:r>
    </w:p>
    <w:p w:rsidR="00252018" w:rsidRDefault="00252018" w:rsidP="00252018">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52018">
        <w:rPr>
          <w:rFonts w:ascii="Times New Roman" w:eastAsia="Times New Roman" w:hAnsi="Times New Roman" w:cs="Times New Roman"/>
          <w:sz w:val="24"/>
          <w:szCs w:val="24"/>
        </w:rPr>
        <w:t>http://www.economist.com/node/18744587 (accessed February 20, 2015)</w:t>
      </w:r>
    </w:p>
    <w:p w:rsidR="00582F4B" w:rsidRDefault="00582F4B" w:rsidP="00252018">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582F4B" w:rsidRDefault="00582F4B" w:rsidP="00582F4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582F4B">
        <w:rPr>
          <w:rFonts w:ascii="Times New Roman" w:eastAsia="Times New Roman" w:hAnsi="Times New Roman" w:cs="Times New Roman"/>
          <w:sz w:val="24"/>
          <w:szCs w:val="24"/>
        </w:rPr>
        <w:t>“The Global Market and Developing Nations</w:t>
      </w:r>
      <w:r>
        <w:rPr>
          <w:rFonts w:ascii="Times New Roman" w:eastAsia="Times New Roman" w:hAnsi="Times New Roman" w:cs="Times New Roman"/>
          <w:sz w:val="24"/>
          <w:szCs w:val="24"/>
        </w:rPr>
        <w:t>.</w:t>
      </w:r>
      <w:r w:rsidRPr="00582F4B">
        <w:rPr>
          <w:rFonts w:ascii="Times New Roman" w:eastAsia="Times New Roman" w:hAnsi="Times New Roman" w:cs="Times New Roman"/>
          <w:sz w:val="24"/>
          <w:szCs w:val="24"/>
        </w:rPr>
        <w:t>”</w:t>
      </w:r>
      <w:proofErr w:type="gramEnd"/>
      <w:r w:rsidR="005A4AB2">
        <w:rPr>
          <w:rFonts w:ascii="Times New Roman" w:eastAsia="Times New Roman" w:hAnsi="Times New Roman" w:cs="Times New Roman"/>
          <w:sz w:val="24"/>
          <w:szCs w:val="24"/>
        </w:rPr>
        <w:t xml:space="preserve"> </w:t>
      </w:r>
      <w:proofErr w:type="gramStart"/>
      <w:r w:rsidR="005A4AB2">
        <w:rPr>
          <w:rFonts w:ascii="Times New Roman" w:eastAsia="Times New Roman" w:hAnsi="Times New Roman" w:cs="Times New Roman"/>
          <w:sz w:val="24"/>
          <w:szCs w:val="24"/>
        </w:rPr>
        <w:t>Pearson Education.</w:t>
      </w:r>
      <w:proofErr w:type="gramEnd"/>
      <w:r w:rsidRPr="00582F4B">
        <w:rPr>
          <w:rFonts w:ascii="Times New Roman" w:eastAsia="Times New Roman" w:hAnsi="Times New Roman" w:cs="Times New Roman"/>
          <w:sz w:val="24"/>
          <w:szCs w:val="24"/>
        </w:rPr>
        <w:t xml:space="preserve"> </w:t>
      </w:r>
    </w:p>
    <w:p w:rsidR="00582F4B" w:rsidRDefault="00582F4B" w:rsidP="00582F4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82F4B">
        <w:rPr>
          <w:rFonts w:ascii="Times New Roman" w:eastAsia="Times New Roman" w:hAnsi="Times New Roman" w:cs="Times New Roman"/>
          <w:sz w:val="24"/>
          <w:szCs w:val="24"/>
        </w:rPr>
        <w:t>2015</w:t>
      </w:r>
      <w:proofErr w:type="gramStart"/>
      <w:r>
        <w:rPr>
          <w:rFonts w:ascii="Times New Roman" w:eastAsia="Times New Roman" w:hAnsi="Times New Roman" w:cs="Times New Roman"/>
          <w:sz w:val="24"/>
          <w:szCs w:val="24"/>
        </w:rPr>
        <w:t>.</w:t>
      </w:r>
      <w:r w:rsidRPr="00582F4B">
        <w:rPr>
          <w:rFonts w:ascii="Times New Roman" w:eastAsia="Times New Roman" w:hAnsi="Times New Roman" w:cs="Times New Roman"/>
          <w:sz w:val="24"/>
          <w:szCs w:val="24"/>
        </w:rPr>
        <w:t>http</w:t>
      </w:r>
      <w:proofErr w:type="gramEnd"/>
      <w:r w:rsidRPr="00582F4B">
        <w:rPr>
          <w:rFonts w:ascii="Times New Roman" w:eastAsia="Times New Roman" w:hAnsi="Times New Roman" w:cs="Times New Roman"/>
          <w:sz w:val="24"/>
          <w:szCs w:val="24"/>
        </w:rPr>
        <w:t>://www.infoplease.com/cig/economics/production-income-classifications.html</w:t>
      </w:r>
      <w:r>
        <w:rPr>
          <w:rFonts w:ascii="Times New Roman" w:eastAsia="Times New Roman" w:hAnsi="Times New Roman" w:cs="Times New Roman"/>
          <w:sz w:val="24"/>
          <w:szCs w:val="24"/>
        </w:rPr>
        <w:t xml:space="preserve"> </w:t>
      </w:r>
    </w:p>
    <w:p w:rsidR="00582F4B" w:rsidRPr="00252018" w:rsidRDefault="00582F4B" w:rsidP="00582F4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roofErr w:type="gramStart"/>
      <w:r>
        <w:rPr>
          <w:rFonts w:ascii="Times New Roman" w:eastAsia="Times New Roman" w:hAnsi="Times New Roman" w:cs="Times New Roman"/>
          <w:sz w:val="24"/>
          <w:szCs w:val="24"/>
        </w:rPr>
        <w:t>accessed</w:t>
      </w:r>
      <w:proofErr w:type="gramEnd"/>
      <w:r>
        <w:rPr>
          <w:rFonts w:ascii="Times New Roman" w:eastAsia="Times New Roman" w:hAnsi="Times New Roman" w:cs="Times New Roman"/>
          <w:sz w:val="24"/>
          <w:szCs w:val="24"/>
        </w:rPr>
        <w:t xml:space="preserve"> March 2, 2015). </w:t>
      </w:r>
    </w:p>
    <w:p w:rsidR="00252018" w:rsidRPr="008E0E87" w:rsidRDefault="00252018" w:rsidP="00252018">
      <w:pPr>
        <w:spacing w:after="0" w:line="240" w:lineRule="auto"/>
        <w:rPr>
          <w:rFonts w:asciiTheme="majorBidi" w:hAnsiTheme="majorBidi" w:cstheme="majorBidi"/>
          <w:sz w:val="28"/>
          <w:szCs w:val="28"/>
        </w:rPr>
      </w:pPr>
    </w:p>
    <w:p w:rsidR="008E0E87" w:rsidRPr="00112533" w:rsidRDefault="008E0E87" w:rsidP="008E0E8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112533">
        <w:rPr>
          <w:rFonts w:ascii="Times New Roman" w:eastAsia="Times New Roman" w:hAnsi="Times New Roman" w:cs="Times New Roman"/>
          <w:sz w:val="24"/>
          <w:szCs w:val="24"/>
        </w:rPr>
        <w:t>GRM International.</w:t>
      </w:r>
      <w:proofErr w:type="gramEnd"/>
      <w:r w:rsidRPr="00112533">
        <w:rPr>
          <w:rFonts w:ascii="Times New Roman" w:eastAsia="Times New Roman" w:hAnsi="Times New Roman" w:cs="Times New Roman"/>
          <w:sz w:val="24"/>
          <w:szCs w:val="24"/>
        </w:rPr>
        <w:t xml:space="preserve"> “Phase 1 Report: Study to Develop Food Security Strategy and Master Plan </w:t>
      </w:r>
    </w:p>
    <w:p w:rsidR="008E0E87" w:rsidRPr="00112533" w:rsidRDefault="008E0E87" w:rsidP="008E0E8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112533">
        <w:rPr>
          <w:rFonts w:ascii="Times New Roman" w:eastAsia="Times New Roman" w:hAnsi="Times New Roman" w:cs="Times New Roman"/>
          <w:sz w:val="24"/>
          <w:szCs w:val="24"/>
        </w:rPr>
        <w:tab/>
      </w:r>
      <w:proofErr w:type="gramStart"/>
      <w:r w:rsidRPr="00112533">
        <w:rPr>
          <w:rFonts w:ascii="Times New Roman" w:eastAsia="Times New Roman" w:hAnsi="Times New Roman" w:cs="Times New Roman"/>
          <w:sz w:val="24"/>
          <w:szCs w:val="24"/>
        </w:rPr>
        <w:t>for</w:t>
      </w:r>
      <w:proofErr w:type="gramEnd"/>
      <w:r w:rsidRPr="00112533">
        <w:rPr>
          <w:rFonts w:ascii="Times New Roman" w:eastAsia="Times New Roman" w:hAnsi="Times New Roman" w:cs="Times New Roman"/>
          <w:sz w:val="24"/>
          <w:szCs w:val="24"/>
        </w:rPr>
        <w:t xml:space="preserve"> the Sultanate of Oman.” </w:t>
      </w:r>
      <w:r w:rsidRPr="00112533">
        <w:rPr>
          <w:rFonts w:ascii="Times New Roman" w:eastAsia="Times New Roman" w:hAnsi="Times New Roman" w:cs="Times New Roman"/>
          <w:i/>
          <w:iCs/>
          <w:sz w:val="24"/>
          <w:szCs w:val="24"/>
        </w:rPr>
        <w:t>Sultanate of Oman’s Authority for Stores and Food Reserve</w:t>
      </w:r>
      <w:r w:rsidRPr="00112533">
        <w:rPr>
          <w:rFonts w:ascii="Times New Roman" w:eastAsia="Times New Roman" w:hAnsi="Times New Roman" w:cs="Times New Roman"/>
          <w:sz w:val="24"/>
          <w:szCs w:val="24"/>
        </w:rPr>
        <w:t xml:space="preserve"> </w:t>
      </w:r>
    </w:p>
    <w:p w:rsidR="008E0E87" w:rsidRDefault="00300FD4" w:rsidP="008E0E8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(2010)</w:t>
      </w:r>
      <w:r w:rsidR="008E0E87" w:rsidRPr="00112533">
        <w:rPr>
          <w:rFonts w:ascii="Times New Roman" w:eastAsia="Times New Roman" w:hAnsi="Times New Roman" w:cs="Times New Roman"/>
          <w:sz w:val="24"/>
          <w:szCs w:val="24"/>
        </w:rPr>
        <w:t>.</w:t>
      </w:r>
    </w:p>
    <w:p w:rsidR="008E0E87" w:rsidRDefault="008E0E87" w:rsidP="008E0E8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252018" w:rsidRDefault="00252018" w:rsidP="00252018">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spellStart"/>
      <w:r w:rsidRPr="00252018">
        <w:rPr>
          <w:rFonts w:ascii="Times New Roman" w:eastAsia="Times New Roman" w:hAnsi="Times New Roman" w:cs="Times New Roman"/>
          <w:sz w:val="24"/>
          <w:szCs w:val="24"/>
        </w:rPr>
        <w:t>Hartwick</w:t>
      </w:r>
      <w:proofErr w:type="spellEnd"/>
      <w:r w:rsidRPr="002520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John. </w:t>
      </w:r>
      <w:proofErr w:type="gramStart"/>
      <w:r w:rsidRPr="00252018">
        <w:rPr>
          <w:rFonts w:ascii="Times New Roman" w:eastAsia="Times New Roman" w:hAnsi="Times New Roman" w:cs="Times New Roman"/>
          <w:sz w:val="24"/>
          <w:szCs w:val="24"/>
        </w:rPr>
        <w:t>“Oil Rents, Infrastructure Investment and Sustainable Development</w:t>
      </w:r>
      <w:r>
        <w:rPr>
          <w:rFonts w:ascii="Times New Roman" w:eastAsia="Times New Roman" w:hAnsi="Times New Roman" w:cs="Times New Roman"/>
          <w:sz w:val="24"/>
          <w:szCs w:val="24"/>
        </w:rPr>
        <w:t>.</w:t>
      </w:r>
      <w:r w:rsidRPr="00252018">
        <w:rPr>
          <w:rFonts w:ascii="Times New Roman" w:eastAsia="Times New Roman" w:hAnsi="Times New Roman" w:cs="Times New Roman"/>
          <w:sz w:val="24"/>
          <w:szCs w:val="24"/>
        </w:rPr>
        <w:t>”</w:t>
      </w:r>
      <w:proofErr w:type="gramEnd"/>
      <w:r w:rsidRPr="00252018">
        <w:rPr>
          <w:rFonts w:ascii="Times New Roman" w:eastAsia="Times New Roman" w:hAnsi="Times New Roman" w:cs="Times New Roman"/>
          <w:sz w:val="24"/>
          <w:szCs w:val="24"/>
        </w:rPr>
        <w:t xml:space="preserve"> Center of </w:t>
      </w:r>
    </w:p>
    <w:p w:rsidR="00252018" w:rsidRDefault="00252018" w:rsidP="00252018">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5A4AB2">
        <w:rPr>
          <w:rFonts w:ascii="Times New Roman" w:eastAsia="Times New Roman" w:hAnsi="Times New Roman" w:cs="Times New Roman"/>
          <w:sz w:val="24"/>
          <w:szCs w:val="24"/>
        </w:rPr>
        <w:t>Economic Research at ETH Zurich.</w:t>
      </w:r>
      <w:proofErr w:type="gramEnd"/>
      <w:r w:rsidRPr="00252018">
        <w:rPr>
          <w:rFonts w:ascii="Times New Roman" w:eastAsia="Times New Roman" w:hAnsi="Times New Roman" w:cs="Times New Roman"/>
          <w:sz w:val="24"/>
          <w:szCs w:val="24"/>
        </w:rPr>
        <w:t xml:space="preserve"> </w:t>
      </w:r>
      <w:proofErr w:type="gramStart"/>
      <w:r w:rsidRPr="00252018">
        <w:rPr>
          <w:rFonts w:ascii="Times New Roman" w:eastAsia="Times New Roman" w:hAnsi="Times New Roman" w:cs="Times New Roman"/>
          <w:sz w:val="24"/>
          <w:szCs w:val="24"/>
        </w:rPr>
        <w:t>2010</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b/>
      </w:r>
      <w:r w:rsidRPr="00252018">
        <w:rPr>
          <w:rFonts w:ascii="Times New Roman" w:eastAsia="Times New Roman" w:hAnsi="Times New Roman" w:cs="Times New Roman"/>
          <w:sz w:val="24"/>
          <w:szCs w:val="24"/>
        </w:rPr>
        <w:t>http://www.cer.ethz.ch/sured_2010/</w:t>
      </w:r>
    </w:p>
    <w:p w:rsidR="00252018" w:rsidRDefault="00252018" w:rsidP="00252018">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proofErr w:type="gramStart"/>
      <w:r w:rsidRPr="00252018">
        <w:rPr>
          <w:rFonts w:ascii="Times New Roman" w:eastAsia="Times New Roman" w:hAnsi="Times New Roman" w:cs="Times New Roman"/>
          <w:sz w:val="24"/>
          <w:szCs w:val="24"/>
        </w:rPr>
        <w:t>keynote_lectures</w:t>
      </w:r>
      <w:proofErr w:type="spellEnd"/>
      <w:r w:rsidRPr="00252018">
        <w:rPr>
          <w:rFonts w:ascii="Times New Roman" w:eastAsia="Times New Roman" w:hAnsi="Times New Roman" w:cs="Times New Roman"/>
          <w:sz w:val="24"/>
          <w:szCs w:val="24"/>
        </w:rPr>
        <w:t>/SURED-10_Keynotes_Hartwick.pdf</w:t>
      </w:r>
      <w:proofErr w:type="gramEnd"/>
      <w:r w:rsidRPr="00252018">
        <w:rPr>
          <w:rFonts w:ascii="Times New Roman" w:eastAsia="Times New Roman" w:hAnsi="Times New Roman" w:cs="Times New Roman"/>
          <w:sz w:val="24"/>
          <w:szCs w:val="24"/>
        </w:rPr>
        <w:t xml:space="preserve"> (accessed March 9, 2015)</w:t>
      </w:r>
      <w:r>
        <w:rPr>
          <w:rFonts w:ascii="Times New Roman" w:eastAsia="Times New Roman" w:hAnsi="Times New Roman" w:cs="Times New Roman"/>
          <w:sz w:val="24"/>
          <w:szCs w:val="24"/>
        </w:rPr>
        <w:t>.</w:t>
      </w:r>
    </w:p>
    <w:p w:rsidR="00BD2AB2" w:rsidRDefault="00BD2AB2" w:rsidP="00EE01C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BD2AB2" w:rsidRDefault="00BD2AB2" w:rsidP="00BD2A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BD2AB2">
        <w:rPr>
          <w:rFonts w:ascii="Times New Roman" w:eastAsia="Times New Roman" w:hAnsi="Times New Roman" w:cs="Times New Roman"/>
          <w:sz w:val="24"/>
          <w:szCs w:val="24"/>
        </w:rPr>
        <w:t>Hutton,</w:t>
      </w:r>
      <w:r>
        <w:rPr>
          <w:rFonts w:ascii="Times New Roman" w:eastAsia="Times New Roman" w:hAnsi="Times New Roman" w:cs="Times New Roman"/>
          <w:sz w:val="24"/>
          <w:szCs w:val="24"/>
        </w:rPr>
        <w:t xml:space="preserve"> Sue.</w:t>
      </w:r>
      <w:r w:rsidRPr="00BD2AB2">
        <w:rPr>
          <w:rFonts w:ascii="Times New Roman" w:eastAsia="Times New Roman" w:hAnsi="Times New Roman" w:cs="Times New Roman"/>
          <w:sz w:val="24"/>
          <w:szCs w:val="24"/>
        </w:rPr>
        <w:t xml:space="preserve"> </w:t>
      </w:r>
      <w:proofErr w:type="gramStart"/>
      <w:r w:rsidRPr="00BD2AB2">
        <w:rPr>
          <w:rFonts w:ascii="Times New Roman" w:eastAsia="Times New Roman" w:hAnsi="Times New Roman" w:cs="Times New Roman"/>
          <w:sz w:val="24"/>
          <w:szCs w:val="24"/>
        </w:rPr>
        <w:t>“ Saving</w:t>
      </w:r>
      <w:proofErr w:type="gramEnd"/>
      <w:r w:rsidRPr="00BD2AB2">
        <w:rPr>
          <w:rFonts w:ascii="Times New Roman" w:eastAsia="Times New Roman" w:hAnsi="Times New Roman" w:cs="Times New Roman"/>
          <w:sz w:val="24"/>
          <w:szCs w:val="24"/>
        </w:rPr>
        <w:t xml:space="preserve"> the Future – Water in Oman</w:t>
      </w:r>
      <w:r>
        <w:rPr>
          <w:rFonts w:ascii="Times New Roman" w:eastAsia="Times New Roman" w:hAnsi="Times New Roman" w:cs="Times New Roman"/>
          <w:sz w:val="24"/>
          <w:szCs w:val="24"/>
        </w:rPr>
        <w:t>.</w:t>
      </w:r>
      <w:r w:rsidRPr="00BD2AB2">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Oman Economic Review.</w:t>
      </w:r>
      <w:proofErr w:type="gramEnd"/>
      <w:r>
        <w:rPr>
          <w:rFonts w:ascii="Times New Roman" w:eastAsia="Times New Roman" w:hAnsi="Times New Roman" w:cs="Times New Roman"/>
          <w:sz w:val="24"/>
          <w:szCs w:val="24"/>
        </w:rPr>
        <w:t xml:space="preserve"> March 2003.</w:t>
      </w:r>
      <w:r w:rsidRPr="00BD2AB2">
        <w:rPr>
          <w:rFonts w:ascii="Times New Roman" w:eastAsia="Times New Roman" w:hAnsi="Times New Roman" w:cs="Times New Roman"/>
          <w:sz w:val="24"/>
          <w:szCs w:val="24"/>
        </w:rPr>
        <w:t xml:space="preserve"> </w:t>
      </w:r>
    </w:p>
    <w:p w:rsidR="00BD2AB2" w:rsidRDefault="00BD2AB2" w:rsidP="00BD2A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D2AB2">
        <w:rPr>
          <w:rFonts w:ascii="Times New Roman" w:eastAsia="Times New Roman" w:hAnsi="Times New Roman" w:cs="Times New Roman"/>
          <w:sz w:val="24"/>
          <w:szCs w:val="24"/>
        </w:rPr>
        <w:t>http://www.suehutton.co.uk/articles/save_water.php (accessed November 28, 2014).</w:t>
      </w:r>
    </w:p>
    <w:p w:rsidR="00BD2AB2" w:rsidRDefault="00BD2AB2" w:rsidP="00BD2A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70496F" w:rsidRDefault="0070496F" w:rsidP="00BD2A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EE01CB" w:rsidRDefault="00EE01CB" w:rsidP="00EE01C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A63A02">
        <w:rPr>
          <w:rFonts w:ascii="Times New Roman" w:eastAsia="Times New Roman" w:hAnsi="Times New Roman" w:cs="Times New Roman"/>
          <w:sz w:val="24"/>
          <w:szCs w:val="24"/>
        </w:rPr>
        <w:lastRenderedPageBreak/>
        <w:t>Institute of Medicine of the National Academies</w:t>
      </w:r>
      <w:r>
        <w:rPr>
          <w:rFonts w:ascii="Times New Roman" w:eastAsia="Times New Roman" w:hAnsi="Times New Roman" w:cs="Times New Roman"/>
          <w:sz w:val="24"/>
          <w:szCs w:val="24"/>
        </w:rPr>
        <w:t>.</w:t>
      </w:r>
      <w:proofErr w:type="gramEnd"/>
      <w:r w:rsidRPr="00A63A02">
        <w:rPr>
          <w:rFonts w:ascii="Times New Roman" w:eastAsia="Times New Roman" w:hAnsi="Times New Roman" w:cs="Times New Roman"/>
          <w:sz w:val="24"/>
          <w:szCs w:val="24"/>
        </w:rPr>
        <w:t xml:space="preserve"> “Dietary Reference Intakes for Water, </w:t>
      </w:r>
    </w:p>
    <w:p w:rsidR="00252018" w:rsidRDefault="00EE01CB" w:rsidP="009C608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50"/>
        <w:rPr>
          <w:rFonts w:ascii="Times New Roman" w:eastAsia="Times New Roman" w:hAnsi="Times New Roman" w:cs="Times New Roman"/>
          <w:sz w:val="24"/>
          <w:szCs w:val="24"/>
        </w:rPr>
      </w:pPr>
      <w:proofErr w:type="gramStart"/>
      <w:r w:rsidRPr="00A63A02">
        <w:rPr>
          <w:rFonts w:ascii="Times New Roman" w:eastAsia="Times New Roman" w:hAnsi="Times New Roman" w:cs="Times New Roman"/>
          <w:sz w:val="24"/>
          <w:szCs w:val="24"/>
        </w:rPr>
        <w:t>Potassium, Sodium, Chloride, and Sulfate</w:t>
      </w:r>
      <w:r>
        <w:rPr>
          <w:rFonts w:ascii="Times New Roman" w:eastAsia="Times New Roman" w:hAnsi="Times New Roman" w:cs="Times New Roman"/>
          <w:sz w:val="24"/>
          <w:szCs w:val="24"/>
        </w:rPr>
        <w:t>.</w:t>
      </w:r>
      <w:r w:rsidRPr="00A63A02">
        <w:rPr>
          <w:rFonts w:ascii="Times New Roman" w:eastAsia="Times New Roman" w:hAnsi="Times New Roman" w:cs="Times New Roman"/>
          <w:sz w:val="24"/>
          <w:szCs w:val="24"/>
        </w:rPr>
        <w:t>”</w:t>
      </w:r>
      <w:proofErr w:type="gramEnd"/>
      <w:r w:rsidRPr="00A63A02">
        <w:rPr>
          <w:rFonts w:ascii="Times New Roman" w:eastAsia="Times New Roman" w:hAnsi="Times New Roman" w:cs="Times New Roman"/>
          <w:sz w:val="24"/>
          <w:szCs w:val="24"/>
        </w:rPr>
        <w:t xml:space="preserve"> </w:t>
      </w:r>
      <w:proofErr w:type="gramStart"/>
      <w:r w:rsidRPr="00A63A02">
        <w:rPr>
          <w:rFonts w:ascii="Times New Roman" w:eastAsia="Times New Roman" w:hAnsi="Times New Roman" w:cs="Times New Roman"/>
          <w:sz w:val="24"/>
          <w:szCs w:val="24"/>
        </w:rPr>
        <w:t xml:space="preserve">Food and </w:t>
      </w:r>
      <w:r>
        <w:rPr>
          <w:rFonts w:ascii="Times New Roman" w:eastAsia="Times New Roman" w:hAnsi="Times New Roman" w:cs="Times New Roman"/>
          <w:sz w:val="24"/>
          <w:szCs w:val="24"/>
        </w:rPr>
        <w:t>Nutrition Board.</w:t>
      </w:r>
      <w:proofErr w:type="gramEnd"/>
      <w:r w:rsidRPr="00A63A02">
        <w:rPr>
          <w:rFonts w:ascii="Times New Roman" w:eastAsia="Times New Roman" w:hAnsi="Times New Roman" w:cs="Times New Roman"/>
          <w:sz w:val="24"/>
          <w:szCs w:val="24"/>
        </w:rPr>
        <w:t xml:space="preserve"> 2005</w:t>
      </w:r>
      <w:r>
        <w:rPr>
          <w:rFonts w:ascii="Times New Roman" w:eastAsia="Times New Roman" w:hAnsi="Times New Roman" w:cs="Times New Roman"/>
          <w:sz w:val="24"/>
          <w:szCs w:val="24"/>
        </w:rPr>
        <w:t>.</w:t>
      </w:r>
      <w:r w:rsidRPr="00A63A02">
        <w:rPr>
          <w:rFonts w:ascii="Times New Roman" w:eastAsia="Times New Roman" w:hAnsi="Times New Roman" w:cs="Times New Roman"/>
          <w:sz w:val="24"/>
          <w:szCs w:val="24"/>
        </w:rPr>
        <w:t xml:space="preserve"> http://www.nal.usda.gov/fnic/DRI/DRI_Water/water_full_report.pdf (accessed November 18, 2014).  </w:t>
      </w:r>
    </w:p>
    <w:p w:rsidR="009C6084" w:rsidRDefault="009C6084" w:rsidP="009C608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9C6084" w:rsidRDefault="009C6084" w:rsidP="009C608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9C6084">
        <w:rPr>
          <w:rFonts w:ascii="Times New Roman" w:eastAsia="Times New Roman" w:hAnsi="Times New Roman" w:cs="Times New Roman"/>
          <w:sz w:val="24"/>
          <w:szCs w:val="24"/>
        </w:rPr>
        <w:t>James,</w:t>
      </w:r>
      <w:r>
        <w:rPr>
          <w:rFonts w:ascii="Times New Roman" w:eastAsia="Times New Roman" w:hAnsi="Times New Roman" w:cs="Times New Roman"/>
          <w:sz w:val="24"/>
          <w:szCs w:val="24"/>
        </w:rPr>
        <w:t xml:space="preserve"> </w:t>
      </w:r>
      <w:r w:rsidRPr="009C6084">
        <w:rPr>
          <w:rFonts w:ascii="Times New Roman" w:eastAsia="Times New Roman" w:hAnsi="Times New Roman" w:cs="Times New Roman"/>
          <w:sz w:val="24"/>
          <w:szCs w:val="24"/>
        </w:rPr>
        <w:t xml:space="preserve">A.E. </w:t>
      </w:r>
      <w:r w:rsidRPr="009C6084">
        <w:rPr>
          <w:rFonts w:ascii="Times New Roman" w:eastAsia="Times New Roman" w:hAnsi="Times New Roman" w:cs="Times New Roman"/>
          <w:sz w:val="24"/>
          <w:szCs w:val="24"/>
        </w:rPr>
        <w:t xml:space="preserve"> “Oman Expatriate Population Touches 1.766</w:t>
      </w:r>
      <w:r>
        <w:rPr>
          <w:rFonts w:ascii="Times New Roman" w:eastAsia="Times New Roman" w:hAnsi="Times New Roman" w:cs="Times New Roman"/>
          <w:sz w:val="24"/>
          <w:szCs w:val="24"/>
        </w:rPr>
        <w:t xml:space="preserve"> Million.</w:t>
      </w:r>
      <w:r w:rsidRPr="009C60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Times of Oman.</w:t>
      </w:r>
      <w:proofErr w:type="gramEnd"/>
      <w:r>
        <w:rPr>
          <w:rFonts w:ascii="Times New Roman" w:eastAsia="Times New Roman" w:hAnsi="Times New Roman" w:cs="Times New Roman"/>
          <w:sz w:val="24"/>
          <w:szCs w:val="24"/>
        </w:rPr>
        <w:t xml:space="preserve"> April 6, </w:t>
      </w:r>
    </w:p>
    <w:p w:rsidR="009C6084" w:rsidRDefault="009C6084" w:rsidP="009C608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2014. </w:t>
      </w:r>
      <w:r w:rsidRPr="009C6084">
        <w:rPr>
          <w:rFonts w:ascii="Times New Roman" w:eastAsia="Times New Roman" w:hAnsi="Times New Roman" w:cs="Times New Roman"/>
          <w:sz w:val="24"/>
          <w:szCs w:val="24"/>
        </w:rPr>
        <w:t>http://bluecodedesoft.timesofoman.com/news/32073/Article-Oman-expatriate-</w:t>
      </w:r>
    </w:p>
    <w:p w:rsidR="009C6084" w:rsidRDefault="009C6084" w:rsidP="009C608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9C6084">
        <w:rPr>
          <w:rFonts w:ascii="Times New Roman" w:eastAsia="Times New Roman" w:hAnsi="Times New Roman" w:cs="Times New Roman"/>
          <w:sz w:val="24"/>
          <w:szCs w:val="24"/>
        </w:rPr>
        <w:t>population-touches-1%</w:t>
      </w:r>
      <w:proofErr w:type="gramEnd"/>
      <w:r w:rsidRPr="009C6084">
        <w:rPr>
          <w:rFonts w:ascii="Times New Roman" w:eastAsia="Times New Roman" w:hAnsi="Times New Roman" w:cs="Times New Roman"/>
          <w:sz w:val="24"/>
          <w:szCs w:val="24"/>
        </w:rPr>
        <w:t>20766-million (accessed November 5, 2014).</w:t>
      </w:r>
    </w:p>
    <w:p w:rsidR="009C6084" w:rsidRDefault="009C6084"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8E0E87" w:rsidRDefault="0057049D"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spellStart"/>
      <w:r w:rsidRPr="00112533">
        <w:rPr>
          <w:rFonts w:ascii="Times New Roman" w:eastAsia="Times New Roman" w:hAnsi="Times New Roman" w:cs="Times New Roman"/>
          <w:sz w:val="24"/>
          <w:szCs w:val="24"/>
        </w:rPr>
        <w:t>Kechichian</w:t>
      </w:r>
      <w:proofErr w:type="spellEnd"/>
      <w:r w:rsidRPr="00112533">
        <w:rPr>
          <w:rFonts w:ascii="Times New Roman" w:eastAsia="Times New Roman" w:hAnsi="Times New Roman" w:cs="Times New Roman"/>
          <w:sz w:val="24"/>
          <w:szCs w:val="24"/>
        </w:rPr>
        <w:t xml:space="preserve">, Joseph. </w:t>
      </w:r>
      <w:proofErr w:type="gramStart"/>
      <w:r w:rsidRPr="00112533">
        <w:rPr>
          <w:rFonts w:ascii="Times New Roman" w:eastAsia="Times New Roman" w:hAnsi="Times New Roman" w:cs="Times New Roman"/>
          <w:i/>
          <w:iCs/>
          <w:sz w:val="24"/>
          <w:szCs w:val="24"/>
        </w:rPr>
        <w:t>Oman and the World.</w:t>
      </w:r>
      <w:proofErr w:type="gramEnd"/>
      <w:r w:rsidRPr="00112533">
        <w:rPr>
          <w:rFonts w:ascii="Times New Roman" w:eastAsia="Times New Roman" w:hAnsi="Times New Roman" w:cs="Times New Roman"/>
          <w:i/>
          <w:iCs/>
          <w:sz w:val="24"/>
          <w:szCs w:val="24"/>
        </w:rPr>
        <w:t xml:space="preserve"> </w:t>
      </w:r>
      <w:r w:rsidRPr="00112533">
        <w:rPr>
          <w:rFonts w:ascii="Times New Roman" w:eastAsia="Times New Roman" w:hAnsi="Times New Roman" w:cs="Times New Roman"/>
          <w:sz w:val="24"/>
          <w:szCs w:val="24"/>
        </w:rPr>
        <w:t>California: RAND, 1995.</w:t>
      </w:r>
    </w:p>
    <w:p w:rsidR="00FD25C9" w:rsidRDefault="00FD25C9"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300FD4" w:rsidRDefault="00300FD4" w:rsidP="00300FD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300FD4">
        <w:rPr>
          <w:rFonts w:ascii="Times New Roman" w:eastAsia="Times New Roman" w:hAnsi="Times New Roman" w:cs="Times New Roman"/>
          <w:sz w:val="24"/>
          <w:szCs w:val="24"/>
        </w:rPr>
        <w:t xml:space="preserve">Lardy, </w:t>
      </w:r>
      <w:r w:rsidRPr="00300FD4">
        <w:rPr>
          <w:rFonts w:ascii="Times New Roman" w:eastAsia="Times New Roman" w:hAnsi="Times New Roman" w:cs="Times New Roman"/>
          <w:sz w:val="24"/>
          <w:szCs w:val="24"/>
        </w:rPr>
        <w:t>N</w:t>
      </w:r>
      <w:r>
        <w:rPr>
          <w:rFonts w:ascii="Times New Roman" w:eastAsia="Times New Roman" w:hAnsi="Times New Roman" w:cs="Times New Roman"/>
          <w:sz w:val="24"/>
          <w:szCs w:val="24"/>
        </w:rPr>
        <w:t>icholas.</w:t>
      </w:r>
      <w:proofErr w:type="gramEnd"/>
      <w:r>
        <w:rPr>
          <w:rFonts w:ascii="Times New Roman" w:eastAsia="Times New Roman" w:hAnsi="Times New Roman" w:cs="Times New Roman"/>
          <w:sz w:val="24"/>
          <w:szCs w:val="24"/>
        </w:rPr>
        <w:t xml:space="preserve"> </w:t>
      </w:r>
      <w:proofErr w:type="gramStart"/>
      <w:r w:rsidRPr="00300FD4">
        <w:rPr>
          <w:rFonts w:ascii="Times New Roman" w:eastAsia="Times New Roman" w:hAnsi="Times New Roman" w:cs="Times New Roman"/>
          <w:i/>
          <w:iCs/>
          <w:sz w:val="24"/>
          <w:szCs w:val="24"/>
        </w:rPr>
        <w:t>Agriculture in China’</w:t>
      </w:r>
      <w:r>
        <w:rPr>
          <w:rFonts w:ascii="Times New Roman" w:eastAsia="Times New Roman" w:hAnsi="Times New Roman" w:cs="Times New Roman"/>
          <w:i/>
          <w:iCs/>
          <w:sz w:val="24"/>
          <w:szCs w:val="24"/>
        </w:rPr>
        <w:t>s Modern Economic Development.</w:t>
      </w:r>
      <w:proofErr w:type="gram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Cambridge: </w:t>
      </w:r>
      <w:r w:rsidRPr="00300FD4">
        <w:rPr>
          <w:rFonts w:ascii="Times New Roman" w:eastAsia="Times New Roman" w:hAnsi="Times New Roman" w:cs="Times New Roman"/>
          <w:sz w:val="24"/>
          <w:szCs w:val="24"/>
        </w:rPr>
        <w:t xml:space="preserve"> </w:t>
      </w:r>
    </w:p>
    <w:p w:rsidR="00300FD4" w:rsidRDefault="00300FD4" w:rsidP="00300FD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300FD4">
        <w:rPr>
          <w:rFonts w:ascii="Times New Roman" w:eastAsia="Times New Roman" w:hAnsi="Times New Roman" w:cs="Times New Roman"/>
          <w:sz w:val="24"/>
          <w:szCs w:val="24"/>
        </w:rPr>
        <w:t xml:space="preserve">Cambridge University Press, </w:t>
      </w:r>
      <w:r>
        <w:rPr>
          <w:rFonts w:ascii="Times New Roman" w:eastAsia="Times New Roman" w:hAnsi="Times New Roman" w:cs="Times New Roman"/>
          <w:sz w:val="24"/>
          <w:szCs w:val="24"/>
        </w:rPr>
        <w:t>1983.</w:t>
      </w:r>
      <w:proofErr w:type="gramEnd"/>
      <w:r w:rsidRPr="00300FD4">
        <w:rPr>
          <w:rFonts w:ascii="Times New Roman" w:eastAsia="Times New Roman" w:hAnsi="Times New Roman" w:cs="Times New Roman"/>
          <w:sz w:val="24"/>
          <w:szCs w:val="24"/>
        </w:rPr>
        <w:t xml:space="preserve"> </w:t>
      </w:r>
    </w:p>
    <w:p w:rsidR="00300FD4" w:rsidRDefault="00300FD4" w:rsidP="00300FD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FD25C9" w:rsidRDefault="00FD25C9" w:rsidP="00FD25C9">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6A63E3">
        <w:rPr>
          <w:rFonts w:ascii="Times New Roman" w:eastAsia="Times New Roman" w:hAnsi="Times New Roman" w:cs="Times New Roman"/>
          <w:sz w:val="24"/>
          <w:szCs w:val="24"/>
        </w:rPr>
        <w:t>Library of Economics and Liberty</w:t>
      </w:r>
      <w:r>
        <w:rPr>
          <w:rFonts w:ascii="Times New Roman" w:eastAsia="Times New Roman" w:hAnsi="Times New Roman" w:cs="Times New Roman"/>
          <w:sz w:val="24"/>
          <w:szCs w:val="24"/>
        </w:rPr>
        <w:t>.</w:t>
      </w:r>
      <w:proofErr w:type="gramEnd"/>
      <w:r w:rsidRPr="006A63E3">
        <w:rPr>
          <w:rFonts w:ascii="Times New Roman" w:eastAsia="Times New Roman" w:hAnsi="Times New Roman" w:cs="Times New Roman"/>
          <w:sz w:val="24"/>
          <w:szCs w:val="24"/>
        </w:rPr>
        <w:t xml:space="preserve"> </w:t>
      </w:r>
      <w:proofErr w:type="gramStart"/>
      <w:r w:rsidRPr="006A63E3">
        <w:rPr>
          <w:rFonts w:ascii="Times New Roman" w:eastAsia="Times New Roman" w:hAnsi="Times New Roman" w:cs="Times New Roman"/>
          <w:sz w:val="24"/>
          <w:szCs w:val="24"/>
        </w:rPr>
        <w:t>“Supply and Demand, Markets and Prices</w:t>
      </w:r>
      <w:r>
        <w:rPr>
          <w:rFonts w:ascii="Times New Roman" w:eastAsia="Times New Roman" w:hAnsi="Times New Roman" w:cs="Times New Roman"/>
          <w:sz w:val="24"/>
          <w:szCs w:val="24"/>
        </w:rPr>
        <w:t>.</w:t>
      </w:r>
      <w:r w:rsidRPr="006A63E3">
        <w:rPr>
          <w:rFonts w:ascii="Times New Roman" w:eastAsia="Times New Roman" w:hAnsi="Times New Roman" w:cs="Times New Roman"/>
          <w:sz w:val="24"/>
          <w:szCs w:val="24"/>
        </w:rPr>
        <w:t>”</w:t>
      </w:r>
      <w:proofErr w:type="gramEnd"/>
      <w:r w:rsidRPr="006A63E3">
        <w:rPr>
          <w:rFonts w:ascii="Times New Roman" w:eastAsia="Times New Roman" w:hAnsi="Times New Roman" w:cs="Times New Roman"/>
          <w:sz w:val="24"/>
          <w:szCs w:val="24"/>
        </w:rPr>
        <w:t xml:space="preserve"> </w:t>
      </w:r>
      <w:proofErr w:type="spellStart"/>
      <w:r w:rsidRPr="006A63E3">
        <w:rPr>
          <w:rFonts w:ascii="Times New Roman" w:eastAsia="Times New Roman" w:hAnsi="Times New Roman" w:cs="Times New Roman"/>
          <w:sz w:val="24"/>
          <w:szCs w:val="24"/>
        </w:rPr>
        <w:t>Econlib</w:t>
      </w:r>
      <w:proofErr w:type="spellEnd"/>
      <w:r w:rsidRPr="006A63E3">
        <w:rPr>
          <w:rFonts w:ascii="Times New Roman" w:eastAsia="Times New Roman" w:hAnsi="Times New Roman" w:cs="Times New Roman"/>
          <w:sz w:val="24"/>
          <w:szCs w:val="24"/>
        </w:rPr>
        <w:t xml:space="preserve"> </w:t>
      </w:r>
    </w:p>
    <w:p w:rsidR="00FD25C9" w:rsidRDefault="00FD25C9" w:rsidP="00FD25C9">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6A63E3">
        <w:rPr>
          <w:rFonts w:ascii="Times New Roman" w:eastAsia="Times New Roman" w:hAnsi="Times New Roman" w:cs="Times New Roman"/>
          <w:sz w:val="24"/>
          <w:szCs w:val="24"/>
        </w:rPr>
        <w:t>Resources, 2012</w:t>
      </w:r>
      <w:r>
        <w:rPr>
          <w:rFonts w:ascii="Times New Roman" w:eastAsia="Times New Roman" w:hAnsi="Times New Roman" w:cs="Times New Roman"/>
          <w:sz w:val="24"/>
          <w:szCs w:val="24"/>
        </w:rPr>
        <w:t>.</w:t>
      </w:r>
      <w:proofErr w:type="gramEnd"/>
      <w:r w:rsidRPr="006A63E3">
        <w:rPr>
          <w:rFonts w:ascii="Times New Roman" w:eastAsia="Times New Roman" w:hAnsi="Times New Roman" w:cs="Times New Roman"/>
          <w:sz w:val="24"/>
          <w:szCs w:val="24"/>
        </w:rPr>
        <w:t xml:space="preserve"> http://www.econlib.org/library/Topics/College/supplyanddemand.html </w:t>
      </w:r>
    </w:p>
    <w:p w:rsidR="00300FD4" w:rsidRDefault="00FD25C9" w:rsidP="00300FD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A63E3">
        <w:rPr>
          <w:rFonts w:ascii="Times New Roman" w:eastAsia="Times New Roman" w:hAnsi="Times New Roman" w:cs="Times New Roman"/>
          <w:sz w:val="24"/>
          <w:szCs w:val="24"/>
        </w:rPr>
        <w:t>(</w:t>
      </w:r>
      <w:proofErr w:type="gramStart"/>
      <w:r w:rsidRPr="006A63E3">
        <w:rPr>
          <w:rFonts w:ascii="Times New Roman" w:eastAsia="Times New Roman" w:hAnsi="Times New Roman" w:cs="Times New Roman"/>
          <w:sz w:val="24"/>
          <w:szCs w:val="24"/>
        </w:rPr>
        <w:t>accessed</w:t>
      </w:r>
      <w:proofErr w:type="gramEnd"/>
      <w:r w:rsidRPr="006A63E3">
        <w:rPr>
          <w:rFonts w:ascii="Times New Roman" w:eastAsia="Times New Roman" w:hAnsi="Times New Roman" w:cs="Times New Roman"/>
          <w:sz w:val="24"/>
          <w:szCs w:val="24"/>
        </w:rPr>
        <w:t xml:space="preserve"> November 20, 2014).</w:t>
      </w:r>
    </w:p>
    <w:p w:rsidR="00825B5B" w:rsidRDefault="00825B5B"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825B5B" w:rsidRPr="00112533" w:rsidRDefault="00825B5B" w:rsidP="00825B5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i/>
          <w:iCs/>
          <w:sz w:val="24"/>
          <w:szCs w:val="24"/>
        </w:rPr>
      </w:pPr>
      <w:proofErr w:type="gramStart"/>
      <w:r w:rsidRPr="00112533">
        <w:rPr>
          <w:rFonts w:ascii="Times New Roman" w:eastAsia="Times New Roman" w:hAnsi="Times New Roman" w:cs="Times New Roman"/>
          <w:sz w:val="24"/>
          <w:szCs w:val="24"/>
        </w:rPr>
        <w:t xml:space="preserve">Mittal, </w:t>
      </w:r>
      <w:proofErr w:type="spellStart"/>
      <w:r w:rsidRPr="00112533">
        <w:rPr>
          <w:rFonts w:ascii="Times New Roman" w:eastAsia="Times New Roman" w:hAnsi="Times New Roman" w:cs="Times New Roman"/>
          <w:sz w:val="24"/>
          <w:szCs w:val="24"/>
        </w:rPr>
        <w:t>Anuradha</w:t>
      </w:r>
      <w:proofErr w:type="spellEnd"/>
      <w:r w:rsidRPr="00112533">
        <w:rPr>
          <w:rFonts w:ascii="Times New Roman" w:eastAsia="Times New Roman" w:hAnsi="Times New Roman" w:cs="Times New Roman"/>
          <w:sz w:val="24"/>
          <w:szCs w:val="24"/>
        </w:rPr>
        <w:t>.</w:t>
      </w:r>
      <w:proofErr w:type="gramEnd"/>
      <w:r w:rsidRPr="00112533">
        <w:rPr>
          <w:rFonts w:ascii="Times New Roman" w:eastAsia="Times New Roman" w:hAnsi="Times New Roman" w:cs="Times New Roman"/>
          <w:sz w:val="24"/>
          <w:szCs w:val="24"/>
        </w:rPr>
        <w:t xml:space="preserve"> “The 2008 Food Price Crisis: Rethinking Food Security Policies.” </w:t>
      </w:r>
      <w:r w:rsidRPr="00112533">
        <w:rPr>
          <w:rFonts w:ascii="Times New Roman" w:eastAsia="Times New Roman" w:hAnsi="Times New Roman" w:cs="Times New Roman"/>
          <w:i/>
          <w:iCs/>
          <w:sz w:val="24"/>
          <w:szCs w:val="24"/>
        </w:rPr>
        <w:t xml:space="preserve">G-24 </w:t>
      </w:r>
    </w:p>
    <w:p w:rsidR="00825B5B" w:rsidRPr="00112533" w:rsidRDefault="00825B5B" w:rsidP="00825B5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112533">
        <w:rPr>
          <w:rFonts w:ascii="Times New Roman" w:eastAsia="Times New Roman" w:hAnsi="Times New Roman" w:cs="Times New Roman"/>
          <w:i/>
          <w:iCs/>
          <w:sz w:val="24"/>
          <w:szCs w:val="24"/>
        </w:rPr>
        <w:tab/>
      </w:r>
      <w:proofErr w:type="gramStart"/>
      <w:r w:rsidRPr="00112533">
        <w:rPr>
          <w:rFonts w:ascii="Times New Roman" w:eastAsia="Times New Roman" w:hAnsi="Times New Roman" w:cs="Times New Roman"/>
          <w:i/>
          <w:iCs/>
          <w:sz w:val="24"/>
          <w:szCs w:val="24"/>
        </w:rPr>
        <w:t>Discussion Paper Series</w:t>
      </w:r>
      <w:r w:rsidRPr="00112533">
        <w:rPr>
          <w:rFonts w:ascii="Times New Roman" w:eastAsia="Times New Roman" w:hAnsi="Times New Roman" w:cs="Times New Roman"/>
          <w:sz w:val="24"/>
          <w:szCs w:val="24"/>
        </w:rPr>
        <w:t xml:space="preserve"> no. 56 (2009).</w:t>
      </w:r>
      <w:proofErr w:type="gramEnd"/>
      <w:r w:rsidRPr="00112533">
        <w:rPr>
          <w:rFonts w:ascii="Times New Roman" w:eastAsia="Times New Roman" w:hAnsi="Times New Roman" w:cs="Times New Roman"/>
          <w:sz w:val="24"/>
          <w:szCs w:val="24"/>
        </w:rPr>
        <w:t xml:space="preserve"> http://unctad.org/en/docs/gdsmdpg2420093_en.pdf </w:t>
      </w:r>
    </w:p>
    <w:p w:rsidR="00825B5B" w:rsidRDefault="00825B5B" w:rsidP="00825B5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sidRPr="00112533">
        <w:rPr>
          <w:rFonts w:ascii="Times New Roman" w:eastAsia="Times New Roman" w:hAnsi="Times New Roman" w:cs="Times New Roman"/>
          <w:sz w:val="24"/>
          <w:szCs w:val="24"/>
        </w:rPr>
        <w:tab/>
        <w:t>(</w:t>
      </w:r>
      <w:proofErr w:type="gramStart"/>
      <w:r w:rsidRPr="00112533">
        <w:rPr>
          <w:rFonts w:ascii="Times New Roman" w:eastAsia="Times New Roman" w:hAnsi="Times New Roman" w:cs="Times New Roman"/>
          <w:sz w:val="24"/>
          <w:szCs w:val="24"/>
        </w:rPr>
        <w:t>accessed</w:t>
      </w:r>
      <w:proofErr w:type="gramEnd"/>
      <w:r w:rsidRPr="00112533">
        <w:rPr>
          <w:rFonts w:ascii="Times New Roman" w:eastAsia="Times New Roman" w:hAnsi="Times New Roman" w:cs="Times New Roman"/>
          <w:sz w:val="24"/>
          <w:szCs w:val="24"/>
        </w:rPr>
        <w:t xml:space="preserve"> December 10, 2013).</w:t>
      </w:r>
    </w:p>
    <w:p w:rsidR="00825B5B" w:rsidRDefault="00825B5B"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7C6D27" w:rsidRDefault="007C6D27"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A63A02">
        <w:rPr>
          <w:rFonts w:ascii="Times New Roman" w:eastAsia="Times New Roman" w:hAnsi="Times New Roman" w:cs="Times New Roman"/>
          <w:sz w:val="24"/>
          <w:szCs w:val="24"/>
        </w:rPr>
        <w:t>National Oceanic and Atmospheric Administration</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A63A02">
        <w:rPr>
          <w:rFonts w:ascii="Times New Roman" w:eastAsia="Times New Roman" w:hAnsi="Times New Roman" w:cs="Times New Roman"/>
          <w:sz w:val="24"/>
          <w:szCs w:val="24"/>
        </w:rPr>
        <w:t>“Climate at a Glance</w:t>
      </w:r>
      <w:r>
        <w:rPr>
          <w:rFonts w:ascii="Times New Roman" w:eastAsia="Times New Roman" w:hAnsi="Times New Roman" w:cs="Times New Roman"/>
          <w:sz w:val="24"/>
          <w:szCs w:val="24"/>
        </w:rPr>
        <w:t>.</w:t>
      </w:r>
      <w:r w:rsidRPr="00A63A02">
        <w:rPr>
          <w:rFonts w:ascii="Times New Roman" w:eastAsia="Times New Roman" w:hAnsi="Times New Roman" w:cs="Times New Roman"/>
          <w:sz w:val="24"/>
          <w:szCs w:val="24"/>
        </w:rPr>
        <w:t>”</w:t>
      </w:r>
      <w:proofErr w:type="gramEnd"/>
      <w:r w:rsidRPr="00A63A02">
        <w:rPr>
          <w:rFonts w:ascii="Times New Roman" w:eastAsia="Times New Roman" w:hAnsi="Times New Roman" w:cs="Times New Roman"/>
          <w:sz w:val="24"/>
          <w:szCs w:val="24"/>
        </w:rPr>
        <w:t xml:space="preserve"> National Climatic </w:t>
      </w:r>
    </w:p>
    <w:p w:rsidR="007C6D27" w:rsidRDefault="007C6D27"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5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Data Center.</w:t>
      </w:r>
      <w:proofErr w:type="gramEnd"/>
      <w:r w:rsidRPr="00A63A02">
        <w:rPr>
          <w:rFonts w:ascii="Times New Roman" w:eastAsia="Times New Roman" w:hAnsi="Times New Roman" w:cs="Times New Roman"/>
          <w:sz w:val="24"/>
          <w:szCs w:val="24"/>
        </w:rPr>
        <w:t xml:space="preserve"> </w:t>
      </w:r>
      <w:proofErr w:type="gramStart"/>
      <w:r w:rsidRPr="00A63A02">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proofErr w:type="gramEnd"/>
      <w:r w:rsidRPr="00A63A02">
        <w:rPr>
          <w:rFonts w:ascii="Times New Roman" w:eastAsia="Times New Roman" w:hAnsi="Times New Roman" w:cs="Times New Roman"/>
          <w:sz w:val="24"/>
          <w:szCs w:val="24"/>
        </w:rPr>
        <w:t xml:space="preserve"> http://www.ncdc.noaa.gov/cag/time-series/global (accessed November 18, 2014).</w:t>
      </w:r>
    </w:p>
    <w:p w:rsidR="00F27FB2" w:rsidRDefault="00F27FB2"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300FD4" w:rsidRDefault="00300FD4" w:rsidP="00300FD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spellStart"/>
      <w:r w:rsidRPr="00300FD4">
        <w:rPr>
          <w:rFonts w:ascii="Times New Roman" w:eastAsia="Times New Roman" w:hAnsi="Times New Roman" w:cs="Times New Roman"/>
          <w:sz w:val="24"/>
          <w:szCs w:val="24"/>
        </w:rPr>
        <w:t>NationMaster</w:t>
      </w:r>
      <w:proofErr w:type="spellEnd"/>
      <w:r w:rsidRPr="00300FD4">
        <w:rPr>
          <w:rFonts w:ascii="Times New Roman" w:eastAsia="Times New Roman" w:hAnsi="Times New Roman" w:cs="Times New Roman"/>
          <w:sz w:val="24"/>
          <w:szCs w:val="24"/>
        </w:rPr>
        <w:t>, “Net Migration: Countries Compared,” 2005, http://www.nationmaster.com/</w:t>
      </w:r>
    </w:p>
    <w:p w:rsidR="00300FD4" w:rsidRPr="00300FD4" w:rsidRDefault="00300FD4" w:rsidP="00300FD4">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300FD4">
        <w:rPr>
          <w:rFonts w:ascii="Times New Roman" w:eastAsia="Times New Roman" w:hAnsi="Times New Roman" w:cs="Times New Roman"/>
          <w:sz w:val="24"/>
          <w:szCs w:val="24"/>
        </w:rPr>
        <w:t>country-info/stats/People/Migration/Net-migration</w:t>
      </w:r>
      <w:proofErr w:type="gramEnd"/>
      <w:r w:rsidRPr="00300FD4">
        <w:rPr>
          <w:rFonts w:ascii="Times New Roman" w:eastAsia="Times New Roman" w:hAnsi="Times New Roman" w:cs="Times New Roman"/>
          <w:sz w:val="24"/>
          <w:szCs w:val="24"/>
        </w:rPr>
        <w:t xml:space="preserve"> (accessed March 12, 2015) </w:t>
      </w:r>
    </w:p>
    <w:p w:rsidR="00300FD4" w:rsidRDefault="00300FD4"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F27FB2" w:rsidRDefault="00F27FB2" w:rsidP="00252018">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proofErr w:type="spellStart"/>
      <w:proofErr w:type="gramStart"/>
      <w:r w:rsidRPr="00F27FB2">
        <w:rPr>
          <w:rFonts w:asciiTheme="majorBidi" w:hAnsiTheme="majorBidi" w:cstheme="majorBidi"/>
          <w:sz w:val="24"/>
          <w:szCs w:val="24"/>
        </w:rPr>
        <w:t>NationMaster</w:t>
      </w:r>
      <w:proofErr w:type="spellEnd"/>
      <w:r w:rsidR="00252018">
        <w:rPr>
          <w:rFonts w:asciiTheme="majorBidi" w:hAnsiTheme="majorBidi" w:cstheme="majorBidi"/>
          <w:sz w:val="24"/>
          <w:szCs w:val="24"/>
        </w:rPr>
        <w:t>.</w:t>
      </w:r>
      <w:proofErr w:type="gramEnd"/>
      <w:r w:rsidRPr="00F27FB2">
        <w:rPr>
          <w:rFonts w:asciiTheme="majorBidi" w:hAnsiTheme="majorBidi" w:cstheme="majorBidi"/>
          <w:sz w:val="24"/>
          <w:szCs w:val="24"/>
        </w:rPr>
        <w:t xml:space="preserve"> “Oil Production</w:t>
      </w:r>
      <w:r w:rsidR="005A4AB2">
        <w:rPr>
          <w:rFonts w:asciiTheme="majorBidi" w:hAnsiTheme="majorBidi" w:cstheme="majorBidi"/>
          <w:sz w:val="24"/>
          <w:szCs w:val="24"/>
        </w:rPr>
        <w:t xml:space="preserve"> per Capita: Countries Compared.</w:t>
      </w:r>
      <w:r w:rsidRPr="00F27FB2">
        <w:rPr>
          <w:rFonts w:asciiTheme="majorBidi" w:hAnsiTheme="majorBidi" w:cstheme="majorBidi"/>
          <w:sz w:val="24"/>
          <w:szCs w:val="24"/>
        </w:rPr>
        <w:t>”</w:t>
      </w:r>
      <w:r>
        <w:rPr>
          <w:rFonts w:asciiTheme="majorBidi" w:hAnsiTheme="majorBidi" w:cstheme="majorBidi"/>
          <w:sz w:val="24"/>
          <w:szCs w:val="24"/>
        </w:rPr>
        <w:t xml:space="preserve"> 2007</w:t>
      </w:r>
      <w:r w:rsidR="00252018">
        <w:rPr>
          <w:rFonts w:asciiTheme="majorBidi" w:hAnsiTheme="majorBidi" w:cstheme="majorBidi"/>
          <w:sz w:val="24"/>
          <w:szCs w:val="24"/>
        </w:rPr>
        <w:t>.</w:t>
      </w:r>
    </w:p>
    <w:p w:rsidR="00F27FB2" w:rsidRDefault="00F27FB2"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b/>
      </w:r>
      <w:r w:rsidRPr="00F27FB2">
        <w:rPr>
          <w:rFonts w:asciiTheme="majorBidi" w:hAnsiTheme="majorBidi" w:cstheme="majorBidi"/>
          <w:sz w:val="24"/>
          <w:szCs w:val="24"/>
        </w:rPr>
        <w:t>http://www.nationmaster.com/country-info/stats/Energy/Oil/Production/Per-capita</w:t>
      </w:r>
      <w:r>
        <w:rPr>
          <w:rFonts w:asciiTheme="majorBidi" w:hAnsiTheme="majorBidi" w:cstheme="majorBidi"/>
          <w:sz w:val="24"/>
          <w:szCs w:val="24"/>
        </w:rPr>
        <w:t xml:space="preserve"> (accessed </w:t>
      </w:r>
    </w:p>
    <w:p w:rsidR="00F27FB2" w:rsidRDefault="00F27FB2"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b/>
        <w:t>March 12, 2015).</w:t>
      </w:r>
    </w:p>
    <w:p w:rsidR="001E7227" w:rsidRDefault="001E7227"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p>
    <w:p w:rsidR="001E7227" w:rsidRPr="00F27FB2" w:rsidRDefault="001E7227" w:rsidP="001E72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proofErr w:type="spellStart"/>
      <w:r w:rsidRPr="001E7227">
        <w:rPr>
          <w:rFonts w:asciiTheme="majorBidi" w:hAnsiTheme="majorBidi" w:cstheme="majorBidi"/>
          <w:sz w:val="24"/>
          <w:szCs w:val="24"/>
        </w:rPr>
        <w:t>Prakashan</w:t>
      </w:r>
      <w:proofErr w:type="spellEnd"/>
      <w:r w:rsidRPr="001E7227">
        <w:rPr>
          <w:rFonts w:asciiTheme="majorBidi" w:hAnsiTheme="majorBidi" w:cstheme="majorBidi"/>
          <w:sz w:val="24"/>
          <w:szCs w:val="24"/>
        </w:rPr>
        <w:t xml:space="preserve">, </w:t>
      </w:r>
      <w:proofErr w:type="spellStart"/>
      <w:r w:rsidRPr="001E7227">
        <w:rPr>
          <w:rFonts w:asciiTheme="majorBidi" w:hAnsiTheme="majorBidi" w:cstheme="majorBidi"/>
          <w:sz w:val="24"/>
          <w:szCs w:val="24"/>
        </w:rPr>
        <w:t>Nirali</w:t>
      </w:r>
      <w:proofErr w:type="spellEnd"/>
      <w:r>
        <w:rPr>
          <w:rFonts w:asciiTheme="majorBidi" w:hAnsiTheme="majorBidi" w:cstheme="majorBidi"/>
          <w:sz w:val="24"/>
          <w:szCs w:val="24"/>
        </w:rPr>
        <w:t>.</w:t>
      </w:r>
      <w:r w:rsidRPr="001E7227">
        <w:rPr>
          <w:rFonts w:asciiTheme="majorBidi" w:hAnsiTheme="majorBidi" w:cstheme="majorBidi"/>
          <w:sz w:val="24"/>
          <w:szCs w:val="24"/>
        </w:rPr>
        <w:t xml:space="preserve"> </w:t>
      </w:r>
      <w:proofErr w:type="gramStart"/>
      <w:r w:rsidRPr="001E7227">
        <w:rPr>
          <w:rFonts w:asciiTheme="majorBidi" w:hAnsiTheme="majorBidi" w:cstheme="majorBidi"/>
          <w:i/>
          <w:iCs/>
          <w:sz w:val="24"/>
          <w:szCs w:val="24"/>
        </w:rPr>
        <w:t>A Text Book of Nutrition for Nurses</w:t>
      </w:r>
      <w:r>
        <w:rPr>
          <w:rFonts w:asciiTheme="majorBidi" w:hAnsiTheme="majorBidi" w:cstheme="majorBidi"/>
          <w:i/>
          <w:iCs/>
          <w:sz w:val="24"/>
          <w:szCs w:val="24"/>
        </w:rPr>
        <w:t>.</w:t>
      </w:r>
      <w:proofErr w:type="gramEnd"/>
      <w:r>
        <w:rPr>
          <w:rFonts w:asciiTheme="majorBidi" w:hAnsiTheme="majorBidi" w:cstheme="majorBidi"/>
          <w:i/>
          <w:iCs/>
          <w:sz w:val="24"/>
          <w:szCs w:val="24"/>
        </w:rPr>
        <w:t xml:space="preserve"> </w:t>
      </w:r>
      <w:r w:rsidRPr="001E7227">
        <w:rPr>
          <w:rFonts w:asciiTheme="majorBidi" w:hAnsiTheme="majorBidi" w:cstheme="majorBidi"/>
          <w:sz w:val="24"/>
          <w:szCs w:val="24"/>
        </w:rPr>
        <w:t xml:space="preserve">Mumbai: </w:t>
      </w:r>
      <w:proofErr w:type="spellStart"/>
      <w:r w:rsidRPr="001E7227">
        <w:rPr>
          <w:rFonts w:asciiTheme="majorBidi" w:hAnsiTheme="majorBidi" w:cstheme="majorBidi"/>
          <w:sz w:val="24"/>
          <w:szCs w:val="24"/>
        </w:rPr>
        <w:t>Pragati</w:t>
      </w:r>
      <w:proofErr w:type="spellEnd"/>
      <w:r w:rsidRPr="001E7227">
        <w:rPr>
          <w:rFonts w:asciiTheme="majorBidi" w:hAnsiTheme="majorBidi" w:cstheme="majorBidi"/>
          <w:sz w:val="24"/>
          <w:szCs w:val="24"/>
        </w:rPr>
        <w:t xml:space="preserve"> Books, 2008</w:t>
      </w:r>
      <w:r>
        <w:rPr>
          <w:rFonts w:asciiTheme="majorBidi" w:hAnsiTheme="majorBidi" w:cstheme="majorBidi"/>
          <w:sz w:val="24"/>
          <w:szCs w:val="24"/>
        </w:rPr>
        <w:t>.</w:t>
      </w:r>
      <w:r w:rsidRPr="001E7227">
        <w:rPr>
          <w:rFonts w:asciiTheme="majorBidi" w:hAnsiTheme="majorBidi" w:cstheme="majorBidi"/>
          <w:sz w:val="24"/>
          <w:szCs w:val="24"/>
        </w:rPr>
        <w:t xml:space="preserve"> </w:t>
      </w:r>
    </w:p>
    <w:p w:rsidR="00F27FB2" w:rsidRDefault="00F27FB2"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EE01CB" w:rsidRDefault="00EE01CB" w:rsidP="00EE01C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Reig</w:t>
      </w:r>
      <w:proofErr w:type="spellEnd"/>
      <w:r>
        <w:rPr>
          <w:rFonts w:ascii="Times New Roman" w:eastAsia="Times New Roman" w:hAnsi="Times New Roman" w:cs="Times New Roman"/>
          <w:sz w:val="24"/>
          <w:szCs w:val="24"/>
        </w:rPr>
        <w:t xml:space="preserve">, </w:t>
      </w:r>
      <w:r w:rsidRPr="00EE01C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aul, </w:t>
      </w:r>
      <w:r w:rsidRPr="00EE01CB">
        <w:rPr>
          <w:rFonts w:ascii="Times New Roman" w:eastAsia="Times New Roman" w:hAnsi="Times New Roman" w:cs="Times New Roman"/>
          <w:sz w:val="24"/>
          <w:szCs w:val="24"/>
        </w:rPr>
        <w:t>Andre</w:t>
      </w:r>
      <w:r>
        <w:rPr>
          <w:rFonts w:ascii="Times New Roman" w:eastAsia="Times New Roman" w:hAnsi="Times New Roman" w:cs="Times New Roman"/>
          <w:sz w:val="24"/>
          <w:szCs w:val="24"/>
        </w:rPr>
        <w:t xml:space="preserve">w </w:t>
      </w:r>
      <w:proofErr w:type="spellStart"/>
      <w:r>
        <w:rPr>
          <w:rFonts w:ascii="Times New Roman" w:eastAsia="Times New Roman" w:hAnsi="Times New Roman" w:cs="Times New Roman"/>
          <w:sz w:val="24"/>
          <w:szCs w:val="24"/>
        </w:rPr>
        <w:t>Maddocks</w:t>
      </w:r>
      <w:proofErr w:type="spellEnd"/>
      <w:r>
        <w:rPr>
          <w:rFonts w:ascii="Times New Roman" w:eastAsia="Times New Roman" w:hAnsi="Times New Roman" w:cs="Times New Roman"/>
          <w:sz w:val="24"/>
          <w:szCs w:val="24"/>
        </w:rPr>
        <w:t xml:space="preserve">, and Francis </w:t>
      </w:r>
      <w:proofErr w:type="spellStart"/>
      <w:r>
        <w:rPr>
          <w:rFonts w:ascii="Times New Roman" w:eastAsia="Times New Roman" w:hAnsi="Times New Roman" w:cs="Times New Roman"/>
          <w:sz w:val="24"/>
          <w:szCs w:val="24"/>
        </w:rPr>
        <w:t>Gassert</w:t>
      </w:r>
      <w:proofErr w:type="spellEnd"/>
      <w:r>
        <w:rPr>
          <w:rFonts w:ascii="Times New Roman" w:eastAsia="Times New Roman" w:hAnsi="Times New Roman" w:cs="Times New Roman"/>
          <w:sz w:val="24"/>
          <w:szCs w:val="24"/>
        </w:rPr>
        <w:t>.</w:t>
      </w:r>
      <w:proofErr w:type="gramEnd"/>
      <w:r w:rsidRPr="00EE01CB">
        <w:rPr>
          <w:rFonts w:ascii="Times New Roman" w:eastAsia="Times New Roman" w:hAnsi="Times New Roman" w:cs="Times New Roman"/>
          <w:sz w:val="24"/>
          <w:szCs w:val="24"/>
        </w:rPr>
        <w:t xml:space="preserve"> “World’s 36 Most Water-Stressed </w:t>
      </w:r>
    </w:p>
    <w:p w:rsidR="00EE01CB" w:rsidRDefault="00EE01CB" w:rsidP="00EE01C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Countries.</w:t>
      </w:r>
      <w:r w:rsidRPr="00EE01CB">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World Resources Institute. December 12, 2013. </w:t>
      </w:r>
      <w:r w:rsidRPr="00EE01CB">
        <w:rPr>
          <w:rFonts w:ascii="Times New Roman" w:eastAsia="Times New Roman" w:hAnsi="Times New Roman" w:cs="Times New Roman"/>
          <w:sz w:val="24"/>
          <w:szCs w:val="24"/>
        </w:rPr>
        <w:t>http://www.wri.org/blog/2013/</w:t>
      </w:r>
    </w:p>
    <w:p w:rsidR="00EE01CB" w:rsidRDefault="00EE01CB" w:rsidP="00EE01C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E01CB">
        <w:rPr>
          <w:rFonts w:ascii="Times New Roman" w:eastAsia="Times New Roman" w:hAnsi="Times New Roman" w:cs="Times New Roman"/>
          <w:sz w:val="24"/>
          <w:szCs w:val="24"/>
        </w:rPr>
        <w:t>12/world%E2%80%99s-36-most-water-stressed-countries (accessed December 1, 2014).</w:t>
      </w:r>
    </w:p>
    <w:p w:rsidR="00FF03DE" w:rsidRDefault="00FF03DE" w:rsidP="00EE01C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FF03DE" w:rsidRDefault="00FF03DE" w:rsidP="00FF03DE">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FF03DE">
        <w:rPr>
          <w:rFonts w:ascii="Times New Roman" w:eastAsia="Times New Roman" w:hAnsi="Times New Roman" w:cs="Times New Roman"/>
          <w:sz w:val="24"/>
          <w:szCs w:val="24"/>
        </w:rPr>
        <w:t>Sinha</w:t>
      </w:r>
      <w:r>
        <w:rPr>
          <w:rFonts w:ascii="Times New Roman" w:eastAsia="Times New Roman" w:hAnsi="Times New Roman" w:cs="Times New Roman"/>
          <w:sz w:val="24"/>
          <w:szCs w:val="24"/>
        </w:rPr>
        <w:t xml:space="preserve">, </w:t>
      </w:r>
      <w:r w:rsidRPr="00FF03DE">
        <w:rPr>
          <w:rFonts w:ascii="Times New Roman" w:eastAsia="Times New Roman" w:hAnsi="Times New Roman" w:cs="Times New Roman"/>
          <w:sz w:val="24"/>
          <w:szCs w:val="24"/>
        </w:rPr>
        <w:t>Rajiv</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Rasik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Ravindra</w:t>
      </w:r>
      <w:proofErr w:type="spellEnd"/>
      <w:r>
        <w:rPr>
          <w:rFonts w:ascii="Times New Roman" w:eastAsia="Times New Roman" w:hAnsi="Times New Roman" w:cs="Times New Roman"/>
          <w:sz w:val="24"/>
          <w:szCs w:val="24"/>
        </w:rPr>
        <w:t>.</w:t>
      </w:r>
      <w:proofErr w:type="gramEnd"/>
      <w:r w:rsidRPr="00FF03DE">
        <w:rPr>
          <w:rFonts w:ascii="Times New Roman" w:eastAsia="Times New Roman" w:hAnsi="Times New Roman" w:cs="Times New Roman"/>
          <w:sz w:val="24"/>
          <w:szCs w:val="24"/>
        </w:rPr>
        <w:t xml:space="preserve"> </w:t>
      </w:r>
      <w:proofErr w:type="gramStart"/>
      <w:r w:rsidRPr="00FF03DE">
        <w:rPr>
          <w:rFonts w:ascii="Times New Roman" w:eastAsia="Times New Roman" w:hAnsi="Times New Roman" w:cs="Times New Roman"/>
          <w:sz w:val="24"/>
          <w:szCs w:val="24"/>
        </w:rPr>
        <w:t>“Earth System Processes and Disaster Managemen</w:t>
      </w:r>
      <w:r>
        <w:rPr>
          <w:rFonts w:ascii="Times New Roman" w:eastAsia="Times New Roman" w:hAnsi="Times New Roman" w:cs="Times New Roman"/>
          <w:sz w:val="24"/>
          <w:szCs w:val="24"/>
        </w:rPr>
        <w:t>t.</w:t>
      </w:r>
      <w:r w:rsidRPr="00FF03DE">
        <w:rPr>
          <w:rFonts w:ascii="Times New Roman" w:eastAsia="Times New Roman" w:hAnsi="Times New Roman" w:cs="Times New Roman"/>
          <w:sz w:val="24"/>
          <w:szCs w:val="24"/>
        </w:rPr>
        <w:t>”</w:t>
      </w:r>
      <w:proofErr w:type="gramEnd"/>
      <w:r w:rsidRPr="00FF03DE">
        <w:rPr>
          <w:rFonts w:ascii="Times New Roman" w:eastAsia="Times New Roman" w:hAnsi="Times New Roman" w:cs="Times New Roman"/>
          <w:sz w:val="24"/>
          <w:szCs w:val="24"/>
        </w:rPr>
        <w:t xml:space="preserve"> Springer </w:t>
      </w:r>
    </w:p>
    <w:p w:rsidR="00FF03DE" w:rsidRDefault="00FF03DE" w:rsidP="00FF03DE">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FF03DE">
        <w:rPr>
          <w:rFonts w:ascii="Times New Roman" w:eastAsia="Times New Roman" w:hAnsi="Times New Roman" w:cs="Times New Roman"/>
          <w:sz w:val="24"/>
          <w:szCs w:val="24"/>
        </w:rPr>
        <w:t>Science &amp; B</w:t>
      </w:r>
      <w:r>
        <w:rPr>
          <w:rFonts w:ascii="Times New Roman" w:eastAsia="Times New Roman" w:hAnsi="Times New Roman" w:cs="Times New Roman"/>
          <w:sz w:val="24"/>
          <w:szCs w:val="24"/>
        </w:rPr>
        <w:t>usiness Media, August 13, 2012.</w:t>
      </w:r>
      <w:r w:rsidRPr="00FF03DE">
        <w:rPr>
          <w:rFonts w:ascii="Times New Roman" w:eastAsia="Times New Roman" w:hAnsi="Times New Roman" w:cs="Times New Roman"/>
          <w:sz w:val="24"/>
          <w:szCs w:val="24"/>
        </w:rPr>
        <w:t>172.</w:t>
      </w:r>
      <w:proofErr w:type="gramEnd"/>
    </w:p>
    <w:p w:rsidR="00F66132" w:rsidRDefault="00F66132" w:rsidP="00EE01C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F66132" w:rsidRDefault="00F66132" w:rsidP="00F6613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spellStart"/>
      <w:r w:rsidRPr="00F66132">
        <w:rPr>
          <w:rFonts w:ascii="Times New Roman" w:eastAsia="Times New Roman" w:hAnsi="Times New Roman" w:cs="Times New Roman"/>
          <w:sz w:val="24"/>
          <w:szCs w:val="24"/>
        </w:rPr>
        <w:t>Soubbotina</w:t>
      </w:r>
      <w:proofErr w:type="spellEnd"/>
      <w:r w:rsidRPr="00F66132">
        <w:rPr>
          <w:rFonts w:ascii="Times New Roman" w:eastAsia="Times New Roman" w:hAnsi="Times New Roman" w:cs="Times New Roman"/>
          <w:sz w:val="24"/>
          <w:szCs w:val="24"/>
        </w:rPr>
        <w:t xml:space="preserve">, </w:t>
      </w:r>
      <w:r w:rsidRPr="00F66132">
        <w:rPr>
          <w:rFonts w:ascii="Times New Roman" w:eastAsia="Times New Roman" w:hAnsi="Times New Roman" w:cs="Times New Roman"/>
          <w:sz w:val="24"/>
          <w:szCs w:val="24"/>
        </w:rPr>
        <w:t>Tatyana</w:t>
      </w:r>
      <w:r>
        <w:rPr>
          <w:rFonts w:ascii="Times New Roman" w:eastAsia="Times New Roman" w:hAnsi="Times New Roman" w:cs="Times New Roman"/>
          <w:sz w:val="24"/>
          <w:szCs w:val="24"/>
        </w:rPr>
        <w:t>.</w:t>
      </w:r>
      <w:r w:rsidRPr="00F66132">
        <w:rPr>
          <w:rFonts w:ascii="Times New Roman" w:eastAsia="Times New Roman" w:hAnsi="Times New Roman" w:cs="Times New Roman"/>
          <w:sz w:val="24"/>
          <w:szCs w:val="24"/>
        </w:rPr>
        <w:t xml:space="preserve"> </w:t>
      </w:r>
      <w:r w:rsidRPr="00F66132">
        <w:rPr>
          <w:rFonts w:ascii="Times New Roman" w:eastAsia="Times New Roman" w:hAnsi="Times New Roman" w:cs="Times New Roman"/>
          <w:sz w:val="24"/>
          <w:szCs w:val="24"/>
        </w:rPr>
        <w:t>“Beyond Economic Growth: An Introduc</w:t>
      </w:r>
      <w:r>
        <w:rPr>
          <w:rFonts w:ascii="Times New Roman" w:eastAsia="Times New Roman" w:hAnsi="Times New Roman" w:cs="Times New Roman"/>
          <w:sz w:val="24"/>
          <w:szCs w:val="24"/>
        </w:rPr>
        <w:t xml:space="preserve">tion to Sustainable </w:t>
      </w:r>
    </w:p>
    <w:p w:rsidR="00F66132" w:rsidRDefault="00F66132" w:rsidP="00F6613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Development.</w:t>
      </w:r>
      <w:r w:rsidRPr="00F66132">
        <w:rPr>
          <w:rFonts w:ascii="Times New Roman" w:eastAsia="Times New Roman" w:hAnsi="Times New Roman" w:cs="Times New Roman"/>
          <w:sz w:val="24"/>
          <w:szCs w:val="24"/>
        </w:rPr>
        <w:t>”</w:t>
      </w:r>
      <w:proofErr w:type="gramEnd"/>
      <w:r w:rsidRPr="00F66132">
        <w:rPr>
          <w:rFonts w:ascii="Times New Roman" w:eastAsia="Times New Roman" w:hAnsi="Times New Roman" w:cs="Times New Roman"/>
          <w:sz w:val="24"/>
          <w:szCs w:val="24"/>
        </w:rPr>
        <w:t xml:space="preserve"> The World Bank Institute, September 2004, http://www.worldbank.org/</w:t>
      </w:r>
    </w:p>
    <w:p w:rsidR="00F66132" w:rsidRDefault="00F66132" w:rsidP="00F6613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F66132">
        <w:rPr>
          <w:rFonts w:ascii="Times New Roman" w:eastAsia="Times New Roman" w:hAnsi="Times New Roman" w:cs="Times New Roman"/>
          <w:sz w:val="24"/>
          <w:szCs w:val="24"/>
        </w:rPr>
        <w:t>depweb</w:t>
      </w:r>
      <w:proofErr w:type="spellEnd"/>
      <w:r w:rsidRPr="00F66132">
        <w:rPr>
          <w:rFonts w:ascii="Times New Roman" w:eastAsia="Times New Roman" w:hAnsi="Times New Roman" w:cs="Times New Roman"/>
          <w:sz w:val="24"/>
          <w:szCs w:val="24"/>
        </w:rPr>
        <w:t>/beyond/</w:t>
      </w:r>
      <w:proofErr w:type="spellStart"/>
      <w:r w:rsidRPr="00F66132">
        <w:rPr>
          <w:rFonts w:ascii="Times New Roman" w:eastAsia="Times New Roman" w:hAnsi="Times New Roman" w:cs="Times New Roman"/>
          <w:sz w:val="24"/>
          <w:szCs w:val="24"/>
        </w:rPr>
        <w:t>beyondco</w:t>
      </w:r>
      <w:proofErr w:type="spellEnd"/>
      <w:r w:rsidRPr="00F66132">
        <w:rPr>
          <w:rFonts w:ascii="Times New Roman" w:eastAsia="Times New Roman" w:hAnsi="Times New Roman" w:cs="Times New Roman"/>
          <w:sz w:val="24"/>
          <w:szCs w:val="24"/>
        </w:rPr>
        <w:t>/beg_03.pdf (accessed November 28, 2014).</w:t>
      </w:r>
    </w:p>
    <w:p w:rsidR="00EE01CB" w:rsidRDefault="00EE01CB"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BD2AB2" w:rsidRDefault="00BD2AB2" w:rsidP="00BD2A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proofErr w:type="gramStart"/>
      <w:r w:rsidRPr="00A63A02">
        <w:rPr>
          <w:rFonts w:asciiTheme="majorBidi" w:hAnsiTheme="majorBidi" w:cstheme="majorBidi"/>
          <w:sz w:val="24"/>
          <w:szCs w:val="24"/>
        </w:rPr>
        <w:lastRenderedPageBreak/>
        <w:t>UNESCO</w:t>
      </w:r>
      <w:r>
        <w:rPr>
          <w:rFonts w:asciiTheme="majorBidi" w:hAnsiTheme="majorBidi" w:cstheme="majorBidi"/>
          <w:sz w:val="24"/>
          <w:szCs w:val="24"/>
        </w:rPr>
        <w:t>.</w:t>
      </w:r>
      <w:proofErr w:type="gramEnd"/>
      <w:r w:rsidRPr="00A63A02">
        <w:rPr>
          <w:rFonts w:asciiTheme="majorBidi" w:hAnsiTheme="majorBidi" w:cstheme="majorBidi"/>
          <w:sz w:val="24"/>
          <w:szCs w:val="24"/>
        </w:rPr>
        <w:t xml:space="preserve"> “United Nations World Water Development Report 4, Managing Water under </w:t>
      </w:r>
    </w:p>
    <w:p w:rsidR="00BD2AB2" w:rsidRDefault="00BD2AB2" w:rsidP="00BD2A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b/>
      </w:r>
      <w:proofErr w:type="gramStart"/>
      <w:r w:rsidRPr="00A63A02">
        <w:rPr>
          <w:rFonts w:asciiTheme="majorBidi" w:hAnsiTheme="majorBidi" w:cstheme="majorBidi"/>
          <w:sz w:val="24"/>
          <w:szCs w:val="24"/>
        </w:rPr>
        <w:t>Uncertainty and Risk</w:t>
      </w:r>
      <w:r>
        <w:rPr>
          <w:rFonts w:asciiTheme="majorBidi" w:hAnsiTheme="majorBidi" w:cstheme="majorBidi"/>
          <w:sz w:val="24"/>
          <w:szCs w:val="24"/>
        </w:rPr>
        <w:t>.</w:t>
      </w:r>
      <w:r w:rsidRPr="00A63A02">
        <w:rPr>
          <w:rFonts w:asciiTheme="majorBidi" w:hAnsiTheme="majorBidi" w:cstheme="majorBidi"/>
          <w:sz w:val="24"/>
          <w:szCs w:val="24"/>
        </w:rPr>
        <w:t>”</w:t>
      </w:r>
      <w:proofErr w:type="gramEnd"/>
      <w:r w:rsidRPr="00A63A02">
        <w:rPr>
          <w:rFonts w:asciiTheme="majorBidi" w:hAnsiTheme="majorBidi" w:cstheme="majorBidi"/>
          <w:sz w:val="24"/>
          <w:szCs w:val="24"/>
        </w:rPr>
        <w:t xml:space="preserve"> </w:t>
      </w:r>
      <w:proofErr w:type="gramStart"/>
      <w:r w:rsidRPr="00A63A02">
        <w:rPr>
          <w:rFonts w:asciiTheme="majorBidi" w:hAnsiTheme="majorBidi" w:cstheme="majorBidi"/>
          <w:sz w:val="24"/>
          <w:szCs w:val="24"/>
        </w:rPr>
        <w:t xml:space="preserve">World Water Assessment </w:t>
      </w:r>
      <w:proofErr w:type="spellStart"/>
      <w:r w:rsidRPr="00A63A02">
        <w:rPr>
          <w:rFonts w:asciiTheme="majorBidi" w:hAnsiTheme="majorBidi" w:cstheme="majorBidi"/>
          <w:sz w:val="24"/>
          <w:szCs w:val="24"/>
        </w:rPr>
        <w:t>Programme</w:t>
      </w:r>
      <w:proofErr w:type="spellEnd"/>
      <w:r w:rsidRPr="00A63A02">
        <w:rPr>
          <w:rFonts w:asciiTheme="majorBidi" w:hAnsiTheme="majorBidi" w:cstheme="majorBidi"/>
          <w:sz w:val="24"/>
          <w:szCs w:val="24"/>
        </w:rPr>
        <w:t xml:space="preserve"> (2012).</w:t>
      </w:r>
      <w:proofErr w:type="gramEnd"/>
    </w:p>
    <w:p w:rsidR="00FD25C9" w:rsidRDefault="00FD25C9" w:rsidP="00FD25C9">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FD25C9" w:rsidRDefault="00FD25C9" w:rsidP="00FD25C9">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roofErr w:type="gramStart"/>
      <w:r w:rsidRPr="006A63E3">
        <w:rPr>
          <w:rFonts w:ascii="Times New Roman" w:eastAsia="Times New Roman" w:hAnsi="Times New Roman" w:cs="Times New Roman"/>
          <w:sz w:val="24"/>
          <w:szCs w:val="24"/>
        </w:rPr>
        <w:t>United States Department of Agriculture</w:t>
      </w:r>
      <w:r>
        <w:rPr>
          <w:rFonts w:ascii="Times New Roman" w:eastAsia="Times New Roman" w:hAnsi="Times New Roman" w:cs="Times New Roman"/>
          <w:sz w:val="24"/>
          <w:szCs w:val="24"/>
        </w:rPr>
        <w:t>.</w:t>
      </w:r>
      <w:proofErr w:type="gramEnd"/>
      <w:r w:rsidRPr="006A63E3">
        <w:rPr>
          <w:rFonts w:ascii="Times New Roman" w:eastAsia="Times New Roman" w:hAnsi="Times New Roman" w:cs="Times New Roman"/>
          <w:sz w:val="24"/>
          <w:szCs w:val="24"/>
        </w:rPr>
        <w:t xml:space="preserve"> </w:t>
      </w:r>
      <w:proofErr w:type="gramStart"/>
      <w:r w:rsidRPr="006A63E3">
        <w:rPr>
          <w:rFonts w:ascii="Times New Roman" w:eastAsia="Times New Roman" w:hAnsi="Times New Roman" w:cs="Times New Roman"/>
          <w:sz w:val="24"/>
          <w:szCs w:val="24"/>
        </w:rPr>
        <w:t>“Wheat Data</w:t>
      </w:r>
      <w:r>
        <w:rPr>
          <w:rFonts w:ascii="Times New Roman" w:eastAsia="Times New Roman" w:hAnsi="Times New Roman" w:cs="Times New Roman"/>
          <w:sz w:val="24"/>
          <w:szCs w:val="24"/>
        </w:rPr>
        <w:t>.</w:t>
      </w:r>
      <w:r w:rsidRPr="006A63E3">
        <w:rPr>
          <w:rFonts w:ascii="Times New Roman" w:eastAsia="Times New Roman" w:hAnsi="Times New Roman" w:cs="Times New Roman"/>
          <w:sz w:val="24"/>
          <w:szCs w:val="24"/>
        </w:rPr>
        <w:t>”</w:t>
      </w:r>
      <w:proofErr w:type="gramEnd"/>
      <w:r w:rsidRPr="006A63E3">
        <w:rPr>
          <w:rFonts w:ascii="Times New Roman" w:eastAsia="Times New Roman" w:hAnsi="Times New Roman" w:cs="Times New Roman"/>
          <w:sz w:val="24"/>
          <w:szCs w:val="24"/>
        </w:rPr>
        <w:t xml:space="preserve"> Economic Research Service, November </w:t>
      </w:r>
    </w:p>
    <w:p w:rsidR="00FD25C9" w:rsidRDefault="00FD25C9" w:rsidP="00FD25C9">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6A63E3">
        <w:rPr>
          <w:rFonts w:ascii="Times New Roman" w:eastAsia="Times New Roman" w:hAnsi="Times New Roman" w:cs="Times New Roman"/>
          <w:sz w:val="24"/>
          <w:szCs w:val="24"/>
        </w:rPr>
        <w:t>20, 2014</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6A63E3">
        <w:rPr>
          <w:rFonts w:ascii="Times New Roman" w:eastAsia="Times New Roman" w:hAnsi="Times New Roman" w:cs="Times New Roman"/>
          <w:sz w:val="24"/>
          <w:szCs w:val="24"/>
        </w:rPr>
        <w:t xml:space="preserve"> http://www.ers.usda.gov/data-products/wheat-data.aspx#25278 (accessed </w:t>
      </w:r>
    </w:p>
    <w:p w:rsidR="00FD25C9" w:rsidRDefault="00FD25C9" w:rsidP="00FD25C9">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A63E3">
        <w:rPr>
          <w:rFonts w:ascii="Times New Roman" w:eastAsia="Times New Roman" w:hAnsi="Times New Roman" w:cs="Times New Roman"/>
          <w:sz w:val="24"/>
          <w:szCs w:val="24"/>
        </w:rPr>
        <w:t>November 20, 2014).</w:t>
      </w:r>
    </w:p>
    <w:p w:rsidR="00BD2AB2" w:rsidRDefault="00BD2AB2"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sz w:val="24"/>
          <w:szCs w:val="24"/>
        </w:rPr>
      </w:pPr>
    </w:p>
    <w:p w:rsidR="00F27FB2" w:rsidRDefault="00F27FB2" w:rsidP="005A4A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proofErr w:type="gramStart"/>
      <w:r w:rsidRPr="00762A23">
        <w:rPr>
          <w:rFonts w:asciiTheme="majorBidi" w:hAnsiTheme="majorBidi" w:cstheme="majorBidi"/>
          <w:sz w:val="24"/>
          <w:szCs w:val="24"/>
        </w:rPr>
        <w:t>U.S. En</w:t>
      </w:r>
      <w:r w:rsidR="005A4AB2">
        <w:rPr>
          <w:rFonts w:asciiTheme="majorBidi" w:hAnsiTheme="majorBidi" w:cstheme="majorBidi"/>
          <w:sz w:val="24"/>
          <w:szCs w:val="24"/>
        </w:rPr>
        <w:t>ergy Information Administration.</w:t>
      </w:r>
      <w:proofErr w:type="gramEnd"/>
      <w:r w:rsidR="005A4AB2">
        <w:rPr>
          <w:rFonts w:asciiTheme="majorBidi" w:hAnsiTheme="majorBidi" w:cstheme="majorBidi"/>
          <w:sz w:val="24"/>
          <w:szCs w:val="24"/>
        </w:rPr>
        <w:t xml:space="preserve"> “Oman.</w:t>
      </w:r>
      <w:r w:rsidRPr="00762A23">
        <w:rPr>
          <w:rFonts w:asciiTheme="majorBidi" w:hAnsiTheme="majorBidi" w:cstheme="majorBidi"/>
          <w:sz w:val="24"/>
          <w:szCs w:val="24"/>
        </w:rPr>
        <w:t xml:space="preserve">” </w:t>
      </w:r>
      <w:proofErr w:type="gramStart"/>
      <w:r w:rsidRPr="00762A23">
        <w:rPr>
          <w:rFonts w:asciiTheme="majorBidi" w:hAnsiTheme="majorBidi" w:cstheme="majorBidi"/>
          <w:sz w:val="24"/>
          <w:szCs w:val="24"/>
        </w:rPr>
        <w:t>Independent Statistics &amp; Analysis</w:t>
      </w:r>
      <w:r w:rsidR="005A4AB2">
        <w:rPr>
          <w:rFonts w:asciiTheme="majorBidi" w:hAnsiTheme="majorBidi" w:cstheme="majorBidi"/>
          <w:sz w:val="24"/>
          <w:szCs w:val="24"/>
        </w:rPr>
        <w:t>.</w:t>
      </w:r>
      <w:proofErr w:type="gramEnd"/>
      <w:r w:rsidRPr="00762A23">
        <w:rPr>
          <w:rFonts w:asciiTheme="majorBidi" w:hAnsiTheme="majorBidi" w:cstheme="majorBidi"/>
          <w:sz w:val="24"/>
          <w:szCs w:val="24"/>
        </w:rPr>
        <w:t xml:space="preserve"> October </w:t>
      </w:r>
    </w:p>
    <w:p w:rsidR="00F27FB2" w:rsidRDefault="00F27FB2"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50"/>
        <w:rPr>
          <w:rStyle w:val="Hyperlink"/>
          <w:rFonts w:asciiTheme="majorBidi" w:hAnsiTheme="majorBidi" w:cstheme="majorBidi"/>
          <w:color w:val="auto"/>
          <w:sz w:val="24"/>
          <w:szCs w:val="24"/>
          <w:u w:val="none"/>
        </w:rPr>
      </w:pPr>
      <w:proofErr w:type="gramStart"/>
      <w:r w:rsidRPr="00762A23">
        <w:rPr>
          <w:rFonts w:asciiTheme="majorBidi" w:hAnsiTheme="majorBidi" w:cstheme="majorBidi"/>
          <w:sz w:val="24"/>
          <w:szCs w:val="24"/>
        </w:rPr>
        <w:t>10, 2013</w:t>
      </w:r>
      <w:r w:rsidR="005A4AB2">
        <w:rPr>
          <w:rFonts w:asciiTheme="majorBidi" w:hAnsiTheme="majorBidi" w:cstheme="majorBidi"/>
          <w:sz w:val="24"/>
          <w:szCs w:val="24"/>
        </w:rPr>
        <w:t>.</w:t>
      </w:r>
      <w:proofErr w:type="gramEnd"/>
      <w:r w:rsidRPr="00F27FB2">
        <w:rPr>
          <w:rFonts w:asciiTheme="majorBidi" w:hAnsiTheme="majorBidi" w:cstheme="majorBidi"/>
          <w:sz w:val="24"/>
          <w:szCs w:val="24"/>
        </w:rPr>
        <w:t xml:space="preserve"> </w:t>
      </w:r>
      <w:hyperlink r:id="rId33" w:anchor="pet" w:history="1">
        <w:r w:rsidRPr="00F27FB2">
          <w:rPr>
            <w:rStyle w:val="Hyperlink"/>
            <w:rFonts w:asciiTheme="majorBidi" w:hAnsiTheme="majorBidi" w:cstheme="majorBidi"/>
            <w:color w:val="auto"/>
            <w:sz w:val="24"/>
            <w:szCs w:val="24"/>
            <w:u w:val="none"/>
          </w:rPr>
          <w:t>http://www.eia.gov/countries/country-data.cfm?fips=MU#pet</w:t>
        </w:r>
      </w:hyperlink>
      <w:r w:rsidRPr="00F27FB2">
        <w:rPr>
          <w:rStyle w:val="Hyperlink"/>
          <w:rFonts w:asciiTheme="majorBidi" w:hAnsiTheme="majorBidi" w:cstheme="majorBidi"/>
          <w:color w:val="auto"/>
          <w:sz w:val="24"/>
          <w:szCs w:val="24"/>
          <w:u w:val="none"/>
        </w:rPr>
        <w:t xml:space="preserve"> (accessed November 19, 2014).</w:t>
      </w:r>
    </w:p>
    <w:p w:rsidR="007C6D27" w:rsidRDefault="007C6D27"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Style w:val="Hyperlink"/>
          <w:rFonts w:asciiTheme="majorBidi" w:hAnsiTheme="majorBidi" w:cstheme="majorBidi"/>
          <w:color w:val="auto"/>
          <w:sz w:val="24"/>
          <w:szCs w:val="24"/>
          <w:u w:val="none"/>
        </w:rPr>
      </w:pPr>
    </w:p>
    <w:p w:rsidR="007C6D27" w:rsidRDefault="007C6D27"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proofErr w:type="gramStart"/>
      <w:r w:rsidRPr="007C6D27">
        <w:rPr>
          <w:rFonts w:asciiTheme="majorBidi" w:hAnsiTheme="majorBidi" w:cstheme="majorBidi"/>
          <w:sz w:val="24"/>
          <w:szCs w:val="24"/>
        </w:rPr>
        <w:t>V</w:t>
      </w:r>
      <w:r>
        <w:rPr>
          <w:rFonts w:asciiTheme="majorBidi" w:hAnsiTheme="majorBidi" w:cstheme="majorBidi"/>
          <w:sz w:val="24"/>
          <w:szCs w:val="24"/>
        </w:rPr>
        <w:t>eolia Water Technologies.</w:t>
      </w:r>
      <w:proofErr w:type="gramEnd"/>
      <w:r>
        <w:rPr>
          <w:rFonts w:asciiTheme="majorBidi" w:hAnsiTheme="majorBidi" w:cstheme="majorBidi"/>
          <w:sz w:val="24"/>
          <w:szCs w:val="24"/>
        </w:rPr>
        <w:t xml:space="preserve"> </w:t>
      </w:r>
      <w:proofErr w:type="gramStart"/>
      <w:r w:rsidRPr="007C6D27">
        <w:rPr>
          <w:rFonts w:asciiTheme="majorBidi" w:hAnsiTheme="majorBidi" w:cstheme="majorBidi"/>
          <w:sz w:val="24"/>
          <w:szCs w:val="24"/>
        </w:rPr>
        <w:t>“FAQ</w:t>
      </w:r>
      <w:r>
        <w:rPr>
          <w:rFonts w:asciiTheme="majorBidi" w:hAnsiTheme="majorBidi" w:cstheme="majorBidi"/>
          <w:sz w:val="24"/>
          <w:szCs w:val="24"/>
        </w:rPr>
        <w:t>.</w:t>
      </w:r>
      <w:r w:rsidRPr="007C6D27">
        <w:rPr>
          <w:rFonts w:asciiTheme="majorBidi" w:hAnsiTheme="majorBidi" w:cstheme="majorBidi"/>
          <w:sz w:val="24"/>
          <w:szCs w:val="24"/>
        </w:rPr>
        <w:t>”</w:t>
      </w:r>
      <w:proofErr w:type="gramEnd"/>
      <w:r w:rsidRPr="007C6D27">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Sidem</w:t>
      </w:r>
      <w:proofErr w:type="spellEnd"/>
      <w:r>
        <w:rPr>
          <w:rFonts w:asciiTheme="majorBidi" w:hAnsiTheme="majorBidi" w:cstheme="majorBidi"/>
          <w:sz w:val="24"/>
          <w:szCs w:val="24"/>
        </w:rPr>
        <w:t>.</w:t>
      </w:r>
      <w:proofErr w:type="gramEnd"/>
      <w:r w:rsidRPr="007C6D27">
        <w:rPr>
          <w:rFonts w:asciiTheme="majorBidi" w:hAnsiTheme="majorBidi" w:cstheme="majorBidi"/>
          <w:sz w:val="24"/>
          <w:szCs w:val="24"/>
        </w:rPr>
        <w:t xml:space="preserve"> </w:t>
      </w:r>
      <w:r>
        <w:rPr>
          <w:rFonts w:asciiTheme="majorBidi" w:hAnsiTheme="majorBidi" w:cstheme="majorBidi"/>
          <w:sz w:val="24"/>
          <w:szCs w:val="24"/>
        </w:rPr>
        <w:t>2014.</w:t>
      </w:r>
      <w:r w:rsidRPr="007C6D27">
        <w:rPr>
          <w:rFonts w:asciiTheme="majorBidi" w:hAnsiTheme="majorBidi" w:cstheme="majorBidi"/>
          <w:sz w:val="24"/>
          <w:szCs w:val="24"/>
        </w:rPr>
        <w:t xml:space="preserve"> http://www.sidem-desalination.com/</w:t>
      </w:r>
    </w:p>
    <w:p w:rsidR="007C6D27" w:rsidRDefault="007C6D27"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b/>
      </w:r>
      <w:proofErr w:type="gramStart"/>
      <w:r w:rsidRPr="007C6D27">
        <w:rPr>
          <w:rFonts w:asciiTheme="majorBidi" w:hAnsiTheme="majorBidi" w:cstheme="majorBidi"/>
          <w:sz w:val="24"/>
          <w:szCs w:val="24"/>
        </w:rPr>
        <w:t>en/Process/FAQ</w:t>
      </w:r>
      <w:proofErr w:type="gramEnd"/>
      <w:r w:rsidRPr="007C6D27">
        <w:rPr>
          <w:rFonts w:asciiTheme="majorBidi" w:hAnsiTheme="majorBidi" w:cstheme="majorBidi"/>
          <w:sz w:val="24"/>
          <w:szCs w:val="24"/>
        </w:rPr>
        <w:t>/ (accessed March 8, 2015).</w:t>
      </w:r>
    </w:p>
    <w:p w:rsidR="007E4808" w:rsidRDefault="007E4808"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p>
    <w:p w:rsidR="007E4808" w:rsidRDefault="007E4808" w:rsidP="007E4808">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V</w:t>
      </w:r>
      <w:r w:rsidRPr="007E4808">
        <w:rPr>
          <w:rFonts w:asciiTheme="majorBidi" w:hAnsiTheme="majorBidi" w:cstheme="majorBidi"/>
          <w:sz w:val="24"/>
          <w:szCs w:val="24"/>
        </w:rPr>
        <w:t>on Braun,</w:t>
      </w:r>
      <w:r>
        <w:rPr>
          <w:rFonts w:asciiTheme="majorBidi" w:hAnsiTheme="majorBidi" w:cstheme="majorBidi"/>
          <w:sz w:val="24"/>
          <w:szCs w:val="24"/>
        </w:rPr>
        <w:t xml:space="preserve"> </w:t>
      </w:r>
      <w:r w:rsidRPr="007E4808">
        <w:rPr>
          <w:rFonts w:asciiTheme="majorBidi" w:hAnsiTheme="majorBidi" w:cstheme="majorBidi"/>
          <w:sz w:val="24"/>
          <w:szCs w:val="24"/>
        </w:rPr>
        <w:t>Joachim</w:t>
      </w:r>
      <w:r>
        <w:rPr>
          <w:rFonts w:asciiTheme="majorBidi" w:hAnsiTheme="majorBidi" w:cstheme="majorBidi"/>
          <w:sz w:val="24"/>
          <w:szCs w:val="24"/>
        </w:rPr>
        <w:t>.</w:t>
      </w:r>
      <w:r w:rsidRPr="007E4808">
        <w:rPr>
          <w:rFonts w:asciiTheme="majorBidi" w:hAnsiTheme="majorBidi" w:cstheme="majorBidi"/>
          <w:sz w:val="24"/>
          <w:szCs w:val="24"/>
        </w:rPr>
        <w:t xml:space="preserve"> “The World Food Situation: New Driv</w:t>
      </w:r>
      <w:r>
        <w:rPr>
          <w:rFonts w:asciiTheme="majorBidi" w:hAnsiTheme="majorBidi" w:cstheme="majorBidi"/>
          <w:sz w:val="24"/>
          <w:szCs w:val="24"/>
        </w:rPr>
        <w:t>ing Forces and Required Actions.</w:t>
      </w:r>
      <w:r w:rsidRPr="007E4808">
        <w:rPr>
          <w:rFonts w:asciiTheme="majorBidi" w:hAnsiTheme="majorBidi" w:cstheme="majorBidi"/>
          <w:sz w:val="24"/>
          <w:szCs w:val="24"/>
        </w:rPr>
        <w:t xml:space="preserve">” </w:t>
      </w:r>
    </w:p>
    <w:p w:rsidR="007E4808" w:rsidRDefault="007E4808" w:rsidP="007E4808">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b/>
      </w:r>
      <w:r w:rsidRPr="007E4808">
        <w:rPr>
          <w:rFonts w:asciiTheme="majorBidi" w:hAnsiTheme="majorBidi" w:cstheme="majorBidi"/>
          <w:sz w:val="24"/>
          <w:szCs w:val="24"/>
        </w:rPr>
        <w:t>International Food Policy R</w:t>
      </w:r>
      <w:r>
        <w:rPr>
          <w:rFonts w:asciiTheme="majorBidi" w:hAnsiTheme="majorBidi" w:cstheme="majorBidi"/>
          <w:sz w:val="24"/>
          <w:szCs w:val="24"/>
        </w:rPr>
        <w:t>esearch Institute.</w:t>
      </w:r>
      <w:r w:rsidRPr="007E4808">
        <w:rPr>
          <w:rFonts w:asciiTheme="majorBidi" w:hAnsiTheme="majorBidi" w:cstheme="majorBidi"/>
          <w:sz w:val="24"/>
          <w:szCs w:val="24"/>
        </w:rPr>
        <w:t xml:space="preserve"> </w:t>
      </w:r>
      <w:r>
        <w:rPr>
          <w:rFonts w:asciiTheme="majorBidi" w:hAnsiTheme="majorBidi" w:cstheme="majorBidi"/>
          <w:sz w:val="24"/>
          <w:szCs w:val="24"/>
        </w:rPr>
        <w:t>December 2007.</w:t>
      </w:r>
      <w:r w:rsidRPr="007E4808">
        <w:rPr>
          <w:rFonts w:asciiTheme="majorBidi" w:hAnsiTheme="majorBidi" w:cstheme="majorBidi"/>
          <w:sz w:val="24"/>
          <w:szCs w:val="24"/>
        </w:rPr>
        <w:t xml:space="preserve"> http://www.ifpri.org/sites/</w:t>
      </w:r>
    </w:p>
    <w:p w:rsidR="007E4808" w:rsidRDefault="007E4808" w:rsidP="007E4808">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b/>
      </w:r>
      <w:r w:rsidRPr="007E4808">
        <w:rPr>
          <w:rFonts w:asciiTheme="majorBidi" w:hAnsiTheme="majorBidi" w:cstheme="majorBidi"/>
          <w:sz w:val="24"/>
          <w:szCs w:val="24"/>
        </w:rPr>
        <w:t>default/files/publications/pr18.pdf (accessed March 1, 2015).</w:t>
      </w:r>
    </w:p>
    <w:p w:rsidR="000C4C45" w:rsidRDefault="000C4C45" w:rsidP="007E4808">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p>
    <w:p w:rsidR="000C4C45" w:rsidRDefault="000C4C45" w:rsidP="000C4C45">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proofErr w:type="spellStart"/>
      <w:r w:rsidRPr="000C4C45">
        <w:rPr>
          <w:rFonts w:asciiTheme="majorBidi" w:hAnsiTheme="majorBidi" w:cstheme="majorBidi"/>
          <w:sz w:val="24"/>
          <w:szCs w:val="24"/>
        </w:rPr>
        <w:t>Woertz</w:t>
      </w:r>
      <w:proofErr w:type="spellEnd"/>
      <w:r w:rsidRPr="000C4C45">
        <w:rPr>
          <w:rFonts w:asciiTheme="majorBidi" w:hAnsiTheme="majorBidi" w:cstheme="majorBidi"/>
          <w:sz w:val="24"/>
          <w:szCs w:val="24"/>
        </w:rPr>
        <w:t xml:space="preserve">, </w:t>
      </w:r>
      <w:proofErr w:type="spellStart"/>
      <w:r w:rsidRPr="000C4C45">
        <w:rPr>
          <w:rFonts w:asciiTheme="majorBidi" w:hAnsiTheme="majorBidi" w:cstheme="majorBidi"/>
          <w:sz w:val="24"/>
          <w:szCs w:val="24"/>
        </w:rPr>
        <w:t>Eckart</w:t>
      </w:r>
      <w:proofErr w:type="spellEnd"/>
      <w:r>
        <w:rPr>
          <w:rFonts w:asciiTheme="majorBidi" w:hAnsiTheme="majorBidi" w:cstheme="majorBidi"/>
          <w:sz w:val="24"/>
          <w:szCs w:val="24"/>
        </w:rPr>
        <w:t>.</w:t>
      </w:r>
      <w:r w:rsidRPr="000C4C45">
        <w:rPr>
          <w:rFonts w:asciiTheme="majorBidi" w:hAnsiTheme="majorBidi" w:cstheme="majorBidi"/>
          <w:sz w:val="24"/>
          <w:szCs w:val="24"/>
        </w:rPr>
        <w:t xml:space="preserve"> </w:t>
      </w:r>
      <w:r w:rsidRPr="000C4C45">
        <w:rPr>
          <w:rFonts w:asciiTheme="majorBidi" w:hAnsiTheme="majorBidi" w:cstheme="majorBidi"/>
          <w:i/>
          <w:iCs/>
          <w:sz w:val="24"/>
          <w:szCs w:val="24"/>
        </w:rPr>
        <w:t>Oil for Food: The Global Food Crisis and the Middle East</w:t>
      </w:r>
      <w:r w:rsidR="00300FD4">
        <w:rPr>
          <w:rFonts w:asciiTheme="majorBidi" w:hAnsiTheme="majorBidi" w:cstheme="majorBidi"/>
          <w:i/>
          <w:iCs/>
          <w:sz w:val="24"/>
          <w:szCs w:val="24"/>
        </w:rPr>
        <w:t xml:space="preserve">. </w:t>
      </w:r>
      <w:r w:rsidRPr="000C4C45">
        <w:rPr>
          <w:rFonts w:asciiTheme="majorBidi" w:hAnsiTheme="majorBidi" w:cstheme="majorBidi"/>
          <w:sz w:val="24"/>
          <w:szCs w:val="24"/>
        </w:rPr>
        <w:t xml:space="preserve">Oxford: Oxford </w:t>
      </w:r>
    </w:p>
    <w:p w:rsidR="000C4C45" w:rsidRPr="007E4808" w:rsidRDefault="000C4C45" w:rsidP="000C4C45">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b/>
      </w:r>
      <w:proofErr w:type="gramStart"/>
      <w:r w:rsidRPr="000C4C45">
        <w:rPr>
          <w:rFonts w:asciiTheme="majorBidi" w:hAnsiTheme="majorBidi" w:cstheme="majorBidi"/>
          <w:sz w:val="24"/>
          <w:szCs w:val="24"/>
        </w:rPr>
        <w:t>University Press,</w:t>
      </w:r>
      <w:r w:rsidR="00300FD4">
        <w:rPr>
          <w:rFonts w:asciiTheme="majorBidi" w:hAnsiTheme="majorBidi" w:cstheme="majorBidi"/>
          <w:sz w:val="24"/>
          <w:szCs w:val="24"/>
        </w:rPr>
        <w:t xml:space="preserve"> 2015</w:t>
      </w:r>
      <w:r>
        <w:rPr>
          <w:rFonts w:asciiTheme="majorBidi" w:hAnsiTheme="majorBidi" w:cstheme="majorBidi"/>
          <w:sz w:val="24"/>
          <w:szCs w:val="24"/>
        </w:rPr>
        <w:t>.</w:t>
      </w:r>
      <w:proofErr w:type="gramEnd"/>
    </w:p>
    <w:p w:rsidR="00F27FB2" w:rsidRDefault="00F27FB2" w:rsidP="00F27F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p>
    <w:p w:rsidR="008E0E87" w:rsidRPr="00762A23" w:rsidRDefault="008E0E87" w:rsidP="008E0E8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proofErr w:type="gramStart"/>
      <w:r w:rsidRPr="00762A23">
        <w:rPr>
          <w:rFonts w:asciiTheme="majorBidi" w:hAnsiTheme="majorBidi" w:cstheme="majorBidi"/>
          <w:sz w:val="24"/>
          <w:szCs w:val="24"/>
        </w:rPr>
        <w:t>The World Bank</w:t>
      </w:r>
      <w:r>
        <w:rPr>
          <w:rFonts w:asciiTheme="majorBidi" w:hAnsiTheme="majorBidi" w:cstheme="majorBidi"/>
          <w:sz w:val="24"/>
          <w:szCs w:val="24"/>
        </w:rPr>
        <w:t>.</w:t>
      </w:r>
      <w:proofErr w:type="gramEnd"/>
      <w:r w:rsidR="005A4AB2">
        <w:rPr>
          <w:rFonts w:asciiTheme="majorBidi" w:hAnsiTheme="majorBidi" w:cstheme="majorBidi"/>
          <w:sz w:val="24"/>
          <w:szCs w:val="24"/>
        </w:rPr>
        <w:t xml:space="preserve"> </w:t>
      </w:r>
      <w:proofErr w:type="gramStart"/>
      <w:r w:rsidR="005A4AB2">
        <w:rPr>
          <w:rFonts w:asciiTheme="majorBidi" w:hAnsiTheme="majorBidi" w:cstheme="majorBidi"/>
          <w:sz w:val="24"/>
          <w:szCs w:val="24"/>
        </w:rPr>
        <w:t>“Oil Rents.</w:t>
      </w:r>
      <w:r w:rsidRPr="00762A23">
        <w:rPr>
          <w:rFonts w:asciiTheme="majorBidi" w:hAnsiTheme="majorBidi" w:cstheme="majorBidi"/>
          <w:sz w:val="24"/>
          <w:szCs w:val="24"/>
        </w:rPr>
        <w:t>”</w:t>
      </w:r>
      <w:proofErr w:type="gramEnd"/>
      <w:r w:rsidRPr="00762A23">
        <w:rPr>
          <w:rFonts w:asciiTheme="majorBidi" w:hAnsiTheme="majorBidi" w:cstheme="majorBidi"/>
          <w:sz w:val="24"/>
          <w:szCs w:val="24"/>
        </w:rPr>
        <w:t xml:space="preserve"> The World Bank Development Indicators</w:t>
      </w:r>
      <w:r>
        <w:rPr>
          <w:rFonts w:asciiTheme="majorBidi" w:hAnsiTheme="majorBidi" w:cstheme="majorBidi"/>
          <w:sz w:val="24"/>
          <w:szCs w:val="24"/>
        </w:rPr>
        <w:t>.</w:t>
      </w:r>
      <w:r w:rsidRPr="00762A23">
        <w:rPr>
          <w:rFonts w:asciiTheme="majorBidi" w:hAnsiTheme="majorBidi" w:cstheme="majorBidi"/>
          <w:sz w:val="24"/>
          <w:szCs w:val="24"/>
        </w:rPr>
        <w:t xml:space="preserve"> </w:t>
      </w:r>
      <w:r w:rsidR="005A4AB2">
        <w:rPr>
          <w:rFonts w:asciiTheme="majorBidi" w:hAnsiTheme="majorBidi" w:cstheme="majorBidi"/>
          <w:sz w:val="24"/>
          <w:szCs w:val="24"/>
        </w:rPr>
        <w:t>2015.</w:t>
      </w:r>
    </w:p>
    <w:p w:rsidR="008E0E87" w:rsidRPr="00762A23" w:rsidRDefault="008E0E87" w:rsidP="008E0E8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hAnsiTheme="majorBidi" w:cstheme="majorBidi"/>
          <w:sz w:val="24"/>
          <w:szCs w:val="24"/>
        </w:rPr>
      </w:pPr>
      <w:r w:rsidRPr="00762A23">
        <w:rPr>
          <w:rFonts w:asciiTheme="majorBidi" w:hAnsiTheme="majorBidi" w:cstheme="majorBidi"/>
          <w:sz w:val="24"/>
          <w:szCs w:val="24"/>
        </w:rPr>
        <w:tab/>
        <w:t>http://data.worldbank.org/indicator/NY.GDP.PETR.RT.ZS (accessed November 20, 2014).</w:t>
      </w:r>
    </w:p>
    <w:p w:rsidR="008E0E87" w:rsidRPr="00112533" w:rsidRDefault="008E0E87" w:rsidP="008E0E8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
          <w:sz w:val="24"/>
          <w:szCs w:val="24"/>
        </w:rPr>
      </w:pPr>
    </w:p>
    <w:p w:rsidR="008E0E87" w:rsidRPr="00112533" w:rsidRDefault="008E0E87" w:rsidP="008E0E8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Cs/>
          <w:sz w:val="24"/>
          <w:szCs w:val="24"/>
        </w:rPr>
      </w:pPr>
      <w:proofErr w:type="gramStart"/>
      <w:r w:rsidRPr="00112533">
        <w:rPr>
          <w:rFonts w:ascii="Times New Roman" w:eastAsia="Times New Roman" w:hAnsi="Times New Roman" w:cs="Times New Roman"/>
          <w:bCs/>
          <w:sz w:val="24"/>
          <w:szCs w:val="24"/>
        </w:rPr>
        <w:t>The World Bank</w:t>
      </w:r>
      <w:r>
        <w:rPr>
          <w:rFonts w:ascii="Times New Roman" w:eastAsia="Times New Roman" w:hAnsi="Times New Roman" w:cs="Times New Roman"/>
          <w:bCs/>
          <w:sz w:val="24"/>
          <w:szCs w:val="24"/>
        </w:rPr>
        <w:t>.</w:t>
      </w:r>
      <w:proofErr w:type="gramEnd"/>
      <w:r w:rsidR="005A4AB2">
        <w:rPr>
          <w:rFonts w:ascii="Times New Roman" w:eastAsia="Times New Roman" w:hAnsi="Times New Roman" w:cs="Times New Roman"/>
          <w:bCs/>
          <w:sz w:val="24"/>
          <w:szCs w:val="24"/>
        </w:rPr>
        <w:t xml:space="preserve"> “Oman: Data.</w:t>
      </w:r>
      <w:r w:rsidRPr="00112533">
        <w:rPr>
          <w:rFonts w:ascii="Times New Roman" w:eastAsia="Times New Roman" w:hAnsi="Times New Roman" w:cs="Times New Roman"/>
          <w:bCs/>
          <w:sz w:val="24"/>
          <w:szCs w:val="24"/>
        </w:rPr>
        <w:t xml:space="preserve">” </w:t>
      </w:r>
      <w:proofErr w:type="gramStart"/>
      <w:r w:rsidRPr="00112533">
        <w:rPr>
          <w:rFonts w:ascii="Times New Roman" w:eastAsia="Times New Roman" w:hAnsi="Times New Roman" w:cs="Times New Roman"/>
          <w:bCs/>
          <w:sz w:val="24"/>
          <w:szCs w:val="24"/>
        </w:rPr>
        <w:t>The Wo</w:t>
      </w:r>
      <w:r>
        <w:rPr>
          <w:rFonts w:ascii="Times New Roman" w:eastAsia="Times New Roman" w:hAnsi="Times New Roman" w:cs="Times New Roman"/>
          <w:bCs/>
          <w:sz w:val="24"/>
          <w:szCs w:val="24"/>
        </w:rPr>
        <w:t>rld Bank Development Indicators.</w:t>
      </w:r>
      <w:proofErr w:type="gramEnd"/>
      <w:r w:rsidRPr="00112533">
        <w:rPr>
          <w:rFonts w:ascii="Times New Roman" w:eastAsia="Times New Roman" w:hAnsi="Times New Roman" w:cs="Times New Roman"/>
          <w:bCs/>
          <w:sz w:val="24"/>
          <w:szCs w:val="24"/>
        </w:rPr>
        <w:t xml:space="preserve"> </w:t>
      </w:r>
      <w:r w:rsidR="005A4AB2">
        <w:rPr>
          <w:rFonts w:ascii="Times New Roman" w:eastAsia="Times New Roman" w:hAnsi="Times New Roman" w:cs="Times New Roman"/>
          <w:bCs/>
          <w:sz w:val="24"/>
          <w:szCs w:val="24"/>
        </w:rPr>
        <w:t>2015.</w:t>
      </w:r>
    </w:p>
    <w:p w:rsidR="008E0E87" w:rsidRDefault="008E0E87" w:rsidP="008E0E8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Cs/>
          <w:sz w:val="24"/>
          <w:szCs w:val="24"/>
        </w:rPr>
      </w:pPr>
      <w:r w:rsidRPr="00112533">
        <w:rPr>
          <w:rFonts w:ascii="Times New Roman" w:eastAsia="Times New Roman" w:hAnsi="Times New Roman" w:cs="Times New Roman"/>
          <w:bCs/>
          <w:sz w:val="24"/>
          <w:szCs w:val="24"/>
        </w:rPr>
        <w:tab/>
        <w:t>http://data.worldbank.org/country/oman (accessed November 29, 2013).</w:t>
      </w:r>
    </w:p>
    <w:p w:rsidR="008E0E87" w:rsidRDefault="008E0E87" w:rsidP="008E0E8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Cs/>
          <w:sz w:val="24"/>
          <w:szCs w:val="24"/>
        </w:rPr>
      </w:pPr>
    </w:p>
    <w:p w:rsidR="008E0E87" w:rsidRDefault="008E0E87" w:rsidP="005A4A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Cs/>
          <w:sz w:val="24"/>
          <w:szCs w:val="24"/>
        </w:rPr>
      </w:pPr>
      <w:proofErr w:type="gramStart"/>
      <w:r w:rsidRPr="0053706E">
        <w:rPr>
          <w:rFonts w:ascii="Times New Roman" w:eastAsia="Times New Roman" w:hAnsi="Times New Roman" w:cs="Times New Roman"/>
          <w:bCs/>
          <w:sz w:val="24"/>
          <w:szCs w:val="24"/>
        </w:rPr>
        <w:t>The World Bank</w:t>
      </w:r>
      <w:r>
        <w:rPr>
          <w:rFonts w:ascii="Times New Roman" w:eastAsia="Times New Roman" w:hAnsi="Times New Roman" w:cs="Times New Roman"/>
          <w:bCs/>
          <w:sz w:val="24"/>
          <w:szCs w:val="24"/>
        </w:rPr>
        <w:t>.</w:t>
      </w:r>
      <w:proofErr w:type="gramEnd"/>
      <w:r w:rsidRPr="0053706E">
        <w:rPr>
          <w:rFonts w:ascii="Times New Roman" w:eastAsia="Times New Roman" w:hAnsi="Times New Roman" w:cs="Times New Roman"/>
          <w:bCs/>
          <w:sz w:val="24"/>
          <w:szCs w:val="24"/>
        </w:rPr>
        <w:t xml:space="preserve"> </w:t>
      </w:r>
      <w:proofErr w:type="gramStart"/>
      <w:r w:rsidRPr="0053706E">
        <w:rPr>
          <w:rFonts w:ascii="Times New Roman" w:eastAsia="Times New Roman" w:hAnsi="Times New Roman" w:cs="Times New Roman"/>
          <w:bCs/>
          <w:sz w:val="24"/>
          <w:szCs w:val="24"/>
        </w:rPr>
        <w:t>“Renewable Energy Desalination</w:t>
      </w:r>
      <w:r w:rsidR="005A4AB2">
        <w:rPr>
          <w:rFonts w:ascii="Times New Roman" w:eastAsia="Times New Roman" w:hAnsi="Times New Roman" w:cs="Times New Roman"/>
          <w:bCs/>
          <w:sz w:val="24"/>
          <w:szCs w:val="24"/>
        </w:rPr>
        <w:t>.”</w:t>
      </w:r>
      <w:proofErr w:type="gramEnd"/>
      <w:r w:rsidR="005A4AB2">
        <w:rPr>
          <w:rFonts w:ascii="Times New Roman" w:eastAsia="Times New Roman" w:hAnsi="Times New Roman" w:cs="Times New Roman"/>
          <w:bCs/>
          <w:sz w:val="24"/>
          <w:szCs w:val="24"/>
        </w:rPr>
        <w:t xml:space="preserve"> </w:t>
      </w:r>
      <w:proofErr w:type="gramStart"/>
      <w:r w:rsidR="005A4AB2">
        <w:rPr>
          <w:rFonts w:ascii="Times New Roman" w:eastAsia="Times New Roman" w:hAnsi="Times New Roman" w:cs="Times New Roman"/>
          <w:bCs/>
          <w:sz w:val="24"/>
          <w:szCs w:val="24"/>
        </w:rPr>
        <w:t>MENA Development Report.</w:t>
      </w:r>
      <w:proofErr w:type="gramEnd"/>
      <w:r w:rsidRPr="0053706E">
        <w:rPr>
          <w:rFonts w:ascii="Times New Roman" w:eastAsia="Times New Roman" w:hAnsi="Times New Roman" w:cs="Times New Roman"/>
          <w:bCs/>
          <w:sz w:val="24"/>
          <w:szCs w:val="24"/>
        </w:rPr>
        <w:t xml:space="preserve"> </w:t>
      </w:r>
      <w:proofErr w:type="gramStart"/>
      <w:r w:rsidRPr="0053706E">
        <w:rPr>
          <w:rFonts w:ascii="Times New Roman" w:eastAsia="Times New Roman" w:hAnsi="Times New Roman" w:cs="Times New Roman"/>
          <w:bCs/>
          <w:sz w:val="24"/>
          <w:szCs w:val="24"/>
        </w:rPr>
        <w:t>2012</w:t>
      </w:r>
      <w:r>
        <w:rPr>
          <w:rFonts w:ascii="Times New Roman" w:eastAsia="Times New Roman" w:hAnsi="Times New Roman" w:cs="Times New Roman"/>
          <w:bCs/>
          <w:sz w:val="24"/>
          <w:szCs w:val="24"/>
        </w:rPr>
        <w:t>.</w:t>
      </w:r>
      <w:proofErr w:type="gramEnd"/>
      <w:r w:rsidRPr="0053706E">
        <w:rPr>
          <w:rFonts w:ascii="Times New Roman" w:eastAsia="Times New Roman" w:hAnsi="Times New Roman" w:cs="Times New Roman"/>
          <w:bCs/>
          <w:sz w:val="24"/>
          <w:szCs w:val="24"/>
        </w:rPr>
        <w:t xml:space="preserve"> </w:t>
      </w:r>
    </w:p>
    <w:p w:rsidR="008E0E87" w:rsidRDefault="008E0E87" w:rsidP="008E0E8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50"/>
        <w:rPr>
          <w:rFonts w:ascii="Times New Roman" w:eastAsia="Times New Roman" w:hAnsi="Times New Roman" w:cs="Times New Roman"/>
          <w:bCs/>
          <w:sz w:val="24"/>
          <w:szCs w:val="24"/>
        </w:rPr>
      </w:pPr>
      <w:r w:rsidRPr="0053706E">
        <w:rPr>
          <w:rFonts w:ascii="Times New Roman" w:eastAsia="Times New Roman" w:hAnsi="Times New Roman" w:cs="Times New Roman"/>
          <w:bCs/>
          <w:sz w:val="24"/>
          <w:szCs w:val="24"/>
        </w:rPr>
        <w:t>http://water.worldbank.org/sites/water.worldbank.org/files/publication/water-wpp-Sun-Powered-Desal-Gateway-Meeting-MENAs-Water-Needs_2.pdf (accessed November 18, 2014).</w:t>
      </w:r>
    </w:p>
    <w:p w:rsidR="005A4AB2" w:rsidRDefault="005A4AB2" w:rsidP="005A4A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Cs/>
          <w:sz w:val="24"/>
          <w:szCs w:val="24"/>
        </w:rPr>
      </w:pPr>
    </w:p>
    <w:p w:rsidR="005A4AB2" w:rsidRDefault="005A4AB2" w:rsidP="005A4A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Cs/>
          <w:sz w:val="24"/>
          <w:szCs w:val="24"/>
        </w:rPr>
      </w:pPr>
      <w:proofErr w:type="gramStart"/>
      <w:r w:rsidRPr="005A4AB2">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 xml:space="preserve">he World </w:t>
      </w:r>
      <w:proofErr w:type="spellStart"/>
      <w:r>
        <w:rPr>
          <w:rFonts w:ascii="Times New Roman" w:eastAsia="Times New Roman" w:hAnsi="Times New Roman" w:cs="Times New Roman"/>
          <w:bCs/>
          <w:sz w:val="24"/>
          <w:szCs w:val="24"/>
        </w:rPr>
        <w:t>Factbook</w:t>
      </w:r>
      <w:proofErr w:type="spellEnd"/>
      <w:r>
        <w:rPr>
          <w:rFonts w:ascii="Times New Roman" w:eastAsia="Times New Roman" w:hAnsi="Times New Roman" w:cs="Times New Roman"/>
          <w:bCs/>
          <w:sz w:val="24"/>
          <w:szCs w:val="24"/>
        </w:rPr>
        <w:t>.</w:t>
      </w:r>
      <w:proofErr w:type="gramEnd"/>
      <w:r w:rsidRPr="005A4AB2">
        <w:rPr>
          <w:rFonts w:ascii="Times New Roman" w:eastAsia="Times New Roman" w:hAnsi="Times New Roman" w:cs="Times New Roman"/>
          <w:bCs/>
          <w:sz w:val="24"/>
          <w:szCs w:val="24"/>
        </w:rPr>
        <w:t xml:space="preserve"> “Country Comparison: Electri</w:t>
      </w:r>
      <w:r>
        <w:rPr>
          <w:rFonts w:ascii="Times New Roman" w:eastAsia="Times New Roman" w:hAnsi="Times New Roman" w:cs="Times New Roman"/>
          <w:bCs/>
          <w:sz w:val="24"/>
          <w:szCs w:val="24"/>
        </w:rPr>
        <w:t>city-Installed Generating Capacity.</w:t>
      </w:r>
      <w:r w:rsidRPr="005A4AB2">
        <w:rPr>
          <w:rFonts w:ascii="Times New Roman" w:eastAsia="Times New Roman" w:hAnsi="Times New Roman" w:cs="Times New Roman"/>
          <w:bCs/>
          <w:sz w:val="24"/>
          <w:szCs w:val="24"/>
        </w:rPr>
        <w:t xml:space="preserve">” Central </w:t>
      </w:r>
    </w:p>
    <w:p w:rsidR="005A4AB2" w:rsidRDefault="005A4AB2" w:rsidP="005A4AB2">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50"/>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Intelligence Agency.</w:t>
      </w:r>
      <w:proofErr w:type="gramEnd"/>
      <w:r w:rsidRPr="005A4AB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2013.</w:t>
      </w:r>
      <w:r w:rsidRPr="005A4AB2">
        <w:rPr>
          <w:rFonts w:ascii="Times New Roman" w:eastAsia="Times New Roman" w:hAnsi="Times New Roman" w:cs="Times New Roman"/>
          <w:bCs/>
          <w:sz w:val="24"/>
          <w:szCs w:val="24"/>
        </w:rPr>
        <w:t xml:space="preserve"> https://www.cia.gov/library/publications/the-world-factbook/rankorder/2236rank.html (accessed March 3, 2015).</w:t>
      </w:r>
    </w:p>
    <w:p w:rsidR="00F27FB2" w:rsidRDefault="00F27FB2" w:rsidP="00F27FB2">
      <w:pPr>
        <w:spacing w:after="0" w:line="240" w:lineRule="auto"/>
        <w:rPr>
          <w:rFonts w:asciiTheme="majorBidi" w:hAnsiTheme="majorBidi" w:cstheme="majorBidi"/>
          <w:sz w:val="24"/>
          <w:szCs w:val="24"/>
        </w:rPr>
      </w:pPr>
    </w:p>
    <w:p w:rsidR="007C6D27" w:rsidRDefault="007C6D27"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Cs/>
          <w:sz w:val="24"/>
          <w:szCs w:val="24"/>
        </w:rPr>
      </w:pPr>
      <w:proofErr w:type="gramStart"/>
      <w:r w:rsidRPr="00075A36">
        <w:rPr>
          <w:rFonts w:ascii="Times New Roman" w:eastAsia="Times New Roman" w:hAnsi="Times New Roman" w:cs="Times New Roman"/>
          <w:bCs/>
          <w:sz w:val="24"/>
          <w:szCs w:val="24"/>
        </w:rPr>
        <w:t>World Health Organization</w:t>
      </w:r>
      <w:r>
        <w:rPr>
          <w:rFonts w:ascii="Times New Roman" w:eastAsia="Times New Roman" w:hAnsi="Times New Roman" w:cs="Times New Roman"/>
          <w:bCs/>
          <w:sz w:val="24"/>
          <w:szCs w:val="24"/>
        </w:rPr>
        <w:t>.</w:t>
      </w:r>
      <w:proofErr w:type="gramEnd"/>
      <w:r w:rsidRPr="00075A36">
        <w:rPr>
          <w:rFonts w:ascii="Times New Roman" w:eastAsia="Times New Roman" w:hAnsi="Times New Roman" w:cs="Times New Roman"/>
          <w:bCs/>
          <w:sz w:val="24"/>
          <w:szCs w:val="24"/>
        </w:rPr>
        <w:t xml:space="preserve"> “Environmental Impact on Health: Children in the New </w:t>
      </w:r>
    </w:p>
    <w:p w:rsidR="007C6D27" w:rsidRDefault="007C6D27"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50"/>
        <w:rPr>
          <w:rFonts w:ascii="Times New Roman" w:eastAsia="Times New Roman" w:hAnsi="Times New Roman" w:cs="Times New Roman"/>
          <w:bCs/>
          <w:sz w:val="24"/>
          <w:szCs w:val="24"/>
        </w:rPr>
      </w:pPr>
      <w:proofErr w:type="gramStart"/>
      <w:r w:rsidRPr="00075A36">
        <w:rPr>
          <w:rFonts w:ascii="Times New Roman" w:eastAsia="Times New Roman" w:hAnsi="Times New Roman" w:cs="Times New Roman"/>
          <w:bCs/>
          <w:sz w:val="24"/>
          <w:szCs w:val="24"/>
        </w:rPr>
        <w:t>Millennium</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Water Sanitation Health.</w:t>
      </w:r>
      <w:proofErr w:type="gramEnd"/>
      <w:r>
        <w:rPr>
          <w:rFonts w:ascii="Times New Roman" w:eastAsia="Times New Roman" w:hAnsi="Times New Roman" w:cs="Times New Roman"/>
          <w:bCs/>
          <w:sz w:val="24"/>
          <w:szCs w:val="24"/>
        </w:rPr>
        <w:t xml:space="preserve"> </w:t>
      </w:r>
      <w:r w:rsidRPr="00075A36">
        <w:rPr>
          <w:rFonts w:ascii="Times New Roman" w:eastAsia="Times New Roman" w:hAnsi="Times New Roman" w:cs="Times New Roman"/>
          <w:bCs/>
          <w:sz w:val="24"/>
          <w:szCs w:val="24"/>
        </w:rPr>
        <w:t>2002</w:t>
      </w:r>
      <w:r>
        <w:rPr>
          <w:rFonts w:ascii="Times New Roman" w:eastAsia="Times New Roman" w:hAnsi="Times New Roman" w:cs="Times New Roman"/>
          <w:bCs/>
          <w:sz w:val="24"/>
          <w:szCs w:val="24"/>
        </w:rPr>
        <w:t xml:space="preserve">. </w:t>
      </w:r>
      <w:r w:rsidRPr="007C6D27">
        <w:rPr>
          <w:rFonts w:ascii="Times New Roman" w:eastAsia="Times New Roman" w:hAnsi="Times New Roman" w:cs="Times New Roman"/>
          <w:bCs/>
          <w:sz w:val="24"/>
          <w:szCs w:val="24"/>
        </w:rPr>
        <w:t>http://www.who.int/water_sanitation_health/</w:t>
      </w:r>
    </w:p>
    <w:p w:rsidR="007C6D27" w:rsidRDefault="007C6D27"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ind w:left="450"/>
        <w:rPr>
          <w:rFonts w:ascii="Times New Roman" w:eastAsia="Times New Roman" w:hAnsi="Times New Roman" w:cs="Times New Roman"/>
          <w:bCs/>
          <w:sz w:val="24"/>
          <w:szCs w:val="24"/>
        </w:rPr>
      </w:pPr>
      <w:proofErr w:type="gramStart"/>
      <w:r w:rsidRPr="00075A36">
        <w:rPr>
          <w:rFonts w:ascii="Times New Roman" w:eastAsia="Times New Roman" w:hAnsi="Times New Roman" w:cs="Times New Roman"/>
          <w:bCs/>
          <w:sz w:val="24"/>
          <w:szCs w:val="24"/>
        </w:rPr>
        <w:t>hygiene/settings/millennium/en</w:t>
      </w:r>
      <w:proofErr w:type="gramEnd"/>
      <w:r w:rsidRPr="00075A36">
        <w:rPr>
          <w:rFonts w:ascii="Times New Roman" w:eastAsia="Times New Roman" w:hAnsi="Times New Roman" w:cs="Times New Roman"/>
          <w:bCs/>
          <w:sz w:val="24"/>
          <w:szCs w:val="24"/>
        </w:rPr>
        <w:t>/ (accessed November 20, 2014).</w:t>
      </w:r>
    </w:p>
    <w:p w:rsidR="007C6D27" w:rsidRDefault="007C6D27"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Cs/>
          <w:sz w:val="24"/>
          <w:szCs w:val="24"/>
        </w:rPr>
      </w:pPr>
    </w:p>
    <w:p w:rsidR="007C6D27" w:rsidRDefault="007C6D27"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Cs/>
          <w:sz w:val="24"/>
          <w:szCs w:val="24"/>
        </w:rPr>
      </w:pPr>
      <w:proofErr w:type="gramStart"/>
      <w:r w:rsidRPr="006457A3">
        <w:rPr>
          <w:rFonts w:ascii="Times New Roman" w:eastAsia="Times New Roman" w:hAnsi="Times New Roman" w:cs="Times New Roman"/>
          <w:bCs/>
          <w:sz w:val="24"/>
          <w:szCs w:val="24"/>
        </w:rPr>
        <w:t>World Health Organization</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w:t>
      </w:r>
      <w:proofErr w:type="gramStart"/>
      <w:r w:rsidRPr="006457A3">
        <w:rPr>
          <w:rFonts w:ascii="Times New Roman" w:eastAsia="Times New Roman" w:hAnsi="Times New Roman" w:cs="Times New Roman"/>
          <w:bCs/>
          <w:sz w:val="24"/>
          <w:szCs w:val="24"/>
        </w:rPr>
        <w:t>“Glo</w:t>
      </w:r>
      <w:r>
        <w:rPr>
          <w:rFonts w:ascii="Times New Roman" w:eastAsia="Times New Roman" w:hAnsi="Times New Roman" w:cs="Times New Roman"/>
          <w:bCs/>
          <w:sz w:val="24"/>
          <w:szCs w:val="24"/>
        </w:rPr>
        <w:t>bal Database on Body Mass Index.</w:t>
      </w:r>
      <w:r w:rsidRPr="006457A3">
        <w:rPr>
          <w:rFonts w:ascii="Times New Roman" w:eastAsia="Times New Roman" w:hAnsi="Times New Roman" w:cs="Times New Roman"/>
          <w:bCs/>
          <w:sz w:val="24"/>
          <w:szCs w:val="24"/>
        </w:rPr>
        <w:t>”</w:t>
      </w:r>
      <w:proofErr w:type="gramEnd"/>
      <w:r w:rsidRPr="006457A3">
        <w:rPr>
          <w:rFonts w:ascii="Times New Roman" w:eastAsia="Times New Roman" w:hAnsi="Times New Roman" w:cs="Times New Roman"/>
          <w:bCs/>
          <w:sz w:val="24"/>
          <w:szCs w:val="24"/>
        </w:rPr>
        <w:t xml:space="preserve"> </w:t>
      </w:r>
      <w:proofErr w:type="gramStart"/>
      <w:r w:rsidRPr="006457A3">
        <w:rPr>
          <w:rFonts w:ascii="Times New Roman" w:eastAsia="Times New Roman" w:hAnsi="Times New Roman" w:cs="Times New Roman"/>
          <w:bCs/>
          <w:sz w:val="24"/>
          <w:szCs w:val="24"/>
        </w:rPr>
        <w:t>Detailed Country Data</w:t>
      </w:r>
      <w:r>
        <w:rPr>
          <w:rFonts w:ascii="Times New Roman" w:eastAsia="Times New Roman" w:hAnsi="Times New Roman" w:cs="Times New Roman"/>
          <w:bCs/>
          <w:sz w:val="24"/>
          <w:szCs w:val="24"/>
        </w:rPr>
        <w:t>.</w:t>
      </w:r>
      <w:proofErr w:type="gramEnd"/>
      <w:r w:rsidRPr="006457A3">
        <w:rPr>
          <w:rFonts w:ascii="Times New Roman" w:eastAsia="Times New Roman" w:hAnsi="Times New Roman" w:cs="Times New Roman"/>
          <w:bCs/>
          <w:sz w:val="24"/>
          <w:szCs w:val="24"/>
        </w:rPr>
        <w:t xml:space="preserve"> </w:t>
      </w:r>
    </w:p>
    <w:p w:rsidR="007C6D27" w:rsidRPr="006457A3" w:rsidRDefault="007C6D27" w:rsidP="007C6D27">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6457A3">
        <w:rPr>
          <w:rFonts w:ascii="Times New Roman" w:eastAsia="Times New Roman" w:hAnsi="Times New Roman" w:cs="Times New Roman"/>
          <w:bCs/>
          <w:sz w:val="24"/>
          <w:szCs w:val="24"/>
        </w:rPr>
        <w:t>2014</w:t>
      </w:r>
      <w:r>
        <w:rPr>
          <w:rFonts w:ascii="Times New Roman" w:eastAsia="Times New Roman" w:hAnsi="Times New Roman" w:cs="Times New Roman"/>
          <w:bCs/>
          <w:sz w:val="24"/>
          <w:szCs w:val="24"/>
        </w:rPr>
        <w:t>.</w:t>
      </w:r>
      <w:r w:rsidRPr="006457A3">
        <w:rPr>
          <w:rFonts w:ascii="Times New Roman" w:eastAsia="Times New Roman" w:hAnsi="Times New Roman" w:cs="Times New Roman"/>
          <w:bCs/>
          <w:sz w:val="24"/>
          <w:szCs w:val="24"/>
        </w:rPr>
        <w:t xml:space="preserve"> http://apps.who.int/bmi/index.jsp (accessed November 24, 2014).</w:t>
      </w:r>
    </w:p>
    <w:p w:rsidR="007C6D27" w:rsidRDefault="007C6D27" w:rsidP="00F27FB2">
      <w:pPr>
        <w:spacing w:after="0" w:line="240" w:lineRule="auto"/>
        <w:rPr>
          <w:rFonts w:asciiTheme="majorBidi" w:hAnsiTheme="majorBidi" w:cstheme="majorBidi"/>
          <w:sz w:val="24"/>
          <w:szCs w:val="24"/>
        </w:rPr>
      </w:pPr>
    </w:p>
    <w:p w:rsidR="00F27FB2" w:rsidRDefault="00F27FB2" w:rsidP="00F27FB2">
      <w:pPr>
        <w:spacing w:after="0" w:line="240" w:lineRule="auto"/>
        <w:rPr>
          <w:rFonts w:asciiTheme="majorBidi" w:hAnsiTheme="majorBidi" w:cstheme="majorBidi"/>
          <w:sz w:val="24"/>
          <w:szCs w:val="24"/>
        </w:rPr>
      </w:pPr>
      <w:r w:rsidRPr="00F27FB2">
        <w:rPr>
          <w:rFonts w:asciiTheme="majorBidi" w:hAnsiTheme="majorBidi" w:cstheme="majorBidi"/>
          <w:sz w:val="24"/>
          <w:szCs w:val="24"/>
        </w:rPr>
        <w:t>Wright,</w:t>
      </w:r>
      <w:r>
        <w:rPr>
          <w:rFonts w:asciiTheme="majorBidi" w:hAnsiTheme="majorBidi" w:cstheme="majorBidi"/>
          <w:sz w:val="24"/>
          <w:szCs w:val="24"/>
        </w:rPr>
        <w:t xml:space="preserve"> </w:t>
      </w:r>
      <w:r w:rsidRPr="00F27FB2">
        <w:rPr>
          <w:rFonts w:asciiTheme="majorBidi" w:hAnsiTheme="majorBidi" w:cstheme="majorBidi"/>
          <w:sz w:val="24"/>
          <w:szCs w:val="24"/>
        </w:rPr>
        <w:t>J</w:t>
      </w:r>
      <w:r>
        <w:rPr>
          <w:rFonts w:asciiTheme="majorBidi" w:hAnsiTheme="majorBidi" w:cstheme="majorBidi"/>
          <w:sz w:val="24"/>
          <w:szCs w:val="24"/>
        </w:rPr>
        <w:t>ose</w:t>
      </w:r>
      <w:r w:rsidRPr="00F27FB2">
        <w:rPr>
          <w:rFonts w:asciiTheme="majorBidi" w:hAnsiTheme="majorBidi" w:cstheme="majorBidi"/>
          <w:sz w:val="24"/>
          <w:szCs w:val="24"/>
        </w:rPr>
        <w:t>ph</w:t>
      </w:r>
      <w:r>
        <w:rPr>
          <w:rFonts w:asciiTheme="majorBidi" w:hAnsiTheme="majorBidi" w:cstheme="majorBidi"/>
          <w:sz w:val="24"/>
          <w:szCs w:val="24"/>
        </w:rPr>
        <w:t>.</w:t>
      </w:r>
      <w:r w:rsidRPr="00F27FB2">
        <w:rPr>
          <w:rFonts w:asciiTheme="majorBidi" w:hAnsiTheme="majorBidi" w:cstheme="majorBidi"/>
          <w:sz w:val="24"/>
          <w:szCs w:val="24"/>
        </w:rPr>
        <w:t xml:space="preserve"> “Exit </w:t>
      </w:r>
      <w:proofErr w:type="gramStart"/>
      <w:r w:rsidRPr="00F27FB2">
        <w:rPr>
          <w:rFonts w:asciiTheme="majorBidi" w:hAnsiTheme="majorBidi" w:cstheme="majorBidi"/>
          <w:sz w:val="24"/>
          <w:szCs w:val="24"/>
        </w:rPr>
        <w:t>During</w:t>
      </w:r>
      <w:proofErr w:type="gramEnd"/>
      <w:r w:rsidRPr="00F27FB2">
        <w:rPr>
          <w:rFonts w:asciiTheme="majorBidi" w:hAnsiTheme="majorBidi" w:cstheme="majorBidi"/>
          <w:sz w:val="24"/>
          <w:szCs w:val="24"/>
        </w:rPr>
        <w:t xml:space="preserve"> Crisis: How Openness, Migration, and Economic Crisis Affect </w:t>
      </w:r>
    </w:p>
    <w:p w:rsidR="00F27FB2" w:rsidRDefault="005A4AB2" w:rsidP="00F27FB2">
      <w:pPr>
        <w:spacing w:after="0" w:line="240" w:lineRule="auto"/>
        <w:ind w:left="720"/>
        <w:rPr>
          <w:rFonts w:asciiTheme="majorBidi" w:hAnsiTheme="majorBidi" w:cstheme="majorBidi"/>
          <w:sz w:val="24"/>
          <w:szCs w:val="24"/>
        </w:rPr>
      </w:pPr>
      <w:proofErr w:type="gramStart"/>
      <w:r>
        <w:rPr>
          <w:rFonts w:asciiTheme="majorBidi" w:hAnsiTheme="majorBidi" w:cstheme="majorBidi"/>
          <w:sz w:val="24"/>
          <w:szCs w:val="24"/>
        </w:rPr>
        <w:t>Democratization.</w:t>
      </w:r>
      <w:r w:rsidR="00F27FB2" w:rsidRPr="00F27FB2">
        <w:rPr>
          <w:rFonts w:asciiTheme="majorBidi" w:hAnsiTheme="majorBidi" w:cstheme="majorBidi"/>
          <w:sz w:val="24"/>
          <w:szCs w:val="24"/>
        </w:rPr>
        <w:t>”</w:t>
      </w:r>
      <w:proofErr w:type="gramEnd"/>
      <w:r w:rsidR="00F27FB2">
        <w:rPr>
          <w:rFonts w:asciiTheme="majorBidi" w:hAnsiTheme="majorBidi" w:cstheme="majorBidi"/>
          <w:sz w:val="24"/>
          <w:szCs w:val="24"/>
        </w:rPr>
        <w:t xml:space="preserve"> Kellogg Institute. May 2010. </w:t>
      </w:r>
      <w:r w:rsidR="00F27FB2" w:rsidRPr="00F27FB2">
        <w:rPr>
          <w:rFonts w:asciiTheme="majorBidi" w:hAnsiTheme="majorBidi" w:cstheme="majorBidi"/>
          <w:sz w:val="24"/>
          <w:szCs w:val="24"/>
        </w:rPr>
        <w:t>https://kellogg.nd.edu/publications/</w:t>
      </w:r>
    </w:p>
    <w:p w:rsidR="00F27FB2" w:rsidRPr="00F27FB2" w:rsidRDefault="00F27FB2" w:rsidP="0070496F">
      <w:pPr>
        <w:spacing w:after="0" w:line="240" w:lineRule="auto"/>
        <w:ind w:left="720"/>
        <w:rPr>
          <w:rFonts w:asciiTheme="majorBidi" w:hAnsiTheme="majorBidi" w:cstheme="majorBidi"/>
          <w:sz w:val="24"/>
          <w:szCs w:val="24"/>
        </w:rPr>
      </w:pPr>
      <w:proofErr w:type="spellStart"/>
      <w:r w:rsidRPr="00F27FB2">
        <w:rPr>
          <w:rFonts w:asciiTheme="majorBidi" w:hAnsiTheme="majorBidi" w:cstheme="majorBidi"/>
          <w:sz w:val="24"/>
          <w:szCs w:val="24"/>
        </w:rPr>
        <w:t>workingpapers</w:t>
      </w:r>
      <w:proofErr w:type="spellEnd"/>
      <w:r w:rsidRPr="00F27FB2">
        <w:rPr>
          <w:rFonts w:asciiTheme="majorBidi" w:hAnsiTheme="majorBidi" w:cstheme="majorBidi"/>
          <w:sz w:val="24"/>
          <w:szCs w:val="24"/>
        </w:rPr>
        <w:t>/WPS/367.pdf (accessed March 15, 2015).</w:t>
      </w:r>
    </w:p>
    <w:sectPr w:rsidR="00F27FB2" w:rsidRPr="00F27FB2" w:rsidSect="0057049D">
      <w:headerReference w:type="default" r:id="rId3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B3B" w:rsidRDefault="000E1B3B" w:rsidP="00FC3A4B">
      <w:pPr>
        <w:spacing w:after="0" w:line="240" w:lineRule="auto"/>
      </w:pPr>
      <w:r>
        <w:separator/>
      </w:r>
    </w:p>
  </w:endnote>
  <w:endnote w:type="continuationSeparator" w:id="0">
    <w:p w:rsidR="000E1B3B" w:rsidRDefault="000E1B3B" w:rsidP="00FC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B3B" w:rsidRDefault="000E1B3B" w:rsidP="00FC3A4B">
      <w:pPr>
        <w:spacing w:after="0" w:line="240" w:lineRule="auto"/>
      </w:pPr>
      <w:r>
        <w:separator/>
      </w:r>
    </w:p>
  </w:footnote>
  <w:footnote w:type="continuationSeparator" w:id="0">
    <w:p w:rsidR="000E1B3B" w:rsidRDefault="000E1B3B" w:rsidP="00FC3A4B">
      <w:pPr>
        <w:spacing w:after="0" w:line="240" w:lineRule="auto"/>
      </w:pPr>
      <w:r>
        <w:continuationSeparator/>
      </w:r>
    </w:p>
  </w:footnote>
  <w:footnote w:id="1">
    <w:p w:rsidR="0057060B" w:rsidRPr="008E0E87" w:rsidRDefault="0057060B">
      <w:pPr>
        <w:pStyle w:val="FootnoteText"/>
        <w:rPr>
          <w:rFonts w:asciiTheme="majorBidi" w:hAnsiTheme="majorBidi" w:cstheme="majorBidi"/>
        </w:rPr>
      </w:pPr>
      <w:r w:rsidRPr="008E0E87">
        <w:rPr>
          <w:rStyle w:val="FootnoteReference"/>
          <w:rFonts w:asciiTheme="majorBidi" w:hAnsiTheme="majorBidi" w:cstheme="majorBidi"/>
        </w:rPr>
        <w:footnoteRef/>
      </w:r>
      <w:r w:rsidRPr="008E0E87">
        <w:rPr>
          <w:rFonts w:asciiTheme="majorBidi" w:hAnsiTheme="majorBidi" w:cstheme="majorBidi"/>
        </w:rPr>
        <w:t xml:space="preserve"> Joseph </w:t>
      </w:r>
      <w:proofErr w:type="spellStart"/>
      <w:r w:rsidRPr="008E0E87">
        <w:rPr>
          <w:rFonts w:asciiTheme="majorBidi" w:hAnsiTheme="majorBidi" w:cstheme="majorBidi"/>
        </w:rPr>
        <w:t>Kechichian</w:t>
      </w:r>
      <w:proofErr w:type="spellEnd"/>
      <w:r w:rsidRPr="008E0E87">
        <w:rPr>
          <w:rFonts w:asciiTheme="majorBidi" w:hAnsiTheme="majorBidi" w:cstheme="majorBidi"/>
        </w:rPr>
        <w:t xml:space="preserve">, </w:t>
      </w:r>
      <w:r w:rsidRPr="008E0E87">
        <w:rPr>
          <w:rFonts w:asciiTheme="majorBidi" w:hAnsiTheme="majorBidi" w:cstheme="majorBidi"/>
          <w:i/>
          <w:iCs/>
        </w:rPr>
        <w:t xml:space="preserve">Oman and the World </w:t>
      </w:r>
      <w:r w:rsidRPr="008E0E87">
        <w:rPr>
          <w:rFonts w:asciiTheme="majorBidi" w:hAnsiTheme="majorBidi" w:cstheme="majorBidi"/>
        </w:rPr>
        <w:t>(California, RAND, 1995), Chapter 9.</w:t>
      </w:r>
    </w:p>
  </w:footnote>
  <w:footnote w:id="2">
    <w:p w:rsidR="0057060B" w:rsidRPr="008E0E87" w:rsidRDefault="0057060B">
      <w:pPr>
        <w:pStyle w:val="FootnoteText"/>
        <w:rPr>
          <w:rFonts w:asciiTheme="majorBidi" w:hAnsiTheme="majorBidi" w:cstheme="majorBidi"/>
        </w:rPr>
      </w:pPr>
      <w:r w:rsidRPr="008E0E87">
        <w:rPr>
          <w:rStyle w:val="FootnoteReference"/>
          <w:rFonts w:asciiTheme="majorBidi" w:hAnsiTheme="majorBidi" w:cstheme="majorBidi"/>
        </w:rPr>
        <w:footnoteRef/>
      </w:r>
      <w:r w:rsidRPr="008E0E87">
        <w:rPr>
          <w:rFonts w:asciiTheme="majorBidi" w:hAnsiTheme="majorBidi" w:cstheme="majorBidi"/>
        </w:rPr>
        <w:t xml:space="preserve"> GRM International, “Phase 1 Report: Study to Develop Food Security Strategy and Master Plan for the Sultanate of Oman,” </w:t>
      </w:r>
      <w:r w:rsidRPr="008E0E87">
        <w:rPr>
          <w:rFonts w:asciiTheme="majorBidi" w:hAnsiTheme="majorBidi" w:cstheme="majorBidi"/>
          <w:i/>
          <w:iCs/>
        </w:rPr>
        <w:t>Sultanate of Oman’s Authority for Stores and Food Reserve</w:t>
      </w:r>
      <w:r w:rsidRPr="008E0E87">
        <w:rPr>
          <w:rFonts w:asciiTheme="majorBidi" w:hAnsiTheme="majorBidi" w:cstheme="majorBidi"/>
        </w:rPr>
        <w:t xml:space="preserve"> (2010): 11.</w:t>
      </w:r>
    </w:p>
  </w:footnote>
  <w:footnote w:id="3">
    <w:p w:rsidR="0057060B" w:rsidRPr="008E0E87" w:rsidRDefault="0057060B" w:rsidP="00DA47A6">
      <w:pPr>
        <w:pStyle w:val="FootnoteText"/>
        <w:rPr>
          <w:rFonts w:asciiTheme="majorBidi" w:hAnsiTheme="majorBidi" w:cstheme="majorBidi"/>
        </w:rPr>
      </w:pPr>
      <w:r w:rsidRPr="008E0E87">
        <w:rPr>
          <w:rStyle w:val="FootnoteReference"/>
          <w:rFonts w:asciiTheme="majorBidi" w:hAnsiTheme="majorBidi" w:cstheme="majorBidi"/>
        </w:rPr>
        <w:footnoteRef/>
      </w:r>
      <w:r w:rsidRPr="008E0E87">
        <w:rPr>
          <w:rFonts w:asciiTheme="majorBidi" w:hAnsiTheme="majorBidi" w:cstheme="majorBidi"/>
        </w:rPr>
        <w:t xml:space="preserve"> </w:t>
      </w:r>
      <w:proofErr w:type="gramStart"/>
      <w:r w:rsidRPr="008E0E87">
        <w:rPr>
          <w:rFonts w:asciiTheme="majorBidi" w:hAnsiTheme="majorBidi" w:cstheme="majorBidi"/>
        </w:rPr>
        <w:t>The World Bank, “Oil Rents,” The World Bank Development Indicators,</w:t>
      </w:r>
      <w:r>
        <w:rPr>
          <w:rFonts w:asciiTheme="majorBidi" w:hAnsiTheme="majorBidi" w:cstheme="majorBidi"/>
        </w:rPr>
        <w:t xml:space="preserve"> 2015,</w:t>
      </w:r>
      <w:r w:rsidRPr="008E0E87">
        <w:rPr>
          <w:rFonts w:asciiTheme="majorBidi" w:hAnsiTheme="majorBidi" w:cstheme="majorBidi"/>
        </w:rPr>
        <w:t xml:space="preserve"> http://data.worldbank.org/indicator/NY.GDP.PETR.RT.ZS (accessed November 20, 2014).</w:t>
      </w:r>
      <w:proofErr w:type="gramEnd"/>
    </w:p>
  </w:footnote>
  <w:footnote w:id="4">
    <w:p w:rsidR="0057060B" w:rsidRPr="008E0E87" w:rsidRDefault="0057060B" w:rsidP="00F06F4D">
      <w:pPr>
        <w:pStyle w:val="FootnoteText"/>
        <w:rPr>
          <w:rFonts w:asciiTheme="majorBidi" w:hAnsiTheme="majorBidi" w:cstheme="majorBidi"/>
        </w:rPr>
      </w:pPr>
      <w:r w:rsidRPr="008E0E87">
        <w:rPr>
          <w:rStyle w:val="FootnoteReference"/>
          <w:rFonts w:asciiTheme="majorBidi" w:hAnsiTheme="majorBidi" w:cstheme="majorBidi"/>
        </w:rPr>
        <w:footnoteRef/>
      </w:r>
      <w:r w:rsidRPr="008E0E87">
        <w:rPr>
          <w:rFonts w:asciiTheme="majorBidi" w:hAnsiTheme="majorBidi" w:cstheme="majorBidi"/>
        </w:rPr>
        <w:t xml:space="preserve"> Ibid.</w:t>
      </w:r>
    </w:p>
  </w:footnote>
  <w:footnote w:id="5">
    <w:p w:rsidR="0057060B" w:rsidRPr="008E0E87" w:rsidRDefault="0057060B" w:rsidP="008E0E87">
      <w:pPr>
        <w:pStyle w:val="FootnoteText"/>
        <w:rPr>
          <w:rFonts w:asciiTheme="majorBidi" w:hAnsiTheme="majorBidi" w:cstheme="majorBidi"/>
        </w:rPr>
      </w:pPr>
      <w:r w:rsidRPr="008E0E87">
        <w:rPr>
          <w:rStyle w:val="FootnoteReference"/>
          <w:rFonts w:asciiTheme="majorBidi" w:hAnsiTheme="majorBidi" w:cstheme="majorBidi"/>
        </w:rPr>
        <w:footnoteRef/>
      </w:r>
      <w:proofErr w:type="spellStart"/>
      <w:r w:rsidRPr="008E0E87">
        <w:rPr>
          <w:rFonts w:asciiTheme="majorBidi" w:hAnsiTheme="majorBidi" w:cstheme="majorBidi"/>
        </w:rPr>
        <w:t>Hazem</w:t>
      </w:r>
      <w:proofErr w:type="spellEnd"/>
      <w:r w:rsidRPr="008E0E87">
        <w:rPr>
          <w:rFonts w:asciiTheme="majorBidi" w:hAnsiTheme="majorBidi" w:cstheme="majorBidi"/>
        </w:rPr>
        <w:t xml:space="preserve"> </w:t>
      </w:r>
      <w:proofErr w:type="spellStart"/>
      <w:r w:rsidRPr="008E0E87">
        <w:rPr>
          <w:rFonts w:asciiTheme="majorBidi" w:hAnsiTheme="majorBidi" w:cstheme="majorBidi"/>
        </w:rPr>
        <w:t>Beblawi</w:t>
      </w:r>
      <w:proofErr w:type="spellEnd"/>
      <w:r w:rsidRPr="008E0E87">
        <w:rPr>
          <w:rFonts w:asciiTheme="majorBidi" w:hAnsiTheme="majorBidi" w:cstheme="majorBidi"/>
        </w:rPr>
        <w:t xml:space="preserve">, “The </w:t>
      </w:r>
      <w:proofErr w:type="spellStart"/>
      <w:r w:rsidRPr="008E0E87">
        <w:rPr>
          <w:rFonts w:asciiTheme="majorBidi" w:hAnsiTheme="majorBidi" w:cstheme="majorBidi"/>
        </w:rPr>
        <w:t>Rentier</w:t>
      </w:r>
      <w:proofErr w:type="spellEnd"/>
      <w:r w:rsidRPr="008E0E87">
        <w:rPr>
          <w:rFonts w:asciiTheme="majorBidi" w:hAnsiTheme="majorBidi" w:cstheme="majorBidi"/>
        </w:rPr>
        <w:t xml:space="preserve"> State in the Arab World,” </w:t>
      </w:r>
      <w:r w:rsidRPr="008E0E87">
        <w:rPr>
          <w:rFonts w:asciiTheme="majorBidi" w:hAnsiTheme="majorBidi" w:cstheme="majorBidi"/>
          <w:i/>
          <w:iCs/>
        </w:rPr>
        <w:t xml:space="preserve">Arab Studies Quarterly </w:t>
      </w:r>
      <w:r w:rsidRPr="008E0E87">
        <w:rPr>
          <w:rFonts w:asciiTheme="majorBidi" w:hAnsiTheme="majorBidi" w:cstheme="majorBidi"/>
        </w:rPr>
        <w:t xml:space="preserve">Vol. 9, No. 4 (Fall 1987), 383 </w:t>
      </w:r>
    </w:p>
  </w:footnote>
  <w:footnote w:id="6">
    <w:p w:rsidR="0057060B" w:rsidRPr="00DC4D6A" w:rsidRDefault="0057060B" w:rsidP="00741892">
      <w:pPr>
        <w:pStyle w:val="FootnoteText"/>
        <w:rPr>
          <w:rFonts w:asciiTheme="majorBidi" w:hAnsiTheme="majorBidi" w:cstheme="majorBidi"/>
        </w:rPr>
      </w:pPr>
      <w:r w:rsidRPr="008E0E87">
        <w:rPr>
          <w:rStyle w:val="FootnoteReference"/>
          <w:rFonts w:asciiTheme="majorBidi" w:hAnsiTheme="majorBidi" w:cstheme="majorBidi"/>
        </w:rPr>
        <w:footnoteRef/>
      </w:r>
      <w:r w:rsidRPr="00DC4D6A">
        <w:rPr>
          <w:rFonts w:asciiTheme="majorBidi" w:hAnsiTheme="majorBidi" w:cstheme="majorBidi"/>
        </w:rPr>
        <w:t xml:space="preserve"> Joseph Wright, “Exit </w:t>
      </w:r>
      <w:proofErr w:type="gramStart"/>
      <w:r w:rsidRPr="00DC4D6A">
        <w:rPr>
          <w:rFonts w:asciiTheme="majorBidi" w:hAnsiTheme="majorBidi" w:cstheme="majorBidi"/>
        </w:rPr>
        <w:t>During</w:t>
      </w:r>
      <w:proofErr w:type="gramEnd"/>
      <w:r w:rsidRPr="00DC4D6A">
        <w:rPr>
          <w:rFonts w:asciiTheme="majorBidi" w:hAnsiTheme="majorBidi" w:cstheme="majorBidi"/>
        </w:rPr>
        <w:t xml:space="preserve"> Crisis: How Openness, Migration, and Economic Crisis Affect Democratization,” Kellogg Institute, May 2010, https://kellogg.nd.edu/publications/workingpapers/WPS/367.pdf (accessed March 15, 2015).</w:t>
      </w:r>
    </w:p>
  </w:footnote>
  <w:footnote w:id="7">
    <w:p w:rsidR="0057060B" w:rsidRPr="00DC4D6A" w:rsidRDefault="0057060B" w:rsidP="00D8668E">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U.S. Energy Information Administration, “Oman,” Independent Statistics &amp; Analysis, October 10, 2013, http://www.eia.gov/countries/country-data.cfm?fips=MU#pet</w:t>
      </w:r>
      <w:r w:rsidRPr="00DC4D6A">
        <w:rPr>
          <w:rStyle w:val="Hyperlink"/>
          <w:rFonts w:asciiTheme="majorBidi" w:hAnsiTheme="majorBidi" w:cstheme="majorBidi"/>
          <w:color w:val="auto"/>
          <w:u w:val="none"/>
        </w:rPr>
        <w:t xml:space="preserve"> (accessed November 19, 2014)</w:t>
      </w:r>
    </w:p>
  </w:footnote>
  <w:footnote w:id="8">
    <w:p w:rsidR="0057060B" w:rsidRPr="00DC4D6A" w:rsidRDefault="0057060B" w:rsidP="00F27FB2">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w:t>
      </w:r>
      <w:proofErr w:type="spellStart"/>
      <w:r w:rsidRPr="00DC4D6A">
        <w:rPr>
          <w:rFonts w:asciiTheme="majorBidi" w:hAnsiTheme="majorBidi" w:cstheme="majorBidi"/>
        </w:rPr>
        <w:t>NationMaster</w:t>
      </w:r>
      <w:proofErr w:type="spellEnd"/>
      <w:r w:rsidRPr="00DC4D6A">
        <w:rPr>
          <w:rFonts w:asciiTheme="majorBidi" w:hAnsiTheme="majorBidi" w:cstheme="majorBidi"/>
        </w:rPr>
        <w:t>, “Oil Production per Capita: Countries Compared,” 2007, http://www.nationmaster.com/country-info/stats/Energy/Oil/Production/Per-capita (accessed March 12, 2015)</w:t>
      </w:r>
    </w:p>
    <w:p w:rsidR="0057060B" w:rsidRPr="00DC4D6A" w:rsidRDefault="0057060B">
      <w:pPr>
        <w:pStyle w:val="FootnoteText"/>
        <w:rPr>
          <w:rFonts w:asciiTheme="majorBidi" w:hAnsiTheme="majorBidi" w:cstheme="majorBidi"/>
        </w:rPr>
      </w:pPr>
    </w:p>
  </w:footnote>
  <w:footnote w:id="9">
    <w:p w:rsidR="0057060B" w:rsidRPr="00DC4D6A" w:rsidRDefault="0057060B">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John </w:t>
      </w:r>
      <w:proofErr w:type="spellStart"/>
      <w:r w:rsidRPr="00DC4D6A">
        <w:rPr>
          <w:rFonts w:asciiTheme="majorBidi" w:hAnsiTheme="majorBidi" w:cstheme="majorBidi"/>
        </w:rPr>
        <w:t>Hartwick</w:t>
      </w:r>
      <w:proofErr w:type="spellEnd"/>
      <w:r w:rsidRPr="00DC4D6A">
        <w:rPr>
          <w:rFonts w:asciiTheme="majorBidi" w:hAnsiTheme="majorBidi" w:cstheme="majorBidi"/>
        </w:rPr>
        <w:t>, “Oil Rents, Infrastructure Investment and Sustainable Development,” Center of Economic Research at ETH Zurich, 2010, http://www.cer.ethz.ch/sured_2010/keynote_lectures/SURED-10_Keynotes_Hartwick.pdf (accessed March 9, 2015)</w:t>
      </w:r>
    </w:p>
  </w:footnote>
  <w:footnote w:id="10">
    <w:p w:rsidR="0057060B" w:rsidRPr="00DC4D6A" w:rsidRDefault="0057060B">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“GDP and Trade Growth,” </w:t>
      </w:r>
      <w:r w:rsidRPr="00DC4D6A">
        <w:rPr>
          <w:rFonts w:asciiTheme="majorBidi" w:hAnsiTheme="majorBidi" w:cstheme="majorBidi"/>
          <w:i/>
          <w:iCs/>
        </w:rPr>
        <w:t xml:space="preserve">The Economist, </w:t>
      </w:r>
      <w:r w:rsidRPr="00DC4D6A">
        <w:rPr>
          <w:rFonts w:asciiTheme="majorBidi" w:hAnsiTheme="majorBidi" w:cstheme="majorBidi"/>
        </w:rPr>
        <w:t>May 26, 2011, http://www.economist.com/node/18744587 (accessed February 20, 2015)</w:t>
      </w:r>
    </w:p>
  </w:footnote>
  <w:footnote w:id="11">
    <w:p w:rsidR="0057060B" w:rsidRPr="00DC4D6A" w:rsidRDefault="0057060B" w:rsidP="008D15D9">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The World Bank, “Oman: Data,” The World Bank Development Indicators, </w:t>
      </w:r>
      <w:r>
        <w:rPr>
          <w:rFonts w:asciiTheme="majorBidi" w:hAnsiTheme="majorBidi" w:cstheme="majorBidi"/>
        </w:rPr>
        <w:t xml:space="preserve">2015, </w:t>
      </w:r>
      <w:r w:rsidRPr="00DC4D6A">
        <w:rPr>
          <w:rFonts w:asciiTheme="majorBidi" w:hAnsiTheme="majorBidi" w:cstheme="majorBidi"/>
        </w:rPr>
        <w:t>http://data.worldbank.org/country/oman (accessed November 29, 2013)</w:t>
      </w:r>
    </w:p>
  </w:footnote>
  <w:footnote w:id="12">
    <w:p w:rsidR="0057060B" w:rsidRPr="00DC4D6A" w:rsidRDefault="0057060B" w:rsidP="00582F4B">
      <w:pPr>
        <w:widowControl w:val="0"/>
        <w:tabs>
          <w:tab w:val="left" w:pos="-1022"/>
          <w:tab w:val="left" w:pos="-720"/>
          <w:tab w:val="left" w:pos="450"/>
          <w:tab w:val="left" w:pos="900"/>
          <w:tab w:val="left" w:pos="1350"/>
          <w:tab w:val="left" w:pos="1620"/>
          <w:tab w:val="left" w:pos="3600"/>
          <w:tab w:val="left" w:pos="459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rPr>
          <w:rFonts w:asciiTheme="majorBidi" w:eastAsia="Times New Roman" w:hAnsiTheme="majorBidi" w:cstheme="majorBidi"/>
          <w:sz w:val="20"/>
          <w:szCs w:val="20"/>
        </w:rPr>
      </w:pPr>
      <w:r w:rsidRPr="00DC4D6A">
        <w:rPr>
          <w:rStyle w:val="FootnoteReference"/>
          <w:rFonts w:asciiTheme="majorBidi" w:hAnsiTheme="majorBidi" w:cstheme="majorBidi"/>
          <w:sz w:val="20"/>
          <w:szCs w:val="20"/>
        </w:rPr>
        <w:footnoteRef/>
      </w:r>
      <w:r w:rsidRPr="00DC4D6A">
        <w:rPr>
          <w:rFonts w:asciiTheme="majorBidi" w:hAnsiTheme="majorBidi" w:cstheme="majorBidi"/>
          <w:sz w:val="20"/>
          <w:szCs w:val="20"/>
        </w:rPr>
        <w:t xml:space="preserve"> “The Global Market and Developing Nations,” Pearson Education, 2015, http://www.infoplease.com/cig/economics/production-income-classifications.html </w:t>
      </w:r>
      <w:r w:rsidRPr="00DC4D6A">
        <w:rPr>
          <w:rFonts w:asciiTheme="majorBidi" w:eastAsia="Times New Roman" w:hAnsiTheme="majorBidi" w:cstheme="majorBidi"/>
          <w:sz w:val="20"/>
          <w:szCs w:val="20"/>
        </w:rPr>
        <w:t>(accessed March 2, 2015)</w:t>
      </w:r>
    </w:p>
    <w:p w:rsidR="0057060B" w:rsidRPr="00DC4D6A" w:rsidRDefault="0057060B">
      <w:pPr>
        <w:pStyle w:val="FootnoteText"/>
        <w:rPr>
          <w:rFonts w:asciiTheme="majorBidi" w:hAnsiTheme="majorBidi" w:cstheme="majorBidi"/>
        </w:rPr>
      </w:pPr>
    </w:p>
  </w:footnote>
  <w:footnote w:id="13">
    <w:p w:rsidR="0057060B" w:rsidRPr="00DC4D6A" w:rsidRDefault="0057060B" w:rsidP="00D8668E">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U.S. Energy Information Administration, “Oman.”</w:t>
      </w:r>
    </w:p>
  </w:footnote>
  <w:footnote w:id="14">
    <w:p w:rsidR="0057060B" w:rsidRPr="00DC4D6A" w:rsidRDefault="0057060B" w:rsidP="00D8668E">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w:t>
      </w:r>
      <w:hyperlink r:id="rId1" w:anchor="pet" w:history="1">
        <w:r w:rsidRPr="00DC4D6A">
          <w:rPr>
            <w:rStyle w:val="Hyperlink"/>
            <w:rFonts w:asciiTheme="majorBidi" w:hAnsiTheme="majorBidi" w:cstheme="majorBidi"/>
            <w:color w:val="auto"/>
            <w:u w:val="none"/>
          </w:rPr>
          <w:t>Ibid.</w:t>
        </w:r>
      </w:hyperlink>
    </w:p>
  </w:footnote>
  <w:footnote w:id="15">
    <w:p w:rsidR="0057060B" w:rsidRPr="00DC4D6A" w:rsidRDefault="0057060B">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Ibid.</w:t>
      </w:r>
    </w:p>
  </w:footnote>
  <w:footnote w:id="16">
    <w:p w:rsidR="0057060B" w:rsidRPr="00DC4D6A" w:rsidRDefault="0057060B" w:rsidP="00D8668E">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w:t>
      </w:r>
      <w:proofErr w:type="gramStart"/>
      <w:r w:rsidRPr="00DC4D6A">
        <w:rPr>
          <w:rFonts w:asciiTheme="majorBidi" w:hAnsiTheme="majorBidi" w:cstheme="majorBidi"/>
        </w:rPr>
        <w:t>The World Bank, “Renewable Energy Desalination,” MENA Development Report, 2012, http://water.worldbank.org/sites/water.worldbank.org/files/publication/water-wpp-Sun-Powered-Desal-Gateway-Meeting-MENAs-Water-Needs_2.pdf (accessed November 18, 2014).</w:t>
      </w:r>
      <w:proofErr w:type="gramEnd"/>
    </w:p>
  </w:footnote>
  <w:footnote w:id="17">
    <w:p w:rsidR="0057060B" w:rsidRPr="00DC4D6A" w:rsidRDefault="0057060B" w:rsidP="00D8668E">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U.S. Energy Information Administration, “Oman.”</w:t>
      </w:r>
    </w:p>
  </w:footnote>
  <w:footnote w:id="18">
    <w:p w:rsidR="0057060B" w:rsidRPr="00DC4D6A" w:rsidRDefault="0057060B">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w:t>
      </w:r>
      <w:r>
        <w:rPr>
          <w:rFonts w:asciiTheme="majorBidi" w:hAnsiTheme="majorBidi" w:cstheme="majorBidi"/>
        </w:rPr>
        <w:t xml:space="preserve">The World </w:t>
      </w:r>
      <w:proofErr w:type="spellStart"/>
      <w:r>
        <w:rPr>
          <w:rFonts w:asciiTheme="majorBidi" w:hAnsiTheme="majorBidi" w:cstheme="majorBidi"/>
        </w:rPr>
        <w:t>Factbook</w:t>
      </w:r>
      <w:proofErr w:type="spellEnd"/>
      <w:r>
        <w:rPr>
          <w:rFonts w:asciiTheme="majorBidi" w:hAnsiTheme="majorBidi" w:cstheme="majorBidi"/>
        </w:rPr>
        <w:t xml:space="preserve">, “Country Comparison: Electricity-Installed </w:t>
      </w:r>
      <w:proofErr w:type="spellStart"/>
      <w:r>
        <w:rPr>
          <w:rFonts w:asciiTheme="majorBidi" w:hAnsiTheme="majorBidi" w:cstheme="majorBidi"/>
        </w:rPr>
        <w:t>Gereating</w:t>
      </w:r>
      <w:proofErr w:type="spellEnd"/>
      <w:r>
        <w:rPr>
          <w:rFonts w:asciiTheme="majorBidi" w:hAnsiTheme="majorBidi" w:cstheme="majorBidi"/>
        </w:rPr>
        <w:t xml:space="preserve"> </w:t>
      </w:r>
      <w:proofErr w:type="spellStart"/>
      <w:r>
        <w:rPr>
          <w:rFonts w:asciiTheme="majorBidi" w:hAnsiTheme="majorBidi" w:cstheme="majorBidi"/>
        </w:rPr>
        <w:t>Capactiy</w:t>
      </w:r>
      <w:proofErr w:type="spellEnd"/>
      <w:r>
        <w:rPr>
          <w:rFonts w:asciiTheme="majorBidi" w:hAnsiTheme="majorBidi" w:cstheme="majorBidi"/>
        </w:rPr>
        <w:t xml:space="preserve">,” Central Intelligence Agency, 2013, </w:t>
      </w:r>
      <w:r w:rsidRPr="00DC4D6A">
        <w:rPr>
          <w:rFonts w:asciiTheme="majorBidi" w:hAnsiTheme="majorBidi" w:cstheme="majorBidi"/>
        </w:rPr>
        <w:t>https://www.cia.gov/library/publications/the-world-factbook/rankorder/2236rank.html</w:t>
      </w:r>
      <w:r>
        <w:rPr>
          <w:rFonts w:asciiTheme="majorBidi" w:hAnsiTheme="majorBidi" w:cstheme="majorBidi"/>
        </w:rPr>
        <w:t xml:space="preserve"> (accessed March 3, 2015).</w:t>
      </w:r>
    </w:p>
  </w:footnote>
  <w:footnote w:id="19">
    <w:p w:rsidR="0057060B" w:rsidRPr="00DC4D6A" w:rsidRDefault="0057060B" w:rsidP="00D8668E">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w:t>
      </w:r>
      <w:proofErr w:type="gramStart"/>
      <w:r w:rsidRPr="00DC4D6A">
        <w:rPr>
          <w:rFonts w:asciiTheme="majorBidi" w:hAnsiTheme="majorBidi" w:cstheme="majorBidi"/>
        </w:rPr>
        <w:t>Food and Agriculture Organization A</w:t>
      </w:r>
      <w:r>
        <w:rPr>
          <w:rFonts w:asciiTheme="majorBidi" w:hAnsiTheme="majorBidi" w:cstheme="majorBidi"/>
        </w:rPr>
        <w:t>quaStat, “Oman,” AquaStat, 2008,</w:t>
      </w:r>
      <w:r w:rsidRPr="00DC4D6A">
        <w:rPr>
          <w:rFonts w:asciiTheme="majorBidi" w:hAnsiTheme="majorBidi" w:cstheme="majorBidi"/>
        </w:rPr>
        <w:t xml:space="preserve"> http://www.fao.org/nr/water/aquastat/countries_regions/oman/index.stm (accessed November 30, 2014).</w:t>
      </w:r>
      <w:proofErr w:type="gramEnd"/>
    </w:p>
  </w:footnote>
  <w:footnote w:id="20">
    <w:p w:rsidR="0057060B" w:rsidRPr="00DC4D6A" w:rsidRDefault="0057060B" w:rsidP="00D8668E">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Economic and Social Commission for Western Asia, “ESCWA Water Development Report 3,” United Nations (2009): 12.</w:t>
      </w:r>
    </w:p>
  </w:footnote>
  <w:footnote w:id="21">
    <w:p w:rsidR="0057060B" w:rsidRPr="00DC4D6A" w:rsidRDefault="0057060B" w:rsidP="00D8668E">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Ibid.</w:t>
      </w:r>
    </w:p>
  </w:footnote>
  <w:footnote w:id="22">
    <w:p w:rsidR="0057060B" w:rsidRPr="00DC4D6A" w:rsidRDefault="0057060B" w:rsidP="00F13233">
      <w:pPr>
        <w:pStyle w:val="FootnoteText"/>
        <w:rPr>
          <w:rFonts w:asciiTheme="majorBidi" w:hAnsiTheme="majorBidi" w:cstheme="majorBidi"/>
        </w:rPr>
      </w:pPr>
      <w:r w:rsidRPr="00DC4D6A">
        <w:rPr>
          <w:rStyle w:val="FootnoteReference"/>
          <w:rFonts w:asciiTheme="majorBidi" w:hAnsiTheme="majorBidi" w:cstheme="majorBidi"/>
        </w:rPr>
        <w:footnoteRef/>
      </w:r>
      <w:r>
        <w:rPr>
          <w:rFonts w:asciiTheme="majorBidi" w:hAnsiTheme="majorBidi" w:cstheme="majorBidi"/>
        </w:rPr>
        <w:t xml:space="preserve">Veolia Water Technologies, “FAQ,” </w:t>
      </w:r>
      <w:proofErr w:type="spellStart"/>
      <w:r>
        <w:rPr>
          <w:rFonts w:asciiTheme="majorBidi" w:hAnsiTheme="majorBidi" w:cstheme="majorBidi"/>
        </w:rPr>
        <w:t>Sidem</w:t>
      </w:r>
      <w:proofErr w:type="spellEnd"/>
      <w:r>
        <w:rPr>
          <w:rFonts w:asciiTheme="majorBidi" w:hAnsiTheme="majorBidi" w:cstheme="majorBidi"/>
        </w:rPr>
        <w:t xml:space="preserve">, 2014, </w:t>
      </w:r>
      <w:r w:rsidRPr="00425880">
        <w:rPr>
          <w:rFonts w:asciiTheme="majorBidi" w:hAnsiTheme="majorBidi" w:cstheme="majorBidi"/>
        </w:rPr>
        <w:t>http://www.sidem-desalination.com/en/Process/FAQ/</w:t>
      </w:r>
      <w:r>
        <w:rPr>
          <w:rFonts w:asciiTheme="majorBidi" w:hAnsiTheme="majorBidi" w:cstheme="majorBidi"/>
        </w:rPr>
        <w:t xml:space="preserve"> (accessed March 8, 2015). </w:t>
      </w:r>
    </w:p>
  </w:footnote>
  <w:footnote w:id="23">
    <w:p w:rsidR="0057060B" w:rsidRPr="007C6D27" w:rsidRDefault="0057060B" w:rsidP="003B7911">
      <w:pPr>
        <w:pStyle w:val="FootnoteText"/>
        <w:rPr>
          <w:rFonts w:asciiTheme="majorBidi" w:hAnsiTheme="majorBidi" w:cstheme="majorBidi"/>
        </w:rPr>
      </w:pPr>
      <w:r w:rsidRPr="00DC4D6A">
        <w:rPr>
          <w:rStyle w:val="FootnoteReference"/>
          <w:rFonts w:asciiTheme="majorBidi" w:hAnsiTheme="majorBidi" w:cstheme="majorBidi"/>
        </w:rPr>
        <w:footnoteRef/>
      </w:r>
      <w:r w:rsidRPr="00DC4D6A">
        <w:rPr>
          <w:rFonts w:asciiTheme="majorBidi" w:hAnsiTheme="majorBidi" w:cstheme="majorBidi"/>
        </w:rPr>
        <w:t xml:space="preserve"> World Health Organization, “Environmental Impact on Health: Children in the New Millennium,” Water Sanitation Health, 2002, http://www.who.int/water_sanitation_health/hygiene/settings/millennium/en/ (accessed </w:t>
      </w:r>
      <w:r w:rsidRPr="007C6D27">
        <w:rPr>
          <w:rFonts w:asciiTheme="majorBidi" w:hAnsiTheme="majorBidi" w:cstheme="majorBidi"/>
        </w:rPr>
        <w:t>November 20, 2014).</w:t>
      </w:r>
    </w:p>
  </w:footnote>
  <w:footnote w:id="24">
    <w:p w:rsidR="0057060B" w:rsidRPr="007C6D27" w:rsidRDefault="0057060B" w:rsidP="003B7911">
      <w:pPr>
        <w:pStyle w:val="FootnoteText"/>
        <w:rPr>
          <w:rFonts w:asciiTheme="majorBidi" w:hAnsiTheme="majorBidi" w:cstheme="majorBidi"/>
        </w:rPr>
      </w:pPr>
      <w:r w:rsidRPr="007C6D27">
        <w:rPr>
          <w:rStyle w:val="FootnoteReference"/>
          <w:rFonts w:asciiTheme="majorBidi" w:hAnsiTheme="majorBidi" w:cstheme="majorBidi"/>
        </w:rPr>
        <w:footnoteRef/>
      </w:r>
      <w:r w:rsidRPr="007C6D27">
        <w:rPr>
          <w:rFonts w:asciiTheme="majorBidi" w:hAnsiTheme="majorBidi" w:cstheme="majorBidi"/>
        </w:rPr>
        <w:t>National Oceanic and Atmospheric Administration, “Climate at a Glance,” National Climatic Data Center, 2014, http://www.ncdc.noaa.gov/cag/time-series/</w:t>
      </w:r>
      <w:proofErr w:type="gramStart"/>
      <w:r w:rsidRPr="007C6D27">
        <w:rPr>
          <w:rFonts w:asciiTheme="majorBidi" w:hAnsiTheme="majorBidi" w:cstheme="majorBidi"/>
        </w:rPr>
        <w:t>global</w:t>
      </w:r>
      <w:r w:rsidRPr="007C6D27">
        <w:rPr>
          <w:rStyle w:val="Hyperlink"/>
          <w:rFonts w:asciiTheme="majorBidi" w:hAnsiTheme="majorBidi" w:cstheme="majorBidi"/>
          <w:color w:val="auto"/>
          <w:u w:val="none"/>
        </w:rPr>
        <w:t xml:space="preserve">  (</w:t>
      </w:r>
      <w:proofErr w:type="gramEnd"/>
      <w:r w:rsidRPr="007C6D27">
        <w:rPr>
          <w:rStyle w:val="Hyperlink"/>
          <w:rFonts w:asciiTheme="majorBidi" w:hAnsiTheme="majorBidi" w:cstheme="majorBidi"/>
          <w:color w:val="auto"/>
          <w:u w:val="none"/>
        </w:rPr>
        <w:t>accessed November 18, 2014).</w:t>
      </w:r>
    </w:p>
  </w:footnote>
  <w:footnote w:id="25">
    <w:p w:rsidR="0057060B" w:rsidRPr="007C6D27" w:rsidRDefault="0057060B" w:rsidP="003B7911">
      <w:pPr>
        <w:pStyle w:val="FootnoteText"/>
        <w:rPr>
          <w:rFonts w:asciiTheme="majorBidi" w:hAnsiTheme="majorBidi" w:cstheme="majorBidi"/>
        </w:rPr>
      </w:pPr>
      <w:r w:rsidRPr="007C6D27">
        <w:rPr>
          <w:rStyle w:val="FootnoteReference"/>
          <w:rFonts w:asciiTheme="majorBidi" w:hAnsiTheme="majorBidi" w:cstheme="majorBidi"/>
        </w:rPr>
        <w:footnoteRef/>
      </w:r>
      <w:r w:rsidRPr="007C6D27">
        <w:rPr>
          <w:rFonts w:asciiTheme="majorBidi" w:hAnsiTheme="majorBidi" w:cstheme="majorBidi"/>
        </w:rPr>
        <w:t xml:space="preserve"> </w:t>
      </w:r>
      <w:proofErr w:type="gramStart"/>
      <w:r w:rsidRPr="007C6D27">
        <w:rPr>
          <w:rFonts w:asciiTheme="majorBidi" w:hAnsiTheme="majorBidi" w:cstheme="majorBidi"/>
        </w:rPr>
        <w:t>Food and Agriculture Organization Global Agro-Ecological Zones, “GAEZ,” International Institute for Applied Systems Analysis, 2014, http://gaez.fao.org/Main.html#</w:t>
      </w:r>
      <w:r w:rsidRPr="007C6D27">
        <w:rPr>
          <w:rStyle w:val="Hyperlink"/>
          <w:rFonts w:asciiTheme="majorBidi" w:hAnsiTheme="majorBidi" w:cstheme="majorBidi"/>
          <w:color w:val="auto"/>
          <w:u w:val="none"/>
        </w:rPr>
        <w:t xml:space="preserve"> (accessed November 19, 2014).</w:t>
      </w:r>
      <w:proofErr w:type="gramEnd"/>
    </w:p>
  </w:footnote>
  <w:footnote w:id="26">
    <w:p w:rsidR="0057060B" w:rsidRPr="007C6D27" w:rsidRDefault="0057060B" w:rsidP="007C6D27">
      <w:pPr>
        <w:pStyle w:val="FootnoteText"/>
        <w:rPr>
          <w:rFonts w:asciiTheme="majorBidi" w:hAnsiTheme="majorBidi" w:cstheme="majorBidi"/>
        </w:rPr>
      </w:pPr>
      <w:r w:rsidRPr="007C6D27">
        <w:rPr>
          <w:rStyle w:val="FootnoteReference"/>
          <w:rFonts w:asciiTheme="majorBidi" w:hAnsiTheme="majorBidi" w:cstheme="majorBidi"/>
        </w:rPr>
        <w:footnoteRef/>
      </w:r>
      <w:r w:rsidRPr="007C6D27">
        <w:rPr>
          <w:rFonts w:asciiTheme="majorBidi" w:hAnsiTheme="majorBidi" w:cstheme="majorBidi"/>
        </w:rPr>
        <w:t xml:space="preserve"> </w:t>
      </w:r>
      <w:proofErr w:type="spellStart"/>
      <w:proofErr w:type="gramStart"/>
      <w:r w:rsidRPr="007C6D27">
        <w:rPr>
          <w:rFonts w:asciiTheme="majorBidi" w:hAnsiTheme="majorBidi" w:cstheme="majorBidi"/>
        </w:rPr>
        <w:t>Berrens</w:t>
      </w:r>
      <w:proofErr w:type="spellEnd"/>
      <w:r w:rsidRPr="007C6D27">
        <w:rPr>
          <w:rFonts w:asciiTheme="majorBidi" w:hAnsiTheme="majorBidi" w:cstheme="majorBidi"/>
        </w:rPr>
        <w:t xml:space="preserve">, “A Degree by Degree Explanation of What Will Happen When the Earth Warms,” March 20, 2015, </w:t>
      </w:r>
      <w:hyperlink r:id="rId2" w:history="1">
        <w:r w:rsidRPr="007C6D27">
          <w:rPr>
            <w:rStyle w:val="Hyperlink"/>
            <w:rFonts w:asciiTheme="majorBidi" w:hAnsiTheme="majorBidi" w:cstheme="majorBidi"/>
            <w:color w:val="auto"/>
            <w:u w:val="none"/>
          </w:rPr>
          <w:t>http://globalwarming.berrens.nl/globalwarming.htm</w:t>
        </w:r>
      </w:hyperlink>
      <w:r w:rsidRPr="007C6D27">
        <w:rPr>
          <w:rFonts w:asciiTheme="majorBidi" w:hAnsiTheme="majorBidi" w:cstheme="majorBidi"/>
        </w:rPr>
        <w:t xml:space="preserve"> (accessed March 20, 2015).</w:t>
      </w:r>
      <w:proofErr w:type="gramEnd"/>
    </w:p>
  </w:footnote>
  <w:footnote w:id="27">
    <w:p w:rsidR="0057060B" w:rsidRPr="00EE01CB" w:rsidRDefault="0057060B" w:rsidP="00634EB9">
      <w:pPr>
        <w:pStyle w:val="FootnoteText"/>
        <w:rPr>
          <w:rFonts w:asciiTheme="majorBidi" w:hAnsiTheme="majorBidi" w:cstheme="majorBidi"/>
        </w:rPr>
      </w:pPr>
      <w:r w:rsidRPr="00EE01CB">
        <w:rPr>
          <w:rStyle w:val="FootnoteReference"/>
          <w:rFonts w:asciiTheme="majorBidi" w:hAnsiTheme="majorBidi" w:cstheme="majorBidi"/>
        </w:rPr>
        <w:footnoteRef/>
      </w:r>
      <w:r w:rsidRPr="00EE01CB">
        <w:rPr>
          <w:rFonts w:asciiTheme="majorBidi" w:hAnsiTheme="majorBidi" w:cstheme="majorBidi"/>
        </w:rPr>
        <w:t xml:space="preserve"> </w:t>
      </w:r>
      <w:proofErr w:type="gramStart"/>
      <w:r w:rsidRPr="00EE01CB">
        <w:rPr>
          <w:rFonts w:asciiTheme="majorBidi" w:hAnsiTheme="majorBidi" w:cstheme="majorBidi"/>
        </w:rPr>
        <w:t>Institute of Medicine of the National Academies, “Dietary Reference Intakes for Water, Potassium, Sodium, Chloride, and Sulfate,” Food and Nutrition Board, 2005, http://www.nal.usda.gov/fnic/DRI/DRI_Water/water_full_report.pdf (accessed November 18, 2014).</w:t>
      </w:r>
      <w:proofErr w:type="gramEnd"/>
      <w:r w:rsidRPr="00EE01CB">
        <w:rPr>
          <w:rFonts w:asciiTheme="majorBidi" w:hAnsiTheme="majorBidi" w:cstheme="majorBidi"/>
        </w:rPr>
        <w:t xml:space="preserve">  </w:t>
      </w:r>
    </w:p>
  </w:footnote>
  <w:footnote w:id="28">
    <w:p w:rsidR="0057060B" w:rsidRPr="00EE01CB" w:rsidRDefault="0057060B" w:rsidP="00634EB9">
      <w:pPr>
        <w:pStyle w:val="FootnoteText"/>
        <w:rPr>
          <w:rFonts w:asciiTheme="majorBidi" w:hAnsiTheme="majorBidi" w:cstheme="majorBidi"/>
        </w:rPr>
      </w:pPr>
      <w:r w:rsidRPr="00EE01CB">
        <w:rPr>
          <w:rStyle w:val="FootnoteReference"/>
          <w:rFonts w:asciiTheme="majorBidi" w:hAnsiTheme="majorBidi" w:cstheme="majorBidi"/>
        </w:rPr>
        <w:footnoteRef/>
      </w:r>
      <w:r w:rsidRPr="00EE01CB">
        <w:rPr>
          <w:rFonts w:asciiTheme="majorBidi" w:hAnsiTheme="majorBidi" w:cstheme="majorBidi"/>
        </w:rPr>
        <w:t xml:space="preserve"> Food and Agriculture Organization AquaStat, “Oman.”</w:t>
      </w:r>
    </w:p>
  </w:footnote>
  <w:footnote w:id="29">
    <w:p w:rsidR="0057060B" w:rsidRDefault="0057060B" w:rsidP="00634EB9">
      <w:pPr>
        <w:pStyle w:val="FootnoteText"/>
      </w:pPr>
      <w:r w:rsidRPr="00EE01CB">
        <w:rPr>
          <w:rStyle w:val="FootnoteReference"/>
          <w:rFonts w:asciiTheme="majorBidi" w:hAnsiTheme="majorBidi" w:cstheme="majorBidi"/>
        </w:rPr>
        <w:footnoteRef/>
      </w:r>
      <w:r w:rsidRPr="00EE01CB">
        <w:rPr>
          <w:rFonts w:asciiTheme="majorBidi" w:hAnsiTheme="majorBidi" w:cstheme="majorBidi"/>
        </w:rPr>
        <w:t xml:space="preserve"> Paul </w:t>
      </w:r>
      <w:proofErr w:type="spellStart"/>
      <w:r w:rsidRPr="00EE01CB">
        <w:rPr>
          <w:rFonts w:asciiTheme="majorBidi" w:hAnsiTheme="majorBidi" w:cstheme="majorBidi"/>
        </w:rPr>
        <w:t>Reig</w:t>
      </w:r>
      <w:proofErr w:type="spellEnd"/>
      <w:r w:rsidRPr="00EE01CB">
        <w:rPr>
          <w:rFonts w:asciiTheme="majorBidi" w:hAnsiTheme="majorBidi" w:cstheme="majorBidi"/>
        </w:rPr>
        <w:t xml:space="preserve">, Andrew </w:t>
      </w:r>
      <w:proofErr w:type="spellStart"/>
      <w:r w:rsidRPr="00EE01CB">
        <w:rPr>
          <w:rFonts w:asciiTheme="majorBidi" w:hAnsiTheme="majorBidi" w:cstheme="majorBidi"/>
        </w:rPr>
        <w:t>Maddocks</w:t>
      </w:r>
      <w:proofErr w:type="spellEnd"/>
      <w:r w:rsidRPr="00EE01CB">
        <w:rPr>
          <w:rFonts w:asciiTheme="majorBidi" w:hAnsiTheme="majorBidi" w:cstheme="majorBidi"/>
        </w:rPr>
        <w:t xml:space="preserve">, and Francis </w:t>
      </w:r>
      <w:proofErr w:type="spellStart"/>
      <w:r w:rsidRPr="00EE01CB">
        <w:rPr>
          <w:rFonts w:asciiTheme="majorBidi" w:hAnsiTheme="majorBidi" w:cstheme="majorBidi"/>
        </w:rPr>
        <w:t>Gassert</w:t>
      </w:r>
      <w:proofErr w:type="spellEnd"/>
      <w:r w:rsidRPr="00EE01CB">
        <w:rPr>
          <w:rFonts w:asciiTheme="majorBidi" w:hAnsiTheme="majorBidi" w:cstheme="majorBidi"/>
        </w:rPr>
        <w:t>, “World’s 36 Most Water-Stressed Countries,” World Resources Institute, December 12, 2013, http://www.wri.org/blog/2013/12/world%E2%80%99s-36-most-water-stressed-countries (accessed December 1, 2014).</w:t>
      </w:r>
    </w:p>
  </w:footnote>
  <w:footnote w:id="30">
    <w:p w:rsidR="0057060B" w:rsidRDefault="0057060B" w:rsidP="00634EB9">
      <w:pPr>
        <w:pStyle w:val="FootnoteText"/>
      </w:pPr>
      <w:r>
        <w:rPr>
          <w:rStyle w:val="FootnoteReference"/>
        </w:rPr>
        <w:footnoteRef/>
      </w:r>
      <w:r>
        <w:t xml:space="preserve"> </w:t>
      </w:r>
      <w:proofErr w:type="gramStart"/>
      <w:r w:rsidRPr="006235AC">
        <w:rPr>
          <w:rFonts w:asciiTheme="majorBidi" w:hAnsiTheme="majorBidi" w:cstheme="majorBidi"/>
        </w:rPr>
        <w:t xml:space="preserve">UNESCO, “United Nations World Water Development Report 4, Managing Water under Uncertainty and Risk,” World Water Assessment </w:t>
      </w:r>
      <w:proofErr w:type="spellStart"/>
      <w:r w:rsidRPr="006235AC">
        <w:rPr>
          <w:rFonts w:asciiTheme="majorBidi" w:hAnsiTheme="majorBidi" w:cstheme="majorBidi"/>
        </w:rPr>
        <w:t>Programme</w:t>
      </w:r>
      <w:proofErr w:type="spellEnd"/>
      <w:r w:rsidRPr="006235AC">
        <w:rPr>
          <w:rFonts w:asciiTheme="majorBidi" w:hAnsiTheme="majorBidi" w:cstheme="majorBidi"/>
        </w:rPr>
        <w:t xml:space="preserve"> (2012).</w:t>
      </w:r>
      <w:proofErr w:type="gramEnd"/>
    </w:p>
  </w:footnote>
  <w:footnote w:id="31">
    <w:p w:rsidR="0057060B" w:rsidRPr="006235AC" w:rsidRDefault="0057060B" w:rsidP="00634EB9">
      <w:pPr>
        <w:pStyle w:val="FootnoteText"/>
        <w:rPr>
          <w:rFonts w:asciiTheme="majorBidi" w:hAnsiTheme="majorBidi" w:cstheme="majorBidi"/>
        </w:rPr>
      </w:pPr>
      <w:r w:rsidRPr="006235AC">
        <w:rPr>
          <w:rStyle w:val="FootnoteReference"/>
          <w:rFonts w:asciiTheme="majorBidi" w:hAnsiTheme="majorBidi" w:cstheme="majorBidi"/>
        </w:rPr>
        <w:footnoteRef/>
      </w:r>
      <w:r>
        <w:rPr>
          <w:rFonts w:asciiTheme="majorBidi" w:hAnsiTheme="majorBidi" w:cstheme="majorBidi"/>
        </w:rPr>
        <w:t xml:space="preserve"> Ibid.</w:t>
      </w:r>
    </w:p>
  </w:footnote>
  <w:footnote w:id="32">
    <w:p w:rsidR="0057060B" w:rsidRPr="00BD2AB2" w:rsidRDefault="0057060B" w:rsidP="003B7911">
      <w:pPr>
        <w:pStyle w:val="FootnoteText"/>
        <w:rPr>
          <w:rFonts w:asciiTheme="majorBidi" w:hAnsiTheme="majorBidi" w:cstheme="majorBidi"/>
        </w:rPr>
      </w:pPr>
      <w:r w:rsidRPr="00BD2AB2">
        <w:rPr>
          <w:rStyle w:val="FootnoteReference"/>
          <w:rFonts w:asciiTheme="majorBidi" w:hAnsiTheme="majorBidi" w:cstheme="majorBidi"/>
        </w:rPr>
        <w:footnoteRef/>
      </w:r>
      <w:r w:rsidRPr="00BD2AB2">
        <w:rPr>
          <w:rFonts w:asciiTheme="majorBidi" w:hAnsiTheme="majorBidi" w:cstheme="majorBidi"/>
        </w:rPr>
        <w:t xml:space="preserve"> </w:t>
      </w:r>
      <w:proofErr w:type="gramStart"/>
      <w:r w:rsidRPr="00BD2AB2">
        <w:rPr>
          <w:rFonts w:asciiTheme="majorBidi" w:hAnsiTheme="majorBidi" w:cstheme="majorBidi"/>
        </w:rPr>
        <w:t>Food and Agriculture Organization AquaStat, “Oman.”</w:t>
      </w:r>
      <w:proofErr w:type="gramEnd"/>
    </w:p>
  </w:footnote>
  <w:footnote w:id="33">
    <w:p w:rsidR="0057060B" w:rsidRDefault="0057060B" w:rsidP="00EC6921">
      <w:pPr>
        <w:pStyle w:val="FootnoteText"/>
      </w:pPr>
      <w:r w:rsidRPr="00BD2AB2">
        <w:rPr>
          <w:rStyle w:val="FootnoteReference"/>
          <w:rFonts w:asciiTheme="majorBidi" w:hAnsiTheme="majorBidi" w:cstheme="majorBidi"/>
        </w:rPr>
        <w:footnoteRef/>
      </w:r>
      <w:r w:rsidRPr="00BD2AB2">
        <w:rPr>
          <w:rFonts w:asciiTheme="majorBidi" w:hAnsiTheme="majorBidi" w:cstheme="majorBidi"/>
        </w:rPr>
        <w:t xml:space="preserve"> Sue Hutton, </w:t>
      </w:r>
      <w:proofErr w:type="gramStart"/>
      <w:r w:rsidRPr="00BD2AB2">
        <w:rPr>
          <w:rFonts w:asciiTheme="majorBidi" w:hAnsiTheme="majorBidi" w:cstheme="majorBidi"/>
        </w:rPr>
        <w:t>“ Saving</w:t>
      </w:r>
      <w:proofErr w:type="gramEnd"/>
      <w:r w:rsidRPr="00BD2AB2">
        <w:rPr>
          <w:rFonts w:asciiTheme="majorBidi" w:hAnsiTheme="majorBidi" w:cstheme="majorBidi"/>
        </w:rPr>
        <w:t xml:space="preserve"> the Future – Water in Oman,” Oman Economic Review, March 2003, http://www.suehutton.co.uk/articles/save_water.php (accessed November 28, 2014).</w:t>
      </w:r>
      <w:r>
        <w:t xml:space="preserve"> </w:t>
      </w:r>
    </w:p>
  </w:footnote>
  <w:footnote w:id="34">
    <w:p w:rsidR="0057060B" w:rsidRPr="00EC534A" w:rsidRDefault="0057060B" w:rsidP="00052508">
      <w:pPr>
        <w:pStyle w:val="FootnoteText"/>
        <w:rPr>
          <w:rFonts w:asciiTheme="majorBidi" w:hAnsiTheme="majorBidi" w:cstheme="majorBidi"/>
        </w:rPr>
      </w:pPr>
      <w:r w:rsidRPr="00EC534A">
        <w:rPr>
          <w:rStyle w:val="FootnoteReference"/>
          <w:rFonts w:asciiTheme="majorBidi" w:hAnsiTheme="majorBidi" w:cstheme="majorBidi"/>
        </w:rPr>
        <w:footnoteRef/>
      </w:r>
      <w:r w:rsidRPr="00EC534A">
        <w:rPr>
          <w:rFonts w:asciiTheme="majorBidi" w:hAnsiTheme="majorBidi" w:cstheme="majorBidi"/>
        </w:rPr>
        <w:t xml:space="preserve"> </w:t>
      </w:r>
      <w:r w:rsidRPr="00052508">
        <w:rPr>
          <w:rFonts w:asciiTheme="majorBidi" w:hAnsiTheme="majorBidi" w:cstheme="majorBidi"/>
        </w:rPr>
        <w:t>Food and Agriculture Organization of the United Nations, “Food Imports by Oman Set to Grow to $4.8bn,” Regional Office for the Near East and North Africa, November 9, 2011, http://neareast.fao.org/Pages/NewsDetails.aspx?lang=EN&amp;id=2402627&amp;I=0&amp;DId=0&amp;CId=0&amp;CMSId=21 (accessed November 19, 2014).</w:t>
      </w:r>
    </w:p>
  </w:footnote>
  <w:footnote w:id="35">
    <w:p w:rsidR="0057060B" w:rsidRPr="003A4672" w:rsidRDefault="0057060B" w:rsidP="00052508">
      <w:pPr>
        <w:pStyle w:val="FootnoteText"/>
        <w:rPr>
          <w:rFonts w:asciiTheme="majorBidi" w:hAnsiTheme="majorBidi" w:cstheme="majorBidi"/>
        </w:rPr>
      </w:pPr>
      <w:r w:rsidRPr="00EC534A">
        <w:rPr>
          <w:rStyle w:val="FootnoteReference"/>
          <w:rFonts w:asciiTheme="majorBidi" w:hAnsiTheme="majorBidi" w:cstheme="majorBidi"/>
        </w:rPr>
        <w:footnoteRef/>
      </w:r>
      <w:r w:rsidRPr="00EC534A">
        <w:rPr>
          <w:rFonts w:asciiTheme="majorBidi" w:hAnsiTheme="majorBidi" w:cstheme="majorBidi"/>
        </w:rPr>
        <w:t xml:space="preserve"> </w:t>
      </w:r>
      <w:proofErr w:type="gramStart"/>
      <w:r w:rsidRPr="006235AC">
        <w:rPr>
          <w:rFonts w:asciiTheme="majorBidi" w:hAnsiTheme="majorBidi" w:cstheme="majorBidi"/>
        </w:rPr>
        <w:t xml:space="preserve">Food </w:t>
      </w:r>
      <w:r w:rsidRPr="003A4672">
        <w:rPr>
          <w:rFonts w:asciiTheme="majorBidi" w:hAnsiTheme="majorBidi" w:cstheme="majorBidi"/>
        </w:rPr>
        <w:t>and Agriculture Organization Statistics Division, “Browse Data,” Food Security, 2014, http://faostat3.fao.org/browse/T/TP/E (accessed November 20, 2014).</w:t>
      </w:r>
      <w:proofErr w:type="gramEnd"/>
    </w:p>
  </w:footnote>
  <w:footnote w:id="36">
    <w:p w:rsidR="0057060B" w:rsidRPr="003A4672" w:rsidRDefault="0057060B">
      <w:pPr>
        <w:pStyle w:val="FootnoteText"/>
        <w:rPr>
          <w:rFonts w:asciiTheme="majorBidi" w:hAnsiTheme="majorBidi" w:cstheme="majorBidi"/>
        </w:rPr>
      </w:pPr>
      <w:r w:rsidRPr="003A4672">
        <w:rPr>
          <w:rStyle w:val="FootnoteReference"/>
          <w:rFonts w:asciiTheme="majorBidi" w:hAnsiTheme="majorBidi" w:cstheme="majorBidi"/>
        </w:rPr>
        <w:footnoteRef/>
      </w:r>
      <w:r w:rsidRPr="003A4672">
        <w:rPr>
          <w:rFonts w:asciiTheme="majorBidi" w:hAnsiTheme="majorBidi" w:cstheme="majorBidi"/>
        </w:rPr>
        <w:t xml:space="preserve"> </w:t>
      </w:r>
      <w:proofErr w:type="gramStart"/>
      <w:r w:rsidRPr="003A4672">
        <w:rPr>
          <w:rFonts w:asciiTheme="majorBidi" w:hAnsiTheme="majorBidi" w:cstheme="majorBidi"/>
        </w:rPr>
        <w:t>GRM International, “Phase 1 Report.”</w:t>
      </w:r>
      <w:proofErr w:type="gramEnd"/>
    </w:p>
  </w:footnote>
  <w:footnote w:id="37">
    <w:p w:rsidR="0057060B" w:rsidRDefault="0057060B">
      <w:pPr>
        <w:pStyle w:val="FootnoteText"/>
      </w:pPr>
      <w:r w:rsidRPr="003A4672">
        <w:rPr>
          <w:rStyle w:val="FootnoteReference"/>
          <w:rFonts w:asciiTheme="majorBidi" w:hAnsiTheme="majorBidi" w:cstheme="majorBidi"/>
        </w:rPr>
        <w:footnoteRef/>
      </w:r>
      <w:r w:rsidRPr="003A4672">
        <w:rPr>
          <w:rFonts w:asciiTheme="majorBidi" w:hAnsiTheme="majorBidi" w:cstheme="majorBidi"/>
        </w:rPr>
        <w:t xml:space="preserve"> </w:t>
      </w:r>
      <w:proofErr w:type="gramStart"/>
      <w:r w:rsidRPr="003A4672">
        <w:rPr>
          <w:rFonts w:asciiTheme="majorBidi" w:hAnsiTheme="majorBidi" w:cstheme="majorBidi"/>
        </w:rPr>
        <w:t>Food and Agriculture Organization of the United Nations, “Cutting Food Waste to Feed the World,” May 11, 2011, http://www.fao.org/news/story/en/item/74192/icode/ (accessed March 2, 2015).</w:t>
      </w:r>
      <w:proofErr w:type="gramEnd"/>
    </w:p>
  </w:footnote>
  <w:footnote w:id="38">
    <w:p w:rsidR="0057060B" w:rsidRPr="00506DE6" w:rsidRDefault="0057060B" w:rsidP="00883A3F">
      <w:pPr>
        <w:pStyle w:val="FootnoteText"/>
        <w:rPr>
          <w:rFonts w:asciiTheme="majorBidi" w:hAnsiTheme="majorBidi" w:cstheme="majorBidi"/>
        </w:rPr>
      </w:pPr>
      <w:r w:rsidRPr="00506DE6">
        <w:rPr>
          <w:rStyle w:val="FootnoteReference"/>
          <w:rFonts w:asciiTheme="majorBidi" w:hAnsiTheme="majorBidi" w:cstheme="majorBidi"/>
        </w:rPr>
        <w:footnoteRef/>
      </w:r>
      <w:r w:rsidRPr="00506DE6">
        <w:rPr>
          <w:rFonts w:asciiTheme="majorBidi" w:hAnsiTheme="majorBidi" w:cstheme="majorBidi"/>
        </w:rPr>
        <w:t xml:space="preserve"> Food and Agriculture Organization Economic and Social Development Department, </w:t>
      </w:r>
      <w:r w:rsidRPr="00506DE6">
        <w:rPr>
          <w:rFonts w:asciiTheme="majorBidi" w:hAnsiTheme="majorBidi" w:cstheme="majorBidi"/>
          <w:i/>
          <w:iCs/>
        </w:rPr>
        <w:t xml:space="preserve">Trade Reforms and Food Security: Conceptualizing the Linkages </w:t>
      </w:r>
      <w:r w:rsidRPr="00506DE6">
        <w:rPr>
          <w:rFonts w:asciiTheme="majorBidi" w:hAnsiTheme="majorBidi" w:cstheme="majorBidi"/>
        </w:rPr>
        <w:t xml:space="preserve">(Rome, 2003), Chapter 1. </w:t>
      </w:r>
    </w:p>
  </w:footnote>
  <w:footnote w:id="39">
    <w:p w:rsidR="0057060B" w:rsidRPr="00506DE6" w:rsidRDefault="0057060B">
      <w:pPr>
        <w:pStyle w:val="FootnoteText"/>
        <w:rPr>
          <w:rFonts w:asciiTheme="majorBidi" w:hAnsiTheme="majorBidi" w:cstheme="majorBidi"/>
        </w:rPr>
      </w:pPr>
      <w:r w:rsidRPr="00506DE6">
        <w:rPr>
          <w:rStyle w:val="FootnoteReference"/>
          <w:rFonts w:asciiTheme="majorBidi" w:hAnsiTheme="majorBidi" w:cstheme="majorBidi"/>
        </w:rPr>
        <w:footnoteRef/>
      </w:r>
      <w:r w:rsidRPr="00506DE6">
        <w:rPr>
          <w:rFonts w:asciiTheme="majorBidi" w:hAnsiTheme="majorBidi" w:cstheme="majorBidi"/>
        </w:rPr>
        <w:t xml:space="preserve"> </w:t>
      </w:r>
      <w:hyperlink r:id="rId3" w:history="1">
        <w:r w:rsidRPr="00506DE6">
          <w:rPr>
            <w:rStyle w:val="Hyperlink"/>
            <w:rFonts w:asciiTheme="majorBidi" w:hAnsiTheme="majorBidi" w:cstheme="majorBidi"/>
            <w:color w:val="auto"/>
            <w:u w:val="none"/>
          </w:rPr>
          <w:t>The</w:t>
        </w:r>
      </w:hyperlink>
      <w:r w:rsidRPr="00506DE6">
        <w:rPr>
          <w:rStyle w:val="Hyperlink"/>
          <w:rFonts w:asciiTheme="majorBidi" w:hAnsiTheme="majorBidi" w:cstheme="majorBidi"/>
          <w:color w:val="auto"/>
          <w:u w:val="none"/>
        </w:rPr>
        <w:t xml:space="preserve"> World Bank, “Oman: Data.”</w:t>
      </w:r>
    </w:p>
  </w:footnote>
  <w:footnote w:id="40">
    <w:p w:rsidR="0057060B" w:rsidRPr="00506DE6" w:rsidRDefault="0057060B" w:rsidP="00506DE6">
      <w:pPr>
        <w:pStyle w:val="FootnoteText"/>
        <w:rPr>
          <w:rFonts w:asciiTheme="majorBidi" w:hAnsiTheme="majorBidi" w:cstheme="majorBidi"/>
        </w:rPr>
      </w:pPr>
      <w:r w:rsidRPr="00506DE6">
        <w:rPr>
          <w:rStyle w:val="FootnoteReference"/>
          <w:rFonts w:asciiTheme="majorBidi" w:hAnsiTheme="majorBidi" w:cstheme="majorBidi"/>
        </w:rPr>
        <w:footnoteRef/>
      </w:r>
      <w:r w:rsidRPr="00506DE6">
        <w:rPr>
          <w:rFonts w:asciiTheme="majorBidi" w:hAnsiTheme="majorBidi" w:cstheme="majorBidi"/>
        </w:rPr>
        <w:t xml:space="preserve"> </w:t>
      </w:r>
      <w:proofErr w:type="gramStart"/>
      <w:r w:rsidRPr="00506DE6">
        <w:rPr>
          <w:rFonts w:asciiTheme="majorBidi" w:hAnsiTheme="majorBidi" w:cstheme="majorBidi"/>
        </w:rPr>
        <w:t>Ibid.</w:t>
      </w:r>
      <w:proofErr w:type="gramEnd"/>
      <w:r w:rsidRPr="00506DE6">
        <w:rPr>
          <w:rFonts w:asciiTheme="majorBidi" w:hAnsiTheme="majorBidi" w:cstheme="majorBidi"/>
        </w:rPr>
        <w:t xml:space="preserve"> </w:t>
      </w:r>
    </w:p>
  </w:footnote>
  <w:footnote w:id="41">
    <w:p w:rsidR="0057060B" w:rsidRDefault="0057060B" w:rsidP="00AF5BE1">
      <w:pPr>
        <w:pStyle w:val="FootnoteText"/>
      </w:pPr>
      <w:r w:rsidRPr="00506DE6">
        <w:rPr>
          <w:rStyle w:val="FootnoteReference"/>
          <w:rFonts w:asciiTheme="majorBidi" w:hAnsiTheme="majorBidi" w:cstheme="majorBidi"/>
        </w:rPr>
        <w:footnoteRef/>
      </w:r>
      <w:r w:rsidRPr="00506DE6">
        <w:rPr>
          <w:rFonts w:asciiTheme="majorBidi" w:hAnsiTheme="majorBidi" w:cstheme="majorBidi"/>
        </w:rPr>
        <w:t xml:space="preserve"> </w:t>
      </w:r>
      <w:proofErr w:type="gramStart"/>
      <w:r w:rsidRPr="00506DE6">
        <w:rPr>
          <w:rFonts w:asciiTheme="majorBidi" w:hAnsiTheme="majorBidi" w:cstheme="majorBidi"/>
        </w:rPr>
        <w:t>Ibid.</w:t>
      </w:r>
      <w:proofErr w:type="gramEnd"/>
      <w:r w:rsidRPr="00506DE6">
        <w:t xml:space="preserve"> </w:t>
      </w:r>
    </w:p>
  </w:footnote>
  <w:footnote w:id="42">
    <w:p w:rsidR="0057060B" w:rsidRPr="006235AC" w:rsidRDefault="0057060B" w:rsidP="00825B5B">
      <w:pPr>
        <w:pStyle w:val="FootnoteText"/>
        <w:rPr>
          <w:rFonts w:asciiTheme="majorBidi" w:hAnsiTheme="majorBidi" w:cstheme="majorBidi"/>
        </w:rPr>
      </w:pPr>
      <w:r w:rsidRPr="006235AC">
        <w:rPr>
          <w:rStyle w:val="FootnoteReference"/>
          <w:rFonts w:asciiTheme="majorBidi" w:hAnsiTheme="majorBidi" w:cstheme="majorBidi"/>
        </w:rPr>
        <w:footnoteRef/>
      </w:r>
      <w:r w:rsidRPr="006235AC">
        <w:rPr>
          <w:rFonts w:asciiTheme="majorBidi" w:hAnsiTheme="majorBidi" w:cstheme="majorBidi"/>
        </w:rPr>
        <w:t xml:space="preserve"> </w:t>
      </w:r>
      <w:proofErr w:type="spellStart"/>
      <w:r w:rsidRPr="006235AC">
        <w:rPr>
          <w:rFonts w:asciiTheme="majorBidi" w:hAnsiTheme="majorBidi" w:cstheme="majorBidi"/>
        </w:rPr>
        <w:t>Anuradha</w:t>
      </w:r>
      <w:proofErr w:type="spellEnd"/>
      <w:r w:rsidRPr="006235AC">
        <w:rPr>
          <w:rFonts w:asciiTheme="majorBidi" w:hAnsiTheme="majorBidi" w:cstheme="majorBidi"/>
        </w:rPr>
        <w:t xml:space="preserve"> Mittal, “The 2008 Food Price Crisis: Rethinking Food Security Policies,” </w:t>
      </w:r>
      <w:r w:rsidRPr="006235AC">
        <w:rPr>
          <w:rFonts w:asciiTheme="majorBidi" w:hAnsiTheme="majorBidi" w:cstheme="majorBidi"/>
          <w:i/>
          <w:iCs/>
        </w:rPr>
        <w:t>G-24 Discussion Paper Series</w:t>
      </w:r>
      <w:r w:rsidRPr="006235AC">
        <w:rPr>
          <w:rFonts w:asciiTheme="majorBidi" w:hAnsiTheme="majorBidi" w:cstheme="majorBidi"/>
        </w:rPr>
        <w:t xml:space="preserve"> no. 56 (2009). http://unctad.org/en/docs/gdsmdpg2420093_en.pdf (accessed December 10, 2013).</w:t>
      </w:r>
    </w:p>
  </w:footnote>
  <w:footnote w:id="43">
    <w:p w:rsidR="0057060B" w:rsidRPr="006235AC" w:rsidRDefault="0057060B" w:rsidP="00052508">
      <w:pPr>
        <w:pStyle w:val="FootnoteText"/>
        <w:rPr>
          <w:rFonts w:asciiTheme="majorBidi" w:hAnsiTheme="majorBidi" w:cstheme="majorBidi"/>
        </w:rPr>
      </w:pPr>
      <w:r w:rsidRPr="006235AC">
        <w:rPr>
          <w:rStyle w:val="FootnoteReference"/>
          <w:rFonts w:asciiTheme="majorBidi" w:hAnsiTheme="majorBidi" w:cstheme="majorBidi"/>
        </w:rPr>
        <w:footnoteRef/>
      </w:r>
      <w:r w:rsidRPr="006235AC">
        <w:rPr>
          <w:rFonts w:asciiTheme="majorBidi" w:hAnsiTheme="majorBidi" w:cstheme="majorBidi"/>
        </w:rPr>
        <w:t xml:space="preserve"> </w:t>
      </w:r>
      <w:proofErr w:type="gramStart"/>
      <w:r w:rsidRPr="006235AC">
        <w:rPr>
          <w:rFonts w:asciiTheme="majorBidi" w:hAnsiTheme="majorBidi" w:cstheme="majorBidi"/>
        </w:rPr>
        <w:t>Food and Agriculture Organization St</w:t>
      </w:r>
      <w:r>
        <w:rPr>
          <w:rFonts w:asciiTheme="majorBidi" w:hAnsiTheme="majorBidi" w:cstheme="majorBidi"/>
        </w:rPr>
        <w:t>atistics Division, “Browse Data.</w:t>
      </w:r>
      <w:r w:rsidRPr="006235AC">
        <w:rPr>
          <w:rFonts w:asciiTheme="majorBidi" w:hAnsiTheme="majorBidi" w:cstheme="majorBidi"/>
        </w:rPr>
        <w:t>”</w:t>
      </w:r>
      <w:proofErr w:type="gramEnd"/>
      <w:r w:rsidRPr="006235AC">
        <w:rPr>
          <w:rFonts w:asciiTheme="majorBidi" w:hAnsiTheme="majorBidi" w:cstheme="majorBidi"/>
        </w:rPr>
        <w:t xml:space="preserve"> </w:t>
      </w:r>
    </w:p>
  </w:footnote>
  <w:footnote w:id="44">
    <w:p w:rsidR="0057060B" w:rsidRPr="006235AC" w:rsidRDefault="0057060B" w:rsidP="00D860ED">
      <w:pPr>
        <w:pStyle w:val="FootnoteText"/>
        <w:rPr>
          <w:rFonts w:asciiTheme="majorBidi" w:hAnsiTheme="majorBidi" w:cstheme="majorBidi"/>
        </w:rPr>
      </w:pPr>
      <w:r w:rsidRPr="006235AC">
        <w:rPr>
          <w:rStyle w:val="FootnoteReference"/>
          <w:rFonts w:asciiTheme="majorBidi" w:hAnsiTheme="majorBidi" w:cstheme="majorBidi"/>
        </w:rPr>
        <w:footnoteRef/>
      </w:r>
      <w:r w:rsidRPr="006235AC">
        <w:rPr>
          <w:rFonts w:asciiTheme="majorBidi" w:hAnsiTheme="majorBidi" w:cstheme="majorBidi"/>
        </w:rPr>
        <w:t xml:space="preserve"> </w:t>
      </w:r>
      <w:proofErr w:type="gramStart"/>
      <w:r w:rsidRPr="006235AC">
        <w:rPr>
          <w:rFonts w:asciiTheme="majorBidi" w:hAnsiTheme="majorBidi" w:cstheme="majorBidi"/>
        </w:rPr>
        <w:t>GRM International, “Phase 1 Report.”</w:t>
      </w:r>
      <w:proofErr w:type="gramEnd"/>
      <w:r w:rsidRPr="006235AC">
        <w:rPr>
          <w:rFonts w:asciiTheme="majorBidi" w:hAnsiTheme="majorBidi" w:cstheme="majorBidi"/>
        </w:rPr>
        <w:t xml:space="preserve"> </w:t>
      </w:r>
    </w:p>
  </w:footnote>
  <w:footnote w:id="45">
    <w:p w:rsidR="0057060B" w:rsidRPr="006235AC" w:rsidRDefault="0057060B" w:rsidP="00D860ED">
      <w:pPr>
        <w:pStyle w:val="FootnoteText"/>
        <w:rPr>
          <w:rFonts w:asciiTheme="majorBidi" w:hAnsiTheme="majorBidi" w:cstheme="majorBidi"/>
        </w:rPr>
      </w:pPr>
      <w:r w:rsidRPr="006235AC">
        <w:rPr>
          <w:rStyle w:val="FootnoteReference"/>
          <w:rFonts w:asciiTheme="majorBidi" w:hAnsiTheme="majorBidi" w:cstheme="majorBidi"/>
        </w:rPr>
        <w:footnoteRef/>
      </w:r>
      <w:r w:rsidRPr="006235AC">
        <w:rPr>
          <w:rFonts w:asciiTheme="majorBidi" w:hAnsiTheme="majorBidi" w:cstheme="majorBidi"/>
        </w:rPr>
        <w:t xml:space="preserve"> Ibid</w:t>
      </w:r>
      <w:r>
        <w:rPr>
          <w:rFonts w:asciiTheme="majorBidi" w:hAnsiTheme="majorBidi" w:cstheme="majorBidi"/>
        </w:rPr>
        <w:t>.</w:t>
      </w:r>
    </w:p>
  </w:footnote>
  <w:footnote w:id="46">
    <w:p w:rsidR="0057060B" w:rsidRDefault="0057060B">
      <w:pPr>
        <w:pStyle w:val="FootnoteText"/>
      </w:pPr>
      <w:r>
        <w:rPr>
          <w:rStyle w:val="FootnoteReference"/>
        </w:rPr>
        <w:footnoteRef/>
      </w:r>
      <w:r>
        <w:t xml:space="preserve"> </w:t>
      </w:r>
      <w:proofErr w:type="gramStart"/>
      <w:r w:rsidRPr="006235AC">
        <w:rPr>
          <w:rFonts w:asciiTheme="majorBidi" w:hAnsiTheme="majorBidi" w:cstheme="majorBidi"/>
        </w:rPr>
        <w:t>Food and Agriculture Organization St</w:t>
      </w:r>
      <w:r>
        <w:rPr>
          <w:rFonts w:asciiTheme="majorBidi" w:hAnsiTheme="majorBidi" w:cstheme="majorBidi"/>
        </w:rPr>
        <w:t>atistics Division, “Browse Data.</w:t>
      </w:r>
      <w:r w:rsidRPr="006235AC">
        <w:rPr>
          <w:rFonts w:asciiTheme="majorBidi" w:hAnsiTheme="majorBidi" w:cstheme="majorBidi"/>
        </w:rPr>
        <w:t>”</w:t>
      </w:r>
      <w:proofErr w:type="gramEnd"/>
    </w:p>
  </w:footnote>
  <w:footnote w:id="47">
    <w:p w:rsidR="0057060B" w:rsidRPr="006235AC" w:rsidRDefault="0057060B" w:rsidP="00D860ED">
      <w:pPr>
        <w:pStyle w:val="FootnoteText"/>
        <w:rPr>
          <w:rFonts w:asciiTheme="majorBidi" w:hAnsiTheme="majorBidi" w:cstheme="majorBidi"/>
        </w:rPr>
      </w:pPr>
      <w:r w:rsidRPr="006235AC">
        <w:rPr>
          <w:rStyle w:val="FootnoteReference"/>
          <w:rFonts w:asciiTheme="majorBidi" w:hAnsiTheme="majorBidi" w:cstheme="majorBidi"/>
        </w:rPr>
        <w:footnoteRef/>
      </w:r>
      <w:r w:rsidRPr="006235AC">
        <w:rPr>
          <w:rFonts w:asciiTheme="majorBidi" w:hAnsiTheme="majorBidi" w:cstheme="majorBidi"/>
        </w:rPr>
        <w:t xml:space="preserve"> Library of Economics and Liberty, “Supply and Demand, Markets and Prices,” Econlib Resources, 2012, http://www.econlib.org/library/Topics/College/supplyanddemand.html (accessed November 20, 2014).</w:t>
      </w:r>
    </w:p>
  </w:footnote>
  <w:footnote w:id="48">
    <w:p w:rsidR="0057060B" w:rsidRPr="006235AC" w:rsidRDefault="0057060B" w:rsidP="00D860ED">
      <w:pPr>
        <w:pStyle w:val="FootnoteText"/>
        <w:rPr>
          <w:rFonts w:asciiTheme="majorBidi" w:hAnsiTheme="majorBidi" w:cstheme="majorBidi"/>
        </w:rPr>
      </w:pPr>
      <w:r w:rsidRPr="006235AC">
        <w:rPr>
          <w:rStyle w:val="FootnoteReference"/>
          <w:rFonts w:asciiTheme="majorBidi" w:hAnsiTheme="majorBidi" w:cstheme="majorBidi"/>
        </w:rPr>
        <w:footnoteRef/>
      </w:r>
      <w:r w:rsidRPr="006235AC">
        <w:rPr>
          <w:rFonts w:asciiTheme="majorBidi" w:hAnsiTheme="majorBidi" w:cstheme="majorBidi"/>
        </w:rPr>
        <w:t xml:space="preserve"> Anuradha Mittal, “The 2008 Food Price Crisis: Rethinking Food Security Policies.”</w:t>
      </w:r>
    </w:p>
  </w:footnote>
  <w:footnote w:id="49">
    <w:p w:rsidR="0057060B" w:rsidRPr="00FD25C9" w:rsidRDefault="0057060B" w:rsidP="00D860ED">
      <w:pPr>
        <w:pStyle w:val="FootnoteText"/>
        <w:rPr>
          <w:rFonts w:asciiTheme="majorBidi" w:hAnsiTheme="majorBidi" w:cstheme="majorBidi"/>
        </w:rPr>
      </w:pPr>
      <w:r w:rsidRPr="006235AC">
        <w:rPr>
          <w:rStyle w:val="FootnoteReference"/>
          <w:rFonts w:asciiTheme="majorBidi" w:hAnsiTheme="majorBidi" w:cstheme="majorBidi"/>
        </w:rPr>
        <w:footnoteRef/>
      </w:r>
      <w:r w:rsidRPr="006235AC">
        <w:rPr>
          <w:rFonts w:asciiTheme="majorBidi" w:hAnsiTheme="majorBidi" w:cstheme="majorBidi"/>
        </w:rPr>
        <w:t xml:space="preserve"> </w:t>
      </w:r>
      <w:r w:rsidRPr="00FD25C9">
        <w:rPr>
          <w:rFonts w:asciiTheme="majorBidi" w:hAnsiTheme="majorBidi" w:cstheme="majorBidi"/>
        </w:rPr>
        <w:t>United States Department of Agriculture, “Wheat Data,” Economic Research Service, November 20, 2014, http://www.ers.usda.gov/data-products/wheat-data.aspx#25278 (accessed November 20, 2014).</w:t>
      </w:r>
    </w:p>
  </w:footnote>
  <w:footnote w:id="50">
    <w:p w:rsidR="0057060B" w:rsidRDefault="0057060B">
      <w:pPr>
        <w:pStyle w:val="FootnoteText"/>
      </w:pPr>
      <w:r w:rsidRPr="00FD25C9">
        <w:rPr>
          <w:rStyle w:val="FootnoteReference"/>
          <w:rFonts w:asciiTheme="majorBidi" w:hAnsiTheme="majorBidi" w:cstheme="majorBidi"/>
        </w:rPr>
        <w:footnoteRef/>
      </w:r>
      <w:r w:rsidRPr="00FD25C9">
        <w:rPr>
          <w:rFonts w:asciiTheme="majorBidi" w:hAnsiTheme="majorBidi" w:cstheme="majorBidi"/>
        </w:rPr>
        <w:t xml:space="preserve"> Ibid.</w:t>
      </w:r>
    </w:p>
  </w:footnote>
  <w:footnote w:id="51">
    <w:p w:rsidR="0057060B" w:rsidRPr="006235AC" w:rsidRDefault="0057060B" w:rsidP="00052508">
      <w:pPr>
        <w:pStyle w:val="FootnoteText"/>
        <w:rPr>
          <w:rFonts w:asciiTheme="majorBidi" w:hAnsiTheme="majorBidi" w:cstheme="majorBidi"/>
        </w:rPr>
      </w:pPr>
      <w:r w:rsidRPr="006235AC">
        <w:rPr>
          <w:rStyle w:val="FootnoteReference"/>
          <w:rFonts w:asciiTheme="majorBidi" w:hAnsiTheme="majorBidi" w:cstheme="majorBidi"/>
        </w:rPr>
        <w:footnoteRef/>
      </w:r>
      <w:r w:rsidRPr="006235AC">
        <w:rPr>
          <w:rFonts w:asciiTheme="majorBidi" w:hAnsiTheme="majorBidi" w:cstheme="majorBidi"/>
        </w:rPr>
        <w:t xml:space="preserve"> Food and Agriculture Organization of the United Nations, “Food Import</w:t>
      </w:r>
      <w:r>
        <w:rPr>
          <w:rFonts w:asciiTheme="majorBidi" w:hAnsiTheme="majorBidi" w:cstheme="majorBidi"/>
        </w:rPr>
        <w:t>s by Oman Set to Grow to $4.8bn.</w:t>
      </w:r>
      <w:r w:rsidRPr="006235AC">
        <w:rPr>
          <w:rFonts w:asciiTheme="majorBidi" w:hAnsiTheme="majorBidi" w:cstheme="majorBidi"/>
        </w:rPr>
        <w:t xml:space="preserve">” </w:t>
      </w:r>
    </w:p>
  </w:footnote>
  <w:footnote w:id="52">
    <w:p w:rsidR="0057060B" w:rsidRPr="00FD25C9" w:rsidRDefault="0057060B" w:rsidP="00D860ED">
      <w:pPr>
        <w:pStyle w:val="FootnoteText"/>
        <w:rPr>
          <w:rFonts w:asciiTheme="majorBidi" w:hAnsiTheme="majorBidi" w:cstheme="majorBidi"/>
        </w:rPr>
      </w:pPr>
      <w:r w:rsidRPr="006235AC">
        <w:rPr>
          <w:rStyle w:val="FootnoteReference"/>
          <w:rFonts w:asciiTheme="majorBidi" w:hAnsiTheme="majorBidi" w:cstheme="majorBidi"/>
        </w:rPr>
        <w:footnoteRef/>
      </w:r>
      <w:r w:rsidRPr="006235AC">
        <w:rPr>
          <w:rFonts w:asciiTheme="majorBidi" w:hAnsiTheme="majorBidi" w:cstheme="majorBidi"/>
        </w:rPr>
        <w:t xml:space="preserve"> </w:t>
      </w:r>
      <w:proofErr w:type="gramStart"/>
      <w:r w:rsidRPr="00FD25C9">
        <w:rPr>
          <w:rFonts w:asciiTheme="majorBidi" w:eastAsia="Times New Roman" w:hAnsiTheme="majorBidi" w:cstheme="majorBidi"/>
        </w:rPr>
        <w:t>Food and Agriculture Organization Statistics Division.</w:t>
      </w:r>
      <w:proofErr w:type="gramEnd"/>
      <w:r w:rsidRPr="00FD25C9">
        <w:rPr>
          <w:rFonts w:asciiTheme="majorBidi" w:eastAsia="Times New Roman" w:hAnsiTheme="majorBidi" w:cstheme="majorBidi"/>
        </w:rPr>
        <w:t xml:space="preserve"> “Browse Data.”</w:t>
      </w:r>
    </w:p>
  </w:footnote>
  <w:footnote w:id="53">
    <w:p w:rsidR="0057060B" w:rsidRDefault="0057060B">
      <w:pPr>
        <w:pStyle w:val="FootnoteText"/>
      </w:pPr>
      <w:r w:rsidRPr="00FD25C9">
        <w:rPr>
          <w:rStyle w:val="FootnoteReference"/>
          <w:rFonts w:asciiTheme="majorBidi" w:hAnsiTheme="majorBidi" w:cstheme="majorBidi"/>
        </w:rPr>
        <w:footnoteRef/>
      </w:r>
      <w:r w:rsidRPr="00FD25C9">
        <w:rPr>
          <w:rFonts w:asciiTheme="majorBidi" w:hAnsiTheme="majorBidi" w:cstheme="majorBidi"/>
        </w:rPr>
        <w:t xml:space="preserve"> Joachim von Braun, “</w:t>
      </w:r>
      <w:r>
        <w:rPr>
          <w:rFonts w:asciiTheme="majorBidi" w:hAnsiTheme="majorBidi" w:cstheme="majorBidi"/>
        </w:rPr>
        <w:t>The W</w:t>
      </w:r>
      <w:r w:rsidRPr="00FD25C9">
        <w:rPr>
          <w:rFonts w:asciiTheme="majorBidi" w:hAnsiTheme="majorBidi" w:cstheme="majorBidi"/>
        </w:rPr>
        <w:t>orld Food Situation: New Driving Forces and Required Actions,” Inte</w:t>
      </w:r>
      <w:r>
        <w:rPr>
          <w:rFonts w:asciiTheme="majorBidi" w:hAnsiTheme="majorBidi" w:cstheme="majorBidi"/>
        </w:rPr>
        <w:t>rnational Food Policy R</w:t>
      </w:r>
      <w:r w:rsidRPr="00FD25C9">
        <w:rPr>
          <w:rFonts w:asciiTheme="majorBidi" w:hAnsiTheme="majorBidi" w:cstheme="majorBidi"/>
        </w:rPr>
        <w:t>esearch Institute, December 2007, http://www.ifpri.org/sites/default/files/publications/pr18.pdf (accessed March 1, 2015).</w:t>
      </w:r>
      <w:r>
        <w:t xml:space="preserve"> </w:t>
      </w:r>
    </w:p>
  </w:footnote>
  <w:footnote w:id="54">
    <w:p w:rsidR="0057060B" w:rsidRDefault="0057060B" w:rsidP="00156FB8">
      <w:pPr>
        <w:pStyle w:val="FootnoteText"/>
      </w:pPr>
      <w:r>
        <w:rPr>
          <w:rStyle w:val="FootnoteReference"/>
        </w:rPr>
        <w:footnoteRef/>
      </w:r>
      <w:r>
        <w:t xml:space="preserve"> </w:t>
      </w:r>
      <w:r w:rsidRPr="009D6A39">
        <w:rPr>
          <w:rFonts w:asciiTheme="majorBidi" w:hAnsiTheme="majorBidi" w:cstheme="majorBidi"/>
        </w:rPr>
        <w:t>Mohammed Al-</w:t>
      </w:r>
      <w:proofErr w:type="spellStart"/>
      <w:r w:rsidRPr="009D6A39">
        <w:rPr>
          <w:rFonts w:asciiTheme="majorBidi" w:hAnsiTheme="majorBidi" w:cstheme="majorBidi"/>
        </w:rPr>
        <w:t>Mashakhi</w:t>
      </w:r>
      <w:proofErr w:type="spellEnd"/>
      <w:r w:rsidRPr="009D6A39">
        <w:rPr>
          <w:rFonts w:asciiTheme="majorBidi" w:hAnsiTheme="majorBidi" w:cstheme="majorBidi"/>
        </w:rPr>
        <w:t xml:space="preserve"> and El-Hag Koll, “Oman: Country Pasture/Forage Resource Profiles,” Food and Agriculture Organization of the United Nations, April 2007, </w:t>
      </w:r>
      <w:hyperlink r:id="rId4" w:history="1">
        <w:r w:rsidRPr="009D6A39">
          <w:rPr>
            <w:rStyle w:val="Hyperlink"/>
            <w:rFonts w:asciiTheme="majorBidi" w:hAnsiTheme="majorBidi" w:cstheme="majorBidi"/>
            <w:color w:val="auto"/>
            <w:u w:val="none"/>
          </w:rPr>
          <w:t>http://www.fao.org/ag/agp/AGPC/doc/Counprof/oman/oman.htm</w:t>
        </w:r>
      </w:hyperlink>
      <w:r w:rsidRPr="009D6A39">
        <w:rPr>
          <w:rFonts w:asciiTheme="majorBidi" w:hAnsiTheme="majorBidi" w:cstheme="majorBidi"/>
        </w:rPr>
        <w:t xml:space="preserve"> (accessed March 2, 2015).</w:t>
      </w:r>
    </w:p>
  </w:footnote>
  <w:footnote w:id="55">
    <w:p w:rsidR="0057060B" w:rsidRPr="000C4C45" w:rsidRDefault="0057060B">
      <w:pPr>
        <w:pStyle w:val="FootnoteText"/>
      </w:pPr>
      <w:r>
        <w:rPr>
          <w:rStyle w:val="FootnoteReference"/>
        </w:rPr>
        <w:footnoteRef/>
      </w:r>
      <w:r>
        <w:t xml:space="preserve"> </w:t>
      </w:r>
      <w:proofErr w:type="spellStart"/>
      <w:r w:rsidR="000C4C45" w:rsidRPr="000C4C45">
        <w:rPr>
          <w:rFonts w:asciiTheme="majorBidi" w:hAnsiTheme="majorBidi" w:cstheme="majorBidi"/>
        </w:rPr>
        <w:t>Eckart</w:t>
      </w:r>
      <w:proofErr w:type="spellEnd"/>
      <w:r w:rsidR="000C4C45" w:rsidRPr="000C4C45">
        <w:rPr>
          <w:rFonts w:asciiTheme="majorBidi" w:hAnsiTheme="majorBidi" w:cstheme="majorBidi"/>
        </w:rPr>
        <w:t xml:space="preserve"> </w:t>
      </w:r>
      <w:proofErr w:type="spellStart"/>
      <w:r w:rsidR="000C4C45" w:rsidRPr="000C4C45">
        <w:rPr>
          <w:rFonts w:asciiTheme="majorBidi" w:hAnsiTheme="majorBidi" w:cstheme="majorBidi"/>
        </w:rPr>
        <w:t>Woertz</w:t>
      </w:r>
      <w:proofErr w:type="spellEnd"/>
      <w:r w:rsidR="000C4C45" w:rsidRPr="000C4C45">
        <w:rPr>
          <w:rFonts w:asciiTheme="majorBidi" w:hAnsiTheme="majorBidi" w:cstheme="majorBidi"/>
        </w:rPr>
        <w:t>,</w:t>
      </w:r>
      <w:r w:rsidRPr="000C4C45">
        <w:rPr>
          <w:rFonts w:asciiTheme="majorBidi" w:hAnsiTheme="majorBidi" w:cstheme="majorBidi"/>
        </w:rPr>
        <w:t xml:space="preserve"> </w:t>
      </w:r>
      <w:r w:rsidRPr="000C4C45">
        <w:rPr>
          <w:rFonts w:asciiTheme="majorBidi" w:hAnsiTheme="majorBidi" w:cstheme="majorBidi"/>
          <w:i/>
          <w:iCs/>
        </w:rPr>
        <w:t>Oil for Food</w:t>
      </w:r>
      <w:r w:rsidR="000C4C45" w:rsidRPr="000C4C45">
        <w:rPr>
          <w:rFonts w:asciiTheme="majorBidi" w:hAnsiTheme="majorBidi" w:cstheme="majorBidi"/>
          <w:i/>
          <w:iCs/>
        </w:rPr>
        <w:t xml:space="preserve">: The Global Food Crisis and the Middle East </w:t>
      </w:r>
      <w:r w:rsidR="000C4C45" w:rsidRPr="000C4C45">
        <w:rPr>
          <w:rFonts w:asciiTheme="majorBidi" w:hAnsiTheme="majorBidi" w:cstheme="majorBidi"/>
        </w:rPr>
        <w:t>(Oxford: Oxford University Press, 2015), 214.</w:t>
      </w:r>
    </w:p>
  </w:footnote>
  <w:footnote w:id="56">
    <w:p w:rsidR="0057060B" w:rsidRPr="00EC534A" w:rsidRDefault="0057060B" w:rsidP="000C4C45">
      <w:pPr>
        <w:pStyle w:val="FootnoteText"/>
        <w:rPr>
          <w:rFonts w:asciiTheme="majorBidi" w:hAnsiTheme="majorBidi" w:cstheme="majorBidi"/>
        </w:rPr>
      </w:pPr>
      <w:r w:rsidRPr="00EC534A">
        <w:rPr>
          <w:rStyle w:val="FootnoteReference"/>
          <w:rFonts w:asciiTheme="majorBidi" w:hAnsiTheme="majorBidi" w:cstheme="majorBidi"/>
        </w:rPr>
        <w:footnoteRef/>
      </w:r>
      <w:r w:rsidR="000C4C45">
        <w:rPr>
          <w:rFonts w:asciiTheme="majorBidi" w:hAnsiTheme="majorBidi" w:cstheme="majorBidi"/>
        </w:rPr>
        <w:t xml:space="preserve"> </w:t>
      </w:r>
      <w:proofErr w:type="gramStart"/>
      <w:r w:rsidR="000C4C45" w:rsidRPr="006235AC">
        <w:rPr>
          <w:rFonts w:asciiTheme="majorBidi" w:hAnsiTheme="majorBidi" w:cstheme="majorBidi"/>
        </w:rPr>
        <w:t>Food and Agriculture Organization St</w:t>
      </w:r>
      <w:r w:rsidR="000C4C45">
        <w:rPr>
          <w:rFonts w:asciiTheme="majorBidi" w:hAnsiTheme="majorBidi" w:cstheme="majorBidi"/>
        </w:rPr>
        <w:t>atistics Division, “Browse Data.</w:t>
      </w:r>
      <w:r w:rsidR="000C4C45" w:rsidRPr="006235AC">
        <w:rPr>
          <w:rFonts w:asciiTheme="majorBidi" w:hAnsiTheme="majorBidi" w:cstheme="majorBidi"/>
        </w:rPr>
        <w:t>”</w:t>
      </w:r>
      <w:proofErr w:type="gramEnd"/>
    </w:p>
  </w:footnote>
  <w:footnote w:id="57">
    <w:p w:rsidR="0057060B" w:rsidRDefault="0057060B" w:rsidP="000C4C45">
      <w:pPr>
        <w:pStyle w:val="FootnoteText"/>
      </w:pPr>
      <w:r>
        <w:rPr>
          <w:rStyle w:val="FootnoteReference"/>
        </w:rPr>
        <w:footnoteRef/>
      </w:r>
      <w:r>
        <w:t xml:space="preserve"> </w:t>
      </w:r>
      <w:r w:rsidR="000C4C45">
        <w:rPr>
          <w:rFonts w:asciiTheme="majorBidi" w:hAnsiTheme="majorBidi" w:cstheme="majorBidi"/>
        </w:rPr>
        <w:t xml:space="preserve">Nicholas Lardy, </w:t>
      </w:r>
      <w:r w:rsidR="000C4C45">
        <w:rPr>
          <w:rFonts w:asciiTheme="majorBidi" w:hAnsiTheme="majorBidi" w:cstheme="majorBidi"/>
          <w:i/>
          <w:iCs/>
        </w:rPr>
        <w:t xml:space="preserve">Agriculture in China’s Modern Economic Development </w:t>
      </w:r>
      <w:r w:rsidR="000C4C45">
        <w:rPr>
          <w:rFonts w:asciiTheme="majorBidi" w:hAnsiTheme="majorBidi" w:cstheme="majorBidi"/>
        </w:rPr>
        <w:t>(</w:t>
      </w:r>
      <w:r w:rsidR="00300FD4">
        <w:rPr>
          <w:rFonts w:asciiTheme="majorBidi" w:hAnsiTheme="majorBidi" w:cstheme="majorBidi"/>
        </w:rPr>
        <w:t>Cambridge:</w:t>
      </w:r>
      <w:r w:rsidR="000C4C45">
        <w:rPr>
          <w:rFonts w:asciiTheme="majorBidi" w:hAnsiTheme="majorBidi" w:cstheme="majorBidi"/>
        </w:rPr>
        <w:t xml:space="preserve"> Cambridge University Press, 1983), 170. </w:t>
      </w:r>
    </w:p>
  </w:footnote>
  <w:footnote w:id="58">
    <w:p w:rsidR="0057060B" w:rsidRPr="00EC534A" w:rsidRDefault="0057060B" w:rsidP="00F7266D">
      <w:pPr>
        <w:pStyle w:val="FootnoteText"/>
        <w:tabs>
          <w:tab w:val="left" w:pos="2450"/>
        </w:tabs>
        <w:rPr>
          <w:rFonts w:asciiTheme="majorBidi" w:hAnsiTheme="majorBidi" w:cstheme="majorBidi"/>
        </w:rPr>
      </w:pPr>
      <w:r w:rsidRPr="00EC534A">
        <w:rPr>
          <w:rStyle w:val="FootnoteReference"/>
          <w:rFonts w:asciiTheme="majorBidi" w:hAnsiTheme="majorBidi" w:cstheme="majorBidi"/>
        </w:rPr>
        <w:footnoteRef/>
      </w:r>
      <w:r w:rsidRPr="00EC534A">
        <w:rPr>
          <w:rFonts w:asciiTheme="majorBidi" w:hAnsiTheme="majorBidi" w:cstheme="majorBidi"/>
        </w:rPr>
        <w:t xml:space="preserve"> </w:t>
      </w:r>
      <w:hyperlink r:id="rId5" w:history="1">
        <w:r w:rsidRPr="00300FD4">
          <w:rPr>
            <w:rFonts w:asciiTheme="majorBidi" w:hAnsiTheme="majorBidi" w:cstheme="majorBidi"/>
          </w:rPr>
          <w:t>The World Bank, “</w:t>
        </w:r>
      </w:hyperlink>
      <w:r w:rsidRPr="00300FD4">
        <w:rPr>
          <w:rStyle w:val="Hyperlink"/>
          <w:rFonts w:asciiTheme="majorBidi" w:hAnsiTheme="majorBidi" w:cstheme="majorBidi"/>
          <w:color w:val="auto"/>
          <w:u w:val="none"/>
          <w:lang w:bidi="ar-EG"/>
        </w:rPr>
        <w:t>Oman: Data.”</w:t>
      </w:r>
      <w:r w:rsidRPr="00300FD4">
        <w:rPr>
          <w:rStyle w:val="Hyperlink"/>
          <w:rFonts w:asciiTheme="majorBidi" w:hAnsiTheme="majorBidi" w:cstheme="majorBidi"/>
          <w:color w:val="auto"/>
          <w:lang w:bidi="ar-EG"/>
        </w:rPr>
        <w:t xml:space="preserve"> </w:t>
      </w:r>
    </w:p>
  </w:footnote>
  <w:footnote w:id="59">
    <w:p w:rsidR="0057060B" w:rsidRPr="00AD02DC" w:rsidRDefault="0057060B" w:rsidP="00300FD4">
      <w:pPr>
        <w:pStyle w:val="FootnoteText"/>
        <w:rPr>
          <w:rFonts w:asciiTheme="majorBidi" w:hAnsiTheme="majorBidi" w:cstheme="majorBidi"/>
        </w:rPr>
      </w:pPr>
      <w:r>
        <w:rPr>
          <w:rStyle w:val="FootnoteReference"/>
        </w:rPr>
        <w:footnoteRef/>
      </w:r>
      <w:r>
        <w:t xml:space="preserve"> </w:t>
      </w:r>
      <w:proofErr w:type="spellStart"/>
      <w:r w:rsidR="00300FD4" w:rsidRPr="00AD02DC">
        <w:rPr>
          <w:rFonts w:asciiTheme="majorBidi" w:hAnsiTheme="majorBidi" w:cstheme="majorBidi"/>
        </w:rPr>
        <w:t>NationMaster</w:t>
      </w:r>
      <w:proofErr w:type="spellEnd"/>
      <w:r w:rsidR="00300FD4" w:rsidRPr="00AD02DC">
        <w:rPr>
          <w:rFonts w:asciiTheme="majorBidi" w:hAnsiTheme="majorBidi" w:cstheme="majorBidi"/>
        </w:rPr>
        <w:t>, “</w:t>
      </w:r>
      <w:r w:rsidR="00300FD4" w:rsidRPr="00AD02DC">
        <w:rPr>
          <w:rFonts w:asciiTheme="majorBidi" w:hAnsiTheme="majorBidi" w:cstheme="majorBidi"/>
        </w:rPr>
        <w:t>Net Migration: Countries Compared,” 2005</w:t>
      </w:r>
      <w:r w:rsidR="00300FD4" w:rsidRPr="00AD02DC">
        <w:rPr>
          <w:rFonts w:asciiTheme="majorBidi" w:hAnsiTheme="majorBidi" w:cstheme="majorBidi"/>
        </w:rPr>
        <w:t>, http://www.nationmaster.com/country-info/stats/People/Migration/Net-migration</w:t>
      </w:r>
      <w:r w:rsidR="00300FD4" w:rsidRPr="00AD02DC">
        <w:rPr>
          <w:rFonts w:asciiTheme="majorBidi" w:hAnsiTheme="majorBidi" w:cstheme="majorBidi"/>
        </w:rPr>
        <w:t xml:space="preserve"> </w:t>
      </w:r>
      <w:r w:rsidR="00300FD4" w:rsidRPr="00AD02DC">
        <w:rPr>
          <w:rFonts w:asciiTheme="majorBidi" w:hAnsiTheme="majorBidi" w:cstheme="majorBidi"/>
        </w:rPr>
        <w:t>(accessed March 12, 2015)</w:t>
      </w:r>
      <w:r w:rsidR="00300FD4" w:rsidRPr="00AD02DC">
        <w:rPr>
          <w:rFonts w:asciiTheme="majorBidi" w:hAnsiTheme="majorBidi" w:cstheme="majorBidi"/>
        </w:rPr>
        <w:t xml:space="preserve"> </w:t>
      </w:r>
    </w:p>
  </w:footnote>
  <w:footnote w:id="60">
    <w:p w:rsidR="0057060B" w:rsidRDefault="0057060B">
      <w:pPr>
        <w:pStyle w:val="FootnoteText"/>
      </w:pPr>
      <w:r w:rsidRPr="00AD02DC">
        <w:rPr>
          <w:rStyle w:val="FootnoteReference"/>
          <w:rFonts w:asciiTheme="majorBidi" w:hAnsiTheme="majorBidi" w:cstheme="majorBidi"/>
        </w:rPr>
        <w:footnoteRef/>
      </w:r>
      <w:r w:rsidRPr="00AD02DC">
        <w:rPr>
          <w:rFonts w:asciiTheme="majorBidi" w:hAnsiTheme="majorBidi" w:cstheme="majorBidi"/>
        </w:rPr>
        <w:t xml:space="preserve"> </w:t>
      </w:r>
      <w:r w:rsidR="00300FD4" w:rsidRPr="00AD02DC">
        <w:rPr>
          <w:rFonts w:asciiTheme="majorBidi" w:hAnsiTheme="majorBidi" w:cstheme="majorBidi"/>
        </w:rPr>
        <w:t xml:space="preserve">Harold </w:t>
      </w:r>
      <w:proofErr w:type="spellStart"/>
      <w:r w:rsidR="00300FD4" w:rsidRPr="00AD02DC">
        <w:rPr>
          <w:rFonts w:asciiTheme="majorBidi" w:hAnsiTheme="majorBidi" w:cstheme="majorBidi"/>
        </w:rPr>
        <w:t>Damerow</w:t>
      </w:r>
      <w:proofErr w:type="spellEnd"/>
      <w:r w:rsidR="00300FD4" w:rsidRPr="00AD02DC">
        <w:rPr>
          <w:rFonts w:asciiTheme="majorBidi" w:hAnsiTheme="majorBidi" w:cstheme="majorBidi"/>
        </w:rPr>
        <w:t xml:space="preserve">, “Population Geography,” </w:t>
      </w:r>
      <w:r w:rsidR="00AD02DC" w:rsidRPr="00AD02DC">
        <w:rPr>
          <w:rFonts w:asciiTheme="majorBidi" w:hAnsiTheme="majorBidi" w:cstheme="majorBidi"/>
        </w:rPr>
        <w:t xml:space="preserve">Union County College, January 2015, </w:t>
      </w:r>
      <w:r w:rsidRPr="00AD02DC">
        <w:rPr>
          <w:rFonts w:asciiTheme="majorBidi" w:hAnsiTheme="majorBidi" w:cstheme="majorBidi"/>
        </w:rPr>
        <w:t>http://faculty.ucc.edu/egh-damerow/population_geography.htm</w:t>
      </w:r>
      <w:r w:rsidR="00AD02DC" w:rsidRPr="00AD02DC">
        <w:rPr>
          <w:rFonts w:asciiTheme="majorBidi" w:hAnsiTheme="majorBidi" w:cstheme="majorBidi"/>
        </w:rPr>
        <w:t xml:space="preserve"> (accessed March 2, 2015).</w:t>
      </w:r>
    </w:p>
  </w:footnote>
  <w:footnote w:id="61">
    <w:p w:rsidR="0057060B" w:rsidRPr="00860028" w:rsidRDefault="0057060B" w:rsidP="00B93DAC">
      <w:pPr>
        <w:pStyle w:val="FootnoteText"/>
      </w:pPr>
      <w:r w:rsidRPr="00EC534A">
        <w:rPr>
          <w:rStyle w:val="FootnoteReference"/>
          <w:rFonts w:asciiTheme="majorBidi" w:hAnsiTheme="majorBidi" w:cstheme="majorBidi"/>
        </w:rPr>
        <w:footnoteRef/>
      </w:r>
      <w:r w:rsidR="00F66132">
        <w:t xml:space="preserve"> </w:t>
      </w:r>
      <w:r w:rsidR="0000609F">
        <w:rPr>
          <w:rFonts w:asciiTheme="majorBidi" w:hAnsiTheme="majorBidi" w:cstheme="majorBidi"/>
        </w:rPr>
        <w:t>The World Bank, “Oman: Data</w:t>
      </w:r>
      <w:r w:rsidR="00F66132" w:rsidRPr="00DC4D6A">
        <w:rPr>
          <w:rFonts w:asciiTheme="majorBidi" w:hAnsiTheme="majorBidi" w:cstheme="majorBidi"/>
        </w:rPr>
        <w:t>”</w:t>
      </w:r>
    </w:p>
  </w:footnote>
  <w:footnote w:id="62">
    <w:p w:rsidR="0057060B" w:rsidRDefault="0057060B" w:rsidP="00F66132">
      <w:pPr>
        <w:pStyle w:val="FootnoteText"/>
      </w:pPr>
      <w:r>
        <w:rPr>
          <w:rStyle w:val="FootnoteReference"/>
        </w:rPr>
        <w:footnoteRef/>
      </w:r>
      <w:r w:rsidR="00F66132">
        <w:t xml:space="preserve"> </w:t>
      </w:r>
      <w:r w:rsidR="00F66132" w:rsidRPr="00F66132">
        <w:rPr>
          <w:rFonts w:asciiTheme="majorBidi" w:hAnsiTheme="majorBidi" w:cstheme="majorBidi"/>
        </w:rPr>
        <w:t xml:space="preserve">Tatyana </w:t>
      </w:r>
      <w:proofErr w:type="spellStart"/>
      <w:r w:rsidR="00F66132" w:rsidRPr="00F66132">
        <w:rPr>
          <w:rFonts w:asciiTheme="majorBidi" w:hAnsiTheme="majorBidi" w:cstheme="majorBidi"/>
        </w:rPr>
        <w:t>Soubbotina</w:t>
      </w:r>
      <w:proofErr w:type="spellEnd"/>
      <w:r w:rsidR="00F66132" w:rsidRPr="00F66132">
        <w:rPr>
          <w:rFonts w:asciiTheme="majorBidi" w:hAnsiTheme="majorBidi" w:cstheme="majorBidi"/>
        </w:rPr>
        <w:t xml:space="preserve">, “Beyond Economic Growth: An Introduction to Sustainable Development,” The World Bank Institute, September 2004, </w:t>
      </w:r>
      <w:r w:rsidRPr="00F66132">
        <w:rPr>
          <w:rFonts w:asciiTheme="majorBidi" w:hAnsiTheme="majorBidi" w:cstheme="majorBidi"/>
        </w:rPr>
        <w:t>http://www.worldbank.org/depweb/beyond/beyondco/beg_03.pdf</w:t>
      </w:r>
      <w:r w:rsidR="00F66132" w:rsidRPr="00F66132">
        <w:rPr>
          <w:rFonts w:asciiTheme="majorBidi" w:hAnsiTheme="majorBidi" w:cstheme="majorBidi"/>
        </w:rPr>
        <w:t xml:space="preserve"> </w:t>
      </w:r>
      <w:r w:rsidR="0000609F">
        <w:rPr>
          <w:rFonts w:asciiTheme="majorBidi" w:hAnsiTheme="majorBidi" w:cstheme="majorBidi"/>
        </w:rPr>
        <w:t>(accessed November 28, 2014)</w:t>
      </w:r>
    </w:p>
  </w:footnote>
  <w:footnote w:id="63">
    <w:p w:rsidR="0057060B" w:rsidRPr="00F36630" w:rsidRDefault="0057060B" w:rsidP="00EB0086">
      <w:pPr>
        <w:pStyle w:val="FootnoteText"/>
        <w:rPr>
          <w:rFonts w:asciiTheme="majorBidi" w:hAnsiTheme="majorBidi" w:cstheme="majorBidi"/>
          <w:i/>
          <w:iCs/>
        </w:rPr>
      </w:pPr>
      <w:r w:rsidRPr="00F36630">
        <w:rPr>
          <w:rStyle w:val="FootnoteReference"/>
          <w:rFonts w:asciiTheme="majorBidi" w:hAnsiTheme="majorBidi"/>
        </w:rPr>
        <w:footnoteRef/>
      </w:r>
      <w:r w:rsidRPr="00F36630">
        <w:rPr>
          <w:rFonts w:asciiTheme="majorBidi" w:hAnsiTheme="majorBidi" w:cstheme="majorBidi"/>
        </w:rPr>
        <w:t xml:space="preserve"> </w:t>
      </w:r>
      <w:proofErr w:type="spellStart"/>
      <w:proofErr w:type="gramStart"/>
      <w:r w:rsidR="00EB0086" w:rsidRPr="006235AC">
        <w:rPr>
          <w:rFonts w:asciiTheme="majorBidi" w:hAnsiTheme="majorBidi" w:cstheme="majorBidi"/>
        </w:rPr>
        <w:t>Hartwig</w:t>
      </w:r>
      <w:proofErr w:type="spellEnd"/>
      <w:r w:rsidR="00EB0086" w:rsidRPr="006235AC">
        <w:rPr>
          <w:rFonts w:asciiTheme="majorBidi" w:hAnsiTheme="majorBidi" w:cstheme="majorBidi"/>
        </w:rPr>
        <w:t xml:space="preserve"> de </w:t>
      </w:r>
      <w:proofErr w:type="spellStart"/>
      <w:r w:rsidR="00EB0086" w:rsidRPr="006235AC">
        <w:rPr>
          <w:rFonts w:asciiTheme="majorBidi" w:hAnsiTheme="majorBidi" w:cstheme="majorBidi"/>
        </w:rPr>
        <w:t>Haen</w:t>
      </w:r>
      <w:proofErr w:type="spellEnd"/>
      <w:r w:rsidR="00EB0086" w:rsidRPr="006235AC">
        <w:rPr>
          <w:rFonts w:asciiTheme="majorBidi" w:hAnsiTheme="majorBidi" w:cstheme="majorBidi"/>
        </w:rPr>
        <w:t xml:space="preserve"> and others, “The State of Food Insecurity in the World,” Food and Agriculture Organization Economic and Social Development Department, http://www.fao.org/economic/en/#.UtNbmdJDtgg (accessed December 02, 2013).</w:t>
      </w:r>
      <w:proofErr w:type="gramEnd"/>
    </w:p>
  </w:footnote>
  <w:footnote w:id="64">
    <w:p w:rsidR="00EB0086" w:rsidRPr="00E02E4D" w:rsidRDefault="00EB0086" w:rsidP="001E7227">
      <w:pPr>
        <w:pStyle w:val="FootnoteText"/>
        <w:rPr>
          <w:rFonts w:asciiTheme="majorBidi" w:hAnsiTheme="majorBidi" w:cstheme="majorBidi"/>
        </w:rPr>
      </w:pPr>
      <w:r w:rsidRPr="00E02E4D">
        <w:rPr>
          <w:rStyle w:val="FootnoteReference"/>
          <w:rFonts w:asciiTheme="majorBidi" w:hAnsiTheme="majorBidi" w:cstheme="majorBidi"/>
        </w:rPr>
        <w:footnoteRef/>
      </w:r>
      <w:r w:rsidRPr="00E02E4D">
        <w:rPr>
          <w:rFonts w:asciiTheme="majorBidi" w:hAnsiTheme="majorBidi" w:cstheme="majorBidi"/>
        </w:rPr>
        <w:t xml:space="preserve"> </w:t>
      </w:r>
      <w:proofErr w:type="gramStart"/>
      <w:r w:rsidR="001E7227" w:rsidRPr="006235AC">
        <w:rPr>
          <w:rFonts w:asciiTheme="majorBidi" w:hAnsiTheme="majorBidi" w:cstheme="majorBidi"/>
        </w:rPr>
        <w:t>Food and Agriculture Organization St</w:t>
      </w:r>
      <w:r w:rsidR="001E7227">
        <w:rPr>
          <w:rFonts w:asciiTheme="majorBidi" w:hAnsiTheme="majorBidi" w:cstheme="majorBidi"/>
        </w:rPr>
        <w:t>atistics Division, “Browse Data.</w:t>
      </w:r>
      <w:r w:rsidR="001E7227" w:rsidRPr="006235AC">
        <w:rPr>
          <w:rFonts w:asciiTheme="majorBidi" w:hAnsiTheme="majorBidi" w:cstheme="majorBidi"/>
        </w:rPr>
        <w:t>”</w:t>
      </w:r>
      <w:proofErr w:type="gramEnd"/>
    </w:p>
  </w:footnote>
  <w:footnote w:id="65">
    <w:p w:rsidR="0057060B" w:rsidRPr="00E02E4D" w:rsidRDefault="0057060B" w:rsidP="00F7266D">
      <w:pPr>
        <w:pStyle w:val="FootnoteText"/>
        <w:rPr>
          <w:rFonts w:asciiTheme="majorBidi" w:hAnsiTheme="majorBidi" w:cstheme="majorBidi"/>
        </w:rPr>
      </w:pPr>
      <w:r w:rsidRPr="00E02E4D">
        <w:rPr>
          <w:rStyle w:val="FootnoteReference"/>
          <w:rFonts w:asciiTheme="majorBidi" w:hAnsiTheme="majorBidi" w:cstheme="majorBidi"/>
        </w:rPr>
        <w:footnoteRef/>
      </w:r>
      <w:r w:rsidRPr="00E02E4D">
        <w:rPr>
          <w:rFonts w:asciiTheme="majorBidi" w:hAnsiTheme="majorBidi" w:cstheme="majorBidi"/>
        </w:rPr>
        <w:t xml:space="preserve"> </w:t>
      </w:r>
      <w:proofErr w:type="gramStart"/>
      <w:r w:rsidRPr="00E02E4D">
        <w:rPr>
          <w:rFonts w:asciiTheme="majorBidi" w:hAnsiTheme="majorBidi" w:cstheme="majorBidi"/>
        </w:rPr>
        <w:t>GRM International, “Phase 1 Report.”</w:t>
      </w:r>
      <w:proofErr w:type="gramEnd"/>
    </w:p>
  </w:footnote>
  <w:footnote w:id="66">
    <w:p w:rsidR="0057060B" w:rsidRPr="001E7227" w:rsidRDefault="0057060B" w:rsidP="001E7227">
      <w:pPr>
        <w:pStyle w:val="FootnoteText"/>
        <w:rPr>
          <w:rFonts w:asciiTheme="majorBidi" w:hAnsiTheme="majorBidi" w:cstheme="majorBidi"/>
        </w:rPr>
      </w:pPr>
      <w:r>
        <w:rPr>
          <w:rStyle w:val="FootnoteReference"/>
        </w:rPr>
        <w:footnoteRef/>
      </w:r>
      <w:r>
        <w:t xml:space="preserve"> </w:t>
      </w:r>
      <w:proofErr w:type="spellStart"/>
      <w:r w:rsidR="001E7227" w:rsidRPr="001E7227">
        <w:rPr>
          <w:rFonts w:asciiTheme="majorBidi" w:hAnsiTheme="majorBidi" w:cstheme="majorBidi"/>
        </w:rPr>
        <w:t>Nirali</w:t>
      </w:r>
      <w:proofErr w:type="spellEnd"/>
      <w:r w:rsidR="001E7227" w:rsidRPr="001E7227">
        <w:rPr>
          <w:rFonts w:asciiTheme="majorBidi" w:hAnsiTheme="majorBidi" w:cstheme="majorBidi"/>
        </w:rPr>
        <w:t xml:space="preserve"> </w:t>
      </w:r>
      <w:proofErr w:type="spellStart"/>
      <w:r w:rsidR="001E7227" w:rsidRPr="001E7227">
        <w:rPr>
          <w:rFonts w:asciiTheme="majorBidi" w:hAnsiTheme="majorBidi" w:cstheme="majorBidi"/>
        </w:rPr>
        <w:t>Prakashan</w:t>
      </w:r>
      <w:proofErr w:type="spellEnd"/>
      <w:r w:rsidR="001E7227" w:rsidRPr="001E7227">
        <w:rPr>
          <w:rFonts w:asciiTheme="majorBidi" w:hAnsiTheme="majorBidi" w:cstheme="majorBidi"/>
        </w:rPr>
        <w:t xml:space="preserve">, </w:t>
      </w:r>
      <w:r w:rsidR="001E7227" w:rsidRPr="001E7227">
        <w:rPr>
          <w:rFonts w:asciiTheme="majorBidi" w:hAnsiTheme="majorBidi" w:cstheme="majorBidi"/>
          <w:i/>
          <w:iCs/>
        </w:rPr>
        <w:t xml:space="preserve">A Text Book of Nutrition for Nurses </w:t>
      </w:r>
      <w:r w:rsidR="001E7227" w:rsidRPr="001E7227">
        <w:rPr>
          <w:rFonts w:asciiTheme="majorBidi" w:hAnsiTheme="majorBidi" w:cstheme="majorBidi"/>
        </w:rPr>
        <w:t xml:space="preserve">(Mumbai: </w:t>
      </w:r>
      <w:proofErr w:type="spellStart"/>
      <w:r w:rsidR="001E7227" w:rsidRPr="001E7227">
        <w:rPr>
          <w:rFonts w:asciiTheme="majorBidi" w:hAnsiTheme="majorBidi" w:cstheme="majorBidi"/>
        </w:rPr>
        <w:t>Pragati</w:t>
      </w:r>
      <w:proofErr w:type="spellEnd"/>
      <w:r w:rsidR="001E7227" w:rsidRPr="001E7227">
        <w:rPr>
          <w:rFonts w:asciiTheme="majorBidi" w:hAnsiTheme="majorBidi" w:cstheme="majorBidi"/>
        </w:rPr>
        <w:t xml:space="preserve"> Books, 2008), 4. </w:t>
      </w:r>
    </w:p>
  </w:footnote>
  <w:footnote w:id="67">
    <w:p w:rsidR="0057060B" w:rsidRPr="001E7227" w:rsidRDefault="0057060B" w:rsidP="001E7227">
      <w:pPr>
        <w:pStyle w:val="FootnoteText"/>
        <w:rPr>
          <w:rFonts w:asciiTheme="majorBidi" w:hAnsiTheme="majorBidi" w:cstheme="majorBidi"/>
        </w:rPr>
      </w:pPr>
      <w:r>
        <w:rPr>
          <w:rStyle w:val="FootnoteReference"/>
        </w:rPr>
        <w:footnoteRef/>
      </w:r>
      <w:r>
        <w:t xml:space="preserve"> </w:t>
      </w:r>
      <w:r w:rsidR="001E7227" w:rsidRPr="001E7227">
        <w:rPr>
          <w:rFonts w:asciiTheme="majorBidi" w:hAnsiTheme="majorBidi" w:cstheme="majorBidi"/>
        </w:rPr>
        <w:t xml:space="preserve">Joel Cohen, </w:t>
      </w:r>
      <w:r w:rsidR="001E7227" w:rsidRPr="001E7227">
        <w:rPr>
          <w:rFonts w:asciiTheme="majorBidi" w:hAnsiTheme="majorBidi" w:cstheme="majorBidi"/>
          <w:i/>
          <w:iCs/>
        </w:rPr>
        <w:t xml:space="preserve">How Many People Can the Earth Support? </w:t>
      </w:r>
      <w:proofErr w:type="gramStart"/>
      <w:r w:rsidR="001E7227" w:rsidRPr="001E7227">
        <w:rPr>
          <w:rFonts w:asciiTheme="majorBidi" w:hAnsiTheme="majorBidi" w:cstheme="majorBidi"/>
        </w:rPr>
        <w:t>(New York: W.W. Norton, 1995), 219.</w:t>
      </w:r>
      <w:proofErr w:type="gramEnd"/>
    </w:p>
  </w:footnote>
  <w:footnote w:id="68">
    <w:p w:rsidR="0057060B" w:rsidRPr="00860028" w:rsidRDefault="0057060B" w:rsidP="008E3CE4">
      <w:pPr>
        <w:pStyle w:val="FootnoteText"/>
      </w:pPr>
      <w:r w:rsidRPr="00E02E4D">
        <w:rPr>
          <w:rStyle w:val="FootnoteReference"/>
          <w:rFonts w:asciiTheme="majorBidi" w:hAnsiTheme="majorBidi" w:cstheme="majorBidi"/>
        </w:rPr>
        <w:footnoteRef/>
      </w:r>
      <w:r w:rsidR="00772A35">
        <w:rPr>
          <w:rFonts w:asciiTheme="majorBidi" w:hAnsiTheme="majorBidi" w:cstheme="majorBidi"/>
        </w:rPr>
        <w:t xml:space="preserve"> Centers for Disease Control and Prevention, “Losing Weight,” August 17, 2011, </w:t>
      </w:r>
      <w:r w:rsidRPr="008E3CE4">
        <w:rPr>
          <w:rFonts w:asciiTheme="majorBidi" w:hAnsiTheme="majorBidi" w:cstheme="majorBidi"/>
        </w:rPr>
        <w:t>http://www.cdc.gov/HEALTHYWEIGHT/LOSING_WEIGHT/INDEX.HTML</w:t>
      </w:r>
      <w:r w:rsidR="00772A35">
        <w:rPr>
          <w:rFonts w:asciiTheme="majorBidi" w:hAnsiTheme="majorBidi" w:cstheme="majorBidi"/>
        </w:rPr>
        <w:t xml:space="preserve"> (accessed Novem</w:t>
      </w:r>
      <w:r w:rsidR="0000609F">
        <w:rPr>
          <w:rFonts w:asciiTheme="majorBidi" w:hAnsiTheme="majorBidi" w:cstheme="majorBidi"/>
        </w:rPr>
        <w:t>ber 27, 2014).</w:t>
      </w:r>
    </w:p>
  </w:footnote>
  <w:footnote w:id="69">
    <w:p w:rsidR="0057060B" w:rsidRDefault="0057060B">
      <w:pPr>
        <w:pStyle w:val="FootnoteText"/>
      </w:pPr>
      <w:r>
        <w:rPr>
          <w:rStyle w:val="FootnoteReference"/>
        </w:rPr>
        <w:footnoteRef/>
      </w:r>
      <w:r>
        <w:t xml:space="preserve"> </w:t>
      </w:r>
      <w:r w:rsidR="0000609F">
        <w:rPr>
          <w:rFonts w:asciiTheme="majorBidi" w:hAnsiTheme="majorBidi" w:cstheme="majorBidi"/>
        </w:rPr>
        <w:t>The World Bank, “Oman: Data</w:t>
      </w:r>
      <w:r w:rsidR="0000609F">
        <w:rPr>
          <w:rFonts w:asciiTheme="majorBidi" w:hAnsiTheme="majorBidi" w:cstheme="majorBidi"/>
        </w:rPr>
        <w:t>.</w:t>
      </w:r>
      <w:r w:rsidR="0000609F" w:rsidRPr="00DC4D6A">
        <w:rPr>
          <w:rFonts w:asciiTheme="majorBidi" w:hAnsiTheme="majorBidi" w:cstheme="majorBidi"/>
        </w:rPr>
        <w:t>”</w:t>
      </w:r>
    </w:p>
  </w:footnote>
  <w:footnote w:id="70">
    <w:p w:rsidR="0057060B" w:rsidRPr="0000609F" w:rsidRDefault="0057060B">
      <w:pPr>
        <w:pStyle w:val="FootnoteText"/>
        <w:rPr>
          <w:rFonts w:asciiTheme="majorBidi" w:hAnsiTheme="majorBidi" w:cstheme="majorBidi"/>
        </w:rPr>
      </w:pPr>
      <w:r w:rsidRPr="0000609F">
        <w:rPr>
          <w:rStyle w:val="FootnoteReference"/>
          <w:rFonts w:asciiTheme="majorBidi" w:hAnsiTheme="majorBidi" w:cstheme="majorBidi"/>
        </w:rPr>
        <w:footnoteRef/>
      </w:r>
      <w:r w:rsidRPr="0000609F">
        <w:rPr>
          <w:rFonts w:asciiTheme="majorBidi" w:hAnsiTheme="majorBidi" w:cstheme="majorBidi"/>
        </w:rPr>
        <w:t xml:space="preserve"> </w:t>
      </w:r>
      <w:r w:rsidR="0000609F" w:rsidRPr="0000609F">
        <w:rPr>
          <w:rFonts w:asciiTheme="majorBidi" w:hAnsiTheme="majorBidi" w:cstheme="majorBidi"/>
        </w:rPr>
        <w:t>Tim Bowler, “Failing Oil Prices: Who are the Winners and Losers</w:t>
      </w:r>
      <w:proofErr w:type="gramStart"/>
      <w:r w:rsidR="0000609F" w:rsidRPr="0000609F">
        <w:rPr>
          <w:rFonts w:asciiTheme="majorBidi" w:hAnsiTheme="majorBidi" w:cstheme="majorBidi"/>
        </w:rPr>
        <w:t>?,</w:t>
      </w:r>
      <w:proofErr w:type="gramEnd"/>
      <w:r w:rsidR="0000609F" w:rsidRPr="0000609F">
        <w:rPr>
          <w:rFonts w:asciiTheme="majorBidi" w:hAnsiTheme="majorBidi" w:cstheme="majorBidi"/>
        </w:rPr>
        <w:t xml:space="preserve">” BBC News, January 19, 2015,  </w:t>
      </w:r>
      <w:r w:rsidRPr="0000609F">
        <w:rPr>
          <w:rFonts w:asciiTheme="majorBidi" w:hAnsiTheme="majorBidi" w:cstheme="majorBidi"/>
        </w:rPr>
        <w:t>http://www.bbc.com/news/business-29643612</w:t>
      </w:r>
      <w:r w:rsidR="0000609F" w:rsidRPr="0000609F">
        <w:rPr>
          <w:rFonts w:asciiTheme="majorBidi" w:hAnsiTheme="majorBidi" w:cstheme="majorBidi"/>
        </w:rPr>
        <w:t xml:space="preserve"> (accessed February 28, 2015). </w:t>
      </w:r>
    </w:p>
  </w:footnote>
  <w:footnote w:id="71">
    <w:p w:rsidR="0057060B" w:rsidRDefault="0057060B">
      <w:pPr>
        <w:pStyle w:val="FootnoteText"/>
      </w:pPr>
      <w:r w:rsidRPr="0000609F">
        <w:rPr>
          <w:rStyle w:val="FootnoteReference"/>
          <w:rFonts w:asciiTheme="majorBidi" w:hAnsiTheme="majorBidi" w:cstheme="majorBidi"/>
        </w:rPr>
        <w:footnoteRef/>
      </w:r>
      <w:r w:rsidRPr="0000609F">
        <w:rPr>
          <w:rFonts w:asciiTheme="majorBidi" w:hAnsiTheme="majorBidi" w:cstheme="majorBidi"/>
        </w:rPr>
        <w:t xml:space="preserve"> Ibid</w:t>
      </w:r>
    </w:p>
  </w:footnote>
  <w:footnote w:id="72">
    <w:p w:rsidR="009C6084" w:rsidRDefault="009C6084">
      <w:pPr>
        <w:pStyle w:val="FootnoteText"/>
      </w:pPr>
      <w:r>
        <w:rPr>
          <w:rStyle w:val="FootnoteReference"/>
        </w:rPr>
        <w:footnoteRef/>
      </w:r>
      <w:r>
        <w:t xml:space="preserve"> </w:t>
      </w:r>
      <w:r w:rsidRPr="009C6084">
        <w:rPr>
          <w:rFonts w:asciiTheme="majorBidi" w:hAnsiTheme="majorBidi" w:cstheme="majorBidi"/>
        </w:rPr>
        <w:t xml:space="preserve">A.E. James, “Oman Expatriate Population Touches 1.766 Million,” Times of Oman, April 6, 2014, http://bluecodedesoft.timesofoman.com/news/32073/Article-Oman-expatriate-population-touches-1%20766-million (accessed November 5, 2014). </w:t>
      </w:r>
    </w:p>
  </w:footnote>
  <w:footnote w:id="73">
    <w:p w:rsidR="0057060B" w:rsidRPr="00FF03DE" w:rsidRDefault="0057060B" w:rsidP="00FF03DE">
      <w:pPr>
        <w:pStyle w:val="FootnoteText"/>
        <w:rPr>
          <w:rFonts w:asciiTheme="majorBidi" w:hAnsiTheme="majorBidi" w:cstheme="majorBidi"/>
        </w:rPr>
      </w:pPr>
      <w:r w:rsidRPr="00FF03DE">
        <w:rPr>
          <w:rStyle w:val="FootnoteReference"/>
          <w:rFonts w:asciiTheme="majorBidi" w:hAnsiTheme="majorBidi" w:cstheme="majorBidi"/>
        </w:rPr>
        <w:footnoteRef/>
      </w:r>
      <w:r w:rsidR="00FF03DE" w:rsidRPr="00FF03DE">
        <w:rPr>
          <w:rFonts w:asciiTheme="majorBidi" w:hAnsiTheme="majorBidi" w:cstheme="majorBidi"/>
        </w:rPr>
        <w:t xml:space="preserve"> </w:t>
      </w:r>
      <w:proofErr w:type="gramStart"/>
      <w:r w:rsidR="00FF03DE" w:rsidRPr="00FF03DE">
        <w:rPr>
          <w:rFonts w:asciiTheme="majorBidi" w:hAnsiTheme="majorBidi" w:cstheme="majorBidi"/>
        </w:rPr>
        <w:t xml:space="preserve">Rajiv Sinha and </w:t>
      </w:r>
      <w:proofErr w:type="spellStart"/>
      <w:r w:rsidR="00FF03DE" w:rsidRPr="00FF03DE">
        <w:rPr>
          <w:rFonts w:asciiTheme="majorBidi" w:hAnsiTheme="majorBidi" w:cstheme="majorBidi"/>
        </w:rPr>
        <w:t>Rasik</w:t>
      </w:r>
      <w:proofErr w:type="spellEnd"/>
      <w:r w:rsidR="00FF03DE" w:rsidRPr="00FF03DE">
        <w:rPr>
          <w:rFonts w:asciiTheme="majorBidi" w:hAnsiTheme="majorBidi" w:cstheme="majorBidi"/>
        </w:rPr>
        <w:t xml:space="preserve"> </w:t>
      </w:r>
      <w:proofErr w:type="spellStart"/>
      <w:r w:rsidR="00FF03DE" w:rsidRPr="00FF03DE">
        <w:rPr>
          <w:rFonts w:asciiTheme="majorBidi" w:hAnsiTheme="majorBidi" w:cstheme="majorBidi"/>
        </w:rPr>
        <w:t>Ravindra</w:t>
      </w:r>
      <w:proofErr w:type="spellEnd"/>
      <w:r w:rsidR="00FF03DE" w:rsidRPr="00FF03DE">
        <w:rPr>
          <w:rFonts w:asciiTheme="majorBidi" w:hAnsiTheme="majorBidi" w:cstheme="majorBidi"/>
        </w:rPr>
        <w:t>, “Earth System Processes and Disaster Management,” Springer Science &amp; Business Media, August 13, 2012, 172.</w:t>
      </w:r>
      <w:proofErr w:type="gramEnd"/>
    </w:p>
  </w:footnote>
  <w:footnote w:id="74">
    <w:p w:rsidR="0057060B" w:rsidRDefault="0057060B" w:rsidP="005E34BC">
      <w:pPr>
        <w:pStyle w:val="FootnoteText"/>
      </w:pPr>
      <w:r w:rsidRPr="00FF03DE">
        <w:rPr>
          <w:rStyle w:val="FootnoteReference"/>
          <w:rFonts w:asciiTheme="majorBidi" w:hAnsiTheme="majorBidi" w:cstheme="majorBidi"/>
        </w:rPr>
        <w:footnoteRef/>
      </w:r>
      <w:r w:rsidRPr="00FF03DE">
        <w:rPr>
          <w:rFonts w:asciiTheme="majorBidi" w:hAnsiTheme="majorBidi" w:cstheme="majorBidi"/>
        </w:rPr>
        <w:t xml:space="preserve"> Ibid.</w:t>
      </w:r>
    </w:p>
  </w:footnote>
  <w:footnote w:id="75">
    <w:p w:rsidR="0057060B" w:rsidRDefault="0057060B">
      <w:pPr>
        <w:pStyle w:val="FootnoteText"/>
      </w:pPr>
      <w:r>
        <w:rPr>
          <w:rStyle w:val="FootnoteReference"/>
        </w:rPr>
        <w:footnoteRef/>
      </w:r>
      <w:r>
        <w:t xml:space="preserve"> </w:t>
      </w:r>
      <w:proofErr w:type="gramStart"/>
      <w:r w:rsidR="00FF03DE" w:rsidRPr="00FF03DE">
        <w:rPr>
          <w:rFonts w:asciiTheme="majorBidi" w:hAnsiTheme="majorBidi" w:cstheme="majorBidi"/>
        </w:rPr>
        <w:t xml:space="preserve">Othman Al-Alawi, “Drought Conditions and Management Strategies in Sultanate of Oman,” Ministry of Agriculture and Fisheries, 2014, </w:t>
      </w:r>
      <w:r w:rsidRPr="00FF03DE">
        <w:rPr>
          <w:rFonts w:asciiTheme="majorBidi" w:hAnsiTheme="majorBidi" w:cstheme="majorBidi"/>
        </w:rPr>
        <w:t>http://www.ais.unwater.org/ais/pluginfile.php/605/mod_page/content/22/Oman.pdf</w:t>
      </w:r>
      <w:r w:rsidR="00FF03DE" w:rsidRPr="00FF03DE">
        <w:rPr>
          <w:rFonts w:asciiTheme="majorBidi" w:hAnsiTheme="majorBidi" w:cstheme="majorBidi"/>
        </w:rPr>
        <w:t xml:space="preserve"> (accessed March 3, 2015).</w:t>
      </w:r>
      <w:proofErr w:type="gramEnd"/>
      <w:r w:rsidR="00FF03DE">
        <w:t xml:space="preserve"> </w:t>
      </w:r>
    </w:p>
  </w:footnote>
  <w:footnote w:id="76">
    <w:p w:rsidR="00FF03DE" w:rsidRDefault="00FF03DE">
      <w:pPr>
        <w:pStyle w:val="FootnoteText"/>
      </w:pPr>
      <w:r>
        <w:rPr>
          <w:rStyle w:val="FootnoteReference"/>
        </w:rPr>
        <w:footnoteRef/>
      </w:r>
      <w:r>
        <w:t xml:space="preserve"> </w:t>
      </w:r>
      <w:proofErr w:type="spellStart"/>
      <w:proofErr w:type="gramStart"/>
      <w:r w:rsidRPr="000C4C45">
        <w:rPr>
          <w:rFonts w:asciiTheme="majorBidi" w:hAnsiTheme="majorBidi" w:cstheme="majorBidi"/>
        </w:rPr>
        <w:t>Woertz</w:t>
      </w:r>
      <w:proofErr w:type="spellEnd"/>
      <w:r>
        <w:rPr>
          <w:rFonts w:asciiTheme="majorBidi" w:hAnsiTheme="majorBidi" w:cstheme="majorBidi"/>
        </w:rPr>
        <w:t xml:space="preserve"> 214.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48496"/>
      <w:docPartObj>
        <w:docPartGallery w:val="Page Numbers (Top of Page)"/>
        <w:docPartUnique/>
      </w:docPartObj>
    </w:sdtPr>
    <w:sdtEndPr>
      <w:rPr>
        <w:rFonts w:asciiTheme="majorBidi" w:hAnsiTheme="majorBidi" w:cstheme="majorBidi"/>
        <w:noProof/>
        <w:sz w:val="24"/>
        <w:szCs w:val="24"/>
      </w:rPr>
    </w:sdtEndPr>
    <w:sdtContent>
      <w:p w:rsidR="0057060B" w:rsidRPr="00FC3A4B" w:rsidRDefault="0057060B">
        <w:pPr>
          <w:pStyle w:val="Header"/>
          <w:jc w:val="right"/>
          <w:rPr>
            <w:rFonts w:asciiTheme="majorBidi" w:hAnsiTheme="majorBidi" w:cstheme="majorBidi"/>
            <w:sz w:val="24"/>
            <w:szCs w:val="24"/>
          </w:rPr>
        </w:pPr>
        <w:r w:rsidRPr="00FC3A4B">
          <w:rPr>
            <w:rFonts w:asciiTheme="majorBidi" w:hAnsiTheme="majorBidi" w:cstheme="majorBidi"/>
            <w:sz w:val="24"/>
            <w:szCs w:val="24"/>
          </w:rPr>
          <w:fldChar w:fldCharType="begin"/>
        </w:r>
        <w:r w:rsidRPr="00FC3A4B">
          <w:rPr>
            <w:rFonts w:asciiTheme="majorBidi" w:hAnsiTheme="majorBidi" w:cstheme="majorBidi"/>
            <w:sz w:val="24"/>
            <w:szCs w:val="24"/>
          </w:rPr>
          <w:instrText xml:space="preserve"> PAGE   \* MERGEFORMAT </w:instrText>
        </w:r>
        <w:r w:rsidRPr="00FC3A4B">
          <w:rPr>
            <w:rFonts w:asciiTheme="majorBidi" w:hAnsiTheme="majorBidi" w:cstheme="majorBidi"/>
            <w:sz w:val="24"/>
            <w:szCs w:val="24"/>
          </w:rPr>
          <w:fldChar w:fldCharType="separate"/>
        </w:r>
        <w:r w:rsidR="000227F2">
          <w:rPr>
            <w:rFonts w:asciiTheme="majorBidi" w:hAnsiTheme="majorBidi" w:cstheme="majorBidi"/>
            <w:noProof/>
            <w:sz w:val="24"/>
            <w:szCs w:val="24"/>
          </w:rPr>
          <w:t>40</w:t>
        </w:r>
        <w:r w:rsidRPr="00FC3A4B">
          <w:rPr>
            <w:rFonts w:asciiTheme="majorBidi" w:hAnsiTheme="majorBidi" w:cstheme="majorBidi"/>
            <w:noProof/>
            <w:sz w:val="24"/>
            <w:szCs w:val="24"/>
          </w:rPr>
          <w:fldChar w:fldCharType="end"/>
        </w:r>
      </w:p>
    </w:sdtContent>
  </w:sdt>
  <w:p w:rsidR="0057060B" w:rsidRPr="00FC3A4B" w:rsidRDefault="0057060B" w:rsidP="00FC3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7549"/>
    <w:multiLevelType w:val="hybridMultilevel"/>
    <w:tmpl w:val="17881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F06F6"/>
    <w:multiLevelType w:val="hybridMultilevel"/>
    <w:tmpl w:val="F488ADD8"/>
    <w:lvl w:ilvl="0" w:tplc="372CFA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963026"/>
    <w:multiLevelType w:val="hybridMultilevel"/>
    <w:tmpl w:val="CF9AE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003D5"/>
    <w:multiLevelType w:val="hybridMultilevel"/>
    <w:tmpl w:val="13E80A6C"/>
    <w:lvl w:ilvl="0" w:tplc="16F28D4C">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
    <w:nsid w:val="302E14E5"/>
    <w:multiLevelType w:val="hybridMultilevel"/>
    <w:tmpl w:val="2C96F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E7D7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336F6EE3"/>
    <w:multiLevelType w:val="hybridMultilevel"/>
    <w:tmpl w:val="80A843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F11E0"/>
    <w:multiLevelType w:val="hybridMultilevel"/>
    <w:tmpl w:val="80A84352"/>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4633671A"/>
    <w:multiLevelType w:val="hybridMultilevel"/>
    <w:tmpl w:val="13E80A6C"/>
    <w:lvl w:ilvl="0" w:tplc="16F28D4C">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4A0723C1"/>
    <w:multiLevelType w:val="hybridMultilevel"/>
    <w:tmpl w:val="2C68FC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643EB"/>
    <w:multiLevelType w:val="hybridMultilevel"/>
    <w:tmpl w:val="6AB41DF2"/>
    <w:lvl w:ilvl="0" w:tplc="EBCA47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53F0E66"/>
    <w:multiLevelType w:val="hybridMultilevel"/>
    <w:tmpl w:val="6EF08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0430E5"/>
    <w:multiLevelType w:val="hybridMultilevel"/>
    <w:tmpl w:val="4710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B0B40"/>
    <w:multiLevelType w:val="hybridMultilevel"/>
    <w:tmpl w:val="261204C6"/>
    <w:lvl w:ilvl="0" w:tplc="B7D862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F2A7B9B"/>
    <w:multiLevelType w:val="hybridMultilevel"/>
    <w:tmpl w:val="13E80A6C"/>
    <w:lvl w:ilvl="0" w:tplc="16F28D4C">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5">
    <w:nsid w:val="6FC2356A"/>
    <w:multiLevelType w:val="hybridMultilevel"/>
    <w:tmpl w:val="13E80A6C"/>
    <w:lvl w:ilvl="0" w:tplc="16F28D4C">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6">
    <w:nsid w:val="71F81028"/>
    <w:multiLevelType w:val="hybridMultilevel"/>
    <w:tmpl w:val="0D7CD34A"/>
    <w:lvl w:ilvl="0" w:tplc="3A36A630">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A44174"/>
    <w:multiLevelType w:val="hybridMultilevel"/>
    <w:tmpl w:val="26527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356CF8"/>
    <w:multiLevelType w:val="hybridMultilevel"/>
    <w:tmpl w:val="13E80A6C"/>
    <w:lvl w:ilvl="0" w:tplc="16F28D4C">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num w:numId="1">
    <w:abstractNumId w:val="5"/>
  </w:num>
  <w:num w:numId="2">
    <w:abstractNumId w:val="9"/>
  </w:num>
  <w:num w:numId="3">
    <w:abstractNumId w:val="0"/>
  </w:num>
  <w:num w:numId="4">
    <w:abstractNumId w:val="6"/>
  </w:num>
  <w:num w:numId="5">
    <w:abstractNumId w:val="2"/>
  </w:num>
  <w:num w:numId="6">
    <w:abstractNumId w:val="4"/>
  </w:num>
  <w:num w:numId="7">
    <w:abstractNumId w:val="17"/>
  </w:num>
  <w:num w:numId="8">
    <w:abstractNumId w:val="7"/>
  </w:num>
  <w:num w:numId="9">
    <w:abstractNumId w:val="12"/>
  </w:num>
  <w:num w:numId="10">
    <w:abstractNumId w:val="11"/>
  </w:num>
  <w:num w:numId="11">
    <w:abstractNumId w:val="16"/>
  </w:num>
  <w:num w:numId="12">
    <w:abstractNumId w:val="10"/>
  </w:num>
  <w:num w:numId="13">
    <w:abstractNumId w:val="1"/>
  </w:num>
  <w:num w:numId="14">
    <w:abstractNumId w:val="13"/>
  </w:num>
  <w:num w:numId="15">
    <w:abstractNumId w:val="14"/>
  </w:num>
  <w:num w:numId="16">
    <w:abstractNumId w:val="3"/>
  </w:num>
  <w:num w:numId="17">
    <w:abstractNumId w:val="18"/>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7D"/>
    <w:rsid w:val="0000609F"/>
    <w:rsid w:val="0001143A"/>
    <w:rsid w:val="000227F2"/>
    <w:rsid w:val="000303CB"/>
    <w:rsid w:val="00045B35"/>
    <w:rsid w:val="00045BEB"/>
    <w:rsid w:val="00052508"/>
    <w:rsid w:val="00060D99"/>
    <w:rsid w:val="00081787"/>
    <w:rsid w:val="00091670"/>
    <w:rsid w:val="00095812"/>
    <w:rsid w:val="000A3C61"/>
    <w:rsid w:val="000C3340"/>
    <w:rsid w:val="000C4C45"/>
    <w:rsid w:val="000D2B67"/>
    <w:rsid w:val="000E1B3B"/>
    <w:rsid w:val="000E4ED0"/>
    <w:rsid w:val="00103DC2"/>
    <w:rsid w:val="0011027E"/>
    <w:rsid w:val="001114A2"/>
    <w:rsid w:val="00146CBB"/>
    <w:rsid w:val="00156FB8"/>
    <w:rsid w:val="00157015"/>
    <w:rsid w:val="00161072"/>
    <w:rsid w:val="001661A4"/>
    <w:rsid w:val="00182278"/>
    <w:rsid w:val="001C0AAF"/>
    <w:rsid w:val="001D045F"/>
    <w:rsid w:val="001D2892"/>
    <w:rsid w:val="001D7769"/>
    <w:rsid w:val="001E7227"/>
    <w:rsid w:val="00201A2A"/>
    <w:rsid w:val="0021132C"/>
    <w:rsid w:val="00223581"/>
    <w:rsid w:val="00224B17"/>
    <w:rsid w:val="00252018"/>
    <w:rsid w:val="00261294"/>
    <w:rsid w:val="002665E4"/>
    <w:rsid w:val="00284F17"/>
    <w:rsid w:val="002C1807"/>
    <w:rsid w:val="002D06B3"/>
    <w:rsid w:val="002D5874"/>
    <w:rsid w:val="002F2FA3"/>
    <w:rsid w:val="002F6961"/>
    <w:rsid w:val="00300FD4"/>
    <w:rsid w:val="003029EE"/>
    <w:rsid w:val="003327B5"/>
    <w:rsid w:val="0033416F"/>
    <w:rsid w:val="00335097"/>
    <w:rsid w:val="003410E9"/>
    <w:rsid w:val="00383444"/>
    <w:rsid w:val="003A4672"/>
    <w:rsid w:val="003A75C4"/>
    <w:rsid w:val="003B3ECA"/>
    <w:rsid w:val="003B7911"/>
    <w:rsid w:val="003D134E"/>
    <w:rsid w:val="003D2F72"/>
    <w:rsid w:val="0041361D"/>
    <w:rsid w:val="00425880"/>
    <w:rsid w:val="004653B8"/>
    <w:rsid w:val="004A6EB5"/>
    <w:rsid w:val="004B096D"/>
    <w:rsid w:val="004E5B37"/>
    <w:rsid w:val="00506DE6"/>
    <w:rsid w:val="005202C0"/>
    <w:rsid w:val="00524819"/>
    <w:rsid w:val="00531858"/>
    <w:rsid w:val="00537960"/>
    <w:rsid w:val="00552F5B"/>
    <w:rsid w:val="0057049D"/>
    <w:rsid w:val="0057060B"/>
    <w:rsid w:val="00581785"/>
    <w:rsid w:val="00582F4B"/>
    <w:rsid w:val="005955BB"/>
    <w:rsid w:val="005A2171"/>
    <w:rsid w:val="005A4AB2"/>
    <w:rsid w:val="005D16B2"/>
    <w:rsid w:val="005E2CCD"/>
    <w:rsid w:val="005E34BC"/>
    <w:rsid w:val="006127B4"/>
    <w:rsid w:val="0063433E"/>
    <w:rsid w:val="00634EB9"/>
    <w:rsid w:val="00664F7E"/>
    <w:rsid w:val="0068685A"/>
    <w:rsid w:val="006A06D6"/>
    <w:rsid w:val="006A6387"/>
    <w:rsid w:val="006C2B3B"/>
    <w:rsid w:val="006C7E3B"/>
    <w:rsid w:val="006D7B7C"/>
    <w:rsid w:val="006E0B82"/>
    <w:rsid w:val="006E3574"/>
    <w:rsid w:val="006E61C3"/>
    <w:rsid w:val="00703143"/>
    <w:rsid w:val="0070496F"/>
    <w:rsid w:val="00713B25"/>
    <w:rsid w:val="00722D57"/>
    <w:rsid w:val="00731EEF"/>
    <w:rsid w:val="00737944"/>
    <w:rsid w:val="00741892"/>
    <w:rsid w:val="00772A35"/>
    <w:rsid w:val="00775AF2"/>
    <w:rsid w:val="00781D95"/>
    <w:rsid w:val="007A73F6"/>
    <w:rsid w:val="007C4B30"/>
    <w:rsid w:val="007C6D27"/>
    <w:rsid w:val="007E4808"/>
    <w:rsid w:val="007F3E06"/>
    <w:rsid w:val="007F59B6"/>
    <w:rsid w:val="008017FD"/>
    <w:rsid w:val="00817B98"/>
    <w:rsid w:val="00825B5B"/>
    <w:rsid w:val="00843CF1"/>
    <w:rsid w:val="00845490"/>
    <w:rsid w:val="00855991"/>
    <w:rsid w:val="00876B77"/>
    <w:rsid w:val="00883A3F"/>
    <w:rsid w:val="008A22E3"/>
    <w:rsid w:val="008A3BE2"/>
    <w:rsid w:val="008B07F2"/>
    <w:rsid w:val="008B74E2"/>
    <w:rsid w:val="008D077C"/>
    <w:rsid w:val="008D15D9"/>
    <w:rsid w:val="008E0E87"/>
    <w:rsid w:val="008E3CE4"/>
    <w:rsid w:val="00907A80"/>
    <w:rsid w:val="00915ADF"/>
    <w:rsid w:val="0091786D"/>
    <w:rsid w:val="009302E9"/>
    <w:rsid w:val="009512D8"/>
    <w:rsid w:val="00956D63"/>
    <w:rsid w:val="00971F12"/>
    <w:rsid w:val="009752B7"/>
    <w:rsid w:val="009863A4"/>
    <w:rsid w:val="00994363"/>
    <w:rsid w:val="009A0B68"/>
    <w:rsid w:val="009A4666"/>
    <w:rsid w:val="009B4234"/>
    <w:rsid w:val="009C6084"/>
    <w:rsid w:val="009D6A39"/>
    <w:rsid w:val="009F5BF4"/>
    <w:rsid w:val="00A10F45"/>
    <w:rsid w:val="00A249CD"/>
    <w:rsid w:val="00A4704C"/>
    <w:rsid w:val="00A56885"/>
    <w:rsid w:val="00A92305"/>
    <w:rsid w:val="00AA0EF0"/>
    <w:rsid w:val="00AB027E"/>
    <w:rsid w:val="00AB7DA5"/>
    <w:rsid w:val="00AC497D"/>
    <w:rsid w:val="00AD02DC"/>
    <w:rsid w:val="00AD0E01"/>
    <w:rsid w:val="00AE5078"/>
    <w:rsid w:val="00AE7006"/>
    <w:rsid w:val="00AF5BE1"/>
    <w:rsid w:val="00AF7E77"/>
    <w:rsid w:val="00B12B5E"/>
    <w:rsid w:val="00B15303"/>
    <w:rsid w:val="00B54EBA"/>
    <w:rsid w:val="00B63783"/>
    <w:rsid w:val="00B648BE"/>
    <w:rsid w:val="00B65972"/>
    <w:rsid w:val="00B75BAF"/>
    <w:rsid w:val="00B84A76"/>
    <w:rsid w:val="00B93DAC"/>
    <w:rsid w:val="00B9635C"/>
    <w:rsid w:val="00BB5101"/>
    <w:rsid w:val="00BD2AB2"/>
    <w:rsid w:val="00BE4A63"/>
    <w:rsid w:val="00BE6FAA"/>
    <w:rsid w:val="00C02003"/>
    <w:rsid w:val="00C061D7"/>
    <w:rsid w:val="00C11D29"/>
    <w:rsid w:val="00C21A71"/>
    <w:rsid w:val="00C26414"/>
    <w:rsid w:val="00C2773E"/>
    <w:rsid w:val="00C82CA8"/>
    <w:rsid w:val="00C851BB"/>
    <w:rsid w:val="00CB385F"/>
    <w:rsid w:val="00CE1188"/>
    <w:rsid w:val="00CE41CE"/>
    <w:rsid w:val="00CF0F69"/>
    <w:rsid w:val="00D213DD"/>
    <w:rsid w:val="00D26445"/>
    <w:rsid w:val="00D3605C"/>
    <w:rsid w:val="00D416FB"/>
    <w:rsid w:val="00D56C22"/>
    <w:rsid w:val="00D860ED"/>
    <w:rsid w:val="00D8668E"/>
    <w:rsid w:val="00DA1E88"/>
    <w:rsid w:val="00DA47A6"/>
    <w:rsid w:val="00DB2249"/>
    <w:rsid w:val="00DC4D6A"/>
    <w:rsid w:val="00DC5258"/>
    <w:rsid w:val="00DD3776"/>
    <w:rsid w:val="00E053ED"/>
    <w:rsid w:val="00E46CAB"/>
    <w:rsid w:val="00E64B50"/>
    <w:rsid w:val="00E7069A"/>
    <w:rsid w:val="00E8402F"/>
    <w:rsid w:val="00E97986"/>
    <w:rsid w:val="00EB0086"/>
    <w:rsid w:val="00EC6921"/>
    <w:rsid w:val="00ED6843"/>
    <w:rsid w:val="00EE01CB"/>
    <w:rsid w:val="00EE3E3A"/>
    <w:rsid w:val="00F0409D"/>
    <w:rsid w:val="00F04C9B"/>
    <w:rsid w:val="00F06F4D"/>
    <w:rsid w:val="00F13233"/>
    <w:rsid w:val="00F27FB2"/>
    <w:rsid w:val="00F36FC4"/>
    <w:rsid w:val="00F45FBD"/>
    <w:rsid w:val="00F66132"/>
    <w:rsid w:val="00F7266D"/>
    <w:rsid w:val="00FA1908"/>
    <w:rsid w:val="00FC20ED"/>
    <w:rsid w:val="00FC3A4B"/>
    <w:rsid w:val="00FC3DE8"/>
    <w:rsid w:val="00FD25C9"/>
    <w:rsid w:val="00FF03DE"/>
    <w:rsid w:val="00FF07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7960"/>
    <w:pPr>
      <w:keepNext/>
      <w:keepLines/>
      <w:numPr>
        <w:numId w:val="1"/>
      </w:numPr>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37960"/>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7960"/>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537960"/>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537960"/>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537960"/>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537960"/>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537960"/>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7960"/>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97D"/>
    <w:pPr>
      <w:spacing w:after="0" w:line="240" w:lineRule="auto"/>
    </w:pPr>
  </w:style>
  <w:style w:type="paragraph" w:styleId="Header">
    <w:name w:val="header"/>
    <w:basedOn w:val="Normal"/>
    <w:link w:val="HeaderChar"/>
    <w:uiPriority w:val="99"/>
    <w:unhideWhenUsed/>
    <w:rsid w:val="00FC3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A4B"/>
  </w:style>
  <w:style w:type="paragraph" w:styleId="Footer">
    <w:name w:val="footer"/>
    <w:basedOn w:val="Normal"/>
    <w:link w:val="FooterChar"/>
    <w:uiPriority w:val="99"/>
    <w:unhideWhenUsed/>
    <w:rsid w:val="00FC3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A4B"/>
  </w:style>
  <w:style w:type="paragraph" w:styleId="FootnoteText">
    <w:name w:val="footnote text"/>
    <w:basedOn w:val="Normal"/>
    <w:link w:val="FootnoteTextChar"/>
    <w:uiPriority w:val="99"/>
    <w:unhideWhenUsed/>
    <w:rsid w:val="00FC3A4B"/>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FC3A4B"/>
    <w:rPr>
      <w:rFonts w:ascii="Calibri" w:eastAsia="Calibri" w:hAnsi="Calibri" w:cs="Arial"/>
      <w:sz w:val="20"/>
      <w:szCs w:val="20"/>
    </w:rPr>
  </w:style>
  <w:style w:type="character" w:styleId="FootnoteReference">
    <w:name w:val="footnote reference"/>
    <w:uiPriority w:val="99"/>
    <w:unhideWhenUsed/>
    <w:rsid w:val="00FC3A4B"/>
    <w:rPr>
      <w:vertAlign w:val="superscript"/>
    </w:rPr>
  </w:style>
  <w:style w:type="character" w:customStyle="1" w:styleId="Heading1Char">
    <w:name w:val="Heading 1 Char"/>
    <w:basedOn w:val="DefaultParagraphFont"/>
    <w:link w:val="Heading1"/>
    <w:uiPriority w:val="9"/>
    <w:rsid w:val="0053796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379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796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53796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53796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3796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53796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5379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7960"/>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537960"/>
    <w:pPr>
      <w:spacing w:before="120" w:after="0" w:line="240" w:lineRule="auto"/>
    </w:pPr>
    <w:rPr>
      <w:rFonts w:eastAsiaTheme="minorEastAsia"/>
      <w:b/>
      <w:sz w:val="24"/>
      <w:szCs w:val="24"/>
    </w:rPr>
  </w:style>
  <w:style w:type="paragraph" w:customStyle="1" w:styleId="Heading">
    <w:name w:val="Heading"/>
    <w:basedOn w:val="Heading1"/>
    <w:next w:val="Normal"/>
    <w:qFormat/>
    <w:rsid w:val="00537960"/>
    <w:pPr>
      <w:shd w:val="clear" w:color="auto" w:fill="FFFFFF"/>
      <w:spacing w:line="480" w:lineRule="auto"/>
      <w:ind w:firstLine="360"/>
    </w:pPr>
    <w:rPr>
      <w:rFonts w:ascii="Times New Roman" w:eastAsia="Times New Roman" w:hAnsi="Times New Roman" w:cs="Times New Roman"/>
      <w:b w:val="0"/>
      <w:color w:val="222222"/>
    </w:rPr>
  </w:style>
  <w:style w:type="paragraph" w:styleId="Caption">
    <w:name w:val="caption"/>
    <w:basedOn w:val="Normal"/>
    <w:next w:val="Normal"/>
    <w:uiPriority w:val="35"/>
    <w:unhideWhenUsed/>
    <w:qFormat/>
    <w:rsid w:val="00537960"/>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37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60"/>
    <w:rPr>
      <w:rFonts w:ascii="Tahoma" w:hAnsi="Tahoma" w:cs="Tahoma"/>
      <w:sz w:val="16"/>
      <w:szCs w:val="16"/>
    </w:rPr>
  </w:style>
  <w:style w:type="character" w:styleId="Hyperlink">
    <w:name w:val="Hyperlink"/>
    <w:basedOn w:val="DefaultParagraphFont"/>
    <w:uiPriority w:val="99"/>
    <w:unhideWhenUsed/>
    <w:rsid w:val="00D8668E"/>
    <w:rPr>
      <w:color w:val="0000FF" w:themeColor="hyperlink"/>
      <w:u w:val="single"/>
    </w:rPr>
  </w:style>
  <w:style w:type="paragraph" w:styleId="ListParagraph">
    <w:name w:val="List Paragraph"/>
    <w:basedOn w:val="Normal"/>
    <w:uiPriority w:val="34"/>
    <w:qFormat/>
    <w:rsid w:val="00D8668E"/>
    <w:pPr>
      <w:ind w:left="720"/>
      <w:contextualSpacing/>
    </w:pPr>
  </w:style>
  <w:style w:type="table" w:styleId="TableGrid">
    <w:name w:val="Table Grid"/>
    <w:basedOn w:val="TableNormal"/>
    <w:uiPriority w:val="59"/>
    <w:rsid w:val="00465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7960"/>
    <w:pPr>
      <w:keepNext/>
      <w:keepLines/>
      <w:numPr>
        <w:numId w:val="1"/>
      </w:numPr>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37960"/>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7960"/>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537960"/>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537960"/>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537960"/>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537960"/>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537960"/>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7960"/>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497D"/>
    <w:pPr>
      <w:spacing w:after="0" w:line="240" w:lineRule="auto"/>
    </w:pPr>
  </w:style>
  <w:style w:type="paragraph" w:styleId="Header">
    <w:name w:val="header"/>
    <w:basedOn w:val="Normal"/>
    <w:link w:val="HeaderChar"/>
    <w:uiPriority w:val="99"/>
    <w:unhideWhenUsed/>
    <w:rsid w:val="00FC3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A4B"/>
  </w:style>
  <w:style w:type="paragraph" w:styleId="Footer">
    <w:name w:val="footer"/>
    <w:basedOn w:val="Normal"/>
    <w:link w:val="FooterChar"/>
    <w:uiPriority w:val="99"/>
    <w:unhideWhenUsed/>
    <w:rsid w:val="00FC3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A4B"/>
  </w:style>
  <w:style w:type="paragraph" w:styleId="FootnoteText">
    <w:name w:val="footnote text"/>
    <w:basedOn w:val="Normal"/>
    <w:link w:val="FootnoteTextChar"/>
    <w:uiPriority w:val="99"/>
    <w:unhideWhenUsed/>
    <w:rsid w:val="00FC3A4B"/>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FC3A4B"/>
    <w:rPr>
      <w:rFonts w:ascii="Calibri" w:eastAsia="Calibri" w:hAnsi="Calibri" w:cs="Arial"/>
      <w:sz w:val="20"/>
      <w:szCs w:val="20"/>
    </w:rPr>
  </w:style>
  <w:style w:type="character" w:styleId="FootnoteReference">
    <w:name w:val="footnote reference"/>
    <w:uiPriority w:val="99"/>
    <w:unhideWhenUsed/>
    <w:rsid w:val="00FC3A4B"/>
    <w:rPr>
      <w:vertAlign w:val="superscript"/>
    </w:rPr>
  </w:style>
  <w:style w:type="character" w:customStyle="1" w:styleId="Heading1Char">
    <w:name w:val="Heading 1 Char"/>
    <w:basedOn w:val="DefaultParagraphFont"/>
    <w:link w:val="Heading1"/>
    <w:uiPriority w:val="9"/>
    <w:rsid w:val="0053796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379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796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53796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53796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3796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53796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5379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7960"/>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537960"/>
    <w:pPr>
      <w:spacing w:before="120" w:after="0" w:line="240" w:lineRule="auto"/>
    </w:pPr>
    <w:rPr>
      <w:rFonts w:eastAsiaTheme="minorEastAsia"/>
      <w:b/>
      <w:sz w:val="24"/>
      <w:szCs w:val="24"/>
    </w:rPr>
  </w:style>
  <w:style w:type="paragraph" w:customStyle="1" w:styleId="Heading">
    <w:name w:val="Heading"/>
    <w:basedOn w:val="Heading1"/>
    <w:next w:val="Normal"/>
    <w:qFormat/>
    <w:rsid w:val="00537960"/>
    <w:pPr>
      <w:shd w:val="clear" w:color="auto" w:fill="FFFFFF"/>
      <w:spacing w:line="480" w:lineRule="auto"/>
      <w:ind w:firstLine="360"/>
    </w:pPr>
    <w:rPr>
      <w:rFonts w:ascii="Times New Roman" w:eastAsia="Times New Roman" w:hAnsi="Times New Roman" w:cs="Times New Roman"/>
      <w:b w:val="0"/>
      <w:color w:val="222222"/>
    </w:rPr>
  </w:style>
  <w:style w:type="paragraph" w:styleId="Caption">
    <w:name w:val="caption"/>
    <w:basedOn w:val="Normal"/>
    <w:next w:val="Normal"/>
    <w:uiPriority w:val="35"/>
    <w:unhideWhenUsed/>
    <w:qFormat/>
    <w:rsid w:val="00537960"/>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37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60"/>
    <w:rPr>
      <w:rFonts w:ascii="Tahoma" w:hAnsi="Tahoma" w:cs="Tahoma"/>
      <w:sz w:val="16"/>
      <w:szCs w:val="16"/>
    </w:rPr>
  </w:style>
  <w:style w:type="character" w:styleId="Hyperlink">
    <w:name w:val="Hyperlink"/>
    <w:basedOn w:val="DefaultParagraphFont"/>
    <w:uiPriority w:val="99"/>
    <w:unhideWhenUsed/>
    <w:rsid w:val="00D8668E"/>
    <w:rPr>
      <w:color w:val="0000FF" w:themeColor="hyperlink"/>
      <w:u w:val="single"/>
    </w:rPr>
  </w:style>
  <w:style w:type="paragraph" w:styleId="ListParagraph">
    <w:name w:val="List Paragraph"/>
    <w:basedOn w:val="Normal"/>
    <w:uiPriority w:val="34"/>
    <w:qFormat/>
    <w:rsid w:val="00D8668E"/>
    <w:pPr>
      <w:ind w:left="720"/>
      <w:contextualSpacing/>
    </w:pPr>
  </w:style>
  <w:style w:type="table" w:styleId="TableGrid">
    <w:name w:val="Table Grid"/>
    <w:basedOn w:val="TableNormal"/>
    <w:uiPriority w:val="59"/>
    <w:rsid w:val="00465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2.xml"/><Relationship Id="rId33" Type="http://schemas.openxmlformats.org/officeDocument/2006/relationships/hyperlink" Target="http://www.eia.gov/countries/country-data.cfm?fips=MU"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1.xml"/><Relationship Id="rId32" Type="http://schemas.openxmlformats.org/officeDocument/2006/relationships/hyperlink" Target="http://globalwarming.berrens.nl/globalwarming.htm"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7.xml"/><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atabank.worldbank.org/data/views/reports/tableview.aspx" TargetMode="External"/><Relationship Id="rId2" Type="http://schemas.openxmlformats.org/officeDocument/2006/relationships/hyperlink" Target="http://globalwarming.berrens.nl/globalwarming.htm" TargetMode="External"/><Relationship Id="rId1" Type="http://schemas.openxmlformats.org/officeDocument/2006/relationships/hyperlink" Target="http://www.eia.gov/countries/country-data.cfm?fips=MU" TargetMode="External"/><Relationship Id="rId5" Type="http://schemas.openxmlformats.org/officeDocument/2006/relationships/hyperlink" Target="http://databank.worldbank.org/data/views/reports/tableview.aspx" TargetMode="External"/><Relationship Id="rId4" Type="http://schemas.openxmlformats.org/officeDocument/2006/relationships/hyperlink" Target="http://www.fao.org/ag/agp/AGPC/doc/Counprof/oman/oman.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153228\Documents\Anaconda\Sample%20Ba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153228\Documents\Anaconda\Sample%20Bar.xlsx" TargetMode="Externa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153228\Documents\Anaconda\Sample%20B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153228\Documents\Anaconda\Sample%20Ba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153228\Documents\Anaconda\Sample%20Ba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153228\Documents\Anaconda\Sample%20Ba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153228\Documents\Anaconda\Sample%20B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GDP per Capita</a:t>
            </a:r>
          </a:p>
        </c:rich>
      </c:tx>
      <c:overlay val="0"/>
    </c:title>
    <c:autoTitleDeleted val="0"/>
    <c:plotArea>
      <c:layout/>
      <c:barChart>
        <c:barDir val="bar"/>
        <c:grouping val="clustered"/>
        <c:varyColors val="0"/>
        <c:ser>
          <c:idx val="0"/>
          <c:order val="0"/>
          <c:invertIfNegative val="0"/>
          <c:cat>
            <c:strRef>
              <c:f>[Book1]Sheet1!$B$1:$C$1</c:f>
              <c:strCache>
                <c:ptCount val="2"/>
                <c:pt idx="0">
                  <c:v>&lt;22818</c:v>
                </c:pt>
                <c:pt idx="1">
                  <c:v>&gt;22818</c:v>
                </c:pt>
              </c:strCache>
            </c:strRef>
          </c:cat>
          <c:val>
            <c:numRef>
              <c:f>[Book1]Sheet1!$B$2:$C$2</c:f>
              <c:numCache>
                <c:formatCode>General</c:formatCode>
                <c:ptCount val="2"/>
                <c:pt idx="0">
                  <c:v>55.23</c:v>
                </c:pt>
                <c:pt idx="1">
                  <c:v>44.77</c:v>
                </c:pt>
              </c:numCache>
            </c:numRef>
          </c:val>
        </c:ser>
        <c:dLbls>
          <c:showLegendKey val="0"/>
          <c:showVal val="1"/>
          <c:showCatName val="0"/>
          <c:showSerName val="0"/>
          <c:showPercent val="0"/>
          <c:showBubbleSize val="0"/>
        </c:dLbls>
        <c:gapWidth val="150"/>
        <c:overlap val="-25"/>
        <c:axId val="107485824"/>
        <c:axId val="107504768"/>
      </c:barChart>
      <c:catAx>
        <c:axId val="107485824"/>
        <c:scaling>
          <c:orientation val="minMax"/>
        </c:scaling>
        <c:delete val="0"/>
        <c:axPos val="l"/>
        <c:majorTickMark val="none"/>
        <c:minorTickMark val="none"/>
        <c:tickLblPos val="nextTo"/>
        <c:crossAx val="107504768"/>
        <c:crosses val="autoZero"/>
        <c:auto val="1"/>
        <c:lblAlgn val="ctr"/>
        <c:lblOffset val="100"/>
        <c:noMultiLvlLbl val="0"/>
      </c:catAx>
      <c:valAx>
        <c:axId val="107504768"/>
        <c:scaling>
          <c:orientation val="minMax"/>
        </c:scaling>
        <c:delete val="1"/>
        <c:axPos val="b"/>
        <c:numFmt formatCode="General" sourceLinked="1"/>
        <c:majorTickMark val="out"/>
        <c:minorTickMark val="none"/>
        <c:tickLblPos val="nextTo"/>
        <c:crossAx val="107485824"/>
        <c:crosses val="autoZero"/>
        <c:crossBetween val="between"/>
      </c:valAx>
    </c:plotArea>
    <c:plotVisOnly val="1"/>
    <c:dispBlanksAs val="gap"/>
    <c:showDLblsOverMax val="0"/>
  </c:chart>
  <c:txPr>
    <a:bodyPr/>
    <a:lstStyle/>
    <a:p>
      <a:pPr>
        <a:defRPr sz="8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Net Migration</a:t>
            </a:r>
          </a:p>
        </c:rich>
      </c:tx>
      <c:overlay val="0"/>
    </c:title>
    <c:autoTitleDeleted val="0"/>
    <c:plotArea>
      <c:layout/>
      <c:barChart>
        <c:barDir val="bar"/>
        <c:grouping val="clustered"/>
        <c:varyColors val="0"/>
        <c:ser>
          <c:idx val="0"/>
          <c:order val="0"/>
          <c:invertIfNegative val="0"/>
          <c:cat>
            <c:strRef>
              <c:f>Sheet1!$F$1:$H$1</c:f>
              <c:strCache>
                <c:ptCount val="3"/>
                <c:pt idx="0">
                  <c:v>&lt;20000</c:v>
                </c:pt>
                <c:pt idx="1">
                  <c:v>(20000, 100000)</c:v>
                </c:pt>
                <c:pt idx="2">
                  <c:v>&gt;100000</c:v>
                </c:pt>
              </c:strCache>
            </c:strRef>
          </c:cat>
          <c:val>
            <c:numRef>
              <c:f>Sheet1!$F$2:$H$2</c:f>
              <c:numCache>
                <c:formatCode>General</c:formatCode>
                <c:ptCount val="3"/>
                <c:pt idx="0">
                  <c:v>28.24</c:v>
                </c:pt>
                <c:pt idx="1">
                  <c:v>48.54</c:v>
                </c:pt>
                <c:pt idx="2">
                  <c:v>23.22</c:v>
                </c:pt>
              </c:numCache>
            </c:numRef>
          </c:val>
        </c:ser>
        <c:dLbls>
          <c:showLegendKey val="0"/>
          <c:showVal val="1"/>
          <c:showCatName val="0"/>
          <c:showSerName val="0"/>
          <c:showPercent val="0"/>
          <c:showBubbleSize val="0"/>
        </c:dLbls>
        <c:gapWidth val="150"/>
        <c:overlap val="-25"/>
        <c:axId val="154541440"/>
        <c:axId val="154601344"/>
      </c:barChart>
      <c:catAx>
        <c:axId val="154541440"/>
        <c:scaling>
          <c:orientation val="minMax"/>
        </c:scaling>
        <c:delete val="0"/>
        <c:axPos val="l"/>
        <c:majorTickMark val="none"/>
        <c:minorTickMark val="none"/>
        <c:tickLblPos val="nextTo"/>
        <c:crossAx val="154601344"/>
        <c:crosses val="autoZero"/>
        <c:auto val="1"/>
        <c:lblAlgn val="ctr"/>
        <c:lblOffset val="100"/>
        <c:noMultiLvlLbl val="0"/>
      </c:catAx>
      <c:valAx>
        <c:axId val="154601344"/>
        <c:scaling>
          <c:orientation val="minMax"/>
        </c:scaling>
        <c:delete val="1"/>
        <c:axPos val="b"/>
        <c:numFmt formatCode="General" sourceLinked="1"/>
        <c:majorTickMark val="none"/>
        <c:minorTickMark val="none"/>
        <c:tickLblPos val="nextTo"/>
        <c:crossAx val="154541440"/>
        <c:crosses val="autoZero"/>
        <c:crossBetween val="between"/>
      </c:valAx>
    </c:plotArea>
    <c:plotVisOnly val="1"/>
    <c:dispBlanksAs val="gap"/>
    <c:showDLblsOverMax val="0"/>
  </c:chart>
  <c:txPr>
    <a:bodyPr/>
    <a:lstStyle/>
    <a:p>
      <a:pPr>
        <a:defRPr sz="800"/>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Population Growth</a:t>
            </a:r>
          </a:p>
        </c:rich>
      </c:tx>
      <c:overlay val="0"/>
    </c:title>
    <c:autoTitleDeleted val="0"/>
    <c:plotArea>
      <c:layout/>
      <c:barChart>
        <c:barDir val="bar"/>
        <c:grouping val="clustered"/>
        <c:varyColors val="0"/>
        <c:ser>
          <c:idx val="0"/>
          <c:order val="0"/>
          <c:invertIfNegative val="0"/>
          <c:cat>
            <c:strRef>
              <c:f>Sheet1!$B$1:$C$1</c:f>
              <c:strCache>
                <c:ptCount val="2"/>
                <c:pt idx="0">
                  <c:v>&lt;4</c:v>
                </c:pt>
                <c:pt idx="1">
                  <c:v>&gt;4</c:v>
                </c:pt>
              </c:strCache>
            </c:strRef>
          </c:cat>
          <c:val>
            <c:numRef>
              <c:f>Sheet1!$B$2:$C$2</c:f>
              <c:numCache>
                <c:formatCode>General</c:formatCode>
                <c:ptCount val="2"/>
                <c:pt idx="0">
                  <c:v>38.520000000000003</c:v>
                </c:pt>
                <c:pt idx="1">
                  <c:v>61.48</c:v>
                </c:pt>
              </c:numCache>
            </c:numRef>
          </c:val>
        </c:ser>
        <c:dLbls>
          <c:showLegendKey val="0"/>
          <c:showVal val="1"/>
          <c:showCatName val="0"/>
          <c:showSerName val="0"/>
          <c:showPercent val="0"/>
          <c:showBubbleSize val="0"/>
        </c:dLbls>
        <c:gapWidth val="150"/>
        <c:overlap val="-25"/>
        <c:axId val="156905472"/>
        <c:axId val="156907776"/>
      </c:barChart>
      <c:catAx>
        <c:axId val="156905472"/>
        <c:scaling>
          <c:orientation val="minMax"/>
        </c:scaling>
        <c:delete val="0"/>
        <c:axPos val="l"/>
        <c:majorTickMark val="none"/>
        <c:minorTickMark val="none"/>
        <c:tickLblPos val="nextTo"/>
        <c:crossAx val="156907776"/>
        <c:crosses val="autoZero"/>
        <c:auto val="1"/>
        <c:lblAlgn val="ctr"/>
        <c:lblOffset val="100"/>
        <c:noMultiLvlLbl val="0"/>
      </c:catAx>
      <c:valAx>
        <c:axId val="156907776"/>
        <c:scaling>
          <c:orientation val="minMax"/>
          <c:min val="0"/>
        </c:scaling>
        <c:delete val="1"/>
        <c:axPos val="b"/>
        <c:numFmt formatCode="General" sourceLinked="1"/>
        <c:majorTickMark val="out"/>
        <c:minorTickMark val="none"/>
        <c:tickLblPos val="nextTo"/>
        <c:crossAx val="156905472"/>
        <c:crosses val="autoZero"/>
        <c:crossBetween val="between"/>
      </c:valAx>
    </c:plotArea>
    <c:plotVisOnly val="1"/>
    <c:dispBlanksAs val="gap"/>
    <c:showDLblsOverMax val="0"/>
  </c:chart>
  <c:txPr>
    <a:bodyPr/>
    <a:lstStyle/>
    <a:p>
      <a:pPr>
        <a:defRPr sz="800"/>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Average DES per Capita</a:t>
            </a:r>
          </a:p>
        </c:rich>
      </c:tx>
      <c:overlay val="0"/>
    </c:title>
    <c:autoTitleDeleted val="0"/>
    <c:plotArea>
      <c:layout/>
      <c:barChart>
        <c:barDir val="bar"/>
        <c:grouping val="clustered"/>
        <c:varyColors val="0"/>
        <c:ser>
          <c:idx val="0"/>
          <c:order val="0"/>
          <c:invertIfNegative val="0"/>
          <c:cat>
            <c:strRef>
              <c:f>Sheet1!$M$1:$Q$1</c:f>
              <c:strCache>
                <c:ptCount val="5"/>
                <c:pt idx="0">
                  <c:v>&lt;2100</c:v>
                </c:pt>
                <c:pt idx="1">
                  <c:v>(2100, 3000)</c:v>
                </c:pt>
                <c:pt idx="2">
                  <c:v>(3000, 3250)</c:v>
                </c:pt>
                <c:pt idx="3">
                  <c:v>(3250, 3500)</c:v>
                </c:pt>
                <c:pt idx="4">
                  <c:v>&gt;3500</c:v>
                </c:pt>
              </c:strCache>
            </c:strRef>
          </c:cat>
          <c:val>
            <c:numRef>
              <c:f>Sheet1!$M$2:$Q$2</c:f>
              <c:numCache>
                <c:formatCode>General</c:formatCode>
                <c:ptCount val="5"/>
                <c:pt idx="0">
                  <c:v>4.84</c:v>
                </c:pt>
                <c:pt idx="1">
                  <c:v>27.67</c:v>
                </c:pt>
                <c:pt idx="2">
                  <c:v>30.98</c:v>
                </c:pt>
                <c:pt idx="3">
                  <c:v>30.3</c:v>
                </c:pt>
                <c:pt idx="4">
                  <c:v>6.2</c:v>
                </c:pt>
              </c:numCache>
            </c:numRef>
          </c:val>
        </c:ser>
        <c:dLbls>
          <c:showLegendKey val="0"/>
          <c:showVal val="1"/>
          <c:showCatName val="0"/>
          <c:showSerName val="0"/>
          <c:showPercent val="0"/>
          <c:showBubbleSize val="0"/>
        </c:dLbls>
        <c:gapWidth val="150"/>
        <c:overlap val="-25"/>
        <c:axId val="157029888"/>
        <c:axId val="157076864"/>
      </c:barChart>
      <c:catAx>
        <c:axId val="157029888"/>
        <c:scaling>
          <c:orientation val="minMax"/>
        </c:scaling>
        <c:delete val="0"/>
        <c:axPos val="l"/>
        <c:majorTickMark val="none"/>
        <c:minorTickMark val="none"/>
        <c:tickLblPos val="nextTo"/>
        <c:crossAx val="157076864"/>
        <c:crosses val="autoZero"/>
        <c:auto val="1"/>
        <c:lblAlgn val="ctr"/>
        <c:lblOffset val="100"/>
        <c:noMultiLvlLbl val="0"/>
      </c:catAx>
      <c:valAx>
        <c:axId val="157076864"/>
        <c:scaling>
          <c:orientation val="minMax"/>
        </c:scaling>
        <c:delete val="1"/>
        <c:axPos val="b"/>
        <c:numFmt formatCode="General" sourceLinked="1"/>
        <c:majorTickMark val="none"/>
        <c:minorTickMark val="none"/>
        <c:tickLblPos val="nextTo"/>
        <c:crossAx val="157029888"/>
        <c:crosses val="autoZero"/>
        <c:crossBetween val="between"/>
      </c:valAx>
    </c:plotArea>
    <c:plotVisOnly val="1"/>
    <c:dispBlanksAs val="gap"/>
    <c:showDLblsOverMax val="0"/>
  </c:chart>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Electricity Installed Capacity per Capita</a:t>
            </a:r>
          </a:p>
        </c:rich>
      </c:tx>
      <c:overlay val="0"/>
    </c:title>
    <c:autoTitleDeleted val="0"/>
    <c:plotArea>
      <c:layout/>
      <c:barChart>
        <c:barDir val="bar"/>
        <c:grouping val="clustered"/>
        <c:varyColors val="0"/>
        <c:ser>
          <c:idx val="0"/>
          <c:order val="0"/>
          <c:invertIfNegative val="0"/>
          <c:cat>
            <c:strRef>
              <c:f>[Book1]Sheet1!$F$1:$H$1</c:f>
              <c:strCache>
                <c:ptCount val="3"/>
                <c:pt idx="0">
                  <c:v>&lt;1300</c:v>
                </c:pt>
                <c:pt idx="1">
                  <c:v>(1300, 2600)</c:v>
                </c:pt>
                <c:pt idx="2">
                  <c:v>&gt;2600</c:v>
                </c:pt>
              </c:strCache>
            </c:strRef>
          </c:cat>
          <c:val>
            <c:numRef>
              <c:f>[Book1]Sheet1!$F$2:$H$2</c:f>
              <c:numCache>
                <c:formatCode>General</c:formatCode>
                <c:ptCount val="3"/>
                <c:pt idx="0">
                  <c:v>31.58</c:v>
                </c:pt>
                <c:pt idx="1">
                  <c:v>23.35</c:v>
                </c:pt>
                <c:pt idx="2">
                  <c:v>45.08</c:v>
                </c:pt>
              </c:numCache>
            </c:numRef>
          </c:val>
        </c:ser>
        <c:dLbls>
          <c:showLegendKey val="0"/>
          <c:showVal val="1"/>
          <c:showCatName val="0"/>
          <c:showSerName val="0"/>
          <c:showPercent val="0"/>
          <c:showBubbleSize val="0"/>
        </c:dLbls>
        <c:gapWidth val="150"/>
        <c:overlap val="-25"/>
        <c:axId val="107581440"/>
        <c:axId val="107583360"/>
      </c:barChart>
      <c:catAx>
        <c:axId val="107581440"/>
        <c:scaling>
          <c:orientation val="minMax"/>
        </c:scaling>
        <c:delete val="0"/>
        <c:axPos val="l"/>
        <c:majorTickMark val="none"/>
        <c:minorTickMark val="none"/>
        <c:tickLblPos val="nextTo"/>
        <c:crossAx val="107583360"/>
        <c:crosses val="autoZero"/>
        <c:auto val="1"/>
        <c:lblAlgn val="ctr"/>
        <c:lblOffset val="100"/>
        <c:noMultiLvlLbl val="0"/>
      </c:catAx>
      <c:valAx>
        <c:axId val="107583360"/>
        <c:scaling>
          <c:orientation val="minMax"/>
        </c:scaling>
        <c:delete val="1"/>
        <c:axPos val="b"/>
        <c:numFmt formatCode="General" sourceLinked="1"/>
        <c:majorTickMark val="none"/>
        <c:minorTickMark val="none"/>
        <c:tickLblPos val="nextTo"/>
        <c:crossAx val="107581440"/>
        <c:crosses val="autoZero"/>
        <c:crossBetween val="between"/>
      </c:valAx>
    </c:plotArea>
    <c:plotVisOnly val="1"/>
    <c:dispBlanksAs val="gap"/>
    <c:showDLblsOverMax val="0"/>
  </c:chart>
  <c:spPr>
    <a:ln w="9525"/>
  </c:spPr>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Desalination Capacity per Capita</a:t>
            </a:r>
          </a:p>
        </c:rich>
      </c:tx>
      <c:overlay val="0"/>
    </c:title>
    <c:autoTitleDeleted val="0"/>
    <c:plotArea>
      <c:layout/>
      <c:barChart>
        <c:barDir val="bar"/>
        <c:grouping val="clustered"/>
        <c:varyColors val="0"/>
        <c:ser>
          <c:idx val="0"/>
          <c:order val="0"/>
          <c:invertIfNegative val="0"/>
          <c:cat>
            <c:strRef>
              <c:f>[Book1]Sheet1!$B$1:$C$1</c:f>
              <c:strCache>
                <c:ptCount val="2"/>
                <c:pt idx="0">
                  <c:v>&lt;0.3</c:v>
                </c:pt>
                <c:pt idx="1">
                  <c:v>&gt;0.3</c:v>
                </c:pt>
              </c:strCache>
            </c:strRef>
          </c:cat>
          <c:val>
            <c:numRef>
              <c:f>[Book1]Sheet1!$B$2:$C$2</c:f>
              <c:numCache>
                <c:formatCode>General</c:formatCode>
                <c:ptCount val="2"/>
                <c:pt idx="0">
                  <c:v>32.26</c:v>
                </c:pt>
                <c:pt idx="1">
                  <c:v>67.739999999999995</c:v>
                </c:pt>
              </c:numCache>
            </c:numRef>
          </c:val>
        </c:ser>
        <c:dLbls>
          <c:showLegendKey val="0"/>
          <c:showVal val="1"/>
          <c:showCatName val="0"/>
          <c:showSerName val="0"/>
          <c:showPercent val="0"/>
          <c:showBubbleSize val="0"/>
        </c:dLbls>
        <c:gapWidth val="150"/>
        <c:overlap val="-25"/>
        <c:axId val="107656320"/>
        <c:axId val="107657856"/>
      </c:barChart>
      <c:catAx>
        <c:axId val="107656320"/>
        <c:scaling>
          <c:orientation val="minMax"/>
        </c:scaling>
        <c:delete val="0"/>
        <c:axPos val="l"/>
        <c:majorTickMark val="none"/>
        <c:minorTickMark val="none"/>
        <c:tickLblPos val="nextTo"/>
        <c:crossAx val="107657856"/>
        <c:crosses val="autoZero"/>
        <c:auto val="1"/>
        <c:lblAlgn val="ctr"/>
        <c:lblOffset val="100"/>
        <c:noMultiLvlLbl val="0"/>
      </c:catAx>
      <c:valAx>
        <c:axId val="107657856"/>
        <c:scaling>
          <c:orientation val="minMax"/>
        </c:scaling>
        <c:delete val="1"/>
        <c:axPos val="b"/>
        <c:numFmt formatCode="General" sourceLinked="1"/>
        <c:majorTickMark val="out"/>
        <c:minorTickMark val="none"/>
        <c:tickLblPos val="nextTo"/>
        <c:crossAx val="107656320"/>
        <c:crosses val="autoZero"/>
        <c:crossBetween val="between"/>
      </c:valAx>
    </c:plotArea>
    <c:plotVisOnly val="1"/>
    <c:dispBlanksAs val="gap"/>
    <c:showDLblsOverMax val="0"/>
  </c:chart>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Water Available</a:t>
            </a:r>
            <a:r>
              <a:rPr lang="en-US" baseline="0"/>
              <a:t> </a:t>
            </a:r>
            <a:r>
              <a:rPr lang="en-US"/>
              <a:t>per Capita</a:t>
            </a:r>
          </a:p>
        </c:rich>
      </c:tx>
      <c:overlay val="0"/>
    </c:title>
    <c:autoTitleDeleted val="0"/>
    <c:plotArea>
      <c:layout/>
      <c:barChart>
        <c:barDir val="bar"/>
        <c:grouping val="clustered"/>
        <c:varyColors val="0"/>
        <c:ser>
          <c:idx val="0"/>
          <c:order val="0"/>
          <c:invertIfNegative val="0"/>
          <c:cat>
            <c:strRef>
              <c:f>[Book1]Sheet1!$F$1:$H$1</c:f>
              <c:strCache>
                <c:ptCount val="3"/>
                <c:pt idx="0">
                  <c:v>&lt;212</c:v>
                </c:pt>
                <c:pt idx="1">
                  <c:v>(212, 425)</c:v>
                </c:pt>
                <c:pt idx="2">
                  <c:v>&gt;425</c:v>
                </c:pt>
              </c:strCache>
            </c:strRef>
          </c:cat>
          <c:val>
            <c:numRef>
              <c:f>[Book1]Sheet1!$F$2:$H$2</c:f>
              <c:numCache>
                <c:formatCode>General</c:formatCode>
                <c:ptCount val="3"/>
                <c:pt idx="0">
                  <c:v>71.88</c:v>
                </c:pt>
                <c:pt idx="1">
                  <c:v>7.74</c:v>
                </c:pt>
                <c:pt idx="2">
                  <c:v>20.39</c:v>
                </c:pt>
              </c:numCache>
            </c:numRef>
          </c:val>
        </c:ser>
        <c:dLbls>
          <c:showLegendKey val="0"/>
          <c:showVal val="1"/>
          <c:showCatName val="0"/>
          <c:showSerName val="0"/>
          <c:showPercent val="0"/>
          <c:showBubbleSize val="0"/>
        </c:dLbls>
        <c:gapWidth val="150"/>
        <c:overlap val="-25"/>
        <c:axId val="112432640"/>
        <c:axId val="112434560"/>
      </c:barChart>
      <c:catAx>
        <c:axId val="112432640"/>
        <c:scaling>
          <c:orientation val="minMax"/>
        </c:scaling>
        <c:delete val="0"/>
        <c:axPos val="l"/>
        <c:majorTickMark val="none"/>
        <c:minorTickMark val="none"/>
        <c:tickLblPos val="nextTo"/>
        <c:crossAx val="112434560"/>
        <c:crosses val="autoZero"/>
        <c:auto val="1"/>
        <c:lblAlgn val="ctr"/>
        <c:lblOffset val="100"/>
        <c:noMultiLvlLbl val="0"/>
      </c:catAx>
      <c:valAx>
        <c:axId val="112434560"/>
        <c:scaling>
          <c:orientation val="minMax"/>
        </c:scaling>
        <c:delete val="1"/>
        <c:axPos val="b"/>
        <c:numFmt formatCode="General" sourceLinked="1"/>
        <c:majorTickMark val="none"/>
        <c:minorTickMark val="none"/>
        <c:tickLblPos val="nextTo"/>
        <c:crossAx val="112432640"/>
        <c:crosses val="autoZero"/>
        <c:crossBetween val="between"/>
      </c:valAx>
    </c:plotArea>
    <c:plotVisOnly val="1"/>
    <c:dispBlanksAs val="gap"/>
    <c:showDLblsOverMax val="0"/>
  </c:chart>
  <c:txPr>
    <a:bodyPr/>
    <a:lstStyle/>
    <a:p>
      <a:pPr>
        <a:defRPr sz="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Water Withdrawal for Agriculture per Capita</a:t>
            </a:r>
          </a:p>
        </c:rich>
      </c:tx>
      <c:overlay val="0"/>
    </c:title>
    <c:autoTitleDeleted val="0"/>
    <c:plotArea>
      <c:layout/>
      <c:barChart>
        <c:barDir val="bar"/>
        <c:grouping val="clustered"/>
        <c:varyColors val="0"/>
        <c:ser>
          <c:idx val="0"/>
          <c:order val="0"/>
          <c:invertIfNegative val="0"/>
          <c:cat>
            <c:strRef>
              <c:f>Sheet1!$B$1:$C$1</c:f>
              <c:strCache>
                <c:ptCount val="2"/>
                <c:pt idx="0">
                  <c:v>&lt;4</c:v>
                </c:pt>
                <c:pt idx="1">
                  <c:v>&gt;4</c:v>
                </c:pt>
              </c:strCache>
            </c:strRef>
          </c:cat>
          <c:val>
            <c:numRef>
              <c:f>Sheet1!$B$2:$C$2</c:f>
              <c:numCache>
                <c:formatCode>General</c:formatCode>
                <c:ptCount val="2"/>
                <c:pt idx="0">
                  <c:v>38.520000000000003</c:v>
                </c:pt>
                <c:pt idx="1">
                  <c:v>61.48</c:v>
                </c:pt>
              </c:numCache>
            </c:numRef>
          </c:val>
        </c:ser>
        <c:dLbls>
          <c:showLegendKey val="0"/>
          <c:showVal val="1"/>
          <c:showCatName val="0"/>
          <c:showSerName val="0"/>
          <c:showPercent val="0"/>
          <c:showBubbleSize val="0"/>
        </c:dLbls>
        <c:gapWidth val="150"/>
        <c:overlap val="-25"/>
        <c:axId val="117620096"/>
        <c:axId val="118211712"/>
      </c:barChart>
      <c:catAx>
        <c:axId val="117620096"/>
        <c:scaling>
          <c:orientation val="minMax"/>
        </c:scaling>
        <c:delete val="0"/>
        <c:axPos val="l"/>
        <c:majorTickMark val="none"/>
        <c:minorTickMark val="none"/>
        <c:tickLblPos val="nextTo"/>
        <c:crossAx val="118211712"/>
        <c:crosses val="autoZero"/>
        <c:auto val="1"/>
        <c:lblAlgn val="ctr"/>
        <c:lblOffset val="100"/>
        <c:noMultiLvlLbl val="0"/>
      </c:catAx>
      <c:valAx>
        <c:axId val="118211712"/>
        <c:scaling>
          <c:orientation val="minMax"/>
          <c:min val="0"/>
        </c:scaling>
        <c:delete val="1"/>
        <c:axPos val="b"/>
        <c:numFmt formatCode="General" sourceLinked="1"/>
        <c:majorTickMark val="out"/>
        <c:minorTickMark val="none"/>
        <c:tickLblPos val="nextTo"/>
        <c:crossAx val="117620096"/>
        <c:crosses val="autoZero"/>
        <c:crossBetween val="between"/>
      </c:valAx>
    </c:plotArea>
    <c:plotVisOnly val="1"/>
    <c:dispBlanksAs val="gap"/>
    <c:showDLblsOverMax val="0"/>
  </c:chart>
  <c:txPr>
    <a:bodyPr/>
    <a:lstStyle/>
    <a:p>
      <a:pPr>
        <a:defRPr sz="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Domestic Production of Cereals per Capita</a:t>
            </a:r>
          </a:p>
        </c:rich>
      </c:tx>
      <c:overlay val="0"/>
    </c:title>
    <c:autoTitleDeleted val="0"/>
    <c:plotArea>
      <c:layout/>
      <c:barChart>
        <c:barDir val="bar"/>
        <c:grouping val="clustered"/>
        <c:varyColors val="0"/>
        <c:ser>
          <c:idx val="0"/>
          <c:order val="0"/>
          <c:invertIfNegative val="0"/>
          <c:cat>
            <c:strRef>
              <c:f>Sheet1!$B$1:$C$1</c:f>
              <c:strCache>
                <c:ptCount val="2"/>
                <c:pt idx="0">
                  <c:v>&lt;4</c:v>
                </c:pt>
                <c:pt idx="1">
                  <c:v>&gt;4</c:v>
                </c:pt>
              </c:strCache>
            </c:strRef>
          </c:cat>
          <c:val>
            <c:numRef>
              <c:f>Sheet1!$B$2:$C$2</c:f>
              <c:numCache>
                <c:formatCode>General</c:formatCode>
                <c:ptCount val="2"/>
                <c:pt idx="0">
                  <c:v>38.520000000000003</c:v>
                </c:pt>
                <c:pt idx="1">
                  <c:v>61.48</c:v>
                </c:pt>
              </c:numCache>
            </c:numRef>
          </c:val>
        </c:ser>
        <c:dLbls>
          <c:showLegendKey val="0"/>
          <c:showVal val="1"/>
          <c:showCatName val="0"/>
          <c:showSerName val="0"/>
          <c:showPercent val="0"/>
          <c:showBubbleSize val="0"/>
        </c:dLbls>
        <c:gapWidth val="150"/>
        <c:overlap val="-25"/>
        <c:axId val="144917248"/>
        <c:axId val="144919168"/>
      </c:barChart>
      <c:catAx>
        <c:axId val="144917248"/>
        <c:scaling>
          <c:orientation val="minMax"/>
        </c:scaling>
        <c:delete val="0"/>
        <c:axPos val="l"/>
        <c:majorTickMark val="none"/>
        <c:minorTickMark val="none"/>
        <c:tickLblPos val="nextTo"/>
        <c:crossAx val="144919168"/>
        <c:crosses val="autoZero"/>
        <c:auto val="1"/>
        <c:lblAlgn val="ctr"/>
        <c:lblOffset val="100"/>
        <c:noMultiLvlLbl val="0"/>
      </c:catAx>
      <c:valAx>
        <c:axId val="144919168"/>
        <c:scaling>
          <c:orientation val="minMax"/>
          <c:min val="0"/>
        </c:scaling>
        <c:delete val="1"/>
        <c:axPos val="b"/>
        <c:numFmt formatCode="General" sourceLinked="1"/>
        <c:majorTickMark val="out"/>
        <c:minorTickMark val="none"/>
        <c:tickLblPos val="nextTo"/>
        <c:crossAx val="144917248"/>
        <c:crosses val="autoZero"/>
        <c:crossBetween val="between"/>
      </c:valAx>
    </c:plotArea>
    <c:plotVisOnly val="1"/>
    <c:dispBlanksAs val="gap"/>
    <c:showDLblsOverMax val="0"/>
  </c:chart>
  <c:txPr>
    <a:bodyPr/>
    <a:lstStyle/>
    <a:p>
      <a:pPr>
        <a:defRPr sz="8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Trade per Capita</a:t>
            </a:r>
          </a:p>
        </c:rich>
      </c:tx>
      <c:overlay val="0"/>
    </c:title>
    <c:autoTitleDeleted val="0"/>
    <c:plotArea>
      <c:layout/>
      <c:barChart>
        <c:barDir val="bar"/>
        <c:grouping val="clustered"/>
        <c:varyColors val="0"/>
        <c:ser>
          <c:idx val="0"/>
          <c:order val="0"/>
          <c:invertIfNegative val="0"/>
          <c:cat>
            <c:strRef>
              <c:f>Sheet1!$F$1:$H$1</c:f>
              <c:strCache>
                <c:ptCount val="3"/>
                <c:pt idx="0">
                  <c:v>&lt;20000</c:v>
                </c:pt>
                <c:pt idx="1">
                  <c:v>(20000, 100000)</c:v>
                </c:pt>
                <c:pt idx="2">
                  <c:v>&gt;100000</c:v>
                </c:pt>
              </c:strCache>
            </c:strRef>
          </c:cat>
          <c:val>
            <c:numRef>
              <c:f>Sheet1!$F$2:$H$2</c:f>
              <c:numCache>
                <c:formatCode>General</c:formatCode>
                <c:ptCount val="3"/>
                <c:pt idx="0">
                  <c:v>28.24</c:v>
                </c:pt>
                <c:pt idx="1">
                  <c:v>48.54</c:v>
                </c:pt>
                <c:pt idx="2">
                  <c:v>23.22</c:v>
                </c:pt>
              </c:numCache>
            </c:numRef>
          </c:val>
        </c:ser>
        <c:dLbls>
          <c:showLegendKey val="0"/>
          <c:showVal val="1"/>
          <c:showCatName val="0"/>
          <c:showSerName val="0"/>
          <c:showPercent val="0"/>
          <c:showBubbleSize val="0"/>
        </c:dLbls>
        <c:gapWidth val="150"/>
        <c:overlap val="-25"/>
        <c:axId val="145167872"/>
        <c:axId val="145182720"/>
      </c:barChart>
      <c:catAx>
        <c:axId val="145167872"/>
        <c:scaling>
          <c:orientation val="minMax"/>
        </c:scaling>
        <c:delete val="0"/>
        <c:axPos val="l"/>
        <c:majorTickMark val="none"/>
        <c:minorTickMark val="none"/>
        <c:tickLblPos val="nextTo"/>
        <c:crossAx val="145182720"/>
        <c:crosses val="autoZero"/>
        <c:auto val="1"/>
        <c:lblAlgn val="ctr"/>
        <c:lblOffset val="100"/>
        <c:noMultiLvlLbl val="0"/>
      </c:catAx>
      <c:valAx>
        <c:axId val="145182720"/>
        <c:scaling>
          <c:orientation val="minMax"/>
        </c:scaling>
        <c:delete val="1"/>
        <c:axPos val="b"/>
        <c:numFmt formatCode="General" sourceLinked="1"/>
        <c:majorTickMark val="none"/>
        <c:minorTickMark val="none"/>
        <c:tickLblPos val="nextTo"/>
        <c:crossAx val="145167872"/>
        <c:crosses val="autoZero"/>
        <c:crossBetween val="between"/>
      </c:valAx>
    </c:plotArea>
    <c:plotVisOnly val="1"/>
    <c:dispBlanksAs val="gap"/>
    <c:showDLblsOverMax val="0"/>
  </c:chart>
  <c:txPr>
    <a:bodyPr/>
    <a:lstStyle/>
    <a:p>
      <a:pPr>
        <a:defRPr sz="8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Imports of Cereals per Capita</a:t>
            </a:r>
          </a:p>
        </c:rich>
      </c:tx>
      <c:overlay val="0"/>
    </c:title>
    <c:autoTitleDeleted val="0"/>
    <c:plotArea>
      <c:layout/>
      <c:barChart>
        <c:barDir val="bar"/>
        <c:grouping val="clustered"/>
        <c:varyColors val="0"/>
        <c:ser>
          <c:idx val="0"/>
          <c:order val="0"/>
          <c:invertIfNegative val="0"/>
          <c:cat>
            <c:strRef>
              <c:f>Sheet1!$B$1:$C$1</c:f>
              <c:strCache>
                <c:ptCount val="2"/>
                <c:pt idx="0">
                  <c:v>&lt;4</c:v>
                </c:pt>
                <c:pt idx="1">
                  <c:v>&gt;4</c:v>
                </c:pt>
              </c:strCache>
            </c:strRef>
          </c:cat>
          <c:val>
            <c:numRef>
              <c:f>Sheet1!$B$2:$C$2</c:f>
              <c:numCache>
                <c:formatCode>General</c:formatCode>
                <c:ptCount val="2"/>
                <c:pt idx="0">
                  <c:v>38.520000000000003</c:v>
                </c:pt>
                <c:pt idx="1">
                  <c:v>61.48</c:v>
                </c:pt>
              </c:numCache>
            </c:numRef>
          </c:val>
        </c:ser>
        <c:dLbls>
          <c:showLegendKey val="0"/>
          <c:showVal val="1"/>
          <c:showCatName val="0"/>
          <c:showSerName val="0"/>
          <c:showPercent val="0"/>
          <c:showBubbleSize val="0"/>
        </c:dLbls>
        <c:gapWidth val="150"/>
        <c:overlap val="-25"/>
        <c:axId val="152546688"/>
        <c:axId val="153488384"/>
      </c:barChart>
      <c:catAx>
        <c:axId val="152546688"/>
        <c:scaling>
          <c:orientation val="minMax"/>
        </c:scaling>
        <c:delete val="0"/>
        <c:axPos val="l"/>
        <c:majorTickMark val="none"/>
        <c:minorTickMark val="none"/>
        <c:tickLblPos val="nextTo"/>
        <c:crossAx val="153488384"/>
        <c:crosses val="autoZero"/>
        <c:auto val="1"/>
        <c:lblAlgn val="ctr"/>
        <c:lblOffset val="100"/>
        <c:noMultiLvlLbl val="0"/>
      </c:catAx>
      <c:valAx>
        <c:axId val="153488384"/>
        <c:scaling>
          <c:orientation val="minMax"/>
          <c:min val="0"/>
        </c:scaling>
        <c:delete val="1"/>
        <c:axPos val="b"/>
        <c:numFmt formatCode="General" sourceLinked="1"/>
        <c:majorTickMark val="out"/>
        <c:minorTickMark val="none"/>
        <c:tickLblPos val="nextTo"/>
        <c:crossAx val="152546688"/>
        <c:crosses val="autoZero"/>
        <c:crossBetween val="between"/>
      </c:valAx>
    </c:plotArea>
    <c:plotVisOnly val="1"/>
    <c:dispBlanksAs val="gap"/>
    <c:showDLblsOverMax val="0"/>
  </c:chart>
  <c:txPr>
    <a:bodyPr/>
    <a:lstStyle/>
    <a:p>
      <a:pPr>
        <a:defRPr sz="8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Annual Food Supply per Capita</a:t>
            </a:r>
          </a:p>
        </c:rich>
      </c:tx>
      <c:overlay val="0"/>
    </c:title>
    <c:autoTitleDeleted val="0"/>
    <c:plotArea>
      <c:layout/>
      <c:barChart>
        <c:barDir val="bar"/>
        <c:grouping val="clustered"/>
        <c:varyColors val="0"/>
        <c:ser>
          <c:idx val="0"/>
          <c:order val="0"/>
          <c:invertIfNegative val="0"/>
          <c:cat>
            <c:strRef>
              <c:f>Sheet1!$B$1:$C$1</c:f>
              <c:strCache>
                <c:ptCount val="2"/>
                <c:pt idx="0">
                  <c:v>&lt;4</c:v>
                </c:pt>
                <c:pt idx="1">
                  <c:v>&gt;4</c:v>
                </c:pt>
              </c:strCache>
            </c:strRef>
          </c:cat>
          <c:val>
            <c:numRef>
              <c:f>Sheet1!$B$2:$C$2</c:f>
              <c:numCache>
                <c:formatCode>General</c:formatCode>
                <c:ptCount val="2"/>
                <c:pt idx="0">
                  <c:v>38.520000000000003</c:v>
                </c:pt>
                <c:pt idx="1">
                  <c:v>61.48</c:v>
                </c:pt>
              </c:numCache>
            </c:numRef>
          </c:val>
        </c:ser>
        <c:dLbls>
          <c:showLegendKey val="0"/>
          <c:showVal val="1"/>
          <c:showCatName val="0"/>
          <c:showSerName val="0"/>
          <c:showPercent val="0"/>
          <c:showBubbleSize val="0"/>
        </c:dLbls>
        <c:gapWidth val="150"/>
        <c:overlap val="-25"/>
        <c:axId val="153743744"/>
        <c:axId val="153879296"/>
      </c:barChart>
      <c:catAx>
        <c:axId val="153743744"/>
        <c:scaling>
          <c:orientation val="minMax"/>
        </c:scaling>
        <c:delete val="0"/>
        <c:axPos val="l"/>
        <c:majorTickMark val="none"/>
        <c:minorTickMark val="none"/>
        <c:tickLblPos val="nextTo"/>
        <c:crossAx val="153879296"/>
        <c:crosses val="autoZero"/>
        <c:auto val="1"/>
        <c:lblAlgn val="ctr"/>
        <c:lblOffset val="100"/>
        <c:noMultiLvlLbl val="0"/>
      </c:catAx>
      <c:valAx>
        <c:axId val="153879296"/>
        <c:scaling>
          <c:orientation val="minMax"/>
          <c:min val="0"/>
        </c:scaling>
        <c:delete val="1"/>
        <c:axPos val="b"/>
        <c:numFmt formatCode="General" sourceLinked="1"/>
        <c:majorTickMark val="out"/>
        <c:minorTickMark val="none"/>
        <c:tickLblPos val="nextTo"/>
        <c:crossAx val="153743744"/>
        <c:crosses val="autoZero"/>
        <c:crossBetween val="between"/>
      </c:valAx>
    </c:plotArea>
    <c:plotVisOnly val="1"/>
    <c:dispBlanksAs val="gap"/>
    <c:showDLblsOverMax val="0"/>
  </c:chart>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00A09-9952-43DA-BB6D-28F9F647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43</Pages>
  <Words>8301</Words>
  <Characters>47316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USNA</Company>
  <LinksUpToDate>false</LinksUpToDate>
  <CharactersWithSpaces>55506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Reese Howard</dc:creator>
  <cp:lastModifiedBy>Andrea Reese Howard</cp:lastModifiedBy>
  <cp:revision>51</cp:revision>
  <cp:lastPrinted>2015-03-27T17:27:00Z</cp:lastPrinted>
  <dcterms:created xsi:type="dcterms:W3CDTF">2015-04-01T10:10:00Z</dcterms:created>
  <dcterms:modified xsi:type="dcterms:W3CDTF">2015-04-02T08:01:00Z</dcterms:modified>
</cp:coreProperties>
</file>