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7DF11" w14:textId="47563F8B" w:rsidR="0064452B" w:rsidRDefault="00B03595" w:rsidP="00A97AE9">
      <w:pPr>
        <w:widowControl w:val="0"/>
        <w:jc w:val="center"/>
        <w:rPr>
          <w:b/>
          <w:sz w:val="28"/>
          <w:szCs w:val="28"/>
          <w:u w:val="single"/>
        </w:rPr>
      </w:pPr>
      <w:r w:rsidRPr="006C7743">
        <w:rPr>
          <w:b/>
          <w:sz w:val="28"/>
          <w:szCs w:val="28"/>
          <w:u w:val="single"/>
        </w:rPr>
        <w:t>Broken Beyond Repair</w:t>
      </w:r>
      <w:r w:rsidR="003F3CDD" w:rsidRPr="006C7743">
        <w:rPr>
          <w:b/>
          <w:sz w:val="28"/>
          <w:szCs w:val="28"/>
          <w:u w:val="single"/>
        </w:rPr>
        <w:t>:</w:t>
      </w:r>
      <w:r w:rsidR="00342D7B" w:rsidRPr="006C7743">
        <w:rPr>
          <w:b/>
          <w:sz w:val="28"/>
          <w:szCs w:val="28"/>
          <w:u w:val="single"/>
        </w:rPr>
        <w:t xml:space="preserve"> </w:t>
      </w:r>
      <w:r w:rsidR="00F42843">
        <w:rPr>
          <w:b/>
          <w:sz w:val="28"/>
          <w:szCs w:val="28"/>
          <w:u w:val="single"/>
        </w:rPr>
        <w:t xml:space="preserve">Criminal Rehabilitation </w:t>
      </w:r>
      <w:r w:rsidR="0080796D">
        <w:rPr>
          <w:b/>
          <w:sz w:val="28"/>
          <w:szCs w:val="28"/>
          <w:u w:val="single"/>
        </w:rPr>
        <w:t>and 20</w:t>
      </w:r>
      <w:r w:rsidR="0080796D" w:rsidRPr="0080796D">
        <w:rPr>
          <w:b/>
          <w:sz w:val="28"/>
          <w:szCs w:val="28"/>
          <w:u w:val="single"/>
          <w:vertAlign w:val="superscript"/>
        </w:rPr>
        <w:t>th</w:t>
      </w:r>
      <w:r w:rsidR="0080796D">
        <w:rPr>
          <w:b/>
          <w:sz w:val="28"/>
          <w:szCs w:val="28"/>
          <w:u w:val="single"/>
        </w:rPr>
        <w:t xml:space="preserve"> Century American Political Development</w:t>
      </w:r>
    </w:p>
    <w:p w14:paraId="5893A8D6" w14:textId="77777777" w:rsidR="0070222B" w:rsidRDefault="0070222B" w:rsidP="00A97AE9">
      <w:pPr>
        <w:widowControl w:val="0"/>
        <w:jc w:val="center"/>
        <w:rPr>
          <w:b/>
          <w:sz w:val="28"/>
          <w:szCs w:val="28"/>
          <w:u w:val="single"/>
        </w:rPr>
      </w:pPr>
    </w:p>
    <w:p w14:paraId="33C10C02" w14:textId="7EFEA637" w:rsidR="0070222B" w:rsidRDefault="0070222B" w:rsidP="00A97AE9">
      <w:pPr>
        <w:widowControl w:val="0"/>
        <w:jc w:val="center"/>
      </w:pPr>
      <w:r>
        <w:t>Anthony Grasso</w:t>
      </w:r>
    </w:p>
    <w:p w14:paraId="0FF682A5" w14:textId="28CE60C9" w:rsidR="0070222B" w:rsidRDefault="0070222B" w:rsidP="00A97AE9">
      <w:pPr>
        <w:widowControl w:val="0"/>
        <w:jc w:val="center"/>
      </w:pPr>
      <w:r>
        <w:t>University of Pennsylvania</w:t>
      </w:r>
    </w:p>
    <w:p w14:paraId="0A3B879E" w14:textId="1063D531" w:rsidR="0070222B" w:rsidRPr="0070222B" w:rsidRDefault="0070222B" w:rsidP="00A97AE9">
      <w:pPr>
        <w:widowControl w:val="0"/>
        <w:jc w:val="center"/>
      </w:pPr>
      <w:r>
        <w:t>Prepared for WPSA 2016, San Diego, CA</w:t>
      </w:r>
      <w:bookmarkStart w:id="0" w:name="_GoBack"/>
      <w:bookmarkEnd w:id="0"/>
    </w:p>
    <w:p w14:paraId="623C07C5" w14:textId="77777777" w:rsidR="0070222B" w:rsidRDefault="0070222B" w:rsidP="006C7743">
      <w:pPr>
        <w:widowControl w:val="0"/>
      </w:pPr>
    </w:p>
    <w:p w14:paraId="32567670" w14:textId="595BF850" w:rsidR="00A97AE9" w:rsidRDefault="00A97AE9" w:rsidP="00A97AE9">
      <w:pPr>
        <w:widowControl w:val="0"/>
      </w:pPr>
      <w:r>
        <w:rPr>
          <w:b/>
        </w:rPr>
        <w:t xml:space="preserve">Abstract. </w:t>
      </w:r>
      <w:r>
        <w:t xml:space="preserve">A commonly accepted premise in </w:t>
      </w:r>
      <w:r w:rsidR="00B07978">
        <w:t>criminal justice</w:t>
      </w:r>
      <w:r>
        <w:t xml:space="preserve"> literature is that the American penal system largely acc</w:t>
      </w:r>
      <w:r w:rsidR="00E21196">
        <w:t>epted the “rehabilitative ideal”—</w:t>
      </w:r>
      <w:r>
        <w:t>the belief that the main purpose of pu</w:t>
      </w:r>
      <w:r w:rsidR="00E21196">
        <w:t>nishment is to reform criminals—</w:t>
      </w:r>
      <w:r w:rsidR="006C7743">
        <w:t>in</w:t>
      </w:r>
      <w:r>
        <w:t xml:space="preserve"> the 20</w:t>
      </w:r>
      <w:r w:rsidRPr="00380BB9">
        <w:rPr>
          <w:vertAlign w:val="superscript"/>
        </w:rPr>
        <w:t>th</w:t>
      </w:r>
      <w:r>
        <w:t xml:space="preserve"> century preceding the rise of mass incarceration in the 1970s. This essay complicates this narrative by assessing the </w:t>
      </w:r>
      <w:r w:rsidR="00B7630E">
        <w:t xml:space="preserve">intellectual history </w:t>
      </w:r>
      <w:r w:rsidR="006C7743">
        <w:t>that established</w:t>
      </w:r>
      <w:r>
        <w:t xml:space="preserve"> the rehabilitative ideal</w:t>
      </w:r>
      <w:r w:rsidR="009F5D61">
        <w:t xml:space="preserve"> </w:t>
      </w:r>
      <w:r w:rsidR="006C7743">
        <w:t>as well as</w:t>
      </w:r>
      <w:r w:rsidR="009F5D61">
        <w:t xml:space="preserve"> </w:t>
      </w:r>
      <w:r w:rsidR="006C7743">
        <w:t xml:space="preserve">examining </w:t>
      </w:r>
      <w:r w:rsidR="009F5D61">
        <w:t>the ideal’s broader influence on social and political development</w:t>
      </w:r>
      <w:r>
        <w:t xml:space="preserve">. Analysis of the criminological theory </w:t>
      </w:r>
      <w:r w:rsidR="00B7630E">
        <w:t>at its roots reveals</w:t>
      </w:r>
      <w:r>
        <w:t xml:space="preserve"> that the rehabilitative ideal </w:t>
      </w:r>
      <w:r w:rsidR="00C54013">
        <w:t>was built</w:t>
      </w:r>
      <w:r>
        <w:t xml:space="preserve"> on </w:t>
      </w:r>
      <w:r w:rsidR="00B7630E">
        <w:t xml:space="preserve">theoretical premises </w:t>
      </w:r>
      <w:r w:rsidR="00C54013">
        <w:t>relying on distinctions</w:t>
      </w:r>
      <w:r>
        <w:t xml:space="preserve"> be</w:t>
      </w:r>
      <w:r w:rsidR="0081022F">
        <w:t>tween curable offenders and incorrigible</w:t>
      </w:r>
      <w:r>
        <w:t xml:space="preserve"> </w:t>
      </w:r>
      <w:r w:rsidR="00B7630E">
        <w:t>ones</w:t>
      </w:r>
      <w:r>
        <w:t xml:space="preserve"> who</w:t>
      </w:r>
      <w:r w:rsidR="0081022F">
        <w:t xml:space="preserve"> must</w:t>
      </w:r>
      <w:r>
        <w:t xml:space="preserve"> be </w:t>
      </w:r>
      <w:r w:rsidR="0081022F">
        <w:t>contained</w:t>
      </w:r>
      <w:r>
        <w:t xml:space="preserve">. </w:t>
      </w:r>
      <w:r w:rsidR="0081022F">
        <w:t>In this way</w:t>
      </w:r>
      <w:r>
        <w:t xml:space="preserve">, the seeds of punitive politics were sewn into the </w:t>
      </w:r>
      <w:r w:rsidR="0081022F">
        <w:t xml:space="preserve">logic of </w:t>
      </w:r>
      <w:r w:rsidR="00C54013">
        <w:t xml:space="preserve">the </w:t>
      </w:r>
      <w:r w:rsidR="0081022F">
        <w:t>rehabilitative</w:t>
      </w:r>
      <w:r w:rsidR="00C54013">
        <w:t xml:space="preserve"> ideal</w:t>
      </w:r>
      <w:r w:rsidR="0081022F">
        <w:t xml:space="preserve"> </w:t>
      </w:r>
      <w:r>
        <w:t xml:space="preserve">from </w:t>
      </w:r>
      <w:r w:rsidR="00C54013">
        <w:t>its</w:t>
      </w:r>
      <w:r>
        <w:t xml:space="preserve"> origins. This </w:t>
      </w:r>
      <w:r w:rsidR="00C54013">
        <w:t>justified harsh treatments for incorrigible</w:t>
      </w:r>
      <w:r>
        <w:t xml:space="preserve"> populations during the years of the rehabilitative ideal’s </w:t>
      </w:r>
      <w:r w:rsidR="00C54013">
        <w:t xml:space="preserve">dominance, particularly </w:t>
      </w:r>
      <w:r w:rsidR="009F5D61">
        <w:t xml:space="preserve">in the form of extended sentences for recidivists, </w:t>
      </w:r>
      <w:r>
        <w:t>compulsory sterilizations for the mental</w:t>
      </w:r>
      <w:r w:rsidR="00E21196">
        <w:t>ly ill</w:t>
      </w:r>
      <w:r w:rsidR="009F5D61">
        <w:t xml:space="preserve">, and lynchings for </w:t>
      </w:r>
      <w:r w:rsidR="00E21196">
        <w:t>African Americans</w:t>
      </w:r>
      <w:r w:rsidR="00B7630E">
        <w:t>. This</w:t>
      </w:r>
      <w:r>
        <w:t xml:space="preserve"> logic was essential in facilitating the </w:t>
      </w:r>
      <w:r w:rsidR="006C7743">
        <w:t>emergence</w:t>
      </w:r>
      <w:r w:rsidR="00B7630E">
        <w:t xml:space="preserve"> of</w:t>
      </w:r>
      <w:r>
        <w:t xml:space="preserve"> punitive politics in the 1970s and has been key to validating the</w:t>
      </w:r>
      <w:r w:rsidR="00B7630E">
        <w:t xml:space="preserve"> agenda of the neoliberal state</w:t>
      </w:r>
      <w:r w:rsidR="00C54013">
        <w:t xml:space="preserve"> ever since</w:t>
      </w:r>
      <w:r>
        <w:t xml:space="preserve">. The paper concludes by arguing that emphasizing rehabilitation </w:t>
      </w:r>
      <w:r w:rsidR="006C7743">
        <w:t>will not</w:t>
      </w:r>
      <w:r>
        <w:t xml:space="preserve"> </w:t>
      </w:r>
      <w:r w:rsidR="006C7743">
        <w:t>help reduce</w:t>
      </w:r>
      <w:r>
        <w:t xml:space="preserve"> mass incarceration </w:t>
      </w:r>
      <w:r w:rsidR="00B7630E">
        <w:t>without</w:t>
      </w:r>
      <w:r>
        <w:t xml:space="preserve"> </w:t>
      </w:r>
      <w:r w:rsidR="006C7743">
        <w:t>divorcing rehabilitative goals from problematic assumptions at the rehabilitative ideal’s foundation</w:t>
      </w:r>
      <w:r w:rsidR="00B7630E">
        <w:t xml:space="preserve">.  </w:t>
      </w:r>
    </w:p>
    <w:p w14:paraId="3A0A6A0C" w14:textId="77777777" w:rsidR="00A97AE9" w:rsidRDefault="00A97AE9" w:rsidP="00A97AE9">
      <w:pPr>
        <w:widowControl w:val="0"/>
        <w:rPr>
          <w:b/>
        </w:rPr>
      </w:pPr>
    </w:p>
    <w:p w14:paraId="1D6B54AF" w14:textId="44F6EB5F" w:rsidR="00AF405A" w:rsidRDefault="00AF405A" w:rsidP="00A97AE9">
      <w:pPr>
        <w:widowControl w:val="0"/>
        <w:rPr>
          <w:b/>
        </w:rPr>
      </w:pPr>
      <w:r>
        <w:rPr>
          <w:b/>
        </w:rPr>
        <w:t>Introduction</w:t>
      </w:r>
    </w:p>
    <w:p w14:paraId="399C8714" w14:textId="77777777" w:rsidR="00AF405A" w:rsidRPr="00AF405A" w:rsidRDefault="00AF405A" w:rsidP="00A97AE9">
      <w:pPr>
        <w:widowControl w:val="0"/>
        <w:rPr>
          <w:b/>
        </w:rPr>
      </w:pPr>
    </w:p>
    <w:p w14:paraId="0AAA9F7C" w14:textId="5B7472F7" w:rsidR="002B4897" w:rsidRPr="00AF405A" w:rsidRDefault="00E21196" w:rsidP="00AF405A">
      <w:pPr>
        <w:spacing w:line="480" w:lineRule="auto"/>
        <w:ind w:firstLine="720"/>
        <w:rPr>
          <w:b/>
        </w:rPr>
      </w:pPr>
      <w:r>
        <w:t>T</w:t>
      </w:r>
      <w:r w:rsidR="00F96B5D">
        <w:t xml:space="preserve">he </w:t>
      </w:r>
      <w:r w:rsidR="007363A9">
        <w:t xml:space="preserve">basic </w:t>
      </w:r>
      <w:r w:rsidR="00CC4D32">
        <w:t xml:space="preserve">story of mass incarceration </w:t>
      </w:r>
      <w:r w:rsidR="002B4897">
        <w:t>is a familiar one—i</w:t>
      </w:r>
      <w:r w:rsidR="00F96B5D">
        <w:t>n the latter half of the twentieth century, America’s incarceratio</w:t>
      </w:r>
      <w:r w:rsidR="007363A9">
        <w:t xml:space="preserve">n rates </w:t>
      </w:r>
      <w:r w:rsidR="004618A1">
        <w:t>increased</w:t>
      </w:r>
      <w:r w:rsidR="007363A9">
        <w:t xml:space="preserve"> exponential</w:t>
      </w:r>
      <w:r w:rsidR="004618A1">
        <w:t>ly</w:t>
      </w:r>
      <w:r w:rsidR="007363A9">
        <w:t xml:space="preserve"> </w:t>
      </w:r>
      <w:r w:rsidR="00CD39AF">
        <w:t>and</w:t>
      </w:r>
      <w:r w:rsidR="00F96B5D">
        <w:t xml:space="preserve"> </w:t>
      </w:r>
      <w:r w:rsidR="00BC45F1">
        <w:t>the country</w:t>
      </w:r>
      <w:r w:rsidR="00852C21">
        <w:t xml:space="preserve"> became</w:t>
      </w:r>
      <w:r w:rsidR="00F96B5D">
        <w:t xml:space="preserve"> the </w:t>
      </w:r>
      <w:r w:rsidR="00BC45F1">
        <w:t>global</w:t>
      </w:r>
      <w:r w:rsidR="00F96B5D">
        <w:t xml:space="preserve"> leader in incarcerating its own citizens. </w:t>
      </w:r>
      <w:r w:rsidR="00084507">
        <w:t xml:space="preserve">Scholars have pointed to a </w:t>
      </w:r>
      <w:r w:rsidR="00352558">
        <w:t>variety of explanations for this shift</w:t>
      </w:r>
      <w:r w:rsidR="00084507">
        <w:t xml:space="preserve">, including </w:t>
      </w:r>
      <w:r w:rsidR="00CD39AF">
        <w:t>the</w:t>
      </w:r>
      <w:r w:rsidR="00352558">
        <w:t xml:space="preserve"> conservative politics</w:t>
      </w:r>
      <w:r w:rsidR="00084507">
        <w:t xml:space="preserve"> </w:t>
      </w:r>
      <w:r w:rsidR="00CD39AF">
        <w:t>of</w:t>
      </w:r>
      <w:r w:rsidR="00084507">
        <w:t xml:space="preserve"> the 1960s, </w:t>
      </w:r>
      <w:r w:rsidR="00352558">
        <w:t xml:space="preserve">“late modernity,” </w:t>
      </w:r>
      <w:r w:rsidR="00CD39AF">
        <w:t>and</w:t>
      </w:r>
      <w:r w:rsidR="00352558">
        <w:t xml:space="preserve"> the history of American institution building.</w:t>
      </w:r>
      <w:r w:rsidR="002B4897">
        <w:rPr>
          <w:rStyle w:val="FootnoteReference"/>
        </w:rPr>
        <w:footnoteReference w:id="1"/>
      </w:r>
      <w:r w:rsidR="002B4897">
        <w:t xml:space="preserve"> A common feature of many arguments is that the </w:t>
      </w:r>
      <w:r w:rsidR="00BD70B2">
        <w:t>emergence</w:t>
      </w:r>
      <w:r w:rsidR="002B4897">
        <w:t xml:space="preserve"> of mass incarceration involved </w:t>
      </w:r>
      <w:r>
        <w:t xml:space="preserve">a </w:t>
      </w:r>
      <w:r w:rsidR="00BB1413">
        <w:t>repudiation</w:t>
      </w:r>
      <w:r w:rsidR="002B4897">
        <w:t xml:space="preserve"> of the rehabilitative ideal </w:t>
      </w:r>
      <w:r w:rsidR="00BD70B2">
        <w:t>in</w:t>
      </w:r>
      <w:r w:rsidR="002B4897">
        <w:t xml:space="preserve"> the 1970s. According to Francis Allen, the rehabilitative ideal is the </w:t>
      </w:r>
      <w:r w:rsidR="002B4897">
        <w:lastRenderedPageBreak/>
        <w:t>belief that the main purpose of punishment is to change an offender’s character, attitudes, and behavior. Allen contends that the rehabilitative ideal had “almost unchallenged sway” in criminological theory from the late nineteenth century through the 1970s and that it was a fundamental force shaping penal policy during these years.</w:t>
      </w:r>
      <w:r w:rsidR="002B4897">
        <w:rPr>
          <w:rStyle w:val="FootnoteReference"/>
        </w:rPr>
        <w:footnoteReference w:id="2"/>
      </w:r>
      <w:r w:rsidR="002B4897">
        <w:t xml:space="preserve"> </w:t>
      </w:r>
    </w:p>
    <w:p w14:paraId="4EB50F1E" w14:textId="26F30837" w:rsidR="002B4897" w:rsidRDefault="002B4897" w:rsidP="00BD70B2">
      <w:pPr>
        <w:widowControl w:val="0"/>
        <w:spacing w:line="480" w:lineRule="auto"/>
        <w:ind w:firstLine="720"/>
      </w:pPr>
      <w:r>
        <w:t xml:space="preserve">However, examining the intellectual work that shaped </w:t>
      </w:r>
      <w:r w:rsidR="006C7743">
        <w:t>penal</w:t>
      </w:r>
      <w:r w:rsidR="00BB1413">
        <w:t xml:space="preserve"> </w:t>
      </w:r>
      <w:r w:rsidR="006C7743">
        <w:t>rehabilitative theory</w:t>
      </w:r>
      <w:r>
        <w:t xml:space="preserve"> </w:t>
      </w:r>
      <w:r w:rsidR="007F543E">
        <w:t>reveals</w:t>
      </w:r>
      <w:r>
        <w:t xml:space="preserve"> that the potential for punitive politics was built into </w:t>
      </w:r>
      <w:r w:rsidR="006C7743">
        <w:t>it</w:t>
      </w:r>
      <w:r>
        <w:t xml:space="preserve"> from its inception. The rehabilitative ideal and the methods it promoted originated in the works of late nineteenth century criminologists who saw rehabilitation as a double-edged sword, as failure to reform was interpreted as evidence that so</w:t>
      </w:r>
      <w:r w:rsidR="00F87955">
        <w:t xml:space="preserve">me offenders were </w:t>
      </w:r>
      <w:r w:rsidR="00385106">
        <w:t>“incorrigible”</w:t>
      </w:r>
      <w:r w:rsidR="00F87955">
        <w:t xml:space="preserve"> criminal</w:t>
      </w:r>
      <w:r w:rsidR="00385106">
        <w:t>s</w:t>
      </w:r>
      <w:r>
        <w:t xml:space="preserve"> </w:t>
      </w:r>
      <w:r w:rsidR="00F87955">
        <w:t>and</w:t>
      </w:r>
      <w:r>
        <w:t xml:space="preserve"> could only be controlled through incarceration. </w:t>
      </w:r>
      <w:r w:rsidR="00385106">
        <w:t>This</w:t>
      </w:r>
      <w:r w:rsidR="00BB1413">
        <w:t xml:space="preserve"> concept of incorrigibility</w:t>
      </w:r>
      <w:r w:rsidR="00BD70B2">
        <w:t xml:space="preserve"> </w:t>
      </w:r>
      <w:r w:rsidR="00385106">
        <w:t xml:space="preserve">has been applied </w:t>
      </w:r>
      <w:r w:rsidR="00BD70B2">
        <w:t xml:space="preserve">in ways that </w:t>
      </w:r>
      <w:r w:rsidR="00C54113">
        <w:t>legitimated the</w:t>
      </w:r>
      <w:r w:rsidR="00BD70B2">
        <w:t xml:space="preserve"> </w:t>
      </w:r>
      <w:r w:rsidR="00D26AB9">
        <w:t xml:space="preserve">harsh treatment </w:t>
      </w:r>
      <w:r w:rsidR="00C54113">
        <w:t>of</w:t>
      </w:r>
      <w:r w:rsidR="00BD70B2">
        <w:t xml:space="preserve"> large numbers of people</w:t>
      </w:r>
      <w:r w:rsidR="00D26AB9">
        <w:t xml:space="preserve"> </w:t>
      </w:r>
      <w:r w:rsidR="00385106">
        <w:t>throughout</w:t>
      </w:r>
      <w:r w:rsidR="00BD70B2">
        <w:t xml:space="preserve"> the </w:t>
      </w:r>
      <w:r w:rsidR="00BB1413">
        <w:t>twentieth</w:t>
      </w:r>
      <w:r w:rsidR="00BD70B2">
        <w:t xml:space="preserve"> century. </w:t>
      </w:r>
      <w:r>
        <w:t>Th</w:t>
      </w:r>
      <w:r w:rsidR="00BD70B2">
        <w:t>at th</w:t>
      </w:r>
      <w:r>
        <w:t xml:space="preserve">is justification for punitive politics undergirded the rehabilitative ideal from its origins </w:t>
      </w:r>
      <w:r w:rsidR="00BD70B2">
        <w:t>indicates</w:t>
      </w:r>
      <w:r>
        <w:t xml:space="preserve"> that</w:t>
      </w:r>
      <w:r w:rsidR="00385106">
        <w:t>, to a large extent,</w:t>
      </w:r>
      <w:r>
        <w:t xml:space="preserve"> the turn away from rehabilitation in the 1970s </w:t>
      </w:r>
      <w:r w:rsidR="00BB1413">
        <w:t>was</w:t>
      </w:r>
      <w:r>
        <w:t xml:space="preserve"> due </w:t>
      </w:r>
      <w:r w:rsidR="00385106">
        <w:t xml:space="preserve">as much </w:t>
      </w:r>
      <w:r>
        <w:t>to the rehabilitative ideal’s</w:t>
      </w:r>
      <w:r w:rsidR="00385106">
        <w:t xml:space="preserve"> own</w:t>
      </w:r>
      <w:r>
        <w:t xml:space="preserve"> ideological and theoretical underpinnings </w:t>
      </w:r>
      <w:r w:rsidR="00BB1413">
        <w:t>as</w:t>
      </w:r>
      <w:r>
        <w:t xml:space="preserve"> it was to changes in </w:t>
      </w:r>
      <w:r w:rsidR="00BB1413">
        <w:t xml:space="preserve">the </w:t>
      </w:r>
      <w:r>
        <w:t>political and social context.</w:t>
      </w:r>
    </w:p>
    <w:p w14:paraId="677226A7" w14:textId="0707B8C4" w:rsidR="002B4897" w:rsidRPr="00BE1AB1" w:rsidRDefault="002B4897" w:rsidP="00C54113">
      <w:pPr>
        <w:widowControl w:val="0"/>
        <w:spacing w:line="480" w:lineRule="auto"/>
        <w:ind w:firstLine="720"/>
      </w:pPr>
      <w:r>
        <w:t xml:space="preserve">The paper begins by assessing the works of late nineteenth century criminologists to demonstrate how the criminological theory that established the rehabilitative ideal laid the foundation for punitive politics. I then assess </w:t>
      </w:r>
      <w:r w:rsidR="00C54113">
        <w:t xml:space="preserve">several </w:t>
      </w:r>
      <w:r w:rsidR="00BD70B2">
        <w:t>developments</w:t>
      </w:r>
      <w:r w:rsidR="00C54113">
        <w:t xml:space="preserve"> during the late </w:t>
      </w:r>
      <w:r>
        <w:t xml:space="preserve">nineteenth </w:t>
      </w:r>
      <w:r w:rsidR="00BB1413">
        <w:t>and</w:t>
      </w:r>
      <w:r>
        <w:t xml:space="preserve"> </w:t>
      </w:r>
      <w:r w:rsidR="00C54113">
        <w:t>mid-</w:t>
      </w:r>
      <w:r w:rsidR="00BD70B2">
        <w:t>twentieth centuries</w:t>
      </w:r>
      <w:r w:rsidR="00C54113">
        <w:t>—</w:t>
      </w:r>
      <w:r>
        <w:t>when the rehabilitative ideal was supposedly dominant</w:t>
      </w:r>
      <w:r w:rsidR="00C54113">
        <w:t>—</w:t>
      </w:r>
      <w:r w:rsidR="00BB1413">
        <w:t>that</w:t>
      </w:r>
      <w:r w:rsidR="00C54113">
        <w:t xml:space="preserve"> </w:t>
      </w:r>
      <w:r w:rsidR="00BD70B2">
        <w:t xml:space="preserve">demonstrate how rehabilitative </w:t>
      </w:r>
      <w:r w:rsidR="00C54113">
        <w:t>theory</w:t>
      </w:r>
      <w:r w:rsidR="00BD70B2">
        <w:t xml:space="preserve"> justified </w:t>
      </w:r>
      <w:r w:rsidR="00385106">
        <w:t>harsh</w:t>
      </w:r>
      <w:r w:rsidR="00BD70B2">
        <w:t xml:space="preserve"> </w:t>
      </w:r>
      <w:r w:rsidR="00385106">
        <w:t>treatments</w:t>
      </w:r>
      <w:r w:rsidR="00BB1413">
        <w:t xml:space="preserve"> for certain populations</w:t>
      </w:r>
      <w:r>
        <w:t xml:space="preserve">. </w:t>
      </w:r>
      <w:r w:rsidR="00C54113">
        <w:t xml:space="preserve">This is followed by a section </w:t>
      </w:r>
      <w:r w:rsidR="00A27CD3">
        <w:t>demonstrating</w:t>
      </w:r>
      <w:r w:rsidR="00BB1413">
        <w:t xml:space="preserve"> </w:t>
      </w:r>
      <w:r w:rsidR="00A27CD3">
        <w:t>how</w:t>
      </w:r>
      <w:r w:rsidR="00C54113">
        <w:t xml:space="preserve"> </w:t>
      </w:r>
      <w:r w:rsidR="00F40C4A">
        <w:t xml:space="preserve">the </w:t>
      </w:r>
      <w:r w:rsidR="00C54113">
        <w:t xml:space="preserve">punitive political </w:t>
      </w:r>
      <w:r w:rsidR="00F40C4A">
        <w:t>developments</w:t>
      </w:r>
      <w:r w:rsidR="00C54113">
        <w:t xml:space="preserve"> </w:t>
      </w:r>
      <w:r w:rsidR="00F40C4A">
        <w:t>of</w:t>
      </w:r>
      <w:r w:rsidR="00C54113">
        <w:t xml:space="preserve"> the 1970s </w:t>
      </w:r>
      <w:r w:rsidR="00F40C4A">
        <w:t xml:space="preserve">built on tenets of rehabilitative ideology in </w:t>
      </w:r>
      <w:r w:rsidR="00BB1413">
        <w:t>multiple</w:t>
      </w:r>
      <w:r w:rsidR="00F40C4A">
        <w:t xml:space="preserve"> ways</w:t>
      </w:r>
      <w:r w:rsidR="00C54113">
        <w:t xml:space="preserve">. </w:t>
      </w:r>
      <w:r w:rsidRPr="00F543B7">
        <w:t xml:space="preserve">The final section </w:t>
      </w:r>
      <w:r w:rsidR="00A27CD3">
        <w:t>argues</w:t>
      </w:r>
      <w:r w:rsidRPr="00F543B7">
        <w:t xml:space="preserve"> that the </w:t>
      </w:r>
      <w:r w:rsidR="00BD70B2">
        <w:t xml:space="preserve">current </w:t>
      </w:r>
      <w:r w:rsidRPr="00F543B7">
        <w:t xml:space="preserve">neoliberal </w:t>
      </w:r>
      <w:r w:rsidR="00BD70B2">
        <w:t>political order</w:t>
      </w:r>
      <w:r w:rsidR="00F40C4A">
        <w:t xml:space="preserve"> has capitalized on the </w:t>
      </w:r>
      <w:r w:rsidRPr="00F543B7">
        <w:t xml:space="preserve">punitive </w:t>
      </w:r>
      <w:r>
        <w:t>rationale</w:t>
      </w:r>
      <w:r w:rsidRPr="00F543B7">
        <w:t xml:space="preserve"> of the rehabilitative ide</w:t>
      </w:r>
      <w:r w:rsidR="00BD70B2">
        <w:t>al</w:t>
      </w:r>
      <w:r w:rsidR="00F40C4A">
        <w:t xml:space="preserve"> and </w:t>
      </w:r>
      <w:r w:rsidR="00BD70B2">
        <w:t>created a</w:t>
      </w:r>
      <w:r w:rsidRPr="00F543B7">
        <w:t xml:space="preserve"> favorable </w:t>
      </w:r>
      <w:r>
        <w:t>context</w:t>
      </w:r>
      <w:r w:rsidRPr="00F543B7">
        <w:t xml:space="preserve"> for bio</w:t>
      </w:r>
      <w:r w:rsidR="00614666">
        <w:t>-</w:t>
      </w:r>
      <w:r w:rsidRPr="00F543B7">
        <w:t xml:space="preserve">deterministic theories of criminality to return to the </w:t>
      </w:r>
      <w:r w:rsidR="00A27CD3">
        <w:t>academic</w:t>
      </w:r>
      <w:r w:rsidRPr="00F543B7">
        <w:t xml:space="preserve"> mainstream.</w:t>
      </w:r>
      <w:r>
        <w:t xml:space="preserve"> </w:t>
      </w:r>
      <w:r w:rsidR="00645BAC">
        <w:t xml:space="preserve">While the paper concludes by endorsing prisoner rehabilitation as intrinsically good, it is argued that rehabilitative philosophy must be divorced from a number of dangerous assumptions if it is to be employed in a way that will reduce rather than exacerbate mass incarceration.  </w:t>
      </w:r>
    </w:p>
    <w:p w14:paraId="5E7A4477" w14:textId="3DAC754B" w:rsidR="002B4897" w:rsidRDefault="002B4897" w:rsidP="00BE1AB1">
      <w:pPr>
        <w:widowControl w:val="0"/>
        <w:spacing w:line="480" w:lineRule="auto"/>
        <w:ind w:firstLine="720"/>
      </w:pPr>
      <w:r>
        <w:t>This paper complicates orthodox understanding</w:t>
      </w:r>
      <w:r w:rsidR="00F40C4A">
        <w:t>s</w:t>
      </w:r>
      <w:r>
        <w:t xml:space="preserve"> of penal rehabilitation by demonstrating that punitive seeds </w:t>
      </w:r>
      <w:r w:rsidR="00784A99">
        <w:t>are</w:t>
      </w:r>
      <w:r>
        <w:t xml:space="preserve"> sewn into the rehabilitative ideal. Thus, the </w:t>
      </w:r>
      <w:r w:rsidR="000B431D">
        <w:t>turn away from</w:t>
      </w:r>
      <w:r>
        <w:t xml:space="preserve"> rehabilitation in the 1970s should not have come as a surprise. </w:t>
      </w:r>
      <w:r w:rsidR="00BD70B2">
        <w:t>Various</w:t>
      </w:r>
      <w:r>
        <w:t xml:space="preserve"> social </w:t>
      </w:r>
      <w:r w:rsidRPr="00842EAD">
        <w:t xml:space="preserve">and political </w:t>
      </w:r>
      <w:r>
        <w:t>developments</w:t>
      </w:r>
      <w:r w:rsidRPr="00842EAD">
        <w:t xml:space="preserve"> </w:t>
      </w:r>
      <w:r>
        <w:t xml:space="preserve">facilitated the </w:t>
      </w:r>
      <w:r w:rsidR="00784A99">
        <w:t>emergence</w:t>
      </w:r>
      <w:r>
        <w:t xml:space="preserve"> of</w:t>
      </w:r>
      <w:r w:rsidRPr="00842EAD">
        <w:t xml:space="preserve"> punitive politics, but</w:t>
      </w:r>
      <w:r w:rsidRPr="00842EAD">
        <w:rPr>
          <w:i/>
        </w:rPr>
        <w:t xml:space="preserve"> </w:t>
      </w:r>
      <w:r w:rsidRPr="00340CEC">
        <w:t xml:space="preserve">the </w:t>
      </w:r>
      <w:r w:rsidR="000B431D">
        <w:t>rejection</w:t>
      </w:r>
      <w:r w:rsidRPr="00340CEC">
        <w:t xml:space="preserve"> of </w:t>
      </w:r>
      <w:r>
        <w:t xml:space="preserve">rehabilitation as </w:t>
      </w:r>
      <w:r w:rsidR="00784A99">
        <w:t>a</w:t>
      </w:r>
      <w:r>
        <w:t xml:space="preserve"> goal of the penal system</w:t>
      </w:r>
      <w:r w:rsidRPr="00340CEC">
        <w:t xml:space="preserve"> had less to do with the </w:t>
      </w:r>
      <w:r w:rsidR="000B431D">
        <w:t>politics of the period</w:t>
      </w:r>
      <w:r w:rsidRPr="00340CEC">
        <w:t xml:space="preserve"> than it had to do with the </w:t>
      </w:r>
      <w:r w:rsidR="00784A99">
        <w:t xml:space="preserve">presumptions about criminal behavior on which it rested. </w:t>
      </w:r>
    </w:p>
    <w:p w14:paraId="4EBAF401" w14:textId="2D388818" w:rsidR="002B4897" w:rsidRPr="001C09CA" w:rsidRDefault="002B4897" w:rsidP="001C09CA">
      <w:pPr>
        <w:widowControl w:val="0"/>
        <w:spacing w:line="480" w:lineRule="auto"/>
        <w:rPr>
          <w:b/>
        </w:rPr>
      </w:pPr>
      <w:r w:rsidRPr="001C09CA">
        <w:rPr>
          <w:b/>
        </w:rPr>
        <w:t>The Intellectual Roots of the Rehabilitative Ideal</w:t>
      </w:r>
      <w:r w:rsidR="00BD70B2">
        <w:rPr>
          <w:rStyle w:val="FootnoteReference"/>
        </w:rPr>
        <w:footnoteReference w:id="3"/>
      </w:r>
    </w:p>
    <w:p w14:paraId="5B893AB2" w14:textId="74F03758" w:rsidR="002B4897" w:rsidRDefault="002B4897" w:rsidP="000A3958">
      <w:pPr>
        <w:widowControl w:val="0"/>
        <w:spacing w:line="480" w:lineRule="auto"/>
        <w:ind w:firstLine="720"/>
      </w:pPr>
      <w:r>
        <w:t>In 1870</w:t>
      </w:r>
      <w:r w:rsidRPr="00B32531">
        <w:t>,</w:t>
      </w:r>
      <w:r>
        <w:t xml:space="preserve"> the American Congress of Corrections m</w:t>
      </w:r>
      <w:r w:rsidR="000B431D">
        <w:t>et in Cincinnati and issued a</w:t>
      </w:r>
      <w:r>
        <w:t xml:space="preserve"> Decl</w:t>
      </w:r>
      <w:r w:rsidR="000B431D">
        <w:t>aration of Principles encouraging</w:t>
      </w:r>
      <w:r>
        <w:t xml:space="preserve"> the use of various rehabilitative techniques in prisons, including educational and vocational training, </w:t>
      </w:r>
      <w:r w:rsidR="00823E94">
        <w:t xml:space="preserve">post-release supervision, and indeterminate sentences that permitted </w:t>
      </w:r>
      <w:r w:rsidR="00385106">
        <w:t xml:space="preserve">sentence </w:t>
      </w:r>
      <w:r w:rsidR="00823E94">
        <w:t xml:space="preserve">reductions for good conduct. </w:t>
      </w:r>
      <w:r w:rsidR="000B431D">
        <w:t>The Declaration</w:t>
      </w:r>
      <w:r w:rsidR="00823E94">
        <w:t xml:space="preserve"> </w:t>
      </w:r>
      <w:r>
        <w:t xml:space="preserve">is widely understood to mark the moment at which prisons </w:t>
      </w:r>
      <w:r w:rsidR="00944775">
        <w:t xml:space="preserve">generally </w:t>
      </w:r>
      <w:r>
        <w:t>began to shift their institutional mission towards corrections and rehabilitation.</w:t>
      </w:r>
      <w:r>
        <w:rPr>
          <w:rStyle w:val="FootnoteReference"/>
        </w:rPr>
        <w:footnoteReference w:id="4"/>
      </w:r>
      <w:r>
        <w:t xml:space="preserve"> One of the attendees who helped write the Declaration was Zebulon Brockway, who would</w:t>
      </w:r>
      <w:r w:rsidR="00385106">
        <w:t xml:space="preserve"> later</w:t>
      </w:r>
      <w:r>
        <w:t xml:space="preserve"> serve as </w:t>
      </w:r>
      <w:r w:rsidR="00385106">
        <w:t xml:space="preserve">the </w:t>
      </w:r>
      <w:r>
        <w:t>first warden o</w:t>
      </w:r>
      <w:r w:rsidR="00BD70B2">
        <w:t xml:space="preserve">f New York’s Elmira Reformatory when it opened in 1876. Elmira </w:t>
      </w:r>
      <w:r>
        <w:t>was hailed as a pion</w:t>
      </w:r>
      <w:r w:rsidR="000B431D">
        <w:t xml:space="preserve">eer in criminal rehabilitation and </w:t>
      </w:r>
      <w:r w:rsidR="00BD70B2">
        <w:t>was</w:t>
      </w:r>
      <w:r w:rsidR="000B431D">
        <w:t xml:space="preserve"> </w:t>
      </w:r>
      <w:r w:rsidR="00BD70B2">
        <w:t>praised for its use of</w:t>
      </w:r>
      <w:r>
        <w:t xml:space="preserve"> indeterminate sentences </w:t>
      </w:r>
      <w:r w:rsidR="00BD70B2">
        <w:t>that allowed</w:t>
      </w:r>
      <w:r>
        <w:t xml:space="preserve"> experts to determine </w:t>
      </w:r>
      <w:r w:rsidR="000B431D">
        <w:t>if</w:t>
      </w:r>
      <w:r>
        <w:t xml:space="preserve"> offenders should be </w:t>
      </w:r>
      <w:r w:rsidR="000B431D">
        <w:t xml:space="preserve">released </w:t>
      </w:r>
      <w:r w:rsidR="00BD70B2">
        <w:t>based on their rehabilitative progress</w:t>
      </w:r>
      <w:r w:rsidR="000B431D">
        <w:t xml:space="preserve"> and its</w:t>
      </w:r>
      <w:r>
        <w:t xml:space="preserve"> “marks” system that allowed</w:t>
      </w:r>
      <w:r w:rsidR="000B431D">
        <w:t xml:space="preserve"> prisoners to</w:t>
      </w:r>
      <w:r w:rsidR="00BD70B2">
        <w:t xml:space="preserve"> </w:t>
      </w:r>
      <w:r>
        <w:t>gain access to better food</w:t>
      </w:r>
      <w:r w:rsidR="00BD70B2">
        <w:t xml:space="preserve"> and accommodations</w:t>
      </w:r>
      <w:r>
        <w:t xml:space="preserve"> as rewards for good behavior. </w:t>
      </w:r>
    </w:p>
    <w:p w14:paraId="44572E53" w14:textId="3E102D36" w:rsidR="00823E94" w:rsidRDefault="002B4897" w:rsidP="00823E94">
      <w:pPr>
        <w:widowControl w:val="0"/>
        <w:spacing w:line="480" w:lineRule="auto"/>
        <w:ind w:firstLine="720"/>
      </w:pPr>
      <w:r>
        <w:t xml:space="preserve">However, while </w:t>
      </w:r>
      <w:r w:rsidR="00385106">
        <w:t>these</w:t>
      </w:r>
      <w:r>
        <w:t xml:space="preserve"> policies </w:t>
      </w:r>
      <w:r w:rsidR="00385106">
        <w:t>appear enlightened</w:t>
      </w:r>
      <w:r>
        <w:t xml:space="preserve">, there was a punitive </w:t>
      </w:r>
      <w:r w:rsidR="000B431D">
        <w:t>side</w:t>
      </w:r>
      <w:r>
        <w:t xml:space="preserve"> to </w:t>
      </w:r>
      <w:r w:rsidR="000B431D">
        <w:t>Elmira.</w:t>
      </w:r>
      <w:r w:rsidR="00BD70B2">
        <w:t xml:space="preserve"> Alexander Pisciotta</w:t>
      </w:r>
      <w:r w:rsidR="00823E94">
        <w:t xml:space="preserve"> (1994)</w:t>
      </w:r>
      <w:r w:rsidR="00CF0D33">
        <w:t xml:space="preserve"> has demonstrated that </w:t>
      </w:r>
      <w:r w:rsidR="00BD70B2">
        <w:t>Brockway’s promise of “benevolent reform” manifested as “bene</w:t>
      </w:r>
      <w:r w:rsidR="00823E94">
        <w:t xml:space="preserve">volent repression,” as despite Elmira’s nominally progressive philosophy, </w:t>
      </w:r>
      <w:r w:rsidR="00CF0D33">
        <w:t>the institution’s</w:t>
      </w:r>
      <w:r w:rsidR="00CA2D20">
        <w:t xml:space="preserve"> staff</w:t>
      </w:r>
      <w:r w:rsidR="000B431D">
        <w:t xml:space="preserve"> </w:t>
      </w:r>
      <w:r w:rsidR="00823E94">
        <w:t>physical</w:t>
      </w:r>
      <w:r w:rsidR="00CA2D20">
        <w:t>ly</w:t>
      </w:r>
      <w:r w:rsidR="00823E94">
        <w:t xml:space="preserve"> and psychological</w:t>
      </w:r>
      <w:r w:rsidR="00CA2D20">
        <w:t>ly</w:t>
      </w:r>
      <w:r w:rsidR="00823E94">
        <w:t xml:space="preserve"> abuse</w:t>
      </w:r>
      <w:r w:rsidR="00CA2D20">
        <w:t>d</w:t>
      </w:r>
      <w:r w:rsidR="00823E94">
        <w:t xml:space="preserve"> inmates as they sought to instill Protestant ethics into offenders </w:t>
      </w:r>
      <w:r w:rsidR="00385106">
        <w:t>while</w:t>
      </w:r>
      <w:r w:rsidR="00823E94">
        <w:t xml:space="preserve"> </w:t>
      </w:r>
      <w:r w:rsidR="00385106">
        <w:t>assimilating</w:t>
      </w:r>
      <w:r w:rsidR="00823E94">
        <w:t xml:space="preserve"> them into the working class.</w:t>
      </w:r>
      <w:r>
        <w:t xml:space="preserve"> </w:t>
      </w:r>
      <w:r w:rsidR="00CA2D20">
        <w:t>And while</w:t>
      </w:r>
      <w:r>
        <w:t xml:space="preserve"> indeterminate sentencing </w:t>
      </w:r>
      <w:r w:rsidR="00823E94">
        <w:t xml:space="preserve">policies </w:t>
      </w:r>
      <w:r>
        <w:t xml:space="preserve">allowed experts to release the rehabilitated, those who did not </w:t>
      </w:r>
      <w:r w:rsidR="00385106">
        <w:t>reform</w:t>
      </w:r>
      <w:r>
        <w:t xml:space="preserve"> were deemed </w:t>
      </w:r>
      <w:r w:rsidR="00CA2D20">
        <w:t>“incorrigible</w:t>
      </w:r>
      <w:r w:rsidR="00385106">
        <w:t xml:space="preserve">, </w:t>
      </w:r>
      <w:r w:rsidR="00823E94">
        <w:t>”</w:t>
      </w:r>
      <w:r w:rsidR="00CA2D20">
        <w:t>often due to defective heredity</w:t>
      </w:r>
      <w:r w:rsidR="008D5DF5">
        <w:t>,</w:t>
      </w:r>
      <w:r w:rsidR="00385106">
        <w:t xml:space="preserve"> </w:t>
      </w:r>
      <w:r w:rsidR="00823E94">
        <w:t xml:space="preserve">and </w:t>
      </w:r>
      <w:r w:rsidR="00CA2D20">
        <w:t xml:space="preserve">were </w:t>
      </w:r>
      <w:r w:rsidR="00385106">
        <w:t>incarcerated</w:t>
      </w:r>
      <w:r w:rsidR="00CA2D20">
        <w:t xml:space="preserve"> for extended periods</w:t>
      </w:r>
      <w:r>
        <w:t>.</w:t>
      </w:r>
      <w:r>
        <w:rPr>
          <w:rStyle w:val="FootnoteReference"/>
        </w:rPr>
        <w:footnoteReference w:id="5"/>
      </w:r>
      <w:r>
        <w:t xml:space="preserve"> </w:t>
      </w:r>
    </w:p>
    <w:p w14:paraId="5B9390A5" w14:textId="019FE74D" w:rsidR="00006645" w:rsidRDefault="00135695" w:rsidP="00D232B8">
      <w:pPr>
        <w:widowControl w:val="0"/>
        <w:spacing w:line="480" w:lineRule="auto"/>
        <w:ind w:firstLine="720"/>
      </w:pPr>
      <w:r>
        <w:t xml:space="preserve">Brockway saw degeneracy as a hereditary cause of crime, but also believed that </w:t>
      </w:r>
      <w:r w:rsidRPr="00190013">
        <w:t>acquired</w:t>
      </w:r>
      <w:r>
        <w:t xml:space="preserve"> characteristics—particularly impaired mental and moral faculties as a result of poor education or upbringing—were heritable.</w:t>
      </w:r>
      <w:r>
        <w:rPr>
          <w:rStyle w:val="FootnoteReference"/>
        </w:rPr>
        <w:footnoteReference w:id="6"/>
      </w:r>
      <w:r>
        <w:t xml:space="preserve"> Thus, his</w:t>
      </w:r>
      <w:r w:rsidR="002B4897">
        <w:t xml:space="preserve"> faith in the hereditary nature of </w:t>
      </w:r>
      <w:r>
        <w:t xml:space="preserve">criminality </w:t>
      </w:r>
      <w:r w:rsidR="002B4897">
        <w:t xml:space="preserve">rested on his </w:t>
      </w:r>
      <w:r>
        <w:t>acceptance of</w:t>
      </w:r>
      <w:r w:rsidR="00006645">
        <w:t xml:space="preserve"> Lamarckian evolutionary theory, leading him to conclude that</w:t>
      </w:r>
      <w:r w:rsidR="002B4897">
        <w:t xml:space="preserve"> criminality was </w:t>
      </w:r>
      <w:r w:rsidR="00006645">
        <w:t xml:space="preserve">often </w:t>
      </w:r>
      <w:r w:rsidR="002B4897">
        <w:t xml:space="preserve">hereditary, but not always immutable. </w:t>
      </w:r>
      <w:r w:rsidR="008D5DF5">
        <w:t>His works</w:t>
      </w:r>
      <w:r w:rsidR="00006645">
        <w:t xml:space="preserve"> also built on tenets of Cesare Lombroso’s theory of criminal atavism, which claimed that c</w:t>
      </w:r>
      <w:r w:rsidR="00D232B8">
        <w:t xml:space="preserve">ertain </w:t>
      </w:r>
      <w:r w:rsidR="00006645">
        <w:t>physical stigmata such as greater skull thickness, large jaws, or long ears were suggestive of a primitive biological inheritance</w:t>
      </w:r>
      <w:r w:rsidR="00D232B8">
        <w:t xml:space="preserve"> that rendered </w:t>
      </w:r>
      <w:r w:rsidR="00006645">
        <w:t xml:space="preserve">individuals irrational and morally senseless, earning them the </w:t>
      </w:r>
      <w:r w:rsidR="00CF0D33">
        <w:t>label</w:t>
      </w:r>
      <w:r w:rsidR="00006645">
        <w:t xml:space="preserve"> “born criminals.”</w:t>
      </w:r>
      <w:r w:rsidR="00006645">
        <w:rPr>
          <w:rStyle w:val="FootnoteReference"/>
        </w:rPr>
        <w:footnoteReference w:id="7"/>
      </w:r>
      <w:r w:rsidR="00D232B8">
        <w:t xml:space="preserve"> Brockway discussed the “inferiority” of prison</w:t>
      </w:r>
      <w:r w:rsidR="00AF4325">
        <w:t>er</w:t>
      </w:r>
      <w:r w:rsidR="00D232B8">
        <w:t>s who could be identified through Lombrosian stigmata and suggested that many criminals were simply “defective fellow beings” whose “animal instincts” were unchecked by their biology.</w:t>
      </w:r>
      <w:r w:rsidR="00D232B8">
        <w:rPr>
          <w:rStyle w:val="FootnoteReference"/>
        </w:rPr>
        <w:footnoteReference w:id="8"/>
      </w:r>
    </w:p>
    <w:p w14:paraId="5DD03E2D" w14:textId="23E5DE9D" w:rsidR="00D232B8" w:rsidRDefault="002B4897" w:rsidP="00542E39">
      <w:pPr>
        <w:widowControl w:val="0"/>
        <w:spacing w:line="480" w:lineRule="auto"/>
        <w:ind w:firstLine="720"/>
      </w:pPr>
      <w:r>
        <w:t xml:space="preserve">This Lamarckian understanding of heredity allowed </w:t>
      </w:r>
      <w:r w:rsidR="00D232B8">
        <w:t>Brockway</w:t>
      </w:r>
      <w:r>
        <w:t xml:space="preserve"> to simultaneously espouse a faith in the idea that some criminals could be reformed through rehabilitation while interpreting failure to reform as proof that others were</w:t>
      </w:r>
      <w:r w:rsidR="00795741">
        <w:t xml:space="preserve"> simply</w:t>
      </w:r>
      <w:r>
        <w:t xml:space="preserve"> </w:t>
      </w:r>
      <w:r w:rsidR="00243510">
        <w:t>incorrigible</w:t>
      </w:r>
      <w:r w:rsidR="00795741">
        <w:t xml:space="preserve"> due to individual defects</w:t>
      </w:r>
      <w:r>
        <w:t>.</w:t>
      </w:r>
      <w:r w:rsidR="00243510">
        <w:rPr>
          <w:rStyle w:val="FootnoteReference"/>
        </w:rPr>
        <w:footnoteReference w:id="9"/>
      </w:r>
      <w:r>
        <w:t xml:space="preserve"> </w:t>
      </w:r>
      <w:r w:rsidR="001D6626">
        <w:t>I</w:t>
      </w:r>
      <w:r w:rsidR="00AF4325">
        <w:t xml:space="preserve">ncorrigibles, Brockway </w:t>
      </w:r>
      <w:r w:rsidR="001D6626">
        <w:t>explained</w:t>
      </w:r>
      <w:r w:rsidR="00AF4325">
        <w:t>, were “inevitably” inclined to commit crime and were “irresponsive to common restraints.</w:t>
      </w:r>
      <w:r w:rsidR="00542E39">
        <w:t>”</w:t>
      </w:r>
      <w:r w:rsidR="00542E39">
        <w:rPr>
          <w:rStyle w:val="FootnoteReference"/>
        </w:rPr>
        <w:footnoteReference w:id="10"/>
      </w:r>
      <w:r w:rsidR="00AF4325">
        <w:t xml:space="preserve"> </w:t>
      </w:r>
      <w:r w:rsidR="00542E39">
        <w:t>He argued that indeterminate sentences permitted incorrigible criminals to be “continuously held under enough of custodial restraint to protect the public” and that between reforming the curable and containing the incurable, indeterminate sentencing would facilitate the creation of “a perfect race.”</w:t>
      </w:r>
      <w:r w:rsidR="00542E39">
        <w:rPr>
          <w:rStyle w:val="FootnoteReference"/>
        </w:rPr>
        <w:footnoteReference w:id="11"/>
      </w:r>
      <w:r w:rsidR="00542E39">
        <w:t xml:space="preserve"> </w:t>
      </w:r>
      <w:r w:rsidR="0010073A">
        <w:t xml:space="preserve">Thus, </w:t>
      </w:r>
      <w:r w:rsidR="00CF0D33">
        <w:t xml:space="preserve">he </w:t>
      </w:r>
      <w:r w:rsidR="00542E39">
        <w:t>defended</w:t>
      </w:r>
      <w:r w:rsidR="00CF0D33">
        <w:t xml:space="preserve"> </w:t>
      </w:r>
      <w:r w:rsidR="0010073A">
        <w:t xml:space="preserve">indeterminate sentencing </w:t>
      </w:r>
      <w:r w:rsidR="00542E39">
        <w:t>as a means</w:t>
      </w:r>
      <w:r w:rsidR="003708FD">
        <w:t xml:space="preserve"> </w:t>
      </w:r>
      <w:r w:rsidR="0010073A">
        <w:t xml:space="preserve">to incentivize prisoners to reform </w:t>
      </w:r>
      <w:r w:rsidR="0010073A" w:rsidRPr="003708FD">
        <w:t>and</w:t>
      </w:r>
      <w:r w:rsidR="0010073A">
        <w:t xml:space="preserve"> </w:t>
      </w:r>
      <w:r w:rsidR="00542E39">
        <w:t xml:space="preserve">as a means </w:t>
      </w:r>
      <w:r w:rsidR="00CF0D33">
        <w:t xml:space="preserve">to </w:t>
      </w:r>
      <w:r w:rsidR="0010073A">
        <w:t>indefinitely contain incorrigibles.</w:t>
      </w:r>
      <w:r w:rsidR="0010073A">
        <w:rPr>
          <w:rStyle w:val="FootnoteReference"/>
        </w:rPr>
        <w:footnoteReference w:id="12"/>
      </w:r>
    </w:p>
    <w:p w14:paraId="1CDB3569" w14:textId="1AB978CD" w:rsidR="00363917" w:rsidRDefault="00AF4325" w:rsidP="00CF0D33">
      <w:pPr>
        <w:widowControl w:val="0"/>
        <w:spacing w:line="480" w:lineRule="auto"/>
        <w:ind w:firstLine="720"/>
      </w:pPr>
      <w:r>
        <w:t xml:space="preserve">That the “father of the rehabilitative ideal” supported long-term containment for certain offenders is </w:t>
      </w:r>
      <w:r w:rsidR="002B4897">
        <w:t xml:space="preserve">not worth </w:t>
      </w:r>
      <w:r w:rsidR="00CF0D33">
        <w:t>noticing only</w:t>
      </w:r>
      <w:r w:rsidR="002B4897">
        <w:t xml:space="preserve"> as a doctrinal oddity, but as a principle of </w:t>
      </w:r>
      <w:r w:rsidR="00CF0D33">
        <w:t>his</w:t>
      </w:r>
      <w:r w:rsidR="002B4897">
        <w:t xml:space="preserve"> thinking that </w:t>
      </w:r>
      <w:r w:rsidR="00D11C37">
        <w:t>conditioned</w:t>
      </w:r>
      <w:r w:rsidR="002B4897">
        <w:t xml:space="preserve"> </w:t>
      </w:r>
      <w:r w:rsidR="00243510">
        <w:t xml:space="preserve">future </w:t>
      </w:r>
      <w:r w:rsidR="002B4897">
        <w:t>develo</w:t>
      </w:r>
      <w:r w:rsidR="00D232B8">
        <w:t xml:space="preserve">pments in </w:t>
      </w:r>
      <w:r w:rsidR="002B4897">
        <w:t xml:space="preserve">criminology. The </w:t>
      </w:r>
      <w:r w:rsidR="00542E39">
        <w:t>theorists</w:t>
      </w:r>
      <w:r w:rsidR="002B4897">
        <w:t xml:space="preserve"> that </w:t>
      </w:r>
      <w:r>
        <w:t>elaborated on</w:t>
      </w:r>
      <w:r w:rsidR="002B4897">
        <w:t xml:space="preserve"> </w:t>
      </w:r>
      <w:r w:rsidR="00CF0D33">
        <w:t>Brockway’s</w:t>
      </w:r>
      <w:r w:rsidR="002B4897">
        <w:t xml:space="preserve"> rehabilitative ideal adopted a similar understanding of heredity </w:t>
      </w:r>
      <w:r w:rsidR="00CF0D33">
        <w:t>and built on his presumption that some offenders were redeemable while others were incorrigible</w:t>
      </w:r>
      <w:r w:rsidR="002B4897">
        <w:t>.</w:t>
      </w:r>
      <w:r w:rsidR="002B4897">
        <w:rPr>
          <w:rStyle w:val="FootnoteReference"/>
        </w:rPr>
        <w:footnoteReference w:id="13"/>
      </w:r>
      <w:r w:rsidR="002B4897">
        <w:t xml:space="preserve"> In </w:t>
      </w:r>
      <w:r w:rsidR="002B4897">
        <w:rPr>
          <w:i/>
        </w:rPr>
        <w:t>Creating Born Criminals</w:t>
      </w:r>
      <w:r w:rsidR="00642BE8">
        <w:t xml:space="preserve"> (1997)</w:t>
      </w:r>
      <w:r w:rsidR="002B4897">
        <w:t xml:space="preserve">, Nicole Hahn Rafter identifies several </w:t>
      </w:r>
      <w:r w:rsidR="00642BE8">
        <w:t>American research publications</w:t>
      </w:r>
      <w:r w:rsidR="002B4897">
        <w:t xml:space="preserve"> written in the late nineteenth and early twentieth centuries that </w:t>
      </w:r>
      <w:r w:rsidR="00642BE8">
        <w:t>built on</w:t>
      </w:r>
      <w:r w:rsidR="002B4897">
        <w:t xml:space="preserve"> </w:t>
      </w:r>
      <w:r w:rsidR="00363917">
        <w:t>these premises</w:t>
      </w:r>
      <w:r w:rsidR="002B4897">
        <w:t xml:space="preserve">. </w:t>
      </w:r>
      <w:r w:rsidR="00363917">
        <w:t>Rafter provides a more thorough analysis of these works than can be provided here,</w:t>
      </w:r>
      <w:r w:rsidR="00DD1EE1">
        <w:t xml:space="preserve"> but</w:t>
      </w:r>
      <w:r w:rsidR="00363917">
        <w:t xml:space="preserve"> t</w:t>
      </w:r>
      <w:r w:rsidR="00642BE8">
        <w:t xml:space="preserve">he remainder of this section will </w:t>
      </w:r>
      <w:r w:rsidR="00CF0D33">
        <w:t>review the common themes of these</w:t>
      </w:r>
      <w:r w:rsidR="00642BE8">
        <w:t xml:space="preserve"> works</w:t>
      </w:r>
      <w:r w:rsidR="00363917">
        <w:t xml:space="preserve"> to demonstrate</w:t>
      </w:r>
      <w:r w:rsidR="00642BE8">
        <w:t xml:space="preserve"> how </w:t>
      </w:r>
      <w:r w:rsidR="00363917">
        <w:t>ideas about</w:t>
      </w:r>
      <w:r w:rsidR="00642BE8">
        <w:t xml:space="preserve"> </w:t>
      </w:r>
      <w:r w:rsidR="00CF0D33">
        <w:t xml:space="preserve">criminal </w:t>
      </w:r>
      <w:r w:rsidR="00642BE8">
        <w:t xml:space="preserve">biological defectiveness and incorrigibility </w:t>
      </w:r>
      <w:r w:rsidR="00DD1EE1">
        <w:t>built the foundation for the rehabilitative ideal</w:t>
      </w:r>
      <w:r w:rsidR="00642BE8">
        <w:t xml:space="preserve">. </w:t>
      </w:r>
    </w:p>
    <w:p w14:paraId="383A9277" w14:textId="4463841C" w:rsidR="002B4897" w:rsidRDefault="002F17ED" w:rsidP="002F17ED">
      <w:pPr>
        <w:widowControl w:val="0"/>
        <w:spacing w:line="480" w:lineRule="auto"/>
        <w:ind w:firstLine="720"/>
      </w:pPr>
      <w:r>
        <w:t xml:space="preserve">American criminology </w:t>
      </w:r>
      <w:r w:rsidR="00DD1EE1">
        <w:t xml:space="preserve">during this era </w:t>
      </w:r>
      <w:r>
        <w:t xml:space="preserve">built </w:t>
      </w:r>
      <w:r w:rsidR="00CF0D33">
        <w:t xml:space="preserve">directly </w:t>
      </w:r>
      <w:r>
        <w:t xml:space="preserve">on Lombrosian theory. </w:t>
      </w:r>
      <w:r w:rsidR="00542E39">
        <w:t>In</w:t>
      </w:r>
      <w:r w:rsidR="002B4897">
        <w:t xml:space="preserve"> </w:t>
      </w:r>
      <w:r w:rsidR="002B4897">
        <w:rPr>
          <w:i/>
        </w:rPr>
        <w:t xml:space="preserve">Criminology </w:t>
      </w:r>
      <w:r w:rsidR="002B4897">
        <w:t>(1893)</w:t>
      </w:r>
      <w:r>
        <w:t xml:space="preserve">, the first purely criminological academic study in America, </w:t>
      </w:r>
      <w:r w:rsidR="00542E39">
        <w:t>Arthur MacDonald dedicated</w:t>
      </w:r>
      <w:r w:rsidR="00CF0D33">
        <w:t xml:space="preserve"> </w:t>
      </w:r>
      <w:r w:rsidR="00542E39">
        <w:t>the</w:t>
      </w:r>
      <w:r w:rsidR="00CF0D33">
        <w:t xml:space="preserve"> first chapter to reviewing</w:t>
      </w:r>
      <w:r w:rsidR="002B4897">
        <w:t xml:space="preserve"> Lombrosian theory.</w:t>
      </w:r>
      <w:r w:rsidR="002B4897">
        <w:rPr>
          <w:rStyle w:val="FootnoteReference"/>
        </w:rPr>
        <w:footnoteReference w:id="14"/>
      </w:r>
      <w:r w:rsidR="002B4897">
        <w:t xml:space="preserve"> Henry Boies claimed in </w:t>
      </w:r>
      <w:r w:rsidR="002B4897">
        <w:rPr>
          <w:i/>
        </w:rPr>
        <w:t xml:space="preserve">Prisoners and </w:t>
      </w:r>
      <w:r w:rsidR="002B4897" w:rsidRPr="00874427">
        <w:rPr>
          <w:i/>
        </w:rPr>
        <w:t>Paupers</w:t>
      </w:r>
      <w:r w:rsidR="002B4897">
        <w:t xml:space="preserve"> (1893)</w:t>
      </w:r>
      <w:r w:rsidR="002B4897">
        <w:rPr>
          <w:i/>
        </w:rPr>
        <w:t xml:space="preserve"> </w:t>
      </w:r>
      <w:r w:rsidR="002B4897">
        <w:t>that anyone who has visited a prison knows that “a large proportion of</w:t>
      </w:r>
      <w:r w:rsidR="00DD1EE1">
        <w:t xml:space="preserve"> them were born to be criminals,</w:t>
      </w:r>
      <w:r w:rsidR="002B4897">
        <w:t>”</w:t>
      </w:r>
      <w:r w:rsidR="00DD1EE1">
        <w:t xml:space="preserve"> while</w:t>
      </w:r>
      <w:r w:rsidR="002B4897">
        <w:t xml:space="preserve"> Philip Parsons’ </w:t>
      </w:r>
      <w:r w:rsidR="002B4897">
        <w:rPr>
          <w:i/>
        </w:rPr>
        <w:t xml:space="preserve">Responsibility for </w:t>
      </w:r>
      <w:r w:rsidR="002B4897" w:rsidRPr="00AC49C0">
        <w:rPr>
          <w:i/>
        </w:rPr>
        <w:t>Crime</w:t>
      </w:r>
      <w:r w:rsidR="002B4897">
        <w:rPr>
          <w:i/>
        </w:rPr>
        <w:t xml:space="preserve"> </w:t>
      </w:r>
      <w:r w:rsidR="002B4897">
        <w:t>(1909)</w:t>
      </w:r>
      <w:r w:rsidR="002B4897">
        <w:rPr>
          <w:i/>
        </w:rPr>
        <w:t xml:space="preserve"> </w:t>
      </w:r>
      <w:r w:rsidR="002B4897">
        <w:t xml:space="preserve">relied on a taxonomy of criminal types ranging from criminals of </w:t>
      </w:r>
      <w:r w:rsidR="00DD1EE1">
        <w:t>occasion to habitual and</w:t>
      </w:r>
      <w:r w:rsidR="002B4897">
        <w:t xml:space="preserve"> born criminals. </w:t>
      </w:r>
      <w:r w:rsidR="00DD1EE1">
        <w:t>Parsons</w:t>
      </w:r>
      <w:r w:rsidR="002B4897">
        <w:t xml:space="preserve"> said that</w:t>
      </w:r>
      <w:r w:rsidR="00DD1EE1">
        <w:t xml:space="preserve"> crime is the “natural function</w:t>
      </w:r>
      <w:r w:rsidR="002B4897">
        <w:t xml:space="preserve">” </w:t>
      </w:r>
      <w:r w:rsidR="00DD1EE1">
        <w:t>of born criminals who can be identified by recidivism</w:t>
      </w:r>
      <w:r w:rsidR="002B4897">
        <w:t>.</w:t>
      </w:r>
      <w:r w:rsidR="002B4897">
        <w:rPr>
          <w:rStyle w:val="FootnoteReference"/>
        </w:rPr>
        <w:footnoteReference w:id="15"/>
      </w:r>
      <w:r w:rsidR="002B4897">
        <w:t xml:space="preserve"> </w:t>
      </w:r>
    </w:p>
    <w:p w14:paraId="5CB72875" w14:textId="537E71A5" w:rsidR="002B4897" w:rsidRDefault="00DD1EE1" w:rsidP="00773169">
      <w:pPr>
        <w:widowControl w:val="0"/>
        <w:spacing w:line="480" w:lineRule="auto"/>
        <w:ind w:firstLine="720"/>
      </w:pPr>
      <w:r>
        <w:t xml:space="preserve">A </w:t>
      </w:r>
      <w:r w:rsidR="002B4897">
        <w:t xml:space="preserve">Lamarckian understanding of heredity </w:t>
      </w:r>
      <w:r>
        <w:t xml:space="preserve">was </w:t>
      </w:r>
      <w:r w:rsidR="00CF0D33">
        <w:t>shared by</w:t>
      </w:r>
      <w:r w:rsidR="002B4897">
        <w:t xml:space="preserve"> these criminologists</w:t>
      </w:r>
      <w:r>
        <w:t>,</w:t>
      </w:r>
      <w:r w:rsidR="002B4897">
        <w:t xml:space="preserve"> </w:t>
      </w:r>
      <w:r>
        <w:t>which led</w:t>
      </w:r>
      <w:r w:rsidR="002B4897">
        <w:t xml:space="preserve"> them to favor rehabilitation as a means of </w:t>
      </w:r>
      <w:r w:rsidR="00CF0D33">
        <w:t>reducing</w:t>
      </w:r>
      <w:r w:rsidR="002B4897">
        <w:t xml:space="preserve"> crime in future generations. For example, Charles Henderson argued that improving criminals’ characters could have positive effects on their progeny due to the transmission of acquired traits.</w:t>
      </w:r>
      <w:r w:rsidR="002B4897">
        <w:rPr>
          <w:rStyle w:val="FootnoteReference"/>
        </w:rPr>
        <w:footnoteReference w:id="16"/>
      </w:r>
      <w:r w:rsidR="002B4897">
        <w:t xml:space="preserve"> Boies similarly reasoned that criminals must be reformed before they reproduce so children do not inherit the immoral character of their parents.</w:t>
      </w:r>
      <w:r w:rsidR="002B4897">
        <w:rPr>
          <w:rStyle w:val="FootnoteReference"/>
        </w:rPr>
        <w:footnoteReference w:id="17"/>
      </w:r>
      <w:r w:rsidR="002B4897">
        <w:t xml:space="preserve"> But </w:t>
      </w:r>
      <w:r>
        <w:t>given their general acceptance of Lombrosian theory, they also concluded that</w:t>
      </w:r>
      <w:r w:rsidR="002B4897">
        <w:t xml:space="preserve"> some offenders were</w:t>
      </w:r>
      <w:r>
        <w:t xml:space="preserve"> incorrigible</w:t>
      </w:r>
      <w:r w:rsidR="002B4897">
        <w:t>. As Henry</w:t>
      </w:r>
      <w:r w:rsidR="002B4897" w:rsidRPr="000811E6">
        <w:t xml:space="preserve"> Boies </w:t>
      </w:r>
      <w:r w:rsidR="002B4897">
        <w:t xml:space="preserve">made clear in his 1901 work </w:t>
      </w:r>
      <w:r w:rsidR="002B4897">
        <w:rPr>
          <w:i/>
        </w:rPr>
        <w:t>The Science of Penology</w:t>
      </w:r>
      <w:r w:rsidR="002B4897">
        <w:t>, “</w:t>
      </w:r>
      <w:r w:rsidR="002B4897" w:rsidRPr="00703CD4">
        <w:t>The reformatory, then, will operate as an institution for sorting and separating its inmates into the corrigible and incorrigible subdivisions. All those who can be cured will be cured before liberation. The chronic incorrigibles</w:t>
      </w:r>
      <w:r w:rsidR="002B4897">
        <w:t>...</w:t>
      </w:r>
      <w:r w:rsidR="002B4897" w:rsidRPr="00703CD4">
        <w:t>should be confined unde</w:t>
      </w:r>
      <w:r w:rsidR="002B4897">
        <w:t>r entirely different conditions.”</w:t>
      </w:r>
      <w:r w:rsidR="002B4897" w:rsidRPr="00703CD4">
        <w:rPr>
          <w:rStyle w:val="FootnoteReference"/>
        </w:rPr>
        <w:footnoteReference w:id="18"/>
      </w:r>
    </w:p>
    <w:p w14:paraId="18584BCA" w14:textId="1F555724" w:rsidR="002B4897" w:rsidRDefault="002B4897" w:rsidP="0032497F">
      <w:pPr>
        <w:widowControl w:val="0"/>
        <w:spacing w:line="480" w:lineRule="auto"/>
        <w:ind w:firstLine="720"/>
      </w:pPr>
      <w:r>
        <w:t>Upon examining their work</w:t>
      </w:r>
      <w:r w:rsidR="00F66637">
        <w:t>s</w:t>
      </w:r>
      <w:r w:rsidRPr="000811E6">
        <w:t xml:space="preserve"> with scrutiny, it </w:t>
      </w:r>
      <w:r>
        <w:t>is</w:t>
      </w:r>
      <w:r w:rsidRPr="000811E6">
        <w:t xml:space="preserve"> </w:t>
      </w:r>
      <w:r>
        <w:t>evident</w:t>
      </w:r>
      <w:r w:rsidRPr="000811E6">
        <w:t xml:space="preserve"> that </w:t>
      </w:r>
      <w:r>
        <w:t>these theorists</w:t>
      </w:r>
      <w:r w:rsidRPr="000811E6">
        <w:t xml:space="preserve"> endorsed re</w:t>
      </w:r>
      <w:r>
        <w:t xml:space="preserve">habilitation as a means to fix the curable and </w:t>
      </w:r>
      <w:r w:rsidR="00F66637">
        <w:t xml:space="preserve">a means </w:t>
      </w:r>
      <w:r>
        <w:t>to identify</w:t>
      </w:r>
      <w:r w:rsidR="00DA426A">
        <w:t xml:space="preserve"> and separate</w:t>
      </w:r>
      <w:r>
        <w:t xml:space="preserve"> </w:t>
      </w:r>
      <w:r w:rsidRPr="000811E6">
        <w:t xml:space="preserve">the incurable. </w:t>
      </w:r>
      <w:r>
        <w:t xml:space="preserve">As an example, while MacDonald favored </w:t>
      </w:r>
      <w:r w:rsidR="0032497F">
        <w:t>in-</w:t>
      </w:r>
      <w:r>
        <w:t xml:space="preserve">prison educational programs, </w:t>
      </w:r>
      <w:r w:rsidR="0032497F">
        <w:t>he</w:t>
      </w:r>
      <w:r w:rsidR="00F66637">
        <w:t xml:space="preserve"> suggested incorrigible criminals could be identifi</w:t>
      </w:r>
      <w:r w:rsidR="0032497F">
        <w:t>ed by their inability to learn, as their criminal instincts would inevitably “overrule or suppress the [offender’s] intellectual nature.” William Duncan McKim and Charles Henderson expressed s</w:t>
      </w:r>
      <w:r w:rsidR="00F66637">
        <w:t>imilar idea</w:t>
      </w:r>
      <w:r w:rsidR="0032497F">
        <w:t>s</w:t>
      </w:r>
      <w:r w:rsidR="00F66637">
        <w:t xml:space="preserve">, </w:t>
      </w:r>
      <w:r w:rsidR="0032497F">
        <w:t>and Henderson argued</w:t>
      </w:r>
      <w:r w:rsidR="00F66637">
        <w:t xml:space="preserve"> that a key purpose of prison education is to identify which inmates were “uneducable” and </w:t>
      </w:r>
      <w:r w:rsidR="0032497F">
        <w:t>should</w:t>
      </w:r>
      <w:r w:rsidR="00F66637">
        <w:t xml:space="preserve"> be segregated to ensure their “gradual extincti</w:t>
      </w:r>
      <w:r w:rsidR="0032497F">
        <w:t xml:space="preserve">on without pain.” </w:t>
      </w:r>
      <w:r>
        <w:t xml:space="preserve">Thus, MacDonald, McKim, and Henderson suggested that </w:t>
      </w:r>
      <w:r w:rsidR="0032497F">
        <w:t xml:space="preserve">a minimal response to </w:t>
      </w:r>
      <w:r>
        <w:t xml:space="preserve">education </w:t>
      </w:r>
      <w:r w:rsidR="0032497F">
        <w:t>could help identify incorrigible offenders with incurable mental deficiencies</w:t>
      </w:r>
      <w:r>
        <w:t>.</w:t>
      </w:r>
      <w:r>
        <w:rPr>
          <w:rStyle w:val="FootnoteReference"/>
        </w:rPr>
        <w:footnoteReference w:id="19"/>
      </w:r>
      <w:r>
        <w:t xml:space="preserve"> </w:t>
      </w:r>
    </w:p>
    <w:p w14:paraId="5C71C9F3" w14:textId="4DF02DA9" w:rsidR="002B4897" w:rsidRDefault="0032497F" w:rsidP="00833520">
      <w:pPr>
        <w:widowControl w:val="0"/>
        <w:spacing w:line="480" w:lineRule="auto"/>
      </w:pPr>
      <w:r>
        <w:tab/>
        <w:t>Most importantly, s</w:t>
      </w:r>
      <w:r w:rsidR="002B4897">
        <w:t xml:space="preserve">upport for indeterminate sentencing </w:t>
      </w:r>
      <w:r>
        <w:t>was common, and many works criticized determinate sentences for failing to offer incentives for offenders to reform.</w:t>
      </w:r>
      <w:r>
        <w:rPr>
          <w:rStyle w:val="FootnoteReference"/>
        </w:rPr>
        <w:footnoteReference w:id="20"/>
      </w:r>
      <w:r>
        <w:t xml:space="preserve"> As G. Frank Lydston noted in </w:t>
      </w:r>
      <w:r>
        <w:rPr>
          <w:i/>
        </w:rPr>
        <w:t>The Diseases of Society</w:t>
      </w:r>
      <w:r>
        <w:t xml:space="preserve"> (1906), “The basic principle of the indeterminate sentence is obviously the treatment of the criminal, rather than the punishment of his crime.”</w:t>
      </w:r>
      <w:r>
        <w:rPr>
          <w:rStyle w:val="FootnoteReference"/>
        </w:rPr>
        <w:footnoteReference w:id="21"/>
      </w:r>
      <w:r>
        <w:t xml:space="preserve"> But support for indeterminate sentencing </w:t>
      </w:r>
      <w:r w:rsidR="002B4897">
        <w:t xml:space="preserve">as means of curing offenders was </w:t>
      </w:r>
      <w:r>
        <w:t>always</w:t>
      </w:r>
      <w:r w:rsidR="002B4897">
        <w:t xml:space="preserve"> coupled with support for </w:t>
      </w:r>
      <w:r>
        <w:t>it</w:t>
      </w:r>
      <w:r w:rsidR="002B4897">
        <w:t xml:space="preserve"> as means of </w:t>
      </w:r>
      <w:r>
        <w:t>indefinitely containing</w:t>
      </w:r>
      <w:r w:rsidR="002B4897">
        <w:t xml:space="preserve"> </w:t>
      </w:r>
      <w:r>
        <w:t>recidivistic</w:t>
      </w:r>
      <w:r w:rsidR="002B4897">
        <w:t xml:space="preserve"> </w:t>
      </w:r>
      <w:r>
        <w:t>incorrigibles</w:t>
      </w:r>
      <w:r w:rsidR="002B4897">
        <w:t>.</w:t>
      </w:r>
      <w:r w:rsidR="002B4897">
        <w:rPr>
          <w:rStyle w:val="FootnoteReference"/>
        </w:rPr>
        <w:footnoteReference w:id="22"/>
      </w:r>
      <w:r w:rsidR="002B4897">
        <w:t xml:space="preserve"> As MacDonald noted, “</w:t>
      </w:r>
      <w:r w:rsidR="002B4897" w:rsidRPr="00810B89">
        <w:t>The indeterminate sentence is the best method of affording the prisoner an opportunity to reform, without exposing</w:t>
      </w:r>
      <w:r w:rsidR="002B4897">
        <w:t xml:space="preserve"> society to unnecessary dangers</w:t>
      </w:r>
      <w:r w:rsidR="002B4897" w:rsidRPr="00810B89">
        <w:t>”</w:t>
      </w:r>
      <w:r w:rsidR="002B4897">
        <w:t xml:space="preserve"> because incorrigible</w:t>
      </w:r>
      <w:r w:rsidR="0064509E">
        <w:t>s</w:t>
      </w:r>
      <w:r w:rsidR="002B4897">
        <w:t xml:space="preserve"> would never be released.</w:t>
      </w:r>
      <w:r w:rsidR="002B4897">
        <w:rPr>
          <w:rStyle w:val="FootnoteReference"/>
        </w:rPr>
        <w:footnoteReference w:id="23"/>
      </w:r>
      <w:r w:rsidR="002B4897">
        <w:t xml:space="preserve"> August Drahms </w:t>
      </w:r>
      <w:r w:rsidR="0064509E">
        <w:t>went so far as to argue</w:t>
      </w:r>
      <w:r w:rsidR="002B4897">
        <w:t xml:space="preserve"> that indefinitely containing recidivists was a </w:t>
      </w:r>
      <w:r w:rsidR="00DA426A">
        <w:t>stronger</w:t>
      </w:r>
      <w:r w:rsidR="002B4897">
        <w:t xml:space="preserve"> justification for indeterminate sentences than was affording offenders a chance to reform.</w:t>
      </w:r>
      <w:r w:rsidR="002B4897">
        <w:rPr>
          <w:rStyle w:val="FootnoteReference"/>
        </w:rPr>
        <w:footnoteReference w:id="24"/>
      </w:r>
      <w:r w:rsidR="002B4897">
        <w:t xml:space="preserve"> Henry Boies maintained that three convictions, regardless of severity, necessitated incarceration for life</w:t>
      </w:r>
      <w:r w:rsidR="0064509E">
        <w:t>, a proposal bearing striking similar to contemporary three-strikes laws that also interpret</w:t>
      </w:r>
      <w:r w:rsidR="002B4897">
        <w:t xml:space="preserve"> recidivism as proof of an individual’s </w:t>
      </w:r>
      <w:r w:rsidR="0064509E">
        <w:t>incurability</w:t>
      </w:r>
      <w:r w:rsidR="002B4897">
        <w:t>.</w:t>
      </w:r>
      <w:r w:rsidR="0064509E">
        <w:rPr>
          <w:rStyle w:val="FootnoteReference"/>
        </w:rPr>
        <w:footnoteReference w:id="25"/>
      </w:r>
      <w:r w:rsidR="0064509E">
        <w:t xml:space="preserve"> </w:t>
      </w:r>
      <w:r w:rsidR="002B4897">
        <w:t xml:space="preserve"> </w:t>
      </w:r>
    </w:p>
    <w:p w14:paraId="6C9137C9" w14:textId="33B42EC0" w:rsidR="002B4897" w:rsidRDefault="002B4897" w:rsidP="00015CFE">
      <w:pPr>
        <w:widowControl w:val="0"/>
        <w:spacing w:line="480" w:lineRule="auto"/>
        <w:ind w:firstLine="720"/>
      </w:pPr>
      <w:r>
        <w:t>Other rehabilitative methods were advocated in these work</w:t>
      </w:r>
      <w:r w:rsidR="00DA426A">
        <w:t xml:space="preserve">s, such as vocational training </w:t>
      </w:r>
      <w:r w:rsidR="00C1573B">
        <w:t>and in p</w:t>
      </w:r>
      <w:r>
        <w:t>rison medical treatment.</w:t>
      </w:r>
      <w:r>
        <w:rPr>
          <w:rStyle w:val="FootnoteReference"/>
        </w:rPr>
        <w:footnoteReference w:id="26"/>
      </w:r>
      <w:r w:rsidR="00C1573B" w:rsidRPr="00C1573B">
        <w:rPr>
          <w:rStyle w:val="FootnoteReference"/>
        </w:rPr>
        <w:t xml:space="preserve"> </w:t>
      </w:r>
      <w:r w:rsidR="00C1573B">
        <w:t xml:space="preserve"> </w:t>
      </w:r>
      <w:r>
        <w:t>These techniques were situated in a similar doctrinal framework to t</w:t>
      </w:r>
      <w:r w:rsidR="00710AF6">
        <w:t>he strategies already reviewed, as</w:t>
      </w:r>
      <w:r>
        <w:t xml:space="preserve"> recidivism </w:t>
      </w:r>
      <w:r w:rsidR="00DA426A">
        <w:t xml:space="preserve">or resistance to reform </w:t>
      </w:r>
      <w:r w:rsidR="00710AF6">
        <w:t xml:space="preserve">was </w:t>
      </w:r>
      <w:r>
        <w:t xml:space="preserve">taken as proof of incorrigibility. </w:t>
      </w:r>
      <w:r w:rsidR="00710AF6">
        <w:t>This</w:t>
      </w:r>
      <w:r>
        <w:t xml:space="preserve"> worked a punitive logic into the rehabilitative ideal that was used to defend indefinite detention, permanent segregation, compulsory sterilization, marriage restrictions, and extermination for incorrigible</w:t>
      </w:r>
      <w:r w:rsidR="00C02B82">
        <w:t>s</w:t>
      </w:r>
      <w:r>
        <w:t>.</w:t>
      </w:r>
      <w:r>
        <w:rPr>
          <w:rStyle w:val="FootnoteReference"/>
        </w:rPr>
        <w:footnoteReference w:id="27"/>
      </w:r>
      <w:r>
        <w:t xml:space="preserve"> </w:t>
      </w:r>
    </w:p>
    <w:p w14:paraId="43F6026B" w14:textId="4E47FBC3" w:rsidR="00932B65" w:rsidRDefault="00DA426A" w:rsidP="00313F32">
      <w:pPr>
        <w:widowControl w:val="0"/>
        <w:spacing w:line="480" w:lineRule="auto"/>
        <w:ind w:firstLine="720"/>
      </w:pPr>
      <w:r>
        <w:t>These</w:t>
      </w:r>
      <w:r w:rsidR="00313F32">
        <w:t xml:space="preserve"> ideas were </w:t>
      </w:r>
      <w:r>
        <w:t>not</w:t>
      </w:r>
      <w:r w:rsidR="00313F32">
        <w:t xml:space="preserve"> constrained to intellectual circles </w:t>
      </w:r>
      <w:r w:rsidR="00CB5918">
        <w:t>and</w:t>
      </w:r>
      <w:r w:rsidR="00313F32">
        <w:t xml:space="preserve"> Elmira. In the forty years following Elmira’s opening in 1876, seventeen reformatories opened across the nation. Almost all of them followed the Elmira rehabilitative model, meaning they embraced its reform-oriented approach to</w:t>
      </w:r>
      <w:r>
        <w:t xml:space="preserve"> individualized</w:t>
      </w:r>
      <w:r w:rsidR="00313F32">
        <w:t xml:space="preserve"> treatment</w:t>
      </w:r>
      <w:r>
        <w:t xml:space="preserve"> and</w:t>
      </w:r>
      <w:r w:rsidR="00313F32">
        <w:t xml:space="preserve"> the</w:t>
      </w:r>
      <w:r>
        <w:t xml:space="preserve"> punitive reverse logic that came with it—</w:t>
      </w:r>
      <w:r w:rsidR="00313F32">
        <w:t>that biologically defective incorrigible criminals could and should be contained indefinitely.</w:t>
      </w:r>
      <w:r w:rsidR="00313F32">
        <w:rPr>
          <w:rStyle w:val="FootnoteReference"/>
        </w:rPr>
        <w:footnoteReference w:id="28"/>
      </w:r>
      <w:r w:rsidR="00313F32">
        <w:t xml:space="preserve"> </w:t>
      </w:r>
      <w:r w:rsidR="002B4897">
        <w:t>By accepting the existence of born criminals,</w:t>
      </w:r>
      <w:r>
        <w:t xml:space="preserve"> the</w:t>
      </w:r>
      <w:r w:rsidR="002B4897">
        <w:t xml:space="preserve"> </w:t>
      </w:r>
      <w:r>
        <w:t>bio</w:t>
      </w:r>
      <w:r w:rsidR="00614666">
        <w:t>-</w:t>
      </w:r>
      <w:r>
        <w:t xml:space="preserve">determinist criminology that shaped the rehabilitative ideal </w:t>
      </w:r>
      <w:r w:rsidR="003828B0">
        <w:t>put</w:t>
      </w:r>
      <w:r w:rsidR="002B4897">
        <w:t xml:space="preserve"> the onus for </w:t>
      </w:r>
      <w:r>
        <w:t>reform</w:t>
      </w:r>
      <w:r w:rsidR="002B4897">
        <w:t xml:space="preserve"> </w:t>
      </w:r>
      <w:r w:rsidR="003828B0">
        <w:t>exclusively</w:t>
      </w:r>
      <w:r w:rsidR="00710AF6">
        <w:t xml:space="preserve"> </w:t>
      </w:r>
      <w:r w:rsidR="002B4897">
        <w:t xml:space="preserve">on </w:t>
      </w:r>
      <w:r w:rsidR="00313F32">
        <w:t xml:space="preserve">individuals, </w:t>
      </w:r>
      <w:r w:rsidR="003828B0">
        <w:t xml:space="preserve">attributed </w:t>
      </w:r>
      <w:r>
        <w:t xml:space="preserve">criminal behavior and </w:t>
      </w:r>
      <w:r w:rsidR="00313F32">
        <w:t xml:space="preserve">recidivism </w:t>
      </w:r>
      <w:r w:rsidR="003828B0">
        <w:t>to</w:t>
      </w:r>
      <w:r w:rsidR="002B4897">
        <w:t xml:space="preserve"> the</w:t>
      </w:r>
      <w:r>
        <w:t>ir individual immutable faults</w:t>
      </w:r>
      <w:r w:rsidR="00313F32">
        <w:t>,</w:t>
      </w:r>
      <w:r w:rsidR="002B4897">
        <w:t xml:space="preserve"> </w:t>
      </w:r>
      <w:r w:rsidR="00710AF6">
        <w:t xml:space="preserve">and </w:t>
      </w:r>
      <w:r w:rsidR="00313F32">
        <w:t>disregarded</w:t>
      </w:r>
      <w:r w:rsidR="00710AF6">
        <w:t xml:space="preserve"> </w:t>
      </w:r>
      <w:r w:rsidR="00313F32">
        <w:t>the social, political, and economic structures that often contribute to criminal behavior, such as income inequality and generational poverty</w:t>
      </w:r>
      <w:r w:rsidR="002B4897">
        <w:t xml:space="preserve">. </w:t>
      </w:r>
    </w:p>
    <w:p w14:paraId="74BD4F1D" w14:textId="6572FB92" w:rsidR="00313F32" w:rsidRDefault="00932B65" w:rsidP="00DA426A">
      <w:pPr>
        <w:widowControl w:val="0"/>
        <w:spacing w:line="480" w:lineRule="auto"/>
        <w:ind w:firstLine="720"/>
      </w:pPr>
      <w:r>
        <w:t>The conception of criminality undergirding the rehabilitative ideal thus absolved the state of any duty to reform individuals deemed incorrigible and demonstrates how the ideal always</w:t>
      </w:r>
      <w:r w:rsidR="00CB5918">
        <w:t xml:space="preserve"> had a punitive logic. S</w:t>
      </w:r>
      <w:r>
        <w:t xml:space="preserve">tudies </w:t>
      </w:r>
      <w:r w:rsidR="005C1823">
        <w:t>of</w:t>
      </w:r>
      <w:r w:rsidR="00CB5918">
        <w:t xml:space="preserve"> the influence of bio-</w:t>
      </w:r>
      <w:r>
        <w:t>determinist criminology on institutional development focus on reformatories</w:t>
      </w:r>
      <w:r w:rsidR="00042536">
        <w:t xml:space="preserve"> in the late nineteenth and early twentieth centuries</w:t>
      </w:r>
      <w:r w:rsidR="00DA426A">
        <w:t>, b</w:t>
      </w:r>
      <w:r>
        <w:t xml:space="preserve">ut the harsh flipside </w:t>
      </w:r>
      <w:r w:rsidR="00CB5918">
        <w:t>of</w:t>
      </w:r>
      <w:r>
        <w:t xml:space="preserve"> the rehabilitative ideal </w:t>
      </w:r>
      <w:r w:rsidR="00042536">
        <w:t>contributed</w:t>
      </w:r>
      <w:r>
        <w:t xml:space="preserve"> to </w:t>
      </w:r>
      <w:r w:rsidR="005C1823">
        <w:t xml:space="preserve">other </w:t>
      </w:r>
      <w:r>
        <w:t xml:space="preserve">developments </w:t>
      </w:r>
      <w:r w:rsidR="00042536">
        <w:t xml:space="preserve">within and </w:t>
      </w:r>
      <w:r w:rsidRPr="005856CA">
        <w:t>outside</w:t>
      </w:r>
      <w:r>
        <w:t xml:space="preserve"> of the penal system </w:t>
      </w:r>
      <w:r w:rsidR="00CB5918">
        <w:t>further</w:t>
      </w:r>
      <w:r w:rsidR="005C1823">
        <w:t xml:space="preserve"> into</w:t>
      </w:r>
      <w:r>
        <w:t xml:space="preserve"> the twentieth century. The next section will </w:t>
      </w:r>
      <w:r w:rsidR="00CB5918">
        <w:t>show</w:t>
      </w:r>
      <w:r w:rsidR="00DA426A">
        <w:t xml:space="preserve"> how several punitive developments</w:t>
      </w:r>
      <w:r>
        <w:t xml:space="preserve"> </w:t>
      </w:r>
      <w:r w:rsidR="005C1823">
        <w:t xml:space="preserve">that occurred </w:t>
      </w:r>
      <w:r w:rsidR="00DA426A">
        <w:t>during</w:t>
      </w:r>
      <w:r>
        <w:t xml:space="preserve"> the</w:t>
      </w:r>
      <w:r w:rsidR="00DA426A">
        <w:t xml:space="preserve"> rehabilitative ideal’s dominance in the</w:t>
      </w:r>
      <w:r>
        <w:t xml:space="preserve"> early </w:t>
      </w:r>
      <w:r w:rsidR="00DA426A">
        <w:t>and</w:t>
      </w:r>
      <w:r>
        <w:t xml:space="preserve"> mid twentieth century</w:t>
      </w:r>
      <w:r w:rsidR="00DA426A">
        <w:t xml:space="preserve"> </w:t>
      </w:r>
      <w:r w:rsidR="00CB5918">
        <w:t>were justified by the</w:t>
      </w:r>
      <w:r>
        <w:t xml:space="preserve"> </w:t>
      </w:r>
      <w:r w:rsidR="00CB5918">
        <w:t>idea</w:t>
      </w:r>
      <w:r>
        <w:t xml:space="preserve"> that certain </w:t>
      </w:r>
      <w:r w:rsidR="00DA426A">
        <w:t>criminals</w:t>
      </w:r>
      <w:r>
        <w:t xml:space="preserve"> were resistant to and undeserving of rehabilitation.</w:t>
      </w:r>
    </w:p>
    <w:p w14:paraId="30247276" w14:textId="12049AC3" w:rsidR="002B4897" w:rsidRDefault="000B39DC" w:rsidP="001C09CA">
      <w:pPr>
        <w:widowControl w:val="0"/>
        <w:spacing w:line="480" w:lineRule="auto"/>
        <w:rPr>
          <w:b/>
        </w:rPr>
      </w:pPr>
      <w:r>
        <w:rPr>
          <w:b/>
        </w:rPr>
        <w:t xml:space="preserve">The </w:t>
      </w:r>
      <w:r w:rsidR="00C06CC9">
        <w:rPr>
          <w:b/>
        </w:rPr>
        <w:t>Punitive Nature</w:t>
      </w:r>
      <w:r>
        <w:rPr>
          <w:b/>
        </w:rPr>
        <w:t xml:space="preserve"> </w:t>
      </w:r>
      <w:r w:rsidR="002B4897" w:rsidRPr="001C09CA">
        <w:rPr>
          <w:b/>
        </w:rPr>
        <w:t>of the Rehabilitative Ideal</w:t>
      </w:r>
    </w:p>
    <w:p w14:paraId="1A68FC4B" w14:textId="4E53F2D1" w:rsidR="00484A81" w:rsidRDefault="00484A81" w:rsidP="005C1823">
      <w:pPr>
        <w:widowControl w:val="0"/>
        <w:spacing w:line="480" w:lineRule="auto"/>
        <w:ind w:firstLine="720"/>
      </w:pPr>
      <w:r>
        <w:t xml:space="preserve">In </w:t>
      </w:r>
      <w:r>
        <w:rPr>
          <w:i/>
        </w:rPr>
        <w:t>The Culture of Control</w:t>
      </w:r>
      <w:r w:rsidR="00F40C4A">
        <w:t xml:space="preserve">, </w:t>
      </w:r>
      <w:r>
        <w:t xml:space="preserve">David Garland suggests that the public harbored retributive sentiments </w:t>
      </w:r>
      <w:r w:rsidR="000B3983">
        <w:t xml:space="preserve">long </w:t>
      </w:r>
      <w:r>
        <w:t xml:space="preserve">before the 1970s, but that they were </w:t>
      </w:r>
      <w:r w:rsidR="00355EA6">
        <w:t xml:space="preserve">considered unorthodox and were </w:t>
      </w:r>
      <w:r>
        <w:t>repressed</w:t>
      </w:r>
      <w:r w:rsidR="00355EA6">
        <w:t xml:space="preserve"> </w:t>
      </w:r>
      <w:r w:rsidR="000B3983">
        <w:t>while</w:t>
      </w:r>
      <w:r>
        <w:t xml:space="preserve"> rehabilitative discourse</w:t>
      </w:r>
      <w:r w:rsidR="000B3983">
        <w:t xml:space="preserve"> remained</w:t>
      </w:r>
      <w:r>
        <w:t xml:space="preserve"> hegemonic</w:t>
      </w:r>
      <w:r w:rsidR="00355EA6">
        <w:t xml:space="preserve"> among most public of</w:t>
      </w:r>
      <w:r w:rsidR="000B3983">
        <w:t>ficials and penal experts</w:t>
      </w:r>
      <w:r w:rsidR="00355EA6">
        <w:t xml:space="preserve">. </w:t>
      </w:r>
      <w:r>
        <w:t>He argues that these attitudes came to the fore</w:t>
      </w:r>
      <w:r w:rsidRPr="00CE7ED2">
        <w:t xml:space="preserve"> </w:t>
      </w:r>
      <w:r>
        <w:t>in the 1970s, creating a rift between criminal justice officials and the public that facilitated the decline of the rehabilitative ideal.</w:t>
      </w:r>
      <w:r>
        <w:rPr>
          <w:rStyle w:val="FootnoteReference"/>
        </w:rPr>
        <w:footnoteReference w:id="29"/>
      </w:r>
      <w:r w:rsidR="0012061A">
        <w:t xml:space="preserve"> But </w:t>
      </w:r>
      <w:r w:rsidR="005C1823">
        <w:t xml:space="preserve">even claiming that only penal experts remained </w:t>
      </w:r>
      <w:r w:rsidR="00835B71">
        <w:t>steadfastly</w:t>
      </w:r>
      <w:r w:rsidR="005C1823">
        <w:t xml:space="preserve"> dedicated to rehabilitation prior to the 1970s is debatable. </w:t>
      </w:r>
      <w:r>
        <w:t xml:space="preserve">First, </w:t>
      </w:r>
      <w:r w:rsidR="00AE2F57">
        <w:t>many</w:t>
      </w:r>
      <w:r w:rsidR="005C1823">
        <w:t xml:space="preserve"> state</w:t>
      </w:r>
      <w:r>
        <w:t xml:space="preserve"> laws </w:t>
      </w:r>
      <w:r w:rsidR="00AE2F57">
        <w:t>passed during this period reflected</w:t>
      </w:r>
      <w:r>
        <w:t xml:space="preserve"> a belief in the incorrigibility of certain </w:t>
      </w:r>
      <w:r w:rsidR="00F40C4A">
        <w:t>groups</w:t>
      </w:r>
      <w:r>
        <w:t xml:space="preserve">. </w:t>
      </w:r>
      <w:r w:rsidR="00AE2F57">
        <w:t>Second</w:t>
      </w:r>
      <w:r>
        <w:t xml:space="preserve">, </w:t>
      </w:r>
      <w:r w:rsidR="00F26C08">
        <w:t>a</w:t>
      </w:r>
      <w:r>
        <w:t xml:space="preserve"> focus on corre</w:t>
      </w:r>
      <w:r w:rsidR="00F26C08">
        <w:t>ctional institutions ignores</w:t>
      </w:r>
      <w:r>
        <w:t xml:space="preserve"> how </w:t>
      </w:r>
      <w:r w:rsidR="00455F35">
        <w:t>the punitive aspects of criminological theory flourish</w:t>
      </w:r>
      <w:r w:rsidR="00F40C4A">
        <w:t>ed</w:t>
      </w:r>
      <w:r w:rsidR="00455F35">
        <w:t xml:space="preserve"> </w:t>
      </w:r>
      <w:r w:rsidR="00AE2F57">
        <w:t>outside the criminal justice system</w:t>
      </w:r>
      <w:r>
        <w:t xml:space="preserve">. A full understanding of the rehabilitative ideal requires us to acknowledge that its period of supposed hegemony concurred with the rise of markedly punitive practices informed by the idea that </w:t>
      </w:r>
      <w:r w:rsidR="0012061A">
        <w:t>some</w:t>
      </w:r>
      <w:r>
        <w:t xml:space="preserve"> criminals were irredeemable. </w:t>
      </w:r>
    </w:p>
    <w:p w14:paraId="392EAE4C" w14:textId="6295BE00" w:rsidR="00042536" w:rsidRDefault="00F40C4A" w:rsidP="0012061A">
      <w:pPr>
        <w:widowControl w:val="0"/>
        <w:spacing w:line="480" w:lineRule="auto"/>
        <w:ind w:firstLine="720"/>
      </w:pPr>
      <w:r>
        <w:t xml:space="preserve">As a note, </w:t>
      </w:r>
      <w:r w:rsidR="004D30D3">
        <w:t>idea</w:t>
      </w:r>
      <w:r>
        <w:t>s</w:t>
      </w:r>
      <w:r w:rsidR="004D30D3">
        <w:t xml:space="preserve"> of incorrigibility </w:t>
      </w:r>
      <w:r w:rsidR="00AE2F57">
        <w:t xml:space="preserve">may seem </w:t>
      </w:r>
      <w:r w:rsidR="00757757">
        <w:t>useful</w:t>
      </w:r>
      <w:r w:rsidR="00932B65">
        <w:t xml:space="preserve"> </w:t>
      </w:r>
      <w:r w:rsidR="00AE2F57">
        <w:t>to</w:t>
      </w:r>
      <w:r w:rsidR="00042536">
        <w:t xml:space="preserve"> explain </w:t>
      </w:r>
      <w:r w:rsidR="00D642B6">
        <w:t>certain</w:t>
      </w:r>
      <w:r w:rsidR="00AE2F57">
        <w:t xml:space="preserve"> </w:t>
      </w:r>
      <w:r>
        <w:t>crimes</w:t>
      </w:r>
      <w:r w:rsidR="00932B65">
        <w:t xml:space="preserve">. </w:t>
      </w:r>
      <w:r w:rsidR="00AE2F57">
        <w:t>Whether</w:t>
      </w:r>
      <w:r w:rsidR="00932B65">
        <w:t xml:space="preserve"> indefinite containment is nec</w:t>
      </w:r>
      <w:r w:rsidR="00455F35">
        <w:t xml:space="preserve">essary for recidivistic killers, </w:t>
      </w:r>
      <w:r w:rsidR="00932B65">
        <w:t>rapists</w:t>
      </w:r>
      <w:r w:rsidR="00455F35">
        <w:t xml:space="preserve">, </w:t>
      </w:r>
      <w:r w:rsidR="00C55B6C">
        <w:t>and</w:t>
      </w:r>
      <w:r w:rsidR="00455F35">
        <w:t xml:space="preserve"> child molesters</w:t>
      </w:r>
      <w:r w:rsidR="00932B65">
        <w:t xml:space="preserve"> until the state is</w:t>
      </w:r>
      <w:r w:rsidR="0012061A">
        <w:t xml:space="preserve"> confident in their reformation </w:t>
      </w:r>
      <w:r w:rsidR="00932B65">
        <w:t xml:space="preserve">is more </w:t>
      </w:r>
      <w:r w:rsidR="00AE2F57">
        <w:t>debatable</w:t>
      </w:r>
      <w:r w:rsidR="00932B65">
        <w:t xml:space="preserve"> than </w:t>
      </w:r>
      <w:r w:rsidR="00AE2F57">
        <w:t>whether</w:t>
      </w:r>
      <w:r w:rsidR="00932B65">
        <w:t xml:space="preserve"> perpetual incarceration </w:t>
      </w:r>
      <w:r w:rsidR="00AE2F57">
        <w:t xml:space="preserve">is necessary </w:t>
      </w:r>
      <w:r w:rsidR="00932B65">
        <w:t xml:space="preserve">for </w:t>
      </w:r>
      <w:r w:rsidR="00484A81">
        <w:t xml:space="preserve">repeat </w:t>
      </w:r>
      <w:r w:rsidR="00AE2F57">
        <w:t>misdemeanants</w:t>
      </w:r>
      <w:r w:rsidR="00F26C08">
        <w:t xml:space="preserve">. </w:t>
      </w:r>
      <w:r w:rsidR="00D642B6">
        <w:t>Determining if</w:t>
      </w:r>
      <w:r w:rsidR="00F26C08">
        <w:t xml:space="preserve"> some </w:t>
      </w:r>
      <w:r w:rsidR="0012061A">
        <w:t>violent criminals</w:t>
      </w:r>
      <w:r w:rsidR="00932B65">
        <w:t xml:space="preserve"> </w:t>
      </w:r>
      <w:r w:rsidR="00F26C08">
        <w:t>are</w:t>
      </w:r>
      <w:r w:rsidR="00932B65">
        <w:t xml:space="preserve"> </w:t>
      </w:r>
      <w:r w:rsidR="0012061A">
        <w:t>driven by</w:t>
      </w:r>
      <w:r w:rsidR="00932B65">
        <w:t xml:space="preserve"> </w:t>
      </w:r>
      <w:r w:rsidR="00D642B6">
        <w:t>physiological</w:t>
      </w:r>
      <w:r w:rsidR="00F26C08">
        <w:t xml:space="preserve"> disorders </w:t>
      </w:r>
      <w:r w:rsidR="00932B65">
        <w:t xml:space="preserve">is </w:t>
      </w:r>
      <w:r w:rsidR="00F26C08">
        <w:t xml:space="preserve">a </w:t>
      </w:r>
      <w:r>
        <w:t>question</w:t>
      </w:r>
      <w:r w:rsidR="00932B65">
        <w:t xml:space="preserve"> </w:t>
      </w:r>
      <w:r>
        <w:t>for</w:t>
      </w:r>
      <w:r w:rsidR="00932B65">
        <w:t xml:space="preserve"> scholars of bio</w:t>
      </w:r>
      <w:r w:rsidR="00F26C08">
        <w:t>logy, psychiatry, and neurology</w:t>
      </w:r>
      <w:r w:rsidR="00932B65">
        <w:t xml:space="preserve">. </w:t>
      </w:r>
      <w:r w:rsidR="008449A7">
        <w:t xml:space="preserve">But </w:t>
      </w:r>
      <w:r w:rsidR="00F26C08">
        <w:t xml:space="preserve">a </w:t>
      </w:r>
      <w:r>
        <w:t>problem with the incorrigible</w:t>
      </w:r>
      <w:r w:rsidR="008449A7">
        <w:t xml:space="preserve"> idea</w:t>
      </w:r>
      <w:r w:rsidR="00F26C08">
        <w:t xml:space="preserve"> </w:t>
      </w:r>
      <w:r w:rsidR="008449A7">
        <w:t xml:space="preserve">is the wide application it has </w:t>
      </w:r>
      <w:r w:rsidR="00F26C08">
        <w:t xml:space="preserve">historically </w:t>
      </w:r>
      <w:r w:rsidR="008449A7">
        <w:t>received</w:t>
      </w:r>
      <w:r w:rsidR="00F26C08">
        <w:t xml:space="preserve">, as it has repeatedly </w:t>
      </w:r>
      <w:r w:rsidR="00455F35">
        <w:t>justified</w:t>
      </w:r>
      <w:r w:rsidR="00F26C08">
        <w:t xml:space="preserve"> punitive </w:t>
      </w:r>
      <w:r w:rsidR="00042536">
        <w:t>treatment</w:t>
      </w:r>
      <w:r w:rsidR="00F26C08">
        <w:t xml:space="preserve"> for marginalized groups and </w:t>
      </w:r>
      <w:r w:rsidR="00042536">
        <w:t xml:space="preserve">has </w:t>
      </w:r>
      <w:r w:rsidR="00F26C08">
        <w:t>disregard</w:t>
      </w:r>
      <w:r w:rsidR="00042536">
        <w:t>ed</w:t>
      </w:r>
      <w:r w:rsidR="00F26C08">
        <w:t xml:space="preserve"> the structural </w:t>
      </w:r>
      <w:r>
        <w:t>factors contributing to crime</w:t>
      </w:r>
      <w:r w:rsidR="00F26C08">
        <w:t>. The</w:t>
      </w:r>
      <w:r w:rsidR="008449A7">
        <w:t xml:space="preserve"> </w:t>
      </w:r>
      <w:r>
        <w:t>practices</w:t>
      </w:r>
      <w:r w:rsidR="008449A7">
        <w:t xml:space="preserve"> </w:t>
      </w:r>
      <w:r w:rsidR="00455F35">
        <w:t>reviewed in this section—</w:t>
      </w:r>
      <w:r w:rsidR="00757757">
        <w:t xml:space="preserve">severe </w:t>
      </w:r>
      <w:r w:rsidR="0012061A">
        <w:t xml:space="preserve">indeterminate sentencing </w:t>
      </w:r>
      <w:r w:rsidR="00757757">
        <w:t>laws</w:t>
      </w:r>
      <w:r w:rsidR="00F26C08">
        <w:t xml:space="preserve">, </w:t>
      </w:r>
      <w:r w:rsidR="0012061A">
        <w:t xml:space="preserve">compulsory </w:t>
      </w:r>
      <w:r w:rsidR="00F26C08">
        <w:t>sterilization</w:t>
      </w:r>
      <w:r>
        <w:t>s</w:t>
      </w:r>
      <w:r w:rsidR="00F26C08">
        <w:t xml:space="preserve">, and </w:t>
      </w:r>
      <w:r>
        <w:t>lynching</w:t>
      </w:r>
      <w:r w:rsidR="00455F35">
        <w:t xml:space="preserve">—highlight this </w:t>
      </w:r>
      <w:r>
        <w:t>concern</w:t>
      </w:r>
      <w:r w:rsidR="00455F35">
        <w:t xml:space="preserve">. </w:t>
      </w:r>
      <w:r w:rsidR="00042536">
        <w:t xml:space="preserve">Together, </w:t>
      </w:r>
      <w:r w:rsidR="00455F35">
        <w:t xml:space="preserve">they </w:t>
      </w:r>
      <w:r w:rsidR="00042536">
        <w:t xml:space="preserve">show how four facets of rehabilitative </w:t>
      </w:r>
      <w:r>
        <w:t>ideology</w:t>
      </w:r>
      <w:r w:rsidR="00042536">
        <w:t xml:space="preserve"> contributed to punitive </w:t>
      </w:r>
      <w:r w:rsidR="00D642B6">
        <w:t>treatments</w:t>
      </w:r>
      <w:r w:rsidR="00042536">
        <w:t xml:space="preserve"> as much as they contributed rehabilitative </w:t>
      </w:r>
      <w:r w:rsidR="00D642B6">
        <w:t>ones</w:t>
      </w:r>
      <w:r w:rsidR="00042536">
        <w:t>—(1)</w:t>
      </w:r>
      <w:r w:rsidR="00757757">
        <w:t xml:space="preserve"> that</w:t>
      </w:r>
      <w:r w:rsidR="00042536">
        <w:t xml:space="preserve"> some criminals </w:t>
      </w:r>
      <w:r w:rsidR="00D642B6">
        <w:t>are</w:t>
      </w:r>
      <w:r>
        <w:t xml:space="preserve"> </w:t>
      </w:r>
      <w:r w:rsidR="00042536">
        <w:t xml:space="preserve">incorrigible; (2) </w:t>
      </w:r>
      <w:r w:rsidR="00757757">
        <w:t xml:space="preserve">that </w:t>
      </w:r>
      <w:r w:rsidR="00042536">
        <w:t xml:space="preserve">incorrigibility </w:t>
      </w:r>
      <w:r w:rsidR="00D642B6">
        <w:t>is</w:t>
      </w:r>
      <w:r w:rsidR="00042536">
        <w:t xml:space="preserve"> largely </w:t>
      </w:r>
      <w:r w:rsidR="00D642B6">
        <w:t>biological</w:t>
      </w:r>
      <w:r w:rsidR="00042536">
        <w:t xml:space="preserve">; (3) </w:t>
      </w:r>
      <w:r w:rsidR="00757757">
        <w:t xml:space="preserve">that </w:t>
      </w:r>
      <w:r w:rsidR="00865672">
        <w:t xml:space="preserve">criminals </w:t>
      </w:r>
      <w:r w:rsidR="00D642B6">
        <w:t>are</w:t>
      </w:r>
      <w:r w:rsidR="00865672">
        <w:t xml:space="preserve"> individually responsible for their behavior and capacity for reformation</w:t>
      </w:r>
      <w:r w:rsidR="00042536">
        <w:t xml:space="preserve">; and (4) </w:t>
      </w:r>
      <w:r w:rsidR="00757757">
        <w:t xml:space="preserve">that </w:t>
      </w:r>
      <w:r w:rsidR="00042536">
        <w:t xml:space="preserve">coercive state institutions </w:t>
      </w:r>
      <w:r w:rsidR="00D642B6">
        <w:t>are</w:t>
      </w:r>
      <w:r w:rsidR="00042536">
        <w:t xml:space="preserve"> capable of enacting positive social change, whether by reworking criminal minds or incapacitating them. </w:t>
      </w:r>
    </w:p>
    <w:p w14:paraId="758755A4" w14:textId="119F64AD" w:rsidR="00C06CC9" w:rsidRDefault="00355EA6" w:rsidP="00476684">
      <w:pPr>
        <w:widowControl w:val="0"/>
        <w:spacing w:line="480" w:lineRule="auto"/>
      </w:pPr>
      <w:r>
        <w:rPr>
          <w:b/>
          <w:i/>
        </w:rPr>
        <w:t>Indeterminate Sentencing</w:t>
      </w:r>
      <w:r w:rsidR="00865672">
        <w:rPr>
          <w:b/>
          <w:i/>
        </w:rPr>
        <w:t>.</w:t>
      </w:r>
      <w:r w:rsidR="00865672">
        <w:t xml:space="preserve"> Following Elmira’s example,</w:t>
      </w:r>
      <w:r w:rsidR="00476684">
        <w:t xml:space="preserve"> most state reformatories</w:t>
      </w:r>
      <w:r w:rsidR="00865672">
        <w:t xml:space="preserve"> </w:t>
      </w:r>
      <w:r w:rsidR="00D642B6">
        <w:t>in</w:t>
      </w:r>
      <w:r w:rsidR="00476684">
        <w:t xml:space="preserve"> the </w:t>
      </w:r>
      <w:r w:rsidR="00865672">
        <w:t xml:space="preserve">early twentieth centuries </w:t>
      </w:r>
      <w:r w:rsidR="00476684">
        <w:t>utilized</w:t>
      </w:r>
      <w:r w:rsidR="00865672">
        <w:t xml:space="preserve"> indeterminate sentencing. This </w:t>
      </w:r>
      <w:r w:rsidR="00476684">
        <w:t>allowed</w:t>
      </w:r>
      <w:r w:rsidR="00865672">
        <w:t xml:space="preserve"> parole boards and prison officials to determine if and when offenders had been rehabilitated and were fit for release. </w:t>
      </w:r>
      <w:r w:rsidR="00C24ED5">
        <w:t xml:space="preserve">But as </w:t>
      </w:r>
      <w:r w:rsidR="004528E9">
        <w:t>the</w:t>
      </w:r>
      <w:r w:rsidR="00C24ED5">
        <w:t xml:space="preserve"> </w:t>
      </w:r>
      <w:r w:rsidR="004528E9">
        <w:t>creators</w:t>
      </w:r>
      <w:r w:rsidR="00C24ED5">
        <w:t xml:space="preserve"> of the rehabilitative ideal suggested, the </w:t>
      </w:r>
      <w:r w:rsidR="00476684">
        <w:t>indeterminate sentence</w:t>
      </w:r>
      <w:r w:rsidR="002802EB">
        <w:t xml:space="preserve"> </w:t>
      </w:r>
      <w:r w:rsidR="00476684">
        <w:t>also</w:t>
      </w:r>
      <w:r w:rsidR="00C24ED5">
        <w:t xml:space="preserve"> permit</w:t>
      </w:r>
      <w:r w:rsidR="00476684">
        <w:t>ted</w:t>
      </w:r>
      <w:r w:rsidR="00C24ED5">
        <w:t xml:space="preserve"> long-term incarceration. </w:t>
      </w:r>
      <w:r w:rsidR="00C06CC9">
        <w:t>This is evidenced by the enactment of laws targeting repeat offenders with extended sentences</w:t>
      </w:r>
      <w:r w:rsidR="004528E9">
        <w:t xml:space="preserve"> as early as 1885, when Ohio granted</w:t>
      </w:r>
      <w:r w:rsidR="00C06CC9">
        <w:t xml:space="preserve"> judges the discretion to sentence third time felons to </w:t>
      </w:r>
      <w:r w:rsidR="00476684">
        <w:t>life imprisonment</w:t>
      </w:r>
      <w:r w:rsidR="00C06CC9">
        <w:t>.</w:t>
      </w:r>
      <w:r w:rsidR="007F10C1">
        <w:t xml:space="preserve"> The State Board of Charities</w:t>
      </w:r>
      <w:r w:rsidR="00CB207B">
        <w:t xml:space="preserve">, the agency responsible for </w:t>
      </w:r>
      <w:r w:rsidR="00835B71">
        <w:t xml:space="preserve">supervising </w:t>
      </w:r>
      <w:r w:rsidR="00CB207B">
        <w:t>state welfare institutions,</w:t>
      </w:r>
      <w:r w:rsidR="007F10C1">
        <w:t xml:space="preserve"> endorsed </w:t>
      </w:r>
      <w:r w:rsidR="00CB207B">
        <w:t>the law</w:t>
      </w:r>
      <w:r w:rsidR="00476684">
        <w:t xml:space="preserve"> and </w:t>
      </w:r>
      <w:r w:rsidR="00CB207B">
        <w:t>argued</w:t>
      </w:r>
      <w:r w:rsidR="007F10C1">
        <w:t xml:space="preserve"> for its application to repeat </w:t>
      </w:r>
      <w:r w:rsidR="00835B71">
        <w:t xml:space="preserve">misdemeanants and </w:t>
      </w:r>
      <w:r w:rsidR="007F10C1">
        <w:t>paupers.</w:t>
      </w:r>
      <w:r w:rsidR="0017059F">
        <w:rPr>
          <w:rStyle w:val="FootnoteReference"/>
        </w:rPr>
        <w:footnoteReference w:id="30"/>
      </w:r>
      <w:r w:rsidR="00C06CC9">
        <w:t xml:space="preserve"> </w:t>
      </w:r>
      <w:r w:rsidR="009B661D">
        <w:t xml:space="preserve">In 1909, Indiana passed a similar law after two decades of </w:t>
      </w:r>
      <w:r w:rsidR="004528E9">
        <w:t>advocacy</w:t>
      </w:r>
      <w:r w:rsidR="009B661D">
        <w:t xml:space="preserve"> from the State Board of Charities, which defended </w:t>
      </w:r>
      <w:r w:rsidR="00835B71">
        <w:t>it by arguing</w:t>
      </w:r>
      <w:r w:rsidR="009B661D">
        <w:t xml:space="preserve"> that indeterminate sentencing protected society through “the detention of the incorrigible and the release of the reformed criminal.”</w:t>
      </w:r>
      <w:r w:rsidR="009B661D" w:rsidRPr="00CB207B">
        <w:rPr>
          <w:rStyle w:val="FootnoteReference"/>
        </w:rPr>
        <w:t xml:space="preserve"> </w:t>
      </w:r>
      <w:r w:rsidR="009B661D">
        <w:t>The Indiana law made an inclusion for repeat misdemeanants for life sentences.</w:t>
      </w:r>
      <w:r w:rsidR="004528E9">
        <w:rPr>
          <w:rStyle w:val="FootnoteReference"/>
        </w:rPr>
        <w:footnoteReference w:id="31"/>
      </w:r>
      <w:r w:rsidR="009B661D">
        <w:t xml:space="preserve"> </w:t>
      </w:r>
    </w:p>
    <w:p w14:paraId="4940219F" w14:textId="30648DD5" w:rsidR="00AD2362" w:rsidRPr="000412F4" w:rsidRDefault="007F10C1" w:rsidP="001A6058">
      <w:pPr>
        <w:widowControl w:val="0"/>
        <w:spacing w:line="480" w:lineRule="auto"/>
      </w:pPr>
      <w:r>
        <w:tab/>
      </w:r>
      <w:r w:rsidR="0065107B">
        <w:t>Beginning</w:t>
      </w:r>
      <w:r>
        <w:t xml:space="preserve"> </w:t>
      </w:r>
      <w:r w:rsidR="00CB207B">
        <w:t xml:space="preserve">in </w:t>
      </w:r>
      <w:r>
        <w:t xml:space="preserve">the 1920s, </w:t>
      </w:r>
      <w:r w:rsidR="00476684">
        <w:t>similar</w:t>
      </w:r>
      <w:r w:rsidR="009C3EF8">
        <w:t xml:space="preserve"> </w:t>
      </w:r>
      <w:r w:rsidR="00476684">
        <w:t>“habitual offender”</w:t>
      </w:r>
      <w:r w:rsidR="0065107B">
        <w:t xml:space="preserve"> laws spread</w:t>
      </w:r>
      <w:r w:rsidR="00C92912">
        <w:t xml:space="preserve"> rapidly</w:t>
      </w:r>
      <w:r w:rsidR="0065107B">
        <w:t xml:space="preserve"> across the states. New York </w:t>
      </w:r>
      <w:r w:rsidR="009C3EF8">
        <w:t>ignited</w:t>
      </w:r>
      <w:r w:rsidR="0065107B">
        <w:t xml:space="preserve"> the movement with Baumes’ Law in 1926, which increased sentences for second-time offenders and </w:t>
      </w:r>
      <w:r w:rsidR="00C92912">
        <w:t>instituted</w:t>
      </w:r>
      <w:r w:rsidR="0065107B">
        <w:t xml:space="preserve"> life sentences for those with three or more convictions. The bill’s </w:t>
      </w:r>
      <w:r w:rsidR="00476684">
        <w:t>sponsor</w:t>
      </w:r>
      <w:r w:rsidR="00CB207B">
        <w:t xml:space="preserve">, Caleb Baum, </w:t>
      </w:r>
      <w:r w:rsidR="0065107B">
        <w:t>claimed that the bill’s purpose was “protection to the public,” as any offender who commit</w:t>
      </w:r>
      <w:r w:rsidR="00CB207B">
        <w:t>s</w:t>
      </w:r>
      <w:r w:rsidR="0065107B">
        <w:t xml:space="preserve"> crime after multiple convictions </w:t>
      </w:r>
      <w:r w:rsidR="009C3EF8">
        <w:t xml:space="preserve">must be </w:t>
      </w:r>
      <w:r w:rsidR="0065107B">
        <w:t>“incurable.”</w:t>
      </w:r>
      <w:r w:rsidR="0065107B">
        <w:rPr>
          <w:rStyle w:val="FootnoteReference"/>
        </w:rPr>
        <w:footnoteReference w:id="32"/>
      </w:r>
      <w:r w:rsidR="0065107B">
        <w:t xml:space="preserve"> </w:t>
      </w:r>
      <w:r w:rsidR="001A6058">
        <w:t>The New York</w:t>
      </w:r>
      <w:r w:rsidR="00AD2362">
        <w:t xml:space="preserve"> Crime Commission concurred </w:t>
      </w:r>
      <w:r w:rsidR="009C3EF8">
        <w:t>that</w:t>
      </w:r>
      <w:r w:rsidR="00AD2362">
        <w:t xml:space="preserve"> law’s purpose was to </w:t>
      </w:r>
      <w:r w:rsidR="009B661D">
        <w:t>contain</w:t>
      </w:r>
      <w:r w:rsidR="00AD2362">
        <w:t xml:space="preserve"> incurable offenders.</w:t>
      </w:r>
      <w:r w:rsidR="00AD2362">
        <w:rPr>
          <w:rStyle w:val="FootnoteReference"/>
        </w:rPr>
        <w:footnoteReference w:id="33"/>
      </w:r>
      <w:r w:rsidR="009C3EF8">
        <w:t xml:space="preserve"> </w:t>
      </w:r>
      <w:r w:rsidR="0065107B">
        <w:t>Over the next two decad</w:t>
      </w:r>
      <w:r w:rsidR="009B661D">
        <w:t>es, habitual offender</w:t>
      </w:r>
      <w:r w:rsidR="0065107B">
        <w:t xml:space="preserve"> laws </w:t>
      </w:r>
      <w:r w:rsidR="009C3EF8">
        <w:t>were passed in forty-three states, with twenty-</w:t>
      </w:r>
      <w:r w:rsidR="001A6058">
        <w:t>nine authorizing life sentences</w:t>
      </w:r>
      <w:r w:rsidR="00AD2362">
        <w:t>.</w:t>
      </w:r>
      <w:r w:rsidR="00AD2362">
        <w:rPr>
          <w:rStyle w:val="FootnoteReference"/>
        </w:rPr>
        <w:footnoteReference w:id="34"/>
      </w:r>
      <w:r w:rsidR="001A6058">
        <w:t xml:space="preserve"> </w:t>
      </w:r>
      <w:r w:rsidR="00AD2362">
        <w:t xml:space="preserve">It is unclear how frequently </w:t>
      </w:r>
      <w:r w:rsidR="001A6058">
        <w:t>these</w:t>
      </w:r>
      <w:r w:rsidR="00AD2362">
        <w:t xml:space="preserve"> laws were used</w:t>
      </w:r>
      <w:r w:rsidR="001A6058">
        <w:t>,</w:t>
      </w:r>
      <w:r w:rsidR="00E67928">
        <w:t xml:space="preserve"> </w:t>
      </w:r>
      <w:r w:rsidR="001A6058">
        <w:t>but</w:t>
      </w:r>
      <w:r w:rsidR="00E67928">
        <w:t xml:space="preserve"> </w:t>
      </w:r>
      <w:r w:rsidR="00AD2362">
        <w:t xml:space="preserve">what is </w:t>
      </w:r>
      <w:r w:rsidR="00CB207B">
        <w:t xml:space="preserve">relevant here </w:t>
      </w:r>
      <w:r w:rsidR="00AD2362">
        <w:t xml:space="preserve">is that </w:t>
      </w:r>
      <w:r w:rsidR="001A6058">
        <w:t>state legislatures use</w:t>
      </w:r>
      <w:r w:rsidR="009B661D">
        <w:t>d</w:t>
      </w:r>
      <w:r w:rsidR="001A6058">
        <w:t xml:space="preserve"> indeterminate sentencing systems to authorize long sentences for </w:t>
      </w:r>
      <w:r w:rsidR="00CB207B">
        <w:t>recidivists, even minor felons, long before</w:t>
      </w:r>
      <w:r w:rsidR="00AD2362">
        <w:t xml:space="preserve"> </w:t>
      </w:r>
      <w:r w:rsidR="00CB207B">
        <w:t>rehabilitative</w:t>
      </w:r>
      <w:r w:rsidR="004528E9">
        <w:t xml:space="preserve"> goals</w:t>
      </w:r>
      <w:r w:rsidR="00CB207B">
        <w:t xml:space="preserve"> </w:t>
      </w:r>
      <w:r w:rsidR="004528E9">
        <w:t>were</w:t>
      </w:r>
      <w:r w:rsidR="00CB207B">
        <w:t xml:space="preserve"> abandoned</w:t>
      </w:r>
      <w:r w:rsidR="00AD2362">
        <w:t>.</w:t>
      </w:r>
      <w:r w:rsidR="001A6058">
        <w:rPr>
          <w:rStyle w:val="FootnoteReference"/>
        </w:rPr>
        <w:footnoteReference w:id="35"/>
      </w:r>
      <w:r w:rsidR="00AD2362">
        <w:t xml:space="preserve"> </w:t>
      </w:r>
    </w:p>
    <w:p w14:paraId="7EB101ED" w14:textId="2AE603FC" w:rsidR="00932B65" w:rsidRPr="006E30B6" w:rsidRDefault="00D02CEE" w:rsidP="009A0386">
      <w:pPr>
        <w:widowControl w:val="0"/>
        <w:spacing w:line="480" w:lineRule="auto"/>
      </w:pPr>
      <w:r w:rsidRPr="00D02CEE">
        <w:tab/>
      </w:r>
      <w:r w:rsidR="00E67928">
        <w:t xml:space="preserve">Severe indeterminate sentencing </w:t>
      </w:r>
      <w:r w:rsidR="00CB207B">
        <w:t>laws</w:t>
      </w:r>
      <w:r w:rsidR="00E67928">
        <w:t xml:space="preserve"> were</w:t>
      </w:r>
      <w:r w:rsidR="004528E9">
        <w:t xml:space="preserve"> also</w:t>
      </w:r>
      <w:r>
        <w:t xml:space="preserve"> applied to </w:t>
      </w:r>
      <w:r w:rsidR="004528E9">
        <w:t>minor</w:t>
      </w:r>
      <w:r>
        <w:t xml:space="preserve"> </w:t>
      </w:r>
      <w:r w:rsidR="00E67928">
        <w:t xml:space="preserve">offenders. </w:t>
      </w:r>
      <w:r w:rsidR="009725AB">
        <w:t>Due</w:t>
      </w:r>
      <w:r w:rsidR="00CB207B">
        <w:t xml:space="preserve"> to increased</w:t>
      </w:r>
      <w:r>
        <w:t xml:space="preserve"> </w:t>
      </w:r>
      <w:r w:rsidR="00CB207B">
        <w:t>poverty during industrialization</w:t>
      </w:r>
      <w:r>
        <w:t xml:space="preserve">, </w:t>
      </w:r>
      <w:r w:rsidR="00CB207B">
        <w:t>anxiety</w:t>
      </w:r>
      <w:r w:rsidR="00E67928">
        <w:t xml:space="preserve"> over</w:t>
      </w:r>
      <w:r>
        <w:t xml:space="preserve"> “tramp</w:t>
      </w:r>
      <w:r w:rsidR="00E67928">
        <w:t>s</w:t>
      </w:r>
      <w:r w:rsidR="009A0386">
        <w:t>” (</w:t>
      </w:r>
      <w:r w:rsidR="00CB207B">
        <w:t>homeless</w:t>
      </w:r>
      <w:r w:rsidRPr="00D02CEE">
        <w:t xml:space="preserve"> men </w:t>
      </w:r>
      <w:r w:rsidR="008E52A8">
        <w:t>living</w:t>
      </w:r>
      <w:r w:rsidR="009A0386">
        <w:t xml:space="preserve"> off temporary work) </w:t>
      </w:r>
      <w:r w:rsidR="00F93D5C">
        <w:t>became</w:t>
      </w:r>
      <w:r w:rsidR="00CB207B">
        <w:t xml:space="preserve"> widespread</w:t>
      </w:r>
      <w:r w:rsidR="00F94E5E">
        <w:t xml:space="preserve"> in the late 1800s</w:t>
      </w:r>
      <w:r w:rsidRPr="00D02CEE">
        <w:t>.</w:t>
      </w:r>
      <w:r>
        <w:t xml:space="preserve"> The political response was a repression of poverty through the enhancement of centuries old vagrancy laws</w:t>
      </w:r>
      <w:r w:rsidRPr="00E67928">
        <w:t>.</w:t>
      </w:r>
      <w:r w:rsidR="000B39DC" w:rsidRPr="00E67928">
        <w:rPr>
          <w:rStyle w:val="FootnoteReference"/>
        </w:rPr>
        <w:footnoteReference w:id="36"/>
      </w:r>
      <w:r w:rsidR="00EC08DF" w:rsidRPr="00E67928">
        <w:t xml:space="preserve"> </w:t>
      </w:r>
      <w:r w:rsidR="0057457D">
        <w:t>Richard Dugdale</w:t>
      </w:r>
      <w:r w:rsidR="009A0386">
        <w:t>’s analysis of the “Juke” family—which</w:t>
      </w:r>
      <w:r w:rsidR="0057457D">
        <w:t xml:space="preserve"> </w:t>
      </w:r>
      <w:r w:rsidR="000D3512">
        <w:t>concluded</w:t>
      </w:r>
      <w:r w:rsidR="0057457D">
        <w:t xml:space="preserve"> that </w:t>
      </w:r>
      <w:r w:rsidR="0057457D" w:rsidRPr="00E67928">
        <w:t xml:space="preserve">laziness, idiocy, and other hereditary features of the </w:t>
      </w:r>
      <w:r w:rsidR="0057457D">
        <w:t xml:space="preserve">Juke </w:t>
      </w:r>
      <w:r w:rsidR="0057457D" w:rsidRPr="00E67928">
        <w:t xml:space="preserve">gene pool contributed simultaneously to </w:t>
      </w:r>
      <w:r w:rsidR="0057457D">
        <w:t>the family’s</w:t>
      </w:r>
      <w:r w:rsidR="0057457D" w:rsidRPr="00E67928">
        <w:t xml:space="preserve"> poverty and criminality</w:t>
      </w:r>
      <w:r w:rsidR="009A0386">
        <w:t>—abetted these developments</w:t>
      </w:r>
      <w:r w:rsidR="009725AB">
        <w:t xml:space="preserve"> after he discussed the links between crime and poverty </w:t>
      </w:r>
      <w:r w:rsidR="00FD6B4D">
        <w:t>uncovered</w:t>
      </w:r>
      <w:r w:rsidR="009725AB">
        <w:t xml:space="preserve"> </w:t>
      </w:r>
      <w:r w:rsidR="008E52A8">
        <w:t xml:space="preserve">in his research </w:t>
      </w:r>
      <w:r w:rsidR="009725AB">
        <w:t xml:space="preserve">before </w:t>
      </w:r>
      <w:r w:rsidR="000D3512">
        <w:t>the National Conference of Boa</w:t>
      </w:r>
      <w:r w:rsidR="009725AB">
        <w:t>rds of Public Charities in 1877</w:t>
      </w:r>
      <w:r w:rsidR="001E7854">
        <w:t>.</w:t>
      </w:r>
      <w:r w:rsidR="000D3512" w:rsidRPr="000D3512">
        <w:rPr>
          <w:rStyle w:val="FootnoteReference"/>
        </w:rPr>
        <w:t xml:space="preserve"> </w:t>
      </w:r>
      <w:r w:rsidR="000D3512" w:rsidRPr="00E67928">
        <w:rPr>
          <w:rStyle w:val="FootnoteReference"/>
        </w:rPr>
        <w:footnoteReference w:id="37"/>
      </w:r>
      <w:r w:rsidR="009B661D">
        <w:t xml:space="preserve"> </w:t>
      </w:r>
      <w:r w:rsidR="008E52A8">
        <w:t>A</w:t>
      </w:r>
      <w:r w:rsidR="00F93D5C">
        <w:t xml:space="preserve">ttendee </w:t>
      </w:r>
      <w:r w:rsidR="000D3512" w:rsidRPr="006E30B6">
        <w:t xml:space="preserve">Francis Wayland </w:t>
      </w:r>
      <w:r w:rsidR="000D3512">
        <w:t>elaborated on Dugdale’s claims by citing</w:t>
      </w:r>
      <w:r w:rsidR="000D3512" w:rsidRPr="006E30B6">
        <w:t xml:space="preserve"> anecdotal data that 9</w:t>
      </w:r>
      <w:r w:rsidR="008E52A8">
        <w:t>4-99% of tramps were criminals and describing</w:t>
      </w:r>
      <w:r w:rsidR="000D3512" w:rsidRPr="006E30B6">
        <w:t xml:space="preserve"> </w:t>
      </w:r>
      <w:r w:rsidR="000D3512">
        <w:t>the tramp as a</w:t>
      </w:r>
      <w:r w:rsidR="00F93D5C">
        <w:t>n</w:t>
      </w:r>
      <w:r w:rsidR="000D3512">
        <w:t xml:space="preserve"> </w:t>
      </w:r>
      <w:r w:rsidR="000D3512" w:rsidRPr="006E30B6">
        <w:t>“irreclaimable, incorrigible, cowardly, utterly depraved savage” wh</w:t>
      </w:r>
      <w:r w:rsidR="000D3512">
        <w:t>o “knows no gradations in crime.</w:t>
      </w:r>
      <w:r w:rsidR="000D3512" w:rsidRPr="006E30B6">
        <w:t>”</w:t>
      </w:r>
      <w:r w:rsidR="000D3512" w:rsidRPr="006E30B6">
        <w:rPr>
          <w:rStyle w:val="FootnoteReference"/>
        </w:rPr>
        <w:footnoteReference w:id="38"/>
      </w:r>
      <w:r w:rsidR="000D3512" w:rsidRPr="006E30B6">
        <w:t xml:space="preserve"> Many attendees supported incarceration for tramps on the basis that </w:t>
      </w:r>
      <w:r w:rsidR="00F93D5C">
        <w:t>they were prone to criminality</w:t>
      </w:r>
      <w:r w:rsidR="000D3512" w:rsidRPr="006E30B6">
        <w:t>.</w:t>
      </w:r>
      <w:r w:rsidR="000D3512" w:rsidRPr="006E30B6">
        <w:rPr>
          <w:rStyle w:val="FootnoteReference"/>
        </w:rPr>
        <w:footnoteReference w:id="39"/>
      </w:r>
      <w:r w:rsidR="000D3512" w:rsidRPr="006E30B6">
        <w:rPr>
          <w:rStyle w:val="FootnoteReference"/>
        </w:rPr>
        <w:t xml:space="preserve"> </w:t>
      </w:r>
      <w:r w:rsidR="000D3512">
        <w:t xml:space="preserve"> </w:t>
      </w:r>
      <w:r w:rsidR="00F93D5C">
        <w:t>In 1898,</w:t>
      </w:r>
      <w:r w:rsidR="000D3512">
        <w:t xml:space="preserve"> </w:t>
      </w:r>
      <w:r w:rsidR="001E7854" w:rsidRPr="00260F3E">
        <w:t xml:space="preserve">Brockway built on </w:t>
      </w:r>
      <w:r w:rsidR="007F06A7">
        <w:t>this</w:t>
      </w:r>
      <w:r w:rsidR="001E7854" w:rsidRPr="00260F3E">
        <w:t xml:space="preserve"> </w:t>
      </w:r>
      <w:r w:rsidR="007F06A7">
        <w:t>notion</w:t>
      </w:r>
      <w:r w:rsidR="001E7854" w:rsidRPr="00260F3E">
        <w:t xml:space="preserve">, </w:t>
      </w:r>
      <w:r w:rsidR="009A0386">
        <w:t>stating</w:t>
      </w:r>
      <w:r w:rsidR="001E7854" w:rsidRPr="00260F3E">
        <w:t xml:space="preserve"> that </w:t>
      </w:r>
      <w:r w:rsidR="009A0386">
        <w:t xml:space="preserve">many paupers </w:t>
      </w:r>
      <w:r w:rsidR="001E7854" w:rsidRPr="00260F3E">
        <w:t xml:space="preserve">are “disinclined to satisfy their wants by legitimate earnings” and </w:t>
      </w:r>
      <w:r w:rsidR="009A0386">
        <w:t>steal</w:t>
      </w:r>
      <w:r w:rsidR="001E7854" w:rsidRPr="00260F3E">
        <w:t xml:space="preserve"> to fulfill their basic needs.</w:t>
      </w:r>
      <w:r w:rsidR="001E7854" w:rsidRPr="00260F3E">
        <w:rPr>
          <w:rStyle w:val="FootnoteReference"/>
        </w:rPr>
        <w:footnoteReference w:id="40"/>
      </w:r>
      <w:r w:rsidR="001E7854" w:rsidRPr="00260F3E">
        <w:t xml:space="preserve"> Boies </w:t>
      </w:r>
      <w:r w:rsidR="009A0386">
        <w:t>argued</w:t>
      </w:r>
      <w:r w:rsidR="001E7854" w:rsidRPr="00260F3E">
        <w:t xml:space="preserve"> that </w:t>
      </w:r>
      <w:r w:rsidR="009B661D">
        <w:t xml:space="preserve">many </w:t>
      </w:r>
      <w:r w:rsidR="009A0386">
        <w:t>tramps</w:t>
      </w:r>
      <w:r w:rsidR="009B661D">
        <w:t xml:space="preserve"> are </w:t>
      </w:r>
      <w:r w:rsidR="00F93D5C">
        <w:t xml:space="preserve">“incorrigibly idle” </w:t>
      </w:r>
      <w:r w:rsidR="001E7854" w:rsidRPr="00260F3E">
        <w:t xml:space="preserve">and </w:t>
      </w:r>
      <w:r w:rsidR="00F93D5C">
        <w:t>“</w:t>
      </w:r>
      <w:r w:rsidR="001E7854" w:rsidRPr="00260F3E">
        <w:t xml:space="preserve">criminal,” </w:t>
      </w:r>
      <w:r w:rsidR="009B661D">
        <w:t>and</w:t>
      </w:r>
      <w:r w:rsidR="001E7854" w:rsidRPr="00260F3E">
        <w:t xml:space="preserve"> should be </w:t>
      </w:r>
      <w:r w:rsidR="00F93D5C">
        <w:t>incarcerated</w:t>
      </w:r>
      <w:r w:rsidR="001E7854" w:rsidRPr="00260F3E">
        <w:t xml:space="preserve"> “for life.”</w:t>
      </w:r>
      <w:r w:rsidR="001E7854" w:rsidRPr="00260F3E">
        <w:rPr>
          <w:rStyle w:val="FootnoteReference"/>
        </w:rPr>
        <w:footnoteReference w:id="41"/>
      </w:r>
      <w:r w:rsidR="001E7854" w:rsidRPr="00260F3E">
        <w:t xml:space="preserve"> G. Frank Lydston even claimed to uncover shared physiological stigmata among tramps and criminals.</w:t>
      </w:r>
      <w:r w:rsidR="001E7854" w:rsidRPr="00260F3E">
        <w:rPr>
          <w:rStyle w:val="FootnoteReference"/>
        </w:rPr>
        <w:t xml:space="preserve"> </w:t>
      </w:r>
      <w:r w:rsidR="001E7854" w:rsidRPr="00260F3E">
        <w:rPr>
          <w:rStyle w:val="FootnoteReference"/>
        </w:rPr>
        <w:footnoteReference w:id="42"/>
      </w:r>
      <w:r w:rsidR="000D3512" w:rsidRPr="000D3512">
        <w:t xml:space="preserve"> </w:t>
      </w:r>
    </w:p>
    <w:p w14:paraId="408A33F1" w14:textId="27B60B72" w:rsidR="00D45E98" w:rsidRPr="00E45850" w:rsidRDefault="00481B99" w:rsidP="001C09CA">
      <w:pPr>
        <w:widowControl w:val="0"/>
        <w:spacing w:line="480" w:lineRule="auto"/>
      </w:pPr>
      <w:r w:rsidRPr="006E30B6">
        <w:tab/>
        <w:t xml:space="preserve">By 1897, forty states </w:t>
      </w:r>
      <w:r w:rsidR="006E30B6" w:rsidRPr="006E30B6">
        <w:t>revamped the</w:t>
      </w:r>
      <w:r w:rsidR="0074577B">
        <w:t>ir vagrancy laws into punitive anti-tramp</w:t>
      </w:r>
      <w:r w:rsidR="006E30B6" w:rsidRPr="006E30B6">
        <w:t xml:space="preserve"> act</w:t>
      </w:r>
      <w:r w:rsidR="0074577B">
        <w:t>s</w:t>
      </w:r>
      <w:r w:rsidRPr="006E30B6">
        <w:t>,</w:t>
      </w:r>
      <w:r w:rsidR="006E30B6" w:rsidRPr="006E30B6">
        <w:t xml:space="preserve"> and</w:t>
      </w:r>
      <w:r w:rsidRPr="006E30B6">
        <w:t xml:space="preserve"> thirty-seven incarcerate</w:t>
      </w:r>
      <w:r w:rsidR="000D3512">
        <w:t>d</w:t>
      </w:r>
      <w:r w:rsidRPr="006E30B6">
        <w:t xml:space="preserve"> tramps in </w:t>
      </w:r>
      <w:r w:rsidR="0064170F" w:rsidRPr="006E30B6">
        <w:t xml:space="preserve">penal </w:t>
      </w:r>
      <w:r w:rsidR="000D3512">
        <w:t>institutions</w:t>
      </w:r>
      <w:r w:rsidRPr="006E30B6">
        <w:t>.</w:t>
      </w:r>
      <w:r w:rsidRPr="006E30B6">
        <w:rPr>
          <w:rStyle w:val="FootnoteReference"/>
        </w:rPr>
        <w:footnoteReference w:id="43"/>
      </w:r>
      <w:r w:rsidR="0064170F" w:rsidRPr="006E30B6">
        <w:t xml:space="preserve"> The laws</w:t>
      </w:r>
      <w:r w:rsidR="005470FA" w:rsidRPr="006E30B6">
        <w:t xml:space="preserve"> </w:t>
      </w:r>
      <w:r w:rsidR="000D3512">
        <w:t>targeted</w:t>
      </w:r>
      <w:r w:rsidR="0064170F" w:rsidRPr="006E30B6">
        <w:t xml:space="preserve"> wandering without work</w:t>
      </w:r>
      <w:r w:rsidR="000D3512">
        <w:t xml:space="preserve"> </w:t>
      </w:r>
      <w:r w:rsidR="0064170F" w:rsidRPr="006E30B6">
        <w:t>and often converted misdemeanors into felonies if committed by tramps.</w:t>
      </w:r>
      <w:r w:rsidR="0064170F" w:rsidRPr="006E30B6">
        <w:rPr>
          <w:rStyle w:val="FootnoteReference"/>
        </w:rPr>
        <w:footnoteReference w:id="44"/>
      </w:r>
      <w:r w:rsidR="0064170F" w:rsidRPr="006E30B6">
        <w:t xml:space="preserve"> </w:t>
      </w:r>
      <w:r w:rsidR="006E30B6" w:rsidRPr="006E30B6">
        <w:t>Whereas d</w:t>
      </w:r>
      <w:r w:rsidR="0064170F" w:rsidRPr="006E30B6">
        <w:t xml:space="preserve">uring the mid-nineteenth century, jobless transients would </w:t>
      </w:r>
      <w:r w:rsidR="006E30B6" w:rsidRPr="006E30B6">
        <w:t>usually</w:t>
      </w:r>
      <w:r w:rsidR="0064170F" w:rsidRPr="006E30B6">
        <w:t xml:space="preserve"> be lodged overnight in police stationhouses,</w:t>
      </w:r>
      <w:r w:rsidR="006E30B6" w:rsidRPr="006E30B6">
        <w:t xml:space="preserve"> a</w:t>
      </w:r>
      <w:r w:rsidR="005470FA" w:rsidRPr="006E30B6">
        <w:t xml:space="preserve">nti-tramp laws </w:t>
      </w:r>
      <w:r w:rsidR="007F06A7">
        <w:t>provided</w:t>
      </w:r>
      <w:r w:rsidR="009A0386">
        <w:t xml:space="preserve"> </w:t>
      </w:r>
      <w:r w:rsidR="007F06A7">
        <w:t>lengthy</w:t>
      </w:r>
      <w:r w:rsidR="009A0386">
        <w:t xml:space="preserve"> prison sentences. While </w:t>
      </w:r>
      <w:r w:rsidR="005470FA" w:rsidRPr="006E30B6">
        <w:t>New York and New Jersey</w:t>
      </w:r>
      <w:r w:rsidR="0064170F" w:rsidRPr="006E30B6">
        <w:t xml:space="preserve"> </w:t>
      </w:r>
      <w:r w:rsidR="009A0386">
        <w:t>specified</w:t>
      </w:r>
      <w:r w:rsidR="005470FA" w:rsidRPr="006E30B6">
        <w:t xml:space="preserve"> </w:t>
      </w:r>
      <w:r w:rsidR="009A0386">
        <w:t>a six-month statutory maximum, tramps</w:t>
      </w:r>
      <w:r w:rsidR="0064170F" w:rsidRPr="006E30B6">
        <w:t xml:space="preserve"> in Massachusetts </w:t>
      </w:r>
      <w:r w:rsidR="007F06A7">
        <w:t xml:space="preserve">could get two years behind bars </w:t>
      </w:r>
      <w:r w:rsidR="009A0386">
        <w:t>and</w:t>
      </w:r>
      <w:r w:rsidR="0064170F" w:rsidRPr="006E30B6">
        <w:t xml:space="preserve"> </w:t>
      </w:r>
      <w:r w:rsidR="007F06A7">
        <w:t>those</w:t>
      </w:r>
      <w:r w:rsidR="0064170F" w:rsidRPr="006E30B6">
        <w:t xml:space="preserve"> in Rhode Island</w:t>
      </w:r>
      <w:r w:rsidR="007F06A7">
        <w:t xml:space="preserve"> could get three</w:t>
      </w:r>
      <w:r w:rsidR="0064170F" w:rsidRPr="006E30B6">
        <w:t>.</w:t>
      </w:r>
      <w:r w:rsidR="006E30B6" w:rsidRPr="006E30B6">
        <w:rPr>
          <w:rStyle w:val="FootnoteReference"/>
        </w:rPr>
        <w:footnoteReference w:id="45"/>
      </w:r>
      <w:r w:rsidR="0064170F" w:rsidRPr="006E30B6">
        <w:t xml:space="preserve"> </w:t>
      </w:r>
      <w:r w:rsidR="008E52A8">
        <w:t>Such</w:t>
      </w:r>
      <w:r w:rsidR="00E45850" w:rsidRPr="006E30B6">
        <w:t xml:space="preserve"> anti-tramp acts </w:t>
      </w:r>
      <w:r w:rsidR="007F06A7">
        <w:t>were</w:t>
      </w:r>
      <w:r w:rsidR="006E30B6" w:rsidRPr="006E30B6">
        <w:t xml:space="preserve"> widely praised </w:t>
      </w:r>
      <w:r w:rsidR="007F06A7">
        <w:t xml:space="preserve">for “checking </w:t>
      </w:r>
      <w:r w:rsidR="00E45850" w:rsidRPr="006E30B6">
        <w:t>the extent of crime.”</w:t>
      </w:r>
      <w:r w:rsidR="00E45850" w:rsidRPr="006E30B6">
        <w:rPr>
          <w:rStyle w:val="FootnoteReference"/>
        </w:rPr>
        <w:footnoteReference w:id="46"/>
      </w:r>
      <w:r w:rsidR="00E45850" w:rsidRPr="006E30B6">
        <w:t xml:space="preserve"> While tramps </w:t>
      </w:r>
      <w:r w:rsidR="006E30B6" w:rsidRPr="006E30B6">
        <w:t>were</w:t>
      </w:r>
      <w:r w:rsidR="00E45850" w:rsidRPr="006E30B6">
        <w:t xml:space="preserve"> not </w:t>
      </w:r>
      <w:r w:rsidR="006E30B6" w:rsidRPr="00C947EA">
        <w:t>indefinitely</w:t>
      </w:r>
      <w:r w:rsidR="006E30B6" w:rsidRPr="006E30B6">
        <w:t xml:space="preserve"> incarcerated</w:t>
      </w:r>
      <w:r w:rsidR="005470FA" w:rsidRPr="006E30B6">
        <w:t xml:space="preserve">, </w:t>
      </w:r>
      <w:r w:rsidR="00E45850" w:rsidRPr="006E30B6">
        <w:t xml:space="preserve">notions of incorrigibility and biological </w:t>
      </w:r>
      <w:r w:rsidR="005470FA" w:rsidRPr="006E30B6">
        <w:t>inferiority</w:t>
      </w:r>
      <w:r w:rsidR="00E45850" w:rsidRPr="006E30B6">
        <w:t xml:space="preserve"> </w:t>
      </w:r>
      <w:r w:rsidR="00E0589A" w:rsidRPr="006E30B6">
        <w:t xml:space="preserve">linked to rehabilitative philosophy </w:t>
      </w:r>
      <w:r w:rsidR="00C947EA">
        <w:t>legitimized</w:t>
      </w:r>
      <w:r w:rsidR="005470FA" w:rsidRPr="006E30B6">
        <w:t xml:space="preserve"> </w:t>
      </w:r>
      <w:r w:rsidR="00AD2E96" w:rsidRPr="006E30B6">
        <w:t>extended sentences</w:t>
      </w:r>
      <w:r w:rsidR="00C947EA">
        <w:t xml:space="preserve"> for them</w:t>
      </w:r>
      <w:r w:rsidR="00E0589A" w:rsidRPr="006E30B6">
        <w:t>.</w:t>
      </w:r>
      <w:r w:rsidR="00E0589A">
        <w:t xml:space="preserve">  </w:t>
      </w:r>
    </w:p>
    <w:p w14:paraId="7466EBA5" w14:textId="15AEF223" w:rsidR="002B4897" w:rsidRPr="00BC396A" w:rsidRDefault="008449A7" w:rsidP="005969E2">
      <w:pPr>
        <w:widowControl w:val="0"/>
        <w:spacing w:line="480" w:lineRule="auto"/>
      </w:pPr>
      <w:r>
        <w:rPr>
          <w:b/>
          <w:i/>
        </w:rPr>
        <w:t>Sterilizations</w:t>
      </w:r>
      <w:r w:rsidR="00E45850">
        <w:rPr>
          <w:b/>
          <w:i/>
        </w:rPr>
        <w:t xml:space="preserve"> Laws</w:t>
      </w:r>
      <w:r>
        <w:rPr>
          <w:b/>
          <w:i/>
        </w:rPr>
        <w:t>.</w:t>
      </w:r>
      <w:r w:rsidR="008618FB">
        <w:t xml:space="preserve"> </w:t>
      </w:r>
      <w:r w:rsidR="00E75281">
        <w:t>The</w:t>
      </w:r>
      <w:r w:rsidR="002B4897">
        <w:t xml:space="preserve"> early twentieth century </w:t>
      </w:r>
      <w:r w:rsidR="00E75281">
        <w:t>witnessed</w:t>
      </w:r>
      <w:r w:rsidR="002B4897">
        <w:t xml:space="preserve"> </w:t>
      </w:r>
      <w:r w:rsidR="008618FB">
        <w:t xml:space="preserve">the </w:t>
      </w:r>
      <w:r w:rsidR="00C947EA">
        <w:t xml:space="preserve">rise of the </w:t>
      </w:r>
      <w:r w:rsidR="004A0E54">
        <w:t xml:space="preserve">American </w:t>
      </w:r>
      <w:r w:rsidR="008618FB">
        <w:t xml:space="preserve">eugenics </w:t>
      </w:r>
      <w:r w:rsidR="004A0E54">
        <w:t>movement</w:t>
      </w:r>
      <w:r w:rsidR="002B4897">
        <w:t>. The Eugenics Records</w:t>
      </w:r>
      <w:r w:rsidR="008618FB">
        <w:t xml:space="preserve"> Office (ERO)</w:t>
      </w:r>
      <w:r w:rsidR="00E75281">
        <w:t>, established in 1910 a</w:t>
      </w:r>
      <w:r w:rsidR="00DB37AF">
        <w:t>s</w:t>
      </w:r>
      <w:r w:rsidR="008618FB">
        <w:t xml:space="preserve"> the national center for the study of human heredity </w:t>
      </w:r>
      <w:r w:rsidR="00E75281">
        <w:t>until its closure in 1939,</w:t>
      </w:r>
      <w:r w:rsidR="00DB37AF">
        <w:t xml:space="preserve"> sought</w:t>
      </w:r>
      <w:r w:rsidR="002B4897">
        <w:t xml:space="preserve"> to </w:t>
      </w:r>
      <w:r w:rsidR="008618FB">
        <w:t>identify</w:t>
      </w:r>
      <w:r w:rsidR="002B4897">
        <w:t xml:space="preserve"> the most defective 10% of the population for sterilization and segregation. A number of groups were targeted, including the feeble-minded, paupers, and “criminals of all descriptions.” The ERO’s broad definition of “criminal” spanned fr</w:t>
      </w:r>
      <w:r w:rsidR="004A0E54">
        <w:t>om vagrants to felons, serving</w:t>
      </w:r>
      <w:r w:rsidR="002B4897">
        <w:t xml:space="preserve"> </w:t>
      </w:r>
      <w:r w:rsidR="00095692">
        <w:t>as a catchall to</w:t>
      </w:r>
      <w:r w:rsidR="002B4897">
        <w:t xml:space="preserve"> </w:t>
      </w:r>
      <w:r w:rsidR="00095692">
        <w:t>expand</w:t>
      </w:r>
      <w:r w:rsidR="002B4897">
        <w:t xml:space="preserve"> the ERO’s dragnet for the criminally incorrigible</w:t>
      </w:r>
      <w:r w:rsidR="00661271">
        <w:t xml:space="preserve">. </w:t>
      </w:r>
      <w:r w:rsidR="0061450B">
        <w:t xml:space="preserve">ERO </w:t>
      </w:r>
      <w:r w:rsidR="00BC396A">
        <w:t>found</w:t>
      </w:r>
      <w:r w:rsidR="0061450B">
        <w:t>er</w:t>
      </w:r>
      <w:r w:rsidR="00BC396A">
        <w:t xml:space="preserve"> Charles Davenport </w:t>
      </w:r>
      <w:r w:rsidR="0061450B">
        <w:t>argued that</w:t>
      </w:r>
      <w:r w:rsidR="00BC396A">
        <w:t xml:space="preserve"> “the fact of incorrigibility” </w:t>
      </w:r>
      <w:r w:rsidR="0061450B">
        <w:t xml:space="preserve">necessitated </w:t>
      </w:r>
      <w:r w:rsidR="00BC396A">
        <w:t>sterilization</w:t>
      </w:r>
      <w:r w:rsidR="0061450B">
        <w:t xml:space="preserve"> of criminals</w:t>
      </w:r>
      <w:r w:rsidR="002B4897">
        <w:t>.</w:t>
      </w:r>
      <w:r w:rsidR="00BC396A">
        <w:rPr>
          <w:rStyle w:val="FootnoteReference"/>
        </w:rPr>
        <w:footnoteReference w:id="47"/>
      </w:r>
      <w:r w:rsidR="002B4897">
        <w:t xml:space="preserve"> The </w:t>
      </w:r>
      <w:r w:rsidR="00095692">
        <w:t>ERO</w:t>
      </w:r>
      <w:r w:rsidR="002B4897">
        <w:t xml:space="preserve"> </w:t>
      </w:r>
      <w:r w:rsidR="00095692">
        <w:t>defended</w:t>
      </w:r>
      <w:r w:rsidR="002B4897">
        <w:t xml:space="preserve"> long sentences for criminals with sterilization being a condition </w:t>
      </w:r>
      <w:r w:rsidR="00095692">
        <w:t>of</w:t>
      </w:r>
      <w:r w:rsidR="002B4897">
        <w:t xml:space="preserve"> release</w:t>
      </w:r>
      <w:r w:rsidR="00CC0CBF">
        <w:t xml:space="preserve">, </w:t>
      </w:r>
      <w:r w:rsidR="00451588">
        <w:t>combining</w:t>
      </w:r>
      <w:r w:rsidR="00CC0CBF">
        <w:t xml:space="preserve"> idea</w:t>
      </w:r>
      <w:r w:rsidR="00451588">
        <w:t>s</w:t>
      </w:r>
      <w:r w:rsidR="00CC0CBF">
        <w:t xml:space="preserve"> favored by </w:t>
      </w:r>
      <w:r w:rsidR="00095692">
        <w:t xml:space="preserve">multiple </w:t>
      </w:r>
      <w:r w:rsidR="00CC0CBF">
        <w:t>early proponents of rehabilitation</w:t>
      </w:r>
      <w:r w:rsidR="002B4897">
        <w:t>.</w:t>
      </w:r>
      <w:r w:rsidR="002B4897">
        <w:rPr>
          <w:rStyle w:val="FootnoteReference"/>
        </w:rPr>
        <w:footnoteReference w:id="48"/>
      </w:r>
      <w:r w:rsidR="002B4897">
        <w:t xml:space="preserve"> </w:t>
      </w:r>
    </w:p>
    <w:p w14:paraId="18F9102E" w14:textId="34A59113" w:rsidR="00DD18AA" w:rsidRDefault="002B4897" w:rsidP="004806FD">
      <w:pPr>
        <w:widowControl w:val="0"/>
        <w:spacing w:line="480" w:lineRule="auto"/>
      </w:pPr>
      <w:r>
        <w:tab/>
        <w:t xml:space="preserve">The sterilization of inmates began </w:t>
      </w:r>
      <w:r w:rsidR="00661271">
        <w:t xml:space="preserve">long </w:t>
      </w:r>
      <w:r>
        <w:t xml:space="preserve">before the </w:t>
      </w:r>
      <w:r w:rsidRPr="00FD09F9">
        <w:t>founding</w:t>
      </w:r>
      <w:r>
        <w:t xml:space="preserve"> of the ERO. </w:t>
      </w:r>
      <w:r w:rsidR="00620FEA">
        <w:t>Doctor Harry Sharp began sterilizing criminals in Indiana as</w:t>
      </w:r>
      <w:r>
        <w:t xml:space="preserve"> early as 1893</w:t>
      </w:r>
      <w:r w:rsidR="008618FB">
        <w:t xml:space="preserve"> </w:t>
      </w:r>
      <w:r w:rsidR="00620FEA">
        <w:t>and</w:t>
      </w:r>
      <w:r>
        <w:t xml:space="preserve"> performed </w:t>
      </w:r>
      <w:r w:rsidR="00620FEA">
        <w:t>at least</w:t>
      </w:r>
      <w:r>
        <w:t xml:space="preserve"> 176 vasectomies in the 14 years prior to Indiana’s legalization of compulsory sterilization</w:t>
      </w:r>
      <w:r w:rsidR="00BC396A">
        <w:t xml:space="preserve"> </w:t>
      </w:r>
      <w:r w:rsidR="008618FB">
        <w:t>in 1907</w:t>
      </w:r>
      <w:r>
        <w:t xml:space="preserve">. </w:t>
      </w:r>
      <w:r w:rsidR="00BC396A">
        <w:t>Sharp argued for other</w:t>
      </w:r>
      <w:r w:rsidR="00661271">
        <w:t>s</w:t>
      </w:r>
      <w:r w:rsidR="00BC396A">
        <w:t xml:space="preserve"> to follow suit, </w:t>
      </w:r>
      <w:r w:rsidR="00DD18AA">
        <w:t>claiming</w:t>
      </w:r>
      <w:r w:rsidR="00BC396A">
        <w:t xml:space="preserve"> that </w:t>
      </w:r>
      <w:r w:rsidR="00DD18AA">
        <w:t>defectives</w:t>
      </w:r>
      <w:r w:rsidR="00BC396A">
        <w:t xml:space="preserve"> for </w:t>
      </w:r>
      <w:r w:rsidR="00DD18AA">
        <w:t>which</w:t>
      </w:r>
      <w:r w:rsidR="00BC396A">
        <w:t xml:space="preserve"> sterilization is a suitable treatment </w:t>
      </w:r>
      <w:r w:rsidR="00451588">
        <w:t>could</w:t>
      </w:r>
      <w:r w:rsidR="00DD18AA">
        <w:t xml:space="preserve"> be identified</w:t>
      </w:r>
      <w:r w:rsidR="00BC396A">
        <w:t xml:space="preserve"> by </w:t>
      </w:r>
      <w:r w:rsidR="00DD18AA">
        <w:t xml:space="preserve">the </w:t>
      </w:r>
      <w:r w:rsidR="00BC396A">
        <w:t xml:space="preserve">physical markings </w:t>
      </w:r>
      <w:r w:rsidR="00451588">
        <w:t>noted</w:t>
      </w:r>
      <w:r w:rsidR="00DD18AA">
        <w:t xml:space="preserve"> by Cesare Lombroso and others</w:t>
      </w:r>
      <w:r w:rsidR="00BC396A">
        <w:t>.</w:t>
      </w:r>
      <w:r w:rsidR="00BC396A">
        <w:rPr>
          <w:rStyle w:val="FootnoteReference"/>
        </w:rPr>
        <w:footnoteReference w:id="49"/>
      </w:r>
      <w:r w:rsidR="00BC396A">
        <w:t xml:space="preserve"> </w:t>
      </w:r>
      <w:r w:rsidR="00DD18AA">
        <w:t>Sharp was not alone in</w:t>
      </w:r>
      <w:r w:rsidR="00620FEA">
        <w:t xml:space="preserve"> the medical field</w:t>
      </w:r>
      <w:r w:rsidR="00DD18AA">
        <w:t xml:space="preserve"> defending </w:t>
      </w:r>
      <w:r w:rsidR="00620FEA">
        <w:t xml:space="preserve">criminal </w:t>
      </w:r>
      <w:r w:rsidR="00DD18AA">
        <w:t>sterilization; Dr. Martin Barr of Pennsylvania wrote in 1904, “Let asexualizaiton be once legalized, not as a penalty for crime but a remedial measure preventing crime.”</w:t>
      </w:r>
      <w:r w:rsidR="00DD18AA">
        <w:rPr>
          <w:rStyle w:val="FootnoteReference"/>
        </w:rPr>
        <w:footnoteReference w:id="50"/>
      </w:r>
    </w:p>
    <w:p w14:paraId="1314C4E2" w14:textId="2662638F" w:rsidR="004806FD" w:rsidRDefault="002B4897" w:rsidP="00DD18AA">
      <w:pPr>
        <w:widowControl w:val="0"/>
        <w:spacing w:line="480" w:lineRule="auto"/>
        <w:ind w:firstLine="720"/>
      </w:pPr>
      <w:r>
        <w:t xml:space="preserve">By 1911, </w:t>
      </w:r>
      <w:r w:rsidR="00451588">
        <w:t xml:space="preserve">six </w:t>
      </w:r>
      <w:r w:rsidR="00C47B72">
        <w:t>more</w:t>
      </w:r>
      <w:r w:rsidR="00451588">
        <w:t xml:space="preserve"> states</w:t>
      </w:r>
      <w:r>
        <w:t xml:space="preserve"> </w:t>
      </w:r>
      <w:r w:rsidR="00D51B63">
        <w:t>legalized the ster</w:t>
      </w:r>
      <w:r w:rsidR="00DD18AA">
        <w:t>ilization of criminals, and as per the reports of the ERO</w:t>
      </w:r>
      <w:r w:rsidR="00D51B63">
        <w:t xml:space="preserve"> sixteen states had </w:t>
      </w:r>
      <w:r w:rsidR="00DD18AA">
        <w:t xml:space="preserve">such </w:t>
      </w:r>
      <w:r w:rsidR="00D51B63">
        <w:t>laws on the books by 1922.</w:t>
      </w:r>
      <w:r w:rsidR="00D51B63">
        <w:rPr>
          <w:rStyle w:val="FootnoteReference"/>
        </w:rPr>
        <w:footnoteReference w:id="51"/>
      </w:r>
      <w:r w:rsidR="004806FD">
        <w:t xml:space="preserve"> Compulsory sterilization laws were constitutionally </w:t>
      </w:r>
      <w:r w:rsidR="00451588">
        <w:t>upheld</w:t>
      </w:r>
      <w:r w:rsidR="004806FD">
        <w:t xml:space="preserve"> in the 1927 Supreme Court decision </w:t>
      </w:r>
      <w:r w:rsidR="004806FD">
        <w:rPr>
          <w:i/>
        </w:rPr>
        <w:t>Buck v. Bell</w:t>
      </w:r>
      <w:r w:rsidR="004806FD">
        <w:t>, and in the most famous passage from the decision, Justice Holmes explicitly linked the justification for sterilization to criminality:</w:t>
      </w:r>
    </w:p>
    <w:p w14:paraId="1ED1BF23" w14:textId="77777777" w:rsidR="004806FD" w:rsidRDefault="004806FD" w:rsidP="004806FD">
      <w:pPr>
        <w:widowControl w:val="0"/>
        <w:ind w:left="720"/>
      </w:pPr>
      <w:r w:rsidRPr="005820AB">
        <w:t xml:space="preserve">It is better for all the world, </w:t>
      </w:r>
      <w:r w:rsidRPr="00D947FB">
        <w:t>if instead of waiting to execute degenerate offspring for crime,</w:t>
      </w:r>
      <w:r w:rsidRPr="005820AB">
        <w:t xml:space="preserve"> or to let them starve for their imbecility, society can prevent those who are manifestly unfit from continuing their kind. The principle that sustains compulsory vaccination is broad enough to cove</w:t>
      </w:r>
      <w:r>
        <w:t xml:space="preserve">r cutting the Fallopian tubes. </w:t>
      </w:r>
      <w:r w:rsidRPr="005820AB">
        <w:t>Three generations of imbeciles are enough.</w:t>
      </w:r>
      <w:r w:rsidRPr="005820AB">
        <w:rPr>
          <w:rStyle w:val="FootnoteReference"/>
        </w:rPr>
        <w:footnoteReference w:id="52"/>
      </w:r>
    </w:p>
    <w:p w14:paraId="6F9E5B8F" w14:textId="77777777" w:rsidR="004806FD" w:rsidRDefault="004806FD" w:rsidP="004806FD">
      <w:pPr>
        <w:widowControl w:val="0"/>
        <w:ind w:left="720"/>
      </w:pPr>
    </w:p>
    <w:p w14:paraId="2B002887" w14:textId="38C513F2" w:rsidR="00D51B63" w:rsidRDefault="004806FD" w:rsidP="005969E2">
      <w:pPr>
        <w:widowControl w:val="0"/>
        <w:spacing w:line="480" w:lineRule="auto"/>
      </w:pPr>
      <w:r w:rsidRPr="00371C0A">
        <w:t>From 1907 thr</w:t>
      </w:r>
      <w:r>
        <w:t>ough 1925, 6,244 compulsory sterilizations were reportedly performed throughout the country,</w:t>
      </w:r>
      <w:r w:rsidR="007A0F16">
        <w:t xml:space="preserve"> maintaining</w:t>
      </w:r>
      <w:r>
        <w:t xml:space="preserve"> a rate of about 347 annually. After </w:t>
      </w:r>
      <w:r>
        <w:rPr>
          <w:i/>
        </w:rPr>
        <w:t>Buck v. Bell</w:t>
      </w:r>
      <w:r>
        <w:t>, the national rate of sterilizations skyrocketed to nearly 2,000 per year from 1925-1940.</w:t>
      </w:r>
      <w:r>
        <w:rPr>
          <w:rStyle w:val="FootnoteReference"/>
        </w:rPr>
        <w:footnoteReference w:id="53"/>
      </w:r>
    </w:p>
    <w:p w14:paraId="7388938F" w14:textId="0673C1E2" w:rsidR="002F3984" w:rsidRDefault="002F3984" w:rsidP="005969E2">
      <w:pPr>
        <w:widowControl w:val="0"/>
        <w:spacing w:line="480" w:lineRule="auto"/>
      </w:pPr>
      <w:r>
        <w:tab/>
        <w:t xml:space="preserve">Several states </w:t>
      </w:r>
      <w:r w:rsidR="00DD18AA">
        <w:t>focused their</w:t>
      </w:r>
      <w:r>
        <w:t xml:space="preserve"> laws on rapists and child molesters, but </w:t>
      </w:r>
      <w:r w:rsidR="007A0F16">
        <w:t>other</w:t>
      </w:r>
      <w:r w:rsidR="00DD18AA">
        <w:t xml:space="preserve"> states legalized</w:t>
      </w:r>
      <w:r w:rsidR="005470FA">
        <w:t xml:space="preserve"> compulsory sterilization</w:t>
      </w:r>
      <w:r w:rsidR="00DD18AA">
        <w:t xml:space="preserve"> for a broad range of criminals</w:t>
      </w:r>
      <w:r>
        <w:t xml:space="preserve">. </w:t>
      </w:r>
      <w:r w:rsidR="00515A87">
        <w:t xml:space="preserve">For example, California’s 1909 law and Oregon’s 1917 law included anyone convicted of </w:t>
      </w:r>
      <w:r w:rsidR="003A7890">
        <w:t xml:space="preserve">any </w:t>
      </w:r>
      <w:r w:rsidR="00515A87">
        <w:t xml:space="preserve">three felonies as eligible for </w:t>
      </w:r>
      <w:r w:rsidR="005470FA">
        <w:t>the procedure</w:t>
      </w:r>
      <w:r w:rsidR="00515A87">
        <w:t>.</w:t>
      </w:r>
      <w:r w:rsidR="007F2784">
        <w:t xml:space="preserve"> Four states targeted the “habitual criminal,” </w:t>
      </w:r>
      <w:r w:rsidR="003A7890">
        <w:t>with</w:t>
      </w:r>
      <w:r w:rsidR="007F2784">
        <w:t xml:space="preserve"> three </w:t>
      </w:r>
      <w:r w:rsidR="006658FD">
        <w:t xml:space="preserve">states </w:t>
      </w:r>
      <w:r w:rsidR="008610CA">
        <w:t>providing</w:t>
      </w:r>
      <w:r w:rsidR="007F2784">
        <w:t xml:space="preserve"> no definition of the term and Kansas </w:t>
      </w:r>
      <w:r w:rsidR="006658FD">
        <w:t xml:space="preserve">only </w:t>
      </w:r>
      <w:r w:rsidR="003A7890">
        <w:t xml:space="preserve">vaguely </w:t>
      </w:r>
      <w:r w:rsidR="006658FD">
        <w:t>defining it as,</w:t>
      </w:r>
      <w:r w:rsidR="007F2784">
        <w:t xml:space="preserve"> “a person who has been convicted of some felony involving moral turpitude.”</w:t>
      </w:r>
      <w:r w:rsidR="007F2784">
        <w:rPr>
          <w:rStyle w:val="FootnoteReference"/>
        </w:rPr>
        <w:footnoteReference w:id="54"/>
      </w:r>
      <w:r w:rsidR="00BC4437" w:rsidRPr="00BC4437">
        <w:rPr>
          <w:rStyle w:val="FootnoteReference"/>
        </w:rPr>
        <w:t xml:space="preserve"> </w:t>
      </w:r>
      <w:r w:rsidR="007F2784">
        <w:t xml:space="preserve">The </w:t>
      </w:r>
      <w:r w:rsidR="003A7890">
        <w:t>extensive</w:t>
      </w:r>
      <w:r w:rsidR="007F2784">
        <w:t xml:space="preserve"> reach of these laws indicate</w:t>
      </w:r>
      <w:r w:rsidR="003A7890">
        <w:t xml:space="preserve">s how </w:t>
      </w:r>
      <w:r w:rsidR="008610CA">
        <w:t>broadly the</w:t>
      </w:r>
      <w:r w:rsidR="003A7890">
        <w:t xml:space="preserve"> </w:t>
      </w:r>
      <w:r w:rsidR="008610CA">
        <w:t>incorrigible idea was applied</w:t>
      </w:r>
      <w:r w:rsidR="007F2784">
        <w:t>.</w:t>
      </w:r>
    </w:p>
    <w:p w14:paraId="4D6EFD05" w14:textId="38EA7A3D" w:rsidR="00894018" w:rsidRDefault="008610CA" w:rsidP="00CC0CBF">
      <w:pPr>
        <w:widowControl w:val="0"/>
        <w:spacing w:line="480" w:lineRule="auto"/>
        <w:ind w:firstLine="720"/>
      </w:pPr>
      <w:r>
        <w:t>However, in</w:t>
      </w:r>
      <w:r w:rsidR="002B4897">
        <w:t xml:space="preserve"> </w:t>
      </w:r>
      <w:r w:rsidR="004806FD">
        <w:t>many states</w:t>
      </w:r>
      <w:r w:rsidR="002B4897">
        <w:t xml:space="preserve">, the defeat of legislation </w:t>
      </w:r>
      <w:r w:rsidR="007A0F16">
        <w:t>including</w:t>
      </w:r>
      <w:r w:rsidR="002B4897">
        <w:t xml:space="preserve"> criminals </w:t>
      </w:r>
      <w:r w:rsidR="007A0F16">
        <w:t>as eligible</w:t>
      </w:r>
      <w:r w:rsidR="002B4897">
        <w:t xml:space="preserve"> for sterilization was followed by the passage of </w:t>
      </w:r>
      <w:r w:rsidR="007A0F16">
        <w:t>legislation only targeting</w:t>
      </w:r>
      <w:r w:rsidR="002B4897">
        <w:t xml:space="preserve"> the mentally impaired.</w:t>
      </w:r>
      <w:r w:rsidR="002B4897">
        <w:rPr>
          <w:rStyle w:val="FootnoteReference"/>
        </w:rPr>
        <w:footnoteReference w:id="55"/>
      </w:r>
      <w:r w:rsidR="004806FD">
        <w:t xml:space="preserve"> Further, evidence suggests that despite the </w:t>
      </w:r>
      <w:r w:rsidR="007A0F16">
        <w:t>passage</w:t>
      </w:r>
      <w:r w:rsidR="004806FD">
        <w:t xml:space="preserve"> of these laws, criminal</w:t>
      </w:r>
      <w:r w:rsidR="007A0F16">
        <w:t xml:space="preserve"> </w:t>
      </w:r>
      <w:r w:rsidR="004806FD">
        <w:t>s</w:t>
      </w:r>
      <w:r w:rsidR="007A0F16">
        <w:t>terilizations</w:t>
      </w:r>
      <w:r w:rsidR="004806FD">
        <w:t xml:space="preserve"> were </w:t>
      </w:r>
      <w:r w:rsidR="00B847C5">
        <w:t>rare</w:t>
      </w:r>
      <w:r w:rsidR="004806FD">
        <w:t xml:space="preserve"> and decreased </w:t>
      </w:r>
      <w:r w:rsidR="002E17CB">
        <w:t>after</w:t>
      </w:r>
      <w:r w:rsidR="004806FD">
        <w:t xml:space="preserve"> 1910.</w:t>
      </w:r>
      <w:r w:rsidR="004806FD">
        <w:rPr>
          <w:rStyle w:val="FootnoteReference"/>
        </w:rPr>
        <w:footnoteReference w:id="56"/>
      </w:r>
      <w:r w:rsidR="002B4897">
        <w:t xml:space="preserve"> But as Nicole Hahn Rafter has shown, early twentieth century criminology </w:t>
      </w:r>
      <w:r w:rsidR="003A7890">
        <w:t>linking</w:t>
      </w:r>
      <w:r w:rsidR="002B4897">
        <w:t xml:space="preserve"> </w:t>
      </w:r>
      <w:r w:rsidR="003A7890">
        <w:t xml:space="preserve">mental health, </w:t>
      </w:r>
      <w:r w:rsidR="002B4897">
        <w:t>intelligence</w:t>
      </w:r>
      <w:r w:rsidR="003A7890">
        <w:t xml:space="preserve">, </w:t>
      </w:r>
      <w:r w:rsidR="002B4897">
        <w:t xml:space="preserve">and criminality </w:t>
      </w:r>
      <w:r w:rsidR="003A7890">
        <w:t>(particularly the work of</w:t>
      </w:r>
      <w:r w:rsidR="002B4897">
        <w:t xml:space="preserve"> </w:t>
      </w:r>
      <w:r w:rsidR="003A7890">
        <w:t xml:space="preserve">H.H. Goddard and Lewis Terman), </w:t>
      </w:r>
      <w:r w:rsidR="002B4897">
        <w:t xml:space="preserve">blurred the lines between mental </w:t>
      </w:r>
      <w:r w:rsidR="003A7890">
        <w:t>illness</w:t>
      </w:r>
      <w:r w:rsidR="002B4897">
        <w:t xml:space="preserve">, </w:t>
      </w:r>
      <w:r w:rsidR="003A7890">
        <w:t xml:space="preserve">low </w:t>
      </w:r>
      <w:r w:rsidR="002B4897">
        <w:t>intelligence, and criminality</w:t>
      </w:r>
      <w:r w:rsidR="003A7890">
        <w:t xml:space="preserve"> by </w:t>
      </w:r>
      <w:r w:rsidR="007A0F16">
        <w:t>treating the</w:t>
      </w:r>
      <w:r w:rsidR="00894018">
        <w:t xml:space="preserve"> “feeble-minded,” “insane,” and “epileptics” as </w:t>
      </w:r>
      <w:r w:rsidR="003A7890">
        <w:t>“</w:t>
      </w:r>
      <w:r w:rsidR="00894018">
        <w:t>criminal</w:t>
      </w:r>
      <w:r w:rsidR="003A7890">
        <w:t xml:space="preserve"> type</w:t>
      </w:r>
      <w:r w:rsidR="00894018">
        <w:t>s.</w:t>
      </w:r>
      <w:r w:rsidR="003A7890">
        <w:t>”</w:t>
      </w:r>
      <w:r w:rsidR="002B4897">
        <w:rPr>
          <w:rStyle w:val="FootnoteReference"/>
        </w:rPr>
        <w:footnoteReference w:id="57"/>
      </w:r>
      <w:r w:rsidR="00894018">
        <w:t xml:space="preserve"> </w:t>
      </w:r>
      <w:r w:rsidR="002B4897">
        <w:t xml:space="preserve">The </w:t>
      </w:r>
      <w:r w:rsidR="007A0F16">
        <w:t>unclear</w:t>
      </w:r>
      <w:r w:rsidR="006658FD">
        <w:t xml:space="preserve"> distinction between mental</w:t>
      </w:r>
      <w:r w:rsidR="002B4897">
        <w:t xml:space="preserve"> ill</w:t>
      </w:r>
      <w:r w:rsidR="006658FD">
        <w:t>ness</w:t>
      </w:r>
      <w:r w:rsidR="002B4897">
        <w:t xml:space="preserve"> and crimin</w:t>
      </w:r>
      <w:r w:rsidR="006658FD">
        <w:t xml:space="preserve">ality </w:t>
      </w:r>
      <w:r w:rsidR="002B4897">
        <w:t>during this period suggests that the occupants of mental institutions where ster</w:t>
      </w:r>
      <w:r w:rsidR="003A7890">
        <w:t>ilizations were most common may have been of</w:t>
      </w:r>
      <w:r w:rsidR="002B4897">
        <w:t xml:space="preserve"> a mix of the mentally ill and individuals that </w:t>
      </w:r>
      <w:r w:rsidR="003A7890">
        <w:t>were at the time considered criminal types.</w:t>
      </w:r>
    </w:p>
    <w:p w14:paraId="688D0A9C" w14:textId="2EB7A457" w:rsidR="002B4897" w:rsidRDefault="002B4897" w:rsidP="005969E2">
      <w:pPr>
        <w:widowControl w:val="0"/>
        <w:spacing w:line="480" w:lineRule="auto"/>
      </w:pPr>
      <w:r>
        <w:tab/>
        <w:t>About 70,000 people were subjected to compulsory sterilizations</w:t>
      </w:r>
      <w:r w:rsidRPr="00B16E2F">
        <w:t xml:space="preserve"> </w:t>
      </w:r>
      <w:r>
        <w:t>over the first seven decades of the twentieth century, averaging about 1,000 annually with rates peaking in the 1930s and 1940s. These numbers only i</w:t>
      </w:r>
      <w:r w:rsidR="00AC4E36">
        <w:t>nclude recorded sterilizations, and</w:t>
      </w:r>
      <w:r>
        <w:t xml:space="preserve"> </w:t>
      </w:r>
      <w:r w:rsidR="00AC4E36">
        <w:t>many</w:t>
      </w:r>
      <w:r>
        <w:t xml:space="preserve"> </w:t>
      </w:r>
      <w:r w:rsidR="00AC4E36">
        <w:t>procedures</w:t>
      </w:r>
      <w:r>
        <w:t xml:space="preserve"> </w:t>
      </w:r>
      <w:r w:rsidR="00AC4E36">
        <w:t xml:space="preserve">were probably performed </w:t>
      </w:r>
      <w:r>
        <w:t>off the record before, during, and possibly after this period.</w:t>
      </w:r>
      <w:r>
        <w:rPr>
          <w:rStyle w:val="FootnoteReference"/>
        </w:rPr>
        <w:footnoteReference w:id="58"/>
      </w:r>
      <w:r>
        <w:t xml:space="preserve"> The prevalence of sterilizations during the era of the reh</w:t>
      </w:r>
      <w:r w:rsidR="00AC4E36">
        <w:t xml:space="preserve">abilitative ideal’s dominance, </w:t>
      </w:r>
      <w:r>
        <w:t>sanctioned by laws explicitly and i</w:t>
      </w:r>
      <w:r w:rsidR="00AC4E36">
        <w:t xml:space="preserve">mplicitly directed at criminals, </w:t>
      </w:r>
      <w:r w:rsidR="004A5235">
        <w:t>indicates</w:t>
      </w:r>
      <w:r>
        <w:t xml:space="preserve"> that </w:t>
      </w:r>
      <w:r w:rsidR="003A7890">
        <w:t xml:space="preserve">these laws were built on </w:t>
      </w:r>
      <w:r w:rsidR="004A5235">
        <w:t xml:space="preserve">the notion that </w:t>
      </w:r>
      <w:r>
        <w:t>mentally ill or disabled</w:t>
      </w:r>
      <w:r w:rsidR="004A5235">
        <w:t xml:space="preserve"> criminals</w:t>
      </w:r>
      <w:r>
        <w:t xml:space="preserve"> </w:t>
      </w:r>
      <w:r w:rsidR="003A7890">
        <w:t xml:space="preserve">were incorrigible </w:t>
      </w:r>
      <w:r>
        <w:t xml:space="preserve">and </w:t>
      </w:r>
      <w:r w:rsidR="005E4696">
        <w:t>necessitated</w:t>
      </w:r>
      <w:r>
        <w:t xml:space="preserve"> </w:t>
      </w:r>
      <w:r w:rsidR="005E4696">
        <w:t xml:space="preserve">incapacitation. </w:t>
      </w:r>
    </w:p>
    <w:p w14:paraId="57C45B82" w14:textId="41B6D4BB" w:rsidR="0058573E" w:rsidRDefault="00140D84" w:rsidP="00930DCD">
      <w:pPr>
        <w:widowControl w:val="0"/>
        <w:spacing w:line="480" w:lineRule="auto"/>
      </w:pPr>
      <w:r>
        <w:rPr>
          <w:b/>
          <w:i/>
        </w:rPr>
        <w:t>Lynching</w:t>
      </w:r>
      <w:r w:rsidR="008449A7" w:rsidRPr="0058573E">
        <w:rPr>
          <w:b/>
          <w:i/>
        </w:rPr>
        <w:t>.</w:t>
      </w:r>
      <w:r w:rsidR="00930DCD" w:rsidRPr="0058573E">
        <w:rPr>
          <w:b/>
          <w:i/>
        </w:rPr>
        <w:t xml:space="preserve"> </w:t>
      </w:r>
      <w:r w:rsidR="00B975B5">
        <w:t xml:space="preserve">While </w:t>
      </w:r>
      <w:r w:rsidR="00364831">
        <w:t>many</w:t>
      </w:r>
      <w:r w:rsidR="00AC4E36">
        <w:t xml:space="preserve"> </w:t>
      </w:r>
      <w:r w:rsidR="00B341FC">
        <w:t xml:space="preserve">penal </w:t>
      </w:r>
      <w:r w:rsidR="00B975B5">
        <w:t>officials</w:t>
      </w:r>
      <w:r w:rsidR="00816CB4">
        <w:t xml:space="preserve"> accepted rehabilitation as a worthy goal</w:t>
      </w:r>
      <w:r w:rsidR="00B341FC">
        <w:t xml:space="preserve"> of prisons</w:t>
      </w:r>
      <w:r w:rsidR="00B975B5">
        <w:t xml:space="preserve">, </w:t>
      </w:r>
      <w:r w:rsidR="00816CB4">
        <w:t>it was</w:t>
      </w:r>
      <w:r w:rsidR="0058573E">
        <w:t xml:space="preserve"> never fully embraced </w:t>
      </w:r>
      <w:r w:rsidR="00816CB4">
        <w:t>in the South, where</w:t>
      </w:r>
      <w:r w:rsidR="00AC4E36">
        <w:t xml:space="preserve"> </w:t>
      </w:r>
      <w:r w:rsidR="00816CB4">
        <w:t>harsh</w:t>
      </w:r>
      <w:r w:rsidR="00B341FC">
        <w:t xml:space="preserve"> and</w:t>
      </w:r>
      <w:r w:rsidR="00B975B5">
        <w:t xml:space="preserve"> r</w:t>
      </w:r>
      <w:r w:rsidR="0058573E">
        <w:t xml:space="preserve">acially biased </w:t>
      </w:r>
      <w:r w:rsidR="00B975B5">
        <w:t>forms of punishment</w:t>
      </w:r>
      <w:r w:rsidR="0058573E">
        <w:t xml:space="preserve"> </w:t>
      </w:r>
      <w:r w:rsidR="00B341FC">
        <w:t>persisted for decades. The use of c</w:t>
      </w:r>
      <w:r w:rsidR="00B975B5">
        <w:t xml:space="preserve">onvict leasing, penal farms, and lynching </w:t>
      </w:r>
      <w:r w:rsidR="00B341FC">
        <w:t>as mechanisms of social control in</w:t>
      </w:r>
      <w:r w:rsidR="00B975B5">
        <w:t xml:space="preserve"> the ni</w:t>
      </w:r>
      <w:r w:rsidR="00B341FC">
        <w:t>neteenth and twentieth centuries has been thoroughly documented. These practices and a</w:t>
      </w:r>
      <w:r w:rsidR="00B975B5">
        <w:t xml:space="preserve">lternative theories of punishment that emerged in states </w:t>
      </w:r>
      <w:r w:rsidR="00842852">
        <w:t xml:space="preserve">like </w:t>
      </w:r>
      <w:r w:rsidR="00B975B5">
        <w:t xml:space="preserve">Mississippi and Texas during these periods have largely been linked to racist ideologies and </w:t>
      </w:r>
      <w:r w:rsidR="00010295">
        <w:t>described</w:t>
      </w:r>
      <w:r w:rsidR="00AC4E36">
        <w:t xml:space="preserve"> as </w:t>
      </w:r>
      <w:r w:rsidR="00B975B5">
        <w:t>detached from rehabilitative goals.</w:t>
      </w:r>
      <w:r w:rsidR="00B975B5">
        <w:rPr>
          <w:rStyle w:val="FootnoteReference"/>
        </w:rPr>
        <w:footnoteReference w:id="59"/>
      </w:r>
    </w:p>
    <w:p w14:paraId="5A6CDE86" w14:textId="5C127C12" w:rsidR="005C3554" w:rsidRPr="00010295" w:rsidRDefault="00B975B5" w:rsidP="00010295">
      <w:pPr>
        <w:widowControl w:val="0"/>
        <w:spacing w:line="480" w:lineRule="auto"/>
      </w:pPr>
      <w:r>
        <w:tab/>
        <w:t xml:space="preserve">This section proposes a slight adjustment to this narrative by arguing that </w:t>
      </w:r>
      <w:r w:rsidR="0089632E">
        <w:t xml:space="preserve">while rehabilitation was never embraced as a goal of </w:t>
      </w:r>
      <w:r w:rsidR="00842852">
        <w:t>punishment</w:t>
      </w:r>
      <w:r w:rsidR="0089632E">
        <w:t xml:space="preserve"> in the South, the punitive </w:t>
      </w:r>
      <w:r w:rsidR="00842852">
        <w:t>treatment of</w:t>
      </w:r>
      <w:r w:rsidR="00A01039">
        <w:t xml:space="preserve"> blacks </w:t>
      </w:r>
      <w:r w:rsidR="0089632E">
        <w:t xml:space="preserve">reflected </w:t>
      </w:r>
      <w:r w:rsidR="00842852">
        <w:t xml:space="preserve">some </w:t>
      </w:r>
      <w:r w:rsidR="007624B0">
        <w:t>foundational</w:t>
      </w:r>
      <w:r w:rsidR="0089632E">
        <w:t xml:space="preserve"> premises of the rehabilitative ideal. </w:t>
      </w:r>
      <w:r w:rsidR="00A01039">
        <w:t xml:space="preserve">Particularly, this section will analyze the practice of lynching. </w:t>
      </w:r>
      <w:r w:rsidR="00A77DD6">
        <w:t>At the turn of the century, l</w:t>
      </w:r>
      <w:r w:rsidR="002F3984" w:rsidRPr="00A77DD6">
        <w:t>ynching</w:t>
      </w:r>
      <w:r w:rsidR="002B4897" w:rsidRPr="00A77DD6">
        <w:t xml:space="preserve"> was a </w:t>
      </w:r>
      <w:r w:rsidR="002F3984" w:rsidRPr="00A77DD6">
        <w:t xml:space="preserve">common </w:t>
      </w:r>
      <w:r w:rsidR="00A01039">
        <w:t xml:space="preserve">means of punishing blacks accused of crime </w:t>
      </w:r>
      <w:r w:rsidR="002B4897" w:rsidRPr="0058573E">
        <w:t>in the South</w:t>
      </w:r>
      <w:r w:rsidR="005C3554">
        <w:t>, and t</w:t>
      </w:r>
      <w:r w:rsidR="00930DCD" w:rsidRPr="0058573E">
        <w:rPr>
          <w:rFonts w:ascii="Times New Roman" w:hAnsi="Times New Roman"/>
        </w:rPr>
        <w:t xml:space="preserve">he unwillingness of local, state, and federal officials to intervene is indicative of how </w:t>
      </w:r>
      <w:r w:rsidR="00A77DD6">
        <w:rPr>
          <w:rFonts w:ascii="Times New Roman" w:hAnsi="Times New Roman"/>
        </w:rPr>
        <w:t>established</w:t>
      </w:r>
      <w:r w:rsidR="00930DCD" w:rsidRPr="0058573E">
        <w:rPr>
          <w:rFonts w:ascii="Times New Roman" w:hAnsi="Times New Roman"/>
        </w:rPr>
        <w:t xml:space="preserve"> it was as a form of social control.</w:t>
      </w:r>
      <w:r w:rsidR="002F3984" w:rsidRPr="0058573E">
        <w:rPr>
          <w:rStyle w:val="FootnoteReference"/>
          <w:rFonts w:ascii="Times New Roman" w:hAnsi="Times New Roman"/>
        </w:rPr>
        <w:footnoteReference w:id="60"/>
      </w:r>
      <w:r w:rsidR="00930DCD" w:rsidRPr="0058573E">
        <w:rPr>
          <w:rFonts w:ascii="Times New Roman" w:hAnsi="Times New Roman"/>
        </w:rPr>
        <w:t xml:space="preserve"> In</w:t>
      </w:r>
      <w:r w:rsidR="002B4897" w:rsidRPr="0058573E">
        <w:rPr>
          <w:rFonts w:ascii="Times New Roman" w:hAnsi="Times New Roman"/>
        </w:rPr>
        <w:t xml:space="preserve"> </w:t>
      </w:r>
      <w:r w:rsidR="002B4897" w:rsidRPr="0058573E">
        <w:rPr>
          <w:rFonts w:ascii="Times New Roman" w:hAnsi="Times New Roman"/>
          <w:i/>
        </w:rPr>
        <w:t>Peculiar Institution</w:t>
      </w:r>
      <w:r w:rsidR="002B4897" w:rsidRPr="0058573E">
        <w:rPr>
          <w:rFonts w:ascii="Times New Roman" w:hAnsi="Times New Roman"/>
        </w:rPr>
        <w:t xml:space="preserve">, </w:t>
      </w:r>
      <w:r w:rsidR="00930DCD" w:rsidRPr="0058573E">
        <w:rPr>
          <w:rFonts w:ascii="Times New Roman" w:hAnsi="Times New Roman"/>
        </w:rPr>
        <w:t xml:space="preserve">David Garland argues that lynching was so accepted that </w:t>
      </w:r>
      <w:r w:rsidR="002B4897" w:rsidRPr="0058573E">
        <w:rPr>
          <w:rFonts w:ascii="Times New Roman" w:hAnsi="Times New Roman"/>
        </w:rPr>
        <w:t xml:space="preserve">it is appropriate to think of </w:t>
      </w:r>
      <w:r w:rsidR="005C3554">
        <w:rPr>
          <w:rFonts w:ascii="Times New Roman" w:hAnsi="Times New Roman"/>
        </w:rPr>
        <w:t>it</w:t>
      </w:r>
      <w:r w:rsidR="002B4897" w:rsidRPr="0058573E">
        <w:rPr>
          <w:rFonts w:ascii="Times New Roman" w:hAnsi="Times New Roman"/>
        </w:rPr>
        <w:t xml:space="preserve"> as a form of capital punishment during this era.</w:t>
      </w:r>
      <w:r w:rsidR="002B4897" w:rsidRPr="0058573E">
        <w:rPr>
          <w:rStyle w:val="FootnoteReference"/>
          <w:rFonts w:ascii="Times New Roman" w:hAnsi="Times New Roman"/>
        </w:rPr>
        <w:footnoteReference w:id="61"/>
      </w:r>
      <w:r w:rsidR="00F77A24">
        <w:rPr>
          <w:rFonts w:ascii="Times New Roman" w:hAnsi="Times New Roman"/>
        </w:rPr>
        <w:t xml:space="preserve"> </w:t>
      </w:r>
      <w:r w:rsidR="006E41BF">
        <w:rPr>
          <w:rFonts w:ascii="Times New Roman" w:hAnsi="Times New Roman"/>
        </w:rPr>
        <w:t>Justified</w:t>
      </w:r>
      <w:r w:rsidR="0020116C" w:rsidRPr="0058573E">
        <w:rPr>
          <w:rFonts w:ascii="Times New Roman" w:hAnsi="Times New Roman"/>
        </w:rPr>
        <w:t xml:space="preserve"> by a white supremacist discourse asserting the moral and biological superiority of whites to blacks</w:t>
      </w:r>
      <w:r w:rsidR="00857CD0">
        <w:t>, the practice was validated by the ideas</w:t>
      </w:r>
      <w:r w:rsidR="00A01039">
        <w:t xml:space="preserve"> of criminal incorrigibility and biological inferiority</w:t>
      </w:r>
      <w:r w:rsidR="00857CD0">
        <w:t xml:space="preserve"> key to rehabilitative theory</w:t>
      </w:r>
      <w:r w:rsidR="00A01039">
        <w:t>.</w:t>
      </w:r>
      <w:r w:rsidR="006E41BF">
        <w:rPr>
          <w:rStyle w:val="FootnoteReference"/>
          <w:rFonts w:ascii="Times New Roman" w:hAnsi="Times New Roman"/>
        </w:rPr>
        <w:footnoteReference w:id="62"/>
      </w:r>
      <w:r w:rsidR="00A01039">
        <w:t xml:space="preserve"> </w:t>
      </w:r>
    </w:p>
    <w:p w14:paraId="0EE1F41A" w14:textId="775A19A2" w:rsidR="0020116C" w:rsidRPr="0020116C" w:rsidRDefault="005C3554" w:rsidP="00F77A24">
      <w:pPr>
        <w:widowControl w:val="0"/>
        <w:spacing w:line="480" w:lineRule="auto"/>
        <w:ind w:firstLine="720"/>
        <w:rPr>
          <w:rFonts w:ascii="Times New Roman" w:hAnsi="Times New Roman"/>
        </w:rPr>
      </w:pPr>
      <w:r>
        <w:rPr>
          <w:rFonts w:ascii="Times New Roman" w:hAnsi="Times New Roman"/>
        </w:rPr>
        <w:t>Many</w:t>
      </w:r>
      <w:r w:rsidR="00A77DD6">
        <w:rPr>
          <w:rFonts w:ascii="Times New Roman" w:hAnsi="Times New Roman"/>
        </w:rPr>
        <w:t xml:space="preserve"> conclude</w:t>
      </w:r>
      <w:r w:rsidR="0020116C">
        <w:rPr>
          <w:rFonts w:ascii="Times New Roman" w:hAnsi="Times New Roman"/>
        </w:rPr>
        <w:t xml:space="preserve">d that blacks were </w:t>
      </w:r>
      <w:r w:rsidR="00A01039">
        <w:rPr>
          <w:rFonts w:ascii="Times New Roman" w:hAnsi="Times New Roman"/>
        </w:rPr>
        <w:t>irredeemable, such as</w:t>
      </w:r>
      <w:r>
        <w:rPr>
          <w:rFonts w:ascii="Times New Roman" w:hAnsi="Times New Roman"/>
        </w:rPr>
        <w:t xml:space="preserve"> George </w:t>
      </w:r>
      <w:r w:rsidR="0020116C">
        <w:rPr>
          <w:rFonts w:ascii="Times New Roman" w:hAnsi="Times New Roman"/>
        </w:rPr>
        <w:t>Clarke</w:t>
      </w:r>
      <w:r w:rsidR="00A01039">
        <w:rPr>
          <w:rFonts w:ascii="Times New Roman" w:hAnsi="Times New Roman"/>
        </w:rPr>
        <w:t>, who</w:t>
      </w:r>
      <w:r w:rsidR="0020116C">
        <w:rPr>
          <w:rFonts w:ascii="Times New Roman" w:hAnsi="Times New Roman"/>
        </w:rPr>
        <w:t xml:space="preserve"> wrote in 1906 that,</w:t>
      </w:r>
      <w:r w:rsidR="00A77DD6">
        <w:rPr>
          <w:rFonts w:ascii="Times New Roman" w:hAnsi="Times New Roman"/>
        </w:rPr>
        <w:t xml:space="preserve"> “To reform [the black criminal’s] character is an almost hopeless task.”</w:t>
      </w:r>
      <w:r w:rsidR="00A77DD6">
        <w:rPr>
          <w:rStyle w:val="FootnoteReference"/>
          <w:rFonts w:ascii="Times New Roman" w:hAnsi="Times New Roman"/>
        </w:rPr>
        <w:footnoteReference w:id="63"/>
      </w:r>
      <w:r w:rsidR="0020116C">
        <w:rPr>
          <w:rFonts w:ascii="Times New Roman" w:hAnsi="Times New Roman"/>
        </w:rPr>
        <w:t xml:space="preserve"> The idea that blacks were born criminal</w:t>
      </w:r>
      <w:r>
        <w:rPr>
          <w:rFonts w:ascii="Times New Roman" w:hAnsi="Times New Roman"/>
        </w:rPr>
        <w:t>s</w:t>
      </w:r>
      <w:r w:rsidR="0020116C">
        <w:rPr>
          <w:rFonts w:ascii="Times New Roman" w:hAnsi="Times New Roman"/>
        </w:rPr>
        <w:t xml:space="preserve"> led many to conclude that lynching was </w:t>
      </w:r>
      <w:r w:rsidR="00A01039">
        <w:rPr>
          <w:rFonts w:ascii="Times New Roman" w:hAnsi="Times New Roman"/>
        </w:rPr>
        <w:t xml:space="preserve">a </w:t>
      </w:r>
      <w:r w:rsidR="0020116C">
        <w:rPr>
          <w:rFonts w:ascii="Times New Roman" w:hAnsi="Times New Roman"/>
        </w:rPr>
        <w:t xml:space="preserve">rational response to black crime. Frederick L. Hoffman, a crucial figure in </w:t>
      </w:r>
      <w:r w:rsidR="00A01039">
        <w:rPr>
          <w:rFonts w:ascii="Times New Roman" w:hAnsi="Times New Roman"/>
        </w:rPr>
        <w:t>linking</w:t>
      </w:r>
      <w:r w:rsidR="0020116C">
        <w:rPr>
          <w:rFonts w:ascii="Times New Roman" w:hAnsi="Times New Roman"/>
        </w:rPr>
        <w:t xml:space="preserve"> </w:t>
      </w:r>
      <w:r w:rsidR="002B4897" w:rsidRPr="0058573E">
        <w:rPr>
          <w:rFonts w:ascii="Times New Roman" w:hAnsi="Times New Roman"/>
        </w:rPr>
        <w:t>criminology</w:t>
      </w:r>
      <w:r w:rsidR="00B45E69" w:rsidRPr="0058573E">
        <w:rPr>
          <w:rFonts w:ascii="Times New Roman" w:hAnsi="Times New Roman"/>
        </w:rPr>
        <w:t xml:space="preserve"> </w:t>
      </w:r>
      <w:r w:rsidR="00A01039">
        <w:rPr>
          <w:rFonts w:ascii="Times New Roman" w:hAnsi="Times New Roman"/>
        </w:rPr>
        <w:t>to</w:t>
      </w:r>
      <w:r w:rsidR="002B4897" w:rsidRPr="0058573E">
        <w:rPr>
          <w:rFonts w:ascii="Times New Roman" w:hAnsi="Times New Roman"/>
        </w:rPr>
        <w:t xml:space="preserve"> white</w:t>
      </w:r>
      <w:r w:rsidR="0020116C">
        <w:rPr>
          <w:rFonts w:ascii="Times New Roman" w:hAnsi="Times New Roman"/>
        </w:rPr>
        <w:t xml:space="preserve"> supremacist discourse, concluded in</w:t>
      </w:r>
      <w:r w:rsidR="00A77DD6">
        <w:rPr>
          <w:rFonts w:ascii="Times New Roman" w:hAnsi="Times New Roman"/>
        </w:rPr>
        <w:t xml:space="preserve"> </w:t>
      </w:r>
      <w:r w:rsidR="002B4897" w:rsidRPr="0058573E">
        <w:rPr>
          <w:rFonts w:ascii="Times New Roman" w:hAnsi="Times New Roman"/>
        </w:rPr>
        <w:t xml:space="preserve">1896 </w:t>
      </w:r>
      <w:r w:rsidR="002B4897" w:rsidRPr="0058573E">
        <w:t>that the proportion of black crime was higher than the proportion of blacks in the population</w:t>
      </w:r>
      <w:r w:rsidR="00A77DD6">
        <w:t xml:space="preserve"> </w:t>
      </w:r>
      <w:r w:rsidR="0020116C">
        <w:t>due to</w:t>
      </w:r>
      <w:r w:rsidR="002B4897" w:rsidRPr="0058573E">
        <w:t xml:space="preserve"> blacks’ criminal tendencies. </w:t>
      </w:r>
      <w:r w:rsidR="0020116C">
        <w:t>He</w:t>
      </w:r>
      <w:r w:rsidR="002B4897" w:rsidRPr="0058573E">
        <w:t xml:space="preserve"> claimed that given freedom, blacks chose to “congregate under conditions of vice and crime” because of their </w:t>
      </w:r>
      <w:r w:rsidR="00B45E69" w:rsidRPr="0058573E">
        <w:t>“decided tendency towards crime</w:t>
      </w:r>
      <w:r w:rsidR="002B4897" w:rsidRPr="0058573E">
        <w:t>”</w:t>
      </w:r>
      <w:r w:rsidR="00B45E69" w:rsidRPr="0058573E">
        <w:t xml:space="preserve"> and biological inferiority.</w:t>
      </w:r>
      <w:r w:rsidR="002B4897" w:rsidRPr="0058573E">
        <w:t xml:space="preserve"> </w:t>
      </w:r>
      <w:r w:rsidR="00A01039">
        <w:t>He</w:t>
      </w:r>
      <w:r w:rsidR="002B4897" w:rsidRPr="0058573E">
        <w:t xml:space="preserve"> alleged </w:t>
      </w:r>
      <w:r w:rsidR="00B45E69" w:rsidRPr="0058573E">
        <w:t xml:space="preserve">that </w:t>
      </w:r>
      <w:r>
        <w:t xml:space="preserve">the basic flaws of the race </w:t>
      </w:r>
      <w:r w:rsidR="00B45E69" w:rsidRPr="0058573E">
        <w:t>were immutable</w:t>
      </w:r>
      <w:r w:rsidR="00A77DD6">
        <w:t xml:space="preserve"> and blamed the prevalence of lynching on their criminal behavior</w:t>
      </w:r>
      <w:r w:rsidR="00B45E69" w:rsidRPr="0058573E">
        <w:t>.</w:t>
      </w:r>
      <w:r w:rsidR="002B4897" w:rsidRPr="0058573E">
        <w:rPr>
          <w:rStyle w:val="FootnoteReference"/>
        </w:rPr>
        <w:footnoteReference w:id="64"/>
      </w:r>
      <w:r w:rsidR="002B4897" w:rsidRPr="0058573E">
        <w:t xml:space="preserve"> </w:t>
      </w:r>
      <w:r w:rsidR="0020116C">
        <w:t xml:space="preserve">Robert Shufeldt </w:t>
      </w:r>
      <w:r w:rsidR="00857CD0">
        <w:t>suggested</w:t>
      </w:r>
      <w:r w:rsidR="0020116C">
        <w:t xml:space="preserve"> that lynching would not </w:t>
      </w:r>
      <w:r w:rsidR="00857CD0">
        <w:t xml:space="preserve">even </w:t>
      </w:r>
      <w:r w:rsidR="0020116C">
        <w:t xml:space="preserve">be enough to </w:t>
      </w:r>
      <w:r w:rsidR="00401127">
        <w:t>reduce</w:t>
      </w:r>
      <w:r w:rsidR="0020116C">
        <w:t xml:space="preserve"> black</w:t>
      </w:r>
      <w:r w:rsidR="00857CD0">
        <w:t xml:space="preserve"> crime since </w:t>
      </w:r>
      <w:r w:rsidR="00401127">
        <w:t>crime is in</w:t>
      </w:r>
      <w:r w:rsidR="00857CD0">
        <w:t xml:space="preserve"> </w:t>
      </w:r>
      <w:r w:rsidR="0020116C">
        <w:t>“their nature, and they cannot possibly rid themselves of that.”</w:t>
      </w:r>
      <w:r w:rsidR="0020116C">
        <w:rPr>
          <w:rStyle w:val="FootnoteReference"/>
        </w:rPr>
        <w:footnoteReference w:id="65"/>
      </w:r>
    </w:p>
    <w:p w14:paraId="414F1D84" w14:textId="7444B6ED" w:rsidR="004D6989" w:rsidRDefault="0020116C" w:rsidP="004D6989">
      <w:pPr>
        <w:widowControl w:val="0"/>
        <w:spacing w:line="480" w:lineRule="auto"/>
        <w:ind w:firstLine="720"/>
      </w:pPr>
      <w:r>
        <w:rPr>
          <w:rFonts w:ascii="Times New Roman" w:hAnsi="Times New Roman"/>
        </w:rPr>
        <w:t xml:space="preserve">Lynching was largely justified by stoking fears about </w:t>
      </w:r>
      <w:r w:rsidR="00A01039">
        <w:rPr>
          <w:rFonts w:ascii="Times New Roman" w:hAnsi="Times New Roman"/>
        </w:rPr>
        <w:t>rape</w:t>
      </w:r>
      <w:r>
        <w:rPr>
          <w:rFonts w:ascii="Times New Roman" w:hAnsi="Times New Roman"/>
        </w:rPr>
        <w:t>.</w:t>
      </w:r>
      <w:r w:rsidRPr="0058573E">
        <w:rPr>
          <w:rStyle w:val="FootnoteReference"/>
          <w:rFonts w:ascii="Times New Roman" w:hAnsi="Times New Roman"/>
        </w:rPr>
        <w:footnoteReference w:id="66"/>
      </w:r>
      <w:r>
        <w:rPr>
          <w:rFonts w:ascii="Times New Roman" w:hAnsi="Times New Roman"/>
        </w:rPr>
        <w:t xml:space="preserve"> </w:t>
      </w:r>
      <w:r w:rsidR="00A01039">
        <w:t xml:space="preserve">In </w:t>
      </w:r>
      <w:r w:rsidR="00A418C1">
        <w:rPr>
          <w:i/>
        </w:rPr>
        <w:t>Race Traits</w:t>
      </w:r>
      <w:r w:rsidR="00A418C1">
        <w:t xml:space="preserve"> (1896)</w:t>
      </w:r>
      <w:r w:rsidR="00A01039">
        <w:t>, Hoffman</w:t>
      </w:r>
      <w:r w:rsidR="00657256">
        <w:t xml:space="preserve"> described</w:t>
      </w:r>
      <w:r w:rsidR="00A418C1">
        <w:t xml:space="preserve"> rape by blacks as</w:t>
      </w:r>
      <w:r w:rsidR="002B4897" w:rsidRPr="0058573E">
        <w:t xml:space="preserve"> “indescribably beastly and loathsome,” </w:t>
      </w:r>
      <w:r w:rsidR="00657256">
        <w:t>and claimed</w:t>
      </w:r>
      <w:r w:rsidR="00A01039">
        <w:t xml:space="preserve"> </w:t>
      </w:r>
      <w:r w:rsidR="00657256">
        <w:t xml:space="preserve">that </w:t>
      </w:r>
      <w:r w:rsidR="00A01039">
        <w:t>it “is marked…</w:t>
      </w:r>
      <w:r w:rsidR="002B4897" w:rsidRPr="0058573E">
        <w:t>by a diabolical persistence and malignant atrocity of detail that have no reflection in the whole extent of the natural history of the most bestial and ferocious animals.”</w:t>
      </w:r>
      <w:r w:rsidR="002B4897" w:rsidRPr="0058573E">
        <w:rPr>
          <w:rStyle w:val="FootnoteReference"/>
        </w:rPr>
        <w:footnoteReference w:id="67"/>
      </w:r>
      <w:r w:rsidR="002B4897" w:rsidRPr="0058573E">
        <w:t xml:space="preserve"> </w:t>
      </w:r>
      <w:r w:rsidR="00A418C1">
        <w:t>This</w:t>
      </w:r>
      <w:r w:rsidR="002B4897" w:rsidRPr="0058573E">
        <w:t xml:space="preserve"> description of black rape packaged a Lombrosian conception of criminality with</w:t>
      </w:r>
      <w:r w:rsidR="00A418C1">
        <w:t xml:space="preserve"> a white supremacist narrative to make</w:t>
      </w:r>
      <w:r w:rsidR="002B4897" w:rsidRPr="0058573E">
        <w:t xml:space="preserve"> rape symbolic of</w:t>
      </w:r>
      <w:r>
        <w:t xml:space="preserve"> blacks’ biological inferiority and immutable criminal tendencies</w:t>
      </w:r>
      <w:r w:rsidR="002B4897" w:rsidRPr="0058573E">
        <w:t>.</w:t>
      </w:r>
      <w:r w:rsidR="002B4897" w:rsidRPr="0058573E">
        <w:rPr>
          <w:rStyle w:val="FootnoteReference"/>
        </w:rPr>
        <w:footnoteReference w:id="68"/>
      </w:r>
      <w:r w:rsidR="002B4897" w:rsidRPr="0058573E">
        <w:t xml:space="preserve"> </w:t>
      </w:r>
      <w:r w:rsidR="00A01039" w:rsidRPr="0058573E">
        <w:rPr>
          <w:rFonts w:ascii="Times New Roman" w:hAnsi="Times New Roman"/>
        </w:rPr>
        <w:t xml:space="preserve">Black men were </w:t>
      </w:r>
      <w:r w:rsidR="00A01039">
        <w:rPr>
          <w:rFonts w:ascii="Times New Roman" w:hAnsi="Times New Roman"/>
        </w:rPr>
        <w:t>often depicted</w:t>
      </w:r>
      <w:r w:rsidR="00A01039" w:rsidRPr="0058573E">
        <w:rPr>
          <w:rFonts w:ascii="Times New Roman" w:hAnsi="Times New Roman"/>
        </w:rPr>
        <w:t xml:space="preserve"> as savages incapable of controlling their sexual urges, and lynching was </w:t>
      </w:r>
      <w:r w:rsidR="00A01039">
        <w:rPr>
          <w:rFonts w:ascii="Times New Roman" w:hAnsi="Times New Roman"/>
        </w:rPr>
        <w:t>frequently</w:t>
      </w:r>
      <w:r w:rsidR="00A01039" w:rsidRPr="0058573E">
        <w:rPr>
          <w:rFonts w:ascii="Times New Roman" w:hAnsi="Times New Roman"/>
        </w:rPr>
        <w:t xml:space="preserve"> reserved for black men charged with sexual offenses against white women.</w:t>
      </w:r>
      <w:r w:rsidR="00A01039">
        <w:rPr>
          <w:rStyle w:val="FootnoteReference"/>
          <w:rFonts w:ascii="Times New Roman" w:hAnsi="Times New Roman"/>
        </w:rPr>
        <w:footnoteReference w:id="69"/>
      </w:r>
    </w:p>
    <w:p w14:paraId="11012649" w14:textId="7BA6558D" w:rsidR="0020116C" w:rsidRDefault="004D6989" w:rsidP="00A418C1">
      <w:pPr>
        <w:widowControl w:val="0"/>
        <w:spacing w:line="480" w:lineRule="auto"/>
        <w:ind w:firstLine="720"/>
        <w:rPr>
          <w:rFonts w:ascii="Times New Roman" w:hAnsi="Times New Roman"/>
        </w:rPr>
      </w:pPr>
      <w:r w:rsidRPr="0058573E">
        <w:rPr>
          <w:rFonts w:ascii="Times New Roman" w:hAnsi="Times New Roman"/>
        </w:rPr>
        <w:t xml:space="preserve">Between 1890 and 1940, roughly three thousand </w:t>
      </w:r>
      <w:r w:rsidR="00E43CED">
        <w:rPr>
          <w:rFonts w:ascii="Times New Roman" w:hAnsi="Times New Roman"/>
        </w:rPr>
        <w:t>blacks</w:t>
      </w:r>
      <w:r w:rsidRPr="0058573E">
        <w:rPr>
          <w:rFonts w:ascii="Times New Roman" w:hAnsi="Times New Roman"/>
        </w:rPr>
        <w:t xml:space="preserve"> were lynched, averaging about sixty annually.</w:t>
      </w:r>
      <w:r w:rsidRPr="0058573E">
        <w:rPr>
          <w:rStyle w:val="FootnoteReference"/>
          <w:rFonts w:ascii="Times New Roman" w:hAnsi="Times New Roman"/>
        </w:rPr>
        <w:footnoteReference w:id="70"/>
      </w:r>
      <w:r w:rsidRPr="0058573E">
        <w:rPr>
          <w:rFonts w:ascii="Times New Roman" w:hAnsi="Times New Roman"/>
        </w:rPr>
        <w:t xml:space="preserve"> </w:t>
      </w:r>
      <w:r w:rsidR="00EB437F">
        <w:rPr>
          <w:rFonts w:ascii="Times New Roman" w:hAnsi="Times New Roman"/>
        </w:rPr>
        <w:t>This</w:t>
      </w:r>
      <w:r>
        <w:rPr>
          <w:rFonts w:ascii="Times New Roman" w:hAnsi="Times New Roman"/>
        </w:rPr>
        <w:t xml:space="preserve"> rate persisted for fifty years, </w:t>
      </w:r>
      <w:r w:rsidRPr="0058573E">
        <w:rPr>
          <w:rFonts w:ascii="Times New Roman" w:hAnsi="Times New Roman"/>
        </w:rPr>
        <w:t xml:space="preserve">is more than 50% larger than the average annual rate of executions in the U.S. since </w:t>
      </w:r>
      <w:r w:rsidRPr="0058573E">
        <w:rPr>
          <w:rFonts w:ascii="Times New Roman" w:hAnsi="Times New Roman"/>
          <w:i/>
        </w:rPr>
        <w:t>Gregg v. Georgi</w:t>
      </w:r>
      <w:r>
        <w:rPr>
          <w:rFonts w:ascii="Times New Roman" w:hAnsi="Times New Roman"/>
          <w:i/>
        </w:rPr>
        <w:t xml:space="preserve">a, </w:t>
      </w:r>
      <w:r>
        <w:rPr>
          <w:rFonts w:ascii="Times New Roman" w:hAnsi="Times New Roman"/>
        </w:rPr>
        <w:t>and does not include unrecorded lynchings</w:t>
      </w:r>
      <w:r w:rsidRPr="0058573E">
        <w:rPr>
          <w:rFonts w:ascii="Times New Roman" w:hAnsi="Times New Roman"/>
        </w:rPr>
        <w:t>.</w:t>
      </w:r>
      <w:r w:rsidRPr="0058573E">
        <w:rPr>
          <w:rStyle w:val="FootnoteReference"/>
          <w:rFonts w:ascii="Times New Roman" w:hAnsi="Times New Roman"/>
        </w:rPr>
        <w:footnoteReference w:id="71"/>
      </w:r>
      <w:r w:rsidRPr="0058573E">
        <w:rPr>
          <w:rFonts w:ascii="Times New Roman" w:hAnsi="Times New Roman"/>
        </w:rPr>
        <w:t xml:space="preserve"> </w:t>
      </w:r>
      <w:r w:rsidR="00EB437F">
        <w:rPr>
          <w:rFonts w:ascii="Times New Roman" w:hAnsi="Times New Roman"/>
        </w:rPr>
        <w:t>Some</w:t>
      </w:r>
      <w:r w:rsidR="00827131">
        <w:rPr>
          <w:rFonts w:ascii="Times New Roman" w:hAnsi="Times New Roman"/>
        </w:rPr>
        <w:t xml:space="preserve"> Southern officials </w:t>
      </w:r>
      <w:r w:rsidR="00E43CED">
        <w:rPr>
          <w:rFonts w:ascii="Times New Roman" w:hAnsi="Times New Roman"/>
        </w:rPr>
        <w:t>explicitly condone</w:t>
      </w:r>
      <w:r w:rsidR="00596971">
        <w:rPr>
          <w:rFonts w:ascii="Times New Roman" w:hAnsi="Times New Roman"/>
        </w:rPr>
        <w:t>d</w:t>
      </w:r>
      <w:r w:rsidR="00827131">
        <w:rPr>
          <w:rFonts w:ascii="Times New Roman" w:hAnsi="Times New Roman"/>
        </w:rPr>
        <w:t xml:space="preserve"> </w:t>
      </w:r>
      <w:r w:rsidR="00EB437F">
        <w:rPr>
          <w:rFonts w:ascii="Times New Roman" w:hAnsi="Times New Roman"/>
        </w:rPr>
        <w:t>it as a way</w:t>
      </w:r>
      <w:r w:rsidR="00B50890">
        <w:rPr>
          <w:rFonts w:ascii="Times New Roman" w:hAnsi="Times New Roman"/>
        </w:rPr>
        <w:t xml:space="preserve"> to punish black </w:t>
      </w:r>
      <w:r w:rsidR="00EB437F">
        <w:rPr>
          <w:rFonts w:ascii="Times New Roman" w:hAnsi="Times New Roman"/>
        </w:rPr>
        <w:t>criminals</w:t>
      </w:r>
      <w:r w:rsidR="00596971">
        <w:rPr>
          <w:rFonts w:ascii="Times New Roman" w:hAnsi="Times New Roman"/>
        </w:rPr>
        <w:t xml:space="preserve">, and </w:t>
      </w:r>
      <w:r w:rsidR="00A418C1">
        <w:rPr>
          <w:rFonts w:ascii="Times New Roman" w:hAnsi="Times New Roman"/>
        </w:rPr>
        <w:t>Presidents Roosevelt and Taft</w:t>
      </w:r>
      <w:r w:rsidR="00B50890">
        <w:rPr>
          <w:rFonts w:ascii="Times New Roman" w:hAnsi="Times New Roman"/>
        </w:rPr>
        <w:t xml:space="preserve"> </w:t>
      </w:r>
      <w:r w:rsidR="00EB437F">
        <w:rPr>
          <w:rFonts w:ascii="Times New Roman" w:hAnsi="Times New Roman"/>
        </w:rPr>
        <w:t xml:space="preserve">even </w:t>
      </w:r>
      <w:r w:rsidR="00E43CED">
        <w:rPr>
          <w:rFonts w:ascii="Times New Roman" w:hAnsi="Times New Roman"/>
        </w:rPr>
        <w:t>condemned</w:t>
      </w:r>
      <w:r w:rsidR="00695133">
        <w:rPr>
          <w:rFonts w:ascii="Times New Roman" w:hAnsi="Times New Roman"/>
        </w:rPr>
        <w:t xml:space="preserve"> </w:t>
      </w:r>
      <w:r w:rsidR="00596971">
        <w:rPr>
          <w:rFonts w:ascii="Times New Roman" w:hAnsi="Times New Roman"/>
        </w:rPr>
        <w:t>it</w:t>
      </w:r>
      <w:r w:rsidR="00695133">
        <w:rPr>
          <w:rFonts w:ascii="Times New Roman" w:hAnsi="Times New Roman"/>
        </w:rPr>
        <w:t xml:space="preserve"> in ways that presumed the guilt of black</w:t>
      </w:r>
      <w:r w:rsidR="00A418C1">
        <w:rPr>
          <w:rFonts w:ascii="Times New Roman" w:hAnsi="Times New Roman"/>
        </w:rPr>
        <w:t>s</w:t>
      </w:r>
      <w:r w:rsidR="00695133">
        <w:rPr>
          <w:rFonts w:ascii="Times New Roman" w:hAnsi="Times New Roman"/>
        </w:rPr>
        <w:t>.</w:t>
      </w:r>
      <w:r w:rsidR="00596971">
        <w:rPr>
          <w:rStyle w:val="FootnoteReference"/>
          <w:rFonts w:ascii="Times New Roman" w:hAnsi="Times New Roman"/>
        </w:rPr>
        <w:footnoteReference w:id="72"/>
      </w:r>
      <w:r w:rsidR="00596971">
        <w:rPr>
          <w:rFonts w:ascii="Times New Roman" w:hAnsi="Times New Roman"/>
        </w:rPr>
        <w:t xml:space="preserve"> </w:t>
      </w:r>
      <w:r w:rsidR="00695133">
        <w:rPr>
          <w:rFonts w:ascii="Times New Roman" w:hAnsi="Times New Roman"/>
        </w:rPr>
        <w:t xml:space="preserve">Roosevelt </w:t>
      </w:r>
      <w:r w:rsidR="00EB437F">
        <w:rPr>
          <w:rFonts w:ascii="Times New Roman" w:hAnsi="Times New Roman"/>
        </w:rPr>
        <w:t>wrote in 1903</w:t>
      </w:r>
      <w:r w:rsidR="00695133">
        <w:rPr>
          <w:rFonts w:ascii="Times New Roman" w:hAnsi="Times New Roman"/>
        </w:rPr>
        <w:t xml:space="preserve"> that lynching is </w:t>
      </w:r>
      <w:r w:rsidR="00E9251E">
        <w:rPr>
          <w:rFonts w:ascii="Times New Roman" w:hAnsi="Times New Roman"/>
        </w:rPr>
        <w:t>a</w:t>
      </w:r>
      <w:r w:rsidR="00695133">
        <w:rPr>
          <w:rFonts w:ascii="Times New Roman" w:hAnsi="Times New Roman"/>
        </w:rPr>
        <w:t xml:space="preserve"> response to rape</w:t>
      </w:r>
      <w:r w:rsidR="00E9251E">
        <w:rPr>
          <w:rFonts w:ascii="Times New Roman" w:hAnsi="Times New Roman"/>
        </w:rPr>
        <w:t xml:space="preserve"> and</w:t>
      </w:r>
      <w:r w:rsidR="00695133">
        <w:rPr>
          <w:rFonts w:ascii="Times New Roman" w:hAnsi="Times New Roman"/>
        </w:rPr>
        <w:t xml:space="preserve"> that to </w:t>
      </w:r>
      <w:r w:rsidR="00EB437F">
        <w:rPr>
          <w:rFonts w:ascii="Times New Roman" w:hAnsi="Times New Roman"/>
        </w:rPr>
        <w:t>stop</w:t>
      </w:r>
      <w:r w:rsidR="00695133">
        <w:rPr>
          <w:rFonts w:ascii="Times New Roman" w:hAnsi="Times New Roman"/>
        </w:rPr>
        <w:t xml:space="preserve"> lynching, “every effort should be made under the law to expedite the proceedings of justice”</w:t>
      </w:r>
      <w:r w:rsidR="00A418C1">
        <w:rPr>
          <w:rFonts w:ascii="Times New Roman" w:hAnsi="Times New Roman"/>
        </w:rPr>
        <w:t xml:space="preserve"> for rapists</w:t>
      </w:r>
      <w:r w:rsidR="00695133">
        <w:rPr>
          <w:rFonts w:ascii="Times New Roman" w:hAnsi="Times New Roman"/>
        </w:rPr>
        <w:t>.</w:t>
      </w:r>
      <w:r w:rsidR="00695133">
        <w:rPr>
          <w:rStyle w:val="FootnoteReference"/>
          <w:rFonts w:ascii="Times New Roman" w:hAnsi="Times New Roman"/>
        </w:rPr>
        <w:footnoteReference w:id="73"/>
      </w:r>
      <w:r w:rsidR="00695133">
        <w:rPr>
          <w:rFonts w:ascii="Times New Roman" w:hAnsi="Times New Roman"/>
        </w:rPr>
        <w:t xml:space="preserve"> </w:t>
      </w:r>
      <w:r w:rsidR="008776AC">
        <w:rPr>
          <w:rFonts w:ascii="Times New Roman" w:hAnsi="Times New Roman"/>
        </w:rPr>
        <w:t>Two years later, he repeated that,</w:t>
      </w:r>
      <w:r w:rsidR="00E9251E">
        <w:rPr>
          <w:rFonts w:ascii="Times New Roman" w:hAnsi="Times New Roman"/>
        </w:rPr>
        <w:t xml:space="preserve"> “Long delays of justice, abuses of the pardoning power, [and] the sluggishness with which either the court or attorne</w:t>
      </w:r>
      <w:r w:rsidR="00A418C1">
        <w:rPr>
          <w:rFonts w:ascii="Times New Roman" w:hAnsi="Times New Roman"/>
        </w:rPr>
        <w:t>y moves…[create]…</w:t>
      </w:r>
      <w:r w:rsidR="00E9251E">
        <w:rPr>
          <w:rFonts w:ascii="Times New Roman" w:hAnsi="Times New Roman"/>
        </w:rPr>
        <w:t>the condition of affairs which produces lynch law.”</w:t>
      </w:r>
      <w:r w:rsidR="00E9251E">
        <w:rPr>
          <w:rStyle w:val="FootnoteReference"/>
          <w:rFonts w:ascii="Times New Roman" w:hAnsi="Times New Roman"/>
        </w:rPr>
        <w:footnoteReference w:id="74"/>
      </w:r>
      <w:r w:rsidR="00E9251E">
        <w:rPr>
          <w:rFonts w:ascii="Times New Roman" w:hAnsi="Times New Roman"/>
        </w:rPr>
        <w:t xml:space="preserve"> </w:t>
      </w:r>
      <w:r w:rsidR="00B50890">
        <w:rPr>
          <w:rFonts w:ascii="Times New Roman" w:hAnsi="Times New Roman"/>
        </w:rPr>
        <w:t xml:space="preserve">Taft made similar </w:t>
      </w:r>
      <w:r w:rsidR="008776AC">
        <w:rPr>
          <w:rFonts w:ascii="Times New Roman" w:hAnsi="Times New Roman"/>
        </w:rPr>
        <w:t xml:space="preserve">claims </w:t>
      </w:r>
      <w:r w:rsidR="00EB437F">
        <w:rPr>
          <w:rFonts w:ascii="Times New Roman" w:hAnsi="Times New Roman"/>
        </w:rPr>
        <w:t xml:space="preserve">to Congress </w:t>
      </w:r>
      <w:r w:rsidR="008776AC">
        <w:rPr>
          <w:rFonts w:ascii="Times New Roman" w:hAnsi="Times New Roman"/>
        </w:rPr>
        <w:t xml:space="preserve">in 1909, when he argued </w:t>
      </w:r>
      <w:r w:rsidR="00E9251E">
        <w:rPr>
          <w:rFonts w:ascii="Times New Roman" w:hAnsi="Times New Roman"/>
        </w:rPr>
        <w:t xml:space="preserve">that </w:t>
      </w:r>
      <w:r w:rsidR="00B50890">
        <w:rPr>
          <w:rFonts w:ascii="Times New Roman" w:hAnsi="Times New Roman"/>
        </w:rPr>
        <w:t>lynchings are</w:t>
      </w:r>
      <w:r w:rsidR="00E9251E">
        <w:t xml:space="preserve"> </w:t>
      </w:r>
      <w:r w:rsidR="00B50890">
        <w:t>“</w:t>
      </w:r>
      <w:r w:rsidR="00E9251E">
        <w:t>due to the uncertainties and injustice growing out of delays in trials, judgments, and the executions thereof by our courts.”</w:t>
      </w:r>
      <w:r w:rsidR="00E9251E">
        <w:rPr>
          <w:rStyle w:val="FootnoteReference"/>
        </w:rPr>
        <w:footnoteReference w:id="75"/>
      </w:r>
      <w:r w:rsidR="00EA1FD2">
        <w:t xml:space="preserve"> </w:t>
      </w:r>
      <w:r w:rsidR="00EB437F">
        <w:t xml:space="preserve">Even </w:t>
      </w:r>
      <w:r w:rsidR="00596971">
        <w:t xml:space="preserve">these </w:t>
      </w:r>
      <w:r w:rsidR="00A5171F">
        <w:t>critics</w:t>
      </w:r>
      <w:r w:rsidR="00EB437F">
        <w:t xml:space="preserve"> </w:t>
      </w:r>
      <w:r w:rsidR="008776AC">
        <w:t>saw</w:t>
      </w:r>
      <w:r w:rsidR="00EB437F">
        <w:t xml:space="preserve"> </w:t>
      </w:r>
      <w:r w:rsidR="008776AC">
        <w:t>lynching</w:t>
      </w:r>
      <w:r w:rsidR="00EA1FD2">
        <w:t xml:space="preserve"> </w:t>
      </w:r>
      <w:r w:rsidR="008776AC">
        <w:t>as</w:t>
      </w:r>
      <w:r w:rsidR="00EA1FD2">
        <w:t xml:space="preserve"> a response to </w:t>
      </w:r>
      <w:r w:rsidR="008776AC">
        <w:t xml:space="preserve">actual </w:t>
      </w:r>
      <w:r w:rsidR="00B50890">
        <w:t>crimes</w:t>
      </w:r>
      <w:r w:rsidR="00EB437F">
        <w:t>, and</w:t>
      </w:r>
      <w:r w:rsidR="00EA1FD2">
        <w:t xml:space="preserve"> </w:t>
      </w:r>
      <w:r w:rsidR="00EB437F">
        <w:t xml:space="preserve">their </w:t>
      </w:r>
      <w:r w:rsidR="008776AC">
        <w:t>criticisms</w:t>
      </w:r>
      <w:r w:rsidR="00EB437F">
        <w:t xml:space="preserve"> </w:t>
      </w:r>
      <w:r w:rsidR="00B407B6">
        <w:t>were</w:t>
      </w:r>
      <w:r w:rsidR="00EB437F">
        <w:t xml:space="preserve"> </w:t>
      </w:r>
      <w:r w:rsidR="00596971">
        <w:t xml:space="preserve">rooted in </w:t>
      </w:r>
      <w:r w:rsidR="008776AC">
        <w:t xml:space="preserve">concerns about </w:t>
      </w:r>
      <w:r w:rsidR="00596971">
        <w:t>the</w:t>
      </w:r>
      <w:r w:rsidR="00EA1FD2">
        <w:t xml:space="preserve"> challenge</w:t>
      </w:r>
      <w:r w:rsidR="00596971">
        <w:t xml:space="preserve"> it posed to</w:t>
      </w:r>
      <w:r w:rsidR="00EA1FD2">
        <w:t xml:space="preserve"> the state’s authority to </w:t>
      </w:r>
      <w:r w:rsidR="00596971">
        <w:t>punish</w:t>
      </w:r>
      <w:r w:rsidR="00B50890">
        <w:t xml:space="preserve"> </w:t>
      </w:r>
      <w:r w:rsidR="00596971">
        <w:t xml:space="preserve">crime </w:t>
      </w:r>
      <w:r w:rsidR="008776AC">
        <w:t>more</w:t>
      </w:r>
      <w:r w:rsidR="00596971">
        <w:t xml:space="preserve"> than </w:t>
      </w:r>
      <w:r w:rsidR="008776AC">
        <w:t xml:space="preserve">in concerns about </w:t>
      </w:r>
      <w:r w:rsidR="00596971">
        <w:t xml:space="preserve">racial </w:t>
      </w:r>
      <w:r w:rsidR="00B407B6">
        <w:t>in</w:t>
      </w:r>
      <w:r w:rsidR="00596971">
        <w:t xml:space="preserve">justice. </w:t>
      </w:r>
    </w:p>
    <w:p w14:paraId="05FF9F1C" w14:textId="1BC71967" w:rsidR="00EA1FD2" w:rsidRPr="00134073" w:rsidRDefault="00EA1FD2" w:rsidP="00134073">
      <w:pPr>
        <w:widowControl w:val="0"/>
        <w:spacing w:line="480" w:lineRule="auto"/>
        <w:ind w:firstLine="720"/>
        <w:rPr>
          <w:rFonts w:ascii="Times New Roman" w:hAnsi="Times New Roman"/>
        </w:rPr>
      </w:pPr>
      <w:r w:rsidRPr="0058573E">
        <w:t xml:space="preserve">Lynching was informed by </w:t>
      </w:r>
      <w:r w:rsidR="008007CF">
        <w:t>multiple</w:t>
      </w:r>
      <w:r w:rsidRPr="0058573E">
        <w:t xml:space="preserve"> social and political dynamics and was far more than a reflection of the era’s criminological thought, but it was </w:t>
      </w:r>
      <w:r w:rsidR="00B50890">
        <w:t xml:space="preserve">at least partially </w:t>
      </w:r>
      <w:r w:rsidRPr="0058573E">
        <w:t xml:space="preserve">justified by the idea that </w:t>
      </w:r>
      <w:r w:rsidR="00B50890">
        <w:t>black</w:t>
      </w:r>
      <w:r w:rsidRPr="0058573E">
        <w:t xml:space="preserve"> criminals were incorrigible </w:t>
      </w:r>
      <w:r w:rsidR="00B50890">
        <w:t xml:space="preserve">and biologically </w:t>
      </w:r>
      <w:r w:rsidR="008007CF">
        <w:t>defective</w:t>
      </w:r>
      <w:r>
        <w:t>.</w:t>
      </w:r>
      <w:r>
        <w:rPr>
          <w:rFonts w:ascii="Times New Roman" w:hAnsi="Times New Roman"/>
        </w:rPr>
        <w:t xml:space="preserve"> Gi</w:t>
      </w:r>
      <w:r w:rsidR="002B4897" w:rsidRPr="0058573E">
        <w:rPr>
          <w:rFonts w:ascii="Times New Roman" w:hAnsi="Times New Roman"/>
        </w:rPr>
        <w:t>ven the importance of lynching as a mechanism o</w:t>
      </w:r>
      <w:r>
        <w:rPr>
          <w:rFonts w:ascii="Times New Roman" w:hAnsi="Times New Roman"/>
        </w:rPr>
        <w:t>f punishment,</w:t>
      </w:r>
      <w:r w:rsidR="002B4897" w:rsidRPr="0058573E">
        <w:rPr>
          <w:rFonts w:ascii="Times New Roman" w:hAnsi="Times New Roman"/>
        </w:rPr>
        <w:t xml:space="preserve"> ignoring it </w:t>
      </w:r>
      <w:r>
        <w:rPr>
          <w:rFonts w:ascii="Times New Roman" w:hAnsi="Times New Roman"/>
        </w:rPr>
        <w:t xml:space="preserve">because it was extra-legal </w:t>
      </w:r>
      <w:r w:rsidR="002B4897" w:rsidRPr="0058573E">
        <w:rPr>
          <w:rFonts w:ascii="Times New Roman" w:hAnsi="Times New Roman"/>
        </w:rPr>
        <w:t xml:space="preserve">would downplay how the era’s dominant conceptions of criminality affected the treatment of blacks accused of crime. </w:t>
      </w:r>
      <w:r>
        <w:rPr>
          <w:rFonts w:ascii="Times New Roman" w:hAnsi="Times New Roman"/>
        </w:rPr>
        <w:t xml:space="preserve">While lynching may have defied the rehabilitative ideal’s faith in state coercive institutions, it built on </w:t>
      </w:r>
      <w:r w:rsidR="00037067">
        <w:rPr>
          <w:rFonts w:ascii="Times New Roman" w:hAnsi="Times New Roman"/>
        </w:rPr>
        <w:t xml:space="preserve">other </w:t>
      </w:r>
      <w:r>
        <w:rPr>
          <w:rFonts w:ascii="Times New Roman" w:hAnsi="Times New Roman"/>
        </w:rPr>
        <w:t xml:space="preserve">key facets of rehabilitative ideology—that some offenders were incorrigible and biologically defective. </w:t>
      </w:r>
      <w:r w:rsidR="00B50890">
        <w:rPr>
          <w:rFonts w:ascii="Times New Roman" w:hAnsi="Times New Roman"/>
        </w:rPr>
        <w:t>The</w:t>
      </w:r>
      <w:r>
        <w:t xml:space="preserve"> practice of lynching in the South should not be seen as entirely hostile to the era’s rehabil</w:t>
      </w:r>
      <w:r w:rsidR="002D717A">
        <w:t>itative theory</w:t>
      </w:r>
      <w:r>
        <w:t xml:space="preserve"> </w:t>
      </w:r>
      <w:r w:rsidR="002D717A">
        <w:t>because</w:t>
      </w:r>
      <w:r>
        <w:t xml:space="preserve"> </w:t>
      </w:r>
      <w:r w:rsidR="00B50890">
        <w:t>it actually reflected</w:t>
      </w:r>
      <w:r>
        <w:t xml:space="preserve"> fundamental </w:t>
      </w:r>
      <w:r w:rsidR="00B50890">
        <w:t>tenets</w:t>
      </w:r>
      <w:r>
        <w:t xml:space="preserve"> of it. </w:t>
      </w:r>
    </w:p>
    <w:p w14:paraId="365104B2" w14:textId="4E533964" w:rsidR="002B4897" w:rsidRPr="0058573E" w:rsidRDefault="002B4897" w:rsidP="005969E2">
      <w:pPr>
        <w:widowControl w:val="0"/>
        <w:spacing w:line="480" w:lineRule="auto"/>
        <w:rPr>
          <w:b/>
        </w:rPr>
      </w:pPr>
      <w:r w:rsidRPr="0058573E">
        <w:rPr>
          <w:b/>
        </w:rPr>
        <w:t xml:space="preserve">The Decline of the Rehabilitative Ideal </w:t>
      </w:r>
      <w:r w:rsidR="00DA0B63" w:rsidRPr="0058573E">
        <w:rPr>
          <w:b/>
        </w:rPr>
        <w:t>and Rise of Mass Incarceration</w:t>
      </w:r>
    </w:p>
    <w:p w14:paraId="649D16DA" w14:textId="36BB110C" w:rsidR="00037E8C" w:rsidRDefault="000B3983" w:rsidP="00C55B6C">
      <w:pPr>
        <w:widowControl w:val="0"/>
        <w:spacing w:line="480" w:lineRule="auto"/>
        <w:ind w:firstLine="720"/>
        <w:rPr>
          <w:rFonts w:ascii="Times New Roman" w:hAnsi="Times New Roman"/>
        </w:rPr>
      </w:pPr>
      <w:r>
        <w:rPr>
          <w:rFonts w:ascii="Times New Roman" w:hAnsi="Times New Roman"/>
        </w:rPr>
        <w:t xml:space="preserve">The </w:t>
      </w:r>
      <w:r w:rsidR="002D717A">
        <w:rPr>
          <w:rFonts w:ascii="Times New Roman" w:hAnsi="Times New Roman"/>
        </w:rPr>
        <w:t>conventional</w:t>
      </w:r>
      <w:r>
        <w:rPr>
          <w:rFonts w:ascii="Times New Roman" w:hAnsi="Times New Roman"/>
        </w:rPr>
        <w:t xml:space="preserve"> narrative of mass incarceration accepts that political shifts in the 1970s</w:t>
      </w:r>
      <w:r w:rsidR="002B4897">
        <w:rPr>
          <w:rFonts w:ascii="Times New Roman" w:hAnsi="Times New Roman"/>
        </w:rPr>
        <w:t xml:space="preserve"> </w:t>
      </w:r>
      <w:r>
        <w:rPr>
          <w:rFonts w:ascii="Times New Roman" w:hAnsi="Times New Roman"/>
        </w:rPr>
        <w:t xml:space="preserve">drove policymakers to abandon the rehabilitative ideal in favor of a </w:t>
      </w:r>
      <w:r w:rsidR="00B40348">
        <w:rPr>
          <w:rFonts w:ascii="Times New Roman" w:hAnsi="Times New Roman"/>
        </w:rPr>
        <w:t>harsh</w:t>
      </w:r>
      <w:r>
        <w:rPr>
          <w:rFonts w:ascii="Times New Roman" w:hAnsi="Times New Roman"/>
        </w:rPr>
        <w:t xml:space="preserve"> ethic of punishment</w:t>
      </w:r>
      <w:r w:rsidR="00D04C1A">
        <w:rPr>
          <w:rFonts w:ascii="Times New Roman" w:hAnsi="Times New Roman"/>
        </w:rPr>
        <w:t xml:space="preserve">. </w:t>
      </w:r>
      <w:r>
        <w:rPr>
          <w:rFonts w:ascii="Times New Roman" w:hAnsi="Times New Roman"/>
        </w:rPr>
        <w:t>But this downplays how the</w:t>
      </w:r>
      <w:r w:rsidR="00D04C1A">
        <w:rPr>
          <w:rFonts w:ascii="Times New Roman" w:hAnsi="Times New Roman"/>
        </w:rPr>
        <w:t xml:space="preserve"> ideas </w:t>
      </w:r>
      <w:r w:rsidR="00037067">
        <w:rPr>
          <w:rFonts w:ascii="Times New Roman" w:hAnsi="Times New Roman"/>
        </w:rPr>
        <w:t>undergirding</w:t>
      </w:r>
      <w:r w:rsidR="00D04C1A">
        <w:rPr>
          <w:rFonts w:ascii="Times New Roman" w:hAnsi="Times New Roman"/>
        </w:rPr>
        <w:t xml:space="preserve"> the rehabilitative ideal</w:t>
      </w:r>
      <w:r>
        <w:rPr>
          <w:rFonts w:ascii="Times New Roman" w:hAnsi="Times New Roman"/>
        </w:rPr>
        <w:t xml:space="preserve"> contributed to the era’s</w:t>
      </w:r>
      <w:r w:rsidR="00D04C1A">
        <w:rPr>
          <w:rFonts w:ascii="Times New Roman" w:hAnsi="Times New Roman"/>
        </w:rPr>
        <w:t xml:space="preserve"> punitive developments. </w:t>
      </w:r>
      <w:r w:rsidR="008321E6">
        <w:rPr>
          <w:rFonts w:ascii="Times New Roman" w:hAnsi="Times New Roman"/>
        </w:rPr>
        <w:t>This</w:t>
      </w:r>
      <w:r w:rsidR="00D04C1A">
        <w:rPr>
          <w:rFonts w:ascii="Times New Roman" w:hAnsi="Times New Roman"/>
        </w:rPr>
        <w:t xml:space="preserve"> section will assess </w:t>
      </w:r>
      <w:r w:rsidR="008321E6">
        <w:rPr>
          <w:rFonts w:ascii="Times New Roman" w:hAnsi="Times New Roman"/>
        </w:rPr>
        <w:t>changes</w:t>
      </w:r>
      <w:r w:rsidR="00D04C1A">
        <w:rPr>
          <w:rFonts w:ascii="Times New Roman" w:hAnsi="Times New Roman"/>
        </w:rPr>
        <w:t xml:space="preserve"> in indeterminate sentencing, mental health institutions, </w:t>
      </w:r>
      <w:r>
        <w:rPr>
          <w:rFonts w:ascii="Times New Roman" w:hAnsi="Times New Roman"/>
        </w:rPr>
        <w:t xml:space="preserve">and </w:t>
      </w:r>
      <w:r w:rsidR="00D04C1A">
        <w:rPr>
          <w:rFonts w:ascii="Times New Roman" w:hAnsi="Times New Roman"/>
        </w:rPr>
        <w:t>the death penalty</w:t>
      </w:r>
      <w:r>
        <w:rPr>
          <w:rFonts w:ascii="Times New Roman" w:hAnsi="Times New Roman"/>
        </w:rPr>
        <w:t xml:space="preserve"> and racialization of crime</w:t>
      </w:r>
      <w:r w:rsidR="008321E6">
        <w:rPr>
          <w:rFonts w:ascii="Times New Roman" w:hAnsi="Times New Roman"/>
        </w:rPr>
        <w:t xml:space="preserve"> </w:t>
      </w:r>
      <w:r>
        <w:rPr>
          <w:rFonts w:ascii="Times New Roman" w:hAnsi="Times New Roman"/>
        </w:rPr>
        <w:t>in</w:t>
      </w:r>
      <w:r w:rsidR="008321E6">
        <w:rPr>
          <w:rFonts w:ascii="Times New Roman" w:hAnsi="Times New Roman"/>
        </w:rPr>
        <w:t xml:space="preserve"> the 1960s and 1970s. </w:t>
      </w:r>
      <w:r w:rsidR="00B40348">
        <w:rPr>
          <w:rFonts w:ascii="Times New Roman" w:hAnsi="Times New Roman"/>
        </w:rPr>
        <w:t>It</w:t>
      </w:r>
      <w:r>
        <w:rPr>
          <w:rFonts w:ascii="Times New Roman" w:hAnsi="Times New Roman"/>
        </w:rPr>
        <w:t xml:space="preserve"> </w:t>
      </w:r>
      <w:r w:rsidR="008321E6">
        <w:rPr>
          <w:rFonts w:ascii="Times New Roman" w:hAnsi="Times New Roman"/>
        </w:rPr>
        <w:t xml:space="preserve">aims to highlight commonalities between the punitive politics of the late </w:t>
      </w:r>
      <w:r>
        <w:rPr>
          <w:rFonts w:ascii="Times New Roman" w:hAnsi="Times New Roman"/>
        </w:rPr>
        <w:t>20</w:t>
      </w:r>
      <w:r w:rsidRPr="000B3983">
        <w:rPr>
          <w:rFonts w:ascii="Times New Roman" w:hAnsi="Times New Roman"/>
          <w:vertAlign w:val="superscript"/>
        </w:rPr>
        <w:t>th</w:t>
      </w:r>
      <w:r w:rsidR="008321E6">
        <w:rPr>
          <w:rFonts w:ascii="Times New Roman" w:hAnsi="Times New Roman"/>
        </w:rPr>
        <w:t xml:space="preserve"> century</w:t>
      </w:r>
      <w:r w:rsidR="00C55B6C">
        <w:rPr>
          <w:rFonts w:ascii="Times New Roman" w:hAnsi="Times New Roman"/>
        </w:rPr>
        <w:t xml:space="preserve">, </w:t>
      </w:r>
      <w:r w:rsidR="00037067">
        <w:rPr>
          <w:rFonts w:ascii="Times New Roman" w:hAnsi="Times New Roman"/>
        </w:rPr>
        <w:t xml:space="preserve">the practices reviewed in the previous section, and </w:t>
      </w:r>
      <w:r w:rsidR="00C55B6C">
        <w:rPr>
          <w:rFonts w:ascii="Times New Roman" w:hAnsi="Times New Roman"/>
        </w:rPr>
        <w:t>the</w:t>
      </w:r>
      <w:r w:rsidR="00EB06C1">
        <w:rPr>
          <w:rFonts w:ascii="Times New Roman" w:hAnsi="Times New Roman"/>
        </w:rPr>
        <w:t xml:space="preserve"> ideology</w:t>
      </w:r>
      <w:r w:rsidR="008321E6">
        <w:rPr>
          <w:rFonts w:ascii="Times New Roman" w:hAnsi="Times New Roman"/>
        </w:rPr>
        <w:t xml:space="preserve"> of </w:t>
      </w:r>
      <w:r w:rsidR="00037067">
        <w:rPr>
          <w:rFonts w:ascii="Times New Roman" w:hAnsi="Times New Roman"/>
        </w:rPr>
        <w:t>early</w:t>
      </w:r>
      <w:r>
        <w:rPr>
          <w:rFonts w:ascii="Times New Roman" w:hAnsi="Times New Roman"/>
        </w:rPr>
        <w:t xml:space="preserve"> </w:t>
      </w:r>
      <w:r w:rsidR="008321E6">
        <w:rPr>
          <w:rFonts w:ascii="Times New Roman" w:hAnsi="Times New Roman"/>
        </w:rPr>
        <w:t>rehabilitative theorists</w:t>
      </w:r>
      <w:r w:rsidR="00C55B6C">
        <w:rPr>
          <w:rFonts w:ascii="Times New Roman" w:hAnsi="Times New Roman"/>
        </w:rPr>
        <w:t xml:space="preserve"> </w:t>
      </w:r>
      <w:r w:rsidR="008321E6">
        <w:rPr>
          <w:rFonts w:ascii="Times New Roman" w:hAnsi="Times New Roman"/>
        </w:rPr>
        <w:t xml:space="preserve">to demonstrate how </w:t>
      </w:r>
      <w:r w:rsidR="00B40348">
        <w:rPr>
          <w:rFonts w:ascii="Times New Roman" w:hAnsi="Times New Roman"/>
        </w:rPr>
        <w:t xml:space="preserve">several </w:t>
      </w:r>
      <w:r w:rsidR="008321E6">
        <w:rPr>
          <w:rFonts w:ascii="Times New Roman" w:hAnsi="Times New Roman"/>
        </w:rPr>
        <w:t xml:space="preserve">seeds of </w:t>
      </w:r>
      <w:r w:rsidR="00E95B34">
        <w:rPr>
          <w:rFonts w:ascii="Times New Roman" w:hAnsi="Times New Roman"/>
        </w:rPr>
        <w:t>mas</w:t>
      </w:r>
      <w:r w:rsidR="00C55B6C">
        <w:rPr>
          <w:rFonts w:ascii="Times New Roman" w:hAnsi="Times New Roman"/>
        </w:rPr>
        <w:t>s incarceration</w:t>
      </w:r>
      <w:r w:rsidR="00E95B34">
        <w:rPr>
          <w:rFonts w:ascii="Times New Roman" w:hAnsi="Times New Roman"/>
        </w:rPr>
        <w:t xml:space="preserve"> </w:t>
      </w:r>
      <w:r w:rsidR="008321E6">
        <w:rPr>
          <w:rFonts w:ascii="Times New Roman" w:hAnsi="Times New Roman"/>
        </w:rPr>
        <w:t xml:space="preserve">can be found in the </w:t>
      </w:r>
      <w:r w:rsidR="00037067">
        <w:rPr>
          <w:rFonts w:ascii="Times New Roman" w:hAnsi="Times New Roman"/>
        </w:rPr>
        <w:t>philosophy</w:t>
      </w:r>
      <w:r w:rsidR="008321E6">
        <w:rPr>
          <w:rFonts w:ascii="Times New Roman" w:hAnsi="Times New Roman"/>
        </w:rPr>
        <w:t xml:space="preserve"> of rehabilitation. </w:t>
      </w:r>
    </w:p>
    <w:p w14:paraId="1C373A5B" w14:textId="7136096C" w:rsidR="007C4B5E" w:rsidRDefault="00923924" w:rsidP="00EB06C1">
      <w:pPr>
        <w:widowControl w:val="0"/>
        <w:spacing w:line="480" w:lineRule="auto"/>
        <w:rPr>
          <w:rFonts w:ascii="Times New Roman" w:hAnsi="Times New Roman"/>
        </w:rPr>
      </w:pPr>
      <w:r>
        <w:rPr>
          <w:rFonts w:ascii="Times New Roman" w:hAnsi="Times New Roman"/>
          <w:b/>
          <w:i/>
        </w:rPr>
        <w:t>D</w:t>
      </w:r>
      <w:r w:rsidR="00FB360F">
        <w:rPr>
          <w:rFonts w:ascii="Times New Roman" w:hAnsi="Times New Roman"/>
          <w:b/>
          <w:i/>
        </w:rPr>
        <w:t xml:space="preserve">eterminate Sentencing. </w:t>
      </w:r>
      <w:r w:rsidR="00FB360F">
        <w:rPr>
          <w:rFonts w:ascii="Times New Roman" w:hAnsi="Times New Roman"/>
        </w:rPr>
        <w:t>By the 1970s, ind</w:t>
      </w:r>
      <w:r w:rsidR="006E30B6">
        <w:rPr>
          <w:rFonts w:ascii="Times New Roman" w:hAnsi="Times New Roman"/>
        </w:rPr>
        <w:t xml:space="preserve">eterminate sentencing structures </w:t>
      </w:r>
      <w:r w:rsidR="005B0691">
        <w:rPr>
          <w:rFonts w:ascii="Times New Roman" w:hAnsi="Times New Roman"/>
        </w:rPr>
        <w:t>existed in the federal system and all state</w:t>
      </w:r>
      <w:r w:rsidR="00B40348">
        <w:rPr>
          <w:rFonts w:ascii="Times New Roman" w:hAnsi="Times New Roman"/>
        </w:rPr>
        <w:t>s</w:t>
      </w:r>
      <w:r w:rsidR="005B0691">
        <w:rPr>
          <w:rFonts w:ascii="Times New Roman" w:hAnsi="Times New Roman"/>
        </w:rPr>
        <w:t>.</w:t>
      </w:r>
      <w:r w:rsidR="005B0691">
        <w:rPr>
          <w:rStyle w:val="FootnoteReference"/>
        </w:rPr>
        <w:footnoteReference w:id="76"/>
      </w:r>
      <w:r w:rsidR="005B0691">
        <w:rPr>
          <w:rFonts w:ascii="Times New Roman" w:hAnsi="Times New Roman"/>
        </w:rPr>
        <w:t xml:space="preserve"> But </w:t>
      </w:r>
      <w:r w:rsidR="00B40348">
        <w:rPr>
          <w:rFonts w:ascii="Times New Roman" w:hAnsi="Times New Roman"/>
        </w:rPr>
        <w:t>in</w:t>
      </w:r>
      <w:r w:rsidR="005B0691">
        <w:rPr>
          <w:rFonts w:ascii="Times New Roman" w:hAnsi="Times New Roman"/>
        </w:rPr>
        <w:t xml:space="preserve"> the 1960s</w:t>
      </w:r>
      <w:r w:rsidR="00B40348">
        <w:rPr>
          <w:rFonts w:ascii="Times New Roman" w:hAnsi="Times New Roman"/>
        </w:rPr>
        <w:t xml:space="preserve"> and 1970s</w:t>
      </w:r>
      <w:r w:rsidR="005B0691">
        <w:rPr>
          <w:rFonts w:ascii="Times New Roman" w:hAnsi="Times New Roman"/>
        </w:rPr>
        <w:t xml:space="preserve">, </w:t>
      </w:r>
      <w:r w:rsidR="006E30B6">
        <w:rPr>
          <w:rFonts w:ascii="Times New Roman" w:hAnsi="Times New Roman"/>
        </w:rPr>
        <w:t>conservative</w:t>
      </w:r>
      <w:r w:rsidR="00EB06C1">
        <w:rPr>
          <w:rFonts w:ascii="Times New Roman" w:hAnsi="Times New Roman"/>
        </w:rPr>
        <w:t>s</w:t>
      </w:r>
      <w:r w:rsidR="006E30B6">
        <w:rPr>
          <w:rFonts w:ascii="Times New Roman" w:hAnsi="Times New Roman"/>
        </w:rPr>
        <w:t xml:space="preserve"> </w:t>
      </w:r>
      <w:r w:rsidR="00B40348">
        <w:rPr>
          <w:rFonts w:ascii="Times New Roman" w:hAnsi="Times New Roman"/>
        </w:rPr>
        <w:t xml:space="preserve">launched </w:t>
      </w:r>
      <w:r w:rsidR="006E30B6">
        <w:rPr>
          <w:rFonts w:ascii="Times New Roman" w:hAnsi="Times New Roman"/>
        </w:rPr>
        <w:t xml:space="preserve">attacks </w:t>
      </w:r>
      <w:r w:rsidR="00B40348">
        <w:rPr>
          <w:rFonts w:ascii="Times New Roman" w:hAnsi="Times New Roman"/>
        </w:rPr>
        <w:t>on indeterminate sentencing</w:t>
      </w:r>
      <w:r w:rsidR="006E30B6">
        <w:rPr>
          <w:rFonts w:ascii="Times New Roman" w:hAnsi="Times New Roman"/>
        </w:rPr>
        <w:t xml:space="preserve"> </w:t>
      </w:r>
      <w:r w:rsidR="00B40348">
        <w:rPr>
          <w:rFonts w:ascii="Times New Roman" w:hAnsi="Times New Roman"/>
        </w:rPr>
        <w:t>by condemning</w:t>
      </w:r>
      <w:r w:rsidR="005B0691">
        <w:rPr>
          <w:rFonts w:ascii="Times New Roman" w:hAnsi="Times New Roman"/>
        </w:rPr>
        <w:t xml:space="preserve"> liberal judges</w:t>
      </w:r>
      <w:r w:rsidR="00B40348">
        <w:rPr>
          <w:rFonts w:ascii="Times New Roman" w:hAnsi="Times New Roman"/>
        </w:rPr>
        <w:t xml:space="preserve"> </w:t>
      </w:r>
      <w:r w:rsidR="00EB06C1">
        <w:rPr>
          <w:rFonts w:ascii="Times New Roman" w:hAnsi="Times New Roman"/>
        </w:rPr>
        <w:t>as</w:t>
      </w:r>
      <w:r w:rsidR="00B40348">
        <w:rPr>
          <w:rFonts w:ascii="Times New Roman" w:hAnsi="Times New Roman"/>
        </w:rPr>
        <w:t xml:space="preserve"> </w:t>
      </w:r>
      <w:r w:rsidR="00EB06C1">
        <w:rPr>
          <w:rFonts w:ascii="Times New Roman" w:hAnsi="Times New Roman"/>
        </w:rPr>
        <w:t xml:space="preserve">being </w:t>
      </w:r>
      <w:r w:rsidR="00D2402A">
        <w:rPr>
          <w:rFonts w:ascii="Times New Roman" w:hAnsi="Times New Roman"/>
        </w:rPr>
        <w:t>“soft” on crime, which defeated</w:t>
      </w:r>
      <w:r w:rsidR="006E30B6">
        <w:rPr>
          <w:rFonts w:ascii="Times New Roman" w:hAnsi="Times New Roman"/>
        </w:rPr>
        <w:t xml:space="preserve"> </w:t>
      </w:r>
      <w:r w:rsidR="00B40348">
        <w:rPr>
          <w:rFonts w:ascii="Times New Roman" w:hAnsi="Times New Roman"/>
        </w:rPr>
        <w:t xml:space="preserve">the </w:t>
      </w:r>
      <w:r w:rsidR="00D2402A">
        <w:rPr>
          <w:rFonts w:ascii="Times New Roman" w:hAnsi="Times New Roman"/>
        </w:rPr>
        <w:t>arguments</w:t>
      </w:r>
      <w:r w:rsidR="006E30B6">
        <w:rPr>
          <w:rFonts w:ascii="Times New Roman" w:hAnsi="Times New Roman"/>
        </w:rPr>
        <w:t xml:space="preserve"> of progressive</w:t>
      </w:r>
      <w:r w:rsidR="00B40348">
        <w:rPr>
          <w:rFonts w:ascii="Times New Roman" w:hAnsi="Times New Roman"/>
        </w:rPr>
        <w:t>s</w:t>
      </w:r>
      <w:r w:rsidR="006E30B6">
        <w:rPr>
          <w:rFonts w:ascii="Times New Roman" w:hAnsi="Times New Roman"/>
        </w:rPr>
        <w:t xml:space="preserve"> like Marvin </w:t>
      </w:r>
      <w:r w:rsidR="00B40348">
        <w:rPr>
          <w:rFonts w:ascii="Times New Roman" w:hAnsi="Times New Roman"/>
        </w:rPr>
        <w:t xml:space="preserve">Frankel who criticized the </w:t>
      </w:r>
      <w:r w:rsidR="00EB06C1">
        <w:rPr>
          <w:rFonts w:ascii="Times New Roman" w:hAnsi="Times New Roman"/>
        </w:rPr>
        <w:t>arbitrary</w:t>
      </w:r>
      <w:r w:rsidR="006E30B6">
        <w:rPr>
          <w:rFonts w:ascii="Times New Roman" w:hAnsi="Times New Roman"/>
        </w:rPr>
        <w:t xml:space="preserve"> disparities </w:t>
      </w:r>
      <w:r w:rsidR="00B40348">
        <w:rPr>
          <w:rFonts w:ascii="Times New Roman" w:hAnsi="Times New Roman"/>
        </w:rPr>
        <w:t>generated</w:t>
      </w:r>
      <w:r w:rsidR="006E30B6">
        <w:rPr>
          <w:rFonts w:ascii="Times New Roman" w:hAnsi="Times New Roman"/>
        </w:rPr>
        <w:t xml:space="preserve"> by indeterminate sentencing schemes</w:t>
      </w:r>
      <w:r w:rsidR="005B0691">
        <w:rPr>
          <w:rFonts w:ascii="Times New Roman" w:hAnsi="Times New Roman"/>
        </w:rPr>
        <w:t>.</w:t>
      </w:r>
      <w:r w:rsidR="002952EA">
        <w:rPr>
          <w:rFonts w:ascii="Times New Roman" w:hAnsi="Times New Roman"/>
        </w:rPr>
        <w:t xml:space="preserve"> </w:t>
      </w:r>
      <w:r w:rsidR="00B40348">
        <w:rPr>
          <w:rFonts w:ascii="Times New Roman" w:hAnsi="Times New Roman"/>
        </w:rPr>
        <w:t xml:space="preserve">The conservative victory </w:t>
      </w:r>
      <w:r w:rsidR="007C4B5E">
        <w:rPr>
          <w:rFonts w:ascii="Times New Roman" w:hAnsi="Times New Roman"/>
        </w:rPr>
        <w:t xml:space="preserve">is often </w:t>
      </w:r>
      <w:r w:rsidR="00B40348">
        <w:rPr>
          <w:rFonts w:ascii="Times New Roman" w:hAnsi="Times New Roman"/>
        </w:rPr>
        <w:t>seen</w:t>
      </w:r>
      <w:r w:rsidR="007C4B5E">
        <w:rPr>
          <w:rFonts w:ascii="Times New Roman" w:hAnsi="Times New Roman"/>
        </w:rPr>
        <w:t xml:space="preserve"> as a establishing a political context in which being “tough on crime” </w:t>
      </w:r>
      <w:r w:rsidR="00D2402A">
        <w:rPr>
          <w:rFonts w:ascii="Times New Roman" w:hAnsi="Times New Roman"/>
        </w:rPr>
        <w:t>became</w:t>
      </w:r>
      <w:r w:rsidR="00B40348">
        <w:rPr>
          <w:rFonts w:ascii="Times New Roman" w:hAnsi="Times New Roman"/>
        </w:rPr>
        <w:t xml:space="preserve"> the</w:t>
      </w:r>
      <w:r w:rsidR="007C4B5E">
        <w:rPr>
          <w:rFonts w:ascii="Times New Roman" w:hAnsi="Times New Roman"/>
        </w:rPr>
        <w:t xml:space="preserve"> only viable electoral position.</w:t>
      </w:r>
      <w:r w:rsidR="007C4B5E">
        <w:rPr>
          <w:rStyle w:val="FootnoteReference"/>
          <w:rFonts w:ascii="Times New Roman" w:hAnsi="Times New Roman"/>
        </w:rPr>
        <w:footnoteReference w:id="77"/>
      </w:r>
      <w:r w:rsidR="00EB06C1">
        <w:rPr>
          <w:rFonts w:ascii="Times New Roman" w:hAnsi="Times New Roman"/>
        </w:rPr>
        <w:t xml:space="preserve"> </w:t>
      </w:r>
      <w:r w:rsidR="007C4B5E">
        <w:rPr>
          <w:rFonts w:ascii="Times New Roman" w:hAnsi="Times New Roman"/>
        </w:rPr>
        <w:t xml:space="preserve">The </w:t>
      </w:r>
      <w:r w:rsidR="00EB06C1">
        <w:rPr>
          <w:rFonts w:ascii="Times New Roman" w:hAnsi="Times New Roman"/>
        </w:rPr>
        <w:t>Right’s</w:t>
      </w:r>
      <w:r w:rsidR="00266776">
        <w:rPr>
          <w:rFonts w:ascii="Times New Roman" w:hAnsi="Times New Roman"/>
        </w:rPr>
        <w:t xml:space="preserve"> </w:t>
      </w:r>
      <w:r w:rsidR="00EB0691">
        <w:rPr>
          <w:rFonts w:ascii="Times New Roman" w:hAnsi="Times New Roman"/>
        </w:rPr>
        <w:t>strategy</w:t>
      </w:r>
      <w:r w:rsidR="00266776">
        <w:rPr>
          <w:rFonts w:ascii="Times New Roman" w:hAnsi="Times New Roman"/>
        </w:rPr>
        <w:t xml:space="preserve"> </w:t>
      </w:r>
      <w:r w:rsidR="007C4B5E">
        <w:rPr>
          <w:rFonts w:ascii="Times New Roman" w:hAnsi="Times New Roman"/>
        </w:rPr>
        <w:t>involved an assau</w:t>
      </w:r>
      <w:r w:rsidR="00B40348">
        <w:rPr>
          <w:rFonts w:ascii="Times New Roman" w:hAnsi="Times New Roman"/>
        </w:rPr>
        <w:t xml:space="preserve">lt on the </w:t>
      </w:r>
      <w:r w:rsidR="00EB0691">
        <w:rPr>
          <w:rFonts w:ascii="Times New Roman" w:hAnsi="Times New Roman"/>
        </w:rPr>
        <w:t>rehabilitative ideal</w:t>
      </w:r>
      <w:r w:rsidR="00EB06C1">
        <w:rPr>
          <w:rFonts w:ascii="Times New Roman" w:hAnsi="Times New Roman"/>
        </w:rPr>
        <w:t xml:space="preserve"> that</w:t>
      </w:r>
      <w:r w:rsidR="007C4B5E">
        <w:rPr>
          <w:rFonts w:ascii="Times New Roman" w:hAnsi="Times New Roman"/>
        </w:rPr>
        <w:t xml:space="preserve"> exploit</w:t>
      </w:r>
      <w:r w:rsidR="00EB06C1">
        <w:rPr>
          <w:rFonts w:ascii="Times New Roman" w:hAnsi="Times New Roman"/>
        </w:rPr>
        <w:t>ed</w:t>
      </w:r>
      <w:r w:rsidR="007C4B5E">
        <w:rPr>
          <w:rFonts w:ascii="Times New Roman" w:hAnsi="Times New Roman"/>
        </w:rPr>
        <w:t xml:space="preserve"> the perceived failures of the </w:t>
      </w:r>
      <w:r w:rsidR="00EB06C1">
        <w:rPr>
          <w:rFonts w:ascii="Times New Roman" w:hAnsi="Times New Roman"/>
        </w:rPr>
        <w:t>Civil Rights M</w:t>
      </w:r>
      <w:r w:rsidR="00266776">
        <w:rPr>
          <w:rFonts w:ascii="Times New Roman" w:hAnsi="Times New Roman"/>
        </w:rPr>
        <w:t xml:space="preserve">ovement (which was linked to </w:t>
      </w:r>
      <w:r w:rsidR="00B40348">
        <w:rPr>
          <w:rFonts w:ascii="Times New Roman" w:hAnsi="Times New Roman"/>
        </w:rPr>
        <w:t>urban</w:t>
      </w:r>
      <w:r w:rsidR="00266776">
        <w:rPr>
          <w:rFonts w:ascii="Times New Roman" w:hAnsi="Times New Roman"/>
        </w:rPr>
        <w:t xml:space="preserve"> riots) and the </w:t>
      </w:r>
      <w:r w:rsidR="007C4B5E">
        <w:rPr>
          <w:rFonts w:ascii="Times New Roman" w:hAnsi="Times New Roman"/>
        </w:rPr>
        <w:t>War on Poverty</w:t>
      </w:r>
      <w:r w:rsidR="00266776">
        <w:rPr>
          <w:rFonts w:ascii="Times New Roman" w:hAnsi="Times New Roman"/>
        </w:rPr>
        <w:t xml:space="preserve"> (</w:t>
      </w:r>
      <w:r w:rsidR="007C4B5E">
        <w:rPr>
          <w:rFonts w:ascii="Times New Roman" w:hAnsi="Times New Roman"/>
        </w:rPr>
        <w:t>which was s</w:t>
      </w:r>
      <w:r w:rsidR="00266776">
        <w:rPr>
          <w:rFonts w:ascii="Times New Roman" w:hAnsi="Times New Roman"/>
        </w:rPr>
        <w:t xml:space="preserve">old as a crime control </w:t>
      </w:r>
      <w:r w:rsidR="00B40348">
        <w:rPr>
          <w:rFonts w:ascii="Times New Roman" w:hAnsi="Times New Roman"/>
        </w:rPr>
        <w:t>measure</w:t>
      </w:r>
      <w:r w:rsidR="007C4B5E">
        <w:rPr>
          <w:rFonts w:ascii="Times New Roman" w:hAnsi="Times New Roman"/>
        </w:rPr>
        <w:t xml:space="preserve"> but failed to produce </w:t>
      </w:r>
      <w:r w:rsidR="00266776">
        <w:rPr>
          <w:rFonts w:ascii="Times New Roman" w:hAnsi="Times New Roman"/>
        </w:rPr>
        <w:t>a</w:t>
      </w:r>
      <w:r w:rsidR="007C4B5E">
        <w:rPr>
          <w:rFonts w:ascii="Times New Roman" w:hAnsi="Times New Roman"/>
        </w:rPr>
        <w:t xml:space="preserve"> short-term </w:t>
      </w:r>
      <w:r w:rsidR="002A0E2E">
        <w:rPr>
          <w:rFonts w:ascii="Times New Roman" w:hAnsi="Times New Roman"/>
        </w:rPr>
        <w:t xml:space="preserve">crime </w:t>
      </w:r>
      <w:r w:rsidR="007C4B5E">
        <w:rPr>
          <w:rFonts w:ascii="Times New Roman" w:hAnsi="Times New Roman"/>
        </w:rPr>
        <w:t>reduction</w:t>
      </w:r>
      <w:r w:rsidR="00266776">
        <w:rPr>
          <w:rFonts w:ascii="Times New Roman" w:hAnsi="Times New Roman"/>
        </w:rPr>
        <w:t xml:space="preserve">) </w:t>
      </w:r>
      <w:r w:rsidR="002A0E2E">
        <w:rPr>
          <w:rFonts w:ascii="Times New Roman" w:hAnsi="Times New Roman"/>
        </w:rPr>
        <w:t>to claim</w:t>
      </w:r>
      <w:r w:rsidR="007C4B5E">
        <w:rPr>
          <w:rFonts w:ascii="Times New Roman" w:hAnsi="Times New Roman"/>
        </w:rPr>
        <w:t xml:space="preserve"> that crime was </w:t>
      </w:r>
      <w:r w:rsidR="00266776">
        <w:rPr>
          <w:rFonts w:ascii="Times New Roman" w:hAnsi="Times New Roman"/>
        </w:rPr>
        <w:t>a choice for which individuals were personally responsible</w:t>
      </w:r>
      <w:r w:rsidR="007C4B5E">
        <w:rPr>
          <w:rFonts w:ascii="Times New Roman" w:hAnsi="Times New Roman"/>
        </w:rPr>
        <w:t>.</w:t>
      </w:r>
      <w:r w:rsidR="007C4B5E">
        <w:rPr>
          <w:rStyle w:val="FootnoteReference"/>
          <w:rFonts w:ascii="Times New Roman" w:hAnsi="Times New Roman"/>
        </w:rPr>
        <w:footnoteReference w:id="78"/>
      </w:r>
      <w:r w:rsidR="007C4B5E">
        <w:rPr>
          <w:rFonts w:ascii="Times New Roman" w:hAnsi="Times New Roman"/>
        </w:rPr>
        <w:t xml:space="preserve"> </w:t>
      </w:r>
      <w:r w:rsidR="00D35682">
        <w:rPr>
          <w:rFonts w:ascii="Times New Roman" w:hAnsi="Times New Roman"/>
        </w:rPr>
        <w:t>Robert Martinson’s</w:t>
      </w:r>
      <w:r w:rsidR="00266776">
        <w:rPr>
          <w:rFonts w:ascii="Times New Roman" w:hAnsi="Times New Roman"/>
        </w:rPr>
        <w:t xml:space="preserve"> 1974</w:t>
      </w:r>
      <w:r w:rsidR="00D35682">
        <w:rPr>
          <w:rFonts w:ascii="Times New Roman" w:hAnsi="Times New Roman"/>
        </w:rPr>
        <w:t xml:space="preserve"> study of penal rehabilitation, which concluded concluded that “nothing works” </w:t>
      </w:r>
      <w:r w:rsidR="004964C4">
        <w:rPr>
          <w:rFonts w:ascii="Times New Roman" w:hAnsi="Times New Roman"/>
        </w:rPr>
        <w:t>to reduce recidivism</w:t>
      </w:r>
      <w:r w:rsidR="00D35682">
        <w:rPr>
          <w:rFonts w:ascii="Times New Roman" w:hAnsi="Times New Roman"/>
        </w:rPr>
        <w:t xml:space="preserve">, resonated with </w:t>
      </w:r>
      <w:r w:rsidR="00EB06C1">
        <w:rPr>
          <w:rFonts w:ascii="Times New Roman" w:hAnsi="Times New Roman"/>
        </w:rPr>
        <w:t>the</w:t>
      </w:r>
      <w:r w:rsidR="00D35682">
        <w:rPr>
          <w:rFonts w:ascii="Times New Roman" w:hAnsi="Times New Roman"/>
        </w:rPr>
        <w:t xml:space="preserve"> public, </w:t>
      </w:r>
      <w:r w:rsidR="002A0E2E">
        <w:rPr>
          <w:rFonts w:ascii="Times New Roman" w:hAnsi="Times New Roman"/>
        </w:rPr>
        <w:t>penal</w:t>
      </w:r>
      <w:r w:rsidR="00266776">
        <w:rPr>
          <w:rFonts w:ascii="Times New Roman" w:hAnsi="Times New Roman"/>
        </w:rPr>
        <w:t xml:space="preserve"> officials, and politicians who had </w:t>
      </w:r>
      <w:r w:rsidR="00EB0691">
        <w:rPr>
          <w:rFonts w:ascii="Times New Roman" w:hAnsi="Times New Roman"/>
        </w:rPr>
        <w:t xml:space="preserve">come to accept the notion that blacks and the poor were </w:t>
      </w:r>
      <w:r w:rsidR="002A0E2E">
        <w:rPr>
          <w:rFonts w:ascii="Times New Roman" w:hAnsi="Times New Roman"/>
        </w:rPr>
        <w:t>prone</w:t>
      </w:r>
      <w:r w:rsidR="00EB0691">
        <w:rPr>
          <w:rFonts w:ascii="Times New Roman" w:hAnsi="Times New Roman"/>
        </w:rPr>
        <w:t xml:space="preserve"> to crime</w:t>
      </w:r>
      <w:r w:rsidR="00266776">
        <w:rPr>
          <w:rFonts w:ascii="Times New Roman" w:hAnsi="Times New Roman"/>
        </w:rPr>
        <w:t>.</w:t>
      </w:r>
      <w:r w:rsidR="00266776">
        <w:rPr>
          <w:rStyle w:val="FootnoteReference"/>
          <w:rFonts w:ascii="Times New Roman" w:hAnsi="Times New Roman"/>
        </w:rPr>
        <w:footnoteReference w:id="79"/>
      </w:r>
    </w:p>
    <w:p w14:paraId="27D1D50D" w14:textId="34F944E3" w:rsidR="00FB360F" w:rsidRPr="00757757" w:rsidRDefault="00EB06C1" w:rsidP="00FB360F">
      <w:pPr>
        <w:widowControl w:val="0"/>
        <w:spacing w:line="480" w:lineRule="auto"/>
        <w:ind w:firstLine="720"/>
        <w:rPr>
          <w:rFonts w:ascii="Times New Roman" w:hAnsi="Times New Roman"/>
        </w:rPr>
      </w:pPr>
      <w:r>
        <w:rPr>
          <w:rFonts w:ascii="Times New Roman" w:hAnsi="Times New Roman"/>
        </w:rPr>
        <w:t>Exemplifying</w:t>
      </w:r>
      <w:r w:rsidR="00266776">
        <w:rPr>
          <w:rFonts w:ascii="Times New Roman" w:hAnsi="Times New Roman"/>
        </w:rPr>
        <w:t xml:space="preserve"> the conservative </w:t>
      </w:r>
      <w:r w:rsidR="002A0E2E">
        <w:rPr>
          <w:rFonts w:ascii="Times New Roman" w:hAnsi="Times New Roman"/>
        </w:rPr>
        <w:t>logic</w:t>
      </w:r>
      <w:r w:rsidR="00266776">
        <w:rPr>
          <w:rFonts w:ascii="Times New Roman" w:hAnsi="Times New Roman"/>
        </w:rPr>
        <w:t xml:space="preserve"> was James Q. Wilson, wh</w:t>
      </w:r>
      <w:r w:rsidR="00757757">
        <w:rPr>
          <w:rFonts w:ascii="Times New Roman" w:hAnsi="Times New Roman"/>
        </w:rPr>
        <w:t xml:space="preserve">ose attack on </w:t>
      </w:r>
      <w:r w:rsidR="00266776">
        <w:rPr>
          <w:rFonts w:ascii="Times New Roman" w:hAnsi="Times New Roman"/>
        </w:rPr>
        <w:t>judicial leniency rang of bio</w:t>
      </w:r>
      <w:r w:rsidR="00B111B0">
        <w:rPr>
          <w:rFonts w:ascii="Times New Roman" w:hAnsi="Times New Roman"/>
        </w:rPr>
        <w:t>-</w:t>
      </w:r>
      <w:r w:rsidR="00266776">
        <w:rPr>
          <w:rFonts w:ascii="Times New Roman" w:hAnsi="Times New Roman"/>
        </w:rPr>
        <w:t>deterministic claims of incorrigibility</w:t>
      </w:r>
      <w:r w:rsidR="006E6510">
        <w:rPr>
          <w:rFonts w:ascii="Times New Roman" w:hAnsi="Times New Roman"/>
        </w:rPr>
        <w:t xml:space="preserve">. </w:t>
      </w:r>
      <w:r w:rsidR="00EB0691">
        <w:rPr>
          <w:rFonts w:ascii="Times New Roman" w:hAnsi="Times New Roman"/>
        </w:rPr>
        <w:t xml:space="preserve">In </w:t>
      </w:r>
      <w:r w:rsidR="00EB0691">
        <w:rPr>
          <w:rFonts w:ascii="Times New Roman" w:hAnsi="Times New Roman"/>
          <w:i/>
        </w:rPr>
        <w:t>Thinking About Crime</w:t>
      </w:r>
      <w:r w:rsidR="00757757">
        <w:rPr>
          <w:rFonts w:ascii="Times New Roman" w:hAnsi="Times New Roman"/>
        </w:rPr>
        <w:t xml:space="preserve"> </w:t>
      </w:r>
      <w:r w:rsidR="00EB0691">
        <w:rPr>
          <w:rFonts w:ascii="Times New Roman" w:hAnsi="Times New Roman"/>
        </w:rPr>
        <w:t>(</w:t>
      </w:r>
      <w:r w:rsidR="00757757">
        <w:rPr>
          <w:rFonts w:ascii="Times New Roman" w:hAnsi="Times New Roman"/>
        </w:rPr>
        <w:t>1975</w:t>
      </w:r>
      <w:r w:rsidR="00EB0691">
        <w:rPr>
          <w:rFonts w:ascii="Times New Roman" w:hAnsi="Times New Roman"/>
        </w:rPr>
        <w:t>)</w:t>
      </w:r>
      <w:r w:rsidR="00757757">
        <w:rPr>
          <w:rFonts w:ascii="Times New Roman" w:hAnsi="Times New Roman"/>
        </w:rPr>
        <w:t>, Wilson claimed that, “Wicked people exist. Nothing avails them except to set them apart from innocent people.”</w:t>
      </w:r>
      <w:r w:rsidR="00757757" w:rsidRPr="00757757">
        <w:rPr>
          <w:rStyle w:val="FootnoteReference"/>
          <w:rFonts w:ascii="Times New Roman" w:hAnsi="Times New Roman"/>
        </w:rPr>
        <w:t xml:space="preserve"> </w:t>
      </w:r>
      <w:r w:rsidR="00757757">
        <w:rPr>
          <w:rStyle w:val="FootnoteReference"/>
          <w:rFonts w:ascii="Times New Roman" w:hAnsi="Times New Roman"/>
        </w:rPr>
        <w:footnoteReference w:id="80"/>
      </w:r>
      <w:r w:rsidR="00757757">
        <w:rPr>
          <w:rFonts w:ascii="Times New Roman" w:hAnsi="Times New Roman"/>
        </w:rPr>
        <w:t xml:space="preserve"> </w:t>
      </w:r>
      <w:r>
        <w:rPr>
          <w:rFonts w:ascii="Times New Roman" w:hAnsi="Times New Roman"/>
        </w:rPr>
        <w:t>The</w:t>
      </w:r>
      <w:r w:rsidR="00B979E7">
        <w:rPr>
          <w:rFonts w:ascii="Times New Roman" w:hAnsi="Times New Roman"/>
        </w:rPr>
        <w:t xml:space="preserve"> revised </w:t>
      </w:r>
      <w:r>
        <w:rPr>
          <w:rFonts w:ascii="Times New Roman" w:hAnsi="Times New Roman"/>
        </w:rPr>
        <w:t xml:space="preserve">1983 </w:t>
      </w:r>
      <w:r w:rsidR="00B979E7">
        <w:rPr>
          <w:rFonts w:ascii="Times New Roman" w:hAnsi="Times New Roman"/>
        </w:rPr>
        <w:t xml:space="preserve">edition </w:t>
      </w:r>
      <w:r>
        <w:rPr>
          <w:rFonts w:ascii="Times New Roman" w:hAnsi="Times New Roman"/>
        </w:rPr>
        <w:t>included a chapter on rehabilitation</w:t>
      </w:r>
      <w:r w:rsidR="00B979E7">
        <w:rPr>
          <w:rFonts w:ascii="Times New Roman" w:hAnsi="Times New Roman"/>
        </w:rPr>
        <w:t xml:space="preserve"> noting the abundance of studies </w:t>
      </w:r>
      <w:r>
        <w:rPr>
          <w:rFonts w:ascii="Times New Roman" w:hAnsi="Times New Roman"/>
        </w:rPr>
        <w:t>that validated Martinson’</w:t>
      </w:r>
      <w:r w:rsidR="00D2402A">
        <w:rPr>
          <w:rFonts w:ascii="Times New Roman" w:hAnsi="Times New Roman"/>
        </w:rPr>
        <w:t>s conclusions and arguing</w:t>
      </w:r>
      <w:r w:rsidR="004964C4">
        <w:rPr>
          <w:rFonts w:ascii="Times New Roman" w:hAnsi="Times New Roman"/>
        </w:rPr>
        <w:t xml:space="preserve"> that the rehabilitative ideal rested on “heroic assumptions” about </w:t>
      </w:r>
      <w:r>
        <w:rPr>
          <w:rFonts w:ascii="Times New Roman" w:hAnsi="Times New Roman"/>
        </w:rPr>
        <w:t>criminals’</w:t>
      </w:r>
      <w:r w:rsidR="00EB0691">
        <w:rPr>
          <w:rFonts w:ascii="Times New Roman" w:hAnsi="Times New Roman"/>
        </w:rPr>
        <w:t xml:space="preserve"> </w:t>
      </w:r>
      <w:r>
        <w:rPr>
          <w:rFonts w:ascii="Times New Roman" w:hAnsi="Times New Roman"/>
        </w:rPr>
        <w:t>reformability</w:t>
      </w:r>
      <w:r w:rsidR="004964C4">
        <w:rPr>
          <w:rFonts w:ascii="Times New Roman" w:hAnsi="Times New Roman"/>
        </w:rPr>
        <w:t xml:space="preserve">. </w:t>
      </w:r>
      <w:r>
        <w:rPr>
          <w:rFonts w:ascii="Times New Roman" w:hAnsi="Times New Roman"/>
        </w:rPr>
        <w:t>He</w:t>
      </w:r>
      <w:r w:rsidR="004964C4">
        <w:rPr>
          <w:rFonts w:ascii="Times New Roman" w:hAnsi="Times New Roman"/>
        </w:rPr>
        <w:t xml:space="preserve"> concluded that </w:t>
      </w:r>
      <w:r w:rsidR="00595E27">
        <w:rPr>
          <w:rFonts w:ascii="Times New Roman" w:hAnsi="Times New Roman"/>
        </w:rPr>
        <w:t>few</w:t>
      </w:r>
      <w:r w:rsidR="004964C4">
        <w:rPr>
          <w:rFonts w:ascii="Times New Roman" w:hAnsi="Times New Roman"/>
        </w:rPr>
        <w:t xml:space="preserve"> offenders are</w:t>
      </w:r>
      <w:r w:rsidR="00595E27">
        <w:rPr>
          <w:rFonts w:ascii="Times New Roman" w:hAnsi="Times New Roman"/>
        </w:rPr>
        <w:t xml:space="preserve"> truly</w:t>
      </w:r>
      <w:r w:rsidR="004964C4">
        <w:rPr>
          <w:rFonts w:ascii="Times New Roman" w:hAnsi="Times New Roman"/>
        </w:rPr>
        <w:t xml:space="preserve"> amenable to reform</w:t>
      </w:r>
      <w:r w:rsidR="008C16F0">
        <w:rPr>
          <w:rFonts w:ascii="Times New Roman" w:hAnsi="Times New Roman"/>
        </w:rPr>
        <w:t xml:space="preserve"> and criticized indeterminate sentencing</w:t>
      </w:r>
      <w:r w:rsidR="00476684">
        <w:rPr>
          <w:rFonts w:ascii="Times New Roman" w:hAnsi="Times New Roman"/>
        </w:rPr>
        <w:t xml:space="preserve"> as </w:t>
      </w:r>
      <w:r w:rsidR="00542B78">
        <w:rPr>
          <w:rFonts w:ascii="Times New Roman" w:hAnsi="Times New Roman"/>
        </w:rPr>
        <w:t xml:space="preserve">naively </w:t>
      </w:r>
      <w:r w:rsidR="00476684">
        <w:rPr>
          <w:rFonts w:ascii="Times New Roman" w:hAnsi="Times New Roman"/>
        </w:rPr>
        <w:t>preoccupie</w:t>
      </w:r>
      <w:r w:rsidR="00595E27">
        <w:rPr>
          <w:rFonts w:ascii="Times New Roman" w:hAnsi="Times New Roman"/>
        </w:rPr>
        <w:t>d with rehabilitation</w:t>
      </w:r>
      <w:r w:rsidR="00476684">
        <w:rPr>
          <w:rFonts w:ascii="Times New Roman" w:hAnsi="Times New Roman"/>
        </w:rPr>
        <w:t>.</w:t>
      </w:r>
      <w:r w:rsidR="008C16F0">
        <w:rPr>
          <w:rStyle w:val="FootnoteReference"/>
          <w:rFonts w:ascii="Times New Roman" w:hAnsi="Times New Roman"/>
        </w:rPr>
        <w:footnoteReference w:id="81"/>
      </w:r>
      <w:r w:rsidR="004964C4">
        <w:rPr>
          <w:rFonts w:ascii="Times New Roman" w:hAnsi="Times New Roman"/>
        </w:rPr>
        <w:t xml:space="preserve"> </w:t>
      </w:r>
    </w:p>
    <w:p w14:paraId="038D2531" w14:textId="7EC31843" w:rsidR="00266776" w:rsidRDefault="00D2402A" w:rsidP="00FB360F">
      <w:pPr>
        <w:widowControl w:val="0"/>
        <w:spacing w:line="480" w:lineRule="auto"/>
        <w:ind w:firstLine="720"/>
        <w:rPr>
          <w:rFonts w:ascii="Times New Roman" w:hAnsi="Times New Roman"/>
        </w:rPr>
      </w:pPr>
      <w:r>
        <w:rPr>
          <w:rFonts w:ascii="Times New Roman" w:hAnsi="Times New Roman"/>
        </w:rPr>
        <w:t>The emergence of mandatory sentencing schemes followed in the 1970s and 1980s given that</w:t>
      </w:r>
      <w:r w:rsidR="007C7F26">
        <w:rPr>
          <w:rFonts w:ascii="Times New Roman" w:hAnsi="Times New Roman"/>
        </w:rPr>
        <w:t xml:space="preserve">, in the words of one </w:t>
      </w:r>
      <w:r>
        <w:rPr>
          <w:rFonts w:ascii="Times New Roman" w:hAnsi="Times New Roman"/>
        </w:rPr>
        <w:t>US c</w:t>
      </w:r>
      <w:r w:rsidR="007C7F26">
        <w:rPr>
          <w:rFonts w:ascii="Times New Roman" w:hAnsi="Times New Roman"/>
        </w:rPr>
        <w:t>ongressman</w:t>
      </w:r>
      <w:r w:rsidR="00542B78">
        <w:rPr>
          <w:rFonts w:ascii="Times New Roman" w:hAnsi="Times New Roman"/>
        </w:rPr>
        <w:t>,</w:t>
      </w:r>
      <w:r w:rsidR="007C7F26">
        <w:rPr>
          <w:rFonts w:ascii="Times New Roman" w:hAnsi="Times New Roman"/>
        </w:rPr>
        <w:t xml:space="preserve"> indeterminate sentencing </w:t>
      </w:r>
      <w:r>
        <w:rPr>
          <w:rFonts w:ascii="Times New Roman" w:hAnsi="Times New Roman"/>
        </w:rPr>
        <w:t>was</w:t>
      </w:r>
      <w:r w:rsidR="007C7F26">
        <w:rPr>
          <w:rFonts w:ascii="Times New Roman" w:hAnsi="Times New Roman"/>
        </w:rPr>
        <w:t xml:space="preserve"> “widely discredited.”</w:t>
      </w:r>
      <w:r w:rsidR="007C7F26">
        <w:rPr>
          <w:rStyle w:val="FootnoteReference"/>
          <w:rFonts w:ascii="Times New Roman" w:hAnsi="Times New Roman"/>
        </w:rPr>
        <w:footnoteReference w:id="82"/>
      </w:r>
      <w:r w:rsidR="004F6DA7">
        <w:rPr>
          <w:rFonts w:ascii="Times New Roman" w:hAnsi="Times New Roman"/>
        </w:rPr>
        <w:t xml:space="preserve"> T</w:t>
      </w:r>
      <w:r w:rsidR="00CE790E">
        <w:rPr>
          <w:rFonts w:ascii="Times New Roman" w:hAnsi="Times New Roman"/>
        </w:rPr>
        <w:t>he Sentencing Reform Act</w:t>
      </w:r>
      <w:r w:rsidR="004F6DA7">
        <w:rPr>
          <w:rFonts w:ascii="Times New Roman" w:hAnsi="Times New Roman"/>
        </w:rPr>
        <w:t xml:space="preserve"> of 1984</w:t>
      </w:r>
      <w:r w:rsidR="00CE790E">
        <w:rPr>
          <w:rFonts w:ascii="Times New Roman" w:hAnsi="Times New Roman"/>
        </w:rPr>
        <w:t xml:space="preserve"> </w:t>
      </w:r>
      <w:r w:rsidR="004F6DA7">
        <w:rPr>
          <w:rFonts w:ascii="Times New Roman" w:hAnsi="Times New Roman"/>
        </w:rPr>
        <w:t>promulgated</w:t>
      </w:r>
      <w:r w:rsidR="00CE790E">
        <w:rPr>
          <w:rFonts w:ascii="Times New Roman" w:hAnsi="Times New Roman"/>
        </w:rPr>
        <w:t xml:space="preserve"> mandatory sentencing guidelines for </w:t>
      </w:r>
      <w:r>
        <w:rPr>
          <w:rFonts w:ascii="Times New Roman" w:hAnsi="Times New Roman"/>
        </w:rPr>
        <w:t xml:space="preserve">federal </w:t>
      </w:r>
      <w:r w:rsidR="00CE790E">
        <w:rPr>
          <w:rFonts w:ascii="Times New Roman" w:hAnsi="Times New Roman"/>
        </w:rPr>
        <w:t>judges that were, as one observer stated, oriented “more toward toughness rathe</w:t>
      </w:r>
      <w:r w:rsidR="0014415A">
        <w:rPr>
          <w:rFonts w:ascii="Times New Roman" w:hAnsi="Times New Roman"/>
        </w:rPr>
        <w:t>r than toward fairness</w:t>
      </w:r>
      <w:r w:rsidR="00CE790E">
        <w:rPr>
          <w:rFonts w:ascii="Times New Roman" w:hAnsi="Times New Roman"/>
        </w:rPr>
        <w:t>”</w:t>
      </w:r>
      <w:r w:rsidR="0014415A">
        <w:rPr>
          <w:rFonts w:ascii="Times New Roman" w:hAnsi="Times New Roman"/>
        </w:rPr>
        <w:t xml:space="preserve"> given how dramatically they increased sentence</w:t>
      </w:r>
      <w:r w:rsidR="004F6DA7">
        <w:rPr>
          <w:rFonts w:ascii="Times New Roman" w:hAnsi="Times New Roman"/>
        </w:rPr>
        <w:t>s</w:t>
      </w:r>
      <w:r w:rsidR="0014415A">
        <w:rPr>
          <w:rFonts w:ascii="Times New Roman" w:hAnsi="Times New Roman"/>
        </w:rPr>
        <w:t>.</w:t>
      </w:r>
      <w:r w:rsidR="00CE790E">
        <w:rPr>
          <w:rStyle w:val="FootnoteReference"/>
          <w:rFonts w:ascii="Times New Roman" w:hAnsi="Times New Roman"/>
        </w:rPr>
        <w:footnoteReference w:id="83"/>
      </w:r>
      <w:r w:rsidR="00CE790E">
        <w:rPr>
          <w:rFonts w:ascii="Times New Roman" w:hAnsi="Times New Roman"/>
        </w:rPr>
        <w:t xml:space="preserve"> Congressional supporters of the bill declared that imposing </w:t>
      </w:r>
      <w:r w:rsidR="007C7F26">
        <w:rPr>
          <w:rFonts w:ascii="Times New Roman" w:hAnsi="Times New Roman"/>
        </w:rPr>
        <w:t xml:space="preserve">the </w:t>
      </w:r>
      <w:r w:rsidR="00CE790E">
        <w:rPr>
          <w:rFonts w:ascii="Times New Roman" w:hAnsi="Times New Roman"/>
        </w:rPr>
        <w:t xml:space="preserve">minimum sentence </w:t>
      </w:r>
      <w:r w:rsidR="007C7F26">
        <w:rPr>
          <w:rFonts w:ascii="Times New Roman" w:hAnsi="Times New Roman"/>
        </w:rPr>
        <w:t>would be “ludicrous</w:t>
      </w:r>
      <w:r w:rsidR="00CE790E">
        <w:rPr>
          <w:rFonts w:ascii="Times New Roman" w:hAnsi="Times New Roman"/>
        </w:rPr>
        <w:t>” and “a mockery of the guidelines.”</w:t>
      </w:r>
      <w:r w:rsidR="00CE790E">
        <w:rPr>
          <w:rStyle w:val="FootnoteReference"/>
          <w:rFonts w:ascii="Times New Roman" w:hAnsi="Times New Roman"/>
        </w:rPr>
        <w:footnoteReference w:id="84"/>
      </w:r>
      <w:r w:rsidR="0014415A">
        <w:rPr>
          <w:rFonts w:ascii="Times New Roman" w:hAnsi="Times New Roman"/>
        </w:rPr>
        <w:t xml:space="preserve"> Numerous states </w:t>
      </w:r>
      <w:r>
        <w:rPr>
          <w:rFonts w:ascii="Times New Roman" w:hAnsi="Times New Roman"/>
        </w:rPr>
        <w:t>implemented similarly harsh</w:t>
      </w:r>
      <w:r w:rsidR="0014415A">
        <w:rPr>
          <w:rFonts w:ascii="Times New Roman" w:hAnsi="Times New Roman"/>
        </w:rPr>
        <w:t xml:space="preserve"> guidelines directing judges to mete out severe sentences.</w:t>
      </w:r>
      <w:r w:rsidR="0014415A">
        <w:rPr>
          <w:rStyle w:val="FootnoteReference"/>
          <w:rFonts w:ascii="Times New Roman" w:hAnsi="Times New Roman"/>
        </w:rPr>
        <w:footnoteReference w:id="85"/>
      </w:r>
    </w:p>
    <w:p w14:paraId="2C3F6DB0" w14:textId="1143AF83" w:rsidR="00283FDD" w:rsidRDefault="0014415A" w:rsidP="00920CC3">
      <w:pPr>
        <w:widowControl w:val="0"/>
        <w:spacing w:line="480" w:lineRule="auto"/>
        <w:ind w:firstLine="720"/>
        <w:rPr>
          <w:rFonts w:ascii="Times New Roman" w:hAnsi="Times New Roman"/>
        </w:rPr>
      </w:pPr>
      <w:r>
        <w:rPr>
          <w:rFonts w:ascii="Times New Roman" w:hAnsi="Times New Roman"/>
        </w:rPr>
        <w:t xml:space="preserve">The shift from indeterminate to determinate sentencing </w:t>
      </w:r>
      <w:r w:rsidR="007C7F26">
        <w:rPr>
          <w:rFonts w:ascii="Times New Roman" w:hAnsi="Times New Roman"/>
        </w:rPr>
        <w:t>was</w:t>
      </w:r>
      <w:r>
        <w:rPr>
          <w:rFonts w:ascii="Times New Roman" w:hAnsi="Times New Roman"/>
        </w:rPr>
        <w:t xml:space="preserve"> a radical </w:t>
      </w:r>
      <w:r w:rsidR="00542B78">
        <w:rPr>
          <w:rFonts w:ascii="Times New Roman" w:hAnsi="Times New Roman"/>
        </w:rPr>
        <w:t>change</w:t>
      </w:r>
      <w:r>
        <w:rPr>
          <w:rFonts w:ascii="Times New Roman" w:hAnsi="Times New Roman"/>
        </w:rPr>
        <w:t>,</w:t>
      </w:r>
      <w:r w:rsidR="007C7F26">
        <w:rPr>
          <w:rFonts w:ascii="Times New Roman" w:hAnsi="Times New Roman"/>
        </w:rPr>
        <w:t xml:space="preserve"> but</w:t>
      </w:r>
      <w:r>
        <w:rPr>
          <w:rFonts w:ascii="Times New Roman" w:hAnsi="Times New Roman"/>
        </w:rPr>
        <w:t xml:space="preserve"> there is a </w:t>
      </w:r>
      <w:r w:rsidR="00595E27">
        <w:rPr>
          <w:rFonts w:ascii="Times New Roman" w:hAnsi="Times New Roman"/>
        </w:rPr>
        <w:t>logical</w:t>
      </w:r>
      <w:r>
        <w:rPr>
          <w:rFonts w:ascii="Times New Roman" w:hAnsi="Times New Roman"/>
        </w:rPr>
        <w:t xml:space="preserve"> continuity </w:t>
      </w:r>
      <w:r w:rsidR="00427D5A">
        <w:rPr>
          <w:rFonts w:ascii="Times New Roman" w:hAnsi="Times New Roman"/>
        </w:rPr>
        <w:t>betwee</w:t>
      </w:r>
      <w:r w:rsidR="00283FDD">
        <w:rPr>
          <w:rFonts w:ascii="Times New Roman" w:hAnsi="Times New Roman"/>
        </w:rPr>
        <w:t>n</w:t>
      </w:r>
      <w:r w:rsidR="00595E27">
        <w:rPr>
          <w:rFonts w:ascii="Times New Roman" w:hAnsi="Times New Roman"/>
        </w:rPr>
        <w:t xml:space="preserve"> the two systems</w:t>
      </w:r>
      <w:r>
        <w:rPr>
          <w:rFonts w:ascii="Times New Roman" w:hAnsi="Times New Roman"/>
        </w:rPr>
        <w:t xml:space="preserve">. </w:t>
      </w:r>
      <w:r w:rsidR="00FB360F">
        <w:rPr>
          <w:rFonts w:ascii="Times New Roman" w:hAnsi="Times New Roman"/>
        </w:rPr>
        <w:t xml:space="preserve">The </w:t>
      </w:r>
      <w:r w:rsidR="00595E27">
        <w:rPr>
          <w:rFonts w:ascii="Times New Roman" w:hAnsi="Times New Roman"/>
        </w:rPr>
        <w:t>logic</w:t>
      </w:r>
      <w:r w:rsidR="00FB360F">
        <w:rPr>
          <w:rFonts w:ascii="Times New Roman" w:hAnsi="Times New Roman"/>
        </w:rPr>
        <w:t xml:space="preserve"> </w:t>
      </w:r>
      <w:r w:rsidR="004F59C8">
        <w:rPr>
          <w:rFonts w:ascii="Times New Roman" w:hAnsi="Times New Roman"/>
        </w:rPr>
        <w:t>of</w:t>
      </w:r>
      <w:r w:rsidR="00FB360F">
        <w:rPr>
          <w:rFonts w:ascii="Times New Roman" w:hAnsi="Times New Roman"/>
        </w:rPr>
        <w:t xml:space="preserve"> indeterminate sent</w:t>
      </w:r>
      <w:r w:rsidR="00595E27">
        <w:rPr>
          <w:rFonts w:ascii="Times New Roman" w:hAnsi="Times New Roman"/>
        </w:rPr>
        <w:t>encing</w:t>
      </w:r>
      <w:r>
        <w:rPr>
          <w:rFonts w:ascii="Times New Roman" w:hAnsi="Times New Roman"/>
        </w:rPr>
        <w:t xml:space="preserve"> was</w:t>
      </w:r>
      <w:r w:rsidR="00FB360F">
        <w:rPr>
          <w:rFonts w:ascii="Times New Roman" w:hAnsi="Times New Roman"/>
        </w:rPr>
        <w:t xml:space="preserve"> that it allowed </w:t>
      </w:r>
      <w:r w:rsidR="00595E27">
        <w:rPr>
          <w:rFonts w:ascii="Times New Roman" w:hAnsi="Times New Roman"/>
        </w:rPr>
        <w:t>penal</w:t>
      </w:r>
      <w:r>
        <w:rPr>
          <w:rFonts w:ascii="Times New Roman" w:hAnsi="Times New Roman"/>
        </w:rPr>
        <w:t xml:space="preserve"> officials and parole boards </w:t>
      </w:r>
      <w:r w:rsidR="00FB360F">
        <w:rPr>
          <w:rFonts w:ascii="Times New Roman" w:hAnsi="Times New Roman"/>
        </w:rPr>
        <w:t xml:space="preserve">to </w:t>
      </w:r>
      <w:r w:rsidR="00595E27">
        <w:rPr>
          <w:rFonts w:ascii="Times New Roman" w:hAnsi="Times New Roman"/>
        </w:rPr>
        <w:t>release</w:t>
      </w:r>
      <w:r w:rsidR="00FB360F">
        <w:rPr>
          <w:rFonts w:ascii="Times New Roman" w:hAnsi="Times New Roman"/>
        </w:rPr>
        <w:t xml:space="preserve"> </w:t>
      </w:r>
      <w:r w:rsidR="00595E27">
        <w:rPr>
          <w:rFonts w:ascii="Times New Roman" w:hAnsi="Times New Roman"/>
        </w:rPr>
        <w:t>redeemed</w:t>
      </w:r>
      <w:r w:rsidR="00FB360F">
        <w:rPr>
          <w:rFonts w:ascii="Times New Roman" w:hAnsi="Times New Roman"/>
        </w:rPr>
        <w:t xml:space="preserve"> offenders and </w:t>
      </w:r>
      <w:r>
        <w:rPr>
          <w:rFonts w:ascii="Times New Roman" w:hAnsi="Times New Roman"/>
        </w:rPr>
        <w:t>contain incorrigi</w:t>
      </w:r>
      <w:r w:rsidR="00427D5A">
        <w:rPr>
          <w:rFonts w:ascii="Times New Roman" w:hAnsi="Times New Roman"/>
        </w:rPr>
        <w:t>ble</w:t>
      </w:r>
      <w:r w:rsidR="00595E27">
        <w:rPr>
          <w:rFonts w:ascii="Times New Roman" w:hAnsi="Times New Roman"/>
        </w:rPr>
        <w:t xml:space="preserve"> ones</w:t>
      </w:r>
      <w:r w:rsidR="00427D5A">
        <w:rPr>
          <w:rFonts w:ascii="Times New Roman" w:hAnsi="Times New Roman"/>
        </w:rPr>
        <w:t xml:space="preserve">. In a sense, it was fueled by </w:t>
      </w:r>
      <w:r w:rsidR="007C7F26">
        <w:rPr>
          <w:rFonts w:ascii="Times New Roman" w:hAnsi="Times New Roman"/>
        </w:rPr>
        <w:t>skepticism</w:t>
      </w:r>
      <w:r>
        <w:rPr>
          <w:rFonts w:ascii="Times New Roman" w:hAnsi="Times New Roman"/>
        </w:rPr>
        <w:t xml:space="preserve"> in the ability of judges to determine who</w:t>
      </w:r>
      <w:r w:rsidR="00427D5A">
        <w:rPr>
          <w:rFonts w:ascii="Times New Roman" w:hAnsi="Times New Roman"/>
        </w:rPr>
        <w:t xml:space="preserve"> was reformable and</w:t>
      </w:r>
      <w:r>
        <w:rPr>
          <w:rFonts w:ascii="Times New Roman" w:hAnsi="Times New Roman"/>
        </w:rPr>
        <w:t xml:space="preserve"> </w:t>
      </w:r>
      <w:r w:rsidR="00542B78">
        <w:rPr>
          <w:rFonts w:ascii="Times New Roman" w:hAnsi="Times New Roman"/>
        </w:rPr>
        <w:t>gave</w:t>
      </w:r>
      <w:r>
        <w:rPr>
          <w:rFonts w:ascii="Times New Roman" w:hAnsi="Times New Roman"/>
        </w:rPr>
        <w:t xml:space="preserve"> discretion </w:t>
      </w:r>
      <w:r w:rsidR="00D2402A">
        <w:rPr>
          <w:rFonts w:ascii="Times New Roman" w:hAnsi="Times New Roman"/>
        </w:rPr>
        <w:t xml:space="preserve">for such questions </w:t>
      </w:r>
      <w:r w:rsidR="00542B78">
        <w:rPr>
          <w:rFonts w:ascii="Times New Roman" w:hAnsi="Times New Roman"/>
        </w:rPr>
        <w:t>to</w:t>
      </w:r>
      <w:r w:rsidR="00427D5A">
        <w:rPr>
          <w:rFonts w:ascii="Times New Roman" w:hAnsi="Times New Roman"/>
        </w:rPr>
        <w:t xml:space="preserve"> penal experts.</w:t>
      </w:r>
      <w:r w:rsidR="00FB360F">
        <w:rPr>
          <w:rFonts w:ascii="Times New Roman" w:hAnsi="Times New Roman"/>
        </w:rPr>
        <w:t xml:space="preserve"> </w:t>
      </w:r>
      <w:r w:rsidR="007C7F26">
        <w:rPr>
          <w:rFonts w:ascii="Times New Roman" w:hAnsi="Times New Roman"/>
        </w:rPr>
        <w:t>The rise of determinate sentencing</w:t>
      </w:r>
      <w:r w:rsidR="002A0E2E">
        <w:rPr>
          <w:rFonts w:ascii="Times New Roman" w:hAnsi="Times New Roman"/>
        </w:rPr>
        <w:t xml:space="preserve"> </w:t>
      </w:r>
      <w:r w:rsidR="007C7F26">
        <w:rPr>
          <w:rFonts w:ascii="Times New Roman" w:hAnsi="Times New Roman"/>
        </w:rPr>
        <w:t>was similarl</w:t>
      </w:r>
      <w:r w:rsidR="00595E27">
        <w:rPr>
          <w:rFonts w:ascii="Times New Roman" w:hAnsi="Times New Roman"/>
        </w:rPr>
        <w:t>y fueled by distrust in judicial discretion,</w:t>
      </w:r>
      <w:r w:rsidR="002A0E2E">
        <w:rPr>
          <w:rFonts w:ascii="Times New Roman" w:hAnsi="Times New Roman"/>
        </w:rPr>
        <w:t xml:space="preserve"> </w:t>
      </w:r>
      <w:r w:rsidR="007C7F26">
        <w:rPr>
          <w:rFonts w:ascii="Times New Roman" w:hAnsi="Times New Roman"/>
        </w:rPr>
        <w:t>but was drive</w:t>
      </w:r>
      <w:r w:rsidR="002A0E2E">
        <w:rPr>
          <w:rFonts w:ascii="Times New Roman" w:hAnsi="Times New Roman"/>
        </w:rPr>
        <w:t xml:space="preserve">n more by anxieties </w:t>
      </w:r>
      <w:r w:rsidR="00595E27">
        <w:rPr>
          <w:rFonts w:ascii="Times New Roman" w:hAnsi="Times New Roman"/>
        </w:rPr>
        <w:t>over</w:t>
      </w:r>
      <w:r w:rsidR="002A0E2E">
        <w:rPr>
          <w:rFonts w:ascii="Times New Roman" w:hAnsi="Times New Roman"/>
        </w:rPr>
        <w:t xml:space="preserve"> judges</w:t>
      </w:r>
      <w:r w:rsidR="007C7F26">
        <w:rPr>
          <w:rFonts w:ascii="Times New Roman" w:hAnsi="Times New Roman"/>
        </w:rPr>
        <w:t xml:space="preserve"> underestimating the</w:t>
      </w:r>
      <w:r w:rsidR="00920CC3">
        <w:rPr>
          <w:rFonts w:ascii="Times New Roman" w:hAnsi="Times New Roman"/>
        </w:rPr>
        <w:t xml:space="preserve"> incorrigibility of criminals. </w:t>
      </w:r>
      <w:r w:rsidR="00283FDD">
        <w:rPr>
          <w:rFonts w:ascii="Times New Roman" w:hAnsi="Times New Roman"/>
        </w:rPr>
        <w:t xml:space="preserve">Nowhere is </w:t>
      </w:r>
      <w:r w:rsidR="00920CC3">
        <w:rPr>
          <w:rFonts w:ascii="Times New Roman" w:hAnsi="Times New Roman"/>
        </w:rPr>
        <w:t>the</w:t>
      </w:r>
      <w:r w:rsidR="00283FDD">
        <w:rPr>
          <w:rFonts w:ascii="Times New Roman" w:hAnsi="Times New Roman"/>
        </w:rPr>
        <w:t xml:space="preserve"> continuity </w:t>
      </w:r>
      <w:r w:rsidR="00920CC3">
        <w:rPr>
          <w:rFonts w:ascii="Times New Roman" w:hAnsi="Times New Roman"/>
        </w:rPr>
        <w:t xml:space="preserve">between </w:t>
      </w:r>
      <w:r w:rsidR="00595E27">
        <w:rPr>
          <w:rFonts w:ascii="Times New Roman" w:hAnsi="Times New Roman"/>
        </w:rPr>
        <w:t xml:space="preserve">the </w:t>
      </w:r>
      <w:r w:rsidR="00920CC3">
        <w:rPr>
          <w:rFonts w:ascii="Times New Roman" w:hAnsi="Times New Roman"/>
        </w:rPr>
        <w:t xml:space="preserve">rehabilitative theory </w:t>
      </w:r>
      <w:r w:rsidR="00595E27">
        <w:rPr>
          <w:rFonts w:ascii="Times New Roman" w:hAnsi="Times New Roman"/>
        </w:rPr>
        <w:t xml:space="preserve">favoring indeterminate sentencing and strict </w:t>
      </w:r>
      <w:r w:rsidR="00920CC3">
        <w:rPr>
          <w:rFonts w:ascii="Times New Roman" w:hAnsi="Times New Roman"/>
        </w:rPr>
        <w:t xml:space="preserve">determinate sentencing </w:t>
      </w:r>
      <w:r w:rsidR="00595E27">
        <w:rPr>
          <w:rFonts w:ascii="Times New Roman" w:hAnsi="Times New Roman"/>
        </w:rPr>
        <w:t xml:space="preserve">schemes </w:t>
      </w:r>
      <w:r w:rsidR="002F433C">
        <w:rPr>
          <w:rFonts w:ascii="Times New Roman" w:hAnsi="Times New Roman"/>
        </w:rPr>
        <w:t xml:space="preserve">clearer </w:t>
      </w:r>
      <w:r w:rsidR="00283FDD">
        <w:rPr>
          <w:rFonts w:ascii="Times New Roman" w:hAnsi="Times New Roman"/>
        </w:rPr>
        <w:t xml:space="preserve">than in the fact that </w:t>
      </w:r>
      <w:r w:rsidR="001151C0">
        <w:rPr>
          <w:rFonts w:ascii="Times New Roman" w:hAnsi="Times New Roman"/>
        </w:rPr>
        <w:t xml:space="preserve">determinate </w:t>
      </w:r>
      <w:r w:rsidR="00920CC3">
        <w:rPr>
          <w:rFonts w:ascii="Times New Roman" w:hAnsi="Times New Roman"/>
        </w:rPr>
        <w:t>three-strikes laws, which spread</w:t>
      </w:r>
      <w:r w:rsidR="001151C0">
        <w:rPr>
          <w:rFonts w:ascii="Times New Roman" w:hAnsi="Times New Roman"/>
        </w:rPr>
        <w:t xml:space="preserve"> across the states in the 1990s, </w:t>
      </w:r>
      <w:r w:rsidR="00283FDD">
        <w:rPr>
          <w:rFonts w:ascii="Times New Roman" w:hAnsi="Times New Roman"/>
        </w:rPr>
        <w:t xml:space="preserve">were </w:t>
      </w:r>
      <w:r w:rsidR="00D2402A">
        <w:rPr>
          <w:rFonts w:ascii="Times New Roman" w:hAnsi="Times New Roman"/>
        </w:rPr>
        <w:t xml:space="preserve">first </w:t>
      </w:r>
      <w:r w:rsidR="00283FDD">
        <w:rPr>
          <w:rFonts w:ascii="Times New Roman" w:hAnsi="Times New Roman"/>
        </w:rPr>
        <w:t>suggested by Henry Boies in 1893.</w:t>
      </w:r>
      <w:r w:rsidR="00283FDD">
        <w:rPr>
          <w:rStyle w:val="FootnoteReference"/>
        </w:rPr>
        <w:footnoteReference w:id="86"/>
      </w:r>
      <w:r w:rsidR="00283FDD">
        <w:rPr>
          <w:rFonts w:ascii="Times New Roman" w:hAnsi="Times New Roman"/>
        </w:rPr>
        <w:t xml:space="preserve"> </w:t>
      </w:r>
      <w:r w:rsidR="00D2402A">
        <w:rPr>
          <w:rFonts w:ascii="Times New Roman" w:hAnsi="Times New Roman"/>
        </w:rPr>
        <w:t>This</w:t>
      </w:r>
      <w:r w:rsidR="00920CC3">
        <w:rPr>
          <w:rFonts w:ascii="Times New Roman" w:hAnsi="Times New Roman"/>
        </w:rPr>
        <w:t xml:space="preserve"> </w:t>
      </w:r>
      <w:r w:rsidR="00FB360F">
        <w:rPr>
          <w:rFonts w:ascii="Times New Roman" w:hAnsi="Times New Roman"/>
        </w:rPr>
        <w:t xml:space="preserve">foreshadowed the distrust of judicial-decision making that </w:t>
      </w:r>
      <w:r w:rsidR="00920CC3">
        <w:rPr>
          <w:rFonts w:ascii="Times New Roman" w:hAnsi="Times New Roman"/>
        </w:rPr>
        <w:t>would facilitate the rise of determinate sentencing</w:t>
      </w:r>
      <w:r w:rsidR="00FB360F">
        <w:rPr>
          <w:rFonts w:ascii="Times New Roman" w:hAnsi="Times New Roman"/>
        </w:rPr>
        <w:t xml:space="preserve"> in the 1970s. </w:t>
      </w:r>
    </w:p>
    <w:p w14:paraId="7FE092FA" w14:textId="016779DE" w:rsidR="00266776" w:rsidRPr="001151C0" w:rsidRDefault="00FB360F" w:rsidP="001151C0">
      <w:pPr>
        <w:widowControl w:val="0"/>
        <w:spacing w:line="480" w:lineRule="auto"/>
        <w:ind w:firstLine="720"/>
        <w:rPr>
          <w:rFonts w:ascii="Times New Roman" w:hAnsi="Times New Roman"/>
        </w:rPr>
      </w:pPr>
      <w:r>
        <w:t xml:space="preserve">That the conservative </w:t>
      </w:r>
      <w:r w:rsidR="001151C0">
        <w:t>attack on indeterminate sentencing as too lenient</w:t>
      </w:r>
      <w:r>
        <w:t xml:space="preserve"> prevailed</w:t>
      </w:r>
      <w:r w:rsidR="001151C0">
        <w:t xml:space="preserve"> over the liberal criticism </w:t>
      </w:r>
      <w:r w:rsidR="00D2402A">
        <w:t>about</w:t>
      </w:r>
      <w:r w:rsidR="001151C0">
        <w:t xml:space="preserve"> arbitrary disparities</w:t>
      </w:r>
      <w:r>
        <w:t xml:space="preserve"> was not just a </w:t>
      </w:r>
      <w:r w:rsidR="00D2402A">
        <w:t>result</w:t>
      </w:r>
      <w:r>
        <w:t xml:space="preserve"> of the Right being louder. </w:t>
      </w:r>
      <w:r w:rsidR="001151C0">
        <w:t>The Republicans’</w:t>
      </w:r>
      <w:r w:rsidR="00427D5A">
        <w:t xml:space="preserve"> argument</w:t>
      </w:r>
      <w:r>
        <w:t xml:space="preserve"> </w:t>
      </w:r>
      <w:r w:rsidR="00427D5A">
        <w:t xml:space="preserve">built on the claim that many criminals were immune to rehabilitation and necessitated indefinite incarceration, which was </w:t>
      </w:r>
      <w:r>
        <w:t xml:space="preserve">a formative </w:t>
      </w:r>
      <w:r w:rsidR="00595E27">
        <w:t>assumption</w:t>
      </w:r>
      <w:r>
        <w:t xml:space="preserve"> of the </w:t>
      </w:r>
      <w:r w:rsidR="00427D5A">
        <w:t>rehabilitative ideal</w:t>
      </w:r>
      <w:r>
        <w:t xml:space="preserve">. </w:t>
      </w:r>
      <w:r>
        <w:rPr>
          <w:rFonts w:ascii="Times New Roman" w:hAnsi="Times New Roman"/>
        </w:rPr>
        <w:t>The Right</w:t>
      </w:r>
      <w:r w:rsidR="00427D5A">
        <w:rPr>
          <w:rFonts w:ascii="Times New Roman" w:hAnsi="Times New Roman"/>
        </w:rPr>
        <w:t xml:space="preserve">’s argument for severe determinate sentencing </w:t>
      </w:r>
      <w:r>
        <w:rPr>
          <w:rFonts w:ascii="Times New Roman" w:hAnsi="Times New Roman"/>
        </w:rPr>
        <w:t xml:space="preserve">did not change how we understood </w:t>
      </w:r>
      <w:r w:rsidR="00427D5A">
        <w:rPr>
          <w:rFonts w:ascii="Times New Roman" w:hAnsi="Times New Roman"/>
        </w:rPr>
        <w:t>criminal behavior</w:t>
      </w:r>
      <w:r w:rsidR="001151C0">
        <w:rPr>
          <w:rFonts w:ascii="Times New Roman" w:hAnsi="Times New Roman"/>
        </w:rPr>
        <w:t xml:space="preserve"> as much as it capitalized on beliefs</w:t>
      </w:r>
      <w:r w:rsidR="00D94D8F">
        <w:rPr>
          <w:rFonts w:ascii="Times New Roman" w:hAnsi="Times New Roman"/>
        </w:rPr>
        <w:t xml:space="preserve"> fundamental to </w:t>
      </w:r>
      <w:r w:rsidR="00D2402A">
        <w:rPr>
          <w:rFonts w:ascii="Times New Roman" w:hAnsi="Times New Roman"/>
        </w:rPr>
        <w:t xml:space="preserve">the </w:t>
      </w:r>
      <w:r w:rsidR="00D94D8F">
        <w:rPr>
          <w:rFonts w:ascii="Times New Roman" w:hAnsi="Times New Roman"/>
        </w:rPr>
        <w:t>rehabilitative ideology</w:t>
      </w:r>
      <w:r w:rsidR="00D2402A">
        <w:rPr>
          <w:rFonts w:ascii="Times New Roman" w:hAnsi="Times New Roman"/>
        </w:rPr>
        <w:t xml:space="preserve"> that had </w:t>
      </w:r>
      <w:r w:rsidR="00EB653A">
        <w:rPr>
          <w:rFonts w:ascii="Times New Roman" w:hAnsi="Times New Roman"/>
        </w:rPr>
        <w:t xml:space="preserve">already </w:t>
      </w:r>
      <w:r w:rsidR="002F433C">
        <w:rPr>
          <w:rFonts w:ascii="Times New Roman" w:hAnsi="Times New Roman"/>
        </w:rPr>
        <w:t>been shaping</w:t>
      </w:r>
      <w:r w:rsidR="00D2402A">
        <w:rPr>
          <w:rFonts w:ascii="Times New Roman" w:hAnsi="Times New Roman"/>
        </w:rPr>
        <w:t xml:space="preserve"> American penality for decades</w:t>
      </w:r>
      <w:r w:rsidR="001151C0">
        <w:rPr>
          <w:rFonts w:ascii="Times New Roman" w:hAnsi="Times New Roman"/>
        </w:rPr>
        <w:t xml:space="preserve">—that </w:t>
      </w:r>
      <w:r w:rsidR="00D2402A">
        <w:rPr>
          <w:rFonts w:ascii="Times New Roman" w:hAnsi="Times New Roman"/>
        </w:rPr>
        <w:t>some offenders are incorrigible</w:t>
      </w:r>
      <w:r w:rsidR="001151C0">
        <w:rPr>
          <w:rFonts w:ascii="Times New Roman" w:hAnsi="Times New Roman"/>
        </w:rPr>
        <w:t xml:space="preserve"> and that </w:t>
      </w:r>
      <w:r w:rsidR="00427D5A">
        <w:rPr>
          <w:rFonts w:ascii="Times New Roman" w:hAnsi="Times New Roman"/>
        </w:rPr>
        <w:t xml:space="preserve">judges </w:t>
      </w:r>
      <w:r w:rsidR="00D2402A">
        <w:rPr>
          <w:rFonts w:ascii="Times New Roman" w:hAnsi="Times New Roman"/>
        </w:rPr>
        <w:t>were</w:t>
      </w:r>
      <w:r w:rsidR="00427D5A">
        <w:rPr>
          <w:rFonts w:ascii="Times New Roman" w:hAnsi="Times New Roman"/>
        </w:rPr>
        <w:t xml:space="preserve"> </w:t>
      </w:r>
      <w:r w:rsidR="001151C0">
        <w:rPr>
          <w:rFonts w:ascii="Times New Roman" w:hAnsi="Times New Roman"/>
        </w:rPr>
        <w:t>not equipped to</w:t>
      </w:r>
      <w:r w:rsidR="00266776">
        <w:rPr>
          <w:rFonts w:ascii="Times New Roman" w:hAnsi="Times New Roman"/>
        </w:rPr>
        <w:t xml:space="preserve"> </w:t>
      </w:r>
      <w:r w:rsidR="001151C0">
        <w:rPr>
          <w:rFonts w:ascii="Times New Roman" w:hAnsi="Times New Roman"/>
        </w:rPr>
        <w:t>determine</w:t>
      </w:r>
      <w:r w:rsidR="00266776">
        <w:rPr>
          <w:rFonts w:ascii="Times New Roman" w:hAnsi="Times New Roman"/>
        </w:rPr>
        <w:t xml:space="preserve"> who is redeemable and who is </w:t>
      </w:r>
      <w:r w:rsidR="001151C0">
        <w:rPr>
          <w:rFonts w:ascii="Times New Roman" w:hAnsi="Times New Roman"/>
        </w:rPr>
        <w:t>incorrigible.</w:t>
      </w:r>
    </w:p>
    <w:p w14:paraId="65737508" w14:textId="43496A68" w:rsidR="00266776" w:rsidRDefault="00923924" w:rsidP="005969E2">
      <w:pPr>
        <w:widowControl w:val="0"/>
        <w:spacing w:line="480" w:lineRule="auto"/>
        <w:rPr>
          <w:rFonts w:ascii="Times New Roman" w:hAnsi="Times New Roman"/>
        </w:rPr>
      </w:pPr>
      <w:r>
        <w:rPr>
          <w:rFonts w:ascii="Times New Roman" w:hAnsi="Times New Roman"/>
          <w:b/>
          <w:i/>
        </w:rPr>
        <w:t xml:space="preserve">Mental Health Deinstitutionalization. </w:t>
      </w:r>
      <w:r w:rsidR="00D74C96">
        <w:rPr>
          <w:rFonts w:ascii="Times New Roman" w:hAnsi="Times New Roman"/>
        </w:rPr>
        <w:t xml:space="preserve">While compulsory sterilization laws for criminals reveal the punitive </w:t>
      </w:r>
      <w:r w:rsidR="00EB653A">
        <w:rPr>
          <w:rFonts w:ascii="Times New Roman" w:hAnsi="Times New Roman"/>
        </w:rPr>
        <w:t>potential</w:t>
      </w:r>
      <w:r w:rsidR="00D74C96">
        <w:rPr>
          <w:rFonts w:ascii="Times New Roman" w:hAnsi="Times New Roman"/>
        </w:rPr>
        <w:t xml:space="preserve"> of rehabilitative thought, most procedures occurred in mental health institutions</w:t>
      </w:r>
      <w:r w:rsidR="00DF12AC">
        <w:rPr>
          <w:rFonts w:ascii="Times New Roman" w:hAnsi="Times New Roman"/>
        </w:rPr>
        <w:t xml:space="preserve"> and many state </w:t>
      </w:r>
      <w:r w:rsidR="00661A11">
        <w:rPr>
          <w:rFonts w:ascii="Times New Roman" w:hAnsi="Times New Roman"/>
        </w:rPr>
        <w:t xml:space="preserve">sterilization laws </w:t>
      </w:r>
      <w:r w:rsidR="00DF12AC">
        <w:rPr>
          <w:rFonts w:ascii="Times New Roman" w:hAnsi="Times New Roman"/>
        </w:rPr>
        <w:t>only applied</w:t>
      </w:r>
      <w:r w:rsidR="00661A11">
        <w:rPr>
          <w:rFonts w:ascii="Times New Roman" w:hAnsi="Times New Roman"/>
        </w:rPr>
        <w:t xml:space="preserve"> to mental health </w:t>
      </w:r>
      <w:r w:rsidR="00A24EBB">
        <w:rPr>
          <w:rFonts w:ascii="Times New Roman" w:hAnsi="Times New Roman"/>
        </w:rPr>
        <w:t>patients</w:t>
      </w:r>
      <w:r w:rsidR="00D74C96">
        <w:rPr>
          <w:rFonts w:ascii="Times New Roman" w:hAnsi="Times New Roman"/>
        </w:rPr>
        <w:t>. But i</w:t>
      </w:r>
      <w:r w:rsidR="004C219E">
        <w:rPr>
          <w:rFonts w:ascii="Times New Roman" w:hAnsi="Times New Roman"/>
        </w:rPr>
        <w:t xml:space="preserve">n the 1950s and 1960s, mental health </w:t>
      </w:r>
      <w:r w:rsidR="000C5D69">
        <w:rPr>
          <w:rFonts w:ascii="Times New Roman" w:hAnsi="Times New Roman"/>
        </w:rPr>
        <w:t>facilities</w:t>
      </w:r>
      <w:r w:rsidR="004C219E">
        <w:rPr>
          <w:rFonts w:ascii="Times New Roman" w:hAnsi="Times New Roman"/>
        </w:rPr>
        <w:t xml:space="preserve"> </w:t>
      </w:r>
      <w:r w:rsidR="000C5D69">
        <w:rPr>
          <w:rFonts w:ascii="Times New Roman" w:hAnsi="Times New Roman"/>
        </w:rPr>
        <w:t>“deinstitutionalized</w:t>
      </w:r>
      <w:r w:rsidR="004C219E">
        <w:rPr>
          <w:rFonts w:ascii="Times New Roman" w:hAnsi="Times New Roman"/>
        </w:rPr>
        <w:t>.</w:t>
      </w:r>
      <w:r w:rsidR="000C5D69">
        <w:rPr>
          <w:rFonts w:ascii="Times New Roman" w:hAnsi="Times New Roman"/>
        </w:rPr>
        <w:t>”</w:t>
      </w:r>
      <w:r w:rsidR="004C219E">
        <w:rPr>
          <w:rFonts w:ascii="Times New Roman" w:hAnsi="Times New Roman"/>
        </w:rPr>
        <w:t xml:space="preserve"> </w:t>
      </w:r>
      <w:r w:rsidR="006D45A5">
        <w:rPr>
          <w:rFonts w:ascii="Times New Roman" w:hAnsi="Times New Roman"/>
        </w:rPr>
        <w:t xml:space="preserve">Driven by </w:t>
      </w:r>
      <w:r w:rsidR="00F21F08">
        <w:rPr>
          <w:rFonts w:ascii="Times New Roman" w:hAnsi="Times New Roman"/>
        </w:rPr>
        <w:t>ethical</w:t>
      </w:r>
      <w:r w:rsidR="006D45A5">
        <w:rPr>
          <w:rFonts w:ascii="Times New Roman" w:hAnsi="Times New Roman"/>
        </w:rPr>
        <w:t xml:space="preserve"> concerns about </w:t>
      </w:r>
      <w:r w:rsidR="00EB653A">
        <w:rPr>
          <w:rFonts w:ascii="Times New Roman" w:hAnsi="Times New Roman"/>
        </w:rPr>
        <w:t>quality of care, condition</w:t>
      </w:r>
      <w:r w:rsidR="006D45A5">
        <w:rPr>
          <w:rFonts w:ascii="Times New Roman" w:hAnsi="Times New Roman"/>
        </w:rPr>
        <w:t xml:space="preserve"> of institutions</w:t>
      </w:r>
      <w:r w:rsidR="00EB653A">
        <w:rPr>
          <w:rFonts w:ascii="Times New Roman" w:hAnsi="Times New Roman"/>
        </w:rPr>
        <w:t>,</w:t>
      </w:r>
      <w:r w:rsidR="006D45A5">
        <w:rPr>
          <w:rFonts w:ascii="Times New Roman" w:hAnsi="Times New Roman"/>
        </w:rPr>
        <w:t xml:space="preserve"> and public support for community-based care, </w:t>
      </w:r>
      <w:r w:rsidR="00A24EBB">
        <w:rPr>
          <w:rFonts w:ascii="Times New Roman" w:hAnsi="Times New Roman"/>
        </w:rPr>
        <w:t>deinstitutionalization aimed to</w:t>
      </w:r>
      <w:r w:rsidR="004C219E">
        <w:rPr>
          <w:rFonts w:ascii="Times New Roman" w:hAnsi="Times New Roman"/>
        </w:rPr>
        <w:t xml:space="preserve"> shift the mentally ill and developmentally disabled from psychiatric hosp</w:t>
      </w:r>
      <w:r w:rsidR="006D45A5">
        <w:rPr>
          <w:rFonts w:ascii="Times New Roman" w:hAnsi="Times New Roman"/>
        </w:rPr>
        <w:t>itals to smaller community</w:t>
      </w:r>
      <w:r w:rsidR="004C219E">
        <w:rPr>
          <w:rFonts w:ascii="Times New Roman" w:hAnsi="Times New Roman"/>
        </w:rPr>
        <w:t xml:space="preserve"> </w:t>
      </w:r>
      <w:r w:rsidR="006D45A5">
        <w:rPr>
          <w:rFonts w:ascii="Times New Roman" w:hAnsi="Times New Roman"/>
        </w:rPr>
        <w:t>institutions</w:t>
      </w:r>
      <w:r w:rsidR="004C219E">
        <w:rPr>
          <w:rFonts w:ascii="Times New Roman" w:hAnsi="Times New Roman"/>
        </w:rPr>
        <w:t>.</w:t>
      </w:r>
      <w:r w:rsidR="004C219E">
        <w:rPr>
          <w:rStyle w:val="FootnoteReference"/>
          <w:rFonts w:ascii="Times New Roman" w:hAnsi="Times New Roman"/>
        </w:rPr>
        <w:footnoteReference w:id="87"/>
      </w:r>
      <w:r w:rsidR="004C219E">
        <w:rPr>
          <w:rFonts w:ascii="Times New Roman" w:hAnsi="Times New Roman"/>
        </w:rPr>
        <w:t xml:space="preserve"> For a </w:t>
      </w:r>
      <w:r w:rsidR="006D45A5">
        <w:rPr>
          <w:rFonts w:ascii="Times New Roman" w:hAnsi="Times New Roman"/>
        </w:rPr>
        <w:t>variety</w:t>
      </w:r>
      <w:r w:rsidR="004C219E">
        <w:rPr>
          <w:rFonts w:ascii="Times New Roman" w:hAnsi="Times New Roman"/>
        </w:rPr>
        <w:t xml:space="preserve"> of re</w:t>
      </w:r>
      <w:r w:rsidR="00A24EBB">
        <w:rPr>
          <w:rFonts w:ascii="Times New Roman" w:hAnsi="Times New Roman"/>
        </w:rPr>
        <w:t>asons</w:t>
      </w:r>
      <w:r w:rsidR="004C219E">
        <w:rPr>
          <w:rFonts w:ascii="Times New Roman" w:hAnsi="Times New Roman"/>
        </w:rPr>
        <w:t xml:space="preserve"> </w:t>
      </w:r>
      <w:r w:rsidR="006D45A5">
        <w:rPr>
          <w:rFonts w:ascii="Times New Roman" w:hAnsi="Times New Roman"/>
        </w:rPr>
        <w:t>this did not happen as planned</w:t>
      </w:r>
      <w:r w:rsidR="00157F37">
        <w:rPr>
          <w:rFonts w:ascii="Times New Roman" w:hAnsi="Times New Roman"/>
        </w:rPr>
        <w:t>, and incarcerating</w:t>
      </w:r>
      <w:r w:rsidR="00A24EBB">
        <w:rPr>
          <w:rFonts w:ascii="Times New Roman" w:hAnsi="Times New Roman"/>
        </w:rPr>
        <w:t xml:space="preserve"> the</w:t>
      </w:r>
      <w:r w:rsidR="00157F37">
        <w:rPr>
          <w:rFonts w:ascii="Times New Roman" w:hAnsi="Times New Roman"/>
        </w:rPr>
        <w:t xml:space="preserve"> </w:t>
      </w:r>
      <w:r w:rsidR="00CB7736">
        <w:rPr>
          <w:rFonts w:ascii="Times New Roman" w:hAnsi="Times New Roman"/>
        </w:rPr>
        <w:t xml:space="preserve">mentally ill </w:t>
      </w:r>
      <w:r w:rsidR="00D74C96">
        <w:rPr>
          <w:rFonts w:ascii="Times New Roman" w:hAnsi="Times New Roman"/>
        </w:rPr>
        <w:t>behind bars</w:t>
      </w:r>
      <w:r w:rsidR="00157F37">
        <w:rPr>
          <w:rFonts w:ascii="Times New Roman" w:hAnsi="Times New Roman"/>
        </w:rPr>
        <w:t xml:space="preserve"> has become commonplace as a cost-saving measure</w:t>
      </w:r>
      <w:r w:rsidR="00CB7736">
        <w:rPr>
          <w:rFonts w:ascii="Times New Roman" w:hAnsi="Times New Roman"/>
        </w:rPr>
        <w:t>.</w:t>
      </w:r>
      <w:r w:rsidR="00CB7736">
        <w:rPr>
          <w:rStyle w:val="FootnoteReference"/>
          <w:rFonts w:ascii="Times New Roman" w:hAnsi="Times New Roman"/>
        </w:rPr>
        <w:footnoteReference w:id="88"/>
      </w:r>
      <w:r w:rsidR="00157F37">
        <w:rPr>
          <w:rFonts w:ascii="Times New Roman" w:hAnsi="Times New Roman"/>
        </w:rPr>
        <w:t xml:space="preserve"> </w:t>
      </w:r>
    </w:p>
    <w:p w14:paraId="00BDF110" w14:textId="47577D38" w:rsidR="00D74C96" w:rsidRPr="0077547F" w:rsidRDefault="004D7A88" w:rsidP="0077547F">
      <w:pPr>
        <w:widowControl w:val="0"/>
        <w:spacing w:line="480" w:lineRule="auto"/>
        <w:ind w:firstLine="720"/>
        <w:rPr>
          <w:rFonts w:ascii="Times New Roman" w:hAnsi="Times New Roman"/>
          <w:b/>
        </w:rPr>
      </w:pPr>
      <w:r>
        <w:rPr>
          <w:rFonts w:ascii="Times New Roman" w:hAnsi="Times New Roman"/>
        </w:rPr>
        <w:t xml:space="preserve">While </w:t>
      </w:r>
      <w:r w:rsidR="00377E0B">
        <w:rPr>
          <w:rFonts w:ascii="Times New Roman" w:hAnsi="Times New Roman"/>
        </w:rPr>
        <w:t xml:space="preserve">cost saving concerns help </w:t>
      </w:r>
      <w:r w:rsidR="00E2370C">
        <w:rPr>
          <w:rFonts w:ascii="Times New Roman" w:hAnsi="Times New Roman"/>
        </w:rPr>
        <w:t>to explain the increased incarceration of the mentally ill</w:t>
      </w:r>
      <w:r>
        <w:rPr>
          <w:rFonts w:ascii="Times New Roman" w:hAnsi="Times New Roman"/>
        </w:rPr>
        <w:t xml:space="preserve">, </w:t>
      </w:r>
      <w:r w:rsidR="00377E0B">
        <w:rPr>
          <w:rFonts w:ascii="Times New Roman" w:hAnsi="Times New Roman"/>
        </w:rPr>
        <w:t>additional factors matter</w:t>
      </w:r>
      <w:r w:rsidR="00E2370C">
        <w:rPr>
          <w:rFonts w:ascii="Times New Roman" w:hAnsi="Times New Roman"/>
        </w:rPr>
        <w:t xml:space="preserve"> to this story</w:t>
      </w:r>
      <w:r>
        <w:rPr>
          <w:rFonts w:ascii="Times New Roman" w:hAnsi="Times New Roman"/>
        </w:rPr>
        <w:t xml:space="preserve">. Locking up </w:t>
      </w:r>
      <w:r w:rsidR="00A24EBB">
        <w:rPr>
          <w:rFonts w:ascii="Times New Roman" w:hAnsi="Times New Roman"/>
        </w:rPr>
        <w:t>the</w:t>
      </w:r>
      <w:r>
        <w:rPr>
          <w:rFonts w:ascii="Times New Roman" w:hAnsi="Times New Roman"/>
        </w:rPr>
        <w:t xml:space="preserve"> </w:t>
      </w:r>
      <w:r w:rsidR="00A24EBB">
        <w:rPr>
          <w:rFonts w:ascii="Times New Roman" w:hAnsi="Times New Roman"/>
        </w:rPr>
        <w:t>mentally ill mirrors</w:t>
      </w:r>
      <w:r>
        <w:rPr>
          <w:rFonts w:ascii="Times New Roman" w:hAnsi="Times New Roman"/>
        </w:rPr>
        <w:t xml:space="preserve"> several features of the logic of rehabilitation—that some offenders </w:t>
      </w:r>
      <w:r w:rsidR="00A24EBB">
        <w:rPr>
          <w:rFonts w:ascii="Times New Roman" w:hAnsi="Times New Roman"/>
        </w:rPr>
        <w:t>are</w:t>
      </w:r>
      <w:r>
        <w:rPr>
          <w:rFonts w:ascii="Times New Roman" w:hAnsi="Times New Roman"/>
        </w:rPr>
        <w:t xml:space="preserve"> incorrigible, that criminal behavior </w:t>
      </w:r>
      <w:r w:rsidR="00A24EBB">
        <w:rPr>
          <w:rFonts w:ascii="Times New Roman" w:hAnsi="Times New Roman"/>
        </w:rPr>
        <w:t>is</w:t>
      </w:r>
      <w:r w:rsidR="000C5D69">
        <w:rPr>
          <w:rFonts w:ascii="Times New Roman" w:hAnsi="Times New Roman"/>
        </w:rPr>
        <w:t xml:space="preserve"> biological</w:t>
      </w:r>
      <w:r>
        <w:rPr>
          <w:rFonts w:ascii="Times New Roman" w:hAnsi="Times New Roman"/>
        </w:rPr>
        <w:t xml:space="preserve">, and that the hard power of the state could and should be employed to </w:t>
      </w:r>
      <w:r w:rsidR="000C5D69">
        <w:rPr>
          <w:rFonts w:ascii="Times New Roman" w:hAnsi="Times New Roman"/>
        </w:rPr>
        <w:t>control</w:t>
      </w:r>
      <w:r>
        <w:rPr>
          <w:rFonts w:ascii="Times New Roman" w:hAnsi="Times New Roman"/>
        </w:rPr>
        <w:t xml:space="preserve"> the</w:t>
      </w:r>
      <w:r w:rsidR="00F21F08">
        <w:rPr>
          <w:rFonts w:ascii="Times New Roman" w:hAnsi="Times New Roman"/>
        </w:rPr>
        <w:t>m.</w:t>
      </w:r>
      <w:r>
        <w:rPr>
          <w:rFonts w:ascii="Times New Roman" w:hAnsi="Times New Roman"/>
        </w:rPr>
        <w:t xml:space="preserve"> Bernard Harcourt’s assessment of the nation’s </w:t>
      </w:r>
      <w:r w:rsidRPr="000427FC">
        <w:rPr>
          <w:rFonts w:ascii="Times New Roman" w:hAnsi="Times New Roman"/>
        </w:rPr>
        <w:t>overall</w:t>
      </w:r>
      <w:r>
        <w:rPr>
          <w:rFonts w:ascii="Times New Roman" w:hAnsi="Times New Roman"/>
        </w:rPr>
        <w:t xml:space="preserve"> institutionalization rate during the twentieth century illuminates </w:t>
      </w:r>
      <w:r w:rsidR="00A24EBB">
        <w:rPr>
          <w:rFonts w:ascii="Times New Roman" w:hAnsi="Times New Roman"/>
        </w:rPr>
        <w:t xml:space="preserve">this </w:t>
      </w:r>
      <w:r w:rsidR="000C5D69">
        <w:rPr>
          <w:rFonts w:ascii="Times New Roman" w:hAnsi="Times New Roman"/>
        </w:rPr>
        <w:t>connection. He</w:t>
      </w:r>
      <w:r>
        <w:rPr>
          <w:rFonts w:ascii="Times New Roman" w:hAnsi="Times New Roman"/>
        </w:rPr>
        <w:t xml:space="preserve"> shows that from 1938 to 1960 the </w:t>
      </w:r>
      <w:r w:rsidR="000C5D69">
        <w:rPr>
          <w:rFonts w:ascii="Times New Roman" w:hAnsi="Times New Roman"/>
        </w:rPr>
        <w:t>rate</w:t>
      </w:r>
      <w:r>
        <w:rPr>
          <w:rFonts w:ascii="Times New Roman" w:hAnsi="Times New Roman"/>
        </w:rPr>
        <w:t xml:space="preserve"> </w:t>
      </w:r>
      <w:r w:rsidR="0077547F">
        <w:rPr>
          <w:rFonts w:ascii="Times New Roman" w:hAnsi="Times New Roman"/>
        </w:rPr>
        <w:t xml:space="preserve">of </w:t>
      </w:r>
      <w:r>
        <w:rPr>
          <w:rFonts w:ascii="Times New Roman" w:hAnsi="Times New Roman"/>
        </w:rPr>
        <w:t xml:space="preserve">citizens institutionalized in mental hospitals and prisons </w:t>
      </w:r>
      <w:r w:rsidR="000C5D69">
        <w:rPr>
          <w:rFonts w:ascii="Times New Roman" w:hAnsi="Times New Roman"/>
        </w:rPr>
        <w:t>combined remained</w:t>
      </w:r>
      <w:r>
        <w:rPr>
          <w:rFonts w:ascii="Times New Roman" w:hAnsi="Times New Roman"/>
        </w:rPr>
        <w:t xml:space="preserve"> over 600 people per 100,000. As hospitals </w:t>
      </w:r>
      <w:r w:rsidR="000C5D69">
        <w:rPr>
          <w:rFonts w:ascii="Times New Roman" w:hAnsi="Times New Roman"/>
        </w:rPr>
        <w:t>emptied</w:t>
      </w:r>
      <w:r>
        <w:rPr>
          <w:rFonts w:ascii="Times New Roman" w:hAnsi="Times New Roman"/>
        </w:rPr>
        <w:t xml:space="preserve"> in the 1960s and 1970s, the prison population increased and kept the </w:t>
      </w:r>
      <w:r w:rsidR="000C5D69">
        <w:rPr>
          <w:rFonts w:ascii="Times New Roman" w:hAnsi="Times New Roman"/>
        </w:rPr>
        <w:t>total</w:t>
      </w:r>
      <w:r>
        <w:rPr>
          <w:rFonts w:ascii="Times New Roman" w:hAnsi="Times New Roman"/>
        </w:rPr>
        <w:t xml:space="preserve"> institutionalization rate relatively constant. Harcourt argues that the shared emphasis on social control of undesirables in mental facilities and prisons helps </w:t>
      </w:r>
      <w:r w:rsidR="000C5D69">
        <w:rPr>
          <w:rFonts w:ascii="Times New Roman" w:hAnsi="Times New Roman"/>
        </w:rPr>
        <w:t xml:space="preserve">to </w:t>
      </w:r>
      <w:r>
        <w:rPr>
          <w:rFonts w:ascii="Times New Roman" w:hAnsi="Times New Roman"/>
        </w:rPr>
        <w:t xml:space="preserve">explain the consistency of </w:t>
      </w:r>
      <w:r w:rsidR="00A24EBB">
        <w:rPr>
          <w:rFonts w:ascii="Times New Roman" w:hAnsi="Times New Roman"/>
        </w:rPr>
        <w:t>the</w:t>
      </w:r>
      <w:r>
        <w:rPr>
          <w:rFonts w:ascii="Times New Roman" w:hAnsi="Times New Roman"/>
        </w:rPr>
        <w:t xml:space="preserve"> aggregate institutionalization rate.</w:t>
      </w:r>
      <w:r>
        <w:rPr>
          <w:rStyle w:val="FootnoteReference"/>
          <w:rFonts w:ascii="Times New Roman" w:hAnsi="Times New Roman"/>
        </w:rPr>
        <w:footnoteReference w:id="89"/>
      </w:r>
      <w:r>
        <w:rPr>
          <w:rFonts w:ascii="Times New Roman" w:hAnsi="Times New Roman"/>
        </w:rPr>
        <w:t xml:space="preserve"> </w:t>
      </w:r>
      <w:r w:rsidR="0077547F">
        <w:rPr>
          <w:rFonts w:ascii="Times New Roman" w:hAnsi="Times New Roman"/>
        </w:rPr>
        <w:t xml:space="preserve">As </w:t>
      </w:r>
      <w:r w:rsidR="005216B7">
        <w:rPr>
          <w:rFonts w:ascii="Times New Roman" w:hAnsi="Times New Roman"/>
        </w:rPr>
        <w:t>mental health</w:t>
      </w:r>
      <w:r w:rsidR="00EB1A27">
        <w:rPr>
          <w:rFonts w:ascii="Times New Roman" w:hAnsi="Times New Roman"/>
        </w:rPr>
        <w:t xml:space="preserve"> </w:t>
      </w:r>
      <w:r w:rsidR="00E2370C">
        <w:rPr>
          <w:rFonts w:ascii="Times New Roman" w:hAnsi="Times New Roman"/>
        </w:rPr>
        <w:t>facilities</w:t>
      </w:r>
      <w:r w:rsidR="00D74C96">
        <w:rPr>
          <w:rFonts w:ascii="Times New Roman" w:hAnsi="Times New Roman"/>
        </w:rPr>
        <w:t xml:space="preserve"> emptied, their population at least partially shifted to prison</w:t>
      </w:r>
      <w:r w:rsidR="00D771E0">
        <w:rPr>
          <w:rFonts w:ascii="Times New Roman" w:hAnsi="Times New Roman"/>
        </w:rPr>
        <w:t>s</w:t>
      </w:r>
      <w:r w:rsidR="0077547F">
        <w:rPr>
          <w:rFonts w:ascii="Times New Roman" w:hAnsi="Times New Roman"/>
        </w:rPr>
        <w:t xml:space="preserve">; </w:t>
      </w:r>
      <w:r w:rsidR="00D74C96">
        <w:rPr>
          <w:rFonts w:ascii="Times New Roman" w:hAnsi="Times New Roman"/>
        </w:rPr>
        <w:t>research on federal inmates indicates that 26% have been d</w:t>
      </w:r>
      <w:r w:rsidR="008E38F6">
        <w:rPr>
          <w:rFonts w:ascii="Times New Roman" w:hAnsi="Times New Roman"/>
        </w:rPr>
        <w:t>iagnosed with a mental illness (</w:t>
      </w:r>
      <w:r w:rsidR="00E2370C">
        <w:rPr>
          <w:rFonts w:ascii="Times New Roman" w:hAnsi="Times New Roman"/>
        </w:rPr>
        <w:t>though</w:t>
      </w:r>
      <w:r w:rsidR="00D74C96">
        <w:rPr>
          <w:rFonts w:ascii="Times New Roman" w:hAnsi="Times New Roman"/>
        </w:rPr>
        <w:t xml:space="preserve"> less than 50% </w:t>
      </w:r>
      <w:r w:rsidR="00E2370C">
        <w:rPr>
          <w:rFonts w:ascii="Times New Roman" w:hAnsi="Times New Roman"/>
        </w:rPr>
        <w:t>are treated</w:t>
      </w:r>
      <w:r w:rsidR="008E38F6">
        <w:rPr>
          <w:rFonts w:ascii="Times New Roman" w:hAnsi="Times New Roman"/>
        </w:rPr>
        <w:t>), a tremendous increase from 5% in the 1960s</w:t>
      </w:r>
      <w:r w:rsidR="00D74C96">
        <w:rPr>
          <w:rFonts w:ascii="Times New Roman" w:hAnsi="Times New Roman"/>
        </w:rPr>
        <w:t>.</w:t>
      </w:r>
      <w:r w:rsidR="00D74C96">
        <w:rPr>
          <w:rStyle w:val="FootnoteReference"/>
          <w:rFonts w:ascii="Times New Roman" w:hAnsi="Times New Roman"/>
        </w:rPr>
        <w:footnoteReference w:id="90"/>
      </w:r>
      <w:r w:rsidR="00D74C96">
        <w:rPr>
          <w:rFonts w:ascii="Times New Roman" w:hAnsi="Times New Roman"/>
        </w:rPr>
        <w:t xml:space="preserve"> Further, deinstitutionalization occurred as blacks enter</w:t>
      </w:r>
      <w:r w:rsidR="00661A11">
        <w:rPr>
          <w:rFonts w:ascii="Times New Roman" w:hAnsi="Times New Roman"/>
        </w:rPr>
        <w:t>ed</w:t>
      </w:r>
      <w:r w:rsidR="00D74C96">
        <w:rPr>
          <w:rFonts w:ascii="Times New Roman" w:hAnsi="Times New Roman"/>
        </w:rPr>
        <w:t xml:space="preserve"> the mental health system in larger numbers, prompting Harcourt to ask</w:t>
      </w:r>
      <w:r w:rsidR="00E2370C">
        <w:rPr>
          <w:rFonts w:ascii="Times New Roman" w:hAnsi="Times New Roman"/>
        </w:rPr>
        <w:t xml:space="preserve"> if incarceration was deemed a better</w:t>
      </w:r>
      <w:r w:rsidR="00D74C96">
        <w:rPr>
          <w:rFonts w:ascii="Times New Roman" w:hAnsi="Times New Roman"/>
        </w:rPr>
        <w:t xml:space="preserve"> </w:t>
      </w:r>
      <w:r w:rsidR="008E38F6">
        <w:rPr>
          <w:rFonts w:ascii="Times New Roman" w:hAnsi="Times New Roman"/>
        </w:rPr>
        <w:t>option</w:t>
      </w:r>
      <w:r w:rsidR="00D74C96">
        <w:rPr>
          <w:rFonts w:ascii="Times New Roman" w:hAnsi="Times New Roman"/>
        </w:rPr>
        <w:t xml:space="preserve"> for </w:t>
      </w:r>
      <w:r w:rsidR="00661A11">
        <w:rPr>
          <w:rFonts w:ascii="Times New Roman" w:hAnsi="Times New Roman"/>
        </w:rPr>
        <w:t>a</w:t>
      </w:r>
      <w:r w:rsidR="008E38F6">
        <w:rPr>
          <w:rFonts w:ascii="Times New Roman" w:hAnsi="Times New Roman"/>
        </w:rPr>
        <w:t>n increasingly black</w:t>
      </w:r>
      <w:r w:rsidR="00D74C96">
        <w:rPr>
          <w:rFonts w:ascii="Times New Roman" w:hAnsi="Times New Roman"/>
        </w:rPr>
        <w:t xml:space="preserve"> mentally ill</w:t>
      </w:r>
      <w:r w:rsidR="008E38F6">
        <w:rPr>
          <w:rFonts w:ascii="Times New Roman" w:hAnsi="Times New Roman"/>
        </w:rPr>
        <w:t xml:space="preserve"> population</w:t>
      </w:r>
      <w:r w:rsidR="00D74C96">
        <w:rPr>
          <w:rFonts w:ascii="Times New Roman" w:hAnsi="Times New Roman"/>
        </w:rPr>
        <w:t>.</w:t>
      </w:r>
      <w:r w:rsidR="00D74C96">
        <w:rPr>
          <w:rStyle w:val="FootnoteReference"/>
          <w:rFonts w:ascii="Times New Roman" w:hAnsi="Times New Roman"/>
        </w:rPr>
        <w:footnoteReference w:id="91"/>
      </w:r>
      <w:r w:rsidR="00D74C96">
        <w:rPr>
          <w:rFonts w:ascii="Times New Roman" w:hAnsi="Times New Roman"/>
        </w:rPr>
        <w:t xml:space="preserve"> </w:t>
      </w:r>
    </w:p>
    <w:p w14:paraId="03AAC35F" w14:textId="1525CBA8" w:rsidR="00490B9C" w:rsidRDefault="00661A11" w:rsidP="005216B7">
      <w:pPr>
        <w:widowControl w:val="0"/>
        <w:spacing w:line="480" w:lineRule="auto"/>
        <w:ind w:firstLine="720"/>
        <w:rPr>
          <w:rFonts w:ascii="Times New Roman" w:hAnsi="Times New Roman"/>
        </w:rPr>
      </w:pPr>
      <w:r>
        <w:rPr>
          <w:rFonts w:ascii="Times New Roman" w:hAnsi="Times New Roman"/>
        </w:rPr>
        <w:t xml:space="preserve">However, it </w:t>
      </w:r>
      <w:r w:rsidR="00F21F08">
        <w:rPr>
          <w:rFonts w:ascii="Times New Roman" w:hAnsi="Times New Roman"/>
        </w:rPr>
        <w:t>would be a</w:t>
      </w:r>
      <w:r w:rsidR="000C5D69">
        <w:rPr>
          <w:rFonts w:ascii="Times New Roman" w:hAnsi="Times New Roman"/>
        </w:rPr>
        <w:t>n</w:t>
      </w:r>
      <w:r w:rsidR="00F21F08">
        <w:rPr>
          <w:rFonts w:ascii="Times New Roman" w:hAnsi="Times New Roman"/>
        </w:rPr>
        <w:t xml:space="preserve"> oversimplification to claim that in the wake of deinstitutionalization, </w:t>
      </w:r>
      <w:r w:rsidR="000C5D69">
        <w:rPr>
          <w:rFonts w:ascii="Times New Roman" w:hAnsi="Times New Roman"/>
        </w:rPr>
        <w:t>everyone</w:t>
      </w:r>
      <w:r w:rsidR="00F21F08">
        <w:rPr>
          <w:rFonts w:ascii="Times New Roman" w:hAnsi="Times New Roman"/>
        </w:rPr>
        <w:t xml:space="preserve"> released from mental hospitals landed in prison. There were </w:t>
      </w:r>
      <w:r w:rsidR="005216B7">
        <w:rPr>
          <w:rFonts w:ascii="Times New Roman" w:hAnsi="Times New Roman"/>
        </w:rPr>
        <w:t xml:space="preserve">major </w:t>
      </w:r>
      <w:r w:rsidR="000C5D69">
        <w:rPr>
          <w:rFonts w:ascii="Times New Roman" w:hAnsi="Times New Roman"/>
        </w:rPr>
        <w:t xml:space="preserve">demographic </w:t>
      </w:r>
      <w:r w:rsidR="00F21F08">
        <w:rPr>
          <w:rFonts w:ascii="Times New Roman" w:hAnsi="Times New Roman"/>
        </w:rPr>
        <w:t xml:space="preserve">differences between the </w:t>
      </w:r>
      <w:r w:rsidR="000C5D69">
        <w:rPr>
          <w:rFonts w:ascii="Times New Roman" w:hAnsi="Times New Roman"/>
        </w:rPr>
        <w:t>residents of</w:t>
      </w:r>
      <w:r w:rsidR="00F21F08">
        <w:rPr>
          <w:rFonts w:ascii="Times New Roman" w:hAnsi="Times New Roman"/>
        </w:rPr>
        <w:t xml:space="preserve"> </w:t>
      </w:r>
      <w:r w:rsidR="000C5D69">
        <w:rPr>
          <w:rFonts w:ascii="Times New Roman" w:hAnsi="Times New Roman"/>
        </w:rPr>
        <w:t xml:space="preserve">mid-century </w:t>
      </w:r>
      <w:r w:rsidR="00F21F08">
        <w:rPr>
          <w:rFonts w:ascii="Times New Roman" w:hAnsi="Times New Roman"/>
        </w:rPr>
        <w:t xml:space="preserve">mental health </w:t>
      </w:r>
      <w:r w:rsidR="000C5D69">
        <w:rPr>
          <w:rFonts w:ascii="Times New Roman" w:hAnsi="Times New Roman"/>
        </w:rPr>
        <w:t>facilities</w:t>
      </w:r>
      <w:r w:rsidR="00F21F08">
        <w:rPr>
          <w:rFonts w:ascii="Times New Roman" w:hAnsi="Times New Roman"/>
        </w:rPr>
        <w:t xml:space="preserve"> and the prisons of the 1970s—for example, mental health </w:t>
      </w:r>
      <w:r w:rsidR="007424B5">
        <w:rPr>
          <w:rFonts w:ascii="Times New Roman" w:hAnsi="Times New Roman"/>
        </w:rPr>
        <w:t>institutions</w:t>
      </w:r>
      <w:r w:rsidR="00F21F08">
        <w:rPr>
          <w:rFonts w:ascii="Times New Roman" w:hAnsi="Times New Roman"/>
        </w:rPr>
        <w:t xml:space="preserve"> </w:t>
      </w:r>
      <w:r w:rsidR="000C5D69">
        <w:rPr>
          <w:rFonts w:ascii="Times New Roman" w:hAnsi="Times New Roman"/>
        </w:rPr>
        <w:t>had</w:t>
      </w:r>
      <w:r w:rsidR="00F21F08">
        <w:rPr>
          <w:rFonts w:ascii="Times New Roman" w:hAnsi="Times New Roman"/>
        </w:rPr>
        <w:t xml:space="preserve"> larger </w:t>
      </w:r>
      <w:r w:rsidR="000C5D69">
        <w:rPr>
          <w:rFonts w:ascii="Times New Roman" w:hAnsi="Times New Roman"/>
        </w:rPr>
        <w:t>female populations</w:t>
      </w:r>
      <w:r w:rsidR="00F21F08">
        <w:rPr>
          <w:rFonts w:ascii="Times New Roman" w:hAnsi="Times New Roman"/>
        </w:rPr>
        <w:t>. But there is reason to believe</w:t>
      </w:r>
      <w:r w:rsidR="00D74C96">
        <w:rPr>
          <w:rFonts w:ascii="Times New Roman" w:hAnsi="Times New Roman"/>
        </w:rPr>
        <w:t xml:space="preserve"> that the blurry distinction between criminality and mental illness </w:t>
      </w:r>
      <w:r w:rsidR="00F21F08">
        <w:rPr>
          <w:rFonts w:ascii="Times New Roman" w:hAnsi="Times New Roman"/>
        </w:rPr>
        <w:t>forged</w:t>
      </w:r>
      <w:r w:rsidR="00D74C96">
        <w:rPr>
          <w:rFonts w:ascii="Times New Roman" w:hAnsi="Times New Roman"/>
        </w:rPr>
        <w:t xml:space="preserve"> earlier in the century </w:t>
      </w:r>
      <w:r w:rsidR="00F21F08">
        <w:rPr>
          <w:rFonts w:ascii="Times New Roman" w:hAnsi="Times New Roman"/>
        </w:rPr>
        <w:t xml:space="preserve">mattered when sterilization rates fell and asylums shut down. </w:t>
      </w:r>
      <w:r>
        <w:rPr>
          <w:rFonts w:ascii="Times New Roman" w:hAnsi="Times New Roman"/>
        </w:rPr>
        <w:t xml:space="preserve">Mentally ill criminals had </w:t>
      </w:r>
      <w:r w:rsidR="00490B9C">
        <w:rPr>
          <w:rFonts w:ascii="Times New Roman" w:hAnsi="Times New Roman"/>
        </w:rPr>
        <w:t>long</w:t>
      </w:r>
      <w:r>
        <w:rPr>
          <w:rFonts w:ascii="Times New Roman" w:hAnsi="Times New Roman"/>
        </w:rPr>
        <w:t xml:space="preserve"> been deemed incorrigible and subjected to sterilization</w:t>
      </w:r>
      <w:r w:rsidR="008F3080">
        <w:rPr>
          <w:rFonts w:ascii="Times New Roman" w:hAnsi="Times New Roman"/>
        </w:rPr>
        <w:t xml:space="preserve">. While the shift to </w:t>
      </w:r>
      <w:r w:rsidR="007424B5">
        <w:rPr>
          <w:rFonts w:ascii="Times New Roman" w:hAnsi="Times New Roman"/>
        </w:rPr>
        <w:t>prisons</w:t>
      </w:r>
      <w:r w:rsidR="008F3080">
        <w:rPr>
          <w:rFonts w:ascii="Times New Roman" w:hAnsi="Times New Roman"/>
        </w:rPr>
        <w:t xml:space="preserve"> occur</w:t>
      </w:r>
      <w:r w:rsidR="00490B9C">
        <w:rPr>
          <w:rFonts w:ascii="Times New Roman" w:hAnsi="Times New Roman"/>
        </w:rPr>
        <w:t>red</w:t>
      </w:r>
      <w:r w:rsidR="008F3080">
        <w:rPr>
          <w:rFonts w:ascii="Times New Roman" w:hAnsi="Times New Roman"/>
        </w:rPr>
        <w:t xml:space="preserve"> at least partially due to </w:t>
      </w:r>
      <w:r w:rsidR="007424B5">
        <w:rPr>
          <w:rFonts w:ascii="Times New Roman" w:hAnsi="Times New Roman"/>
        </w:rPr>
        <w:t xml:space="preserve">political and economic complications </w:t>
      </w:r>
      <w:r w:rsidR="00A55E51">
        <w:rPr>
          <w:rFonts w:ascii="Times New Roman" w:hAnsi="Times New Roman"/>
        </w:rPr>
        <w:t xml:space="preserve">that arose </w:t>
      </w:r>
      <w:r w:rsidR="007424B5">
        <w:rPr>
          <w:rFonts w:ascii="Times New Roman" w:hAnsi="Times New Roman"/>
        </w:rPr>
        <w:t>during deinstitutionalization</w:t>
      </w:r>
      <w:r w:rsidR="008F3080">
        <w:rPr>
          <w:rFonts w:ascii="Times New Roman" w:hAnsi="Times New Roman"/>
        </w:rPr>
        <w:t>, it was abetted by the fact that mental illness had long been deemed an incorrigible form of criminality</w:t>
      </w:r>
      <w:r w:rsidR="00A621B6">
        <w:rPr>
          <w:rFonts w:ascii="Times New Roman" w:hAnsi="Times New Roman"/>
        </w:rPr>
        <w:t xml:space="preserve"> subjected to</w:t>
      </w:r>
      <w:r w:rsidR="00490B9C">
        <w:rPr>
          <w:rFonts w:ascii="Times New Roman" w:hAnsi="Times New Roman"/>
        </w:rPr>
        <w:t xml:space="preserve"> forms of punishment</w:t>
      </w:r>
      <w:r w:rsidR="00A621B6">
        <w:rPr>
          <w:rFonts w:ascii="Times New Roman" w:hAnsi="Times New Roman"/>
        </w:rPr>
        <w:t xml:space="preserve"> geared more towards incapacitation rather than rehabilitation</w:t>
      </w:r>
      <w:r w:rsidR="008F3080">
        <w:rPr>
          <w:rFonts w:ascii="Times New Roman" w:hAnsi="Times New Roman"/>
        </w:rPr>
        <w:t xml:space="preserve">. </w:t>
      </w:r>
      <w:r w:rsidR="00E65215">
        <w:rPr>
          <w:rFonts w:ascii="Times New Roman" w:hAnsi="Times New Roman"/>
        </w:rPr>
        <w:t xml:space="preserve">The premise that some offenders were redeemable while others </w:t>
      </w:r>
      <w:r w:rsidR="00613232">
        <w:rPr>
          <w:rFonts w:ascii="Times New Roman" w:hAnsi="Times New Roman"/>
        </w:rPr>
        <w:t xml:space="preserve">were not </w:t>
      </w:r>
      <w:r w:rsidR="00E65215">
        <w:rPr>
          <w:rFonts w:ascii="Times New Roman" w:hAnsi="Times New Roman"/>
        </w:rPr>
        <w:t>justified sterilizations in the earlier part of the century and incapacitation in the latter</w:t>
      </w:r>
      <w:r w:rsidR="00613232">
        <w:rPr>
          <w:rFonts w:ascii="Times New Roman" w:hAnsi="Times New Roman"/>
        </w:rPr>
        <w:t xml:space="preserve">, </w:t>
      </w:r>
      <w:r w:rsidR="005216B7">
        <w:rPr>
          <w:rFonts w:ascii="Times New Roman" w:hAnsi="Times New Roman"/>
        </w:rPr>
        <w:t xml:space="preserve">exemplifying how the rehabilitative ideal’s progenitors and the punitive policymakers of the latter twentieth century </w:t>
      </w:r>
      <w:r w:rsidR="00613232">
        <w:rPr>
          <w:rFonts w:ascii="Times New Roman" w:hAnsi="Times New Roman"/>
        </w:rPr>
        <w:t xml:space="preserve">shared </w:t>
      </w:r>
      <w:r w:rsidR="005216B7">
        <w:rPr>
          <w:rFonts w:ascii="Times New Roman" w:hAnsi="Times New Roman"/>
        </w:rPr>
        <w:t xml:space="preserve">a remarkable </w:t>
      </w:r>
      <w:r w:rsidR="00E65215">
        <w:rPr>
          <w:rFonts w:ascii="Times New Roman" w:hAnsi="Times New Roman"/>
        </w:rPr>
        <w:t xml:space="preserve">faith in the power of coercive state institutions </w:t>
      </w:r>
      <w:r w:rsidR="00613232">
        <w:rPr>
          <w:rFonts w:ascii="Times New Roman" w:hAnsi="Times New Roman"/>
        </w:rPr>
        <w:t xml:space="preserve">to enact positive social change.  </w:t>
      </w:r>
      <w:r w:rsidR="00E65215">
        <w:rPr>
          <w:rFonts w:ascii="Times New Roman" w:hAnsi="Times New Roman"/>
        </w:rPr>
        <w:t xml:space="preserve">   </w:t>
      </w:r>
    </w:p>
    <w:p w14:paraId="0C50BF67" w14:textId="5640B98D" w:rsidR="00E65215" w:rsidRPr="00490B9C" w:rsidRDefault="00030608" w:rsidP="00923413">
      <w:pPr>
        <w:widowControl w:val="0"/>
        <w:spacing w:line="480" w:lineRule="auto"/>
        <w:ind w:firstLine="720"/>
        <w:rPr>
          <w:rFonts w:ascii="Times New Roman" w:hAnsi="Times New Roman"/>
        </w:rPr>
      </w:pPr>
      <w:r>
        <w:rPr>
          <w:rFonts w:ascii="Times New Roman" w:hAnsi="Times New Roman"/>
        </w:rPr>
        <w:t xml:space="preserve">The </w:t>
      </w:r>
      <w:r w:rsidR="00490B9C">
        <w:rPr>
          <w:rFonts w:ascii="Times New Roman" w:hAnsi="Times New Roman"/>
        </w:rPr>
        <w:t>incarceration of the menta</w:t>
      </w:r>
      <w:r>
        <w:rPr>
          <w:rFonts w:ascii="Times New Roman" w:hAnsi="Times New Roman"/>
        </w:rPr>
        <w:t xml:space="preserve">lly ill and disabled was foreshadowed </w:t>
      </w:r>
      <w:r w:rsidR="00C72B57">
        <w:rPr>
          <w:rFonts w:ascii="Times New Roman" w:hAnsi="Times New Roman"/>
        </w:rPr>
        <w:t xml:space="preserve">by several of the </w:t>
      </w:r>
      <w:r w:rsidR="00490B9C">
        <w:rPr>
          <w:rFonts w:ascii="Times New Roman" w:hAnsi="Times New Roman"/>
        </w:rPr>
        <w:t xml:space="preserve">rehabilitative </w:t>
      </w:r>
      <w:r>
        <w:rPr>
          <w:rFonts w:ascii="Times New Roman" w:hAnsi="Times New Roman"/>
        </w:rPr>
        <w:t>ideal’s</w:t>
      </w:r>
      <w:r w:rsidR="00490B9C">
        <w:rPr>
          <w:rFonts w:ascii="Times New Roman" w:hAnsi="Times New Roman"/>
        </w:rPr>
        <w:t xml:space="preserve"> </w:t>
      </w:r>
      <w:r w:rsidR="00C72B57">
        <w:rPr>
          <w:rFonts w:ascii="Times New Roman" w:hAnsi="Times New Roman"/>
        </w:rPr>
        <w:t>creators</w:t>
      </w:r>
      <w:r w:rsidR="004D7A88">
        <w:rPr>
          <w:rFonts w:ascii="Times New Roman" w:hAnsi="Times New Roman"/>
        </w:rPr>
        <w:t xml:space="preserve"> </w:t>
      </w:r>
      <w:r>
        <w:rPr>
          <w:rFonts w:ascii="Times New Roman" w:hAnsi="Times New Roman"/>
        </w:rPr>
        <w:t xml:space="preserve">who </w:t>
      </w:r>
      <w:r w:rsidR="004D7A88">
        <w:rPr>
          <w:rFonts w:ascii="Times New Roman" w:hAnsi="Times New Roman"/>
        </w:rPr>
        <w:t xml:space="preserve">suggested that segregation of the mentally unfit was a humane means of </w:t>
      </w:r>
      <w:r w:rsidR="00C72B57">
        <w:rPr>
          <w:rFonts w:ascii="Times New Roman" w:hAnsi="Times New Roman"/>
        </w:rPr>
        <w:t>isolating</w:t>
      </w:r>
      <w:r w:rsidR="004D7A88">
        <w:rPr>
          <w:rFonts w:ascii="Times New Roman" w:hAnsi="Times New Roman"/>
        </w:rPr>
        <w:t xml:space="preserve"> incorrigibles from the population.</w:t>
      </w:r>
      <w:r w:rsidR="004D7A88">
        <w:rPr>
          <w:rStyle w:val="FootnoteReference"/>
          <w:rFonts w:ascii="Times New Roman" w:hAnsi="Times New Roman"/>
        </w:rPr>
        <w:footnoteReference w:id="92"/>
      </w:r>
      <w:r w:rsidR="004D7A88">
        <w:rPr>
          <w:rFonts w:ascii="Times New Roman" w:hAnsi="Times New Roman"/>
        </w:rPr>
        <w:t xml:space="preserve"> That penal institutions abandoned their commitment to rehabilitation as more mentally ill individuals found themselves </w:t>
      </w:r>
      <w:r w:rsidR="00490B9C">
        <w:rPr>
          <w:rFonts w:ascii="Times New Roman" w:hAnsi="Times New Roman"/>
        </w:rPr>
        <w:t>with nowhere to go</w:t>
      </w:r>
      <w:r w:rsidR="004D7A88">
        <w:rPr>
          <w:rFonts w:ascii="Times New Roman" w:hAnsi="Times New Roman"/>
        </w:rPr>
        <w:t xml:space="preserve"> makes sense </w:t>
      </w:r>
      <w:r w:rsidR="00C72B57">
        <w:rPr>
          <w:rFonts w:ascii="Times New Roman" w:hAnsi="Times New Roman"/>
        </w:rPr>
        <w:t>in light of</w:t>
      </w:r>
      <w:r w:rsidR="004D7A88">
        <w:rPr>
          <w:rFonts w:ascii="Times New Roman" w:hAnsi="Times New Roman"/>
        </w:rPr>
        <w:t xml:space="preserve"> the links between mental </w:t>
      </w:r>
      <w:r w:rsidR="00C72B57">
        <w:rPr>
          <w:rFonts w:ascii="Times New Roman" w:hAnsi="Times New Roman"/>
        </w:rPr>
        <w:t>illness</w:t>
      </w:r>
      <w:r w:rsidR="004D7A88">
        <w:rPr>
          <w:rFonts w:ascii="Times New Roman" w:hAnsi="Times New Roman"/>
        </w:rPr>
        <w:t xml:space="preserve"> and innate criminality </w:t>
      </w:r>
      <w:r w:rsidR="00C72B57">
        <w:rPr>
          <w:rFonts w:ascii="Times New Roman" w:hAnsi="Times New Roman"/>
        </w:rPr>
        <w:t xml:space="preserve">forged </w:t>
      </w:r>
      <w:r w:rsidR="004D7A88">
        <w:rPr>
          <w:rFonts w:ascii="Times New Roman" w:hAnsi="Times New Roman"/>
        </w:rPr>
        <w:t>during the formative years of the rehabilitative ideal.</w:t>
      </w:r>
      <w:r>
        <w:rPr>
          <w:rFonts w:ascii="Times New Roman" w:hAnsi="Times New Roman"/>
        </w:rPr>
        <w:t xml:space="preserve"> </w:t>
      </w:r>
    </w:p>
    <w:p w14:paraId="6DB4B663" w14:textId="43CE3F3C" w:rsidR="00426B86" w:rsidRDefault="007B2B4A" w:rsidP="00923413">
      <w:pPr>
        <w:widowControl w:val="0"/>
        <w:spacing w:line="480" w:lineRule="auto"/>
        <w:rPr>
          <w:rFonts w:ascii="Times New Roman" w:hAnsi="Times New Roman"/>
        </w:rPr>
      </w:pPr>
      <w:r>
        <w:rPr>
          <w:rFonts w:ascii="Times New Roman" w:hAnsi="Times New Roman"/>
          <w:b/>
          <w:i/>
        </w:rPr>
        <w:t>Race.</w:t>
      </w:r>
      <w:r>
        <w:rPr>
          <w:rFonts w:ascii="Times New Roman" w:hAnsi="Times New Roman"/>
        </w:rPr>
        <w:t xml:space="preserve"> Although </w:t>
      </w:r>
      <w:r w:rsidR="00C72B57">
        <w:rPr>
          <w:rFonts w:ascii="Times New Roman" w:hAnsi="Times New Roman"/>
        </w:rPr>
        <w:t>lynching has long declined</w:t>
      </w:r>
      <w:r>
        <w:rPr>
          <w:rFonts w:ascii="Times New Roman" w:hAnsi="Times New Roman"/>
        </w:rPr>
        <w:t xml:space="preserve">, </w:t>
      </w:r>
      <w:r w:rsidR="00C72B57">
        <w:rPr>
          <w:rFonts w:ascii="Times New Roman" w:hAnsi="Times New Roman"/>
        </w:rPr>
        <w:t xml:space="preserve">the </w:t>
      </w:r>
      <w:r>
        <w:rPr>
          <w:rFonts w:ascii="Times New Roman" w:hAnsi="Times New Roman"/>
        </w:rPr>
        <w:t xml:space="preserve">notions of innate black criminality </w:t>
      </w:r>
      <w:r w:rsidR="00C72B57">
        <w:rPr>
          <w:rFonts w:ascii="Times New Roman" w:hAnsi="Times New Roman"/>
        </w:rPr>
        <w:t xml:space="preserve">that justified it have </w:t>
      </w:r>
      <w:r>
        <w:rPr>
          <w:rFonts w:ascii="Times New Roman" w:hAnsi="Times New Roman"/>
        </w:rPr>
        <w:t xml:space="preserve">persisted </w:t>
      </w:r>
      <w:r w:rsidR="00426B86">
        <w:rPr>
          <w:rFonts w:ascii="Times New Roman" w:hAnsi="Times New Roman"/>
        </w:rPr>
        <w:t xml:space="preserve">and </w:t>
      </w:r>
      <w:r w:rsidR="00C72B57">
        <w:rPr>
          <w:rFonts w:ascii="Times New Roman" w:hAnsi="Times New Roman"/>
        </w:rPr>
        <w:t>influenced</w:t>
      </w:r>
      <w:r w:rsidR="00426B86">
        <w:rPr>
          <w:rFonts w:ascii="Times New Roman" w:hAnsi="Times New Roman"/>
        </w:rPr>
        <w:t xml:space="preserve"> development</w:t>
      </w:r>
      <w:r w:rsidR="00C72B57">
        <w:rPr>
          <w:rFonts w:ascii="Times New Roman" w:hAnsi="Times New Roman"/>
        </w:rPr>
        <w:t xml:space="preserve"> well</w:t>
      </w:r>
      <w:r w:rsidR="00426B86">
        <w:rPr>
          <w:rFonts w:ascii="Times New Roman" w:hAnsi="Times New Roman"/>
        </w:rPr>
        <w:t xml:space="preserve"> into</w:t>
      </w:r>
      <w:r>
        <w:rPr>
          <w:rFonts w:ascii="Times New Roman" w:hAnsi="Times New Roman"/>
        </w:rPr>
        <w:t xml:space="preserve"> the twentieth century. As Garland argues, the “specter” of lynching has shaped the contemporary death penalty</w:t>
      </w:r>
      <w:r w:rsidR="001B0AE1">
        <w:rPr>
          <w:rFonts w:ascii="Times New Roman" w:hAnsi="Times New Roman"/>
        </w:rPr>
        <w:t>, as m</w:t>
      </w:r>
      <w:r w:rsidR="00C72B57">
        <w:rPr>
          <w:rFonts w:ascii="Times New Roman" w:hAnsi="Times New Roman"/>
        </w:rPr>
        <w:t xml:space="preserve">odern </w:t>
      </w:r>
      <w:r>
        <w:rPr>
          <w:rFonts w:ascii="Times New Roman" w:hAnsi="Times New Roman"/>
        </w:rPr>
        <w:t xml:space="preserve">capital punishment </w:t>
      </w:r>
      <w:r w:rsidR="00C72B57">
        <w:rPr>
          <w:rFonts w:ascii="Times New Roman" w:hAnsi="Times New Roman"/>
        </w:rPr>
        <w:t xml:space="preserve">and lynching </w:t>
      </w:r>
      <w:r w:rsidR="00A461E8">
        <w:rPr>
          <w:rFonts w:ascii="Times New Roman" w:hAnsi="Times New Roman"/>
        </w:rPr>
        <w:t>have</w:t>
      </w:r>
      <w:r w:rsidR="00C72B57">
        <w:rPr>
          <w:rFonts w:ascii="Times New Roman" w:hAnsi="Times New Roman"/>
        </w:rPr>
        <w:t xml:space="preserve"> dis</w:t>
      </w:r>
      <w:r w:rsidR="00A461E8">
        <w:rPr>
          <w:rFonts w:ascii="Times New Roman" w:hAnsi="Times New Roman"/>
        </w:rPr>
        <w:t>turbing</w:t>
      </w:r>
      <w:r w:rsidR="00C72B57">
        <w:rPr>
          <w:rFonts w:ascii="Times New Roman" w:hAnsi="Times New Roman"/>
        </w:rPr>
        <w:t xml:space="preserve"> similar</w:t>
      </w:r>
      <w:r w:rsidR="00A461E8">
        <w:rPr>
          <w:rFonts w:ascii="Times New Roman" w:hAnsi="Times New Roman"/>
        </w:rPr>
        <w:t>ities</w:t>
      </w:r>
      <w:r w:rsidR="00A55E51">
        <w:rPr>
          <w:rFonts w:ascii="Times New Roman" w:hAnsi="Times New Roman"/>
        </w:rPr>
        <w:t xml:space="preserve"> like </w:t>
      </w:r>
      <w:r w:rsidR="001B0AE1">
        <w:rPr>
          <w:rFonts w:ascii="Times New Roman" w:hAnsi="Times New Roman"/>
        </w:rPr>
        <w:t>a</w:t>
      </w:r>
      <w:r>
        <w:rPr>
          <w:rFonts w:ascii="Times New Roman" w:hAnsi="Times New Roman"/>
        </w:rPr>
        <w:t xml:space="preserve"> concentration in the South, emphasis on victims’ rights, and racially biased outcomes.</w:t>
      </w:r>
      <w:r>
        <w:rPr>
          <w:rStyle w:val="FootnoteReference"/>
          <w:rFonts w:ascii="Times New Roman" w:hAnsi="Times New Roman"/>
        </w:rPr>
        <w:footnoteReference w:id="93"/>
      </w:r>
      <w:r>
        <w:rPr>
          <w:rFonts w:ascii="Times New Roman" w:hAnsi="Times New Roman"/>
        </w:rPr>
        <w:t xml:space="preserve"> </w:t>
      </w:r>
      <w:r w:rsidR="00A461E8">
        <w:rPr>
          <w:rFonts w:ascii="Times New Roman" w:hAnsi="Times New Roman"/>
        </w:rPr>
        <w:t>Garland and others have concluded that these</w:t>
      </w:r>
      <w:r>
        <w:rPr>
          <w:rFonts w:ascii="Times New Roman" w:hAnsi="Times New Roman"/>
        </w:rPr>
        <w:t xml:space="preserve"> common dynamics suggest that the death penalty, </w:t>
      </w:r>
      <w:r w:rsidR="00A461E8">
        <w:rPr>
          <w:rFonts w:ascii="Times New Roman" w:hAnsi="Times New Roman"/>
        </w:rPr>
        <w:t xml:space="preserve">especially </w:t>
      </w:r>
      <w:r>
        <w:rPr>
          <w:rFonts w:ascii="Times New Roman" w:hAnsi="Times New Roman"/>
        </w:rPr>
        <w:t xml:space="preserve">given its explicit emphasis on social control </w:t>
      </w:r>
      <w:r w:rsidR="000F631E">
        <w:rPr>
          <w:rFonts w:ascii="Times New Roman" w:hAnsi="Times New Roman"/>
        </w:rPr>
        <w:t>and</w:t>
      </w:r>
      <w:r w:rsidR="00A461E8">
        <w:rPr>
          <w:rFonts w:ascii="Times New Roman" w:hAnsi="Times New Roman"/>
        </w:rPr>
        <w:t xml:space="preserve"> its racially disparate outcomes</w:t>
      </w:r>
      <w:r>
        <w:rPr>
          <w:rFonts w:ascii="Times New Roman" w:hAnsi="Times New Roman"/>
        </w:rPr>
        <w:t>, is a socially tolerable version of lynching.</w:t>
      </w:r>
      <w:r>
        <w:rPr>
          <w:rStyle w:val="FootnoteReference"/>
          <w:rFonts w:ascii="Times New Roman" w:hAnsi="Times New Roman"/>
        </w:rPr>
        <w:footnoteReference w:id="94"/>
      </w:r>
      <w:r w:rsidR="00426B86">
        <w:rPr>
          <w:rFonts w:ascii="Times New Roman" w:hAnsi="Times New Roman"/>
        </w:rPr>
        <w:t xml:space="preserve"> That it is </w:t>
      </w:r>
      <w:r w:rsidR="000F631E">
        <w:rPr>
          <w:rFonts w:ascii="Times New Roman" w:hAnsi="Times New Roman"/>
        </w:rPr>
        <w:t>admittedly</w:t>
      </w:r>
      <w:r w:rsidR="00426B86">
        <w:rPr>
          <w:rFonts w:ascii="Times New Roman" w:hAnsi="Times New Roman"/>
        </w:rPr>
        <w:t xml:space="preserve"> </w:t>
      </w:r>
      <w:r w:rsidR="001B0AE1">
        <w:rPr>
          <w:rFonts w:ascii="Times New Roman" w:hAnsi="Times New Roman"/>
        </w:rPr>
        <w:t xml:space="preserve">purely </w:t>
      </w:r>
      <w:r w:rsidR="000F631E">
        <w:rPr>
          <w:rFonts w:ascii="Times New Roman" w:hAnsi="Times New Roman"/>
        </w:rPr>
        <w:t xml:space="preserve">used </w:t>
      </w:r>
      <w:r w:rsidR="001B0AE1">
        <w:rPr>
          <w:rFonts w:ascii="Times New Roman" w:hAnsi="Times New Roman"/>
        </w:rPr>
        <w:t>as</w:t>
      </w:r>
      <w:r w:rsidR="00426B86">
        <w:rPr>
          <w:rFonts w:ascii="Times New Roman" w:hAnsi="Times New Roman"/>
        </w:rPr>
        <w:t xml:space="preserve"> a social control mechanism </w:t>
      </w:r>
      <w:r w:rsidR="001B0AE1">
        <w:rPr>
          <w:rFonts w:ascii="Times New Roman" w:hAnsi="Times New Roman"/>
        </w:rPr>
        <w:t xml:space="preserve">suggests </w:t>
      </w:r>
      <w:r w:rsidR="00426B86">
        <w:rPr>
          <w:rFonts w:ascii="Times New Roman" w:hAnsi="Times New Roman"/>
        </w:rPr>
        <w:t xml:space="preserve">that </w:t>
      </w:r>
      <w:r w:rsidR="00A461E8">
        <w:rPr>
          <w:rFonts w:ascii="Times New Roman" w:hAnsi="Times New Roman"/>
        </w:rPr>
        <w:t>the</w:t>
      </w:r>
      <w:r w:rsidR="00426B86">
        <w:rPr>
          <w:rFonts w:ascii="Times New Roman" w:hAnsi="Times New Roman"/>
        </w:rPr>
        <w:t xml:space="preserve"> offenders</w:t>
      </w:r>
      <w:r w:rsidR="00A461E8">
        <w:rPr>
          <w:rFonts w:ascii="Times New Roman" w:hAnsi="Times New Roman"/>
        </w:rPr>
        <w:t xml:space="preserve"> it targets</w:t>
      </w:r>
      <w:r w:rsidR="00426B86">
        <w:rPr>
          <w:rFonts w:ascii="Times New Roman" w:hAnsi="Times New Roman"/>
        </w:rPr>
        <w:t xml:space="preserve"> are seen </w:t>
      </w:r>
      <w:r w:rsidR="000F631E">
        <w:rPr>
          <w:rFonts w:ascii="Times New Roman" w:hAnsi="Times New Roman"/>
        </w:rPr>
        <w:t>as</w:t>
      </w:r>
      <w:r w:rsidR="00426B86">
        <w:rPr>
          <w:rFonts w:ascii="Times New Roman" w:hAnsi="Times New Roman"/>
        </w:rPr>
        <w:t xml:space="preserve"> lost causes.</w:t>
      </w:r>
      <w:r>
        <w:rPr>
          <w:rFonts w:ascii="Times New Roman" w:hAnsi="Times New Roman"/>
        </w:rPr>
        <w:t xml:space="preserve"> </w:t>
      </w:r>
    </w:p>
    <w:p w14:paraId="748C94C1" w14:textId="496D1D47" w:rsidR="00E80C42" w:rsidRDefault="00E80C42" w:rsidP="00E80C42">
      <w:pPr>
        <w:widowControl w:val="0"/>
        <w:spacing w:line="480" w:lineRule="auto"/>
        <w:ind w:firstLine="720"/>
        <w:rPr>
          <w:rFonts w:ascii="Times New Roman" w:hAnsi="Times New Roman"/>
        </w:rPr>
      </w:pPr>
      <w:r>
        <w:rPr>
          <w:rFonts w:ascii="Times New Roman" w:hAnsi="Times New Roman"/>
        </w:rPr>
        <w:t xml:space="preserve">Claims by tough-on-crime </w:t>
      </w:r>
      <w:r w:rsidR="00A461E8">
        <w:rPr>
          <w:rFonts w:ascii="Times New Roman" w:hAnsi="Times New Roman"/>
        </w:rPr>
        <w:t>conservatives</w:t>
      </w:r>
      <w:r>
        <w:rPr>
          <w:rFonts w:ascii="Times New Roman" w:hAnsi="Times New Roman"/>
        </w:rPr>
        <w:t xml:space="preserve"> made in relation to the urban disorder </w:t>
      </w:r>
      <w:r w:rsidR="00A461E8">
        <w:rPr>
          <w:rFonts w:ascii="Times New Roman" w:hAnsi="Times New Roman"/>
        </w:rPr>
        <w:t>following</w:t>
      </w:r>
      <w:r>
        <w:rPr>
          <w:rFonts w:ascii="Times New Roman" w:hAnsi="Times New Roman"/>
        </w:rPr>
        <w:t xml:space="preserve"> the</w:t>
      </w:r>
      <w:r w:rsidR="000F631E">
        <w:rPr>
          <w:rFonts w:ascii="Times New Roman" w:hAnsi="Times New Roman"/>
        </w:rPr>
        <w:t xml:space="preserve"> Civil Rights Movement also built on similar ideas about black</w:t>
      </w:r>
      <w:r>
        <w:rPr>
          <w:rFonts w:ascii="Times New Roman" w:hAnsi="Times New Roman"/>
        </w:rPr>
        <w:t xml:space="preserve"> criminality. Michael Flamm has outlined the arguments adv</w:t>
      </w:r>
      <w:r w:rsidR="000F631E">
        <w:rPr>
          <w:rFonts w:ascii="Times New Roman" w:hAnsi="Times New Roman"/>
        </w:rPr>
        <w:t>anced by the Right in the 1960s</w:t>
      </w:r>
      <w:r>
        <w:rPr>
          <w:rFonts w:ascii="Times New Roman" w:hAnsi="Times New Roman"/>
        </w:rPr>
        <w:t xml:space="preserve"> </w:t>
      </w:r>
      <w:r w:rsidR="000F631E">
        <w:rPr>
          <w:rFonts w:ascii="Times New Roman" w:hAnsi="Times New Roman"/>
        </w:rPr>
        <w:t>that</w:t>
      </w:r>
      <w:r>
        <w:rPr>
          <w:rFonts w:ascii="Times New Roman" w:hAnsi="Times New Roman"/>
        </w:rPr>
        <w:t xml:space="preserve"> </w:t>
      </w:r>
      <w:r w:rsidR="000F631E">
        <w:rPr>
          <w:rFonts w:ascii="Times New Roman" w:hAnsi="Times New Roman"/>
        </w:rPr>
        <w:t>conflated</w:t>
      </w:r>
      <w:r>
        <w:rPr>
          <w:rFonts w:ascii="Times New Roman" w:hAnsi="Times New Roman"/>
        </w:rPr>
        <w:t xml:space="preserve"> poverty, race, and criminality. The public disorder </w:t>
      </w:r>
      <w:r w:rsidR="00A461E8">
        <w:rPr>
          <w:rFonts w:ascii="Times New Roman" w:hAnsi="Times New Roman"/>
        </w:rPr>
        <w:t xml:space="preserve">offenses </w:t>
      </w:r>
      <w:r>
        <w:rPr>
          <w:rFonts w:ascii="Times New Roman" w:hAnsi="Times New Roman"/>
        </w:rPr>
        <w:t>of blacks and rioters</w:t>
      </w:r>
      <w:r w:rsidR="00A461E8">
        <w:rPr>
          <w:rFonts w:ascii="Times New Roman" w:hAnsi="Times New Roman"/>
        </w:rPr>
        <w:t xml:space="preserve"> </w:t>
      </w:r>
      <w:r>
        <w:rPr>
          <w:rFonts w:ascii="Times New Roman" w:hAnsi="Times New Roman"/>
        </w:rPr>
        <w:t xml:space="preserve">were painted as behaviors common among the urban poor that were related to more serious criminal conduct, a logic that had been established by the likes of </w:t>
      </w:r>
      <w:r w:rsidR="00A461E8">
        <w:rPr>
          <w:rFonts w:ascii="Times New Roman" w:hAnsi="Times New Roman"/>
        </w:rPr>
        <w:t>Dugdale</w:t>
      </w:r>
      <w:r>
        <w:rPr>
          <w:rFonts w:ascii="Times New Roman" w:hAnsi="Times New Roman"/>
        </w:rPr>
        <w:t xml:space="preserve">, </w:t>
      </w:r>
      <w:r w:rsidR="00A461E8">
        <w:rPr>
          <w:rFonts w:ascii="Times New Roman" w:hAnsi="Times New Roman"/>
        </w:rPr>
        <w:t>Brockway</w:t>
      </w:r>
      <w:r>
        <w:rPr>
          <w:rFonts w:ascii="Times New Roman" w:hAnsi="Times New Roman"/>
        </w:rPr>
        <w:t>, and others. As Lawrence Bobo has written, this encouraged “laissez-faire racism,” a logic by which conservative</w:t>
      </w:r>
      <w:r w:rsidR="00A461E8">
        <w:rPr>
          <w:rFonts w:ascii="Times New Roman" w:hAnsi="Times New Roman"/>
        </w:rPr>
        <w:t xml:space="preserve">s blamed the black community itself </w:t>
      </w:r>
      <w:r>
        <w:rPr>
          <w:rFonts w:ascii="Times New Roman" w:hAnsi="Times New Roman"/>
        </w:rPr>
        <w:t>for racial disparities in poverty and crime.</w:t>
      </w:r>
      <w:r w:rsidR="00A461E8">
        <w:rPr>
          <w:rStyle w:val="FootnoteReference"/>
          <w:rFonts w:ascii="Times New Roman" w:hAnsi="Times New Roman"/>
        </w:rPr>
        <w:footnoteReference w:id="95"/>
      </w:r>
      <w:r>
        <w:rPr>
          <w:rFonts w:ascii="Times New Roman" w:hAnsi="Times New Roman"/>
        </w:rPr>
        <w:t xml:space="preserve"> Structural contributors to poverty and crime were discounted </w:t>
      </w:r>
      <w:r w:rsidR="00A461E8">
        <w:rPr>
          <w:rFonts w:ascii="Times New Roman" w:hAnsi="Times New Roman"/>
        </w:rPr>
        <w:t>in favor of</w:t>
      </w:r>
      <w:r>
        <w:rPr>
          <w:rFonts w:ascii="Times New Roman" w:hAnsi="Times New Roman"/>
        </w:rPr>
        <w:t xml:space="preserve"> a narrative emphasizing the individual faults of </w:t>
      </w:r>
      <w:r w:rsidR="000F631E">
        <w:rPr>
          <w:rFonts w:ascii="Times New Roman" w:hAnsi="Times New Roman"/>
        </w:rPr>
        <w:t>blacks and black culture</w:t>
      </w:r>
      <w:r>
        <w:rPr>
          <w:rFonts w:ascii="Times New Roman" w:hAnsi="Times New Roman"/>
        </w:rPr>
        <w:t>.</w:t>
      </w:r>
      <w:r w:rsidR="00A461E8">
        <w:rPr>
          <w:rFonts w:ascii="Times New Roman" w:hAnsi="Times New Roman"/>
        </w:rPr>
        <w:t xml:space="preserve"> Daniel Moynihan’s 1965 report</w:t>
      </w:r>
      <w:r w:rsidR="00723F33">
        <w:rPr>
          <w:rFonts w:ascii="Times New Roman" w:hAnsi="Times New Roman"/>
        </w:rPr>
        <w:t xml:space="preserve"> “The Negro Famil</w:t>
      </w:r>
      <w:r w:rsidR="00A461E8">
        <w:rPr>
          <w:rFonts w:ascii="Times New Roman" w:hAnsi="Times New Roman"/>
        </w:rPr>
        <w:t>y</w:t>
      </w:r>
      <w:r w:rsidR="00723F33">
        <w:rPr>
          <w:rFonts w:ascii="Times New Roman" w:hAnsi="Times New Roman"/>
        </w:rPr>
        <w:t xml:space="preserve">” </w:t>
      </w:r>
      <w:r w:rsidR="00A461E8">
        <w:rPr>
          <w:rFonts w:ascii="Times New Roman" w:hAnsi="Times New Roman"/>
        </w:rPr>
        <w:t>studying</w:t>
      </w:r>
      <w:r w:rsidR="00723F33">
        <w:rPr>
          <w:rFonts w:ascii="Times New Roman" w:hAnsi="Times New Roman"/>
        </w:rPr>
        <w:t xml:space="preserve"> the roots of black inequality</w:t>
      </w:r>
      <w:r w:rsidR="00A461E8">
        <w:rPr>
          <w:rFonts w:ascii="Times New Roman" w:hAnsi="Times New Roman"/>
        </w:rPr>
        <w:t xml:space="preserve"> exemplified this logic by</w:t>
      </w:r>
      <w:r w:rsidR="00723F33">
        <w:rPr>
          <w:rFonts w:ascii="Times New Roman" w:hAnsi="Times New Roman"/>
        </w:rPr>
        <w:t xml:space="preserve"> </w:t>
      </w:r>
      <w:r w:rsidR="00A461E8">
        <w:rPr>
          <w:rFonts w:ascii="Times New Roman" w:hAnsi="Times New Roman"/>
        </w:rPr>
        <w:t>attributing</w:t>
      </w:r>
      <w:r w:rsidR="00723F33">
        <w:rPr>
          <w:rFonts w:ascii="Times New Roman" w:hAnsi="Times New Roman"/>
        </w:rPr>
        <w:t xml:space="preserve"> the high rates of poverty, </w:t>
      </w:r>
      <w:r w:rsidR="00A461E8">
        <w:rPr>
          <w:rFonts w:ascii="Times New Roman" w:hAnsi="Times New Roman"/>
        </w:rPr>
        <w:t>unemployment</w:t>
      </w:r>
      <w:r w:rsidR="00723F33">
        <w:rPr>
          <w:rFonts w:ascii="Times New Roman" w:hAnsi="Times New Roman"/>
        </w:rPr>
        <w:t xml:space="preserve">, and crime among blacks to the nature </w:t>
      </w:r>
      <w:r w:rsidR="00A461E8">
        <w:rPr>
          <w:rFonts w:ascii="Times New Roman" w:hAnsi="Times New Roman"/>
        </w:rPr>
        <w:t>and</w:t>
      </w:r>
      <w:r w:rsidR="00723F33">
        <w:rPr>
          <w:rFonts w:ascii="Times New Roman" w:hAnsi="Times New Roman"/>
        </w:rPr>
        <w:t xml:space="preserve"> pathologies of the black community.</w:t>
      </w:r>
      <w:r w:rsidR="00723F33">
        <w:rPr>
          <w:rStyle w:val="FootnoteReference"/>
          <w:rFonts w:ascii="Times New Roman" w:hAnsi="Times New Roman"/>
        </w:rPr>
        <w:footnoteReference w:id="96"/>
      </w:r>
    </w:p>
    <w:p w14:paraId="2732ED05" w14:textId="065CE28C" w:rsidR="007B2B4A" w:rsidRDefault="00EE37FF" w:rsidP="00912F46">
      <w:pPr>
        <w:widowControl w:val="0"/>
        <w:spacing w:line="480" w:lineRule="auto"/>
        <w:ind w:firstLine="720"/>
        <w:rPr>
          <w:rFonts w:ascii="Times New Roman" w:hAnsi="Times New Roman"/>
        </w:rPr>
      </w:pPr>
      <w:r>
        <w:rPr>
          <w:rFonts w:ascii="Times New Roman" w:hAnsi="Times New Roman"/>
        </w:rPr>
        <w:t>The</w:t>
      </w:r>
      <w:r w:rsidR="007B2B4A" w:rsidRPr="00912F46">
        <w:rPr>
          <w:rFonts w:ascii="Times New Roman" w:hAnsi="Times New Roman"/>
        </w:rPr>
        <w:t xml:space="preserve"> image of the “black male rapist” has </w:t>
      </w:r>
      <w:r>
        <w:rPr>
          <w:rFonts w:ascii="Times New Roman" w:hAnsi="Times New Roman"/>
        </w:rPr>
        <w:t xml:space="preserve">also </w:t>
      </w:r>
      <w:r w:rsidR="007B2B4A" w:rsidRPr="00912F46">
        <w:rPr>
          <w:rFonts w:ascii="Times New Roman" w:hAnsi="Times New Roman"/>
        </w:rPr>
        <w:t xml:space="preserve">carried over into contemporary crime politics. Public officials since the 1970s have </w:t>
      </w:r>
      <w:r>
        <w:rPr>
          <w:rFonts w:ascii="Times New Roman" w:hAnsi="Times New Roman"/>
        </w:rPr>
        <w:t>been</w:t>
      </w:r>
      <w:r w:rsidR="007B2B4A" w:rsidRPr="00912F46">
        <w:rPr>
          <w:rFonts w:ascii="Times New Roman" w:hAnsi="Times New Roman"/>
        </w:rPr>
        <w:t xml:space="preserve"> attuned to rape as a criminal justice issue, often with racialized implications</w:t>
      </w:r>
      <w:r w:rsidR="00912F46">
        <w:rPr>
          <w:rFonts w:ascii="Times New Roman" w:hAnsi="Times New Roman"/>
        </w:rPr>
        <w:t xml:space="preserve">. This is best </w:t>
      </w:r>
      <w:r>
        <w:rPr>
          <w:rFonts w:ascii="Times New Roman" w:hAnsi="Times New Roman"/>
        </w:rPr>
        <w:t>illustrated</w:t>
      </w:r>
      <w:r w:rsidR="00912F46">
        <w:rPr>
          <w:rFonts w:ascii="Times New Roman" w:hAnsi="Times New Roman"/>
        </w:rPr>
        <w:t xml:space="preserve"> by the 1988 presidential campaign in which, building on the conflation of race and crime key to the Southern Strategy, the Bush campaign ran ads </w:t>
      </w:r>
      <w:r>
        <w:rPr>
          <w:rFonts w:ascii="Times New Roman" w:hAnsi="Times New Roman"/>
        </w:rPr>
        <w:t>about</w:t>
      </w:r>
      <w:r w:rsidR="00912F46">
        <w:rPr>
          <w:rFonts w:ascii="Times New Roman" w:hAnsi="Times New Roman"/>
        </w:rPr>
        <w:t xml:space="preserve"> </w:t>
      </w:r>
      <w:r w:rsidR="00785810">
        <w:rPr>
          <w:rFonts w:ascii="Times New Roman" w:hAnsi="Times New Roman"/>
        </w:rPr>
        <w:t xml:space="preserve">rapist </w:t>
      </w:r>
      <w:r w:rsidR="00912F46">
        <w:rPr>
          <w:rFonts w:ascii="Times New Roman" w:hAnsi="Times New Roman"/>
        </w:rPr>
        <w:t>Willie Horton to discredit Democrat Michael Dukakis as soft on crime</w:t>
      </w:r>
      <w:r w:rsidR="007B2B4A" w:rsidRPr="00912F46">
        <w:rPr>
          <w:rFonts w:ascii="Times New Roman" w:hAnsi="Times New Roman"/>
        </w:rPr>
        <w:t>.</w:t>
      </w:r>
      <w:r w:rsidR="00785810">
        <w:rPr>
          <w:rFonts w:ascii="Times New Roman" w:hAnsi="Times New Roman"/>
        </w:rPr>
        <w:t xml:space="preserve"> </w:t>
      </w:r>
      <w:r w:rsidR="003B267C">
        <w:rPr>
          <w:rFonts w:ascii="Times New Roman" w:hAnsi="Times New Roman"/>
        </w:rPr>
        <w:t>These sorts of</w:t>
      </w:r>
      <w:r w:rsidR="00785810">
        <w:rPr>
          <w:rFonts w:ascii="Times New Roman" w:hAnsi="Times New Roman"/>
        </w:rPr>
        <w:t xml:space="preserve"> r</w:t>
      </w:r>
      <w:r w:rsidR="00912F46">
        <w:rPr>
          <w:rFonts w:ascii="Times New Roman" w:hAnsi="Times New Roman"/>
        </w:rPr>
        <w:t>acialized a</w:t>
      </w:r>
      <w:r w:rsidR="00785810">
        <w:rPr>
          <w:rFonts w:ascii="Times New Roman" w:hAnsi="Times New Roman"/>
        </w:rPr>
        <w:t xml:space="preserve">nxieties over rape </w:t>
      </w:r>
      <w:r w:rsidR="00416F36">
        <w:rPr>
          <w:rFonts w:ascii="Times New Roman" w:hAnsi="Times New Roman"/>
        </w:rPr>
        <w:t>helped direct</w:t>
      </w:r>
      <w:r w:rsidR="00785810">
        <w:rPr>
          <w:rFonts w:ascii="Times New Roman" w:hAnsi="Times New Roman"/>
        </w:rPr>
        <w:t xml:space="preserve"> the </w:t>
      </w:r>
      <w:r w:rsidR="003B267C">
        <w:rPr>
          <w:rFonts w:ascii="Times New Roman" w:hAnsi="Times New Roman"/>
        </w:rPr>
        <w:t>goals</w:t>
      </w:r>
      <w:r w:rsidR="00785810">
        <w:rPr>
          <w:rFonts w:ascii="Times New Roman" w:hAnsi="Times New Roman"/>
        </w:rPr>
        <w:t xml:space="preserve"> of the anti-rape movement</w:t>
      </w:r>
      <w:r w:rsidR="003B267C">
        <w:rPr>
          <w:rFonts w:ascii="Times New Roman" w:hAnsi="Times New Roman"/>
        </w:rPr>
        <w:t xml:space="preserve"> of the 1970s</w:t>
      </w:r>
      <w:r w:rsidR="00785810">
        <w:rPr>
          <w:rFonts w:ascii="Times New Roman" w:hAnsi="Times New Roman"/>
        </w:rPr>
        <w:t xml:space="preserve"> in a punitive direction.</w:t>
      </w:r>
      <w:r w:rsidR="007B2B4A" w:rsidRPr="00912F46">
        <w:rPr>
          <w:rStyle w:val="FootnoteReference"/>
          <w:rFonts w:ascii="Times New Roman" w:hAnsi="Times New Roman"/>
        </w:rPr>
        <w:footnoteReference w:id="97"/>
      </w:r>
      <w:r w:rsidR="00E80C42" w:rsidRPr="00912F46">
        <w:rPr>
          <w:rFonts w:ascii="Times New Roman" w:hAnsi="Times New Roman"/>
        </w:rPr>
        <w:t xml:space="preserve"> </w:t>
      </w:r>
    </w:p>
    <w:p w14:paraId="35C32E84" w14:textId="5417D625" w:rsidR="00E864B9" w:rsidRDefault="00723F33" w:rsidP="00577565">
      <w:pPr>
        <w:widowControl w:val="0"/>
        <w:spacing w:line="480" w:lineRule="auto"/>
        <w:ind w:firstLine="720"/>
        <w:rPr>
          <w:rFonts w:ascii="Times New Roman" w:hAnsi="Times New Roman"/>
        </w:rPr>
      </w:pPr>
      <w:r>
        <w:rPr>
          <w:rFonts w:ascii="Times New Roman" w:hAnsi="Times New Roman"/>
        </w:rPr>
        <w:t xml:space="preserve">Despite shifts in how we punish, there are remarkable continuities between punitive forms of punishment inflicted on blacks in the early twentieth century and mass incarceration. Particularly, there is a </w:t>
      </w:r>
      <w:r w:rsidR="00785810">
        <w:rPr>
          <w:rFonts w:ascii="Times New Roman" w:hAnsi="Times New Roman"/>
        </w:rPr>
        <w:t>constant</w:t>
      </w:r>
      <w:r>
        <w:rPr>
          <w:rFonts w:ascii="Times New Roman" w:hAnsi="Times New Roman"/>
        </w:rPr>
        <w:t xml:space="preserve"> emphasis on criminal incorrigibility and</w:t>
      </w:r>
      <w:r w:rsidR="00785810">
        <w:rPr>
          <w:rFonts w:ascii="Times New Roman" w:hAnsi="Times New Roman"/>
        </w:rPr>
        <w:t xml:space="preserve"> </w:t>
      </w:r>
      <w:r>
        <w:rPr>
          <w:rFonts w:ascii="Times New Roman" w:hAnsi="Times New Roman"/>
        </w:rPr>
        <w:t>the biological defectivenes</w:t>
      </w:r>
      <w:r w:rsidR="00785810">
        <w:rPr>
          <w:rFonts w:ascii="Times New Roman" w:hAnsi="Times New Roman"/>
        </w:rPr>
        <w:t xml:space="preserve">s of </w:t>
      </w:r>
      <w:r w:rsidR="00E864B9">
        <w:rPr>
          <w:rFonts w:ascii="Times New Roman" w:hAnsi="Times New Roman"/>
        </w:rPr>
        <w:t>black</w:t>
      </w:r>
      <w:r w:rsidR="00785810">
        <w:rPr>
          <w:rFonts w:ascii="Times New Roman" w:hAnsi="Times New Roman"/>
        </w:rPr>
        <w:t>s</w:t>
      </w:r>
      <w:r w:rsidR="00E864B9">
        <w:rPr>
          <w:rFonts w:ascii="Times New Roman" w:hAnsi="Times New Roman"/>
        </w:rPr>
        <w:t>. The</w:t>
      </w:r>
      <w:r w:rsidR="00E864B9" w:rsidRPr="00957FB1">
        <w:rPr>
          <w:rFonts w:ascii="Times New Roman" w:hAnsi="Times New Roman"/>
        </w:rPr>
        <w:t xml:space="preserve"> </w:t>
      </w:r>
      <w:r w:rsidR="00E864B9">
        <w:rPr>
          <w:rFonts w:ascii="Times New Roman" w:hAnsi="Times New Roman"/>
        </w:rPr>
        <w:t>historical ties between criminology and race</w:t>
      </w:r>
      <w:r w:rsidR="00E864B9" w:rsidRPr="00957FB1">
        <w:rPr>
          <w:rFonts w:ascii="Times New Roman" w:hAnsi="Times New Roman"/>
        </w:rPr>
        <w:t xml:space="preserve"> have repeatedly caused blacks to be </w:t>
      </w:r>
      <w:r w:rsidR="00E864B9">
        <w:rPr>
          <w:rFonts w:ascii="Times New Roman" w:hAnsi="Times New Roman"/>
        </w:rPr>
        <w:t xml:space="preserve">considered </w:t>
      </w:r>
      <w:r w:rsidR="00785810">
        <w:rPr>
          <w:rFonts w:ascii="Times New Roman" w:hAnsi="Times New Roman"/>
        </w:rPr>
        <w:t>irredeemable</w:t>
      </w:r>
      <w:r w:rsidR="00E864B9">
        <w:rPr>
          <w:rFonts w:ascii="Times New Roman" w:hAnsi="Times New Roman"/>
        </w:rPr>
        <w:t>, rendering</w:t>
      </w:r>
      <w:r w:rsidR="00E864B9" w:rsidRPr="0041203D">
        <w:rPr>
          <w:rFonts w:ascii="Times New Roman" w:hAnsi="Times New Roman"/>
        </w:rPr>
        <w:t xml:space="preserve"> it predictable that as blacks enter</w:t>
      </w:r>
      <w:r w:rsidR="00785810">
        <w:rPr>
          <w:rFonts w:ascii="Times New Roman" w:hAnsi="Times New Roman"/>
        </w:rPr>
        <w:t>ed</w:t>
      </w:r>
      <w:r w:rsidR="00E864B9" w:rsidRPr="0041203D">
        <w:rPr>
          <w:rFonts w:ascii="Times New Roman" w:hAnsi="Times New Roman"/>
        </w:rPr>
        <w:t xml:space="preserve"> </w:t>
      </w:r>
      <w:r w:rsidR="00785810">
        <w:rPr>
          <w:rFonts w:ascii="Times New Roman" w:hAnsi="Times New Roman"/>
        </w:rPr>
        <w:t xml:space="preserve">prisons </w:t>
      </w:r>
      <w:r w:rsidR="00E864B9" w:rsidRPr="0041203D">
        <w:rPr>
          <w:rFonts w:ascii="Times New Roman" w:hAnsi="Times New Roman"/>
        </w:rPr>
        <w:t xml:space="preserve">higher rates, a shift away from rehabilitation </w:t>
      </w:r>
      <w:r w:rsidR="004F0251">
        <w:rPr>
          <w:rFonts w:ascii="Times New Roman" w:hAnsi="Times New Roman"/>
        </w:rPr>
        <w:t xml:space="preserve">behind bars </w:t>
      </w:r>
      <w:r w:rsidR="00E864B9" w:rsidRPr="0041203D">
        <w:rPr>
          <w:rFonts w:ascii="Times New Roman" w:hAnsi="Times New Roman"/>
        </w:rPr>
        <w:t>followed</w:t>
      </w:r>
      <w:r w:rsidR="004F0251">
        <w:rPr>
          <w:rFonts w:ascii="Times New Roman" w:hAnsi="Times New Roman"/>
        </w:rPr>
        <w:t>.</w:t>
      </w:r>
    </w:p>
    <w:p w14:paraId="318BC28F" w14:textId="59B21CFB" w:rsidR="007B2B4A" w:rsidRDefault="00785810" w:rsidP="0084088C">
      <w:pPr>
        <w:widowControl w:val="0"/>
        <w:spacing w:line="480" w:lineRule="auto"/>
        <w:ind w:firstLine="720"/>
        <w:rPr>
          <w:rFonts w:ascii="Times New Roman" w:hAnsi="Times New Roman"/>
        </w:rPr>
      </w:pPr>
      <w:r>
        <w:rPr>
          <w:rFonts w:ascii="Times New Roman" w:hAnsi="Times New Roman"/>
        </w:rPr>
        <w:t>The</w:t>
      </w:r>
      <w:r w:rsidR="00723F33">
        <w:rPr>
          <w:rFonts w:ascii="Times New Roman" w:hAnsi="Times New Roman"/>
        </w:rPr>
        <w:t xml:space="preserve"> </w:t>
      </w:r>
      <w:r w:rsidR="007B2B4A">
        <w:rPr>
          <w:rFonts w:ascii="Times New Roman" w:hAnsi="Times New Roman"/>
        </w:rPr>
        <w:t xml:space="preserve">rise in incarceration starting in the 1970s was not </w:t>
      </w:r>
      <w:r w:rsidR="002F5832">
        <w:rPr>
          <w:rFonts w:ascii="Times New Roman" w:hAnsi="Times New Roman"/>
        </w:rPr>
        <w:t>driven by</w:t>
      </w:r>
      <w:r w:rsidR="007B2B4A">
        <w:rPr>
          <w:rFonts w:ascii="Times New Roman" w:hAnsi="Times New Roman"/>
        </w:rPr>
        <w:t xml:space="preserve"> changes in the crime rate, but rather </w:t>
      </w:r>
      <w:r w:rsidR="002F5832">
        <w:rPr>
          <w:rFonts w:ascii="Times New Roman" w:hAnsi="Times New Roman"/>
        </w:rPr>
        <w:t>by</w:t>
      </w:r>
      <w:r w:rsidR="007B2B4A">
        <w:rPr>
          <w:rFonts w:ascii="Times New Roman" w:hAnsi="Times New Roman"/>
        </w:rPr>
        <w:t xml:space="preserve"> changes in how the state </w:t>
      </w:r>
      <w:r w:rsidR="00723F33">
        <w:rPr>
          <w:rFonts w:ascii="Times New Roman" w:hAnsi="Times New Roman"/>
        </w:rPr>
        <w:t>chose to</w:t>
      </w:r>
      <w:r w:rsidR="007B2B4A">
        <w:rPr>
          <w:rFonts w:ascii="Times New Roman" w:hAnsi="Times New Roman"/>
        </w:rPr>
        <w:t xml:space="preserve"> </w:t>
      </w:r>
      <w:r w:rsidR="00723F33">
        <w:rPr>
          <w:rFonts w:ascii="Times New Roman" w:hAnsi="Times New Roman"/>
        </w:rPr>
        <w:t>treat</w:t>
      </w:r>
      <w:r w:rsidR="007B2B4A">
        <w:rPr>
          <w:rFonts w:ascii="Times New Roman" w:hAnsi="Times New Roman"/>
        </w:rPr>
        <w:t xml:space="preserve"> criminals. </w:t>
      </w:r>
      <w:r w:rsidR="002F5832">
        <w:rPr>
          <w:rFonts w:ascii="Times New Roman" w:hAnsi="Times New Roman"/>
        </w:rPr>
        <w:t>This</w:t>
      </w:r>
      <w:r w:rsidR="00E864B9">
        <w:rPr>
          <w:rFonts w:ascii="Times New Roman" w:hAnsi="Times New Roman"/>
        </w:rPr>
        <w:t xml:space="preserve"> was not </w:t>
      </w:r>
      <w:r>
        <w:rPr>
          <w:rFonts w:ascii="Times New Roman" w:hAnsi="Times New Roman"/>
        </w:rPr>
        <w:t>only</w:t>
      </w:r>
      <w:r w:rsidR="00E864B9">
        <w:rPr>
          <w:rFonts w:ascii="Times New Roman" w:hAnsi="Times New Roman"/>
        </w:rPr>
        <w:t xml:space="preserve"> </w:t>
      </w:r>
      <w:r w:rsidR="00906289">
        <w:rPr>
          <w:rFonts w:ascii="Times New Roman" w:hAnsi="Times New Roman"/>
        </w:rPr>
        <w:t>driven by</w:t>
      </w:r>
      <w:r w:rsidR="00E864B9">
        <w:rPr>
          <w:rFonts w:ascii="Times New Roman" w:hAnsi="Times New Roman"/>
        </w:rPr>
        <w:t xml:space="preserve"> the agency of </w:t>
      </w:r>
      <w:r w:rsidR="0084088C">
        <w:rPr>
          <w:rFonts w:ascii="Times New Roman" w:hAnsi="Times New Roman"/>
        </w:rPr>
        <w:t xml:space="preserve">tough-on-crime </w:t>
      </w:r>
      <w:r>
        <w:rPr>
          <w:rFonts w:ascii="Times New Roman" w:hAnsi="Times New Roman"/>
        </w:rPr>
        <w:t xml:space="preserve">policymakers; the </w:t>
      </w:r>
      <w:r w:rsidR="00E864B9">
        <w:rPr>
          <w:rFonts w:ascii="Times New Roman" w:hAnsi="Times New Roman"/>
        </w:rPr>
        <w:t xml:space="preserve">theoretical underpinnings of the rehabilitative ideal </w:t>
      </w:r>
      <w:r>
        <w:rPr>
          <w:rFonts w:ascii="Times New Roman" w:hAnsi="Times New Roman"/>
        </w:rPr>
        <w:t>were essential in helping to facilitate</w:t>
      </w:r>
      <w:r w:rsidR="00E864B9">
        <w:rPr>
          <w:rFonts w:ascii="Times New Roman" w:hAnsi="Times New Roman"/>
        </w:rPr>
        <w:t xml:space="preserve"> </w:t>
      </w:r>
      <w:r w:rsidR="00B74B1D">
        <w:rPr>
          <w:rFonts w:ascii="Times New Roman" w:hAnsi="Times New Roman"/>
        </w:rPr>
        <w:t>this shift</w:t>
      </w:r>
      <w:r w:rsidR="00E864B9">
        <w:rPr>
          <w:rFonts w:ascii="Times New Roman" w:hAnsi="Times New Roman"/>
        </w:rPr>
        <w:t xml:space="preserve">. </w:t>
      </w:r>
      <w:r w:rsidR="007B2B4A">
        <w:rPr>
          <w:rFonts w:ascii="Times New Roman" w:hAnsi="Times New Roman"/>
        </w:rPr>
        <w:t>It is</w:t>
      </w:r>
      <w:r>
        <w:rPr>
          <w:rFonts w:ascii="Times New Roman" w:hAnsi="Times New Roman"/>
        </w:rPr>
        <w:t xml:space="preserve"> </w:t>
      </w:r>
      <w:r w:rsidR="007B2B4A">
        <w:rPr>
          <w:rFonts w:ascii="Times New Roman" w:hAnsi="Times New Roman"/>
        </w:rPr>
        <w:t>misleading to claim that the</w:t>
      </w:r>
      <w:r w:rsidR="00F81FE8">
        <w:rPr>
          <w:rFonts w:ascii="Times New Roman" w:hAnsi="Times New Roman"/>
        </w:rPr>
        <w:t xml:space="preserve"> rehabilitative ideal “declined</w:t>
      </w:r>
      <w:r w:rsidR="007B2B4A">
        <w:rPr>
          <w:rFonts w:ascii="Times New Roman" w:hAnsi="Times New Roman"/>
        </w:rPr>
        <w:t>” as Francis Allen said</w:t>
      </w:r>
      <w:r w:rsidR="00BB1826">
        <w:rPr>
          <w:rFonts w:ascii="Times New Roman" w:hAnsi="Times New Roman"/>
        </w:rPr>
        <w:t>, since t</w:t>
      </w:r>
      <w:r w:rsidR="007B2B4A">
        <w:rPr>
          <w:rFonts w:ascii="Times New Roman" w:hAnsi="Times New Roman"/>
        </w:rPr>
        <w:t xml:space="preserve">he guiding principles of </w:t>
      </w:r>
      <w:r w:rsidR="00BB1826">
        <w:rPr>
          <w:rFonts w:ascii="Times New Roman" w:hAnsi="Times New Roman"/>
        </w:rPr>
        <w:t>rehabilitative philosophy</w:t>
      </w:r>
      <w:r w:rsidR="007B2B4A">
        <w:rPr>
          <w:rFonts w:ascii="Times New Roman" w:hAnsi="Times New Roman"/>
        </w:rPr>
        <w:t xml:space="preserve"> </w:t>
      </w:r>
      <w:r w:rsidR="00F81FE8">
        <w:rPr>
          <w:rFonts w:ascii="Times New Roman" w:hAnsi="Times New Roman"/>
        </w:rPr>
        <w:t>share</w:t>
      </w:r>
      <w:r w:rsidR="007B2B4A">
        <w:rPr>
          <w:rFonts w:ascii="Times New Roman" w:hAnsi="Times New Roman"/>
        </w:rPr>
        <w:t xml:space="preserve"> more in common with </w:t>
      </w:r>
      <w:r w:rsidR="00F81FE8">
        <w:rPr>
          <w:rFonts w:ascii="Times New Roman" w:hAnsi="Times New Roman"/>
        </w:rPr>
        <w:t>their</w:t>
      </w:r>
      <w:r w:rsidR="007B2B4A">
        <w:rPr>
          <w:rFonts w:ascii="Times New Roman" w:hAnsi="Times New Roman"/>
        </w:rPr>
        <w:t xml:space="preserve"> successor—the severe ethic of punishment contributing to mass incarceration—than has been recognized. It is unsurprising that as </w:t>
      </w:r>
      <w:r w:rsidR="0084088C">
        <w:rPr>
          <w:rFonts w:ascii="Times New Roman" w:hAnsi="Times New Roman"/>
        </w:rPr>
        <w:t xml:space="preserve">punitive forms of treatment for incorrigibles fell out of </w:t>
      </w:r>
      <w:r w:rsidR="00F81FE8">
        <w:rPr>
          <w:rFonts w:ascii="Times New Roman" w:hAnsi="Times New Roman"/>
        </w:rPr>
        <w:t>use</w:t>
      </w:r>
      <w:r w:rsidR="0084088C">
        <w:rPr>
          <w:rFonts w:ascii="Times New Roman" w:hAnsi="Times New Roman"/>
        </w:rPr>
        <w:t xml:space="preserve"> and the demographic composition of the prison population changed</w:t>
      </w:r>
      <w:r w:rsidR="007B2B4A">
        <w:rPr>
          <w:rFonts w:ascii="Times New Roman" w:hAnsi="Times New Roman"/>
        </w:rPr>
        <w:t xml:space="preserve">, </w:t>
      </w:r>
      <w:r w:rsidR="007B2B4A" w:rsidRPr="001E0BA7">
        <w:rPr>
          <w:rFonts w:ascii="Times New Roman" w:hAnsi="Times New Roman"/>
        </w:rPr>
        <w:t xml:space="preserve">Martinson’s </w:t>
      </w:r>
      <w:r w:rsidR="007B2B4A">
        <w:rPr>
          <w:rFonts w:ascii="Times New Roman" w:hAnsi="Times New Roman"/>
        </w:rPr>
        <w:t>conclusion</w:t>
      </w:r>
      <w:r w:rsidR="007B2B4A" w:rsidRPr="001E0BA7">
        <w:rPr>
          <w:rFonts w:ascii="Times New Roman" w:hAnsi="Times New Roman"/>
        </w:rPr>
        <w:t xml:space="preserve"> that “nothing works” in </w:t>
      </w:r>
      <w:r w:rsidR="007B2B4A">
        <w:rPr>
          <w:rFonts w:ascii="Times New Roman" w:hAnsi="Times New Roman"/>
        </w:rPr>
        <w:t xml:space="preserve">criminal </w:t>
      </w:r>
      <w:r w:rsidR="007B2B4A" w:rsidRPr="001E0BA7">
        <w:rPr>
          <w:rFonts w:ascii="Times New Roman" w:hAnsi="Times New Roman"/>
        </w:rPr>
        <w:t xml:space="preserve">rehabilitation resonated with the </w:t>
      </w:r>
      <w:r w:rsidR="007B2B4A">
        <w:rPr>
          <w:rFonts w:ascii="Times New Roman" w:hAnsi="Times New Roman"/>
        </w:rPr>
        <w:t>public</w:t>
      </w:r>
      <w:r w:rsidR="007B2B4A" w:rsidRPr="001E0BA7">
        <w:rPr>
          <w:rFonts w:ascii="Times New Roman" w:hAnsi="Times New Roman"/>
        </w:rPr>
        <w:t>, politicians, and correctional officials.</w:t>
      </w:r>
      <w:r w:rsidR="007B2B4A" w:rsidRPr="001E0BA7">
        <w:rPr>
          <w:rStyle w:val="FootnoteReference"/>
          <w:rFonts w:ascii="Times New Roman" w:hAnsi="Times New Roman"/>
        </w:rPr>
        <w:footnoteReference w:id="98"/>
      </w:r>
      <w:r w:rsidR="007B2B4A" w:rsidRPr="00957FB1">
        <w:rPr>
          <w:rFonts w:ascii="Times New Roman" w:hAnsi="Times New Roman"/>
        </w:rPr>
        <w:t xml:space="preserve"> </w:t>
      </w:r>
      <w:r w:rsidR="007B2B4A">
        <w:rPr>
          <w:rFonts w:ascii="Times New Roman" w:hAnsi="Times New Roman"/>
        </w:rPr>
        <w:t xml:space="preserve">His argument </w:t>
      </w:r>
      <w:r w:rsidR="00BB1826">
        <w:rPr>
          <w:rFonts w:ascii="Times New Roman" w:hAnsi="Times New Roman"/>
        </w:rPr>
        <w:t>validated</w:t>
      </w:r>
      <w:r w:rsidR="007B2B4A">
        <w:rPr>
          <w:rFonts w:ascii="Times New Roman" w:hAnsi="Times New Roman"/>
        </w:rPr>
        <w:t xml:space="preserve"> longstanding </w:t>
      </w:r>
      <w:r w:rsidR="00BB1826">
        <w:rPr>
          <w:rFonts w:ascii="Times New Roman" w:hAnsi="Times New Roman"/>
        </w:rPr>
        <w:t>assumptions about criminal behavior</w:t>
      </w:r>
      <w:r w:rsidR="007B2B4A">
        <w:rPr>
          <w:rFonts w:ascii="Times New Roman" w:hAnsi="Times New Roman"/>
        </w:rPr>
        <w:t xml:space="preserve"> that had been at the foundation of the rehabilitative ideal since the 1890s.</w:t>
      </w:r>
    </w:p>
    <w:p w14:paraId="4F3DF565" w14:textId="25343B08" w:rsidR="002B4897" w:rsidRPr="0084088C" w:rsidRDefault="002B4897" w:rsidP="005969E2">
      <w:pPr>
        <w:widowControl w:val="0"/>
        <w:spacing w:line="480" w:lineRule="auto"/>
        <w:rPr>
          <w:rFonts w:ascii="Times New Roman" w:hAnsi="Times New Roman"/>
        </w:rPr>
      </w:pPr>
      <w:r w:rsidRPr="001C09CA">
        <w:rPr>
          <w:rFonts w:ascii="Times New Roman" w:hAnsi="Times New Roman"/>
          <w:b/>
        </w:rPr>
        <w:t xml:space="preserve">Neoliberalism and the </w:t>
      </w:r>
      <w:r w:rsidR="008B6251">
        <w:rPr>
          <w:rFonts w:ascii="Times New Roman" w:hAnsi="Times New Roman"/>
          <w:b/>
        </w:rPr>
        <w:t>Revival</w:t>
      </w:r>
      <w:r w:rsidRPr="001C09CA">
        <w:rPr>
          <w:rFonts w:ascii="Times New Roman" w:hAnsi="Times New Roman"/>
          <w:b/>
        </w:rPr>
        <w:t xml:space="preserve"> of Bio</w:t>
      </w:r>
      <w:r w:rsidR="004C5517">
        <w:rPr>
          <w:rFonts w:ascii="Times New Roman" w:hAnsi="Times New Roman"/>
          <w:b/>
        </w:rPr>
        <w:t>-</w:t>
      </w:r>
      <w:r w:rsidRPr="001C09CA">
        <w:rPr>
          <w:rFonts w:ascii="Times New Roman" w:hAnsi="Times New Roman"/>
          <w:b/>
        </w:rPr>
        <w:t>determinist Criminology</w:t>
      </w:r>
    </w:p>
    <w:p w14:paraId="01A321CB" w14:textId="252B3E74" w:rsidR="006470FD" w:rsidRPr="008C640C" w:rsidRDefault="002B4897" w:rsidP="005969E2">
      <w:pPr>
        <w:widowControl w:val="0"/>
        <w:spacing w:line="480" w:lineRule="auto"/>
      </w:pPr>
      <w:r>
        <w:rPr>
          <w:rFonts w:ascii="Times New Roman" w:hAnsi="Times New Roman"/>
        </w:rPr>
        <w:tab/>
      </w:r>
      <w:r w:rsidR="008B6251">
        <w:rPr>
          <w:rFonts w:ascii="Times New Roman" w:hAnsi="Times New Roman"/>
        </w:rPr>
        <w:t>Most</w:t>
      </w:r>
      <w:r>
        <w:rPr>
          <w:rFonts w:ascii="Times New Roman" w:hAnsi="Times New Roman"/>
        </w:rPr>
        <w:t xml:space="preserve"> rehabilitative interventions </w:t>
      </w:r>
      <w:r w:rsidR="008B6251">
        <w:rPr>
          <w:rFonts w:ascii="Times New Roman" w:hAnsi="Times New Roman"/>
        </w:rPr>
        <w:t>employed in prisons—</w:t>
      </w:r>
      <w:r w:rsidR="007E36C9">
        <w:rPr>
          <w:rFonts w:ascii="Times New Roman" w:hAnsi="Times New Roman"/>
        </w:rPr>
        <w:t xml:space="preserve">like </w:t>
      </w:r>
      <w:r w:rsidR="008B6251">
        <w:rPr>
          <w:rFonts w:ascii="Times New Roman" w:hAnsi="Times New Roman"/>
        </w:rPr>
        <w:t>incentives for early release</w:t>
      </w:r>
      <w:r w:rsidR="007E36C9">
        <w:rPr>
          <w:rFonts w:ascii="Times New Roman" w:hAnsi="Times New Roman"/>
        </w:rPr>
        <w:t xml:space="preserve"> or educational training</w:t>
      </w:r>
      <w:r w:rsidR="008B6251">
        <w:rPr>
          <w:rFonts w:ascii="Times New Roman" w:hAnsi="Times New Roman"/>
        </w:rPr>
        <w:t>—</w:t>
      </w:r>
      <w:r w:rsidR="00217069">
        <w:rPr>
          <w:rFonts w:ascii="Times New Roman" w:hAnsi="Times New Roman"/>
        </w:rPr>
        <w:t xml:space="preserve">presume that the causes </w:t>
      </w:r>
      <w:r w:rsidR="008B6251">
        <w:rPr>
          <w:rFonts w:ascii="Times New Roman" w:hAnsi="Times New Roman"/>
        </w:rPr>
        <w:t xml:space="preserve">of criminal behavior </w:t>
      </w:r>
      <w:r w:rsidR="00217069">
        <w:rPr>
          <w:rFonts w:ascii="Times New Roman" w:hAnsi="Times New Roman"/>
        </w:rPr>
        <w:t>are</w:t>
      </w:r>
      <w:r w:rsidR="008B6251">
        <w:rPr>
          <w:rFonts w:ascii="Times New Roman" w:hAnsi="Times New Roman"/>
        </w:rPr>
        <w:t xml:space="preserve"> </w:t>
      </w:r>
      <w:r w:rsidR="006470FD">
        <w:rPr>
          <w:rFonts w:ascii="Times New Roman" w:hAnsi="Times New Roman"/>
        </w:rPr>
        <w:t xml:space="preserve">located </w:t>
      </w:r>
      <w:r w:rsidR="008B6251">
        <w:rPr>
          <w:rFonts w:ascii="Times New Roman" w:hAnsi="Times New Roman"/>
        </w:rPr>
        <w:t>within an individual</w:t>
      </w:r>
      <w:r>
        <w:rPr>
          <w:rFonts w:ascii="Times New Roman" w:hAnsi="Times New Roman"/>
        </w:rPr>
        <w:t>.</w:t>
      </w:r>
      <w:r w:rsidR="008B6251">
        <w:rPr>
          <w:rFonts w:ascii="Times New Roman" w:hAnsi="Times New Roman"/>
        </w:rPr>
        <w:t xml:space="preserve"> As Marie Gottschalk has argued,</w:t>
      </w:r>
      <w:r>
        <w:rPr>
          <w:rFonts w:ascii="Times New Roman" w:hAnsi="Times New Roman"/>
        </w:rPr>
        <w:t xml:space="preserve"> </w:t>
      </w:r>
      <w:r w:rsidR="008B6251">
        <w:rPr>
          <w:rFonts w:ascii="Times New Roman" w:hAnsi="Times New Roman"/>
        </w:rPr>
        <w:t>rehabilitative interventions</w:t>
      </w:r>
      <w:r>
        <w:t xml:space="preserve"> should be embraced on </w:t>
      </w:r>
      <w:r w:rsidR="008B6251">
        <w:t>their</w:t>
      </w:r>
      <w:r>
        <w:t xml:space="preserve"> own merit but not as a means to r</w:t>
      </w:r>
      <w:r w:rsidR="007E36C9">
        <w:t>educe recidivism. Because i</w:t>
      </w:r>
      <w:r w:rsidR="00C87B5C">
        <w:t>ndividual</w:t>
      </w:r>
      <w:r w:rsidR="007E36C9">
        <w:t xml:space="preserve">ized </w:t>
      </w:r>
      <w:r w:rsidR="00C87B5C">
        <w:t xml:space="preserve">forms of </w:t>
      </w:r>
      <w:r w:rsidR="006470FD">
        <w:t xml:space="preserve">rehabilitation </w:t>
      </w:r>
      <w:r w:rsidR="007E36C9">
        <w:t>ignore</w:t>
      </w:r>
      <w:r w:rsidR="006470FD">
        <w:t xml:space="preserve"> the social conditions that contribute to </w:t>
      </w:r>
      <w:r w:rsidR="008C640C">
        <w:t>crime</w:t>
      </w:r>
      <w:r w:rsidR="007E36C9">
        <w:t xml:space="preserve">, it is </w:t>
      </w:r>
      <w:r w:rsidR="007E36C9">
        <w:rPr>
          <w:rFonts w:ascii="Times New Roman" w:hAnsi="Times New Roman"/>
        </w:rPr>
        <w:t>foreseeable</w:t>
      </w:r>
      <w:r w:rsidR="007E59D9">
        <w:rPr>
          <w:rFonts w:ascii="Times New Roman" w:hAnsi="Times New Roman"/>
        </w:rPr>
        <w:t xml:space="preserve"> that </w:t>
      </w:r>
      <w:r w:rsidR="007E36C9">
        <w:rPr>
          <w:rFonts w:ascii="Times New Roman" w:hAnsi="Times New Roman"/>
        </w:rPr>
        <w:t>research</w:t>
      </w:r>
      <w:r w:rsidR="007E59D9">
        <w:rPr>
          <w:rFonts w:ascii="Times New Roman" w:hAnsi="Times New Roman"/>
        </w:rPr>
        <w:t xml:space="preserve"> often fail</w:t>
      </w:r>
      <w:r w:rsidR="007E36C9">
        <w:rPr>
          <w:rFonts w:ascii="Times New Roman" w:hAnsi="Times New Roman"/>
        </w:rPr>
        <w:t>s</w:t>
      </w:r>
      <w:r w:rsidR="007E59D9">
        <w:rPr>
          <w:rFonts w:ascii="Times New Roman" w:hAnsi="Times New Roman"/>
        </w:rPr>
        <w:t xml:space="preserve"> to causally link rehabilitation to reductions in recidivism. </w:t>
      </w:r>
      <w:r w:rsidR="006470FD">
        <w:t xml:space="preserve">Given </w:t>
      </w:r>
      <w:r w:rsidR="007E36C9">
        <w:t xml:space="preserve">how </w:t>
      </w:r>
      <w:r w:rsidR="006470FD">
        <w:t>the individualistic orientation of rehabilitative philosophy</w:t>
      </w:r>
      <w:r w:rsidR="007E36C9">
        <w:t xml:space="preserve"> obscures the complex structural causes of crime</w:t>
      </w:r>
      <w:r w:rsidR="006470FD">
        <w:t xml:space="preserve">, </w:t>
      </w:r>
      <w:r w:rsidR="007E36C9">
        <w:t>it</w:t>
      </w:r>
      <w:r w:rsidR="008C640C">
        <w:t xml:space="preserve"> comports </w:t>
      </w:r>
      <w:r w:rsidR="006470FD">
        <w:t>well with the neoliberal consensus in American politics</w:t>
      </w:r>
      <w:r w:rsidR="008C640C">
        <w:t xml:space="preserve"> and could once again lead to the conclusion that “nothing works” in corrections.</w:t>
      </w:r>
      <w:r w:rsidR="006470FD">
        <w:rPr>
          <w:rStyle w:val="FootnoteReference"/>
        </w:rPr>
        <w:footnoteReference w:id="99"/>
      </w:r>
      <w:r w:rsidR="008C640C">
        <w:t xml:space="preserve"> This section will show how </w:t>
      </w:r>
      <w:r w:rsidR="00C335C6">
        <w:t>neoliberal crime politics rely</w:t>
      </w:r>
      <w:r w:rsidR="007E59D9">
        <w:t xml:space="preserve"> on </w:t>
      </w:r>
      <w:r w:rsidR="007E36C9">
        <w:t>the punitive</w:t>
      </w:r>
      <w:r w:rsidR="007E59D9">
        <w:t xml:space="preserve"> ideological facets of the rehabilitative ideal and </w:t>
      </w:r>
      <w:r w:rsidR="007E36C9">
        <w:t xml:space="preserve">will argue that </w:t>
      </w:r>
      <w:r w:rsidR="008C640C">
        <w:t>neoliberalism has created a fertile context for bio</w:t>
      </w:r>
      <w:r w:rsidR="00614666">
        <w:t>-</w:t>
      </w:r>
      <w:r w:rsidR="008C640C">
        <w:t>det</w:t>
      </w:r>
      <w:r w:rsidR="007E36C9">
        <w:t xml:space="preserve">erminist criminology to thrive. </w:t>
      </w:r>
    </w:p>
    <w:p w14:paraId="5596550F" w14:textId="096387EC" w:rsidR="002B4897" w:rsidRDefault="002B4897" w:rsidP="005969E2">
      <w:pPr>
        <w:widowControl w:val="0"/>
        <w:spacing w:line="480" w:lineRule="auto"/>
        <w:ind w:firstLine="720"/>
        <w:rPr>
          <w:rFonts w:ascii="Times New Roman" w:hAnsi="Times New Roman"/>
        </w:rPr>
      </w:pPr>
      <w:r>
        <w:t xml:space="preserve">As defined by </w:t>
      </w:r>
      <w:r w:rsidRPr="00631230">
        <w:rPr>
          <w:rFonts w:ascii="Times New Roman" w:hAnsi="Times New Roman"/>
        </w:rPr>
        <w:t>Loïc</w:t>
      </w:r>
      <w:r>
        <w:rPr>
          <w:rFonts w:ascii="Times New Roman" w:hAnsi="Times New Roman"/>
        </w:rPr>
        <w:t xml:space="preserve"> Wacquant, neoliberalism is a philosophy of governance that favors free markets, celebrates individual responsibility, and stigmatizes poverty and crime as individual faults.</w:t>
      </w:r>
      <w:r>
        <w:rPr>
          <w:rStyle w:val="FootnoteReference"/>
          <w:rFonts w:ascii="Times New Roman" w:hAnsi="Times New Roman"/>
        </w:rPr>
        <w:footnoteReference w:id="100"/>
      </w:r>
      <w:r>
        <w:rPr>
          <w:rFonts w:ascii="Times New Roman" w:hAnsi="Times New Roman"/>
        </w:rPr>
        <w:t xml:space="preserve"> This justifies the state’s abandonment of </w:t>
      </w:r>
      <w:r w:rsidR="007E59D9">
        <w:rPr>
          <w:rFonts w:ascii="Times New Roman" w:hAnsi="Times New Roman"/>
        </w:rPr>
        <w:t>poor</w:t>
      </w:r>
      <w:r>
        <w:rPr>
          <w:rFonts w:ascii="Times New Roman" w:hAnsi="Times New Roman"/>
        </w:rPr>
        <w:t xml:space="preserve"> communities by claiming that socioeconomic disadvantage is a function of the faults of a neighborhood’s residents. The state’s withdrawal produces rampant </w:t>
      </w:r>
      <w:r w:rsidR="008C640C">
        <w:rPr>
          <w:rFonts w:ascii="Times New Roman" w:hAnsi="Times New Roman"/>
        </w:rPr>
        <w:t>unemployment, creating a labor void that</w:t>
      </w:r>
      <w:r>
        <w:rPr>
          <w:rFonts w:ascii="Times New Roman" w:hAnsi="Times New Roman"/>
        </w:rPr>
        <w:t xml:space="preserve"> is often filled by the drug trade. These conditions are causes of crime that are </w:t>
      </w:r>
      <w:r w:rsidR="007E59D9">
        <w:rPr>
          <w:rFonts w:ascii="Times New Roman" w:hAnsi="Times New Roman"/>
        </w:rPr>
        <w:t xml:space="preserve">often </w:t>
      </w:r>
      <w:r>
        <w:rPr>
          <w:rFonts w:ascii="Times New Roman" w:hAnsi="Times New Roman"/>
        </w:rPr>
        <w:t xml:space="preserve">ignored by rehabilitative methods. Traditional correctional strategies thus </w:t>
      </w:r>
      <w:r w:rsidR="000C6712">
        <w:rPr>
          <w:rFonts w:ascii="Times New Roman" w:hAnsi="Times New Roman"/>
        </w:rPr>
        <w:t>direct</w:t>
      </w:r>
      <w:r>
        <w:rPr>
          <w:rFonts w:ascii="Times New Roman" w:hAnsi="Times New Roman"/>
        </w:rPr>
        <w:t xml:space="preserve"> responsibility for </w:t>
      </w:r>
      <w:r w:rsidR="000C6712">
        <w:rPr>
          <w:rFonts w:ascii="Times New Roman" w:hAnsi="Times New Roman"/>
        </w:rPr>
        <w:t>crime</w:t>
      </w:r>
      <w:r>
        <w:rPr>
          <w:rFonts w:ascii="Times New Roman" w:hAnsi="Times New Roman"/>
        </w:rPr>
        <w:t xml:space="preserve"> onto individuals </w:t>
      </w:r>
      <w:r w:rsidR="000C6712">
        <w:rPr>
          <w:rFonts w:ascii="Times New Roman" w:hAnsi="Times New Roman"/>
        </w:rPr>
        <w:t xml:space="preserve">by emphasizing incorrigibility and </w:t>
      </w:r>
      <w:r w:rsidR="007E59D9">
        <w:rPr>
          <w:rFonts w:ascii="Times New Roman" w:hAnsi="Times New Roman"/>
        </w:rPr>
        <w:t>personal</w:t>
      </w:r>
      <w:r w:rsidR="000C6712">
        <w:rPr>
          <w:rFonts w:ascii="Times New Roman" w:hAnsi="Times New Roman"/>
        </w:rPr>
        <w:t xml:space="preserve"> responsibility, two pillars of rehabilitative ideology, </w:t>
      </w:r>
      <w:r w:rsidR="007E59D9">
        <w:rPr>
          <w:rFonts w:ascii="Times New Roman" w:hAnsi="Times New Roman"/>
        </w:rPr>
        <w:t>while deflecting</w:t>
      </w:r>
      <w:r w:rsidR="000C6712">
        <w:rPr>
          <w:rFonts w:ascii="Times New Roman" w:hAnsi="Times New Roman"/>
        </w:rPr>
        <w:t xml:space="preserve"> attention awa</w:t>
      </w:r>
      <w:r w:rsidR="007E59D9">
        <w:rPr>
          <w:rFonts w:ascii="Times New Roman" w:hAnsi="Times New Roman"/>
        </w:rPr>
        <w:t>y from the state’s role in creating the conditions that help cause crime</w:t>
      </w:r>
      <w:r>
        <w:rPr>
          <w:rFonts w:ascii="Times New Roman" w:hAnsi="Times New Roman"/>
        </w:rPr>
        <w:t>.</w:t>
      </w:r>
      <w:r>
        <w:rPr>
          <w:rStyle w:val="FootnoteReference"/>
          <w:rFonts w:ascii="Times New Roman" w:hAnsi="Times New Roman"/>
        </w:rPr>
        <w:footnoteReference w:id="101"/>
      </w:r>
      <w:r w:rsidR="000C6712">
        <w:rPr>
          <w:rFonts w:ascii="Times New Roman" w:hAnsi="Times New Roman"/>
        </w:rPr>
        <w:t>A third feature of rehabilitative theory—faith in the hard power of state—is also reflected in neoliberalism’s expansion of the penal apparatus</w:t>
      </w:r>
      <w:r w:rsidR="007E59D9">
        <w:rPr>
          <w:rFonts w:ascii="Times New Roman" w:hAnsi="Times New Roman"/>
        </w:rPr>
        <w:t xml:space="preserve">, which </w:t>
      </w:r>
      <w:r w:rsidR="000C6712">
        <w:rPr>
          <w:rFonts w:ascii="Times New Roman" w:hAnsi="Times New Roman"/>
        </w:rPr>
        <w:t xml:space="preserve">highlights the fact that neoliberalism entails less a retrenchment of the state and more a repurposing of it.  </w:t>
      </w:r>
    </w:p>
    <w:p w14:paraId="65B02AE4" w14:textId="047F8410" w:rsidR="00FB360F" w:rsidRDefault="002B4897" w:rsidP="005C0F91">
      <w:pPr>
        <w:widowControl w:val="0"/>
        <w:spacing w:line="480" w:lineRule="auto"/>
        <w:ind w:firstLine="720"/>
        <w:rPr>
          <w:rFonts w:ascii="Times New Roman" w:hAnsi="Times New Roman"/>
        </w:rPr>
      </w:pPr>
      <w:r>
        <w:rPr>
          <w:rFonts w:ascii="Times New Roman" w:hAnsi="Times New Roman"/>
        </w:rPr>
        <w:t xml:space="preserve">The intellectual history reviewed in this paper demonstrates how traditional rehabilitative strategies validate the neoliberal agenda of upsizing of the penal apparatus </w:t>
      </w:r>
      <w:r w:rsidRPr="008210F1">
        <w:rPr>
          <w:rFonts w:ascii="Times New Roman" w:hAnsi="Times New Roman"/>
        </w:rPr>
        <w:t>and</w:t>
      </w:r>
      <w:r>
        <w:rPr>
          <w:rFonts w:ascii="Times New Roman" w:hAnsi="Times New Roman"/>
        </w:rPr>
        <w:t xml:space="preserve"> downsizing the welfare state. </w:t>
      </w:r>
      <w:r w:rsidR="000C6712">
        <w:rPr>
          <w:rFonts w:ascii="Times New Roman" w:hAnsi="Times New Roman"/>
        </w:rPr>
        <w:t>The distinction</w:t>
      </w:r>
      <w:r>
        <w:rPr>
          <w:rFonts w:ascii="Times New Roman" w:hAnsi="Times New Roman"/>
        </w:rPr>
        <w:t xml:space="preserve"> between curable and incurable offenders </w:t>
      </w:r>
      <w:r w:rsidR="000C6712">
        <w:rPr>
          <w:rFonts w:ascii="Times New Roman" w:hAnsi="Times New Roman"/>
        </w:rPr>
        <w:t>absolve</w:t>
      </w:r>
      <w:r w:rsidR="007E59D9">
        <w:rPr>
          <w:rFonts w:ascii="Times New Roman" w:hAnsi="Times New Roman"/>
        </w:rPr>
        <w:t>s</w:t>
      </w:r>
      <w:r>
        <w:rPr>
          <w:rFonts w:ascii="Times New Roman" w:hAnsi="Times New Roman"/>
        </w:rPr>
        <w:t xml:space="preserve"> the state of responsibility for </w:t>
      </w:r>
      <w:r w:rsidR="000C6712">
        <w:rPr>
          <w:rFonts w:ascii="Times New Roman" w:hAnsi="Times New Roman"/>
        </w:rPr>
        <w:t>helping incurable criminals and justifies</w:t>
      </w:r>
      <w:r>
        <w:rPr>
          <w:rFonts w:ascii="Times New Roman" w:hAnsi="Times New Roman"/>
        </w:rPr>
        <w:t xml:space="preserve"> </w:t>
      </w:r>
      <w:r w:rsidR="000C6712">
        <w:rPr>
          <w:rFonts w:ascii="Times New Roman" w:hAnsi="Times New Roman"/>
        </w:rPr>
        <w:t xml:space="preserve">their </w:t>
      </w:r>
      <w:r>
        <w:rPr>
          <w:rFonts w:ascii="Times New Roman" w:hAnsi="Times New Roman"/>
        </w:rPr>
        <w:t xml:space="preserve">long-term detention. Meanwhile, welfare retrenchment creates the social conditions that produce crime. This generates a self-fulfilling cycle in which the state labels poverty and crime as outcomes of individual </w:t>
      </w:r>
      <w:r w:rsidR="00F56E2B">
        <w:rPr>
          <w:rFonts w:ascii="Times New Roman" w:hAnsi="Times New Roman"/>
        </w:rPr>
        <w:t>pathologies</w:t>
      </w:r>
      <w:r>
        <w:rPr>
          <w:rFonts w:ascii="Times New Roman" w:hAnsi="Times New Roman"/>
        </w:rPr>
        <w:t xml:space="preserve">, which legitimates </w:t>
      </w:r>
      <w:r w:rsidR="00F56E2B">
        <w:rPr>
          <w:rFonts w:ascii="Times New Roman" w:hAnsi="Times New Roman"/>
        </w:rPr>
        <w:t>further</w:t>
      </w:r>
      <w:r>
        <w:rPr>
          <w:rFonts w:ascii="Times New Roman" w:hAnsi="Times New Roman"/>
        </w:rPr>
        <w:t xml:space="preserve"> welfare retrenchment and carceral expansion. By producing the social conditions that create disadvantaged populations and then blaming any resultant behavior on their own faults and pathologies, </w:t>
      </w:r>
      <w:r w:rsidR="007E59D9">
        <w:rPr>
          <w:rFonts w:ascii="Times New Roman" w:hAnsi="Times New Roman"/>
        </w:rPr>
        <w:t>neoliberalism</w:t>
      </w:r>
      <w:r>
        <w:rPr>
          <w:rFonts w:ascii="Times New Roman" w:hAnsi="Times New Roman"/>
        </w:rPr>
        <w:t xml:space="preserve"> </w:t>
      </w:r>
      <w:r w:rsidR="007E59D9">
        <w:rPr>
          <w:rFonts w:ascii="Times New Roman" w:hAnsi="Times New Roman"/>
        </w:rPr>
        <w:t xml:space="preserve">manages to </w:t>
      </w:r>
      <w:r w:rsidR="00861D35">
        <w:rPr>
          <w:rFonts w:ascii="Times New Roman" w:hAnsi="Times New Roman"/>
        </w:rPr>
        <w:t>perpetuate and regulate</w:t>
      </w:r>
      <w:r w:rsidR="005C0F91">
        <w:rPr>
          <w:rFonts w:ascii="Times New Roman" w:hAnsi="Times New Roman"/>
        </w:rPr>
        <w:t xml:space="preserve"> socially and economically </w:t>
      </w:r>
      <w:r>
        <w:rPr>
          <w:rFonts w:ascii="Times New Roman" w:hAnsi="Times New Roman"/>
        </w:rPr>
        <w:t xml:space="preserve">marginalized </w:t>
      </w:r>
      <w:r w:rsidR="005C0F91">
        <w:rPr>
          <w:rFonts w:ascii="Times New Roman" w:hAnsi="Times New Roman"/>
        </w:rPr>
        <w:t xml:space="preserve">populations </w:t>
      </w:r>
      <w:r w:rsidR="004A4A39">
        <w:rPr>
          <w:rFonts w:ascii="Times New Roman" w:hAnsi="Times New Roman"/>
        </w:rPr>
        <w:t>in</w:t>
      </w:r>
      <w:r>
        <w:rPr>
          <w:rFonts w:ascii="Times New Roman" w:hAnsi="Times New Roman"/>
        </w:rPr>
        <w:t xml:space="preserve"> </w:t>
      </w:r>
      <w:r w:rsidR="005C0F91">
        <w:rPr>
          <w:rFonts w:ascii="Times New Roman" w:hAnsi="Times New Roman"/>
        </w:rPr>
        <w:t>American society</w:t>
      </w:r>
      <w:r>
        <w:rPr>
          <w:rFonts w:ascii="Times New Roman" w:hAnsi="Times New Roman"/>
        </w:rPr>
        <w:t>.</w:t>
      </w:r>
      <w:r>
        <w:rPr>
          <w:rStyle w:val="FootnoteReference"/>
          <w:rFonts w:ascii="Times New Roman" w:hAnsi="Times New Roman"/>
        </w:rPr>
        <w:footnoteReference w:id="102"/>
      </w:r>
      <w:r>
        <w:rPr>
          <w:rFonts w:ascii="Times New Roman" w:hAnsi="Times New Roman"/>
        </w:rPr>
        <w:t xml:space="preserve"> The theoretical premises of </w:t>
      </w:r>
      <w:r w:rsidR="007E59D9">
        <w:rPr>
          <w:rFonts w:ascii="Times New Roman" w:hAnsi="Times New Roman"/>
        </w:rPr>
        <w:t>the rehabilitative ideal</w:t>
      </w:r>
      <w:r>
        <w:rPr>
          <w:rFonts w:ascii="Times New Roman" w:hAnsi="Times New Roman"/>
        </w:rPr>
        <w:t xml:space="preserve"> support </w:t>
      </w:r>
      <w:r w:rsidR="005C0F91">
        <w:rPr>
          <w:rFonts w:ascii="Times New Roman" w:hAnsi="Times New Roman"/>
        </w:rPr>
        <w:t>this element of the</w:t>
      </w:r>
      <w:r>
        <w:rPr>
          <w:rFonts w:ascii="Times New Roman" w:hAnsi="Times New Roman"/>
        </w:rPr>
        <w:t xml:space="preserve"> neoliberal project by </w:t>
      </w:r>
      <w:r w:rsidR="007E59D9">
        <w:rPr>
          <w:rFonts w:ascii="Times New Roman" w:hAnsi="Times New Roman"/>
        </w:rPr>
        <w:t xml:space="preserve">emphasizing individual responsibility and </w:t>
      </w:r>
      <w:r>
        <w:rPr>
          <w:rFonts w:ascii="Times New Roman" w:hAnsi="Times New Roman"/>
        </w:rPr>
        <w:t xml:space="preserve">hiding how the justice system is designed </w:t>
      </w:r>
      <w:r w:rsidR="007E59D9">
        <w:rPr>
          <w:rFonts w:ascii="Times New Roman" w:hAnsi="Times New Roman"/>
        </w:rPr>
        <w:t>in ways that</w:t>
      </w:r>
      <w:r>
        <w:rPr>
          <w:rFonts w:ascii="Times New Roman" w:hAnsi="Times New Roman"/>
        </w:rPr>
        <w:t xml:space="preserve"> promote and protect the interests of the state. </w:t>
      </w:r>
      <w:r w:rsidR="005C0F91">
        <w:rPr>
          <w:rFonts w:ascii="Times New Roman" w:hAnsi="Times New Roman"/>
        </w:rPr>
        <w:t>While some</w:t>
      </w:r>
      <w:r>
        <w:rPr>
          <w:rFonts w:ascii="Times New Roman" w:hAnsi="Times New Roman"/>
        </w:rPr>
        <w:t xml:space="preserve"> understand the </w:t>
      </w:r>
      <w:r w:rsidR="005C0F91">
        <w:rPr>
          <w:rFonts w:ascii="Times New Roman" w:hAnsi="Times New Roman"/>
        </w:rPr>
        <w:t>crime politics of</w:t>
      </w:r>
      <w:r>
        <w:rPr>
          <w:rFonts w:ascii="Times New Roman" w:hAnsi="Times New Roman"/>
        </w:rPr>
        <w:t xml:space="preserve"> the 1960s and 1970s as </w:t>
      </w:r>
      <w:r w:rsidR="000F1674">
        <w:rPr>
          <w:rFonts w:ascii="Times New Roman" w:hAnsi="Times New Roman"/>
        </w:rPr>
        <w:t>the result of penal</w:t>
      </w:r>
      <w:r w:rsidR="005C0F91">
        <w:rPr>
          <w:rFonts w:ascii="Times New Roman" w:hAnsi="Times New Roman"/>
        </w:rPr>
        <w:t xml:space="preserve"> conservatives </w:t>
      </w:r>
      <w:r w:rsidR="000F1674">
        <w:rPr>
          <w:rFonts w:ascii="Times New Roman" w:hAnsi="Times New Roman"/>
        </w:rPr>
        <w:t xml:space="preserve">seeking </w:t>
      </w:r>
      <w:r w:rsidR="005C0F91">
        <w:rPr>
          <w:rFonts w:ascii="Times New Roman" w:hAnsi="Times New Roman"/>
        </w:rPr>
        <w:t xml:space="preserve">to reframe </w:t>
      </w:r>
      <w:r>
        <w:rPr>
          <w:rFonts w:ascii="Times New Roman" w:hAnsi="Times New Roman"/>
        </w:rPr>
        <w:t xml:space="preserve">crime </w:t>
      </w:r>
      <w:r w:rsidR="000F1674">
        <w:rPr>
          <w:rFonts w:ascii="Times New Roman" w:hAnsi="Times New Roman"/>
        </w:rPr>
        <w:t>from being a rehabilitative</w:t>
      </w:r>
      <w:r w:rsidR="005C0F91">
        <w:rPr>
          <w:rFonts w:ascii="Times New Roman" w:hAnsi="Times New Roman"/>
        </w:rPr>
        <w:t xml:space="preserve"> issue to one centered on </w:t>
      </w:r>
      <w:r>
        <w:rPr>
          <w:rFonts w:ascii="Times New Roman" w:hAnsi="Times New Roman"/>
        </w:rPr>
        <w:t xml:space="preserve">individual choice </w:t>
      </w:r>
      <w:r w:rsidR="005C0F91">
        <w:rPr>
          <w:rFonts w:ascii="Times New Roman" w:hAnsi="Times New Roman"/>
        </w:rPr>
        <w:t xml:space="preserve">and </w:t>
      </w:r>
      <w:r>
        <w:rPr>
          <w:rFonts w:ascii="Times New Roman" w:hAnsi="Times New Roman"/>
        </w:rPr>
        <w:t>punishment</w:t>
      </w:r>
      <w:r w:rsidR="005C0F91">
        <w:rPr>
          <w:rFonts w:ascii="Times New Roman" w:hAnsi="Times New Roman"/>
        </w:rPr>
        <w:t>, t</w:t>
      </w:r>
      <w:r w:rsidR="000F1674">
        <w:rPr>
          <w:rFonts w:ascii="Times New Roman" w:hAnsi="Times New Roman"/>
        </w:rPr>
        <w:t>his paper reveals that there was no “</w:t>
      </w:r>
      <w:r>
        <w:rPr>
          <w:rFonts w:ascii="Times New Roman" w:hAnsi="Times New Roman"/>
        </w:rPr>
        <w:t>reframing</w:t>
      </w:r>
      <w:r w:rsidR="000F1674">
        <w:rPr>
          <w:rFonts w:ascii="Times New Roman" w:hAnsi="Times New Roman"/>
        </w:rPr>
        <w:t>”</w:t>
      </w:r>
      <w:r>
        <w:rPr>
          <w:rFonts w:ascii="Times New Roman" w:hAnsi="Times New Roman"/>
        </w:rPr>
        <w:t xml:space="preserve"> </w:t>
      </w:r>
      <w:r w:rsidR="000F1674">
        <w:rPr>
          <w:rFonts w:ascii="Times New Roman" w:hAnsi="Times New Roman"/>
        </w:rPr>
        <w:t xml:space="preserve">of the rehabilitative ideal </w:t>
      </w:r>
      <w:r>
        <w:rPr>
          <w:rFonts w:ascii="Times New Roman" w:hAnsi="Times New Roman"/>
        </w:rPr>
        <w:t>at all.</w:t>
      </w:r>
      <w:r w:rsidR="005C0F91">
        <w:rPr>
          <w:rStyle w:val="FootnoteReference"/>
          <w:rFonts w:ascii="Times New Roman" w:hAnsi="Times New Roman"/>
        </w:rPr>
        <w:footnoteReference w:id="103"/>
      </w:r>
      <w:r>
        <w:rPr>
          <w:rFonts w:ascii="Times New Roman" w:hAnsi="Times New Roman"/>
        </w:rPr>
        <w:t xml:space="preserve"> </w:t>
      </w:r>
      <w:r w:rsidR="005C0F91">
        <w:rPr>
          <w:rFonts w:ascii="Times New Roman" w:hAnsi="Times New Roman"/>
        </w:rPr>
        <w:t>Penal</w:t>
      </w:r>
      <w:r>
        <w:rPr>
          <w:rFonts w:ascii="Times New Roman" w:hAnsi="Times New Roman"/>
        </w:rPr>
        <w:t xml:space="preserve"> conservatives were able to facilitate a punitive shift because </w:t>
      </w:r>
      <w:r w:rsidR="00F56E2B">
        <w:rPr>
          <w:rFonts w:ascii="Times New Roman" w:hAnsi="Times New Roman"/>
        </w:rPr>
        <w:t>long-established</w:t>
      </w:r>
      <w:r>
        <w:rPr>
          <w:rFonts w:ascii="Times New Roman" w:hAnsi="Times New Roman"/>
        </w:rPr>
        <w:t xml:space="preserve"> </w:t>
      </w:r>
      <w:r w:rsidR="005C0F91">
        <w:rPr>
          <w:rFonts w:ascii="Times New Roman" w:hAnsi="Times New Roman"/>
        </w:rPr>
        <w:t>notions of incorrigibility,</w:t>
      </w:r>
      <w:r w:rsidR="00F56E2B">
        <w:rPr>
          <w:rFonts w:ascii="Times New Roman" w:hAnsi="Times New Roman"/>
        </w:rPr>
        <w:t xml:space="preserve"> individual responsibility, and state</w:t>
      </w:r>
      <w:r w:rsidR="005C0F91">
        <w:rPr>
          <w:rFonts w:ascii="Times New Roman" w:hAnsi="Times New Roman"/>
        </w:rPr>
        <w:t xml:space="preserve"> </w:t>
      </w:r>
      <w:r w:rsidR="000F1674">
        <w:rPr>
          <w:rFonts w:ascii="Times New Roman" w:hAnsi="Times New Roman"/>
        </w:rPr>
        <w:t xml:space="preserve">capacity </w:t>
      </w:r>
      <w:r w:rsidR="00F56E2B">
        <w:rPr>
          <w:rFonts w:ascii="Times New Roman" w:hAnsi="Times New Roman"/>
        </w:rPr>
        <w:t>that were key to the rehabilitative ideal al</w:t>
      </w:r>
      <w:r w:rsidR="000F1674">
        <w:rPr>
          <w:rFonts w:ascii="Times New Roman" w:hAnsi="Times New Roman"/>
        </w:rPr>
        <w:t xml:space="preserve">so justified incarceration </w:t>
      </w:r>
      <w:r w:rsidR="00F56E2B">
        <w:rPr>
          <w:rFonts w:ascii="Times New Roman" w:hAnsi="Times New Roman"/>
        </w:rPr>
        <w:t xml:space="preserve">in a neoliberal political context. </w:t>
      </w:r>
    </w:p>
    <w:p w14:paraId="75967605" w14:textId="28F61314" w:rsidR="002B4897" w:rsidRDefault="00F56E2B" w:rsidP="00505350">
      <w:pPr>
        <w:widowControl w:val="0"/>
        <w:spacing w:line="480" w:lineRule="auto"/>
        <w:ind w:firstLine="720"/>
        <w:rPr>
          <w:rFonts w:ascii="Times New Roman" w:hAnsi="Times New Roman"/>
        </w:rPr>
      </w:pPr>
      <w:r>
        <w:rPr>
          <w:rFonts w:ascii="Times New Roman" w:hAnsi="Times New Roman"/>
        </w:rPr>
        <w:t>Joachim Savelsberg has shown that</w:t>
      </w:r>
      <w:r w:rsidR="002B4897">
        <w:rPr>
          <w:rFonts w:ascii="Times New Roman" w:hAnsi="Times New Roman"/>
        </w:rPr>
        <w:t xml:space="preserve"> academic work in criminology is influenced by </w:t>
      </w:r>
      <w:r>
        <w:rPr>
          <w:rFonts w:ascii="Times New Roman" w:hAnsi="Times New Roman"/>
        </w:rPr>
        <w:t>state</w:t>
      </w:r>
      <w:r w:rsidR="002B4897">
        <w:rPr>
          <w:rFonts w:ascii="Times New Roman" w:hAnsi="Times New Roman"/>
        </w:rPr>
        <w:t xml:space="preserve"> </w:t>
      </w:r>
      <w:r>
        <w:rPr>
          <w:rFonts w:ascii="Times New Roman" w:hAnsi="Times New Roman"/>
        </w:rPr>
        <w:t>allocation of research funding, and he argues that</w:t>
      </w:r>
      <w:r w:rsidR="00592FBE" w:rsidRPr="00592FBE">
        <w:rPr>
          <w:rFonts w:ascii="Times New Roman" w:hAnsi="Times New Roman"/>
        </w:rPr>
        <w:t xml:space="preserve"> </w:t>
      </w:r>
      <w:r w:rsidR="00592FBE">
        <w:rPr>
          <w:rFonts w:ascii="Times New Roman" w:hAnsi="Times New Roman"/>
        </w:rPr>
        <w:t>since the 1960s and 1970s</w:t>
      </w:r>
      <w:r w:rsidR="002B4897">
        <w:rPr>
          <w:rFonts w:ascii="Times New Roman" w:hAnsi="Times New Roman"/>
        </w:rPr>
        <w:t xml:space="preserve"> criminological research has been cajoled into validating the state’s interests.</w:t>
      </w:r>
      <w:r w:rsidR="002B4897">
        <w:rPr>
          <w:rStyle w:val="FootnoteReference"/>
          <w:rFonts w:ascii="Times New Roman" w:hAnsi="Times New Roman"/>
        </w:rPr>
        <w:footnoteReference w:id="104"/>
      </w:r>
      <w:r w:rsidR="002B4897">
        <w:rPr>
          <w:rFonts w:ascii="Times New Roman" w:hAnsi="Times New Roman"/>
        </w:rPr>
        <w:t xml:space="preserve"> The political context engineered by neoliberalism has favored the</w:t>
      </w:r>
      <w:r w:rsidR="00592FBE">
        <w:rPr>
          <w:rFonts w:ascii="Times New Roman" w:hAnsi="Times New Roman"/>
        </w:rPr>
        <w:t xml:space="preserve"> proliferation of criminology</w:t>
      </w:r>
      <w:r w:rsidR="002B4897">
        <w:rPr>
          <w:rFonts w:ascii="Times New Roman" w:hAnsi="Times New Roman"/>
        </w:rPr>
        <w:t xml:space="preserve"> that </w:t>
      </w:r>
      <w:r w:rsidR="0008794E">
        <w:rPr>
          <w:rFonts w:ascii="Times New Roman" w:hAnsi="Times New Roman"/>
        </w:rPr>
        <w:t>emphasizes</w:t>
      </w:r>
      <w:r w:rsidR="002B4897">
        <w:rPr>
          <w:rFonts w:ascii="Times New Roman" w:hAnsi="Times New Roman"/>
        </w:rPr>
        <w:t xml:space="preserve"> the individual pathologies of criminals</w:t>
      </w:r>
      <w:r w:rsidR="00592FBE">
        <w:rPr>
          <w:rFonts w:ascii="Times New Roman" w:hAnsi="Times New Roman"/>
        </w:rPr>
        <w:t>. A great</w:t>
      </w:r>
      <w:r w:rsidR="00FD79E7">
        <w:rPr>
          <w:rFonts w:ascii="Times New Roman" w:hAnsi="Times New Roman"/>
        </w:rPr>
        <w:t xml:space="preserve"> example i</w:t>
      </w:r>
      <w:r w:rsidR="00546945">
        <w:rPr>
          <w:rFonts w:ascii="Times New Roman" w:hAnsi="Times New Roman"/>
        </w:rPr>
        <w:t xml:space="preserve">s the “career criminal” criminology </w:t>
      </w:r>
      <w:r w:rsidR="00592FBE">
        <w:rPr>
          <w:rFonts w:ascii="Times New Roman" w:hAnsi="Times New Roman"/>
        </w:rPr>
        <w:t xml:space="preserve">popular </w:t>
      </w:r>
      <w:r w:rsidR="00546945">
        <w:rPr>
          <w:rFonts w:ascii="Times New Roman" w:hAnsi="Times New Roman"/>
        </w:rPr>
        <w:t>during the Reagan era</w:t>
      </w:r>
      <w:r w:rsidR="00FD79E7">
        <w:rPr>
          <w:rFonts w:ascii="Times New Roman" w:hAnsi="Times New Roman"/>
        </w:rPr>
        <w:t>, as Reagan himself had stated in 1968 that, “We must reject the idea that every time a law is broken society is gui</w:t>
      </w:r>
      <w:r w:rsidR="0034774A">
        <w:rPr>
          <w:rFonts w:ascii="Times New Roman" w:hAnsi="Times New Roman"/>
        </w:rPr>
        <w:t>lty rather than the lawbreaker,” and “</w:t>
      </w:r>
      <w:r w:rsidR="00FD79E7">
        <w:rPr>
          <w:rFonts w:ascii="Times New Roman" w:hAnsi="Times New Roman"/>
        </w:rPr>
        <w:t>It is time to restore the American precept that each individual is accountable for his actions</w:t>
      </w:r>
      <w:r w:rsidR="002B4897">
        <w:rPr>
          <w:rFonts w:ascii="Times New Roman" w:hAnsi="Times New Roman"/>
        </w:rPr>
        <w:t>.</w:t>
      </w:r>
      <w:r w:rsidR="00FD79E7">
        <w:rPr>
          <w:rFonts w:ascii="Times New Roman" w:hAnsi="Times New Roman"/>
        </w:rPr>
        <w:t>”</w:t>
      </w:r>
      <w:r w:rsidR="002B4897">
        <w:rPr>
          <w:rStyle w:val="FootnoteReference"/>
          <w:rFonts w:ascii="Times New Roman" w:hAnsi="Times New Roman"/>
        </w:rPr>
        <w:footnoteReference w:id="105"/>
      </w:r>
      <w:r w:rsidR="002B4897">
        <w:rPr>
          <w:rFonts w:ascii="Times New Roman" w:hAnsi="Times New Roman"/>
        </w:rPr>
        <w:t xml:space="preserve"> Particularly, </w:t>
      </w:r>
      <w:r w:rsidR="00592FBE">
        <w:rPr>
          <w:rFonts w:ascii="Times New Roman" w:hAnsi="Times New Roman"/>
        </w:rPr>
        <w:t>neoliberalism</w:t>
      </w:r>
      <w:r w:rsidR="002B4897">
        <w:rPr>
          <w:rFonts w:ascii="Times New Roman" w:hAnsi="Times New Roman"/>
        </w:rPr>
        <w:t xml:space="preserve"> has provided an opportunity for </w:t>
      </w:r>
      <w:r>
        <w:rPr>
          <w:rFonts w:ascii="Times New Roman" w:hAnsi="Times New Roman"/>
        </w:rPr>
        <w:t>the fourth pillar of rehabilitative ideology</w:t>
      </w:r>
      <w:r w:rsidR="0034774A">
        <w:rPr>
          <w:rFonts w:ascii="Times New Roman" w:hAnsi="Times New Roman"/>
        </w:rPr>
        <w:t xml:space="preserve">, </w:t>
      </w:r>
      <w:r>
        <w:rPr>
          <w:rFonts w:ascii="Times New Roman" w:hAnsi="Times New Roman"/>
        </w:rPr>
        <w:t>bio</w:t>
      </w:r>
      <w:r w:rsidR="00757E93">
        <w:rPr>
          <w:rFonts w:ascii="Times New Roman" w:hAnsi="Times New Roman"/>
        </w:rPr>
        <w:t>-</w:t>
      </w:r>
      <w:r>
        <w:rPr>
          <w:rFonts w:ascii="Times New Roman" w:hAnsi="Times New Roman"/>
        </w:rPr>
        <w:t>determinist criminology</w:t>
      </w:r>
      <w:r w:rsidR="0034774A">
        <w:rPr>
          <w:rFonts w:ascii="Times New Roman" w:hAnsi="Times New Roman"/>
        </w:rPr>
        <w:t>, t</w:t>
      </w:r>
      <w:r w:rsidR="002B4897">
        <w:rPr>
          <w:rFonts w:ascii="Times New Roman" w:hAnsi="Times New Roman"/>
        </w:rPr>
        <w:t xml:space="preserve">o </w:t>
      </w:r>
      <w:r>
        <w:rPr>
          <w:rFonts w:ascii="Times New Roman" w:hAnsi="Times New Roman"/>
        </w:rPr>
        <w:t>regain</w:t>
      </w:r>
      <w:r w:rsidR="002B4897">
        <w:rPr>
          <w:rFonts w:ascii="Times New Roman" w:hAnsi="Times New Roman"/>
        </w:rPr>
        <w:t xml:space="preserve"> academic legitimacy. </w:t>
      </w:r>
      <w:r w:rsidR="00592FBE">
        <w:rPr>
          <w:rFonts w:ascii="Times New Roman" w:hAnsi="Times New Roman"/>
        </w:rPr>
        <w:t>Biological</w:t>
      </w:r>
      <w:r w:rsidR="002B4897">
        <w:rPr>
          <w:rFonts w:ascii="Times New Roman" w:hAnsi="Times New Roman"/>
        </w:rPr>
        <w:t xml:space="preserve"> criminology is especially </w:t>
      </w:r>
      <w:r w:rsidR="002B4897" w:rsidRPr="007A1610">
        <w:rPr>
          <w:rFonts w:ascii="Times New Roman" w:hAnsi="Times New Roman"/>
        </w:rPr>
        <w:t>effective</w:t>
      </w:r>
      <w:r w:rsidR="002B4897">
        <w:rPr>
          <w:rFonts w:ascii="Times New Roman" w:hAnsi="Times New Roman"/>
        </w:rPr>
        <w:t xml:space="preserve"> at affirming the</w:t>
      </w:r>
      <w:r w:rsidR="002B4897" w:rsidRPr="00362171">
        <w:rPr>
          <w:rFonts w:ascii="Times New Roman" w:hAnsi="Times New Roman"/>
        </w:rPr>
        <w:t xml:space="preserve"> </w:t>
      </w:r>
      <w:r w:rsidR="002B4897">
        <w:rPr>
          <w:rFonts w:ascii="Times New Roman" w:hAnsi="Times New Roman"/>
        </w:rPr>
        <w:t xml:space="preserve">part of the rehabilitative ideal that has been </w:t>
      </w:r>
      <w:r w:rsidR="0008794E">
        <w:rPr>
          <w:rFonts w:ascii="Times New Roman" w:hAnsi="Times New Roman"/>
        </w:rPr>
        <w:t>essential to</w:t>
      </w:r>
      <w:r w:rsidR="002B4897" w:rsidRPr="002279F5">
        <w:rPr>
          <w:rFonts w:ascii="Times New Roman" w:hAnsi="Times New Roman"/>
        </w:rPr>
        <w:t xml:space="preserve"> </w:t>
      </w:r>
      <w:r w:rsidR="002B4897">
        <w:rPr>
          <w:rFonts w:ascii="Times New Roman" w:hAnsi="Times New Roman"/>
        </w:rPr>
        <w:t>justif</w:t>
      </w:r>
      <w:r w:rsidR="00DB6AF3">
        <w:rPr>
          <w:rFonts w:ascii="Times New Roman" w:hAnsi="Times New Roman"/>
        </w:rPr>
        <w:t>ying neoliberal carceral policy–</w:t>
      </w:r>
      <w:r w:rsidR="002B4897">
        <w:rPr>
          <w:rFonts w:ascii="Times New Roman" w:hAnsi="Times New Roman"/>
        </w:rPr>
        <w:t xml:space="preserve">the notion that certain criminals are </w:t>
      </w:r>
      <w:r w:rsidR="00B915B9">
        <w:rPr>
          <w:rFonts w:ascii="Times New Roman" w:hAnsi="Times New Roman"/>
        </w:rPr>
        <w:t>incorrigible.</w:t>
      </w:r>
    </w:p>
    <w:p w14:paraId="7053B282" w14:textId="7D82D345" w:rsidR="00FD79E7" w:rsidRDefault="002B4897" w:rsidP="008A10D2">
      <w:pPr>
        <w:widowControl w:val="0"/>
        <w:spacing w:line="480" w:lineRule="auto"/>
        <w:ind w:firstLine="720"/>
        <w:rPr>
          <w:rFonts w:ascii="Times New Roman" w:hAnsi="Times New Roman"/>
        </w:rPr>
      </w:pPr>
      <w:r>
        <w:rPr>
          <w:rFonts w:ascii="Times New Roman" w:hAnsi="Times New Roman"/>
        </w:rPr>
        <w:t>For example, as the incarceration rate began to accelerate</w:t>
      </w:r>
      <w:r w:rsidRPr="009D2954">
        <w:rPr>
          <w:rFonts w:ascii="Times New Roman" w:hAnsi="Times New Roman"/>
        </w:rPr>
        <w:t xml:space="preserve"> </w:t>
      </w:r>
      <w:r>
        <w:rPr>
          <w:rFonts w:ascii="Times New Roman" w:hAnsi="Times New Roman"/>
        </w:rPr>
        <w:t>in the 1960s, the</w:t>
      </w:r>
      <w:r w:rsidR="00DB6AF3">
        <w:rPr>
          <w:rFonts w:ascii="Times New Roman" w:hAnsi="Times New Roman"/>
        </w:rPr>
        <w:t xml:space="preserve"> theory that XYY “Super-Males” with an extra Y-chromosome are likely to commit violent crimes (presuming that the Y chromosome is a seed of aggression) </w:t>
      </w:r>
      <w:r>
        <w:t>sparked decades’ of global research</w:t>
      </w:r>
      <w:r w:rsidR="00DB6AF3">
        <w:t>,</w:t>
      </w:r>
      <w:r>
        <w:t xml:space="preserve"> even though less than</w:t>
      </w:r>
      <w:r w:rsidRPr="00DA276F">
        <w:t xml:space="preserve"> 1% of XYY males</w:t>
      </w:r>
      <w:r>
        <w:t xml:space="preserve"> ever spend</w:t>
      </w:r>
      <w:r w:rsidRPr="00DA276F">
        <w:t xml:space="preserve"> time behind bars.</w:t>
      </w:r>
      <w:r>
        <w:rPr>
          <w:rStyle w:val="FootnoteReference"/>
        </w:rPr>
        <w:footnoteReference w:id="106"/>
      </w:r>
      <w:r>
        <w:t xml:space="preserve"> XYY </w:t>
      </w:r>
      <w:r w:rsidR="00731F17">
        <w:t>theory</w:t>
      </w:r>
      <w:r>
        <w:t xml:space="preserve"> facilitated a resurgence of biological studies on crime, as researchers in the 1980s </w:t>
      </w:r>
      <w:r w:rsidR="00731F17">
        <w:t>sought to link</w:t>
      </w:r>
      <w:r w:rsidR="001D5BAC">
        <w:t xml:space="preserve"> </w:t>
      </w:r>
      <w:r>
        <w:t xml:space="preserve">criminality </w:t>
      </w:r>
      <w:r w:rsidR="001D5BAC">
        <w:t xml:space="preserve">and genetics in </w:t>
      </w:r>
      <w:r>
        <w:t xml:space="preserve">adoption studies and cross-cultural </w:t>
      </w:r>
      <w:r w:rsidR="0034774A">
        <w:t>analyses</w:t>
      </w:r>
      <w:r>
        <w:t>.</w:t>
      </w:r>
      <w:r>
        <w:rPr>
          <w:rStyle w:val="FootnoteReference"/>
        </w:rPr>
        <w:footnoteReference w:id="107"/>
      </w:r>
      <w:r w:rsidR="0034774A">
        <w:t xml:space="preserve"> </w:t>
      </w:r>
      <w:r w:rsidR="0034774A">
        <w:rPr>
          <w:rFonts w:ascii="Times New Roman" w:hAnsi="Times New Roman"/>
        </w:rPr>
        <w:t>T</w:t>
      </w:r>
      <w:r w:rsidR="008A10D2">
        <w:rPr>
          <w:rFonts w:ascii="Times New Roman" w:hAnsi="Times New Roman"/>
        </w:rPr>
        <w:t xml:space="preserve">he </w:t>
      </w:r>
      <w:r>
        <w:rPr>
          <w:rFonts w:ascii="Times New Roman" w:hAnsi="Times New Roman"/>
        </w:rPr>
        <w:t xml:space="preserve">clearest </w:t>
      </w:r>
      <w:r w:rsidR="00DB6AF3">
        <w:rPr>
          <w:rFonts w:ascii="Times New Roman" w:hAnsi="Times New Roman"/>
        </w:rPr>
        <w:t>bio</w:t>
      </w:r>
      <w:r w:rsidR="00757E93">
        <w:rPr>
          <w:rFonts w:ascii="Times New Roman" w:hAnsi="Times New Roman"/>
        </w:rPr>
        <w:t>-</w:t>
      </w:r>
      <w:r w:rsidR="00DB6AF3">
        <w:rPr>
          <w:rFonts w:ascii="Times New Roman" w:hAnsi="Times New Roman"/>
        </w:rPr>
        <w:t xml:space="preserve">deterministic </w:t>
      </w:r>
      <w:r>
        <w:rPr>
          <w:rFonts w:ascii="Times New Roman" w:hAnsi="Times New Roman"/>
        </w:rPr>
        <w:t xml:space="preserve">validation of neoliberalism came in Herrnstein and Murray’s </w:t>
      </w:r>
      <w:r>
        <w:rPr>
          <w:rFonts w:ascii="Times New Roman" w:hAnsi="Times New Roman"/>
          <w:i/>
        </w:rPr>
        <w:t xml:space="preserve">The Bell Curve </w:t>
      </w:r>
      <w:r>
        <w:rPr>
          <w:rFonts w:ascii="Times New Roman" w:hAnsi="Times New Roman"/>
        </w:rPr>
        <w:t>(1994)</w:t>
      </w:r>
      <w:r w:rsidR="0034774A">
        <w:rPr>
          <w:rFonts w:ascii="Times New Roman" w:hAnsi="Times New Roman"/>
          <w:i/>
        </w:rPr>
        <w:t xml:space="preserve">, </w:t>
      </w:r>
      <w:r w:rsidR="00A86F0D">
        <w:rPr>
          <w:rFonts w:ascii="Times New Roman" w:hAnsi="Times New Roman"/>
        </w:rPr>
        <w:t>which</w:t>
      </w:r>
      <w:r w:rsidR="0034774A">
        <w:rPr>
          <w:rFonts w:ascii="Times New Roman" w:hAnsi="Times New Roman"/>
        </w:rPr>
        <w:t xml:space="preserve"> </w:t>
      </w:r>
      <w:r w:rsidR="00044408">
        <w:rPr>
          <w:rFonts w:ascii="Times New Roman" w:hAnsi="Times New Roman"/>
        </w:rPr>
        <w:t>concluded</w:t>
      </w:r>
      <w:r w:rsidR="0034774A">
        <w:rPr>
          <w:rFonts w:ascii="Times New Roman" w:hAnsi="Times New Roman"/>
        </w:rPr>
        <w:t xml:space="preserve"> </w:t>
      </w:r>
      <w:r>
        <w:t xml:space="preserve">that IQ </w:t>
      </w:r>
      <w:r w:rsidR="001D5BAC">
        <w:t xml:space="preserve">is genetically determined, </w:t>
      </w:r>
      <w:r>
        <w:t xml:space="preserve">racial differences in </w:t>
      </w:r>
      <w:r w:rsidR="001D5BAC">
        <w:t>IQ</w:t>
      </w:r>
      <w:r>
        <w:t xml:space="preserve"> are hereditary</w:t>
      </w:r>
      <w:r w:rsidR="001D5BAC">
        <w:t>,</w:t>
      </w:r>
      <w:r>
        <w:t xml:space="preserve"> behaviors associated with int</w:t>
      </w:r>
      <w:r w:rsidR="00A86F0D">
        <w:t>elli</w:t>
      </w:r>
      <w:r w:rsidR="00044408">
        <w:t xml:space="preserve">gence have a genetic basis, and </w:t>
      </w:r>
      <w:r w:rsidR="008E50CD">
        <w:t xml:space="preserve">identified </w:t>
      </w:r>
      <w:r>
        <w:t xml:space="preserve">IQ </w:t>
      </w:r>
      <w:r w:rsidR="008E50CD">
        <w:t>as</w:t>
      </w:r>
      <w:r w:rsidR="001D5BAC">
        <w:t xml:space="preserve"> the most important predictor of</w:t>
      </w:r>
      <w:r>
        <w:t xml:space="preserve"> criminal behavior. </w:t>
      </w:r>
      <w:r w:rsidR="001D5BAC">
        <w:t xml:space="preserve">According to their </w:t>
      </w:r>
      <w:r w:rsidR="008E50CD">
        <w:t>reasoning</w:t>
      </w:r>
      <w:r w:rsidR="001D5BAC">
        <w:t>,</w:t>
      </w:r>
      <w:r>
        <w:t xml:space="preserve"> criminality is </w:t>
      </w:r>
      <w:r w:rsidR="001D5BAC">
        <w:t xml:space="preserve">indirectly </w:t>
      </w:r>
      <w:r>
        <w:t xml:space="preserve">heritable through IQ and racial differences in IQ are genetic, </w:t>
      </w:r>
      <w:r w:rsidR="008E50CD">
        <w:t>which implies</w:t>
      </w:r>
      <w:r>
        <w:t xml:space="preserve"> that certain races are genetically </w:t>
      </w:r>
      <w:r w:rsidR="00A86F0D">
        <w:t>prone</w:t>
      </w:r>
      <w:r>
        <w:t xml:space="preserve"> </w:t>
      </w:r>
      <w:r w:rsidR="008E50CD">
        <w:t>to</w:t>
      </w:r>
      <w:r>
        <w:t xml:space="preserve"> crime. </w:t>
      </w:r>
      <w:r w:rsidR="008E50CD">
        <w:t>Their work</w:t>
      </w:r>
      <w:r w:rsidR="00731F17">
        <w:t xml:space="preserve"> offer</w:t>
      </w:r>
      <w:r w:rsidR="008E50CD">
        <w:t>ed</w:t>
      </w:r>
      <w:r w:rsidR="00731F17">
        <w:t xml:space="preserve"> a</w:t>
      </w:r>
      <w:r>
        <w:rPr>
          <w:rFonts w:ascii="Times New Roman" w:hAnsi="Times New Roman"/>
        </w:rPr>
        <w:t xml:space="preserve"> full-fledged justification of neoliberal </w:t>
      </w:r>
      <w:r w:rsidR="00731F17">
        <w:rPr>
          <w:rFonts w:ascii="Times New Roman" w:hAnsi="Times New Roman"/>
        </w:rPr>
        <w:t>ideology by placing</w:t>
      </w:r>
      <w:r>
        <w:rPr>
          <w:rFonts w:ascii="Times New Roman" w:hAnsi="Times New Roman"/>
        </w:rPr>
        <w:t xml:space="preserve"> responsibility for behaviors associat</w:t>
      </w:r>
      <w:r w:rsidR="00546945">
        <w:rPr>
          <w:rFonts w:ascii="Times New Roman" w:hAnsi="Times New Roman"/>
        </w:rPr>
        <w:t>ed with IQ</w:t>
      </w:r>
      <w:r w:rsidR="00731F17">
        <w:rPr>
          <w:rFonts w:ascii="Times New Roman" w:hAnsi="Times New Roman"/>
        </w:rPr>
        <w:t>,</w:t>
      </w:r>
      <w:r w:rsidR="00546945">
        <w:rPr>
          <w:rFonts w:ascii="Times New Roman" w:hAnsi="Times New Roman"/>
        </w:rPr>
        <w:t xml:space="preserve"> </w:t>
      </w:r>
      <w:r w:rsidR="00A86F0D">
        <w:rPr>
          <w:rFonts w:ascii="Times New Roman" w:hAnsi="Times New Roman"/>
        </w:rPr>
        <w:t>like</w:t>
      </w:r>
      <w:r w:rsidR="00546945">
        <w:rPr>
          <w:rFonts w:ascii="Times New Roman" w:hAnsi="Times New Roman"/>
        </w:rPr>
        <w:t xml:space="preserve"> criminality</w:t>
      </w:r>
      <w:r w:rsidR="00731F17">
        <w:rPr>
          <w:rFonts w:ascii="Times New Roman" w:hAnsi="Times New Roman"/>
        </w:rPr>
        <w:t>,</w:t>
      </w:r>
      <w:r>
        <w:rPr>
          <w:rFonts w:ascii="Times New Roman" w:hAnsi="Times New Roman"/>
        </w:rPr>
        <w:t xml:space="preserve"> squarely on individuals and suggest</w:t>
      </w:r>
      <w:r w:rsidR="00731F17">
        <w:rPr>
          <w:rFonts w:ascii="Times New Roman" w:hAnsi="Times New Roman"/>
        </w:rPr>
        <w:t>ing</w:t>
      </w:r>
      <w:r>
        <w:rPr>
          <w:rFonts w:ascii="Times New Roman" w:hAnsi="Times New Roman"/>
        </w:rPr>
        <w:t xml:space="preserve"> that state efforts at reform are largely futile</w:t>
      </w:r>
      <w:r w:rsidR="00546945">
        <w:rPr>
          <w:rFonts w:ascii="Times New Roman" w:hAnsi="Times New Roman"/>
        </w:rPr>
        <w:t xml:space="preserve"> and limited by individuals’ IQ</w:t>
      </w:r>
      <w:r w:rsidR="00A86F0D">
        <w:rPr>
          <w:rFonts w:ascii="Times New Roman" w:hAnsi="Times New Roman"/>
        </w:rPr>
        <w:t>s</w:t>
      </w:r>
      <w:r w:rsidR="00546945">
        <w:rPr>
          <w:rFonts w:ascii="Times New Roman" w:hAnsi="Times New Roman"/>
        </w:rPr>
        <w:t>.</w:t>
      </w:r>
      <w:r>
        <w:rPr>
          <w:rStyle w:val="FootnoteReference"/>
          <w:rFonts w:ascii="Times New Roman" w:hAnsi="Times New Roman"/>
        </w:rPr>
        <w:footnoteReference w:id="108"/>
      </w:r>
      <w:r>
        <w:rPr>
          <w:rFonts w:ascii="Times New Roman" w:hAnsi="Times New Roman"/>
        </w:rPr>
        <w:t xml:space="preserve"> </w:t>
      </w:r>
    </w:p>
    <w:p w14:paraId="3D37B828" w14:textId="4A42D55F" w:rsidR="002B4897" w:rsidRDefault="008E50CD" w:rsidP="00FD79E7">
      <w:pPr>
        <w:widowControl w:val="0"/>
        <w:spacing w:line="480" w:lineRule="auto"/>
        <w:ind w:firstLine="720"/>
        <w:rPr>
          <w:rFonts w:ascii="Times New Roman" w:hAnsi="Times New Roman"/>
        </w:rPr>
      </w:pPr>
      <w:r>
        <w:rPr>
          <w:rFonts w:ascii="Times New Roman" w:hAnsi="Times New Roman"/>
        </w:rPr>
        <w:t>C</w:t>
      </w:r>
      <w:r w:rsidR="009C12CF">
        <w:rPr>
          <w:rFonts w:ascii="Times New Roman" w:hAnsi="Times New Roman"/>
        </w:rPr>
        <w:t>ontemporary</w:t>
      </w:r>
      <w:r w:rsidR="00546945">
        <w:rPr>
          <w:rFonts w:ascii="Times New Roman" w:hAnsi="Times New Roman"/>
        </w:rPr>
        <w:t xml:space="preserve"> bio</w:t>
      </w:r>
      <w:r>
        <w:rPr>
          <w:rFonts w:ascii="Times New Roman" w:hAnsi="Times New Roman"/>
        </w:rPr>
        <w:t>-</w:t>
      </w:r>
      <w:r w:rsidR="00546945">
        <w:rPr>
          <w:rFonts w:ascii="Times New Roman" w:hAnsi="Times New Roman"/>
        </w:rPr>
        <w:t>criminology</w:t>
      </w:r>
      <w:r w:rsidR="00731F17">
        <w:rPr>
          <w:rFonts w:ascii="Times New Roman" w:hAnsi="Times New Roman"/>
        </w:rPr>
        <w:t xml:space="preserve"> </w:t>
      </w:r>
      <w:r w:rsidR="009C12CF">
        <w:rPr>
          <w:rFonts w:ascii="Times New Roman" w:hAnsi="Times New Roman"/>
        </w:rPr>
        <w:t>generally emphasizes</w:t>
      </w:r>
      <w:r w:rsidR="00731F17">
        <w:rPr>
          <w:rFonts w:ascii="Times New Roman" w:hAnsi="Times New Roman"/>
        </w:rPr>
        <w:t xml:space="preserve"> the brain</w:t>
      </w:r>
      <w:r w:rsidR="009C12CF">
        <w:rPr>
          <w:rFonts w:ascii="Times New Roman" w:hAnsi="Times New Roman"/>
        </w:rPr>
        <w:t>, with Adrian Raine leading the charge</w:t>
      </w:r>
      <w:r w:rsidR="00FD79E7">
        <w:rPr>
          <w:rFonts w:ascii="Times New Roman" w:hAnsi="Times New Roman"/>
        </w:rPr>
        <w:t xml:space="preserve">. While Raine </w:t>
      </w:r>
      <w:r w:rsidR="00064596">
        <w:rPr>
          <w:rFonts w:ascii="Times New Roman" w:hAnsi="Times New Roman"/>
        </w:rPr>
        <w:t>claims to narrow</w:t>
      </w:r>
      <w:r>
        <w:rPr>
          <w:rFonts w:ascii="Times New Roman" w:hAnsi="Times New Roman"/>
        </w:rPr>
        <w:t xml:space="preserve"> his</w:t>
      </w:r>
      <w:r w:rsidR="00FD79E7">
        <w:rPr>
          <w:rFonts w:ascii="Times New Roman" w:hAnsi="Times New Roman"/>
        </w:rPr>
        <w:t xml:space="preserve"> focus </w:t>
      </w:r>
      <w:r>
        <w:rPr>
          <w:rFonts w:ascii="Times New Roman" w:hAnsi="Times New Roman"/>
        </w:rPr>
        <w:t>to</w:t>
      </w:r>
      <w:r w:rsidR="00FD79E7">
        <w:rPr>
          <w:rFonts w:ascii="Times New Roman" w:hAnsi="Times New Roman"/>
        </w:rPr>
        <w:t xml:space="preserve"> violent crime, his work </w:t>
      </w:r>
      <w:r>
        <w:rPr>
          <w:rFonts w:ascii="Times New Roman" w:hAnsi="Times New Roman"/>
        </w:rPr>
        <w:t xml:space="preserve">broadly </w:t>
      </w:r>
      <w:r w:rsidR="002B4897">
        <w:rPr>
          <w:rFonts w:ascii="Times New Roman" w:hAnsi="Times New Roman"/>
        </w:rPr>
        <w:t xml:space="preserve">reexamines XYY theory, </w:t>
      </w:r>
      <w:r w:rsidR="00FD79E7">
        <w:rPr>
          <w:rFonts w:ascii="Times New Roman" w:hAnsi="Times New Roman"/>
        </w:rPr>
        <w:t>claims to connect</w:t>
      </w:r>
      <w:r w:rsidR="002B4897">
        <w:rPr>
          <w:rFonts w:ascii="Times New Roman" w:hAnsi="Times New Roman"/>
        </w:rPr>
        <w:t xml:space="preserve"> low heart rates </w:t>
      </w:r>
      <w:r w:rsidR="00FD79E7">
        <w:rPr>
          <w:rFonts w:ascii="Times New Roman" w:hAnsi="Times New Roman"/>
        </w:rPr>
        <w:t>to</w:t>
      </w:r>
      <w:r w:rsidR="002B4897">
        <w:rPr>
          <w:rFonts w:ascii="Times New Roman" w:hAnsi="Times New Roman"/>
        </w:rPr>
        <w:t xml:space="preserve"> crime, and </w:t>
      </w:r>
      <w:r w:rsidR="009C12CF">
        <w:rPr>
          <w:rFonts w:ascii="Times New Roman" w:hAnsi="Times New Roman"/>
        </w:rPr>
        <w:t>compares</w:t>
      </w:r>
      <w:r w:rsidR="002B4897">
        <w:rPr>
          <w:rFonts w:ascii="Times New Roman" w:hAnsi="Times New Roman"/>
        </w:rPr>
        <w:t xml:space="preserve"> </w:t>
      </w:r>
      <w:r w:rsidR="009C12CF">
        <w:rPr>
          <w:rFonts w:ascii="Times New Roman" w:hAnsi="Times New Roman"/>
        </w:rPr>
        <w:t>the heritability of</w:t>
      </w:r>
      <w:r w:rsidR="002B4897">
        <w:rPr>
          <w:rFonts w:ascii="Times New Roman" w:hAnsi="Times New Roman"/>
        </w:rPr>
        <w:t xml:space="preserve"> criminality </w:t>
      </w:r>
      <w:r w:rsidR="009C12CF">
        <w:rPr>
          <w:rFonts w:ascii="Times New Roman" w:hAnsi="Times New Roman"/>
        </w:rPr>
        <w:t>to the heritability of</w:t>
      </w:r>
      <w:r w:rsidR="002B4897">
        <w:rPr>
          <w:rFonts w:ascii="Times New Roman" w:hAnsi="Times New Roman"/>
        </w:rPr>
        <w:t xml:space="preserve"> cancer. Like Herrnstein and Murray, Raine has thrive</w:t>
      </w:r>
      <w:r w:rsidR="009C12CF">
        <w:rPr>
          <w:rFonts w:ascii="Times New Roman" w:hAnsi="Times New Roman"/>
        </w:rPr>
        <w:t>d</w:t>
      </w:r>
      <w:r w:rsidR="002B4897">
        <w:rPr>
          <w:rFonts w:ascii="Times New Roman" w:hAnsi="Times New Roman"/>
        </w:rPr>
        <w:t xml:space="preserve"> because </w:t>
      </w:r>
      <w:r w:rsidR="00731F17">
        <w:rPr>
          <w:rFonts w:ascii="Times New Roman" w:hAnsi="Times New Roman"/>
        </w:rPr>
        <w:t xml:space="preserve">he is operating in </w:t>
      </w:r>
      <w:r w:rsidR="002B4897">
        <w:rPr>
          <w:rFonts w:ascii="Times New Roman" w:hAnsi="Times New Roman"/>
        </w:rPr>
        <w:t xml:space="preserve">a social context in which stigmatizing crime as a result of genetic pathologies is </w:t>
      </w:r>
      <w:r w:rsidR="00BF5794">
        <w:rPr>
          <w:rFonts w:ascii="Times New Roman" w:hAnsi="Times New Roman"/>
        </w:rPr>
        <w:t>acceptable and justifies state policy</w:t>
      </w:r>
      <w:r w:rsidR="002B4897">
        <w:rPr>
          <w:rFonts w:ascii="Times New Roman" w:hAnsi="Times New Roman"/>
        </w:rPr>
        <w:t xml:space="preserve">. </w:t>
      </w:r>
      <w:r w:rsidR="00731F17">
        <w:rPr>
          <w:rFonts w:ascii="Times New Roman" w:hAnsi="Times New Roman"/>
        </w:rPr>
        <w:t>His</w:t>
      </w:r>
      <w:r w:rsidR="002B4897">
        <w:rPr>
          <w:rFonts w:ascii="Times New Roman" w:hAnsi="Times New Roman"/>
        </w:rPr>
        <w:t xml:space="preserve"> argument</w:t>
      </w:r>
      <w:r w:rsidR="00BF5794">
        <w:rPr>
          <w:rFonts w:ascii="Times New Roman" w:hAnsi="Times New Roman"/>
        </w:rPr>
        <w:t>s reinforce</w:t>
      </w:r>
      <w:r w:rsidR="002B4897">
        <w:rPr>
          <w:rFonts w:ascii="Times New Roman" w:hAnsi="Times New Roman"/>
        </w:rPr>
        <w:t xml:space="preserve"> the idea that criminals cannot be meaningfully reformed, thus </w:t>
      </w:r>
      <w:r w:rsidR="00BF5794">
        <w:rPr>
          <w:rFonts w:ascii="Times New Roman" w:hAnsi="Times New Roman"/>
        </w:rPr>
        <w:t>legitimating</w:t>
      </w:r>
      <w:r w:rsidR="002B4897">
        <w:rPr>
          <w:rFonts w:ascii="Times New Roman" w:hAnsi="Times New Roman"/>
        </w:rPr>
        <w:t xml:space="preserve"> the state</w:t>
      </w:r>
      <w:r w:rsidR="00BF5794">
        <w:rPr>
          <w:rFonts w:ascii="Times New Roman" w:hAnsi="Times New Roman"/>
        </w:rPr>
        <w:t>’s abdication of</w:t>
      </w:r>
      <w:r w:rsidR="002B4897">
        <w:rPr>
          <w:rFonts w:ascii="Times New Roman" w:hAnsi="Times New Roman"/>
        </w:rPr>
        <w:t xml:space="preserve"> responsibility for rehabilitating criminals</w:t>
      </w:r>
      <w:r w:rsidR="00731F17">
        <w:rPr>
          <w:rFonts w:ascii="Times New Roman" w:hAnsi="Times New Roman"/>
        </w:rPr>
        <w:t xml:space="preserve"> in favor of a more punitive brand of politics</w:t>
      </w:r>
      <w:r w:rsidR="002B4897">
        <w:rPr>
          <w:rFonts w:ascii="Times New Roman" w:hAnsi="Times New Roman"/>
        </w:rPr>
        <w:t xml:space="preserve">. Given </w:t>
      </w:r>
      <w:r w:rsidR="00FD79E7">
        <w:rPr>
          <w:rFonts w:ascii="Times New Roman" w:hAnsi="Times New Roman"/>
        </w:rPr>
        <w:t xml:space="preserve">the similarities </w:t>
      </w:r>
      <w:r w:rsidR="00731F17">
        <w:rPr>
          <w:rFonts w:ascii="Times New Roman" w:hAnsi="Times New Roman"/>
        </w:rPr>
        <w:t>Raine</w:t>
      </w:r>
      <w:r w:rsidR="00FD79E7">
        <w:rPr>
          <w:rFonts w:ascii="Times New Roman" w:hAnsi="Times New Roman"/>
        </w:rPr>
        <w:t xml:space="preserve"> shares with</w:t>
      </w:r>
      <w:r w:rsidR="002B4897">
        <w:rPr>
          <w:rFonts w:ascii="Times New Roman" w:hAnsi="Times New Roman"/>
        </w:rPr>
        <w:t xml:space="preserve"> late nin</w:t>
      </w:r>
      <w:r w:rsidR="00FD79E7">
        <w:rPr>
          <w:rFonts w:ascii="Times New Roman" w:hAnsi="Times New Roman"/>
        </w:rPr>
        <w:t>eteenth century bio</w:t>
      </w:r>
      <w:r>
        <w:rPr>
          <w:rFonts w:ascii="Times New Roman" w:hAnsi="Times New Roman"/>
        </w:rPr>
        <w:t>-</w:t>
      </w:r>
      <w:r w:rsidR="00FD79E7">
        <w:rPr>
          <w:rFonts w:ascii="Times New Roman" w:hAnsi="Times New Roman"/>
        </w:rPr>
        <w:t>determinists (he claims that Lombroso “was on the path toward a sublime truth”)</w:t>
      </w:r>
      <w:r w:rsidR="002B4897">
        <w:rPr>
          <w:rFonts w:ascii="Times New Roman" w:hAnsi="Times New Roman"/>
        </w:rPr>
        <w:t xml:space="preserve"> it is predictable that </w:t>
      </w:r>
      <w:r w:rsidR="00E65651">
        <w:rPr>
          <w:rFonts w:ascii="Times New Roman" w:hAnsi="Times New Roman"/>
        </w:rPr>
        <w:t>his</w:t>
      </w:r>
      <w:r w:rsidR="002B4897">
        <w:rPr>
          <w:rFonts w:ascii="Times New Roman" w:hAnsi="Times New Roman"/>
        </w:rPr>
        <w:t xml:space="preserve"> policy pro</w:t>
      </w:r>
      <w:r w:rsidR="00FD79E7">
        <w:rPr>
          <w:rFonts w:ascii="Times New Roman" w:hAnsi="Times New Roman"/>
        </w:rPr>
        <w:t>posals sound similar</w:t>
      </w:r>
      <w:r w:rsidR="00064596">
        <w:rPr>
          <w:rFonts w:ascii="Times New Roman" w:hAnsi="Times New Roman"/>
        </w:rPr>
        <w:t xml:space="preserve"> to theirs</w:t>
      </w:r>
      <w:r w:rsidR="00FD79E7">
        <w:rPr>
          <w:rFonts w:ascii="Times New Roman" w:hAnsi="Times New Roman"/>
        </w:rPr>
        <w:t>—</w:t>
      </w:r>
      <w:r w:rsidR="002B4897">
        <w:rPr>
          <w:rFonts w:ascii="Times New Roman" w:hAnsi="Times New Roman"/>
        </w:rPr>
        <w:t xml:space="preserve">he defends indefinite detention for </w:t>
      </w:r>
      <w:r w:rsidR="00BF5794">
        <w:rPr>
          <w:rFonts w:ascii="Times New Roman" w:hAnsi="Times New Roman"/>
        </w:rPr>
        <w:t>high-</w:t>
      </w:r>
      <w:r w:rsidR="00731F17">
        <w:rPr>
          <w:rFonts w:ascii="Times New Roman" w:hAnsi="Times New Roman"/>
        </w:rPr>
        <w:t xml:space="preserve">risk </w:t>
      </w:r>
      <w:r w:rsidR="002B4897">
        <w:rPr>
          <w:rFonts w:ascii="Times New Roman" w:hAnsi="Times New Roman"/>
        </w:rPr>
        <w:t xml:space="preserve">offenders and restrictions on sexual reproduction for </w:t>
      </w:r>
      <w:r w:rsidR="00731F17">
        <w:rPr>
          <w:rFonts w:ascii="Times New Roman" w:hAnsi="Times New Roman"/>
        </w:rPr>
        <w:t>criminal</w:t>
      </w:r>
      <w:r w:rsidR="002B4897">
        <w:rPr>
          <w:rFonts w:ascii="Times New Roman" w:hAnsi="Times New Roman"/>
        </w:rPr>
        <w:t>s.</w:t>
      </w:r>
      <w:r w:rsidR="002B4897">
        <w:rPr>
          <w:rStyle w:val="FootnoteReference"/>
          <w:rFonts w:ascii="Times New Roman" w:hAnsi="Times New Roman"/>
        </w:rPr>
        <w:footnoteReference w:id="109"/>
      </w:r>
      <w:r w:rsidR="002B4897">
        <w:rPr>
          <w:rFonts w:ascii="Times New Roman" w:hAnsi="Times New Roman"/>
        </w:rPr>
        <w:t xml:space="preserve"> </w:t>
      </w:r>
    </w:p>
    <w:p w14:paraId="06E19432" w14:textId="26882B62" w:rsidR="002B4897" w:rsidRDefault="00E65651" w:rsidP="00051D7D">
      <w:pPr>
        <w:widowControl w:val="0"/>
        <w:spacing w:line="480" w:lineRule="auto"/>
        <w:ind w:firstLine="720"/>
        <w:rPr>
          <w:rFonts w:ascii="Times New Roman" w:hAnsi="Times New Roman"/>
        </w:rPr>
      </w:pPr>
      <w:r>
        <w:rPr>
          <w:rFonts w:ascii="Times New Roman" w:hAnsi="Times New Roman"/>
        </w:rPr>
        <w:t>C</w:t>
      </w:r>
      <w:r w:rsidR="002B4897">
        <w:rPr>
          <w:rFonts w:ascii="Times New Roman" w:hAnsi="Times New Roman"/>
        </w:rPr>
        <w:t xml:space="preserve">onceptions of innate criminality </w:t>
      </w:r>
      <w:r>
        <w:rPr>
          <w:rFonts w:ascii="Times New Roman" w:hAnsi="Times New Roman"/>
        </w:rPr>
        <w:t>have</w:t>
      </w:r>
      <w:r w:rsidR="002B4897">
        <w:rPr>
          <w:rFonts w:ascii="Times New Roman" w:hAnsi="Times New Roman"/>
        </w:rPr>
        <w:t xml:space="preserve"> </w:t>
      </w:r>
      <w:r w:rsidR="008A10D2">
        <w:rPr>
          <w:rFonts w:ascii="Times New Roman" w:hAnsi="Times New Roman"/>
        </w:rPr>
        <w:t xml:space="preserve">spread </w:t>
      </w:r>
      <w:r>
        <w:rPr>
          <w:rFonts w:ascii="Times New Roman" w:hAnsi="Times New Roman"/>
        </w:rPr>
        <w:t>easily into neoliberal political discourse</w:t>
      </w:r>
      <w:r w:rsidR="002B4897">
        <w:rPr>
          <w:rFonts w:ascii="Times New Roman" w:hAnsi="Times New Roman"/>
        </w:rPr>
        <w:t>. This is epitomized b</w:t>
      </w:r>
      <w:r w:rsidR="00AB090B">
        <w:rPr>
          <w:rFonts w:ascii="Times New Roman" w:hAnsi="Times New Roman"/>
        </w:rPr>
        <w:t>y</w:t>
      </w:r>
      <w:r w:rsidR="002B4897">
        <w:rPr>
          <w:rFonts w:ascii="Times New Roman" w:hAnsi="Times New Roman"/>
        </w:rPr>
        <w:t xml:space="preserve"> </w:t>
      </w:r>
      <w:r w:rsidR="00AB090B">
        <w:rPr>
          <w:rFonts w:ascii="Times New Roman" w:hAnsi="Times New Roman"/>
        </w:rPr>
        <w:t xml:space="preserve">the research of John DiIulio and James Fox </w:t>
      </w:r>
      <w:r w:rsidR="00FE458B">
        <w:rPr>
          <w:rFonts w:ascii="Times New Roman" w:hAnsi="Times New Roman"/>
        </w:rPr>
        <w:t>examining</w:t>
      </w:r>
      <w:r w:rsidR="002B4897">
        <w:rPr>
          <w:rFonts w:ascii="Times New Roman" w:hAnsi="Times New Roman"/>
        </w:rPr>
        <w:t xml:space="preserve"> </w:t>
      </w:r>
      <w:r>
        <w:rPr>
          <w:rFonts w:ascii="Times New Roman" w:hAnsi="Times New Roman"/>
        </w:rPr>
        <w:t xml:space="preserve">the growing </w:t>
      </w:r>
      <w:r w:rsidR="00BF5794">
        <w:rPr>
          <w:rFonts w:ascii="Times New Roman" w:hAnsi="Times New Roman"/>
        </w:rPr>
        <w:t>population</w:t>
      </w:r>
      <w:r>
        <w:rPr>
          <w:rFonts w:ascii="Times New Roman" w:hAnsi="Times New Roman"/>
        </w:rPr>
        <w:t xml:space="preserve"> of</w:t>
      </w:r>
      <w:r w:rsidR="002B4897">
        <w:rPr>
          <w:rFonts w:ascii="Times New Roman" w:hAnsi="Times New Roman"/>
        </w:rPr>
        <w:t xml:space="preserve"> “super-predators” in America’s inner city black communities in the 1990s. DiIluio’s 1995 </w:t>
      </w:r>
      <w:r w:rsidR="002B4897">
        <w:rPr>
          <w:rFonts w:ascii="Times New Roman" w:hAnsi="Times New Roman"/>
          <w:i/>
        </w:rPr>
        <w:t>Weekly Standard</w:t>
      </w:r>
      <w:r w:rsidR="002B4897">
        <w:rPr>
          <w:rFonts w:ascii="Times New Roman" w:hAnsi="Times New Roman"/>
        </w:rPr>
        <w:t xml:space="preserve"> article painted these young men as “hardened, remorseless juveniles”</w:t>
      </w:r>
      <w:r w:rsidR="00AB090B">
        <w:rPr>
          <w:rFonts w:ascii="Times New Roman" w:hAnsi="Times New Roman"/>
        </w:rPr>
        <w:t xml:space="preserve"> </w:t>
      </w:r>
      <w:r w:rsidR="002B4897">
        <w:rPr>
          <w:rFonts w:ascii="Times New Roman" w:hAnsi="Times New Roman"/>
        </w:rPr>
        <w:t xml:space="preserve">who would, unless closely regulated, “do what comes ‘naturally’: murder, rape, rob, assault, burglarize, deal deadly drugs, and get high.” This language </w:t>
      </w:r>
      <w:r w:rsidR="0076175A">
        <w:rPr>
          <w:rFonts w:ascii="Times New Roman" w:hAnsi="Times New Roman"/>
        </w:rPr>
        <w:t>drew</w:t>
      </w:r>
      <w:r w:rsidR="002B4897">
        <w:rPr>
          <w:rFonts w:ascii="Times New Roman" w:hAnsi="Times New Roman"/>
        </w:rPr>
        <w:t xml:space="preserve"> on the imagery of the born criminal, and the work of Fox and DiIulio </w:t>
      </w:r>
      <w:r w:rsidR="00AB090B">
        <w:rPr>
          <w:rFonts w:ascii="Times New Roman" w:hAnsi="Times New Roman"/>
        </w:rPr>
        <w:t>helped facilitate</w:t>
      </w:r>
      <w:r w:rsidR="002B4897">
        <w:rPr>
          <w:rFonts w:ascii="Times New Roman" w:hAnsi="Times New Roman"/>
        </w:rPr>
        <w:t xml:space="preserve"> the </w:t>
      </w:r>
      <w:r w:rsidR="00BF5794">
        <w:rPr>
          <w:rFonts w:ascii="Times New Roman" w:hAnsi="Times New Roman"/>
        </w:rPr>
        <w:t>spread</w:t>
      </w:r>
      <w:r w:rsidR="002B4897">
        <w:rPr>
          <w:rFonts w:ascii="Times New Roman" w:hAnsi="Times New Roman"/>
        </w:rPr>
        <w:t xml:space="preserve"> of punitive criminal justice policies for juveniles in the 1990s.</w:t>
      </w:r>
      <w:r w:rsidR="002B4897">
        <w:rPr>
          <w:rStyle w:val="FootnoteReference"/>
          <w:rFonts w:ascii="Times New Roman" w:hAnsi="Times New Roman"/>
        </w:rPr>
        <w:footnoteReference w:id="110"/>
      </w:r>
      <w:r w:rsidR="002B4897">
        <w:rPr>
          <w:rFonts w:ascii="Times New Roman" w:hAnsi="Times New Roman"/>
        </w:rPr>
        <w:t xml:space="preserve"> </w:t>
      </w:r>
      <w:r w:rsidR="0076175A">
        <w:rPr>
          <w:rFonts w:ascii="Times New Roman" w:hAnsi="Times New Roman"/>
        </w:rPr>
        <w:t xml:space="preserve">The language carried readily into politics as </w:t>
      </w:r>
      <w:r w:rsidR="00AE0860">
        <w:rPr>
          <w:rFonts w:ascii="Times New Roman" w:hAnsi="Times New Roman"/>
        </w:rPr>
        <w:t>Hillary Clinton</w:t>
      </w:r>
      <w:r w:rsidR="0076175A">
        <w:rPr>
          <w:rFonts w:ascii="Times New Roman" w:hAnsi="Times New Roman"/>
        </w:rPr>
        <w:t>, stumping for her husband’s reelection bid in</w:t>
      </w:r>
      <w:r w:rsidR="00AE0860">
        <w:rPr>
          <w:rFonts w:ascii="Times New Roman" w:hAnsi="Times New Roman"/>
        </w:rPr>
        <w:t xml:space="preserve"> </w:t>
      </w:r>
      <w:r w:rsidR="0076175A">
        <w:rPr>
          <w:rFonts w:ascii="Times New Roman" w:hAnsi="Times New Roman"/>
        </w:rPr>
        <w:t>January 1996,</w:t>
      </w:r>
      <w:r w:rsidR="00AE0860">
        <w:rPr>
          <w:rFonts w:ascii="Times New Roman" w:hAnsi="Times New Roman"/>
        </w:rPr>
        <w:t xml:space="preserve"> </w:t>
      </w:r>
      <w:r w:rsidR="0076175A">
        <w:rPr>
          <w:rFonts w:ascii="Times New Roman" w:hAnsi="Times New Roman"/>
        </w:rPr>
        <w:t>told a New Hampshire crowd that</w:t>
      </w:r>
      <w:r w:rsidR="00AE0860">
        <w:rPr>
          <w:rFonts w:ascii="Times New Roman" w:hAnsi="Times New Roman"/>
        </w:rPr>
        <w:t xml:space="preserve"> the </w:t>
      </w:r>
      <w:r w:rsidR="00BF5794">
        <w:rPr>
          <w:rFonts w:ascii="Times New Roman" w:hAnsi="Times New Roman"/>
        </w:rPr>
        <w:t>government</w:t>
      </w:r>
      <w:r w:rsidR="00AE0860">
        <w:rPr>
          <w:rFonts w:ascii="Times New Roman" w:hAnsi="Times New Roman"/>
        </w:rPr>
        <w:t xml:space="preserve"> has to engage in “an organized effort against gangs,” but that the gangs the state has to fight “are not just gangs of kids anymore. They are often the kinds of kids that are called ‘superpredators.’ No conscience, no empathy.”</w:t>
      </w:r>
      <w:r w:rsidR="00AE0860">
        <w:rPr>
          <w:rStyle w:val="FootnoteReference"/>
          <w:rFonts w:ascii="Times New Roman" w:hAnsi="Times New Roman"/>
        </w:rPr>
        <w:footnoteReference w:id="111"/>
      </w:r>
      <w:r w:rsidR="00AE0860">
        <w:rPr>
          <w:rFonts w:ascii="Times New Roman" w:hAnsi="Times New Roman"/>
        </w:rPr>
        <w:t xml:space="preserve"> </w:t>
      </w:r>
      <w:r w:rsidR="00283FDD">
        <w:rPr>
          <w:rFonts w:ascii="Times New Roman" w:hAnsi="Times New Roman"/>
        </w:rPr>
        <w:t xml:space="preserve">This clarifies how the popularity of the theory </w:t>
      </w:r>
      <w:r w:rsidR="00567F07">
        <w:rPr>
          <w:rFonts w:ascii="Times New Roman" w:hAnsi="Times New Roman"/>
        </w:rPr>
        <w:t xml:space="preserve">was </w:t>
      </w:r>
      <w:r w:rsidR="00FE458B">
        <w:rPr>
          <w:rFonts w:ascii="Times New Roman" w:hAnsi="Times New Roman"/>
        </w:rPr>
        <w:t>largely</w:t>
      </w:r>
      <w:r w:rsidR="0076175A">
        <w:rPr>
          <w:rFonts w:ascii="Times New Roman" w:hAnsi="Times New Roman"/>
        </w:rPr>
        <w:t xml:space="preserve"> contingent on </w:t>
      </w:r>
      <w:r w:rsidR="00567F07">
        <w:rPr>
          <w:rFonts w:ascii="Times New Roman" w:hAnsi="Times New Roman"/>
        </w:rPr>
        <w:t xml:space="preserve">a </w:t>
      </w:r>
      <w:r w:rsidR="0076175A">
        <w:rPr>
          <w:rFonts w:ascii="Times New Roman" w:hAnsi="Times New Roman"/>
        </w:rPr>
        <w:t>neoliberal crime politics seeking to take a hard line against criminals as incorrigible</w:t>
      </w:r>
      <w:r w:rsidR="00FE458B">
        <w:rPr>
          <w:rFonts w:ascii="Times New Roman" w:hAnsi="Times New Roman"/>
        </w:rPr>
        <w:t xml:space="preserve"> and individually flawed</w:t>
      </w:r>
      <w:r w:rsidR="0076175A">
        <w:rPr>
          <w:rFonts w:ascii="Times New Roman" w:hAnsi="Times New Roman"/>
        </w:rPr>
        <w:t xml:space="preserve">. </w:t>
      </w:r>
    </w:p>
    <w:p w14:paraId="39BBD2F8" w14:textId="0C5DF3D6" w:rsidR="00051D7D" w:rsidRPr="007D2441" w:rsidRDefault="00051D7D" w:rsidP="007D2441">
      <w:pPr>
        <w:widowControl w:val="0"/>
        <w:spacing w:line="480" w:lineRule="auto"/>
        <w:ind w:firstLine="720"/>
        <w:rPr>
          <w:rFonts w:ascii="Times New Roman" w:hAnsi="Times New Roman"/>
        </w:rPr>
      </w:pPr>
      <w:r w:rsidRPr="007D2441">
        <w:rPr>
          <w:rFonts w:ascii="Times New Roman" w:hAnsi="Times New Roman"/>
        </w:rPr>
        <w:t xml:space="preserve">This all suggests that </w:t>
      </w:r>
      <w:r w:rsidR="00D35DA1" w:rsidRPr="007D2441">
        <w:rPr>
          <w:rFonts w:ascii="Times New Roman" w:hAnsi="Times New Roman"/>
        </w:rPr>
        <w:t>support</w:t>
      </w:r>
      <w:r w:rsidRPr="007D2441">
        <w:rPr>
          <w:rFonts w:ascii="Times New Roman" w:hAnsi="Times New Roman"/>
        </w:rPr>
        <w:t xml:space="preserve"> for </w:t>
      </w:r>
      <w:r w:rsidR="00D35DA1" w:rsidRPr="007D2441">
        <w:rPr>
          <w:rFonts w:ascii="Times New Roman" w:hAnsi="Times New Roman"/>
        </w:rPr>
        <w:t>prisoner rehabilitation</w:t>
      </w:r>
      <w:r w:rsidRPr="007D2441">
        <w:rPr>
          <w:rFonts w:ascii="Times New Roman" w:hAnsi="Times New Roman"/>
        </w:rPr>
        <w:t xml:space="preserve"> </w:t>
      </w:r>
      <w:r w:rsidR="00D35DA1" w:rsidRPr="007D2441">
        <w:rPr>
          <w:rFonts w:ascii="Times New Roman" w:hAnsi="Times New Roman"/>
        </w:rPr>
        <w:t>from</w:t>
      </w:r>
      <w:r w:rsidRPr="007D2441">
        <w:rPr>
          <w:rFonts w:ascii="Times New Roman" w:hAnsi="Times New Roman"/>
        </w:rPr>
        <w:t xml:space="preserve"> </w:t>
      </w:r>
      <w:r w:rsidR="00D35DA1" w:rsidRPr="007D2441">
        <w:rPr>
          <w:rFonts w:ascii="Times New Roman" w:hAnsi="Times New Roman"/>
        </w:rPr>
        <w:t xml:space="preserve">Grover Norquist, the </w:t>
      </w:r>
      <w:r w:rsidR="00FC70B4">
        <w:rPr>
          <w:rFonts w:ascii="Times New Roman" w:hAnsi="Times New Roman"/>
        </w:rPr>
        <w:t xml:space="preserve">conservative </w:t>
      </w:r>
      <w:r w:rsidR="00D35DA1" w:rsidRPr="007D2441">
        <w:rPr>
          <w:rFonts w:ascii="Times New Roman" w:hAnsi="Times New Roman"/>
        </w:rPr>
        <w:t xml:space="preserve">“Right on Crime” initiative, and </w:t>
      </w:r>
      <w:r w:rsidR="00FC70B4">
        <w:rPr>
          <w:rFonts w:ascii="Times New Roman" w:hAnsi="Times New Roman"/>
        </w:rPr>
        <w:t xml:space="preserve">publics in red states </w:t>
      </w:r>
      <w:r w:rsidR="00D35DA1" w:rsidRPr="007D2441">
        <w:rPr>
          <w:rFonts w:ascii="Times New Roman" w:hAnsi="Times New Roman"/>
        </w:rPr>
        <w:t>like Texas should be viewed skeptically</w:t>
      </w:r>
      <w:r w:rsidRPr="007D2441">
        <w:rPr>
          <w:rFonts w:ascii="Times New Roman" w:hAnsi="Times New Roman"/>
        </w:rPr>
        <w:t>.</w:t>
      </w:r>
      <w:r w:rsidR="00D35DA1" w:rsidRPr="007D2441">
        <w:rPr>
          <w:rStyle w:val="FootnoteReference"/>
          <w:rFonts w:ascii="Times New Roman" w:hAnsi="Times New Roman"/>
        </w:rPr>
        <w:footnoteReference w:id="112"/>
      </w:r>
      <w:r w:rsidRPr="007D2441">
        <w:rPr>
          <w:rFonts w:ascii="Times New Roman" w:hAnsi="Times New Roman"/>
        </w:rPr>
        <w:t xml:space="preserve"> These </w:t>
      </w:r>
      <w:r w:rsidR="007D2441" w:rsidRPr="007D2441">
        <w:rPr>
          <w:rFonts w:ascii="Times New Roman" w:hAnsi="Times New Roman"/>
        </w:rPr>
        <w:t>are</w:t>
      </w:r>
      <w:r w:rsidR="007D2441">
        <w:rPr>
          <w:rFonts w:ascii="Times New Roman" w:hAnsi="Times New Roman"/>
        </w:rPr>
        <w:t xml:space="preserve"> </w:t>
      </w:r>
      <w:r w:rsidR="00645BAC">
        <w:rPr>
          <w:rFonts w:ascii="Times New Roman" w:hAnsi="Times New Roman"/>
        </w:rPr>
        <w:t>good</w:t>
      </w:r>
      <w:r w:rsidR="007D2441">
        <w:rPr>
          <w:rFonts w:ascii="Times New Roman" w:hAnsi="Times New Roman"/>
        </w:rPr>
        <w:t xml:space="preserve"> signs</w:t>
      </w:r>
      <w:r w:rsidR="00FC70B4">
        <w:rPr>
          <w:rFonts w:ascii="Times New Roman" w:hAnsi="Times New Roman"/>
        </w:rPr>
        <w:t>,</w:t>
      </w:r>
      <w:r w:rsidRPr="007D2441">
        <w:rPr>
          <w:rFonts w:ascii="Times New Roman" w:hAnsi="Times New Roman"/>
        </w:rPr>
        <w:t xml:space="preserve"> </w:t>
      </w:r>
      <w:r w:rsidR="007D2441">
        <w:rPr>
          <w:rFonts w:ascii="Times New Roman" w:hAnsi="Times New Roman"/>
        </w:rPr>
        <w:t>since</w:t>
      </w:r>
      <w:r w:rsidRPr="007D2441">
        <w:rPr>
          <w:rFonts w:ascii="Times New Roman" w:hAnsi="Times New Roman"/>
        </w:rPr>
        <w:t xml:space="preserve"> </w:t>
      </w:r>
      <w:r w:rsidR="007040A6">
        <w:rPr>
          <w:rFonts w:ascii="Times New Roman" w:hAnsi="Times New Roman"/>
        </w:rPr>
        <w:t>rehabilitative interventions</w:t>
      </w:r>
      <w:r w:rsidRPr="007D2441">
        <w:rPr>
          <w:rFonts w:ascii="Times New Roman" w:hAnsi="Times New Roman"/>
        </w:rPr>
        <w:t xml:space="preserve"> </w:t>
      </w:r>
      <w:r w:rsidR="007040A6">
        <w:rPr>
          <w:rFonts w:ascii="Times New Roman" w:hAnsi="Times New Roman"/>
        </w:rPr>
        <w:t xml:space="preserve">can </w:t>
      </w:r>
      <w:r w:rsidR="00645BAC">
        <w:rPr>
          <w:rFonts w:ascii="Times New Roman" w:hAnsi="Times New Roman"/>
        </w:rPr>
        <w:t>provide</w:t>
      </w:r>
      <w:r w:rsidR="007040A6">
        <w:rPr>
          <w:rFonts w:ascii="Times New Roman" w:hAnsi="Times New Roman"/>
        </w:rPr>
        <w:t xml:space="preserve"> chances for offenders to reform</w:t>
      </w:r>
      <w:r w:rsidR="00FC70B4">
        <w:rPr>
          <w:rFonts w:ascii="Times New Roman" w:hAnsi="Times New Roman"/>
        </w:rPr>
        <w:t>. B</w:t>
      </w:r>
      <w:r w:rsidR="00D35DA1" w:rsidRPr="007D2441">
        <w:rPr>
          <w:rFonts w:ascii="Times New Roman" w:hAnsi="Times New Roman"/>
        </w:rPr>
        <w:t>ut</w:t>
      </w:r>
      <w:r w:rsidRPr="007D2441">
        <w:rPr>
          <w:rFonts w:ascii="Times New Roman" w:hAnsi="Times New Roman"/>
        </w:rPr>
        <w:t xml:space="preserve"> it should not be presumed that a reform agenda emphasizing rehabilitation </w:t>
      </w:r>
      <w:r w:rsidR="00D35DA1" w:rsidRPr="007D2441">
        <w:rPr>
          <w:rFonts w:ascii="Times New Roman" w:hAnsi="Times New Roman"/>
        </w:rPr>
        <w:t>faces no</w:t>
      </w:r>
      <w:r w:rsidRPr="007D2441">
        <w:rPr>
          <w:rFonts w:ascii="Times New Roman" w:hAnsi="Times New Roman"/>
        </w:rPr>
        <w:t xml:space="preserve"> risk </w:t>
      </w:r>
      <w:r w:rsidR="00D35DA1" w:rsidRPr="007D2441">
        <w:rPr>
          <w:rFonts w:ascii="Times New Roman" w:hAnsi="Times New Roman"/>
        </w:rPr>
        <w:t xml:space="preserve">of </w:t>
      </w:r>
      <w:r w:rsidRPr="007D2441">
        <w:rPr>
          <w:rFonts w:ascii="Times New Roman" w:hAnsi="Times New Roman"/>
        </w:rPr>
        <w:t>a public backlash</w:t>
      </w:r>
      <w:r w:rsidR="00D35DA1" w:rsidRPr="007D2441">
        <w:rPr>
          <w:rFonts w:ascii="Times New Roman" w:hAnsi="Times New Roman"/>
        </w:rPr>
        <w:t xml:space="preserve">, especially in </w:t>
      </w:r>
      <w:r w:rsidR="00D37BFA">
        <w:rPr>
          <w:rFonts w:ascii="Times New Roman" w:hAnsi="Times New Roman"/>
        </w:rPr>
        <w:t>a neoliberal political environment</w:t>
      </w:r>
      <w:r w:rsidR="007D2441">
        <w:rPr>
          <w:rFonts w:ascii="Times New Roman" w:hAnsi="Times New Roman"/>
        </w:rPr>
        <w:t xml:space="preserve"> </w:t>
      </w:r>
      <w:r w:rsidR="005828CB">
        <w:rPr>
          <w:rFonts w:ascii="Times New Roman" w:hAnsi="Times New Roman"/>
        </w:rPr>
        <w:t xml:space="preserve">and </w:t>
      </w:r>
      <w:r w:rsidR="007D2441">
        <w:rPr>
          <w:rFonts w:ascii="Times New Roman" w:hAnsi="Times New Roman"/>
        </w:rPr>
        <w:t>when state support for rehabilitation is tied to recidivism reductions as Norquist suggests</w:t>
      </w:r>
      <w:r w:rsidRPr="007D2441">
        <w:rPr>
          <w:rFonts w:ascii="Times New Roman" w:hAnsi="Times New Roman"/>
        </w:rPr>
        <w:t>.</w:t>
      </w:r>
      <w:r w:rsidR="007D2441">
        <w:rPr>
          <w:rStyle w:val="FootnoteReference"/>
          <w:rFonts w:ascii="Times New Roman" w:hAnsi="Times New Roman"/>
        </w:rPr>
        <w:footnoteReference w:id="113"/>
      </w:r>
      <w:r w:rsidRPr="007D2441">
        <w:rPr>
          <w:rFonts w:ascii="Times New Roman" w:hAnsi="Times New Roman"/>
        </w:rPr>
        <w:t xml:space="preserve"> Given th</w:t>
      </w:r>
      <w:r w:rsidR="00FC70B4">
        <w:rPr>
          <w:rFonts w:ascii="Times New Roman" w:hAnsi="Times New Roman"/>
        </w:rPr>
        <w:t xml:space="preserve">e conceptualization of criminality </w:t>
      </w:r>
      <w:r w:rsidRPr="007D2441">
        <w:rPr>
          <w:rFonts w:ascii="Times New Roman" w:hAnsi="Times New Roman"/>
        </w:rPr>
        <w:t xml:space="preserve">on which rehabilitative theory rests and the assumptions it makes about incorrigibility and individual responsibility, a failure to reduce recidivism rates could be politically </w:t>
      </w:r>
      <w:r w:rsidR="00FC70B4">
        <w:rPr>
          <w:rFonts w:ascii="Times New Roman" w:hAnsi="Times New Roman"/>
        </w:rPr>
        <w:t>disastrous</w:t>
      </w:r>
      <w:r w:rsidRPr="007D2441">
        <w:rPr>
          <w:rFonts w:ascii="Times New Roman" w:hAnsi="Times New Roman"/>
        </w:rPr>
        <w:t xml:space="preserve"> </w:t>
      </w:r>
      <w:r w:rsidR="00FC70B4">
        <w:rPr>
          <w:rFonts w:ascii="Times New Roman" w:hAnsi="Times New Roman"/>
        </w:rPr>
        <w:t>by</w:t>
      </w:r>
      <w:r w:rsidRPr="007D2441">
        <w:rPr>
          <w:rFonts w:ascii="Times New Roman" w:hAnsi="Times New Roman"/>
        </w:rPr>
        <w:t xml:space="preserve"> again lead</w:t>
      </w:r>
      <w:r w:rsidR="00FC70B4">
        <w:rPr>
          <w:rFonts w:ascii="Times New Roman" w:hAnsi="Times New Roman"/>
        </w:rPr>
        <w:t>ing</w:t>
      </w:r>
      <w:r w:rsidRPr="007D2441">
        <w:rPr>
          <w:rFonts w:ascii="Times New Roman" w:hAnsi="Times New Roman"/>
        </w:rPr>
        <w:t xml:space="preserve"> to the</w:t>
      </w:r>
      <w:r w:rsidR="00FC70B4">
        <w:rPr>
          <w:rFonts w:ascii="Times New Roman" w:hAnsi="Times New Roman"/>
        </w:rPr>
        <w:t xml:space="preserve"> conclusion that “nothing works</w:t>
      </w:r>
      <w:r w:rsidRPr="007D2441">
        <w:rPr>
          <w:rFonts w:ascii="Times New Roman" w:hAnsi="Times New Roman"/>
        </w:rPr>
        <w:t>”</w:t>
      </w:r>
      <w:r w:rsidR="00FC70B4">
        <w:rPr>
          <w:rFonts w:ascii="Times New Roman" w:hAnsi="Times New Roman"/>
        </w:rPr>
        <w:t xml:space="preserve"> and only exacerbating the problems of mass incarceration.</w:t>
      </w:r>
      <w:r w:rsidRPr="007D2441">
        <w:rPr>
          <w:rFonts w:ascii="Times New Roman" w:hAnsi="Times New Roman"/>
        </w:rPr>
        <w:t xml:space="preserve"> We cannot expect to </w:t>
      </w:r>
      <w:r w:rsidR="007D2441">
        <w:rPr>
          <w:rFonts w:ascii="Times New Roman" w:hAnsi="Times New Roman"/>
        </w:rPr>
        <w:t xml:space="preserve">reduce mass incarceration by </w:t>
      </w:r>
      <w:r w:rsidRPr="007D2441">
        <w:rPr>
          <w:rFonts w:ascii="Times New Roman" w:hAnsi="Times New Roman"/>
        </w:rPr>
        <w:t>return</w:t>
      </w:r>
      <w:r w:rsidR="007D2441">
        <w:rPr>
          <w:rFonts w:ascii="Times New Roman" w:hAnsi="Times New Roman"/>
        </w:rPr>
        <w:t>ing</w:t>
      </w:r>
      <w:r w:rsidRPr="007D2441">
        <w:rPr>
          <w:rFonts w:ascii="Times New Roman" w:hAnsi="Times New Roman"/>
        </w:rPr>
        <w:t xml:space="preserve"> to the rehabilitative-oriented penology predating the 1970s without changing the way we conceptualize rehabilitation, criminality, and recidivism.</w:t>
      </w:r>
    </w:p>
    <w:p w14:paraId="22F109AF" w14:textId="275DB08C" w:rsidR="002B4897" w:rsidRPr="001C09CA" w:rsidRDefault="002B4897" w:rsidP="005969E2">
      <w:pPr>
        <w:widowControl w:val="0"/>
        <w:spacing w:line="480" w:lineRule="auto"/>
        <w:rPr>
          <w:rFonts w:ascii="Times New Roman" w:hAnsi="Times New Roman"/>
          <w:b/>
        </w:rPr>
      </w:pPr>
      <w:r w:rsidRPr="001C09CA">
        <w:rPr>
          <w:rFonts w:ascii="Times New Roman" w:hAnsi="Times New Roman"/>
          <w:b/>
        </w:rPr>
        <w:t>Conclusion</w:t>
      </w:r>
    </w:p>
    <w:p w14:paraId="5143B99B" w14:textId="6FA6DA3F" w:rsidR="002B4897" w:rsidRDefault="00051D7D" w:rsidP="00055EFE">
      <w:pPr>
        <w:widowControl w:val="0"/>
        <w:spacing w:line="480" w:lineRule="auto"/>
        <w:ind w:firstLine="720"/>
      </w:pPr>
      <w:r>
        <w:t>Public</w:t>
      </w:r>
      <w:r w:rsidR="002B4897">
        <w:t xml:space="preserve"> opinion research </w:t>
      </w:r>
      <w:r w:rsidR="007D2441">
        <w:t>has long shown</w:t>
      </w:r>
      <w:r w:rsidR="002B4897">
        <w:t xml:space="preserve"> that public support for rehabilitation coexists with support for punitive </w:t>
      </w:r>
      <w:r w:rsidR="0025238D">
        <w:t>policies</w:t>
      </w:r>
      <w:r w:rsidR="002B4897">
        <w:t xml:space="preserve"> in the American populace.</w:t>
      </w:r>
      <w:r w:rsidR="002B4897">
        <w:rPr>
          <w:rStyle w:val="FootnoteReference"/>
        </w:rPr>
        <w:footnoteReference w:id="114"/>
      </w:r>
      <w:r w:rsidR="002B4897">
        <w:t xml:space="preserve"> This paper reveals that </w:t>
      </w:r>
      <w:r w:rsidR="0025238D">
        <w:t>Americans are</w:t>
      </w:r>
      <w:r w:rsidR="002B4897">
        <w:t xml:space="preserve"> able to hold these seemingly mutually exclusive opinions at the same time because </w:t>
      </w:r>
      <w:r w:rsidR="004559C0">
        <w:t>prisoner rehabilitation</w:t>
      </w:r>
      <w:r w:rsidR="002B4897">
        <w:t xml:space="preserve"> and punitive politics are not substantiated by distinct logics. Rather, support for both has developed simultaneously due to the theoretical premises undergirding the American approach to rehabilitation. </w:t>
      </w:r>
    </w:p>
    <w:p w14:paraId="7650A909" w14:textId="32DDE4D7" w:rsidR="00752C7D" w:rsidRPr="005A094C" w:rsidRDefault="002B4897" w:rsidP="00D7699C">
      <w:pPr>
        <w:widowControl w:val="0"/>
        <w:spacing w:line="480" w:lineRule="auto"/>
        <w:ind w:firstLine="720"/>
      </w:pPr>
      <w:r w:rsidRPr="006C6FF8">
        <w:t xml:space="preserve">It should not be surprising that many offenders </w:t>
      </w:r>
      <w:r w:rsidR="00892A28">
        <w:t>recidivate even after receiving</w:t>
      </w:r>
      <w:r w:rsidRPr="006C6FF8">
        <w:t xml:space="preserve"> </w:t>
      </w:r>
      <w:r>
        <w:t>rehabilitative treatment</w:t>
      </w:r>
      <w:r w:rsidRPr="006C6FF8">
        <w:t>. Providing a</w:t>
      </w:r>
      <w:r w:rsidR="00892A28">
        <w:t>n</w:t>
      </w:r>
      <w:r w:rsidRPr="006C6FF8">
        <w:t xml:space="preserve"> offender with </w:t>
      </w:r>
      <w:r>
        <w:t xml:space="preserve">a GED and </w:t>
      </w:r>
      <w:r w:rsidRPr="006C6FF8">
        <w:t>a reduced sentence for good behavior is unlikely to translate into</w:t>
      </w:r>
      <w:r>
        <w:t xml:space="preserve"> improved</w:t>
      </w:r>
      <w:r w:rsidRPr="006C6FF8">
        <w:t xml:space="preserve"> behavior given that </w:t>
      </w:r>
      <w:r>
        <w:t xml:space="preserve">offenders generally come from </w:t>
      </w:r>
      <w:r w:rsidRPr="006C6FF8">
        <w:t>environment</w:t>
      </w:r>
      <w:r>
        <w:t>s with</w:t>
      </w:r>
      <w:r w:rsidRPr="006C6FF8">
        <w:t xml:space="preserve"> limited potential for upward social and economic mobility.</w:t>
      </w:r>
      <w:r>
        <w:t xml:space="preserve"> Even disregarding the scarcity of jobs in the communities that most offenders live in, </w:t>
      </w:r>
      <w:r w:rsidR="005828CB">
        <w:t>a criminal record</w:t>
      </w:r>
      <w:r>
        <w:t xml:space="preserve"> make</w:t>
      </w:r>
      <w:r w:rsidR="005828CB">
        <w:t>s</w:t>
      </w:r>
      <w:r>
        <w:t xml:space="preserve"> it </w:t>
      </w:r>
      <w:r w:rsidR="005828CB">
        <w:t xml:space="preserve">harder </w:t>
      </w:r>
      <w:r>
        <w:t>for felons to find work and earn</w:t>
      </w:r>
      <w:r w:rsidR="005828CB">
        <w:t>s</w:t>
      </w:r>
      <w:r>
        <w:t xml:space="preserve"> them a sub-average wage when they do.</w:t>
      </w:r>
      <w:r>
        <w:rPr>
          <w:rStyle w:val="FootnoteReference"/>
        </w:rPr>
        <w:footnoteReference w:id="115"/>
      </w:r>
      <w:r w:rsidRPr="006C6FF8">
        <w:t xml:space="preserve"> </w:t>
      </w:r>
      <w:r w:rsidR="006C6FF8">
        <w:t>The</w:t>
      </w:r>
      <w:r w:rsidR="006C6FF8" w:rsidRPr="006C6FF8">
        <w:t xml:space="preserve"> logic of </w:t>
      </w:r>
      <w:r w:rsidR="006C6FF8">
        <w:t>rehabilitation</w:t>
      </w:r>
      <w:r w:rsidR="006C6FF8" w:rsidRPr="006C6FF8">
        <w:t xml:space="preserve"> </w:t>
      </w:r>
      <w:r w:rsidR="00892A28">
        <w:t xml:space="preserve">not only </w:t>
      </w:r>
      <w:r w:rsidR="00082169">
        <w:t>obscures</w:t>
      </w:r>
      <w:r w:rsidR="006C6FF8">
        <w:t xml:space="preserve"> </w:t>
      </w:r>
      <w:r w:rsidR="00082169">
        <w:t>the</w:t>
      </w:r>
      <w:r w:rsidR="0067047A">
        <w:t xml:space="preserve"> </w:t>
      </w:r>
      <w:r w:rsidR="006C6FF8" w:rsidRPr="006C6FF8">
        <w:t xml:space="preserve">structural factors </w:t>
      </w:r>
      <w:r w:rsidR="00892A28">
        <w:t xml:space="preserve">that </w:t>
      </w:r>
      <w:r w:rsidR="00A9712E">
        <w:t>cause</w:t>
      </w:r>
      <w:r w:rsidR="006C6FF8" w:rsidRPr="006C6FF8">
        <w:t xml:space="preserve"> </w:t>
      </w:r>
      <w:r w:rsidR="00A9712E">
        <w:t>crime</w:t>
      </w:r>
      <w:r w:rsidR="00082169">
        <w:t xml:space="preserve">; </w:t>
      </w:r>
      <w:r w:rsidR="00892A28">
        <w:t xml:space="preserve">it also ignores </w:t>
      </w:r>
      <w:r w:rsidR="009E0F09">
        <w:t>how incarcerat</w:t>
      </w:r>
      <w:r w:rsidR="001E4337">
        <w:t xml:space="preserve">ion </w:t>
      </w:r>
      <w:r w:rsidR="007D2441">
        <w:t xml:space="preserve">itself creates </w:t>
      </w:r>
      <w:r w:rsidR="00EB373A">
        <w:t>additional</w:t>
      </w:r>
      <w:r w:rsidR="007D2441">
        <w:t xml:space="preserve"> obstacles to self-improvement</w:t>
      </w:r>
      <w:r w:rsidR="006C6FF8" w:rsidRPr="006C6FF8">
        <w:t xml:space="preserve">. </w:t>
      </w:r>
      <w:r w:rsidR="00D76B03">
        <w:t>An increase</w:t>
      </w:r>
      <w:r w:rsidR="0034202B">
        <w:t>d</w:t>
      </w:r>
      <w:r w:rsidR="00D76B03">
        <w:t xml:space="preserve"> emphasis on r</w:t>
      </w:r>
      <w:r w:rsidR="009F693A">
        <w:t>ehabi</w:t>
      </w:r>
      <w:r w:rsidR="00154985">
        <w:t>litation</w:t>
      </w:r>
      <w:r w:rsidR="006C6FF8" w:rsidRPr="006C6FF8">
        <w:t xml:space="preserve"> is </w:t>
      </w:r>
      <w:r w:rsidR="009F693A">
        <w:t xml:space="preserve">thus </w:t>
      </w:r>
      <w:r w:rsidR="006C6FF8" w:rsidRPr="006C6FF8">
        <w:t xml:space="preserve">an unlikely way to </w:t>
      </w:r>
      <w:r w:rsidR="00B22A48">
        <w:t>reduce</w:t>
      </w:r>
      <w:r w:rsidR="006C6FF8" w:rsidRPr="006C6FF8">
        <w:t xml:space="preserve"> mass incarceration</w:t>
      </w:r>
      <w:r w:rsidR="00B56F8A">
        <w:t xml:space="preserve">, especially in a neoliberal political </w:t>
      </w:r>
      <w:r w:rsidR="00A9712E">
        <w:t>environment</w:t>
      </w:r>
      <w:r w:rsidR="00E90087">
        <w:t xml:space="preserve"> </w:t>
      </w:r>
      <w:r w:rsidR="008345D6">
        <w:t>that</w:t>
      </w:r>
      <w:r w:rsidR="005079E3">
        <w:t xml:space="preserve"> </w:t>
      </w:r>
      <w:r w:rsidR="008345D6">
        <w:t>stigmatizes</w:t>
      </w:r>
      <w:r w:rsidR="005079E3">
        <w:t xml:space="preserve"> </w:t>
      </w:r>
      <w:r w:rsidR="00950668">
        <w:t xml:space="preserve">the </w:t>
      </w:r>
      <w:r w:rsidR="0072457F">
        <w:t>individual faults</w:t>
      </w:r>
      <w:r w:rsidR="005079E3">
        <w:t xml:space="preserve"> </w:t>
      </w:r>
      <w:r w:rsidR="00950668">
        <w:t>of offenders</w:t>
      </w:r>
      <w:r w:rsidR="005079E3">
        <w:t xml:space="preserve">. </w:t>
      </w:r>
    </w:p>
    <w:p w14:paraId="199DD9EE" w14:textId="22FCA0EE" w:rsidR="00B149F8" w:rsidRDefault="009312C7" w:rsidP="00B149F8">
      <w:pPr>
        <w:widowControl w:val="0"/>
        <w:spacing w:line="480" w:lineRule="auto"/>
        <w:ind w:firstLine="720"/>
        <w:rPr>
          <w:rFonts w:ascii="Times New Roman" w:hAnsi="Times New Roman"/>
        </w:rPr>
      </w:pPr>
      <w:r>
        <w:rPr>
          <w:rFonts w:ascii="Times New Roman" w:hAnsi="Times New Roman"/>
        </w:rPr>
        <w:t xml:space="preserve">To reiterate, prisoner </w:t>
      </w:r>
      <w:r w:rsidR="00645BAC">
        <w:rPr>
          <w:rFonts w:ascii="Times New Roman" w:hAnsi="Times New Roman"/>
        </w:rPr>
        <w:t xml:space="preserve">rehabilitation should </w:t>
      </w:r>
      <w:r w:rsidR="00090FE8">
        <w:rPr>
          <w:rFonts w:ascii="Times New Roman" w:hAnsi="Times New Roman"/>
        </w:rPr>
        <w:t>be</w:t>
      </w:r>
      <w:r>
        <w:rPr>
          <w:rFonts w:ascii="Times New Roman" w:hAnsi="Times New Roman"/>
        </w:rPr>
        <w:t xml:space="preserve"> </w:t>
      </w:r>
      <w:r w:rsidR="00090FE8">
        <w:rPr>
          <w:rFonts w:ascii="Times New Roman" w:hAnsi="Times New Roman"/>
        </w:rPr>
        <w:t>favored</w:t>
      </w:r>
      <w:r>
        <w:rPr>
          <w:rFonts w:ascii="Times New Roman" w:hAnsi="Times New Roman"/>
        </w:rPr>
        <w:t xml:space="preserve"> as intrinsically good. </w:t>
      </w:r>
      <w:r w:rsidR="007040A6">
        <w:rPr>
          <w:rFonts w:ascii="Times New Roman" w:hAnsi="Times New Roman"/>
        </w:rPr>
        <w:t xml:space="preserve">Educational and vocational training, sentence reductions for good behavior, and psychotherapy, among other </w:t>
      </w:r>
      <w:r w:rsidR="00645BAC">
        <w:rPr>
          <w:rFonts w:ascii="Times New Roman" w:hAnsi="Times New Roman"/>
        </w:rPr>
        <w:t>interventions</w:t>
      </w:r>
      <w:r w:rsidR="007040A6">
        <w:rPr>
          <w:rFonts w:ascii="Times New Roman" w:hAnsi="Times New Roman"/>
        </w:rPr>
        <w:t>, can offer criminals meaningful opportunities for self-</w:t>
      </w:r>
      <w:r w:rsidR="00090FE8">
        <w:rPr>
          <w:rFonts w:ascii="Times New Roman" w:hAnsi="Times New Roman"/>
        </w:rPr>
        <w:t>betterment</w:t>
      </w:r>
      <w:r w:rsidR="007040A6">
        <w:rPr>
          <w:rFonts w:ascii="Times New Roman" w:hAnsi="Times New Roman"/>
        </w:rPr>
        <w:t xml:space="preserve">. </w:t>
      </w:r>
      <w:r>
        <w:rPr>
          <w:rFonts w:ascii="Times New Roman" w:hAnsi="Times New Roman"/>
        </w:rPr>
        <w:t>But a</w:t>
      </w:r>
      <w:r w:rsidR="005D6AFC">
        <w:rPr>
          <w:rFonts w:ascii="Times New Roman" w:hAnsi="Times New Roman"/>
        </w:rPr>
        <w:t xml:space="preserve"> </w:t>
      </w:r>
      <w:r w:rsidR="00743C5A">
        <w:rPr>
          <w:rFonts w:ascii="Times New Roman" w:hAnsi="Times New Roman"/>
        </w:rPr>
        <w:t>shift</w:t>
      </w:r>
      <w:r w:rsidR="005D6AFC">
        <w:rPr>
          <w:rFonts w:ascii="Times New Roman" w:hAnsi="Times New Roman"/>
        </w:rPr>
        <w:t xml:space="preserve"> towards </w:t>
      </w:r>
      <w:r>
        <w:rPr>
          <w:rFonts w:ascii="Times New Roman" w:hAnsi="Times New Roman"/>
        </w:rPr>
        <w:t>rehabilitative philosophy</w:t>
      </w:r>
      <w:r w:rsidR="005D6AFC">
        <w:rPr>
          <w:rFonts w:ascii="Times New Roman" w:hAnsi="Times New Roman"/>
        </w:rPr>
        <w:t xml:space="preserve"> will </w:t>
      </w:r>
      <w:r w:rsidR="00B36523">
        <w:rPr>
          <w:rFonts w:ascii="Times New Roman" w:hAnsi="Times New Roman"/>
        </w:rPr>
        <w:t xml:space="preserve">likely </w:t>
      </w:r>
      <w:r w:rsidR="005F341F">
        <w:rPr>
          <w:rFonts w:ascii="Times New Roman" w:hAnsi="Times New Roman"/>
        </w:rPr>
        <w:t>fail to</w:t>
      </w:r>
      <w:r w:rsidR="004E5304" w:rsidRPr="007659CB">
        <w:rPr>
          <w:rFonts w:ascii="Times New Roman" w:hAnsi="Times New Roman"/>
        </w:rPr>
        <w:t xml:space="preserve"> shrink the carceral </w:t>
      </w:r>
      <w:r w:rsidR="005A094C">
        <w:rPr>
          <w:rFonts w:ascii="Times New Roman" w:hAnsi="Times New Roman"/>
        </w:rPr>
        <w:t>state</w:t>
      </w:r>
      <w:r w:rsidR="004E5304" w:rsidRPr="007659CB">
        <w:rPr>
          <w:rFonts w:ascii="Times New Roman" w:hAnsi="Times New Roman"/>
        </w:rPr>
        <w:t xml:space="preserve"> </w:t>
      </w:r>
      <w:r>
        <w:rPr>
          <w:rFonts w:ascii="Times New Roman" w:hAnsi="Times New Roman"/>
        </w:rPr>
        <w:t>unless</w:t>
      </w:r>
      <w:r w:rsidR="004E5304" w:rsidRPr="007659CB">
        <w:rPr>
          <w:rFonts w:ascii="Times New Roman" w:hAnsi="Times New Roman"/>
        </w:rPr>
        <w:t xml:space="preserve"> </w:t>
      </w:r>
      <w:r w:rsidR="00B36523">
        <w:rPr>
          <w:rFonts w:ascii="Times New Roman" w:hAnsi="Times New Roman"/>
        </w:rPr>
        <w:t>rehabilitative theory</w:t>
      </w:r>
      <w:r w:rsidR="005A094C">
        <w:rPr>
          <w:rFonts w:ascii="Times New Roman" w:hAnsi="Times New Roman"/>
        </w:rPr>
        <w:t xml:space="preserve"> </w:t>
      </w:r>
      <w:r>
        <w:rPr>
          <w:rFonts w:ascii="Times New Roman" w:hAnsi="Times New Roman"/>
        </w:rPr>
        <w:t xml:space="preserve">is divorced from its problematic assumptions—particularly, </w:t>
      </w:r>
      <w:r w:rsidR="00B149F8">
        <w:rPr>
          <w:rFonts w:ascii="Times New Roman" w:hAnsi="Times New Roman"/>
        </w:rPr>
        <w:t>that many criminals are incorrigible and necessitate containment, that crime is invariably a function of personal responsibility</w:t>
      </w:r>
      <w:r w:rsidR="0008360B">
        <w:rPr>
          <w:rFonts w:ascii="Times New Roman" w:hAnsi="Times New Roman"/>
        </w:rPr>
        <w:t xml:space="preserve"> and individual (often biological) defects</w:t>
      </w:r>
      <w:r w:rsidR="00B149F8">
        <w:rPr>
          <w:rFonts w:ascii="Times New Roman" w:hAnsi="Times New Roman"/>
        </w:rPr>
        <w:t xml:space="preserve">, and that rehabilitation </w:t>
      </w:r>
      <w:r w:rsidR="00B93F64">
        <w:rPr>
          <w:rFonts w:ascii="Times New Roman" w:hAnsi="Times New Roman"/>
        </w:rPr>
        <w:t>should</w:t>
      </w:r>
      <w:r w:rsidR="00B149F8">
        <w:rPr>
          <w:rFonts w:ascii="Times New Roman" w:hAnsi="Times New Roman"/>
        </w:rPr>
        <w:t xml:space="preserve"> produce short-term reductions in recidivism. </w:t>
      </w:r>
      <w:r w:rsidR="00645BAC">
        <w:rPr>
          <w:rFonts w:ascii="Times New Roman" w:hAnsi="Times New Roman"/>
        </w:rPr>
        <w:t>R</w:t>
      </w:r>
      <w:r w:rsidR="00B149F8">
        <w:rPr>
          <w:rFonts w:ascii="Times New Roman" w:hAnsi="Times New Roman"/>
        </w:rPr>
        <w:t xml:space="preserve">ehabilitative philosophy will continue to be a dangerous ideology that will likely </w:t>
      </w:r>
      <w:r w:rsidR="0008360B">
        <w:rPr>
          <w:rFonts w:ascii="Times New Roman" w:hAnsi="Times New Roman"/>
        </w:rPr>
        <w:t>aggravate</w:t>
      </w:r>
      <w:r w:rsidR="00B149F8">
        <w:rPr>
          <w:rFonts w:ascii="Times New Roman" w:hAnsi="Times New Roman"/>
        </w:rPr>
        <w:t xml:space="preserve"> rather </w:t>
      </w:r>
      <w:r w:rsidR="00645BAC">
        <w:rPr>
          <w:rFonts w:ascii="Times New Roman" w:hAnsi="Times New Roman"/>
        </w:rPr>
        <w:t>than reduce mass incarceration unless it ceases to emphasize the individual faults of criminals and ignore the structural factors that contribute to crime.</w:t>
      </w:r>
    </w:p>
    <w:p w14:paraId="0B4DE3AA" w14:textId="636AA37B" w:rsidR="007F4035" w:rsidRPr="00B36523" w:rsidRDefault="004609D8" w:rsidP="00B36523">
      <w:pPr>
        <w:widowControl w:val="0"/>
        <w:spacing w:line="480" w:lineRule="auto"/>
        <w:ind w:firstLine="720"/>
        <w:rPr>
          <w:rFonts w:ascii="Times New Roman" w:hAnsi="Times New Roman"/>
        </w:rPr>
      </w:pPr>
      <w:r>
        <w:rPr>
          <w:rFonts w:ascii="Times New Roman" w:hAnsi="Times New Roman"/>
        </w:rPr>
        <w:t>The</w:t>
      </w:r>
      <w:r w:rsidR="00586C46">
        <w:rPr>
          <w:rFonts w:ascii="Times New Roman" w:hAnsi="Times New Roman"/>
        </w:rPr>
        <w:t xml:space="preserve"> decline of rehabilitation </w:t>
      </w:r>
      <w:r w:rsidR="00B25149">
        <w:rPr>
          <w:rFonts w:ascii="Times New Roman" w:hAnsi="Times New Roman"/>
        </w:rPr>
        <w:t>as a goal of</w:t>
      </w:r>
      <w:r w:rsidR="00586C46">
        <w:rPr>
          <w:rFonts w:ascii="Times New Roman" w:hAnsi="Times New Roman"/>
        </w:rPr>
        <w:t xml:space="preserve"> </w:t>
      </w:r>
      <w:r w:rsidR="00BC6E77">
        <w:rPr>
          <w:rFonts w:ascii="Times New Roman" w:hAnsi="Times New Roman"/>
        </w:rPr>
        <w:t>the penal system in the 1970s</w:t>
      </w:r>
      <w:r w:rsidR="00586C46">
        <w:rPr>
          <w:rFonts w:ascii="Times New Roman" w:hAnsi="Times New Roman"/>
        </w:rPr>
        <w:t xml:space="preserve"> was not </w:t>
      </w:r>
      <w:r w:rsidR="005C3692">
        <w:rPr>
          <w:rFonts w:ascii="Times New Roman" w:hAnsi="Times New Roman"/>
        </w:rPr>
        <w:t>just</w:t>
      </w:r>
      <w:r w:rsidR="00586C46">
        <w:rPr>
          <w:rFonts w:ascii="Times New Roman" w:hAnsi="Times New Roman"/>
        </w:rPr>
        <w:t xml:space="preserve"> due to political </w:t>
      </w:r>
      <w:r w:rsidR="00090FE8">
        <w:rPr>
          <w:rFonts w:ascii="Times New Roman" w:hAnsi="Times New Roman"/>
        </w:rPr>
        <w:t xml:space="preserve">and social </w:t>
      </w:r>
      <w:r w:rsidR="00586C46">
        <w:rPr>
          <w:rFonts w:ascii="Times New Roman" w:hAnsi="Times New Roman"/>
        </w:rPr>
        <w:t>developmen</w:t>
      </w:r>
      <w:r w:rsidR="00A9712E">
        <w:rPr>
          <w:rFonts w:ascii="Times New Roman" w:hAnsi="Times New Roman"/>
        </w:rPr>
        <w:t>ts</w:t>
      </w:r>
      <w:r w:rsidR="00936272">
        <w:rPr>
          <w:rFonts w:ascii="Times New Roman" w:hAnsi="Times New Roman"/>
        </w:rPr>
        <w:t xml:space="preserve">. </w:t>
      </w:r>
      <w:r w:rsidR="00A9712E">
        <w:rPr>
          <w:rFonts w:ascii="Times New Roman" w:hAnsi="Times New Roman"/>
        </w:rPr>
        <w:t>The</w:t>
      </w:r>
      <w:r w:rsidR="00586C46">
        <w:rPr>
          <w:rFonts w:ascii="Times New Roman" w:hAnsi="Times New Roman"/>
        </w:rPr>
        <w:t xml:space="preserve"> basis for </w:t>
      </w:r>
      <w:r w:rsidR="00A9712E">
        <w:rPr>
          <w:rFonts w:ascii="Times New Roman" w:hAnsi="Times New Roman"/>
        </w:rPr>
        <w:t>punitive politics</w:t>
      </w:r>
      <w:r w:rsidR="006002E2">
        <w:rPr>
          <w:rFonts w:ascii="Times New Roman" w:hAnsi="Times New Roman"/>
        </w:rPr>
        <w:t xml:space="preserve"> </w:t>
      </w:r>
      <w:r w:rsidR="00586C46">
        <w:rPr>
          <w:rFonts w:ascii="Times New Roman" w:hAnsi="Times New Roman"/>
        </w:rPr>
        <w:t xml:space="preserve">was laid in the foundations of the rehabilitative ideal itself. </w:t>
      </w:r>
      <w:r w:rsidR="00A22EB2">
        <w:rPr>
          <w:rFonts w:ascii="Times New Roman" w:hAnsi="Times New Roman"/>
        </w:rPr>
        <w:t>Without</w:t>
      </w:r>
      <w:r w:rsidR="004E5304" w:rsidRPr="007659CB">
        <w:rPr>
          <w:rFonts w:ascii="Times New Roman" w:hAnsi="Times New Roman"/>
        </w:rPr>
        <w:t xml:space="preserve"> fundamental</w:t>
      </w:r>
      <w:r w:rsidR="00A22EB2">
        <w:rPr>
          <w:rFonts w:ascii="Times New Roman" w:hAnsi="Times New Roman"/>
        </w:rPr>
        <w:t>ly</w:t>
      </w:r>
      <w:r w:rsidR="004E5304" w:rsidRPr="007659CB">
        <w:rPr>
          <w:rFonts w:ascii="Times New Roman" w:hAnsi="Times New Roman"/>
        </w:rPr>
        <w:t xml:space="preserve"> </w:t>
      </w:r>
      <w:r w:rsidR="00014F64">
        <w:rPr>
          <w:rFonts w:ascii="Times New Roman" w:hAnsi="Times New Roman"/>
        </w:rPr>
        <w:t>reshaping</w:t>
      </w:r>
      <w:r w:rsidR="004E5304" w:rsidRPr="007659CB">
        <w:rPr>
          <w:rFonts w:ascii="Times New Roman" w:hAnsi="Times New Roman"/>
        </w:rPr>
        <w:t xml:space="preserve"> </w:t>
      </w:r>
      <w:r w:rsidR="00014F64">
        <w:rPr>
          <w:rFonts w:ascii="Times New Roman" w:hAnsi="Times New Roman"/>
        </w:rPr>
        <w:t>how we understand and employ prisoner rehabilitation in America</w:t>
      </w:r>
      <w:r w:rsidR="00B42DB5">
        <w:rPr>
          <w:rFonts w:ascii="Times New Roman" w:hAnsi="Times New Roman"/>
        </w:rPr>
        <w:t xml:space="preserve"> </w:t>
      </w:r>
      <w:r w:rsidR="00B25149">
        <w:rPr>
          <w:rFonts w:ascii="Times New Roman" w:hAnsi="Times New Roman"/>
        </w:rPr>
        <w:t>so</w:t>
      </w:r>
      <w:r w:rsidR="00B42DB5">
        <w:rPr>
          <w:rFonts w:ascii="Times New Roman" w:hAnsi="Times New Roman"/>
        </w:rPr>
        <w:t xml:space="preserve"> </w:t>
      </w:r>
      <w:r w:rsidR="004904FB">
        <w:rPr>
          <w:rFonts w:ascii="Times New Roman" w:hAnsi="Times New Roman"/>
        </w:rPr>
        <w:t xml:space="preserve">that </w:t>
      </w:r>
      <w:r w:rsidR="00B36523">
        <w:rPr>
          <w:rFonts w:ascii="Times New Roman" w:hAnsi="Times New Roman"/>
        </w:rPr>
        <w:t>we</w:t>
      </w:r>
      <w:r w:rsidR="00B25149">
        <w:rPr>
          <w:rFonts w:ascii="Times New Roman" w:hAnsi="Times New Roman"/>
        </w:rPr>
        <w:t xml:space="preserve"> </w:t>
      </w:r>
      <w:r w:rsidR="00014F64">
        <w:rPr>
          <w:rFonts w:ascii="Times New Roman" w:hAnsi="Times New Roman"/>
        </w:rPr>
        <w:t>embrace</w:t>
      </w:r>
      <w:r w:rsidR="00B25149">
        <w:rPr>
          <w:rFonts w:ascii="Times New Roman" w:hAnsi="Times New Roman"/>
        </w:rPr>
        <w:t xml:space="preserve"> </w:t>
      </w:r>
      <w:r w:rsidR="00014F64">
        <w:rPr>
          <w:rFonts w:ascii="Times New Roman" w:hAnsi="Times New Roman"/>
        </w:rPr>
        <w:t xml:space="preserve">rehabilitation </w:t>
      </w:r>
      <w:r w:rsidR="00B25149">
        <w:rPr>
          <w:rFonts w:ascii="Times New Roman" w:hAnsi="Times New Roman"/>
        </w:rPr>
        <w:t xml:space="preserve">on </w:t>
      </w:r>
      <w:r w:rsidR="00014F64">
        <w:rPr>
          <w:rFonts w:ascii="Times New Roman" w:hAnsi="Times New Roman"/>
        </w:rPr>
        <w:t>its</w:t>
      </w:r>
      <w:r w:rsidR="00B25149">
        <w:rPr>
          <w:rFonts w:ascii="Times New Roman" w:hAnsi="Times New Roman"/>
        </w:rPr>
        <w:t xml:space="preserve"> own merit,</w:t>
      </w:r>
      <w:r w:rsidR="00B95C1F">
        <w:rPr>
          <w:rFonts w:ascii="Times New Roman" w:hAnsi="Times New Roman"/>
        </w:rPr>
        <w:t xml:space="preserve"> </w:t>
      </w:r>
      <w:r w:rsidR="00014F64">
        <w:rPr>
          <w:rFonts w:ascii="Times New Roman" w:hAnsi="Times New Roman"/>
        </w:rPr>
        <w:t>reject</w:t>
      </w:r>
      <w:r w:rsidR="00B95C1F">
        <w:rPr>
          <w:rFonts w:ascii="Times New Roman" w:hAnsi="Times New Roman"/>
        </w:rPr>
        <w:t xml:space="preserve"> recidivism as a measure of corrigibility, </w:t>
      </w:r>
      <w:r w:rsidR="00331814">
        <w:rPr>
          <w:rFonts w:ascii="Times New Roman" w:hAnsi="Times New Roman"/>
        </w:rPr>
        <w:t xml:space="preserve">and </w:t>
      </w:r>
      <w:r w:rsidR="00014F64">
        <w:rPr>
          <w:rFonts w:ascii="Times New Roman" w:hAnsi="Times New Roman"/>
        </w:rPr>
        <w:t>acknowledge</w:t>
      </w:r>
      <w:r w:rsidR="00C779FD">
        <w:rPr>
          <w:rFonts w:ascii="Times New Roman" w:hAnsi="Times New Roman"/>
        </w:rPr>
        <w:t xml:space="preserve"> </w:t>
      </w:r>
      <w:r w:rsidR="00331814">
        <w:rPr>
          <w:rFonts w:ascii="Times New Roman" w:hAnsi="Times New Roman"/>
        </w:rPr>
        <w:t xml:space="preserve">the structural </w:t>
      </w:r>
      <w:r w:rsidR="0082559D">
        <w:rPr>
          <w:rFonts w:ascii="Times New Roman" w:hAnsi="Times New Roman"/>
        </w:rPr>
        <w:t>factors that cause</w:t>
      </w:r>
      <w:r w:rsidR="00331814">
        <w:rPr>
          <w:rFonts w:ascii="Times New Roman" w:hAnsi="Times New Roman"/>
        </w:rPr>
        <w:t xml:space="preserve"> crime, </w:t>
      </w:r>
      <w:r w:rsidR="004E5304" w:rsidRPr="007659CB">
        <w:rPr>
          <w:rFonts w:ascii="Times New Roman" w:hAnsi="Times New Roman"/>
        </w:rPr>
        <w:t xml:space="preserve">rehabilitation will continue to facilitate carceral expansion by espousing the idea that </w:t>
      </w:r>
      <w:r w:rsidR="00014F64">
        <w:rPr>
          <w:rFonts w:ascii="Times New Roman" w:hAnsi="Times New Roman"/>
        </w:rPr>
        <w:t xml:space="preserve">some </w:t>
      </w:r>
      <w:r w:rsidR="001634EE">
        <w:rPr>
          <w:rFonts w:ascii="Times New Roman" w:hAnsi="Times New Roman"/>
        </w:rPr>
        <w:t>offenders</w:t>
      </w:r>
      <w:r w:rsidR="004E5304" w:rsidRPr="007659CB">
        <w:rPr>
          <w:rFonts w:ascii="Times New Roman" w:hAnsi="Times New Roman"/>
        </w:rPr>
        <w:t xml:space="preserve"> </w:t>
      </w:r>
      <w:r w:rsidR="000C18C2">
        <w:rPr>
          <w:rFonts w:ascii="Times New Roman" w:hAnsi="Times New Roman"/>
        </w:rPr>
        <w:t>are incorrigible</w:t>
      </w:r>
      <w:r w:rsidR="004E5304" w:rsidRPr="007659CB">
        <w:rPr>
          <w:rFonts w:ascii="Times New Roman" w:hAnsi="Times New Roman"/>
        </w:rPr>
        <w:t xml:space="preserve"> and </w:t>
      </w:r>
      <w:r w:rsidR="00520011">
        <w:rPr>
          <w:rFonts w:ascii="Times New Roman" w:hAnsi="Times New Roman"/>
        </w:rPr>
        <w:t>require containment</w:t>
      </w:r>
      <w:r w:rsidR="004E5304" w:rsidRPr="007659CB">
        <w:rPr>
          <w:rFonts w:ascii="Times New Roman" w:hAnsi="Times New Roman"/>
        </w:rPr>
        <w:t>.</w:t>
      </w:r>
    </w:p>
    <w:sectPr w:rsidR="007F4035" w:rsidRPr="00B36523" w:rsidSect="00423E11">
      <w:headerReference w:type="default" r:id="rId8"/>
      <w:footerReference w:type="even" r:id="rId9"/>
      <w:footerReference w:type="default" r:id="rId1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129FD" w14:textId="77777777" w:rsidR="00090FE8" w:rsidRDefault="00090FE8" w:rsidP="00F96B5D">
      <w:r>
        <w:separator/>
      </w:r>
    </w:p>
  </w:endnote>
  <w:endnote w:type="continuationSeparator" w:id="0">
    <w:p w14:paraId="7A08C709" w14:textId="77777777" w:rsidR="00090FE8" w:rsidRDefault="00090FE8" w:rsidP="00F9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BB59" w14:textId="77777777" w:rsidR="00090FE8" w:rsidRDefault="00090FE8" w:rsidP="007226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829F1" w14:textId="77777777" w:rsidR="00090FE8" w:rsidRDefault="00090FE8" w:rsidP="00BE4B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8022" w14:textId="0D03B4CE" w:rsidR="00090FE8" w:rsidRPr="0070222B" w:rsidRDefault="0070222B" w:rsidP="00722614">
    <w:pPr>
      <w:pStyle w:val="Footer"/>
      <w:framePr w:wrap="around" w:vAnchor="text" w:hAnchor="margin" w:xAlign="right" w:y="1"/>
      <w:rPr>
        <w:rStyle w:val="PageNumber"/>
        <w:sz w:val="20"/>
        <w:szCs w:val="20"/>
      </w:rPr>
    </w:pPr>
    <w:r w:rsidRPr="0070222B">
      <w:rPr>
        <w:rStyle w:val="PageNumber"/>
        <w:sz w:val="20"/>
        <w:szCs w:val="20"/>
      </w:rPr>
      <w:t xml:space="preserve">Grasso </w:t>
    </w:r>
    <w:r w:rsidR="00090FE8" w:rsidRPr="0070222B">
      <w:rPr>
        <w:rStyle w:val="PageNumber"/>
        <w:sz w:val="20"/>
        <w:szCs w:val="20"/>
      </w:rPr>
      <w:fldChar w:fldCharType="begin"/>
    </w:r>
    <w:r w:rsidR="00090FE8" w:rsidRPr="0070222B">
      <w:rPr>
        <w:rStyle w:val="PageNumber"/>
        <w:sz w:val="20"/>
        <w:szCs w:val="20"/>
      </w:rPr>
      <w:instrText xml:space="preserve">PAGE  </w:instrText>
    </w:r>
    <w:r w:rsidR="00090FE8" w:rsidRPr="0070222B">
      <w:rPr>
        <w:rStyle w:val="PageNumber"/>
        <w:sz w:val="20"/>
        <w:szCs w:val="20"/>
      </w:rPr>
      <w:fldChar w:fldCharType="separate"/>
    </w:r>
    <w:r w:rsidR="0080796D">
      <w:rPr>
        <w:rStyle w:val="PageNumber"/>
        <w:noProof/>
        <w:sz w:val="20"/>
        <w:szCs w:val="20"/>
      </w:rPr>
      <w:t>1</w:t>
    </w:r>
    <w:r w:rsidR="00090FE8" w:rsidRPr="0070222B">
      <w:rPr>
        <w:rStyle w:val="PageNumber"/>
        <w:sz w:val="20"/>
        <w:szCs w:val="20"/>
      </w:rPr>
      <w:fldChar w:fldCharType="end"/>
    </w:r>
  </w:p>
  <w:p w14:paraId="13BC019C" w14:textId="77777777" w:rsidR="00090FE8" w:rsidRPr="0070222B" w:rsidRDefault="00090FE8" w:rsidP="00BE4BE5">
    <w:pPr>
      <w:pStyle w:val="Footer"/>
      <w:ind w:right="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E02CF" w14:textId="77777777" w:rsidR="00090FE8" w:rsidRDefault="00090FE8" w:rsidP="00F96B5D">
      <w:r>
        <w:separator/>
      </w:r>
    </w:p>
  </w:footnote>
  <w:footnote w:type="continuationSeparator" w:id="0">
    <w:p w14:paraId="4D600FBF" w14:textId="77777777" w:rsidR="00090FE8" w:rsidRDefault="00090FE8" w:rsidP="00F96B5D">
      <w:r>
        <w:continuationSeparator/>
      </w:r>
    </w:p>
  </w:footnote>
  <w:footnote w:id="1">
    <w:p w14:paraId="496B807C" w14:textId="6C463520"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Michael Flamm, </w:t>
      </w:r>
      <w:r w:rsidRPr="00542E39">
        <w:rPr>
          <w:i/>
          <w:sz w:val="20"/>
          <w:szCs w:val="20"/>
        </w:rPr>
        <w:t>Law and Order: Street Crime, Civil Unrest, and the Crisis of Liberalism in the 1960s</w:t>
      </w:r>
      <w:r w:rsidRPr="00542E39">
        <w:rPr>
          <w:sz w:val="20"/>
          <w:szCs w:val="20"/>
        </w:rPr>
        <w:t xml:space="preserve"> (New York: Columbia University Press, 2005); David Garland, </w:t>
      </w:r>
      <w:r w:rsidRPr="00542E39">
        <w:rPr>
          <w:i/>
          <w:sz w:val="20"/>
          <w:szCs w:val="20"/>
        </w:rPr>
        <w:t xml:space="preserve">The Culture of Control: Crime and Social Order in Contemporary Society </w:t>
      </w:r>
      <w:r w:rsidRPr="00542E39">
        <w:rPr>
          <w:sz w:val="20"/>
          <w:szCs w:val="20"/>
        </w:rPr>
        <w:t xml:space="preserve">(Chicago: University of Chicago Press, 2001); Naomi Murakawa, </w:t>
      </w:r>
      <w:r w:rsidRPr="00542E39">
        <w:rPr>
          <w:i/>
          <w:sz w:val="20"/>
          <w:szCs w:val="20"/>
        </w:rPr>
        <w:t xml:space="preserve">The First Civil Right: How Liberals Built Prison America </w:t>
      </w:r>
      <w:r w:rsidRPr="00542E39">
        <w:rPr>
          <w:sz w:val="20"/>
          <w:szCs w:val="20"/>
        </w:rPr>
        <w:t xml:space="preserve">(New York: Oxford University Press, 2014; Marie Gottschalk, </w:t>
      </w:r>
      <w:r w:rsidRPr="00542E39">
        <w:rPr>
          <w:i/>
          <w:sz w:val="20"/>
          <w:szCs w:val="20"/>
        </w:rPr>
        <w:t>The Prison and the Gallows: The Politics of Mass Incarceration in America</w:t>
      </w:r>
      <w:r w:rsidRPr="00542E39">
        <w:rPr>
          <w:sz w:val="20"/>
          <w:szCs w:val="20"/>
        </w:rPr>
        <w:t xml:space="preserve"> (New York: Cambridge University Press, 2006).</w:t>
      </w:r>
    </w:p>
  </w:footnote>
  <w:footnote w:id="2">
    <w:p w14:paraId="12B09B53" w14:textId="73F13451"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Francis Allen, </w:t>
      </w:r>
      <w:r w:rsidRPr="00542E39">
        <w:rPr>
          <w:i/>
          <w:sz w:val="20"/>
          <w:szCs w:val="20"/>
        </w:rPr>
        <w:t xml:space="preserve">The Decline of the Rehabilitative Ideal: Penal Policy and Social Purpose </w:t>
      </w:r>
      <w:r w:rsidRPr="00542E39">
        <w:rPr>
          <w:sz w:val="20"/>
          <w:szCs w:val="20"/>
        </w:rPr>
        <w:t xml:space="preserve">(New Haven: Yale University Press, 1981), 6-7; </w:t>
      </w:r>
      <w:r w:rsidRPr="00542E39">
        <w:rPr>
          <w:rFonts w:cs="Lucida Grande"/>
          <w:sz w:val="20"/>
          <w:szCs w:val="20"/>
        </w:rPr>
        <w:t xml:space="preserve">Francis Allen, "The Decline of the Rehabilitative Ideal in American Criminal Justice," </w:t>
      </w:r>
      <w:r w:rsidRPr="00542E39">
        <w:rPr>
          <w:rFonts w:cs="Lucida Grande"/>
          <w:i/>
          <w:sz w:val="20"/>
          <w:szCs w:val="20"/>
        </w:rPr>
        <w:t>Cleveland State Law Review</w:t>
      </w:r>
      <w:r w:rsidRPr="00542E39">
        <w:rPr>
          <w:rFonts w:cs="Lucida Grande"/>
          <w:sz w:val="20"/>
          <w:szCs w:val="20"/>
        </w:rPr>
        <w:t xml:space="preserve">, 27.2 (1978): 147-156; </w:t>
      </w:r>
      <w:r w:rsidRPr="00542E39">
        <w:rPr>
          <w:sz w:val="20"/>
          <w:szCs w:val="20"/>
        </w:rPr>
        <w:t xml:space="preserve">Francis Cullen and Paul Gendreau, “Assessing Correctional Rehabilitation: Policy, Practice, and Prospects,” in </w:t>
      </w:r>
      <w:r w:rsidRPr="00542E39">
        <w:rPr>
          <w:i/>
          <w:sz w:val="20"/>
          <w:szCs w:val="20"/>
        </w:rPr>
        <w:t>Criminal Justice 2000: Volume 3, Policies, Processes, and Decisions of the Criminal Justice System</w:t>
      </w:r>
      <w:r w:rsidRPr="00542E39">
        <w:rPr>
          <w:sz w:val="20"/>
          <w:szCs w:val="20"/>
        </w:rPr>
        <w:t xml:space="preserve">, ed. Julie Horney (Washington: US Dept. of Justice, National Institute of Justice, 2000), 109-175; </w:t>
      </w:r>
      <w:r w:rsidRPr="00542E39">
        <w:rPr>
          <w:rFonts w:cs="Lucida Grande"/>
          <w:sz w:val="20"/>
          <w:szCs w:val="20"/>
        </w:rPr>
        <w:t xml:space="preserve">Garland, </w:t>
      </w:r>
      <w:r w:rsidRPr="00542E39">
        <w:rPr>
          <w:rFonts w:cs="Lucida Grande"/>
          <w:i/>
          <w:sz w:val="20"/>
          <w:szCs w:val="20"/>
        </w:rPr>
        <w:t>Culture of Control</w:t>
      </w:r>
      <w:r w:rsidRPr="00542E39">
        <w:rPr>
          <w:rFonts w:cs="Lucida Grande"/>
          <w:sz w:val="20"/>
          <w:szCs w:val="20"/>
        </w:rPr>
        <w:t>, 3, 34-37.</w:t>
      </w:r>
    </w:p>
  </w:footnote>
  <w:footnote w:id="3">
    <w:p w14:paraId="23A28798" w14:textId="164BDFDF" w:rsidR="00090FE8" w:rsidRPr="00542E39" w:rsidRDefault="00090FE8" w:rsidP="00BD70B2">
      <w:pPr>
        <w:pStyle w:val="FootnoteText"/>
        <w:rPr>
          <w:sz w:val="20"/>
          <w:szCs w:val="20"/>
        </w:rPr>
      </w:pPr>
      <w:r w:rsidRPr="00542E39">
        <w:rPr>
          <w:rStyle w:val="FootnoteReference"/>
          <w:sz w:val="20"/>
          <w:szCs w:val="20"/>
        </w:rPr>
        <w:footnoteRef/>
      </w:r>
      <w:r w:rsidRPr="00542E39">
        <w:rPr>
          <w:sz w:val="20"/>
          <w:szCs w:val="20"/>
        </w:rPr>
        <w:t xml:space="preserve"> This section assesses the work of Zebulon Brockway and other 19</w:t>
      </w:r>
      <w:r w:rsidRPr="00542E39">
        <w:rPr>
          <w:sz w:val="20"/>
          <w:szCs w:val="20"/>
          <w:vertAlign w:val="superscript"/>
        </w:rPr>
        <w:t>th</w:t>
      </w:r>
      <w:r w:rsidRPr="00542E39">
        <w:rPr>
          <w:sz w:val="20"/>
          <w:szCs w:val="20"/>
        </w:rPr>
        <w:t xml:space="preserve"> century criminologists. For more thorough analyses, see Alexander W. Pisciotta, </w:t>
      </w:r>
      <w:r w:rsidRPr="00542E39">
        <w:rPr>
          <w:i/>
          <w:sz w:val="20"/>
          <w:szCs w:val="20"/>
        </w:rPr>
        <w:t xml:space="preserve">Benevolent Repression: Social Control and the American Reformatory-Prison Movement </w:t>
      </w:r>
      <w:r w:rsidRPr="00542E39">
        <w:rPr>
          <w:sz w:val="20"/>
          <w:szCs w:val="20"/>
        </w:rPr>
        <w:t xml:space="preserve">(New York: New York University Press, 1994) and Nicole Hahn Rafter, </w:t>
      </w:r>
      <w:r w:rsidRPr="00542E39">
        <w:rPr>
          <w:i/>
          <w:sz w:val="20"/>
          <w:szCs w:val="20"/>
        </w:rPr>
        <w:t>Creating Born Criminals</w:t>
      </w:r>
      <w:r w:rsidRPr="00542E39">
        <w:rPr>
          <w:sz w:val="20"/>
          <w:szCs w:val="20"/>
        </w:rPr>
        <w:t xml:space="preserve"> (Chicago: University of Illinois Press, 1997). This section builds on these works. </w:t>
      </w:r>
    </w:p>
  </w:footnote>
  <w:footnote w:id="4">
    <w:p w14:paraId="49573379" w14:textId="0131C388"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Nicole Hahn Rafter, </w:t>
      </w:r>
      <w:r w:rsidRPr="00542E39">
        <w:rPr>
          <w:i/>
          <w:sz w:val="20"/>
          <w:szCs w:val="20"/>
        </w:rPr>
        <w:t>Creating Born Criminals</w:t>
      </w:r>
      <w:r w:rsidRPr="00542E39">
        <w:rPr>
          <w:sz w:val="20"/>
          <w:szCs w:val="20"/>
        </w:rPr>
        <w:t xml:space="preserve"> (Chicago: University of Illinois Press, 1997), 96-98; John Phillips Conrad, “Correctional Treatment,” in </w:t>
      </w:r>
      <w:r w:rsidRPr="00542E39">
        <w:rPr>
          <w:i/>
          <w:sz w:val="20"/>
          <w:szCs w:val="20"/>
        </w:rPr>
        <w:t>Encyclopedia of Crime and Justice,</w:t>
      </w:r>
      <w:r w:rsidRPr="00542E39">
        <w:rPr>
          <w:sz w:val="20"/>
          <w:szCs w:val="20"/>
        </w:rPr>
        <w:t xml:space="preserve"> vol. 1, ed. Sanford H. Kadish (New York: Free Press, 1983), 269-270.</w:t>
      </w:r>
    </w:p>
  </w:footnote>
  <w:footnote w:id="5">
    <w:p w14:paraId="02E0E770" w14:textId="4D473E47"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Pisciotta, </w:t>
      </w:r>
      <w:r w:rsidRPr="00542E39">
        <w:rPr>
          <w:i/>
          <w:sz w:val="20"/>
          <w:szCs w:val="20"/>
        </w:rPr>
        <w:t>Benevolent Repression</w:t>
      </w:r>
      <w:r w:rsidRPr="00542E39">
        <w:rPr>
          <w:sz w:val="20"/>
          <w:szCs w:val="20"/>
        </w:rPr>
        <w:t xml:space="preserve">; Rafter, </w:t>
      </w:r>
      <w:r w:rsidRPr="00542E39">
        <w:rPr>
          <w:i/>
          <w:sz w:val="20"/>
          <w:szCs w:val="20"/>
        </w:rPr>
        <w:t xml:space="preserve">Creating Born Criminals, </w:t>
      </w:r>
      <w:r w:rsidRPr="00542E39">
        <w:rPr>
          <w:sz w:val="20"/>
          <w:szCs w:val="20"/>
        </w:rPr>
        <w:t>96-103.</w:t>
      </w:r>
    </w:p>
  </w:footnote>
  <w:footnote w:id="6">
    <w:p w14:paraId="3F5857A0" w14:textId="3454907F" w:rsidR="00090FE8" w:rsidRPr="00542E39" w:rsidRDefault="00090FE8" w:rsidP="00135695">
      <w:pPr>
        <w:pStyle w:val="FootnoteText"/>
        <w:rPr>
          <w:sz w:val="20"/>
          <w:szCs w:val="20"/>
        </w:rPr>
      </w:pPr>
      <w:r w:rsidRPr="00542E39">
        <w:rPr>
          <w:rStyle w:val="FootnoteReference"/>
          <w:sz w:val="20"/>
          <w:szCs w:val="20"/>
        </w:rPr>
        <w:footnoteRef/>
      </w:r>
      <w:r w:rsidRPr="00542E39">
        <w:rPr>
          <w:sz w:val="20"/>
          <w:szCs w:val="20"/>
        </w:rPr>
        <w:t xml:space="preserve"> Zebulon Brockway, “Crime,” annual address before the National Prison Congress in 1898, in </w:t>
      </w:r>
      <w:r w:rsidRPr="00542E39">
        <w:rPr>
          <w:i/>
          <w:sz w:val="20"/>
          <w:szCs w:val="20"/>
        </w:rPr>
        <w:t>Papers on Penology,</w:t>
      </w:r>
      <w:r w:rsidRPr="00542E39">
        <w:rPr>
          <w:sz w:val="20"/>
          <w:szCs w:val="20"/>
        </w:rPr>
        <w:t xml:space="preserve"> 4</w:t>
      </w:r>
      <w:r w:rsidRPr="00542E39">
        <w:rPr>
          <w:sz w:val="20"/>
          <w:szCs w:val="20"/>
          <w:vertAlign w:val="superscript"/>
        </w:rPr>
        <w:t>th</w:t>
      </w:r>
      <w:r w:rsidRPr="00542E39">
        <w:rPr>
          <w:sz w:val="20"/>
          <w:szCs w:val="20"/>
        </w:rPr>
        <w:t xml:space="preserve"> Series, 1899 (New York State Reformatory at Elmira: Elmira, 1899), 73, 78; Zebulon Brockway, “The Ideal of a True Prison System for a State,” in </w:t>
      </w:r>
      <w:r w:rsidRPr="00542E39">
        <w:rPr>
          <w:i/>
          <w:sz w:val="20"/>
          <w:szCs w:val="20"/>
        </w:rPr>
        <w:t>Transactions of the National Congress on Penitentiary and Reformatory Discipline, Held at Cincinnati, OH October 12-18, 1870.</w:t>
      </w:r>
      <w:r w:rsidRPr="00542E39">
        <w:rPr>
          <w:sz w:val="20"/>
          <w:szCs w:val="20"/>
        </w:rPr>
        <w:t xml:space="preserve"> E.C. Wines, ed. (Albany: Weed, Parsons and Co., 1871), 38-66, esp. 39; Zebulon Brockway, “Prisoners and their Reformation,” in Edwin Pears ed. </w:t>
      </w:r>
      <w:r w:rsidRPr="00542E39">
        <w:rPr>
          <w:i/>
          <w:sz w:val="20"/>
          <w:szCs w:val="20"/>
        </w:rPr>
        <w:t>Prisoners and Reformatories At Home and Abroad, Being the Transactions of the International Penitentiary Congress, Held in London July 3-13 1872</w:t>
      </w:r>
      <w:r w:rsidRPr="00542E39">
        <w:rPr>
          <w:sz w:val="20"/>
          <w:szCs w:val="20"/>
        </w:rPr>
        <w:t xml:space="preserve"> (London: Longman, Green, and CO., 1872), 615. </w:t>
      </w:r>
    </w:p>
  </w:footnote>
  <w:footnote w:id="7">
    <w:p w14:paraId="71C988D7" w14:textId="2B381FD8" w:rsidR="00090FE8" w:rsidRPr="00542E39" w:rsidRDefault="00090FE8" w:rsidP="00006645">
      <w:pPr>
        <w:pStyle w:val="FootnoteText"/>
        <w:rPr>
          <w:sz w:val="20"/>
          <w:szCs w:val="20"/>
        </w:rPr>
      </w:pPr>
      <w:r w:rsidRPr="00542E39">
        <w:rPr>
          <w:rStyle w:val="FootnoteReference"/>
          <w:sz w:val="20"/>
          <w:szCs w:val="20"/>
        </w:rPr>
        <w:footnoteRef/>
      </w:r>
      <w:r w:rsidRPr="00542E39">
        <w:rPr>
          <w:sz w:val="20"/>
          <w:szCs w:val="20"/>
        </w:rPr>
        <w:t xml:space="preserve"> Cesare Lombroso, </w:t>
      </w:r>
      <w:r w:rsidRPr="00542E39">
        <w:rPr>
          <w:i/>
          <w:sz w:val="20"/>
          <w:szCs w:val="20"/>
        </w:rPr>
        <w:t>Criminal Man</w:t>
      </w:r>
      <w:r w:rsidRPr="00542E39">
        <w:rPr>
          <w:sz w:val="20"/>
          <w:szCs w:val="20"/>
        </w:rPr>
        <w:t xml:space="preserve">, trans. Mary Gibson and Nicole Hahn Rafter (Durham: Duke University Press, 2006). Lombroso is widely recognized as being the founder of the positivist school of criminology. </w:t>
      </w:r>
    </w:p>
  </w:footnote>
  <w:footnote w:id="8">
    <w:p w14:paraId="189761E5" w14:textId="766475FE"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Zebulon Brockway, </w:t>
      </w:r>
      <w:r w:rsidRPr="00542E39">
        <w:rPr>
          <w:i/>
          <w:sz w:val="20"/>
          <w:szCs w:val="20"/>
        </w:rPr>
        <w:t>Fifty Years of Prison Service: An Autobiography</w:t>
      </w:r>
      <w:r w:rsidRPr="00542E39">
        <w:rPr>
          <w:sz w:val="20"/>
          <w:szCs w:val="20"/>
        </w:rPr>
        <w:t xml:space="preserve"> (New York: Charities Publication Committee, 1912)</w:t>
      </w:r>
      <w:r w:rsidRPr="00542E39">
        <w:rPr>
          <w:i/>
          <w:sz w:val="20"/>
          <w:szCs w:val="20"/>
        </w:rPr>
        <w:t>,</w:t>
      </w:r>
      <w:r w:rsidRPr="00542E39">
        <w:rPr>
          <w:sz w:val="20"/>
          <w:szCs w:val="20"/>
        </w:rPr>
        <w:t xml:space="preserve"> 214-222; Brockway, “Crime,” 96; Brockway, “Prisoners and their Reformation,” 613.</w:t>
      </w:r>
    </w:p>
  </w:footnote>
  <w:footnote w:id="9">
    <w:p w14:paraId="6597B768" w14:textId="4BF5C3DA"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Zebulon Brockway, “The Incorrigible Criminal: What Is He, and How Should He Be Treated?” in, </w:t>
      </w:r>
      <w:r w:rsidRPr="00542E39">
        <w:rPr>
          <w:i/>
          <w:sz w:val="20"/>
          <w:szCs w:val="20"/>
        </w:rPr>
        <w:t>The National Prison Association of the United States of America, 5</w:t>
      </w:r>
      <w:r w:rsidRPr="00542E39">
        <w:rPr>
          <w:i/>
          <w:sz w:val="20"/>
          <w:szCs w:val="20"/>
          <w:vertAlign w:val="superscript"/>
        </w:rPr>
        <w:t>th</w:t>
      </w:r>
      <w:r w:rsidRPr="00542E39">
        <w:rPr>
          <w:i/>
          <w:sz w:val="20"/>
          <w:szCs w:val="20"/>
        </w:rPr>
        <w:t xml:space="preserve"> and 6</w:t>
      </w:r>
      <w:r w:rsidRPr="00542E39">
        <w:rPr>
          <w:i/>
          <w:sz w:val="20"/>
          <w:szCs w:val="20"/>
          <w:vertAlign w:val="superscript"/>
        </w:rPr>
        <w:t>th</w:t>
      </w:r>
      <w:r w:rsidRPr="00542E39">
        <w:rPr>
          <w:i/>
          <w:sz w:val="20"/>
          <w:szCs w:val="20"/>
        </w:rPr>
        <w:t xml:space="preserve"> Report of Proceedings </w:t>
      </w:r>
      <w:r w:rsidRPr="00542E39">
        <w:rPr>
          <w:sz w:val="20"/>
          <w:szCs w:val="20"/>
        </w:rPr>
        <w:t xml:space="preserve">(Boston: Geo. E. Crosby and Co, Printers, 1886), 105-107. </w:t>
      </w:r>
    </w:p>
  </w:footnote>
  <w:footnote w:id="10">
    <w:p w14:paraId="4499ECF3" w14:textId="7DF6538E"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Brockway, “Crime,” 80.</w:t>
      </w:r>
    </w:p>
  </w:footnote>
  <w:footnote w:id="11">
    <w:p w14:paraId="4462E6FD" w14:textId="149C291D" w:rsidR="00090FE8" w:rsidRPr="00542E39" w:rsidRDefault="00090FE8" w:rsidP="00542E39">
      <w:pPr>
        <w:pStyle w:val="FootnoteText"/>
        <w:rPr>
          <w:sz w:val="20"/>
          <w:szCs w:val="20"/>
        </w:rPr>
      </w:pPr>
      <w:r w:rsidRPr="00542E39">
        <w:rPr>
          <w:rStyle w:val="FootnoteReference"/>
          <w:sz w:val="20"/>
          <w:szCs w:val="20"/>
        </w:rPr>
        <w:footnoteRef/>
      </w:r>
      <w:r w:rsidRPr="00542E39">
        <w:rPr>
          <w:sz w:val="20"/>
          <w:szCs w:val="20"/>
        </w:rPr>
        <w:t xml:space="preserve"> Brockway, </w:t>
      </w:r>
      <w:r w:rsidRPr="00542E39">
        <w:rPr>
          <w:i/>
          <w:sz w:val="20"/>
          <w:szCs w:val="20"/>
        </w:rPr>
        <w:t>Fifty Years of Prison Service,</w:t>
      </w:r>
      <w:r w:rsidRPr="00542E39">
        <w:rPr>
          <w:sz w:val="20"/>
          <w:szCs w:val="20"/>
        </w:rPr>
        <w:t xml:space="preserve"> 265; Brockway, “The Ideal of a True Prison System,” 42.</w:t>
      </w:r>
    </w:p>
  </w:footnote>
  <w:footnote w:id="12">
    <w:p w14:paraId="1CABE817" w14:textId="77777777" w:rsidR="00090FE8" w:rsidRPr="00542E39" w:rsidRDefault="00090FE8" w:rsidP="0010073A">
      <w:pPr>
        <w:tabs>
          <w:tab w:val="left" w:pos="2200"/>
        </w:tabs>
        <w:rPr>
          <w:sz w:val="20"/>
          <w:szCs w:val="20"/>
        </w:rPr>
      </w:pPr>
      <w:r w:rsidRPr="00542E39">
        <w:rPr>
          <w:rStyle w:val="FootnoteReference"/>
          <w:sz w:val="20"/>
          <w:szCs w:val="20"/>
        </w:rPr>
        <w:footnoteRef/>
      </w:r>
      <w:r w:rsidRPr="00542E39">
        <w:rPr>
          <w:sz w:val="20"/>
          <w:szCs w:val="20"/>
        </w:rPr>
        <w:t xml:space="preserve"> Brockway, “Crime,” 79-80, 89-91, 96; Brockway, “An Absolute Indeterminate Sentence,” in </w:t>
      </w:r>
      <w:r w:rsidRPr="00542E39">
        <w:rPr>
          <w:i/>
          <w:sz w:val="20"/>
          <w:szCs w:val="20"/>
        </w:rPr>
        <w:t xml:space="preserve">Fifty-Ninth Annual Report of the Prison Association of New York For the Year 1903 </w:t>
      </w:r>
      <w:r w:rsidRPr="00542E39">
        <w:rPr>
          <w:sz w:val="20"/>
          <w:szCs w:val="20"/>
        </w:rPr>
        <w:t xml:space="preserve">(Albany: Oliver A. Quayle State Legislative Printer, 1904); Brockway, “The Ideal of a True Prison System,” 42, 52-56; Brockway, “Reformatory Prison Discipline,” 206-207. </w:t>
      </w:r>
    </w:p>
  </w:footnote>
  <w:footnote w:id="13">
    <w:p w14:paraId="7E56F906" w14:textId="78304CB6"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Rafter, </w:t>
      </w:r>
      <w:r w:rsidRPr="00542E39">
        <w:rPr>
          <w:i/>
          <w:sz w:val="20"/>
          <w:szCs w:val="20"/>
        </w:rPr>
        <w:t xml:space="preserve">Creating Born Criminals, </w:t>
      </w:r>
      <w:r w:rsidRPr="00542E39">
        <w:rPr>
          <w:sz w:val="20"/>
          <w:szCs w:val="20"/>
        </w:rPr>
        <w:t>94-95, 101-102.</w:t>
      </w:r>
    </w:p>
  </w:footnote>
  <w:footnote w:id="14">
    <w:p w14:paraId="0775E581" w14:textId="4EB6B253"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Arthur MacDonald, </w:t>
      </w:r>
      <w:r w:rsidRPr="00542E39">
        <w:rPr>
          <w:i/>
          <w:sz w:val="20"/>
          <w:szCs w:val="20"/>
        </w:rPr>
        <w:t xml:space="preserve">Criminology </w:t>
      </w:r>
      <w:r w:rsidRPr="00542E39">
        <w:rPr>
          <w:sz w:val="20"/>
          <w:szCs w:val="20"/>
        </w:rPr>
        <w:t>(New York: Funk &amp; Wagnalis, 1893),</w:t>
      </w:r>
      <w:r w:rsidRPr="00542E39">
        <w:rPr>
          <w:i/>
          <w:sz w:val="20"/>
          <w:szCs w:val="20"/>
        </w:rPr>
        <w:t xml:space="preserve"> </w:t>
      </w:r>
      <w:r w:rsidRPr="00542E39">
        <w:rPr>
          <w:sz w:val="20"/>
          <w:szCs w:val="20"/>
        </w:rPr>
        <w:t>36-39.</w:t>
      </w:r>
    </w:p>
  </w:footnote>
  <w:footnote w:id="15">
    <w:p w14:paraId="37B8293A" w14:textId="7488263B"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Henry M. Boies, </w:t>
      </w:r>
      <w:r w:rsidRPr="00542E39">
        <w:rPr>
          <w:i/>
          <w:sz w:val="20"/>
          <w:szCs w:val="20"/>
        </w:rPr>
        <w:t>Prisoners and Paupers: A Study of the Abnormal Increase of Criminals, and the Public Burden of Pauperism in the United States; the Causes and Remedies</w:t>
      </w:r>
      <w:r w:rsidRPr="00542E39">
        <w:rPr>
          <w:sz w:val="20"/>
          <w:szCs w:val="20"/>
          <w:u w:val="single"/>
        </w:rPr>
        <w:t xml:space="preserve"> </w:t>
      </w:r>
      <w:r w:rsidRPr="00542E39">
        <w:rPr>
          <w:sz w:val="20"/>
          <w:szCs w:val="20"/>
        </w:rPr>
        <w:t xml:space="preserve">(New York: Putnam, 1893), 171-172; Philip A. Parsons, </w:t>
      </w:r>
      <w:r w:rsidRPr="00542E39">
        <w:rPr>
          <w:i/>
          <w:sz w:val="20"/>
          <w:szCs w:val="20"/>
        </w:rPr>
        <w:t xml:space="preserve">Responsibility for Crime: An Investigation of the Nature and Causes of Crime and a Means of its Prevention </w:t>
      </w:r>
      <w:r w:rsidRPr="00542E39">
        <w:rPr>
          <w:sz w:val="20"/>
          <w:szCs w:val="20"/>
        </w:rPr>
        <w:t>(New York: Columbia University Press, 1909),</w:t>
      </w:r>
      <w:r w:rsidRPr="00542E39">
        <w:rPr>
          <w:i/>
          <w:sz w:val="20"/>
          <w:szCs w:val="20"/>
        </w:rPr>
        <w:t xml:space="preserve"> </w:t>
      </w:r>
      <w:r w:rsidRPr="00542E39">
        <w:rPr>
          <w:sz w:val="20"/>
          <w:szCs w:val="20"/>
        </w:rPr>
        <w:t xml:space="preserve">18, 30-35; see August Drahms, </w:t>
      </w:r>
      <w:r w:rsidRPr="00542E39">
        <w:rPr>
          <w:i/>
          <w:sz w:val="20"/>
          <w:szCs w:val="20"/>
        </w:rPr>
        <w:t xml:space="preserve">The Criminal: His Personnel and Environment </w:t>
      </w:r>
      <w:r w:rsidRPr="00542E39">
        <w:rPr>
          <w:sz w:val="20"/>
          <w:szCs w:val="20"/>
        </w:rPr>
        <w:t>(New York: Macmillan, 1900), 52 for a similar taxonomy.</w:t>
      </w:r>
    </w:p>
  </w:footnote>
  <w:footnote w:id="16">
    <w:p w14:paraId="1793D562" w14:textId="59F6B0DC" w:rsidR="00090FE8" w:rsidRPr="00542E39" w:rsidRDefault="00090FE8" w:rsidP="002B4897">
      <w:pPr>
        <w:pStyle w:val="FootnoteText"/>
        <w:rPr>
          <w:i/>
          <w:sz w:val="20"/>
          <w:szCs w:val="20"/>
        </w:rPr>
      </w:pPr>
      <w:r w:rsidRPr="00542E39">
        <w:rPr>
          <w:rStyle w:val="FootnoteReference"/>
          <w:sz w:val="20"/>
          <w:szCs w:val="20"/>
        </w:rPr>
        <w:footnoteRef/>
      </w:r>
      <w:r w:rsidRPr="00542E39">
        <w:rPr>
          <w:sz w:val="20"/>
          <w:szCs w:val="20"/>
        </w:rPr>
        <w:t xml:space="preserve"> Charles R. Henderson, </w:t>
      </w:r>
      <w:r w:rsidRPr="00542E39">
        <w:rPr>
          <w:i/>
          <w:sz w:val="20"/>
          <w:szCs w:val="20"/>
        </w:rPr>
        <w:t>An Introduction to the Study of the Dependent, Defective, and Delinquent Classes</w:t>
      </w:r>
      <w:r w:rsidRPr="00542E39">
        <w:rPr>
          <w:sz w:val="20"/>
          <w:szCs w:val="20"/>
          <w:u w:val="single"/>
        </w:rPr>
        <w:t xml:space="preserve"> </w:t>
      </w:r>
      <w:r w:rsidRPr="00542E39">
        <w:rPr>
          <w:sz w:val="20"/>
          <w:szCs w:val="20"/>
        </w:rPr>
        <w:t>(Boston: Heath and Company, 1893), 16</w:t>
      </w:r>
      <w:r w:rsidRPr="00542E39">
        <w:rPr>
          <w:i/>
          <w:sz w:val="20"/>
          <w:szCs w:val="20"/>
        </w:rPr>
        <w:t xml:space="preserve">. </w:t>
      </w:r>
    </w:p>
  </w:footnote>
  <w:footnote w:id="17">
    <w:p w14:paraId="1D6DC25B" w14:textId="3C67FDDD"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Boies, </w:t>
      </w:r>
      <w:r w:rsidRPr="00542E39">
        <w:rPr>
          <w:i/>
          <w:sz w:val="20"/>
          <w:szCs w:val="20"/>
        </w:rPr>
        <w:t>Prisoners and Paupers</w:t>
      </w:r>
      <w:r w:rsidRPr="00542E39">
        <w:rPr>
          <w:sz w:val="20"/>
          <w:szCs w:val="20"/>
        </w:rPr>
        <w:t xml:space="preserve">, 179. </w:t>
      </w:r>
    </w:p>
  </w:footnote>
  <w:footnote w:id="18">
    <w:p w14:paraId="415EC118" w14:textId="238A10A9"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Henry M. Boies, </w:t>
      </w:r>
      <w:r w:rsidRPr="00542E39">
        <w:rPr>
          <w:i/>
          <w:sz w:val="20"/>
          <w:szCs w:val="20"/>
        </w:rPr>
        <w:t>The Science of Penology: The Defence of Society Against Crime</w:t>
      </w:r>
      <w:r w:rsidRPr="00542E39">
        <w:rPr>
          <w:sz w:val="20"/>
          <w:szCs w:val="20"/>
        </w:rPr>
        <w:t xml:space="preserve"> (New York: GP Putnam’s Sons, 1901), 188-189.</w:t>
      </w:r>
    </w:p>
  </w:footnote>
  <w:footnote w:id="19">
    <w:p w14:paraId="31558532" w14:textId="7F0E4069"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William Duncan McKim, </w:t>
      </w:r>
      <w:r w:rsidRPr="00542E39">
        <w:rPr>
          <w:i/>
          <w:sz w:val="20"/>
          <w:szCs w:val="20"/>
        </w:rPr>
        <w:t xml:space="preserve">Heredity and Human Progress </w:t>
      </w:r>
      <w:r w:rsidRPr="00542E39">
        <w:rPr>
          <w:sz w:val="20"/>
          <w:szCs w:val="20"/>
        </w:rPr>
        <w:t xml:space="preserve">(New York: GP Putnam’s Sons, 1900), 268; MacDonald, </w:t>
      </w:r>
      <w:r w:rsidRPr="00542E39">
        <w:rPr>
          <w:i/>
          <w:sz w:val="20"/>
          <w:szCs w:val="20"/>
        </w:rPr>
        <w:t>Criminology</w:t>
      </w:r>
      <w:r w:rsidRPr="00542E39">
        <w:rPr>
          <w:sz w:val="20"/>
          <w:szCs w:val="20"/>
        </w:rPr>
        <w:t xml:space="preserve">, 50-55; Henderson, </w:t>
      </w:r>
      <w:r w:rsidRPr="00542E39">
        <w:rPr>
          <w:i/>
          <w:sz w:val="20"/>
          <w:szCs w:val="20"/>
        </w:rPr>
        <w:t>An Introduction</w:t>
      </w:r>
      <w:r w:rsidRPr="00542E39">
        <w:rPr>
          <w:sz w:val="20"/>
          <w:szCs w:val="20"/>
        </w:rPr>
        <w:t>, 153.</w:t>
      </w:r>
    </w:p>
  </w:footnote>
  <w:footnote w:id="20">
    <w:p w14:paraId="254EDC00" w14:textId="77777777" w:rsidR="00090FE8" w:rsidRPr="00542E39" w:rsidRDefault="00090FE8" w:rsidP="0032497F">
      <w:pPr>
        <w:pStyle w:val="FootnoteText"/>
        <w:rPr>
          <w:sz w:val="20"/>
          <w:szCs w:val="20"/>
        </w:rPr>
      </w:pPr>
      <w:r w:rsidRPr="00542E39">
        <w:rPr>
          <w:rStyle w:val="FootnoteReference"/>
          <w:sz w:val="20"/>
          <w:szCs w:val="20"/>
        </w:rPr>
        <w:footnoteRef/>
      </w:r>
      <w:r w:rsidRPr="00542E39">
        <w:rPr>
          <w:sz w:val="20"/>
          <w:szCs w:val="20"/>
        </w:rPr>
        <w:t xml:space="preserve"> Boies, </w:t>
      </w:r>
      <w:r w:rsidRPr="00542E39">
        <w:rPr>
          <w:i/>
          <w:sz w:val="20"/>
          <w:szCs w:val="20"/>
        </w:rPr>
        <w:t>Prisoners and Paupers</w:t>
      </w:r>
      <w:r w:rsidRPr="00542E39">
        <w:rPr>
          <w:sz w:val="20"/>
          <w:szCs w:val="20"/>
        </w:rPr>
        <w:t xml:space="preserve">, 189-190; Henderson, </w:t>
      </w:r>
      <w:r w:rsidRPr="00542E39">
        <w:rPr>
          <w:i/>
          <w:sz w:val="20"/>
          <w:szCs w:val="20"/>
        </w:rPr>
        <w:t>An Introduction</w:t>
      </w:r>
      <w:r w:rsidRPr="00542E39">
        <w:rPr>
          <w:sz w:val="20"/>
          <w:szCs w:val="20"/>
        </w:rPr>
        <w:t xml:space="preserve">, 288-293; MacDonald, </w:t>
      </w:r>
      <w:r w:rsidRPr="00542E39">
        <w:rPr>
          <w:i/>
          <w:sz w:val="20"/>
          <w:szCs w:val="20"/>
        </w:rPr>
        <w:t>Criminology</w:t>
      </w:r>
      <w:r w:rsidRPr="00542E39">
        <w:rPr>
          <w:sz w:val="20"/>
          <w:szCs w:val="20"/>
        </w:rPr>
        <w:t xml:space="preserve">, 271; Drahms, </w:t>
      </w:r>
      <w:r w:rsidRPr="00542E39">
        <w:rPr>
          <w:i/>
          <w:sz w:val="20"/>
          <w:szCs w:val="20"/>
        </w:rPr>
        <w:t>The Criminal</w:t>
      </w:r>
      <w:r w:rsidRPr="00542E39">
        <w:rPr>
          <w:sz w:val="20"/>
          <w:szCs w:val="20"/>
        </w:rPr>
        <w:t xml:space="preserve">, 365-370; Parsons, </w:t>
      </w:r>
      <w:r w:rsidRPr="00542E39">
        <w:rPr>
          <w:i/>
          <w:sz w:val="20"/>
          <w:szCs w:val="20"/>
        </w:rPr>
        <w:t>Responsibility for Crime</w:t>
      </w:r>
      <w:r w:rsidRPr="00542E39">
        <w:rPr>
          <w:sz w:val="20"/>
          <w:szCs w:val="20"/>
        </w:rPr>
        <w:t>, 177-181.</w:t>
      </w:r>
    </w:p>
  </w:footnote>
  <w:footnote w:id="21">
    <w:p w14:paraId="3882C27B" w14:textId="4F935DB3" w:rsidR="00090FE8" w:rsidRPr="00542E39" w:rsidRDefault="00090FE8" w:rsidP="0032497F">
      <w:pPr>
        <w:pStyle w:val="FootnoteText"/>
        <w:rPr>
          <w:sz w:val="20"/>
          <w:szCs w:val="20"/>
        </w:rPr>
      </w:pPr>
      <w:r w:rsidRPr="00542E39">
        <w:rPr>
          <w:rStyle w:val="FootnoteReference"/>
          <w:sz w:val="20"/>
          <w:szCs w:val="20"/>
        </w:rPr>
        <w:footnoteRef/>
      </w:r>
      <w:r w:rsidRPr="00542E39">
        <w:rPr>
          <w:sz w:val="20"/>
          <w:szCs w:val="20"/>
        </w:rPr>
        <w:t xml:space="preserve"> G. Frank Lydston, </w:t>
      </w:r>
      <w:r w:rsidRPr="00542E39">
        <w:rPr>
          <w:i/>
          <w:sz w:val="20"/>
          <w:szCs w:val="20"/>
        </w:rPr>
        <w:t xml:space="preserve">The Diseases of Society: The Vice and Crime Problem </w:t>
      </w:r>
      <w:r w:rsidRPr="00542E39">
        <w:rPr>
          <w:sz w:val="20"/>
          <w:szCs w:val="20"/>
        </w:rPr>
        <w:t xml:space="preserve">(Philadelphia: JB Lippincott, 1906), 605. </w:t>
      </w:r>
    </w:p>
  </w:footnote>
  <w:footnote w:id="22">
    <w:p w14:paraId="4674509A" w14:textId="5A5F6374"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MacDonald, </w:t>
      </w:r>
      <w:r w:rsidRPr="00542E39">
        <w:rPr>
          <w:i/>
          <w:sz w:val="20"/>
          <w:szCs w:val="20"/>
        </w:rPr>
        <w:t>Criminology</w:t>
      </w:r>
      <w:r w:rsidRPr="00542E39">
        <w:rPr>
          <w:sz w:val="20"/>
          <w:szCs w:val="20"/>
        </w:rPr>
        <w:t xml:space="preserve">, 271; Boies, </w:t>
      </w:r>
      <w:r w:rsidRPr="00542E39">
        <w:rPr>
          <w:i/>
          <w:sz w:val="20"/>
          <w:szCs w:val="20"/>
        </w:rPr>
        <w:t>Prisoners and Paupers</w:t>
      </w:r>
      <w:r w:rsidRPr="00542E39">
        <w:rPr>
          <w:sz w:val="20"/>
          <w:szCs w:val="20"/>
        </w:rPr>
        <w:t xml:space="preserve">, 189-190; Henderson, </w:t>
      </w:r>
      <w:r w:rsidRPr="00542E39">
        <w:rPr>
          <w:i/>
          <w:sz w:val="20"/>
          <w:szCs w:val="20"/>
        </w:rPr>
        <w:t xml:space="preserve">An Introduction, </w:t>
      </w:r>
      <w:r w:rsidRPr="00542E39">
        <w:rPr>
          <w:sz w:val="20"/>
          <w:szCs w:val="20"/>
        </w:rPr>
        <w:t xml:space="preserve">288-293; McKim, </w:t>
      </w:r>
      <w:r w:rsidRPr="00542E39">
        <w:rPr>
          <w:sz w:val="20"/>
          <w:szCs w:val="20"/>
          <w:u w:val="single"/>
        </w:rPr>
        <w:t>Heredity and Human Progress</w:t>
      </w:r>
      <w:r w:rsidRPr="00542E39">
        <w:rPr>
          <w:i/>
          <w:sz w:val="20"/>
          <w:szCs w:val="20"/>
        </w:rPr>
        <w:t xml:space="preserve">, </w:t>
      </w:r>
      <w:r w:rsidRPr="00542E39">
        <w:rPr>
          <w:sz w:val="20"/>
          <w:szCs w:val="20"/>
        </w:rPr>
        <w:t xml:space="preserve">23-26; Parsons, </w:t>
      </w:r>
      <w:r w:rsidRPr="00542E39">
        <w:rPr>
          <w:sz w:val="20"/>
          <w:szCs w:val="20"/>
          <w:u w:val="single"/>
        </w:rPr>
        <w:t>Responsibility for Crime</w:t>
      </w:r>
      <w:r w:rsidRPr="00542E39">
        <w:rPr>
          <w:sz w:val="20"/>
          <w:szCs w:val="20"/>
        </w:rPr>
        <w:t xml:space="preserve">, 177-181; Lydston, </w:t>
      </w:r>
      <w:r w:rsidRPr="00542E39">
        <w:rPr>
          <w:i/>
          <w:sz w:val="20"/>
          <w:szCs w:val="20"/>
        </w:rPr>
        <w:t xml:space="preserve">The Diseases of Society, </w:t>
      </w:r>
      <w:r w:rsidRPr="00542E39">
        <w:rPr>
          <w:sz w:val="20"/>
          <w:szCs w:val="20"/>
        </w:rPr>
        <w:t xml:space="preserve">605; McKim, </w:t>
      </w:r>
      <w:r w:rsidRPr="00542E39">
        <w:rPr>
          <w:i/>
          <w:sz w:val="20"/>
          <w:szCs w:val="20"/>
        </w:rPr>
        <w:t xml:space="preserve">Heredity and Human Progress, </w:t>
      </w:r>
      <w:r w:rsidRPr="00542E39">
        <w:rPr>
          <w:sz w:val="20"/>
          <w:szCs w:val="20"/>
        </w:rPr>
        <w:t xml:space="preserve">20; Lydston, </w:t>
      </w:r>
      <w:r w:rsidRPr="00542E39">
        <w:rPr>
          <w:i/>
          <w:sz w:val="20"/>
          <w:szCs w:val="20"/>
        </w:rPr>
        <w:t xml:space="preserve">The Diseases of Society, </w:t>
      </w:r>
      <w:r w:rsidRPr="00542E39">
        <w:rPr>
          <w:sz w:val="20"/>
          <w:szCs w:val="20"/>
        </w:rPr>
        <w:t xml:space="preserve">610-611; Henderson, </w:t>
      </w:r>
      <w:r w:rsidRPr="00542E39">
        <w:rPr>
          <w:i/>
          <w:sz w:val="20"/>
          <w:szCs w:val="20"/>
        </w:rPr>
        <w:t>An Introduction</w:t>
      </w:r>
      <w:r w:rsidRPr="00542E39">
        <w:rPr>
          <w:sz w:val="20"/>
          <w:szCs w:val="20"/>
        </w:rPr>
        <w:t>, 293.</w:t>
      </w:r>
    </w:p>
  </w:footnote>
  <w:footnote w:id="23">
    <w:p w14:paraId="329202A0" w14:textId="3A965416"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MacDonald, </w:t>
      </w:r>
      <w:r w:rsidRPr="00542E39">
        <w:rPr>
          <w:i/>
          <w:sz w:val="20"/>
          <w:szCs w:val="20"/>
        </w:rPr>
        <w:t>Criminology</w:t>
      </w:r>
      <w:r w:rsidRPr="00542E39">
        <w:rPr>
          <w:sz w:val="20"/>
          <w:szCs w:val="20"/>
        </w:rPr>
        <w:t>, 271.</w:t>
      </w:r>
    </w:p>
  </w:footnote>
  <w:footnote w:id="24">
    <w:p w14:paraId="57E8CD94" w14:textId="29FC4A31"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Drahms, </w:t>
      </w:r>
      <w:r w:rsidRPr="00542E39">
        <w:rPr>
          <w:i/>
          <w:sz w:val="20"/>
          <w:szCs w:val="20"/>
        </w:rPr>
        <w:t xml:space="preserve">The Criminal, </w:t>
      </w:r>
      <w:r w:rsidRPr="00542E39">
        <w:rPr>
          <w:sz w:val="20"/>
          <w:szCs w:val="20"/>
        </w:rPr>
        <w:t>365-370.</w:t>
      </w:r>
    </w:p>
  </w:footnote>
  <w:footnote w:id="25">
    <w:p w14:paraId="37E354EC" w14:textId="77777777" w:rsidR="00090FE8" w:rsidRPr="00542E39" w:rsidRDefault="00090FE8" w:rsidP="0064509E">
      <w:pPr>
        <w:pStyle w:val="FootnoteText"/>
        <w:rPr>
          <w:sz w:val="20"/>
          <w:szCs w:val="20"/>
        </w:rPr>
      </w:pPr>
      <w:r w:rsidRPr="00542E39">
        <w:rPr>
          <w:rStyle w:val="FootnoteReference"/>
          <w:sz w:val="20"/>
          <w:szCs w:val="20"/>
        </w:rPr>
        <w:footnoteRef/>
      </w:r>
      <w:r w:rsidRPr="00542E39">
        <w:rPr>
          <w:sz w:val="20"/>
          <w:szCs w:val="20"/>
        </w:rPr>
        <w:t xml:space="preserve"> Boies, </w:t>
      </w:r>
      <w:r w:rsidRPr="00542E39">
        <w:rPr>
          <w:i/>
          <w:sz w:val="20"/>
          <w:szCs w:val="20"/>
        </w:rPr>
        <w:t>Prisoners and Paupers</w:t>
      </w:r>
      <w:r w:rsidRPr="00542E39">
        <w:rPr>
          <w:sz w:val="20"/>
          <w:szCs w:val="20"/>
        </w:rPr>
        <w:t xml:space="preserve">, 179. </w:t>
      </w:r>
    </w:p>
  </w:footnote>
  <w:footnote w:id="26">
    <w:p w14:paraId="10C6FC40" w14:textId="5F194333"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Parsons, </w:t>
      </w:r>
      <w:r w:rsidRPr="00542E39">
        <w:rPr>
          <w:i/>
          <w:sz w:val="20"/>
          <w:szCs w:val="20"/>
        </w:rPr>
        <w:t xml:space="preserve">Responsibility for Crime, </w:t>
      </w:r>
      <w:r w:rsidRPr="00542E39">
        <w:rPr>
          <w:sz w:val="20"/>
          <w:szCs w:val="20"/>
        </w:rPr>
        <w:t xml:space="preserve">65; Lydston, </w:t>
      </w:r>
      <w:r w:rsidRPr="00542E39">
        <w:rPr>
          <w:i/>
          <w:sz w:val="20"/>
          <w:szCs w:val="20"/>
        </w:rPr>
        <w:t xml:space="preserve">The Diseases of Society, </w:t>
      </w:r>
      <w:r w:rsidRPr="00542E39">
        <w:rPr>
          <w:sz w:val="20"/>
          <w:szCs w:val="20"/>
        </w:rPr>
        <w:t xml:space="preserve">606-611; Boies, </w:t>
      </w:r>
      <w:r w:rsidRPr="00542E39">
        <w:rPr>
          <w:i/>
          <w:sz w:val="20"/>
          <w:szCs w:val="20"/>
        </w:rPr>
        <w:t>Prisoners and Paupers</w:t>
      </w:r>
      <w:r w:rsidRPr="00542E39">
        <w:rPr>
          <w:sz w:val="20"/>
          <w:szCs w:val="20"/>
        </w:rPr>
        <w:t xml:space="preserve">, 145, 187, 189-200; McKim, </w:t>
      </w:r>
      <w:r w:rsidRPr="00542E39">
        <w:rPr>
          <w:i/>
          <w:sz w:val="20"/>
          <w:szCs w:val="20"/>
        </w:rPr>
        <w:t>Heredity and Human Progress</w:t>
      </w:r>
      <w:r w:rsidRPr="00542E39">
        <w:rPr>
          <w:sz w:val="20"/>
          <w:szCs w:val="20"/>
        </w:rPr>
        <w:t xml:space="preserve">, 146; Lombroso, </w:t>
      </w:r>
      <w:r w:rsidRPr="00542E39">
        <w:rPr>
          <w:i/>
          <w:sz w:val="20"/>
          <w:szCs w:val="20"/>
        </w:rPr>
        <w:t>Criminal Man</w:t>
      </w:r>
      <w:r w:rsidRPr="00542E39">
        <w:rPr>
          <w:sz w:val="20"/>
          <w:szCs w:val="20"/>
        </w:rPr>
        <w:t xml:space="preserve">, 81-84, 188-197, 212-220, 247-252, 247-276; Henderson, </w:t>
      </w:r>
      <w:r w:rsidRPr="00542E39">
        <w:rPr>
          <w:i/>
          <w:sz w:val="20"/>
          <w:szCs w:val="20"/>
        </w:rPr>
        <w:t>An Introduction</w:t>
      </w:r>
      <w:r w:rsidRPr="00542E39">
        <w:rPr>
          <w:sz w:val="20"/>
          <w:szCs w:val="20"/>
        </w:rPr>
        <w:t>, 250, 286-288.</w:t>
      </w:r>
    </w:p>
  </w:footnote>
  <w:footnote w:id="27">
    <w:p w14:paraId="21F5EE1D" w14:textId="4945FDE7"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Henderson, </w:t>
      </w:r>
      <w:r w:rsidRPr="00542E39">
        <w:rPr>
          <w:i/>
          <w:sz w:val="20"/>
          <w:szCs w:val="20"/>
        </w:rPr>
        <w:t xml:space="preserve">An Introduction, </w:t>
      </w:r>
      <w:r w:rsidRPr="00542E39">
        <w:rPr>
          <w:sz w:val="20"/>
          <w:szCs w:val="20"/>
        </w:rPr>
        <w:t xml:space="preserve">153; MacDonald, </w:t>
      </w:r>
      <w:r w:rsidRPr="00542E39">
        <w:rPr>
          <w:i/>
          <w:sz w:val="20"/>
          <w:szCs w:val="20"/>
        </w:rPr>
        <w:t>Criminology</w:t>
      </w:r>
      <w:r w:rsidRPr="00542E39">
        <w:rPr>
          <w:sz w:val="20"/>
          <w:szCs w:val="20"/>
        </w:rPr>
        <w:t xml:space="preserve">, 269-270; Lydston, </w:t>
      </w:r>
      <w:r w:rsidRPr="00542E39">
        <w:rPr>
          <w:i/>
          <w:sz w:val="20"/>
          <w:szCs w:val="20"/>
        </w:rPr>
        <w:t>The Diseases of Society</w:t>
      </w:r>
      <w:r w:rsidRPr="00542E39">
        <w:rPr>
          <w:sz w:val="20"/>
          <w:szCs w:val="20"/>
        </w:rPr>
        <w:t xml:space="preserve">, 562-568; Boies, </w:t>
      </w:r>
      <w:r w:rsidRPr="00542E39">
        <w:rPr>
          <w:i/>
          <w:sz w:val="20"/>
          <w:szCs w:val="20"/>
        </w:rPr>
        <w:t>The Science of Penology</w:t>
      </w:r>
      <w:r w:rsidRPr="00542E39">
        <w:rPr>
          <w:sz w:val="20"/>
          <w:szCs w:val="20"/>
        </w:rPr>
        <w:t xml:space="preserve">, 311-331; Parsons, </w:t>
      </w:r>
      <w:r w:rsidRPr="00542E39">
        <w:rPr>
          <w:i/>
          <w:sz w:val="20"/>
          <w:szCs w:val="20"/>
        </w:rPr>
        <w:t>Responsibility for Crime</w:t>
      </w:r>
      <w:r w:rsidRPr="00542E39">
        <w:rPr>
          <w:sz w:val="20"/>
          <w:szCs w:val="20"/>
        </w:rPr>
        <w:t xml:space="preserve">, 137, 148-149; McKim, </w:t>
      </w:r>
      <w:r w:rsidRPr="00542E39">
        <w:rPr>
          <w:i/>
          <w:sz w:val="20"/>
          <w:szCs w:val="20"/>
        </w:rPr>
        <w:t>Heredity and Human Progress</w:t>
      </w:r>
      <w:r w:rsidRPr="00542E39">
        <w:rPr>
          <w:sz w:val="20"/>
          <w:szCs w:val="20"/>
        </w:rPr>
        <w:t>, 188-193.</w:t>
      </w:r>
    </w:p>
  </w:footnote>
  <w:footnote w:id="28">
    <w:p w14:paraId="265EEE38" w14:textId="6733DF1B"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For a review of the reformatories, see Pisciotta, </w:t>
      </w:r>
      <w:r w:rsidRPr="00542E39">
        <w:rPr>
          <w:i/>
          <w:sz w:val="20"/>
          <w:szCs w:val="20"/>
        </w:rPr>
        <w:t>Benevolent Repression,</w:t>
      </w:r>
      <w:r w:rsidRPr="00542E39">
        <w:rPr>
          <w:sz w:val="20"/>
          <w:szCs w:val="20"/>
        </w:rPr>
        <w:t xml:space="preserve"> 81-126. Also see Rafter, </w:t>
      </w:r>
      <w:r w:rsidRPr="00542E39">
        <w:rPr>
          <w:i/>
          <w:sz w:val="20"/>
          <w:szCs w:val="20"/>
        </w:rPr>
        <w:t>Creating Born Criminals</w:t>
      </w:r>
      <w:r w:rsidRPr="00542E39">
        <w:rPr>
          <w:sz w:val="20"/>
          <w:szCs w:val="20"/>
        </w:rPr>
        <w:t>, 95-98; Conrad, “Correctional Treatment,” 269-273.</w:t>
      </w:r>
    </w:p>
  </w:footnote>
  <w:footnote w:id="29">
    <w:p w14:paraId="1E2C808A" w14:textId="77777777" w:rsidR="00090FE8" w:rsidRPr="00542E39" w:rsidRDefault="00090FE8" w:rsidP="00484A81">
      <w:pPr>
        <w:pStyle w:val="FootnoteText"/>
        <w:rPr>
          <w:sz w:val="20"/>
          <w:szCs w:val="20"/>
        </w:rPr>
      </w:pPr>
      <w:r w:rsidRPr="00542E39">
        <w:rPr>
          <w:rStyle w:val="FootnoteReference"/>
          <w:sz w:val="20"/>
          <w:szCs w:val="20"/>
        </w:rPr>
        <w:footnoteRef/>
      </w:r>
      <w:r w:rsidRPr="00542E39">
        <w:rPr>
          <w:sz w:val="20"/>
          <w:szCs w:val="20"/>
        </w:rPr>
        <w:t xml:space="preserve"> Garland, </w:t>
      </w:r>
      <w:r w:rsidRPr="00542E39">
        <w:rPr>
          <w:i/>
          <w:sz w:val="20"/>
          <w:szCs w:val="20"/>
        </w:rPr>
        <w:t>The Culture of Control</w:t>
      </w:r>
      <w:r w:rsidRPr="00542E39">
        <w:rPr>
          <w:sz w:val="20"/>
          <w:szCs w:val="20"/>
        </w:rPr>
        <w:t>, 41.</w:t>
      </w:r>
    </w:p>
  </w:footnote>
  <w:footnote w:id="30">
    <w:p w14:paraId="7DCABBF1" w14:textId="3D079B6D" w:rsidR="00090FE8" w:rsidRPr="00542E39" w:rsidRDefault="00090FE8" w:rsidP="0017059F">
      <w:pPr>
        <w:rPr>
          <w:sz w:val="20"/>
          <w:szCs w:val="20"/>
        </w:rPr>
      </w:pPr>
      <w:r w:rsidRPr="00542E39">
        <w:rPr>
          <w:rStyle w:val="FootnoteReference"/>
          <w:sz w:val="20"/>
          <w:szCs w:val="20"/>
        </w:rPr>
        <w:footnoteRef/>
      </w:r>
      <w:r w:rsidRPr="00542E39">
        <w:rPr>
          <w:i/>
          <w:sz w:val="20"/>
          <w:szCs w:val="20"/>
        </w:rPr>
        <w:t xml:space="preserve"> The Revised Statutes of the State of Ohio</w:t>
      </w:r>
      <w:r w:rsidRPr="00542E39">
        <w:rPr>
          <w:sz w:val="20"/>
          <w:szCs w:val="20"/>
        </w:rPr>
        <w:t>, Vol. 2 (Cincinnati: Robert Clarke, 1896), Title III Ch. 2, Sec 7436-10-2, 1815-1816; “Sixteenth Annual Report of the Board of State Charities to the 69</w:t>
      </w:r>
      <w:r w:rsidRPr="00542E39">
        <w:rPr>
          <w:sz w:val="20"/>
          <w:szCs w:val="20"/>
          <w:vertAlign w:val="superscript"/>
        </w:rPr>
        <w:t>th</w:t>
      </w:r>
      <w:r w:rsidRPr="00542E39">
        <w:rPr>
          <w:sz w:val="20"/>
          <w:szCs w:val="20"/>
        </w:rPr>
        <w:t xml:space="preserve"> General Assembly of the State of Ohio,” </w:t>
      </w:r>
      <w:r w:rsidRPr="00542E39">
        <w:rPr>
          <w:i/>
          <w:sz w:val="20"/>
          <w:szCs w:val="20"/>
        </w:rPr>
        <w:t>Annual Report</w:t>
      </w:r>
      <w:r w:rsidRPr="00542E39">
        <w:rPr>
          <w:sz w:val="20"/>
          <w:szCs w:val="20"/>
        </w:rPr>
        <w:t xml:space="preserve"> (1891), 404-424.</w:t>
      </w:r>
    </w:p>
  </w:footnote>
  <w:footnote w:id="31">
    <w:p w14:paraId="4468B23D" w14:textId="77777777" w:rsidR="00090FE8" w:rsidRPr="00542E39" w:rsidRDefault="00090FE8" w:rsidP="004528E9">
      <w:pPr>
        <w:rPr>
          <w:sz w:val="20"/>
          <w:szCs w:val="20"/>
        </w:rPr>
      </w:pPr>
      <w:r w:rsidRPr="00542E39">
        <w:rPr>
          <w:rStyle w:val="FootnoteReference"/>
          <w:sz w:val="20"/>
          <w:szCs w:val="20"/>
        </w:rPr>
        <w:footnoteRef/>
      </w:r>
      <w:r w:rsidRPr="00542E39">
        <w:rPr>
          <w:sz w:val="20"/>
          <w:szCs w:val="20"/>
        </w:rPr>
        <w:t xml:space="preserve"> </w:t>
      </w:r>
      <w:r w:rsidRPr="00542E39">
        <w:rPr>
          <w:i/>
          <w:sz w:val="20"/>
          <w:szCs w:val="20"/>
        </w:rPr>
        <w:t>Indiana Statutes of 1909</w:t>
      </w:r>
      <w:r w:rsidRPr="00542E39">
        <w:rPr>
          <w:sz w:val="20"/>
          <w:szCs w:val="20"/>
        </w:rPr>
        <w:t>, Ch. 239, Sec. 34, p. 899; quote from “Third Annual Report of the Board of State Charities Made to the Legislature of Indiana,” (Indianapolis: WM.B. Burford, 1890), 43; as early as 1890 the Board pushed for a habitual offenders’ law: “First Report of the Board of State Charities Made to the Legislature of Indiana,” (Indianapolis: WM. B. Burford, 1890), 32-34.</w:t>
      </w:r>
    </w:p>
  </w:footnote>
  <w:footnote w:id="32">
    <w:p w14:paraId="21335939" w14:textId="4DFE3CB0"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Note, “Court Treatment of General Recidivist Statutes,” </w:t>
      </w:r>
      <w:r w:rsidRPr="00542E39">
        <w:rPr>
          <w:i/>
          <w:sz w:val="20"/>
          <w:szCs w:val="20"/>
        </w:rPr>
        <w:t>Columbia Law Review</w:t>
      </w:r>
      <w:r w:rsidRPr="00542E39">
        <w:rPr>
          <w:sz w:val="20"/>
          <w:szCs w:val="20"/>
        </w:rPr>
        <w:t xml:space="preserve"> 48.238 (1948).  </w:t>
      </w:r>
    </w:p>
  </w:footnote>
  <w:footnote w:id="33">
    <w:p w14:paraId="2F0246A2" w14:textId="0478A047"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“New York State Crime Commission Report” (Albany: JB Lyon, 1927), 13-17. </w:t>
      </w:r>
    </w:p>
  </w:footnote>
  <w:footnote w:id="34">
    <w:p w14:paraId="590B6851" w14:textId="58161BF4"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The states were aggregated from: Paul W. Tappan, “Habitual Offender Laws in the United States,” </w:t>
      </w:r>
      <w:r w:rsidRPr="00542E39">
        <w:rPr>
          <w:i/>
          <w:sz w:val="20"/>
          <w:szCs w:val="20"/>
        </w:rPr>
        <w:t>Federal Probation</w:t>
      </w:r>
      <w:r w:rsidRPr="00542E39">
        <w:rPr>
          <w:sz w:val="20"/>
          <w:szCs w:val="20"/>
        </w:rPr>
        <w:t xml:space="preserve"> 13 (March, 1949): 28-31; and “Court Treatment” (1948). The 29 authorizing life sentences: NY, MI, NV, ID, IN, VT, WA, CO, TX, MO, SD, NJ, OH, CA, FL, NM, VA, LA, UT, WV, KY, KS, MN, ND, PA, WY, IL, OR, and TN (varied in whether they authorized it on the 2</w:t>
      </w:r>
      <w:r w:rsidRPr="00542E39">
        <w:rPr>
          <w:sz w:val="20"/>
          <w:szCs w:val="20"/>
          <w:vertAlign w:val="superscript"/>
        </w:rPr>
        <w:t>nd</w:t>
      </w:r>
      <w:r w:rsidRPr="00542E39">
        <w:rPr>
          <w:sz w:val="20"/>
          <w:szCs w:val="20"/>
        </w:rPr>
        <w:t>, 3</w:t>
      </w:r>
      <w:r w:rsidRPr="00542E39">
        <w:rPr>
          <w:sz w:val="20"/>
          <w:szCs w:val="20"/>
          <w:vertAlign w:val="superscript"/>
        </w:rPr>
        <w:t>rd</w:t>
      </w:r>
      <w:r w:rsidRPr="00542E39">
        <w:rPr>
          <w:sz w:val="20"/>
          <w:szCs w:val="20"/>
        </w:rPr>
        <w:t>, or 4</w:t>
      </w:r>
      <w:r w:rsidRPr="00542E39">
        <w:rPr>
          <w:sz w:val="20"/>
          <w:szCs w:val="20"/>
          <w:vertAlign w:val="superscript"/>
        </w:rPr>
        <w:t>th</w:t>
      </w:r>
      <w:r w:rsidRPr="00542E39">
        <w:rPr>
          <w:sz w:val="20"/>
          <w:szCs w:val="20"/>
        </w:rPr>
        <w:t xml:space="preserve"> felony). AL, CT, DC, GA, IA, MA, NE, NH, RI, and WI did not authorize life sentences but increased sentences with the number of convictions. There were some discrepancies between the articles on the details of each law, and my own analysis of what laws I have been able to find indicate both authors made a few mistakes (for which I have made corrections), but I have not yet confirmed the details of every law.</w:t>
      </w:r>
    </w:p>
  </w:footnote>
  <w:footnote w:id="35">
    <w:p w14:paraId="30EED0C4" w14:textId="0A2CE9BD" w:rsidR="00090FE8" w:rsidRPr="00542E39" w:rsidRDefault="00090FE8" w:rsidP="001A6058">
      <w:pPr>
        <w:pStyle w:val="FootnoteText"/>
        <w:rPr>
          <w:sz w:val="20"/>
          <w:szCs w:val="20"/>
        </w:rPr>
      </w:pPr>
      <w:r w:rsidRPr="00542E39">
        <w:rPr>
          <w:rStyle w:val="FootnoteReference"/>
          <w:sz w:val="20"/>
          <w:szCs w:val="20"/>
        </w:rPr>
        <w:footnoteRef/>
      </w:r>
      <w:r w:rsidRPr="00542E39">
        <w:rPr>
          <w:sz w:val="20"/>
          <w:szCs w:val="20"/>
        </w:rPr>
        <w:t xml:space="preserve"> Tappan suggests they were used more frequently than “Court Treatment.”</w:t>
      </w:r>
    </w:p>
  </w:footnote>
  <w:footnote w:id="36">
    <w:p w14:paraId="08C19536" w14:textId="12614F0F"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Todd DePastino, </w:t>
      </w:r>
      <w:r w:rsidRPr="00542E39">
        <w:rPr>
          <w:i/>
          <w:sz w:val="20"/>
          <w:szCs w:val="20"/>
        </w:rPr>
        <w:t>Citizen Hobo: How A Century of Homelessness Shaped America</w:t>
      </w:r>
      <w:r w:rsidRPr="00542E39">
        <w:rPr>
          <w:sz w:val="20"/>
          <w:szCs w:val="20"/>
        </w:rPr>
        <w:t xml:space="preserve"> (Chicago: University of Chicago, 2003); Paul T. Ringenbach, </w:t>
      </w:r>
      <w:r w:rsidRPr="00542E39">
        <w:rPr>
          <w:i/>
          <w:sz w:val="20"/>
          <w:szCs w:val="20"/>
        </w:rPr>
        <w:t>Tramps and Reformers, 1873-1916: The Discovery of Unemployment in New York</w:t>
      </w:r>
      <w:r w:rsidRPr="00542E39">
        <w:rPr>
          <w:sz w:val="20"/>
          <w:szCs w:val="20"/>
        </w:rPr>
        <w:t xml:space="preserve"> (Westport: Greenwood Press, 1973).</w:t>
      </w:r>
    </w:p>
  </w:footnote>
  <w:footnote w:id="37">
    <w:p w14:paraId="04AE3ED2" w14:textId="77777777" w:rsidR="00090FE8" w:rsidRPr="00542E39" w:rsidRDefault="00090FE8" w:rsidP="000D3512">
      <w:pPr>
        <w:pStyle w:val="FootnoteText"/>
        <w:rPr>
          <w:sz w:val="20"/>
          <w:szCs w:val="20"/>
        </w:rPr>
      </w:pPr>
      <w:r w:rsidRPr="00542E39">
        <w:rPr>
          <w:rStyle w:val="FootnoteReference"/>
          <w:sz w:val="20"/>
          <w:szCs w:val="20"/>
        </w:rPr>
        <w:footnoteRef/>
      </w:r>
      <w:r w:rsidRPr="00542E39">
        <w:rPr>
          <w:sz w:val="20"/>
          <w:szCs w:val="20"/>
        </w:rPr>
        <w:t xml:space="preserve"> Richard L. Dugdale, </w:t>
      </w:r>
      <w:r w:rsidRPr="00542E39">
        <w:rPr>
          <w:i/>
          <w:sz w:val="20"/>
          <w:szCs w:val="20"/>
        </w:rPr>
        <w:t>The Jukes: A Study in Crime, Pauperism, Disease, and Heredity</w:t>
      </w:r>
      <w:r w:rsidRPr="00542E39">
        <w:rPr>
          <w:sz w:val="20"/>
          <w:szCs w:val="20"/>
        </w:rPr>
        <w:t xml:space="preserve"> (New York: G.P. Putnam’s Sons, 1877), 110, 114-115; Richard Dugdale, “Hereditary Pauperism,” Conference of Boards of Public Charities, </w:t>
      </w:r>
      <w:r w:rsidRPr="00542E39">
        <w:rPr>
          <w:i/>
          <w:sz w:val="20"/>
          <w:szCs w:val="20"/>
        </w:rPr>
        <w:t>Proceedings</w:t>
      </w:r>
      <w:r w:rsidRPr="00542E39">
        <w:rPr>
          <w:sz w:val="20"/>
          <w:szCs w:val="20"/>
        </w:rPr>
        <w:t xml:space="preserve"> (1877), 81.</w:t>
      </w:r>
    </w:p>
  </w:footnote>
  <w:footnote w:id="38">
    <w:p w14:paraId="08ACF1A2" w14:textId="77777777" w:rsidR="00090FE8" w:rsidRPr="00542E39" w:rsidRDefault="00090FE8" w:rsidP="000D3512">
      <w:pPr>
        <w:pStyle w:val="FootnoteText"/>
        <w:rPr>
          <w:sz w:val="20"/>
          <w:szCs w:val="20"/>
        </w:rPr>
      </w:pPr>
      <w:r w:rsidRPr="00542E39">
        <w:rPr>
          <w:rStyle w:val="FootnoteReference"/>
          <w:sz w:val="20"/>
          <w:szCs w:val="20"/>
        </w:rPr>
        <w:footnoteRef/>
      </w:r>
      <w:r w:rsidRPr="00542E39">
        <w:rPr>
          <w:sz w:val="20"/>
          <w:szCs w:val="20"/>
        </w:rPr>
        <w:t xml:space="preserve"> Francis Wayland, “A Paper on Tramps Read at the Saratoga Meeting of the American Social Science Association Before the Conference of State Charities” September 6, 1877 in </w:t>
      </w:r>
      <w:r w:rsidRPr="00542E39">
        <w:rPr>
          <w:i/>
          <w:sz w:val="20"/>
          <w:szCs w:val="20"/>
        </w:rPr>
        <w:t>Proceedings of the Fourth Annual Conference of Charities</w:t>
      </w:r>
      <w:r w:rsidRPr="00542E39">
        <w:rPr>
          <w:sz w:val="20"/>
          <w:szCs w:val="20"/>
        </w:rPr>
        <w:t xml:space="preserve"> (New Haven 1877), 10, 13, 16. </w:t>
      </w:r>
    </w:p>
  </w:footnote>
  <w:footnote w:id="39">
    <w:p w14:paraId="6DBE7BA3" w14:textId="77777777" w:rsidR="00090FE8" w:rsidRPr="00542E39" w:rsidRDefault="00090FE8" w:rsidP="000D3512">
      <w:pPr>
        <w:pStyle w:val="FootnoteText"/>
        <w:rPr>
          <w:sz w:val="20"/>
          <w:szCs w:val="20"/>
        </w:rPr>
      </w:pPr>
      <w:r w:rsidRPr="00542E39">
        <w:rPr>
          <w:rStyle w:val="FootnoteReference"/>
          <w:sz w:val="20"/>
          <w:szCs w:val="20"/>
        </w:rPr>
        <w:footnoteRef/>
      </w:r>
      <w:r w:rsidRPr="00542E39">
        <w:rPr>
          <w:sz w:val="20"/>
          <w:szCs w:val="20"/>
        </w:rPr>
        <w:t xml:space="preserve"> Conference of Boards of Public Charities, </w:t>
      </w:r>
      <w:r w:rsidRPr="00542E39">
        <w:rPr>
          <w:i/>
          <w:sz w:val="20"/>
          <w:szCs w:val="20"/>
        </w:rPr>
        <w:t>Proceedings</w:t>
      </w:r>
      <w:r w:rsidRPr="00542E39">
        <w:rPr>
          <w:sz w:val="20"/>
          <w:szCs w:val="20"/>
        </w:rPr>
        <w:t xml:space="preserve"> (1877), xxiii, 106; Ringenbach, </w:t>
      </w:r>
      <w:r w:rsidRPr="00542E39">
        <w:rPr>
          <w:i/>
          <w:sz w:val="20"/>
          <w:szCs w:val="20"/>
        </w:rPr>
        <w:t>Tramps and Reformers,</w:t>
      </w:r>
      <w:r w:rsidRPr="00542E39">
        <w:rPr>
          <w:sz w:val="20"/>
          <w:szCs w:val="20"/>
        </w:rPr>
        <w:t xml:space="preserve"> 16-17. </w:t>
      </w:r>
    </w:p>
  </w:footnote>
  <w:footnote w:id="40">
    <w:p w14:paraId="1061765B" w14:textId="706CBC6E" w:rsidR="00090FE8" w:rsidRPr="00542E39" w:rsidRDefault="00090FE8" w:rsidP="001E7854">
      <w:pPr>
        <w:pStyle w:val="FootnoteText"/>
        <w:rPr>
          <w:sz w:val="20"/>
          <w:szCs w:val="20"/>
        </w:rPr>
      </w:pPr>
      <w:r w:rsidRPr="00542E39">
        <w:rPr>
          <w:rStyle w:val="FootnoteReference"/>
          <w:sz w:val="20"/>
          <w:szCs w:val="20"/>
        </w:rPr>
        <w:footnoteRef/>
      </w:r>
      <w:r w:rsidRPr="00542E39">
        <w:rPr>
          <w:sz w:val="20"/>
          <w:szCs w:val="20"/>
        </w:rPr>
        <w:t xml:space="preserve"> Brockway, “Crime,” 78; Brockway, “The Reformatory System,” 26 regarding property crimes.</w:t>
      </w:r>
    </w:p>
  </w:footnote>
  <w:footnote w:id="41">
    <w:p w14:paraId="06063A88" w14:textId="77777777" w:rsidR="00090FE8" w:rsidRPr="00542E39" w:rsidRDefault="00090FE8" w:rsidP="001E7854">
      <w:pPr>
        <w:pStyle w:val="FootnoteText"/>
        <w:rPr>
          <w:sz w:val="20"/>
          <w:szCs w:val="20"/>
        </w:rPr>
      </w:pPr>
      <w:r w:rsidRPr="00542E39">
        <w:rPr>
          <w:rStyle w:val="FootnoteReference"/>
          <w:sz w:val="20"/>
          <w:szCs w:val="20"/>
        </w:rPr>
        <w:footnoteRef/>
      </w:r>
      <w:r w:rsidRPr="00542E39">
        <w:rPr>
          <w:sz w:val="20"/>
          <w:szCs w:val="20"/>
        </w:rPr>
        <w:t xml:space="preserve"> Boies, </w:t>
      </w:r>
      <w:r w:rsidRPr="00542E39">
        <w:rPr>
          <w:i/>
          <w:sz w:val="20"/>
          <w:szCs w:val="20"/>
        </w:rPr>
        <w:t>Prisoners and Paupers,</w:t>
      </w:r>
      <w:r w:rsidRPr="00542E39">
        <w:rPr>
          <w:sz w:val="20"/>
          <w:szCs w:val="20"/>
        </w:rPr>
        <w:t xml:space="preserve"> 206-210.</w:t>
      </w:r>
    </w:p>
  </w:footnote>
  <w:footnote w:id="42">
    <w:p w14:paraId="38003319" w14:textId="23399134" w:rsidR="00090FE8" w:rsidRPr="00542E39" w:rsidRDefault="00090FE8" w:rsidP="001E7854">
      <w:pPr>
        <w:pStyle w:val="FootnoteText"/>
        <w:rPr>
          <w:sz w:val="20"/>
          <w:szCs w:val="20"/>
        </w:rPr>
      </w:pPr>
      <w:r w:rsidRPr="00542E39">
        <w:rPr>
          <w:rStyle w:val="FootnoteReference"/>
          <w:sz w:val="20"/>
          <w:szCs w:val="20"/>
        </w:rPr>
        <w:footnoteRef/>
      </w:r>
      <w:r w:rsidRPr="00542E39">
        <w:rPr>
          <w:sz w:val="20"/>
          <w:szCs w:val="20"/>
        </w:rPr>
        <w:t xml:space="preserve"> Lydston, </w:t>
      </w:r>
      <w:r w:rsidRPr="00542E39">
        <w:rPr>
          <w:i/>
          <w:sz w:val="20"/>
          <w:szCs w:val="20"/>
        </w:rPr>
        <w:t>The Diseases of Society,</w:t>
      </w:r>
      <w:r w:rsidRPr="00542E39">
        <w:rPr>
          <w:sz w:val="20"/>
          <w:szCs w:val="20"/>
        </w:rPr>
        <w:t xml:space="preserve"> 528 on similar frontal and temporal defects in tramps and petty thieves.</w:t>
      </w:r>
    </w:p>
  </w:footnote>
  <w:footnote w:id="43">
    <w:p w14:paraId="59C3163F" w14:textId="4CC257AB"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Harry Millis, “The Law Affecting Immigrants and Tramps.” </w:t>
      </w:r>
      <w:r w:rsidRPr="00542E39">
        <w:rPr>
          <w:i/>
          <w:sz w:val="20"/>
          <w:szCs w:val="20"/>
        </w:rPr>
        <w:t>Charities Review</w:t>
      </w:r>
      <w:r w:rsidRPr="00542E39">
        <w:rPr>
          <w:sz w:val="20"/>
          <w:szCs w:val="20"/>
        </w:rPr>
        <w:t xml:space="preserve"> 7 (Sept. 1897): 587-594. Not every state used prison as a first resort; some fined tramps, which usually resulted in prison sentences.</w:t>
      </w:r>
    </w:p>
  </w:footnote>
  <w:footnote w:id="44">
    <w:p w14:paraId="045880C2" w14:textId="1857C5CE"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David Montgomery, </w:t>
      </w:r>
      <w:r w:rsidRPr="00542E39">
        <w:rPr>
          <w:i/>
          <w:sz w:val="20"/>
          <w:szCs w:val="20"/>
        </w:rPr>
        <w:t>Citizen Worker: The Experience of Workers in the United States with Democracy and the Free Market during the Nineteenth Century</w:t>
      </w:r>
      <w:r w:rsidRPr="00542E39">
        <w:rPr>
          <w:sz w:val="20"/>
          <w:szCs w:val="20"/>
        </w:rPr>
        <w:t xml:space="preserve"> (New York: Cambridge, University Press, 1993), 86-7.</w:t>
      </w:r>
    </w:p>
  </w:footnote>
  <w:footnote w:id="45">
    <w:p w14:paraId="7CEB8B5B" w14:textId="0E4368DF" w:rsidR="00090FE8" w:rsidRPr="00542E39" w:rsidRDefault="00090FE8" w:rsidP="006E30B6">
      <w:pPr>
        <w:pStyle w:val="FootnoteText"/>
        <w:rPr>
          <w:sz w:val="20"/>
          <w:szCs w:val="20"/>
        </w:rPr>
      </w:pPr>
      <w:r w:rsidRPr="00542E39">
        <w:rPr>
          <w:rStyle w:val="FootnoteReference"/>
          <w:sz w:val="20"/>
          <w:szCs w:val="20"/>
        </w:rPr>
        <w:footnoteRef/>
      </w:r>
      <w:r w:rsidRPr="00542E39">
        <w:rPr>
          <w:sz w:val="20"/>
          <w:szCs w:val="20"/>
        </w:rPr>
        <w:t xml:space="preserve"> Eric Monkonnen, “History of Urban Police,” </w:t>
      </w:r>
      <w:r w:rsidRPr="00542E39">
        <w:rPr>
          <w:i/>
          <w:sz w:val="20"/>
          <w:szCs w:val="20"/>
        </w:rPr>
        <w:t>Crime and Justice</w:t>
      </w:r>
      <w:r w:rsidRPr="00542E39">
        <w:rPr>
          <w:sz w:val="20"/>
          <w:szCs w:val="20"/>
        </w:rPr>
        <w:t xml:space="preserve"> 15 (1992): 553-559; Roger Lane, “Urban Police and Crime in Nineteenth-Century America,” in </w:t>
      </w:r>
      <w:r w:rsidRPr="00542E39">
        <w:rPr>
          <w:i/>
          <w:sz w:val="20"/>
          <w:szCs w:val="20"/>
        </w:rPr>
        <w:t>Crime and Justice: A</w:t>
      </w:r>
      <w:r w:rsidRPr="00542E39">
        <w:rPr>
          <w:sz w:val="20"/>
          <w:szCs w:val="20"/>
        </w:rPr>
        <w:t xml:space="preserve"> </w:t>
      </w:r>
      <w:r w:rsidRPr="00542E39">
        <w:rPr>
          <w:i/>
          <w:sz w:val="20"/>
          <w:szCs w:val="20"/>
        </w:rPr>
        <w:t>Review of Research,</w:t>
      </w:r>
      <w:r w:rsidRPr="00542E39">
        <w:rPr>
          <w:sz w:val="20"/>
          <w:szCs w:val="20"/>
        </w:rPr>
        <w:t xml:space="preserve"> vol. 15, eds. Michael Tonry and Norval Morris (Chicago: University of Chicago Press, 1992), 20; DePastino, </w:t>
      </w:r>
      <w:r w:rsidRPr="00542E39">
        <w:rPr>
          <w:i/>
          <w:sz w:val="20"/>
          <w:szCs w:val="20"/>
        </w:rPr>
        <w:t>Citizen Hobo,</w:t>
      </w:r>
      <w:r w:rsidRPr="00542E39">
        <w:rPr>
          <w:sz w:val="20"/>
          <w:szCs w:val="20"/>
        </w:rPr>
        <w:t xml:space="preserve"> 12; Ringenbach, </w:t>
      </w:r>
      <w:r w:rsidRPr="00542E39">
        <w:rPr>
          <w:i/>
          <w:sz w:val="20"/>
          <w:szCs w:val="20"/>
        </w:rPr>
        <w:t xml:space="preserve">Tramps and Reformers, </w:t>
      </w:r>
      <w:r w:rsidRPr="00542E39">
        <w:rPr>
          <w:sz w:val="20"/>
          <w:szCs w:val="20"/>
        </w:rPr>
        <w:t xml:space="preserve">10; Statement of Benjamin H. Bristow before the American Bar Association, </w:t>
      </w:r>
      <w:r w:rsidRPr="00542E39">
        <w:rPr>
          <w:i/>
          <w:sz w:val="20"/>
          <w:szCs w:val="20"/>
        </w:rPr>
        <w:t>Annual Report: Including Proceedings of the Annual Meeting,</w:t>
      </w:r>
      <w:r w:rsidRPr="00542E39">
        <w:rPr>
          <w:sz w:val="20"/>
          <w:szCs w:val="20"/>
        </w:rPr>
        <w:t xml:space="preserve"> Vol. 3 (Philadelphia: EC Markley and Son, 1880), 100-102; </w:t>
      </w:r>
      <w:r w:rsidRPr="00542E39">
        <w:rPr>
          <w:i/>
          <w:sz w:val="20"/>
          <w:szCs w:val="20"/>
        </w:rPr>
        <w:t>Acts of the One Hundredth Legislatures, of the State of New Jersey</w:t>
      </w:r>
      <w:r w:rsidRPr="00542E39">
        <w:rPr>
          <w:sz w:val="20"/>
          <w:szCs w:val="20"/>
        </w:rPr>
        <w:t xml:space="preserve"> (Paterson: Chiswell and Wurts, 1876),  “An Act to define and suppress tramps” Ch. CXXVI, General Public Laws, 218-220; </w:t>
      </w:r>
      <w:r w:rsidRPr="00542E39">
        <w:rPr>
          <w:i/>
          <w:sz w:val="20"/>
          <w:szCs w:val="20"/>
        </w:rPr>
        <w:t>The Public Statutes of the Commonwealth of Massachusetts, enacted Nov. 19, 1880, to take effect Feb. 1, 1882</w:t>
      </w:r>
      <w:r w:rsidRPr="00542E39">
        <w:rPr>
          <w:sz w:val="20"/>
          <w:szCs w:val="20"/>
        </w:rPr>
        <w:t xml:space="preserve"> (Boston, 1883), ch. 207, 1169-1170. For more on MA, see Alexander Keyssar, </w:t>
      </w:r>
      <w:r w:rsidRPr="00542E39">
        <w:rPr>
          <w:i/>
          <w:sz w:val="20"/>
          <w:szCs w:val="20"/>
        </w:rPr>
        <w:t xml:space="preserve">Out of Work: The First Century of Unemployment in Massachusetts </w:t>
      </w:r>
      <w:r w:rsidRPr="00542E39">
        <w:rPr>
          <w:sz w:val="20"/>
          <w:szCs w:val="20"/>
        </w:rPr>
        <w:t>(New York: Cambridge University Press, 1986)</w:t>
      </w:r>
      <w:r w:rsidRPr="00542E39">
        <w:rPr>
          <w:i/>
          <w:sz w:val="20"/>
          <w:szCs w:val="20"/>
        </w:rPr>
        <w:t>,</w:t>
      </w:r>
      <w:r w:rsidRPr="00542E39">
        <w:rPr>
          <w:sz w:val="20"/>
          <w:szCs w:val="20"/>
        </w:rPr>
        <w:t xml:space="preserve"> 135-137. </w:t>
      </w:r>
    </w:p>
  </w:footnote>
  <w:footnote w:id="46">
    <w:p w14:paraId="5F7CF919" w14:textId="4B1AF3F9" w:rsidR="00090FE8" w:rsidRPr="00542E39" w:rsidRDefault="00090FE8" w:rsidP="00E45850">
      <w:pPr>
        <w:rPr>
          <w:sz w:val="20"/>
          <w:szCs w:val="20"/>
        </w:rPr>
      </w:pPr>
      <w:r w:rsidRPr="00542E39">
        <w:rPr>
          <w:rStyle w:val="FootnoteReference"/>
          <w:sz w:val="20"/>
          <w:szCs w:val="20"/>
        </w:rPr>
        <w:footnoteRef/>
      </w:r>
      <w:r w:rsidRPr="00542E39">
        <w:rPr>
          <w:sz w:val="20"/>
          <w:szCs w:val="20"/>
        </w:rPr>
        <w:t xml:space="preserve"> “Vagrancy Laws,” </w:t>
      </w:r>
      <w:r w:rsidRPr="00542E39">
        <w:rPr>
          <w:i/>
          <w:sz w:val="20"/>
          <w:szCs w:val="20"/>
        </w:rPr>
        <w:t xml:space="preserve">Chicago Tribune </w:t>
      </w:r>
      <w:r w:rsidRPr="00542E39">
        <w:rPr>
          <w:sz w:val="20"/>
          <w:szCs w:val="20"/>
        </w:rPr>
        <w:t xml:space="preserve">Mar 8, 1877, 4 for quote; “The Convict Camps of Alabama and the Vagrancy Law of Michigan,” </w:t>
      </w:r>
      <w:r w:rsidRPr="00542E39">
        <w:rPr>
          <w:i/>
          <w:sz w:val="20"/>
          <w:szCs w:val="20"/>
        </w:rPr>
        <w:t>Chicago Daily Tribune</w:t>
      </w:r>
      <w:r w:rsidRPr="00542E39">
        <w:rPr>
          <w:sz w:val="20"/>
          <w:szCs w:val="20"/>
        </w:rPr>
        <w:t xml:space="preserve"> Feb 8, 1883, 11; “A Stringent Anti-vagrant Act Passed,” </w:t>
      </w:r>
      <w:r w:rsidRPr="00542E39">
        <w:rPr>
          <w:i/>
          <w:sz w:val="20"/>
          <w:szCs w:val="20"/>
        </w:rPr>
        <w:t>Los Angeles Times</w:t>
      </w:r>
      <w:r w:rsidRPr="00542E39">
        <w:rPr>
          <w:sz w:val="20"/>
          <w:szCs w:val="20"/>
        </w:rPr>
        <w:t xml:space="preserve"> Feb 6, 1891, 1; “The Tramp Problem,” </w:t>
      </w:r>
      <w:r w:rsidRPr="00542E39">
        <w:rPr>
          <w:i/>
          <w:sz w:val="20"/>
          <w:szCs w:val="20"/>
        </w:rPr>
        <w:t>Chicago Daily Tribune</w:t>
      </w:r>
      <w:r w:rsidRPr="00542E39">
        <w:rPr>
          <w:sz w:val="20"/>
          <w:szCs w:val="20"/>
        </w:rPr>
        <w:t xml:space="preserve"> May 11, 1894, 6; “Protection Against Tramps,” </w:t>
      </w:r>
      <w:r w:rsidRPr="00542E39">
        <w:rPr>
          <w:i/>
          <w:sz w:val="20"/>
          <w:szCs w:val="20"/>
        </w:rPr>
        <w:t>Chicago Daily Tribune,</w:t>
      </w:r>
      <w:r w:rsidRPr="00542E39">
        <w:rPr>
          <w:sz w:val="20"/>
          <w:szCs w:val="20"/>
        </w:rPr>
        <w:t xml:space="preserve"> July 12 1877, p 8.</w:t>
      </w:r>
    </w:p>
  </w:footnote>
  <w:footnote w:id="47">
    <w:p w14:paraId="7EF4F0A7" w14:textId="27865911" w:rsidR="00090FE8" w:rsidRPr="00542E39" w:rsidRDefault="00090FE8" w:rsidP="00BC396A">
      <w:pPr>
        <w:rPr>
          <w:sz w:val="20"/>
          <w:szCs w:val="20"/>
        </w:rPr>
      </w:pPr>
      <w:r w:rsidRPr="00542E39">
        <w:rPr>
          <w:rStyle w:val="FootnoteReference"/>
          <w:sz w:val="20"/>
          <w:szCs w:val="20"/>
        </w:rPr>
        <w:footnoteRef/>
      </w:r>
      <w:r w:rsidRPr="00542E39">
        <w:rPr>
          <w:sz w:val="20"/>
          <w:szCs w:val="20"/>
        </w:rPr>
        <w:t xml:space="preserve"> Charles Benedict Davenport, </w:t>
      </w:r>
      <w:r w:rsidRPr="00542E39">
        <w:rPr>
          <w:i/>
          <w:sz w:val="20"/>
          <w:szCs w:val="20"/>
        </w:rPr>
        <w:t>Heredity in Relation to Eugenics</w:t>
      </w:r>
      <w:r w:rsidRPr="00542E39">
        <w:rPr>
          <w:sz w:val="20"/>
          <w:szCs w:val="20"/>
        </w:rPr>
        <w:t xml:space="preserve"> (New York: Henry Holt and Company, 1913), 83-92, 261, 266. </w:t>
      </w:r>
    </w:p>
  </w:footnote>
  <w:footnote w:id="48">
    <w:p w14:paraId="11DBB646" w14:textId="286759A1"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Edwin Black, </w:t>
      </w:r>
      <w:r w:rsidRPr="00542E39">
        <w:rPr>
          <w:i/>
          <w:sz w:val="20"/>
          <w:szCs w:val="20"/>
        </w:rPr>
        <w:t>War Against the Weak: Eugenics and America’s Campaign to Create a Master Race</w:t>
      </w:r>
      <w:r w:rsidRPr="00542E39">
        <w:rPr>
          <w:sz w:val="20"/>
          <w:szCs w:val="20"/>
        </w:rPr>
        <w:t xml:space="preserve"> (Washington, DC: Dialog Press, 2003), esp. 39-60; MacDonald, </w:t>
      </w:r>
      <w:r w:rsidRPr="00542E39">
        <w:rPr>
          <w:i/>
          <w:sz w:val="20"/>
          <w:szCs w:val="20"/>
        </w:rPr>
        <w:t>Criminology</w:t>
      </w:r>
      <w:r w:rsidRPr="00542E39">
        <w:rPr>
          <w:sz w:val="20"/>
          <w:szCs w:val="20"/>
        </w:rPr>
        <w:t xml:space="preserve">, 269-270; Lydston, </w:t>
      </w:r>
      <w:r w:rsidRPr="00542E39">
        <w:rPr>
          <w:i/>
          <w:sz w:val="20"/>
          <w:szCs w:val="20"/>
        </w:rPr>
        <w:t>The Diseases of Society</w:t>
      </w:r>
      <w:r w:rsidRPr="00542E39">
        <w:rPr>
          <w:sz w:val="20"/>
          <w:szCs w:val="20"/>
        </w:rPr>
        <w:t>, 562-568.</w:t>
      </w:r>
    </w:p>
  </w:footnote>
  <w:footnote w:id="49">
    <w:p w14:paraId="3550F5AE" w14:textId="333E342B" w:rsidR="00090FE8" w:rsidRPr="00542E39" w:rsidRDefault="00090FE8" w:rsidP="00BC396A">
      <w:pPr>
        <w:rPr>
          <w:sz w:val="20"/>
          <w:szCs w:val="20"/>
        </w:rPr>
      </w:pPr>
      <w:r w:rsidRPr="00542E39">
        <w:rPr>
          <w:rStyle w:val="FootnoteReference"/>
          <w:sz w:val="20"/>
          <w:szCs w:val="20"/>
        </w:rPr>
        <w:footnoteRef/>
      </w:r>
      <w:r w:rsidRPr="00542E39">
        <w:rPr>
          <w:sz w:val="20"/>
          <w:szCs w:val="20"/>
        </w:rPr>
        <w:t xml:space="preserve"> Harry Sharp, </w:t>
      </w:r>
      <w:r w:rsidRPr="00542E39">
        <w:rPr>
          <w:i/>
          <w:sz w:val="20"/>
          <w:szCs w:val="20"/>
        </w:rPr>
        <w:t>The Sterilization of Degenerates</w:t>
      </w:r>
      <w:r w:rsidRPr="00542E39">
        <w:rPr>
          <w:sz w:val="20"/>
          <w:szCs w:val="20"/>
        </w:rPr>
        <w:t xml:space="preserve"> (Indiana Reformatory: 1909); Harry Sharp, </w:t>
      </w:r>
      <w:r w:rsidRPr="00542E39">
        <w:rPr>
          <w:i/>
          <w:sz w:val="20"/>
          <w:szCs w:val="20"/>
        </w:rPr>
        <w:t>Vasectomy: A Means of Preventing Defective Procreation</w:t>
      </w:r>
      <w:r w:rsidRPr="00542E39">
        <w:rPr>
          <w:sz w:val="20"/>
          <w:szCs w:val="20"/>
        </w:rPr>
        <w:t xml:space="preserve"> (Indiana Reformatory: 1909), 4-5 for Lombroso reference.</w:t>
      </w:r>
    </w:p>
  </w:footnote>
  <w:footnote w:id="50">
    <w:p w14:paraId="4685E042" w14:textId="4657EE8F" w:rsidR="00090FE8" w:rsidRPr="00BE0169" w:rsidRDefault="00090FE8" w:rsidP="00DD18AA">
      <w:pPr>
        <w:rPr>
          <w:sz w:val="20"/>
          <w:szCs w:val="20"/>
        </w:rPr>
      </w:pPr>
      <w:r w:rsidRPr="00542E39">
        <w:rPr>
          <w:rStyle w:val="FootnoteReference"/>
          <w:sz w:val="20"/>
          <w:szCs w:val="20"/>
        </w:rPr>
        <w:footnoteRef/>
      </w:r>
      <w:r w:rsidRPr="00542E39">
        <w:rPr>
          <w:sz w:val="20"/>
          <w:szCs w:val="20"/>
        </w:rPr>
        <w:t xml:space="preserve"> Martin W. Barr, </w:t>
      </w:r>
      <w:r w:rsidRPr="00542E39">
        <w:rPr>
          <w:i/>
          <w:sz w:val="20"/>
          <w:szCs w:val="20"/>
        </w:rPr>
        <w:t>Mental Defectives: Their History, Treatment and Training</w:t>
      </w:r>
      <w:r w:rsidRPr="00542E39">
        <w:rPr>
          <w:sz w:val="20"/>
          <w:szCs w:val="20"/>
        </w:rPr>
        <w:t xml:space="preserve"> (Philadelphia: P. Blakiston’s Son and Co., 1904), 191.</w:t>
      </w:r>
      <w:r>
        <w:rPr>
          <w:sz w:val="20"/>
          <w:szCs w:val="20"/>
        </w:rPr>
        <w:t xml:space="preserve"> See last pages of Sharp, </w:t>
      </w:r>
      <w:r>
        <w:rPr>
          <w:i/>
          <w:sz w:val="20"/>
          <w:szCs w:val="20"/>
        </w:rPr>
        <w:t>Vasectomy</w:t>
      </w:r>
      <w:r>
        <w:rPr>
          <w:sz w:val="20"/>
          <w:szCs w:val="20"/>
        </w:rPr>
        <w:t xml:space="preserve"> (1909) for quotes from other doctors.</w:t>
      </w:r>
    </w:p>
  </w:footnote>
  <w:footnote w:id="51">
    <w:p w14:paraId="1C7BE1C2" w14:textId="42441620" w:rsidR="00090FE8" w:rsidRPr="00542E39" w:rsidRDefault="00090FE8" w:rsidP="00D51B63">
      <w:pPr>
        <w:rPr>
          <w:sz w:val="20"/>
          <w:szCs w:val="20"/>
        </w:rPr>
      </w:pPr>
      <w:r w:rsidRPr="00542E39">
        <w:rPr>
          <w:rStyle w:val="FootnoteReference"/>
          <w:sz w:val="20"/>
          <w:szCs w:val="20"/>
        </w:rPr>
        <w:footnoteRef/>
      </w:r>
      <w:r w:rsidRPr="00542E39">
        <w:rPr>
          <w:sz w:val="20"/>
          <w:szCs w:val="20"/>
        </w:rPr>
        <w:t xml:space="preserve"> Harry H. Laughlin, “Bulletin No. 10B Report to the Committee to Study and to Report on the Best Practical Means of Cutting off the Defective Germ-Plasm in the American Population: The Legal, Legislative, and Administrative Aspects of Sterilization,” </w:t>
      </w:r>
      <w:r w:rsidRPr="00542E39">
        <w:rPr>
          <w:i/>
          <w:sz w:val="20"/>
          <w:szCs w:val="20"/>
        </w:rPr>
        <w:t>Eugenics Record Office</w:t>
      </w:r>
      <w:r w:rsidRPr="00542E39">
        <w:rPr>
          <w:sz w:val="20"/>
          <w:szCs w:val="20"/>
        </w:rPr>
        <w:t xml:space="preserve"> (Cold Spring Harbor, Long Island, New York, 1914), 14-32; from Harry Hamilton Laughlin, </w:t>
      </w:r>
      <w:r w:rsidRPr="00542E39">
        <w:rPr>
          <w:i/>
          <w:sz w:val="20"/>
          <w:szCs w:val="20"/>
        </w:rPr>
        <w:t>Eugenical Sterilization in the United States</w:t>
      </w:r>
      <w:r w:rsidRPr="00542E39">
        <w:rPr>
          <w:sz w:val="20"/>
          <w:szCs w:val="20"/>
        </w:rPr>
        <w:t xml:space="preserve"> (Psychopathic Laboratory of the Municipal Court of Chicago: Chicago, 1922), 1-48.</w:t>
      </w:r>
    </w:p>
  </w:footnote>
  <w:footnote w:id="52">
    <w:p w14:paraId="7FFAC620" w14:textId="77777777" w:rsidR="00090FE8" w:rsidRPr="00542E39" w:rsidRDefault="00090FE8" w:rsidP="004806FD">
      <w:pPr>
        <w:pStyle w:val="FootnoteText"/>
        <w:rPr>
          <w:sz w:val="20"/>
          <w:szCs w:val="20"/>
        </w:rPr>
      </w:pPr>
      <w:r w:rsidRPr="00542E39">
        <w:rPr>
          <w:rStyle w:val="FootnoteReference"/>
          <w:sz w:val="20"/>
          <w:szCs w:val="20"/>
        </w:rPr>
        <w:footnoteRef/>
      </w:r>
      <w:r w:rsidRPr="00542E39">
        <w:rPr>
          <w:sz w:val="20"/>
          <w:szCs w:val="20"/>
        </w:rPr>
        <w:t xml:space="preserve"> </w:t>
      </w:r>
      <w:r w:rsidRPr="00542E39">
        <w:rPr>
          <w:i/>
          <w:sz w:val="20"/>
          <w:szCs w:val="20"/>
        </w:rPr>
        <w:t>Buck v. Bell</w:t>
      </w:r>
      <w:r w:rsidRPr="00542E39">
        <w:rPr>
          <w:sz w:val="20"/>
          <w:szCs w:val="20"/>
        </w:rPr>
        <w:t>, 274 U.S. 200 (1927).</w:t>
      </w:r>
    </w:p>
  </w:footnote>
  <w:footnote w:id="53">
    <w:p w14:paraId="528FAEAA" w14:textId="77777777" w:rsidR="00090FE8" w:rsidRPr="00542E39" w:rsidRDefault="00090FE8" w:rsidP="004806FD">
      <w:pPr>
        <w:pStyle w:val="FootnoteText"/>
        <w:rPr>
          <w:sz w:val="20"/>
          <w:szCs w:val="20"/>
        </w:rPr>
      </w:pPr>
      <w:r w:rsidRPr="00542E39">
        <w:rPr>
          <w:rStyle w:val="FootnoteReference"/>
          <w:sz w:val="20"/>
          <w:szCs w:val="20"/>
        </w:rPr>
        <w:footnoteRef/>
      </w:r>
      <w:r w:rsidRPr="00542E39">
        <w:rPr>
          <w:sz w:val="20"/>
          <w:szCs w:val="20"/>
        </w:rPr>
        <w:t xml:space="preserve"> Black, </w:t>
      </w:r>
      <w:r w:rsidRPr="00542E39">
        <w:rPr>
          <w:i/>
          <w:sz w:val="20"/>
          <w:szCs w:val="20"/>
        </w:rPr>
        <w:t>War Against the Weak,</w:t>
      </w:r>
      <w:r w:rsidRPr="00542E39">
        <w:rPr>
          <w:sz w:val="20"/>
          <w:szCs w:val="20"/>
        </w:rPr>
        <w:t xml:space="preserve"> 122-123. Rates calculated from the data provided here. </w:t>
      </w:r>
    </w:p>
  </w:footnote>
  <w:footnote w:id="54">
    <w:p w14:paraId="011E2CEE" w14:textId="2DE42832"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w:t>
      </w:r>
      <w:r w:rsidRPr="00542E39">
        <w:rPr>
          <w:i/>
          <w:sz w:val="20"/>
          <w:szCs w:val="20"/>
        </w:rPr>
        <w:t>California Statutes of 1909</w:t>
      </w:r>
      <w:r w:rsidRPr="00542E39">
        <w:rPr>
          <w:sz w:val="20"/>
          <w:szCs w:val="20"/>
        </w:rPr>
        <w:t xml:space="preserve">, Ch. 720, p. 1903; </w:t>
      </w:r>
      <w:r w:rsidRPr="00542E39">
        <w:rPr>
          <w:i/>
          <w:sz w:val="20"/>
          <w:szCs w:val="20"/>
        </w:rPr>
        <w:t>General Laws of Oregon, 1917</w:t>
      </w:r>
      <w:r w:rsidRPr="00542E39">
        <w:rPr>
          <w:sz w:val="20"/>
          <w:szCs w:val="20"/>
        </w:rPr>
        <w:t xml:space="preserve">, Ch. 279; </w:t>
      </w:r>
      <w:r w:rsidRPr="00542E39">
        <w:rPr>
          <w:i/>
          <w:sz w:val="20"/>
          <w:szCs w:val="20"/>
        </w:rPr>
        <w:t>Washington Statutes of 1909,</w:t>
      </w:r>
      <w:r w:rsidRPr="00542E39">
        <w:rPr>
          <w:sz w:val="20"/>
          <w:szCs w:val="20"/>
        </w:rPr>
        <w:t xml:space="preserve"> Ch. 249, sec. 35, p. 899; </w:t>
      </w:r>
      <w:r w:rsidRPr="00542E39">
        <w:rPr>
          <w:i/>
          <w:sz w:val="20"/>
          <w:szCs w:val="20"/>
        </w:rPr>
        <w:t>Acts of the Thirty-Fourth General Assembly of Iowa</w:t>
      </w:r>
      <w:r w:rsidRPr="00542E39">
        <w:rPr>
          <w:sz w:val="20"/>
          <w:szCs w:val="20"/>
        </w:rPr>
        <w:t xml:space="preserve"> (1911), Ch. 129; </w:t>
      </w:r>
      <w:r w:rsidRPr="00542E39">
        <w:rPr>
          <w:i/>
          <w:sz w:val="20"/>
          <w:szCs w:val="20"/>
        </w:rPr>
        <w:t>Statutes of the State of Nevada</w:t>
      </w:r>
      <w:r w:rsidRPr="00542E39">
        <w:rPr>
          <w:sz w:val="20"/>
          <w:szCs w:val="20"/>
        </w:rPr>
        <w:t xml:space="preserve">, 1911, Section 28 of the Crimes and Punishment Act; </w:t>
      </w:r>
      <w:r w:rsidRPr="00542E39">
        <w:rPr>
          <w:i/>
          <w:sz w:val="20"/>
          <w:szCs w:val="20"/>
        </w:rPr>
        <w:t>Kansas Session Laws of 1913,</w:t>
      </w:r>
      <w:r w:rsidRPr="00542E39">
        <w:rPr>
          <w:sz w:val="20"/>
          <w:szCs w:val="20"/>
        </w:rPr>
        <w:t xml:space="preserve"> Ch. 305, 525-526. Laws quoted in Laughlin (1914) and Laughlin (1922). </w:t>
      </w:r>
    </w:p>
  </w:footnote>
  <w:footnote w:id="55">
    <w:p w14:paraId="4EF4BEC3" w14:textId="5E817D96"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Black, </w:t>
      </w:r>
      <w:r w:rsidRPr="00542E39">
        <w:rPr>
          <w:i/>
          <w:sz w:val="20"/>
          <w:szCs w:val="20"/>
        </w:rPr>
        <w:t xml:space="preserve">War Against the Weak, </w:t>
      </w:r>
      <w:r w:rsidRPr="00542E39">
        <w:rPr>
          <w:sz w:val="20"/>
          <w:szCs w:val="20"/>
        </w:rPr>
        <w:t>65-69.</w:t>
      </w:r>
    </w:p>
  </w:footnote>
  <w:footnote w:id="56">
    <w:p w14:paraId="43C63B1F" w14:textId="448E20BD"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Pisciotta, </w:t>
      </w:r>
      <w:r w:rsidRPr="00542E39">
        <w:rPr>
          <w:i/>
          <w:sz w:val="20"/>
          <w:szCs w:val="20"/>
        </w:rPr>
        <w:t>Benevolent Repression,</w:t>
      </w:r>
      <w:r w:rsidRPr="00542E39">
        <w:rPr>
          <w:sz w:val="20"/>
          <w:szCs w:val="20"/>
        </w:rPr>
        <w:t xml:space="preserve"> 133-136; Joel D. Hunter, Chairman “Sterilization of Criminals: Report of Committee ‘F’ of the Institute,” </w:t>
      </w:r>
      <w:r w:rsidRPr="00542E39">
        <w:rPr>
          <w:i/>
          <w:sz w:val="20"/>
          <w:szCs w:val="20"/>
        </w:rPr>
        <w:t>Journal of the American Institute of Criminal Law and Criminology</w:t>
      </w:r>
      <w:r w:rsidRPr="00542E39">
        <w:rPr>
          <w:sz w:val="20"/>
          <w:szCs w:val="20"/>
        </w:rPr>
        <w:t xml:space="preserve"> 7.3 (September, 1916): 373-378.</w:t>
      </w:r>
    </w:p>
  </w:footnote>
  <w:footnote w:id="57">
    <w:p w14:paraId="55214F40" w14:textId="407EC208"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Rafter, </w:t>
      </w:r>
      <w:r w:rsidRPr="00542E39">
        <w:rPr>
          <w:i/>
          <w:sz w:val="20"/>
          <w:szCs w:val="20"/>
        </w:rPr>
        <w:t xml:space="preserve">Creating Born Criminals, </w:t>
      </w:r>
      <w:r w:rsidRPr="00542E39">
        <w:rPr>
          <w:sz w:val="20"/>
          <w:szCs w:val="20"/>
        </w:rPr>
        <w:t xml:space="preserve">55-72, 133-148; H.H. Goddard, </w:t>
      </w:r>
      <w:r w:rsidRPr="00542E39">
        <w:rPr>
          <w:i/>
          <w:sz w:val="20"/>
          <w:szCs w:val="20"/>
        </w:rPr>
        <w:t>Feeble-Mindedness: Its Causes and Consequences</w:t>
      </w:r>
      <w:r w:rsidRPr="00542E39">
        <w:rPr>
          <w:sz w:val="20"/>
          <w:szCs w:val="20"/>
        </w:rPr>
        <w:t xml:space="preserve"> (New York: MacMillan, 1914); Lewis M. Terman, </w:t>
      </w:r>
      <w:r w:rsidRPr="00542E39">
        <w:rPr>
          <w:i/>
          <w:sz w:val="20"/>
          <w:szCs w:val="20"/>
        </w:rPr>
        <w:t>The Measurement of Intelligence: An Explanation of and A Complete Guide for the Use of the Stanford Revision and Extension of the Binet-Simon Intelligence Scale</w:t>
      </w:r>
      <w:r w:rsidRPr="00542E39">
        <w:rPr>
          <w:sz w:val="20"/>
          <w:szCs w:val="20"/>
        </w:rPr>
        <w:t xml:space="preserve"> (Boston: Houghton Mifflin, 1916). </w:t>
      </w:r>
    </w:p>
  </w:footnote>
  <w:footnote w:id="58">
    <w:p w14:paraId="11F002DE" w14:textId="0AD3E0F5"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Black, </w:t>
      </w:r>
      <w:r w:rsidRPr="00542E39">
        <w:rPr>
          <w:i/>
          <w:sz w:val="20"/>
          <w:szCs w:val="20"/>
        </w:rPr>
        <w:t>War Against the Weak,</w:t>
      </w:r>
      <w:r w:rsidRPr="00542E39">
        <w:rPr>
          <w:sz w:val="20"/>
          <w:szCs w:val="20"/>
        </w:rPr>
        <w:t xml:space="preserve"> 398, 402. </w:t>
      </w:r>
    </w:p>
  </w:footnote>
  <w:footnote w:id="59">
    <w:p w14:paraId="32BADB5C" w14:textId="5DBB1215"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Robert Perkinson, </w:t>
      </w:r>
      <w:r w:rsidRPr="00542E39">
        <w:rPr>
          <w:i/>
          <w:sz w:val="20"/>
          <w:szCs w:val="20"/>
        </w:rPr>
        <w:t xml:space="preserve">Texas Tough: The Rise of America’s Prison Empire </w:t>
      </w:r>
      <w:r w:rsidRPr="00542E39">
        <w:rPr>
          <w:sz w:val="20"/>
          <w:szCs w:val="20"/>
        </w:rPr>
        <w:t>(New York: Metropolitan Books, 2010)</w:t>
      </w:r>
      <w:r w:rsidRPr="00542E39">
        <w:rPr>
          <w:i/>
          <w:sz w:val="20"/>
          <w:szCs w:val="20"/>
        </w:rPr>
        <w:t>;</w:t>
      </w:r>
      <w:r w:rsidRPr="00542E39">
        <w:rPr>
          <w:sz w:val="20"/>
          <w:szCs w:val="20"/>
        </w:rPr>
        <w:t xml:space="preserve"> Michelle Alexander, </w:t>
      </w:r>
      <w:r w:rsidRPr="00542E39">
        <w:rPr>
          <w:i/>
          <w:sz w:val="20"/>
          <w:szCs w:val="20"/>
        </w:rPr>
        <w:t>The New Jim Crow: Mass Incarceration in the Age of Colorblindness</w:t>
      </w:r>
      <w:r w:rsidRPr="00542E39">
        <w:rPr>
          <w:sz w:val="20"/>
          <w:szCs w:val="20"/>
        </w:rPr>
        <w:t xml:space="preserve"> (New York: New Press, 2012); David M. Oshinsky, </w:t>
      </w:r>
      <w:r w:rsidRPr="00542E39">
        <w:rPr>
          <w:i/>
          <w:sz w:val="20"/>
          <w:szCs w:val="20"/>
        </w:rPr>
        <w:t xml:space="preserve">“Worse than Slavery”: Parchman Farm and the Ordeal of Jim Crow Justice </w:t>
      </w:r>
      <w:r w:rsidRPr="00542E39">
        <w:rPr>
          <w:sz w:val="20"/>
          <w:szCs w:val="20"/>
        </w:rPr>
        <w:t xml:space="preserve">(New York: Free Press, 1996); William J. Stuntz, </w:t>
      </w:r>
      <w:r w:rsidRPr="00542E39">
        <w:rPr>
          <w:i/>
          <w:sz w:val="20"/>
          <w:szCs w:val="20"/>
        </w:rPr>
        <w:t>The Collapse of American Criminal Justice</w:t>
      </w:r>
      <w:r w:rsidRPr="00542E39">
        <w:rPr>
          <w:sz w:val="20"/>
          <w:szCs w:val="20"/>
        </w:rPr>
        <w:t xml:space="preserve"> (Cambridge: Belknap of Harvard University Press, 2012); David Garland, </w:t>
      </w:r>
      <w:r w:rsidRPr="00542E39">
        <w:rPr>
          <w:i/>
          <w:sz w:val="20"/>
          <w:szCs w:val="20"/>
        </w:rPr>
        <w:t xml:space="preserve">Peculiar Institution: America’s Death Penalty in an Age of Abolition </w:t>
      </w:r>
      <w:r w:rsidRPr="00542E39">
        <w:rPr>
          <w:sz w:val="20"/>
          <w:szCs w:val="20"/>
        </w:rPr>
        <w:t>(Cambridge: Belknap Press, 2010).</w:t>
      </w:r>
    </w:p>
  </w:footnote>
  <w:footnote w:id="60">
    <w:p w14:paraId="244879A1" w14:textId="48379DFB" w:rsidR="00090FE8" w:rsidRPr="00542E39" w:rsidRDefault="00090FE8" w:rsidP="002F3984">
      <w:pPr>
        <w:pStyle w:val="FootnoteText"/>
        <w:rPr>
          <w:sz w:val="20"/>
          <w:szCs w:val="20"/>
        </w:rPr>
      </w:pPr>
      <w:r w:rsidRPr="00542E39">
        <w:rPr>
          <w:rStyle w:val="FootnoteReference"/>
          <w:sz w:val="20"/>
          <w:szCs w:val="20"/>
        </w:rPr>
        <w:footnoteRef/>
      </w:r>
      <w:r w:rsidRPr="00542E39">
        <w:rPr>
          <w:sz w:val="20"/>
          <w:szCs w:val="20"/>
        </w:rPr>
        <w:t xml:space="preserve"> Stuntz, </w:t>
      </w:r>
      <w:r w:rsidRPr="00542E39">
        <w:rPr>
          <w:i/>
          <w:sz w:val="20"/>
          <w:szCs w:val="20"/>
        </w:rPr>
        <w:t>The Collapse,</w:t>
      </w:r>
      <w:r w:rsidRPr="00542E39">
        <w:rPr>
          <w:sz w:val="20"/>
          <w:szCs w:val="20"/>
        </w:rPr>
        <w:t xml:space="preserve"> 143-147.</w:t>
      </w:r>
    </w:p>
  </w:footnote>
  <w:footnote w:id="61">
    <w:p w14:paraId="06AA20A5" w14:textId="0C6DD207"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Garland, </w:t>
      </w:r>
      <w:r w:rsidRPr="00542E39">
        <w:rPr>
          <w:i/>
          <w:sz w:val="20"/>
          <w:szCs w:val="20"/>
        </w:rPr>
        <w:t xml:space="preserve">Peculiar Institution, </w:t>
      </w:r>
      <w:r w:rsidRPr="00542E39">
        <w:rPr>
          <w:sz w:val="20"/>
          <w:szCs w:val="20"/>
        </w:rPr>
        <w:t>32.</w:t>
      </w:r>
    </w:p>
  </w:footnote>
  <w:footnote w:id="62">
    <w:p w14:paraId="63B0A7CC" w14:textId="77777777" w:rsidR="00090FE8" w:rsidRPr="00542E39" w:rsidRDefault="00090FE8" w:rsidP="006E41BF">
      <w:pPr>
        <w:pStyle w:val="FootnoteText"/>
        <w:rPr>
          <w:sz w:val="20"/>
          <w:szCs w:val="20"/>
        </w:rPr>
      </w:pPr>
      <w:r w:rsidRPr="00542E39">
        <w:rPr>
          <w:rStyle w:val="FootnoteReference"/>
          <w:sz w:val="20"/>
          <w:szCs w:val="20"/>
        </w:rPr>
        <w:footnoteRef/>
      </w:r>
      <w:r w:rsidRPr="00542E39">
        <w:rPr>
          <w:sz w:val="20"/>
          <w:szCs w:val="20"/>
        </w:rPr>
        <w:t xml:space="preserve"> For more thorough analyses of the connections between criminology and race theory on which this section is based, see Oshinsky, </w:t>
      </w:r>
      <w:r w:rsidRPr="00542E39">
        <w:rPr>
          <w:i/>
          <w:sz w:val="20"/>
          <w:szCs w:val="20"/>
        </w:rPr>
        <w:t>“Worse than Slavery,”</w:t>
      </w:r>
      <w:r w:rsidRPr="00542E39">
        <w:rPr>
          <w:sz w:val="20"/>
          <w:szCs w:val="20"/>
        </w:rPr>
        <w:t xml:space="preserve"> 92-96, and Khalil Gibran Muhammad, </w:t>
      </w:r>
      <w:r w:rsidRPr="00542E39">
        <w:rPr>
          <w:i/>
          <w:sz w:val="20"/>
          <w:szCs w:val="20"/>
        </w:rPr>
        <w:t>The Condemnation of Blackness: Race, Crime, and the Making of Modern Urban America</w:t>
      </w:r>
      <w:r w:rsidRPr="00542E39">
        <w:rPr>
          <w:sz w:val="20"/>
          <w:szCs w:val="20"/>
        </w:rPr>
        <w:t xml:space="preserve"> (Cambridge, MA: First Harvard University Press, 2010), esp. chapter 2</w:t>
      </w:r>
      <w:r w:rsidRPr="00542E39">
        <w:rPr>
          <w:i/>
          <w:sz w:val="20"/>
          <w:szCs w:val="20"/>
        </w:rPr>
        <w:t>.</w:t>
      </w:r>
    </w:p>
  </w:footnote>
  <w:footnote w:id="63">
    <w:p w14:paraId="1555C471" w14:textId="1BF8D782" w:rsidR="00090FE8" w:rsidRPr="00542E39" w:rsidRDefault="00090FE8" w:rsidP="0020116C">
      <w:pPr>
        <w:rPr>
          <w:sz w:val="20"/>
          <w:szCs w:val="20"/>
        </w:rPr>
      </w:pPr>
      <w:r w:rsidRPr="00542E39">
        <w:rPr>
          <w:rStyle w:val="FootnoteReference"/>
          <w:sz w:val="20"/>
          <w:szCs w:val="20"/>
        </w:rPr>
        <w:footnoteRef/>
      </w:r>
      <w:r w:rsidRPr="00542E39">
        <w:rPr>
          <w:sz w:val="20"/>
          <w:szCs w:val="20"/>
        </w:rPr>
        <w:t xml:space="preserve"> George Herbert Clarke, “Georgia and the Chain-Gang,” </w:t>
      </w:r>
      <w:r w:rsidRPr="00542E39">
        <w:rPr>
          <w:i/>
          <w:sz w:val="20"/>
          <w:szCs w:val="20"/>
        </w:rPr>
        <w:t>Outlook,</w:t>
      </w:r>
      <w:r w:rsidRPr="00542E39">
        <w:rPr>
          <w:sz w:val="20"/>
          <w:szCs w:val="20"/>
        </w:rPr>
        <w:t xml:space="preserve"> January 13, 1906, 77-78. </w:t>
      </w:r>
    </w:p>
  </w:footnote>
  <w:footnote w:id="64">
    <w:p w14:paraId="0919ED36" w14:textId="094ADAA9"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Frederick L. Hoffman, </w:t>
      </w:r>
      <w:r w:rsidRPr="00542E39">
        <w:rPr>
          <w:i/>
          <w:sz w:val="20"/>
          <w:szCs w:val="20"/>
        </w:rPr>
        <w:t>Race Traits and Tendencies of the American Negro</w:t>
      </w:r>
      <w:r w:rsidRPr="00542E39">
        <w:rPr>
          <w:sz w:val="20"/>
          <w:szCs w:val="20"/>
        </w:rPr>
        <w:t xml:space="preserve"> (New York: MacMillan, 1896), 217-225</w:t>
      </w:r>
      <w:r>
        <w:rPr>
          <w:sz w:val="20"/>
          <w:szCs w:val="20"/>
        </w:rPr>
        <w:t>, 234-236</w:t>
      </w:r>
      <w:r w:rsidRPr="00542E39">
        <w:rPr>
          <w:sz w:val="20"/>
          <w:szCs w:val="20"/>
        </w:rPr>
        <w:t xml:space="preserve">; Muhammad, </w:t>
      </w:r>
      <w:r w:rsidRPr="00542E39">
        <w:rPr>
          <w:i/>
          <w:sz w:val="20"/>
          <w:szCs w:val="20"/>
        </w:rPr>
        <w:t>The Condemnation of Blackness</w:t>
      </w:r>
      <w:r w:rsidRPr="00542E39">
        <w:rPr>
          <w:sz w:val="20"/>
          <w:szCs w:val="20"/>
        </w:rPr>
        <w:t>, 38-45.</w:t>
      </w:r>
    </w:p>
  </w:footnote>
  <w:footnote w:id="65">
    <w:p w14:paraId="1F8E8F30" w14:textId="494455E1"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R.W. Shufeldt, </w:t>
      </w:r>
      <w:r w:rsidRPr="00542E39">
        <w:rPr>
          <w:i/>
          <w:sz w:val="20"/>
          <w:szCs w:val="20"/>
        </w:rPr>
        <w:t>The Negro: A Menace to American Civilization</w:t>
      </w:r>
      <w:r w:rsidRPr="00542E39">
        <w:rPr>
          <w:sz w:val="20"/>
          <w:szCs w:val="20"/>
        </w:rPr>
        <w:t xml:space="preserve"> (Boston, 1907): 124, 128, 134.</w:t>
      </w:r>
    </w:p>
  </w:footnote>
  <w:footnote w:id="66">
    <w:p w14:paraId="37381033" w14:textId="1538792D" w:rsidR="00090FE8" w:rsidRPr="00542E39" w:rsidRDefault="00090FE8" w:rsidP="0020116C">
      <w:pPr>
        <w:pStyle w:val="FootnoteText"/>
        <w:rPr>
          <w:sz w:val="20"/>
          <w:szCs w:val="20"/>
        </w:rPr>
      </w:pPr>
      <w:r w:rsidRPr="00542E39">
        <w:rPr>
          <w:rStyle w:val="FootnoteReference"/>
          <w:sz w:val="20"/>
          <w:szCs w:val="20"/>
        </w:rPr>
        <w:footnoteRef/>
      </w:r>
      <w:r w:rsidRPr="00542E39">
        <w:rPr>
          <w:sz w:val="20"/>
          <w:szCs w:val="20"/>
        </w:rPr>
        <w:t xml:space="preserve"> James W. Messerschmidt, “‘We Must Protect Our Southern Women’: On Whiteness, Masculinities, and Lynching,” in </w:t>
      </w:r>
      <w:r w:rsidRPr="00542E39">
        <w:rPr>
          <w:i/>
          <w:sz w:val="20"/>
          <w:szCs w:val="20"/>
        </w:rPr>
        <w:t>Race, Gender, &amp; Punishment: From Colonialism to the War on Terror</w:t>
      </w:r>
      <w:r w:rsidRPr="00542E39">
        <w:rPr>
          <w:sz w:val="20"/>
          <w:szCs w:val="20"/>
        </w:rPr>
        <w:t xml:space="preserve">, eds. Mary Bosworth and Jeanne Flavin (New Brunswick, NJ: Rutgers University Press, 2007), 77-94. </w:t>
      </w:r>
    </w:p>
  </w:footnote>
  <w:footnote w:id="67">
    <w:p w14:paraId="42ADE3DE" w14:textId="4D666A71"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Hoffman, </w:t>
      </w:r>
      <w:r w:rsidRPr="00542E39">
        <w:rPr>
          <w:i/>
          <w:sz w:val="20"/>
          <w:szCs w:val="20"/>
        </w:rPr>
        <w:t>Race Traits,</w:t>
      </w:r>
      <w:r w:rsidRPr="00542E39">
        <w:rPr>
          <w:sz w:val="20"/>
          <w:szCs w:val="20"/>
        </w:rPr>
        <w:t xml:space="preserve"> 231.</w:t>
      </w:r>
    </w:p>
  </w:footnote>
  <w:footnote w:id="68">
    <w:p w14:paraId="46A4C9A3" w14:textId="431C3FA1"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Muhammad, </w:t>
      </w:r>
      <w:r w:rsidRPr="00542E39">
        <w:rPr>
          <w:i/>
          <w:sz w:val="20"/>
          <w:szCs w:val="20"/>
        </w:rPr>
        <w:t xml:space="preserve">The Condemnation of Blackness, </w:t>
      </w:r>
      <w:r w:rsidRPr="00542E39">
        <w:rPr>
          <w:sz w:val="20"/>
          <w:szCs w:val="20"/>
        </w:rPr>
        <w:t>35-56.</w:t>
      </w:r>
    </w:p>
  </w:footnote>
  <w:footnote w:id="69">
    <w:p w14:paraId="68B0587B" w14:textId="77777777" w:rsidR="00090FE8" w:rsidRPr="00542E39" w:rsidRDefault="00090FE8" w:rsidP="00A01039">
      <w:pPr>
        <w:rPr>
          <w:sz w:val="20"/>
          <w:szCs w:val="20"/>
        </w:rPr>
      </w:pPr>
      <w:r w:rsidRPr="00542E39">
        <w:rPr>
          <w:rStyle w:val="FootnoteReference"/>
          <w:sz w:val="20"/>
          <w:szCs w:val="20"/>
        </w:rPr>
        <w:footnoteRef/>
      </w:r>
      <w:r w:rsidRPr="00542E39">
        <w:rPr>
          <w:sz w:val="20"/>
          <w:szCs w:val="20"/>
        </w:rPr>
        <w:t xml:space="preserve"> Robert Bean, “The Negro Brain,” </w:t>
      </w:r>
      <w:r w:rsidRPr="00542E39">
        <w:rPr>
          <w:i/>
          <w:sz w:val="20"/>
          <w:szCs w:val="20"/>
        </w:rPr>
        <w:t>Century Magazine</w:t>
      </w:r>
      <w:r w:rsidRPr="00542E39">
        <w:rPr>
          <w:sz w:val="20"/>
          <w:szCs w:val="20"/>
        </w:rPr>
        <w:t xml:space="preserve"> (Sept. 1906): 778-784; Charles McCord, </w:t>
      </w:r>
      <w:r w:rsidRPr="00542E39">
        <w:rPr>
          <w:i/>
          <w:sz w:val="20"/>
          <w:szCs w:val="20"/>
        </w:rPr>
        <w:t>The American Negro as a Dependent, Defective, and Delinquent</w:t>
      </w:r>
      <w:r w:rsidRPr="00542E39">
        <w:rPr>
          <w:sz w:val="20"/>
          <w:szCs w:val="20"/>
        </w:rPr>
        <w:t xml:space="preserve"> (Nashville, 1914): 217-221, 282, 293. </w:t>
      </w:r>
    </w:p>
  </w:footnote>
  <w:footnote w:id="70">
    <w:p w14:paraId="21DC6FD2" w14:textId="2F0ABFF7" w:rsidR="00090FE8" w:rsidRPr="00542E39" w:rsidRDefault="00090FE8" w:rsidP="004D6989">
      <w:pPr>
        <w:pStyle w:val="FootnoteText"/>
        <w:rPr>
          <w:sz w:val="20"/>
          <w:szCs w:val="20"/>
        </w:rPr>
      </w:pPr>
      <w:r w:rsidRPr="00542E39">
        <w:rPr>
          <w:rStyle w:val="FootnoteReference"/>
          <w:sz w:val="20"/>
          <w:szCs w:val="20"/>
        </w:rPr>
        <w:footnoteRef/>
      </w:r>
      <w:r w:rsidRPr="00542E39">
        <w:rPr>
          <w:sz w:val="20"/>
          <w:szCs w:val="20"/>
        </w:rPr>
        <w:t xml:space="preserve"> US Dept. of Commerce, </w:t>
      </w:r>
      <w:r w:rsidRPr="00542E39">
        <w:rPr>
          <w:i/>
          <w:sz w:val="20"/>
          <w:szCs w:val="20"/>
        </w:rPr>
        <w:t>A Statistical Abstract Supplement: Historical Statistics of the United States, Colonial Times to 1957</w:t>
      </w:r>
      <w:r w:rsidRPr="00542E39">
        <w:rPr>
          <w:sz w:val="20"/>
          <w:szCs w:val="20"/>
        </w:rPr>
        <w:t xml:space="preserve"> (Washington: US Government Printing Office, 1960), Series H452-454, 218.</w:t>
      </w:r>
    </w:p>
  </w:footnote>
  <w:footnote w:id="71">
    <w:p w14:paraId="20BA7E2B" w14:textId="570E6D80" w:rsidR="00090FE8" w:rsidRPr="00542E39" w:rsidRDefault="00090FE8" w:rsidP="004D6989">
      <w:pPr>
        <w:pStyle w:val="FootnoteText"/>
        <w:rPr>
          <w:sz w:val="20"/>
          <w:szCs w:val="20"/>
        </w:rPr>
      </w:pPr>
      <w:r w:rsidRPr="00542E39">
        <w:rPr>
          <w:rStyle w:val="FootnoteReference"/>
          <w:sz w:val="20"/>
          <w:szCs w:val="20"/>
        </w:rPr>
        <w:footnoteRef/>
      </w:r>
      <w:r w:rsidRPr="00542E39">
        <w:rPr>
          <w:sz w:val="20"/>
          <w:szCs w:val="20"/>
        </w:rPr>
        <w:t xml:space="preserve"> Stuntz, </w:t>
      </w:r>
      <w:r w:rsidRPr="00542E39">
        <w:rPr>
          <w:i/>
          <w:sz w:val="20"/>
          <w:szCs w:val="20"/>
        </w:rPr>
        <w:t xml:space="preserve">The Collapse, </w:t>
      </w:r>
      <w:r w:rsidRPr="00542E39">
        <w:rPr>
          <w:sz w:val="20"/>
          <w:szCs w:val="20"/>
        </w:rPr>
        <w:t>146; Death Penalty Information Center, “Executions by Year Since 1976,” Accessed at &lt;</w:t>
      </w:r>
      <w:hyperlink r:id="rId1" w:history="1">
        <w:r w:rsidRPr="00542E39">
          <w:rPr>
            <w:rStyle w:val="Hyperlink"/>
            <w:sz w:val="20"/>
            <w:szCs w:val="20"/>
          </w:rPr>
          <w:t>http://www.deathpenaltyinfo.org/executions-year</w:t>
        </w:r>
      </w:hyperlink>
      <w:r w:rsidRPr="00542E39">
        <w:rPr>
          <w:rStyle w:val="Hyperlink"/>
          <w:sz w:val="20"/>
          <w:szCs w:val="20"/>
        </w:rPr>
        <w:t>&gt;</w:t>
      </w:r>
      <w:r w:rsidRPr="00542E39">
        <w:rPr>
          <w:sz w:val="20"/>
          <w:szCs w:val="20"/>
        </w:rPr>
        <w:t xml:space="preserve">. Retrieved December 2, 2014. </w:t>
      </w:r>
    </w:p>
  </w:footnote>
  <w:footnote w:id="72">
    <w:p w14:paraId="2C40CEFD" w14:textId="77777777" w:rsidR="00090FE8" w:rsidRPr="00542E39" w:rsidRDefault="00090FE8" w:rsidP="00596971">
      <w:pPr>
        <w:pStyle w:val="FootnoteText"/>
        <w:rPr>
          <w:sz w:val="20"/>
          <w:szCs w:val="20"/>
        </w:rPr>
      </w:pPr>
      <w:r w:rsidRPr="00542E39">
        <w:rPr>
          <w:rStyle w:val="FootnoteReference"/>
          <w:sz w:val="20"/>
          <w:szCs w:val="20"/>
        </w:rPr>
        <w:footnoteRef/>
      </w:r>
      <w:r w:rsidRPr="00542E39">
        <w:rPr>
          <w:sz w:val="20"/>
          <w:szCs w:val="20"/>
        </w:rPr>
        <w:t xml:space="preserve"> Oshinsky,</w:t>
      </w:r>
      <w:r w:rsidRPr="00542E39">
        <w:rPr>
          <w:i/>
          <w:sz w:val="20"/>
          <w:szCs w:val="20"/>
        </w:rPr>
        <w:t xml:space="preserve"> “Worse than Slavery,”</w:t>
      </w:r>
      <w:r w:rsidRPr="00542E39">
        <w:rPr>
          <w:sz w:val="20"/>
          <w:szCs w:val="20"/>
        </w:rPr>
        <w:t xml:space="preserve">on Governor Vardaman in Mississippi. </w:t>
      </w:r>
    </w:p>
  </w:footnote>
  <w:footnote w:id="73">
    <w:p w14:paraId="2456C5DB" w14:textId="25F11F7E" w:rsidR="00090FE8" w:rsidRPr="00542E39" w:rsidRDefault="00090FE8" w:rsidP="00695133">
      <w:pPr>
        <w:pStyle w:val="FootnoteText"/>
        <w:rPr>
          <w:sz w:val="20"/>
          <w:szCs w:val="20"/>
        </w:rPr>
      </w:pPr>
      <w:r w:rsidRPr="00542E39">
        <w:rPr>
          <w:rStyle w:val="FootnoteReference"/>
          <w:sz w:val="20"/>
          <w:szCs w:val="20"/>
        </w:rPr>
        <w:footnoteRef/>
      </w:r>
      <w:r w:rsidRPr="00542E39">
        <w:rPr>
          <w:sz w:val="20"/>
          <w:szCs w:val="20"/>
        </w:rPr>
        <w:t xml:space="preserve"> “Letter to Governor Durbin,” Aug. 6, 1903, in </w:t>
      </w:r>
      <w:r w:rsidRPr="00542E39">
        <w:rPr>
          <w:i/>
          <w:sz w:val="20"/>
          <w:szCs w:val="20"/>
        </w:rPr>
        <w:t>The Works of Theodore Roosevelt: Presidential Addresses and State Papers</w:t>
      </w:r>
      <w:r w:rsidRPr="00542E39">
        <w:rPr>
          <w:sz w:val="20"/>
          <w:szCs w:val="20"/>
        </w:rPr>
        <w:t xml:space="preserve"> (New York: P.F. Collier and Son, 1910), Part 2, 524. </w:t>
      </w:r>
    </w:p>
  </w:footnote>
  <w:footnote w:id="74">
    <w:p w14:paraId="766932E5" w14:textId="20621167"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“Speech at the Luncheon at Little Rock, Arkansas,” Oct. 25, 1905, in </w:t>
      </w:r>
      <w:r w:rsidRPr="00542E39">
        <w:rPr>
          <w:i/>
          <w:sz w:val="20"/>
          <w:szCs w:val="20"/>
        </w:rPr>
        <w:t>The Works of Theodore Roosevelt,</w:t>
      </w:r>
      <w:r w:rsidRPr="00542E39">
        <w:rPr>
          <w:sz w:val="20"/>
          <w:szCs w:val="20"/>
        </w:rPr>
        <w:t xml:space="preserve"> Part 4, 543. </w:t>
      </w:r>
    </w:p>
  </w:footnote>
  <w:footnote w:id="75">
    <w:p w14:paraId="1A7CDFDB" w14:textId="595ED6C9" w:rsidR="00090FE8" w:rsidRPr="00BE7E3B" w:rsidRDefault="00090FE8">
      <w:pPr>
        <w:pStyle w:val="FootnoteText"/>
        <w:rPr>
          <w:sz w:val="20"/>
          <w:szCs w:val="20"/>
        </w:rPr>
      </w:pPr>
      <w:r w:rsidRPr="00BE7E3B">
        <w:rPr>
          <w:rStyle w:val="FootnoteReference"/>
          <w:sz w:val="20"/>
          <w:szCs w:val="20"/>
        </w:rPr>
        <w:footnoteRef/>
      </w:r>
      <w:r w:rsidRPr="00BE7E3B">
        <w:rPr>
          <w:sz w:val="20"/>
          <w:szCs w:val="20"/>
        </w:rPr>
        <w:t xml:space="preserve"> “Message to the Two Houses of Congress at the Second Session of the Sixty-First Congress,” December 7, 1909, </w:t>
      </w:r>
      <w:r w:rsidR="00BE7E3B" w:rsidRPr="00BE7E3B">
        <w:rPr>
          <w:sz w:val="20"/>
          <w:szCs w:val="20"/>
        </w:rPr>
        <w:t xml:space="preserve">378, in David H. Burton, ed., </w:t>
      </w:r>
      <w:r w:rsidR="00BE7E3B" w:rsidRPr="00BE7E3B">
        <w:rPr>
          <w:i/>
          <w:sz w:val="20"/>
          <w:szCs w:val="20"/>
        </w:rPr>
        <w:t>The Collected Works of William Howard Taft,</w:t>
      </w:r>
      <w:r w:rsidR="00BE7E3B" w:rsidRPr="00BE7E3B">
        <w:rPr>
          <w:sz w:val="20"/>
          <w:szCs w:val="20"/>
        </w:rPr>
        <w:t xml:space="preserve"> Vol. 3 (Athens: Ohio University Press, 2002).</w:t>
      </w:r>
      <w:r w:rsidR="00BE7E3B">
        <w:rPr>
          <w:sz w:val="20"/>
          <w:szCs w:val="20"/>
        </w:rPr>
        <w:t xml:space="preserve"> </w:t>
      </w:r>
    </w:p>
  </w:footnote>
  <w:footnote w:id="76">
    <w:p w14:paraId="74D25B74" w14:textId="2F0B131E" w:rsidR="00090FE8" w:rsidRPr="00542E39" w:rsidRDefault="00090FE8" w:rsidP="005B0691">
      <w:pPr>
        <w:pStyle w:val="FootnoteText"/>
        <w:rPr>
          <w:b/>
          <w:sz w:val="20"/>
          <w:szCs w:val="20"/>
        </w:rPr>
      </w:pPr>
      <w:r w:rsidRPr="00542E39">
        <w:rPr>
          <w:rStyle w:val="FootnoteReference"/>
          <w:sz w:val="20"/>
          <w:szCs w:val="20"/>
        </w:rPr>
        <w:footnoteRef/>
      </w:r>
      <w:r w:rsidRPr="00542E39">
        <w:rPr>
          <w:sz w:val="20"/>
          <w:szCs w:val="20"/>
        </w:rPr>
        <w:t xml:space="preserve"> Kevin R. Reitz, “Sentencing,” in James Q. Wilson and Joan Petersilia, eds., </w:t>
      </w:r>
      <w:r w:rsidRPr="00542E39">
        <w:rPr>
          <w:i/>
          <w:sz w:val="20"/>
          <w:szCs w:val="20"/>
        </w:rPr>
        <w:t>Crime and Public Policy</w:t>
      </w:r>
      <w:r w:rsidRPr="00542E39">
        <w:rPr>
          <w:sz w:val="20"/>
          <w:szCs w:val="20"/>
        </w:rPr>
        <w:t xml:space="preserve">, (New York: Oxford University Press, 2011): 473. </w:t>
      </w:r>
    </w:p>
  </w:footnote>
  <w:footnote w:id="77">
    <w:p w14:paraId="4697ED6A" w14:textId="57B47A9F" w:rsidR="00090FE8" w:rsidRPr="00542E39" w:rsidRDefault="00090FE8" w:rsidP="007C4B5E">
      <w:pPr>
        <w:pStyle w:val="FootnoteText"/>
        <w:rPr>
          <w:sz w:val="20"/>
          <w:szCs w:val="20"/>
        </w:rPr>
      </w:pPr>
      <w:r w:rsidRPr="00542E39">
        <w:rPr>
          <w:rStyle w:val="FootnoteReference"/>
          <w:sz w:val="20"/>
          <w:szCs w:val="20"/>
        </w:rPr>
        <w:footnoteRef/>
      </w:r>
      <w:r w:rsidRPr="00542E39">
        <w:rPr>
          <w:sz w:val="20"/>
          <w:szCs w:val="20"/>
        </w:rPr>
        <w:t xml:space="preserve"> Stuntz, </w:t>
      </w:r>
      <w:r w:rsidRPr="00542E39">
        <w:rPr>
          <w:i/>
          <w:sz w:val="20"/>
          <w:szCs w:val="20"/>
        </w:rPr>
        <w:t>The Collapse,</w:t>
      </w:r>
      <w:r w:rsidRPr="00542E39">
        <w:rPr>
          <w:sz w:val="20"/>
          <w:szCs w:val="20"/>
        </w:rPr>
        <w:t xml:space="preserve"> 238; Marvin Frankel, </w:t>
      </w:r>
      <w:r w:rsidRPr="00542E39">
        <w:rPr>
          <w:i/>
          <w:sz w:val="20"/>
          <w:szCs w:val="20"/>
        </w:rPr>
        <w:t>Criminal Sentences: Law Without Order</w:t>
      </w:r>
      <w:r w:rsidRPr="00542E39">
        <w:rPr>
          <w:sz w:val="20"/>
          <w:szCs w:val="20"/>
        </w:rPr>
        <w:t xml:space="preserve"> (New York: Hill and Wang, 1973).</w:t>
      </w:r>
    </w:p>
  </w:footnote>
  <w:footnote w:id="78">
    <w:p w14:paraId="44E3906F" w14:textId="01EEF704" w:rsidR="00090FE8" w:rsidRPr="00542E39" w:rsidRDefault="00090FE8" w:rsidP="007C4B5E">
      <w:pPr>
        <w:pStyle w:val="FootnoteText"/>
        <w:rPr>
          <w:sz w:val="20"/>
          <w:szCs w:val="20"/>
        </w:rPr>
      </w:pPr>
      <w:r w:rsidRPr="00542E39">
        <w:rPr>
          <w:rStyle w:val="FootnoteReference"/>
          <w:sz w:val="20"/>
          <w:szCs w:val="20"/>
        </w:rPr>
        <w:footnoteRef/>
      </w:r>
      <w:r w:rsidRPr="00542E39">
        <w:rPr>
          <w:sz w:val="20"/>
          <w:szCs w:val="20"/>
        </w:rPr>
        <w:t xml:space="preserve"> Flamm, </w:t>
      </w:r>
      <w:r w:rsidRPr="00542E39">
        <w:rPr>
          <w:i/>
          <w:sz w:val="20"/>
          <w:szCs w:val="20"/>
        </w:rPr>
        <w:t>Law and Order</w:t>
      </w:r>
      <w:r w:rsidRPr="00542E39">
        <w:rPr>
          <w:sz w:val="20"/>
          <w:szCs w:val="20"/>
        </w:rPr>
        <w:t>, 46-47, 98-102; Loïc Wacquant,</w:t>
      </w:r>
      <w:r w:rsidRPr="00542E39">
        <w:rPr>
          <w:i/>
          <w:sz w:val="20"/>
          <w:szCs w:val="20"/>
        </w:rPr>
        <w:t xml:space="preserve"> Punishing the Poor: The Neoliberal Government of Social Insecurity</w:t>
      </w:r>
      <w:r w:rsidRPr="00542E39">
        <w:rPr>
          <w:sz w:val="20"/>
          <w:szCs w:val="20"/>
        </w:rPr>
        <w:t xml:space="preserve"> (Durham: Duke University Press, 2009), 67-70.</w:t>
      </w:r>
    </w:p>
  </w:footnote>
  <w:footnote w:id="79">
    <w:p w14:paraId="301A777E" w14:textId="7F5321B5" w:rsidR="00090FE8" w:rsidRPr="00542E39" w:rsidRDefault="00090FE8" w:rsidP="00266776">
      <w:pPr>
        <w:rPr>
          <w:sz w:val="20"/>
          <w:szCs w:val="20"/>
        </w:rPr>
      </w:pPr>
      <w:r w:rsidRPr="00542E39">
        <w:rPr>
          <w:rStyle w:val="FootnoteReference"/>
          <w:sz w:val="20"/>
          <w:szCs w:val="20"/>
        </w:rPr>
        <w:footnoteRef/>
      </w:r>
      <w:r w:rsidRPr="00542E39">
        <w:rPr>
          <w:sz w:val="20"/>
          <w:szCs w:val="20"/>
        </w:rPr>
        <w:t xml:space="preserve"> Robert Martinson, “What works? – questions and answers about prison reform,” </w:t>
      </w:r>
      <w:r w:rsidRPr="00542E39">
        <w:rPr>
          <w:i/>
          <w:sz w:val="20"/>
          <w:szCs w:val="20"/>
        </w:rPr>
        <w:t>The Public Interest</w:t>
      </w:r>
      <w:r w:rsidRPr="00542E39">
        <w:rPr>
          <w:sz w:val="20"/>
          <w:szCs w:val="20"/>
        </w:rPr>
        <w:t xml:space="preserve"> 35 (1974), 22-54; Garland, </w:t>
      </w:r>
      <w:r w:rsidRPr="00542E39">
        <w:rPr>
          <w:i/>
          <w:sz w:val="20"/>
          <w:szCs w:val="20"/>
        </w:rPr>
        <w:t>The Culture of Control</w:t>
      </w:r>
      <w:r w:rsidRPr="00542E39">
        <w:rPr>
          <w:sz w:val="20"/>
          <w:szCs w:val="20"/>
        </w:rPr>
        <w:t>, 2001, 58-59; Wacquant,</w:t>
      </w:r>
      <w:r w:rsidRPr="00542E39">
        <w:rPr>
          <w:i/>
          <w:sz w:val="20"/>
          <w:szCs w:val="20"/>
        </w:rPr>
        <w:t xml:space="preserve"> Punishing the Poor,</w:t>
      </w:r>
      <w:r w:rsidRPr="00542E39">
        <w:rPr>
          <w:sz w:val="20"/>
          <w:szCs w:val="20"/>
        </w:rPr>
        <w:t xml:space="preserve"> 206.</w:t>
      </w:r>
    </w:p>
  </w:footnote>
  <w:footnote w:id="80">
    <w:p w14:paraId="7E2A0F91" w14:textId="2455D78B" w:rsidR="00090FE8" w:rsidRPr="00542E39" w:rsidRDefault="00090FE8" w:rsidP="00757757">
      <w:pPr>
        <w:pStyle w:val="FootnoteText"/>
        <w:rPr>
          <w:sz w:val="20"/>
          <w:szCs w:val="20"/>
        </w:rPr>
      </w:pPr>
      <w:r w:rsidRPr="00542E39">
        <w:rPr>
          <w:rStyle w:val="FootnoteReference"/>
          <w:sz w:val="20"/>
          <w:szCs w:val="20"/>
        </w:rPr>
        <w:footnoteRef/>
      </w:r>
      <w:r w:rsidRPr="00542E39">
        <w:rPr>
          <w:sz w:val="20"/>
          <w:szCs w:val="20"/>
        </w:rPr>
        <w:t xml:space="preserve"> James Q. Wilson, </w:t>
      </w:r>
      <w:r w:rsidRPr="00542E39">
        <w:rPr>
          <w:i/>
          <w:sz w:val="20"/>
          <w:szCs w:val="20"/>
        </w:rPr>
        <w:t xml:space="preserve">Thinking About Crime </w:t>
      </w:r>
      <w:r w:rsidRPr="00542E39">
        <w:rPr>
          <w:sz w:val="20"/>
          <w:szCs w:val="20"/>
        </w:rPr>
        <w:t>(New York: Basic Books, 1975), 209.</w:t>
      </w:r>
    </w:p>
  </w:footnote>
  <w:footnote w:id="81">
    <w:p w14:paraId="24A0E05F" w14:textId="4E42AF78"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James Q. Wilson, </w:t>
      </w:r>
      <w:r w:rsidRPr="00542E39">
        <w:rPr>
          <w:i/>
          <w:sz w:val="20"/>
          <w:szCs w:val="20"/>
        </w:rPr>
        <w:t>Thinking About Crime</w:t>
      </w:r>
      <w:r w:rsidRPr="00542E39">
        <w:rPr>
          <w:sz w:val="20"/>
          <w:szCs w:val="20"/>
        </w:rPr>
        <w:t>, 2</w:t>
      </w:r>
      <w:r w:rsidRPr="00542E39">
        <w:rPr>
          <w:sz w:val="20"/>
          <w:szCs w:val="20"/>
          <w:vertAlign w:val="superscript"/>
        </w:rPr>
        <w:t>nd</w:t>
      </w:r>
      <w:r w:rsidRPr="00542E39">
        <w:rPr>
          <w:sz w:val="20"/>
          <w:szCs w:val="20"/>
        </w:rPr>
        <w:t>. ed.</w:t>
      </w:r>
      <w:r w:rsidRPr="00542E39">
        <w:rPr>
          <w:i/>
          <w:sz w:val="20"/>
          <w:szCs w:val="20"/>
        </w:rPr>
        <w:t xml:space="preserve"> </w:t>
      </w:r>
      <w:r w:rsidRPr="00542E39">
        <w:rPr>
          <w:sz w:val="20"/>
          <w:szCs w:val="20"/>
        </w:rPr>
        <w:t>(New York: Basic Books, 1983), 162-177.</w:t>
      </w:r>
    </w:p>
  </w:footnote>
  <w:footnote w:id="82">
    <w:p w14:paraId="35A4AE83" w14:textId="77777777" w:rsidR="00090FE8" w:rsidRPr="00542E39" w:rsidRDefault="00090FE8" w:rsidP="007C7F26">
      <w:pPr>
        <w:pStyle w:val="FootnoteText"/>
        <w:rPr>
          <w:sz w:val="20"/>
          <w:szCs w:val="20"/>
        </w:rPr>
      </w:pPr>
      <w:r w:rsidRPr="00542E39">
        <w:rPr>
          <w:rStyle w:val="FootnoteReference"/>
          <w:sz w:val="20"/>
          <w:szCs w:val="20"/>
        </w:rPr>
        <w:footnoteRef/>
      </w:r>
      <w:r w:rsidRPr="00542E39">
        <w:rPr>
          <w:sz w:val="20"/>
          <w:szCs w:val="20"/>
        </w:rPr>
        <w:t xml:space="preserve"> 130 Cong. Rec. 25819 (1984), Hal Daub. </w:t>
      </w:r>
    </w:p>
  </w:footnote>
  <w:footnote w:id="83">
    <w:p w14:paraId="22F1E4C3" w14:textId="3DC5F82C"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Michael Tonry, </w:t>
      </w:r>
      <w:r w:rsidRPr="00542E39">
        <w:rPr>
          <w:i/>
          <w:sz w:val="20"/>
          <w:szCs w:val="20"/>
        </w:rPr>
        <w:t>Sentencing Maters</w:t>
      </w:r>
      <w:r w:rsidRPr="00542E39">
        <w:rPr>
          <w:sz w:val="20"/>
          <w:szCs w:val="20"/>
        </w:rPr>
        <w:t xml:space="preserve"> (New York: Oxford University Press, 1996), 89.</w:t>
      </w:r>
    </w:p>
  </w:footnote>
  <w:footnote w:id="84">
    <w:p w14:paraId="36390FB6" w14:textId="376D1040"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130 Cong. Rec. 23597 (1984), Dan Lungren; 130 Cong. Rec 25845 (1984), John Porter.</w:t>
      </w:r>
    </w:p>
  </w:footnote>
  <w:footnote w:id="85">
    <w:p w14:paraId="0E3C9EE0" w14:textId="5ECD5BE1"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Tonry, </w:t>
      </w:r>
      <w:r w:rsidRPr="00542E39">
        <w:rPr>
          <w:i/>
          <w:sz w:val="20"/>
          <w:szCs w:val="20"/>
        </w:rPr>
        <w:t xml:space="preserve">Sentencing Matters, </w:t>
      </w:r>
      <w:r w:rsidRPr="00542E39">
        <w:rPr>
          <w:sz w:val="20"/>
          <w:szCs w:val="20"/>
        </w:rPr>
        <w:t xml:space="preserve">25-71, esp. 30. </w:t>
      </w:r>
    </w:p>
  </w:footnote>
  <w:footnote w:id="86">
    <w:p w14:paraId="5B42F445" w14:textId="77777777" w:rsidR="00090FE8" w:rsidRPr="00542E39" w:rsidRDefault="00090FE8" w:rsidP="00283FDD">
      <w:pPr>
        <w:pStyle w:val="FootnoteText"/>
        <w:rPr>
          <w:sz w:val="20"/>
          <w:szCs w:val="20"/>
        </w:rPr>
      </w:pPr>
      <w:r w:rsidRPr="00542E39">
        <w:rPr>
          <w:rStyle w:val="FootnoteReference"/>
          <w:sz w:val="20"/>
          <w:szCs w:val="20"/>
        </w:rPr>
        <w:footnoteRef/>
      </w:r>
      <w:r w:rsidRPr="00542E39">
        <w:rPr>
          <w:sz w:val="20"/>
          <w:szCs w:val="20"/>
        </w:rPr>
        <w:t xml:space="preserve"> Boies, </w:t>
      </w:r>
      <w:r w:rsidRPr="00542E39">
        <w:rPr>
          <w:i/>
          <w:sz w:val="20"/>
          <w:szCs w:val="20"/>
        </w:rPr>
        <w:t>Prisoners and Paupers</w:t>
      </w:r>
      <w:r w:rsidRPr="00542E39">
        <w:rPr>
          <w:sz w:val="20"/>
          <w:szCs w:val="20"/>
        </w:rPr>
        <w:t xml:space="preserve">, 179. </w:t>
      </w:r>
    </w:p>
  </w:footnote>
  <w:footnote w:id="87">
    <w:p w14:paraId="0F4C984C" w14:textId="4AB05442"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George W. Paulson </w:t>
      </w:r>
      <w:r w:rsidRPr="00542E39">
        <w:rPr>
          <w:i/>
          <w:sz w:val="20"/>
          <w:szCs w:val="20"/>
        </w:rPr>
        <w:t>Closing the Asylums: Causes and Consequences of the Deinstitutionalization Movement</w:t>
      </w:r>
      <w:r w:rsidRPr="00542E39">
        <w:rPr>
          <w:sz w:val="20"/>
          <w:szCs w:val="20"/>
        </w:rPr>
        <w:t xml:space="preserve"> (Jefferson: McFarland, 2012); E. Fuller Torrey, </w:t>
      </w:r>
      <w:r w:rsidRPr="00542E39">
        <w:rPr>
          <w:i/>
          <w:sz w:val="20"/>
          <w:szCs w:val="20"/>
        </w:rPr>
        <w:t>The Insanity Offense: How America’s Failure to Treat the Seriously Mentally Ill Endangers Its Citizens</w:t>
      </w:r>
      <w:r w:rsidRPr="00542E39">
        <w:rPr>
          <w:sz w:val="20"/>
          <w:szCs w:val="20"/>
        </w:rPr>
        <w:t xml:space="preserve"> (New York: WW Norton and Co., 2012). </w:t>
      </w:r>
    </w:p>
  </w:footnote>
  <w:footnote w:id="88">
    <w:p w14:paraId="41D10ED0" w14:textId="0C320E5E"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E. Fuller Torrey, Joan Stieber, Jonathan Ezekiel, Sidney M. Wolfe, Joshua Sharfstein, John H. Noble, Laurie M. Flynn, “Criminalizing the Mentally Ill: The Abuse of Jails as Mental Hospitals,” Report of the National Alliance for the Mentally Ill and Public Citizen’s Health Research Group (1992). </w:t>
      </w:r>
    </w:p>
  </w:footnote>
  <w:footnote w:id="89">
    <w:p w14:paraId="16011E84" w14:textId="2EA0AF35" w:rsidR="00090FE8" w:rsidRPr="00542E39" w:rsidRDefault="00090FE8" w:rsidP="004D7A88">
      <w:pPr>
        <w:pStyle w:val="FootnoteText"/>
        <w:rPr>
          <w:sz w:val="20"/>
          <w:szCs w:val="20"/>
        </w:rPr>
      </w:pPr>
      <w:r w:rsidRPr="00542E39">
        <w:rPr>
          <w:rStyle w:val="FootnoteReference"/>
          <w:sz w:val="20"/>
          <w:szCs w:val="20"/>
        </w:rPr>
        <w:footnoteRef/>
      </w:r>
      <w:r w:rsidRPr="00542E39">
        <w:rPr>
          <w:sz w:val="20"/>
          <w:szCs w:val="20"/>
        </w:rPr>
        <w:t xml:space="preserve"> Bernard Harcourt, “Carceral Continuities,” in </w:t>
      </w:r>
      <w:r w:rsidRPr="00542E39">
        <w:rPr>
          <w:i/>
          <w:sz w:val="20"/>
          <w:szCs w:val="20"/>
        </w:rPr>
        <w:t xml:space="preserve">Carceral Notebooks </w:t>
      </w:r>
      <w:r w:rsidRPr="00542E39">
        <w:rPr>
          <w:sz w:val="20"/>
          <w:szCs w:val="20"/>
        </w:rPr>
        <w:t>2 (2006), 5, 21.</w:t>
      </w:r>
    </w:p>
  </w:footnote>
  <w:footnote w:id="90">
    <w:p w14:paraId="4A7A3972" w14:textId="006C4FAF" w:rsidR="00090FE8" w:rsidRPr="00542E39" w:rsidRDefault="00090FE8" w:rsidP="00D74C96">
      <w:pPr>
        <w:pStyle w:val="FootnoteText"/>
        <w:rPr>
          <w:sz w:val="20"/>
          <w:szCs w:val="20"/>
        </w:rPr>
      </w:pPr>
      <w:r w:rsidRPr="00542E39">
        <w:rPr>
          <w:rStyle w:val="FootnoteReference"/>
          <w:sz w:val="20"/>
          <w:szCs w:val="20"/>
        </w:rPr>
        <w:footnoteRef/>
      </w:r>
      <w:r w:rsidRPr="00542E39">
        <w:rPr>
          <w:sz w:val="20"/>
          <w:szCs w:val="20"/>
        </w:rPr>
        <w:t xml:space="preserve"> Rafter, </w:t>
      </w:r>
      <w:r w:rsidRPr="00542E39">
        <w:rPr>
          <w:i/>
          <w:sz w:val="20"/>
          <w:szCs w:val="20"/>
        </w:rPr>
        <w:t>Creating Born Criminals</w:t>
      </w:r>
      <w:r w:rsidRPr="00542E39">
        <w:rPr>
          <w:sz w:val="20"/>
          <w:szCs w:val="20"/>
        </w:rPr>
        <w:t xml:space="preserve">, 152-153; Black, </w:t>
      </w:r>
      <w:r w:rsidRPr="00542E39">
        <w:rPr>
          <w:i/>
          <w:sz w:val="20"/>
          <w:szCs w:val="20"/>
        </w:rPr>
        <w:t>War Against the Weak</w:t>
      </w:r>
      <w:r w:rsidRPr="00542E39">
        <w:rPr>
          <w:sz w:val="20"/>
          <w:szCs w:val="20"/>
        </w:rPr>
        <w:t xml:space="preserve">, 122-123, 398, 402 on sterilization rates. Harcourt, “Carceral Continuities” on deinstitutionalization of mental health institutions.; Jennifer M. Reingle and Nadine M. Connell, “Mental Health of Prisoners: Identifying Barriers to Mental Health Treatment and Medication Continuity,” </w:t>
      </w:r>
      <w:r w:rsidRPr="00542E39">
        <w:rPr>
          <w:i/>
          <w:sz w:val="20"/>
          <w:szCs w:val="20"/>
        </w:rPr>
        <w:t>American Journal of Public Health</w:t>
      </w:r>
      <w:r w:rsidRPr="00542E39">
        <w:rPr>
          <w:sz w:val="20"/>
          <w:szCs w:val="20"/>
        </w:rPr>
        <w:t xml:space="preserve"> 104.12 (Dec. 2014): 2328-2333; </w:t>
      </w:r>
      <w:r w:rsidRPr="00542E39">
        <w:rPr>
          <w:rStyle w:val="FootnoteReference"/>
          <w:sz w:val="20"/>
          <w:szCs w:val="20"/>
        </w:rPr>
        <w:footnoteRef/>
      </w:r>
      <w:r w:rsidRPr="00542E39">
        <w:rPr>
          <w:sz w:val="20"/>
          <w:szCs w:val="20"/>
        </w:rPr>
        <w:t xml:space="preserve"> E. Fuller Torrey, Aaron D. Kennard, Don Eslinger, Richard Lamb, and James Pavle. “More Mentally Ill Persons Are in Jails and Prisons Than Hospitals: A Survey of the States.” Treatment Advocacy Center: May 2010. Accessed at &lt; </w:t>
      </w:r>
      <w:hyperlink r:id="rId2" w:history="1">
        <w:r w:rsidRPr="00542E39">
          <w:rPr>
            <w:rStyle w:val="Hyperlink"/>
            <w:sz w:val="20"/>
            <w:szCs w:val="20"/>
          </w:rPr>
          <w:t>http://www.treatmentadvocacycenter.org/storage/ documents/final_jails_v_hospitals_study.pdf</w:t>
        </w:r>
      </w:hyperlink>
      <w:r w:rsidRPr="00542E39">
        <w:rPr>
          <w:sz w:val="20"/>
          <w:szCs w:val="20"/>
        </w:rPr>
        <w:t>&gt;, 13. Retrieved August 5, 2015.</w:t>
      </w:r>
    </w:p>
  </w:footnote>
  <w:footnote w:id="91">
    <w:p w14:paraId="11D5AF95" w14:textId="77777777" w:rsidR="00090FE8" w:rsidRPr="00542E39" w:rsidRDefault="00090FE8" w:rsidP="00D74C96">
      <w:pPr>
        <w:pStyle w:val="FootnoteText"/>
        <w:rPr>
          <w:sz w:val="20"/>
          <w:szCs w:val="20"/>
        </w:rPr>
      </w:pPr>
      <w:r w:rsidRPr="00542E39">
        <w:rPr>
          <w:rStyle w:val="FootnoteReference"/>
          <w:sz w:val="20"/>
          <w:szCs w:val="20"/>
        </w:rPr>
        <w:footnoteRef/>
      </w:r>
      <w:r w:rsidRPr="00542E39">
        <w:rPr>
          <w:sz w:val="20"/>
          <w:szCs w:val="20"/>
        </w:rPr>
        <w:t xml:space="preserve"> Harcourt, “Carceral Continuities,” 23. </w:t>
      </w:r>
    </w:p>
  </w:footnote>
  <w:footnote w:id="92">
    <w:p w14:paraId="2E3AEF8D" w14:textId="05539C75" w:rsidR="00090FE8" w:rsidRPr="00542E39" w:rsidRDefault="00090FE8" w:rsidP="004D7A88">
      <w:pPr>
        <w:pStyle w:val="FootnoteText"/>
        <w:rPr>
          <w:sz w:val="20"/>
          <w:szCs w:val="20"/>
        </w:rPr>
      </w:pPr>
      <w:r w:rsidRPr="00542E39">
        <w:rPr>
          <w:rStyle w:val="FootnoteReference"/>
          <w:sz w:val="20"/>
          <w:szCs w:val="20"/>
        </w:rPr>
        <w:footnoteRef/>
      </w:r>
      <w:r w:rsidRPr="00542E39">
        <w:rPr>
          <w:sz w:val="20"/>
          <w:szCs w:val="20"/>
        </w:rPr>
        <w:t xml:space="preserve"> Henderson, </w:t>
      </w:r>
      <w:r w:rsidRPr="00542E39">
        <w:rPr>
          <w:i/>
          <w:sz w:val="20"/>
          <w:szCs w:val="20"/>
        </w:rPr>
        <w:t xml:space="preserve">An Introduction, </w:t>
      </w:r>
      <w:r w:rsidRPr="00542E39">
        <w:rPr>
          <w:sz w:val="20"/>
          <w:szCs w:val="20"/>
        </w:rPr>
        <w:t xml:space="preserve">319-321; Drahms, </w:t>
      </w:r>
      <w:r w:rsidRPr="00542E39">
        <w:rPr>
          <w:i/>
          <w:sz w:val="20"/>
          <w:szCs w:val="20"/>
        </w:rPr>
        <w:t xml:space="preserve">The Criminal, </w:t>
      </w:r>
      <w:r w:rsidRPr="00542E39">
        <w:rPr>
          <w:sz w:val="20"/>
          <w:szCs w:val="20"/>
        </w:rPr>
        <w:t xml:space="preserve">364-365; Parsons, </w:t>
      </w:r>
      <w:r w:rsidRPr="00542E39">
        <w:rPr>
          <w:i/>
          <w:sz w:val="20"/>
          <w:szCs w:val="20"/>
        </w:rPr>
        <w:t xml:space="preserve">Responsibility, </w:t>
      </w:r>
      <w:r w:rsidRPr="00542E39">
        <w:rPr>
          <w:sz w:val="20"/>
          <w:szCs w:val="20"/>
        </w:rPr>
        <w:t xml:space="preserve">154-159. </w:t>
      </w:r>
    </w:p>
  </w:footnote>
  <w:footnote w:id="93">
    <w:p w14:paraId="01A6384C" w14:textId="77777777" w:rsidR="00090FE8" w:rsidRPr="00542E39" w:rsidRDefault="00090FE8" w:rsidP="007B2B4A">
      <w:pPr>
        <w:pStyle w:val="FootnoteText"/>
        <w:rPr>
          <w:sz w:val="20"/>
          <w:szCs w:val="20"/>
        </w:rPr>
      </w:pPr>
      <w:r w:rsidRPr="00542E39">
        <w:rPr>
          <w:rStyle w:val="FootnoteReference"/>
          <w:sz w:val="20"/>
          <w:szCs w:val="20"/>
        </w:rPr>
        <w:footnoteRef/>
      </w:r>
      <w:r w:rsidRPr="00542E39">
        <w:rPr>
          <w:sz w:val="20"/>
          <w:szCs w:val="20"/>
        </w:rPr>
        <w:t xml:space="preserve"> Garland, </w:t>
      </w:r>
      <w:r w:rsidRPr="00542E39">
        <w:rPr>
          <w:i/>
          <w:sz w:val="20"/>
          <w:szCs w:val="20"/>
        </w:rPr>
        <w:t>Peculiar Institution</w:t>
      </w:r>
      <w:r w:rsidRPr="00542E39">
        <w:rPr>
          <w:sz w:val="20"/>
          <w:szCs w:val="20"/>
        </w:rPr>
        <w:t xml:space="preserve">, 34-35. </w:t>
      </w:r>
    </w:p>
  </w:footnote>
  <w:footnote w:id="94">
    <w:p w14:paraId="60CA5ADA" w14:textId="6738F350" w:rsidR="00090FE8" w:rsidRPr="00542E39" w:rsidRDefault="00090FE8" w:rsidP="007B2B4A">
      <w:pPr>
        <w:pStyle w:val="FootnoteText"/>
        <w:rPr>
          <w:sz w:val="20"/>
          <w:szCs w:val="20"/>
        </w:rPr>
      </w:pPr>
      <w:r w:rsidRPr="00542E39">
        <w:rPr>
          <w:rStyle w:val="FootnoteReference"/>
          <w:sz w:val="20"/>
          <w:szCs w:val="20"/>
        </w:rPr>
        <w:footnoteRef/>
      </w:r>
      <w:r w:rsidRPr="00542E39">
        <w:rPr>
          <w:sz w:val="20"/>
          <w:szCs w:val="20"/>
        </w:rPr>
        <w:t xml:space="preserve"> Gottschalk, </w:t>
      </w:r>
      <w:r w:rsidRPr="00542E39">
        <w:rPr>
          <w:i/>
          <w:sz w:val="20"/>
          <w:szCs w:val="20"/>
        </w:rPr>
        <w:t>Prison and the Gallows</w:t>
      </w:r>
      <w:r w:rsidRPr="00542E39">
        <w:rPr>
          <w:sz w:val="20"/>
          <w:szCs w:val="20"/>
        </w:rPr>
        <w:t xml:space="preserve">, 199; Garland, </w:t>
      </w:r>
      <w:r w:rsidRPr="00542E39">
        <w:rPr>
          <w:i/>
          <w:sz w:val="20"/>
          <w:szCs w:val="20"/>
        </w:rPr>
        <w:t xml:space="preserve">Peculiar Institution, </w:t>
      </w:r>
      <w:r w:rsidRPr="00542E39">
        <w:rPr>
          <w:sz w:val="20"/>
          <w:szCs w:val="20"/>
        </w:rPr>
        <w:t xml:space="preserve">12, 34-35; Franklin Zimring, </w:t>
      </w:r>
      <w:r w:rsidRPr="00542E39">
        <w:rPr>
          <w:i/>
          <w:sz w:val="20"/>
          <w:szCs w:val="20"/>
        </w:rPr>
        <w:t>The Contradictions of American Capital Punishment</w:t>
      </w:r>
      <w:r w:rsidRPr="00542E39">
        <w:rPr>
          <w:sz w:val="20"/>
          <w:szCs w:val="20"/>
        </w:rPr>
        <w:t xml:space="preserve"> (Oxford: Oxford University Press, 2003), 136. </w:t>
      </w:r>
    </w:p>
  </w:footnote>
  <w:footnote w:id="95">
    <w:p w14:paraId="0B40A54F" w14:textId="1E5E94B0"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Lawrence D. Bobo, “Inequalities that Endure? Racial Ideology, American Politics, and the Peculiar Role of the Social Sciences,” in Maria Krysan and Amanda E. Lewis, eds., </w:t>
      </w:r>
      <w:r w:rsidRPr="00542E39">
        <w:rPr>
          <w:i/>
          <w:sz w:val="20"/>
          <w:szCs w:val="20"/>
        </w:rPr>
        <w:t>The Changing Terrain of Race and Ethnicity</w:t>
      </w:r>
      <w:r w:rsidRPr="00542E39">
        <w:rPr>
          <w:sz w:val="20"/>
          <w:szCs w:val="20"/>
        </w:rPr>
        <w:t xml:space="preserve"> (New York: Russell Sage Foundation, 2004), 13-42.</w:t>
      </w:r>
    </w:p>
  </w:footnote>
  <w:footnote w:id="96">
    <w:p w14:paraId="2EC41876" w14:textId="3C86856C"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US Department of Labor, </w:t>
      </w:r>
      <w:r w:rsidRPr="00542E39">
        <w:rPr>
          <w:i/>
          <w:sz w:val="20"/>
          <w:szCs w:val="20"/>
        </w:rPr>
        <w:t>The Negro Family: The Case for National Action</w:t>
      </w:r>
      <w:r w:rsidRPr="00542E39">
        <w:rPr>
          <w:sz w:val="20"/>
          <w:szCs w:val="20"/>
        </w:rPr>
        <w:t xml:space="preserve"> (Washington: US Government Printing Office, 1965). </w:t>
      </w:r>
    </w:p>
  </w:footnote>
  <w:footnote w:id="97">
    <w:p w14:paraId="4E0C5395" w14:textId="03C7B73B" w:rsidR="00090FE8" w:rsidRPr="00542E39" w:rsidRDefault="00090FE8" w:rsidP="007B2B4A">
      <w:pPr>
        <w:pStyle w:val="FootnoteText"/>
        <w:rPr>
          <w:sz w:val="20"/>
          <w:szCs w:val="20"/>
        </w:rPr>
      </w:pPr>
      <w:r w:rsidRPr="00542E39">
        <w:rPr>
          <w:rStyle w:val="FootnoteReference"/>
          <w:sz w:val="20"/>
          <w:szCs w:val="20"/>
        </w:rPr>
        <w:footnoteRef/>
      </w:r>
      <w:r w:rsidRPr="00542E39">
        <w:rPr>
          <w:sz w:val="20"/>
          <w:szCs w:val="20"/>
        </w:rPr>
        <w:t xml:space="preserve"> Tonry, </w:t>
      </w:r>
      <w:r w:rsidRPr="00542E39">
        <w:rPr>
          <w:i/>
          <w:sz w:val="20"/>
          <w:szCs w:val="20"/>
        </w:rPr>
        <w:t>Punishing Race,</w:t>
      </w:r>
      <w:r w:rsidRPr="00542E39">
        <w:rPr>
          <w:sz w:val="20"/>
          <w:szCs w:val="20"/>
        </w:rPr>
        <w:t xml:space="preserve"> 106-114; Gottschalk, </w:t>
      </w:r>
      <w:r w:rsidRPr="00542E39">
        <w:rPr>
          <w:i/>
          <w:sz w:val="20"/>
          <w:szCs w:val="20"/>
        </w:rPr>
        <w:t>Prison and the Gallows</w:t>
      </w:r>
      <w:r w:rsidRPr="00542E39">
        <w:rPr>
          <w:sz w:val="20"/>
          <w:szCs w:val="20"/>
        </w:rPr>
        <w:t xml:space="preserve">, 121-133. </w:t>
      </w:r>
    </w:p>
  </w:footnote>
  <w:footnote w:id="98">
    <w:p w14:paraId="7F47CC7E" w14:textId="0F7CA1D6" w:rsidR="00090FE8" w:rsidRPr="00542E39" w:rsidRDefault="00090FE8" w:rsidP="007B2B4A">
      <w:pPr>
        <w:rPr>
          <w:sz w:val="20"/>
          <w:szCs w:val="20"/>
        </w:rPr>
      </w:pPr>
      <w:r w:rsidRPr="00542E39">
        <w:rPr>
          <w:rStyle w:val="FootnoteReference"/>
          <w:sz w:val="20"/>
          <w:szCs w:val="20"/>
        </w:rPr>
        <w:footnoteRef/>
      </w:r>
      <w:r w:rsidRPr="00542E39">
        <w:rPr>
          <w:sz w:val="20"/>
          <w:szCs w:val="20"/>
        </w:rPr>
        <w:t xml:space="preserve"> Martinson, “What works?”; Garland, </w:t>
      </w:r>
      <w:r w:rsidRPr="00542E39">
        <w:rPr>
          <w:i/>
          <w:sz w:val="20"/>
          <w:szCs w:val="20"/>
        </w:rPr>
        <w:t>Culture of Control</w:t>
      </w:r>
      <w:r w:rsidRPr="00542E39">
        <w:rPr>
          <w:sz w:val="20"/>
          <w:szCs w:val="20"/>
        </w:rPr>
        <w:t>, 58-59; Wacquant,</w:t>
      </w:r>
      <w:r w:rsidRPr="00542E39">
        <w:rPr>
          <w:i/>
          <w:sz w:val="20"/>
          <w:szCs w:val="20"/>
        </w:rPr>
        <w:t xml:space="preserve"> Punishing the Poor, </w:t>
      </w:r>
      <w:r w:rsidRPr="00542E39">
        <w:rPr>
          <w:sz w:val="20"/>
          <w:szCs w:val="20"/>
        </w:rPr>
        <w:t>206.</w:t>
      </w:r>
    </w:p>
  </w:footnote>
  <w:footnote w:id="99">
    <w:p w14:paraId="533BB16B" w14:textId="4C93B4DA" w:rsidR="00090FE8" w:rsidRPr="00542E39" w:rsidRDefault="00090FE8" w:rsidP="006470FD">
      <w:pPr>
        <w:pStyle w:val="FootnoteText"/>
        <w:rPr>
          <w:sz w:val="20"/>
          <w:szCs w:val="20"/>
        </w:rPr>
      </w:pPr>
      <w:r w:rsidRPr="00542E39">
        <w:rPr>
          <w:rStyle w:val="FootnoteReference"/>
          <w:sz w:val="20"/>
          <w:szCs w:val="20"/>
        </w:rPr>
        <w:footnoteRef/>
      </w:r>
      <w:r w:rsidRPr="00542E39">
        <w:rPr>
          <w:sz w:val="20"/>
          <w:szCs w:val="20"/>
        </w:rPr>
        <w:t xml:space="preserve"> Marie Gottschalk, </w:t>
      </w:r>
      <w:r w:rsidRPr="00542E39">
        <w:rPr>
          <w:i/>
          <w:sz w:val="20"/>
          <w:szCs w:val="20"/>
        </w:rPr>
        <w:t>Caught: The Prison State and the Lockdown of American Politics</w:t>
      </w:r>
      <w:r w:rsidRPr="00542E39">
        <w:rPr>
          <w:sz w:val="20"/>
          <w:szCs w:val="20"/>
        </w:rPr>
        <w:t xml:space="preserve"> (Princeton: Princeton University Press, 2015), 79-97.</w:t>
      </w:r>
    </w:p>
  </w:footnote>
  <w:footnote w:id="100">
    <w:p w14:paraId="36F5F5FA" w14:textId="3A924966"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Wacqu</w:t>
      </w:r>
      <w:r w:rsidR="00614666">
        <w:rPr>
          <w:sz w:val="20"/>
          <w:szCs w:val="20"/>
        </w:rPr>
        <w:t>a</w:t>
      </w:r>
      <w:r w:rsidRPr="00542E39">
        <w:rPr>
          <w:sz w:val="20"/>
          <w:szCs w:val="20"/>
        </w:rPr>
        <w:t xml:space="preserve">nt, </w:t>
      </w:r>
      <w:r w:rsidRPr="00542E39">
        <w:rPr>
          <w:i/>
          <w:sz w:val="20"/>
          <w:szCs w:val="20"/>
        </w:rPr>
        <w:t xml:space="preserve">Punishing the Poor, </w:t>
      </w:r>
      <w:r w:rsidRPr="00542E39">
        <w:rPr>
          <w:sz w:val="20"/>
          <w:szCs w:val="20"/>
        </w:rPr>
        <w:t xml:space="preserve">1. </w:t>
      </w:r>
    </w:p>
  </w:footnote>
  <w:footnote w:id="101">
    <w:p w14:paraId="75DCBBC7" w14:textId="4DA5FA43"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Gottschalk, </w:t>
      </w:r>
      <w:r w:rsidRPr="00542E39">
        <w:rPr>
          <w:i/>
          <w:sz w:val="20"/>
          <w:szCs w:val="20"/>
        </w:rPr>
        <w:t>Caught</w:t>
      </w:r>
      <w:r w:rsidRPr="00542E39">
        <w:rPr>
          <w:sz w:val="20"/>
          <w:szCs w:val="20"/>
        </w:rPr>
        <w:t>, 79-97.</w:t>
      </w:r>
    </w:p>
  </w:footnote>
  <w:footnote w:id="102">
    <w:p w14:paraId="672C4305" w14:textId="03DF1A41"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Wacquant, </w:t>
      </w:r>
      <w:r w:rsidRPr="00542E39">
        <w:rPr>
          <w:i/>
          <w:sz w:val="20"/>
          <w:szCs w:val="20"/>
        </w:rPr>
        <w:t>Punishing the Poor</w:t>
      </w:r>
      <w:r w:rsidRPr="00542E39">
        <w:rPr>
          <w:sz w:val="20"/>
          <w:szCs w:val="20"/>
        </w:rPr>
        <w:t xml:space="preserve">, 69-70; Bruce Western, </w:t>
      </w:r>
      <w:r w:rsidRPr="00542E39">
        <w:rPr>
          <w:i/>
          <w:sz w:val="20"/>
          <w:szCs w:val="20"/>
        </w:rPr>
        <w:t>Punishment and Inequality in America</w:t>
      </w:r>
      <w:r w:rsidRPr="00542E39">
        <w:rPr>
          <w:sz w:val="20"/>
          <w:szCs w:val="20"/>
        </w:rPr>
        <w:t xml:space="preserve"> (New York: Russell Sage, 2006), 85-107.</w:t>
      </w:r>
    </w:p>
  </w:footnote>
  <w:footnote w:id="103">
    <w:p w14:paraId="6FA5B53E" w14:textId="77777777" w:rsidR="00090FE8" w:rsidRPr="00542E39" w:rsidRDefault="00090FE8" w:rsidP="005C0F91">
      <w:pPr>
        <w:pStyle w:val="FootnoteText"/>
        <w:rPr>
          <w:sz w:val="20"/>
          <w:szCs w:val="20"/>
        </w:rPr>
      </w:pPr>
      <w:r w:rsidRPr="00542E39">
        <w:rPr>
          <w:rStyle w:val="FootnoteReference"/>
          <w:sz w:val="20"/>
          <w:szCs w:val="20"/>
        </w:rPr>
        <w:footnoteRef/>
      </w:r>
      <w:r w:rsidRPr="00542E39">
        <w:rPr>
          <w:sz w:val="20"/>
          <w:szCs w:val="20"/>
        </w:rPr>
        <w:t xml:space="preserve"> Flamm, </w:t>
      </w:r>
      <w:r w:rsidRPr="00542E39">
        <w:rPr>
          <w:i/>
          <w:sz w:val="20"/>
          <w:szCs w:val="20"/>
        </w:rPr>
        <w:t>Law and Order</w:t>
      </w:r>
      <w:r w:rsidRPr="00542E39">
        <w:rPr>
          <w:sz w:val="20"/>
          <w:szCs w:val="20"/>
        </w:rPr>
        <w:t xml:space="preserve">, 46-47, 98-102; Wacquant, </w:t>
      </w:r>
      <w:r w:rsidRPr="00542E39">
        <w:rPr>
          <w:i/>
          <w:sz w:val="20"/>
          <w:szCs w:val="20"/>
        </w:rPr>
        <w:t>Punishing the Poor</w:t>
      </w:r>
      <w:r w:rsidRPr="00542E39">
        <w:rPr>
          <w:sz w:val="20"/>
          <w:szCs w:val="20"/>
        </w:rPr>
        <w:t>, 67-70.</w:t>
      </w:r>
    </w:p>
  </w:footnote>
  <w:footnote w:id="104">
    <w:p w14:paraId="445C7E4F" w14:textId="46C1BA97"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Joachim Saveslberg, “Knowledge, Domination, and Criminal Punishment,” </w:t>
      </w:r>
      <w:r w:rsidRPr="00542E39">
        <w:rPr>
          <w:i/>
          <w:sz w:val="20"/>
          <w:szCs w:val="20"/>
        </w:rPr>
        <w:t xml:space="preserve">American Journal of Sociology </w:t>
      </w:r>
      <w:r w:rsidRPr="00542E39">
        <w:rPr>
          <w:sz w:val="20"/>
          <w:szCs w:val="20"/>
        </w:rPr>
        <w:t xml:space="preserve">99.4 (1994): 934; Gottschalk, </w:t>
      </w:r>
      <w:r w:rsidRPr="00542E39">
        <w:rPr>
          <w:i/>
          <w:sz w:val="20"/>
          <w:szCs w:val="20"/>
        </w:rPr>
        <w:t>Prison and the Gallows</w:t>
      </w:r>
      <w:r w:rsidRPr="00542E39">
        <w:rPr>
          <w:sz w:val="20"/>
          <w:szCs w:val="20"/>
        </w:rPr>
        <w:t xml:space="preserve">, 99. </w:t>
      </w:r>
    </w:p>
  </w:footnote>
  <w:footnote w:id="105">
    <w:p w14:paraId="5CA5BFE5" w14:textId="0092EDB6"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John Hagan, </w:t>
      </w:r>
      <w:r w:rsidRPr="00542E39">
        <w:rPr>
          <w:i/>
          <w:sz w:val="20"/>
          <w:szCs w:val="20"/>
        </w:rPr>
        <w:t>Who Are the Criminals? The Politics of Crime Policy from the Age of Roosevelt to the Age of Reagan</w:t>
      </w:r>
      <w:r w:rsidRPr="00542E39">
        <w:rPr>
          <w:sz w:val="20"/>
          <w:szCs w:val="20"/>
        </w:rPr>
        <w:t xml:space="preserve"> (Princeton: Princeton University Press, 2010): chapters 4-6 on career criminal criminology; Ronald Reagan, quoted in “G.O.P. Testimony on Violence,” </w:t>
      </w:r>
      <w:r w:rsidRPr="00542E39">
        <w:rPr>
          <w:i/>
          <w:sz w:val="20"/>
          <w:szCs w:val="20"/>
        </w:rPr>
        <w:t>New York Times</w:t>
      </w:r>
      <w:r w:rsidRPr="00542E39">
        <w:rPr>
          <w:sz w:val="20"/>
          <w:szCs w:val="20"/>
        </w:rPr>
        <w:t xml:space="preserve"> August 1, 1868, p. 20. </w:t>
      </w:r>
    </w:p>
  </w:footnote>
  <w:footnote w:id="106">
    <w:p w14:paraId="5E7A9794" w14:textId="4698382A"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Lawrence Taylor, </w:t>
      </w:r>
      <w:r w:rsidRPr="00542E39">
        <w:rPr>
          <w:i/>
          <w:sz w:val="20"/>
          <w:szCs w:val="20"/>
        </w:rPr>
        <w:t>Born to Crime: The Genetic Causes of Criminal Behavior</w:t>
      </w:r>
      <w:r w:rsidRPr="00542E39">
        <w:rPr>
          <w:sz w:val="20"/>
          <w:szCs w:val="20"/>
        </w:rPr>
        <w:t xml:space="preserve"> (Westport: Greenwood Press, 1984), 74-79; Mary A. Telfer, “Incidence of Gross Genetic Chromosomal errors Among Tall Criminal American Males,” </w:t>
      </w:r>
      <w:r w:rsidRPr="00542E39">
        <w:rPr>
          <w:i/>
          <w:sz w:val="20"/>
          <w:szCs w:val="20"/>
        </w:rPr>
        <w:t>Science</w:t>
      </w:r>
      <w:r w:rsidRPr="00542E39">
        <w:rPr>
          <w:sz w:val="20"/>
          <w:szCs w:val="20"/>
        </w:rPr>
        <w:t xml:space="preserve"> 159 (1968), 1249-1250; S. Walzer and P.S. Gerald, “Social Class and Frequency of XYY and XXY,” </w:t>
      </w:r>
      <w:r w:rsidRPr="00542E39">
        <w:rPr>
          <w:i/>
          <w:sz w:val="20"/>
          <w:szCs w:val="20"/>
        </w:rPr>
        <w:t>Science</w:t>
      </w:r>
      <w:r w:rsidRPr="00542E39">
        <w:rPr>
          <w:sz w:val="20"/>
          <w:szCs w:val="20"/>
        </w:rPr>
        <w:t xml:space="preserve"> 190 (1975): 1228-1229; E.B. Hook, “Behavioral Implications of the Human XYY Genotype,” </w:t>
      </w:r>
      <w:r w:rsidRPr="00542E39">
        <w:rPr>
          <w:i/>
          <w:sz w:val="20"/>
          <w:szCs w:val="20"/>
        </w:rPr>
        <w:t>Science</w:t>
      </w:r>
      <w:r w:rsidRPr="00542E39">
        <w:rPr>
          <w:sz w:val="20"/>
          <w:szCs w:val="20"/>
        </w:rPr>
        <w:t xml:space="preserve"> 179 (1975): 139-150; Stephen Jay Gould, </w:t>
      </w:r>
      <w:r w:rsidRPr="00542E39">
        <w:rPr>
          <w:i/>
          <w:sz w:val="20"/>
          <w:szCs w:val="20"/>
        </w:rPr>
        <w:t>The Mismeasure of Man</w:t>
      </w:r>
      <w:r w:rsidRPr="00542E39">
        <w:rPr>
          <w:sz w:val="20"/>
          <w:szCs w:val="20"/>
        </w:rPr>
        <w:t xml:space="preserve"> (New York: Norton, 1981), 173-175.</w:t>
      </w:r>
    </w:p>
  </w:footnote>
  <w:footnote w:id="107">
    <w:p w14:paraId="3D51BCA6" w14:textId="5E7FCF0A"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Sarnoff A. Mednick, W.F. Gabrielli and B. Hutching, “Genetic influences in Criminal Convictions: Evidence from an Adoption Court,” </w:t>
      </w:r>
      <w:r w:rsidRPr="00542E39">
        <w:rPr>
          <w:i/>
          <w:sz w:val="20"/>
          <w:szCs w:val="20"/>
        </w:rPr>
        <w:t xml:space="preserve">Science </w:t>
      </w:r>
      <w:r w:rsidRPr="00542E39">
        <w:rPr>
          <w:sz w:val="20"/>
          <w:szCs w:val="20"/>
        </w:rPr>
        <w:t xml:space="preserve">224 (1984): 891-894; Katherine Teilmann Van Dusen, Sarnoff A. Mednick, William F. Gabrielli, Jr., and Barry Hutchings, “Social Class and Crime in an Adoption Court,” </w:t>
      </w:r>
      <w:r w:rsidRPr="00542E39">
        <w:rPr>
          <w:i/>
          <w:sz w:val="20"/>
          <w:szCs w:val="20"/>
        </w:rPr>
        <w:t>The Journal of Criminal Law and Criminology</w:t>
      </w:r>
      <w:r w:rsidRPr="00542E39">
        <w:rPr>
          <w:sz w:val="20"/>
          <w:szCs w:val="20"/>
        </w:rPr>
        <w:t xml:space="preserve"> 74.1 (1983): 249-269; Henry C. Harpending and Patricia Draper, “Antisocial Behavior and the Other Side of Cultural Evolution,” in </w:t>
      </w:r>
      <w:r w:rsidRPr="00542E39">
        <w:rPr>
          <w:i/>
          <w:sz w:val="20"/>
          <w:szCs w:val="20"/>
        </w:rPr>
        <w:t>Biological Contributions to Crime Causation</w:t>
      </w:r>
      <w:r w:rsidRPr="00542E39">
        <w:rPr>
          <w:sz w:val="20"/>
          <w:szCs w:val="20"/>
        </w:rPr>
        <w:t>, eds. Terrie E. Moffitt and Sarnoff A. Mednick (Dordrecht, Boston, and Lancaster: Martinus Nijhoff Publishers, 1988), 294-305.</w:t>
      </w:r>
    </w:p>
  </w:footnote>
  <w:footnote w:id="108">
    <w:p w14:paraId="08D11A7C" w14:textId="5ED71FCF"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Richard J. Herrnstein and Charles Murray, </w:t>
      </w:r>
      <w:r w:rsidRPr="00542E39">
        <w:rPr>
          <w:i/>
          <w:sz w:val="20"/>
          <w:szCs w:val="20"/>
        </w:rPr>
        <w:t>The Bell Curve: Intelligence and Class Structure in American Life</w:t>
      </w:r>
      <w:r w:rsidRPr="00542E39">
        <w:rPr>
          <w:sz w:val="20"/>
          <w:szCs w:val="20"/>
        </w:rPr>
        <w:t xml:space="preserve"> (New York: Free Press, 1994), 238-251, 295-314, 338-339.</w:t>
      </w:r>
    </w:p>
  </w:footnote>
  <w:footnote w:id="109">
    <w:p w14:paraId="06377C80" w14:textId="30A3D9D0"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Adrian Raine, </w:t>
      </w:r>
      <w:r w:rsidRPr="00542E39">
        <w:rPr>
          <w:i/>
          <w:sz w:val="20"/>
          <w:szCs w:val="20"/>
        </w:rPr>
        <w:t>The Anatomy of Violence: The Biological Roots of Crime</w:t>
      </w:r>
      <w:r w:rsidRPr="00542E39">
        <w:rPr>
          <w:sz w:val="20"/>
          <w:szCs w:val="20"/>
        </w:rPr>
        <w:t xml:space="preserve"> (New York: Pantheon, 2013), 49-50, 61-99, 103-109, 192-194, 339, and ch. 11, esp. 341-351. </w:t>
      </w:r>
    </w:p>
  </w:footnote>
  <w:footnote w:id="110">
    <w:p w14:paraId="12DD732B" w14:textId="2D0C4C0D"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John J. DiIulio,  Jr., “The Coming of the Super -- Predators” </w:t>
      </w:r>
      <w:r w:rsidRPr="00542E39">
        <w:rPr>
          <w:i/>
          <w:sz w:val="20"/>
          <w:szCs w:val="20"/>
        </w:rPr>
        <w:t>The Weekly Standard</w:t>
      </w:r>
      <w:r w:rsidRPr="00542E39">
        <w:rPr>
          <w:sz w:val="20"/>
          <w:szCs w:val="20"/>
        </w:rPr>
        <w:t>, 1.11 (1995). Accessed at  &lt;</w:t>
      </w:r>
      <w:hyperlink r:id="rId3" w:history="1">
        <w:r w:rsidRPr="00542E39">
          <w:rPr>
            <w:rStyle w:val="Hyperlink"/>
            <w:sz w:val="20"/>
            <w:szCs w:val="20"/>
          </w:rPr>
          <w:t>http://www.weeklystandard.com/Content/Protected/Articles/000/000/007/011vsbrv.asp#</w:t>
        </w:r>
      </w:hyperlink>
      <w:r w:rsidRPr="00542E39">
        <w:rPr>
          <w:sz w:val="20"/>
          <w:szCs w:val="20"/>
        </w:rPr>
        <w:t xml:space="preserve">&gt;. Retrieved December 2, 2014; James C. Howell, </w:t>
      </w:r>
      <w:r w:rsidRPr="00542E39">
        <w:rPr>
          <w:i/>
          <w:sz w:val="20"/>
          <w:szCs w:val="20"/>
        </w:rPr>
        <w:t xml:space="preserve">Preventing and Reducing Juvenile Delinquency: A Comprehensive Framework </w:t>
      </w:r>
      <w:r w:rsidRPr="00542E39">
        <w:rPr>
          <w:sz w:val="20"/>
          <w:szCs w:val="20"/>
        </w:rPr>
        <w:t>(Thousand Oaks: Sage, 2009), 3-8.</w:t>
      </w:r>
    </w:p>
  </w:footnote>
  <w:footnote w:id="111">
    <w:p w14:paraId="62AB376F" w14:textId="76DE7AC4"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Hillary Clinton, Speech at Keene University, January 25, 1996. Available at &lt;http://www.c-span.org/video/?c4582393/hillary-clinton-jan-25-1996-speech&gt;, accessed February 24, 2016.</w:t>
      </w:r>
    </w:p>
  </w:footnote>
  <w:footnote w:id="112">
    <w:p w14:paraId="5ED35CF1" w14:textId="5D24427E"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Angela J. Thielo, Francis T. Cullen, Derek M. Cohen, and Cecilia Chouhy, “Rehabilitation in a Red State: Public Support for Correctional Reform in Texas,” </w:t>
      </w:r>
      <w:r w:rsidRPr="00542E39">
        <w:rPr>
          <w:i/>
          <w:sz w:val="20"/>
          <w:szCs w:val="20"/>
        </w:rPr>
        <w:t>Criminology and Public Policy</w:t>
      </w:r>
      <w:r w:rsidRPr="00542E39">
        <w:rPr>
          <w:sz w:val="20"/>
          <w:szCs w:val="20"/>
        </w:rPr>
        <w:t xml:space="preserve"> 15.1 (Feb. 2016): 137-170; “What Conservatives are Saying About Criminal Justice Reform and Right on Crime,” </w:t>
      </w:r>
      <w:r w:rsidRPr="00542E39">
        <w:rPr>
          <w:i/>
          <w:sz w:val="20"/>
          <w:szCs w:val="20"/>
        </w:rPr>
        <w:t>Right on Crime,</w:t>
      </w:r>
      <w:r w:rsidRPr="00542E39">
        <w:rPr>
          <w:sz w:val="20"/>
          <w:szCs w:val="20"/>
        </w:rPr>
        <w:t xml:space="preserve"> available at &lt; http://rightoncrime.com/the-conservative-case-for-reform/what-conservatives-are-saying/&gt;, accessed February 29, 2016.</w:t>
      </w:r>
    </w:p>
  </w:footnote>
  <w:footnote w:id="113">
    <w:p w14:paraId="784E804B" w14:textId="540E869F" w:rsidR="00090FE8" w:rsidRPr="00542E39" w:rsidRDefault="00090FE8">
      <w:pPr>
        <w:pStyle w:val="FootnoteText"/>
        <w:rPr>
          <w:sz w:val="20"/>
          <w:szCs w:val="20"/>
        </w:rPr>
      </w:pPr>
      <w:r w:rsidRPr="00542E39">
        <w:rPr>
          <w:rStyle w:val="FootnoteReference"/>
          <w:sz w:val="20"/>
          <w:szCs w:val="20"/>
        </w:rPr>
        <w:footnoteRef/>
      </w:r>
      <w:r w:rsidRPr="00542E39">
        <w:rPr>
          <w:sz w:val="20"/>
          <w:szCs w:val="20"/>
        </w:rPr>
        <w:t xml:space="preserve"> Grover Norquist, “Conservative Principles and Prison,” </w:t>
      </w:r>
      <w:r w:rsidRPr="00542E39">
        <w:rPr>
          <w:i/>
          <w:sz w:val="20"/>
          <w:szCs w:val="20"/>
        </w:rPr>
        <w:t>The National Review,</w:t>
      </w:r>
      <w:r w:rsidRPr="00542E39">
        <w:rPr>
          <w:sz w:val="20"/>
          <w:szCs w:val="20"/>
        </w:rPr>
        <w:t xml:space="preserve"> February 10, 2011, accessed at &lt; http://www.nationalreview.com/article/259263/conservative-principles-and-prison-grover-norquist&gt;, accessed February 29, 2016.</w:t>
      </w:r>
    </w:p>
  </w:footnote>
  <w:footnote w:id="114">
    <w:p w14:paraId="2D4F95BF" w14:textId="3C51194A" w:rsidR="00090FE8" w:rsidRPr="00542E39" w:rsidRDefault="00090FE8" w:rsidP="002B4897">
      <w:pPr>
        <w:rPr>
          <w:sz w:val="20"/>
          <w:szCs w:val="20"/>
        </w:rPr>
      </w:pPr>
      <w:r w:rsidRPr="00542E39">
        <w:rPr>
          <w:rStyle w:val="FootnoteReference"/>
          <w:sz w:val="20"/>
          <w:szCs w:val="20"/>
        </w:rPr>
        <w:footnoteRef/>
      </w:r>
      <w:r w:rsidRPr="00542E39">
        <w:rPr>
          <w:sz w:val="20"/>
          <w:szCs w:val="20"/>
        </w:rPr>
        <w:t xml:space="preserve"> Julian V. Roberts, “American Attitudes About Punishment: Myth and Reality,” in </w:t>
      </w:r>
      <w:r w:rsidRPr="00542E39">
        <w:rPr>
          <w:i/>
          <w:sz w:val="20"/>
          <w:szCs w:val="20"/>
        </w:rPr>
        <w:t>Sentencing Reform in Overcrowded Times: A Comparative Perspective.</w:t>
      </w:r>
      <w:r w:rsidRPr="00542E39">
        <w:rPr>
          <w:sz w:val="20"/>
          <w:szCs w:val="20"/>
        </w:rPr>
        <w:t xml:space="preserve"> Michael Tonry and Kathleen Hatlestad, eds. New York: Oxford University Press, 1997: 250-259; Francis T. Cullen, Bonnie S. Fisher, and Brandon K. Applegate, “Public Opinion About Punishment and Corrections,” in </w:t>
      </w:r>
      <w:r w:rsidRPr="00542E39">
        <w:rPr>
          <w:i/>
          <w:sz w:val="20"/>
          <w:szCs w:val="20"/>
        </w:rPr>
        <w:t>Crime and Justice: A Review of Research</w:t>
      </w:r>
      <w:r w:rsidRPr="00542E39">
        <w:rPr>
          <w:sz w:val="20"/>
          <w:szCs w:val="20"/>
        </w:rPr>
        <w:t xml:space="preserve">, vol. 27. Michael Tonry, ed. Chicago: University of Chicago Press, 2000. </w:t>
      </w:r>
    </w:p>
  </w:footnote>
  <w:footnote w:id="115">
    <w:p w14:paraId="55538F57" w14:textId="01235F0B" w:rsidR="00090FE8" w:rsidRPr="00542E39" w:rsidRDefault="00090FE8" w:rsidP="002B4897">
      <w:pPr>
        <w:pStyle w:val="FootnoteText"/>
        <w:rPr>
          <w:sz w:val="20"/>
          <w:szCs w:val="20"/>
        </w:rPr>
      </w:pPr>
      <w:r w:rsidRPr="00542E39">
        <w:rPr>
          <w:rStyle w:val="FootnoteReference"/>
          <w:sz w:val="20"/>
          <w:szCs w:val="20"/>
        </w:rPr>
        <w:footnoteRef/>
      </w:r>
      <w:r w:rsidRPr="00542E39">
        <w:rPr>
          <w:sz w:val="20"/>
          <w:szCs w:val="20"/>
        </w:rPr>
        <w:t xml:space="preserve"> Western, </w:t>
      </w:r>
      <w:r w:rsidRPr="00542E39">
        <w:rPr>
          <w:i/>
          <w:sz w:val="20"/>
          <w:szCs w:val="20"/>
        </w:rPr>
        <w:t xml:space="preserve">Punishment and Inequality, </w:t>
      </w:r>
      <w:r w:rsidRPr="00542E39">
        <w:rPr>
          <w:sz w:val="20"/>
          <w:szCs w:val="20"/>
        </w:rPr>
        <w:t>108-130.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69B0F" w14:textId="522582B6" w:rsidR="0070222B" w:rsidRDefault="0070222B">
    <w:pPr>
      <w:pStyle w:val="Header"/>
    </w:pPr>
    <w:r>
      <w:t>Working Paper: Do Not Cite or Circulate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039D"/>
    <w:multiLevelType w:val="hybridMultilevel"/>
    <w:tmpl w:val="5B485648"/>
    <w:lvl w:ilvl="0" w:tplc="D2464362">
      <w:start w:val="2"/>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012A7"/>
    <w:multiLevelType w:val="hybridMultilevel"/>
    <w:tmpl w:val="E30E3200"/>
    <w:lvl w:ilvl="0" w:tplc="AC2EF558">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C7F0D"/>
    <w:multiLevelType w:val="hybridMultilevel"/>
    <w:tmpl w:val="1E6ECED0"/>
    <w:lvl w:ilvl="0" w:tplc="C75CCA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A38F8"/>
    <w:multiLevelType w:val="hybridMultilevel"/>
    <w:tmpl w:val="A5B6A8AA"/>
    <w:lvl w:ilvl="0" w:tplc="28CC8FFE">
      <w:numFmt w:val="bullet"/>
      <w:lvlText w:val="-"/>
      <w:lvlJc w:val="left"/>
      <w:pPr>
        <w:ind w:left="720" w:hanging="360"/>
      </w:pPr>
      <w:rPr>
        <w:rFonts w:ascii="Times" w:eastAsiaTheme="minorEastAsia" w:hAnsi="Time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310AB"/>
    <w:multiLevelType w:val="hybridMultilevel"/>
    <w:tmpl w:val="189C7BFC"/>
    <w:lvl w:ilvl="0" w:tplc="28720C88">
      <w:start w:val="1993"/>
      <w:numFmt w:val="bullet"/>
      <w:lvlText w:val="-"/>
      <w:lvlJc w:val="left"/>
      <w:pPr>
        <w:ind w:left="720" w:hanging="360"/>
      </w:pPr>
      <w:rPr>
        <w:rFonts w:ascii="Times" w:eastAsiaTheme="minorEastAsia" w:hAnsi="Time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5D"/>
    <w:rsid w:val="000003B5"/>
    <w:rsid w:val="000004E8"/>
    <w:rsid w:val="00001F1C"/>
    <w:rsid w:val="00002B06"/>
    <w:rsid w:val="000031FC"/>
    <w:rsid w:val="00005656"/>
    <w:rsid w:val="00005DD7"/>
    <w:rsid w:val="00006645"/>
    <w:rsid w:val="000077D9"/>
    <w:rsid w:val="00010295"/>
    <w:rsid w:val="00010F04"/>
    <w:rsid w:val="00011B0F"/>
    <w:rsid w:val="00011EBA"/>
    <w:rsid w:val="000124FD"/>
    <w:rsid w:val="00012943"/>
    <w:rsid w:val="00012F1F"/>
    <w:rsid w:val="00013A40"/>
    <w:rsid w:val="00014F64"/>
    <w:rsid w:val="00015BAA"/>
    <w:rsid w:val="00015CFE"/>
    <w:rsid w:val="000206BB"/>
    <w:rsid w:val="000220B2"/>
    <w:rsid w:val="000233EC"/>
    <w:rsid w:val="00024415"/>
    <w:rsid w:val="00025A00"/>
    <w:rsid w:val="0002702E"/>
    <w:rsid w:val="00027125"/>
    <w:rsid w:val="000274D5"/>
    <w:rsid w:val="000276BF"/>
    <w:rsid w:val="00030608"/>
    <w:rsid w:val="00031235"/>
    <w:rsid w:val="000330AC"/>
    <w:rsid w:val="00033588"/>
    <w:rsid w:val="00033718"/>
    <w:rsid w:val="0003449A"/>
    <w:rsid w:val="000346F7"/>
    <w:rsid w:val="00034723"/>
    <w:rsid w:val="00035552"/>
    <w:rsid w:val="00036036"/>
    <w:rsid w:val="00036819"/>
    <w:rsid w:val="00037002"/>
    <w:rsid w:val="00037067"/>
    <w:rsid w:val="0003734A"/>
    <w:rsid w:val="00037968"/>
    <w:rsid w:val="00037E8C"/>
    <w:rsid w:val="00040F4F"/>
    <w:rsid w:val="000412F4"/>
    <w:rsid w:val="00042536"/>
    <w:rsid w:val="000427FC"/>
    <w:rsid w:val="00042ACE"/>
    <w:rsid w:val="00044290"/>
    <w:rsid w:val="00044408"/>
    <w:rsid w:val="000461E4"/>
    <w:rsid w:val="00046226"/>
    <w:rsid w:val="000471A5"/>
    <w:rsid w:val="0004724C"/>
    <w:rsid w:val="00047659"/>
    <w:rsid w:val="000509C4"/>
    <w:rsid w:val="00050C40"/>
    <w:rsid w:val="00051D7D"/>
    <w:rsid w:val="000522ED"/>
    <w:rsid w:val="000527C4"/>
    <w:rsid w:val="00052E13"/>
    <w:rsid w:val="000543FD"/>
    <w:rsid w:val="00054F05"/>
    <w:rsid w:val="0005542F"/>
    <w:rsid w:val="00055EFE"/>
    <w:rsid w:val="00056C1E"/>
    <w:rsid w:val="00057622"/>
    <w:rsid w:val="000577BC"/>
    <w:rsid w:val="00057DA9"/>
    <w:rsid w:val="00064596"/>
    <w:rsid w:val="00064C20"/>
    <w:rsid w:val="00065FEE"/>
    <w:rsid w:val="00066A3E"/>
    <w:rsid w:val="000701E5"/>
    <w:rsid w:val="000704BD"/>
    <w:rsid w:val="00070D60"/>
    <w:rsid w:val="00070E5F"/>
    <w:rsid w:val="00071EFB"/>
    <w:rsid w:val="0007206C"/>
    <w:rsid w:val="00073C10"/>
    <w:rsid w:val="0007405C"/>
    <w:rsid w:val="000744D4"/>
    <w:rsid w:val="00074D5E"/>
    <w:rsid w:val="00075072"/>
    <w:rsid w:val="0007533C"/>
    <w:rsid w:val="000757C1"/>
    <w:rsid w:val="00080285"/>
    <w:rsid w:val="000811E6"/>
    <w:rsid w:val="00082169"/>
    <w:rsid w:val="00083487"/>
    <w:rsid w:val="0008360B"/>
    <w:rsid w:val="0008437F"/>
    <w:rsid w:val="00084507"/>
    <w:rsid w:val="00085C7D"/>
    <w:rsid w:val="00085E8F"/>
    <w:rsid w:val="00086D7D"/>
    <w:rsid w:val="0008794E"/>
    <w:rsid w:val="0009065D"/>
    <w:rsid w:val="00090FE8"/>
    <w:rsid w:val="000913C7"/>
    <w:rsid w:val="000926B2"/>
    <w:rsid w:val="00095692"/>
    <w:rsid w:val="000968D5"/>
    <w:rsid w:val="000A132D"/>
    <w:rsid w:val="000A1350"/>
    <w:rsid w:val="000A1D6A"/>
    <w:rsid w:val="000A2A96"/>
    <w:rsid w:val="000A2B36"/>
    <w:rsid w:val="000A33A2"/>
    <w:rsid w:val="000A3561"/>
    <w:rsid w:val="000A3958"/>
    <w:rsid w:val="000A466F"/>
    <w:rsid w:val="000A6747"/>
    <w:rsid w:val="000B07D9"/>
    <w:rsid w:val="000B0C2E"/>
    <w:rsid w:val="000B27AB"/>
    <w:rsid w:val="000B2A5E"/>
    <w:rsid w:val="000B2A69"/>
    <w:rsid w:val="000B3983"/>
    <w:rsid w:val="000B39DC"/>
    <w:rsid w:val="000B431D"/>
    <w:rsid w:val="000B5D93"/>
    <w:rsid w:val="000B6406"/>
    <w:rsid w:val="000B69A5"/>
    <w:rsid w:val="000C18C2"/>
    <w:rsid w:val="000C2A5D"/>
    <w:rsid w:val="000C2FF4"/>
    <w:rsid w:val="000C3695"/>
    <w:rsid w:val="000C49F1"/>
    <w:rsid w:val="000C5D69"/>
    <w:rsid w:val="000C6144"/>
    <w:rsid w:val="000C6712"/>
    <w:rsid w:val="000C7270"/>
    <w:rsid w:val="000C774C"/>
    <w:rsid w:val="000D1885"/>
    <w:rsid w:val="000D199B"/>
    <w:rsid w:val="000D2378"/>
    <w:rsid w:val="000D33DF"/>
    <w:rsid w:val="000D3512"/>
    <w:rsid w:val="000D4881"/>
    <w:rsid w:val="000D5274"/>
    <w:rsid w:val="000E0515"/>
    <w:rsid w:val="000E15D0"/>
    <w:rsid w:val="000E19E7"/>
    <w:rsid w:val="000E28CA"/>
    <w:rsid w:val="000E2BE7"/>
    <w:rsid w:val="000E3DC2"/>
    <w:rsid w:val="000E5FB2"/>
    <w:rsid w:val="000E738B"/>
    <w:rsid w:val="000F00E3"/>
    <w:rsid w:val="000F016D"/>
    <w:rsid w:val="000F1674"/>
    <w:rsid w:val="000F313F"/>
    <w:rsid w:val="000F324A"/>
    <w:rsid w:val="000F3547"/>
    <w:rsid w:val="000F49A2"/>
    <w:rsid w:val="000F4D20"/>
    <w:rsid w:val="000F631E"/>
    <w:rsid w:val="000F63A0"/>
    <w:rsid w:val="000F758D"/>
    <w:rsid w:val="0010073A"/>
    <w:rsid w:val="001011BE"/>
    <w:rsid w:val="00102E89"/>
    <w:rsid w:val="001060FA"/>
    <w:rsid w:val="001066FF"/>
    <w:rsid w:val="00106870"/>
    <w:rsid w:val="00106CD5"/>
    <w:rsid w:val="001070A2"/>
    <w:rsid w:val="001070AB"/>
    <w:rsid w:val="001105AF"/>
    <w:rsid w:val="00111A34"/>
    <w:rsid w:val="00112B7F"/>
    <w:rsid w:val="00114274"/>
    <w:rsid w:val="00114764"/>
    <w:rsid w:val="001151C0"/>
    <w:rsid w:val="00115A39"/>
    <w:rsid w:val="0012061A"/>
    <w:rsid w:val="001220B6"/>
    <w:rsid w:val="0012285D"/>
    <w:rsid w:val="00122B25"/>
    <w:rsid w:val="00122D21"/>
    <w:rsid w:val="001237BC"/>
    <w:rsid w:val="0012445A"/>
    <w:rsid w:val="00124727"/>
    <w:rsid w:val="001250B1"/>
    <w:rsid w:val="001256EA"/>
    <w:rsid w:val="00125E85"/>
    <w:rsid w:val="00126712"/>
    <w:rsid w:val="001303D2"/>
    <w:rsid w:val="00131E7B"/>
    <w:rsid w:val="00134073"/>
    <w:rsid w:val="001342AC"/>
    <w:rsid w:val="00135695"/>
    <w:rsid w:val="00135C9D"/>
    <w:rsid w:val="00137646"/>
    <w:rsid w:val="00137D5D"/>
    <w:rsid w:val="00140D84"/>
    <w:rsid w:val="001417F6"/>
    <w:rsid w:val="001424A2"/>
    <w:rsid w:val="0014269D"/>
    <w:rsid w:val="00142D5C"/>
    <w:rsid w:val="00143139"/>
    <w:rsid w:val="0014415A"/>
    <w:rsid w:val="00146A2E"/>
    <w:rsid w:val="001473C1"/>
    <w:rsid w:val="001474B3"/>
    <w:rsid w:val="00147E06"/>
    <w:rsid w:val="00150DA3"/>
    <w:rsid w:val="001529D1"/>
    <w:rsid w:val="00154985"/>
    <w:rsid w:val="00154C55"/>
    <w:rsid w:val="00155258"/>
    <w:rsid w:val="0015679D"/>
    <w:rsid w:val="00157F37"/>
    <w:rsid w:val="00160B31"/>
    <w:rsid w:val="001618BB"/>
    <w:rsid w:val="00161E69"/>
    <w:rsid w:val="00162AD6"/>
    <w:rsid w:val="001634EE"/>
    <w:rsid w:val="00163AEC"/>
    <w:rsid w:val="00164F77"/>
    <w:rsid w:val="001657C3"/>
    <w:rsid w:val="00165D3D"/>
    <w:rsid w:val="001667A1"/>
    <w:rsid w:val="00167432"/>
    <w:rsid w:val="00167884"/>
    <w:rsid w:val="0017059F"/>
    <w:rsid w:val="001706AE"/>
    <w:rsid w:val="0017158B"/>
    <w:rsid w:val="00172B26"/>
    <w:rsid w:val="00174DAA"/>
    <w:rsid w:val="00176269"/>
    <w:rsid w:val="00177899"/>
    <w:rsid w:val="001809C7"/>
    <w:rsid w:val="00180D3D"/>
    <w:rsid w:val="00181E80"/>
    <w:rsid w:val="00182DA8"/>
    <w:rsid w:val="00182EA0"/>
    <w:rsid w:val="001836AF"/>
    <w:rsid w:val="0018372B"/>
    <w:rsid w:val="00183793"/>
    <w:rsid w:val="00183867"/>
    <w:rsid w:val="0018410E"/>
    <w:rsid w:val="001842DD"/>
    <w:rsid w:val="00184682"/>
    <w:rsid w:val="0018559D"/>
    <w:rsid w:val="00186226"/>
    <w:rsid w:val="00187711"/>
    <w:rsid w:val="00190013"/>
    <w:rsid w:val="0019040C"/>
    <w:rsid w:val="001919EC"/>
    <w:rsid w:val="00192D7C"/>
    <w:rsid w:val="001934A0"/>
    <w:rsid w:val="00194C36"/>
    <w:rsid w:val="00194F59"/>
    <w:rsid w:val="00195551"/>
    <w:rsid w:val="00195EB0"/>
    <w:rsid w:val="001975A1"/>
    <w:rsid w:val="00197851"/>
    <w:rsid w:val="00197D92"/>
    <w:rsid w:val="00197EF7"/>
    <w:rsid w:val="00197FB5"/>
    <w:rsid w:val="001A03B3"/>
    <w:rsid w:val="001A13EE"/>
    <w:rsid w:val="001A3665"/>
    <w:rsid w:val="001A3F2E"/>
    <w:rsid w:val="001A416D"/>
    <w:rsid w:val="001A4598"/>
    <w:rsid w:val="001A4679"/>
    <w:rsid w:val="001A6058"/>
    <w:rsid w:val="001A6CB6"/>
    <w:rsid w:val="001B0AE1"/>
    <w:rsid w:val="001B0E97"/>
    <w:rsid w:val="001B3D02"/>
    <w:rsid w:val="001B55F2"/>
    <w:rsid w:val="001B561B"/>
    <w:rsid w:val="001B6EDA"/>
    <w:rsid w:val="001B72BF"/>
    <w:rsid w:val="001B77DF"/>
    <w:rsid w:val="001C09CA"/>
    <w:rsid w:val="001C0C62"/>
    <w:rsid w:val="001C1C81"/>
    <w:rsid w:val="001C22F5"/>
    <w:rsid w:val="001C42F8"/>
    <w:rsid w:val="001C47A1"/>
    <w:rsid w:val="001C682B"/>
    <w:rsid w:val="001C7662"/>
    <w:rsid w:val="001D0C85"/>
    <w:rsid w:val="001D1E2C"/>
    <w:rsid w:val="001D2E18"/>
    <w:rsid w:val="001D3C15"/>
    <w:rsid w:val="001D52F0"/>
    <w:rsid w:val="001D5B71"/>
    <w:rsid w:val="001D5BAC"/>
    <w:rsid w:val="001D6626"/>
    <w:rsid w:val="001E0BA7"/>
    <w:rsid w:val="001E11F9"/>
    <w:rsid w:val="001E2B21"/>
    <w:rsid w:val="001E4337"/>
    <w:rsid w:val="001E47C2"/>
    <w:rsid w:val="001E7854"/>
    <w:rsid w:val="001E7CE9"/>
    <w:rsid w:val="001E7D48"/>
    <w:rsid w:val="001F03A4"/>
    <w:rsid w:val="001F0F6A"/>
    <w:rsid w:val="001F20A9"/>
    <w:rsid w:val="001F4F03"/>
    <w:rsid w:val="001F5582"/>
    <w:rsid w:val="001F60FA"/>
    <w:rsid w:val="001F74F2"/>
    <w:rsid w:val="0020116C"/>
    <w:rsid w:val="00201430"/>
    <w:rsid w:val="002014C8"/>
    <w:rsid w:val="00202428"/>
    <w:rsid w:val="002025DC"/>
    <w:rsid w:val="0020367A"/>
    <w:rsid w:val="0020394C"/>
    <w:rsid w:val="00205830"/>
    <w:rsid w:val="002066CF"/>
    <w:rsid w:val="00206C9E"/>
    <w:rsid w:val="00207F9C"/>
    <w:rsid w:val="002110A0"/>
    <w:rsid w:val="00211FD8"/>
    <w:rsid w:val="00212674"/>
    <w:rsid w:val="0021304F"/>
    <w:rsid w:val="0021379E"/>
    <w:rsid w:val="00214D45"/>
    <w:rsid w:val="00215052"/>
    <w:rsid w:val="0021581C"/>
    <w:rsid w:val="002158A3"/>
    <w:rsid w:val="00217069"/>
    <w:rsid w:val="00217C02"/>
    <w:rsid w:val="00220467"/>
    <w:rsid w:val="00220A78"/>
    <w:rsid w:val="00222174"/>
    <w:rsid w:val="002221CA"/>
    <w:rsid w:val="002236E0"/>
    <w:rsid w:val="00224046"/>
    <w:rsid w:val="00224C82"/>
    <w:rsid w:val="002266EF"/>
    <w:rsid w:val="00226AAA"/>
    <w:rsid w:val="00226DC6"/>
    <w:rsid w:val="00226F71"/>
    <w:rsid w:val="002276DC"/>
    <w:rsid w:val="00227887"/>
    <w:rsid w:val="002279F5"/>
    <w:rsid w:val="0023010D"/>
    <w:rsid w:val="002318A1"/>
    <w:rsid w:val="00232851"/>
    <w:rsid w:val="0023605D"/>
    <w:rsid w:val="002361D5"/>
    <w:rsid w:val="00236E88"/>
    <w:rsid w:val="00240DDE"/>
    <w:rsid w:val="002422EF"/>
    <w:rsid w:val="002423A1"/>
    <w:rsid w:val="0024339D"/>
    <w:rsid w:val="00243510"/>
    <w:rsid w:val="00243670"/>
    <w:rsid w:val="00244170"/>
    <w:rsid w:val="002457A4"/>
    <w:rsid w:val="00246BD7"/>
    <w:rsid w:val="00246C19"/>
    <w:rsid w:val="0024759A"/>
    <w:rsid w:val="0025037E"/>
    <w:rsid w:val="002510B4"/>
    <w:rsid w:val="00251C10"/>
    <w:rsid w:val="0025238D"/>
    <w:rsid w:val="0025452C"/>
    <w:rsid w:val="002548FD"/>
    <w:rsid w:val="00256D92"/>
    <w:rsid w:val="002575A8"/>
    <w:rsid w:val="00257FEA"/>
    <w:rsid w:val="00260F3E"/>
    <w:rsid w:val="00261389"/>
    <w:rsid w:val="00261C9A"/>
    <w:rsid w:val="00261FEA"/>
    <w:rsid w:val="00262F88"/>
    <w:rsid w:val="00263148"/>
    <w:rsid w:val="00263472"/>
    <w:rsid w:val="002636C8"/>
    <w:rsid w:val="002653DE"/>
    <w:rsid w:val="002654DD"/>
    <w:rsid w:val="00265FE3"/>
    <w:rsid w:val="00265FEF"/>
    <w:rsid w:val="00266776"/>
    <w:rsid w:val="00266994"/>
    <w:rsid w:val="00266FD5"/>
    <w:rsid w:val="00270322"/>
    <w:rsid w:val="002710A0"/>
    <w:rsid w:val="00271CC1"/>
    <w:rsid w:val="002723C1"/>
    <w:rsid w:val="00274220"/>
    <w:rsid w:val="00275787"/>
    <w:rsid w:val="002776E0"/>
    <w:rsid w:val="002802EB"/>
    <w:rsid w:val="0028100C"/>
    <w:rsid w:val="002831FA"/>
    <w:rsid w:val="00283C0D"/>
    <w:rsid w:val="00283FDD"/>
    <w:rsid w:val="0028437D"/>
    <w:rsid w:val="00284D8F"/>
    <w:rsid w:val="002860A0"/>
    <w:rsid w:val="00286A1B"/>
    <w:rsid w:val="00286B0A"/>
    <w:rsid w:val="002870EF"/>
    <w:rsid w:val="00287956"/>
    <w:rsid w:val="002901DE"/>
    <w:rsid w:val="00290383"/>
    <w:rsid w:val="0029099D"/>
    <w:rsid w:val="0029155C"/>
    <w:rsid w:val="00294AFD"/>
    <w:rsid w:val="002952EA"/>
    <w:rsid w:val="00295E00"/>
    <w:rsid w:val="00295E7E"/>
    <w:rsid w:val="00297B79"/>
    <w:rsid w:val="002A0B7C"/>
    <w:rsid w:val="002A0E2E"/>
    <w:rsid w:val="002A1602"/>
    <w:rsid w:val="002A1DA2"/>
    <w:rsid w:val="002A2160"/>
    <w:rsid w:val="002A21CF"/>
    <w:rsid w:val="002A258C"/>
    <w:rsid w:val="002A33DF"/>
    <w:rsid w:val="002A395D"/>
    <w:rsid w:val="002A3EFD"/>
    <w:rsid w:val="002A47CD"/>
    <w:rsid w:val="002A64FA"/>
    <w:rsid w:val="002A664D"/>
    <w:rsid w:val="002A6EC4"/>
    <w:rsid w:val="002A708F"/>
    <w:rsid w:val="002B4136"/>
    <w:rsid w:val="002B4897"/>
    <w:rsid w:val="002B4A3C"/>
    <w:rsid w:val="002B4B61"/>
    <w:rsid w:val="002B4BD0"/>
    <w:rsid w:val="002B58E7"/>
    <w:rsid w:val="002B5EAC"/>
    <w:rsid w:val="002B68B6"/>
    <w:rsid w:val="002B7032"/>
    <w:rsid w:val="002C4697"/>
    <w:rsid w:val="002C4E73"/>
    <w:rsid w:val="002C5037"/>
    <w:rsid w:val="002C5588"/>
    <w:rsid w:val="002D00E5"/>
    <w:rsid w:val="002D12A3"/>
    <w:rsid w:val="002D4287"/>
    <w:rsid w:val="002D476F"/>
    <w:rsid w:val="002D6C47"/>
    <w:rsid w:val="002D717A"/>
    <w:rsid w:val="002D7F6E"/>
    <w:rsid w:val="002E0CBC"/>
    <w:rsid w:val="002E17CB"/>
    <w:rsid w:val="002E22B9"/>
    <w:rsid w:val="002E2DF0"/>
    <w:rsid w:val="002E3E83"/>
    <w:rsid w:val="002E4531"/>
    <w:rsid w:val="002E599B"/>
    <w:rsid w:val="002E6D71"/>
    <w:rsid w:val="002F155A"/>
    <w:rsid w:val="002F17ED"/>
    <w:rsid w:val="002F3984"/>
    <w:rsid w:val="002F433C"/>
    <w:rsid w:val="002F5353"/>
    <w:rsid w:val="002F5832"/>
    <w:rsid w:val="002F5FEF"/>
    <w:rsid w:val="002F62BB"/>
    <w:rsid w:val="003008B4"/>
    <w:rsid w:val="00302180"/>
    <w:rsid w:val="0030433D"/>
    <w:rsid w:val="00304A11"/>
    <w:rsid w:val="0030521A"/>
    <w:rsid w:val="00305D98"/>
    <w:rsid w:val="00306227"/>
    <w:rsid w:val="003067FB"/>
    <w:rsid w:val="003104EB"/>
    <w:rsid w:val="003107C9"/>
    <w:rsid w:val="00310820"/>
    <w:rsid w:val="00311F52"/>
    <w:rsid w:val="0031282C"/>
    <w:rsid w:val="003138FC"/>
    <w:rsid w:val="00313926"/>
    <w:rsid w:val="00313F32"/>
    <w:rsid w:val="00316C18"/>
    <w:rsid w:val="003178A8"/>
    <w:rsid w:val="0032030E"/>
    <w:rsid w:val="00321DCE"/>
    <w:rsid w:val="00321ED8"/>
    <w:rsid w:val="00322759"/>
    <w:rsid w:val="0032497F"/>
    <w:rsid w:val="00326326"/>
    <w:rsid w:val="00327C89"/>
    <w:rsid w:val="0033055D"/>
    <w:rsid w:val="0033126C"/>
    <w:rsid w:val="00331814"/>
    <w:rsid w:val="00331BFE"/>
    <w:rsid w:val="00332B80"/>
    <w:rsid w:val="00333C6B"/>
    <w:rsid w:val="00334072"/>
    <w:rsid w:val="00334388"/>
    <w:rsid w:val="00336B5B"/>
    <w:rsid w:val="00336FF1"/>
    <w:rsid w:val="003378C5"/>
    <w:rsid w:val="003405AE"/>
    <w:rsid w:val="00340CEC"/>
    <w:rsid w:val="00340F7D"/>
    <w:rsid w:val="0034133C"/>
    <w:rsid w:val="0034202B"/>
    <w:rsid w:val="00342D7B"/>
    <w:rsid w:val="00343194"/>
    <w:rsid w:val="00343819"/>
    <w:rsid w:val="00344432"/>
    <w:rsid w:val="00346366"/>
    <w:rsid w:val="0034768E"/>
    <w:rsid w:val="0034774A"/>
    <w:rsid w:val="00350F68"/>
    <w:rsid w:val="0035254C"/>
    <w:rsid w:val="00352558"/>
    <w:rsid w:val="003527B0"/>
    <w:rsid w:val="00352FF9"/>
    <w:rsid w:val="003539E7"/>
    <w:rsid w:val="00353AA5"/>
    <w:rsid w:val="0035454B"/>
    <w:rsid w:val="00354879"/>
    <w:rsid w:val="00354D7A"/>
    <w:rsid w:val="003558AE"/>
    <w:rsid w:val="00355EA6"/>
    <w:rsid w:val="003572F9"/>
    <w:rsid w:val="00362171"/>
    <w:rsid w:val="00363917"/>
    <w:rsid w:val="00363E5B"/>
    <w:rsid w:val="00364831"/>
    <w:rsid w:val="00364A62"/>
    <w:rsid w:val="00364E46"/>
    <w:rsid w:val="00367B5D"/>
    <w:rsid w:val="00367FCD"/>
    <w:rsid w:val="003708FD"/>
    <w:rsid w:val="00370A92"/>
    <w:rsid w:val="00371C0A"/>
    <w:rsid w:val="00371C77"/>
    <w:rsid w:val="00371FE8"/>
    <w:rsid w:val="0037221D"/>
    <w:rsid w:val="003729E6"/>
    <w:rsid w:val="00372CEE"/>
    <w:rsid w:val="00374145"/>
    <w:rsid w:val="00374698"/>
    <w:rsid w:val="0037564A"/>
    <w:rsid w:val="00377E0B"/>
    <w:rsid w:val="003800E8"/>
    <w:rsid w:val="00380BB9"/>
    <w:rsid w:val="003812A4"/>
    <w:rsid w:val="0038281A"/>
    <w:rsid w:val="003828B0"/>
    <w:rsid w:val="00383DFF"/>
    <w:rsid w:val="00383ED7"/>
    <w:rsid w:val="0038509A"/>
    <w:rsid w:val="00385106"/>
    <w:rsid w:val="00385F63"/>
    <w:rsid w:val="00387AB2"/>
    <w:rsid w:val="003900D8"/>
    <w:rsid w:val="003937C5"/>
    <w:rsid w:val="003947BD"/>
    <w:rsid w:val="00394F24"/>
    <w:rsid w:val="003953FE"/>
    <w:rsid w:val="003955EA"/>
    <w:rsid w:val="003956FA"/>
    <w:rsid w:val="00395A4D"/>
    <w:rsid w:val="00395B29"/>
    <w:rsid w:val="0039771E"/>
    <w:rsid w:val="003A030B"/>
    <w:rsid w:val="003A201A"/>
    <w:rsid w:val="003A5062"/>
    <w:rsid w:val="003A70B4"/>
    <w:rsid w:val="003A7890"/>
    <w:rsid w:val="003A7C75"/>
    <w:rsid w:val="003B267C"/>
    <w:rsid w:val="003B319D"/>
    <w:rsid w:val="003B4463"/>
    <w:rsid w:val="003B479B"/>
    <w:rsid w:val="003B7BAA"/>
    <w:rsid w:val="003B7E85"/>
    <w:rsid w:val="003C2D6F"/>
    <w:rsid w:val="003C305E"/>
    <w:rsid w:val="003C5088"/>
    <w:rsid w:val="003C5BA1"/>
    <w:rsid w:val="003C5BA8"/>
    <w:rsid w:val="003C5CC3"/>
    <w:rsid w:val="003D1070"/>
    <w:rsid w:val="003D1A82"/>
    <w:rsid w:val="003D2D35"/>
    <w:rsid w:val="003D2E03"/>
    <w:rsid w:val="003D409B"/>
    <w:rsid w:val="003D5C6C"/>
    <w:rsid w:val="003D7CF0"/>
    <w:rsid w:val="003E1C1A"/>
    <w:rsid w:val="003E2A2C"/>
    <w:rsid w:val="003E396A"/>
    <w:rsid w:val="003E3B6E"/>
    <w:rsid w:val="003E4055"/>
    <w:rsid w:val="003E4BDA"/>
    <w:rsid w:val="003E55ED"/>
    <w:rsid w:val="003E62C9"/>
    <w:rsid w:val="003F04CC"/>
    <w:rsid w:val="003F1CEB"/>
    <w:rsid w:val="003F1E3C"/>
    <w:rsid w:val="003F290A"/>
    <w:rsid w:val="003F3CDD"/>
    <w:rsid w:val="003F41A0"/>
    <w:rsid w:val="003F4D4B"/>
    <w:rsid w:val="003F590E"/>
    <w:rsid w:val="00401127"/>
    <w:rsid w:val="0040126C"/>
    <w:rsid w:val="00401B0A"/>
    <w:rsid w:val="00402322"/>
    <w:rsid w:val="004023E0"/>
    <w:rsid w:val="0040384F"/>
    <w:rsid w:val="004047A3"/>
    <w:rsid w:val="00404F1B"/>
    <w:rsid w:val="00407D57"/>
    <w:rsid w:val="00410222"/>
    <w:rsid w:val="00410BF5"/>
    <w:rsid w:val="004116E2"/>
    <w:rsid w:val="0041203D"/>
    <w:rsid w:val="0041256D"/>
    <w:rsid w:val="004128E0"/>
    <w:rsid w:val="0041299F"/>
    <w:rsid w:val="004133AA"/>
    <w:rsid w:val="00416F36"/>
    <w:rsid w:val="0041759B"/>
    <w:rsid w:val="00417689"/>
    <w:rsid w:val="004200FC"/>
    <w:rsid w:val="004205D1"/>
    <w:rsid w:val="00420AC6"/>
    <w:rsid w:val="00421B87"/>
    <w:rsid w:val="004236B5"/>
    <w:rsid w:val="00423E11"/>
    <w:rsid w:val="004251A8"/>
    <w:rsid w:val="00426B86"/>
    <w:rsid w:val="00427D5A"/>
    <w:rsid w:val="00430A28"/>
    <w:rsid w:val="00430AB3"/>
    <w:rsid w:val="00430C56"/>
    <w:rsid w:val="00430FF7"/>
    <w:rsid w:val="00432B4B"/>
    <w:rsid w:val="00434640"/>
    <w:rsid w:val="004349C6"/>
    <w:rsid w:val="0043599B"/>
    <w:rsid w:val="00435A28"/>
    <w:rsid w:val="00437333"/>
    <w:rsid w:val="00437334"/>
    <w:rsid w:val="00440AE1"/>
    <w:rsid w:val="00442E64"/>
    <w:rsid w:val="0044481B"/>
    <w:rsid w:val="00445319"/>
    <w:rsid w:val="00445513"/>
    <w:rsid w:val="004457C7"/>
    <w:rsid w:val="00446E01"/>
    <w:rsid w:val="00450B50"/>
    <w:rsid w:val="00451588"/>
    <w:rsid w:val="00451835"/>
    <w:rsid w:val="00451838"/>
    <w:rsid w:val="004520B0"/>
    <w:rsid w:val="00452115"/>
    <w:rsid w:val="004528E9"/>
    <w:rsid w:val="0045458F"/>
    <w:rsid w:val="004559C0"/>
    <w:rsid w:val="00455E62"/>
    <w:rsid w:val="00455F35"/>
    <w:rsid w:val="00457BCC"/>
    <w:rsid w:val="004609D8"/>
    <w:rsid w:val="00460D7F"/>
    <w:rsid w:val="004612C9"/>
    <w:rsid w:val="0046176F"/>
    <w:rsid w:val="004618A1"/>
    <w:rsid w:val="00464BD0"/>
    <w:rsid w:val="00464DE0"/>
    <w:rsid w:val="00465657"/>
    <w:rsid w:val="00465AAB"/>
    <w:rsid w:val="00466688"/>
    <w:rsid w:val="004669CC"/>
    <w:rsid w:val="00467C84"/>
    <w:rsid w:val="00471C74"/>
    <w:rsid w:val="004723F7"/>
    <w:rsid w:val="00472E28"/>
    <w:rsid w:val="00473207"/>
    <w:rsid w:val="00473E80"/>
    <w:rsid w:val="00473F9B"/>
    <w:rsid w:val="00474263"/>
    <w:rsid w:val="00476684"/>
    <w:rsid w:val="00476CA2"/>
    <w:rsid w:val="00477A26"/>
    <w:rsid w:val="004806FD"/>
    <w:rsid w:val="00480AD4"/>
    <w:rsid w:val="00481733"/>
    <w:rsid w:val="00481A32"/>
    <w:rsid w:val="00481A59"/>
    <w:rsid w:val="00481B99"/>
    <w:rsid w:val="004820DA"/>
    <w:rsid w:val="00482210"/>
    <w:rsid w:val="004825CE"/>
    <w:rsid w:val="00482924"/>
    <w:rsid w:val="0048309A"/>
    <w:rsid w:val="0048354E"/>
    <w:rsid w:val="00483FE4"/>
    <w:rsid w:val="00484A81"/>
    <w:rsid w:val="00484CC5"/>
    <w:rsid w:val="0048512F"/>
    <w:rsid w:val="004900A2"/>
    <w:rsid w:val="004904FB"/>
    <w:rsid w:val="00490B9C"/>
    <w:rsid w:val="004911FA"/>
    <w:rsid w:val="0049136E"/>
    <w:rsid w:val="00491833"/>
    <w:rsid w:val="004927D6"/>
    <w:rsid w:val="00492EE0"/>
    <w:rsid w:val="004930B3"/>
    <w:rsid w:val="00493A03"/>
    <w:rsid w:val="00494A17"/>
    <w:rsid w:val="004964C4"/>
    <w:rsid w:val="00496A47"/>
    <w:rsid w:val="004973DC"/>
    <w:rsid w:val="00497463"/>
    <w:rsid w:val="00497FF8"/>
    <w:rsid w:val="004A0E54"/>
    <w:rsid w:val="004A1DAE"/>
    <w:rsid w:val="004A2052"/>
    <w:rsid w:val="004A2B53"/>
    <w:rsid w:val="004A2BC1"/>
    <w:rsid w:val="004A3452"/>
    <w:rsid w:val="004A4A39"/>
    <w:rsid w:val="004A5235"/>
    <w:rsid w:val="004A5D36"/>
    <w:rsid w:val="004A6014"/>
    <w:rsid w:val="004A7A90"/>
    <w:rsid w:val="004B074C"/>
    <w:rsid w:val="004B0AEB"/>
    <w:rsid w:val="004B20AB"/>
    <w:rsid w:val="004B30D4"/>
    <w:rsid w:val="004B529C"/>
    <w:rsid w:val="004B7B0F"/>
    <w:rsid w:val="004C0E58"/>
    <w:rsid w:val="004C219E"/>
    <w:rsid w:val="004C2DB6"/>
    <w:rsid w:val="004C52BD"/>
    <w:rsid w:val="004C5517"/>
    <w:rsid w:val="004C7D61"/>
    <w:rsid w:val="004D0A4E"/>
    <w:rsid w:val="004D1013"/>
    <w:rsid w:val="004D10A5"/>
    <w:rsid w:val="004D2CFA"/>
    <w:rsid w:val="004D30D3"/>
    <w:rsid w:val="004D35B1"/>
    <w:rsid w:val="004D392D"/>
    <w:rsid w:val="004D3F38"/>
    <w:rsid w:val="004D6989"/>
    <w:rsid w:val="004D7A88"/>
    <w:rsid w:val="004D7FBE"/>
    <w:rsid w:val="004E0E78"/>
    <w:rsid w:val="004E165A"/>
    <w:rsid w:val="004E2ADF"/>
    <w:rsid w:val="004E34C6"/>
    <w:rsid w:val="004E5304"/>
    <w:rsid w:val="004E5A16"/>
    <w:rsid w:val="004E6C1C"/>
    <w:rsid w:val="004E70BE"/>
    <w:rsid w:val="004E74F9"/>
    <w:rsid w:val="004F0251"/>
    <w:rsid w:val="004F0422"/>
    <w:rsid w:val="004F053B"/>
    <w:rsid w:val="004F11F1"/>
    <w:rsid w:val="004F1D5A"/>
    <w:rsid w:val="004F4DEE"/>
    <w:rsid w:val="004F4E02"/>
    <w:rsid w:val="004F59C8"/>
    <w:rsid w:val="004F615B"/>
    <w:rsid w:val="004F6759"/>
    <w:rsid w:val="004F6DA7"/>
    <w:rsid w:val="004F7652"/>
    <w:rsid w:val="00500639"/>
    <w:rsid w:val="0050135B"/>
    <w:rsid w:val="00501396"/>
    <w:rsid w:val="005014F5"/>
    <w:rsid w:val="005019DB"/>
    <w:rsid w:val="005034D8"/>
    <w:rsid w:val="00503DB1"/>
    <w:rsid w:val="0050496A"/>
    <w:rsid w:val="00505350"/>
    <w:rsid w:val="00505416"/>
    <w:rsid w:val="00505793"/>
    <w:rsid w:val="0050586B"/>
    <w:rsid w:val="00505C04"/>
    <w:rsid w:val="00505CDD"/>
    <w:rsid w:val="00506407"/>
    <w:rsid w:val="00506926"/>
    <w:rsid w:val="00506937"/>
    <w:rsid w:val="005079E3"/>
    <w:rsid w:val="00507B58"/>
    <w:rsid w:val="005111A2"/>
    <w:rsid w:val="00511575"/>
    <w:rsid w:val="00511E84"/>
    <w:rsid w:val="00513D18"/>
    <w:rsid w:val="00514468"/>
    <w:rsid w:val="005144E6"/>
    <w:rsid w:val="00515111"/>
    <w:rsid w:val="00515A87"/>
    <w:rsid w:val="00515FF8"/>
    <w:rsid w:val="005175C9"/>
    <w:rsid w:val="00520011"/>
    <w:rsid w:val="005212A5"/>
    <w:rsid w:val="005216B7"/>
    <w:rsid w:val="0052230B"/>
    <w:rsid w:val="0052232E"/>
    <w:rsid w:val="00525940"/>
    <w:rsid w:val="005263CB"/>
    <w:rsid w:val="00526B10"/>
    <w:rsid w:val="0053064C"/>
    <w:rsid w:val="00531ADE"/>
    <w:rsid w:val="00534CD4"/>
    <w:rsid w:val="00535D0F"/>
    <w:rsid w:val="00536451"/>
    <w:rsid w:val="0053703C"/>
    <w:rsid w:val="0053741F"/>
    <w:rsid w:val="00537532"/>
    <w:rsid w:val="00537AAD"/>
    <w:rsid w:val="00540371"/>
    <w:rsid w:val="005406AC"/>
    <w:rsid w:val="00540ACF"/>
    <w:rsid w:val="005428D9"/>
    <w:rsid w:val="00542B78"/>
    <w:rsid w:val="00542E39"/>
    <w:rsid w:val="0054670A"/>
    <w:rsid w:val="00546945"/>
    <w:rsid w:val="005470FA"/>
    <w:rsid w:val="00551931"/>
    <w:rsid w:val="0055335E"/>
    <w:rsid w:val="0056000C"/>
    <w:rsid w:val="00561240"/>
    <w:rsid w:val="005626E3"/>
    <w:rsid w:val="0056281A"/>
    <w:rsid w:val="005633ED"/>
    <w:rsid w:val="00565404"/>
    <w:rsid w:val="00565E3D"/>
    <w:rsid w:val="00567088"/>
    <w:rsid w:val="005672A7"/>
    <w:rsid w:val="005674DE"/>
    <w:rsid w:val="00567912"/>
    <w:rsid w:val="00567F07"/>
    <w:rsid w:val="00571321"/>
    <w:rsid w:val="0057164C"/>
    <w:rsid w:val="00571CC2"/>
    <w:rsid w:val="00572586"/>
    <w:rsid w:val="00573C0E"/>
    <w:rsid w:val="00573F2C"/>
    <w:rsid w:val="0057457D"/>
    <w:rsid w:val="00574A92"/>
    <w:rsid w:val="005769D2"/>
    <w:rsid w:val="00577375"/>
    <w:rsid w:val="00577565"/>
    <w:rsid w:val="005820AB"/>
    <w:rsid w:val="005828CB"/>
    <w:rsid w:val="00583075"/>
    <w:rsid w:val="005837DE"/>
    <w:rsid w:val="005843F0"/>
    <w:rsid w:val="00584683"/>
    <w:rsid w:val="005856CA"/>
    <w:rsid w:val="0058573E"/>
    <w:rsid w:val="00585EBC"/>
    <w:rsid w:val="005866AD"/>
    <w:rsid w:val="00586C46"/>
    <w:rsid w:val="0058729A"/>
    <w:rsid w:val="00590D0A"/>
    <w:rsid w:val="00592A11"/>
    <w:rsid w:val="00592E51"/>
    <w:rsid w:val="00592FBE"/>
    <w:rsid w:val="00594463"/>
    <w:rsid w:val="00594B77"/>
    <w:rsid w:val="00594C93"/>
    <w:rsid w:val="00595E27"/>
    <w:rsid w:val="005964C3"/>
    <w:rsid w:val="00596971"/>
    <w:rsid w:val="00596995"/>
    <w:rsid w:val="005969E2"/>
    <w:rsid w:val="005A03AD"/>
    <w:rsid w:val="005A092C"/>
    <w:rsid w:val="005A094C"/>
    <w:rsid w:val="005A10D3"/>
    <w:rsid w:val="005A1633"/>
    <w:rsid w:val="005A1968"/>
    <w:rsid w:val="005A4305"/>
    <w:rsid w:val="005A72FF"/>
    <w:rsid w:val="005A73D3"/>
    <w:rsid w:val="005B043A"/>
    <w:rsid w:val="005B0691"/>
    <w:rsid w:val="005B0A1D"/>
    <w:rsid w:val="005B0AB4"/>
    <w:rsid w:val="005B40CD"/>
    <w:rsid w:val="005B4B6F"/>
    <w:rsid w:val="005B54AA"/>
    <w:rsid w:val="005C0F91"/>
    <w:rsid w:val="005C102E"/>
    <w:rsid w:val="005C1823"/>
    <w:rsid w:val="005C2B88"/>
    <w:rsid w:val="005C3554"/>
    <w:rsid w:val="005C3692"/>
    <w:rsid w:val="005C425C"/>
    <w:rsid w:val="005C47AC"/>
    <w:rsid w:val="005C5515"/>
    <w:rsid w:val="005C5657"/>
    <w:rsid w:val="005C5CCD"/>
    <w:rsid w:val="005C615D"/>
    <w:rsid w:val="005C618F"/>
    <w:rsid w:val="005D11EE"/>
    <w:rsid w:val="005D15C7"/>
    <w:rsid w:val="005D2C89"/>
    <w:rsid w:val="005D38BB"/>
    <w:rsid w:val="005D5BCD"/>
    <w:rsid w:val="005D5EC5"/>
    <w:rsid w:val="005D6280"/>
    <w:rsid w:val="005D6AFC"/>
    <w:rsid w:val="005D6D76"/>
    <w:rsid w:val="005D7B33"/>
    <w:rsid w:val="005E0F39"/>
    <w:rsid w:val="005E1388"/>
    <w:rsid w:val="005E260F"/>
    <w:rsid w:val="005E2732"/>
    <w:rsid w:val="005E352F"/>
    <w:rsid w:val="005E3860"/>
    <w:rsid w:val="005E3E99"/>
    <w:rsid w:val="005E4696"/>
    <w:rsid w:val="005E47BC"/>
    <w:rsid w:val="005E53C2"/>
    <w:rsid w:val="005E70E6"/>
    <w:rsid w:val="005F036B"/>
    <w:rsid w:val="005F11F3"/>
    <w:rsid w:val="005F195E"/>
    <w:rsid w:val="005F1A29"/>
    <w:rsid w:val="005F1E0B"/>
    <w:rsid w:val="005F3090"/>
    <w:rsid w:val="005F341F"/>
    <w:rsid w:val="005F3966"/>
    <w:rsid w:val="005F3B0A"/>
    <w:rsid w:val="005F4504"/>
    <w:rsid w:val="005F4B52"/>
    <w:rsid w:val="005F591F"/>
    <w:rsid w:val="005F5F7C"/>
    <w:rsid w:val="005F6501"/>
    <w:rsid w:val="005F6E8B"/>
    <w:rsid w:val="005F7AF7"/>
    <w:rsid w:val="006002E2"/>
    <w:rsid w:val="0060178B"/>
    <w:rsid w:val="00601BA0"/>
    <w:rsid w:val="00601D38"/>
    <w:rsid w:val="00603979"/>
    <w:rsid w:val="00604435"/>
    <w:rsid w:val="00604B71"/>
    <w:rsid w:val="00605D90"/>
    <w:rsid w:val="00606311"/>
    <w:rsid w:val="00610D57"/>
    <w:rsid w:val="00613232"/>
    <w:rsid w:val="00613675"/>
    <w:rsid w:val="006142E9"/>
    <w:rsid w:val="0061450B"/>
    <w:rsid w:val="00614666"/>
    <w:rsid w:val="0061534E"/>
    <w:rsid w:val="00616BE3"/>
    <w:rsid w:val="00617471"/>
    <w:rsid w:val="00620FB1"/>
    <w:rsid w:val="00620FEA"/>
    <w:rsid w:val="00621AA3"/>
    <w:rsid w:val="00621CDC"/>
    <w:rsid w:val="006229A4"/>
    <w:rsid w:val="00623C07"/>
    <w:rsid w:val="0062534C"/>
    <w:rsid w:val="00626931"/>
    <w:rsid w:val="0062719B"/>
    <w:rsid w:val="0062750F"/>
    <w:rsid w:val="0063008A"/>
    <w:rsid w:val="006307B2"/>
    <w:rsid w:val="00631230"/>
    <w:rsid w:val="00631F75"/>
    <w:rsid w:val="0063200A"/>
    <w:rsid w:val="00632805"/>
    <w:rsid w:val="00632C02"/>
    <w:rsid w:val="006343A9"/>
    <w:rsid w:val="006346F6"/>
    <w:rsid w:val="00634F0E"/>
    <w:rsid w:val="00635FA6"/>
    <w:rsid w:val="00636862"/>
    <w:rsid w:val="00637C48"/>
    <w:rsid w:val="006407F3"/>
    <w:rsid w:val="00640ECF"/>
    <w:rsid w:val="006415A3"/>
    <w:rsid w:val="0064170F"/>
    <w:rsid w:val="0064189D"/>
    <w:rsid w:val="00642BE8"/>
    <w:rsid w:val="006444AB"/>
    <w:rsid w:val="0064452B"/>
    <w:rsid w:val="0064509E"/>
    <w:rsid w:val="0064527F"/>
    <w:rsid w:val="00645BAC"/>
    <w:rsid w:val="006470FD"/>
    <w:rsid w:val="006476CE"/>
    <w:rsid w:val="0065001B"/>
    <w:rsid w:val="006503B1"/>
    <w:rsid w:val="006508FB"/>
    <w:rsid w:val="00650B69"/>
    <w:rsid w:val="0065107B"/>
    <w:rsid w:val="00652110"/>
    <w:rsid w:val="00653023"/>
    <w:rsid w:val="00657256"/>
    <w:rsid w:val="006573E2"/>
    <w:rsid w:val="00660638"/>
    <w:rsid w:val="00661271"/>
    <w:rsid w:val="006613F3"/>
    <w:rsid w:val="00661A11"/>
    <w:rsid w:val="00662460"/>
    <w:rsid w:val="0066296C"/>
    <w:rsid w:val="00664B6F"/>
    <w:rsid w:val="00665822"/>
    <w:rsid w:val="00665863"/>
    <w:rsid w:val="006658FD"/>
    <w:rsid w:val="00666D0E"/>
    <w:rsid w:val="00667E8C"/>
    <w:rsid w:val="0067047A"/>
    <w:rsid w:val="00670921"/>
    <w:rsid w:val="00673FC9"/>
    <w:rsid w:val="006742D2"/>
    <w:rsid w:val="00674529"/>
    <w:rsid w:val="00674E15"/>
    <w:rsid w:val="00675D81"/>
    <w:rsid w:val="00680509"/>
    <w:rsid w:val="00680566"/>
    <w:rsid w:val="00681D1A"/>
    <w:rsid w:val="00682D1D"/>
    <w:rsid w:val="00683306"/>
    <w:rsid w:val="0068356C"/>
    <w:rsid w:val="0068517C"/>
    <w:rsid w:val="00685824"/>
    <w:rsid w:val="00685DA3"/>
    <w:rsid w:val="006860BE"/>
    <w:rsid w:val="006867A1"/>
    <w:rsid w:val="006870A2"/>
    <w:rsid w:val="006879FD"/>
    <w:rsid w:val="00687D00"/>
    <w:rsid w:val="00690345"/>
    <w:rsid w:val="0069104B"/>
    <w:rsid w:val="00691D18"/>
    <w:rsid w:val="00691D91"/>
    <w:rsid w:val="00692B02"/>
    <w:rsid w:val="00693E9A"/>
    <w:rsid w:val="00693F9D"/>
    <w:rsid w:val="00695133"/>
    <w:rsid w:val="00695686"/>
    <w:rsid w:val="00697018"/>
    <w:rsid w:val="006A1F59"/>
    <w:rsid w:val="006A22DE"/>
    <w:rsid w:val="006A3445"/>
    <w:rsid w:val="006A3893"/>
    <w:rsid w:val="006A3E9C"/>
    <w:rsid w:val="006A5C0D"/>
    <w:rsid w:val="006A623C"/>
    <w:rsid w:val="006A68F3"/>
    <w:rsid w:val="006A6D03"/>
    <w:rsid w:val="006A6E3B"/>
    <w:rsid w:val="006B1D75"/>
    <w:rsid w:val="006B1E56"/>
    <w:rsid w:val="006B29D4"/>
    <w:rsid w:val="006B2CDB"/>
    <w:rsid w:val="006B44DD"/>
    <w:rsid w:val="006B4A98"/>
    <w:rsid w:val="006B6121"/>
    <w:rsid w:val="006B7051"/>
    <w:rsid w:val="006B7A5A"/>
    <w:rsid w:val="006B7E34"/>
    <w:rsid w:val="006C46FA"/>
    <w:rsid w:val="006C4DA0"/>
    <w:rsid w:val="006C6FF8"/>
    <w:rsid w:val="006C72F8"/>
    <w:rsid w:val="006C7743"/>
    <w:rsid w:val="006C7773"/>
    <w:rsid w:val="006D130A"/>
    <w:rsid w:val="006D1885"/>
    <w:rsid w:val="006D2011"/>
    <w:rsid w:val="006D3168"/>
    <w:rsid w:val="006D45A5"/>
    <w:rsid w:val="006D5F20"/>
    <w:rsid w:val="006D6A5E"/>
    <w:rsid w:val="006D6FAA"/>
    <w:rsid w:val="006D703F"/>
    <w:rsid w:val="006E0DC9"/>
    <w:rsid w:val="006E2A05"/>
    <w:rsid w:val="006E30B6"/>
    <w:rsid w:val="006E312B"/>
    <w:rsid w:val="006E3E6B"/>
    <w:rsid w:val="006E41BF"/>
    <w:rsid w:val="006E4DE0"/>
    <w:rsid w:val="006E4F1B"/>
    <w:rsid w:val="006E6510"/>
    <w:rsid w:val="006E78E7"/>
    <w:rsid w:val="006F036D"/>
    <w:rsid w:val="006F0BF2"/>
    <w:rsid w:val="006F1B81"/>
    <w:rsid w:val="006F2543"/>
    <w:rsid w:val="006F3194"/>
    <w:rsid w:val="006F422B"/>
    <w:rsid w:val="006F4548"/>
    <w:rsid w:val="006F482E"/>
    <w:rsid w:val="006F70A6"/>
    <w:rsid w:val="006F70AF"/>
    <w:rsid w:val="00700E19"/>
    <w:rsid w:val="007016C6"/>
    <w:rsid w:val="0070222B"/>
    <w:rsid w:val="0070287B"/>
    <w:rsid w:val="00703182"/>
    <w:rsid w:val="00703CD4"/>
    <w:rsid w:val="007040A6"/>
    <w:rsid w:val="00704214"/>
    <w:rsid w:val="00704726"/>
    <w:rsid w:val="007054D3"/>
    <w:rsid w:val="00705AD9"/>
    <w:rsid w:val="00710AF6"/>
    <w:rsid w:val="00711299"/>
    <w:rsid w:val="00712CD9"/>
    <w:rsid w:val="00713FF3"/>
    <w:rsid w:val="007148FC"/>
    <w:rsid w:val="00715AEB"/>
    <w:rsid w:val="0071615D"/>
    <w:rsid w:val="007164BD"/>
    <w:rsid w:val="00717C07"/>
    <w:rsid w:val="00721497"/>
    <w:rsid w:val="00722614"/>
    <w:rsid w:val="00723119"/>
    <w:rsid w:val="00723F33"/>
    <w:rsid w:val="0072457F"/>
    <w:rsid w:val="00724994"/>
    <w:rsid w:val="00724F49"/>
    <w:rsid w:val="00725D7B"/>
    <w:rsid w:val="00726267"/>
    <w:rsid w:val="0072678C"/>
    <w:rsid w:val="00726921"/>
    <w:rsid w:val="00727018"/>
    <w:rsid w:val="00727419"/>
    <w:rsid w:val="00727A70"/>
    <w:rsid w:val="00727D26"/>
    <w:rsid w:val="00731F17"/>
    <w:rsid w:val="00732476"/>
    <w:rsid w:val="00732AB2"/>
    <w:rsid w:val="007343DF"/>
    <w:rsid w:val="0073446D"/>
    <w:rsid w:val="00734591"/>
    <w:rsid w:val="0073459D"/>
    <w:rsid w:val="007350E5"/>
    <w:rsid w:val="00735E8E"/>
    <w:rsid w:val="007363A9"/>
    <w:rsid w:val="00737E75"/>
    <w:rsid w:val="00740AC2"/>
    <w:rsid w:val="00740BA3"/>
    <w:rsid w:val="00740C35"/>
    <w:rsid w:val="00741C3A"/>
    <w:rsid w:val="007424B5"/>
    <w:rsid w:val="00742CB6"/>
    <w:rsid w:val="00742E2A"/>
    <w:rsid w:val="00743C5A"/>
    <w:rsid w:val="0074577B"/>
    <w:rsid w:val="007507C3"/>
    <w:rsid w:val="00750D25"/>
    <w:rsid w:val="00752384"/>
    <w:rsid w:val="00752C7D"/>
    <w:rsid w:val="00752D83"/>
    <w:rsid w:val="00753294"/>
    <w:rsid w:val="0075506B"/>
    <w:rsid w:val="007575C1"/>
    <w:rsid w:val="00757757"/>
    <w:rsid w:val="00757E93"/>
    <w:rsid w:val="007606D8"/>
    <w:rsid w:val="00761052"/>
    <w:rsid w:val="0076175A"/>
    <w:rsid w:val="007624B0"/>
    <w:rsid w:val="00762EC0"/>
    <w:rsid w:val="00763428"/>
    <w:rsid w:val="007636F4"/>
    <w:rsid w:val="007637F9"/>
    <w:rsid w:val="007659CB"/>
    <w:rsid w:val="00766CB6"/>
    <w:rsid w:val="0076728F"/>
    <w:rsid w:val="00767CBB"/>
    <w:rsid w:val="00770DBD"/>
    <w:rsid w:val="00770E3E"/>
    <w:rsid w:val="00773169"/>
    <w:rsid w:val="00774118"/>
    <w:rsid w:val="007742E2"/>
    <w:rsid w:val="0077547F"/>
    <w:rsid w:val="00776170"/>
    <w:rsid w:val="007769B6"/>
    <w:rsid w:val="00781022"/>
    <w:rsid w:val="00781EFA"/>
    <w:rsid w:val="0078299D"/>
    <w:rsid w:val="00782D8C"/>
    <w:rsid w:val="00782F69"/>
    <w:rsid w:val="007838BE"/>
    <w:rsid w:val="00783994"/>
    <w:rsid w:val="00783D4A"/>
    <w:rsid w:val="0078431F"/>
    <w:rsid w:val="00784A99"/>
    <w:rsid w:val="00785810"/>
    <w:rsid w:val="007869FF"/>
    <w:rsid w:val="00786C70"/>
    <w:rsid w:val="007907B0"/>
    <w:rsid w:val="00791D59"/>
    <w:rsid w:val="007954CD"/>
    <w:rsid w:val="00795741"/>
    <w:rsid w:val="00795DA5"/>
    <w:rsid w:val="0079610A"/>
    <w:rsid w:val="007967B0"/>
    <w:rsid w:val="007970E9"/>
    <w:rsid w:val="0079767C"/>
    <w:rsid w:val="007A0F16"/>
    <w:rsid w:val="007A1028"/>
    <w:rsid w:val="007A1143"/>
    <w:rsid w:val="007A12B8"/>
    <w:rsid w:val="007A1610"/>
    <w:rsid w:val="007A437A"/>
    <w:rsid w:val="007A47FA"/>
    <w:rsid w:val="007A58AC"/>
    <w:rsid w:val="007A5C0C"/>
    <w:rsid w:val="007A690F"/>
    <w:rsid w:val="007B0163"/>
    <w:rsid w:val="007B1183"/>
    <w:rsid w:val="007B2B4A"/>
    <w:rsid w:val="007B550C"/>
    <w:rsid w:val="007B6AD3"/>
    <w:rsid w:val="007B7A8E"/>
    <w:rsid w:val="007C01D3"/>
    <w:rsid w:val="007C0495"/>
    <w:rsid w:val="007C4B5E"/>
    <w:rsid w:val="007C65A6"/>
    <w:rsid w:val="007C7D20"/>
    <w:rsid w:val="007C7F26"/>
    <w:rsid w:val="007D15A0"/>
    <w:rsid w:val="007D1E3F"/>
    <w:rsid w:val="007D2441"/>
    <w:rsid w:val="007D383E"/>
    <w:rsid w:val="007D4086"/>
    <w:rsid w:val="007D45BF"/>
    <w:rsid w:val="007D4E00"/>
    <w:rsid w:val="007D6F7C"/>
    <w:rsid w:val="007E1C3D"/>
    <w:rsid w:val="007E1D31"/>
    <w:rsid w:val="007E1E06"/>
    <w:rsid w:val="007E3465"/>
    <w:rsid w:val="007E36C9"/>
    <w:rsid w:val="007E4081"/>
    <w:rsid w:val="007E522C"/>
    <w:rsid w:val="007E551A"/>
    <w:rsid w:val="007E59D9"/>
    <w:rsid w:val="007E6750"/>
    <w:rsid w:val="007E6D31"/>
    <w:rsid w:val="007E7096"/>
    <w:rsid w:val="007E78DE"/>
    <w:rsid w:val="007E7EE2"/>
    <w:rsid w:val="007F06A7"/>
    <w:rsid w:val="007F10C1"/>
    <w:rsid w:val="007F1E54"/>
    <w:rsid w:val="007F2784"/>
    <w:rsid w:val="007F2AAB"/>
    <w:rsid w:val="007F3146"/>
    <w:rsid w:val="007F32CC"/>
    <w:rsid w:val="007F4035"/>
    <w:rsid w:val="007F44F0"/>
    <w:rsid w:val="007F52EF"/>
    <w:rsid w:val="007F543E"/>
    <w:rsid w:val="007F5BE6"/>
    <w:rsid w:val="007F6CBF"/>
    <w:rsid w:val="007F7CBE"/>
    <w:rsid w:val="008007CF"/>
    <w:rsid w:val="00801066"/>
    <w:rsid w:val="00801168"/>
    <w:rsid w:val="008025CF"/>
    <w:rsid w:val="00802B08"/>
    <w:rsid w:val="00805647"/>
    <w:rsid w:val="008064E0"/>
    <w:rsid w:val="00807080"/>
    <w:rsid w:val="0080796D"/>
    <w:rsid w:val="0081022F"/>
    <w:rsid w:val="008105B2"/>
    <w:rsid w:val="008107B7"/>
    <w:rsid w:val="00810B89"/>
    <w:rsid w:val="00811217"/>
    <w:rsid w:val="0081208D"/>
    <w:rsid w:val="00813DFE"/>
    <w:rsid w:val="00814128"/>
    <w:rsid w:val="00816BEC"/>
    <w:rsid w:val="00816CB4"/>
    <w:rsid w:val="00816E91"/>
    <w:rsid w:val="0081730A"/>
    <w:rsid w:val="008210F1"/>
    <w:rsid w:val="00823E94"/>
    <w:rsid w:val="0082559D"/>
    <w:rsid w:val="00825FCD"/>
    <w:rsid w:val="008263AA"/>
    <w:rsid w:val="0082647A"/>
    <w:rsid w:val="00826A82"/>
    <w:rsid w:val="00826DBE"/>
    <w:rsid w:val="00827131"/>
    <w:rsid w:val="00827411"/>
    <w:rsid w:val="00827A78"/>
    <w:rsid w:val="00827D03"/>
    <w:rsid w:val="00830243"/>
    <w:rsid w:val="008321E6"/>
    <w:rsid w:val="008334C4"/>
    <w:rsid w:val="00833520"/>
    <w:rsid w:val="008345D6"/>
    <w:rsid w:val="00835B71"/>
    <w:rsid w:val="00837775"/>
    <w:rsid w:val="00840486"/>
    <w:rsid w:val="0084088C"/>
    <w:rsid w:val="00842852"/>
    <w:rsid w:val="0084298C"/>
    <w:rsid w:val="00842EAD"/>
    <w:rsid w:val="00843169"/>
    <w:rsid w:val="008432E1"/>
    <w:rsid w:val="00844678"/>
    <w:rsid w:val="00844932"/>
    <w:rsid w:val="008449A7"/>
    <w:rsid w:val="00846123"/>
    <w:rsid w:val="008461A3"/>
    <w:rsid w:val="00847221"/>
    <w:rsid w:val="00852C21"/>
    <w:rsid w:val="00854AEA"/>
    <w:rsid w:val="0085678A"/>
    <w:rsid w:val="00857CD0"/>
    <w:rsid w:val="008602BB"/>
    <w:rsid w:val="008610CA"/>
    <w:rsid w:val="0086184E"/>
    <w:rsid w:val="008618FB"/>
    <w:rsid w:val="00861D35"/>
    <w:rsid w:val="00862226"/>
    <w:rsid w:val="00863347"/>
    <w:rsid w:val="00863429"/>
    <w:rsid w:val="00864164"/>
    <w:rsid w:val="00864D4F"/>
    <w:rsid w:val="00865672"/>
    <w:rsid w:val="008667CB"/>
    <w:rsid w:val="00866B31"/>
    <w:rsid w:val="00866C20"/>
    <w:rsid w:val="00867644"/>
    <w:rsid w:val="00867D1A"/>
    <w:rsid w:val="008710D4"/>
    <w:rsid w:val="00871536"/>
    <w:rsid w:val="008719ED"/>
    <w:rsid w:val="00872AFE"/>
    <w:rsid w:val="00872FC2"/>
    <w:rsid w:val="00873F97"/>
    <w:rsid w:val="00873FDA"/>
    <w:rsid w:val="00874427"/>
    <w:rsid w:val="0087459B"/>
    <w:rsid w:val="00876646"/>
    <w:rsid w:val="0087710E"/>
    <w:rsid w:val="008776AC"/>
    <w:rsid w:val="00880741"/>
    <w:rsid w:val="00881E29"/>
    <w:rsid w:val="00882636"/>
    <w:rsid w:val="00883D48"/>
    <w:rsid w:val="00884921"/>
    <w:rsid w:val="00890388"/>
    <w:rsid w:val="00891251"/>
    <w:rsid w:val="00892A28"/>
    <w:rsid w:val="00892AED"/>
    <w:rsid w:val="00893C43"/>
    <w:rsid w:val="00894018"/>
    <w:rsid w:val="00896100"/>
    <w:rsid w:val="0089632E"/>
    <w:rsid w:val="0089641E"/>
    <w:rsid w:val="00896A80"/>
    <w:rsid w:val="008A10D2"/>
    <w:rsid w:val="008A1354"/>
    <w:rsid w:val="008A22A3"/>
    <w:rsid w:val="008A3ACF"/>
    <w:rsid w:val="008A42E8"/>
    <w:rsid w:val="008A4919"/>
    <w:rsid w:val="008A4F8A"/>
    <w:rsid w:val="008A5D94"/>
    <w:rsid w:val="008A6B3C"/>
    <w:rsid w:val="008A6C2D"/>
    <w:rsid w:val="008A7D8F"/>
    <w:rsid w:val="008B0224"/>
    <w:rsid w:val="008B045E"/>
    <w:rsid w:val="008B0580"/>
    <w:rsid w:val="008B07A8"/>
    <w:rsid w:val="008B07FF"/>
    <w:rsid w:val="008B08F1"/>
    <w:rsid w:val="008B0C6C"/>
    <w:rsid w:val="008B0E84"/>
    <w:rsid w:val="008B248C"/>
    <w:rsid w:val="008B330F"/>
    <w:rsid w:val="008B4650"/>
    <w:rsid w:val="008B5528"/>
    <w:rsid w:val="008B6251"/>
    <w:rsid w:val="008B6A52"/>
    <w:rsid w:val="008B71ED"/>
    <w:rsid w:val="008B749D"/>
    <w:rsid w:val="008B750E"/>
    <w:rsid w:val="008C0170"/>
    <w:rsid w:val="008C16F0"/>
    <w:rsid w:val="008C1A6C"/>
    <w:rsid w:val="008C2B32"/>
    <w:rsid w:val="008C39E5"/>
    <w:rsid w:val="008C4C9B"/>
    <w:rsid w:val="008C5CEC"/>
    <w:rsid w:val="008C60CC"/>
    <w:rsid w:val="008C640C"/>
    <w:rsid w:val="008C6432"/>
    <w:rsid w:val="008C64BC"/>
    <w:rsid w:val="008C6709"/>
    <w:rsid w:val="008C79A1"/>
    <w:rsid w:val="008D032E"/>
    <w:rsid w:val="008D081F"/>
    <w:rsid w:val="008D1738"/>
    <w:rsid w:val="008D23A2"/>
    <w:rsid w:val="008D23B3"/>
    <w:rsid w:val="008D30A1"/>
    <w:rsid w:val="008D5DF5"/>
    <w:rsid w:val="008D61E5"/>
    <w:rsid w:val="008D7472"/>
    <w:rsid w:val="008D75BF"/>
    <w:rsid w:val="008E26F3"/>
    <w:rsid w:val="008E2D81"/>
    <w:rsid w:val="008E2F67"/>
    <w:rsid w:val="008E31DE"/>
    <w:rsid w:val="008E38F6"/>
    <w:rsid w:val="008E406D"/>
    <w:rsid w:val="008E42B5"/>
    <w:rsid w:val="008E50CD"/>
    <w:rsid w:val="008E52A8"/>
    <w:rsid w:val="008E5325"/>
    <w:rsid w:val="008E5E61"/>
    <w:rsid w:val="008E682D"/>
    <w:rsid w:val="008E6AE9"/>
    <w:rsid w:val="008E725C"/>
    <w:rsid w:val="008E730F"/>
    <w:rsid w:val="008E7722"/>
    <w:rsid w:val="008E7910"/>
    <w:rsid w:val="008E7A61"/>
    <w:rsid w:val="008F09A4"/>
    <w:rsid w:val="008F0C64"/>
    <w:rsid w:val="008F2982"/>
    <w:rsid w:val="008F3080"/>
    <w:rsid w:val="008F30D7"/>
    <w:rsid w:val="008F38D1"/>
    <w:rsid w:val="008F46A0"/>
    <w:rsid w:val="008F6AC2"/>
    <w:rsid w:val="008F718B"/>
    <w:rsid w:val="008F7249"/>
    <w:rsid w:val="00902750"/>
    <w:rsid w:val="0090388A"/>
    <w:rsid w:val="00903930"/>
    <w:rsid w:val="00905F59"/>
    <w:rsid w:val="00906289"/>
    <w:rsid w:val="0091207E"/>
    <w:rsid w:val="00912F46"/>
    <w:rsid w:val="009140DC"/>
    <w:rsid w:val="0091468B"/>
    <w:rsid w:val="00915477"/>
    <w:rsid w:val="009154E5"/>
    <w:rsid w:val="009166D4"/>
    <w:rsid w:val="009167F3"/>
    <w:rsid w:val="00916A4E"/>
    <w:rsid w:val="0091701B"/>
    <w:rsid w:val="009204D1"/>
    <w:rsid w:val="0092065B"/>
    <w:rsid w:val="00920A57"/>
    <w:rsid w:val="00920CC3"/>
    <w:rsid w:val="009223A5"/>
    <w:rsid w:val="00923413"/>
    <w:rsid w:val="00923924"/>
    <w:rsid w:val="009254BE"/>
    <w:rsid w:val="009257D5"/>
    <w:rsid w:val="00926477"/>
    <w:rsid w:val="00926540"/>
    <w:rsid w:val="00927B7F"/>
    <w:rsid w:val="00930DCD"/>
    <w:rsid w:val="009312C7"/>
    <w:rsid w:val="00932AEB"/>
    <w:rsid w:val="00932B65"/>
    <w:rsid w:val="0093489F"/>
    <w:rsid w:val="00934BBB"/>
    <w:rsid w:val="00936272"/>
    <w:rsid w:val="00936473"/>
    <w:rsid w:val="009404D7"/>
    <w:rsid w:val="00940F44"/>
    <w:rsid w:val="0094130E"/>
    <w:rsid w:val="009441A4"/>
    <w:rsid w:val="00944775"/>
    <w:rsid w:val="00945726"/>
    <w:rsid w:val="009460E8"/>
    <w:rsid w:val="00946B92"/>
    <w:rsid w:val="00947A63"/>
    <w:rsid w:val="00950668"/>
    <w:rsid w:val="00950A77"/>
    <w:rsid w:val="0095189C"/>
    <w:rsid w:val="009540DB"/>
    <w:rsid w:val="009572C2"/>
    <w:rsid w:val="0095799B"/>
    <w:rsid w:val="00957FB1"/>
    <w:rsid w:val="009620EC"/>
    <w:rsid w:val="009632F3"/>
    <w:rsid w:val="00963813"/>
    <w:rsid w:val="009678E2"/>
    <w:rsid w:val="00967C6B"/>
    <w:rsid w:val="009702DB"/>
    <w:rsid w:val="00970F6E"/>
    <w:rsid w:val="009725AB"/>
    <w:rsid w:val="00973E38"/>
    <w:rsid w:val="009743DD"/>
    <w:rsid w:val="009755A5"/>
    <w:rsid w:val="0097565A"/>
    <w:rsid w:val="00975772"/>
    <w:rsid w:val="009765E4"/>
    <w:rsid w:val="00977601"/>
    <w:rsid w:val="0098014E"/>
    <w:rsid w:val="00980603"/>
    <w:rsid w:val="009809B8"/>
    <w:rsid w:val="00980BC7"/>
    <w:rsid w:val="00982871"/>
    <w:rsid w:val="00983282"/>
    <w:rsid w:val="00985D0A"/>
    <w:rsid w:val="0099051B"/>
    <w:rsid w:val="009922BF"/>
    <w:rsid w:val="00992478"/>
    <w:rsid w:val="00993D49"/>
    <w:rsid w:val="009947C1"/>
    <w:rsid w:val="0099496C"/>
    <w:rsid w:val="00997FF7"/>
    <w:rsid w:val="009A0173"/>
    <w:rsid w:val="009A0386"/>
    <w:rsid w:val="009A0848"/>
    <w:rsid w:val="009A0EDA"/>
    <w:rsid w:val="009A0FCF"/>
    <w:rsid w:val="009A12E2"/>
    <w:rsid w:val="009A1B48"/>
    <w:rsid w:val="009A2356"/>
    <w:rsid w:val="009A42AC"/>
    <w:rsid w:val="009A44C7"/>
    <w:rsid w:val="009A49DE"/>
    <w:rsid w:val="009A53DA"/>
    <w:rsid w:val="009A541C"/>
    <w:rsid w:val="009A76A4"/>
    <w:rsid w:val="009A7911"/>
    <w:rsid w:val="009B14B6"/>
    <w:rsid w:val="009B1797"/>
    <w:rsid w:val="009B2582"/>
    <w:rsid w:val="009B44A0"/>
    <w:rsid w:val="009B4A00"/>
    <w:rsid w:val="009B54E5"/>
    <w:rsid w:val="009B5D9E"/>
    <w:rsid w:val="009B661D"/>
    <w:rsid w:val="009B6EBF"/>
    <w:rsid w:val="009B7DA6"/>
    <w:rsid w:val="009C12CF"/>
    <w:rsid w:val="009C22EF"/>
    <w:rsid w:val="009C2BBD"/>
    <w:rsid w:val="009C37C7"/>
    <w:rsid w:val="009C3EF8"/>
    <w:rsid w:val="009C533F"/>
    <w:rsid w:val="009D253E"/>
    <w:rsid w:val="009D2954"/>
    <w:rsid w:val="009D31F9"/>
    <w:rsid w:val="009D3FB8"/>
    <w:rsid w:val="009D41EC"/>
    <w:rsid w:val="009D540B"/>
    <w:rsid w:val="009D6CEC"/>
    <w:rsid w:val="009D7CFD"/>
    <w:rsid w:val="009E0F09"/>
    <w:rsid w:val="009E1943"/>
    <w:rsid w:val="009E2260"/>
    <w:rsid w:val="009E35F8"/>
    <w:rsid w:val="009E3D25"/>
    <w:rsid w:val="009E3F03"/>
    <w:rsid w:val="009E4D0D"/>
    <w:rsid w:val="009E4E81"/>
    <w:rsid w:val="009E72A8"/>
    <w:rsid w:val="009E74A7"/>
    <w:rsid w:val="009E78FF"/>
    <w:rsid w:val="009E7D8D"/>
    <w:rsid w:val="009F0221"/>
    <w:rsid w:val="009F02F9"/>
    <w:rsid w:val="009F065D"/>
    <w:rsid w:val="009F1825"/>
    <w:rsid w:val="009F23CC"/>
    <w:rsid w:val="009F5D61"/>
    <w:rsid w:val="009F693A"/>
    <w:rsid w:val="009F75BD"/>
    <w:rsid w:val="00A01039"/>
    <w:rsid w:val="00A01EA2"/>
    <w:rsid w:val="00A02350"/>
    <w:rsid w:val="00A03135"/>
    <w:rsid w:val="00A03E3E"/>
    <w:rsid w:val="00A03F78"/>
    <w:rsid w:val="00A06CFA"/>
    <w:rsid w:val="00A07A90"/>
    <w:rsid w:val="00A11476"/>
    <w:rsid w:val="00A12B2B"/>
    <w:rsid w:val="00A12CB8"/>
    <w:rsid w:val="00A13167"/>
    <w:rsid w:val="00A13422"/>
    <w:rsid w:val="00A14515"/>
    <w:rsid w:val="00A15026"/>
    <w:rsid w:val="00A15149"/>
    <w:rsid w:val="00A21A40"/>
    <w:rsid w:val="00A22E9E"/>
    <w:rsid w:val="00A22EB2"/>
    <w:rsid w:val="00A23401"/>
    <w:rsid w:val="00A23EBF"/>
    <w:rsid w:val="00A24843"/>
    <w:rsid w:val="00A24EBB"/>
    <w:rsid w:val="00A25186"/>
    <w:rsid w:val="00A2538E"/>
    <w:rsid w:val="00A25574"/>
    <w:rsid w:val="00A25CB6"/>
    <w:rsid w:val="00A2613A"/>
    <w:rsid w:val="00A27A7A"/>
    <w:rsid w:val="00A27CD3"/>
    <w:rsid w:val="00A33091"/>
    <w:rsid w:val="00A333AF"/>
    <w:rsid w:val="00A34530"/>
    <w:rsid w:val="00A3461E"/>
    <w:rsid w:val="00A34C6A"/>
    <w:rsid w:val="00A34EFD"/>
    <w:rsid w:val="00A3620C"/>
    <w:rsid w:val="00A36489"/>
    <w:rsid w:val="00A418C1"/>
    <w:rsid w:val="00A41B3C"/>
    <w:rsid w:val="00A43680"/>
    <w:rsid w:val="00A44397"/>
    <w:rsid w:val="00A44B24"/>
    <w:rsid w:val="00A45207"/>
    <w:rsid w:val="00A4545A"/>
    <w:rsid w:val="00A45DDA"/>
    <w:rsid w:val="00A461E8"/>
    <w:rsid w:val="00A46B55"/>
    <w:rsid w:val="00A47DA4"/>
    <w:rsid w:val="00A5171F"/>
    <w:rsid w:val="00A51979"/>
    <w:rsid w:val="00A52073"/>
    <w:rsid w:val="00A531C8"/>
    <w:rsid w:val="00A548C6"/>
    <w:rsid w:val="00A5538A"/>
    <w:rsid w:val="00A557B3"/>
    <w:rsid w:val="00A55E51"/>
    <w:rsid w:val="00A563E4"/>
    <w:rsid w:val="00A56BE7"/>
    <w:rsid w:val="00A57121"/>
    <w:rsid w:val="00A573B4"/>
    <w:rsid w:val="00A57506"/>
    <w:rsid w:val="00A6138A"/>
    <w:rsid w:val="00A61BCE"/>
    <w:rsid w:val="00A621B6"/>
    <w:rsid w:val="00A63B49"/>
    <w:rsid w:val="00A6521D"/>
    <w:rsid w:val="00A65F61"/>
    <w:rsid w:val="00A6667D"/>
    <w:rsid w:val="00A67D71"/>
    <w:rsid w:val="00A70444"/>
    <w:rsid w:val="00A71A26"/>
    <w:rsid w:val="00A722C1"/>
    <w:rsid w:val="00A72B16"/>
    <w:rsid w:val="00A72C6A"/>
    <w:rsid w:val="00A733E7"/>
    <w:rsid w:val="00A73D1C"/>
    <w:rsid w:val="00A76CE4"/>
    <w:rsid w:val="00A77C6A"/>
    <w:rsid w:val="00A77DD6"/>
    <w:rsid w:val="00A81EA2"/>
    <w:rsid w:val="00A84541"/>
    <w:rsid w:val="00A84D42"/>
    <w:rsid w:val="00A85589"/>
    <w:rsid w:val="00A86417"/>
    <w:rsid w:val="00A864BF"/>
    <w:rsid w:val="00A86F0D"/>
    <w:rsid w:val="00A87B33"/>
    <w:rsid w:val="00A90204"/>
    <w:rsid w:val="00A909E7"/>
    <w:rsid w:val="00A913F7"/>
    <w:rsid w:val="00A917C8"/>
    <w:rsid w:val="00A9227B"/>
    <w:rsid w:val="00A92608"/>
    <w:rsid w:val="00A93AA5"/>
    <w:rsid w:val="00A952EF"/>
    <w:rsid w:val="00A954BD"/>
    <w:rsid w:val="00A9673A"/>
    <w:rsid w:val="00A96845"/>
    <w:rsid w:val="00A9712E"/>
    <w:rsid w:val="00A97186"/>
    <w:rsid w:val="00A9779F"/>
    <w:rsid w:val="00A97AE9"/>
    <w:rsid w:val="00AA1C17"/>
    <w:rsid w:val="00AA2072"/>
    <w:rsid w:val="00AA20AA"/>
    <w:rsid w:val="00AA301A"/>
    <w:rsid w:val="00AA3093"/>
    <w:rsid w:val="00AA3238"/>
    <w:rsid w:val="00AA430E"/>
    <w:rsid w:val="00AA4422"/>
    <w:rsid w:val="00AA4EF5"/>
    <w:rsid w:val="00AA574C"/>
    <w:rsid w:val="00AA608B"/>
    <w:rsid w:val="00AA6127"/>
    <w:rsid w:val="00AA69C6"/>
    <w:rsid w:val="00AB084D"/>
    <w:rsid w:val="00AB090B"/>
    <w:rsid w:val="00AB3B84"/>
    <w:rsid w:val="00AB4623"/>
    <w:rsid w:val="00AB4783"/>
    <w:rsid w:val="00AB5964"/>
    <w:rsid w:val="00AB6E61"/>
    <w:rsid w:val="00AB6F92"/>
    <w:rsid w:val="00AB7A82"/>
    <w:rsid w:val="00AC1204"/>
    <w:rsid w:val="00AC2F7F"/>
    <w:rsid w:val="00AC348B"/>
    <w:rsid w:val="00AC49C0"/>
    <w:rsid w:val="00AC4B33"/>
    <w:rsid w:val="00AC4E36"/>
    <w:rsid w:val="00AC4F11"/>
    <w:rsid w:val="00AC5358"/>
    <w:rsid w:val="00AC5370"/>
    <w:rsid w:val="00AC5A0D"/>
    <w:rsid w:val="00AC5EE2"/>
    <w:rsid w:val="00AC67D2"/>
    <w:rsid w:val="00AC6B04"/>
    <w:rsid w:val="00AC77E6"/>
    <w:rsid w:val="00AC7C49"/>
    <w:rsid w:val="00AD2362"/>
    <w:rsid w:val="00AD2E96"/>
    <w:rsid w:val="00AD686E"/>
    <w:rsid w:val="00AE0860"/>
    <w:rsid w:val="00AE0C24"/>
    <w:rsid w:val="00AE0FDA"/>
    <w:rsid w:val="00AE19B2"/>
    <w:rsid w:val="00AE28C4"/>
    <w:rsid w:val="00AE2F57"/>
    <w:rsid w:val="00AE3053"/>
    <w:rsid w:val="00AE35F7"/>
    <w:rsid w:val="00AF063C"/>
    <w:rsid w:val="00AF0936"/>
    <w:rsid w:val="00AF0A6D"/>
    <w:rsid w:val="00AF12FF"/>
    <w:rsid w:val="00AF1897"/>
    <w:rsid w:val="00AF33BC"/>
    <w:rsid w:val="00AF405A"/>
    <w:rsid w:val="00AF4325"/>
    <w:rsid w:val="00AF6441"/>
    <w:rsid w:val="00AF6FB5"/>
    <w:rsid w:val="00AF705D"/>
    <w:rsid w:val="00AF73E1"/>
    <w:rsid w:val="00AF7B4E"/>
    <w:rsid w:val="00B00599"/>
    <w:rsid w:val="00B03595"/>
    <w:rsid w:val="00B0361D"/>
    <w:rsid w:val="00B04CC9"/>
    <w:rsid w:val="00B07978"/>
    <w:rsid w:val="00B111B0"/>
    <w:rsid w:val="00B122F4"/>
    <w:rsid w:val="00B132D4"/>
    <w:rsid w:val="00B1398B"/>
    <w:rsid w:val="00B13D25"/>
    <w:rsid w:val="00B149F8"/>
    <w:rsid w:val="00B14F5D"/>
    <w:rsid w:val="00B153AD"/>
    <w:rsid w:val="00B15541"/>
    <w:rsid w:val="00B15763"/>
    <w:rsid w:val="00B15A4F"/>
    <w:rsid w:val="00B15C2C"/>
    <w:rsid w:val="00B1662A"/>
    <w:rsid w:val="00B16676"/>
    <w:rsid w:val="00B16ABC"/>
    <w:rsid w:val="00B16E2F"/>
    <w:rsid w:val="00B170BE"/>
    <w:rsid w:val="00B1719F"/>
    <w:rsid w:val="00B213FF"/>
    <w:rsid w:val="00B22A48"/>
    <w:rsid w:val="00B22EAF"/>
    <w:rsid w:val="00B2319E"/>
    <w:rsid w:val="00B232D5"/>
    <w:rsid w:val="00B234FD"/>
    <w:rsid w:val="00B2425B"/>
    <w:rsid w:val="00B2453B"/>
    <w:rsid w:val="00B24E7E"/>
    <w:rsid w:val="00B24F4C"/>
    <w:rsid w:val="00B25149"/>
    <w:rsid w:val="00B257EB"/>
    <w:rsid w:val="00B27040"/>
    <w:rsid w:val="00B277F4"/>
    <w:rsid w:val="00B3172E"/>
    <w:rsid w:val="00B32531"/>
    <w:rsid w:val="00B341FC"/>
    <w:rsid w:val="00B35A13"/>
    <w:rsid w:val="00B36436"/>
    <w:rsid w:val="00B36523"/>
    <w:rsid w:val="00B36B7E"/>
    <w:rsid w:val="00B37468"/>
    <w:rsid w:val="00B40348"/>
    <w:rsid w:val="00B407B6"/>
    <w:rsid w:val="00B42192"/>
    <w:rsid w:val="00B42D3E"/>
    <w:rsid w:val="00B42DB5"/>
    <w:rsid w:val="00B43181"/>
    <w:rsid w:val="00B43624"/>
    <w:rsid w:val="00B440F9"/>
    <w:rsid w:val="00B4566F"/>
    <w:rsid w:val="00B45E69"/>
    <w:rsid w:val="00B461C9"/>
    <w:rsid w:val="00B4660D"/>
    <w:rsid w:val="00B46C2F"/>
    <w:rsid w:val="00B473FD"/>
    <w:rsid w:val="00B507D0"/>
    <w:rsid w:val="00B50890"/>
    <w:rsid w:val="00B50AF5"/>
    <w:rsid w:val="00B50BC4"/>
    <w:rsid w:val="00B5184E"/>
    <w:rsid w:val="00B5339C"/>
    <w:rsid w:val="00B5369F"/>
    <w:rsid w:val="00B53F94"/>
    <w:rsid w:val="00B5455D"/>
    <w:rsid w:val="00B56486"/>
    <w:rsid w:val="00B56F8A"/>
    <w:rsid w:val="00B575FF"/>
    <w:rsid w:val="00B60333"/>
    <w:rsid w:val="00B60D44"/>
    <w:rsid w:val="00B61732"/>
    <w:rsid w:val="00B65227"/>
    <w:rsid w:val="00B654EA"/>
    <w:rsid w:val="00B6611B"/>
    <w:rsid w:val="00B66802"/>
    <w:rsid w:val="00B670E5"/>
    <w:rsid w:val="00B7243A"/>
    <w:rsid w:val="00B736CF"/>
    <w:rsid w:val="00B7397D"/>
    <w:rsid w:val="00B7493A"/>
    <w:rsid w:val="00B74B1D"/>
    <w:rsid w:val="00B74BBC"/>
    <w:rsid w:val="00B7630E"/>
    <w:rsid w:val="00B7743B"/>
    <w:rsid w:val="00B77506"/>
    <w:rsid w:val="00B77999"/>
    <w:rsid w:val="00B77C37"/>
    <w:rsid w:val="00B77C8E"/>
    <w:rsid w:val="00B80669"/>
    <w:rsid w:val="00B8136A"/>
    <w:rsid w:val="00B817A0"/>
    <w:rsid w:val="00B824FC"/>
    <w:rsid w:val="00B82E28"/>
    <w:rsid w:val="00B847C5"/>
    <w:rsid w:val="00B86DB7"/>
    <w:rsid w:val="00B90918"/>
    <w:rsid w:val="00B90D55"/>
    <w:rsid w:val="00B91049"/>
    <w:rsid w:val="00B915B9"/>
    <w:rsid w:val="00B93E4F"/>
    <w:rsid w:val="00B93F64"/>
    <w:rsid w:val="00B9523A"/>
    <w:rsid w:val="00B95C1F"/>
    <w:rsid w:val="00B96CCA"/>
    <w:rsid w:val="00B96F40"/>
    <w:rsid w:val="00B97229"/>
    <w:rsid w:val="00B975B5"/>
    <w:rsid w:val="00B97785"/>
    <w:rsid w:val="00B979E7"/>
    <w:rsid w:val="00BA1346"/>
    <w:rsid w:val="00BA1F00"/>
    <w:rsid w:val="00BA25DA"/>
    <w:rsid w:val="00BA261D"/>
    <w:rsid w:val="00BA2E1D"/>
    <w:rsid w:val="00BA36FD"/>
    <w:rsid w:val="00BA4E19"/>
    <w:rsid w:val="00BA50F3"/>
    <w:rsid w:val="00BA59BE"/>
    <w:rsid w:val="00BA6524"/>
    <w:rsid w:val="00BA65A6"/>
    <w:rsid w:val="00BB042B"/>
    <w:rsid w:val="00BB0A79"/>
    <w:rsid w:val="00BB129C"/>
    <w:rsid w:val="00BB1413"/>
    <w:rsid w:val="00BB1708"/>
    <w:rsid w:val="00BB1826"/>
    <w:rsid w:val="00BB3109"/>
    <w:rsid w:val="00BB3CF4"/>
    <w:rsid w:val="00BB4896"/>
    <w:rsid w:val="00BB5236"/>
    <w:rsid w:val="00BB7D61"/>
    <w:rsid w:val="00BC013E"/>
    <w:rsid w:val="00BC1616"/>
    <w:rsid w:val="00BC1AF4"/>
    <w:rsid w:val="00BC396A"/>
    <w:rsid w:val="00BC3C0B"/>
    <w:rsid w:val="00BC3E1B"/>
    <w:rsid w:val="00BC4412"/>
    <w:rsid w:val="00BC4437"/>
    <w:rsid w:val="00BC45F1"/>
    <w:rsid w:val="00BC4DA7"/>
    <w:rsid w:val="00BC4EF0"/>
    <w:rsid w:val="00BC4F41"/>
    <w:rsid w:val="00BC4FCE"/>
    <w:rsid w:val="00BC5390"/>
    <w:rsid w:val="00BC6E77"/>
    <w:rsid w:val="00BD01C1"/>
    <w:rsid w:val="00BD07F4"/>
    <w:rsid w:val="00BD08E1"/>
    <w:rsid w:val="00BD1E4B"/>
    <w:rsid w:val="00BD3945"/>
    <w:rsid w:val="00BD3A2B"/>
    <w:rsid w:val="00BD4CBC"/>
    <w:rsid w:val="00BD5BB5"/>
    <w:rsid w:val="00BD6D0A"/>
    <w:rsid w:val="00BD6D65"/>
    <w:rsid w:val="00BD70B2"/>
    <w:rsid w:val="00BD74AE"/>
    <w:rsid w:val="00BD7570"/>
    <w:rsid w:val="00BD7F9B"/>
    <w:rsid w:val="00BE0169"/>
    <w:rsid w:val="00BE0278"/>
    <w:rsid w:val="00BE0437"/>
    <w:rsid w:val="00BE16A0"/>
    <w:rsid w:val="00BE1AB1"/>
    <w:rsid w:val="00BE2AA8"/>
    <w:rsid w:val="00BE3BB8"/>
    <w:rsid w:val="00BE4BE5"/>
    <w:rsid w:val="00BE53D2"/>
    <w:rsid w:val="00BE5C43"/>
    <w:rsid w:val="00BE66DB"/>
    <w:rsid w:val="00BE680B"/>
    <w:rsid w:val="00BE6B20"/>
    <w:rsid w:val="00BE6F8F"/>
    <w:rsid w:val="00BE7680"/>
    <w:rsid w:val="00BE7A2F"/>
    <w:rsid w:val="00BE7E3B"/>
    <w:rsid w:val="00BF00F5"/>
    <w:rsid w:val="00BF0529"/>
    <w:rsid w:val="00BF2399"/>
    <w:rsid w:val="00BF250C"/>
    <w:rsid w:val="00BF5794"/>
    <w:rsid w:val="00BF5FC1"/>
    <w:rsid w:val="00BF6FC8"/>
    <w:rsid w:val="00BF7561"/>
    <w:rsid w:val="00BF785A"/>
    <w:rsid w:val="00C0115A"/>
    <w:rsid w:val="00C01746"/>
    <w:rsid w:val="00C02B82"/>
    <w:rsid w:val="00C0340A"/>
    <w:rsid w:val="00C036FA"/>
    <w:rsid w:val="00C04182"/>
    <w:rsid w:val="00C04389"/>
    <w:rsid w:val="00C0520A"/>
    <w:rsid w:val="00C06CC9"/>
    <w:rsid w:val="00C10158"/>
    <w:rsid w:val="00C10308"/>
    <w:rsid w:val="00C1031D"/>
    <w:rsid w:val="00C11149"/>
    <w:rsid w:val="00C11205"/>
    <w:rsid w:val="00C11DB0"/>
    <w:rsid w:val="00C14341"/>
    <w:rsid w:val="00C1573B"/>
    <w:rsid w:val="00C178A0"/>
    <w:rsid w:val="00C200F0"/>
    <w:rsid w:val="00C20A74"/>
    <w:rsid w:val="00C20F08"/>
    <w:rsid w:val="00C2146E"/>
    <w:rsid w:val="00C23745"/>
    <w:rsid w:val="00C23C2D"/>
    <w:rsid w:val="00C24ED5"/>
    <w:rsid w:val="00C2536F"/>
    <w:rsid w:val="00C2692D"/>
    <w:rsid w:val="00C30CCA"/>
    <w:rsid w:val="00C3194D"/>
    <w:rsid w:val="00C32F10"/>
    <w:rsid w:val="00C335C6"/>
    <w:rsid w:val="00C35266"/>
    <w:rsid w:val="00C363D7"/>
    <w:rsid w:val="00C37B68"/>
    <w:rsid w:val="00C37EF8"/>
    <w:rsid w:val="00C40082"/>
    <w:rsid w:val="00C4040A"/>
    <w:rsid w:val="00C40473"/>
    <w:rsid w:val="00C4161E"/>
    <w:rsid w:val="00C41D2E"/>
    <w:rsid w:val="00C420DF"/>
    <w:rsid w:val="00C4305C"/>
    <w:rsid w:val="00C43FB7"/>
    <w:rsid w:val="00C44ECB"/>
    <w:rsid w:val="00C4547D"/>
    <w:rsid w:val="00C4554C"/>
    <w:rsid w:val="00C458FB"/>
    <w:rsid w:val="00C46F64"/>
    <w:rsid w:val="00C470C3"/>
    <w:rsid w:val="00C47B72"/>
    <w:rsid w:val="00C50D82"/>
    <w:rsid w:val="00C51412"/>
    <w:rsid w:val="00C51504"/>
    <w:rsid w:val="00C519E1"/>
    <w:rsid w:val="00C528CC"/>
    <w:rsid w:val="00C54013"/>
    <w:rsid w:val="00C54113"/>
    <w:rsid w:val="00C5477A"/>
    <w:rsid w:val="00C552FC"/>
    <w:rsid w:val="00C5562F"/>
    <w:rsid w:val="00C55B6C"/>
    <w:rsid w:val="00C62768"/>
    <w:rsid w:val="00C63E4C"/>
    <w:rsid w:val="00C646A4"/>
    <w:rsid w:val="00C64886"/>
    <w:rsid w:val="00C648F2"/>
    <w:rsid w:val="00C64ADE"/>
    <w:rsid w:val="00C64DDA"/>
    <w:rsid w:val="00C66482"/>
    <w:rsid w:val="00C713FF"/>
    <w:rsid w:val="00C72B57"/>
    <w:rsid w:val="00C738C4"/>
    <w:rsid w:val="00C745D1"/>
    <w:rsid w:val="00C75035"/>
    <w:rsid w:val="00C7637B"/>
    <w:rsid w:val="00C779FD"/>
    <w:rsid w:val="00C80CCC"/>
    <w:rsid w:val="00C80F7F"/>
    <w:rsid w:val="00C80F84"/>
    <w:rsid w:val="00C81D47"/>
    <w:rsid w:val="00C849A6"/>
    <w:rsid w:val="00C84B98"/>
    <w:rsid w:val="00C86915"/>
    <w:rsid w:val="00C87B5C"/>
    <w:rsid w:val="00C906FE"/>
    <w:rsid w:val="00C92912"/>
    <w:rsid w:val="00C9382E"/>
    <w:rsid w:val="00C9432D"/>
    <w:rsid w:val="00C94444"/>
    <w:rsid w:val="00C947EA"/>
    <w:rsid w:val="00C9516C"/>
    <w:rsid w:val="00C96DBA"/>
    <w:rsid w:val="00C97CF0"/>
    <w:rsid w:val="00CA03AC"/>
    <w:rsid w:val="00CA04FD"/>
    <w:rsid w:val="00CA09F4"/>
    <w:rsid w:val="00CA1351"/>
    <w:rsid w:val="00CA1940"/>
    <w:rsid w:val="00CA29B7"/>
    <w:rsid w:val="00CA2D20"/>
    <w:rsid w:val="00CA4FD6"/>
    <w:rsid w:val="00CA73C9"/>
    <w:rsid w:val="00CB1949"/>
    <w:rsid w:val="00CB1A76"/>
    <w:rsid w:val="00CB207B"/>
    <w:rsid w:val="00CB214E"/>
    <w:rsid w:val="00CB2C4E"/>
    <w:rsid w:val="00CB2CAF"/>
    <w:rsid w:val="00CB36C5"/>
    <w:rsid w:val="00CB4294"/>
    <w:rsid w:val="00CB4E97"/>
    <w:rsid w:val="00CB53EA"/>
    <w:rsid w:val="00CB5918"/>
    <w:rsid w:val="00CB5B33"/>
    <w:rsid w:val="00CB5FF4"/>
    <w:rsid w:val="00CB6F26"/>
    <w:rsid w:val="00CB7433"/>
    <w:rsid w:val="00CB7736"/>
    <w:rsid w:val="00CB7CD0"/>
    <w:rsid w:val="00CC0CBF"/>
    <w:rsid w:val="00CC1184"/>
    <w:rsid w:val="00CC1AFE"/>
    <w:rsid w:val="00CC1DFF"/>
    <w:rsid w:val="00CC2232"/>
    <w:rsid w:val="00CC3930"/>
    <w:rsid w:val="00CC4376"/>
    <w:rsid w:val="00CC4D32"/>
    <w:rsid w:val="00CC5F2A"/>
    <w:rsid w:val="00CD0703"/>
    <w:rsid w:val="00CD1375"/>
    <w:rsid w:val="00CD39AF"/>
    <w:rsid w:val="00CD3C14"/>
    <w:rsid w:val="00CD4421"/>
    <w:rsid w:val="00CD50CF"/>
    <w:rsid w:val="00CD52FA"/>
    <w:rsid w:val="00CD7857"/>
    <w:rsid w:val="00CD792C"/>
    <w:rsid w:val="00CE1321"/>
    <w:rsid w:val="00CE4266"/>
    <w:rsid w:val="00CE4758"/>
    <w:rsid w:val="00CE50F0"/>
    <w:rsid w:val="00CE5424"/>
    <w:rsid w:val="00CE6508"/>
    <w:rsid w:val="00CE6CF4"/>
    <w:rsid w:val="00CE738E"/>
    <w:rsid w:val="00CE790E"/>
    <w:rsid w:val="00CE7913"/>
    <w:rsid w:val="00CE7CAC"/>
    <w:rsid w:val="00CE7ED2"/>
    <w:rsid w:val="00CF0D33"/>
    <w:rsid w:val="00CF118B"/>
    <w:rsid w:val="00CF12DF"/>
    <w:rsid w:val="00CF1887"/>
    <w:rsid w:val="00CF26CA"/>
    <w:rsid w:val="00CF2DEC"/>
    <w:rsid w:val="00CF2E9A"/>
    <w:rsid w:val="00CF4E1F"/>
    <w:rsid w:val="00CF5D36"/>
    <w:rsid w:val="00CF614E"/>
    <w:rsid w:val="00CF6A76"/>
    <w:rsid w:val="00CF701D"/>
    <w:rsid w:val="00CF7681"/>
    <w:rsid w:val="00D00B18"/>
    <w:rsid w:val="00D02237"/>
    <w:rsid w:val="00D02CEE"/>
    <w:rsid w:val="00D02E67"/>
    <w:rsid w:val="00D0418C"/>
    <w:rsid w:val="00D041C2"/>
    <w:rsid w:val="00D0445C"/>
    <w:rsid w:val="00D04C1A"/>
    <w:rsid w:val="00D052F6"/>
    <w:rsid w:val="00D056F8"/>
    <w:rsid w:val="00D10BD0"/>
    <w:rsid w:val="00D11C37"/>
    <w:rsid w:val="00D12AB6"/>
    <w:rsid w:val="00D1464B"/>
    <w:rsid w:val="00D1599E"/>
    <w:rsid w:val="00D15F38"/>
    <w:rsid w:val="00D1776A"/>
    <w:rsid w:val="00D20D9F"/>
    <w:rsid w:val="00D21D1F"/>
    <w:rsid w:val="00D232B8"/>
    <w:rsid w:val="00D2402A"/>
    <w:rsid w:val="00D242ED"/>
    <w:rsid w:val="00D245EB"/>
    <w:rsid w:val="00D250D7"/>
    <w:rsid w:val="00D26951"/>
    <w:rsid w:val="00D26AB9"/>
    <w:rsid w:val="00D27D3D"/>
    <w:rsid w:val="00D3285B"/>
    <w:rsid w:val="00D33453"/>
    <w:rsid w:val="00D33C41"/>
    <w:rsid w:val="00D35682"/>
    <w:rsid w:val="00D35DA1"/>
    <w:rsid w:val="00D3600B"/>
    <w:rsid w:val="00D36060"/>
    <w:rsid w:val="00D367BA"/>
    <w:rsid w:val="00D37BFA"/>
    <w:rsid w:val="00D4133E"/>
    <w:rsid w:val="00D4148A"/>
    <w:rsid w:val="00D41F12"/>
    <w:rsid w:val="00D4303A"/>
    <w:rsid w:val="00D452AE"/>
    <w:rsid w:val="00D4584E"/>
    <w:rsid w:val="00D45E98"/>
    <w:rsid w:val="00D46510"/>
    <w:rsid w:val="00D46763"/>
    <w:rsid w:val="00D46A49"/>
    <w:rsid w:val="00D4753E"/>
    <w:rsid w:val="00D47E51"/>
    <w:rsid w:val="00D5027E"/>
    <w:rsid w:val="00D50F3E"/>
    <w:rsid w:val="00D517EF"/>
    <w:rsid w:val="00D51A0E"/>
    <w:rsid w:val="00D51B63"/>
    <w:rsid w:val="00D54A6E"/>
    <w:rsid w:val="00D54FD5"/>
    <w:rsid w:val="00D557B4"/>
    <w:rsid w:val="00D57BBD"/>
    <w:rsid w:val="00D60D9A"/>
    <w:rsid w:val="00D642B6"/>
    <w:rsid w:val="00D670F6"/>
    <w:rsid w:val="00D67DE6"/>
    <w:rsid w:val="00D701B6"/>
    <w:rsid w:val="00D707AC"/>
    <w:rsid w:val="00D70C5D"/>
    <w:rsid w:val="00D74C96"/>
    <w:rsid w:val="00D7699C"/>
    <w:rsid w:val="00D76B03"/>
    <w:rsid w:val="00D771E0"/>
    <w:rsid w:val="00D77BE1"/>
    <w:rsid w:val="00D80B1B"/>
    <w:rsid w:val="00D80E8E"/>
    <w:rsid w:val="00D824B2"/>
    <w:rsid w:val="00D839CC"/>
    <w:rsid w:val="00D8478E"/>
    <w:rsid w:val="00D84C24"/>
    <w:rsid w:val="00D85574"/>
    <w:rsid w:val="00D85A10"/>
    <w:rsid w:val="00D86AC6"/>
    <w:rsid w:val="00D86EBA"/>
    <w:rsid w:val="00D872AB"/>
    <w:rsid w:val="00D873C6"/>
    <w:rsid w:val="00D8763F"/>
    <w:rsid w:val="00D93194"/>
    <w:rsid w:val="00D947FB"/>
    <w:rsid w:val="00D94D78"/>
    <w:rsid w:val="00D94D8F"/>
    <w:rsid w:val="00D96E0B"/>
    <w:rsid w:val="00DA0ABD"/>
    <w:rsid w:val="00DA0B63"/>
    <w:rsid w:val="00DA1832"/>
    <w:rsid w:val="00DA1EEC"/>
    <w:rsid w:val="00DA332D"/>
    <w:rsid w:val="00DA426A"/>
    <w:rsid w:val="00DA629B"/>
    <w:rsid w:val="00DA752E"/>
    <w:rsid w:val="00DA7606"/>
    <w:rsid w:val="00DA7C54"/>
    <w:rsid w:val="00DB07A8"/>
    <w:rsid w:val="00DB09B3"/>
    <w:rsid w:val="00DB13DB"/>
    <w:rsid w:val="00DB2D21"/>
    <w:rsid w:val="00DB37AF"/>
    <w:rsid w:val="00DB41BE"/>
    <w:rsid w:val="00DB430B"/>
    <w:rsid w:val="00DB49B5"/>
    <w:rsid w:val="00DB6122"/>
    <w:rsid w:val="00DB6806"/>
    <w:rsid w:val="00DB6AF3"/>
    <w:rsid w:val="00DB7351"/>
    <w:rsid w:val="00DB78FA"/>
    <w:rsid w:val="00DB7A71"/>
    <w:rsid w:val="00DB7E99"/>
    <w:rsid w:val="00DC0C1E"/>
    <w:rsid w:val="00DC139A"/>
    <w:rsid w:val="00DC2F3E"/>
    <w:rsid w:val="00DC350A"/>
    <w:rsid w:val="00DC3C9A"/>
    <w:rsid w:val="00DC6DD4"/>
    <w:rsid w:val="00DC73F6"/>
    <w:rsid w:val="00DD0D8A"/>
    <w:rsid w:val="00DD0E11"/>
    <w:rsid w:val="00DD186C"/>
    <w:rsid w:val="00DD18AA"/>
    <w:rsid w:val="00DD1EE1"/>
    <w:rsid w:val="00DD2F5B"/>
    <w:rsid w:val="00DD5289"/>
    <w:rsid w:val="00DD53BA"/>
    <w:rsid w:val="00DD6771"/>
    <w:rsid w:val="00DD67D9"/>
    <w:rsid w:val="00DE05E0"/>
    <w:rsid w:val="00DE070A"/>
    <w:rsid w:val="00DE2F4B"/>
    <w:rsid w:val="00DE335A"/>
    <w:rsid w:val="00DE37CD"/>
    <w:rsid w:val="00DE3904"/>
    <w:rsid w:val="00DE3EA5"/>
    <w:rsid w:val="00DE49F8"/>
    <w:rsid w:val="00DE57CB"/>
    <w:rsid w:val="00DE5A18"/>
    <w:rsid w:val="00DE5DF0"/>
    <w:rsid w:val="00DE5FE8"/>
    <w:rsid w:val="00DE6712"/>
    <w:rsid w:val="00DE68AE"/>
    <w:rsid w:val="00DF12AC"/>
    <w:rsid w:val="00DF13C7"/>
    <w:rsid w:val="00DF1CD3"/>
    <w:rsid w:val="00DF2353"/>
    <w:rsid w:val="00DF3B8E"/>
    <w:rsid w:val="00DF48DA"/>
    <w:rsid w:val="00DF50CC"/>
    <w:rsid w:val="00DF5A15"/>
    <w:rsid w:val="00E001DB"/>
    <w:rsid w:val="00E025CF"/>
    <w:rsid w:val="00E02E55"/>
    <w:rsid w:val="00E03471"/>
    <w:rsid w:val="00E03515"/>
    <w:rsid w:val="00E03DAA"/>
    <w:rsid w:val="00E044CC"/>
    <w:rsid w:val="00E04FE3"/>
    <w:rsid w:val="00E0589A"/>
    <w:rsid w:val="00E06F5E"/>
    <w:rsid w:val="00E07868"/>
    <w:rsid w:val="00E1099E"/>
    <w:rsid w:val="00E11718"/>
    <w:rsid w:val="00E117C5"/>
    <w:rsid w:val="00E12805"/>
    <w:rsid w:val="00E12A3C"/>
    <w:rsid w:val="00E13345"/>
    <w:rsid w:val="00E13D93"/>
    <w:rsid w:val="00E13ED1"/>
    <w:rsid w:val="00E14CE7"/>
    <w:rsid w:val="00E14E34"/>
    <w:rsid w:val="00E14E94"/>
    <w:rsid w:val="00E15776"/>
    <w:rsid w:val="00E16670"/>
    <w:rsid w:val="00E16840"/>
    <w:rsid w:val="00E16D48"/>
    <w:rsid w:val="00E1748B"/>
    <w:rsid w:val="00E21196"/>
    <w:rsid w:val="00E21F2D"/>
    <w:rsid w:val="00E23282"/>
    <w:rsid w:val="00E2370C"/>
    <w:rsid w:val="00E2447B"/>
    <w:rsid w:val="00E249C1"/>
    <w:rsid w:val="00E24C56"/>
    <w:rsid w:val="00E254F5"/>
    <w:rsid w:val="00E26033"/>
    <w:rsid w:val="00E2616D"/>
    <w:rsid w:val="00E26378"/>
    <w:rsid w:val="00E26DF1"/>
    <w:rsid w:val="00E27B9D"/>
    <w:rsid w:val="00E31068"/>
    <w:rsid w:val="00E31ED8"/>
    <w:rsid w:val="00E31F67"/>
    <w:rsid w:val="00E3238E"/>
    <w:rsid w:val="00E328A1"/>
    <w:rsid w:val="00E32C55"/>
    <w:rsid w:val="00E34C01"/>
    <w:rsid w:val="00E3718F"/>
    <w:rsid w:val="00E37341"/>
    <w:rsid w:val="00E37F56"/>
    <w:rsid w:val="00E405D4"/>
    <w:rsid w:val="00E406B9"/>
    <w:rsid w:val="00E408CB"/>
    <w:rsid w:val="00E40ACE"/>
    <w:rsid w:val="00E42AA1"/>
    <w:rsid w:val="00E43CED"/>
    <w:rsid w:val="00E45850"/>
    <w:rsid w:val="00E46D2C"/>
    <w:rsid w:val="00E472AC"/>
    <w:rsid w:val="00E478AD"/>
    <w:rsid w:val="00E4793F"/>
    <w:rsid w:val="00E47C5E"/>
    <w:rsid w:val="00E50280"/>
    <w:rsid w:val="00E50712"/>
    <w:rsid w:val="00E50E28"/>
    <w:rsid w:val="00E5144D"/>
    <w:rsid w:val="00E52058"/>
    <w:rsid w:val="00E52612"/>
    <w:rsid w:val="00E5309D"/>
    <w:rsid w:val="00E55E62"/>
    <w:rsid w:val="00E5664D"/>
    <w:rsid w:val="00E56CA5"/>
    <w:rsid w:val="00E5709B"/>
    <w:rsid w:val="00E60458"/>
    <w:rsid w:val="00E633D5"/>
    <w:rsid w:val="00E635AB"/>
    <w:rsid w:val="00E63941"/>
    <w:rsid w:val="00E639EF"/>
    <w:rsid w:val="00E63E69"/>
    <w:rsid w:val="00E6471F"/>
    <w:rsid w:val="00E65215"/>
    <w:rsid w:val="00E65651"/>
    <w:rsid w:val="00E65B1C"/>
    <w:rsid w:val="00E65CEA"/>
    <w:rsid w:val="00E65F5B"/>
    <w:rsid w:val="00E66B84"/>
    <w:rsid w:val="00E67928"/>
    <w:rsid w:val="00E70DE1"/>
    <w:rsid w:val="00E719B5"/>
    <w:rsid w:val="00E71AE6"/>
    <w:rsid w:val="00E742FC"/>
    <w:rsid w:val="00E74772"/>
    <w:rsid w:val="00E75281"/>
    <w:rsid w:val="00E774A5"/>
    <w:rsid w:val="00E774F7"/>
    <w:rsid w:val="00E8063E"/>
    <w:rsid w:val="00E80C42"/>
    <w:rsid w:val="00E825FB"/>
    <w:rsid w:val="00E827F9"/>
    <w:rsid w:val="00E82DC2"/>
    <w:rsid w:val="00E83C49"/>
    <w:rsid w:val="00E83CBB"/>
    <w:rsid w:val="00E84844"/>
    <w:rsid w:val="00E85062"/>
    <w:rsid w:val="00E85CAF"/>
    <w:rsid w:val="00E864B9"/>
    <w:rsid w:val="00E90087"/>
    <w:rsid w:val="00E90995"/>
    <w:rsid w:val="00E9251E"/>
    <w:rsid w:val="00E94214"/>
    <w:rsid w:val="00E943B4"/>
    <w:rsid w:val="00E94FF7"/>
    <w:rsid w:val="00E9506E"/>
    <w:rsid w:val="00E95B34"/>
    <w:rsid w:val="00E968CA"/>
    <w:rsid w:val="00E96DC5"/>
    <w:rsid w:val="00E97300"/>
    <w:rsid w:val="00E9782D"/>
    <w:rsid w:val="00EA04C5"/>
    <w:rsid w:val="00EA0889"/>
    <w:rsid w:val="00EA163C"/>
    <w:rsid w:val="00EA1FD2"/>
    <w:rsid w:val="00EA24A6"/>
    <w:rsid w:val="00EA3424"/>
    <w:rsid w:val="00EA4580"/>
    <w:rsid w:val="00EA4D01"/>
    <w:rsid w:val="00EA6C38"/>
    <w:rsid w:val="00EB0691"/>
    <w:rsid w:val="00EB06C1"/>
    <w:rsid w:val="00EB18BD"/>
    <w:rsid w:val="00EB1981"/>
    <w:rsid w:val="00EB1A27"/>
    <w:rsid w:val="00EB1E3D"/>
    <w:rsid w:val="00EB373A"/>
    <w:rsid w:val="00EB437F"/>
    <w:rsid w:val="00EB48B4"/>
    <w:rsid w:val="00EB4DA3"/>
    <w:rsid w:val="00EB653A"/>
    <w:rsid w:val="00EB75CD"/>
    <w:rsid w:val="00EB77E0"/>
    <w:rsid w:val="00EB7AA4"/>
    <w:rsid w:val="00EC0540"/>
    <w:rsid w:val="00EC082D"/>
    <w:rsid w:val="00EC08DF"/>
    <w:rsid w:val="00EC2F95"/>
    <w:rsid w:val="00EC30BF"/>
    <w:rsid w:val="00EC6105"/>
    <w:rsid w:val="00ED02D9"/>
    <w:rsid w:val="00ED132B"/>
    <w:rsid w:val="00ED2456"/>
    <w:rsid w:val="00ED3C1F"/>
    <w:rsid w:val="00ED6616"/>
    <w:rsid w:val="00ED68E8"/>
    <w:rsid w:val="00ED6D38"/>
    <w:rsid w:val="00ED7845"/>
    <w:rsid w:val="00ED7D9A"/>
    <w:rsid w:val="00EE0D24"/>
    <w:rsid w:val="00EE1075"/>
    <w:rsid w:val="00EE2D9D"/>
    <w:rsid w:val="00EE2DE9"/>
    <w:rsid w:val="00EE34D2"/>
    <w:rsid w:val="00EE37FF"/>
    <w:rsid w:val="00EE4DA6"/>
    <w:rsid w:val="00EE5489"/>
    <w:rsid w:val="00EE5563"/>
    <w:rsid w:val="00EE6DDC"/>
    <w:rsid w:val="00EE7AED"/>
    <w:rsid w:val="00EF0331"/>
    <w:rsid w:val="00EF184B"/>
    <w:rsid w:val="00EF3017"/>
    <w:rsid w:val="00EF3D43"/>
    <w:rsid w:val="00EF3E7E"/>
    <w:rsid w:val="00EF41D8"/>
    <w:rsid w:val="00EF42D6"/>
    <w:rsid w:val="00EF5482"/>
    <w:rsid w:val="00EF5B05"/>
    <w:rsid w:val="00EF5C90"/>
    <w:rsid w:val="00EF6146"/>
    <w:rsid w:val="00EF6AED"/>
    <w:rsid w:val="00EF7D0E"/>
    <w:rsid w:val="00F001B9"/>
    <w:rsid w:val="00F00EB5"/>
    <w:rsid w:val="00F01464"/>
    <w:rsid w:val="00F039D5"/>
    <w:rsid w:val="00F05DF0"/>
    <w:rsid w:val="00F06F3F"/>
    <w:rsid w:val="00F07012"/>
    <w:rsid w:val="00F10348"/>
    <w:rsid w:val="00F108F1"/>
    <w:rsid w:val="00F10B82"/>
    <w:rsid w:val="00F11371"/>
    <w:rsid w:val="00F11FF1"/>
    <w:rsid w:val="00F12C3C"/>
    <w:rsid w:val="00F13BCD"/>
    <w:rsid w:val="00F13D3D"/>
    <w:rsid w:val="00F13D45"/>
    <w:rsid w:val="00F141D3"/>
    <w:rsid w:val="00F15A85"/>
    <w:rsid w:val="00F15AD4"/>
    <w:rsid w:val="00F15DEB"/>
    <w:rsid w:val="00F15E05"/>
    <w:rsid w:val="00F16733"/>
    <w:rsid w:val="00F20387"/>
    <w:rsid w:val="00F20AAF"/>
    <w:rsid w:val="00F21F08"/>
    <w:rsid w:val="00F23428"/>
    <w:rsid w:val="00F24A39"/>
    <w:rsid w:val="00F25180"/>
    <w:rsid w:val="00F25C03"/>
    <w:rsid w:val="00F26C08"/>
    <w:rsid w:val="00F27B1C"/>
    <w:rsid w:val="00F27C8F"/>
    <w:rsid w:val="00F305B0"/>
    <w:rsid w:val="00F31239"/>
    <w:rsid w:val="00F3169C"/>
    <w:rsid w:val="00F31B87"/>
    <w:rsid w:val="00F32FB6"/>
    <w:rsid w:val="00F35F0D"/>
    <w:rsid w:val="00F360A0"/>
    <w:rsid w:val="00F37A59"/>
    <w:rsid w:val="00F40620"/>
    <w:rsid w:val="00F40B41"/>
    <w:rsid w:val="00F40C4A"/>
    <w:rsid w:val="00F41E15"/>
    <w:rsid w:val="00F42843"/>
    <w:rsid w:val="00F436C8"/>
    <w:rsid w:val="00F4523E"/>
    <w:rsid w:val="00F456B5"/>
    <w:rsid w:val="00F45E64"/>
    <w:rsid w:val="00F4656D"/>
    <w:rsid w:val="00F527B6"/>
    <w:rsid w:val="00F53291"/>
    <w:rsid w:val="00F53383"/>
    <w:rsid w:val="00F5439A"/>
    <w:rsid w:val="00F543B7"/>
    <w:rsid w:val="00F569A5"/>
    <w:rsid w:val="00F56E2B"/>
    <w:rsid w:val="00F607B9"/>
    <w:rsid w:val="00F60C78"/>
    <w:rsid w:val="00F60E0B"/>
    <w:rsid w:val="00F620B6"/>
    <w:rsid w:val="00F62A2F"/>
    <w:rsid w:val="00F638A3"/>
    <w:rsid w:val="00F657C2"/>
    <w:rsid w:val="00F65C00"/>
    <w:rsid w:val="00F66637"/>
    <w:rsid w:val="00F674EB"/>
    <w:rsid w:val="00F72054"/>
    <w:rsid w:val="00F72E0B"/>
    <w:rsid w:val="00F74D84"/>
    <w:rsid w:val="00F74F03"/>
    <w:rsid w:val="00F77A24"/>
    <w:rsid w:val="00F8017B"/>
    <w:rsid w:val="00F80DD7"/>
    <w:rsid w:val="00F80F06"/>
    <w:rsid w:val="00F81C55"/>
    <w:rsid w:val="00F81DE2"/>
    <w:rsid w:val="00F81F62"/>
    <w:rsid w:val="00F81FE8"/>
    <w:rsid w:val="00F8296F"/>
    <w:rsid w:val="00F83237"/>
    <w:rsid w:val="00F84C20"/>
    <w:rsid w:val="00F86BCD"/>
    <w:rsid w:val="00F87955"/>
    <w:rsid w:val="00F901F5"/>
    <w:rsid w:val="00F91610"/>
    <w:rsid w:val="00F91E3B"/>
    <w:rsid w:val="00F93D5C"/>
    <w:rsid w:val="00F94E5E"/>
    <w:rsid w:val="00F9634B"/>
    <w:rsid w:val="00F96B5D"/>
    <w:rsid w:val="00FA1649"/>
    <w:rsid w:val="00FA19BD"/>
    <w:rsid w:val="00FA1AE2"/>
    <w:rsid w:val="00FA1B86"/>
    <w:rsid w:val="00FA401D"/>
    <w:rsid w:val="00FA5D4A"/>
    <w:rsid w:val="00FA7768"/>
    <w:rsid w:val="00FB02CB"/>
    <w:rsid w:val="00FB0514"/>
    <w:rsid w:val="00FB0C7B"/>
    <w:rsid w:val="00FB0D56"/>
    <w:rsid w:val="00FB1A68"/>
    <w:rsid w:val="00FB2207"/>
    <w:rsid w:val="00FB2ECB"/>
    <w:rsid w:val="00FB360F"/>
    <w:rsid w:val="00FB3B68"/>
    <w:rsid w:val="00FB3F4C"/>
    <w:rsid w:val="00FB4989"/>
    <w:rsid w:val="00FB4C37"/>
    <w:rsid w:val="00FB5202"/>
    <w:rsid w:val="00FB5CF1"/>
    <w:rsid w:val="00FC2303"/>
    <w:rsid w:val="00FC3B22"/>
    <w:rsid w:val="00FC4DF7"/>
    <w:rsid w:val="00FC4FDF"/>
    <w:rsid w:val="00FC5D6D"/>
    <w:rsid w:val="00FC6BB6"/>
    <w:rsid w:val="00FC70B4"/>
    <w:rsid w:val="00FD09F9"/>
    <w:rsid w:val="00FD1DA6"/>
    <w:rsid w:val="00FD2757"/>
    <w:rsid w:val="00FD69B7"/>
    <w:rsid w:val="00FD6B4D"/>
    <w:rsid w:val="00FD79E7"/>
    <w:rsid w:val="00FE027D"/>
    <w:rsid w:val="00FE0516"/>
    <w:rsid w:val="00FE0890"/>
    <w:rsid w:val="00FE17E6"/>
    <w:rsid w:val="00FE1FB5"/>
    <w:rsid w:val="00FE2A64"/>
    <w:rsid w:val="00FE458B"/>
    <w:rsid w:val="00FE484E"/>
    <w:rsid w:val="00FE6405"/>
    <w:rsid w:val="00FE6E9A"/>
    <w:rsid w:val="00FE7C4A"/>
    <w:rsid w:val="00FF35D7"/>
    <w:rsid w:val="00FF437B"/>
    <w:rsid w:val="00FF61CB"/>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1E43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B5D"/>
    <w:pPr>
      <w:ind w:left="720"/>
      <w:contextualSpacing/>
    </w:pPr>
  </w:style>
  <w:style w:type="paragraph" w:styleId="FootnoteText">
    <w:name w:val="footnote text"/>
    <w:basedOn w:val="Normal"/>
    <w:link w:val="FootnoteTextChar"/>
    <w:uiPriority w:val="99"/>
    <w:unhideWhenUsed/>
    <w:rsid w:val="00F96B5D"/>
  </w:style>
  <w:style w:type="character" w:customStyle="1" w:styleId="FootnoteTextChar">
    <w:name w:val="Footnote Text Char"/>
    <w:basedOn w:val="DefaultParagraphFont"/>
    <w:link w:val="FootnoteText"/>
    <w:uiPriority w:val="99"/>
    <w:rsid w:val="00F96B5D"/>
  </w:style>
  <w:style w:type="character" w:styleId="FootnoteReference">
    <w:name w:val="footnote reference"/>
    <w:basedOn w:val="DefaultParagraphFont"/>
    <w:uiPriority w:val="99"/>
    <w:unhideWhenUsed/>
    <w:rsid w:val="00F96B5D"/>
    <w:rPr>
      <w:vertAlign w:val="superscript"/>
    </w:rPr>
  </w:style>
  <w:style w:type="character" w:styleId="Hyperlink">
    <w:name w:val="Hyperlink"/>
    <w:basedOn w:val="DefaultParagraphFont"/>
    <w:uiPriority w:val="99"/>
    <w:unhideWhenUsed/>
    <w:rsid w:val="00D12AB6"/>
    <w:rPr>
      <w:color w:val="0000FF" w:themeColor="hyperlink"/>
      <w:u w:val="single"/>
    </w:rPr>
  </w:style>
  <w:style w:type="paragraph" w:styleId="Footer">
    <w:name w:val="footer"/>
    <w:basedOn w:val="Normal"/>
    <w:link w:val="FooterChar"/>
    <w:uiPriority w:val="99"/>
    <w:unhideWhenUsed/>
    <w:rsid w:val="00BE4BE5"/>
    <w:pPr>
      <w:tabs>
        <w:tab w:val="center" w:pos="4320"/>
        <w:tab w:val="right" w:pos="8640"/>
      </w:tabs>
    </w:pPr>
  </w:style>
  <w:style w:type="character" w:customStyle="1" w:styleId="FooterChar">
    <w:name w:val="Footer Char"/>
    <w:basedOn w:val="DefaultParagraphFont"/>
    <w:link w:val="Footer"/>
    <w:uiPriority w:val="99"/>
    <w:rsid w:val="00BE4BE5"/>
  </w:style>
  <w:style w:type="character" w:styleId="PageNumber">
    <w:name w:val="page number"/>
    <w:basedOn w:val="DefaultParagraphFont"/>
    <w:uiPriority w:val="99"/>
    <w:semiHidden/>
    <w:unhideWhenUsed/>
    <w:rsid w:val="00BE4BE5"/>
  </w:style>
  <w:style w:type="paragraph" w:styleId="Header">
    <w:name w:val="header"/>
    <w:basedOn w:val="Normal"/>
    <w:link w:val="HeaderChar"/>
    <w:uiPriority w:val="99"/>
    <w:unhideWhenUsed/>
    <w:rsid w:val="00342D7B"/>
    <w:pPr>
      <w:tabs>
        <w:tab w:val="center" w:pos="4320"/>
        <w:tab w:val="right" w:pos="8640"/>
      </w:tabs>
    </w:pPr>
  </w:style>
  <w:style w:type="character" w:customStyle="1" w:styleId="HeaderChar">
    <w:name w:val="Header Char"/>
    <w:basedOn w:val="DefaultParagraphFont"/>
    <w:link w:val="Header"/>
    <w:uiPriority w:val="99"/>
    <w:rsid w:val="00342D7B"/>
  </w:style>
  <w:style w:type="character" w:styleId="CommentReference">
    <w:name w:val="annotation reference"/>
    <w:basedOn w:val="DefaultParagraphFont"/>
    <w:uiPriority w:val="99"/>
    <w:semiHidden/>
    <w:unhideWhenUsed/>
    <w:rsid w:val="00D46763"/>
    <w:rPr>
      <w:sz w:val="18"/>
      <w:szCs w:val="18"/>
    </w:rPr>
  </w:style>
  <w:style w:type="paragraph" w:styleId="CommentText">
    <w:name w:val="annotation text"/>
    <w:basedOn w:val="Normal"/>
    <w:link w:val="CommentTextChar"/>
    <w:uiPriority w:val="99"/>
    <w:semiHidden/>
    <w:unhideWhenUsed/>
    <w:rsid w:val="00D46763"/>
  </w:style>
  <w:style w:type="character" w:customStyle="1" w:styleId="CommentTextChar">
    <w:name w:val="Comment Text Char"/>
    <w:basedOn w:val="DefaultParagraphFont"/>
    <w:link w:val="CommentText"/>
    <w:uiPriority w:val="99"/>
    <w:semiHidden/>
    <w:rsid w:val="00D46763"/>
  </w:style>
  <w:style w:type="paragraph" w:styleId="CommentSubject">
    <w:name w:val="annotation subject"/>
    <w:basedOn w:val="CommentText"/>
    <w:next w:val="CommentText"/>
    <w:link w:val="CommentSubjectChar"/>
    <w:uiPriority w:val="99"/>
    <w:semiHidden/>
    <w:unhideWhenUsed/>
    <w:rsid w:val="00D46763"/>
    <w:rPr>
      <w:b/>
      <w:bCs/>
      <w:sz w:val="20"/>
      <w:szCs w:val="20"/>
    </w:rPr>
  </w:style>
  <w:style w:type="character" w:customStyle="1" w:styleId="CommentSubjectChar">
    <w:name w:val="Comment Subject Char"/>
    <w:basedOn w:val="CommentTextChar"/>
    <w:link w:val="CommentSubject"/>
    <w:uiPriority w:val="99"/>
    <w:semiHidden/>
    <w:rsid w:val="00D46763"/>
    <w:rPr>
      <w:b/>
      <w:bCs/>
      <w:sz w:val="20"/>
      <w:szCs w:val="20"/>
    </w:rPr>
  </w:style>
  <w:style w:type="paragraph" w:styleId="BalloonText">
    <w:name w:val="Balloon Text"/>
    <w:basedOn w:val="Normal"/>
    <w:link w:val="BalloonTextChar"/>
    <w:uiPriority w:val="99"/>
    <w:semiHidden/>
    <w:unhideWhenUsed/>
    <w:rsid w:val="00D46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6763"/>
    <w:rPr>
      <w:rFonts w:ascii="Lucida Grande" w:hAnsi="Lucida Grande" w:cs="Lucida Grande"/>
      <w:sz w:val="18"/>
      <w:szCs w:val="18"/>
    </w:rPr>
  </w:style>
  <w:style w:type="paragraph" w:styleId="EndnoteText">
    <w:name w:val="endnote text"/>
    <w:basedOn w:val="Normal"/>
    <w:link w:val="EndnoteTextChar"/>
    <w:uiPriority w:val="99"/>
    <w:unhideWhenUsed/>
    <w:rsid w:val="009E72A8"/>
  </w:style>
  <w:style w:type="character" w:customStyle="1" w:styleId="EndnoteTextChar">
    <w:name w:val="Endnote Text Char"/>
    <w:basedOn w:val="DefaultParagraphFont"/>
    <w:link w:val="EndnoteText"/>
    <w:uiPriority w:val="99"/>
    <w:rsid w:val="009E72A8"/>
  </w:style>
  <w:style w:type="character" w:styleId="EndnoteReference">
    <w:name w:val="endnote reference"/>
    <w:basedOn w:val="DefaultParagraphFont"/>
    <w:uiPriority w:val="99"/>
    <w:unhideWhenUsed/>
    <w:rsid w:val="009E72A8"/>
    <w:rPr>
      <w:vertAlign w:val="superscript"/>
    </w:rPr>
  </w:style>
  <w:style w:type="character" w:styleId="FollowedHyperlink">
    <w:name w:val="FollowedHyperlink"/>
    <w:basedOn w:val="DefaultParagraphFont"/>
    <w:uiPriority w:val="99"/>
    <w:semiHidden/>
    <w:unhideWhenUsed/>
    <w:rsid w:val="009702DB"/>
    <w:rPr>
      <w:color w:val="800080" w:themeColor="followedHyperlink"/>
      <w:u w:val="single"/>
    </w:rPr>
  </w:style>
  <w:style w:type="character" w:customStyle="1" w:styleId="apple-converted-space">
    <w:name w:val="apple-converted-space"/>
    <w:basedOn w:val="DefaultParagraphFont"/>
    <w:rsid w:val="004C21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B5D"/>
    <w:pPr>
      <w:ind w:left="720"/>
      <w:contextualSpacing/>
    </w:pPr>
  </w:style>
  <w:style w:type="paragraph" w:styleId="FootnoteText">
    <w:name w:val="footnote text"/>
    <w:basedOn w:val="Normal"/>
    <w:link w:val="FootnoteTextChar"/>
    <w:uiPriority w:val="99"/>
    <w:unhideWhenUsed/>
    <w:rsid w:val="00F96B5D"/>
  </w:style>
  <w:style w:type="character" w:customStyle="1" w:styleId="FootnoteTextChar">
    <w:name w:val="Footnote Text Char"/>
    <w:basedOn w:val="DefaultParagraphFont"/>
    <w:link w:val="FootnoteText"/>
    <w:uiPriority w:val="99"/>
    <w:rsid w:val="00F96B5D"/>
  </w:style>
  <w:style w:type="character" w:styleId="FootnoteReference">
    <w:name w:val="footnote reference"/>
    <w:basedOn w:val="DefaultParagraphFont"/>
    <w:uiPriority w:val="99"/>
    <w:unhideWhenUsed/>
    <w:rsid w:val="00F96B5D"/>
    <w:rPr>
      <w:vertAlign w:val="superscript"/>
    </w:rPr>
  </w:style>
  <w:style w:type="character" w:styleId="Hyperlink">
    <w:name w:val="Hyperlink"/>
    <w:basedOn w:val="DefaultParagraphFont"/>
    <w:uiPriority w:val="99"/>
    <w:unhideWhenUsed/>
    <w:rsid w:val="00D12AB6"/>
    <w:rPr>
      <w:color w:val="0000FF" w:themeColor="hyperlink"/>
      <w:u w:val="single"/>
    </w:rPr>
  </w:style>
  <w:style w:type="paragraph" w:styleId="Footer">
    <w:name w:val="footer"/>
    <w:basedOn w:val="Normal"/>
    <w:link w:val="FooterChar"/>
    <w:uiPriority w:val="99"/>
    <w:unhideWhenUsed/>
    <w:rsid w:val="00BE4BE5"/>
    <w:pPr>
      <w:tabs>
        <w:tab w:val="center" w:pos="4320"/>
        <w:tab w:val="right" w:pos="8640"/>
      </w:tabs>
    </w:pPr>
  </w:style>
  <w:style w:type="character" w:customStyle="1" w:styleId="FooterChar">
    <w:name w:val="Footer Char"/>
    <w:basedOn w:val="DefaultParagraphFont"/>
    <w:link w:val="Footer"/>
    <w:uiPriority w:val="99"/>
    <w:rsid w:val="00BE4BE5"/>
  </w:style>
  <w:style w:type="character" w:styleId="PageNumber">
    <w:name w:val="page number"/>
    <w:basedOn w:val="DefaultParagraphFont"/>
    <w:uiPriority w:val="99"/>
    <w:semiHidden/>
    <w:unhideWhenUsed/>
    <w:rsid w:val="00BE4BE5"/>
  </w:style>
  <w:style w:type="paragraph" w:styleId="Header">
    <w:name w:val="header"/>
    <w:basedOn w:val="Normal"/>
    <w:link w:val="HeaderChar"/>
    <w:uiPriority w:val="99"/>
    <w:unhideWhenUsed/>
    <w:rsid w:val="00342D7B"/>
    <w:pPr>
      <w:tabs>
        <w:tab w:val="center" w:pos="4320"/>
        <w:tab w:val="right" w:pos="8640"/>
      </w:tabs>
    </w:pPr>
  </w:style>
  <w:style w:type="character" w:customStyle="1" w:styleId="HeaderChar">
    <w:name w:val="Header Char"/>
    <w:basedOn w:val="DefaultParagraphFont"/>
    <w:link w:val="Header"/>
    <w:uiPriority w:val="99"/>
    <w:rsid w:val="00342D7B"/>
  </w:style>
  <w:style w:type="character" w:styleId="CommentReference">
    <w:name w:val="annotation reference"/>
    <w:basedOn w:val="DefaultParagraphFont"/>
    <w:uiPriority w:val="99"/>
    <w:semiHidden/>
    <w:unhideWhenUsed/>
    <w:rsid w:val="00D46763"/>
    <w:rPr>
      <w:sz w:val="18"/>
      <w:szCs w:val="18"/>
    </w:rPr>
  </w:style>
  <w:style w:type="paragraph" w:styleId="CommentText">
    <w:name w:val="annotation text"/>
    <w:basedOn w:val="Normal"/>
    <w:link w:val="CommentTextChar"/>
    <w:uiPriority w:val="99"/>
    <w:semiHidden/>
    <w:unhideWhenUsed/>
    <w:rsid w:val="00D46763"/>
  </w:style>
  <w:style w:type="character" w:customStyle="1" w:styleId="CommentTextChar">
    <w:name w:val="Comment Text Char"/>
    <w:basedOn w:val="DefaultParagraphFont"/>
    <w:link w:val="CommentText"/>
    <w:uiPriority w:val="99"/>
    <w:semiHidden/>
    <w:rsid w:val="00D46763"/>
  </w:style>
  <w:style w:type="paragraph" w:styleId="CommentSubject">
    <w:name w:val="annotation subject"/>
    <w:basedOn w:val="CommentText"/>
    <w:next w:val="CommentText"/>
    <w:link w:val="CommentSubjectChar"/>
    <w:uiPriority w:val="99"/>
    <w:semiHidden/>
    <w:unhideWhenUsed/>
    <w:rsid w:val="00D46763"/>
    <w:rPr>
      <w:b/>
      <w:bCs/>
      <w:sz w:val="20"/>
      <w:szCs w:val="20"/>
    </w:rPr>
  </w:style>
  <w:style w:type="character" w:customStyle="1" w:styleId="CommentSubjectChar">
    <w:name w:val="Comment Subject Char"/>
    <w:basedOn w:val="CommentTextChar"/>
    <w:link w:val="CommentSubject"/>
    <w:uiPriority w:val="99"/>
    <w:semiHidden/>
    <w:rsid w:val="00D46763"/>
    <w:rPr>
      <w:b/>
      <w:bCs/>
      <w:sz w:val="20"/>
      <w:szCs w:val="20"/>
    </w:rPr>
  </w:style>
  <w:style w:type="paragraph" w:styleId="BalloonText">
    <w:name w:val="Balloon Text"/>
    <w:basedOn w:val="Normal"/>
    <w:link w:val="BalloonTextChar"/>
    <w:uiPriority w:val="99"/>
    <w:semiHidden/>
    <w:unhideWhenUsed/>
    <w:rsid w:val="00D46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6763"/>
    <w:rPr>
      <w:rFonts w:ascii="Lucida Grande" w:hAnsi="Lucida Grande" w:cs="Lucida Grande"/>
      <w:sz w:val="18"/>
      <w:szCs w:val="18"/>
    </w:rPr>
  </w:style>
  <w:style w:type="paragraph" w:styleId="EndnoteText">
    <w:name w:val="endnote text"/>
    <w:basedOn w:val="Normal"/>
    <w:link w:val="EndnoteTextChar"/>
    <w:uiPriority w:val="99"/>
    <w:unhideWhenUsed/>
    <w:rsid w:val="009E72A8"/>
  </w:style>
  <w:style w:type="character" w:customStyle="1" w:styleId="EndnoteTextChar">
    <w:name w:val="Endnote Text Char"/>
    <w:basedOn w:val="DefaultParagraphFont"/>
    <w:link w:val="EndnoteText"/>
    <w:uiPriority w:val="99"/>
    <w:rsid w:val="009E72A8"/>
  </w:style>
  <w:style w:type="character" w:styleId="EndnoteReference">
    <w:name w:val="endnote reference"/>
    <w:basedOn w:val="DefaultParagraphFont"/>
    <w:uiPriority w:val="99"/>
    <w:unhideWhenUsed/>
    <w:rsid w:val="009E72A8"/>
    <w:rPr>
      <w:vertAlign w:val="superscript"/>
    </w:rPr>
  </w:style>
  <w:style w:type="character" w:styleId="FollowedHyperlink">
    <w:name w:val="FollowedHyperlink"/>
    <w:basedOn w:val="DefaultParagraphFont"/>
    <w:uiPriority w:val="99"/>
    <w:semiHidden/>
    <w:unhideWhenUsed/>
    <w:rsid w:val="009702DB"/>
    <w:rPr>
      <w:color w:val="800080" w:themeColor="followedHyperlink"/>
      <w:u w:val="single"/>
    </w:rPr>
  </w:style>
  <w:style w:type="character" w:customStyle="1" w:styleId="apple-converted-space">
    <w:name w:val="apple-converted-space"/>
    <w:basedOn w:val="DefaultParagraphFont"/>
    <w:rsid w:val="004C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1881">
      <w:bodyDiv w:val="1"/>
      <w:marLeft w:val="0"/>
      <w:marRight w:val="0"/>
      <w:marTop w:val="0"/>
      <w:marBottom w:val="0"/>
      <w:divBdr>
        <w:top w:val="none" w:sz="0" w:space="0" w:color="auto"/>
        <w:left w:val="none" w:sz="0" w:space="0" w:color="auto"/>
        <w:bottom w:val="none" w:sz="0" w:space="0" w:color="auto"/>
        <w:right w:val="none" w:sz="0" w:space="0" w:color="auto"/>
      </w:divBdr>
    </w:div>
    <w:div w:id="358244094">
      <w:bodyDiv w:val="1"/>
      <w:marLeft w:val="0"/>
      <w:marRight w:val="0"/>
      <w:marTop w:val="0"/>
      <w:marBottom w:val="0"/>
      <w:divBdr>
        <w:top w:val="none" w:sz="0" w:space="0" w:color="auto"/>
        <w:left w:val="none" w:sz="0" w:space="0" w:color="auto"/>
        <w:bottom w:val="none" w:sz="0" w:space="0" w:color="auto"/>
        <w:right w:val="none" w:sz="0" w:space="0" w:color="auto"/>
      </w:divBdr>
    </w:div>
    <w:div w:id="366561684">
      <w:bodyDiv w:val="1"/>
      <w:marLeft w:val="0"/>
      <w:marRight w:val="0"/>
      <w:marTop w:val="0"/>
      <w:marBottom w:val="0"/>
      <w:divBdr>
        <w:top w:val="none" w:sz="0" w:space="0" w:color="auto"/>
        <w:left w:val="none" w:sz="0" w:space="0" w:color="auto"/>
        <w:bottom w:val="none" w:sz="0" w:space="0" w:color="auto"/>
        <w:right w:val="none" w:sz="0" w:space="0" w:color="auto"/>
      </w:divBdr>
    </w:div>
    <w:div w:id="1183739814">
      <w:bodyDiv w:val="1"/>
      <w:marLeft w:val="0"/>
      <w:marRight w:val="0"/>
      <w:marTop w:val="0"/>
      <w:marBottom w:val="0"/>
      <w:divBdr>
        <w:top w:val="none" w:sz="0" w:space="0" w:color="auto"/>
        <w:left w:val="none" w:sz="0" w:space="0" w:color="auto"/>
        <w:bottom w:val="none" w:sz="0" w:space="0" w:color="auto"/>
        <w:right w:val="none" w:sz="0" w:space="0" w:color="auto"/>
      </w:divBdr>
    </w:div>
    <w:div w:id="1199320270">
      <w:bodyDiv w:val="1"/>
      <w:marLeft w:val="0"/>
      <w:marRight w:val="0"/>
      <w:marTop w:val="0"/>
      <w:marBottom w:val="0"/>
      <w:divBdr>
        <w:top w:val="none" w:sz="0" w:space="0" w:color="auto"/>
        <w:left w:val="none" w:sz="0" w:space="0" w:color="auto"/>
        <w:bottom w:val="none" w:sz="0" w:space="0" w:color="auto"/>
        <w:right w:val="none" w:sz="0" w:space="0" w:color="auto"/>
      </w:divBdr>
    </w:div>
    <w:div w:id="1775830570">
      <w:bodyDiv w:val="1"/>
      <w:marLeft w:val="0"/>
      <w:marRight w:val="0"/>
      <w:marTop w:val="0"/>
      <w:marBottom w:val="0"/>
      <w:divBdr>
        <w:top w:val="none" w:sz="0" w:space="0" w:color="auto"/>
        <w:left w:val="none" w:sz="0" w:space="0" w:color="auto"/>
        <w:bottom w:val="none" w:sz="0" w:space="0" w:color="auto"/>
        <w:right w:val="none" w:sz="0" w:space="0" w:color="auto"/>
      </w:divBdr>
    </w:div>
    <w:div w:id="1782921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eathpenaltyinfo.org/executions-year" TargetMode="External"/><Relationship Id="rId2" Type="http://schemas.openxmlformats.org/officeDocument/2006/relationships/hyperlink" Target="http://www.treatmentadvocacycenter.org/storage/%20documents/final_jails_v_hospitals_study.pdf" TargetMode="External"/><Relationship Id="rId3" Type="http://schemas.openxmlformats.org/officeDocument/2006/relationships/hyperlink" Target="http://www.weeklystandard.com/Content/Protected/Articles/000/000/007/011vsbrv.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Pages>36</Pages>
  <Words>8560</Words>
  <Characters>50421</Characters>
  <Application>Microsoft Macintosh Word</Application>
  <DocSecurity>0</DocSecurity>
  <Lines>710</Lines>
  <Paragraphs>83</Paragraphs>
  <ScaleCrop>false</ScaleCrop>
  <Company/>
  <LinksUpToDate>false</LinksUpToDate>
  <CharactersWithSpaces>58898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Grasso</dc:creator>
  <cp:keywords/>
  <dc:description/>
  <cp:lastModifiedBy>Anthony Grasso</cp:lastModifiedBy>
  <cp:revision>271</cp:revision>
  <dcterms:created xsi:type="dcterms:W3CDTF">2016-02-17T16:10:00Z</dcterms:created>
  <dcterms:modified xsi:type="dcterms:W3CDTF">2016-03-04T15:50:00Z</dcterms:modified>
</cp:coreProperties>
</file>