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BD67" w14:textId="77777777" w:rsidR="00B63696" w:rsidRDefault="00B63696" w:rsidP="009F183A">
      <w:pPr>
        <w:jc w:val="center"/>
        <w:rPr>
          <w:rFonts w:ascii="Times New Roman" w:hAnsi="Times New Roman" w:cs="Times New Roman"/>
          <w:bCs/>
          <w:sz w:val="40"/>
          <w:szCs w:val="40"/>
        </w:rPr>
      </w:pPr>
    </w:p>
    <w:p w14:paraId="0F2D477E" w14:textId="77777777" w:rsidR="00B63696" w:rsidRDefault="00B63696" w:rsidP="009F183A">
      <w:pPr>
        <w:jc w:val="center"/>
        <w:rPr>
          <w:rFonts w:ascii="Times New Roman" w:hAnsi="Times New Roman" w:cs="Times New Roman"/>
          <w:bCs/>
          <w:sz w:val="40"/>
          <w:szCs w:val="40"/>
        </w:rPr>
      </w:pPr>
    </w:p>
    <w:p w14:paraId="32092A1D" w14:textId="77777777" w:rsidR="00B63696" w:rsidRDefault="00B63696" w:rsidP="009F183A">
      <w:pPr>
        <w:jc w:val="center"/>
        <w:rPr>
          <w:rFonts w:ascii="Times New Roman" w:hAnsi="Times New Roman" w:cs="Times New Roman"/>
          <w:bCs/>
          <w:sz w:val="40"/>
          <w:szCs w:val="40"/>
        </w:rPr>
      </w:pPr>
    </w:p>
    <w:p w14:paraId="050A11F9" w14:textId="77777777" w:rsidR="00B63696" w:rsidRDefault="00B63696" w:rsidP="009F183A">
      <w:pPr>
        <w:jc w:val="center"/>
        <w:rPr>
          <w:rFonts w:ascii="Times New Roman" w:hAnsi="Times New Roman" w:cs="Times New Roman"/>
          <w:bCs/>
          <w:sz w:val="40"/>
          <w:szCs w:val="40"/>
        </w:rPr>
      </w:pPr>
    </w:p>
    <w:p w14:paraId="3B19A586" w14:textId="77777777" w:rsidR="00B63696" w:rsidRDefault="00B63696" w:rsidP="009F183A">
      <w:pPr>
        <w:jc w:val="center"/>
        <w:rPr>
          <w:rFonts w:ascii="Times New Roman" w:hAnsi="Times New Roman" w:cs="Times New Roman"/>
          <w:bCs/>
          <w:sz w:val="40"/>
          <w:szCs w:val="40"/>
        </w:rPr>
      </w:pPr>
    </w:p>
    <w:p w14:paraId="3A30B4D2" w14:textId="12D3F8E0" w:rsidR="00F475DD" w:rsidRPr="005545FE" w:rsidRDefault="004E5A3A" w:rsidP="009F183A">
      <w:pPr>
        <w:jc w:val="center"/>
        <w:rPr>
          <w:rFonts w:ascii="Times New Roman" w:hAnsi="Times New Roman" w:cs="Times New Roman"/>
          <w:bCs/>
          <w:sz w:val="40"/>
          <w:szCs w:val="40"/>
        </w:rPr>
      </w:pPr>
      <w:r w:rsidRPr="005545FE">
        <w:rPr>
          <w:rFonts w:ascii="Times New Roman" w:hAnsi="Times New Roman" w:cs="Times New Roman"/>
          <w:bCs/>
          <w:sz w:val="40"/>
          <w:szCs w:val="40"/>
        </w:rPr>
        <w:t>A</w:t>
      </w:r>
      <w:r w:rsidR="004C6F90" w:rsidRPr="005545FE">
        <w:rPr>
          <w:rFonts w:ascii="Times New Roman" w:hAnsi="Times New Roman" w:cs="Times New Roman"/>
          <w:bCs/>
          <w:sz w:val="40"/>
          <w:szCs w:val="40"/>
        </w:rPr>
        <w:t>DVOCACY COALITIONS IN THE TWITTERSPHERE</w:t>
      </w:r>
    </w:p>
    <w:p w14:paraId="7995A5F1" w14:textId="090E1322" w:rsidR="00535578" w:rsidRPr="00535578" w:rsidRDefault="006144C9" w:rsidP="009F183A">
      <w:pPr>
        <w:jc w:val="center"/>
        <w:rPr>
          <w:rFonts w:ascii="Times New Roman" w:hAnsi="Times New Roman" w:cs="Times New Roman"/>
          <w:sz w:val="28"/>
          <w:szCs w:val="28"/>
        </w:rPr>
      </w:pPr>
      <w:r>
        <w:rPr>
          <w:rFonts w:ascii="Times New Roman" w:hAnsi="Times New Roman" w:cs="Times New Roman"/>
          <w:sz w:val="28"/>
          <w:szCs w:val="28"/>
        </w:rPr>
        <w:t>Tracking Variation in Activity</w:t>
      </w:r>
      <w:r w:rsidR="00B63696">
        <w:rPr>
          <w:rFonts w:ascii="Times New Roman" w:hAnsi="Times New Roman" w:cs="Times New Roman"/>
          <w:sz w:val="28"/>
          <w:szCs w:val="28"/>
        </w:rPr>
        <w:t xml:space="preserve"> and </w:t>
      </w:r>
      <w:r>
        <w:rPr>
          <w:rFonts w:ascii="Times New Roman" w:hAnsi="Times New Roman" w:cs="Times New Roman"/>
          <w:sz w:val="28"/>
          <w:szCs w:val="28"/>
        </w:rPr>
        <w:t>Discourse</w:t>
      </w:r>
      <w:r w:rsidR="00B63696">
        <w:rPr>
          <w:rFonts w:ascii="Times New Roman" w:hAnsi="Times New Roman" w:cs="Times New Roman"/>
          <w:sz w:val="28"/>
          <w:szCs w:val="28"/>
        </w:rPr>
        <w:t xml:space="preserve"> </w:t>
      </w:r>
      <w:r>
        <w:rPr>
          <w:rFonts w:ascii="Times New Roman" w:hAnsi="Times New Roman" w:cs="Times New Roman"/>
          <w:sz w:val="28"/>
          <w:szCs w:val="28"/>
        </w:rPr>
        <w:t xml:space="preserve">in </w:t>
      </w:r>
      <w:r w:rsidR="00A15207">
        <w:rPr>
          <w:rFonts w:ascii="Times New Roman" w:hAnsi="Times New Roman" w:cs="Times New Roman"/>
          <w:sz w:val="28"/>
          <w:szCs w:val="28"/>
        </w:rPr>
        <w:t xml:space="preserve">Unconventional </w:t>
      </w:r>
      <w:r>
        <w:rPr>
          <w:rFonts w:ascii="Times New Roman" w:hAnsi="Times New Roman" w:cs="Times New Roman"/>
          <w:sz w:val="28"/>
          <w:szCs w:val="28"/>
        </w:rPr>
        <w:t>Oil and Gas Subsystems</w:t>
      </w:r>
    </w:p>
    <w:p w14:paraId="1A1733F2" w14:textId="47A862A0" w:rsidR="00AB4577" w:rsidRDefault="00AB4577" w:rsidP="00AB4577">
      <w:pPr>
        <w:jc w:val="center"/>
        <w:rPr>
          <w:rFonts w:ascii="Times New Roman" w:hAnsi="Times New Roman" w:cs="Times New Roman"/>
          <w:bCs/>
          <w:sz w:val="24"/>
          <w:szCs w:val="24"/>
        </w:rPr>
      </w:pPr>
      <w:r>
        <w:rPr>
          <w:rFonts w:ascii="Times New Roman" w:hAnsi="Times New Roman" w:cs="Times New Roman"/>
          <w:bCs/>
          <w:sz w:val="24"/>
          <w:szCs w:val="24"/>
        </w:rPr>
        <w:t>by</w:t>
      </w:r>
    </w:p>
    <w:p w14:paraId="21DC619A" w14:textId="012C6493" w:rsidR="00AB4577" w:rsidRDefault="0038419B" w:rsidP="00AB4577">
      <w:pPr>
        <w:jc w:val="center"/>
        <w:rPr>
          <w:rFonts w:ascii="Times New Roman" w:hAnsi="Times New Roman" w:cs="Times New Roman"/>
          <w:bCs/>
          <w:sz w:val="24"/>
          <w:szCs w:val="24"/>
        </w:rPr>
      </w:pPr>
      <w:r>
        <w:rPr>
          <w:rFonts w:ascii="Times New Roman" w:hAnsi="Times New Roman" w:cs="Times New Roman"/>
          <w:bCs/>
          <w:sz w:val="24"/>
          <w:szCs w:val="24"/>
        </w:rPr>
        <w:t>D</w:t>
      </w:r>
      <w:r w:rsidR="000F4ADC">
        <w:rPr>
          <w:rFonts w:ascii="Times New Roman" w:hAnsi="Times New Roman" w:cs="Times New Roman"/>
          <w:bCs/>
          <w:sz w:val="24"/>
          <w:szCs w:val="24"/>
        </w:rPr>
        <w:t>R</w:t>
      </w:r>
      <w:r>
        <w:rPr>
          <w:rFonts w:ascii="Times New Roman" w:hAnsi="Times New Roman" w:cs="Times New Roman"/>
          <w:bCs/>
          <w:sz w:val="24"/>
          <w:szCs w:val="24"/>
        </w:rPr>
        <w:t xml:space="preserve">. </w:t>
      </w:r>
      <w:r w:rsidR="00AB4577">
        <w:rPr>
          <w:rFonts w:ascii="Times New Roman" w:hAnsi="Times New Roman" w:cs="Times New Roman"/>
          <w:bCs/>
          <w:sz w:val="24"/>
          <w:szCs w:val="24"/>
        </w:rPr>
        <w:t>D</w:t>
      </w:r>
      <w:r w:rsidR="005545FE">
        <w:rPr>
          <w:rFonts w:ascii="Times New Roman" w:hAnsi="Times New Roman" w:cs="Times New Roman"/>
          <w:bCs/>
          <w:sz w:val="24"/>
          <w:szCs w:val="24"/>
        </w:rPr>
        <w:t>ANIEL P. COSTIE</w:t>
      </w:r>
    </w:p>
    <w:p w14:paraId="228DC244" w14:textId="6CC23252" w:rsidR="001E2528" w:rsidRDefault="001E2528" w:rsidP="00AB4577">
      <w:pPr>
        <w:jc w:val="center"/>
        <w:rPr>
          <w:rFonts w:ascii="Times New Roman" w:hAnsi="Times New Roman" w:cs="Times New Roman"/>
          <w:bCs/>
          <w:sz w:val="24"/>
          <w:szCs w:val="24"/>
        </w:rPr>
      </w:pPr>
      <w:r>
        <w:rPr>
          <w:rFonts w:ascii="Times New Roman" w:hAnsi="Times New Roman" w:cs="Times New Roman"/>
          <w:bCs/>
          <w:sz w:val="24"/>
          <w:szCs w:val="24"/>
        </w:rPr>
        <w:t>EASTERN OREGON UNIVERSITY</w:t>
      </w:r>
    </w:p>
    <w:p w14:paraId="500C918D" w14:textId="0B63D7B0" w:rsidR="00535578" w:rsidRDefault="00535578" w:rsidP="009F183A">
      <w:pPr>
        <w:jc w:val="center"/>
        <w:rPr>
          <w:rFonts w:ascii="Times New Roman" w:hAnsi="Times New Roman" w:cs="Times New Roman"/>
          <w:b/>
          <w:sz w:val="24"/>
          <w:szCs w:val="24"/>
          <w:u w:val="single"/>
        </w:rPr>
      </w:pPr>
    </w:p>
    <w:p w14:paraId="105635FC" w14:textId="5CFD020E" w:rsidR="004E5A3A" w:rsidRDefault="004E5A3A" w:rsidP="009F183A">
      <w:pPr>
        <w:jc w:val="center"/>
        <w:rPr>
          <w:rFonts w:ascii="Times New Roman" w:hAnsi="Times New Roman" w:cs="Times New Roman"/>
          <w:b/>
          <w:sz w:val="24"/>
          <w:szCs w:val="24"/>
          <w:u w:val="single"/>
        </w:rPr>
      </w:pPr>
    </w:p>
    <w:p w14:paraId="7144B564" w14:textId="582C19AA" w:rsidR="004E5A3A" w:rsidRDefault="004E5A3A" w:rsidP="009F183A">
      <w:pPr>
        <w:jc w:val="center"/>
        <w:rPr>
          <w:rFonts w:ascii="Times New Roman" w:hAnsi="Times New Roman" w:cs="Times New Roman"/>
          <w:b/>
          <w:sz w:val="24"/>
          <w:szCs w:val="24"/>
          <w:u w:val="single"/>
        </w:rPr>
      </w:pPr>
    </w:p>
    <w:p w14:paraId="2EE17DBA" w14:textId="021465E8" w:rsidR="004E5A3A" w:rsidRDefault="004E5A3A" w:rsidP="009F183A">
      <w:pPr>
        <w:jc w:val="center"/>
        <w:rPr>
          <w:rFonts w:ascii="Times New Roman" w:hAnsi="Times New Roman" w:cs="Times New Roman"/>
          <w:b/>
          <w:sz w:val="24"/>
          <w:szCs w:val="24"/>
          <w:u w:val="single"/>
        </w:rPr>
      </w:pPr>
    </w:p>
    <w:p w14:paraId="63963917" w14:textId="72A35DB3" w:rsidR="004E5A3A" w:rsidRDefault="004E5A3A" w:rsidP="009F183A">
      <w:pPr>
        <w:jc w:val="center"/>
        <w:rPr>
          <w:rFonts w:ascii="Times New Roman" w:hAnsi="Times New Roman" w:cs="Times New Roman"/>
          <w:b/>
          <w:sz w:val="24"/>
          <w:szCs w:val="24"/>
          <w:u w:val="single"/>
        </w:rPr>
      </w:pPr>
    </w:p>
    <w:p w14:paraId="004EA274" w14:textId="3930C811" w:rsidR="004E5A3A" w:rsidRDefault="004E5A3A" w:rsidP="009F183A">
      <w:pPr>
        <w:jc w:val="center"/>
        <w:rPr>
          <w:rFonts w:ascii="Times New Roman" w:hAnsi="Times New Roman" w:cs="Times New Roman"/>
          <w:b/>
          <w:sz w:val="24"/>
          <w:szCs w:val="24"/>
          <w:u w:val="single"/>
        </w:rPr>
      </w:pPr>
    </w:p>
    <w:p w14:paraId="1F7806F9" w14:textId="00E739F9" w:rsidR="004E5A3A" w:rsidRDefault="004E5A3A" w:rsidP="009F183A">
      <w:pPr>
        <w:jc w:val="center"/>
        <w:rPr>
          <w:rFonts w:ascii="Times New Roman" w:hAnsi="Times New Roman" w:cs="Times New Roman"/>
          <w:b/>
          <w:sz w:val="24"/>
          <w:szCs w:val="24"/>
          <w:u w:val="single"/>
        </w:rPr>
      </w:pPr>
    </w:p>
    <w:p w14:paraId="41A7BB7B" w14:textId="69466464" w:rsidR="004E5A3A" w:rsidRDefault="004E5A3A" w:rsidP="009F183A">
      <w:pPr>
        <w:jc w:val="center"/>
        <w:rPr>
          <w:rFonts w:ascii="Times New Roman" w:hAnsi="Times New Roman" w:cs="Times New Roman"/>
          <w:b/>
          <w:sz w:val="24"/>
          <w:szCs w:val="24"/>
          <w:u w:val="single"/>
        </w:rPr>
      </w:pPr>
    </w:p>
    <w:p w14:paraId="1EC0BC22" w14:textId="77777777" w:rsidR="004E5A3A" w:rsidRDefault="004E5A3A" w:rsidP="009F183A">
      <w:pPr>
        <w:jc w:val="center"/>
        <w:rPr>
          <w:rFonts w:ascii="Times New Roman" w:hAnsi="Times New Roman" w:cs="Times New Roman"/>
          <w:b/>
          <w:sz w:val="24"/>
          <w:szCs w:val="24"/>
          <w:u w:val="single"/>
        </w:rPr>
      </w:pPr>
    </w:p>
    <w:p w14:paraId="0D38A644" w14:textId="77777777" w:rsidR="00535578" w:rsidRDefault="00535578" w:rsidP="009F183A">
      <w:pPr>
        <w:jc w:val="center"/>
        <w:rPr>
          <w:rFonts w:ascii="Times New Roman" w:hAnsi="Times New Roman" w:cs="Times New Roman"/>
          <w:b/>
          <w:sz w:val="24"/>
          <w:szCs w:val="24"/>
          <w:u w:val="single"/>
        </w:rPr>
      </w:pPr>
    </w:p>
    <w:p w14:paraId="3EA6B927" w14:textId="77777777" w:rsidR="00535578" w:rsidRDefault="00535578" w:rsidP="009F183A">
      <w:pPr>
        <w:jc w:val="center"/>
        <w:rPr>
          <w:rFonts w:ascii="Times New Roman" w:hAnsi="Times New Roman" w:cs="Times New Roman"/>
          <w:b/>
          <w:sz w:val="24"/>
          <w:szCs w:val="24"/>
          <w:u w:val="single"/>
        </w:rPr>
      </w:pPr>
    </w:p>
    <w:p w14:paraId="1D19F120" w14:textId="77777777" w:rsidR="00535578" w:rsidRDefault="00535578" w:rsidP="009F183A">
      <w:pPr>
        <w:jc w:val="center"/>
        <w:rPr>
          <w:rFonts w:ascii="Times New Roman" w:hAnsi="Times New Roman" w:cs="Times New Roman"/>
          <w:b/>
          <w:sz w:val="24"/>
          <w:szCs w:val="24"/>
          <w:u w:val="single"/>
        </w:rPr>
      </w:pPr>
    </w:p>
    <w:p w14:paraId="5B3D9FB7" w14:textId="77777777" w:rsidR="00B63696" w:rsidRDefault="00B63696" w:rsidP="009F183A">
      <w:pPr>
        <w:jc w:val="center"/>
        <w:rPr>
          <w:rFonts w:ascii="Times New Roman" w:hAnsi="Times New Roman" w:cs="Times New Roman"/>
          <w:b/>
          <w:sz w:val="24"/>
          <w:szCs w:val="24"/>
        </w:rPr>
      </w:pPr>
    </w:p>
    <w:p w14:paraId="66E589DC" w14:textId="77777777" w:rsidR="00B63696" w:rsidRDefault="00B63696" w:rsidP="009F183A">
      <w:pPr>
        <w:jc w:val="center"/>
        <w:rPr>
          <w:rFonts w:ascii="Times New Roman" w:hAnsi="Times New Roman" w:cs="Times New Roman"/>
          <w:b/>
          <w:sz w:val="24"/>
          <w:szCs w:val="24"/>
        </w:rPr>
      </w:pPr>
    </w:p>
    <w:p w14:paraId="600C9A03" w14:textId="0B8776CF" w:rsidR="009F183A" w:rsidRPr="004E5A3A" w:rsidRDefault="004C6F90" w:rsidP="009F183A">
      <w:pPr>
        <w:jc w:val="center"/>
        <w:rPr>
          <w:rFonts w:ascii="Times New Roman" w:hAnsi="Times New Roman" w:cs="Times New Roman"/>
          <w:b/>
          <w:sz w:val="24"/>
          <w:szCs w:val="24"/>
        </w:rPr>
      </w:pPr>
      <w:r w:rsidRPr="004E5A3A">
        <w:rPr>
          <w:rFonts w:ascii="Times New Roman" w:hAnsi="Times New Roman" w:cs="Times New Roman"/>
          <w:b/>
          <w:sz w:val="24"/>
          <w:szCs w:val="24"/>
        </w:rPr>
        <w:t>ABSTRACT</w:t>
      </w:r>
    </w:p>
    <w:p w14:paraId="13760352" w14:textId="424DE73C" w:rsidR="00B63696" w:rsidRPr="00F86100" w:rsidRDefault="00B63696" w:rsidP="00B63696">
      <w:pPr>
        <w:rPr>
          <w:rFonts w:ascii="Times New Roman" w:hAnsi="Times New Roman" w:cs="Times New Roman"/>
          <w:sz w:val="24"/>
          <w:szCs w:val="24"/>
        </w:rPr>
      </w:pPr>
      <w:r w:rsidRPr="00F86100">
        <w:rPr>
          <w:rFonts w:ascii="Times New Roman" w:hAnsi="Times New Roman" w:cs="Times New Roman"/>
          <w:sz w:val="24"/>
          <w:szCs w:val="24"/>
        </w:rPr>
        <w:t xml:space="preserve">Social media is continuing to be a political force shaping how policy issues are </w:t>
      </w:r>
      <w:r>
        <w:rPr>
          <w:rFonts w:ascii="Times New Roman" w:hAnsi="Times New Roman" w:cs="Times New Roman"/>
          <w:sz w:val="24"/>
          <w:szCs w:val="24"/>
        </w:rPr>
        <w:t>discussed</w:t>
      </w:r>
      <w:r w:rsidRPr="00F86100">
        <w:rPr>
          <w:rFonts w:ascii="Times New Roman" w:hAnsi="Times New Roman" w:cs="Times New Roman"/>
          <w:sz w:val="24"/>
          <w:szCs w:val="24"/>
        </w:rPr>
        <w:t xml:space="preserve"> and thus influencing how the policy agenda is structured. These on-line platforms allow a great variety of policy actors to collect and disseminate information.  With Twitter, the information from these actors, whether they be a small non-profit or business, can ‘compete’ with the power and notoriety of well-funded organizations and corporations.  Policy actors no longer must rely on the few information gatekeepers such as the media to get their message out.  In the unconventional oil and gas subsystem, it is unclear how policy actors take advantage of their position in their on-line social networks to frame the issue in strategic ways and how that changes over time.  The Advocacy Coalition Framework can be used to determine how coordinated policy actors engage in discursive strategies around similar policy core beliefs.  Part of these strategies involve framing conversations to direct attention to certain aspects of the issue and away from others.  These framing preferences, however, are likely not static as policy change can redistribute political power and incentivize changing the discourse to appeal to broader interests.  In the face of real or perceive threats, coalition members will attempt to expand the issue as to encourage discursive activity among those sharing policy core beliefs.  </w:t>
      </w:r>
      <w:r>
        <w:rPr>
          <w:rFonts w:ascii="Times New Roman" w:hAnsi="Times New Roman" w:cs="Times New Roman"/>
          <w:sz w:val="24"/>
          <w:szCs w:val="24"/>
        </w:rPr>
        <w:t xml:space="preserve">The question this research explores is </w:t>
      </w:r>
      <w:r w:rsidR="00BB16F4">
        <w:rPr>
          <w:rFonts w:ascii="Times New Roman" w:hAnsi="Times New Roman" w:cs="Times New Roman"/>
          <w:sz w:val="24"/>
          <w:szCs w:val="24"/>
        </w:rPr>
        <w:t>‘H</w:t>
      </w:r>
      <w:r>
        <w:rPr>
          <w:rFonts w:ascii="Times New Roman" w:hAnsi="Times New Roman" w:cs="Times New Roman"/>
          <w:sz w:val="24"/>
          <w:szCs w:val="24"/>
        </w:rPr>
        <w:t xml:space="preserve">ow do pro- and anti- coalition members frame </w:t>
      </w:r>
      <w:r w:rsidR="00BB16F4">
        <w:rPr>
          <w:rFonts w:ascii="Times New Roman" w:hAnsi="Times New Roman" w:cs="Times New Roman"/>
          <w:sz w:val="24"/>
          <w:szCs w:val="24"/>
        </w:rPr>
        <w:t>unconventional oil and gas development</w:t>
      </w:r>
      <w:r>
        <w:rPr>
          <w:rFonts w:ascii="Times New Roman" w:hAnsi="Times New Roman" w:cs="Times New Roman"/>
          <w:sz w:val="24"/>
          <w:szCs w:val="24"/>
        </w:rPr>
        <w:t xml:space="preserve"> and how does this change over time?</w:t>
      </w:r>
      <w:r w:rsidR="00BB16F4">
        <w:rPr>
          <w:rFonts w:ascii="Times New Roman" w:hAnsi="Times New Roman" w:cs="Times New Roman"/>
          <w:sz w:val="24"/>
          <w:szCs w:val="24"/>
        </w:rPr>
        <w:t>’</w:t>
      </w:r>
      <w:r>
        <w:rPr>
          <w:rFonts w:ascii="Times New Roman" w:hAnsi="Times New Roman" w:cs="Times New Roman"/>
          <w:sz w:val="24"/>
          <w:szCs w:val="24"/>
        </w:rPr>
        <w:t xml:space="preserve"> </w:t>
      </w:r>
      <w:r w:rsidRPr="00F86100">
        <w:rPr>
          <w:rFonts w:ascii="Times New Roman" w:hAnsi="Times New Roman" w:cs="Times New Roman"/>
          <w:sz w:val="24"/>
          <w:szCs w:val="24"/>
        </w:rPr>
        <w:t>I expect that</w:t>
      </w:r>
      <w:r w:rsidR="00DC3CE6">
        <w:rPr>
          <w:rFonts w:ascii="Times New Roman" w:hAnsi="Times New Roman" w:cs="Times New Roman"/>
          <w:sz w:val="24"/>
          <w:szCs w:val="24"/>
        </w:rPr>
        <w:t xml:space="preserve"> traditional media issue frames will be used, that coalitions will use distinct issue frames, and that </w:t>
      </w:r>
      <w:r w:rsidRPr="00F86100">
        <w:rPr>
          <w:rFonts w:ascii="Times New Roman" w:hAnsi="Times New Roman" w:cs="Times New Roman"/>
          <w:sz w:val="24"/>
          <w:szCs w:val="24"/>
        </w:rPr>
        <w:t xml:space="preserve">there will be an increase in </w:t>
      </w:r>
      <w:r w:rsidR="00DC3CE6">
        <w:rPr>
          <w:rFonts w:ascii="Times New Roman" w:hAnsi="Times New Roman" w:cs="Times New Roman"/>
          <w:sz w:val="24"/>
          <w:szCs w:val="24"/>
        </w:rPr>
        <w:t xml:space="preserve">issue </w:t>
      </w:r>
      <w:r w:rsidRPr="00F86100">
        <w:rPr>
          <w:rFonts w:ascii="Times New Roman" w:hAnsi="Times New Roman" w:cs="Times New Roman"/>
          <w:sz w:val="24"/>
          <w:szCs w:val="24"/>
        </w:rPr>
        <w:t>frames used</w:t>
      </w:r>
      <w:r>
        <w:rPr>
          <w:rFonts w:ascii="Times New Roman" w:hAnsi="Times New Roman" w:cs="Times New Roman"/>
          <w:sz w:val="24"/>
          <w:szCs w:val="24"/>
        </w:rPr>
        <w:t xml:space="preserve"> after a major policy change</w:t>
      </w:r>
      <w:r w:rsidR="00DC3CE6">
        <w:rPr>
          <w:rFonts w:ascii="Times New Roman" w:hAnsi="Times New Roman" w:cs="Times New Roman"/>
          <w:sz w:val="24"/>
          <w:szCs w:val="24"/>
        </w:rPr>
        <w:t xml:space="preserve">. </w:t>
      </w:r>
      <w:r>
        <w:rPr>
          <w:rFonts w:ascii="Times New Roman" w:hAnsi="Times New Roman" w:cs="Times New Roman"/>
          <w:sz w:val="24"/>
          <w:szCs w:val="24"/>
        </w:rPr>
        <w:t>This research uses the case studies of the hydraulic fracturing policy subsystems in New York and Colorado to explore the aforementioned phenomena.  In 2014, a ban on the technique was passed into law in New York.  Colorado</w:t>
      </w:r>
      <w:r w:rsidR="00DC3CE6">
        <w:rPr>
          <w:rFonts w:ascii="Times New Roman" w:hAnsi="Times New Roman" w:cs="Times New Roman"/>
          <w:sz w:val="24"/>
          <w:szCs w:val="24"/>
        </w:rPr>
        <w:t xml:space="preserve"> has no similar policy. </w:t>
      </w:r>
    </w:p>
    <w:p w14:paraId="05EDF0EA" w14:textId="59913045" w:rsidR="00AB4577" w:rsidRDefault="00AB4577" w:rsidP="009F183A">
      <w:pPr>
        <w:spacing w:after="0" w:line="480" w:lineRule="auto"/>
        <w:rPr>
          <w:rFonts w:ascii="Times New Roman" w:hAnsi="Times New Roman" w:cs="Times New Roman"/>
          <w:b/>
          <w:sz w:val="24"/>
          <w:szCs w:val="24"/>
          <w:u w:val="single"/>
        </w:rPr>
      </w:pPr>
    </w:p>
    <w:p w14:paraId="31F59A03" w14:textId="37A8236D" w:rsidR="00AB4577" w:rsidRDefault="00AB4577" w:rsidP="009F183A">
      <w:pPr>
        <w:spacing w:after="0" w:line="480" w:lineRule="auto"/>
        <w:rPr>
          <w:rFonts w:ascii="Times New Roman" w:hAnsi="Times New Roman" w:cs="Times New Roman"/>
          <w:b/>
          <w:sz w:val="24"/>
          <w:szCs w:val="24"/>
          <w:u w:val="single"/>
        </w:rPr>
      </w:pPr>
    </w:p>
    <w:p w14:paraId="4863E7B6" w14:textId="4D25A377" w:rsidR="00AB4577" w:rsidRDefault="00AB4577" w:rsidP="009F183A">
      <w:pPr>
        <w:spacing w:after="0" w:line="480" w:lineRule="auto"/>
        <w:rPr>
          <w:rFonts w:ascii="Times New Roman" w:hAnsi="Times New Roman" w:cs="Times New Roman"/>
          <w:b/>
          <w:sz w:val="24"/>
          <w:szCs w:val="24"/>
          <w:u w:val="single"/>
        </w:rPr>
      </w:pPr>
    </w:p>
    <w:p w14:paraId="37FCF129" w14:textId="0224E66A" w:rsidR="00AB4577" w:rsidRDefault="00AB4577" w:rsidP="009F183A">
      <w:pPr>
        <w:spacing w:after="0" w:line="480" w:lineRule="auto"/>
        <w:rPr>
          <w:rFonts w:ascii="Times New Roman" w:hAnsi="Times New Roman" w:cs="Times New Roman"/>
          <w:b/>
          <w:sz w:val="24"/>
          <w:szCs w:val="24"/>
          <w:u w:val="single"/>
        </w:rPr>
      </w:pPr>
    </w:p>
    <w:p w14:paraId="5CA815F8" w14:textId="51E68601" w:rsidR="00AB4577" w:rsidRDefault="00AB4577" w:rsidP="009F183A">
      <w:pPr>
        <w:spacing w:after="0" w:line="480" w:lineRule="auto"/>
        <w:rPr>
          <w:rFonts w:ascii="Times New Roman" w:hAnsi="Times New Roman" w:cs="Times New Roman"/>
          <w:b/>
          <w:sz w:val="24"/>
          <w:szCs w:val="24"/>
          <w:u w:val="single"/>
        </w:rPr>
      </w:pPr>
    </w:p>
    <w:p w14:paraId="13AFB27A" w14:textId="646D79D8" w:rsidR="00AB4577" w:rsidRDefault="00AB4577" w:rsidP="009F183A">
      <w:pPr>
        <w:spacing w:after="0" w:line="480" w:lineRule="auto"/>
        <w:rPr>
          <w:rFonts w:ascii="Times New Roman" w:hAnsi="Times New Roman" w:cs="Times New Roman"/>
          <w:b/>
          <w:sz w:val="24"/>
          <w:szCs w:val="24"/>
          <w:u w:val="single"/>
        </w:rPr>
      </w:pPr>
    </w:p>
    <w:p w14:paraId="56E82E22" w14:textId="4960C5DA" w:rsidR="00AB4577" w:rsidRDefault="00AB4577" w:rsidP="009F183A">
      <w:pPr>
        <w:spacing w:after="0" w:line="480" w:lineRule="auto"/>
        <w:rPr>
          <w:rFonts w:ascii="Times New Roman" w:hAnsi="Times New Roman" w:cs="Times New Roman"/>
          <w:b/>
          <w:sz w:val="24"/>
          <w:szCs w:val="24"/>
          <w:u w:val="single"/>
        </w:rPr>
      </w:pPr>
    </w:p>
    <w:p w14:paraId="4CA05559" w14:textId="77777777" w:rsidR="003B71A1" w:rsidRDefault="003B71A1" w:rsidP="00AB4577">
      <w:pPr>
        <w:spacing w:after="0" w:line="480" w:lineRule="auto"/>
        <w:jc w:val="center"/>
        <w:rPr>
          <w:rFonts w:ascii="Times New Roman" w:hAnsi="Times New Roman" w:cs="Times New Roman"/>
          <w:bCs/>
          <w:sz w:val="24"/>
          <w:szCs w:val="24"/>
        </w:rPr>
        <w:sectPr w:rsidR="003B71A1" w:rsidSect="00972B5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lnNumType w:countBy="1" w:restart="continuous"/>
          <w:pgNumType w:fmt="lowerRoman"/>
          <w:cols w:space="720"/>
          <w:titlePg/>
          <w:docGrid w:linePitch="360"/>
        </w:sectPr>
      </w:pPr>
    </w:p>
    <w:p w14:paraId="692196E0" w14:textId="77777777" w:rsidR="004333FF" w:rsidRPr="004333FF" w:rsidRDefault="004333FF" w:rsidP="004333FF"/>
    <w:p w14:paraId="26F44333" w14:textId="77777777" w:rsidR="002D2B85" w:rsidRPr="009C6247" w:rsidRDefault="002D2B85" w:rsidP="002D2B85">
      <w:pPr>
        <w:pStyle w:val="Heading1"/>
        <w:jc w:val="center"/>
        <w:rPr>
          <w:rFonts w:ascii="Times New Roman" w:hAnsi="Times New Roman" w:cs="Times New Roman"/>
          <w:b/>
          <w:bCs/>
          <w:sz w:val="24"/>
          <w:szCs w:val="24"/>
        </w:rPr>
      </w:pPr>
      <w:bookmarkStart w:id="0" w:name="_Toc46917855"/>
      <w:r w:rsidRPr="009C6247">
        <w:rPr>
          <w:rFonts w:ascii="Times New Roman" w:hAnsi="Times New Roman" w:cs="Times New Roman"/>
          <w:b/>
          <w:bCs/>
          <w:color w:val="auto"/>
          <w:sz w:val="24"/>
          <w:szCs w:val="24"/>
        </w:rPr>
        <w:t>Introduction</w:t>
      </w:r>
      <w:bookmarkEnd w:id="0"/>
    </w:p>
    <w:p w14:paraId="03C2B35A" w14:textId="14E6DE26" w:rsidR="002D2B85" w:rsidRDefault="002D2B85" w:rsidP="002D2B85">
      <w:pPr>
        <w:spacing w:after="0" w:line="480" w:lineRule="auto"/>
        <w:ind w:firstLine="720"/>
        <w:rPr>
          <w:rFonts w:ascii="Times New Roman" w:hAnsi="Times New Roman" w:cs="Times New Roman"/>
          <w:sz w:val="24"/>
          <w:szCs w:val="24"/>
        </w:rPr>
      </w:pPr>
      <w:bookmarkStart w:id="1" w:name="_Hlk27474898"/>
      <w:r w:rsidRPr="00F86100">
        <w:rPr>
          <w:rFonts w:ascii="Times New Roman" w:hAnsi="Times New Roman" w:cs="Times New Roman"/>
          <w:sz w:val="24"/>
          <w:szCs w:val="24"/>
        </w:rPr>
        <w:t xml:space="preserve">Social media is continuing to be a political force shaping how policy issues are </w:t>
      </w:r>
      <w:r>
        <w:rPr>
          <w:rFonts w:ascii="Times New Roman" w:hAnsi="Times New Roman" w:cs="Times New Roman"/>
          <w:sz w:val="24"/>
          <w:szCs w:val="24"/>
        </w:rPr>
        <w:t>discussed</w:t>
      </w:r>
      <w:r w:rsidRPr="00F86100">
        <w:rPr>
          <w:rFonts w:ascii="Times New Roman" w:hAnsi="Times New Roman" w:cs="Times New Roman"/>
          <w:sz w:val="24"/>
          <w:szCs w:val="24"/>
        </w:rPr>
        <w:t xml:space="preserve"> and thus influencing how the policy agenda is structured. </w:t>
      </w:r>
      <w:r>
        <w:rPr>
          <w:rFonts w:ascii="Times New Roman" w:hAnsi="Times New Roman" w:cs="Times New Roman"/>
          <w:sz w:val="24"/>
          <w:szCs w:val="24"/>
        </w:rPr>
        <w:t>Online</w:t>
      </w:r>
      <w:r w:rsidRPr="00F86100">
        <w:rPr>
          <w:rFonts w:ascii="Times New Roman" w:hAnsi="Times New Roman" w:cs="Times New Roman"/>
          <w:sz w:val="24"/>
          <w:szCs w:val="24"/>
        </w:rPr>
        <w:t xml:space="preserve"> platforms allow a great variety of policy actors to collect and disseminate information</w:t>
      </w:r>
      <w:r>
        <w:rPr>
          <w:rFonts w:ascii="Times New Roman" w:hAnsi="Times New Roman" w:cs="Times New Roman"/>
          <w:sz w:val="24"/>
          <w:szCs w:val="24"/>
        </w:rPr>
        <w:t xml:space="preserve"> and interact discursively with like-minded and opposing policy actors</w:t>
      </w:r>
      <w:r w:rsidRPr="00F86100">
        <w:rPr>
          <w:rFonts w:ascii="Times New Roman" w:hAnsi="Times New Roman" w:cs="Times New Roman"/>
          <w:sz w:val="24"/>
          <w:szCs w:val="24"/>
        </w:rPr>
        <w:t>.</w:t>
      </w:r>
      <w:r>
        <w:rPr>
          <w:rFonts w:ascii="Times New Roman" w:hAnsi="Times New Roman" w:cs="Times New Roman"/>
          <w:sz w:val="24"/>
          <w:szCs w:val="24"/>
        </w:rPr>
        <w:t xml:space="preserve"> </w:t>
      </w:r>
      <w:r w:rsidRPr="00F86100">
        <w:rPr>
          <w:rFonts w:ascii="Times New Roman" w:hAnsi="Times New Roman" w:cs="Times New Roman"/>
          <w:sz w:val="24"/>
          <w:szCs w:val="24"/>
        </w:rPr>
        <w:t xml:space="preserve">With Twitter, the information from these actors, whether they </w:t>
      </w:r>
      <w:r>
        <w:rPr>
          <w:rFonts w:ascii="Times New Roman" w:hAnsi="Times New Roman" w:cs="Times New Roman"/>
          <w:sz w:val="24"/>
          <w:szCs w:val="24"/>
        </w:rPr>
        <w:t>are</w:t>
      </w:r>
      <w:r w:rsidRPr="00F86100">
        <w:rPr>
          <w:rFonts w:ascii="Times New Roman" w:hAnsi="Times New Roman" w:cs="Times New Roman"/>
          <w:sz w:val="24"/>
          <w:szCs w:val="24"/>
        </w:rPr>
        <w:t xml:space="preserve"> a small non-profit or business, can ‘compete’ with the </w:t>
      </w:r>
      <w:r>
        <w:rPr>
          <w:rFonts w:ascii="Times New Roman" w:hAnsi="Times New Roman" w:cs="Times New Roman"/>
          <w:sz w:val="24"/>
          <w:szCs w:val="24"/>
        </w:rPr>
        <w:t>resources</w:t>
      </w:r>
      <w:r w:rsidRPr="00F86100">
        <w:rPr>
          <w:rFonts w:ascii="Times New Roman" w:hAnsi="Times New Roman" w:cs="Times New Roman"/>
          <w:sz w:val="24"/>
          <w:szCs w:val="24"/>
        </w:rPr>
        <w:t xml:space="preserve"> and notoriety of well-funded organizations and corporations.</w:t>
      </w:r>
      <w:r>
        <w:rPr>
          <w:rFonts w:ascii="Times New Roman" w:hAnsi="Times New Roman" w:cs="Times New Roman"/>
          <w:sz w:val="24"/>
          <w:szCs w:val="24"/>
        </w:rPr>
        <w:t xml:space="preserve"> </w:t>
      </w:r>
      <w:r w:rsidRPr="00F86100">
        <w:rPr>
          <w:rFonts w:ascii="Times New Roman" w:hAnsi="Times New Roman" w:cs="Times New Roman"/>
          <w:sz w:val="24"/>
          <w:szCs w:val="24"/>
        </w:rPr>
        <w:t xml:space="preserve">Policy actors no longer rely on the few information gatekeepers such as the media to </w:t>
      </w:r>
      <w:r>
        <w:rPr>
          <w:rFonts w:ascii="Times New Roman" w:hAnsi="Times New Roman" w:cs="Times New Roman"/>
          <w:sz w:val="24"/>
          <w:szCs w:val="24"/>
        </w:rPr>
        <w:t>communicate</w:t>
      </w:r>
      <w:r w:rsidRPr="00F86100">
        <w:rPr>
          <w:rFonts w:ascii="Times New Roman" w:hAnsi="Times New Roman" w:cs="Times New Roman"/>
          <w:sz w:val="24"/>
          <w:szCs w:val="24"/>
        </w:rPr>
        <w:t xml:space="preserve"> their message.</w:t>
      </w:r>
      <w:r>
        <w:rPr>
          <w:rFonts w:ascii="Times New Roman" w:hAnsi="Times New Roman" w:cs="Times New Roman"/>
          <w:sz w:val="24"/>
          <w:szCs w:val="24"/>
        </w:rPr>
        <w:t xml:space="preserve"> </w:t>
      </w:r>
      <w:r w:rsidRPr="00F86100">
        <w:rPr>
          <w:rFonts w:ascii="Times New Roman" w:hAnsi="Times New Roman" w:cs="Times New Roman"/>
          <w:sz w:val="24"/>
          <w:szCs w:val="24"/>
        </w:rPr>
        <w:t xml:space="preserve">In the unconventional oil and gas subsystem, it is unclear how </w:t>
      </w:r>
      <w:r>
        <w:rPr>
          <w:rFonts w:ascii="Times New Roman" w:hAnsi="Times New Roman" w:cs="Times New Roman"/>
          <w:sz w:val="24"/>
          <w:szCs w:val="24"/>
        </w:rPr>
        <w:t>coalitions</w:t>
      </w:r>
      <w:r w:rsidRPr="00F86100">
        <w:rPr>
          <w:rFonts w:ascii="Times New Roman" w:hAnsi="Times New Roman" w:cs="Times New Roman"/>
          <w:sz w:val="24"/>
          <w:szCs w:val="24"/>
        </w:rPr>
        <w:t xml:space="preserve"> take advantage of their position in their </w:t>
      </w:r>
      <w:r>
        <w:rPr>
          <w:rFonts w:ascii="Times New Roman" w:hAnsi="Times New Roman" w:cs="Times New Roman"/>
          <w:sz w:val="24"/>
          <w:szCs w:val="24"/>
        </w:rPr>
        <w:t>online</w:t>
      </w:r>
      <w:r w:rsidRPr="00F86100">
        <w:rPr>
          <w:rFonts w:ascii="Times New Roman" w:hAnsi="Times New Roman" w:cs="Times New Roman"/>
          <w:sz w:val="24"/>
          <w:szCs w:val="24"/>
        </w:rPr>
        <w:t xml:space="preserve"> social networks to frame the issue in strategic ways</w:t>
      </w:r>
      <w:r>
        <w:rPr>
          <w:rFonts w:ascii="Times New Roman" w:hAnsi="Times New Roman" w:cs="Times New Roman"/>
          <w:sz w:val="24"/>
          <w:szCs w:val="24"/>
        </w:rPr>
        <w:t xml:space="preserve"> </w:t>
      </w:r>
      <w:r w:rsidRPr="00F86100">
        <w:rPr>
          <w:rFonts w:ascii="Times New Roman" w:hAnsi="Times New Roman" w:cs="Times New Roman"/>
          <w:sz w:val="24"/>
          <w:szCs w:val="24"/>
        </w:rPr>
        <w:t>and how that changes over time.</w:t>
      </w:r>
      <w:r>
        <w:rPr>
          <w:rFonts w:ascii="Times New Roman" w:hAnsi="Times New Roman" w:cs="Times New Roman"/>
          <w:sz w:val="24"/>
          <w:szCs w:val="24"/>
        </w:rPr>
        <w:t xml:space="preserve"> </w:t>
      </w:r>
      <w:r w:rsidRPr="00F86100">
        <w:rPr>
          <w:rFonts w:ascii="Times New Roman" w:hAnsi="Times New Roman" w:cs="Times New Roman"/>
          <w:sz w:val="24"/>
          <w:szCs w:val="24"/>
        </w:rPr>
        <w:t>Part of these strategies involve framing conversations to direct attention to certain aspects of the issue and away from others.</w:t>
      </w:r>
      <w:r>
        <w:rPr>
          <w:rFonts w:ascii="Times New Roman" w:hAnsi="Times New Roman" w:cs="Times New Roman"/>
          <w:sz w:val="24"/>
          <w:szCs w:val="24"/>
        </w:rPr>
        <w:t xml:space="preserve"> </w:t>
      </w:r>
      <w:r w:rsidRPr="00F86100">
        <w:rPr>
          <w:rFonts w:ascii="Times New Roman" w:hAnsi="Times New Roman" w:cs="Times New Roman"/>
          <w:sz w:val="24"/>
          <w:szCs w:val="24"/>
        </w:rPr>
        <w:t>These framing preferences, however, are likely not static as policy change can redistribute political power and incentivize changing the discourse to appeal to broader</w:t>
      </w:r>
      <w:r>
        <w:rPr>
          <w:rFonts w:ascii="Times New Roman" w:hAnsi="Times New Roman" w:cs="Times New Roman"/>
          <w:sz w:val="24"/>
          <w:szCs w:val="24"/>
        </w:rPr>
        <w:t xml:space="preserve"> or narrower</w:t>
      </w:r>
      <w:r w:rsidRPr="00F86100">
        <w:rPr>
          <w:rFonts w:ascii="Times New Roman" w:hAnsi="Times New Roman" w:cs="Times New Roman"/>
          <w:sz w:val="24"/>
          <w:szCs w:val="24"/>
        </w:rPr>
        <w:t xml:space="preserve"> interests.</w:t>
      </w:r>
      <w:r>
        <w:rPr>
          <w:rFonts w:ascii="Times New Roman" w:hAnsi="Times New Roman" w:cs="Times New Roman"/>
          <w:sz w:val="24"/>
          <w:szCs w:val="24"/>
        </w:rPr>
        <w:t xml:space="preserve"> </w:t>
      </w:r>
      <w:r w:rsidRPr="00F86100">
        <w:rPr>
          <w:rFonts w:ascii="Times New Roman" w:hAnsi="Times New Roman" w:cs="Times New Roman"/>
          <w:sz w:val="24"/>
          <w:szCs w:val="24"/>
        </w:rPr>
        <w:t>In the face of real threat</w:t>
      </w:r>
      <w:r>
        <w:rPr>
          <w:rFonts w:ascii="Times New Roman" w:hAnsi="Times New Roman" w:cs="Times New Roman"/>
          <w:sz w:val="24"/>
          <w:szCs w:val="24"/>
        </w:rPr>
        <w:t xml:space="preserve"> or as a strategy to exploit political momentum</w:t>
      </w:r>
      <w:r w:rsidRPr="00F86100">
        <w:rPr>
          <w:rFonts w:ascii="Times New Roman" w:hAnsi="Times New Roman" w:cs="Times New Roman"/>
          <w:sz w:val="24"/>
          <w:szCs w:val="24"/>
        </w:rPr>
        <w:t>,</w:t>
      </w:r>
      <w:r>
        <w:rPr>
          <w:rFonts w:ascii="Times New Roman" w:hAnsi="Times New Roman" w:cs="Times New Roman"/>
          <w:sz w:val="24"/>
          <w:szCs w:val="24"/>
        </w:rPr>
        <w:t xml:space="preserve"> coalition members will expand the types and frequency of such discursive tools.</w:t>
      </w:r>
      <w:r w:rsidRPr="00F86100">
        <w:rPr>
          <w:rFonts w:ascii="Times New Roman" w:hAnsi="Times New Roman" w:cs="Times New Roman"/>
          <w:sz w:val="24"/>
          <w:szCs w:val="24"/>
        </w:rPr>
        <w:t xml:space="preserve"> </w:t>
      </w:r>
    </w:p>
    <w:p w14:paraId="5F674388" w14:textId="523E6B07" w:rsidR="002D2B85" w:rsidRDefault="00003938" w:rsidP="002D2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manuscript observes the political discourse around unconventional oil and gas development in New York and Colorado. Using Twitter as the primary data source, I monitor those active and knowledgeable about unconventional oil and gas within the social media platform, and investigate their discursive strategies through analyzing the frequency of their participation and the content of their messaging. </w:t>
      </w:r>
      <w:r w:rsidR="002D2B85">
        <w:rPr>
          <w:rFonts w:ascii="Times New Roman" w:hAnsi="Times New Roman" w:cs="Times New Roman"/>
          <w:sz w:val="24"/>
          <w:szCs w:val="24"/>
        </w:rPr>
        <w:t xml:space="preserve">The </w:t>
      </w:r>
      <w:r>
        <w:rPr>
          <w:rFonts w:ascii="Times New Roman" w:hAnsi="Times New Roman" w:cs="Times New Roman"/>
          <w:sz w:val="24"/>
          <w:szCs w:val="24"/>
        </w:rPr>
        <w:t xml:space="preserve">core research question </w:t>
      </w:r>
      <w:r w:rsidR="002D2B85">
        <w:rPr>
          <w:rFonts w:ascii="Times New Roman" w:hAnsi="Times New Roman" w:cs="Times New Roman"/>
          <w:sz w:val="24"/>
          <w:szCs w:val="24"/>
        </w:rPr>
        <w:t xml:space="preserve">explores how pro- and anti-unconventional oil and gas development coalitions frame the issue and how </w:t>
      </w:r>
      <w:r>
        <w:rPr>
          <w:rFonts w:ascii="Times New Roman" w:hAnsi="Times New Roman" w:cs="Times New Roman"/>
          <w:sz w:val="24"/>
          <w:szCs w:val="24"/>
        </w:rPr>
        <w:t>those issue frames</w:t>
      </w:r>
      <w:r w:rsidR="002D2B85">
        <w:rPr>
          <w:rFonts w:ascii="Times New Roman" w:hAnsi="Times New Roman" w:cs="Times New Roman"/>
          <w:sz w:val="24"/>
          <w:szCs w:val="24"/>
        </w:rPr>
        <w:t xml:space="preserve"> change over time</w:t>
      </w:r>
      <w:r>
        <w:rPr>
          <w:rFonts w:ascii="Times New Roman" w:hAnsi="Times New Roman" w:cs="Times New Roman"/>
          <w:sz w:val="24"/>
          <w:szCs w:val="24"/>
        </w:rPr>
        <w:t>.</w:t>
      </w:r>
      <w:r w:rsidR="002D2B85">
        <w:rPr>
          <w:rFonts w:ascii="Times New Roman" w:hAnsi="Times New Roman" w:cs="Times New Roman"/>
          <w:sz w:val="24"/>
          <w:szCs w:val="24"/>
        </w:rPr>
        <w:t xml:space="preserve"> I expect that</w:t>
      </w:r>
      <w:bookmarkStart w:id="2" w:name="_Hlk45645855"/>
      <w:r w:rsidR="002D2B85">
        <w:rPr>
          <w:rFonts w:ascii="Times New Roman" w:hAnsi="Times New Roman" w:cs="Times New Roman"/>
          <w:sz w:val="24"/>
          <w:szCs w:val="24"/>
        </w:rPr>
        <w:t xml:space="preserve"> dominant issue frames identified in previous policy process literature</w:t>
      </w:r>
      <w:bookmarkEnd w:id="2"/>
      <w:r w:rsidR="002D2B85">
        <w:rPr>
          <w:rFonts w:ascii="Times New Roman" w:hAnsi="Times New Roman" w:cs="Times New Roman"/>
          <w:sz w:val="24"/>
          <w:szCs w:val="24"/>
        </w:rPr>
        <w:t xml:space="preserve"> also dominate in coalitions’ discursive strategies on Twitter, that there is no </w:t>
      </w:r>
      <w:r w:rsidR="002D2B85">
        <w:rPr>
          <w:rFonts w:ascii="Times New Roman" w:hAnsi="Times New Roman" w:cs="Times New Roman"/>
          <w:sz w:val="24"/>
          <w:szCs w:val="24"/>
        </w:rPr>
        <w:lastRenderedPageBreak/>
        <w:t>issue frame congruence</w:t>
      </w:r>
      <w:r w:rsidR="00880C52">
        <w:rPr>
          <w:rFonts w:ascii="Times New Roman" w:hAnsi="Times New Roman" w:cs="Times New Roman"/>
          <w:sz w:val="24"/>
          <w:szCs w:val="24"/>
        </w:rPr>
        <w:t xml:space="preserve"> between coalitions</w:t>
      </w:r>
      <w:r w:rsidR="002D2B85">
        <w:rPr>
          <w:rFonts w:ascii="Times New Roman" w:hAnsi="Times New Roman" w:cs="Times New Roman"/>
          <w:sz w:val="24"/>
          <w:szCs w:val="24"/>
        </w:rPr>
        <w:t>, and that a sudden increase in the number of frames will precede major policy change</w:t>
      </w:r>
      <w:bookmarkEnd w:id="1"/>
      <w:r w:rsidR="002D2B85">
        <w:rPr>
          <w:rFonts w:ascii="Times New Roman" w:hAnsi="Times New Roman" w:cs="Times New Roman"/>
          <w:sz w:val="24"/>
          <w:szCs w:val="24"/>
        </w:rPr>
        <w:t xml:space="preserve">. </w:t>
      </w:r>
    </w:p>
    <w:p w14:paraId="1796AF52" w14:textId="0838A35C" w:rsidR="002D2B85" w:rsidRDefault="002D2B85" w:rsidP="002D2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work finds that the same dominant frames identified in other works are present on Twitter (i.e.,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{"citationItems":[{"id":"ITEM-1","itemData":{"DOI":"10.1016/j.ecolecon.2014.11.001","ISSN":"09218009","abstract":"This paper explores the emergence of a global climate change mitigation regime through an analysis of the language employed in international science-policy reports. We assume that a global climate regime can only operate effectively on the basis of a shared understanding of climate change which is itself based on a shared language of governance. We therefore carried out an in-depth thematic and metaphor analysis of 63 policy documents published between 1992 and 2012. Results show that global climate science-policy discourses universalise the myriad impacts of a changing climate into a single dichotomous impacted/not-impacted scenario and aim to govern this world according to economic principles of cost-benefit analysis. These discourses use metaphors that draw on narrative structures prevalent in the wider culture to produce and legitimate a reductionist representation of climate change. This representation undermines public understanding of and engagement with climate change by marginalising subordinate policy framings which do not align with the prevailing dichotomous framing. The types of documents we analyse in this paper represent important sources for journalists reporting on climate change. We therefore suggest that any attempt to improve public communication of climate change should include revisions to these organisational discourses.","author":[{"dropping-particle":"","family":"Shaw","given":"Christopher","non-dropping-particle":"","parse-names":false,"suffix":""},{"dropping-particle":"","family":"Nerlich","given":"Brigitte","non-dropping-particle":"","parse-names":false,"suffix":""}],"container-title":"Ecological Economics","id":"ITEM-1","issued":{"date-parts":[["2015"]]},"page":"34-40","publisher":"Elsevier B.V.","title":"Metaphor as a mechanism of global climate change governance: A study of international policies, 1992-2012","type":"article-journal","volume":"109"},"uris":["http://www.mendeley.com/documents/?uuid=43e39349-7dad-48d7-b6ac-c1963bccf638"]},{"id":"ITEM-2","itemData":{"author":[{"dropping-particle":"","family":"Flachsland","given":"Christian","non-dropping-particle":"","parse-names":false,"suffix":""},{"dropping-particle":"","family":"Pahle","given":"Michael","non-dropping-particle":"","parse-names":false,"suffix":""},{"dropping-particle":"","family":"Leipprand","given":"Anna","non-dropping-particle":"","parse-names":false,"suffix":""}],"id":"ITEM-2","issued":{"date-parts":[["2015"]]},"page":"1-24","title":"Energy Transformation on the rise : an analysis of narratives in German energy policy debates","type":"article-journal"},"uris":["http://www.mendeley.com/documents/?uuid=a30feb92-1373-4577-84f5-14a1b81c3064"]},{"id":"ITEM-3","itemData":{"DOI":"10.1080/1523908X.2015.1116378","ISBN":"1523-908X 1522-7200","ISSN":"15227200","abstract":"‘Fracking’ was on New York’s agenda since 2008, yet no decision was made about it until late 2014. The gridlock is an intriguing puzzle given that the Marcellus shale is considered a ‘world class’ energy supply, and development has been aggressive in other US states. While policy scholars typically conceptualize gridlock as policy stab- ility, this paper examines it as a dynamic process by which competing discourse coalitions engage in interactive framing processes that (re)structure the discussion. This suggests that the interaction between contending coalitions influences gridlock. Yet, we lack knowledge about interactive framing between competing coalitions during policy con- troversies. Our main finding is that a central mechanism of gridlock is the production of conflict through interactive framing dynamics that deny a shared discursive space capable of ushering in a consensus, or reasoned agreement. In New York, this contest evolved from a policy consensus about the economic benefits of fracking to policy negotiation that incorporated environmental threats, and to prolonged policy controversy in which com- peting discourse coalitions contested notions of fracking in relation to energy production, environmental protection, public health, economic development, and governance. While a ban has been instituted, the failure to bridge discourse coalitions suggests that controversy will persist unless meaning disputes are resolved.","author":[{"dropping-particle":"","family":"Dodge","given":"Jennifer","non-dropping-particle":"","parse-names":false,"suffix":""},{"dropping-particle":"","family":"Lee","given":"Jeongyoon","non-dropping-particle":"","parse-names":false,"suffix":""}],"container-title":"Journal of Environmental Policy and Planning","id":"ITEM-3","issue":"1","issued":{"date-parts":[["2017"]]},"page":"14-34","publisher":"Taylor &amp; Francis","title":"Framing Dynamics and Political Gridlock: The Curious Case of Hydraulic Fracturing in New York","type":"article-journal","volume":"19"},"uris":["http://www.mendeley.com/documents/?uuid=7b08476a-7e48-4516-8871-d0fe5016e86e"]},{"id":"ITEM-4","itemData":{"DOI":"10.1111/ropr.12364","ISSN":"15411338","abstract":"This paper compares and contrasts high-conflict policy debates over the siting of three natural gas pipeline projects at different decision stages of the siting process. This paper draws on over 600 newspaper articles spanning 3 years, analyzed through Discourse Network Analysis. Drawing from the Advocacy Coalition Framework and Policy Conflict framework, this paper finds that actor framing of opposing policy beliefs involves more indirect than direct confrontations, with statements in the media waxing and waning over time. Opponents of the pipelines more often explicitly argue against pipelines, while also using a broad range of conceptual arguments, whereas proponents more often couch their arguments around the economic benefits of pipelines and use fewer conceptual frames overall. We also find evidence that opposing coalitions use similar framing across different decision contexts. This paper concludes with a commentary on the status and contributions of this paper to the study of policy conflicts and next steps in advancing similar research agendas.","author":[{"dropping-particle":"","family":"Yordy","given":"Jill","non-dropping-particle":"","parse-names":false,"suffix":""},{"dropping-particle":"","family":"You","given":"Jongeun","non-dropping-particle":"","parse-names":false,"suffix":""},{"dropping-particle":"","family":"Park","given":"Kyudong","non-dropping-particle":"","parse-names":false,"suffix":""},{"dropping-particle":"","family":"Weible","given":"Christopher M.","non-dropping-particle":"","parse-names":false,"suffix":""},{"dropping-particle":"","family":"Heikkila","given":"Tanya","non-dropping-particle":"","parse-names":false,"suffix":""}],"container-title":"Review of Policy Research","id":"ITEM-4","issue":"6","issued":{"date-parts":[["2019"]]},"page":"736-756","title":"Framing Contests and Policy Conflicts over Gas Pipelines","type":"article-journal","volume":"36"},"uris":["http://www.mendeley.com/documents/?uuid=525036c2-9497-40c7-8fb8-683c5f030668"]}],"mendeley":{"formattedCitation":"(Dodge and Lee 2017b; Flachsland, Pahle, and Leipprand 2015; Shaw and Nerlich 2015; Yordy et al. 2019)","manualFormatting":"Dodge and Lee 2017b; Flachsland, Pahle, and Leipprand 2015; Shaw and Nerlich 2015; Yordy et al. 2019)","plainTextFormattedCitation":"(Dodge and Lee 2017b; Flachsland, Pahle, and Leipprand 2015; Shaw and Nerlich 2015; Yordy et al. 2019)","previouslyFormattedCitation":"(Dodge and Lee 2017b; Flachsland, Pahle, and Leipprand 2015; Shaw and Nerlich 2015; Yordy et al. 2019)"},"properties":{"noteIndex":0},"schema":"https://github.com/citation-style-language/schema/raw/master/csl-citation.json"}</w:instrText>
      </w:r>
      <w:r>
        <w:rPr>
          <w:rFonts w:ascii="Times New Roman" w:hAnsi="Times New Roman" w:cs="Times New Roman"/>
          <w:sz w:val="24"/>
          <w:szCs w:val="24"/>
        </w:rPr>
        <w:fldChar w:fldCharType="separate"/>
      </w:r>
      <w:r w:rsidRPr="000970B8">
        <w:rPr>
          <w:rFonts w:ascii="Times New Roman" w:hAnsi="Times New Roman" w:cs="Times New Roman"/>
          <w:noProof/>
          <w:sz w:val="24"/>
          <w:szCs w:val="24"/>
        </w:rPr>
        <w:t>Dodge and Lee 2017b; Flachsland, Pahle, and Leipprand 2015; Shaw and Nerlich 2015; Yordy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While other discursive strategies are employed via Twitter, issue frames are very common. Between coalitions, </w:t>
      </w:r>
      <w:r w:rsidR="00003938">
        <w:rPr>
          <w:rFonts w:ascii="Times New Roman" w:hAnsi="Times New Roman" w:cs="Times New Roman"/>
          <w:sz w:val="24"/>
          <w:szCs w:val="24"/>
        </w:rPr>
        <w:t>I</w:t>
      </w:r>
      <w:r>
        <w:rPr>
          <w:rFonts w:ascii="Times New Roman" w:hAnsi="Times New Roman" w:cs="Times New Roman"/>
          <w:sz w:val="24"/>
          <w:szCs w:val="24"/>
        </w:rPr>
        <w:t xml:space="preserve"> find little issue congruence as the anti-coalition’s strategy mostly involves positioning the conversation towards environmental and public health and safety risks while the pro-coalition directs the conversation in the direction of economic and energy development benefits. This suggests a subsystem characterized by competition and not consensus building. The findings also show that science</w:t>
      </w:r>
      <w:r w:rsidR="00003938">
        <w:rPr>
          <w:rFonts w:ascii="Times New Roman" w:hAnsi="Times New Roman" w:cs="Times New Roman"/>
          <w:sz w:val="24"/>
          <w:szCs w:val="24"/>
        </w:rPr>
        <w:t xml:space="preserve"> and regulatory</w:t>
      </w:r>
      <w:r>
        <w:rPr>
          <w:rFonts w:ascii="Times New Roman" w:hAnsi="Times New Roman" w:cs="Times New Roman"/>
          <w:sz w:val="24"/>
          <w:szCs w:val="24"/>
        </w:rPr>
        <w:t xml:space="preserve"> frames are </w:t>
      </w:r>
      <w:r w:rsidR="00003938">
        <w:rPr>
          <w:rFonts w:ascii="Times New Roman" w:hAnsi="Times New Roman" w:cs="Times New Roman"/>
          <w:sz w:val="24"/>
          <w:szCs w:val="24"/>
        </w:rPr>
        <w:t>complementary frames used in addition to the main stream, dominant issue frames</w:t>
      </w:r>
      <w:r>
        <w:rPr>
          <w:rFonts w:ascii="Times New Roman" w:hAnsi="Times New Roman" w:cs="Times New Roman"/>
          <w:sz w:val="24"/>
          <w:szCs w:val="24"/>
        </w:rPr>
        <w:t xml:space="preserve">. Lastly, I find evidence of an issue expansion strategy by both coalitions leading up to a major policy change. </w:t>
      </w:r>
    </w:p>
    <w:p w14:paraId="0AD09A62" w14:textId="36CF9F9D" w:rsidR="002D2B85" w:rsidRDefault="002D2B85" w:rsidP="002D2B8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03938">
        <w:rPr>
          <w:rFonts w:ascii="Times New Roman" w:hAnsi="Times New Roman" w:cs="Times New Roman"/>
          <w:sz w:val="24"/>
          <w:szCs w:val="24"/>
        </w:rPr>
        <w:t>I will</w:t>
      </w:r>
      <w:r>
        <w:rPr>
          <w:rFonts w:ascii="Times New Roman" w:hAnsi="Times New Roman" w:cs="Times New Roman"/>
          <w:sz w:val="24"/>
          <w:szCs w:val="24"/>
        </w:rPr>
        <w:t xml:space="preserve"> begin by exploring</w:t>
      </w:r>
      <w:r w:rsidR="00003938">
        <w:rPr>
          <w:rFonts w:ascii="Times New Roman" w:hAnsi="Times New Roman" w:cs="Times New Roman"/>
          <w:sz w:val="24"/>
          <w:szCs w:val="24"/>
        </w:rPr>
        <w:t xml:space="preserve"> the theoretical framework shaping </w:t>
      </w:r>
      <w:r w:rsidR="003E7624">
        <w:rPr>
          <w:rFonts w:ascii="Times New Roman" w:hAnsi="Times New Roman" w:cs="Times New Roman"/>
          <w:sz w:val="24"/>
          <w:szCs w:val="24"/>
        </w:rPr>
        <w:t xml:space="preserve">my </w:t>
      </w:r>
      <w:r w:rsidR="00003938">
        <w:rPr>
          <w:rFonts w:ascii="Times New Roman" w:hAnsi="Times New Roman" w:cs="Times New Roman"/>
          <w:sz w:val="24"/>
          <w:szCs w:val="24"/>
        </w:rPr>
        <w:t>research expectations. Then a discussion of on-line discursive strategies and the competition between dominant issue frames</w:t>
      </w:r>
      <w:r w:rsidR="003E7624">
        <w:rPr>
          <w:rFonts w:ascii="Times New Roman" w:hAnsi="Times New Roman" w:cs="Times New Roman"/>
          <w:sz w:val="24"/>
          <w:szCs w:val="24"/>
        </w:rPr>
        <w:t xml:space="preserve"> </w:t>
      </w:r>
      <w:r w:rsidR="00003938">
        <w:rPr>
          <w:rFonts w:ascii="Times New Roman" w:hAnsi="Times New Roman" w:cs="Times New Roman"/>
          <w:sz w:val="24"/>
          <w:szCs w:val="24"/>
        </w:rPr>
        <w:t>will follow</w:t>
      </w:r>
      <w:r>
        <w:rPr>
          <w:rFonts w:ascii="Times New Roman" w:hAnsi="Times New Roman" w:cs="Times New Roman"/>
          <w:sz w:val="24"/>
          <w:szCs w:val="24"/>
        </w:rPr>
        <w:t xml:space="preserve">. </w:t>
      </w:r>
      <w:r w:rsidR="003E7624">
        <w:rPr>
          <w:rFonts w:ascii="Times New Roman" w:hAnsi="Times New Roman" w:cs="Times New Roman"/>
          <w:sz w:val="24"/>
          <w:szCs w:val="24"/>
        </w:rPr>
        <w:t xml:space="preserve">Next, I will </w:t>
      </w:r>
      <w:r>
        <w:rPr>
          <w:rFonts w:ascii="Times New Roman" w:hAnsi="Times New Roman" w:cs="Times New Roman"/>
          <w:sz w:val="24"/>
          <w:szCs w:val="24"/>
        </w:rPr>
        <w:t>expla</w:t>
      </w:r>
      <w:r w:rsidR="003E7624">
        <w:rPr>
          <w:rFonts w:ascii="Times New Roman" w:hAnsi="Times New Roman" w:cs="Times New Roman"/>
          <w:sz w:val="24"/>
          <w:szCs w:val="24"/>
        </w:rPr>
        <w:t>in</w:t>
      </w:r>
      <w:r>
        <w:rPr>
          <w:rFonts w:ascii="Times New Roman" w:hAnsi="Times New Roman" w:cs="Times New Roman"/>
          <w:sz w:val="24"/>
          <w:szCs w:val="24"/>
        </w:rPr>
        <w:t xml:space="preserve"> the research design and the presentation of results</w:t>
      </w:r>
      <w:r w:rsidR="003E7624">
        <w:rPr>
          <w:rFonts w:ascii="Times New Roman" w:hAnsi="Times New Roman" w:cs="Times New Roman"/>
          <w:sz w:val="24"/>
          <w:szCs w:val="24"/>
        </w:rPr>
        <w:t xml:space="preserve">. </w:t>
      </w:r>
      <w:r>
        <w:rPr>
          <w:rFonts w:ascii="Times New Roman" w:hAnsi="Times New Roman" w:cs="Times New Roman"/>
          <w:sz w:val="24"/>
          <w:szCs w:val="24"/>
        </w:rPr>
        <w:t xml:space="preserve">This work will end with a discussion of what was found, the limitations of my analysis, and contributions to the field. </w:t>
      </w:r>
    </w:p>
    <w:p w14:paraId="3D1B3F04" w14:textId="77777777" w:rsidR="002D2B85" w:rsidRDefault="002D2B85" w:rsidP="002D2B85">
      <w:pPr>
        <w:spacing w:after="0" w:line="480" w:lineRule="auto"/>
        <w:ind w:firstLine="720"/>
        <w:rPr>
          <w:rFonts w:ascii="Times New Roman" w:hAnsi="Times New Roman" w:cs="Times New Roman"/>
          <w:sz w:val="24"/>
          <w:szCs w:val="24"/>
        </w:rPr>
      </w:pPr>
    </w:p>
    <w:p w14:paraId="259FD1FA" w14:textId="6976C47B" w:rsidR="00756653" w:rsidRPr="008A2BE8" w:rsidRDefault="002D2B85" w:rsidP="003E7624">
      <w:pPr>
        <w:spacing w:after="0" w:line="480" w:lineRule="auto"/>
        <w:rPr>
          <w:rFonts w:ascii="Times New Roman" w:hAnsi="Times New Roman" w:cs="Times New Roman"/>
          <w:b/>
          <w:bCs/>
          <w:sz w:val="24"/>
          <w:szCs w:val="24"/>
        </w:rPr>
      </w:pPr>
      <w:r>
        <w:rPr>
          <w:rFonts w:ascii="Times New Roman" w:hAnsi="Times New Roman" w:cs="Times New Roman"/>
          <w:sz w:val="24"/>
          <w:szCs w:val="24"/>
        </w:rPr>
        <w:tab/>
        <w:t xml:space="preserve"> </w:t>
      </w:r>
      <w:bookmarkStart w:id="3" w:name="_Toc46917821"/>
      <w:r w:rsidR="00756653" w:rsidRPr="008A2BE8">
        <w:rPr>
          <w:rFonts w:ascii="Times New Roman" w:hAnsi="Times New Roman" w:cs="Times New Roman"/>
          <w:b/>
          <w:bCs/>
          <w:sz w:val="24"/>
          <w:szCs w:val="24"/>
        </w:rPr>
        <w:t>The Advocacy Coalition Framework and the Role of Policy Beliefs</w:t>
      </w:r>
      <w:bookmarkEnd w:id="3"/>
    </w:p>
    <w:p w14:paraId="7F473364" w14:textId="77777777" w:rsidR="00756653" w:rsidRDefault="00756653" w:rsidP="00756653">
      <w:pPr>
        <w:spacing w:after="0" w:line="480" w:lineRule="auto"/>
        <w:ind w:firstLine="720"/>
        <w:rPr>
          <w:rFonts w:ascii="Times New Roman" w:hAnsi="Times New Roman" w:cs="Times New Roman"/>
          <w:sz w:val="24"/>
          <w:szCs w:val="24"/>
        </w:rPr>
      </w:pPr>
      <w:r w:rsidRPr="0005002A">
        <w:rPr>
          <w:rFonts w:ascii="Times New Roman" w:hAnsi="Times New Roman" w:cs="Times New Roman"/>
          <w:sz w:val="24"/>
          <w:szCs w:val="24"/>
        </w:rPr>
        <w:t xml:space="preserve">The </w:t>
      </w:r>
      <w:r>
        <w:rPr>
          <w:rFonts w:ascii="Times New Roman" w:hAnsi="Times New Roman" w:cs="Times New Roman"/>
          <w:sz w:val="24"/>
          <w:szCs w:val="24"/>
        </w:rPr>
        <w:t>ACF</w:t>
      </w:r>
      <w:r w:rsidRPr="0005002A">
        <w:rPr>
          <w:rFonts w:ascii="Times New Roman" w:hAnsi="Times New Roman" w:cs="Times New Roman"/>
          <w:sz w:val="24"/>
          <w:szCs w:val="24"/>
        </w:rPr>
        <w:t xml:space="preserve"> </w:t>
      </w:r>
      <w:r>
        <w:rPr>
          <w:rFonts w:ascii="Times New Roman" w:hAnsi="Times New Roman" w:cs="Times New Roman"/>
          <w:sz w:val="24"/>
          <w:szCs w:val="24"/>
        </w:rPr>
        <w:t>is</w:t>
      </w:r>
      <w:r w:rsidRPr="0005002A">
        <w:rPr>
          <w:rFonts w:ascii="Times New Roman" w:hAnsi="Times New Roman" w:cs="Times New Roman"/>
          <w:sz w:val="24"/>
          <w:szCs w:val="24"/>
        </w:rPr>
        <w:t xml:space="preserve"> a</w:t>
      </w:r>
      <w:r>
        <w:rPr>
          <w:rFonts w:ascii="Times New Roman" w:hAnsi="Times New Roman" w:cs="Times New Roman"/>
          <w:sz w:val="24"/>
          <w:szCs w:val="24"/>
        </w:rPr>
        <w:t>n</w:t>
      </w:r>
      <w:r w:rsidRPr="0005002A">
        <w:rPr>
          <w:rFonts w:ascii="Times New Roman" w:hAnsi="Times New Roman" w:cs="Times New Roman"/>
          <w:sz w:val="24"/>
          <w:szCs w:val="24"/>
        </w:rPr>
        <w:t xml:space="preserve"> </w:t>
      </w:r>
      <w:r>
        <w:rPr>
          <w:rFonts w:ascii="Times New Roman" w:hAnsi="Times New Roman" w:cs="Times New Roman"/>
          <w:sz w:val="24"/>
          <w:szCs w:val="24"/>
        </w:rPr>
        <w:t>analytical approach</w:t>
      </w:r>
      <w:r w:rsidRPr="0005002A">
        <w:rPr>
          <w:rFonts w:ascii="Times New Roman" w:hAnsi="Times New Roman" w:cs="Times New Roman"/>
          <w:sz w:val="24"/>
          <w:szCs w:val="24"/>
        </w:rPr>
        <w:t xml:space="preserve"> </w:t>
      </w:r>
      <w:r>
        <w:rPr>
          <w:rFonts w:ascii="Times New Roman" w:hAnsi="Times New Roman" w:cs="Times New Roman"/>
          <w:sz w:val="24"/>
          <w:szCs w:val="24"/>
        </w:rPr>
        <w:t>used</w:t>
      </w:r>
      <w:r w:rsidRPr="0005002A">
        <w:rPr>
          <w:rFonts w:ascii="Times New Roman" w:hAnsi="Times New Roman" w:cs="Times New Roman"/>
          <w:sz w:val="24"/>
          <w:szCs w:val="24"/>
        </w:rPr>
        <w:t xml:space="preserve"> </w:t>
      </w:r>
      <w:r>
        <w:rPr>
          <w:rFonts w:ascii="Times New Roman" w:hAnsi="Times New Roman" w:cs="Times New Roman"/>
          <w:sz w:val="24"/>
          <w:szCs w:val="24"/>
        </w:rPr>
        <w:t>to help</w:t>
      </w:r>
      <w:r w:rsidRPr="0005002A">
        <w:rPr>
          <w:rFonts w:ascii="Times New Roman" w:hAnsi="Times New Roman" w:cs="Times New Roman"/>
          <w:sz w:val="24"/>
          <w:szCs w:val="24"/>
        </w:rPr>
        <w:t xml:space="preserve"> understand how politics inform </w:t>
      </w:r>
      <w:r>
        <w:rPr>
          <w:rFonts w:ascii="Times New Roman" w:hAnsi="Times New Roman" w:cs="Times New Roman"/>
          <w:sz w:val="24"/>
          <w:szCs w:val="24"/>
        </w:rPr>
        <w:t xml:space="preserve">public </w:t>
      </w:r>
      <w:r w:rsidRPr="0005002A">
        <w:rPr>
          <w:rFonts w:ascii="Times New Roman" w:hAnsi="Times New Roman" w:cs="Times New Roman"/>
          <w:sz w:val="24"/>
          <w:szCs w:val="24"/>
        </w:rPr>
        <w:t>polic</w:t>
      </w:r>
      <w:r>
        <w:rPr>
          <w:rFonts w:ascii="Times New Roman" w:hAnsi="Times New Roman" w:cs="Times New Roman"/>
          <w:sz w:val="24"/>
          <w:szCs w:val="24"/>
        </w:rPr>
        <w:t>ies (and vice versa)</w:t>
      </w:r>
      <w:r w:rsidRPr="0005002A">
        <w:rPr>
          <w:rFonts w:ascii="Times New Roman" w:hAnsi="Times New Roman" w:cs="Times New Roman"/>
          <w:sz w:val="24"/>
          <w:szCs w:val="24"/>
        </w:rPr>
        <w:t>.</w:t>
      </w:r>
      <w:r>
        <w:rPr>
          <w:rFonts w:ascii="Times New Roman" w:hAnsi="Times New Roman" w:cs="Times New Roman"/>
          <w:sz w:val="24"/>
          <w:szCs w:val="24"/>
        </w:rPr>
        <w:t xml:space="preserve"> Unlike</w:t>
      </w:r>
      <w:r w:rsidRPr="0005002A">
        <w:rPr>
          <w:rFonts w:ascii="Times New Roman" w:hAnsi="Times New Roman" w:cs="Times New Roman"/>
          <w:sz w:val="24"/>
          <w:szCs w:val="24"/>
        </w:rPr>
        <w:t xml:space="preserve"> more traditional political scienc</w:t>
      </w:r>
      <w:r>
        <w:rPr>
          <w:rFonts w:ascii="Times New Roman" w:hAnsi="Times New Roman" w:cs="Times New Roman"/>
          <w:sz w:val="24"/>
          <w:szCs w:val="24"/>
        </w:rPr>
        <w:t>e approaches, the framework recognizes the complexity of the policy process by going</w:t>
      </w:r>
      <w:r w:rsidRPr="0005002A">
        <w:rPr>
          <w:rFonts w:ascii="Times New Roman" w:hAnsi="Times New Roman" w:cs="Times New Roman"/>
          <w:sz w:val="24"/>
          <w:szCs w:val="24"/>
        </w:rPr>
        <w:t xml:space="preserve"> beyond observations of formal governing institutions</w:t>
      </w:r>
      <w:r>
        <w:rPr>
          <w:rFonts w:ascii="Times New Roman" w:hAnsi="Times New Roman" w:cs="Times New Roman"/>
          <w:sz w:val="24"/>
          <w:szCs w:val="24"/>
        </w:rPr>
        <w:t xml:space="preserve"> (e.g., a single government decision-making venue) </w:t>
      </w:r>
      <w:r w:rsidRPr="0005002A">
        <w:rPr>
          <w:rFonts w:ascii="Times New Roman" w:hAnsi="Times New Roman" w:cs="Times New Roman"/>
          <w:sz w:val="24"/>
          <w:szCs w:val="24"/>
        </w:rPr>
        <w:t>a</w:t>
      </w:r>
      <w:r>
        <w:rPr>
          <w:rFonts w:ascii="Times New Roman" w:hAnsi="Times New Roman" w:cs="Times New Roman"/>
          <w:sz w:val="24"/>
          <w:szCs w:val="24"/>
        </w:rPr>
        <w:t xml:space="preserve">nd incorporating a </w:t>
      </w:r>
      <w:r>
        <w:rPr>
          <w:rFonts w:ascii="Times New Roman" w:hAnsi="Times New Roman" w:cs="Times New Roman"/>
          <w:sz w:val="24"/>
          <w:szCs w:val="24"/>
        </w:rPr>
        <w:lastRenderedPageBreak/>
        <w:t>more diverse set</w:t>
      </w:r>
      <w:r w:rsidRPr="0005002A">
        <w:rPr>
          <w:rFonts w:ascii="Times New Roman" w:hAnsi="Times New Roman" w:cs="Times New Roman"/>
          <w:sz w:val="24"/>
          <w:szCs w:val="24"/>
        </w:rPr>
        <w:t xml:space="preserve"> of actors.</w:t>
      </w:r>
      <w:r>
        <w:rPr>
          <w:rFonts w:ascii="Times New Roman" w:hAnsi="Times New Roman" w:cs="Times New Roman"/>
          <w:sz w:val="24"/>
          <w:szCs w:val="24"/>
        </w:rPr>
        <w:t xml:space="preserve"> Similar to scholarship observing ‘issue networks’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{"citationItems":[{"id":"ITEM-1","itemData":{"abstract":"networks are important to the political and administrative dimensions of governing; issue based networks have effected the executive; networks challenge long held democratic principles of legitimacy and accountability; intergovernmental lobbies, interest groups create this giant network; middlemen have been brought in to do the business of the federal government; people want more services but ironically, less bureaucracy","author":[{"dropping-particle":"","family":"Heclo","given":"Hugh","non-dropping-particle":"","parse-names":false,"suffix":""}],"id":"ITEM-1","issued":{"date-parts":[["1978"]]},"title":"Issue Networks and the Executive Establishment","type":"article"},"uris":["http://www.mendeley.com/documents/?uuid=ca12eb6c-4f8c-4985-b81d-c621b7a87bc6"]}],"mendeley":{"formattedCitation":"(Heclo 1978)","plainTextFormattedCitation":"(Heclo 1978)","previouslyFormattedCitation":"(Heclo 1978)"},"properties":{"noteIndex":0},"schema":"https://github.com/citation-style-language/schema/raw/master/csl-citation.json"}</w:instrText>
      </w:r>
      <w:r>
        <w:rPr>
          <w:rFonts w:ascii="Times New Roman" w:hAnsi="Times New Roman" w:cs="Times New Roman"/>
          <w:sz w:val="24"/>
          <w:szCs w:val="24"/>
        </w:rPr>
        <w:fldChar w:fldCharType="separate"/>
      </w:r>
      <w:r w:rsidRPr="00B01D76">
        <w:rPr>
          <w:rFonts w:ascii="Times New Roman" w:hAnsi="Times New Roman" w:cs="Times New Roman"/>
          <w:noProof/>
          <w:sz w:val="24"/>
          <w:szCs w:val="24"/>
        </w:rPr>
        <w:t>(Heclo 1978)</w:t>
      </w:r>
      <w:r>
        <w:rPr>
          <w:rFonts w:ascii="Times New Roman" w:hAnsi="Times New Roman" w:cs="Times New Roman"/>
          <w:sz w:val="24"/>
          <w:szCs w:val="24"/>
        </w:rPr>
        <w:fldChar w:fldCharType="end"/>
      </w:r>
      <w:r>
        <w:rPr>
          <w:rFonts w:ascii="Times New Roman" w:hAnsi="Times New Roman" w:cs="Times New Roman"/>
          <w:sz w:val="24"/>
          <w:szCs w:val="24"/>
        </w:rPr>
        <w:t xml:space="preserve"> and ‘policy communities’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{"citationItems":[{"id":"ITEM-1","itemData":{"author":[{"dropping-particle":"","family":"Guber","given":"Deborah Lynn","non-dropping-particle":"","parse-names":false,"suffix":""},{"dropping-particle":"","family":"Bosso","given":"Christopher J","non-dropping-particle":"","parse-names":false,"suffix":""}],"id":"ITEM-1","issued":{"date-parts":[["1968"]]},"page":"1-36","title":"ISSUE FRAMING , AGENDA SETTING , AND","type":"article-journal"},"uris":["http://www.mendeley.com/documents/?uuid=db70f97e-0ad6-4704-b6f8-a86a67a0e4fd"]}],"mendeley":{"formattedCitation":"(Guber and Bosso 1968)","plainTextFormattedCitation":"(Guber and Bosso 1968)","previouslyFormattedCitation":"(Guber and Bosso 1968)"},"properties":{"noteIndex":0},"schema":"https://github.com/citation-style-language/schema/raw/master/csl-citation.json"}</w:instrText>
      </w:r>
      <w:r>
        <w:rPr>
          <w:rFonts w:ascii="Times New Roman" w:hAnsi="Times New Roman" w:cs="Times New Roman"/>
          <w:sz w:val="24"/>
          <w:szCs w:val="24"/>
        </w:rPr>
        <w:fldChar w:fldCharType="separate"/>
      </w:r>
      <w:r w:rsidRPr="00B01D76">
        <w:rPr>
          <w:rFonts w:ascii="Times New Roman" w:hAnsi="Times New Roman" w:cs="Times New Roman"/>
          <w:noProof/>
          <w:sz w:val="24"/>
          <w:szCs w:val="24"/>
        </w:rPr>
        <w:t>(Guber and Bosso 1968)</w:t>
      </w:r>
      <w:r>
        <w:rPr>
          <w:rFonts w:ascii="Times New Roman" w:hAnsi="Times New Roman" w:cs="Times New Roman"/>
          <w:sz w:val="24"/>
          <w:szCs w:val="24"/>
        </w:rPr>
        <w:fldChar w:fldCharType="end"/>
      </w:r>
      <w:r>
        <w:rPr>
          <w:rFonts w:ascii="Times New Roman" w:hAnsi="Times New Roman" w:cs="Times New Roman"/>
          <w:sz w:val="24"/>
          <w:szCs w:val="24"/>
        </w:rPr>
        <w:t>, the study of advocacy coalitions seeks to broaden the iron triangle and recognize that actors outside of the US Congress, resource-rich interest groups, and the bureaucracy can be relevant and that scholars must endeavor to study the motivations of a broader set of actors, how they coordinate action (within and outside of the iron triangle), what strategies they employ and the spaces they engage to influence policy outcomes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{"citationItems":[{"id":"ITEM-1","itemData":{"DOI":"10.1111/j.1541-0072.2011.00414.x","ISBN":"0190292X","ISSN":"0190292X","PMID":"63478360","abstract":"The contemporary trend within natural resource governance sees a strong increase in collaborative management. A successful turnout of these arrangements is, however, dependent upon the formation and characteristics of advocacy coalitions. Uncovering the rationale determining coalitions is therefore a key undertaking in policy analysis and the advocacy coalition framework (ACF) has been widely applied for this purpose. This article aspires to test several important hypotheses regarding the nature of coordination networks and the formation of coalitions, treating the ACF both as an inspiration and as a framework in need of further refinement. This is done in the context of a complex and conflict-ridden policy subsystem: the Swedish carnivore-management subsystem. The results indicate, firstly, that perceived belief correspondence, and not perceived influence, is the driving mechanism behind coordination; and, secondly, that the catalog of beliefs shared by actors within a coalition is composed by policy core beliefs, in particular, with a more normative content, while no connection between deep core beliefs and coordination is found.","author":[{"dropping-particle":"","family":"Matti","given":"Simon","non-dropping-particle":"","parse-names":false,"suffix":""},{"dropping-particle":"","family":"Sandström","given":"Annica","non-dropping-particle":"","parse-names":false,"suffix":""}],"container-title":"Policy Studies Journal","id":"ITEM-1","issue":"3","issued":{"date-parts":[["2011"]]},"page":"385-410","title":"The rationale determining advocacy coalitions: Examining coordination networks and corresponding beliefs","type":"article-journal","volume":"39"},"uris":["http://www.mendeley.com/documents/?uuid=fb2fa7d4-8358-44e0-918f-bac6047afe6a"]},{"id":"ITEM-2","itemData":{"DOI":"10.1111/j.1541-0072.2011.00416.x","ISBN":"1541-0072","ISSN":"0190292X","abstract":"The Advocacy Coalition Framework (ACF) is a prominent approach to investigate the formation of\\ncoalition and their impact on policy outputs. Although the ACF combines both the network structures\\nof a political process with actors’ values and belief systems, most empirical tests focus mainly on beliefs\\nrather than network structures. Considering a relational approach makes particular sense when one\\nwants to investigate the structural patterns of a subsystem and to assess coalition formation and\\nmaintenance. The author therefore proceeds by taking two steps to study the existence of coalitions,\\npower relations, and policy preferences: first, social network analysis frames the empirical study of\\nnetwork structures, based on the assumption that common beliefs are reflected in relations among actors\\ninvolved in policy processes. Second, using a sophisticated mathematical algorithm, the multicriteria\\nanalysis furnishes a systematic evaluation of the elite’s belief system. This methodological combination\\nconstitutes the added value of this research and allows for testing to establish if common beliefs are\\nreflected in network structures.","author":[{"dropping-particle":"","family":"Ingold","given":"Karin","non-dropping-particle":"","parse-names":false,"suffix":""}],"container-title":"Policy Studies Journal","id":"ITEM-2","issue":"3","issued":{"date-parts":[["2011"]]},"page":"435-459","title":"Network structures within policy processes: Coalitions, power, and brokerage in swiss climate policy","type":"article-journal","volume":"39"},"uris":["http://www.mendeley.com/documents/?uuid=30246895-628b-4322-a354-29922b5268a9"]},{"id":"ITEM-3","itemData":{"author":[{"dropping-particle":"","family":"Jenkins-Smith","given":"Hank C.","non-dropping-particle":"","parse-names":false,"suffix":""},{"dropping-particle":"","family":"Clair","given":"Gilbert K","non-dropping-particle":"St.","parse-names":false,"suffix":""},{"dropping-particle":"","family":"Woods","given":"Brian","non-dropping-particle":"","parse-names":false,"suffix":""}],"container-title":"Political Science","id":"ITEM-3","issue":"4","issued":{"date-parts":[["1991"]]},"page":"851-880","title":"Explaining Change in Policy Subsystems: Analysis of Coalition Stability and Defection over Time","type":"article-journal","volume":"35"},"uris":["http://www.mendeley.com/documents/?uuid=b71ee0a7-1ad4-4bf7-bd54-c3afa17fa861"]},{"id":"ITEM-4","itemData":{"author":[{"dropping-particle":"","family":"Sabatier","given":"Paul A.","non-dropping-particle":"","parse-names":false,"suffix":""}],"container-title":"Framework","id":"ITEM-4","issue":"2","issued":{"date-parts":[["1988"]]},"page":"129-168","title":"An Advocacy Coalition Framework of Policy Change and the Role of Policy-Oriented Learning Therein","type":"article-journal","volume":"21"},"uris":["http://www.mendeley.com/documents/?uuid=eb18909c-9a09-4955-9151-b6eacd1d2591"]}],"mendeley":{"formattedCitation":"(Ingold 2011; Jenkins-Smith, St. Clair, and Woods 1991; Matti and Sandström 2011; P. A. Sabatier 1988)","manualFormatting":"Ingold 2011; Jenkins-Smith, St. Clair, and Woods 1991; Matti and Sandström 2011; Sabatier 1988)","plainTextFormattedCitation":"(Ingold 2011; Jenkins-Smith, St. Clair, and Woods 1991; Matti and Sandström 2011; P. A. Sabatier 1988)","previouslyFormattedCitation":"(Ingold 2011; Jenkins-Smith, St. Clair, and Woods 1991; Matti and Sandström 2011; P. A. Sabatier 1988)"},"properties":{"noteIndex":0},"schema":"https://github.com/citation-style-language/schema/raw/master/csl-citation.json"}</w:instrText>
      </w:r>
      <w:r>
        <w:rPr>
          <w:rFonts w:ascii="Times New Roman" w:hAnsi="Times New Roman" w:cs="Times New Roman"/>
          <w:sz w:val="24"/>
          <w:szCs w:val="24"/>
        </w:rPr>
        <w:fldChar w:fldCharType="separate"/>
      </w:r>
      <w:r w:rsidRPr="0053192C">
        <w:rPr>
          <w:rFonts w:ascii="Times New Roman" w:hAnsi="Times New Roman" w:cs="Times New Roman"/>
          <w:noProof/>
          <w:sz w:val="24"/>
          <w:szCs w:val="24"/>
        </w:rPr>
        <w:t xml:space="preserve">Ingold 2011; Jenkins-Smith, St. Clair, and Woods 1991; </w:t>
      </w:r>
      <w:r>
        <w:rPr>
          <w:rFonts w:ascii="Times New Roman" w:hAnsi="Times New Roman" w:cs="Times New Roman"/>
          <w:noProof/>
          <w:sz w:val="24"/>
          <w:szCs w:val="24"/>
        </w:rPr>
        <w:t xml:space="preserve">Matti and Sandström 2011; </w:t>
      </w:r>
      <w:r w:rsidRPr="0053192C">
        <w:rPr>
          <w:rFonts w:ascii="Times New Roman" w:hAnsi="Times New Roman" w:cs="Times New Roman"/>
          <w:noProof/>
          <w:sz w:val="24"/>
          <w:szCs w:val="24"/>
        </w:rPr>
        <w:t>Sabatier 1988)</w:t>
      </w:r>
      <w:r>
        <w:rPr>
          <w:rFonts w:ascii="Times New Roman" w:hAnsi="Times New Roman" w:cs="Times New Roman"/>
          <w:sz w:val="24"/>
          <w:szCs w:val="24"/>
        </w:rPr>
        <w:fldChar w:fldCharType="end"/>
      </w:r>
      <w:r w:rsidRPr="0005002A">
        <w:rPr>
          <w:rFonts w:ascii="Times New Roman" w:hAnsi="Times New Roman" w:cs="Times New Roman"/>
          <w:sz w:val="24"/>
          <w:szCs w:val="24"/>
        </w:rPr>
        <w:t>.</w:t>
      </w:r>
    </w:p>
    <w:p w14:paraId="698B7FC8" w14:textId="41CCA896" w:rsidR="00756653" w:rsidRDefault="00756653" w:rsidP="007566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space within which these policy actors interact is called the policy subsystem. A policy subsystem is a semi-autonomous network of policy actors, confined by the policy topic and geographic area in which the policy actors make decisions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{"citationItems":[{"id":"ITEM-1","itemData":{"DOI":"10.1177/0164025987008004005","ISBN":"1094-9313","ISSN":"0164-0259","PMID":"16780395","abstract":"There has been a great deal of research in recent years concerning the use of substantive policy analysis in public policymaking. This article seeks to integrate those findings—e.g., the “enlightenment function” of policy research—into a more general model of policymaking over periods of a decade or more. The conceptual framework focuses on the belief systems of advocacy coalitions within policy subsystems as the critical vehicle for understanding the role of policy analysis in policy-oriented learning and the effect, in turn, of such learning on changes in governmental programs","author":[{"dropping-particle":"","family":"Sabatier","given":"Paul A.","non-dropping-particle":"","parse-names":false,"suffix":""}],"container-title":"Knowledge","id":"ITEM-1","issue":"4","issued":{"date-parts":[["1987"]]},"page":"649-692","title":"Knowledge, Policy-Oriented Learning, and Policy Change","type":"article","volume":"8"},"uris":["http://www.mendeley.com/documents/?uuid=007b446d-0434-413e-b5d1-1215890adb97"]},{"id":"ITEM-2","itemData":{"author":[{"dropping-particle":"","family":"Jenkins-Smith","given":"Hank C.","non-dropping-particle":"","parse-names":false,"suffix":""},{"dropping-particle":"","family":"Clair","given":"Gilbert K","non-dropping-particle":"St.","parse-names":false,"suffix":""},{"dropping-particle":"","family":"Woods","given":"Brian","non-dropping-particle":"","parse-names":false,"suffix":""}],"container-title":"Political Science","id":"ITEM-2","issue":"4","issued":{"date-parts":[["1991"]]},"page":"851-880","title":"Explaining Change in Policy Subsystems: Analysis of Coalition Stability and Defection over Time","type":"article-journal","volume":"35"},"uris":["http://www.mendeley.com/documents/?uuid=b71ee0a7-1ad4-4bf7-bd54-c3afa17fa861"]}],"mendeley":{"formattedCitation":"(Jenkins-Smith, St. Clair, and Woods 1991; P. A. Sabatier 1987)","manualFormatting":"(Jenkins-Smith, St. Clair, and Woods 1991; Sabatier 1987)","plainTextFormattedCitation":"(Jenkins-Smith, St. Clair, and Woods 1991; P. A. Sabatier 1987)","previouslyFormattedCitation":"(Jenkins-Smith, St. Clair, and Woods 1991; P. A. Sabatier 1987)"},"properties":{"noteIndex":0},"schema":"https://github.com/citation-style-language/schema/raw/master/csl-citation.json"}</w:instrText>
      </w:r>
      <w:r>
        <w:rPr>
          <w:rFonts w:ascii="Times New Roman" w:hAnsi="Times New Roman" w:cs="Times New Roman"/>
          <w:sz w:val="24"/>
          <w:szCs w:val="24"/>
        </w:rPr>
        <w:fldChar w:fldCharType="separate"/>
      </w:r>
      <w:r w:rsidRPr="00B01D76">
        <w:rPr>
          <w:rFonts w:ascii="Times New Roman" w:hAnsi="Times New Roman" w:cs="Times New Roman"/>
          <w:noProof/>
          <w:sz w:val="24"/>
          <w:szCs w:val="24"/>
        </w:rPr>
        <w:t>(Jenkins-Smith, St. Clair, and Woods 1991; Sabatier 1987)</w:t>
      </w:r>
      <w:r>
        <w:rPr>
          <w:rFonts w:ascii="Times New Roman" w:hAnsi="Times New Roman" w:cs="Times New Roman"/>
          <w:sz w:val="24"/>
          <w:szCs w:val="24"/>
        </w:rPr>
        <w:fldChar w:fldCharType="end"/>
      </w:r>
      <w:r>
        <w:rPr>
          <w:rFonts w:ascii="Times New Roman" w:hAnsi="Times New Roman" w:cs="Times New Roman"/>
          <w:sz w:val="24"/>
          <w:szCs w:val="24"/>
        </w:rPr>
        <w:t xml:space="preserve">. Weible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{"citationItems":[{"id":"ITEM-1","itemData":{"author":[{"dropping-particle":"","family":"Weible","given":"Christopher","non-dropping-particle":"","parse-names":false,"suffix":""}],"container-title":"The policy of studies journal","id":"ITEM-1","issue":"4","issued":{"date-parts":[["2008"]]},"page":"615-635","title":"Expert-Based Information and Policy Subsystems: A Review and Synthesis","type":"article-journal","volume":"36"},"uris":["http://www.mendeley.com/documents/?uuid=1cd0f46c-8650-4691-8607-2e0ce671480a"]}],"mendeley":{"formattedCitation":"(Christopher Weible 2008)","manualFormatting":"(2008)","plainTextFormattedCitation":"(Christopher Weible 2008)","previouslyFormattedCitation":"(Christopher Weible 2008)"},"properties":{"noteIndex":0},"schema":"https://github.com/citation-style-language/schema/raw/master/csl-citation.json"}</w:instrText>
      </w:r>
      <w:r>
        <w:rPr>
          <w:rFonts w:ascii="Times New Roman" w:hAnsi="Times New Roman" w:cs="Times New Roman"/>
          <w:sz w:val="24"/>
          <w:szCs w:val="24"/>
        </w:rPr>
        <w:fldChar w:fldCharType="separate"/>
      </w:r>
      <w:r w:rsidRPr="00B01D76">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identifies three different types of subsystems. Unitary subsystems are composed of only one dominant coalition and are characterized by little conflict. Collaborative subsystems are also characterized by little conflict but include two or more coalitions. The third type, and the focus on this </w:t>
      </w:r>
      <w:r w:rsidR="008C45A5">
        <w:rPr>
          <w:rFonts w:ascii="Times New Roman" w:hAnsi="Times New Roman" w:cs="Times New Roman"/>
          <w:sz w:val="24"/>
          <w:szCs w:val="24"/>
        </w:rPr>
        <w:t>manuscript</w:t>
      </w:r>
      <w:r>
        <w:rPr>
          <w:rFonts w:ascii="Times New Roman" w:hAnsi="Times New Roman" w:cs="Times New Roman"/>
          <w:sz w:val="24"/>
          <w:szCs w:val="24"/>
        </w:rPr>
        <w:t xml:space="preserve">, is adversarial subsystems. These subsystems contain at least two competitive coalitions, with incompatible interests, who employ different discursive strategies. The nature of the policy problem, the degree of divergence in policy beliefs and the variety of available policy solutions define which type of subsystem characterizes the policy process and sets our expectations on how the policy process will unfold over time. For instance, competition over which policy images dominate discourse is more pronounced in adversarial subsystems than in collaborative subsystems because there is not consensus around key aspects of a policy issue. Another illustration of their distinction is in their use of science. Adversarial subsystems use science as a means to distribute technical information </w:t>
      </w:r>
      <w:r>
        <w:rPr>
          <w:rFonts w:ascii="Times New Roman" w:hAnsi="Times New Roman" w:cs="Times New Roman"/>
          <w:sz w:val="24"/>
          <w:szCs w:val="24"/>
        </w:rPr>
        <w:lastRenderedPageBreak/>
        <w:t xml:space="preserve">but may also weaponize it for political ends. This is much less common in collaborative and unitary subsystems. </w:t>
      </w:r>
    </w:p>
    <w:p w14:paraId="27B2109F" w14:textId="7B42E642" w:rsidR="00756653" w:rsidRDefault="00756653" w:rsidP="007566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is not to say that conflict does not exist in unitary or collaborative subsystems. Because of US Constitutional mandates of democratic rulemaking and the existence of a Federalist system, some degree of conflict is expected and even encouraged, regardless of subsystem.</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However, adversarial subsystems, unlike collaborative and unitary subsystems, are characterized by a higher degree of conflict and a lack of trust that can often paralyze the policy process and lead to suboptimal policy outcomes. Referred to as the ‘contagion of conflict’ by Schattschneider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{"citationItems":[{"id":"ITEM-1","itemData":{"author":[{"dropping-particle":"","family":"Schattschneider","given":"Elmer Eric","non-dropping-particle":"","parse-names":false,"suffix":""},{"dropping-particle":"","family":"Adamany","given":"David","non-dropping-particle":"","parse-names":false,"suffix":""}],"id":"ITEM-1","issued":{"date-parts":[["1975"]]},"publisher":"Dryden Press","publisher-place":"Hinsdale","title":"The semisovereign people: A realist's view of democracy in America","type":"book"},"uris":["http://www.mendeley.com/documents/?uuid=1f047134-fcdc-4058-a3a1-61cb6f7b8d51"]}],"mendeley":{"formattedCitation":"(Schattschneider and Adamany 1975)","manualFormatting":"(1975)","plainTextFormattedCitation":"(Schattschneider and Adamany 1975)","previouslyFormattedCitation":"(Schattschneider and Adamany 1975)"},"properties":{"noteIndex":0},"schema":"https://github.com/citation-style-language/schema/raw/master/csl-citation.json"}</w:instrText>
      </w:r>
      <w:r>
        <w:rPr>
          <w:rFonts w:ascii="Times New Roman" w:hAnsi="Times New Roman" w:cs="Times New Roman"/>
          <w:sz w:val="24"/>
          <w:szCs w:val="24"/>
        </w:rPr>
        <w:fldChar w:fldCharType="separate"/>
      </w:r>
      <w:r w:rsidRPr="00E83A1F">
        <w:rPr>
          <w:rFonts w:ascii="Times New Roman" w:hAnsi="Times New Roman" w:cs="Times New Roman"/>
          <w:noProof/>
          <w:sz w:val="24"/>
          <w:szCs w:val="24"/>
        </w:rPr>
        <w:t>(19</w:t>
      </w:r>
      <w:r>
        <w:rPr>
          <w:rFonts w:ascii="Times New Roman" w:hAnsi="Times New Roman" w:cs="Times New Roman"/>
          <w:noProof/>
          <w:sz w:val="24"/>
          <w:szCs w:val="24"/>
        </w:rPr>
        <w:t>75</w:t>
      </w:r>
      <w:r w:rsidRPr="00E83A1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 focus of this </w:t>
      </w:r>
      <w:r w:rsidR="003E7624">
        <w:rPr>
          <w:rFonts w:ascii="Times New Roman" w:hAnsi="Times New Roman" w:cs="Times New Roman"/>
          <w:sz w:val="24"/>
          <w:szCs w:val="24"/>
        </w:rPr>
        <w:t>work on</w:t>
      </w:r>
      <w:r>
        <w:rPr>
          <w:rFonts w:ascii="Times New Roman" w:hAnsi="Times New Roman" w:cs="Times New Roman"/>
          <w:sz w:val="24"/>
          <w:szCs w:val="24"/>
        </w:rPr>
        <w:t xml:space="preserve"> adversarial subsystems </w:t>
      </w:r>
      <w:r w:rsidR="003E7624">
        <w:rPr>
          <w:rFonts w:ascii="Times New Roman" w:hAnsi="Times New Roman" w:cs="Times New Roman"/>
          <w:sz w:val="24"/>
          <w:szCs w:val="24"/>
        </w:rPr>
        <w:t>i</w:t>
      </w:r>
      <w:r>
        <w:rPr>
          <w:rFonts w:ascii="Times New Roman" w:hAnsi="Times New Roman" w:cs="Times New Roman"/>
          <w:sz w:val="24"/>
          <w:szCs w:val="24"/>
        </w:rPr>
        <w:t xml:space="preserve">s part of a larger </w:t>
      </w:r>
      <w:r w:rsidR="003E7624">
        <w:rPr>
          <w:rFonts w:ascii="Times New Roman" w:hAnsi="Times New Roman" w:cs="Times New Roman"/>
          <w:sz w:val="24"/>
          <w:szCs w:val="24"/>
        </w:rPr>
        <w:t>research agenda</w:t>
      </w:r>
      <w:r>
        <w:rPr>
          <w:rFonts w:ascii="Times New Roman" w:hAnsi="Times New Roman" w:cs="Times New Roman"/>
          <w:sz w:val="24"/>
          <w:szCs w:val="24"/>
        </w:rPr>
        <w:t xml:space="preserve"> to better understand how to mitigate conflict, particularly around issues with a ‘natural’ propensity for competition and conflict. </w:t>
      </w:r>
    </w:p>
    <w:p w14:paraId="75346BFD" w14:textId="77777777" w:rsidR="00756653" w:rsidRDefault="00756653" w:rsidP="007566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Policy actors coordinating with other like-minded actors are considered coalition members. When conflict is high, more actors</w:t>
      </w:r>
      <w:r w:rsidRPr="0005002A">
        <w:rPr>
          <w:rFonts w:ascii="Times New Roman" w:hAnsi="Times New Roman" w:cs="Times New Roman"/>
          <w:sz w:val="24"/>
          <w:szCs w:val="24"/>
        </w:rPr>
        <w:t xml:space="preserve"> cluster into competing coalitions that advocate for </w:t>
      </w:r>
      <w:r>
        <w:rPr>
          <w:rFonts w:ascii="Times New Roman" w:hAnsi="Times New Roman" w:cs="Times New Roman"/>
          <w:sz w:val="24"/>
          <w:szCs w:val="24"/>
        </w:rPr>
        <w:t>a limited set of</w:t>
      </w:r>
      <w:r w:rsidRPr="0005002A">
        <w:rPr>
          <w:rFonts w:ascii="Times New Roman" w:hAnsi="Times New Roman" w:cs="Times New Roman"/>
          <w:sz w:val="24"/>
          <w:szCs w:val="24"/>
        </w:rPr>
        <w:t xml:space="preserve"> po</w:t>
      </w:r>
      <w:r>
        <w:rPr>
          <w:rFonts w:ascii="Times New Roman" w:hAnsi="Times New Roman" w:cs="Times New Roman"/>
          <w:sz w:val="24"/>
          <w:szCs w:val="24"/>
        </w:rPr>
        <w:t xml:space="preserve">licy solutions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{"citationItems":[{"id":"ITEM-1","itemData":{"author":[{"dropping-particle":"","family":"Jenkins-Smith","given":"Hank C.","non-dropping-particle":"","parse-names":false,"suffix":""},{"dropping-particle":"","family":"Clair","given":"Gilbert K","non-dropping-particle":"St.","parse-names":false,"suffix":""},{"dropping-particle":"","family":"Woods","given":"Brian","non-dropping-particle":"","parse-names":false,"suffix":""}],"container-title":"Political Science","id":"ITEM-1","issue":"4","issued":{"date-parts":[["1991"]]},"page":"851-880","title":"Explaining Change in Policy Subsystems: Analysis of Coalition Stability and Defection over Time","type":"article-journal","volume":"35"},"uris":["http://www.mendeley.com/documents/?uuid=b71ee0a7-1ad4-4bf7-bd54-c3afa17fa861"]}],"mendeley":{"formattedCitation":"(Jenkins-Smith, St. Clair, and Woods 1991)","manualFormatting":"(Jenkins-Smith, St. Clair, and Woods 1991; Wildavsky 1962)","plainTextFormattedCitation":"(Jenkins-Smith, St. Clair, and Woods 1991)","previouslyFormattedCitation":"(Jenkins-Smith, St. Clair, and Woods 1991)"},"properties":{"noteIndex":0},"schema":"https://github.com/citation-style-language/schema/raw/master/csl-citation.json"}</w:instrText>
      </w:r>
      <w:r>
        <w:rPr>
          <w:rFonts w:ascii="Times New Roman" w:hAnsi="Times New Roman" w:cs="Times New Roman"/>
          <w:sz w:val="24"/>
          <w:szCs w:val="24"/>
        </w:rPr>
        <w:fldChar w:fldCharType="separate"/>
      </w:r>
      <w:r w:rsidRPr="00815627">
        <w:rPr>
          <w:rFonts w:ascii="Times New Roman" w:hAnsi="Times New Roman" w:cs="Times New Roman"/>
          <w:noProof/>
          <w:sz w:val="24"/>
          <w:szCs w:val="24"/>
        </w:rPr>
        <w:t>(Jenkins-Smith, St. Clair, and Woods 1991</w:t>
      </w:r>
      <w:r>
        <w:rPr>
          <w:rFonts w:ascii="Times New Roman" w:hAnsi="Times New Roman" w:cs="Times New Roman"/>
          <w:noProof/>
          <w:sz w:val="24"/>
          <w:szCs w:val="24"/>
        </w:rPr>
        <w:t>; Wildavsky 1962</w:t>
      </w:r>
      <w:r w:rsidRPr="0081562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An advocacy coalition, in adversarial subsystems, has a rival coalition with whom they compete. Discursively, they compete over attention of decision-makers and the public and the meaning of relevant policy images and political symbols. This competition often manifests into sustained conflict when there are few venues of engaging those in opposing coalitions. </w:t>
      </w:r>
    </w:p>
    <w:p w14:paraId="771FCD01" w14:textId="77777777" w:rsidR="00756653" w:rsidRDefault="00756653" w:rsidP="007566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Beliefs are often the ‘glue’ binding coalition members together. Sabatier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{"citationItems":[{"id":"ITEM-1","itemData":{"DOI":"10.1080/13501768880000051","ISBN":"1350-1763","ISSN":"1350-1763","abstract":"The advocacy coalition framework (ACF) has generated considerable interest among European policy scholars. This article summarizes some of the more important findings concerning, and changes to, the ACF since the last major revision in 1993. These include: (1) a much clearer model of the individual; (2) a clearer, more integrated concept of ‘policy subsystem;’ (3) much greater attention to the problematic nature of collective behavior among people who share policy beliefs; and (4) some suggestions concerning methods of ascertaining the existence and membership of advocacy coalitions. The article also briefly addresses the ACF's applicability to parliamentary systems, to the countries of Eastern Europe, and to the dynamic politics of the European Union.","author":[{"dropping-particle":"","family":"Sabatier","given":"Paul a.","non-dropping-particle":"","parse-names":false,"suffix":""}],"container-title":"Journal of European Public Policy","id":"ITEM-1","issue":"1","issued":{"date-parts":[["1998"]]},"page":"98-130","title":"The advocacy coalition framework: revisions and relevance for Europe","type":"article-journal","volume":"5"},"uris":["http://www.mendeley.com/documents/?uuid=dad58c58-7039-4232-9d62-3e824ad2705d"]}],"mendeley":{"formattedCitation":"(P. a. Sabatier 1998)","manualFormatting":"(1998)","plainTextFormattedCitation":"(P. a. Sabatier 1998)","previouslyFormattedCitation":"(P. a. Sabatier 1998)"},"properties":{"noteIndex":0},"schema":"https://github.com/citation-style-language/schema/raw/master/csl-citation.json"}</w:instrText>
      </w:r>
      <w:r>
        <w:rPr>
          <w:rFonts w:ascii="Times New Roman" w:hAnsi="Times New Roman" w:cs="Times New Roman"/>
          <w:sz w:val="24"/>
          <w:szCs w:val="24"/>
        </w:rPr>
        <w:fldChar w:fldCharType="separate"/>
      </w:r>
      <w:r w:rsidRPr="00E83A1F">
        <w:rPr>
          <w:rFonts w:ascii="Times New Roman" w:hAnsi="Times New Roman" w:cs="Times New Roman"/>
          <w:noProof/>
          <w:sz w:val="24"/>
          <w:szCs w:val="24"/>
        </w:rPr>
        <w:t>(1998)</w:t>
      </w:r>
      <w:r>
        <w:rPr>
          <w:rFonts w:ascii="Times New Roman" w:hAnsi="Times New Roman" w:cs="Times New Roman"/>
          <w:sz w:val="24"/>
          <w:szCs w:val="24"/>
        </w:rPr>
        <w:fldChar w:fldCharType="end"/>
      </w:r>
      <w:r>
        <w:rPr>
          <w:rFonts w:ascii="Times New Roman" w:hAnsi="Times New Roman" w:cs="Times New Roman"/>
          <w:sz w:val="24"/>
          <w:szCs w:val="24"/>
        </w:rPr>
        <w:t xml:space="preserve"> organizes these beliefs into a three-tiered model. Deep core beliefs, as the name suggests, refers to beliefs that act as a cognitive foundation; the justification for support or opposition of less abstract ideas </w:t>
      </w:r>
      <w:r>
        <w:rPr>
          <w:rFonts w:ascii="Times New Roman" w:hAnsi="Times New Roman" w:cs="Times New Roman"/>
          <w:sz w:val="24"/>
          <w:szCs w:val="24"/>
        </w:rPr>
        <w:lastRenderedPageBreak/>
        <w:t xml:space="preserve">such as one’s policy positions. These often are conceived as the values and morals that shape our understanding of the real world, our disposition for certain priorities and what is deemed appropriate for government intervention. For example, in shale gas development, those in favor share deep core beliefs related to the importance of resilience while those against share beliefs related to sustainability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{"citationItems":[{"id":"ITEM-1","itemData":{"DOI":"10.5751/ES-09022-220108","ISSN":"17083087","abstract":"Complex energy development, such as associated with extraction and processing of shale gas, may affect the future sustainability and resilience of the small, often rural communities where development occurs. A difficulty for understanding the connection between sustainability, resilience, and shale gas development (hereafter “SGD”) is that definitions of sustainability and resilience are often muddled and unclear. Nevertheless, the ways in which development could affect sustainability and resilience have been discussed and contested in academic literature. Little is known, however, about the general public’s thoughts on how SGD relates to sustainability and resilience. Despite the overlap and conflation of these two concepts, research indicates some differences between characterizations of the two. While acknowledging difficulties in defining the terms, we included questions on a few broad attributes of the two concepts in a survey (n = 1202) of a random sample of residents in the Marcellus Shale region of NY and PA, to explore the relationship between support for / opposition to SGD and perceived importance of community sustainability and resilience. Our survey revealed that beliefs about the importance of sustainability, as measured by three items that clearly pool together as a single factor, are associated with opposition to SGD; beliefs about the importance of resilience, measured by four clearly connected items, are associated with support for SGD. This finding is particularly intriguing and relevant for communication and policy about sustainability and resilience in connection with energy development, because of the common conflation of the two terms.","author":[{"dropping-particle":"","family":"Evensen","given":"Darrick","non-dropping-particle":"","parse-names":false,"suffix":""},{"dropping-particle":"","family":"Stedman","given":"Richard","non-dropping-particle":"","parse-names":false,"suffix":""},{"dropping-particle":"","family":"Brown-Steiner","given":"Benjamin","non-dropping-particle":"","parse-names":false,"suffix":""}],"container-title":"Ecology and Society","id":"ITEM-1","issue":"1","issued":{"date-parts":[["2017"]]},"title":"Resilient but not sustainable? Public perceptions of shale gas development via hydraulic fracturing","type":"article-journal","volume":"22"},"uris":["http://www.mendeley.com/documents/?uuid=401ba1d3-c756-4ffa-afc7-feed4d21cc10"]}],"mendeley":{"formattedCitation":"(Evensen, Stedman, and Brown-Steiner 2017)","plainTextFormattedCitation":"(Evensen, Stedman, and Brown-Steiner 2017)","previouslyFormattedCitation":"(Evensen, Stedman, and Brown-Steiner 2017)"},"properties":{"noteIndex":0},"schema":"https://github.com/citation-style-language/schema/raw/master/csl-citation.json"}</w:instrText>
      </w:r>
      <w:r>
        <w:rPr>
          <w:rFonts w:ascii="Times New Roman" w:hAnsi="Times New Roman" w:cs="Times New Roman"/>
          <w:sz w:val="24"/>
          <w:szCs w:val="24"/>
        </w:rPr>
        <w:fldChar w:fldCharType="separate"/>
      </w:r>
      <w:r w:rsidRPr="00E83A1F">
        <w:rPr>
          <w:rFonts w:ascii="Times New Roman" w:hAnsi="Times New Roman" w:cs="Times New Roman"/>
          <w:noProof/>
          <w:sz w:val="24"/>
          <w:szCs w:val="24"/>
        </w:rPr>
        <w:t>(Evensen, Stedman, and Brown-Steiner 2017)</w:t>
      </w:r>
      <w:r>
        <w:rPr>
          <w:rFonts w:ascii="Times New Roman" w:hAnsi="Times New Roman" w:cs="Times New Roman"/>
          <w:sz w:val="24"/>
          <w:szCs w:val="24"/>
        </w:rPr>
        <w:fldChar w:fldCharType="end"/>
      </w:r>
      <w:r>
        <w:rPr>
          <w:rFonts w:ascii="Times New Roman" w:hAnsi="Times New Roman" w:cs="Times New Roman"/>
          <w:sz w:val="24"/>
          <w:szCs w:val="24"/>
        </w:rPr>
        <w:t xml:space="preserve">. This has implications for the types of policy positions one would find appropriate and/or realistic. </w:t>
      </w:r>
    </w:p>
    <w:p w14:paraId="1A08A88F" w14:textId="77777777" w:rsidR="00756653" w:rsidRDefault="00756653" w:rsidP="007566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Coming down one level of abstraction, the ACF argues that coalition members are aligned mainly by their policy core beliefs. That is, they largely agree on whether or not government intervention is justified and generally agree on how the problem should be defined. For example, a policy core belief of those opposing unconventional oil and gas development would be that the practice should be significantly reduced. Those in favor of unconventional oil and gas, on the other hand, believes that the practice should be expanded if economically viable. </w:t>
      </w:r>
    </w:p>
    <w:p w14:paraId="33BC1D51" w14:textId="77777777" w:rsidR="00033003" w:rsidRPr="008A2BE8" w:rsidRDefault="00033003" w:rsidP="00033003">
      <w:pPr>
        <w:pStyle w:val="Heading1"/>
        <w:jc w:val="center"/>
        <w:rPr>
          <w:rFonts w:ascii="Times New Roman" w:hAnsi="Times New Roman" w:cs="Times New Roman"/>
          <w:b/>
          <w:bCs/>
          <w:color w:val="auto"/>
          <w:sz w:val="24"/>
          <w:szCs w:val="24"/>
        </w:rPr>
      </w:pPr>
      <w:bookmarkStart w:id="4" w:name="_Toc46917856"/>
      <w:r w:rsidRPr="008A2BE8">
        <w:rPr>
          <w:rFonts w:ascii="Times New Roman" w:hAnsi="Times New Roman" w:cs="Times New Roman"/>
          <w:b/>
          <w:bCs/>
          <w:color w:val="auto"/>
          <w:sz w:val="24"/>
          <w:szCs w:val="24"/>
        </w:rPr>
        <w:t>Participation in a Discursive Venue</w:t>
      </w:r>
    </w:p>
    <w:p w14:paraId="52BD8284" w14:textId="77777777" w:rsidR="00033003" w:rsidRDefault="00033003" w:rsidP="000330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Policy preferences of actors develop through rationalized links to policy core beliefs. Policy preferences, as a manifestation of policy core beliefs, are stable over time. One explanation for the intractable nature of policy preferences is that people are stubborn and view shifts in preferences as exhibiting vulnerability. Another explanation is that the beliefs are based on a conception of reality that runs deep in the human psyche. Underlying beliefs are rational linkages, consciously and unconsciously, to values and a moral code. To see major shifts in deep core beliefs, it is assumed that it would require a major fundamental shift in the values and morals that drive an individual’s behavior. </w:t>
      </w:r>
    </w:p>
    <w:p w14:paraId="4B44F6D7" w14:textId="77777777" w:rsidR="00033003" w:rsidRDefault="00033003" w:rsidP="00033003">
      <w:pPr>
        <w:spacing w:after="0" w:line="480" w:lineRule="auto"/>
        <w:ind w:firstLine="720"/>
        <w:rPr>
          <w:rFonts w:ascii="Times New Roman" w:hAnsi="Times New Roman" w:cs="Times New Roman"/>
          <w:sz w:val="24"/>
          <w:szCs w:val="24"/>
        </w:rPr>
      </w:pPr>
      <w:r w:rsidRPr="00D7293A">
        <w:rPr>
          <w:rFonts w:ascii="Times New Roman" w:hAnsi="Times New Roman" w:cs="Times New Roman"/>
          <w:sz w:val="24"/>
          <w:szCs w:val="24"/>
        </w:rPr>
        <w:t xml:space="preserve">When they express policy preferences, </w:t>
      </w:r>
      <w:r>
        <w:rPr>
          <w:rFonts w:ascii="Times New Roman" w:hAnsi="Times New Roman" w:cs="Times New Roman"/>
          <w:sz w:val="24"/>
          <w:szCs w:val="24"/>
        </w:rPr>
        <w:t xml:space="preserve">political </w:t>
      </w:r>
      <w:r w:rsidRPr="00D7293A">
        <w:rPr>
          <w:rFonts w:ascii="Times New Roman" w:hAnsi="Times New Roman" w:cs="Times New Roman"/>
          <w:sz w:val="24"/>
          <w:szCs w:val="24"/>
        </w:rPr>
        <w:t xml:space="preserve">organizations and individuals make conscious decisions about how and where they see their preferences most favorable to shaping </w:t>
      </w:r>
      <w:r w:rsidRPr="00D7293A">
        <w:rPr>
          <w:rFonts w:ascii="Times New Roman" w:hAnsi="Times New Roman" w:cs="Times New Roman"/>
          <w:sz w:val="24"/>
          <w:szCs w:val="24"/>
        </w:rPr>
        <w:lastRenderedPageBreak/>
        <w:t xml:space="preserve">public opinion, the policy agenda, or a policy outcome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{"citationItems":[{"id":"ITEM-1","itemData":{"author":[{"dropping-particle":"","family":"Baumgartner","given":"Frank R.","non-dropping-particle":"","parse-names":false,"suffix":""},{"dropping-particle":"","family":"Jones","given":"Bryan D.","non-dropping-particle":"","parse-names":false,"suffix":""}],"id":"ITEM-1","issued":{"date-parts":[["1993"]]},"title":"Agendas and instability in American politics","type":"book"},"uris":["http://www.mendeley.com/documents/?uuid=78bb5aa3-9f14-4489-9e18-569453831b74"]}],"mendeley":{"formattedCitation":"(Baumgartner and Jones 1993)","plainTextFormattedCitation":"(Baumgartner and Jones 1993)","previouslyFormattedCitation":"(Baumgartner and Jones 1993)"},"properties":{"noteIndex":0},"schema":"https://github.com/citation-style-language/schema/raw/master/csl-citation.json"}</w:instrText>
      </w:r>
      <w:r>
        <w:rPr>
          <w:rFonts w:ascii="Times New Roman" w:hAnsi="Times New Roman" w:cs="Times New Roman"/>
          <w:sz w:val="24"/>
          <w:szCs w:val="24"/>
        </w:rPr>
        <w:fldChar w:fldCharType="separate"/>
      </w:r>
      <w:r w:rsidRPr="00EF2AFA">
        <w:rPr>
          <w:rFonts w:ascii="Times New Roman" w:hAnsi="Times New Roman" w:cs="Times New Roman"/>
          <w:noProof/>
          <w:sz w:val="24"/>
          <w:szCs w:val="24"/>
        </w:rPr>
        <w:t>(Baumgartner and Jones 1993)</w:t>
      </w:r>
      <w:r>
        <w:rPr>
          <w:rFonts w:ascii="Times New Roman" w:hAnsi="Times New Roman" w:cs="Times New Roman"/>
          <w:sz w:val="24"/>
          <w:szCs w:val="24"/>
        </w:rPr>
        <w:fldChar w:fldCharType="end"/>
      </w:r>
      <w:r w:rsidRPr="00D7293A">
        <w:rPr>
          <w:rFonts w:ascii="Times New Roman" w:hAnsi="Times New Roman" w:cs="Times New Roman"/>
          <w:sz w:val="24"/>
          <w:szCs w:val="24"/>
        </w:rPr>
        <w:t xml:space="preserve">. </w:t>
      </w:r>
      <w:r>
        <w:rPr>
          <w:rFonts w:ascii="Times New Roman" w:hAnsi="Times New Roman" w:cs="Times New Roman"/>
          <w:sz w:val="24"/>
          <w:szCs w:val="24"/>
        </w:rPr>
        <w:t xml:space="preserve">In the ACF, along with other policy process theories, such opportunities are referred to as venues and they are integral parts of strategy development within many subsystems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{"citationItems":[{"id":"ITEM-1","itemData":{"DOI":"10.1017/S0143814X03003118","ISSN":"0143814X","abstract":"A key component of any political strategy is finding a decision setting that offers the best prospects for reaching one's policy goals, an activity referred to as venue shopping. This article supports the theory of venue shopping as laid out in Baumgartner and Jones (1993), but presents a more complicated analysis of its practice than most empirical studies to date. First, venue shopping can be more experimental, and less deliberate or calculated, than is commonly perceived. Second, advocacy groups choose venues not only to advance substantive policy goals but also to serve organizational needs and identities. Finally, venue choice is shaped by policy learning. Advocacy groups choose venues not only for short-term strategic reasons, but also because they have embraced a new understanding of the nature of a policy problem. These factors shape the frequency of venue shopping and thus the pace of policy reform.","author":[{"dropping-particle":"","family":"Pralle","given":"Sarah B.","non-dropping-particle":"","parse-names":false,"suffix":""}],"container-title":"Journal of Public Policy","id":"ITEM-1","issue":"3","issued":{"date-parts":[["2003"]]},"page":"233-260","publisher":"UCD Health Sciences Library","title":"Venue shopping, political strategy, and policy change: The internationalization of Canadian Forest Advocacy","type":"article-journal","volume":"23"},"uris":["http://www.mendeley.com/documents/?uuid=0a4fc837-c97d-4eef-9e45-317ec2fddd6f"]}],"mendeley":{"formattedCitation":"(Pralle 2003)","plainTextFormattedCitation":"(Pralle 2003)","previouslyFormattedCitation":"(Pralle 2003)"},"properties":{"noteIndex":0},"schema":"https://github.com/citation-style-language/schema/raw/master/csl-citation.json"}</w:instrText>
      </w:r>
      <w:r>
        <w:rPr>
          <w:rFonts w:ascii="Times New Roman" w:hAnsi="Times New Roman" w:cs="Times New Roman"/>
          <w:sz w:val="24"/>
          <w:szCs w:val="24"/>
        </w:rPr>
        <w:fldChar w:fldCharType="separate"/>
      </w:r>
      <w:r w:rsidRPr="00EF2AFA">
        <w:rPr>
          <w:rFonts w:ascii="Times New Roman" w:hAnsi="Times New Roman" w:cs="Times New Roman"/>
          <w:noProof/>
          <w:sz w:val="24"/>
          <w:szCs w:val="24"/>
        </w:rPr>
        <w:t>(Pralle 2003)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{"citationItems":[{"id":"ITEM-1","itemData":{"author":[{"dropping-particle":"","family":"Baumgartner","given":"Frank R.","non-dropping-particle":"","parse-names":false,"suffix":""}],"id":"ITEM-1","issued":{"date-parts":[["1989"]]},"publisher":"University of Pittsburgh Press.","publisher-place":"Pittsburgh","title":"Conflict and Rhetoric in French Policymaking","type":"book"},"uris":["http://www.mendeley.com/documents/?uuid=67652d89-1742-4979-8581-e9fac49c1992"]},{"id":"ITEM-2","itemData":{"author":[{"dropping-particle":"","family":"Wilson","given":"Carter","non-dropping-particle":"","parse-names":false,"suffix":""}],"id":"ITEM-2","issue":"3","issued":{"date-parts":[["2000"]]},"page":"247-274","title":"Policy Regimes and Policy Change","type":"article-journal","volume":"20"},"uris":["http://www.mendeley.com/documents/?uuid=e6629028-792f-4bac-984c-5e147c28a353"]},{"id":"ITEM-3","itemData":{"ISBN":"0813316499","abstract":"Policy change over a decade or more -- Dynamics of policy-oriented learning -- Advocacy coalition approach to change in Canadian education -- Competing advocacy coalitions, policy evolution, and airline deregulation -- California water politics -- Managing technological change in federal communications policy -- Politics of offshore energy -- From vague consensus to clearly differentiated coalitions : environmental policy at Lake Tahoe, 1964-1985.","author":[{"dropping-particle":"","family":"Sabatier","given":"Paul A.","non-dropping-particle":"","parse-names":false,"suffix":""},{"dropping-particle":"","family":"Jenkins-Smith","given":"Hank C.","non-dropping-particle":"","parse-names":false,"suffix":""}],"id":"ITEM-3","issued":{"date-parts":[["1993"]]},"number-of-pages":"290","publisher":"Westview Press","title":"Policy change and learning : an advocacy coalition approach","type":"book"},"uris":["http://www.mendeley.com/documents/?uuid=cbe0d789-d982-3b49-867a-1dd5123b0e02"]}],"mendeley":{"formattedCitation":"(Baumgartner 1989; P. A. Sabatier and Jenkins-Smith 1993; Wilson 2000)","plainTextFormattedCitation":"(Baumgartner 1989; P. A. Sabatier and Jenkins-Smith 1993; Wilson 2000)","previouslyFormattedCitation":"(Baumgartner 1989; P. A. Sabatier and Jenkins-Smith 1993; Wilson 2000)"},"properties":{"noteIndex":0},"schema":"https://github.com/citation-style-language/schema/raw/master/csl-citation.json"}</w:instrText>
      </w:r>
      <w:r>
        <w:rPr>
          <w:rFonts w:ascii="Times New Roman" w:hAnsi="Times New Roman" w:cs="Times New Roman"/>
          <w:sz w:val="24"/>
          <w:szCs w:val="24"/>
        </w:rPr>
        <w:fldChar w:fldCharType="separate"/>
      </w:r>
      <w:r w:rsidRPr="00E65541">
        <w:rPr>
          <w:rFonts w:ascii="Times New Roman" w:hAnsi="Times New Roman" w:cs="Times New Roman"/>
          <w:noProof/>
          <w:sz w:val="24"/>
          <w:szCs w:val="24"/>
        </w:rPr>
        <w:t>(Baumgartner 1989; P. A. Sabatier and Jenkins-Smith 1993; Wilson 2000)</w:t>
      </w:r>
      <w:r>
        <w:rPr>
          <w:rFonts w:ascii="Times New Roman" w:hAnsi="Times New Roman" w:cs="Times New Roman"/>
          <w:sz w:val="24"/>
          <w:szCs w:val="24"/>
        </w:rPr>
        <w:fldChar w:fldCharType="end"/>
      </w:r>
      <w:r>
        <w:rPr>
          <w:rFonts w:ascii="Times New Roman" w:hAnsi="Times New Roman" w:cs="Times New Roman"/>
          <w:sz w:val="24"/>
          <w:szCs w:val="24"/>
        </w:rPr>
        <w:t xml:space="preserve">. Choosing which venues to engage is called venue shopping. </w:t>
      </w:r>
      <w:r w:rsidRPr="00047444">
        <w:rPr>
          <w:rFonts w:ascii="Times New Roman" w:hAnsi="Times New Roman" w:cs="Times New Roman"/>
          <w:sz w:val="24"/>
          <w:szCs w:val="24"/>
        </w:rPr>
        <w:t>Coalition members will look for a space that offers the best prospects for reaching policy goals, to air grievances about policy status quo</w:t>
      </w:r>
      <w:r>
        <w:rPr>
          <w:rFonts w:ascii="Times New Roman" w:hAnsi="Times New Roman" w:cs="Times New Roman"/>
          <w:sz w:val="24"/>
          <w:szCs w:val="24"/>
        </w:rPr>
        <w:t>,</w:t>
      </w:r>
      <w:r w:rsidRPr="00047444">
        <w:rPr>
          <w:rFonts w:ascii="Times New Roman" w:hAnsi="Times New Roman" w:cs="Times New Roman"/>
          <w:sz w:val="24"/>
          <w:szCs w:val="24"/>
        </w:rPr>
        <w:t xml:space="preserve"> and present policy alternatives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{"citationItems":[{"id":"ITEM-1","itemData":{"DOI":"10.1017/S0143814X03003118","ISSN":"0143814X","abstract":"A key component of any political strategy is finding a decision setting that offers the best prospects for reaching one's policy goals, an activity referred to as venue shopping. This article supports the theory of venue shopping as laid out in Baumgartner and Jones (1993), but presents a more complicated analysis of its practice than most empirical studies to date. First, venue shopping can be more experimental, and less deliberate or calculated, than is commonly perceived. Second, advocacy groups choose venues not only to advance substantive policy goals but also to serve organizational needs and identities. Finally, venue choice is shaped by policy learning. Advocacy groups choose venues not only for short-term strategic reasons, but also because they have embraced a new understanding of the nature of a policy problem. These factors shape the frequency of venue shopping and thus the pace of policy reform.","author":[{"dropping-particle":"","family":"Pralle","given":"Sarah B.","non-dropping-particle":"","parse-names":false,"suffix":""}],"container-title":"Journal of Public Policy","id":"ITEM-1","issue":"3","issued":{"date-parts":[["2003"]]},"page":"233-260","publisher":"UCD Health Sciences Library","title":"Venue shopping, political strategy, and policy change: The internationalization of Canadian Forest Advocacy","type":"article-journal","volume":"23"},"uris":["http://www.mendeley.com/documents/?uuid=0a4fc837-c97d-4eef-9e45-317ec2fddd6f"]}],"mendeley":{"formattedCitation":"(Pralle 2003)","plainTextFormattedCitation":"(Pralle 2003)","previouslyFormattedCitation":"(Pralle 2003)"},"properties":{"noteIndex":0},"schema":"https://github.com/citation-style-language/schema/raw/master/csl-citation.json"}</w:instrText>
      </w:r>
      <w:r>
        <w:rPr>
          <w:rFonts w:ascii="Times New Roman" w:hAnsi="Times New Roman" w:cs="Times New Roman"/>
          <w:sz w:val="24"/>
          <w:szCs w:val="24"/>
        </w:rPr>
        <w:fldChar w:fldCharType="separate"/>
      </w:r>
      <w:r w:rsidRPr="00E65541">
        <w:rPr>
          <w:rFonts w:ascii="Times New Roman" w:hAnsi="Times New Roman" w:cs="Times New Roman"/>
          <w:noProof/>
          <w:sz w:val="24"/>
          <w:szCs w:val="24"/>
        </w:rPr>
        <w:t>(Pralle 2003)</w:t>
      </w:r>
      <w:r>
        <w:rPr>
          <w:rFonts w:ascii="Times New Roman" w:hAnsi="Times New Roman" w:cs="Times New Roman"/>
          <w:sz w:val="24"/>
          <w:szCs w:val="24"/>
        </w:rPr>
        <w:fldChar w:fldCharType="end"/>
      </w:r>
      <w:r w:rsidRPr="00047444">
        <w:rPr>
          <w:rFonts w:ascii="Times New Roman" w:hAnsi="Times New Roman" w:cs="Times New Roman"/>
          <w:sz w:val="24"/>
          <w:szCs w:val="24"/>
        </w:rPr>
        <w:t>.</w:t>
      </w:r>
      <w:r>
        <w:rPr>
          <w:rFonts w:ascii="Times New Roman" w:hAnsi="Times New Roman" w:cs="Times New Roman"/>
          <w:sz w:val="24"/>
          <w:szCs w:val="24"/>
        </w:rPr>
        <w:t xml:space="preserve"> The ACF identifies decision-making venues where policy decisions are made by policy elite. Decision-making venues include city council meetings, legislative sessions, and regulatory processes. </w:t>
      </w:r>
    </w:p>
    <w:p w14:paraId="2FBE7DBC" w14:textId="487DEDEB" w:rsidR="00033003" w:rsidRDefault="00033003" w:rsidP="000330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Coalition members will choose venues based on favorable rules of engagement or the alignment of an agency’s mission with that of a given interest group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{"citationItems":[{"id":"ITEM-1","itemData":{"author":[{"dropping-particle":"","family":"Baumgartner","given":"Frank R.","non-dropping-particle":"","parse-names":false,"suffix":""},{"dropping-particle":"","family":"Jones","given":"Bryan D.","non-dropping-particle":"","parse-names":false,"suffix":""}],"id":"ITEM-1","issued":{"date-parts":[["1993"]]},"title":"Agendas and instability in American politics","type":"book"},"uris":["http://www.mendeley.com/documents/?uuid=78bb5aa3-9f14-4489-9e18-569453831b74"]},{"id":"ITEM-2","itemData":{"DOI":"10.1177/0160323X11428620","ISSN":"0160-323X","abstract":"This article explores how advocacy organizations strategically select one or more venues for lobbying in a government system that provides multiple access points to state and local lawmakers. Advocates unable to make headway at the state level may refocus their efforts locally, convincing lawmakers in hitherto uninvolved venues to take-up an issue. The data used to test venue shopping hypotheses comes from a survey of charter school advocacy at state and local levels in three states. While ideological congruence between lawmakers and advocates matters, it also turns out that most advocates are also drawn to any venue actively working on an issue. Advocacy resources also limit the number of venues targeted and that implementing venues are chosen when they can be pressured by elected officials who support an advocate’s policy preferences.","author":[{"dropping-particle":"","family":"Holyoke","given":"T. T.","non-dropping-particle":"","parse-names":false,"suffix":""},{"dropping-particle":"","family":"Brown","given":"H.","non-dropping-particle":"","parse-names":false,"suffix":""},{"dropping-particle":"","family":"Henig","given":"J. R.","non-dropping-particle":"","parse-names":false,"suffix":""}],"container-title":"State and Local Government Review","id":"ITEM-2","issue":"1","issued":{"date-parts":[["2012"]]},"page":"9-20","title":"Shopping in the Political Arena: Strategic State and Local Venue Selection by Advocates","type":"article-journal","volume":"44"},"uris":["http://www.mendeley.com/documents/?uuid=ae116ccd-6ea5-4553-8259-ff45c5faff33"]}],"mendeley":{"formattedCitation":"(Baumgartner and Jones 1993; Holyoke, Brown, and Henig 2012)","plainTextFormattedCitation":"(Baumgartner and Jones 1993; Holyoke, Brown, and Henig 2012)","previouslyFormattedCitation":"(Baumgartner and Jones 1993; Holyoke, Brown, and Henig 2012)"},"properties":{"noteIndex":0},"schema":"https://github.com/citation-style-language/schema/raw/master/csl-citation.json"}</w:instrText>
      </w:r>
      <w:r>
        <w:rPr>
          <w:rFonts w:ascii="Times New Roman" w:hAnsi="Times New Roman" w:cs="Times New Roman"/>
          <w:sz w:val="24"/>
          <w:szCs w:val="24"/>
        </w:rPr>
        <w:fldChar w:fldCharType="separate"/>
      </w:r>
      <w:r w:rsidRPr="00E65541">
        <w:rPr>
          <w:rFonts w:ascii="Times New Roman" w:hAnsi="Times New Roman" w:cs="Times New Roman"/>
          <w:noProof/>
          <w:sz w:val="24"/>
          <w:szCs w:val="24"/>
        </w:rPr>
        <w:t>(Baumgartner and Jones 1993; Holyoke, Brown, and Henig 2012)</w:t>
      </w:r>
      <w:r>
        <w:rPr>
          <w:rFonts w:ascii="Times New Roman" w:hAnsi="Times New Roman" w:cs="Times New Roman"/>
          <w:sz w:val="24"/>
          <w:szCs w:val="24"/>
        </w:rPr>
        <w:fldChar w:fldCharType="end"/>
      </w:r>
      <w:r>
        <w:rPr>
          <w:rFonts w:ascii="Times New Roman" w:hAnsi="Times New Roman" w:cs="Times New Roman"/>
          <w:sz w:val="24"/>
          <w:szCs w:val="24"/>
        </w:rPr>
        <w:t>. However, some coalition members find themselves shut out of traditional decision-making venues altogether and must find different ways of influencing the policy process.</w:t>
      </w:r>
      <w:r w:rsidRPr="00047444">
        <w:rPr>
          <w:rFonts w:ascii="Times New Roman" w:hAnsi="Times New Roman" w:cs="Times New Roman"/>
          <w:sz w:val="24"/>
          <w:szCs w:val="24"/>
        </w:rPr>
        <w:t xml:space="preserve"> </w:t>
      </w:r>
      <w:r>
        <w:rPr>
          <w:rFonts w:ascii="Times New Roman" w:hAnsi="Times New Roman" w:cs="Times New Roman"/>
          <w:sz w:val="24"/>
          <w:szCs w:val="24"/>
        </w:rPr>
        <w:t xml:space="preserve">Outside strategies available through discursive venues are utilized instead. While they are often not linked to direct levers of power, discursive venues can indirectly influence the policy agenda by giving attention to a policy solution and/or problem. Coalition members with access to traditional decision-making venues are also present in these venues. One central goal of such strategies is to shape the views of incumbents holding various policy positions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10.1057/978-1-137-59574-4","ISBN":"9781137595744","author":[{"dropping-particle":"","family":"Nohrstedt","given":"Daniel","non-dropping-particle":"","parse-names":false,"suffix":""},{"dropping-particle":"","family":"Olofsson","given":"Kristin","non-dropping-particle":"","parse-names":false,"suffix":""}],"id":"ITEM-1","issued":{"date-parts":[["2020"]]},"page":"147-175","title":"Advocacy Coalition Politics and Strategies on Hydraulic Fracturing in Sweden","type":"article-journal"},"uris":["http://www.mendeley.com/documents/?uuid=5b6d59a3-2564-4a64-8a4d-0ba116164651"]}],"mendeley":{"formattedCitation":"(Nohrstedt and Olofsson 2020)","plainTextFormattedCitation":"(Nohrstedt and Olofsson 2020)","previouslyFormattedCitation":"(Nohrstedt and Olofsson 2020)"},"properties":{"noteIndex":0},"schema":"https://github.com/citation-style-language/schema/raw/master/csl-citation.json"}</w:instrText>
      </w:r>
      <w:r>
        <w:rPr>
          <w:rFonts w:ascii="Times New Roman" w:hAnsi="Times New Roman" w:cs="Times New Roman"/>
          <w:sz w:val="24"/>
          <w:szCs w:val="24"/>
        </w:rPr>
        <w:fldChar w:fldCharType="separate"/>
      </w:r>
      <w:r w:rsidRPr="00E65541">
        <w:rPr>
          <w:rFonts w:ascii="Times New Roman" w:hAnsi="Times New Roman" w:cs="Times New Roman"/>
          <w:noProof/>
          <w:sz w:val="24"/>
          <w:szCs w:val="24"/>
        </w:rPr>
        <w:t>(Nohrstedt and Olofsson 2020)</w:t>
      </w:r>
      <w:r>
        <w:rPr>
          <w:rFonts w:ascii="Times New Roman" w:hAnsi="Times New Roman" w:cs="Times New Roman"/>
          <w:sz w:val="24"/>
          <w:szCs w:val="24"/>
        </w:rPr>
        <w:fldChar w:fldCharType="end"/>
      </w:r>
      <w:r>
        <w:rPr>
          <w:rFonts w:ascii="Times New Roman" w:hAnsi="Times New Roman" w:cs="Times New Roman"/>
          <w:sz w:val="24"/>
          <w:szCs w:val="24"/>
        </w:rPr>
        <w:t xml:space="preserve">. The participation of a broader set of coalition members in discursive venues, with and without access to traditional venues, has the potential to shape how the problem is defined or the menu of legitimate policy solutions by those active in decision-making venues. </w:t>
      </w:r>
    </w:p>
    <w:p w14:paraId="5484644E" w14:textId="77777777" w:rsidR="00457999" w:rsidRPr="009C6247" w:rsidRDefault="00457999" w:rsidP="00457999">
      <w:pPr>
        <w:pStyle w:val="Heading1"/>
        <w:jc w:val="center"/>
        <w:rPr>
          <w:rFonts w:ascii="Times New Roman" w:hAnsi="Times New Roman" w:cs="Times New Roman"/>
          <w:b/>
          <w:bCs/>
          <w:color w:val="auto"/>
          <w:sz w:val="24"/>
          <w:szCs w:val="24"/>
        </w:rPr>
      </w:pPr>
      <w:bookmarkStart w:id="5" w:name="_Toc46917846"/>
      <w:r w:rsidRPr="009C6247">
        <w:rPr>
          <w:rFonts w:ascii="Times New Roman" w:hAnsi="Times New Roman" w:cs="Times New Roman"/>
          <w:b/>
          <w:bCs/>
          <w:color w:val="auto"/>
          <w:sz w:val="24"/>
          <w:szCs w:val="24"/>
        </w:rPr>
        <w:lastRenderedPageBreak/>
        <w:t>Political Participation in</w:t>
      </w:r>
      <w:r>
        <w:rPr>
          <w:rFonts w:ascii="Times New Roman" w:hAnsi="Times New Roman" w:cs="Times New Roman"/>
          <w:b/>
          <w:bCs/>
          <w:color w:val="auto"/>
          <w:sz w:val="24"/>
          <w:szCs w:val="24"/>
        </w:rPr>
        <w:t xml:space="preserve"> Online</w:t>
      </w:r>
      <w:r w:rsidRPr="009C6247">
        <w:rPr>
          <w:rFonts w:ascii="Times New Roman" w:hAnsi="Times New Roman" w:cs="Times New Roman"/>
          <w:b/>
          <w:bCs/>
          <w:color w:val="auto"/>
          <w:sz w:val="24"/>
          <w:szCs w:val="24"/>
        </w:rPr>
        <w:t xml:space="preserve"> Discursive Venues</w:t>
      </w:r>
      <w:bookmarkEnd w:id="5"/>
    </w:p>
    <w:p w14:paraId="09A78DB1" w14:textId="5D6DCB85" w:rsidR="00457999" w:rsidRDefault="003E7624" w:rsidP="004579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457999">
        <w:rPr>
          <w:rFonts w:ascii="Times New Roman" w:hAnsi="Times New Roman" w:cs="Times New Roman"/>
          <w:sz w:val="24"/>
          <w:szCs w:val="24"/>
        </w:rPr>
        <w:t xml:space="preserve">transmission of information </w:t>
      </w:r>
      <w:r>
        <w:rPr>
          <w:rFonts w:ascii="Times New Roman" w:hAnsi="Times New Roman" w:cs="Times New Roman"/>
          <w:sz w:val="24"/>
          <w:szCs w:val="24"/>
        </w:rPr>
        <w:t>is</w:t>
      </w:r>
      <w:r w:rsidR="00457999">
        <w:rPr>
          <w:rFonts w:ascii="Times New Roman" w:hAnsi="Times New Roman" w:cs="Times New Roman"/>
          <w:sz w:val="24"/>
          <w:szCs w:val="24"/>
        </w:rPr>
        <w:t xml:space="preserve"> particularly relevant to studies of participation as a basic level of knowledge is a prerequisite to engage in collective action through coalitions and employ coordinated discursive strategies. Different types of online political participation are utilized by different groups. Ideology, age, and socio-economic status are associated with divergence of participatory methods. The youth </w:t>
      </w:r>
      <w:r w:rsidR="00364F1D">
        <w:rPr>
          <w:rFonts w:ascii="Times New Roman" w:hAnsi="Times New Roman" w:cs="Times New Roman"/>
          <w:sz w:val="24"/>
          <w:szCs w:val="24"/>
        </w:rPr>
        <w:t>use social networking sites (SNS)</w:t>
      </w:r>
      <w:r w:rsidR="00457999">
        <w:rPr>
          <w:rFonts w:ascii="Times New Roman" w:hAnsi="Times New Roman" w:cs="Times New Roman"/>
          <w:sz w:val="24"/>
          <w:szCs w:val="24"/>
        </w:rPr>
        <w:t xml:space="preserve"> more than other age group leading up to the 2008 US election </w:t>
      </w:r>
      <w:r w:rsidR="00457999">
        <w:rPr>
          <w:rFonts w:ascii="Times New Roman" w:hAnsi="Times New Roman" w:cs="Times New Roman"/>
          <w:sz w:val="24"/>
          <w:szCs w:val="24"/>
        </w:rPr>
        <w:fldChar w:fldCharType="begin" w:fldLock="1"/>
      </w:r>
      <w:r w:rsidR="00457999">
        <w:rPr>
          <w:rFonts w:ascii="Times New Roman" w:hAnsi="Times New Roman" w:cs="Times New Roman"/>
          <w:sz w:val="24"/>
          <w:szCs w:val="24"/>
        </w:rPr>
        <w:instrText>ADDIN CSL_CITATION {"citationItems":[{"id":"ITEM-1","itemData":{"DOI":"10.1111/jcc4.12048","ISSN":"10836101","abstract":"Social networking sites (SNS) currently boast more than half a billion active users worldwide, the majority of which are young people. With notable exceptions, few studies have ventured into the growing political realm that exists on these sites. This study expands research on SNS by examining both what encourages people to express themselves politically in this realm, and what effects such expression may have on classic questions of political participation. We test the proposition that political use of SNS among teens offers a new pathway to their political participation using hierarchical linear regression and panel data analysis. Results demonstrate that political SNS use strongly impacted both levels of and growth in traditional political participation during the 2008 election. © 2013 International Communication Association.","author":[{"dropping-particle":"","family":"Bode","given":"Leticia","non-dropping-particle":"","parse-names":false,"suffix":""},{"dropping-particle":"","family":"Vraga","given":"Emily K.","non-dropping-particle":"","parse-names":false,"suffix":""},{"dropping-particle":"","family":"Borah","given":"Porismita","non-dropping-particle":"","parse-names":false,"suffix":""},{"dropping-particle":"V.","family":"Shah","given":"Dhavan","non-dropping-particle":"","parse-names":false,"suffix":""}],"container-title":"Journal of Computer-Mediated Communication","id":"ITEM-1","issue":"3","issued":{"date-parts":[["2014"]]},"page":"414-429","title":"A new space for political behavior: Political social networking and its democratic consequences","type":"article-journal","volume":"19"},"uris":["http://www.mendeley.com/documents/?uuid=8dbb780f-f9ff-46e2-9752-d3f0a9bec70c"]}],"mendeley":{"formattedCitation":"(Bode et al. 2014)","plainTextFormattedCitation":"(Bode et al. 2014)","previouslyFormattedCitation":"(Bode et al. 2014)"},"properties":{"noteIndex":0},"schema":"https://github.com/citation-style-language/schema/raw/master/csl-citation.json"}</w:instrText>
      </w:r>
      <w:r w:rsidR="00457999">
        <w:rPr>
          <w:rFonts w:ascii="Times New Roman" w:hAnsi="Times New Roman" w:cs="Times New Roman"/>
          <w:sz w:val="24"/>
          <w:szCs w:val="24"/>
        </w:rPr>
        <w:fldChar w:fldCharType="separate"/>
      </w:r>
      <w:r w:rsidR="00457999" w:rsidRPr="00645209">
        <w:rPr>
          <w:rFonts w:ascii="Times New Roman" w:hAnsi="Times New Roman" w:cs="Times New Roman"/>
          <w:noProof/>
          <w:sz w:val="24"/>
          <w:szCs w:val="24"/>
        </w:rPr>
        <w:t>(Bode et al. 2014)</w:t>
      </w:r>
      <w:r w:rsidR="00457999">
        <w:rPr>
          <w:rFonts w:ascii="Times New Roman" w:hAnsi="Times New Roman" w:cs="Times New Roman"/>
          <w:sz w:val="24"/>
          <w:szCs w:val="24"/>
        </w:rPr>
        <w:fldChar w:fldCharType="end"/>
      </w:r>
      <w:r w:rsidR="00457999">
        <w:rPr>
          <w:rFonts w:ascii="Times New Roman" w:hAnsi="Times New Roman" w:cs="Times New Roman"/>
          <w:sz w:val="24"/>
          <w:szCs w:val="24"/>
        </w:rPr>
        <w:t xml:space="preserve">. Low cost of access attracts certain groups to online activism while technical barriers keep others out. As most SNS do not charge for basic membership, many minority voices are finding their way into the collective discourse on sites such as Twitter, which often gets transmitted to other platforms. These voices can compete with the messaging of similar resource-rich allies as well as their political opponents. </w:t>
      </w:r>
    </w:p>
    <w:p w14:paraId="7BF363A3" w14:textId="77777777" w:rsidR="00457999" w:rsidRDefault="00457999" w:rsidP="004579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Twitter allows traditionally excluded groups to engage in political discourse like few discursive venues have. O’Faircealliagh (2010) argues that broadening the discourse to allow the participation of such groups is important for policymaking as it provides an alternative set of information that can contest established convention and interpretation of the policy process. In addition, if traditional sources of information provided to policymakers have been co-opted by one coalition to the exclusion of others, there is little push back should the information be used to obfuscate or exaggerate. For instance, if local and state policymakers are learning about problems related to unconventional oil and gas development, and potential policy solutions are all championed by industry and pro-oil and gas interest groups, the discourse will be disproportionately constructed through the lens of their priorities. Environmental groups, if given the opportunity, would likely pursue alternative sources and types of information and would likely interpret findings differently. </w:t>
      </w:r>
    </w:p>
    <w:p w14:paraId="43426817" w14:textId="77777777" w:rsidR="00457999" w:rsidRDefault="00457999" w:rsidP="004579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Adversarial subsystems are assumed to be comprised of two coalitions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{"citationItems":[{"id":"ITEM-1","itemData":{"author":[{"dropping-particle":"","family":"Weible","given":"Christopher","non-dropping-particle":"","parse-names":false,"suffix":""}],"container-title":"The policy of studies journal","id":"ITEM-1","issue":"4","issued":{"date-parts":[["2008"]]},"page":"615-635","title":"Expert-Based Information and Policy Subsystems: A Review and Synthesis","type":"article-journal","volume":"36"},"uris":["http://www.mendeley.com/documents/?uuid=1cd0f46c-8650-4691-8607-2e0ce671480a"]}],"mendeley":{"formattedCitation":"(Christopher Weible 2008)","manualFormatting":"(Weible 2008)","plainTextFormattedCitation":"(Christopher Weible 2008)","previouslyFormattedCitation":"(Christopher Weible 2008)"},"properties":{"noteIndex":0},"schema":"https://github.com/citation-style-language/schema/raw/master/csl-citation.json"}</w:instrText>
      </w:r>
      <w:r>
        <w:rPr>
          <w:rFonts w:ascii="Times New Roman" w:hAnsi="Times New Roman" w:cs="Times New Roman"/>
          <w:sz w:val="24"/>
          <w:szCs w:val="24"/>
        </w:rPr>
        <w:fldChar w:fldCharType="separate"/>
      </w:r>
      <w:r w:rsidRPr="00645209">
        <w:rPr>
          <w:rFonts w:ascii="Times New Roman" w:hAnsi="Times New Roman" w:cs="Times New Roman"/>
          <w:noProof/>
          <w:sz w:val="24"/>
          <w:szCs w:val="24"/>
        </w:rPr>
        <w:t>(Weible 2008)</w:t>
      </w:r>
      <w:r>
        <w:rPr>
          <w:rFonts w:ascii="Times New Roman" w:hAnsi="Times New Roman" w:cs="Times New Roman"/>
          <w:sz w:val="24"/>
          <w:szCs w:val="24"/>
        </w:rPr>
        <w:fldChar w:fldCharType="end"/>
      </w:r>
      <w:r>
        <w:rPr>
          <w:rFonts w:ascii="Times New Roman" w:hAnsi="Times New Roman" w:cs="Times New Roman"/>
          <w:sz w:val="24"/>
          <w:szCs w:val="24"/>
        </w:rPr>
        <w:t>. It is assumed that as these coalitions compete, they will take on strategies of conflict expansion and containment. Schattschneider argues that different groups will engage the subsystem differently depending on their position within the subsystem as either the ‘winning’ or ‘losing’ coalition at any given point in time. The winning coalition will be incentivized to contain the issue by mobilizing their existing constituency but uninclined to advance that support beyond its current base. The losing, or minority, coalition has the opposite incentive. They will want to expand the issue to mobilize interested but unaffiliated policy actors and to energize latent coalition members.</w:t>
      </w:r>
    </w:p>
    <w:p w14:paraId="65A00834" w14:textId="4C15133C" w:rsidR="00457999" w:rsidRDefault="00457999" w:rsidP="004579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the ease with which social media allows coalition members to engage their allies and supporters and shape the policy agenda may have changed the incentive structure of winning coalitions. Typically, such coalitions work to maintain and not expand their base. This is a calculated move; the result of putting their limited and valuable time and energy into strategies that have already proven to be successful. However, compared to other similar forms of discursive strategies, participation in these venues are very low cost, relative to the potential benefits attributed to impacting the subsystem discourse.</w:t>
      </w:r>
    </w:p>
    <w:p w14:paraId="6F95A604" w14:textId="77777777" w:rsidR="002C0B62" w:rsidRDefault="002C0B62" w:rsidP="002C0B62"/>
    <w:p w14:paraId="7FBF60EA" w14:textId="2EEBF0F7" w:rsidR="002D2B85" w:rsidRPr="009C6247" w:rsidRDefault="00457999" w:rsidP="002D2B85">
      <w:pPr>
        <w:pStyle w:val="Heading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w:t>
      </w:r>
      <w:r w:rsidR="002D2B85" w:rsidRPr="009C6247">
        <w:rPr>
          <w:rFonts w:ascii="Times New Roman" w:hAnsi="Times New Roman" w:cs="Times New Roman"/>
          <w:b/>
          <w:bCs/>
          <w:color w:val="auto"/>
          <w:sz w:val="24"/>
          <w:szCs w:val="24"/>
        </w:rPr>
        <w:t>ssue Framing as a Discursive Strategies</w:t>
      </w:r>
      <w:bookmarkEnd w:id="4"/>
    </w:p>
    <w:p w14:paraId="6BF5DD80" w14:textId="046A694A" w:rsidR="002D2B85" w:rsidRDefault="002D2B85" w:rsidP="002D2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Issue framing may be a strategy as old as politics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{"citationItems":[{"id":"ITEM-1","itemData":{"DOI":"10.1111/ropr.12364","ISSN":"15411338","abstract":"This paper compares and contrasts high-conflict policy debates over the siting of three natural gas pipeline projects at different decision stages of the siting process. This paper draws on over 600 newspaper articles spanning 3 years, analyzed through Discourse Network Analysis. Drawing from the Advocacy Coalition Framework and Policy Conflict framework, this paper finds that actor framing of opposing policy beliefs involves more indirect than direct confrontations, with statements in the media waxing and waning over time. Opponents of the pipelines more often explicitly argue against pipelines, while also using a broad range of conceptual arguments, whereas proponents more often couch their arguments around the economic benefits of pipelines and use fewer conceptual frames overall. We also find evidence that opposing coalitions use similar framing across different decision contexts. This paper concludes with a commentary on the status and contributions of this paper to the study of policy conflicts and next steps in advancing similar research agendas.","author":[{"dropping-particle":"","family":"Yordy","given":"Jill","non-dropping-particle":"","parse-names":false,"suffix":""},{"dropping-particle":"","family":"You","given":"Jongeun","non-dropping-particle":"","parse-names":false,"suffix":""},{"dropping-particle":"","family":"Park","given":"Kyudong","non-dropping-particle":"","parse-names":false,"suffix":""},{"dropping-particle":"","family":"Weible","given":"Christopher M.","non-dropping-particle":"","parse-names":false,"suffix":""},{"dropping-particle":"","family":"Heikkila","given":"Tanya","non-dropping-particle":"","parse-names":false,"suffix":""}],"container-title":"Review of Policy Research","id":"ITEM-1","issue":"6","issued":{"date-parts":[["2019"]]},"page":"736-756","title":"Framing Contests and Policy Conflicts over Gas Pipelines","type":"article-journal","volume":"36"},"uris":["http://www.mendeley.com/documents/?uuid=525036c2-9497-40c7-8fb8-683c5f030668"]}],"mendeley":{"formattedCitation":"(Yordy et al. 2019)","plainTextFormattedCitation":"(Yordy et al. 2019)","previouslyFormattedCitation":"(Yordy et al. 2019)"},"properties":{"noteIndex":0},"schema":"https://github.com/citation-style-language/schema/raw/master/csl-citation.json"}</w:instrText>
      </w:r>
      <w:r>
        <w:rPr>
          <w:rFonts w:ascii="Times New Roman" w:hAnsi="Times New Roman" w:cs="Times New Roman"/>
          <w:sz w:val="24"/>
          <w:szCs w:val="24"/>
        </w:rPr>
        <w:fldChar w:fldCharType="separate"/>
      </w:r>
      <w:r w:rsidRPr="000A685F">
        <w:rPr>
          <w:rFonts w:ascii="Times New Roman" w:hAnsi="Times New Roman" w:cs="Times New Roman"/>
          <w:noProof/>
          <w:sz w:val="24"/>
          <w:szCs w:val="24"/>
        </w:rPr>
        <w:t>(Yordy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Recognition of framing as an important factor in the study of politics and policy can be traced back to Lippman’s (1922) ‘pictures in our heads’ analogy. This conceptualization is shared in later studies of ‘mental boxes’ or ‘interpretive </w:t>
      </w:r>
      <w:r w:rsidR="00FC44DB">
        <w:rPr>
          <w:rFonts w:ascii="Times New Roman" w:hAnsi="Times New Roman" w:cs="Times New Roman"/>
          <w:sz w:val="24"/>
          <w:szCs w:val="24"/>
        </w:rPr>
        <w:t>storylines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10.3200/ENVT.51.2.12-23","ISSN":"00139157","author":[{"dropping-particle":"","family":"Nisbet","given":"Matthew","non-dropping-particle":"","parse-names":false,"suffix":""}],"container-title":"Environment","id":"ITEM-1","issue":"2","issued":{"date-parts":[["2009"]]},"page":"12-23","title":"Communicating climate change: Why frames matter for public engagement","type":"article-journal","volume":"51"},"uris":["http://www.mendeley.com/documents/?uuid=bd086d33-5629-49dc-99d0-7f8b82efb92a"]}],"mendeley":{"formattedCitation":"(Nisbet 2009)","plainTextFormattedCitation":"(Nisbet 2009)","previouslyFormattedCitation":"(Nisbet 2009)"},"properties":{"noteIndex":0},"schema":"https://github.com/citation-style-language/schema/raw/master/csl-citation.json"}</w:instrText>
      </w:r>
      <w:r>
        <w:rPr>
          <w:rFonts w:ascii="Times New Roman" w:hAnsi="Times New Roman" w:cs="Times New Roman"/>
          <w:sz w:val="24"/>
          <w:szCs w:val="24"/>
        </w:rPr>
        <w:fldChar w:fldCharType="separate"/>
      </w:r>
      <w:r w:rsidRPr="000A685F">
        <w:rPr>
          <w:rFonts w:ascii="Times New Roman" w:hAnsi="Times New Roman" w:cs="Times New Roman"/>
          <w:noProof/>
          <w:sz w:val="24"/>
          <w:szCs w:val="24"/>
        </w:rPr>
        <w:t>(Nisbet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Calibri" w:hAnsi="Times New Roman" w:cs="Times New Roman"/>
          <w:sz w:val="24"/>
          <w:szCs w:val="24"/>
        </w:rPr>
        <w:t>F</w:t>
      </w:r>
      <w:r w:rsidRPr="00AA229C">
        <w:rPr>
          <w:rFonts w:ascii="Times New Roman" w:eastAsia="Calibri" w:hAnsi="Times New Roman" w:cs="Times New Roman"/>
          <w:sz w:val="24"/>
          <w:szCs w:val="24"/>
        </w:rPr>
        <w:t>raming provides the dialectic structure through which public policy issues are debated.</w:t>
      </w:r>
      <w:r>
        <w:rPr>
          <w:rFonts w:ascii="Times New Roman" w:eastAsia="Calibri" w:hAnsi="Times New Roman" w:cs="Times New Roman"/>
          <w:sz w:val="24"/>
          <w:szCs w:val="24"/>
        </w:rPr>
        <w:t xml:space="preserve"> </w:t>
      </w:r>
      <w:r w:rsidRPr="00AA229C">
        <w:rPr>
          <w:rFonts w:ascii="Times New Roman" w:eastAsia="Calibri" w:hAnsi="Times New Roman" w:cs="Times New Roman"/>
          <w:sz w:val="24"/>
          <w:szCs w:val="24"/>
        </w:rPr>
        <w:t xml:space="preserve">To frame is to select “…some aspects of a perceived reality and make them more salient in a communication text, in such a way as to </w:t>
      </w:r>
      <w:r w:rsidRPr="00AA229C">
        <w:rPr>
          <w:rFonts w:ascii="Times New Roman" w:eastAsia="Calibri" w:hAnsi="Times New Roman" w:cs="Times New Roman"/>
          <w:sz w:val="24"/>
          <w:szCs w:val="24"/>
        </w:rPr>
        <w:lastRenderedPageBreak/>
        <w:t xml:space="preserve">promote a particular problem definition, causal interpretation, moral evaluation, and/or treatment recommendation </w:t>
      </w:r>
      <w:r w:rsidRPr="00AA229C">
        <w:rPr>
          <w:rFonts w:ascii="Times New Roman" w:eastAsia="Calibri" w:hAnsi="Times New Roman" w:cs="Times New Roman"/>
          <w:sz w:val="24"/>
          <w:szCs w:val="24"/>
        </w:rPr>
        <w:fldChar w:fldCharType="begin" w:fldLock="1"/>
      </w:r>
      <w:r w:rsidRPr="00AA229C">
        <w:rPr>
          <w:rFonts w:ascii="Times New Roman" w:eastAsia="Calibri" w:hAnsi="Times New Roman" w:cs="Times New Roman"/>
          <w:sz w:val="24"/>
          <w:szCs w:val="24"/>
        </w:rPr>
        <w:instrText>ADDIN CSL_CITATION {"citationItems":[{"id":"ITEM-1","itemData":{"DOI":"10.1111/j.1460-2466.1993.tb01304.x","ISBN":"00219916","ISSN":"1460-2466","PMID":"175","author":[{"dropping-particle":"","family":"Entman","given":"Robert M.","non-dropping-particle":"","parse-names":false,"suffix":""}],"container-title":"Journal of Communication","id":"ITEM-1","issue":"January","issued":{"date-parts":[["1993"]]},"page":"51-58","title":"Framing : Toward Clarification of A Fractured Paradigm","type":"article-journal","volume":"43"},"uris":["http://www.mendeley.com/documents/?uuid=f7a5556d-5f82-4e32-800c-7436011304ea"]}],"mendeley":{"formattedCitation":"(Entman 1993)","manualFormatting":"(Entman 1993, 52)","plainTextFormattedCitation":"(Entman 1993)","previouslyFormattedCitation":"(Entman 1993)"},"properties":{"noteIndex":0},"schema":"https://github.com/citation-style-language/schema/raw/master/csl-citation.json"}</w:instrText>
      </w:r>
      <w:r w:rsidRPr="00AA229C">
        <w:rPr>
          <w:rFonts w:ascii="Times New Roman" w:eastAsia="Calibri" w:hAnsi="Times New Roman" w:cs="Times New Roman"/>
          <w:sz w:val="24"/>
          <w:szCs w:val="24"/>
        </w:rPr>
        <w:fldChar w:fldCharType="separate"/>
      </w:r>
      <w:r w:rsidRPr="00AA229C">
        <w:rPr>
          <w:rFonts w:ascii="Times New Roman" w:eastAsia="Calibri" w:hAnsi="Times New Roman" w:cs="Times New Roman"/>
          <w:noProof/>
          <w:sz w:val="24"/>
          <w:szCs w:val="24"/>
        </w:rPr>
        <w:t>(Entman 1993, 52)</w:t>
      </w:r>
      <w:r w:rsidRPr="00AA229C">
        <w:rPr>
          <w:rFonts w:ascii="Times New Roman" w:eastAsia="Calibri" w:hAnsi="Times New Roman" w:cs="Times New Roman"/>
          <w:sz w:val="24"/>
          <w:szCs w:val="24"/>
        </w:rPr>
        <w:fldChar w:fldCharType="end"/>
      </w:r>
      <w:r w:rsidRPr="00AA229C">
        <w:rPr>
          <w:rFonts w:ascii="Times New Roman" w:eastAsia="Calibri" w:hAnsi="Times New Roman" w:cs="Times New Roman"/>
          <w:sz w:val="24"/>
          <w:szCs w:val="24"/>
        </w:rPr>
        <w:t>.”</w:t>
      </w:r>
      <w:r w:rsidRPr="00AA229C">
        <w:rPr>
          <w:rFonts w:ascii="Times New Roman" w:hAnsi="Times New Roman" w:cs="Times New Roman"/>
          <w:sz w:val="24"/>
          <w:szCs w:val="24"/>
        </w:rPr>
        <w:t xml:space="preserve"> </w:t>
      </w:r>
      <w:r>
        <w:rPr>
          <w:rFonts w:ascii="Times New Roman" w:hAnsi="Times New Roman" w:cs="Times New Roman"/>
          <w:sz w:val="24"/>
          <w:szCs w:val="24"/>
        </w:rPr>
        <w:t>F</w:t>
      </w:r>
      <w:r w:rsidRPr="00AA229C">
        <w:rPr>
          <w:rFonts w:ascii="Times New Roman" w:hAnsi="Times New Roman" w:cs="Times New Roman"/>
          <w:sz w:val="24"/>
          <w:szCs w:val="24"/>
        </w:rPr>
        <w:t>rames</w:t>
      </w:r>
      <w:r>
        <w:rPr>
          <w:rFonts w:ascii="Times New Roman" w:hAnsi="Times New Roman" w:cs="Times New Roman"/>
          <w:sz w:val="24"/>
          <w:szCs w:val="24"/>
        </w:rPr>
        <w:t xml:space="preserve"> are heuristic and thematic cues used</w:t>
      </w:r>
      <w:r w:rsidRPr="00AA229C">
        <w:rPr>
          <w:rFonts w:ascii="Times New Roman" w:hAnsi="Times New Roman" w:cs="Times New Roman"/>
          <w:sz w:val="24"/>
          <w:szCs w:val="24"/>
        </w:rPr>
        <w:t xml:space="preserve"> to contextualize a policy issue and orient an audience to information in a deliberate way</w:t>
      </w:r>
      <w:r>
        <w:rPr>
          <w:rFonts w:ascii="Times New Roman" w:hAnsi="Times New Roman" w:cs="Times New Roman"/>
          <w:sz w:val="24"/>
          <w:szCs w:val="24"/>
        </w:rPr>
        <w:t xml:space="preserve"> (Lawlor 2016)</w:t>
      </w:r>
      <w:r w:rsidRPr="00AA229C">
        <w:rPr>
          <w:rFonts w:ascii="Times New Roman" w:hAnsi="Times New Roman" w:cs="Times New Roman"/>
          <w:sz w:val="24"/>
          <w:szCs w:val="24"/>
        </w:rPr>
        <w:t>.</w:t>
      </w:r>
      <w:r>
        <w:rPr>
          <w:rFonts w:ascii="Times New Roman" w:hAnsi="Times New Roman" w:cs="Times New Roman"/>
          <w:sz w:val="24"/>
          <w:szCs w:val="24"/>
        </w:rPr>
        <w:t xml:space="preserve"> </w:t>
      </w:r>
    </w:p>
    <w:p w14:paraId="523F784D" w14:textId="0A326656" w:rsidR="002D2B85" w:rsidRDefault="002D2B85" w:rsidP="002D2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Pr="00E753B4">
        <w:rPr>
          <w:rFonts w:ascii="Times New Roman" w:hAnsi="Times New Roman" w:cs="Times New Roman"/>
          <w:sz w:val="24"/>
          <w:szCs w:val="24"/>
        </w:rPr>
        <w:t xml:space="preserve">rames resonate because of the limited cognitive capacity of </w:t>
      </w:r>
      <w:r>
        <w:rPr>
          <w:rFonts w:ascii="Times New Roman" w:hAnsi="Times New Roman" w:cs="Times New Roman"/>
          <w:sz w:val="24"/>
          <w:szCs w:val="24"/>
        </w:rPr>
        <w:t>all individuals</w:t>
      </w:r>
      <w:r w:rsidRPr="00E753B4">
        <w:rPr>
          <w:rFonts w:ascii="Times New Roman" w:hAnsi="Times New Roman" w:cs="Times New Roman"/>
          <w:sz w:val="24"/>
          <w:szCs w:val="24"/>
        </w:rPr>
        <w:t xml:space="preserve"> to focus and process all relevant information to make a ‘completely’ informed decision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{"citationItems":[{"id":"ITEM-1","itemData":{"author":[{"dropping-particle":"","family":"Haider-Markel","given":"Donald P.","non-dropping-particle":"","parse-names":false,"suffix":""},{"dropping-particle":"","family":"Joslyn","given":"Mark R.","non-dropping-particle":"","parse-names":false,"suffix":""}],"id":"ITEM-1","issue":"2","issued":{"date-parts":[["2001"]]},"page":"520-543","title":"Gun Policy , Opinion , Tragedy , and Blame Attribution : The Conditional Influence of Issue Frames","type":"article-journal","volume":"63"},"uris":["http://www.mendeley.com/documents/?uuid=7130c673-100a-480a-bebf-cdd7753e2edc"]}],"mendeley":{"formattedCitation":"(Haider-Markel and Joslyn 2001)","plainTextFormattedCitation":"(Haider-Markel and Joslyn 2001)","previouslyFormattedCitation":"(Haider-Markel and Joslyn 2001)"},"properties":{"noteIndex":0},"schema":"https://github.com/citation-style-language/schema/raw/master/csl-citation.json"}</w:instrText>
      </w:r>
      <w:r>
        <w:rPr>
          <w:rFonts w:ascii="Times New Roman" w:hAnsi="Times New Roman" w:cs="Times New Roman"/>
          <w:sz w:val="24"/>
          <w:szCs w:val="24"/>
        </w:rPr>
        <w:fldChar w:fldCharType="separate"/>
      </w:r>
      <w:r w:rsidRPr="000A685F">
        <w:rPr>
          <w:rFonts w:ascii="Times New Roman" w:hAnsi="Times New Roman" w:cs="Times New Roman"/>
          <w:noProof/>
          <w:sz w:val="24"/>
          <w:szCs w:val="24"/>
        </w:rPr>
        <w:t>(Haider-Markel and Joslyn 2001)</w:t>
      </w:r>
      <w:r>
        <w:rPr>
          <w:rFonts w:ascii="Times New Roman" w:hAnsi="Times New Roman" w:cs="Times New Roman"/>
          <w:sz w:val="24"/>
          <w:szCs w:val="24"/>
        </w:rPr>
        <w:fldChar w:fldCharType="end"/>
      </w:r>
      <w:r>
        <w:rPr>
          <w:rFonts w:ascii="Times New Roman" w:hAnsi="Times New Roman" w:cs="Times New Roman"/>
          <w:sz w:val="24"/>
          <w:szCs w:val="24"/>
        </w:rPr>
        <w:t xml:space="preserve">. As ‘cognitive misers,’ humans use heuristics to organize and prioritize certain stimuli while ignoring others. If we did not do this, we would be paralyzed from the inundation of information our brain is exposed to at virtually all times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{"citationItems":[{"id":"ITEM-1","itemData":{"author":[{"dropping-particle":"","family":"Guber","given":"Deborah Lynn","non-dropping-particle":"","parse-names":false,"suffix":""},{"dropping-particle":"","family":"Bosso","given":"Christopher J","non-dropping-particle":"","parse-names":false,"suffix":""}],"id":"ITEM-1","issued":{"date-parts":[["1968"]]},"page":"1-36","title":"ISSUE FRAMING , AGENDA SETTING , AND","type":"article-journal"},"uris":["http://www.mendeley.com/documents/?uuid=db70f97e-0ad6-4704-b6f8-a86a67a0e4fd"]},{"id":"ITEM-2","itemData":{"DOI":"10.2307/2952075","ISSN":"0003-0554","abstract":"Framing is the process by which a communication source, such as a news organization, defines and constructs a political issue or public controversy. Two experiments examined the effect of news frames on tolerance for the Ku Klux Klan. The first presented research participants with one of two local news stories about a Klan rally that varied by frame: One framed the rally as a free speech issue, and the other framed it as a disruption of public order. Participants who viewed the free speech story expressed more tolerance for the Klan than participants who watched the public order story. Additional data indicate that frames affect tolerance by altering the perceived importance of public order values. The relative accessibility of free speech and public order concepts did not respond to framing. A second experiment used a simulated electronic news service to present different frames and replicated these findings.","author":[{"dropping-particle":"","family":"Nelson","given":"Thomas E.","non-dropping-particle":"","parse-names":false,"suffix":""},{"dropping-particle":"","family":"Clawson","given":"Rosalee A.","non-dropping-particle":"","parse-names":false,"suffix":""},{"dropping-particle":"","family":"Oxley","given":"Zoe M.","non-dropping-particle":"","parse-names":false,"suffix":""}],"container-title":"American Political Science Review","id":"ITEM-2","issue":"3","issued":{"date-parts":[["1997"]]},"page":"567-583","title":"Media Framing of a Civil Liberties Conflict and Its Effect on Tolerance","type":"article-journal","volume":"91"},"uris":["http://www.mendeley.com/documents/?uuid=f860b3c6-da45-440e-89c5-1b50e5244d32"]}],"mendeley":{"formattedCitation":"(Guber and Bosso 1968; Nelson, Clawson, and Oxley 1997)","plainTextFormattedCitation":"(Guber and Bosso 1968; Nelson, Clawson, and Oxley 1997)","previouslyFormattedCitation":"(Guber and Bosso 1968; Nelson, Clawson, and Oxley 1997)"},"properties":{"noteIndex":0},"schema":"https://github.com/citation-style-language/schema/raw/master/csl-citation.json"}</w:instrText>
      </w:r>
      <w:r>
        <w:rPr>
          <w:rFonts w:ascii="Times New Roman" w:hAnsi="Times New Roman" w:cs="Times New Roman"/>
          <w:sz w:val="24"/>
          <w:szCs w:val="24"/>
        </w:rPr>
        <w:fldChar w:fldCharType="separate"/>
      </w:r>
      <w:r w:rsidRPr="000A685F">
        <w:rPr>
          <w:rFonts w:ascii="Times New Roman" w:hAnsi="Times New Roman" w:cs="Times New Roman"/>
          <w:noProof/>
          <w:sz w:val="24"/>
          <w:szCs w:val="24"/>
        </w:rPr>
        <w:t>(Guber and Bosso 1968; Nelson, Clawson, and Oxley 1997)</w:t>
      </w:r>
      <w:r>
        <w:rPr>
          <w:rFonts w:ascii="Times New Roman" w:hAnsi="Times New Roman" w:cs="Times New Roman"/>
          <w:sz w:val="24"/>
          <w:szCs w:val="24"/>
        </w:rPr>
        <w:fldChar w:fldCharType="end"/>
      </w:r>
      <w:r>
        <w:rPr>
          <w:rFonts w:ascii="Times New Roman" w:hAnsi="Times New Roman" w:cs="Times New Roman"/>
          <w:sz w:val="24"/>
          <w:szCs w:val="24"/>
        </w:rPr>
        <w:t xml:space="preserve">. This ‘short cut’ is the reason why decision making in response to frames is better explained by prospect theory than the expected utility model. The utility model assumes that an individual has complete or close to complete knowledge to make an optimal decision. However, most political decisions are complex and made amidst a shroud of uncertainty, both in terms of predicting consequences but also in terms of how to measure success and failure. As such, decision-making must </w:t>
      </w:r>
      <w:r w:rsidR="00FC44DB">
        <w:rPr>
          <w:rFonts w:ascii="Times New Roman" w:hAnsi="Times New Roman" w:cs="Times New Roman"/>
          <w:sz w:val="24"/>
          <w:szCs w:val="24"/>
        </w:rPr>
        <w:t>consider</w:t>
      </w:r>
      <w:r>
        <w:rPr>
          <w:rFonts w:ascii="Times New Roman" w:hAnsi="Times New Roman" w:cs="Times New Roman"/>
          <w:sz w:val="24"/>
          <w:szCs w:val="24"/>
        </w:rPr>
        <w:t xml:space="preserve"> how an individual </w:t>
      </w:r>
      <w:r w:rsidR="00FC44DB">
        <w:rPr>
          <w:rFonts w:ascii="Times New Roman" w:hAnsi="Times New Roman" w:cs="Times New Roman"/>
          <w:sz w:val="24"/>
          <w:szCs w:val="24"/>
        </w:rPr>
        <w:t>decides</w:t>
      </w:r>
      <w:r>
        <w:rPr>
          <w:rFonts w:ascii="Times New Roman" w:hAnsi="Times New Roman" w:cs="Times New Roman"/>
          <w:sz w:val="24"/>
          <w:szCs w:val="24"/>
        </w:rPr>
        <w:t xml:space="preserve"> in situations involving risk, or in the absence of all necessary information. This explains why framing is so powerful. Tversky and Kahneman (1981) use the analogy of one’s vantage point to argue “</w:t>
      </w:r>
      <w:r w:rsidRPr="00F5415E">
        <w:rPr>
          <w:rFonts w:ascii="Times New Roman" w:hAnsi="Times New Roman" w:cs="Times New Roman"/>
          <w:sz w:val="24"/>
          <w:szCs w:val="24"/>
        </w:rPr>
        <w:t>The susceptibility to perspective effects is of special concern in the domain of decision-making because of the absence of objective standards such as the true height of mountains</w:t>
      </w:r>
      <w:r>
        <w:rPr>
          <w:rFonts w:ascii="Times New Roman" w:hAnsi="Times New Roman" w:cs="Times New Roman"/>
          <w:sz w:val="24"/>
          <w:szCs w:val="24"/>
        </w:rPr>
        <w:t>” (457)</w:t>
      </w:r>
      <w:r w:rsidRPr="00F5415E">
        <w:rPr>
          <w:rFonts w:ascii="Times New Roman" w:hAnsi="Times New Roman" w:cs="Times New Roman"/>
          <w:sz w:val="24"/>
          <w:szCs w:val="24"/>
        </w:rPr>
        <w:t>.</w:t>
      </w:r>
    </w:p>
    <w:p w14:paraId="67F7051A" w14:textId="77777777" w:rsidR="002D2B85" w:rsidRDefault="002D2B85" w:rsidP="002D2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Coalitions strategically use frames for two main reasons. The first is to persuade others of a given argument as to change public opinion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{"citationItems":[{"id":"ITEM-1","itemData":{"DOI":"10.2307/2669279","ISSN":"00925853","abstract":"The issue of government spending provides an interesting context for testing issue-framing effects in American public opinion. Competing partisan elites clearly portray the spending issue in different ways: Republicans tend to focus on broad, general appeals, while Democrats aim at more specific forms of programmatic expenditures. Their differing arguments undoubtedly arise because the varied issue frames generate different kinds of responses. This study uses data from the 1992 CPS National Election Study to examine the preceding hypothesis. The results from the empirical analysis show that public opinion on government spending does, in fact, vary markedly with the presentation of the issue. This framing effect is powerful enough to induce individual-level opinion change. And, framing effects arise because varying presentations of the government-spending issue activate different sets of influences on citizens' issue attitudes. These findings have broad implications concerning both the magnitude of framing effects and the explicitly political nature of the issue-framing process.","author":[{"dropping-particle":"","family":"Jacoby","given":"William G.","non-dropping-particle":"","parse-names":false,"suffix":""}],"container-title":"American Journal of Political Science","id":"ITEM-1","issue":"4","issued":{"date-parts":[["2000"]]},"page":"750","title":"Issue Framing and Public Opinion on Government Spending","type":"article-journal","volume":"44"},"uris":["http://www.mendeley.com/documents/?uuid=99dfb236-9d5f-4050-b074-b1ceee2fb4bb"]}],"mendeley":{"formattedCitation":"(Jacoby 2000)","plainTextFormattedCitation":"(Jacoby 2000)","previouslyFormattedCitation":"(Jacoby 2000)"},"properties":{"noteIndex":0},"schema":"https://github.com/citation-style-language/schema/raw/master/csl-citation.json"}</w:instrText>
      </w:r>
      <w:r>
        <w:rPr>
          <w:rFonts w:ascii="Times New Roman" w:hAnsi="Times New Roman" w:cs="Times New Roman"/>
          <w:sz w:val="24"/>
          <w:szCs w:val="24"/>
        </w:rPr>
        <w:fldChar w:fldCharType="separate"/>
      </w:r>
      <w:r w:rsidRPr="008C5EF8">
        <w:rPr>
          <w:rFonts w:ascii="Times New Roman" w:hAnsi="Times New Roman" w:cs="Times New Roman"/>
          <w:noProof/>
          <w:sz w:val="24"/>
          <w:szCs w:val="24"/>
        </w:rPr>
        <w:t>(Jacoby 2000)</w:t>
      </w:r>
      <w:r>
        <w:rPr>
          <w:rFonts w:ascii="Times New Roman" w:hAnsi="Times New Roman" w:cs="Times New Roman"/>
          <w:sz w:val="24"/>
          <w:szCs w:val="24"/>
        </w:rPr>
        <w:fldChar w:fldCharType="end"/>
      </w:r>
      <w:r>
        <w:rPr>
          <w:rFonts w:ascii="Times New Roman" w:hAnsi="Times New Roman" w:cs="Times New Roman"/>
          <w:sz w:val="24"/>
          <w:szCs w:val="24"/>
        </w:rPr>
        <w:t xml:space="preserve">. How one frames the issue influences how it resonates.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{"citationItems":[{"id":"ITEM-1","itemData":{"DOI":"10.1521/soco.1990.8.1.73","ISSN":"0278-016X","abstract":"By examining the alterations in opinion induced by alterations in question wording that mimic the ongoing debate among elites, it becomes possible to learn how changes in public opinion can be induced by changes taking place outside the survey, in the ordinary, everyday process of democratic discussion. We present evidence in support of this broad claim from a recent national survey in which white Americans were invited to think about affirmative action either as unfair advantage or as reverse discrimination. Framing the issue as unfair advantage as opposed to reverse discrimination produced opinions on affirmative action among whites that were (1) more coherent with their views on other race policies; (2) associated more closely with their opinions on policies plausibly, but not explicitly, implicating race (such as welfare); (3) linked more tightly to negative emotions provoked by preferential treatment; (4) more consistent with their general political views; (5) more evocative of prejudice and misgivings over equal opportunity; and (6) less evocative of the tangible threats that affirmative action might pose to their family and group and of the political principles that affirmative action might violate. These differences suggest that by promoting rival frames, elites may alter how issues are understood and, as a consequence, affect what opinion turns out to be.","author":[{"dropping-particle":"","family":"Kinder","given":"Donald R.","non-dropping-particle":"","parse-names":false,"suffix":""},{"dropping-particle":"","family":"Sanders","given":"Lynn M.","non-dropping-particle":"","parse-names":false,"suffix":""}],"container-title":"Social Cognition","id":"ITEM-1","issue":"1","issued":{"date-parts":[["1990"]]},"page":"73-103","title":"Mimicking Political Debate with Survey Questions: The Case of White Opinion on Affirmative Action for Blacks","type":"article-journal","volume":"8"},"uris":["http://www.mendeley.com/documents/?uuid=670db6af-5bf1-4176-bbd0-e25c58f6455d"]}],"mendeley":{"formattedCitation":"(Kinder and Sanders 1990)","manualFormatting":"Kinder and Sanders (1990)","plainTextFormattedCitation":"(Kinder and Sanders 1990)","previouslyFormattedCitation":"(Kinder and Sanders 1990)"},"properties":{"noteIndex":0},"schema":"https://github.com/citation-style-language/schema/raw/master/csl-citation.json"}</w:instrText>
      </w:r>
      <w:r>
        <w:rPr>
          <w:rFonts w:ascii="Times New Roman" w:hAnsi="Times New Roman" w:cs="Times New Roman"/>
          <w:sz w:val="24"/>
          <w:szCs w:val="24"/>
        </w:rPr>
        <w:fldChar w:fldCharType="separate"/>
      </w:r>
      <w:r w:rsidRPr="008C5EF8">
        <w:rPr>
          <w:rFonts w:ascii="Times New Roman" w:hAnsi="Times New Roman" w:cs="Times New Roman"/>
          <w:noProof/>
          <w:sz w:val="24"/>
          <w:szCs w:val="24"/>
        </w:rPr>
        <w:t xml:space="preserve">Kinder and Sanders </w:t>
      </w:r>
      <w:r>
        <w:rPr>
          <w:rFonts w:ascii="Times New Roman" w:hAnsi="Times New Roman" w:cs="Times New Roman"/>
          <w:noProof/>
          <w:sz w:val="24"/>
          <w:szCs w:val="24"/>
        </w:rPr>
        <w:t>(</w:t>
      </w:r>
      <w:r w:rsidRPr="008C5EF8">
        <w:rPr>
          <w:rFonts w:ascii="Times New Roman" w:hAnsi="Times New Roman" w:cs="Times New Roman"/>
          <w:noProof/>
          <w:sz w:val="24"/>
          <w:szCs w:val="24"/>
        </w:rPr>
        <w:t>1990)</w:t>
      </w:r>
      <w:r>
        <w:rPr>
          <w:rFonts w:ascii="Times New Roman" w:hAnsi="Times New Roman" w:cs="Times New Roman"/>
          <w:sz w:val="24"/>
          <w:szCs w:val="24"/>
        </w:rPr>
        <w:fldChar w:fldCharType="end"/>
      </w:r>
      <w:r>
        <w:rPr>
          <w:rFonts w:ascii="Times New Roman" w:hAnsi="Times New Roman" w:cs="Times New Roman"/>
          <w:sz w:val="24"/>
          <w:szCs w:val="24"/>
        </w:rPr>
        <w:t xml:space="preserve">’s study of affirmative action finds that </w:t>
      </w:r>
      <w:r>
        <w:rPr>
          <w:rFonts w:ascii="Times New Roman" w:hAnsi="Times New Roman" w:cs="Times New Roman"/>
          <w:sz w:val="24"/>
          <w:szCs w:val="24"/>
        </w:rPr>
        <w:lastRenderedPageBreak/>
        <w:t xml:space="preserve">alterations in how the debate unfolded during deliberation influenced changes in opinion. A change of a single word can influence such a shift.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{"citationItems":[{"id":"ITEM-1","itemData":{"author":[{"dropping-particle":"","family":"Smith","given":"Tom","non-dropping-particle":"","parse-names":false,"suffix":""}],"id":"ITEM-1","issue":"1","issued":{"date-parts":[["1987"]]},"page":"75-83","title":"That Which We Call Welfare by Any Other Name Would Smell Sweeter an Analysis of the Impact of Question Wording on Response Patterns","type":"article-journal","volume":"51"},"uris":["http://www.mendeley.com/documents/?uuid=f98c8953-0305-4c95-8005-be0375972965"]}],"mendeley":{"formattedCitation":"(T. Smith 1987)","manualFormatting":"Smith (1987)","plainTextFormattedCitation":"(T. Smith 1987)","previouslyFormattedCitation":"(T. Smith 1987)"},"properties":{"noteIndex":0},"schema":"https://github.com/citation-style-language/schema/raw/master/csl-citation.json"}</w:instrText>
      </w:r>
      <w:r>
        <w:rPr>
          <w:rFonts w:ascii="Times New Roman" w:hAnsi="Times New Roman" w:cs="Times New Roman"/>
          <w:sz w:val="24"/>
          <w:szCs w:val="24"/>
        </w:rPr>
        <w:fldChar w:fldCharType="separate"/>
      </w:r>
      <w:r w:rsidRPr="008C5EF8">
        <w:rPr>
          <w:rFonts w:ascii="Times New Roman" w:hAnsi="Times New Roman" w:cs="Times New Roman"/>
          <w:noProof/>
          <w:sz w:val="24"/>
          <w:szCs w:val="24"/>
        </w:rPr>
        <w:t xml:space="preserve">Smith </w:t>
      </w:r>
      <w:r>
        <w:rPr>
          <w:rFonts w:ascii="Times New Roman" w:hAnsi="Times New Roman" w:cs="Times New Roman"/>
          <w:noProof/>
          <w:sz w:val="24"/>
          <w:szCs w:val="24"/>
        </w:rPr>
        <w:t>(</w:t>
      </w:r>
      <w:r w:rsidRPr="008C5EF8">
        <w:rPr>
          <w:rFonts w:ascii="Times New Roman" w:hAnsi="Times New Roman" w:cs="Times New Roman"/>
          <w:noProof/>
          <w:sz w:val="24"/>
          <w:szCs w:val="24"/>
        </w:rPr>
        <w:t>1987)</w:t>
      </w:r>
      <w:r>
        <w:rPr>
          <w:rFonts w:ascii="Times New Roman" w:hAnsi="Times New Roman" w:cs="Times New Roman"/>
          <w:sz w:val="24"/>
          <w:szCs w:val="24"/>
        </w:rPr>
        <w:fldChar w:fldCharType="end"/>
      </w:r>
      <w:r>
        <w:rPr>
          <w:rFonts w:ascii="Times New Roman" w:hAnsi="Times New Roman" w:cs="Times New Roman"/>
          <w:sz w:val="24"/>
          <w:szCs w:val="24"/>
        </w:rPr>
        <w:t xml:space="preserve"> finds the public to be more receptive to the term ‘poor’ than the term ‘welfare.’ Variations is the level of abstraction can also impact the persuasiveness of frames.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{"citationItems":[{"id":"ITEM-1","itemData":{"DOI":"10.2307/2669279","ISSN":"00925853","abstract":"The issue of government spending provides an interesting context for testing issue-framing effects in American public opinion. Competing partisan elites clearly portray the spending issue in different ways: Republicans tend to focus on broad, general appeals, while Democrats aim at more specific forms of programmatic expenditures. Their differing arguments undoubtedly arise because the varied issue frames generate different kinds of responses. This study uses data from the 1992 CPS National Election Study to examine the preceding hypothesis. The results from the empirical analysis show that public opinion on government spending does, in fact, vary markedly with the presentation of the issue. This framing effect is powerful enough to induce individual-level opinion change. And, framing effects arise because varying presentations of the government-spending issue activate different sets of influences on citizens' issue attitudes. These findings have broad implications concerning both the magnitude of framing effects and the explicitly political nature of the issue-framing process.","author":[{"dropping-particle":"","family":"Jacoby","given":"William G.","non-dropping-particle":"","parse-names":false,"suffix":""}],"container-title":"American Journal of Political Science","id":"ITEM-1","issue":"4","issued":{"date-parts":[["2000"]]},"page":"750","title":"Issue Framing and Public Opinion on Government Spending","type":"article-journal","volume":"44"},"uris":["http://www.mendeley.com/documents/?uuid=99dfb236-9d5f-4050-b074-b1ceee2fb4bb"]}],"mendeley":{"formattedCitation":"(Jacoby 2000)","manualFormatting":"Jacoby (2000)","plainTextFormattedCitation":"(Jacoby 2000)","previouslyFormattedCitation":"(Jacoby 2000)"},"properties":{"noteIndex":0},"schema":"https://github.com/citation-style-language/schema/raw/master/csl-citation.json"}</w:instrText>
      </w:r>
      <w:r>
        <w:rPr>
          <w:rFonts w:ascii="Times New Roman" w:hAnsi="Times New Roman" w:cs="Times New Roman"/>
          <w:sz w:val="24"/>
          <w:szCs w:val="24"/>
        </w:rPr>
        <w:fldChar w:fldCharType="separate"/>
      </w:r>
      <w:r w:rsidRPr="008C5EF8">
        <w:rPr>
          <w:rFonts w:ascii="Times New Roman" w:hAnsi="Times New Roman" w:cs="Times New Roman"/>
          <w:noProof/>
          <w:sz w:val="24"/>
          <w:szCs w:val="24"/>
        </w:rPr>
        <w:t xml:space="preserve">Jacoby </w:t>
      </w:r>
      <w:r>
        <w:rPr>
          <w:rFonts w:ascii="Times New Roman" w:hAnsi="Times New Roman" w:cs="Times New Roman"/>
          <w:noProof/>
          <w:sz w:val="24"/>
          <w:szCs w:val="24"/>
        </w:rPr>
        <w:t>(</w:t>
      </w:r>
      <w:r w:rsidRPr="008C5EF8">
        <w:rPr>
          <w:rFonts w:ascii="Times New Roman" w:hAnsi="Times New Roman" w:cs="Times New Roman"/>
          <w:noProof/>
          <w:sz w:val="24"/>
          <w:szCs w:val="24"/>
        </w:rPr>
        <w:t>2000)</w:t>
      </w:r>
      <w:r>
        <w:rPr>
          <w:rFonts w:ascii="Times New Roman" w:hAnsi="Times New Roman" w:cs="Times New Roman"/>
          <w:sz w:val="24"/>
          <w:szCs w:val="24"/>
        </w:rPr>
        <w:fldChar w:fldCharType="end"/>
      </w:r>
      <w:r>
        <w:rPr>
          <w:rFonts w:ascii="Times New Roman" w:hAnsi="Times New Roman" w:cs="Times New Roman"/>
          <w:sz w:val="24"/>
          <w:szCs w:val="24"/>
        </w:rPr>
        <w:t xml:space="preserve"> finds that when deliberating over government spending, more specific frames were associated with public support while general frames were not. What this makes clear is that the effective use of issue frames is predicated on choosing language that is not overly broad and must recognize the meaning of words that may be highly contextual and emotionally charged. </w:t>
      </w:r>
    </w:p>
    <w:p w14:paraId="0A8B9C34" w14:textId="242F7ABA" w:rsidR="002D2B85" w:rsidRDefault="002D2B85" w:rsidP="002D2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they are used to increase or decrease conflict, depending on how they are used and by who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{"citationItems":[{"id":"ITEM-1","itemData":{"DOI":"10.1017/S0143814X03003118","ISSN":"0143814X","abstract":"A key component of any political strategy is finding a decision setting that offers the best prospects for reaching one's policy goals, an activity referred to as venue shopping. This article supports the theory of venue shopping as laid out in Baumgartner and Jones (1993), but presents a more complicated analysis of its practice than most empirical studies to date. First, venue shopping can be more experimental, and less deliberate or calculated, than is commonly perceived. Second, advocacy groups choose venues not only to advance substantive policy goals but also to serve organizational needs and identities. Finally, venue choice is shaped by policy learning. Advocacy groups choose venues not only for short-term strategic reasons, but also because they have embraced a new understanding of the nature of a policy problem. These factors shape the frequency of venue shopping and thus the pace of policy reform.","author":[{"dropping-particle":"","family":"Pralle","given":"Sarah B.","non-dropping-particle":"","parse-names":false,"suffix":""}],"container-title":"Journal of Public Policy","id":"ITEM-1","issue":"3","issued":{"date-parts":[["2003"]]},"page":"233-260","publisher":"UCD Health Sciences Library","title":"Venue shopping, political strategy, and policy change: The internationalization of Canadian Forest Advocacy","type":"article-journal","volume":"23"},"uris":["http://www.mendeley.com/documents/?uuid=0a4fc837-c97d-4eef-9e45-317ec2fddd6f"]}],"mendeley":{"formattedCitation":"(Pralle 2003)","plainTextFormattedCitation":"(Pralle 2003)","previouslyFormattedCitation":"(Pralle 2003)"},"properties":{"noteIndex":0},"schema":"https://github.com/citation-style-language/schema/raw/master/csl-citation.json"}</w:instrText>
      </w:r>
      <w:r>
        <w:rPr>
          <w:rFonts w:ascii="Times New Roman" w:hAnsi="Times New Roman" w:cs="Times New Roman"/>
          <w:sz w:val="24"/>
          <w:szCs w:val="24"/>
        </w:rPr>
        <w:fldChar w:fldCharType="separate"/>
      </w:r>
      <w:r w:rsidRPr="008C5EF8">
        <w:rPr>
          <w:rFonts w:ascii="Times New Roman" w:hAnsi="Times New Roman" w:cs="Times New Roman"/>
          <w:noProof/>
          <w:sz w:val="24"/>
          <w:szCs w:val="24"/>
        </w:rPr>
        <w:t>(Pralle 2003)</w:t>
      </w:r>
      <w:r>
        <w:rPr>
          <w:rFonts w:ascii="Times New Roman" w:hAnsi="Times New Roman" w:cs="Times New Roman"/>
          <w:sz w:val="24"/>
          <w:szCs w:val="24"/>
        </w:rPr>
        <w:fldChar w:fldCharType="end"/>
      </w:r>
      <w:r>
        <w:rPr>
          <w:rFonts w:ascii="Times New Roman" w:hAnsi="Times New Roman" w:cs="Times New Roman"/>
          <w:sz w:val="24"/>
          <w:szCs w:val="24"/>
        </w:rPr>
        <w:t xml:space="preserve">. Schattschneider (1960) argues that the winning coalition will conduct discursive strategies of constraining conflict; mobilizing their coalition members but not expanding their reach to pique the interests of unaffiliated policy actors or the public. This will translate into the use of a narrow set of issue frames, as to prevent the mobilization of other, related interests.  The strategy of the minority will be to increase conflict by mobilizing not just the current coalition members, but also unaffiliated policy actors and the public. This will translate in a broader set of issue frames being used to mobilize more interests. Conflict will manifest into a competition for influence and attention over which set of frames become the most salient. </w:t>
      </w:r>
    </w:p>
    <w:p w14:paraId="740598F8" w14:textId="77777777" w:rsidR="00512132" w:rsidRPr="008A2BE8" w:rsidRDefault="00512132" w:rsidP="00512132">
      <w:pPr>
        <w:pStyle w:val="Heading1"/>
        <w:jc w:val="center"/>
        <w:rPr>
          <w:rFonts w:ascii="Times New Roman" w:hAnsi="Times New Roman" w:cs="Times New Roman"/>
          <w:b/>
          <w:bCs/>
          <w:color w:val="auto"/>
          <w:sz w:val="24"/>
          <w:szCs w:val="24"/>
        </w:rPr>
      </w:pPr>
      <w:bookmarkStart w:id="6" w:name="_Toc46917828"/>
      <w:r w:rsidRPr="008A2BE8">
        <w:rPr>
          <w:rFonts w:ascii="Times New Roman" w:hAnsi="Times New Roman" w:cs="Times New Roman"/>
          <w:b/>
          <w:bCs/>
          <w:color w:val="auto"/>
          <w:sz w:val="24"/>
          <w:szCs w:val="24"/>
        </w:rPr>
        <w:t>Subsystem Stability and the Role of Major Policy Changes</w:t>
      </w:r>
      <w:bookmarkEnd w:id="6"/>
    </w:p>
    <w:p w14:paraId="15CA6299" w14:textId="77777777" w:rsidR="00512132" w:rsidRDefault="00512132" w:rsidP="00512132">
      <w:pPr>
        <w:spacing w:after="0" w:line="480" w:lineRule="auto"/>
        <w:ind w:firstLine="720"/>
        <w:rPr>
          <w:rFonts w:ascii="Times New Roman" w:hAnsi="Times New Roman" w:cs="Times New Roman"/>
          <w:sz w:val="24"/>
          <w:szCs w:val="24"/>
        </w:rPr>
      </w:pPr>
      <w:r w:rsidRPr="0034761B">
        <w:rPr>
          <w:rFonts w:ascii="Times New Roman" w:hAnsi="Times New Roman" w:cs="Times New Roman"/>
          <w:sz w:val="24"/>
          <w:szCs w:val="24"/>
        </w:rPr>
        <w:t xml:space="preserve">Policy subsystems tend to be stable through a combination of entrenched institutional forces (such as rules and norms) and countervailing political pressures from rival coalitions. When there is more than one coalition, they can act as counterweights to each other, working to leverage political influence to shape analytical debates but seldom experiencing major shifts in </w:t>
      </w:r>
      <w:r w:rsidRPr="0034761B">
        <w:rPr>
          <w:rFonts w:ascii="Times New Roman" w:hAnsi="Times New Roman" w:cs="Times New Roman"/>
          <w:sz w:val="24"/>
          <w:szCs w:val="24"/>
        </w:rPr>
        <w:lastRenderedPageBreak/>
        <w:t>gaining or losing political ground. Actors within coalitions coordinate their actions towards a common goal, usually aimed at some sort of change in policy or protection of the status quo. However,</w:t>
      </w:r>
      <w:r>
        <w:rPr>
          <w:rFonts w:ascii="Times New Roman" w:hAnsi="Times New Roman" w:cs="Times New Roman"/>
          <w:sz w:val="24"/>
          <w:szCs w:val="24"/>
        </w:rPr>
        <w:t xml:space="preserve"> some salient events have the ability to destabilize the subsystem (and coalitions and policies therein) by causing </w:t>
      </w:r>
      <w:r w:rsidRPr="0005002A">
        <w:rPr>
          <w:rFonts w:ascii="Times New Roman" w:hAnsi="Times New Roman" w:cs="Times New Roman"/>
          <w:sz w:val="24"/>
          <w:szCs w:val="24"/>
        </w:rPr>
        <w:t>dramatic shifts in prior</w:t>
      </w:r>
      <w:r>
        <w:rPr>
          <w:rFonts w:ascii="Times New Roman" w:hAnsi="Times New Roman" w:cs="Times New Roman"/>
          <w:sz w:val="24"/>
          <w:szCs w:val="24"/>
        </w:rPr>
        <w:t xml:space="preserve">ities, attention, and resources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{"citationItems":[{"id":"ITEM-1","itemData":{"DOI":"10.1017/S0143814X98000038","ISBN":"0585200637","ISSN":"10457097","abstract":"The policy literature often mentions the agenda-setting influence of focusing events, but few policy studies systematically examine the dynamics of these events. This article closes this gap by examining focusing events, group mobilization and agenda-setting. Using natural disasters and industrial accidents as examples, most focusing events change the dominant issues on the agenda in a policy domain, they can lead to interest group mobilization, and groups often actively seek to expand or contain issues after a focusing event. I explain how differences in the composition of policy communities and the nature of the events themselves influence group and agenda dynamics. The organization of policy communities is an important factor in agenda setting, but agenda setting and group politics vary considerably with the type of event and the nature of the policy community.","author":[{"dropping-particle":"","family":"Birkland","given":"Thomas A.","non-dropping-particle":"","parse-names":false,"suffix":""}],"container-title":"Journal of Public Policy","id":"ITEM-1","issue":"1","issued":{"date-parts":[["1998"]]},"page":"53-74","publisher":"Auraria Library","title":"Focusing Events, Mobilization, and Agenda Setting","type":"article-journal","volume":"18"},"uris":["http://www.mendeley.com/documents/?uuid=512378be-ea1a-46cf-9a2e-b9be2b126c67"]},{"id":"ITEM-2","itemData":{"author":[{"dropping-particle":"","family":"Light","given":"Paul C.","non-dropping-particle":"","parse-names":false,"suffix":""}],"id":"ITEM-2","issued":{"date-parts":[["1982"]]},"publisher":"Johns Hopkins University Press","publisher-place":"Baltimore","title":"The President’s Agenda: Domestic Policy Choice from Kennedy to Carter (with Notes on Ronald Reagan)","type":"book"},"uris":["http://www.mendeley.com/documents/?uuid=3a4a5c53-c1b8-4598-b681-14809e0f4f33"]}],"mendeley":{"formattedCitation":"(Birkland 1998; Light 1982)","manualFormatting":"(Birkland 1998; Light 1982)","plainTextFormattedCitation":"(Birkland 1998; Light 1982)","previouslyFormattedCitation":"(Birkland 1998; Light 1982)"},"properties":{"noteIndex":0},"schema":"https://github.com/citation-style-language/schema/raw/master/csl-citation.json"}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AF5D63">
        <w:rPr>
          <w:rFonts w:ascii="Times New Roman" w:hAnsi="Times New Roman" w:cs="Times New Roman"/>
          <w:noProof/>
          <w:sz w:val="24"/>
          <w:szCs w:val="24"/>
        </w:rPr>
        <w:t>Birkland 1998; Light 1982)</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One of the more comprehensive understandings of the impact of salient events on politics and policy comes from the literature on focusing events which can shift attention, </w:t>
      </w:r>
      <w:r w:rsidRPr="00B9014A">
        <w:rPr>
          <w:rFonts w:ascii="Times New Roman" w:hAnsi="Times New Roman" w:cs="Times New Roman"/>
          <w:sz w:val="24"/>
          <w:szCs w:val="24"/>
        </w:rPr>
        <w:t>highlight problems within a policy subsystem and bring in novel information.</w:t>
      </w:r>
      <w:r>
        <w:rPr>
          <w:rFonts w:ascii="Times New Roman" w:hAnsi="Times New Roman" w:cs="Times New Roman"/>
          <w:sz w:val="24"/>
          <w:szCs w:val="24"/>
        </w:rPr>
        <w:t xml:space="preserve"> </w:t>
      </w:r>
      <w:r w:rsidRPr="00B9014A">
        <w:rPr>
          <w:rFonts w:ascii="Times New Roman" w:hAnsi="Times New Roman" w:cs="Times New Roman"/>
          <w:sz w:val="24"/>
          <w:szCs w:val="24"/>
        </w:rPr>
        <w:t xml:space="preserve">These dynamics can ultimately lead to major policy change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{"citationItems":[{"id":"ITEM-1","itemData":{"author":[{"dropping-particle":"","family":"Birkland","given":"Thomas A.","non-dropping-particle":"","parse-names":false,"suffix":""}],"id":"ITEM-1","issued":{"date-parts":[["2006"]]},"publisher":"Georgetown University Press","publisher-place":"Washington, DC","title":"Lessons of disaster: Policy change after catastrophic events","type":"book"},"uris":["http://www.mendeley.com/documents/?uuid=599ad066-77b5-47bd-a305-0a6b95729dc5"]}],"mendeley":{"formattedCitation":"(Birkland 2006)","plainTextFormattedCitation":"(Birkland 2006)","previouslyFormattedCitation":"(Birkland 2006)"},"properties":{"noteIndex":0},"schema":"https://github.com/citation-style-language/schema/raw/master/csl-citation.json"}</w:instrText>
      </w:r>
      <w:r>
        <w:rPr>
          <w:rFonts w:ascii="Times New Roman" w:hAnsi="Times New Roman" w:cs="Times New Roman"/>
          <w:sz w:val="24"/>
          <w:szCs w:val="24"/>
        </w:rPr>
        <w:fldChar w:fldCharType="separate"/>
      </w:r>
      <w:r w:rsidRPr="00E21A74">
        <w:rPr>
          <w:rFonts w:ascii="Times New Roman" w:hAnsi="Times New Roman" w:cs="Times New Roman"/>
          <w:noProof/>
          <w:sz w:val="24"/>
          <w:szCs w:val="24"/>
        </w:rPr>
        <w:t>(Birkland 2006)</w:t>
      </w:r>
      <w:r>
        <w:rPr>
          <w:rFonts w:ascii="Times New Roman" w:hAnsi="Times New Roman" w:cs="Times New Roman"/>
          <w:sz w:val="24"/>
          <w:szCs w:val="24"/>
        </w:rPr>
        <w:fldChar w:fldCharType="end"/>
      </w:r>
      <w:r w:rsidRPr="00B9014A">
        <w:rPr>
          <w:rFonts w:ascii="Times New Roman" w:hAnsi="Times New Roman" w:cs="Times New Roman"/>
          <w:sz w:val="24"/>
          <w:szCs w:val="24"/>
        </w:rPr>
        <w:t>.</w:t>
      </w:r>
      <w:r>
        <w:rPr>
          <w:rFonts w:ascii="Times New Roman" w:hAnsi="Times New Roman" w:cs="Times New Roman"/>
          <w:sz w:val="24"/>
          <w:szCs w:val="24"/>
        </w:rPr>
        <w:t xml:space="preserve"> </w:t>
      </w:r>
      <w:bookmarkStart w:id="7" w:name="_Hlk517700265"/>
      <w:bookmarkEnd w:id="7"/>
      <w:r>
        <w:rPr>
          <w:rFonts w:ascii="Times New Roman" w:hAnsi="Times New Roman" w:cs="Times New Roman"/>
          <w:sz w:val="24"/>
          <w:szCs w:val="24"/>
        </w:rPr>
        <w:t xml:space="preserve">The ACF views focusing events as a potential catalyst for major policy change but further distinguishes when the impetus is exogenous or internal. Major socio-economic shifts, regime changes and spillover from other subsystems are considered external triggers while internal shocks are indicative of policy failures pursued by a dominant coalition.  This provides the minority coalition with an incentive to capitalize on a window of opportunity and expand the issue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{"citationItems":[{"id":"ITEM-1","itemData":{"DOI":"10.1111/j.1541-0072.2005.00101.x","ISBN":"0190292X","ISSN":"0190292X","abstract":"While most of the network literature focuses on information and advice networks, there is increasing interest—particularly among Advocacy Coalition Framework (ACF) scholars—on ally networks and coordination networks. This article asks two basic questions: First, do information, ally, and coordi- nation networks overlap with each other? Second, and drawing from the ACF, do policy core beliefs structure the interactions in ally, coordination, and advice/information networks? We pursue these research questions in the context of the California Marine Life Protection Act process. We find that ally and coordination networks overlap slightly more than information/advice networks and that policy core beliefs do a better job of predicting ally and coordination networks than advice/information net- works. Thus, we show that ally networks can provide a useful proxy for coordination networks to iden- tify advocacy coalitions","author":[{"dropping-particle":"","family":"Weible","given":"Christopher M.","non-dropping-particle":"","parse-names":false,"suffix":""},{"dropping-particle":"","family":"Sabatier","given":"Paul A.","non-dropping-particle":"","parse-names":false,"suffix":""}],"container-title":"Policy Studies Journal","id":"ITEM-1","issue":"2","issued":{"date-parts":[["2005"]]},"page":"181-201","title":"Comparing policy networks: Marine protected areas in California","type":"article-journal","volume":"33"},"uris":["http://www.mendeley.com/documents/?uuid=546e632c-26e2-4eab-b0c7-14aa80d38668"]}],"mendeley":{"formattedCitation":"(C. M. Weible and Sabatier 2005)","manualFormatting":"(Weible and Sabatier 2005)","plainTextFormattedCitation":"(C. M. Weible and Sabatier 2005)","previouslyFormattedCitation":"(C. M. Weible and Sabatier 2005)"},"properties":{"noteIndex":0},"schema":"https://github.com/citation-style-language/schema/raw/master/csl-citation.json"}</w:instrText>
      </w:r>
      <w:r>
        <w:rPr>
          <w:rFonts w:ascii="Times New Roman" w:hAnsi="Times New Roman" w:cs="Times New Roman"/>
          <w:sz w:val="24"/>
          <w:szCs w:val="24"/>
        </w:rPr>
        <w:fldChar w:fldCharType="separate"/>
      </w:r>
      <w:r w:rsidRPr="003A4B4F">
        <w:rPr>
          <w:rFonts w:ascii="Times New Roman" w:hAnsi="Times New Roman" w:cs="Times New Roman"/>
          <w:noProof/>
          <w:sz w:val="24"/>
          <w:szCs w:val="24"/>
        </w:rPr>
        <w:t>(Weible and Sabatier 2005)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0354ED8" w14:textId="77777777" w:rsidR="00512132" w:rsidRDefault="00512132" w:rsidP="005121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Yet, policy change itself can constitute an internal shock when it shifts the political composition of policy actors within the subsystem. It can increase participation and coordination as well as influence the distribution of resources within the subsystem. Major policy changes are</w:t>
      </w:r>
      <w:r w:rsidRPr="0007357C">
        <w:rPr>
          <w:rFonts w:ascii="Times New Roman" w:hAnsi="Times New Roman" w:cs="Times New Roman"/>
          <w:sz w:val="24"/>
          <w:szCs w:val="24"/>
        </w:rPr>
        <w:t xml:space="preserve"> event</w:t>
      </w:r>
      <w:r>
        <w:rPr>
          <w:rFonts w:ascii="Times New Roman" w:hAnsi="Times New Roman" w:cs="Times New Roman"/>
          <w:sz w:val="24"/>
          <w:szCs w:val="24"/>
        </w:rPr>
        <w:t xml:space="preserve">s </w:t>
      </w:r>
      <w:r w:rsidRPr="0007357C">
        <w:rPr>
          <w:rFonts w:ascii="Times New Roman" w:hAnsi="Times New Roman" w:cs="Times New Roman"/>
          <w:sz w:val="24"/>
          <w:szCs w:val="24"/>
        </w:rPr>
        <w:t xml:space="preserve">that </w:t>
      </w:r>
      <w:r>
        <w:rPr>
          <w:rFonts w:ascii="Times New Roman" w:hAnsi="Times New Roman" w:cs="Times New Roman"/>
          <w:sz w:val="24"/>
          <w:szCs w:val="24"/>
        </w:rPr>
        <w:t>have the potential to shift</w:t>
      </w:r>
      <w:r w:rsidRPr="0007357C">
        <w:rPr>
          <w:rFonts w:ascii="Times New Roman" w:hAnsi="Times New Roman" w:cs="Times New Roman"/>
          <w:sz w:val="24"/>
          <w:szCs w:val="24"/>
        </w:rPr>
        <w:t xml:space="preserve"> the political balance of power, heighten perceived</w:t>
      </w:r>
      <w:r>
        <w:rPr>
          <w:rFonts w:ascii="Times New Roman" w:hAnsi="Times New Roman" w:cs="Times New Roman"/>
          <w:sz w:val="24"/>
          <w:szCs w:val="24"/>
        </w:rPr>
        <w:t xml:space="preserve"> </w:t>
      </w:r>
      <w:r w:rsidRPr="0007357C">
        <w:rPr>
          <w:rFonts w:ascii="Times New Roman" w:hAnsi="Times New Roman" w:cs="Times New Roman"/>
          <w:sz w:val="24"/>
          <w:szCs w:val="24"/>
        </w:rPr>
        <w:t>threats, and affect the policy process</w:t>
      </w:r>
      <w:r>
        <w:rPr>
          <w:rFonts w:ascii="Times New Roman" w:hAnsi="Times New Roman" w:cs="Times New Roman"/>
          <w:sz w:val="24"/>
          <w:szCs w:val="24"/>
        </w:rPr>
        <w:t xml:space="preserve"> </w:t>
      </w:r>
      <w:r w:rsidRPr="0007357C">
        <w:rPr>
          <w:rFonts w:ascii="Times New Roman" w:hAnsi="Times New Roman" w:cs="Times New Roman"/>
          <w:sz w:val="24"/>
          <w:szCs w:val="24"/>
        </w:rPr>
        <w:t>through significant changes to rules and norms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{"citationItems":[{"id":"ITEM-1","itemData":{"DOI":"10.1016/j.exis.2018.08.003","ISSN":"2214790X","abstract":"Examining the early stages of coalition formation and how they may react to rapid institutional changes provides insight into how like-minded policy actors pursue their goals and coordinate their behavior in relatively unstable institutional systems. This study observes activity in the policy subsystem of hydraulic fracturing (fracking) in the southern Argentinian province of Neuquén. Using media sources, we identify policy actors, their support or opposition to the expansion of unconventional oil and gas production through fracking and their agreement or disagreement on the topic of fracking, both before and after Chevron and YPF (the large publicly-owned Argentinian energy company) signed a controversial accord to develop parts of the Vaca Muerta formation, one of the largest in the world. Using Social Network Analysis, we show that two coalitions (pro and anti fracking) exist, and that they exhibit a high potential for intra-coalitional coordination and inter-coalitional conflict. Following the signing of the accord, which we see as an example of an “institutional shock” significant increases in activity and the potential for intra-coordination within the anti-fracking coalition were observed, along with an increase in the potential for conflict between the coalitions. Our results illuminate shed new light on how coalitions may form and evolve in unstable institutional systems where political power is unevenly distributed.","author":[{"dropping-particle":"","family":"Costie","given":"Daniel P.","non-dropping-particle":"","parse-names":false,"suffix":""},{"dropping-particle":"","family":"Holm","given":"Federico","non-dropping-particle":"","parse-names":false,"suffix":""},{"dropping-particle":"","family":"Berardo","given":"Ramiro","non-dropping-particle":"","parse-names":false,"suffix":""}],"container-title":"Extractive Industries and Society","id":"ITEM-1","issue":"4","issued":{"date-parts":[["2018"]]},"page":"499-507","publisher":"Elsevier","title":"Hydraulic fracturing, coalition activity and shock: Assessing the potential for coalition-based collective action in Argentina's Vaca Muerta formation","type":"article-journal","volume":"5"},"uris":["http://www.mendeley.com/documents/?uuid=7f54d90e-b555-4831-ac34-2e0cdeeef9d5"]}],"mendeley":{"formattedCitation":"(Costie, Holm, and Berardo 2018)","plainTextFormattedCitation":"(Costie, Holm, and Berardo 2018)","previouslyFormattedCitation":"(Costie, Holm, and Berardo 2018)"},"properties":{"noteIndex":0},"schema":"https://github.com/citation-style-language/schema/raw/master/csl-citation.json"}</w:instrText>
      </w:r>
      <w:r>
        <w:rPr>
          <w:rFonts w:ascii="Times New Roman" w:hAnsi="Times New Roman" w:cs="Times New Roman"/>
          <w:sz w:val="24"/>
          <w:szCs w:val="24"/>
        </w:rPr>
        <w:fldChar w:fldCharType="separate"/>
      </w:r>
      <w:r w:rsidRPr="00E21A74">
        <w:rPr>
          <w:rFonts w:ascii="Times New Roman" w:hAnsi="Times New Roman" w:cs="Times New Roman"/>
          <w:noProof/>
          <w:sz w:val="24"/>
          <w:szCs w:val="24"/>
        </w:rPr>
        <w:t>(Costie, Holm, and Berardo 2018)</w:t>
      </w:r>
      <w:r>
        <w:rPr>
          <w:rFonts w:ascii="Times New Roman" w:hAnsi="Times New Roman" w:cs="Times New Roman"/>
          <w:sz w:val="24"/>
          <w:szCs w:val="24"/>
        </w:rPr>
        <w:fldChar w:fldCharType="end"/>
      </w:r>
      <w:r w:rsidRPr="0007357C">
        <w:rPr>
          <w:rFonts w:ascii="Times New Roman" w:hAnsi="Times New Roman" w:cs="Times New Roman"/>
          <w:sz w:val="24"/>
          <w:szCs w:val="24"/>
        </w:rPr>
        <w:t>.</w:t>
      </w:r>
      <w:r>
        <w:rPr>
          <w:rFonts w:ascii="Times New Roman" w:hAnsi="Times New Roman" w:cs="Times New Roman"/>
          <w:sz w:val="24"/>
          <w:szCs w:val="24"/>
        </w:rPr>
        <w:t xml:space="preserve"> Our conceptualization of major policy changes is informed by feedback loops. A diverse cadre of scholars from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{"citationItems":[{"id":"ITEM-1","itemData":{"author":[{"dropping-particle":"","family":"Easton","given":"David","non-dropping-particle":"","parse-names":false,"suffix":""}],"id":"ITEM-1","issue":"4","issued":{"date-parts":[["1965"]]},"publisher":"The University of Chicago Press","title":"A Framework for Political Analysis","type":"book","volume":"59"},"uris":["http://www.mendeley.com/documents/?uuid=cdc40500-632e-40ac-bd42-1c2a4d139638"]}],"mendeley":{"formattedCitation":"(Easton 1965)","manualFormatting":"Easton (1965)","plainTextFormattedCitation":"(Easton 1965)","previouslyFormattedCitation":"(Easton 1965)"},"properties":{"noteIndex":0},"schema":"https://github.com/citation-style-language/schema/raw/master/csl-citation.json"}</w:instrText>
      </w:r>
      <w:r>
        <w:rPr>
          <w:rFonts w:ascii="Times New Roman" w:hAnsi="Times New Roman" w:cs="Times New Roman"/>
          <w:sz w:val="24"/>
          <w:szCs w:val="24"/>
        </w:rPr>
        <w:fldChar w:fldCharType="separate"/>
      </w:r>
      <w:r w:rsidRPr="003A5902">
        <w:rPr>
          <w:rFonts w:ascii="Times New Roman" w:hAnsi="Times New Roman" w:cs="Times New Roman"/>
          <w:noProof/>
          <w:sz w:val="24"/>
          <w:szCs w:val="24"/>
        </w:rPr>
        <w:t xml:space="preserve">Easton </w:t>
      </w:r>
      <w:r>
        <w:rPr>
          <w:rFonts w:ascii="Times New Roman" w:hAnsi="Times New Roman" w:cs="Times New Roman"/>
          <w:noProof/>
          <w:sz w:val="24"/>
          <w:szCs w:val="24"/>
        </w:rPr>
        <w:t>(</w:t>
      </w:r>
      <w:r w:rsidRPr="003A5902">
        <w:rPr>
          <w:rFonts w:ascii="Times New Roman" w:hAnsi="Times New Roman" w:cs="Times New Roman"/>
          <w:noProof/>
          <w:sz w:val="24"/>
          <w:szCs w:val="24"/>
        </w:rPr>
        <w:t>1965)</w:t>
      </w:r>
      <w:r>
        <w:rPr>
          <w:rFonts w:ascii="Times New Roman" w:hAnsi="Times New Roman" w:cs="Times New Roman"/>
          <w:sz w:val="24"/>
          <w:szCs w:val="24"/>
        </w:rPr>
        <w:fldChar w:fldCharType="end"/>
      </w:r>
      <w:r>
        <w:rPr>
          <w:rFonts w:ascii="Times New Roman" w:hAnsi="Times New Roman" w:cs="Times New Roman"/>
          <w:sz w:val="24"/>
          <w:szCs w:val="24"/>
        </w:rPr>
        <w:t xml:space="preserve">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{"citationItems":[{"id":"ITEM-1","itemData":{"DOI":"10.1017/S1537592704000623","ISSN":"15410986","abstract":"Democracies, and the citizenries that stand at their center, are not natural phenomena; they are made and sustained through politics. Government policies can play a crucial role in this process, shaping the things publics believe and want, the ways citizens view themselves and others, and how they understand and act toward the political system. Yet, while political scientists have said a great deal about how publics influence policies, they know far less about the ways policies influence publics. In this article, we seek to clarify how policies, once enacted, are likely to affect political thought and action in the citizenry. Such effects are hard to locate within the standard framework of approaches to mass behavior, and they are generally ignored by program evaluators and policy analysts. To bridge this gap, we direct attention toward a long and vibrant, but underappreciated, line of inquiry we call the “political tradition” of mass behavior research. Drawing this tradition together with recent work on “policy feedback,” we outline a framework for thinking about how policies influence mass politics. The major types of such effects include defining membership; forging political cohesion and group divisions; building or undermining civic capacities; framing policy agendas, problems, and evaluations; and structuring, stimulating, and stalling political participation. © 2004, by the American Political Science Association. All rights reserved.","author":[{"dropping-particle":"","family":"Mettler","given":"Suzanne","non-dropping-particle":"","parse-names":false,"suffix":""},{"dropping-particle":"","family":"Soss","given":"Joe","non-dropping-particle":"","parse-names":false,"suffix":""}],"container-title":"Perspectives on Politics","id":"ITEM-1","issue":"1","issued":{"date-parts":[["2004"]]},"page":"55-73","title":"The Consequences of Public Policy for Democratic Citizenship: Bridging Policy Studies and Mass Politics","type":"article-journal","volume":"2"},"uris":["http://www.mendeley.com/documents/?uuid=cfdfd47e-2269-4968-bc15-76bbb6ee344d"]}],"mendeley":{"formattedCitation":"(Mettler and Soss 2004)","manualFormatting":"Mettler and Soss (2004)","plainTextFormattedCitation":"(Mettler and Soss 2004)","previouslyFormattedCitation":"(Mettler and Soss 2004)"},"properties":{"noteIndex":0},"schema":"https://github.com/citation-style-language/schema/raw/master/csl-citation.json"}</w:instrText>
      </w:r>
      <w:r>
        <w:rPr>
          <w:rFonts w:ascii="Times New Roman" w:hAnsi="Times New Roman" w:cs="Times New Roman"/>
          <w:sz w:val="24"/>
          <w:szCs w:val="24"/>
        </w:rPr>
        <w:fldChar w:fldCharType="separate"/>
      </w:r>
      <w:r w:rsidRPr="003A5902">
        <w:rPr>
          <w:rFonts w:ascii="Times New Roman" w:hAnsi="Times New Roman" w:cs="Times New Roman"/>
          <w:noProof/>
          <w:sz w:val="24"/>
          <w:szCs w:val="24"/>
        </w:rPr>
        <w:t xml:space="preserve">Mettler and Soss </w:t>
      </w:r>
      <w:r>
        <w:rPr>
          <w:rFonts w:ascii="Times New Roman" w:hAnsi="Times New Roman" w:cs="Times New Roman"/>
          <w:noProof/>
          <w:sz w:val="24"/>
          <w:szCs w:val="24"/>
        </w:rPr>
        <w:t>(</w:t>
      </w:r>
      <w:r w:rsidRPr="003A5902">
        <w:rPr>
          <w:rFonts w:ascii="Times New Roman" w:hAnsi="Times New Roman" w:cs="Times New Roman"/>
          <w:noProof/>
          <w:sz w:val="24"/>
          <w:szCs w:val="24"/>
        </w:rPr>
        <w:t>2004)</w:t>
      </w:r>
      <w:r>
        <w:rPr>
          <w:rFonts w:ascii="Times New Roman" w:hAnsi="Times New Roman" w:cs="Times New Roman"/>
          <w:sz w:val="24"/>
          <w:szCs w:val="24"/>
        </w:rPr>
        <w:fldChar w:fldCharType="end"/>
      </w:r>
      <w:r>
        <w:rPr>
          <w:rFonts w:ascii="Times New Roman" w:hAnsi="Times New Roman" w:cs="Times New Roman"/>
          <w:sz w:val="24"/>
          <w:szCs w:val="24"/>
        </w:rPr>
        <w:t xml:space="preserve"> see the </w:t>
      </w:r>
      <w:r w:rsidRPr="0058675D">
        <w:rPr>
          <w:rFonts w:ascii="Times New Roman" w:hAnsi="Times New Roman" w:cs="Times New Roman"/>
          <w:sz w:val="24"/>
          <w:szCs w:val="24"/>
        </w:rPr>
        <w:t>policy process not as a linear model but as a dynamic, cyclical system.</w:t>
      </w:r>
      <w:r>
        <w:rPr>
          <w:rFonts w:ascii="Times New Roman" w:hAnsi="Times New Roman" w:cs="Times New Roman"/>
          <w:sz w:val="24"/>
          <w:szCs w:val="24"/>
        </w:rPr>
        <w:t xml:space="preserve"> </w:t>
      </w:r>
      <w:r w:rsidRPr="0058675D">
        <w:rPr>
          <w:rFonts w:ascii="Times New Roman" w:hAnsi="Times New Roman" w:cs="Times New Roman"/>
          <w:sz w:val="24"/>
          <w:szCs w:val="24"/>
        </w:rPr>
        <w:t>At its c</w:t>
      </w:r>
      <w:r>
        <w:rPr>
          <w:rFonts w:ascii="Times New Roman" w:hAnsi="Times New Roman" w:cs="Times New Roman"/>
          <w:sz w:val="24"/>
          <w:szCs w:val="24"/>
        </w:rPr>
        <w:t xml:space="preserve">ore are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{"citationItems":[{"id":"ITEM-1","itemData":{"author":[{"dropping-particle":"","family":"Schattschneider","given":"Elmer Eric","non-dropping-particle":"","parse-names":false,"suffix":""},{"dropping-particle":"","family":"Adamany","given":"David","non-dropping-particle":"","parse-names":false,"suffix":""}],"id":"ITEM-1","issued":{"date-parts":[["1975"]]},"publisher":"Dryden Press","publisher-place":"Hinsdale","title":"The semisovereign people: A realist's view of democracy in America","type":"book"},"uris":["http://www.mendeley.com/documents/?uuid=1f047134-fcdc-4058-a3a1-61cb6f7b8d51"]}],"mendeley":{"formattedCitation":"(Schattschneider and Adamany 1975)","manualFormatting":"Schattschneider and Adamany's (1935)","plainTextFormattedCitation":"(Schattschneider and Adamany 1975)","previouslyFormattedCitation":"(Schattschneider and Adamany 1975)"},"properties":{"noteIndex":0},"schema":"https://github.com/citation-style-language/schema/raw/master/csl-citation.json"}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Schattschneider and</w:t>
      </w:r>
      <w:r w:rsidRPr="002959B0">
        <w:rPr>
          <w:rFonts w:ascii="Times New Roman" w:hAnsi="Times New Roman" w:cs="Times New Roman"/>
          <w:noProof/>
          <w:sz w:val="24"/>
          <w:szCs w:val="24"/>
        </w:rPr>
        <w:t xml:space="preserve"> Adamany</w:t>
      </w:r>
      <w:r>
        <w:rPr>
          <w:rFonts w:ascii="Times New Roman" w:hAnsi="Times New Roman" w:cs="Times New Roman"/>
          <w:noProof/>
          <w:sz w:val="24"/>
          <w:szCs w:val="24"/>
        </w:rPr>
        <w:t>'s (</w:t>
      </w:r>
      <w:r w:rsidRPr="002959B0">
        <w:rPr>
          <w:rFonts w:ascii="Times New Roman" w:hAnsi="Times New Roman" w:cs="Times New Roman"/>
          <w:noProof/>
          <w:sz w:val="24"/>
          <w:szCs w:val="24"/>
        </w:rPr>
        <w:t>19</w:t>
      </w:r>
      <w:r>
        <w:rPr>
          <w:rFonts w:ascii="Times New Roman" w:hAnsi="Times New Roman" w:cs="Times New Roman"/>
          <w:noProof/>
          <w:sz w:val="24"/>
          <w:szCs w:val="24"/>
        </w:rPr>
        <w:t>35</w:t>
      </w:r>
      <w:r w:rsidRPr="002959B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and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{"citationItems":[{"id":"ITEM-1","itemData":{"abstract":"policy taxonomies have been discredited because they are too general","author":[{"dropping-particle":"","family":"Lowi","given":"Theodore","non-dropping-particle":"","parse-names":false,"suffix":""}],"id":"ITEM-1","issue":"4","issued":{"date-parts":[["1972"]]},"page":"298-310","title":"Four Systems of Policy , Politics , and Choice","type":"article-journal","volume":"32"},"uris":["http://www.mendeley.com/documents/?uuid=ff7c833d-2076-40ab-a3e8-9eecef8ef268"]}],"mendeley":{"formattedCitation":"(Lowi 1972)","manualFormatting":"Lowi's (1972)","plainTextFormattedCitation":"(Lowi 1972)","previouslyFormattedCitation":"(Lowi 1972)"},"properties":{"noteIndex":0},"schema":"https://github.com/citation-style-language/schema/raw/master/csl-citation.json"}</w:instrText>
      </w:r>
      <w:r>
        <w:rPr>
          <w:rFonts w:ascii="Times New Roman" w:hAnsi="Times New Roman" w:cs="Times New Roman"/>
          <w:sz w:val="24"/>
          <w:szCs w:val="24"/>
        </w:rPr>
        <w:fldChar w:fldCharType="separate"/>
      </w:r>
      <w:r w:rsidRPr="002959B0">
        <w:rPr>
          <w:rFonts w:ascii="Times New Roman" w:hAnsi="Times New Roman" w:cs="Times New Roman"/>
          <w:noProof/>
          <w:sz w:val="24"/>
          <w:szCs w:val="24"/>
        </w:rPr>
        <w:t>Lowi</w:t>
      </w:r>
      <w:r>
        <w:rPr>
          <w:rFonts w:ascii="Times New Roman" w:hAnsi="Times New Roman" w:cs="Times New Roman"/>
          <w:noProof/>
          <w:sz w:val="24"/>
          <w:szCs w:val="24"/>
        </w:rPr>
        <w:t>'s (</w:t>
      </w:r>
      <w:r w:rsidRPr="002959B0">
        <w:rPr>
          <w:rFonts w:ascii="Times New Roman" w:hAnsi="Times New Roman" w:cs="Times New Roman"/>
          <w:noProof/>
          <w:sz w:val="24"/>
          <w:szCs w:val="24"/>
        </w:rPr>
        <w:t>1972)</w:t>
      </w:r>
      <w:r>
        <w:rPr>
          <w:rFonts w:ascii="Times New Roman" w:hAnsi="Times New Roman" w:cs="Times New Roman"/>
          <w:sz w:val="24"/>
          <w:szCs w:val="24"/>
        </w:rPr>
        <w:fldChar w:fldCharType="end"/>
      </w:r>
      <w:r w:rsidRPr="0058675D">
        <w:rPr>
          <w:rFonts w:ascii="Times New Roman" w:hAnsi="Times New Roman" w:cs="Times New Roman"/>
          <w:sz w:val="24"/>
          <w:szCs w:val="24"/>
        </w:rPr>
        <w:t xml:space="preserve"> </w:t>
      </w:r>
      <w:r>
        <w:rPr>
          <w:rFonts w:ascii="Times New Roman" w:hAnsi="Times New Roman" w:cs="Times New Roman"/>
          <w:sz w:val="24"/>
          <w:szCs w:val="24"/>
        </w:rPr>
        <w:t xml:space="preserve">similar </w:t>
      </w:r>
      <w:r w:rsidRPr="0058675D">
        <w:rPr>
          <w:rFonts w:ascii="Times New Roman" w:hAnsi="Times New Roman" w:cs="Times New Roman"/>
          <w:sz w:val="24"/>
          <w:szCs w:val="24"/>
        </w:rPr>
        <w:t>assertion</w:t>
      </w:r>
      <w:r>
        <w:rPr>
          <w:rFonts w:ascii="Times New Roman" w:hAnsi="Times New Roman" w:cs="Times New Roman"/>
          <w:sz w:val="24"/>
          <w:szCs w:val="24"/>
        </w:rPr>
        <w:t>s</w:t>
      </w:r>
      <w:r w:rsidRPr="0058675D">
        <w:rPr>
          <w:rFonts w:ascii="Times New Roman" w:hAnsi="Times New Roman" w:cs="Times New Roman"/>
          <w:sz w:val="24"/>
          <w:szCs w:val="24"/>
        </w:rPr>
        <w:t xml:space="preserve"> that policy influences politics a</w:t>
      </w:r>
      <w:r>
        <w:rPr>
          <w:rFonts w:ascii="Times New Roman" w:hAnsi="Times New Roman" w:cs="Times New Roman"/>
          <w:sz w:val="24"/>
          <w:szCs w:val="24"/>
        </w:rPr>
        <w:t xml:space="preserve">nd politics influences policy. </w:t>
      </w:r>
      <w:r w:rsidRPr="0058675D">
        <w:rPr>
          <w:rFonts w:ascii="Times New Roman" w:hAnsi="Times New Roman" w:cs="Times New Roman"/>
          <w:sz w:val="24"/>
          <w:szCs w:val="24"/>
        </w:rPr>
        <w:t xml:space="preserve">Policies shape the attitudes and behavior of policy actors and the </w:t>
      </w:r>
      <w:r w:rsidRPr="0058675D">
        <w:rPr>
          <w:rFonts w:ascii="Times New Roman" w:hAnsi="Times New Roman" w:cs="Times New Roman"/>
          <w:sz w:val="24"/>
          <w:szCs w:val="24"/>
        </w:rPr>
        <w:lastRenderedPageBreak/>
        <w:t>public.</w:t>
      </w:r>
      <w:r>
        <w:rPr>
          <w:rFonts w:ascii="Times New Roman" w:hAnsi="Times New Roman" w:cs="Times New Roman"/>
          <w:sz w:val="24"/>
          <w:szCs w:val="24"/>
        </w:rPr>
        <w:t xml:space="preserve"> </w:t>
      </w:r>
      <w:r w:rsidRPr="0058675D">
        <w:rPr>
          <w:rFonts w:ascii="Times New Roman" w:hAnsi="Times New Roman" w:cs="Times New Roman"/>
          <w:sz w:val="24"/>
          <w:szCs w:val="24"/>
        </w:rPr>
        <w:t>They impact the policy process in four key ways; by shaping the meaning of citizenship, the form of governance, the power of groups, and the</w:t>
      </w:r>
      <w:r>
        <w:rPr>
          <w:rFonts w:ascii="Times New Roman" w:hAnsi="Times New Roman" w:cs="Times New Roman"/>
          <w:sz w:val="24"/>
          <w:szCs w:val="24"/>
        </w:rPr>
        <w:t xml:space="preserve"> definition of policy problems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ttler","given":"Suzanne","non-dropping-particle":"","parse-names":false,"suffix":""},{"dropping-particle":"","family":"SoRelle","given":"Mallory","non-dropping-particle":"","parse-names":false,"suffix":""}],"container-title":"Theories of the Policy Process","edition":"3rd","id":"ITEM-1","issued":{"date-parts":[["2014"]]},"title":"Policy Feedback Theory","type":"chapter"},"uris":["http://www.mendeley.com/documents/?uuid=71e2898f-b0d9-497e-9f1a-56ac99926f5b"]}],"mendeley":{"formattedCitation":"(Mettler and SoRelle 2014)","plainTextFormattedCitation":"(Mettler and SoRelle 2014)","previouslyFormattedCitation":"(Mettler and SoRelle 2014)"},"properties":{"noteIndex":0},"schema":"https://github.com/citation-style-language/schema/raw/master/csl-citation.json"}</w:instrText>
      </w:r>
      <w:r>
        <w:rPr>
          <w:rFonts w:ascii="Times New Roman" w:hAnsi="Times New Roman" w:cs="Times New Roman"/>
          <w:sz w:val="24"/>
          <w:szCs w:val="24"/>
        </w:rPr>
        <w:fldChar w:fldCharType="separate"/>
      </w:r>
      <w:r w:rsidRPr="0082640C">
        <w:rPr>
          <w:rFonts w:ascii="Times New Roman" w:hAnsi="Times New Roman" w:cs="Times New Roman"/>
          <w:noProof/>
          <w:sz w:val="24"/>
          <w:szCs w:val="24"/>
        </w:rPr>
        <w:t>(Mettler and SoRelle 2014)</w:t>
      </w:r>
      <w:r>
        <w:rPr>
          <w:rFonts w:ascii="Times New Roman" w:hAnsi="Times New Roman" w:cs="Times New Roman"/>
          <w:sz w:val="24"/>
          <w:szCs w:val="24"/>
        </w:rPr>
        <w:fldChar w:fldCharType="end"/>
      </w:r>
      <w:r w:rsidRPr="0058675D">
        <w:rPr>
          <w:rFonts w:ascii="Times New Roman" w:hAnsi="Times New Roman" w:cs="Times New Roman"/>
          <w:sz w:val="24"/>
          <w:szCs w:val="24"/>
        </w:rPr>
        <w:t>.</w:t>
      </w:r>
      <w:r>
        <w:rPr>
          <w:rFonts w:ascii="Times New Roman" w:hAnsi="Times New Roman" w:cs="Times New Roman"/>
          <w:sz w:val="24"/>
          <w:szCs w:val="24"/>
        </w:rPr>
        <w:t xml:space="preserve"> </w:t>
      </w:r>
    </w:p>
    <w:p w14:paraId="681E5DFA" w14:textId="77777777" w:rsidR="00512132" w:rsidRDefault="00512132" w:rsidP="005121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Instability surrounding a policy change may be the result of anticipated or reactionary responses to a policy change, sometimes with lasting impacts. For example, coalitions can prompt</w:t>
      </w:r>
      <w:r w:rsidRPr="0005002A">
        <w:rPr>
          <w:rFonts w:ascii="Times New Roman" w:hAnsi="Times New Roman" w:cs="Times New Roman"/>
          <w:sz w:val="24"/>
          <w:szCs w:val="24"/>
        </w:rPr>
        <w:t xml:space="preserve"> a larger discuss</w:t>
      </w:r>
      <w:r>
        <w:rPr>
          <w:rFonts w:ascii="Times New Roman" w:hAnsi="Times New Roman" w:cs="Times New Roman"/>
          <w:sz w:val="24"/>
          <w:szCs w:val="24"/>
        </w:rPr>
        <w:t xml:space="preserve">ion of ideas following the passage of a policy, creating long-term changes in messaging or framing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{"citationItems":[{"id":"ITEM-1","itemData":{"author":[{"dropping-particle":"","family":"Kingdon","given":"John W.","non-dropping-particle":"","parse-names":false,"suffix":""}],"edition":"2nd","id":"ITEM-1","issued":{"date-parts":[["2011"]]},"publisher":"Longman","title":"Agendas, Alternatives, and Public Policies","type":"book"},"uris":["http://www.mendeley.com/documents/?uuid=0b62c153-f95f-4bbc-ad78-6e3157d40180"]},{"id":"ITEM-2","itemData":{"author":[{"dropping-particle":"","family":"Birkland","given":"Thomas A.","non-dropping-particle":"","parse-names":false,"suffix":""}],"id":"ITEM-2","issued":{"date-parts":[["2006"]]},"publisher":"Georgetown University Press","publisher-place":"Washington, DC","title":"Lessons of disaster: Policy change after catastrophic events","type":"book"},"uris":["http://www.mendeley.com/documents/?uuid=599ad066-77b5-47bd-a305-0a6b95729dc5"]}],"mendeley":{"formattedCitation":"(Birkland 2006; Kingdon 2011)","manualFormatting":"(Birkland 2006; Kingdon 2011)","plainTextFormattedCitation":"(Birkland 2006; Kingdon 2011)","previouslyFormattedCitation":"(Birkland 2006; Kingdon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AF5D63">
        <w:rPr>
          <w:rFonts w:ascii="Times New Roman" w:hAnsi="Times New Roman" w:cs="Times New Roman"/>
          <w:noProof/>
          <w:sz w:val="24"/>
          <w:szCs w:val="24"/>
        </w:rPr>
        <w:t>Birkland 2006; Kingdon 2011)</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If a coalition is against the policy change,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{"citationItems":[{"id":"ITEM-1","itemData":{"author":[{"dropping-particle":"","family":"Schattschneider","given":"Elmer Eric","non-dropping-particle":"","parse-names":false,"suffix":""},{"dropping-particle":"","family":"Adamany","given":"David","non-dropping-particle":"","parse-names":false,"suffix":""}],"id":"ITEM-1","issued":{"date-parts":[["1975"]]},"publisher":"Dryden Press","publisher-place":"Hinsdale","title":"The semisovereign people: A realist's view of democracy in America","type":"book"},"uris":["http://www.mendeley.com/documents/?uuid=1f047134-fcdc-4058-a3a1-61cb6f7b8d51"]}],"mendeley":{"formattedCitation":"(Schattschneider and Adamany 1975)","manualFormatting":"Schattschneider and Adamany (1975)","plainTextFormattedCitation":"(Schattschneider and Adamany 1975)","previouslyFormattedCitation":"(Schattschneider and Adamany 1975)"},"properties":{"noteIndex":0},"schema":"https://github.com/citation-style-language/schema/raw/master/csl-citation.json"}</w:instrText>
      </w:r>
      <w:r>
        <w:rPr>
          <w:rFonts w:ascii="Times New Roman" w:hAnsi="Times New Roman" w:cs="Times New Roman"/>
          <w:sz w:val="24"/>
          <w:szCs w:val="24"/>
        </w:rPr>
        <w:fldChar w:fldCharType="separate"/>
      </w:r>
      <w:r w:rsidRPr="002959B0">
        <w:rPr>
          <w:rFonts w:ascii="Times New Roman" w:hAnsi="Times New Roman" w:cs="Times New Roman"/>
          <w:noProof/>
          <w:sz w:val="24"/>
          <w:szCs w:val="24"/>
        </w:rPr>
        <w:t xml:space="preserve">Schattschneider and Adamany </w:t>
      </w:r>
      <w:r>
        <w:rPr>
          <w:rFonts w:ascii="Times New Roman" w:hAnsi="Times New Roman" w:cs="Times New Roman"/>
          <w:noProof/>
          <w:sz w:val="24"/>
          <w:szCs w:val="24"/>
        </w:rPr>
        <w:t>(</w:t>
      </w:r>
      <w:r w:rsidRPr="002959B0">
        <w:rPr>
          <w:rFonts w:ascii="Times New Roman" w:hAnsi="Times New Roman" w:cs="Times New Roman"/>
          <w:noProof/>
          <w:sz w:val="24"/>
          <w:szCs w:val="24"/>
        </w:rPr>
        <w:t>1975)</w:t>
      </w:r>
      <w:r>
        <w:rPr>
          <w:rFonts w:ascii="Times New Roman" w:hAnsi="Times New Roman" w:cs="Times New Roman"/>
          <w:sz w:val="24"/>
          <w:szCs w:val="24"/>
        </w:rPr>
        <w:fldChar w:fldCharType="end"/>
      </w:r>
      <w:r>
        <w:rPr>
          <w:rFonts w:ascii="Times New Roman" w:hAnsi="Times New Roman" w:cs="Times New Roman"/>
          <w:sz w:val="24"/>
          <w:szCs w:val="24"/>
        </w:rPr>
        <w:t xml:space="preserve"> discuss</w:t>
      </w:r>
      <w:r w:rsidRPr="0005002A">
        <w:rPr>
          <w:rFonts w:ascii="Times New Roman" w:hAnsi="Times New Roman" w:cs="Times New Roman"/>
          <w:sz w:val="24"/>
          <w:szCs w:val="24"/>
        </w:rPr>
        <w:t xml:space="preserve"> how </w:t>
      </w:r>
      <w:r>
        <w:rPr>
          <w:rFonts w:ascii="Times New Roman" w:hAnsi="Times New Roman" w:cs="Times New Roman"/>
          <w:sz w:val="24"/>
          <w:szCs w:val="24"/>
        </w:rPr>
        <w:t>their members might</w:t>
      </w:r>
      <w:r w:rsidRPr="0005002A">
        <w:rPr>
          <w:rFonts w:ascii="Times New Roman" w:hAnsi="Times New Roman" w:cs="Times New Roman"/>
          <w:sz w:val="24"/>
          <w:szCs w:val="24"/>
        </w:rPr>
        <w:t xml:space="preserve"> have an incentive to mobilize as a way to expand the policy problem to incorporate more actors. They also have a greater incentive to remain </w:t>
      </w:r>
      <w:r>
        <w:rPr>
          <w:rFonts w:ascii="Times New Roman" w:hAnsi="Times New Roman" w:cs="Times New Roman"/>
          <w:sz w:val="24"/>
          <w:szCs w:val="24"/>
        </w:rPr>
        <w:t xml:space="preserve">more </w:t>
      </w:r>
      <w:r w:rsidRPr="0005002A">
        <w:rPr>
          <w:rFonts w:ascii="Times New Roman" w:hAnsi="Times New Roman" w:cs="Times New Roman"/>
          <w:sz w:val="24"/>
          <w:szCs w:val="24"/>
        </w:rPr>
        <w:t>cohe</w:t>
      </w:r>
      <w:r>
        <w:rPr>
          <w:rFonts w:ascii="Times New Roman" w:hAnsi="Times New Roman" w:cs="Times New Roman"/>
          <w:sz w:val="24"/>
          <w:szCs w:val="24"/>
        </w:rPr>
        <w:t>sive than coalition members in winning coalitions</w:t>
      </w:r>
      <w:r w:rsidRPr="0005002A">
        <w:rPr>
          <w:rFonts w:ascii="Times New Roman" w:hAnsi="Times New Roman" w:cs="Times New Roman"/>
          <w:sz w:val="24"/>
          <w:szCs w:val="24"/>
        </w:rPr>
        <w:t xml:space="preserve"> as </w:t>
      </w:r>
      <w:r>
        <w:rPr>
          <w:rFonts w:ascii="Times New Roman" w:hAnsi="Times New Roman" w:cs="Times New Roman"/>
          <w:sz w:val="24"/>
          <w:szCs w:val="24"/>
        </w:rPr>
        <w:t xml:space="preserve">it is the best way to gain more influence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{"citationItems":[{"id":"ITEM-1","itemData":{"DOI":"10.1017/S0143814X00007431","ISSN":"0143-814X","author":[{"dropping-particle":"","family":"Jenkins-Smith","given":"Hank C.","non-dropping-particle":"","parse-names":false,"suffix":""},{"dropping-particle":"","family":"Sabatier","given":"Paul a.","non-dropping-particle":"","parse-names":false,"suffix":""}],"container-title":"Journal of Public Policy","id":"ITEM-1","issue":"2","issued":{"date-parts":[["1994"]]},"page":"175-203","title":"Evaluating the Advocacy Coalition Framework","type":"article-journal","volume":"14"},"uris":["http://www.mendeley.com/documents/?uuid=db4cdb85-2067-4b8f-9add-02a8d57d6783"]}],"mendeley":{"formattedCitation":"(Jenkins-Smith and Sabatier 1994)","plainTextFormattedCitation":"(Jenkins-Smith and Sabatier 1994)","previouslyFormattedCitation":"(Jenkins-Smith and Sabatier 1994)"},"properties":{"noteIndex":0},"schema":"https://github.com/citation-style-language/schema/raw/master/csl-citation.json"}</w:instrText>
      </w:r>
      <w:r>
        <w:rPr>
          <w:rFonts w:ascii="Times New Roman" w:hAnsi="Times New Roman" w:cs="Times New Roman"/>
          <w:sz w:val="24"/>
          <w:szCs w:val="24"/>
        </w:rPr>
        <w:fldChar w:fldCharType="separate"/>
      </w:r>
      <w:r w:rsidRPr="002959B0">
        <w:rPr>
          <w:rFonts w:ascii="Times New Roman" w:hAnsi="Times New Roman" w:cs="Times New Roman"/>
          <w:noProof/>
          <w:sz w:val="24"/>
          <w:szCs w:val="24"/>
        </w:rPr>
        <w:t>(Jenkins-Smith and Sabatier 1994)</w:t>
      </w:r>
      <w:r>
        <w:rPr>
          <w:rFonts w:ascii="Times New Roman" w:hAnsi="Times New Roman" w:cs="Times New Roman"/>
          <w:sz w:val="24"/>
          <w:szCs w:val="24"/>
        </w:rPr>
        <w:fldChar w:fldCharType="end"/>
      </w:r>
      <w:r w:rsidRPr="0005002A">
        <w:rPr>
          <w:rFonts w:ascii="Times New Roman" w:hAnsi="Times New Roman" w:cs="Times New Roman"/>
          <w:sz w:val="24"/>
          <w:szCs w:val="24"/>
        </w:rPr>
        <w:t xml:space="preserve">. </w:t>
      </w:r>
    </w:p>
    <w:p w14:paraId="700831C9" w14:textId="77777777" w:rsidR="00512132" w:rsidRDefault="00512132" w:rsidP="00512132">
      <w:pPr>
        <w:spacing w:after="0" w:line="480" w:lineRule="auto"/>
        <w:ind w:firstLine="720"/>
        <w:rPr>
          <w:rFonts w:ascii="Times New Roman" w:hAnsi="Times New Roman" w:cs="Times New Roman"/>
          <w:sz w:val="24"/>
          <w:szCs w:val="24"/>
        </w:rPr>
      </w:pPr>
      <w:r w:rsidRPr="0005002A">
        <w:rPr>
          <w:rFonts w:ascii="Times New Roman" w:hAnsi="Times New Roman" w:cs="Times New Roman"/>
          <w:sz w:val="24"/>
          <w:szCs w:val="24"/>
        </w:rPr>
        <w:t>While events give significant advantage to groups interested in p</w:t>
      </w:r>
      <w:r>
        <w:rPr>
          <w:rFonts w:ascii="Times New Roman" w:hAnsi="Times New Roman" w:cs="Times New Roman"/>
          <w:sz w:val="24"/>
          <w:szCs w:val="24"/>
        </w:rPr>
        <w:t>olicy change immediately after,</w:t>
      </w:r>
      <w:r w:rsidRPr="0005002A">
        <w:rPr>
          <w:rFonts w:ascii="Times New Roman" w:hAnsi="Times New Roman" w:cs="Times New Roman"/>
          <w:sz w:val="24"/>
          <w:szCs w:val="24"/>
        </w:rPr>
        <w:t xml:space="preserve"> sustained influence is not a certainty.</w:t>
      </w:r>
      <w:r>
        <w:rPr>
          <w:rFonts w:ascii="Times New Roman" w:hAnsi="Times New Roman" w:cs="Times New Roman"/>
          <w:sz w:val="24"/>
          <w:szCs w:val="24"/>
        </w:rPr>
        <w:t xml:space="preserve"> </w:t>
      </w:r>
      <w:r w:rsidRPr="0005002A">
        <w:rPr>
          <w:rFonts w:ascii="Times New Roman" w:hAnsi="Times New Roman" w:cs="Times New Roman"/>
          <w:sz w:val="24"/>
          <w:szCs w:val="24"/>
        </w:rPr>
        <w:t>The window of exploitation is short lived unless skilled actors</w:t>
      </w:r>
      <w:r>
        <w:rPr>
          <w:rFonts w:ascii="Times New Roman" w:hAnsi="Times New Roman" w:cs="Times New Roman"/>
          <w:sz w:val="24"/>
          <w:szCs w:val="24"/>
        </w:rPr>
        <w:t xml:space="preserve"> </w:t>
      </w:r>
      <w:r w:rsidRPr="0005002A">
        <w:rPr>
          <w:rFonts w:ascii="Times New Roman" w:hAnsi="Times New Roman" w:cs="Times New Roman"/>
          <w:sz w:val="24"/>
          <w:szCs w:val="24"/>
        </w:rPr>
        <w:t>create smart str</w:t>
      </w:r>
      <w:r>
        <w:rPr>
          <w:rFonts w:ascii="Times New Roman" w:hAnsi="Times New Roman" w:cs="Times New Roman"/>
          <w:sz w:val="24"/>
          <w:szCs w:val="24"/>
        </w:rPr>
        <w:t xml:space="preserve">ategies to amplify their message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{"citationItems":[{"id":"ITEM-1","itemData":{"ISBN":"9781137370129","author":[{"dropping-particle":"","family":"Heikkila","given":"Tanya","non-dropping-particle":"","parse-names":false,"suffix":""},{"dropping-particle":"","family":"Weible","given":"Christopher M.","non-dropping-particle":"","parse-names":false,"suffix":""},{"dropping-particle":"","family":"Pierce","given":"Jonathan J.","non-dropping-particle":"","parse-names":false,"suffix":""}],"chapter-number":"9","container-title":"The Science of Stories: Applications of the Narrative Policy Framework in Public Policy Analysis","editor":[{"dropping-particle":"","family":"Jones","given":"Michael D.","non-dropping-particle":"","parse-names":false,"suffix":""},{"dropping-particle":"","family":"Shanahan","given":"Elizabeth A.","non-dropping-particle":"","parse-names":false,"suffix":""},{"dropping-particle":"","family":"McBeth","given":"Mark K.","non-dropping-particle":"","parse-names":false,"suffix":""}],"id":"ITEM-1","issued":{"date-parts":[["2014"]]},"page":"185-207","publisher":"Palgrave Macmillan","publisher-place":"New York","title":"Exploring the Policy Narratives and Politics of Hydraulic Fracturing in New York","type":"chapter"},"uris":["http://www.mendeley.com/documents/?uuid=5853a3ab-fda2-499b-9695-ac0cc31e8371"]},{"id":"ITEM-2","itemData":{"author":[{"dropping-particle":"","family":"Downs","given":"Anthony","non-dropping-particle":"","parse-names":false,"suffix":""}],"container-title":"Public Interest","id":"ITEM-2","issued":{"date-parts":[["1972"]]},"title":"Up and Down with Ecology-the Issue-Attention Cycle","type":"article-journal","volume":"28"},"uris":["http://www.mendeley.com/documents/?uuid=c0ae0d58-b1ef-4800-b909-e5078b41b383"]}],"mendeley":{"formattedCitation":"(Downs 1972; Heikkila, Weible, and Pierce 2014)","plainTextFormattedCitation":"(Downs 1972; Heikkila, Weible, and Pierce 2014)","previouslyFormattedCitation":"(Downs 1972; Heikkila, Weible, and Pierce 2014)"},"properties":{"noteIndex":0},"schema":"https://github.com/citation-style-language/schema/raw/master/csl-citation.json"}</w:instrText>
      </w:r>
      <w:r>
        <w:rPr>
          <w:rFonts w:ascii="Times New Roman" w:hAnsi="Times New Roman" w:cs="Times New Roman"/>
          <w:sz w:val="24"/>
          <w:szCs w:val="24"/>
        </w:rPr>
        <w:fldChar w:fldCharType="separate"/>
      </w:r>
      <w:r w:rsidRPr="00AF5D63">
        <w:rPr>
          <w:rFonts w:ascii="Times New Roman" w:hAnsi="Times New Roman" w:cs="Times New Roman"/>
          <w:noProof/>
          <w:sz w:val="24"/>
          <w:szCs w:val="24"/>
        </w:rPr>
        <w:t>(Downs 1972; Heikkila, Weible, and Pierce 2014)</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After a short period of time, the salience of the issue dies down as actors no longer want to invest further resources when they see no movement has been made.</w:t>
      </w:r>
      <w:r>
        <w:rPr>
          <w:rFonts w:ascii="Times New Roman" w:hAnsi="Times New Roman" w:cs="Times New Roman"/>
          <w:sz w:val="24"/>
          <w:szCs w:val="24"/>
        </w:rPr>
        <w:t xml:space="preserve"> </w:t>
      </w:r>
      <w:r w:rsidRPr="0005002A">
        <w:rPr>
          <w:rFonts w:ascii="Times New Roman" w:hAnsi="Times New Roman" w:cs="Times New Roman"/>
          <w:sz w:val="24"/>
          <w:szCs w:val="24"/>
        </w:rPr>
        <w:t>It is also impacted by the fact that attention is limited and often divided amongst many iss</w:t>
      </w:r>
      <w:r>
        <w:rPr>
          <w:rFonts w:ascii="Times New Roman" w:hAnsi="Times New Roman" w:cs="Times New Roman"/>
          <w:sz w:val="24"/>
          <w:szCs w:val="24"/>
        </w:rPr>
        <w:t xml:space="preserve">ues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{"citationItems":[{"id":"ITEM-1","itemData":{"author":[{"dropping-particle":"","family":"Jones","given":"Bryan D","non-dropping-particle":"","parse-names":false,"suffix":""},{"dropping-particle":"","family":"Baumgartner","given":"Frank R","non-dropping-particle":"","parse-names":false,"suffix":""}],"container-title":"Policy Studies Journal","id":"ITEM-1","issue":"1","issued":{"date-parts":[["2012"]]},"page":"1-20","title":"From There to Here: Punctuated Equilibrium to the General Punctuation Thesis to a Theory of Government Information Processing - Jones - 2012 - Policy Studies Journal - Wiley Online Library","type":"article-journal","volume":"40"},"uris":["http://www.mendeley.com/documents/?uuid=fa3c76d1-a153-44b6-ae9f-2633d00cba7b"]}],"mendeley":{"formattedCitation":"(B. D. Jones and Baumgartner 2012)","manualFormatting":"(Jones and Baumgartner 2012)","plainTextFormattedCitation":"(B. D. Jones and Baumgartner 2012)","previouslyFormattedCitation":"(B. D. Jones and Baumgartner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904CF2">
        <w:rPr>
          <w:rFonts w:ascii="Times New Roman" w:hAnsi="Times New Roman" w:cs="Times New Roman"/>
          <w:noProof/>
          <w:sz w:val="24"/>
          <w:szCs w:val="24"/>
        </w:rPr>
        <w:t>Jones and Baumgartner 2012)</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This will freque</w:t>
      </w:r>
      <w:r>
        <w:rPr>
          <w:rFonts w:ascii="Times New Roman" w:hAnsi="Times New Roman" w:cs="Times New Roman"/>
          <w:sz w:val="24"/>
          <w:szCs w:val="24"/>
        </w:rPr>
        <w:t xml:space="preserve">ntly translate into short term instability </w:t>
      </w:r>
      <w:r w:rsidRPr="0005002A">
        <w:rPr>
          <w:rFonts w:ascii="Times New Roman" w:hAnsi="Times New Roman" w:cs="Times New Roman"/>
          <w:sz w:val="24"/>
          <w:szCs w:val="24"/>
        </w:rPr>
        <w:t xml:space="preserve">as activity and coordination will temporarily </w:t>
      </w:r>
      <w:r>
        <w:rPr>
          <w:rFonts w:ascii="Times New Roman" w:hAnsi="Times New Roman" w:cs="Times New Roman"/>
          <w:sz w:val="24"/>
          <w:szCs w:val="24"/>
        </w:rPr>
        <w:t>heighten</w:t>
      </w:r>
      <w:r w:rsidRPr="0005002A">
        <w:rPr>
          <w:rFonts w:ascii="Times New Roman" w:hAnsi="Times New Roman" w:cs="Times New Roman"/>
          <w:sz w:val="24"/>
          <w:szCs w:val="24"/>
        </w:rPr>
        <w:t xml:space="preserve"> </w:t>
      </w:r>
      <w:r>
        <w:rPr>
          <w:rFonts w:ascii="Times New Roman" w:hAnsi="Times New Roman" w:cs="Times New Roman"/>
          <w:sz w:val="24"/>
          <w:szCs w:val="24"/>
        </w:rPr>
        <w:t>when coalition members attempt to expand the issue</w:t>
      </w:r>
      <w:r w:rsidRPr="0005002A">
        <w:rPr>
          <w:rFonts w:ascii="Times New Roman" w:hAnsi="Times New Roman" w:cs="Times New Roman"/>
          <w:sz w:val="24"/>
          <w:szCs w:val="24"/>
        </w:rPr>
        <w:t xml:space="preserve"> but will die down soon after. </w:t>
      </w:r>
    </w:p>
    <w:p w14:paraId="4C8401AB" w14:textId="77777777" w:rsidR="00512132" w:rsidRDefault="00512132" w:rsidP="002D2B85">
      <w:pPr>
        <w:spacing w:after="0" w:line="480" w:lineRule="auto"/>
        <w:ind w:firstLine="720"/>
        <w:rPr>
          <w:rFonts w:ascii="Times New Roman" w:hAnsi="Times New Roman" w:cs="Times New Roman"/>
          <w:sz w:val="24"/>
          <w:szCs w:val="24"/>
        </w:rPr>
      </w:pPr>
    </w:p>
    <w:p w14:paraId="23F7E188" w14:textId="77777777" w:rsidR="00364F1D" w:rsidRPr="008A2BE8" w:rsidRDefault="00364F1D" w:rsidP="00364F1D">
      <w:pPr>
        <w:pStyle w:val="Heading1"/>
        <w:jc w:val="center"/>
        <w:rPr>
          <w:rFonts w:ascii="Times New Roman" w:hAnsi="Times New Roman" w:cs="Times New Roman"/>
          <w:b/>
          <w:bCs/>
          <w:color w:val="auto"/>
          <w:sz w:val="24"/>
          <w:szCs w:val="24"/>
        </w:rPr>
      </w:pPr>
      <w:bookmarkStart w:id="8" w:name="_Toc46917827"/>
      <w:r w:rsidRPr="008A2BE8">
        <w:rPr>
          <w:rFonts w:ascii="Times New Roman" w:hAnsi="Times New Roman" w:cs="Times New Roman"/>
          <w:b/>
          <w:bCs/>
          <w:color w:val="auto"/>
          <w:sz w:val="24"/>
          <w:szCs w:val="24"/>
        </w:rPr>
        <w:lastRenderedPageBreak/>
        <w:t>Twitter to Complement ACF Methods</w:t>
      </w:r>
      <w:bookmarkEnd w:id="8"/>
    </w:p>
    <w:p w14:paraId="7793DE78" w14:textId="77777777" w:rsidR="00364F1D" w:rsidRDefault="00364F1D" w:rsidP="00364F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Twitter can be used to test long standing assumptions of the ACF by capturing different policy actors than are traditionally found in ACF studies. Advocacy coalition behavior has been observed through legislative hearings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{"citationItems":[{"id":"ITEM-1","itemData":{"DOI":"10.1111/j.1541-0072.2004.00054.x","ISBN":"0190-292X","ISSN":"0190-292X","abstract":"Research on coalitions in the policy process has found evidence of both short-term and long-term coali- tions. Two possible methodological reasons for the varied results are that (1) there has been little sys- tematic longitudinal research on the topic, and (2) most scholars have not distinguished situations where fundamental versus secondary interests are at stake. This article addresses both points by first applying the Advocacy Coalition Framework (ACF), which distinguishes fundamental from second- ary beliefs/interests, and then performing a quantitative analysis of the content of organizations’ tes- timonies regarding automotive pollution control over 26 years. Consistent with the ACF, we find that coalitions of interest groups, legislators, local governments, and agencies are relatively stable over time, despite two potentially disruptive events—the 1973–74 Oil Embargo and the 1980 Elections. On the other hand, there is little support for the ACF’s hypothesis that broader beliefs will be more stable than narrower secondary beliefs. Our systematic methodology also enables us to separate the general pattern of of stability from interesting exceptions of instability. Introduction","author":[{"dropping-particle":"","family":"Zafonte","given":"Matthew","non-dropping-particle":"","parse-names":false,"suffix":""},{"dropping-particle":"","family":"Sabatier","given":"Paul a.","non-dropping-particle":"","parse-names":false,"suffix":""}],"container-title":"The Policy Studies Journal","id":"ITEM-1","issue":"1","issued":{"date-parts":[["2004"]]},"page":"1963-1989","title":"Short-Term Versus Long-Term Coalitions in the Policy Process : Automotive Pollution Control, 1963 – 1989","type":"article-journal","volume":"32"},"uris":["http://www.mendeley.com/documents/?uuid=1c5051f3-2bbd-40ef-873a-5a8f4afb1563"]}],"mendeley":{"formattedCitation":"(Zafonte and Sabatier 2004)","plainTextFormattedCitation":"(Zafonte and Sabatier 2004)","previouslyFormattedCitation":"(Zafonte and Sabatier 2004)"},"properties":{"noteIndex":0},"schema":"https://github.com/citation-style-language/schema/raw/master/csl-citation.json"}</w:instrText>
      </w:r>
      <w:r>
        <w:rPr>
          <w:rFonts w:ascii="Times New Roman" w:hAnsi="Times New Roman" w:cs="Times New Roman"/>
          <w:sz w:val="24"/>
          <w:szCs w:val="24"/>
        </w:rPr>
        <w:fldChar w:fldCharType="separate"/>
      </w:r>
      <w:r w:rsidRPr="00E21A74">
        <w:rPr>
          <w:rFonts w:ascii="Times New Roman" w:hAnsi="Times New Roman" w:cs="Times New Roman"/>
          <w:noProof/>
          <w:sz w:val="24"/>
          <w:szCs w:val="24"/>
        </w:rPr>
        <w:t>(Zafonte and Sabatier 2004)</w:t>
      </w:r>
      <w:r>
        <w:rPr>
          <w:rFonts w:ascii="Times New Roman" w:hAnsi="Times New Roman" w:cs="Times New Roman"/>
          <w:sz w:val="24"/>
          <w:szCs w:val="24"/>
        </w:rPr>
        <w:fldChar w:fldCharType="end"/>
      </w:r>
      <w:r>
        <w:rPr>
          <w:rFonts w:ascii="Times New Roman" w:hAnsi="Times New Roman" w:cs="Times New Roman"/>
          <w:sz w:val="24"/>
          <w:szCs w:val="24"/>
        </w:rPr>
        <w:t xml:space="preserve">, interviews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{"citationItems":[{"id":"ITEM-1","itemData":{"DOI":"10.1177/106591290505800308","ISBN":"1065-9129","ISSN":"1065-9129","abstract":"To what extent do stakeholders in a conflict over natural resources interact with actors of congruent policy core beliefs or with actors who have perceived influence? The response to this question is structured principally by the Advocacy Coalition Framework (ACF) using questionnaire and interview data collected from stakeholders involved in California Marine Protected Area policy. The findings indicate that shared beliefs are the best predictor for policy network relationships, supporting the ACF. Perceived influence, while less important than shared beliefs, is another significant predictor.","author":[{"dropping-particle":"","family":"Weible","given":"Christopher M.","non-dropping-particle":"","parse-names":false,"suffix":""}],"container-title":"Political Research Quarterly","id":"ITEM-1","issue":"3","issued":{"date-parts":[["2005"]]},"page":"461-475","title":"Beliefs and Perceived Influence in a Natural Resource Conflict: An Advocacy Coalition Approach to Policy Networks","type":"article-journal","volume":"58"},"uris":["http://www.mendeley.com/documents/?uuid=4c0f5599-2a24-4e3a-b8bf-f82a9d43a943"]}],"mendeley":{"formattedCitation":"(C. M. Weible 2005a)","manualFormatting":"(Weible 2005)","plainTextFormattedCitation":"(C. M. Weible 2005a)","previouslyFormattedCitation":"(C. M. Weible 2005a)"},"properties":{"noteIndex":0},"schema":"https://github.com/citation-style-language/schema/raw/master/csl-citation.json"}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54972">
        <w:rPr>
          <w:rFonts w:ascii="Times New Roman" w:hAnsi="Times New Roman" w:cs="Times New Roman"/>
          <w:noProof/>
          <w:sz w:val="24"/>
          <w:szCs w:val="24"/>
        </w:rPr>
        <w:t>Weible 2005)</w:t>
      </w:r>
      <w:r>
        <w:rPr>
          <w:rFonts w:ascii="Times New Roman" w:hAnsi="Times New Roman" w:cs="Times New Roman"/>
          <w:sz w:val="24"/>
          <w:szCs w:val="24"/>
        </w:rPr>
        <w:fldChar w:fldCharType="end"/>
      </w:r>
      <w:r>
        <w:rPr>
          <w:rFonts w:ascii="Times New Roman" w:hAnsi="Times New Roman" w:cs="Times New Roman"/>
          <w:sz w:val="24"/>
          <w:szCs w:val="24"/>
        </w:rPr>
        <w:t xml:space="preserve">, surveys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{"citationItems":[{"id":"ITEM-1","itemData":{"DOI":"10.1111/j.1541-0072.2011.00414.x","ISBN":"0190292X","ISSN":"0190292X","PMID":"63478360","abstract":"The contemporary trend within natural resource governance sees a strong increase in collaborative management. A successful turnout of these arrangements is, however, dependent upon the formation and characteristics of advocacy coalitions. Uncovering the rationale determining coalitions is therefore a key undertaking in policy analysis and the advocacy coalition framework (ACF) has been widely applied for this purpose. This article aspires to test several important hypotheses regarding the nature of coordination networks and the formation of coalitions, treating the ACF both as an inspiration and as a framework in need of further refinement. This is done in the context of a complex and conflict-ridden policy subsystem: the Swedish carnivore-management subsystem. The results indicate, firstly, that perceived belief correspondence, and not perceived influence, is the driving mechanism behind coordination; and, secondly, that the catalog of beliefs shared by actors within a coalition is composed by policy core beliefs, in particular, with a more normative content, while no connection between deep core beliefs and coordination is found.","author":[{"dropping-particle":"","family":"Matti","given":"Simon","non-dropping-particle":"","parse-names":false,"suffix":""},{"dropping-particle":"","family":"Sandström","given":"Annica","non-dropping-particle":"","parse-names":false,"suffix":""}],"container-title":"Policy Studies Journal","id":"ITEM-1","issue":"3","issued":{"date-parts":[["2011"]]},"page":"385-410","title":"The rationale determining advocacy coalitions: Examining coordination networks and corresponding beliefs","type":"article-journal","volume":"39"},"uris":["http://www.mendeley.com/documents/?uuid=fb2fa7d4-8358-44e0-918f-bac6047afe6a"]}],"mendeley":{"formattedCitation":"(Matti and Sandström 2011)","plainTextFormattedCitation":"(Matti and Sandström 2011)","previouslyFormattedCitation":"(Matti and Sandström 2011)"},"properties":{"noteIndex":0},"schema":"https://github.com/citation-style-language/schema/raw/master/csl-citation.json"}</w:instrText>
      </w:r>
      <w:r>
        <w:rPr>
          <w:rFonts w:ascii="Times New Roman" w:hAnsi="Times New Roman" w:cs="Times New Roman"/>
          <w:sz w:val="24"/>
          <w:szCs w:val="24"/>
        </w:rPr>
        <w:fldChar w:fldCharType="separate"/>
      </w:r>
      <w:r w:rsidRPr="00815627">
        <w:rPr>
          <w:rFonts w:ascii="Times New Roman" w:hAnsi="Times New Roman" w:cs="Times New Roman"/>
          <w:noProof/>
          <w:sz w:val="24"/>
          <w:szCs w:val="24"/>
        </w:rPr>
        <w:t>(Matti and Sandström 2011)</w:t>
      </w:r>
      <w:r>
        <w:rPr>
          <w:rFonts w:ascii="Times New Roman" w:hAnsi="Times New Roman" w:cs="Times New Roman"/>
          <w:sz w:val="24"/>
          <w:szCs w:val="24"/>
        </w:rPr>
        <w:fldChar w:fldCharType="end"/>
      </w:r>
      <w:r>
        <w:rPr>
          <w:rFonts w:ascii="Times New Roman" w:hAnsi="Times New Roman" w:cs="Times New Roman"/>
          <w:sz w:val="24"/>
          <w:szCs w:val="24"/>
        </w:rPr>
        <w:t xml:space="preserve">, news media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{"citationItems":[{"id":"ITEM-1","itemData":{"DOI":"10.1111/j.1475-6765.2011.02003.x","ISBN":"0304-4130","ISSN":"03044130","abstract":"\"Schmidt and Radaelli (2004; Schmidt 2008) argue that the discursive dimen- sion is often neglected in explanations of political processes and particularly in explanations of policy change. Discourse ‘assists in the attempt to integrate structure and agency – and thus to explain the dynamics of change’ (Schmidt &amp; Radaelli 2004: 192)\" (Leifeld &amp; Haunss 2012: 383).  \"The structure of the discourse constrains the set of fea- sible actions by political actors\" (Leifeld &amp; Haunss 2012: 383).  \"Hajer’s argumentative discourse analysis suggests that the discursive space is composed of several discourse coalitions whose members centre around common storylines (Hajer 2002: 12). A discourse coalition is a ‘group of actors who share a social construct’ (Hajer 1993: 45) and who try to influence policy processes by imposing their perspective on others. Social constructs give meaning to the social environment. They are shared interpretations through which the world is perceived and which structure individual and collective action. In the tradition of symbolic interactionism, the discursive construction of shared interpretations is called ‘framing’. A frame simplifies and condenses ‘the “world out there” by selectively punctuating and encoding objects, situations, events, experiences, and sequences of actions within one’s present or past environment’ (Snow &amp; Benford 1992: 137). This process of constructing or framing political problems is a highly significant element of the political process. In a political conflict, frames define the problem, offer solutions and describe ways to arrive at this solution – that is, they function as diagnostic, prognostic and motivational frames (Benford &amp; Snow 2000). Successful frames or ‘frame bundles’ (Haunss &amp; Kohlmorgen 2009) in a political mobilisation will often combine these three elements and integrate them into consistent narratives or storylines (Hajer 1993; Polletta 1998)\" (Leifeld &amp; Haunss 2012: 384).  \"Hajer (1993: 48) argues that, in order to be successful, a discourse coalition has to dominate the discursive space, and the institutional practices in the political domain have to reflect this discursive dominance. The frame bundle of a successful coalition will therefore contain and dominate the core frames of the conflict. The dominant coalition will appear more pro- minently in the news media, gain a larger constituency, and it will be able to integrate the core frames into a more consistent storyline than its opponents. …","author":[{"dropping-particle":"","family":"Leifeld","given":"Philip","non-dropping-particle":"","parse-names":false,"suffix":""},{"dropping-particle":"","family":"Haunss","given":"Sebastian","non-dropping-particle":"","parse-names":false,"suffix":""}],"container-title":"European Journal of Political Research","id":"ITEM-1","issue":"3","issued":{"date-parts":[["2012"]]},"page":"382-409","title":"Political discourse networks and the conflict over software patents in Europe","type":"article-journal","volume":"51"},"uris":["http://www.mendeley.com/documents/?uuid=3039be5b-fbba-4e96-83c4-a954fbd107f2"]}],"mendeley":{"formattedCitation":"(Leifeld and Haunss 2012)","plainTextFormattedCitation":"(Leifeld and Haunss 2012)","previouslyFormattedCitation":"(Leifeld and Haunss 2012)"},"properties":{"noteIndex":0},"schema":"https://github.com/citation-style-language/schema/raw/master/csl-citation.json"}</w:instrText>
      </w:r>
      <w:r>
        <w:rPr>
          <w:rFonts w:ascii="Times New Roman" w:hAnsi="Times New Roman" w:cs="Times New Roman"/>
          <w:sz w:val="24"/>
          <w:szCs w:val="24"/>
        </w:rPr>
        <w:fldChar w:fldCharType="separate"/>
      </w:r>
      <w:r w:rsidRPr="00815627">
        <w:rPr>
          <w:rFonts w:ascii="Times New Roman" w:hAnsi="Times New Roman" w:cs="Times New Roman"/>
          <w:noProof/>
          <w:sz w:val="24"/>
          <w:szCs w:val="24"/>
        </w:rPr>
        <w:t>(Leifeld and Haunss 2012)</w:t>
      </w:r>
      <w:r>
        <w:rPr>
          <w:rFonts w:ascii="Times New Roman" w:hAnsi="Times New Roman" w:cs="Times New Roman"/>
          <w:sz w:val="24"/>
          <w:szCs w:val="24"/>
        </w:rPr>
        <w:fldChar w:fldCharType="end"/>
      </w:r>
      <w:r>
        <w:rPr>
          <w:rFonts w:ascii="Times New Roman" w:hAnsi="Times New Roman" w:cs="Times New Roman"/>
          <w:sz w:val="24"/>
          <w:szCs w:val="24"/>
        </w:rPr>
        <w:t xml:space="preserve">, or some combination of those sources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{"citationItems":[{"id":"ITEM-1","itemData":{"DOI":"10.1111/psj.12112","ISSN":"15410072","abstract":"This article examines the Advocacy Coalition Framework (ACF) in the context of a nascent policy subsystem with a longevity of less than 10 years. It evaluates key aspects of the model in a recent area of Canadian national policymaking, namely the attempt to impose greater reporting and disclosure requirements on trade unions through Bill C-377. Following the ACF’s prediction of a correspondence between policy belief systems and coordinated advocacy, the article identifies ideological groupings of advocates in this policy area—defined here as advocacy communities—and examines the level of coordination within and between them. The results show that advocacy coalitions emerged rapidly in this subsystem and corroborate the link between coordination and policy core beliefs. The article provides two qualifications. First, when there are multiple advocacy communities, rather than a simple dichotomy, the relationship between beliefs and coordination is weakened. Second, linkages across different advocacy communities were more prevalent with lower level forms of coordination, such as exchanges of information, than they were with higher level activities. The study is based on a content analysis of briefs and testimonies to two parliamentary committees and a mailed questionnaire to organizational representatives advocating on this issue.","author":[{"dropping-particle":"","family":"Stritch","given":"Andrew","non-dropping-particle":"","parse-names":false,"suffix":""}],"container-title":"Policy Studies Journal","id":"ITEM-1","issue":"4","issued":{"date-parts":[["2015"]]},"page":"437-455","title":"The Advocacy Coalition Framework and Nascent Subsystems: Trade Union Disclosure Policy in Canada","type":"article-journal","volume":"43"},"uris":["http://www.mendeley.com/documents/?uuid=b82f3a0d-a918-4636-8d4e-e5abb3722602"]},{"id":"ITEM-2","itemData":{"DOI":"10.1111/j.1541-0072.2011.00417.x","ISBN":"1541-0072","ISSN":"0190292X","abstract":"In the last decade and across countries, changes in national intelligence policies have spurred widespread political opposition and public protest. Instances of intelligence policy change warrant close academic attention to cast light on the dynamics of policymaking in contested policy areas. In an effort to contribute to further development of a theory of policy change within the Advocacy Coalition Framework (ACF), this article analyzes the adoption of legislation in Sweden to expand the mandate for signals intelligence gathering. Three explanatory variables are derived from the ACF to explain policy change in this case: shifts in advocacy coalition membership, distribution of coalition resources, and access to policy venues. Whereas shifts in coalition membership were unrelated to policy change in this case, the case-study lends partial support to the role of resource distribution and policy venues. To promote the progress of an ACF theory of policy change, the study concludes by drawing two theoretical implications: (i) introducing hierarchical classification of coalition resources and (ii) identification of revised policy narratives and exploitative policy entrepreneurship as causal mechanisms linking external shocks to venue shifts and policy change.","author":[{"dropping-particle":"","family":"Nohrstedt","given":"Daniel","non-dropping-particle":"","parse-names":false,"suffix":""}],"container-title":"Policy Studies Journal","id":"ITEM-2","issue":"3","issued":{"date-parts":[["2011"]]},"page":"461-484","title":"Shifting resources and venues producing policy change in contested subsystems: A case study of Swedish signals intelligence policy","type":"article-journal","volume":"39"},"uris":["http://www.mendeley.com/documents/?uuid=a0d3d0f8-d5b0-4e9a-a16f-1ce5c44047aa"]}],"mendeley":{"formattedCitation":"(Nohrstedt 2011; Stritch 2015)","plainTextFormattedCitation":"(Nohrstedt 2011; Stritch 2015)","previouslyFormattedCitation":"(Nohrstedt 2011; Stritch 2015)"},"properties":{"noteIndex":0},"schema":"https://github.com/citation-style-language/schema/raw/master/csl-citation.json"}</w:instrText>
      </w:r>
      <w:r>
        <w:rPr>
          <w:rFonts w:ascii="Times New Roman" w:hAnsi="Times New Roman" w:cs="Times New Roman"/>
          <w:sz w:val="24"/>
          <w:szCs w:val="24"/>
        </w:rPr>
        <w:fldChar w:fldCharType="separate"/>
      </w:r>
      <w:r w:rsidRPr="00815627">
        <w:rPr>
          <w:rFonts w:ascii="Times New Roman" w:hAnsi="Times New Roman" w:cs="Times New Roman"/>
          <w:noProof/>
          <w:sz w:val="24"/>
          <w:szCs w:val="24"/>
        </w:rPr>
        <w:t>(Nohrstedt 2011; Stritch 2015)</w:t>
      </w:r>
      <w:r>
        <w:rPr>
          <w:rFonts w:ascii="Times New Roman" w:hAnsi="Times New Roman" w:cs="Times New Roman"/>
          <w:sz w:val="24"/>
          <w:szCs w:val="24"/>
        </w:rPr>
        <w:fldChar w:fldCharType="end"/>
      </w:r>
      <w:r>
        <w:rPr>
          <w:rFonts w:ascii="Times New Roman" w:hAnsi="Times New Roman" w:cs="Times New Roman"/>
          <w:sz w:val="24"/>
          <w:szCs w:val="24"/>
        </w:rPr>
        <w:t xml:space="preserve">. The aforementioned methods have been valuable for several reasons. First, they have been used to identify a broader range of policy actors. Prior, more traditional studies of policymaking, such 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{"citationItems":[{"id":"ITEM-1","itemData":{"author":[{"dropping-particle":"","family":"Poole","given":"Keith T","non-dropping-particle":"","parse-names":false,"suffix":""},{"dropping-particle":"","family":"Daniels","given":"R Steven","non-dropping-particle":"","parse-names":false,"suffix":""}],"container-title":"Political Science","id":"ITEM-1","issue":"2","issued":{"date-parts":[["1985"]]},"page":"373-399","title":"Ideology, Party, and Voting in the U.S. Congress, 1959-1980","type":"article-journal","volume":"79"},"uris":["http://www.mendeley.com/documents/?uuid=8fd7cd82-b963-4cc8-a359-a77e67e4b513"]}],"mendeley":{"formattedCitation":"(Poole and Daniels 1985)","manualFormatting":"Poole and Daniels' (1985)","plainTextFormattedCitation":"(Poole and Daniels 1985)","previouslyFormattedCitation":"(Poole and Daniels 1985)"},"properties":{"noteIndex":0},"schema":"https://github.com/citation-style-language/schema/raw/master/csl-citation.json"}</w:instrText>
      </w:r>
      <w:r>
        <w:rPr>
          <w:rFonts w:ascii="Times New Roman" w:hAnsi="Times New Roman" w:cs="Times New Roman"/>
          <w:sz w:val="24"/>
          <w:szCs w:val="24"/>
        </w:rPr>
        <w:fldChar w:fldCharType="separate"/>
      </w:r>
      <w:r w:rsidRPr="00A425D9">
        <w:rPr>
          <w:rFonts w:ascii="Times New Roman" w:hAnsi="Times New Roman" w:cs="Times New Roman"/>
          <w:noProof/>
          <w:sz w:val="24"/>
          <w:szCs w:val="24"/>
        </w:rPr>
        <w:t>Poole and Daniels</w:t>
      </w:r>
      <w:r>
        <w:rPr>
          <w:rFonts w:ascii="Times New Roman" w:hAnsi="Times New Roman" w:cs="Times New Roman"/>
          <w:noProof/>
          <w:sz w:val="24"/>
          <w:szCs w:val="24"/>
        </w:rPr>
        <w:t>' (</w:t>
      </w:r>
      <w:r w:rsidRPr="00A425D9">
        <w:rPr>
          <w:rFonts w:ascii="Times New Roman" w:hAnsi="Times New Roman" w:cs="Times New Roman"/>
          <w:noProof/>
          <w:sz w:val="24"/>
          <w:szCs w:val="24"/>
        </w:rPr>
        <w:t>1985)</w:t>
      </w:r>
      <w:r>
        <w:rPr>
          <w:rFonts w:ascii="Times New Roman" w:hAnsi="Times New Roman" w:cs="Times New Roman"/>
          <w:sz w:val="24"/>
          <w:szCs w:val="24"/>
        </w:rPr>
        <w:fldChar w:fldCharType="end"/>
      </w:r>
      <w:r>
        <w:rPr>
          <w:rFonts w:ascii="Times New Roman" w:hAnsi="Times New Roman" w:cs="Times New Roman"/>
          <w:sz w:val="24"/>
          <w:szCs w:val="24"/>
        </w:rPr>
        <w:t xml:space="preserve"> analysis of roll call voting in Congress, focused exclusively on legislative behavior while neglecting non-elected officials that had political influence. Second, they can, with reasonable certainty, capture what a policy actor’s policy beliefs are. For instance, survey respondents self-report and the behavior and statements of policy actors in news media project their policy preferences and the rationale behind them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{"citationItems":[{"id":"ITEM-1","itemData":{"DOI":"10.1111/psj.12112","ISSN":"15410072","abstract":"This article examines the Advocacy Coalition Framework (ACF) in the context of a nascent policy subsystem with a longevity of less than 10 years. It evaluates key aspects of the model in a recent area of Canadian national policymaking, namely the attempt to impose greater reporting and disclosure requirements on trade unions through Bill C-377. Following the ACF’s prediction of a correspondence between policy belief systems and coordinated advocacy, the article identifies ideological groupings of advocates in this policy area—defined here as advocacy communities—and examines the level of coordination within and between them. The results show that advocacy coalitions emerged rapidly in this subsystem and corroborate the link between coordination and policy core beliefs. The article provides two qualifications. First, when there are multiple advocacy communities, rather than a simple dichotomy, the relationship between beliefs and coordination is weakened. Second, linkages across different advocacy communities were more prevalent with lower level forms of coordination, such as exchanges of information, than they were with higher level activities. The study is based on a content analysis of briefs and testimonies to two parliamentary committees and a mailed questionnaire to organizational representatives advocating on this issue.","author":[{"dropping-particle":"","family":"Stritch","given":"Andrew","non-dropping-particle":"","parse-names":false,"suffix":""}],"container-title":"Policy Studies Journal","id":"ITEM-1","issue":"4","issued":{"date-parts":[["2015"]]},"page":"437-455","title":"The Advocacy Coalition Framework and Nascent Subsystems: Trade Union Disclosure Policy in Canada","type":"article-journal","volume":"43"},"uris":["http://www.mendeley.com/documents/?uuid=b82f3a0d-a918-4636-8d4e-e5abb3722602"]},{"id":"ITEM-2","itemData":{"DOI":"10.1080/1523908X.2018.1493984","ISSN":"15227200","abstract":"This paper identifies the coalitions involved in the topic of shale oil and gas development in India and identifies the circumstances surrounding a change in policy in 2013 by the Ministry of Petroleum and Natural Gas to promote shale exploration. Using the Advocacy Coalition Framework as the theoretical lens, the data are collected primarily from newspaper articles from 2010 to 2015 to identify coalitions, including actors’ positions, priorities, and interactions. The findings show the presence of a dominant advocacy coalition in favor of shale oil and gas development with priorities about energy security and a regulatory framework. The findings indicate some internal coalition disagreement, but stronger internal coalition agreement. Policy change was preceded by a spike in disagreement internal to the dominant coalition. This paper shows how a change in a dominant coalition can precede a change in policy, offers a replicable method of identifying and measuring coalitions via newspaper content analysis, provides a rare application of the Advocacy Coalition Framework outside of North America and Western Europe, and provides evidence of support for shale oil and gas development in India.","author":[{"dropping-particle":"","family":"Olofsson","given":"Kristin L.","non-dropping-particle":"","parse-names":false,"suffix":""},{"dropping-particle":"","family":"Katz","given":"Juniper","non-dropping-particle":"","parse-names":false,"suffix":""},{"dropping-particle":"","family":"Costie","given":"Daniel P.","non-dropping-particle":"","parse-names":false,"suffix":""},{"dropping-particle":"","family":"Heikkila","given":"Tanya","non-dropping-particle":"","parse-names":false,"suffix":""},{"dropping-particle":"","family":"Weible","given":"Christopher M.","non-dropping-particle":"","parse-names":false,"suffix":""}],"container-title":"Journal of Environmental Policy and Planning","id":"ITEM-2","issue":"5","issued":{"date-parts":[["2018"]]},"page":"645-660","publisher":"Taylor &amp; Francis","title":"A dominant coalition and policy change: an analysis of shale oil and gas politics in India","type":"article-journal","volume":"20"},"uris":["http://www.mendeley.com/documents/?uuid=be3a3aa3-56e7-42ac-b600-a010a61f08da"]}],"mendeley":{"formattedCitation":"(Olofsson et al. 2018; Stritch 2015)","manualFormatting":"(ie, Olofsson et al. 2018; Stritch 2015)","plainTextFormattedCitation":"(Olofsson et al. 2018; Stritch 2015)","previouslyFormattedCitation":"(Olofsson et al. 2018; Stritch 2015)"},"properties":{"noteIndex":0},"schema":"https://github.com/citation-style-language/schema/raw/master/csl-citation.json"}</w:instrText>
      </w:r>
      <w:r>
        <w:rPr>
          <w:rFonts w:ascii="Times New Roman" w:hAnsi="Times New Roman" w:cs="Times New Roman"/>
          <w:sz w:val="24"/>
          <w:szCs w:val="24"/>
        </w:rPr>
        <w:fldChar w:fldCharType="separate"/>
      </w:r>
      <w:r w:rsidRPr="00E21A74">
        <w:rPr>
          <w:rFonts w:ascii="Times New Roman" w:hAnsi="Times New Roman" w:cs="Times New Roman"/>
          <w:noProof/>
          <w:sz w:val="24"/>
          <w:szCs w:val="24"/>
        </w:rPr>
        <w:t>(</w:t>
      </w:r>
      <w:r>
        <w:rPr>
          <w:rFonts w:ascii="Times New Roman" w:hAnsi="Times New Roman" w:cs="Times New Roman"/>
          <w:noProof/>
          <w:sz w:val="24"/>
          <w:szCs w:val="24"/>
        </w:rPr>
        <w:t xml:space="preserve">ie, </w:t>
      </w:r>
      <w:r w:rsidRPr="00E21A74">
        <w:rPr>
          <w:rFonts w:ascii="Times New Roman" w:hAnsi="Times New Roman" w:cs="Times New Roman"/>
          <w:noProof/>
          <w:sz w:val="24"/>
          <w:szCs w:val="24"/>
        </w:rPr>
        <w:t>Olofsson et al. 2018; Stritch 2015)</w:t>
      </w:r>
      <w:r>
        <w:rPr>
          <w:rFonts w:ascii="Times New Roman" w:hAnsi="Times New Roman" w:cs="Times New Roman"/>
          <w:sz w:val="24"/>
          <w:szCs w:val="24"/>
        </w:rPr>
        <w:fldChar w:fldCharType="end"/>
      </w:r>
      <w:r>
        <w:rPr>
          <w:rFonts w:ascii="Times New Roman" w:hAnsi="Times New Roman" w:cs="Times New Roman"/>
          <w:sz w:val="24"/>
          <w:szCs w:val="24"/>
        </w:rPr>
        <w:t xml:space="preserve">. Third, they can be used to see how collective action changes over time. For example,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{"citationItems":[{"id":"ITEM-1","itemData":{"DOI":"10.1111/j.1541-0072.2011.00415.x","ISBN":"1541-0072","ISSN":"0190292X","abstract":"This study examines whether advocacy coalitions are stable over time by examining legislative hearings data concerning U.S. foreign policy and the creation of Israel. It uses content analysis of 19 different policy core and deep core belief components applied to testimonies given in 1922 and in 1944. These belief components are used to identify members of advocacy coalitions and to test the coalitions’ relative stability of membership over time. In addition, this research examines the stability of the belief systems of these advocacy coalitions. It finds that the structures of the advocacy coalitions remained relatively stable, yet new components of policy core beliefs emerged among all three advocacy coalitions, and such components are converging toward the belief system of the coalition advocating for the creation of Israel.","author":[{"dropping-particle":"","family":"Pierce","given":"Jonathan J.","non-dropping-particle":"","parse-names":false,"suffix":""}],"container-title":"Policy Studies Journal","id":"ITEM-1","issue":"3","issued":{"date-parts":[["2011"]]},"page":"411-434","title":"Coalition stability and belief change: Advocacy coalitions in U.S. foreign policy and the creation of israel, 1922-44","type":"article-journal","volume":"39"},"uris":["http://www.mendeley.com/documents/?uuid=8c77fab1-bbf2-4a89-a4ed-94dd32c20645"]}],"mendeley":{"formattedCitation":"(J. J. Pierce 2011)","manualFormatting":"Pierce (2011)","plainTextFormattedCitation":"(J. J. Pierce 2011)","previouslyFormattedCitation":"(J. J. Pierce 2011)"},"properties":{"noteIndex":0},"schema":"https://github.com/citation-style-language/schema/raw/master/csl-citation.json"}</w:instrText>
      </w:r>
      <w:r>
        <w:rPr>
          <w:rFonts w:ascii="Times New Roman" w:hAnsi="Times New Roman" w:cs="Times New Roman"/>
          <w:sz w:val="24"/>
          <w:szCs w:val="24"/>
        </w:rPr>
        <w:fldChar w:fldCharType="separate"/>
      </w:r>
      <w:r w:rsidRPr="00E21A74">
        <w:rPr>
          <w:rFonts w:ascii="Times New Roman" w:hAnsi="Times New Roman" w:cs="Times New Roman"/>
          <w:noProof/>
          <w:sz w:val="24"/>
          <w:szCs w:val="24"/>
        </w:rPr>
        <w:t xml:space="preserve">Pierce </w:t>
      </w:r>
      <w:r>
        <w:rPr>
          <w:rFonts w:ascii="Times New Roman" w:hAnsi="Times New Roman" w:cs="Times New Roman"/>
          <w:noProof/>
          <w:sz w:val="24"/>
          <w:szCs w:val="24"/>
        </w:rPr>
        <w:t>(</w:t>
      </w:r>
      <w:r w:rsidRPr="00E21A74">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tests the stability of coalitions through analyzing legislative testimony around US foreign policy during two periods, 22 years apart. </w:t>
      </w:r>
    </w:p>
    <w:p w14:paraId="7ECA870B" w14:textId="77777777" w:rsidR="00364F1D" w:rsidRDefault="00364F1D" w:rsidP="00364F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Surveys are some of the most common data sources because of the strengths described above. However,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{"citationItems":[{"id":"ITEM-1","itemData":{"author":[{"dropping-particle":"","family":"Sabatier","given":"Paul a","non-dropping-particle":"","parse-names":false,"suffix":""},{"dropping-particle":"","family":"Jenkins-Smith","given":"Hank C.","non-dropping-particle":"","parse-names":false,"suffix":""}],"id":"ITEM-1","issued":{"date-parts":[["1993"]]},"title":"Policy Change and Learning","type":"article"},"uris":["http://www.mendeley.com/documents/?uuid=cafd9897-825b-43f1-9bae-d71b2cfc2dae"]}],"mendeley":{"formattedCitation":"(P. a Sabatier and Jenkins-Smith 1993)","manualFormatting":"Sabatier and Jenkins-Smith (1993)","plainTextFormattedCitation":"(P. a Sabatier and Jenkins-Smith 1993)","previouslyFormattedCitation":"(P. a Sabatier and Jenkins-Smith 1993)"},"properties":{"noteIndex":0},"schema":"https://github.com/citation-style-language/schema/raw/master/csl-citation.json"}</w:instrText>
      </w:r>
      <w:r>
        <w:rPr>
          <w:rFonts w:ascii="Times New Roman" w:hAnsi="Times New Roman" w:cs="Times New Roman"/>
          <w:sz w:val="24"/>
          <w:szCs w:val="24"/>
        </w:rPr>
        <w:fldChar w:fldCharType="separate"/>
      </w:r>
      <w:r w:rsidRPr="006642FA">
        <w:rPr>
          <w:rFonts w:ascii="Times New Roman" w:hAnsi="Times New Roman" w:cs="Times New Roman"/>
          <w:noProof/>
          <w:sz w:val="24"/>
          <w:szCs w:val="24"/>
        </w:rPr>
        <w:t xml:space="preserve">Sabatier and Jenkins-Smith </w:t>
      </w:r>
      <w:r>
        <w:rPr>
          <w:rFonts w:ascii="Times New Roman" w:hAnsi="Times New Roman" w:cs="Times New Roman"/>
          <w:noProof/>
          <w:sz w:val="24"/>
          <w:szCs w:val="24"/>
        </w:rPr>
        <w:t>(</w:t>
      </w:r>
      <w:r w:rsidRPr="006642FA">
        <w:rPr>
          <w:rFonts w:ascii="Times New Roman" w:hAnsi="Times New Roman" w:cs="Times New Roman"/>
          <w:noProof/>
          <w:sz w:val="24"/>
          <w:szCs w:val="24"/>
        </w:rPr>
        <w:t>1993)</w:t>
      </w:r>
      <w:r>
        <w:rPr>
          <w:rFonts w:ascii="Times New Roman" w:hAnsi="Times New Roman" w:cs="Times New Roman"/>
          <w:sz w:val="24"/>
          <w:szCs w:val="24"/>
        </w:rPr>
        <w:fldChar w:fldCharType="end"/>
      </w:r>
      <w:r>
        <w:rPr>
          <w:rFonts w:ascii="Times New Roman" w:hAnsi="Times New Roman" w:cs="Times New Roman"/>
          <w:sz w:val="24"/>
          <w:szCs w:val="24"/>
        </w:rPr>
        <w:t xml:space="preserve"> identify several weaknesses that future researchers should heed. First, they are rarely longitudinal. Second, it is d</w:t>
      </w:r>
      <w:r w:rsidRPr="007C0142">
        <w:rPr>
          <w:rFonts w:ascii="Times New Roman" w:hAnsi="Times New Roman" w:cs="Times New Roman"/>
          <w:sz w:val="24"/>
          <w:szCs w:val="24"/>
        </w:rPr>
        <w:t>ifficult t</w:t>
      </w:r>
      <w:r>
        <w:rPr>
          <w:rFonts w:ascii="Times New Roman" w:hAnsi="Times New Roman" w:cs="Times New Roman"/>
          <w:sz w:val="24"/>
          <w:szCs w:val="24"/>
        </w:rPr>
        <w:t xml:space="preserve">o decide who should be surveyed </w:t>
      </w:r>
      <w:r w:rsidRPr="007C0142">
        <w:rPr>
          <w:rFonts w:ascii="Times New Roman" w:hAnsi="Times New Roman" w:cs="Times New Roman"/>
          <w:sz w:val="24"/>
          <w:szCs w:val="24"/>
        </w:rPr>
        <w:t>to get an accurate account that can be generalized to the ent</w:t>
      </w:r>
      <w:r>
        <w:rPr>
          <w:rFonts w:ascii="Times New Roman" w:hAnsi="Times New Roman" w:cs="Times New Roman"/>
          <w:sz w:val="24"/>
          <w:szCs w:val="24"/>
        </w:rPr>
        <w:t>ire population of interest. Third, surveys offer l</w:t>
      </w:r>
      <w:r w:rsidRPr="007C0142">
        <w:rPr>
          <w:rFonts w:ascii="Times New Roman" w:hAnsi="Times New Roman" w:cs="Times New Roman"/>
          <w:sz w:val="24"/>
          <w:szCs w:val="24"/>
        </w:rPr>
        <w:t>ess f</w:t>
      </w:r>
      <w:r>
        <w:rPr>
          <w:rFonts w:ascii="Times New Roman" w:hAnsi="Times New Roman" w:cs="Times New Roman"/>
          <w:sz w:val="24"/>
          <w:szCs w:val="24"/>
        </w:rPr>
        <w:t>lexibility as they</w:t>
      </w:r>
      <w:r w:rsidRPr="007C0142">
        <w:rPr>
          <w:rFonts w:ascii="Times New Roman" w:hAnsi="Times New Roman" w:cs="Times New Roman"/>
          <w:sz w:val="24"/>
          <w:szCs w:val="24"/>
        </w:rPr>
        <w:t xml:space="preserve"> te</w:t>
      </w:r>
      <w:r>
        <w:rPr>
          <w:rFonts w:ascii="Times New Roman" w:hAnsi="Times New Roman" w:cs="Times New Roman"/>
          <w:sz w:val="24"/>
          <w:szCs w:val="24"/>
        </w:rPr>
        <w:t>nd to be highly standardized, making it h</w:t>
      </w:r>
      <w:r w:rsidRPr="007C0142">
        <w:rPr>
          <w:rFonts w:ascii="Times New Roman" w:hAnsi="Times New Roman" w:cs="Times New Roman"/>
          <w:sz w:val="24"/>
          <w:szCs w:val="24"/>
        </w:rPr>
        <w:t>ard to adapt and change</w:t>
      </w:r>
      <w:r>
        <w:rPr>
          <w:rFonts w:ascii="Times New Roman" w:hAnsi="Times New Roman" w:cs="Times New Roman"/>
          <w:sz w:val="24"/>
          <w:szCs w:val="24"/>
        </w:rPr>
        <w:t xml:space="preserve"> the </w:t>
      </w:r>
      <w:r w:rsidRPr="007C0142">
        <w:rPr>
          <w:rFonts w:ascii="Times New Roman" w:hAnsi="Times New Roman" w:cs="Times New Roman"/>
          <w:sz w:val="24"/>
          <w:szCs w:val="24"/>
        </w:rPr>
        <w:t>research design once th</w:t>
      </w:r>
      <w:r>
        <w:rPr>
          <w:rFonts w:ascii="Times New Roman" w:hAnsi="Times New Roman" w:cs="Times New Roman"/>
          <w:sz w:val="24"/>
          <w:szCs w:val="24"/>
        </w:rPr>
        <w:t>e study has begun</w:t>
      </w:r>
      <w:r w:rsidRPr="007C0142">
        <w:rPr>
          <w:rFonts w:ascii="Times New Roman" w:hAnsi="Times New Roman" w:cs="Times New Roman"/>
          <w:sz w:val="24"/>
          <w:szCs w:val="24"/>
        </w:rPr>
        <w:t>.</w:t>
      </w:r>
      <w:r>
        <w:rPr>
          <w:rFonts w:ascii="Times New Roman" w:hAnsi="Times New Roman" w:cs="Times New Roman"/>
          <w:sz w:val="24"/>
          <w:szCs w:val="24"/>
        </w:rPr>
        <w:t xml:space="preserve"> Fourth, s</w:t>
      </w:r>
      <w:r w:rsidRPr="007C0142">
        <w:rPr>
          <w:rFonts w:ascii="Times New Roman" w:hAnsi="Times New Roman" w:cs="Times New Roman"/>
          <w:sz w:val="24"/>
          <w:szCs w:val="24"/>
        </w:rPr>
        <w:t>urveys are vulnerable to reactivity as respondents</w:t>
      </w:r>
      <w:r>
        <w:rPr>
          <w:rFonts w:ascii="Times New Roman" w:hAnsi="Times New Roman" w:cs="Times New Roman"/>
          <w:sz w:val="24"/>
          <w:szCs w:val="24"/>
        </w:rPr>
        <w:t>’</w:t>
      </w:r>
      <w:r w:rsidRPr="007C0142">
        <w:rPr>
          <w:rFonts w:ascii="Times New Roman" w:hAnsi="Times New Roman" w:cs="Times New Roman"/>
          <w:sz w:val="24"/>
          <w:szCs w:val="24"/>
        </w:rPr>
        <w:t xml:space="preserve"> answers </w:t>
      </w:r>
      <w:r>
        <w:rPr>
          <w:rFonts w:ascii="Times New Roman" w:hAnsi="Times New Roman" w:cs="Times New Roman"/>
          <w:sz w:val="24"/>
          <w:szCs w:val="24"/>
        </w:rPr>
        <w:t>can change based on the presence</w:t>
      </w:r>
      <w:r w:rsidRPr="007C0142">
        <w:rPr>
          <w:rFonts w:ascii="Times New Roman" w:hAnsi="Times New Roman" w:cs="Times New Roman"/>
          <w:sz w:val="24"/>
          <w:szCs w:val="24"/>
        </w:rPr>
        <w:t xml:space="preserve"> of the </w:t>
      </w:r>
      <w:r w:rsidRPr="007C0142">
        <w:rPr>
          <w:rFonts w:ascii="Times New Roman" w:hAnsi="Times New Roman" w:cs="Times New Roman"/>
          <w:sz w:val="24"/>
          <w:szCs w:val="24"/>
        </w:rPr>
        <w:lastRenderedPageBreak/>
        <w:t xml:space="preserve">researcher (or other environmental conditions). </w:t>
      </w:r>
      <w:r>
        <w:rPr>
          <w:rFonts w:ascii="Times New Roman" w:hAnsi="Times New Roman" w:cs="Times New Roman"/>
          <w:sz w:val="24"/>
          <w:szCs w:val="24"/>
        </w:rPr>
        <w:t>Lastly, s</w:t>
      </w:r>
      <w:r w:rsidRPr="007C0142">
        <w:rPr>
          <w:rFonts w:ascii="Times New Roman" w:hAnsi="Times New Roman" w:cs="Times New Roman"/>
          <w:sz w:val="24"/>
          <w:szCs w:val="24"/>
        </w:rPr>
        <w:t>urveys tend to rely on reports of behavior rathe</w:t>
      </w:r>
      <w:r>
        <w:rPr>
          <w:rFonts w:ascii="Times New Roman" w:hAnsi="Times New Roman" w:cs="Times New Roman"/>
          <w:sz w:val="24"/>
          <w:szCs w:val="24"/>
        </w:rPr>
        <w:t xml:space="preserve">r than observations of behavior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{"citationItems":[{"id":"ITEM-1","itemData":{"author":[{"dropping-particle":"","family":"Singleton Jr.","given":"Royce A.","non-dropping-particle":"","parse-names":false,"suffix":""},{"dropping-particle":"","family":"Straits","given":"Bruce C.","non-dropping-particle":"","parse-names":false,"suffix":""}],"edition":"5th","id":"ITEM-1","issued":{"date-parts":[["2010"]]},"publisher":"Oxford University Press","publisher-place":"New York","title":"Approaches to Social Research","type":"book"},"uris":["http://www.mendeley.com/documents/?uuid=c5be63ae-dfe7-4bca-9fca-8263661f7f14"]}],"mendeley":{"formattedCitation":"(Singleton Jr. and Straits 2010)","plainTextFormattedCitation":"(Singleton Jr. and Straits 2010)","previouslyFormattedCitation":"(Singleton Jr. and Straits 2010)"},"properties":{"noteIndex":0},"schema":"https://github.com/citation-style-language/schema/raw/master/csl-citation.json"}</w:instrText>
      </w:r>
      <w:r>
        <w:rPr>
          <w:rFonts w:ascii="Times New Roman" w:hAnsi="Times New Roman" w:cs="Times New Roman"/>
          <w:sz w:val="24"/>
          <w:szCs w:val="24"/>
        </w:rPr>
        <w:fldChar w:fldCharType="separate"/>
      </w:r>
      <w:r w:rsidRPr="006642FA">
        <w:rPr>
          <w:rFonts w:ascii="Times New Roman" w:hAnsi="Times New Roman" w:cs="Times New Roman"/>
          <w:noProof/>
          <w:sz w:val="24"/>
          <w:szCs w:val="24"/>
        </w:rPr>
        <w:t>(Singleton Jr. and Straits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AABAF1A" w14:textId="77777777" w:rsidR="00364F1D" w:rsidRDefault="00364F1D" w:rsidP="00364F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not to say that surveys do not provide insight. It is to say that social networking sites like Twitter provide a different picture of coalition activity within discursive venues that are often overlooked by traditional research designs. By identifying policy actors on Twitter, scholars and analysts capture coalition attributes that surveys alone cannot such as frequency of activity, variation of political messaging, and evidence of association and information sharing. In addition, a Twitter-supported data acquisition method offers the ability to </w:t>
      </w:r>
      <w:r w:rsidRPr="007C0142">
        <w:rPr>
          <w:rFonts w:ascii="Times New Roman" w:hAnsi="Times New Roman" w:cs="Times New Roman"/>
          <w:sz w:val="24"/>
          <w:szCs w:val="24"/>
        </w:rPr>
        <w:t xml:space="preserve">capture the entirety of discourse </w:t>
      </w:r>
      <w:r>
        <w:rPr>
          <w:rFonts w:ascii="Times New Roman" w:hAnsi="Times New Roman" w:cs="Times New Roman"/>
          <w:sz w:val="24"/>
          <w:szCs w:val="24"/>
        </w:rPr>
        <w:t xml:space="preserve">in the venue and over the entire ‘life’ of the subsystem, it allows for </w:t>
      </w:r>
      <w:r w:rsidRPr="007C0142">
        <w:rPr>
          <w:rFonts w:ascii="Times New Roman" w:hAnsi="Times New Roman" w:cs="Times New Roman"/>
          <w:sz w:val="24"/>
          <w:szCs w:val="24"/>
        </w:rPr>
        <w:t>more flexibility abou</w:t>
      </w:r>
      <w:r>
        <w:rPr>
          <w:rFonts w:ascii="Times New Roman" w:hAnsi="Times New Roman" w:cs="Times New Roman"/>
          <w:sz w:val="24"/>
          <w:szCs w:val="24"/>
        </w:rPr>
        <w:t>t how the researcher</w:t>
      </w:r>
      <w:r w:rsidRPr="007C0142">
        <w:rPr>
          <w:rFonts w:ascii="Times New Roman" w:hAnsi="Times New Roman" w:cs="Times New Roman"/>
          <w:sz w:val="24"/>
          <w:szCs w:val="24"/>
        </w:rPr>
        <w:t xml:space="preserve"> capture</w:t>
      </w:r>
      <w:r>
        <w:rPr>
          <w:rFonts w:ascii="Times New Roman" w:hAnsi="Times New Roman" w:cs="Times New Roman"/>
          <w:sz w:val="24"/>
          <w:szCs w:val="24"/>
        </w:rPr>
        <w:t>s</w:t>
      </w:r>
      <w:r w:rsidRPr="007C0142">
        <w:rPr>
          <w:rFonts w:ascii="Times New Roman" w:hAnsi="Times New Roman" w:cs="Times New Roman"/>
          <w:sz w:val="24"/>
          <w:szCs w:val="24"/>
        </w:rPr>
        <w:t xml:space="preserve"> phenomena of interest</w:t>
      </w:r>
      <w:r>
        <w:rPr>
          <w:rFonts w:ascii="Times New Roman" w:hAnsi="Times New Roman" w:cs="Times New Roman"/>
          <w:sz w:val="24"/>
          <w:szCs w:val="24"/>
        </w:rPr>
        <w:t xml:space="preserve"> such as political strategies, it removes the researcher from any influence on the ‘subject,’ and it captures first-hand </w:t>
      </w:r>
      <w:r w:rsidRPr="00374212">
        <w:rPr>
          <w:rFonts w:ascii="Times New Roman" w:hAnsi="Times New Roman" w:cs="Times New Roman"/>
          <w:sz w:val="24"/>
          <w:szCs w:val="24"/>
        </w:rPr>
        <w:t>observations</w:t>
      </w:r>
      <w:r>
        <w:rPr>
          <w:rFonts w:ascii="Times New Roman" w:hAnsi="Times New Roman" w:cs="Times New Roman"/>
          <w:sz w:val="24"/>
          <w:szCs w:val="24"/>
        </w:rPr>
        <w:t xml:space="preserve"> of discursive behavior. </w:t>
      </w:r>
    </w:p>
    <w:p w14:paraId="040A6752" w14:textId="77777777" w:rsidR="00700741" w:rsidRPr="00E21C9B" w:rsidRDefault="00700741" w:rsidP="00700741">
      <w:pPr>
        <w:pStyle w:val="Heading1"/>
        <w:jc w:val="center"/>
        <w:rPr>
          <w:rFonts w:ascii="Times New Roman" w:hAnsi="Times New Roman" w:cs="Times New Roman"/>
          <w:b/>
          <w:bCs/>
          <w:color w:val="auto"/>
          <w:sz w:val="24"/>
          <w:szCs w:val="24"/>
        </w:rPr>
      </w:pPr>
      <w:bookmarkStart w:id="9" w:name="_Toc46917829"/>
      <w:r w:rsidRPr="00E21C9B">
        <w:rPr>
          <w:rFonts w:ascii="Times New Roman" w:hAnsi="Times New Roman" w:cs="Times New Roman"/>
          <w:b/>
          <w:bCs/>
          <w:color w:val="auto"/>
          <w:sz w:val="24"/>
          <w:szCs w:val="24"/>
        </w:rPr>
        <w:t>Unconventional Oil and Gas Development in the United States</w:t>
      </w:r>
      <w:bookmarkEnd w:id="9"/>
    </w:p>
    <w:p w14:paraId="1E2A68DE" w14:textId="77777777" w:rsidR="00700741" w:rsidRPr="0005002A" w:rsidRDefault="00700741" w:rsidP="00700741">
      <w:pPr>
        <w:spacing w:after="0" w:line="480" w:lineRule="auto"/>
        <w:ind w:firstLine="720"/>
        <w:rPr>
          <w:rFonts w:ascii="Times New Roman" w:hAnsi="Times New Roman" w:cs="Times New Roman"/>
          <w:sz w:val="24"/>
          <w:szCs w:val="24"/>
        </w:rPr>
      </w:pPr>
      <w:r w:rsidRPr="0005002A">
        <w:rPr>
          <w:rFonts w:ascii="Times New Roman" w:hAnsi="Times New Roman" w:cs="Times New Roman"/>
          <w:sz w:val="24"/>
          <w:szCs w:val="24"/>
        </w:rPr>
        <w:t>Hydraulic fracturing</w:t>
      </w:r>
      <w:r>
        <w:rPr>
          <w:rFonts w:ascii="Times New Roman" w:hAnsi="Times New Roman" w:cs="Times New Roman"/>
          <w:sz w:val="24"/>
          <w:szCs w:val="24"/>
        </w:rPr>
        <w:t xml:space="preserve">, often associated with horizontal drilling, refers to a completion technique that injects high pressure liquid into a rock formation until it fractures </w:t>
      </w:r>
      <w:r w:rsidRPr="00530B0F">
        <w:rPr>
          <w:rFonts w:ascii="Times New Roman" w:hAnsi="Times New Roman" w:cs="Times New Roman"/>
          <w:sz w:val="24"/>
          <w:szCs w:val="24"/>
        </w:rPr>
        <w:t>(Cook et al 2018)</w:t>
      </w:r>
      <w:r>
        <w:rPr>
          <w:rFonts w:ascii="Times New Roman" w:hAnsi="Times New Roman" w:cs="Times New Roman"/>
          <w:sz w:val="24"/>
          <w:szCs w:val="24"/>
        </w:rPr>
        <w:t xml:space="preserve">. </w:t>
      </w:r>
      <w:r w:rsidRPr="0005002A">
        <w:rPr>
          <w:rFonts w:ascii="Times New Roman" w:hAnsi="Times New Roman" w:cs="Times New Roman"/>
          <w:sz w:val="24"/>
          <w:szCs w:val="24"/>
        </w:rPr>
        <w:t>The amount of water used varies depending on the rock formation.</w:t>
      </w:r>
      <w:r>
        <w:rPr>
          <w:rFonts w:ascii="Times New Roman" w:hAnsi="Times New Roman" w:cs="Times New Roman"/>
          <w:sz w:val="24"/>
          <w:szCs w:val="24"/>
        </w:rPr>
        <w:t xml:space="preserve"> </w:t>
      </w:r>
      <w:r w:rsidRPr="0005002A">
        <w:rPr>
          <w:rFonts w:ascii="Times New Roman" w:hAnsi="Times New Roman" w:cs="Times New Roman"/>
          <w:sz w:val="24"/>
          <w:szCs w:val="24"/>
        </w:rPr>
        <w:t>The amount can range from 1.5 million gallons per well in the Bakken formation to 5.7 million gallons per well used in the Haynesvill</w:t>
      </w:r>
      <w:r>
        <w:rPr>
          <w:rFonts w:ascii="Times New Roman" w:hAnsi="Times New Roman" w:cs="Times New Roman"/>
          <w:sz w:val="24"/>
          <w:szCs w:val="24"/>
        </w:rPr>
        <w:t xml:space="preserve">e formation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{"citationItems":[{"id":"ITEM-1","itemData":{"DOI":"10.1021/es204602t","author":[{"dropping-particle":"","family":"Nicot","given":"J.-P.","non-dropping-particle":"","parse-names":false,"suffix":""},{"dropping-particle":"","family":"Scanlon","given":"B R","non-dropping-particle":"","parse-names":false,"suffix":""}],"container-title":"U.S. Environmental Science and Technology","id":"ITEM-1","issued":{"date-parts":[["2012"]]},"page":"3580-3586","title":"Water use for shale gas production in Texas, U.S.","type":"article-journal","volume":"46"},"uris":["http://www.mendeley.com/documents/?uuid=020e9781-bfc2-4fdf-832a-0afb950e7ff3"]}],"mendeley":{"formattedCitation":"(Nicot and Scanlon 2012)","plainTextFormattedCitation":"(Nicot and Scanlon 2012)","previouslyFormattedCitation":"(Nicot and Scanlon 2012)"},"properties":{"noteIndex":0},"schema":"https://github.com/citation-style-language/schema/raw/master/csl-citation.json"}</w:instrText>
      </w:r>
      <w:r>
        <w:rPr>
          <w:rFonts w:ascii="Times New Roman" w:hAnsi="Times New Roman" w:cs="Times New Roman"/>
          <w:sz w:val="24"/>
          <w:szCs w:val="24"/>
        </w:rPr>
        <w:fldChar w:fldCharType="separate"/>
      </w:r>
      <w:r w:rsidRPr="003C677A">
        <w:rPr>
          <w:rFonts w:ascii="Times New Roman" w:hAnsi="Times New Roman" w:cs="Times New Roman"/>
          <w:noProof/>
          <w:sz w:val="24"/>
          <w:szCs w:val="24"/>
        </w:rPr>
        <w:t>(Nicot and Scanlon 2012)</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This process causes oil and gas deposits to be released from the shale play. Due to technological innovation, these formerly off limit shales have become accessible and e</w:t>
      </w:r>
      <w:r>
        <w:rPr>
          <w:rFonts w:ascii="Times New Roman" w:hAnsi="Times New Roman" w:cs="Times New Roman"/>
          <w:sz w:val="24"/>
          <w:szCs w:val="24"/>
        </w:rPr>
        <w:t xml:space="preserve">conomical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{"citationItems":[{"id":"ITEM-1","itemData":{"DOI":"10.1016/j.puhe.2013.07.005","ISBN":"0033-3506","ISSN":"00333506","PMID":"24119661","abstract":"Unconventional drilling for natural gas by means of high volume horizontal hydraulic fracturing (fracking) is an important global public health issue. Given that no sound epidemiologic study has been done to assess the extent of exposure-related adverse health effects among populations living in areas where natural gas extraction is going on, it is imperative that research be conducted to quantify the potential risks to the environment and to human health not just in the short-term, but over a longer time period since many diseases (i.e., cancers) appear years after exposure. It should not be concluded that an absence of data implies that no harm is being done. (C) 2013 The Royal Society for Public Health. Published by Elsevier Ltd. All rights reserved.","author":[{"dropping-particle":"","family":"Finkel","given":"M.L. L","non-dropping-particle":"","parse-names":false,"suffix":""},{"dropping-particle":"","family":"Hays","given":"J.","non-dropping-particle":"","parse-names":false,"suffix":""}],"container-title":"Public Health","id":"ITEM-1","issue":"10","issued":{"date-parts":[["2013"]]},"page":"889-893","publisher":"Elsevier Ltd","title":"The implications of unconventional drilling for natural gas: a global public health concern","type":"article-journal","volume":"127"},"uris":["http://www.mendeley.com/documents/?uuid=6187f384-8b2d-4e4a-b368-a4d9a90da1be"]}],"mendeley":{"formattedCitation":"(Finkel and Hays 2013)","plainTextFormattedCitation":"(Finkel and Hays 2013)","previouslyFormattedCitation":"(Finkel and Hays 2013)"},"properties":{"noteIndex":0},"schema":"https://github.com/citation-style-language/schema/raw/master/csl-citation.json"}</w:instrText>
      </w:r>
      <w:r>
        <w:rPr>
          <w:rFonts w:ascii="Times New Roman" w:hAnsi="Times New Roman" w:cs="Times New Roman"/>
          <w:sz w:val="24"/>
          <w:szCs w:val="24"/>
        </w:rPr>
        <w:fldChar w:fldCharType="separate"/>
      </w:r>
      <w:r w:rsidRPr="003C677A">
        <w:rPr>
          <w:rFonts w:ascii="Times New Roman" w:hAnsi="Times New Roman" w:cs="Times New Roman"/>
          <w:noProof/>
          <w:sz w:val="24"/>
          <w:szCs w:val="24"/>
        </w:rPr>
        <w:t>(Finkel and Hays 2013)</w:t>
      </w:r>
      <w:r>
        <w:rPr>
          <w:rFonts w:ascii="Times New Roman" w:hAnsi="Times New Roman" w:cs="Times New Roman"/>
          <w:sz w:val="24"/>
          <w:szCs w:val="24"/>
        </w:rPr>
        <w:fldChar w:fldCharType="end"/>
      </w:r>
      <w:r w:rsidRPr="0005002A">
        <w:rPr>
          <w:rFonts w:ascii="Times New Roman" w:hAnsi="Times New Roman" w:cs="Times New Roman"/>
          <w:sz w:val="24"/>
          <w:szCs w:val="24"/>
        </w:rPr>
        <w:t>.</w:t>
      </w:r>
    </w:p>
    <w:p w14:paraId="5C05C957"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the increased use of hydraulic fracturing, the United States has been the world’s top producer of oil and gas since 2009 (Cook et al 2018). It b</w:t>
      </w:r>
      <w:r w:rsidRPr="007C006A">
        <w:rPr>
          <w:rFonts w:ascii="Times New Roman" w:hAnsi="Times New Roman" w:cs="Times New Roman"/>
          <w:sz w:val="24"/>
          <w:szCs w:val="24"/>
        </w:rPr>
        <w:t xml:space="preserve">ecame popular because of high energy prices, </w:t>
      </w:r>
      <w:r>
        <w:rPr>
          <w:rFonts w:ascii="Times New Roman" w:hAnsi="Times New Roman" w:cs="Times New Roman"/>
          <w:sz w:val="24"/>
          <w:szCs w:val="24"/>
        </w:rPr>
        <w:t xml:space="preserve">the </w:t>
      </w:r>
      <w:r w:rsidRPr="007C006A">
        <w:rPr>
          <w:rFonts w:ascii="Times New Roman" w:hAnsi="Times New Roman" w:cs="Times New Roman"/>
          <w:sz w:val="24"/>
          <w:szCs w:val="24"/>
        </w:rPr>
        <w:t xml:space="preserve">desire to increase national energy independence, and advances in tech that made the </w:t>
      </w:r>
      <w:r w:rsidRPr="007C006A">
        <w:rPr>
          <w:rFonts w:ascii="Times New Roman" w:hAnsi="Times New Roman" w:cs="Times New Roman"/>
          <w:sz w:val="24"/>
          <w:szCs w:val="24"/>
        </w:rPr>
        <w:lastRenderedPageBreak/>
        <w:t>process more economical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{"citationItems":[{"id":"ITEM-1","itemData":{"DOI":"10.5547/2160-5890.4.1.zwan","ISSN":"21605890","abstract":"This paper reviews the economic, policy, and technology history of shale gas development in the United States. We aim primarily to answer the question of what led to the shale gas boom in the United States to help inform stakeholders in those countries that are attempting to develop their own shale gas resources. Our review finds that government policy, private entrepreneurship, private land and mineral rights ownership, high natural gas prices in the 2000s, and a number of other factors all played important roles in generating the technology innovations underlying the shale gas boom.","author":[{"dropping-particle":"","family":"Wang","given":"Zhongmin","non-dropping-particle":"","parse-names":false,"suffix":""},{"dropping-particle":"","family":"Krupnick","given":"Alan","non-dropping-particle":"","parse-names":false,"suffix":""}],"container-title":"Economics of Energy and Environmental Policy","id":"ITEM-1","issue":"1","issued":{"date-parts":[["2013"]]},"page":"5-17","title":"A retrospective review of shale gas development in the United States: What led to the boom?","type":"article-journal","volume":"4"},"uris":["http://www.mendeley.com/documents/?uuid=58e26ffd-79ca-4736-8cf3-da58fcb03b7c"]}],"mendeley":{"formattedCitation":"(Z. Wang and Krupnick 2013)","manualFormatting":"(Wang and Krupnick 2013)","plainTextFormattedCitation":"(Z. Wang and Krupnick 2013)","previouslyFormattedCitation":"(Z. Wang and Krupnick 2013)"},"properties":{"noteIndex":0},"schema":"https://github.com/citation-style-language/schema/raw/master/csl-citation.json"}</w:instrText>
      </w:r>
      <w:r>
        <w:rPr>
          <w:rFonts w:ascii="Times New Roman" w:hAnsi="Times New Roman" w:cs="Times New Roman"/>
          <w:sz w:val="24"/>
          <w:szCs w:val="24"/>
        </w:rPr>
        <w:fldChar w:fldCharType="separate"/>
      </w:r>
      <w:r w:rsidRPr="003A5902">
        <w:rPr>
          <w:rFonts w:ascii="Times New Roman" w:hAnsi="Times New Roman" w:cs="Times New Roman"/>
          <w:noProof/>
          <w:sz w:val="24"/>
          <w:szCs w:val="24"/>
        </w:rPr>
        <w:t>(Wang and Krupnick 2013)</w:t>
      </w:r>
      <w:r>
        <w:rPr>
          <w:rFonts w:ascii="Times New Roman" w:hAnsi="Times New Roman" w:cs="Times New Roman"/>
          <w:sz w:val="24"/>
          <w:szCs w:val="24"/>
        </w:rPr>
        <w:fldChar w:fldCharType="end"/>
      </w:r>
      <w:r>
        <w:rPr>
          <w:rFonts w:ascii="Times New Roman" w:hAnsi="Times New Roman" w:cs="Times New Roman"/>
          <w:sz w:val="24"/>
          <w:szCs w:val="24"/>
        </w:rPr>
        <w:t>.</w:t>
      </w:r>
      <w:r w:rsidRPr="007C006A">
        <w:rPr>
          <w:rFonts w:ascii="Times New Roman" w:hAnsi="Times New Roman" w:cs="Times New Roman"/>
          <w:sz w:val="24"/>
          <w:szCs w:val="24"/>
        </w:rPr>
        <w:t xml:space="preserve"> </w:t>
      </w:r>
      <w:r w:rsidRPr="0005002A">
        <w:rPr>
          <w:rFonts w:ascii="Times New Roman" w:hAnsi="Times New Roman" w:cs="Times New Roman"/>
          <w:sz w:val="24"/>
          <w:szCs w:val="24"/>
        </w:rPr>
        <w:t>The United States holds the largest reserves of shale oil and the fourth largest rese</w:t>
      </w:r>
      <w:r>
        <w:rPr>
          <w:rFonts w:ascii="Times New Roman" w:hAnsi="Times New Roman" w:cs="Times New Roman"/>
          <w:sz w:val="24"/>
          <w:szCs w:val="24"/>
        </w:rPr>
        <w:t xml:space="preserve">rves of shale gas in the world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{"citationItems":[{"id":"ITEM-1","itemData":{"DOI":"www.eia.gov/analysis/studies/worldshalegas/","abstract":"This report provides an initial assessment of shale oil resources and updates a prior assessment of shale gas resources issued in April 2011. It assesses 137 shale formations in 41 countries outside the United States, expanding on the 69 shale formations within 32 countries considered in the prior report. The earlier assessment, also prepared by Advanced Resources International (ARI), was released as part of a U.S. Energy Information Administration (EIA) report titled World Shale Gas Resources: An Initial Assessment of 14 Regions Outside the United States.1 There were two reasons for pursuing an updated assessment of shale resources so soon after the prior report. First, geologic research and well drilling results not available for use in the 2011 report allow for a more informed evaluation of the shale formations covered in that report as well as other shale formations that it did not assess. Second, while the 2011 report focused exclusively on natural gas, recent developments in the United States highlight the role of shale formations and other tight plays as sources of crude oil, lease condensates, and a variety of liquids processed from wet natural gas. As shown in Table 1, estimates in the updated report taken in conjunction with EIA's own assessment of resources within the United States indicate technically recoverable resources of 345 billion barrels of world shale oil resources and 7,299 trillion cubic feet of world shale gas resources. The new global shale gas resource estimate is 10 percent higher than the estimate in the 2011 report.","author":[{"dropping-particle":"","family":"Administration","given":"U.s. Energy Information","non-dropping-particle":"","parse-names":false,"suffix":""}],"container-title":"U.S. Energy Information Administration","id":"ITEM-1","issue":"June","issued":{"date-parts":[["2013"]]},"page":"76 pp.","title":"Technically Recoverable Shale Oil and Shale Gas Resources : An Assessment of 137 Shale Formations in 41 Countries Outside the United States","type":"article-journal","volume":"2013"},"uris":["http://www.mendeley.com/documents/?uuid=418a2489-0a9d-4b89-bfaa-bccf6ed5affa"]}],"mendeley":{"formattedCitation":"(Administration 2013)","manualFormatting":"(US Energy Information Administration 2013)","plainTextFormattedCitation":"(Administration 2013)","previouslyFormattedCitation":"(Administration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(US Energy Information Administration </w:t>
      </w:r>
      <w:r w:rsidRPr="00996C75">
        <w:rPr>
          <w:rFonts w:ascii="Times New Roman" w:hAnsi="Times New Roman" w:cs="Times New Roman"/>
          <w:noProof/>
          <w:sz w:val="24"/>
          <w:szCs w:val="24"/>
        </w:rPr>
        <w:t>2013)</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 xml:space="preserve">In 2000, </w:t>
      </w:r>
      <w:r>
        <w:rPr>
          <w:rFonts w:ascii="Times New Roman" w:hAnsi="Times New Roman" w:cs="Times New Roman"/>
          <w:sz w:val="24"/>
          <w:szCs w:val="24"/>
        </w:rPr>
        <w:t>this technique only produced</w:t>
      </w:r>
      <w:r w:rsidRPr="0005002A">
        <w:rPr>
          <w:rFonts w:ascii="Times New Roman" w:hAnsi="Times New Roman" w:cs="Times New Roman"/>
          <w:sz w:val="24"/>
          <w:szCs w:val="24"/>
        </w:rPr>
        <w:t xml:space="preserve"> 1% of natural gas production.</w:t>
      </w:r>
      <w:r>
        <w:rPr>
          <w:rFonts w:ascii="Times New Roman" w:hAnsi="Times New Roman" w:cs="Times New Roman"/>
          <w:sz w:val="24"/>
          <w:szCs w:val="24"/>
        </w:rPr>
        <w:t xml:space="preserve"> By 2017, that figure increased to 60% of dry natural gas (Cook et al 2018)</w:t>
      </w:r>
      <w:r w:rsidRPr="0005002A">
        <w:rPr>
          <w:rFonts w:ascii="Times New Roman" w:hAnsi="Times New Roman" w:cs="Times New Roman"/>
          <w:sz w:val="24"/>
          <w:szCs w:val="24"/>
        </w:rPr>
        <w:t>.</w:t>
      </w:r>
      <w:r>
        <w:rPr>
          <w:rFonts w:ascii="Times New Roman" w:hAnsi="Times New Roman" w:cs="Times New Roman"/>
          <w:sz w:val="24"/>
          <w:szCs w:val="24"/>
        </w:rPr>
        <w:t xml:space="preserve"> Oil production also increased during this time from 6 million barrels of oil per day in 2000 to 12.23 million per day in 2019 (Geary 2020). </w:t>
      </w:r>
      <w:r w:rsidRPr="0005002A">
        <w:rPr>
          <w:rFonts w:ascii="Times New Roman" w:hAnsi="Times New Roman" w:cs="Times New Roman"/>
          <w:sz w:val="24"/>
          <w:szCs w:val="24"/>
        </w:rPr>
        <w:t xml:space="preserve">The United States has gone from being one of the world’s largest importers of oil and gas </w:t>
      </w:r>
      <w:r>
        <w:rPr>
          <w:rFonts w:ascii="Times New Roman" w:hAnsi="Times New Roman" w:cs="Times New Roman"/>
          <w:sz w:val="24"/>
          <w:szCs w:val="24"/>
        </w:rPr>
        <w:t xml:space="preserve">to becoming energy independent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{"citationItems":[{"id":"ITEM-1","itemData":{"DOI":"10.1016/j.rser.2013.08.065","ISBN":"1364-0321","ISSN":"13640321","abstract":"Extraction of natural gas from shale rock in the United States (US) is one of the landmark events in the 21st century. The combination of horizontal drilling and hydraulic fracturing can extract huge quantities of natural gas from impermeable shale formations, which were previously thought to be either impossible or uneconomic to produce. This review offers a comprehensive insight into US shale gas opportunities, appraising the evolution, evidence and the challenges of shale gas production in the US. The history of US shale gas in this article is divided into three periods and based on the change of oil price (i.e., the period before the 1970s oil crisis, the period from 1970s to 2000, and the period since 2000), the US has moved from being one of the world's biggest importers of gas to being self-sufficient in less than a decade, with the shale gas production increasing 12-fold (from 2000 to 2010). The US domestic natural gas price hit a 10-year low in 2012. The US domestic natural gas price in the first half of 2012 was about $2 per million British Thermal Unit (BTU), compared with Brent crude, the world benchmark price for oil, now about $ 80-100/barrel, or $14-17 per million BTU. Partly due to an increase in gas-fired power generation in response to low gas prices, US carbon emissions from fossil-fuel combustion fell by 430 million ton CO2 - more than any other country - between 2006 and 2011. Shale gas also stimulated economic growth, creating 600,000 new jobs in the US by 2010. However, the US shale gas revolution would be curbed, if the environmental risks posed by hydraulic fracturing are not managed effectively. The hydraulic fracturing is water intensive, and can cause pollution in the marine environment, with implications for long-term environmental sustainability in several ways. Also, large amounts of methane, a powerful greenhouse gas, can be emitted during the shale gas exploration and production. Hydraulic fracturing also may induce earthquakes. These environmental risks need to be managed by good practices which is not being applied by all the producers in all the locations. Enforcing stronger regulations are necessary to minimize risk to the environment and on human health. Robust regulatory oversight can however increase the cost of extraction, but stringent regulations can foster an historic opportunity to provide cheaper and cleaner gas to meet the consumer demand, as well as to usher in the future growth of the industry. ?? 2013 El…","author":[{"dropping-particle":"","family":"Wang","given":"Qiang","non-dropping-particle":"","parse-names":false,"suffix":""},{"dropping-particle":"","family":"Chen","given":"Xi","non-dropping-particle":"","parse-names":false,"suffix":""},{"dropping-particle":"","family":"Jha","given":"Awadhesh N.","non-dropping-particle":"","parse-names":false,"suffix":""},{"dropping-particle":"","family":"Rogers","given":"Howard","non-dropping-particle":"","parse-names":false,"suffix":""}],"container-title":"Renewable and Sustainable Energy Reviews","id":"ITEM-1","issued":{"date-parts":[["2014"]]},"page":"1-28","publisher":"Elsevier","title":"Natural gas from shale formation - The evolution, evidences and challenges of shale gas revolution in United States","type":"article-journal","volume":"30"},"uris":["http://www.mendeley.com/documents/?uuid=726798b2-a7e0-4b4e-8a8f-6282071ae270"]}],"mendeley":{"formattedCitation":"(Q. Wang et al. 2014)","manualFormatting":"(Wang et al. 2014)","plainTextFormattedCitation":"(Q. Wang et al. 2014)","previouslyFormattedCitation":"(Q. Wang et al. 2014)"},"properties":{"noteIndex":0},"schema":"https://github.com/citation-style-language/schema/raw/master/csl-citation.json"}</w:instrText>
      </w:r>
      <w:r>
        <w:rPr>
          <w:rFonts w:ascii="Times New Roman" w:hAnsi="Times New Roman" w:cs="Times New Roman"/>
          <w:sz w:val="24"/>
          <w:szCs w:val="24"/>
        </w:rPr>
        <w:fldChar w:fldCharType="separate"/>
      </w:r>
      <w:r w:rsidRPr="003A5902">
        <w:rPr>
          <w:rFonts w:ascii="Times New Roman" w:hAnsi="Times New Roman" w:cs="Times New Roman"/>
          <w:noProof/>
          <w:sz w:val="24"/>
          <w:szCs w:val="24"/>
        </w:rPr>
        <w:t>(Wang et al. 2014)</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The success of the unconventional shale and gas industry in the US has generated much interest abroad from countries holding large reserves of their own.</w:t>
      </w:r>
    </w:p>
    <w:p w14:paraId="6509ED63"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Supporters of hydraulic fracturing point to several benefits to the practice. First, the exploration, construction, and extraction of oil and gas is a job creator for local economies, especially in rural areas who have been economically depressed for decades. This can also be a boon for local governments in desperate need of tax revenue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{"citationItems":[{"id":"ITEM-1","itemData":{"author":[{"dropping-particle":"","family":"Kay","given":"David","non-dropping-particle":"","parse-names":false,"suffix":""}],"id":"ITEM-1","issued":{"date-parts":[["2011"]]},"title":"The Economic Impact of Marcellus Shale Gas Drilling What Have We Learned? What are the Limitations?","type":"article-journal"},"uris":["http://www.mendeley.com/documents/?uuid=12a78de9-6a0c-42f0-b9a1-327f034ec156"]}],"mendeley":{"formattedCitation":"(Kay 2011)","plainTextFormattedCitation":"(Kay 2011)","previouslyFormattedCitation":"(Kay 2011)"},"properties":{"noteIndex":0},"schema":"https://github.com/citation-style-language/schema/raw/master/csl-citation.json"}</w:instrText>
      </w:r>
      <w:r>
        <w:rPr>
          <w:rFonts w:ascii="Times New Roman" w:hAnsi="Times New Roman" w:cs="Times New Roman"/>
          <w:sz w:val="24"/>
          <w:szCs w:val="24"/>
        </w:rPr>
        <w:fldChar w:fldCharType="separate"/>
      </w:r>
      <w:r w:rsidRPr="006D0ADC">
        <w:rPr>
          <w:rFonts w:ascii="Times New Roman" w:hAnsi="Times New Roman" w:cs="Times New Roman"/>
          <w:noProof/>
          <w:sz w:val="24"/>
          <w:szCs w:val="24"/>
        </w:rPr>
        <w:t>(Kay 2011)</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it can be an additional income source for landowners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{"citationItems":[{"id":"ITEM-1","itemData":{"DOI":"10.1016/j.enpol.2015.02.019","ISSN":"03014215","abstract":"In this article, we examine framing effects regarding unconventional oil and gas extraction using hydraulic fracturing (or fracking): an issue involving considerable controversy over potential impacts as well as terminology used to describe it. Specifically, we explore how two commonly used terms to describe this issue - fracking or shale oil or gas development - serve as issue frames and influence public opinion. Extending existing research, we suggest that these frames elicit different top-of-mind associations that reflect positive or negative connotations and resonate with people's political ideology. These associations, in turn, help explain direct and indirect framing effects on support/opposition as well as whether these effects differ by political ideology. Results of a split-ballot, national U.S. survey (n=1000) reveal that people are more supportive of the energy extraction process when it is referred to as shale oil or gas development versus fracking, and this relationship is mediated by greater perceptions of benefit versus risk. Political ideology did not moderate these effects. Further analysis suggests that these findings are partly explained by the tendency to associate fracking more with negative thoughts and impacts and shale oil or gas development more with positive thoughts and impacts. However, these associations also did not vary by political ideology. We discuss implications for communicating risk regarding energy development.","author":[{"dropping-particle":"","family":"Clarke","given":"Christopher E.","non-dropping-particle":"","parse-names":false,"suffix":""},{"dropping-particle":"","family":"Hart","given":"Philip S.","non-dropping-particle":"","parse-names":false,"suffix":""},{"dropping-particle":"","family":"Schuldt","given":"Jonathon P.","non-dropping-particle":"","parse-names":false,"suffix":""},{"dropping-particle":"","family":"Evensen","given":"Darrick T.N.","non-dropping-particle":"","parse-names":false,"suffix":""},{"dropping-particle":"","family":"Boudet","given":"Hilary S.","non-dropping-particle":"","parse-names":false,"suffix":""},{"dropping-particle":"","family":"Jacquet","given":"Jeffrey B.","non-dropping-particle":"","parse-names":false,"suffix":""},{"dropping-particle":"","family":"Stedman","given":"Richard C.","non-dropping-particle":"","parse-names":false,"suffix":""}],"container-title":"Energy Policy","id":"ITEM-1","issued":{"date-parts":[["2015"]]},"page":"131-140","publisher":"Elsevier","title":"Public opinion on energy development: The interplay of issue framing, top-of-mind associations, and political ideology","type":"article-journal","volume":"81"},"uris":["http://www.mendeley.com/documents/?uuid=c302965f-f0ba-4c5a-b790-0bb5e2dfac8f"]}],"mendeley":{"formattedCitation":"(Clarke et al. 2015)","plainTextFormattedCitation":"(Clarke et al. 2015)","previouslyFormattedCitation":"(Clarke et al. 2015)"},"properties":{"noteIndex":0},"schema":"https://github.com/citation-style-language/schema/raw/master/csl-citation.json"}</w:instrText>
      </w:r>
      <w:r>
        <w:rPr>
          <w:rFonts w:ascii="Times New Roman" w:hAnsi="Times New Roman" w:cs="Times New Roman"/>
          <w:sz w:val="24"/>
          <w:szCs w:val="24"/>
        </w:rPr>
        <w:fldChar w:fldCharType="separate"/>
      </w:r>
      <w:r w:rsidRPr="006D0ADC">
        <w:rPr>
          <w:rFonts w:ascii="Times New Roman" w:hAnsi="Times New Roman" w:cs="Times New Roman"/>
          <w:noProof/>
          <w:sz w:val="24"/>
          <w:szCs w:val="24"/>
        </w:rPr>
        <w:t>(Clarke et al. 2015)</w:t>
      </w:r>
      <w:r>
        <w:rPr>
          <w:rFonts w:ascii="Times New Roman" w:hAnsi="Times New Roman" w:cs="Times New Roman"/>
          <w:sz w:val="24"/>
          <w:szCs w:val="24"/>
        </w:rPr>
        <w:fldChar w:fldCharType="end"/>
      </w:r>
      <w:r>
        <w:rPr>
          <w:rFonts w:ascii="Times New Roman" w:hAnsi="Times New Roman" w:cs="Times New Roman"/>
          <w:sz w:val="24"/>
          <w:szCs w:val="24"/>
        </w:rPr>
        <w:t>. Lastly, there are macro-benefits that are often celebrated. The role of increased oil and gas production keeps the United States less dependent on foreign sources and can reduce the energy costs of the individual consumer (USEIA 2014). The ‘clean’ natural gas is also used to argue that the practice creates a more environmentally friendly alternative to coal (Moskowitz 2015).</w:t>
      </w:r>
    </w:p>
    <w:p w14:paraId="48E4E68D" w14:textId="77777777" w:rsidR="00700741" w:rsidRDefault="00700741" w:rsidP="00700741">
      <w:pPr>
        <w:spacing w:after="0" w:line="480" w:lineRule="auto"/>
        <w:ind w:firstLine="720"/>
        <w:rPr>
          <w:rFonts w:ascii="Times New Roman" w:hAnsi="Times New Roman" w:cs="Times New Roman"/>
          <w:sz w:val="24"/>
          <w:szCs w:val="24"/>
        </w:rPr>
      </w:pPr>
      <w:r w:rsidRPr="0005002A">
        <w:rPr>
          <w:rFonts w:ascii="Times New Roman" w:hAnsi="Times New Roman" w:cs="Times New Roman"/>
          <w:sz w:val="24"/>
          <w:szCs w:val="24"/>
        </w:rPr>
        <w:t xml:space="preserve">While advocates of oil and gas discuss the economic advantages of </w:t>
      </w:r>
      <w:r>
        <w:rPr>
          <w:rFonts w:ascii="Times New Roman" w:hAnsi="Times New Roman" w:cs="Times New Roman"/>
          <w:sz w:val="24"/>
          <w:szCs w:val="24"/>
        </w:rPr>
        <w:t>unconventional oil and gas development</w:t>
      </w:r>
      <w:r w:rsidRPr="0005002A">
        <w:rPr>
          <w:rFonts w:ascii="Times New Roman" w:hAnsi="Times New Roman" w:cs="Times New Roman"/>
          <w:sz w:val="24"/>
          <w:szCs w:val="24"/>
        </w:rPr>
        <w:t>, there are distinct challenges that are raised by opponents.</w:t>
      </w:r>
      <w:r>
        <w:rPr>
          <w:rFonts w:ascii="Times New Roman" w:hAnsi="Times New Roman" w:cs="Times New Roman"/>
          <w:sz w:val="24"/>
          <w:szCs w:val="24"/>
        </w:rPr>
        <w:t xml:space="preserve"> </w:t>
      </w:r>
      <w:r w:rsidRPr="0005002A">
        <w:rPr>
          <w:rFonts w:ascii="Times New Roman" w:hAnsi="Times New Roman" w:cs="Times New Roman"/>
          <w:sz w:val="24"/>
          <w:szCs w:val="24"/>
        </w:rPr>
        <w:t xml:space="preserve">Environmental concerns are not only due to the amount of water used but also the impacts of </w:t>
      </w:r>
      <w:r>
        <w:rPr>
          <w:rFonts w:ascii="Times New Roman" w:hAnsi="Times New Roman" w:cs="Times New Roman"/>
          <w:sz w:val="24"/>
          <w:szCs w:val="24"/>
        </w:rPr>
        <w:t>unconventional oil and gas development</w:t>
      </w:r>
      <w:r w:rsidRPr="0005002A">
        <w:rPr>
          <w:rFonts w:ascii="Times New Roman" w:hAnsi="Times New Roman" w:cs="Times New Roman"/>
          <w:sz w:val="24"/>
          <w:szCs w:val="24"/>
        </w:rPr>
        <w:t xml:space="preserve"> on land use</w:t>
      </w:r>
      <w:r>
        <w:rPr>
          <w:rFonts w:ascii="Times New Roman" w:hAnsi="Times New Roman" w:cs="Times New Roman"/>
          <w:sz w:val="24"/>
          <w:szCs w:val="24"/>
        </w:rPr>
        <w:t>,</w:t>
      </w:r>
      <w:r w:rsidRPr="0005002A">
        <w:rPr>
          <w:rFonts w:ascii="Times New Roman" w:hAnsi="Times New Roman" w:cs="Times New Roman"/>
          <w:sz w:val="24"/>
          <w:szCs w:val="24"/>
        </w:rPr>
        <w:t xml:space="preserve"> </w:t>
      </w:r>
      <w:r>
        <w:rPr>
          <w:rFonts w:ascii="Times New Roman" w:hAnsi="Times New Roman" w:cs="Times New Roman"/>
          <w:sz w:val="24"/>
          <w:szCs w:val="24"/>
        </w:rPr>
        <w:t xml:space="preserve">animal welfare, </w:t>
      </w:r>
      <w:r w:rsidRPr="0005002A">
        <w:rPr>
          <w:rFonts w:ascii="Times New Roman" w:hAnsi="Times New Roman" w:cs="Times New Roman"/>
          <w:sz w:val="24"/>
          <w:szCs w:val="24"/>
        </w:rPr>
        <w:t>air quality, water contamination</w:t>
      </w:r>
      <w:r>
        <w:rPr>
          <w:rFonts w:ascii="Times New Roman" w:hAnsi="Times New Roman" w:cs="Times New Roman"/>
          <w:sz w:val="24"/>
          <w:szCs w:val="24"/>
        </w:rPr>
        <w:t>,</w:t>
      </w:r>
      <w:r w:rsidRPr="0005002A">
        <w:rPr>
          <w:rFonts w:ascii="Times New Roman" w:hAnsi="Times New Roman" w:cs="Times New Roman"/>
          <w:sz w:val="24"/>
          <w:szCs w:val="24"/>
        </w:rPr>
        <w:t xml:space="preserve"> an</w:t>
      </w:r>
      <w:r>
        <w:rPr>
          <w:rFonts w:ascii="Times New Roman" w:hAnsi="Times New Roman" w:cs="Times New Roman"/>
          <w:sz w:val="24"/>
          <w:szCs w:val="24"/>
        </w:rPr>
        <w:t xml:space="preserve">d its link to seismic activity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{"citationItems":[{"id":"ITEM-1","itemData":{"ISSN":"0362-4331","author":[{"dropping-particle":"","family":"Urbina","given":"Ian","non-dropping-particle":"","parse-names":false,"suffix":""}],"id":"ITEM-1","issued":{"date-parts":[["2011"]]},"page":"4-9","title":"A Tainted Water Well, and Concern There May Be More","type":"article-journal"},"uris":["http://www.mendeley.com/documents/?uuid=c5667ccc-ca0b-479d-a783-f7ae3d41c30d"]},{"id":"ITEM-2","itemData":{"DOI":"10.1126/science.1225942","ISBN":"1095-9203 (Electronic)\\r0036-8075 (Linking)","ISSN":"0036-8075, 1095-9203","PMID":"23846903","abstract":"Structured Abstract\nBackground Human-induced earthquakes have become an important topic of political and scientific discussion, owing to the concern that these events may be responsible for widespread damage and an overall increase in seismicity. It has long been known that impoundment of reservoirs, surface and underground mining, withdrawal of fluids and gas from the subsurface, and injection of fluids into underground formations are capable of inducing earthquakes. In particular, earthquakes caused by injection have become a focal point, as new drilling and well-completion technologies enable the extraction of oil and gas from previously unproductive formations.\n&lt;img class=\"highwire-embed\" alt=\"Embedded Image\" src=\"https://d2ufo47lrtsv5s.cloudfront.net/sites/default/files/highwire/sci/341/6142/1225942/embed/inline-graphic-1.gif\"/&gt;Earthquakes with magnitude (M) ≥ 3 in the U.S. midcontinent, 1967–2012. After decades of a steady earthquake rate (average of 21 events/year), activity increased starting in 2001 and peaked at 188 earthquakes in 2011. Human-induced earthquakes are suspected to be partially responsible for the increase.\nAdvances Microearthquakes (that is, those with magnitudes below 2) are routinely produced as part of the hydraulic fracturing (or “fracking”) process used to stimulate the production of oil, but the process as currently practiced appears to pose a low risk of inducing destructive earthquakes. More than 100,000 wells have been subjected to fracking in recent years, and the largest induced earthquake was magnitude 3.6, which is too small to pose a serious risk. Yet, wastewater disposal by injection into deep wells poses a higher risk, because this practice can induce larger earthquakes. For example, several of the largest earthquakes in the U.S. midcontinent in 2011 and 2012 may have been triggered by nearby disposal wells. The largest of these was a magnitude 5.6 event in central Oklahoma that destroyed 14 homes and injured two people. The mechanism responsible for inducing these events appears to be the well-understood process of weakening a preexisting fault by elevating the fluid pressure. However, only a small fraction of the more than 30,000 wastewater disposal wells appears to be problematic—typically those that dispose of very large volumes of water and/or communicate pressure perturbations directly into basement faults.\nOutlook Injection-induced earthquakes, such as those that struck in 2011, clearly contribute to the s…","author":[{"dropping-particle":"","family":"Ellsworth","given":"William L.","non-dropping-particle":"","parse-names":false,"suffix":""}],"container-title":"Science","id":"ITEM-2","issue":"6142","issued":{"date-parts":[["2013"]]},"page":"1225942","title":"Injection-Induced Earthquakes","type":"article-journal","volume":"341"},"uris":["http://www.mendeley.com/documents/?uuid=149e986e-78e3-4ab3-a325-a9b9b329b389"]},{"id":"ITEM-3","itemData":{"author":[{"dropping-particle":"","family":"Davis","given":"Charles","non-dropping-particle":"","parse-names":false,"suffix":""}],"container-title":"Review of Policy Research","id":"ITEM-3","issue":"2","issued":{"date-parts":[["2012"]]},"page":"177-191","title":"The Politics of \"Fracking\": Regulating Natural Gas Drilling Practices in Colorado and Texas","type":"article-journal","volume":"29"},"uris":["http://www.mendeley.com/documents/?uuid=5a8bc5a8-c7a0-48d5-85c8-58e6c8751dff"]}],"mendeley":{"formattedCitation":"(Davis 2012; Ellsworth 2013; Urbina 2011)","manualFormatting":"(Davis 2012; Ellsworth 2013; Urbina 2011; Bamberger &amp; Oswald 2015)","plainTextFormattedCitation":"(Davis 2012; Ellsworth 2013; Urbina 2011)","previouslyFormattedCitation":"(Davis 2012; Ellsworth 2013; Urbina 2011)"},"properties":{"noteIndex":0},"schema":"https://github.com/citation-style-language/schema/raw/master/csl-citation.json"}</w:instrText>
      </w:r>
      <w:r>
        <w:rPr>
          <w:rFonts w:ascii="Times New Roman" w:hAnsi="Times New Roman" w:cs="Times New Roman"/>
          <w:sz w:val="24"/>
          <w:szCs w:val="24"/>
        </w:rPr>
        <w:fldChar w:fldCharType="separate"/>
      </w:r>
      <w:r w:rsidRPr="00996C75">
        <w:rPr>
          <w:rFonts w:ascii="Times New Roman" w:hAnsi="Times New Roman" w:cs="Times New Roman"/>
          <w:noProof/>
          <w:sz w:val="24"/>
          <w:szCs w:val="24"/>
        </w:rPr>
        <w:t>(Davis 2012; Ellsworth 2013; Urbina 2011</w:t>
      </w:r>
      <w:r>
        <w:rPr>
          <w:rFonts w:ascii="Times New Roman" w:hAnsi="Times New Roman" w:cs="Times New Roman"/>
          <w:noProof/>
          <w:sz w:val="24"/>
          <w:szCs w:val="24"/>
        </w:rPr>
        <w:t>; Bamberger &amp; Oswald 2015</w:t>
      </w:r>
      <w:r w:rsidRPr="00996C75">
        <w:rPr>
          <w:rFonts w:ascii="Times New Roman" w:hAnsi="Times New Roman" w:cs="Times New Roman"/>
          <w:noProof/>
          <w:sz w:val="24"/>
          <w:szCs w:val="24"/>
        </w:rPr>
        <w:t>)</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{"citationItems":[{"id":"ITEM-1","itemData":{"ISBN":"0070224706","abstract":"General environmental influences and measure to reduce undesirable impacts of small hydro scheme developments are discussed. The topics considered are: influences of stream impoundments, particularly in regard to impacts on fish and wildlife; environmental aspects of spillways and outlets; impacts associated with generation of electrical energy at mini and small scale hydropower projects, including electrical transmission; potential damages related to project construction and maintenance. The importance of project permits is emphasized, and factors for estimating project costs associated with environmental control activities are summarized. A checklist is suggested for project information for environmental assessment, and, synopsis is presented for techniques available in making environmental assessments. (from paper)","author":[{"dropping-particle":"","family":"Konkel","given":"Lindsey","non-dropping-particle":"","parse-names":false,"suffix":""}],"id":"ITEM-1","issue":"12","issued":{"date-parts":[["2016"]]},"page":"230-235","title":"Salting the Earth: The Environmental Impact of Oil and Gas Wastewater Spills","type":"article-journal","volume":"124"},"uris":["http://www.mendeley.com/documents/?uuid=d26aeff7-834e-423c-9a2c-e4239b69f48d"]}],"mendeley":{"formattedCitation":"(Konkel 2016)","manualFormatting":"Konkel (2016)","plainTextFormattedCitation":"(Konkel 2016)","previouslyFormattedCitation":"(Konkel 2016)"},"properties":{"noteIndex":0},"schema":"https://github.com/citation-style-language/schema/raw/master/csl-citation.json"}</w:instrText>
      </w:r>
      <w:r>
        <w:rPr>
          <w:rFonts w:ascii="Times New Roman" w:hAnsi="Times New Roman" w:cs="Times New Roman"/>
          <w:sz w:val="24"/>
          <w:szCs w:val="24"/>
        </w:rPr>
        <w:fldChar w:fldCharType="separate"/>
      </w:r>
      <w:r w:rsidRPr="00565E91">
        <w:rPr>
          <w:rFonts w:ascii="Times New Roman" w:hAnsi="Times New Roman" w:cs="Times New Roman"/>
          <w:noProof/>
          <w:sz w:val="24"/>
          <w:szCs w:val="24"/>
        </w:rPr>
        <w:t xml:space="preserve">Konkel </w:t>
      </w:r>
      <w:r>
        <w:rPr>
          <w:rFonts w:ascii="Times New Roman" w:hAnsi="Times New Roman" w:cs="Times New Roman"/>
          <w:noProof/>
          <w:sz w:val="24"/>
          <w:szCs w:val="24"/>
        </w:rPr>
        <w:lastRenderedPageBreak/>
        <w:t>(</w:t>
      </w:r>
      <w:r w:rsidRPr="00565E91">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’s study of drinking water on indigenous lands found that the practice created 1 million gallons of wastewater, it went into the soil, and killed vegetation. Air quality analyses are often related to methane emissions, despite proponents of hydraulic fracturing messaging natural gas as a ‘clean’ alternative (Moskowitz 2015). Several scholars have found that the injection of fluid can increase pressures within the pores of deep rock formations which, in turn, can generate earthquakes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{"citationItems":[{"id":"ITEM-1","itemData":{"DOI":"10.1002/2015WR017278.Received","author":[{"dropping-particle":"","family":"Gallegos","given":"Tanya J","non-dropping-particle":"","parse-names":false,"suffix":""},{"dropping-particle":"","family":"Varela","given":"Brian A","non-dropping-particle":"","parse-names":false,"suffix":""},{"dropping-particle":"","family":"Haines","given":"Seth S","non-dropping-particle":"","parse-names":false,"suffix":""},{"dropping-particle":"","family":"Engle","given":"Mark A","non-dropping-particle":"","parse-names":false,"suffix":""}],"container-title":"Water Resources Research","id":"ITEM-1","issue":"52","issued":{"date-parts":[["2016"]]},"page":"6621-6642","title":"Assessment of a numerical model to reproduce event-scale erosion and deposition distributions in a braided river","type":"article-journal"},"uris":["http://www.mendeley.com/documents/?uuid=fc836608-69d4-4d05-8136-e052e2ac79ba"]}],"mendeley":{"formattedCitation":"(Gallegos et al. 2016)","manualFormatting":"(Hand 2015; Gallegos et al. 2016)","plainTextFormattedCitation":"(Gallegos et al. 2016)","previouslyFormattedCitation":"(Gallegos et al. 2016)"},"properties":{"noteIndex":0},"schema":"https://github.com/citation-style-language/schema/raw/master/csl-citation.json"}</w:instrText>
      </w:r>
      <w:r>
        <w:rPr>
          <w:rFonts w:ascii="Times New Roman" w:hAnsi="Times New Roman" w:cs="Times New Roman"/>
          <w:sz w:val="24"/>
          <w:szCs w:val="24"/>
        </w:rPr>
        <w:fldChar w:fldCharType="separate"/>
      </w:r>
      <w:r w:rsidRPr="00565E91">
        <w:rPr>
          <w:rFonts w:ascii="Times New Roman" w:hAnsi="Times New Roman" w:cs="Times New Roman"/>
          <w:noProof/>
          <w:sz w:val="24"/>
          <w:szCs w:val="24"/>
        </w:rPr>
        <w:t>(</w:t>
      </w:r>
      <w:r>
        <w:rPr>
          <w:rFonts w:ascii="Times New Roman" w:hAnsi="Times New Roman" w:cs="Times New Roman"/>
          <w:noProof/>
          <w:sz w:val="24"/>
          <w:szCs w:val="24"/>
        </w:rPr>
        <w:t xml:space="preserve">Hand 2015; </w:t>
      </w:r>
      <w:r w:rsidRPr="00565E91">
        <w:rPr>
          <w:rFonts w:ascii="Times New Roman" w:hAnsi="Times New Roman" w:cs="Times New Roman"/>
          <w:noProof/>
          <w:sz w:val="24"/>
          <w:szCs w:val="24"/>
        </w:rPr>
        <w:t>Gallegos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06D852B"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Sometimes overlapping environmental concerns, public health and safety are also common. Communities around developments run higher risks related to air pollutants, ground water contamination, truck and traffic noise pollution, and psychosocial stress. For workers, the risks are more acute and result in lower mortality rates due to exposure to hazardous material and industrial malfunctions and accidents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{"citationItems":[{"id":"ITEM-1","itemData":{"DOI":"10.1021/es404621d","ISSN":"15205851","abstract":"The rapid increase in unconventional natural gas (UNG) development in the United States during the past decade has brought wells and related infrastructure closer to population centers. This review evaluates risks to public health from chemical and nonchemical stressors associated with UNG, describes likely exposure pathways and potential health effects, and identifies major uncertainties to address with future research. The most important occupational stressors include mortality, exposure to hazardous materials and increased risk of industrial accidents. For communities near development and production sites the major stressors are air pollutants, ground and surface water contamination, truck traffic and noise pollution, accidents and malfunctions, and psychosocial stress associated with community change. Despite broad public concern, no comprehensive population-based studies of the public health effects of UNG operations exist. Major uncertainties are the unknown frequency and duration of human exposure, future extent of development, potential emission control and mitigation strategies, and a paucity of baseline data to enable substantive before and after comparisons for affected populations and environmental media. Overall, the current literature suggests that research needs to address these uncertainties before we can reasonably quantify the likelihood of occurrence or magnitude of adverse health effects associated with UNG production in workers and communities. © 2014 American Chemical Society.","author":[{"dropping-particle":"","family":"Adgate","given":"John L.","non-dropping-particle":"","parse-names":false,"suffix":""},{"dropping-particle":"","family":"Goldstein","given":"Bernard D.","non-dropping-particle":"","parse-names":false,"suffix":""},{"dropping-particle":"","family":"McKenzie","given":"Lisa M.","non-dropping-particle":"","parse-names":false,"suffix":""}],"container-title":"Environmental Science and Technology","id":"ITEM-1","issue":"15","issued":{"date-parts":[["2014"]]},"page":"8307-8320","title":"Potential public health hazards, exposures and health effects from unconventional natural gas development","type":"article-journal","volume":"48"},"uris":["http://www.mendeley.com/documents/?uuid=172d7d21-a997-406f-acc8-a78c3ed93094"]}],"mendeley":{"formattedCitation":"(Adgate, Goldstein, and McKenzie 2014)","plainTextFormattedCitation":"(Adgate, Goldstein, and McKenzie 2014)","previouslyFormattedCitation":"(Adgate, Goldstein, and McKenzie 2014)"},"properties":{"noteIndex":0},"schema":"https://github.com/citation-style-language/schema/raw/master/csl-citation.json"}</w:instrText>
      </w:r>
      <w:r>
        <w:rPr>
          <w:rFonts w:ascii="Times New Roman" w:hAnsi="Times New Roman" w:cs="Times New Roman"/>
          <w:sz w:val="24"/>
          <w:szCs w:val="24"/>
        </w:rPr>
        <w:fldChar w:fldCharType="separate"/>
      </w:r>
      <w:r w:rsidRPr="00565E91">
        <w:rPr>
          <w:rFonts w:ascii="Times New Roman" w:hAnsi="Times New Roman" w:cs="Times New Roman"/>
          <w:noProof/>
          <w:sz w:val="24"/>
          <w:szCs w:val="24"/>
        </w:rPr>
        <w:t>(Adgate, Goldstein, and McKenzie 2014)</w:t>
      </w:r>
      <w:r>
        <w:rPr>
          <w:rFonts w:ascii="Times New Roman" w:hAnsi="Times New Roman" w:cs="Times New Roman"/>
          <w:sz w:val="24"/>
          <w:szCs w:val="24"/>
        </w:rPr>
        <w:fldChar w:fldCharType="end"/>
      </w:r>
      <w:r>
        <w:rPr>
          <w:rFonts w:ascii="Times New Roman" w:hAnsi="Times New Roman" w:cs="Times New Roman"/>
          <w:sz w:val="24"/>
          <w:szCs w:val="24"/>
        </w:rPr>
        <w:t xml:space="preserve">. Social costs of rapid population growth and the loss of community are also linked to the impact of hydraulic fracturing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{"citationItems":[{"id":"ITEM-1","itemData":{"DOI":"10.1016/j.enpol.2015.02.019","ISSN":"03014215","abstract":"In this article, we examine framing effects regarding unconventional oil and gas extraction using hydraulic fracturing (or fracking): an issue involving considerable controversy over potential impacts as well as terminology used to describe it. Specifically, we explore how two commonly used terms to describe this issue - fracking or shale oil or gas development - serve as issue frames and influence public opinion. Extending existing research, we suggest that these frames elicit different top-of-mind associations that reflect positive or negative connotations and resonate with people's political ideology. These associations, in turn, help explain direct and indirect framing effects on support/opposition as well as whether these effects differ by political ideology. Results of a split-ballot, national U.S. survey (n=1000) reveal that people are more supportive of the energy extraction process when it is referred to as shale oil or gas development versus fracking, and this relationship is mediated by greater perceptions of benefit versus risk. Political ideology did not moderate these effects. Further analysis suggests that these findings are partly explained by the tendency to associate fracking more with negative thoughts and impacts and shale oil or gas development more with positive thoughts and impacts. However, these associations also did not vary by political ideology. We discuss implications for communicating risk regarding energy development.","author":[{"dropping-particle":"","family":"Clarke","given":"Christopher E.","non-dropping-particle":"","parse-names":false,"suffix":""},{"dropping-particle":"","family":"Hart","given":"Philip S.","non-dropping-particle":"","parse-names":false,"suffix":""},{"dropping-particle":"","family":"Schuldt","given":"Jonathon P.","non-dropping-particle":"","parse-names":false,"suffix":""},{"dropping-particle":"","family":"Evensen","given":"Darrick T.N.","non-dropping-particle":"","parse-names":false,"suffix":""},{"dropping-particle":"","family":"Boudet","given":"Hilary S.","non-dropping-particle":"","parse-names":false,"suffix":""},{"dropping-particle":"","family":"Jacquet","given":"Jeffrey B.","non-dropping-particle":"","parse-names":false,"suffix":""},{"dropping-particle":"","family":"Stedman","given":"Richard C.","non-dropping-particle":"","parse-names":false,"suffix":""}],"container-title":"Energy Policy","id":"ITEM-1","issued":{"date-parts":[["2015"]]},"page":"131-140","publisher":"Elsevier","title":"Public opinion on energy development: The interplay of issue framing, top-of-mind associations, and political ideology","type":"article-journal","volume":"81"},"uris":["http://www.mendeley.com/documents/?uuid=c302965f-f0ba-4c5a-b790-0bb5e2dfac8f"]}],"mendeley":{"formattedCitation":"(Clarke et al. 2015)","plainTextFormattedCitation":"(Clarke et al. 2015)","previouslyFormattedCitation":"(Clarke et al. 2015)"},"properties":{"noteIndex":0},"schema":"https://github.com/citation-style-language/schema/raw/master/csl-citation.json"}</w:instrText>
      </w:r>
      <w:r>
        <w:rPr>
          <w:rFonts w:ascii="Times New Roman" w:hAnsi="Times New Roman" w:cs="Times New Roman"/>
          <w:sz w:val="24"/>
          <w:szCs w:val="24"/>
        </w:rPr>
        <w:fldChar w:fldCharType="separate"/>
      </w:r>
      <w:r w:rsidRPr="00565E91">
        <w:rPr>
          <w:rFonts w:ascii="Times New Roman" w:hAnsi="Times New Roman" w:cs="Times New Roman"/>
          <w:noProof/>
          <w:sz w:val="24"/>
          <w:szCs w:val="24"/>
        </w:rPr>
        <w:t>(Clarke et al. 2015)</w:t>
      </w:r>
      <w:r>
        <w:rPr>
          <w:rFonts w:ascii="Times New Roman" w:hAnsi="Times New Roman" w:cs="Times New Roman"/>
          <w:sz w:val="24"/>
          <w:szCs w:val="24"/>
        </w:rPr>
        <w:fldChar w:fldCharType="end"/>
      </w:r>
      <w:r>
        <w:rPr>
          <w:rFonts w:ascii="Times New Roman" w:hAnsi="Times New Roman" w:cs="Times New Roman"/>
          <w:sz w:val="24"/>
          <w:szCs w:val="24"/>
        </w:rPr>
        <w:t>. Economic concerns, while observed less directly, related to the cost of cleanup are also prominent (Joyce and Wirfs-Brock 2015).</w:t>
      </w:r>
    </w:p>
    <w:p w14:paraId="549A8335" w14:textId="77777777" w:rsidR="00700741" w:rsidRPr="0005002A"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Partially due to disagreement about the severity and promise of the aforementioned risks and benefits, conflict is viewed as a central component to both conventional and unconventional oil and gas subsystems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eible","given":"Chris","non-dropping-particle":"","parse-names":false,"suffix":""},{"dropping-particle":"","family":"Heikkila","given":"Tanya","non-dropping-particle":"","parse-names":false,"suffix":""},{"dropping-particle":"","family":"Ingold","given":"Karin","non-dropping-particle":"","parse-names":false,"suffix":""},{"dropping-particle":"","family":"Fischer","given":"Manuel","non-dropping-particle":"","parse-names":false,"suffix":""}],"container-title":"Comparing Coalition Politics: Policy Debates on Hydraulic Fracturing in North America and Western Europe","id":"ITEM-1","issued":{"date-parts":[["2016"]]},"publisher":"Palgrave Macmillan","title":"Contours of Coalition Politics on Hydraulic Fracturing Within the United States of America","type":"chapter"},"uris":["http://www.mendeley.com/documents/?uuid=cd8cbc8d-a7bf-4326-9c85-a4c3c375675e"]}],"mendeley":{"formattedCitation":"(Chris Weible et al. 2016)","manualFormatting":"(Weible et al. 2016)","plainTextFormattedCitation":"(Chris Weible et al. 2016)","previouslyFormattedCitation":"(Chris Weible et al. 2016)"},"properties":{"noteIndex":0},"schema":"https://github.com/citation-style-language/schema/raw/master/csl-citation.json"}</w:instrText>
      </w:r>
      <w:r>
        <w:rPr>
          <w:rFonts w:ascii="Times New Roman" w:hAnsi="Times New Roman" w:cs="Times New Roman"/>
          <w:sz w:val="24"/>
          <w:szCs w:val="24"/>
        </w:rPr>
        <w:fldChar w:fldCharType="separate"/>
      </w:r>
      <w:r w:rsidRPr="00CC1F62">
        <w:rPr>
          <w:rFonts w:ascii="Times New Roman" w:hAnsi="Times New Roman" w:cs="Times New Roman"/>
          <w:noProof/>
          <w:sz w:val="24"/>
          <w:szCs w:val="24"/>
        </w:rPr>
        <w:t>(Weible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It has been observed across the state and across the country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{"citationItems":[{"id":"ITEM-1","itemData":{"author":[{"dropping-particle":"","family":"Rabe","given":"Barry G","non-dropping-particle":"","parse-names":false,"suffix":""}],"id":"ITEM-1","issue":"3","issued":{"date-parts":[["2013"]]},"page":"321-340","title":"Lessons from Pennsylvania ’ s Early Move into Fracking","type":"article-journal","volume":"30"},"uris":["http://www.mendeley.com/documents/?uuid=3bc2538b-2dfa-4607-9d55-1b86d0ceea35"]},{"id":"ITEM-2","itemData":{"author":[{"dropping-particle":"","family":"Becker","given":"Vanessa","non-dropping-particle":"","parse-names":false,"suffix":""},{"dropping-particle":"","family":"Werner","given":"Anne","non-dropping-particle":"","parse-names":false,"suffix":""}],"id":"ITEM-2","issue":"2","issued":{"date-parts":[["2014"]]},"title":"&amp; Public Affairs Studies One Step Forward , One Step Back : Shale Gas in Denmark and Sweden","type":"article-journal","volume":"1"},"uris":["http://www.mendeley.com/documents/?uuid=8b1988c0-1d27-48a5-99e6-0be1928c29f0"]},{"id":"ITEM-3","itemData":{"ISBN":"9781137595744","author":[{"dropping-particle":"","family":"Chailleux","given":"Sebastien","non-dropping-particle":"","parse-names":false,"suffix":""},{"dropping-particle":"","family":"Moyson","given":"Stephane","non-dropping-particle":"","parse-names":false,"suffix":""}],"id":"ITEM-3","issued":{"date-parts":[["2016"]]},"title":"The French ban on hydraulic fracturing and the attempts to reverse it : Social mobilization , professional forums , and coalition strategies","type":"book"},"uris":["http://www.mendeley.com/documents/?uuid=556b82dd-10ed-4125-a04d-451a41413814"]}],"mendeley":{"formattedCitation":"(Becker and Werner 2014; Chailleux and Moyson 2016; Rabe 2013)","plainTextFormattedCitation":"(Becker and Werner 2014; Chailleux and Moyson 2016; Rabe 2013)","previouslyFormattedCitation":"(Becker and Werner 2014; Chailleux and Moyson 2016; Rabe 2013)"},"properties":{"noteIndex":0},"schema":"https://github.com/citation-style-language/schema/raw/master/csl-citation.json"}</w:instrText>
      </w:r>
      <w:r>
        <w:rPr>
          <w:rFonts w:ascii="Times New Roman" w:hAnsi="Times New Roman" w:cs="Times New Roman"/>
          <w:sz w:val="24"/>
          <w:szCs w:val="24"/>
        </w:rPr>
        <w:fldChar w:fldCharType="separate"/>
      </w:r>
      <w:r w:rsidRPr="00CC1F62">
        <w:rPr>
          <w:rFonts w:ascii="Times New Roman" w:hAnsi="Times New Roman" w:cs="Times New Roman"/>
          <w:noProof/>
          <w:sz w:val="24"/>
          <w:szCs w:val="24"/>
        </w:rPr>
        <w:t>(Becker and Werner 2014; Chailleux and Moyson 2016; Rabe 2013)</w:t>
      </w:r>
      <w:r>
        <w:rPr>
          <w:rFonts w:ascii="Times New Roman" w:hAnsi="Times New Roman" w:cs="Times New Roman"/>
          <w:sz w:val="24"/>
          <w:szCs w:val="24"/>
        </w:rPr>
        <w:fldChar w:fldCharType="end"/>
      </w:r>
      <w:r>
        <w:rPr>
          <w:rFonts w:ascii="Times New Roman" w:hAnsi="Times New Roman" w:cs="Times New Roman"/>
          <w:sz w:val="24"/>
          <w:szCs w:val="24"/>
        </w:rPr>
        <w:t xml:space="preserve">. Disagreement stems from dispute over whether a problem exists, how that problem should be solved, and who exactly should solve it. Conflict related to unconventional oil and gas development could be a battle of which level of government has authority. In Colorado, for instance, it can be found around competing claims of state and local regulatory rights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00139157.2017.1301165","ISSN":"19399154","author":[{"dropping-particle":"","family":"Heikkila","given":"Tanya","non-dropping-particle":"","parse-names":false,"suffix":""},{"dropping-particle":"","family":"Weible","given":"Christopher M.","non-dropping-particle":"","parse-names":false,"suffix":""},{"dropping-particle":"","family":"Olofsson","given":"Kristin","non-dropping-particle":"","parse-names":false,"suffix":""}],"container-title":"Environment","id":"ITEM-1","issue":"3","issued":{"date-parts":[["2017"]]},"page":"4-13","title":"Policy conflicts over U.S. shale development","type":"article-journal","volume":"59"},"uris":["http://www.mendeley.com/documents/?uuid=fa67826e-40c1-42d8-b2c7-3231de6ec4ba"]},{"id":"ITEM-2","itemData":{"author":[{"dropping-particle":"","family":"Rabe","given":"Barry G","non-dropping-particle":"","parse-names":false,"suffix":""}],"id":"ITEM-2","issue":"3","issued":{"date-parts":[["2013"]]},"page":"321-340","title":"Lessons from Pennsylvania ’ s Early Move into Fracking","type":"article-journal","volume":"30"},"uris":["http://www.mendeley.com/documents/?uuid=3bc2538b-2dfa-4607-9d55-1b86d0ceea35"]}],"mendeley":{"formattedCitation":"(Heikkila, Weible, and Olofsson 2017; Rabe 2013)","plainTextFormattedCitation":"(Heikkila, Weible, and Olofsson 2017; Rabe 2013)","previouslyFormattedCitation":"(Heikkila, Weible, and Olofsson 2017; Rabe 2013)"},"properties":{"noteIndex":0},"schema":"https://github.com/citation-style-language/schema/raw/master/csl-citation.json"}</w:instrText>
      </w:r>
      <w:r>
        <w:rPr>
          <w:rFonts w:ascii="Times New Roman" w:hAnsi="Times New Roman" w:cs="Times New Roman"/>
          <w:sz w:val="24"/>
          <w:szCs w:val="24"/>
        </w:rPr>
        <w:fldChar w:fldCharType="separate"/>
      </w:r>
      <w:r w:rsidRPr="00CC1F62">
        <w:rPr>
          <w:rFonts w:ascii="Times New Roman" w:hAnsi="Times New Roman" w:cs="Times New Roman"/>
          <w:noProof/>
          <w:sz w:val="24"/>
          <w:szCs w:val="24"/>
        </w:rPr>
        <w:t>(Heikkila, Weible, and Olofsson 2017; Rabe 2013)</w:t>
      </w:r>
      <w:r>
        <w:rPr>
          <w:rFonts w:ascii="Times New Roman" w:hAnsi="Times New Roman" w:cs="Times New Roman"/>
          <w:sz w:val="24"/>
          <w:szCs w:val="24"/>
        </w:rPr>
        <w:fldChar w:fldCharType="end"/>
      </w:r>
      <w:r>
        <w:rPr>
          <w:rFonts w:ascii="Times New Roman" w:hAnsi="Times New Roman" w:cs="Times New Roman"/>
          <w:sz w:val="24"/>
          <w:szCs w:val="24"/>
        </w:rPr>
        <w:t xml:space="preserve">. Whereas in New York, the debate was more focused on how the state should </w:t>
      </w:r>
      <w:r>
        <w:rPr>
          <w:rFonts w:ascii="Times New Roman" w:hAnsi="Times New Roman" w:cs="Times New Roman"/>
          <w:sz w:val="24"/>
          <w:szCs w:val="24"/>
        </w:rPr>
        <w:lastRenderedPageBreak/>
        <w:t>govern, not if they should govern. Both cases, however, demonstrate a significant degree of conflict, and are adversarial in nature.</w:t>
      </w:r>
    </w:p>
    <w:p w14:paraId="46A8781F"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these conflict-prone subsystems, there is variation in the amount of resources and political influence each coalition wields. </w:t>
      </w:r>
      <w:r w:rsidRPr="0005002A">
        <w:rPr>
          <w:rFonts w:ascii="Times New Roman" w:hAnsi="Times New Roman" w:cs="Times New Roman"/>
          <w:sz w:val="24"/>
          <w:szCs w:val="24"/>
        </w:rPr>
        <w:t xml:space="preserve">Colorado is one of </w:t>
      </w:r>
      <w:r>
        <w:rPr>
          <w:rFonts w:ascii="Times New Roman" w:hAnsi="Times New Roman" w:cs="Times New Roman"/>
          <w:sz w:val="24"/>
          <w:szCs w:val="24"/>
        </w:rPr>
        <w:t>twenty-seven US states with shale oil</w:t>
      </w:r>
      <w:r w:rsidRPr="0005002A">
        <w:rPr>
          <w:rFonts w:ascii="Times New Roman" w:hAnsi="Times New Roman" w:cs="Times New Roman"/>
          <w:sz w:val="24"/>
          <w:szCs w:val="24"/>
        </w:rPr>
        <w:t xml:space="preserve"> deposits.</w:t>
      </w:r>
      <w:r>
        <w:rPr>
          <w:rFonts w:ascii="Times New Roman" w:hAnsi="Times New Roman" w:cs="Times New Roman"/>
          <w:sz w:val="24"/>
          <w:szCs w:val="24"/>
        </w:rPr>
        <w:t xml:space="preserve"> </w:t>
      </w:r>
      <w:r w:rsidRPr="0005002A">
        <w:rPr>
          <w:rFonts w:ascii="Times New Roman" w:hAnsi="Times New Roman" w:cs="Times New Roman"/>
          <w:sz w:val="24"/>
          <w:szCs w:val="24"/>
        </w:rPr>
        <w:t>In 2009, Colorado ranked sixth in natural gas production.</w:t>
      </w:r>
      <w:r>
        <w:rPr>
          <w:rFonts w:ascii="Times New Roman" w:hAnsi="Times New Roman" w:cs="Times New Roman"/>
          <w:sz w:val="24"/>
          <w:szCs w:val="24"/>
        </w:rPr>
        <w:t xml:space="preserve"> </w:t>
      </w:r>
      <w:r w:rsidRPr="0005002A">
        <w:rPr>
          <w:rFonts w:ascii="Times New Roman" w:hAnsi="Times New Roman" w:cs="Times New Roman"/>
          <w:sz w:val="24"/>
          <w:szCs w:val="24"/>
        </w:rPr>
        <w:t xml:space="preserve">How to regulate </w:t>
      </w:r>
      <w:r>
        <w:rPr>
          <w:rFonts w:ascii="Times New Roman" w:hAnsi="Times New Roman" w:cs="Times New Roman"/>
          <w:sz w:val="24"/>
          <w:szCs w:val="24"/>
        </w:rPr>
        <w:t>unconventional oil and gas development</w:t>
      </w:r>
      <w:r w:rsidRPr="0005002A">
        <w:rPr>
          <w:rFonts w:ascii="Times New Roman" w:hAnsi="Times New Roman" w:cs="Times New Roman"/>
          <w:sz w:val="24"/>
          <w:szCs w:val="24"/>
        </w:rPr>
        <w:t xml:space="preserve"> in Colorado has been</w:t>
      </w:r>
      <w:r>
        <w:rPr>
          <w:rFonts w:ascii="Times New Roman" w:hAnsi="Times New Roman" w:cs="Times New Roman"/>
          <w:sz w:val="24"/>
          <w:szCs w:val="24"/>
        </w:rPr>
        <w:t xml:space="preserve"> a contentious political issue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{"citationItems":[{"id":"ITEM-1","itemData":{"author":[{"dropping-particle":"","family":"Davis","given":"Charles","non-dropping-particle":"","parse-names":false,"suffix":""}],"container-title":"Review of Policy Research","id":"ITEM-1","issue":"2","issued":{"date-parts":[["2012"]]},"page":"177-191","title":"The Politics of \"Fracking\": Regulating Natural Gas Drilling Practices in Colorado and Texas","type":"article-journal","volume":"29"},"uris":["http://www.mendeley.com/documents/?uuid=5a8bc5a8-c7a0-48d5-85c8-58e6c8751dff"]}],"mendeley":{"formattedCitation":"(Davis 2012)","plainTextFormattedCitation":"(Davis 2012)","previouslyFormattedCitation":"(Davis 2012)"},"properties":{"noteIndex":0},"schema":"https://github.com/citation-style-language/schema/raw/master/csl-citation.json"}</w:instrText>
      </w:r>
      <w:r>
        <w:rPr>
          <w:rFonts w:ascii="Times New Roman" w:hAnsi="Times New Roman" w:cs="Times New Roman"/>
          <w:sz w:val="24"/>
          <w:szCs w:val="24"/>
        </w:rPr>
        <w:fldChar w:fldCharType="separate"/>
      </w:r>
      <w:r w:rsidRPr="00996C75">
        <w:rPr>
          <w:rFonts w:ascii="Times New Roman" w:hAnsi="Times New Roman" w:cs="Times New Roman"/>
          <w:noProof/>
          <w:sz w:val="24"/>
          <w:szCs w:val="24"/>
        </w:rPr>
        <w:t>(Davis 2012)</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 xml:space="preserve">Public debates about </w:t>
      </w:r>
      <w:r>
        <w:rPr>
          <w:rFonts w:ascii="Times New Roman" w:hAnsi="Times New Roman" w:cs="Times New Roman"/>
          <w:sz w:val="24"/>
          <w:szCs w:val="24"/>
        </w:rPr>
        <w:t>unconventional oil and gas development</w:t>
      </w:r>
      <w:r w:rsidRPr="0005002A">
        <w:rPr>
          <w:rFonts w:ascii="Times New Roman" w:hAnsi="Times New Roman" w:cs="Times New Roman"/>
          <w:sz w:val="24"/>
          <w:szCs w:val="24"/>
        </w:rPr>
        <w:t xml:space="preserve"> have often pitted environmental groups</w:t>
      </w:r>
      <w:r>
        <w:rPr>
          <w:rFonts w:ascii="Times New Roman" w:hAnsi="Times New Roman" w:cs="Times New Roman"/>
          <w:sz w:val="24"/>
          <w:szCs w:val="24"/>
        </w:rPr>
        <w:t xml:space="preserve">, community organizations and </w:t>
      </w:r>
      <w:r w:rsidRPr="0005002A">
        <w:rPr>
          <w:rFonts w:ascii="Times New Roman" w:hAnsi="Times New Roman" w:cs="Times New Roman"/>
          <w:sz w:val="24"/>
          <w:szCs w:val="24"/>
        </w:rPr>
        <w:t xml:space="preserve">local government </w:t>
      </w:r>
      <w:r>
        <w:rPr>
          <w:rFonts w:ascii="Times New Roman" w:hAnsi="Times New Roman" w:cs="Times New Roman"/>
          <w:sz w:val="24"/>
          <w:szCs w:val="24"/>
        </w:rPr>
        <w:t xml:space="preserve">agencies </w:t>
      </w:r>
      <w:r w:rsidRPr="0005002A">
        <w:rPr>
          <w:rFonts w:ascii="Times New Roman" w:hAnsi="Times New Roman" w:cs="Times New Roman"/>
          <w:sz w:val="24"/>
          <w:szCs w:val="24"/>
        </w:rPr>
        <w:t xml:space="preserve">concerned about pollution and public health against state governments and extractive industries looking to increase tax revenue and profits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{"citationItems":[{"id":"ITEM-1","itemData":{"DOI":"10.1111/ropr.12058","ISSN":"15411338","abstract":"This paper investigates the beliefs and framing strategies of interest groups during a period of policy change and the factors explaining policy change. We develop propositions to explore questions concerning policy change primarily from the advocacy coalition framework as well as from other theorie. The propositions are tested by examining the promulgation of a Colorado regulation requiring the disclosure of chemicals used in hydraulic fracturing. Using coded data of documents published by organizations involved in the rulemaking process, we find divergence between industry and environmental groups on their beliefs concerning hydraulic fracturing, as well as their portraying themselves and each other as heroes, victims, and villains, but some convergence on their more specific beliefs concerning disclosure of chemicals. Interviews point to the importance of policy entrepreneurs, timing, a negotiated agreement, and learning for explaining policy change. The findings provide both theoretical and methodological insights into how and why policy changes. © 2014 by The Policy Studies Organization.","author":[{"dropping-particle":"","family":"Heikkila","given":"Tanya","non-dropping-particle":"","parse-names":false,"suffix":""},{"dropping-particle":"","family":"Pierce","given":"Jonathan J.","non-dropping-particle":"","parse-names":false,"suffix":""},{"dropping-particle":"","family":"Gallaher","given":"Samuel","non-dropping-particle":"","parse-names":false,"suffix":""},{"dropping-particle":"","family":"Kagan","given":"Jennifer","non-dropping-particle":"","parse-names":false,"suffix":""},{"dropping-particle":"","family":"Crow","given":"Deserai A.","non-dropping-particle":"","parse-names":false,"suffix":""},{"dropping-particle":"","family":"Weible","given":"Christopher M.","non-dropping-particle":"","parse-names":false,"suffix":""}],"container-title":"Review of Policy Research","id":"ITEM-1","issue":"2","issued":{"date-parts":[["2014"]]},"page":"65-87","title":"Understanding a Period of Policy Change: The Case of Hydraulic Fracturing Disclosure Policy in Colorado","type":"article-journal","volume":"31"},"uris":["http://www.mendeley.com/documents/?uuid=46caddbd-312c-471d-8b8d-cbc591fd694c"]}],"mendeley":{"formattedCitation":"(Heikkila, Pierce, et al. 2014)","plainTextFormattedCitation":"(Heikkila, Pierce, et al. 2014)","previouslyFormattedCitation":"(Heikkila, Pierce, et al. 2014)"},"properties":{"noteIndex":0},"schema":"https://github.com/citation-style-language/schema/raw/master/csl-citation.json"}</w:instrText>
      </w:r>
      <w:r>
        <w:rPr>
          <w:rFonts w:ascii="Times New Roman" w:hAnsi="Times New Roman" w:cs="Times New Roman"/>
          <w:sz w:val="24"/>
          <w:szCs w:val="24"/>
        </w:rPr>
        <w:fldChar w:fldCharType="separate"/>
      </w:r>
      <w:r w:rsidRPr="00645209">
        <w:rPr>
          <w:rFonts w:ascii="Times New Roman" w:hAnsi="Times New Roman" w:cs="Times New Roman"/>
          <w:noProof/>
          <w:sz w:val="24"/>
          <w:szCs w:val="24"/>
        </w:rPr>
        <w:t>(Heikkila, Pierce, et al. 2014)</w:t>
      </w:r>
      <w:r>
        <w:rPr>
          <w:rFonts w:ascii="Times New Roman" w:hAnsi="Times New Roman" w:cs="Times New Roman"/>
          <w:sz w:val="24"/>
          <w:szCs w:val="24"/>
        </w:rPr>
        <w:fldChar w:fldCharType="end"/>
      </w:r>
      <w:r w:rsidRPr="0005002A">
        <w:rPr>
          <w:rFonts w:ascii="Times New Roman" w:hAnsi="Times New Roman" w:cs="Times New Roman"/>
          <w:sz w:val="24"/>
          <w:szCs w:val="24"/>
        </w:rPr>
        <w:t>.</w:t>
      </w:r>
      <w:r>
        <w:rPr>
          <w:rFonts w:ascii="Times New Roman" w:hAnsi="Times New Roman" w:cs="Times New Roman"/>
          <w:sz w:val="24"/>
          <w:szCs w:val="24"/>
        </w:rPr>
        <w:t xml:space="preserve"> </w:t>
      </w:r>
      <w:r w:rsidRPr="0005002A">
        <w:rPr>
          <w:rFonts w:ascii="Times New Roman" w:hAnsi="Times New Roman" w:cs="Times New Roman"/>
          <w:sz w:val="24"/>
          <w:szCs w:val="24"/>
        </w:rPr>
        <w:t>The Colorado Oil and Gas Conservation Commission (COGCC)</w:t>
      </w:r>
      <w:r>
        <w:rPr>
          <w:rFonts w:ascii="Times New Roman" w:hAnsi="Times New Roman" w:cs="Times New Roman"/>
          <w:sz w:val="24"/>
          <w:szCs w:val="24"/>
        </w:rPr>
        <w:t xml:space="preserve"> was created in 1951 and was charged with representing the interests of Colorado oil and gas to business and other interests outside the state (</w:t>
      </w:r>
      <w:r w:rsidRPr="002B1F1A">
        <w:rPr>
          <w:rFonts w:ascii="Times New Roman" w:hAnsi="Times New Roman" w:cs="Times New Roman"/>
          <w:sz w:val="24"/>
          <w:szCs w:val="24"/>
        </w:rPr>
        <w:t>Ray &amp; Hutchins 2017</w:t>
      </w:r>
      <w:r>
        <w:rPr>
          <w:rFonts w:ascii="Times New Roman" w:hAnsi="Times New Roman" w:cs="Times New Roman"/>
          <w:sz w:val="24"/>
          <w:szCs w:val="24"/>
        </w:rPr>
        <w:t xml:space="preserve">). Their role courting industry was expanded to include regulation to protect health and the environment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{"citationItems":[{"id":"ITEM-1","itemData":{"ISBN":"9781137370129","author":[{"dropping-particle":"","family":"Heikkila","given":"Tanya","non-dropping-particle":"","parse-names":false,"suffix":""},{"dropping-particle":"","family":"Weible","given":"Christopher M.","non-dropping-particle":"","parse-names":false,"suffix":""},{"dropping-particle":"","family":"Pierce","given":"Jonathan J.","non-dropping-particle":"","parse-names":false,"suffix":""}],"chapter-number":"9","container-title":"The Science of Stories: Applications of the Narrative Policy Framework in Public Policy Analysis","editor":[{"dropping-particle":"","family":"Jones","given":"Michael D.","non-dropping-particle":"","parse-names":false,"suffix":""},{"dropping-particle":"","family":"Shanahan","given":"Elizabeth A.","non-dropping-particle":"","parse-names":false,"suffix":""},{"dropping-particle":"","family":"McBeth","given":"Mark K.","non-dropping-particle":"","parse-names":false,"suffix":""}],"id":"ITEM-1","issued":{"date-parts":[["2014"]]},"page":"185-207","publisher":"Palgrave Macmillan","publisher-place":"New York","title":"Exploring the Policy Narratives and Politics of Hydraulic Fracturing in New York","type":"chapter"},"uris":["http://www.mendeley.com/documents/?uuid=5853a3ab-fda2-499b-9695-ac0cc31e8371"]}],"mendeley":{"formattedCitation":"(Heikkila, Weible, and Pierce 2014)","plainTextFormattedCitation":"(Heikkila, Weible, and Pierce 2014)","previouslyFormattedCitation":"(Heikkila, Weible, and Pierce 2014)"},"properties":{"noteIndex":0},"schema":"https://github.com/citation-style-language/schema/raw/master/csl-citation.json"}</w:instrText>
      </w:r>
      <w:r>
        <w:rPr>
          <w:rFonts w:ascii="Times New Roman" w:hAnsi="Times New Roman" w:cs="Times New Roman"/>
          <w:sz w:val="24"/>
          <w:szCs w:val="24"/>
        </w:rPr>
        <w:fldChar w:fldCharType="separate"/>
      </w:r>
      <w:r w:rsidRPr="003C677A">
        <w:rPr>
          <w:rFonts w:ascii="Times New Roman" w:hAnsi="Times New Roman" w:cs="Times New Roman"/>
          <w:noProof/>
          <w:sz w:val="24"/>
          <w:szCs w:val="24"/>
        </w:rPr>
        <w:t>(Heikkila, Weible, and Pierce 2014)</w:t>
      </w:r>
      <w:r>
        <w:rPr>
          <w:rFonts w:ascii="Times New Roman" w:hAnsi="Times New Roman" w:cs="Times New Roman"/>
          <w:sz w:val="24"/>
          <w:szCs w:val="24"/>
        </w:rPr>
        <w:fldChar w:fldCharType="end"/>
      </w:r>
      <w:r>
        <w:rPr>
          <w:rFonts w:ascii="Times New Roman" w:hAnsi="Times New Roman" w:cs="Times New Roman"/>
          <w:sz w:val="24"/>
          <w:szCs w:val="24"/>
        </w:rPr>
        <w:t>. These countervailing missions have caused many to question which will get prioritized when they come at odds</w:t>
      </w:r>
      <w:r w:rsidRPr="0005002A">
        <w:rPr>
          <w:rFonts w:ascii="Times New Roman" w:hAnsi="Times New Roman" w:cs="Times New Roman"/>
          <w:sz w:val="24"/>
          <w:szCs w:val="24"/>
        </w:rPr>
        <w:t>.</w:t>
      </w:r>
      <w:r>
        <w:rPr>
          <w:rFonts w:ascii="Times New Roman" w:hAnsi="Times New Roman" w:cs="Times New Roman"/>
          <w:sz w:val="24"/>
          <w:szCs w:val="24"/>
        </w:rPr>
        <w:t xml:space="preserve"> For the past decade, former Governor and oil and gas geologist John Hickenlooper has been perceived by many to be a proponent for the oil and gas industry, along with a series of Republican and Democratic legislatures that oversaw a dramatic increase in unconventional oil and gas (</w:t>
      </w:r>
      <w:r w:rsidRPr="007F40AD">
        <w:rPr>
          <w:rFonts w:ascii="Times New Roman" w:hAnsi="Times New Roman" w:cs="Times New Roman"/>
          <w:sz w:val="24"/>
          <w:szCs w:val="24"/>
        </w:rPr>
        <w:t>Woodruff 2019)</w:t>
      </w:r>
      <w:r>
        <w:rPr>
          <w:rFonts w:ascii="Times New Roman" w:hAnsi="Times New Roman" w:cs="Times New Roman"/>
          <w:sz w:val="24"/>
          <w:szCs w:val="24"/>
        </w:rPr>
        <w:t xml:space="preserve">. </w:t>
      </w:r>
    </w:p>
    <w:p w14:paraId="48151E5E"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significant state </w:t>
      </w:r>
      <w:r w:rsidRPr="0005002A">
        <w:rPr>
          <w:rFonts w:ascii="Times New Roman" w:hAnsi="Times New Roman" w:cs="Times New Roman"/>
          <w:sz w:val="24"/>
          <w:szCs w:val="24"/>
        </w:rPr>
        <w:t xml:space="preserve">policy that </w:t>
      </w:r>
      <w:r>
        <w:rPr>
          <w:rFonts w:ascii="Times New Roman" w:hAnsi="Times New Roman" w:cs="Times New Roman"/>
          <w:sz w:val="24"/>
          <w:szCs w:val="24"/>
        </w:rPr>
        <w:t>anti-unconventional oil and gas policy actors could qualify as a victory came with the</w:t>
      </w:r>
      <w:r w:rsidRPr="0005002A">
        <w:rPr>
          <w:rFonts w:ascii="Times New Roman" w:hAnsi="Times New Roman" w:cs="Times New Roman"/>
          <w:sz w:val="24"/>
          <w:szCs w:val="24"/>
        </w:rPr>
        <w:t xml:space="preserve"> adoption by the COGCC</w:t>
      </w:r>
      <w:r>
        <w:rPr>
          <w:rFonts w:ascii="Times New Roman" w:hAnsi="Times New Roman" w:cs="Times New Roman"/>
          <w:sz w:val="24"/>
          <w:szCs w:val="24"/>
        </w:rPr>
        <w:t xml:space="preserve"> in 2011</w:t>
      </w:r>
      <w:r w:rsidRPr="0005002A">
        <w:rPr>
          <w:rFonts w:ascii="Times New Roman" w:hAnsi="Times New Roman" w:cs="Times New Roman"/>
          <w:sz w:val="24"/>
          <w:szCs w:val="24"/>
        </w:rPr>
        <w:t xml:space="preserve"> of a rule requiring the disclosure of chemicals used in the </w:t>
      </w:r>
      <w:r>
        <w:rPr>
          <w:rFonts w:ascii="Times New Roman" w:hAnsi="Times New Roman" w:cs="Times New Roman"/>
          <w:sz w:val="24"/>
          <w:szCs w:val="24"/>
        </w:rPr>
        <w:t>unconventional oil and gas development</w:t>
      </w:r>
      <w:r w:rsidRPr="0005002A">
        <w:rPr>
          <w:rFonts w:ascii="Times New Roman" w:hAnsi="Times New Roman" w:cs="Times New Roman"/>
          <w:sz w:val="24"/>
          <w:szCs w:val="24"/>
        </w:rPr>
        <w:t xml:space="preserve"> process.</w:t>
      </w:r>
      <w:r>
        <w:rPr>
          <w:rFonts w:ascii="Times New Roman" w:hAnsi="Times New Roman" w:cs="Times New Roman"/>
          <w:sz w:val="24"/>
          <w:szCs w:val="24"/>
        </w:rPr>
        <w:t xml:space="preserve"> Activists celebrated this as a step in the right direction. However, they still had to compromise by allowing companies to protect some proprietary information (</w:t>
      </w:r>
      <w:r w:rsidRPr="007F40AD">
        <w:rPr>
          <w:rFonts w:ascii="Times New Roman" w:hAnsi="Times New Roman" w:cs="Times New Roman"/>
          <w:sz w:val="24"/>
          <w:szCs w:val="24"/>
        </w:rPr>
        <w:t>Proctor 2011</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anti-unconventional oil and gas crowd has experienced a series of setbacks in recent years. In 2016, the Colorado Supreme Court struck down several municipal and county unconventional oil and gas bans, arguing that it is the state’s right to regulate the industry, superseding any mandate by local governments </w:t>
      </w:r>
      <w:r w:rsidRPr="007F40AD">
        <w:rPr>
          <w:rFonts w:ascii="Times New Roman" w:hAnsi="Times New Roman" w:cs="Times New Roman"/>
          <w:sz w:val="24"/>
          <w:szCs w:val="24"/>
        </w:rPr>
        <w:t>(Turkewitz 2018)</w:t>
      </w:r>
      <w:r>
        <w:rPr>
          <w:rFonts w:ascii="Times New Roman" w:hAnsi="Times New Roman" w:cs="Times New Roman"/>
          <w:sz w:val="24"/>
          <w:szCs w:val="24"/>
        </w:rPr>
        <w:t>.</w:t>
      </w:r>
    </w:p>
    <w:p w14:paraId="6D3AE592"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New York, influence of policy actors and impacted areas are distributed differently. Eighty-four trillion cubic feet of natural gas can be found in the western region of the state called the Southern Tier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{"citationItems":[{"id":"ITEM-1","itemData":{"author":[{"dropping-particle":"","family":"Esch","given":"M.","non-dropping-particle":"","parse-names":false,"suffix":""}],"container-title":"Akron Beacon Journal","id":"ITEM-1","issued":{"date-parts":[["2012"]]},"title":"Gas drillers wrangle over New York limitations, bans","type":"article-newspaper"},"uris":["http://www.mendeley.com/documents/?uuid=042c8a75-c2cf-47c7-b51b-f255fa59037f"]}],"mendeley":{"formattedCitation":"(Esch 2012)","plainTextFormattedCitation":"(Esch 2012)","previouslyFormattedCitation":"(Esch 2012)"},"properties":{"noteIndex":0},"schema":"https://github.com/citation-style-language/schema/raw/master/csl-citation.json"}</w:instrText>
      </w:r>
      <w:r>
        <w:rPr>
          <w:rFonts w:ascii="Times New Roman" w:hAnsi="Times New Roman" w:cs="Times New Roman"/>
          <w:sz w:val="24"/>
          <w:szCs w:val="24"/>
        </w:rPr>
        <w:fldChar w:fldCharType="separate"/>
      </w:r>
      <w:r w:rsidRPr="00A16100">
        <w:rPr>
          <w:rFonts w:ascii="Times New Roman" w:hAnsi="Times New Roman" w:cs="Times New Roman"/>
          <w:noProof/>
          <w:sz w:val="24"/>
          <w:szCs w:val="24"/>
        </w:rPr>
        <w:t>(Esch 2012)</w:t>
      </w:r>
      <w:r>
        <w:rPr>
          <w:rFonts w:ascii="Times New Roman" w:hAnsi="Times New Roman" w:cs="Times New Roman"/>
          <w:sz w:val="24"/>
          <w:szCs w:val="24"/>
        </w:rPr>
        <w:fldChar w:fldCharType="end"/>
      </w:r>
      <w:r>
        <w:rPr>
          <w:rFonts w:ascii="Times New Roman" w:hAnsi="Times New Roman" w:cs="Times New Roman"/>
          <w:sz w:val="24"/>
          <w:szCs w:val="24"/>
        </w:rPr>
        <w:t xml:space="preserve">. At the turn of the century, there was a lot of enthusiasm around the prospect of unconventional oil and gas development, particularly in the economically deprived western region. The shale boom was expected to bring in 54,000 jobs and increase state and local revenues by $32-126 million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{"citationItems":[{"id":"ITEM-1","itemData":{"DOI":"10.1111/ropr.12212","ISBN":"1541-1338","ISSN":"15411338","abstract":"New York municipalities passed more than 60 measures promoting high-volume hydraulic fracturing (HVHF), 2008–12. These policies and resolutions signaled to state officials that municipalities desired HVHF's promised economic benefits and were anxious for an end to the state's HVHF moratorium. They also may be evidence of municipalities proactively preparing for a drilling boom. Why did some jurisdictions adopt these measures while others did not? While scholarship suggests that policy adoption is facilitated when jurisdictions and citizens possess more resources, capacity appears to have a negative or negligible impact on pro-HVHF action. Such action appears more likely when local actors anticipate HVHF's potential gains but have not previously experienced substantial drilling, perceive that the industry could be viable locally, and can access relevant policy examples. Some lessons from conventional adoption scholarship may not apply when policies are symbolic, advocacy may be elite-driven, and mimicry is an important diffusion mechanism.","author":[{"dropping-particle":"","family":"Arnold","given":"Gwen","non-dropping-particle":"","parse-names":false,"suffix":""},{"dropping-particle":"","family":"Neupane","given":"Kaubin Wosti","non-dropping-particle":"","parse-names":false,"suffix":""}],"container-title":"Review of Policy Research","id":"ITEM-1","issue":"2","issued":{"date-parts":[["2017"]]},"page":"208-232","title":"Determinants of Pro-Fracking Measure Adoption by New York Southern Tier Municipalities","type":"article-journal","volume":"34"},"uris":["http://www.mendeley.com/documents/?uuid=a058e02d-8bc5-4e9a-920e-a0c6225afe92"]}],"mendeley":{"formattedCitation":"(Arnold and Neupane 2017)","plainTextFormattedCitation":"(Arnold and Neupane 2017)","previouslyFormattedCitation":"(Arnold and Neupane 2017)"},"properties":{"noteIndex":0},"schema":"https://github.com/citation-style-language/schema/raw/master/csl-citation.json"}</w:instrText>
      </w:r>
      <w:r>
        <w:rPr>
          <w:rFonts w:ascii="Times New Roman" w:hAnsi="Times New Roman" w:cs="Times New Roman"/>
          <w:sz w:val="24"/>
          <w:szCs w:val="24"/>
        </w:rPr>
        <w:fldChar w:fldCharType="separate"/>
      </w:r>
      <w:r w:rsidRPr="00AF5B4E">
        <w:rPr>
          <w:rFonts w:ascii="Times New Roman" w:hAnsi="Times New Roman" w:cs="Times New Roman"/>
          <w:noProof/>
          <w:sz w:val="24"/>
          <w:szCs w:val="24"/>
        </w:rPr>
        <w:t>(Arnold and Neupane 2017)</w:t>
      </w:r>
      <w:r>
        <w:rPr>
          <w:rFonts w:ascii="Times New Roman" w:hAnsi="Times New Roman" w:cs="Times New Roman"/>
          <w:sz w:val="24"/>
          <w:szCs w:val="24"/>
        </w:rPr>
        <w:fldChar w:fldCharType="end"/>
      </w:r>
      <w:r>
        <w:rPr>
          <w:rFonts w:ascii="Times New Roman" w:hAnsi="Times New Roman" w:cs="Times New Roman"/>
          <w:sz w:val="24"/>
          <w:szCs w:val="24"/>
        </w:rPr>
        <w:t xml:space="preserve">. By 2003, land leases to oil and gas companies were being signed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{"citationItems":[{"id":"ITEM-1","itemData":{"DOI":"10.1080/1523908X.2015.1116378","ISBN":"1523-908X\r1522-7200","ISSN":"15227200","abstract":"‘Fracking’ was on New York’s agenda since 2008, yet no decision was made about it until late 2014. The gridlock is an intriguing puzzle given that the Marcellus shale is considered a ‘world class’ energy supply, and development has been aggressive in other US states. While policy scholars typically conceptualize gridlock as policy stab- ility, this paper examines it as a dynamic process by which competing discourse coalitions engage in interactive framing processes that (re)structure the discussion. This suggests that the interaction between contending coalitions influences gridlock. Yet, we lack knowledge about interactive framing between competing coalitions during policy con- troversies. Our main finding is that a central mechanism of gridlock is the production of conflict through interactive framing dynamics that deny a shared discursive space capable of ushering in a consensus, or reasoned agreement. In New York, this contest evolved from a policy consensus about the economic benefits of fracking to policy negotiation that incorporated environmental threats, and to prolonged policy controversy in which com- peting discourse coalitions contested notions of fracking in relation to energy production, environmental protection, public health, economic development, and governance. While a ban has been instituted, the failure to bridge discourse coalitions suggests that controversy will persist unless meaning disputes are resolved.","author":[{"dropping-particle":"","family":"Dodge","given":"Jennifer","non-dropping-particle":"","parse-names":false,"suffix":""},{"dropping-particle":"","family":"Lee","given":"Jeongyoon","non-dropping-particle":"","parse-names":false,"suffix":""}],"container-title":"Journal of Environmental Policy and Planning","id":"ITEM-1","issue":"1","issued":{"date-parts":[["2017"]]},"page":"14-34","publisher":"Taylor &amp; Francis","title":"Framing Dynamics and Political Gridlock: The Curious Case of Hydraulic Fracturing in New York","type":"article-journal","volume":"19"},"uris":["http://www.mendeley.com/documents/?uuid=844893bb-9434-47c8-ad60-cb9f75aab6e8"]}],"mendeley":{"formattedCitation":"(Dodge and Lee 2017a)","plainTextFormattedCitation":"(Dodge and Lee 2017a)","previouslyFormattedCitation":"(Dodge and Lee 2017a)"},"properties":{"noteIndex":0},"schema":"https://github.com/citation-style-language/schema/raw/master/csl-citation.json"}</w:instrText>
      </w:r>
      <w:r>
        <w:rPr>
          <w:rFonts w:ascii="Times New Roman" w:hAnsi="Times New Roman" w:cs="Times New Roman"/>
          <w:sz w:val="24"/>
          <w:szCs w:val="24"/>
        </w:rPr>
        <w:fldChar w:fldCharType="separate"/>
      </w:r>
      <w:r w:rsidRPr="00966BF5">
        <w:rPr>
          <w:rFonts w:ascii="Times New Roman" w:hAnsi="Times New Roman" w:cs="Times New Roman"/>
          <w:noProof/>
          <w:sz w:val="24"/>
          <w:szCs w:val="24"/>
        </w:rPr>
        <w:t>(Dodge and Lee 2017a)</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78601B0" w14:textId="77777777" w:rsidR="00700741" w:rsidRDefault="00700741" w:rsidP="007007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promise of extraction would prove to be short lived. Governor Paterson imposed a moratorium on unconventional oil and gas development in 2008. After 2008, at least 331 policies and resolutions were passed related to unconventional oil and gas development at the local level and at least 200 anti-unconventional oil and gas development groups were formed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{"citationItems":[{"id":"ITEM-1","itemData":{"author":[{"dropping-particle":"","family":"Arnold","given":"Gwen","non-dropping-particle":"","parse-names":false,"suffix":""},{"dropping-particle":"","family":"Long","given":"Le Anh-Nguyen","non-dropping-particle":"","parse-names":false,"suffix":""}],"container-title":"2Policy Studies Journal","id":"ITEM-1","issue":"3","issued":{"date-parts":[["2017"]]},"page":"414-441","title":"Analyzing the Role of Social Networks in Municipal Decision-making about High-Volume Hydraulic Fracturing","type":"article-journal","volume":"45"},"uris":["http://www.mendeley.com/documents/?uuid=6e951fd1-2333-4e74-8a65-ac336716f943"]}],"mendeley":{"formattedCitation":"(Arnold and Long 2017)","plainTextFormattedCitation":"(Arnold and Long 2017)","previouslyFormattedCitation":"(Arnold and Long 2017)"},"properties":{"noteIndex":0},"schema":"https://github.com/citation-style-language/schema/raw/master/csl-citation.json"}</w:instrText>
      </w:r>
      <w:r>
        <w:rPr>
          <w:rFonts w:ascii="Times New Roman" w:hAnsi="Times New Roman" w:cs="Times New Roman"/>
          <w:sz w:val="24"/>
          <w:szCs w:val="24"/>
        </w:rPr>
        <w:fldChar w:fldCharType="separate"/>
      </w:r>
      <w:r w:rsidRPr="00A16100">
        <w:rPr>
          <w:rFonts w:ascii="Times New Roman" w:hAnsi="Times New Roman" w:cs="Times New Roman"/>
          <w:noProof/>
          <w:sz w:val="24"/>
          <w:szCs w:val="24"/>
        </w:rPr>
        <w:t>(Arnold and Long 2017)</w:t>
      </w:r>
      <w:r>
        <w:rPr>
          <w:rFonts w:ascii="Times New Roman" w:hAnsi="Times New Roman" w:cs="Times New Roman"/>
          <w:sz w:val="24"/>
          <w:szCs w:val="24"/>
        </w:rPr>
        <w:fldChar w:fldCharType="end"/>
      </w:r>
      <w:r>
        <w:rPr>
          <w:rFonts w:ascii="Times New Roman" w:hAnsi="Times New Roman" w:cs="Times New Roman"/>
          <w:sz w:val="24"/>
          <w:szCs w:val="24"/>
        </w:rPr>
        <w:t xml:space="preserve">. In December of 2014, that was followed up with a total ban on unconventional oil and gas development in New York, making the state only one of two to have banned it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{"citationItems":[{"id":"ITEM-1","itemData":{"author":[{"dropping-particle":"","family":"Sabatier","given":"Paul A.","non-dropping-particle":"","parse-names":false,"suffix":""},{"dropping-particle":"","family":"Weible","given":"Chris M.","non-dropping-particle":"","parse-names":false,"suffix":""}],"id":"ITEM-1","issued":{"date-parts":[["2016"]]},"publisher":"Westview Press","title":"Theories of the policy process","type":"book"},"uris":["http://www.mendeley.com/documents/?uuid=9a528842-afcd-4552-87b8-66f39d8ff517"]}],"mendeley":{"formattedCitation":"(P. A. Sabatier and Weible 2016)","manualFormatting":"(Sabatier and Weible 2016)","plainTextFormattedCitation":"(P. A. Sabatier and Weible 2016)","previouslyFormattedCitation":"(P. A. Sabatier and Weible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415929">
        <w:rPr>
          <w:rFonts w:ascii="Times New Roman" w:hAnsi="Times New Roman" w:cs="Times New Roman"/>
          <w:noProof/>
          <w:sz w:val="24"/>
          <w:szCs w:val="24"/>
        </w:rPr>
        <w:t>Sabatier and Weible 2016)</w:t>
      </w:r>
      <w:r>
        <w:rPr>
          <w:rFonts w:ascii="Times New Roman" w:hAnsi="Times New Roman" w:cs="Times New Roman"/>
          <w:sz w:val="24"/>
          <w:szCs w:val="24"/>
        </w:rPr>
        <w:fldChar w:fldCharType="end"/>
      </w:r>
      <w:r>
        <w:rPr>
          <w:rFonts w:ascii="Times New Roman" w:hAnsi="Times New Roman" w:cs="Times New Roman"/>
          <w:sz w:val="24"/>
          <w:szCs w:val="24"/>
        </w:rPr>
        <w:t xml:space="preserve">. Unconventional oil and gas development had been one of the most divisive issues in New York politics in years. While conflict may be high, it is clear that institutional support and mobilization of anti-unconventional oil and gas interests are behind the most significant policy change around unconventional oil and gas in United States history. </w:t>
      </w:r>
    </w:p>
    <w:p w14:paraId="17DD9DF0" w14:textId="77777777" w:rsidR="00700741" w:rsidRDefault="00700741" w:rsidP="00700741"/>
    <w:p w14:paraId="121EC281" w14:textId="74495495" w:rsidR="00F849E9" w:rsidRPr="008A14D2" w:rsidRDefault="00BE3176" w:rsidP="008A14D2">
      <w:pPr>
        <w:pStyle w:val="Heading1"/>
        <w:jc w:val="center"/>
        <w:rPr>
          <w:rFonts w:ascii="Times New Roman" w:hAnsi="Times New Roman" w:cs="Times New Roman"/>
          <w:b/>
          <w:bCs/>
          <w:color w:val="auto"/>
          <w:sz w:val="24"/>
          <w:szCs w:val="24"/>
        </w:rPr>
      </w:pPr>
      <w:bookmarkStart w:id="10" w:name="_Toc46917860"/>
      <w:r w:rsidRPr="008A14D2">
        <w:rPr>
          <w:rFonts w:ascii="Times New Roman" w:hAnsi="Times New Roman" w:cs="Times New Roman"/>
          <w:b/>
          <w:bCs/>
          <w:color w:val="auto"/>
          <w:sz w:val="24"/>
          <w:szCs w:val="24"/>
        </w:rPr>
        <w:lastRenderedPageBreak/>
        <w:t>Research Questions and Hypotheses</w:t>
      </w:r>
      <w:bookmarkEnd w:id="10"/>
    </w:p>
    <w:p w14:paraId="49BD2C80" w14:textId="2F66736F" w:rsidR="00B77ADD" w:rsidRDefault="00BE3176" w:rsidP="008A1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overall research question of this chapter is ‘how are issue frames used</w:t>
      </w:r>
      <w:r w:rsidR="002A0A11">
        <w:rPr>
          <w:rFonts w:ascii="Times New Roman" w:hAnsi="Times New Roman" w:cs="Times New Roman"/>
          <w:sz w:val="24"/>
          <w:szCs w:val="24"/>
        </w:rPr>
        <w:t xml:space="preserve"> by coalitions</w:t>
      </w:r>
      <w:r>
        <w:rPr>
          <w:rFonts w:ascii="Times New Roman" w:hAnsi="Times New Roman" w:cs="Times New Roman"/>
          <w:sz w:val="24"/>
          <w:szCs w:val="24"/>
        </w:rPr>
        <w:t xml:space="preserve"> in the unconventional oil and gas subsystem and how do they change over time?’ </w:t>
      </w:r>
      <w:r w:rsidR="007A4227">
        <w:rPr>
          <w:rFonts w:ascii="Times New Roman" w:hAnsi="Times New Roman" w:cs="Times New Roman"/>
          <w:sz w:val="24"/>
          <w:szCs w:val="24"/>
        </w:rPr>
        <w:t xml:space="preserve">This </w:t>
      </w:r>
      <w:r w:rsidR="008801C0">
        <w:rPr>
          <w:rFonts w:ascii="Times New Roman" w:hAnsi="Times New Roman" w:cs="Times New Roman"/>
          <w:sz w:val="24"/>
          <w:szCs w:val="24"/>
        </w:rPr>
        <w:t>manuscript</w:t>
      </w:r>
      <w:r w:rsidR="007A4227">
        <w:rPr>
          <w:rFonts w:ascii="Times New Roman" w:hAnsi="Times New Roman" w:cs="Times New Roman"/>
          <w:sz w:val="24"/>
          <w:szCs w:val="24"/>
        </w:rPr>
        <w:t xml:space="preserve"> looks at variance in messaging.</w:t>
      </w:r>
      <w:r w:rsidR="00CF6050">
        <w:rPr>
          <w:rFonts w:ascii="Times New Roman" w:hAnsi="Times New Roman" w:cs="Times New Roman"/>
          <w:sz w:val="24"/>
          <w:szCs w:val="24"/>
        </w:rPr>
        <w:t xml:space="preserve"> </w:t>
      </w:r>
      <w:r w:rsidR="007A4227">
        <w:rPr>
          <w:rFonts w:ascii="Times New Roman" w:hAnsi="Times New Roman" w:cs="Times New Roman"/>
          <w:sz w:val="24"/>
          <w:szCs w:val="24"/>
        </w:rPr>
        <w:t>While there are other discursive strategies that coalition members can utilize, the persuasive power of dominant frames will make them hold a prominent place in the discursive venue.</w:t>
      </w:r>
      <w:r w:rsidR="00CF6050">
        <w:rPr>
          <w:rFonts w:ascii="Times New Roman" w:hAnsi="Times New Roman" w:cs="Times New Roman"/>
          <w:sz w:val="24"/>
          <w:szCs w:val="24"/>
        </w:rPr>
        <w:t xml:space="preserve"> </w:t>
      </w:r>
      <w:r w:rsidR="00B77ADD">
        <w:rPr>
          <w:rFonts w:ascii="Times New Roman" w:hAnsi="Times New Roman" w:cs="Times New Roman"/>
          <w:sz w:val="24"/>
          <w:szCs w:val="24"/>
        </w:rPr>
        <w:t xml:space="preserve">In similar energy and environmental subsystems, issue frames have been identified in analyses of </w:t>
      </w:r>
      <w:r w:rsidR="00C474A7">
        <w:rPr>
          <w:rFonts w:ascii="Times New Roman" w:hAnsi="Times New Roman" w:cs="Times New Roman"/>
          <w:sz w:val="24"/>
          <w:szCs w:val="24"/>
        </w:rPr>
        <w:t xml:space="preserve">debates and </w:t>
      </w:r>
      <w:r w:rsidR="00B77ADD">
        <w:rPr>
          <w:rFonts w:ascii="Times New Roman" w:hAnsi="Times New Roman" w:cs="Times New Roman"/>
          <w:sz w:val="24"/>
          <w:szCs w:val="24"/>
        </w:rPr>
        <w:t>newspaper</w:t>
      </w:r>
      <w:r w:rsidR="00C474A7">
        <w:rPr>
          <w:rFonts w:ascii="Times New Roman" w:hAnsi="Times New Roman" w:cs="Times New Roman"/>
          <w:sz w:val="24"/>
          <w:szCs w:val="24"/>
        </w:rPr>
        <w:t xml:space="preserve"> coverage</w:t>
      </w:r>
      <w:r w:rsidR="00B77ADD">
        <w:rPr>
          <w:rFonts w:ascii="Times New Roman" w:hAnsi="Times New Roman" w:cs="Times New Roman"/>
          <w:sz w:val="24"/>
          <w:szCs w:val="24"/>
        </w:rPr>
        <w:t xml:space="preserve"> </w:t>
      </w:r>
      <w:r w:rsidR="000970B8">
        <w:rPr>
          <w:rFonts w:ascii="Times New Roman" w:hAnsi="Times New Roman" w:cs="Times New Roman"/>
          <w:sz w:val="24"/>
          <w:szCs w:val="24"/>
        </w:rPr>
        <w:fldChar w:fldCharType="begin" w:fldLock="1"/>
      </w:r>
      <w:r w:rsidR="000970B8">
        <w:rPr>
          <w:rFonts w:ascii="Times New Roman" w:hAnsi="Times New Roman" w:cs="Times New Roman"/>
          <w:sz w:val="24"/>
          <w:szCs w:val="24"/>
        </w:rPr>
        <w:instrText>ADDIN CSL_CITATION {"citationItems":[{"id":"ITEM-1","itemData":{"DOI":"10.1016/j.ecolecon.2014.11.001","ISSN":"09218009","abstract":"This paper explores the emergence of a global climate change mitigation regime through an analysis of the language employed in international science-policy reports. We assume that a global climate regime can only operate effectively on the basis of a shared understanding of climate change which is itself based on a shared language of governance. We therefore carried out an in-depth thematic and metaphor analysis of 63 policy documents published between 1992 and 2012. Results show that global climate science-policy discourses universalise the myriad impacts of a changing climate into a single dichotomous impacted/not-impacted scenario and aim to govern this world according to economic principles of cost-benefit analysis. These discourses use metaphors that draw on narrative structures prevalent in the wider culture to produce and legitimate a reductionist representation of climate change. This representation undermines public understanding of and engagement with climate change by marginalising subordinate policy framings which do not align with the prevailing dichotomous framing. The types of documents we analyse in this paper represent important sources for journalists reporting on climate change. We therefore suggest that any attempt to improve public communication of climate change should include revisions to these organisational discourses.","author":[{"dropping-particle":"","family":"Shaw","given":"Christopher","non-dropping-particle":"","parse-names":false,"suffix":""},{"dropping-particle":"","family":"Nerlich","given":"Brigitte","non-dropping-particle":"","parse-names":false,"suffix":""}],"container-title":"Ecological Economics","id":"ITEM-1","issued":{"date-parts":[["2015"]]},"page":"34-40","publisher":"Elsevier B.V.","title":"Metaphor as a mechanism of global climate change governance: A study of international policies, 1992-2012","type":"article-journal","volume":"109"},"uris":["http://www.mendeley.com/documents/?uuid=43e39349-7dad-48d7-b6ac-c1963bccf638"]},{"id":"ITEM-2","itemData":{"author":[{"dropping-particle":"","family":"Flachsland","given":"Christian","non-dropping-particle":"","parse-names":false,"suffix":""},{"dropping-particle":"","family":"Pahle","given":"Michael","non-dropping-particle":"","parse-names":false,"suffix":""},{"dropping-particle":"","family":"Leipprand","given":"Anna","non-dropping-particle":"","parse-names":false,"suffix":""}],"id":"ITEM-2","issued":{"date-parts":[["2015"]]},"page":"1-24","title":"Energy Transformation on the rise : an analysis of narratives in German energy policy debates","type":"article-journal"},"uris":["http://www.mendeley.com/documents/?uuid=a30feb92-1373-4577-84f5-14a1b81c3064"]},{"id":"ITEM-3","itemData":{"DOI":"10.1080/1523908X.2015.1116378","ISBN":"1523-908X 1522-7200","ISSN":"15227200","abstract":"‘Fracking’ was on New York’s agenda since 2008, yet no decision was made about it until late 2014. The gridlock is an intriguing puzzle given that the Marcellus shale is considered a ‘world class’ energy supply, and development has been aggressive in other US states. While policy scholars typically conceptualize gridlock as policy stab- ility, this paper examines it as a dynamic process by which competing discourse coalitions engage in interactive framing processes that (re)structure the discussion. This suggests that the interaction between contending coalitions influences gridlock. Yet, we lack knowledge about interactive framing between competing coalitions during policy con- troversies. Our main finding is that a central mechanism of gridlock is the production of conflict through interactive framing dynamics that deny a shared discursive space capable of ushering in a consensus, or reasoned agreement. In New York, this contest evolved from a policy consensus about the economic benefits of fracking to policy negotiation that incorporated environmental threats, and to prolonged policy controversy in which com- peting discourse coalitions contested notions of fracking in relation to energy production, environmental protection, public health, economic development, and governance. While a ban has been instituted, the failure to bridge discourse coalitions suggests that controversy will persist unless meaning disputes are resolved.","author":[{"dropping-particle":"","family":"Dodge","given":"Jennifer","non-dropping-particle":"","parse-names":false,"suffix":""},{"dropping-particle":"","family":"Lee","given":"Jeongyoon","non-dropping-particle":"","parse-names":false,"suffix":""}],"container-title":"Journal of Environmental Policy and Planning","id":"ITEM-3","issue":"1","issued":{"date-parts":[["2017"]]},"page":"14-34","publisher":"Taylor &amp; Francis","title":"Framing Dynamics and Political Gridlock: The Curious Case of Hydraulic Fracturing in New York","type":"article-journal","volume":"19"},"uris":["http://www.mendeley.com/documents/?uuid=7b08476a-7e48-4516-8871-d0fe5016e86e"]},{"id":"ITEM-4","itemData":{"DOI":"10.1111/ropr.12364","ISSN":"15411338","abstract":"This paper compares and contrasts high-conflict policy debates over the siting of three natural gas pipeline projects at different decision stages of the siting process. This paper draws on over 600 newspaper articles spanning 3 years, analyzed through Discourse Network Analysis. Drawing from the Advocacy Coalition Framework and Policy Conflict framework, this paper finds that actor framing of opposing policy beliefs involves more indirect than direct confrontations, with statements in the media waxing and waning over time. Opponents of the pipelines more often explicitly argue against pipelines, while also using a broad range of conceptual arguments, whereas proponents more often couch their arguments around the economic benefits of pipelines and use fewer conceptual frames overall. We also find evidence that opposing coalitions use similar framing across different decision contexts. This paper concludes with a commentary on the status and contributions of this paper to the study of policy conflicts and next steps in advancing similar research agendas.","author":[{"dropping-particle":"","family":"Yordy","given":"Jill","non-dropping-particle":"","parse-names":false,"suffix":""},{"dropping-particle":"","family":"You","given":"Jongeun","non-dropping-particle":"","parse-names":false,"suffix":""},{"dropping-particle":"","family":"Park","given":"Kyudong","non-dropping-particle":"","parse-names":false,"suffix":""},{"dropping-particle":"","family":"Weible","given":"Christopher M.","non-dropping-particle":"","parse-names":false,"suffix":""},{"dropping-particle":"","family":"Heikkila","given":"Tanya","non-dropping-particle":"","parse-names":false,"suffix":""}],"container-title":"Review of Policy Research","id":"ITEM-4","issue":"6","issued":{"date-parts":[["2019"]]},"page":"736-756","title":"Framing Contests and Policy Conflicts over Gas Pipelines","type":"article-journal","volume":"36"},"uris":["http://www.mendeley.com/documents/?uuid=525036c2-9497-40c7-8fb8-683c5f030668"]}],"mendeley":{"formattedCitation":"(Dodge and Lee 2017b; Flachsland, Pahle, and Leipprand 2015; Shaw and Nerlich 2015; Yordy et al. 2019)","plainTextFormattedCitation":"(Dodge and Lee 2017b; Flachsland, Pahle, and Leipprand 2015; Shaw and Nerlich 2015; Yordy et al. 2019)","previouslyFormattedCitation":"(Dodge and Lee 2017b; Flachsland, Pahle, and Leipprand 2015; Shaw and Nerlich 2015; Yordy et al. 2019)"},"properties":{"noteIndex":0},"schema":"https://github.com/citation-style-language/schema/raw/master/csl-citation.json"}</w:instrText>
      </w:r>
      <w:r w:rsidR="000970B8">
        <w:rPr>
          <w:rFonts w:ascii="Times New Roman" w:hAnsi="Times New Roman" w:cs="Times New Roman"/>
          <w:sz w:val="24"/>
          <w:szCs w:val="24"/>
        </w:rPr>
        <w:fldChar w:fldCharType="separate"/>
      </w:r>
      <w:r w:rsidR="000970B8" w:rsidRPr="000970B8">
        <w:rPr>
          <w:rFonts w:ascii="Times New Roman" w:hAnsi="Times New Roman" w:cs="Times New Roman"/>
          <w:noProof/>
          <w:sz w:val="24"/>
          <w:szCs w:val="24"/>
        </w:rPr>
        <w:t>(Dodge and Lee 2017b; Flachsland, Pahle, and Leipprand 2015; Shaw and Nerlich 2015; Yordy et al. 2019)</w:t>
      </w:r>
      <w:r w:rsidR="000970B8">
        <w:rPr>
          <w:rFonts w:ascii="Times New Roman" w:hAnsi="Times New Roman" w:cs="Times New Roman"/>
          <w:sz w:val="24"/>
          <w:szCs w:val="24"/>
        </w:rPr>
        <w:fldChar w:fldCharType="end"/>
      </w:r>
      <w:r w:rsidR="00B77ADD">
        <w:rPr>
          <w:rFonts w:ascii="Times New Roman" w:hAnsi="Times New Roman" w:cs="Times New Roman"/>
          <w:sz w:val="24"/>
          <w:szCs w:val="24"/>
        </w:rPr>
        <w:t xml:space="preserve">. </w:t>
      </w:r>
      <w:r w:rsidR="00B54A0F">
        <w:rPr>
          <w:rFonts w:ascii="Times New Roman" w:hAnsi="Times New Roman" w:cs="Times New Roman"/>
          <w:sz w:val="24"/>
          <w:szCs w:val="24"/>
        </w:rPr>
        <w:t xml:space="preserve">They relate to economics, public health and safety, energy independence, the environment, and use of science. </w:t>
      </w:r>
      <w:r w:rsidR="00B77ADD">
        <w:rPr>
          <w:rFonts w:ascii="Times New Roman" w:hAnsi="Times New Roman" w:cs="Times New Roman"/>
          <w:sz w:val="24"/>
          <w:szCs w:val="24"/>
        </w:rPr>
        <w:t>This chapter tests to assess the degree to which</w:t>
      </w:r>
      <w:r w:rsidR="007A4227">
        <w:rPr>
          <w:rFonts w:ascii="Times New Roman" w:hAnsi="Times New Roman" w:cs="Times New Roman"/>
          <w:sz w:val="24"/>
          <w:szCs w:val="24"/>
        </w:rPr>
        <w:t xml:space="preserve"> those</w:t>
      </w:r>
      <w:r w:rsidR="00B77ADD">
        <w:rPr>
          <w:rFonts w:ascii="Times New Roman" w:hAnsi="Times New Roman" w:cs="Times New Roman"/>
          <w:sz w:val="24"/>
          <w:szCs w:val="24"/>
        </w:rPr>
        <w:t xml:space="preserve"> issue frames</w:t>
      </w:r>
      <w:r w:rsidR="007A4227">
        <w:rPr>
          <w:rFonts w:ascii="Times New Roman" w:hAnsi="Times New Roman" w:cs="Times New Roman"/>
          <w:sz w:val="24"/>
          <w:szCs w:val="24"/>
        </w:rPr>
        <w:t xml:space="preserve"> </w:t>
      </w:r>
      <w:r w:rsidR="00B77ADD">
        <w:rPr>
          <w:rFonts w:ascii="Times New Roman" w:hAnsi="Times New Roman" w:cs="Times New Roman"/>
          <w:sz w:val="24"/>
          <w:szCs w:val="24"/>
        </w:rPr>
        <w:t>are used on Twitter.</w:t>
      </w:r>
      <w:r w:rsidR="00CF6050">
        <w:rPr>
          <w:rFonts w:ascii="Times New Roman" w:hAnsi="Times New Roman" w:cs="Times New Roman"/>
          <w:sz w:val="24"/>
          <w:szCs w:val="24"/>
        </w:rPr>
        <w:t xml:space="preserve"> </w:t>
      </w:r>
      <w:r w:rsidR="00B77ADD">
        <w:rPr>
          <w:rFonts w:ascii="Times New Roman" w:hAnsi="Times New Roman" w:cs="Times New Roman"/>
          <w:sz w:val="24"/>
          <w:szCs w:val="24"/>
        </w:rPr>
        <w:t>The first hypothesis is:</w:t>
      </w:r>
    </w:p>
    <w:p w14:paraId="7CF16418" w14:textId="61FD1AD9" w:rsidR="00B77ADD" w:rsidRPr="0019305F" w:rsidRDefault="00C1085E" w:rsidP="00720789">
      <w:pPr>
        <w:pStyle w:val="ListParagraph"/>
        <w:numPr>
          <w:ilvl w:val="0"/>
          <w:numId w:val="8"/>
        </w:numPr>
        <w:spacing w:after="0" w:line="480" w:lineRule="auto"/>
        <w:rPr>
          <w:rFonts w:ascii="Times New Roman" w:hAnsi="Times New Roman" w:cs="Times New Roman"/>
          <w:i/>
          <w:iCs/>
          <w:sz w:val="24"/>
          <w:szCs w:val="24"/>
        </w:rPr>
      </w:pPr>
      <w:bookmarkStart w:id="11" w:name="_Hlk43714510"/>
      <w:r w:rsidRPr="0019305F">
        <w:rPr>
          <w:rFonts w:ascii="Times New Roman" w:hAnsi="Times New Roman" w:cs="Times New Roman"/>
          <w:b/>
          <w:bCs/>
          <w:i/>
          <w:iCs/>
          <w:sz w:val="24"/>
          <w:szCs w:val="24"/>
        </w:rPr>
        <w:t xml:space="preserve"> </w:t>
      </w:r>
      <w:r w:rsidR="00E9694B" w:rsidRPr="0019305F">
        <w:rPr>
          <w:rFonts w:ascii="Times New Roman" w:hAnsi="Times New Roman" w:cs="Times New Roman"/>
          <w:b/>
          <w:bCs/>
          <w:i/>
          <w:iCs/>
          <w:sz w:val="24"/>
          <w:szCs w:val="24"/>
        </w:rPr>
        <w:t>O</w:t>
      </w:r>
      <w:r w:rsidRPr="0019305F">
        <w:rPr>
          <w:rFonts w:ascii="Times New Roman" w:hAnsi="Times New Roman" w:cs="Times New Roman"/>
          <w:b/>
          <w:bCs/>
          <w:i/>
          <w:iCs/>
          <w:sz w:val="24"/>
          <w:szCs w:val="24"/>
        </w:rPr>
        <w:t>nline</w:t>
      </w:r>
      <w:r w:rsidR="00B77ADD" w:rsidRPr="0019305F">
        <w:rPr>
          <w:rFonts w:ascii="Times New Roman" w:hAnsi="Times New Roman" w:cs="Times New Roman"/>
          <w:b/>
          <w:bCs/>
          <w:i/>
          <w:iCs/>
          <w:sz w:val="24"/>
          <w:szCs w:val="24"/>
        </w:rPr>
        <w:t xml:space="preserve"> Discursive Strategy Hypothesis:</w:t>
      </w:r>
      <w:r w:rsidR="00CF6050" w:rsidRPr="0019305F">
        <w:rPr>
          <w:rFonts w:ascii="Times New Roman" w:hAnsi="Times New Roman" w:cs="Times New Roman"/>
          <w:b/>
          <w:bCs/>
          <w:i/>
          <w:iCs/>
          <w:sz w:val="24"/>
          <w:szCs w:val="24"/>
        </w:rPr>
        <w:t xml:space="preserve"> </w:t>
      </w:r>
      <w:r w:rsidR="00B77ADD" w:rsidRPr="0019305F">
        <w:rPr>
          <w:rFonts w:ascii="Times New Roman" w:hAnsi="Times New Roman" w:cs="Times New Roman"/>
          <w:i/>
          <w:iCs/>
          <w:sz w:val="24"/>
          <w:szCs w:val="24"/>
        </w:rPr>
        <w:t>Use of dominant issue frames</w:t>
      </w:r>
      <w:r w:rsidR="00332FA1" w:rsidRPr="0019305F">
        <w:rPr>
          <w:rFonts w:ascii="Times New Roman" w:hAnsi="Times New Roman" w:cs="Times New Roman"/>
          <w:i/>
          <w:iCs/>
          <w:sz w:val="24"/>
          <w:szCs w:val="24"/>
        </w:rPr>
        <w:t xml:space="preserve"> in newspapers</w:t>
      </w:r>
      <w:r w:rsidR="00B77ADD" w:rsidRPr="0019305F">
        <w:rPr>
          <w:rFonts w:ascii="Times New Roman" w:hAnsi="Times New Roman" w:cs="Times New Roman"/>
          <w:i/>
          <w:iCs/>
          <w:sz w:val="24"/>
          <w:szCs w:val="24"/>
        </w:rPr>
        <w:t xml:space="preserve"> will be a prominent discursive strategy employed by coalitions on Twitter.</w:t>
      </w:r>
    </w:p>
    <w:bookmarkEnd w:id="11"/>
    <w:p w14:paraId="7BD5C233" w14:textId="0DDE14C2" w:rsidR="007A4227" w:rsidRDefault="002A0A11" w:rsidP="007207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adversarial subsystems, there is very little policy belief congruence between coalitions.</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This will translate in </w:t>
      </w:r>
      <w:r w:rsidR="0069150D">
        <w:rPr>
          <w:rFonts w:ascii="Times New Roman" w:hAnsi="Times New Roman" w:cs="Times New Roman"/>
          <w:sz w:val="24"/>
          <w:szCs w:val="24"/>
        </w:rPr>
        <w:t xml:space="preserve">the exclusive use of </w:t>
      </w:r>
      <w:r w:rsidR="00766520">
        <w:rPr>
          <w:rFonts w:ascii="Times New Roman" w:hAnsi="Times New Roman" w:cs="Times New Roman"/>
          <w:sz w:val="24"/>
          <w:szCs w:val="24"/>
        </w:rPr>
        <w:t>different</w:t>
      </w:r>
      <w:r>
        <w:rPr>
          <w:rFonts w:ascii="Times New Roman" w:hAnsi="Times New Roman" w:cs="Times New Roman"/>
          <w:sz w:val="24"/>
          <w:szCs w:val="24"/>
        </w:rPr>
        <w:t xml:space="preserve"> issue frames.</w:t>
      </w:r>
      <w:r w:rsidR="00CF6050">
        <w:rPr>
          <w:rFonts w:ascii="Times New Roman" w:hAnsi="Times New Roman" w:cs="Times New Roman"/>
          <w:sz w:val="24"/>
          <w:szCs w:val="24"/>
        </w:rPr>
        <w:t xml:space="preserve"> </w:t>
      </w:r>
      <w:r w:rsidR="00663C35">
        <w:rPr>
          <w:rFonts w:ascii="Times New Roman" w:hAnsi="Times New Roman" w:cs="Times New Roman"/>
          <w:sz w:val="24"/>
          <w:szCs w:val="24"/>
        </w:rPr>
        <w:t xml:space="preserve">The anti- coalition is expected to focus on the </w:t>
      </w:r>
      <w:r w:rsidR="00332FA1">
        <w:rPr>
          <w:rFonts w:ascii="Times New Roman" w:hAnsi="Times New Roman" w:cs="Times New Roman"/>
          <w:sz w:val="24"/>
          <w:szCs w:val="24"/>
        </w:rPr>
        <w:t xml:space="preserve">dominant </w:t>
      </w:r>
      <w:r w:rsidR="00663C35" w:rsidRPr="00766520">
        <w:rPr>
          <w:rFonts w:ascii="Times New Roman" w:hAnsi="Times New Roman" w:cs="Times New Roman"/>
          <w:i/>
          <w:sz w:val="24"/>
          <w:szCs w:val="24"/>
        </w:rPr>
        <w:t>risk</w:t>
      </w:r>
      <w:r w:rsidR="00332FA1">
        <w:rPr>
          <w:rFonts w:ascii="Times New Roman" w:hAnsi="Times New Roman" w:cs="Times New Roman"/>
          <w:sz w:val="24"/>
          <w:szCs w:val="24"/>
        </w:rPr>
        <w:t xml:space="preserve"> issue frames, specifically, risks to the environment and to public health and safety. T</w:t>
      </w:r>
      <w:r w:rsidR="00663C35">
        <w:rPr>
          <w:rFonts w:ascii="Times New Roman" w:hAnsi="Times New Roman" w:cs="Times New Roman"/>
          <w:sz w:val="24"/>
          <w:szCs w:val="24"/>
        </w:rPr>
        <w:t>he pro- coalition is expected to focus on</w:t>
      </w:r>
      <w:r w:rsidR="00332FA1">
        <w:rPr>
          <w:rFonts w:ascii="Times New Roman" w:hAnsi="Times New Roman" w:cs="Times New Roman"/>
          <w:sz w:val="24"/>
          <w:szCs w:val="24"/>
        </w:rPr>
        <w:t xml:space="preserve"> the dominant </w:t>
      </w:r>
      <w:r w:rsidR="00663C35" w:rsidRPr="00766520">
        <w:rPr>
          <w:rFonts w:ascii="Times New Roman" w:hAnsi="Times New Roman" w:cs="Times New Roman"/>
          <w:i/>
          <w:sz w:val="24"/>
          <w:szCs w:val="24"/>
        </w:rPr>
        <w:t>benefits</w:t>
      </w:r>
      <w:r w:rsidR="00332FA1">
        <w:rPr>
          <w:rFonts w:ascii="Times New Roman" w:hAnsi="Times New Roman" w:cs="Times New Roman"/>
          <w:sz w:val="24"/>
          <w:szCs w:val="24"/>
        </w:rPr>
        <w:t xml:space="preserve"> related to the economy and energy development</w:t>
      </w:r>
      <w:r w:rsidR="00663C35">
        <w:rPr>
          <w:rFonts w:ascii="Times New Roman" w:hAnsi="Times New Roman" w:cs="Times New Roman"/>
          <w:sz w:val="24"/>
          <w:szCs w:val="24"/>
        </w:rPr>
        <w:t>.</w:t>
      </w:r>
      <w:r w:rsidR="00CF6050">
        <w:rPr>
          <w:rFonts w:ascii="Times New Roman" w:hAnsi="Times New Roman" w:cs="Times New Roman"/>
          <w:sz w:val="24"/>
          <w:szCs w:val="24"/>
        </w:rPr>
        <w:t xml:space="preserve"> </w:t>
      </w:r>
      <w:r w:rsidR="007A4227">
        <w:rPr>
          <w:rFonts w:ascii="Times New Roman" w:hAnsi="Times New Roman" w:cs="Times New Roman"/>
          <w:sz w:val="24"/>
          <w:szCs w:val="24"/>
        </w:rPr>
        <w:t>The second hypothesis is:</w:t>
      </w:r>
    </w:p>
    <w:p w14:paraId="2C10A335" w14:textId="7B2AEC3F" w:rsidR="007A4227" w:rsidRPr="0019305F" w:rsidRDefault="007A4227" w:rsidP="00720789">
      <w:pPr>
        <w:pStyle w:val="ListParagraph"/>
        <w:numPr>
          <w:ilvl w:val="0"/>
          <w:numId w:val="8"/>
        </w:numPr>
        <w:spacing w:after="0" w:line="480" w:lineRule="auto"/>
        <w:rPr>
          <w:rFonts w:ascii="Times New Roman" w:hAnsi="Times New Roman" w:cs="Times New Roman"/>
          <w:i/>
          <w:iCs/>
          <w:sz w:val="24"/>
          <w:szCs w:val="24"/>
        </w:rPr>
      </w:pPr>
      <w:bookmarkStart w:id="12" w:name="_Hlk43714521"/>
      <w:r w:rsidRPr="0019305F">
        <w:rPr>
          <w:rFonts w:ascii="Times New Roman" w:hAnsi="Times New Roman" w:cs="Times New Roman"/>
          <w:b/>
          <w:bCs/>
          <w:i/>
          <w:iCs/>
          <w:sz w:val="24"/>
          <w:szCs w:val="24"/>
        </w:rPr>
        <w:t>Issue Frame Congruence Hypothesis:</w:t>
      </w:r>
      <w:r w:rsidRPr="0019305F">
        <w:rPr>
          <w:rFonts w:ascii="Times New Roman" w:hAnsi="Times New Roman" w:cs="Times New Roman"/>
          <w:i/>
          <w:iCs/>
          <w:sz w:val="24"/>
          <w:szCs w:val="24"/>
        </w:rPr>
        <w:t xml:space="preserve"> The anti- coalition will exclusively use dominant risk frames and the pro-coalition will exclusively use dominant benefit frames.</w:t>
      </w:r>
    </w:p>
    <w:bookmarkEnd w:id="12"/>
    <w:p w14:paraId="4B708EAC" w14:textId="48E49AD2" w:rsidR="007A4227" w:rsidRDefault="002A0A11" w:rsidP="007207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these subsystems are composed of two coalitions competing for issue salience leading up to a major policy change.</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Because the cost of participation is so low, both coalitions are incentivized to expand the issue before </w:t>
      </w:r>
      <w:r w:rsidR="00332FA1">
        <w:rPr>
          <w:rFonts w:ascii="Times New Roman" w:hAnsi="Times New Roman" w:cs="Times New Roman"/>
          <w:sz w:val="24"/>
          <w:szCs w:val="24"/>
        </w:rPr>
        <w:t>such a policy change</w:t>
      </w:r>
      <w:r w:rsidR="00721174">
        <w:rPr>
          <w:rFonts w:ascii="Times New Roman" w:hAnsi="Times New Roman" w:cs="Times New Roman"/>
          <w:sz w:val="24"/>
          <w:szCs w:val="24"/>
        </w:rPr>
        <w:t>.</w:t>
      </w:r>
      <w:r w:rsidR="00422F18">
        <w:rPr>
          <w:rFonts w:ascii="Times New Roman" w:hAnsi="Times New Roman" w:cs="Times New Roman"/>
          <w:sz w:val="24"/>
          <w:szCs w:val="24"/>
        </w:rPr>
        <w:t xml:space="preserve"> </w:t>
      </w:r>
      <w:r w:rsidR="007A4227">
        <w:rPr>
          <w:rFonts w:ascii="Times New Roman" w:hAnsi="Times New Roman" w:cs="Times New Roman"/>
          <w:sz w:val="24"/>
          <w:szCs w:val="24"/>
        </w:rPr>
        <w:t>The third hypothesis is:</w:t>
      </w:r>
    </w:p>
    <w:p w14:paraId="686F7111" w14:textId="01F81CF2" w:rsidR="007A4227" w:rsidRPr="0019305F" w:rsidRDefault="007A4227" w:rsidP="00720789">
      <w:pPr>
        <w:pStyle w:val="ListParagraph"/>
        <w:numPr>
          <w:ilvl w:val="0"/>
          <w:numId w:val="8"/>
        </w:numPr>
        <w:spacing w:after="0" w:line="480" w:lineRule="auto"/>
        <w:rPr>
          <w:rFonts w:ascii="Times New Roman" w:hAnsi="Times New Roman" w:cs="Times New Roman"/>
          <w:i/>
          <w:iCs/>
          <w:sz w:val="24"/>
          <w:szCs w:val="24"/>
        </w:rPr>
      </w:pPr>
      <w:bookmarkStart w:id="13" w:name="_Hlk43714537"/>
      <w:r w:rsidRPr="0019305F">
        <w:rPr>
          <w:rFonts w:ascii="Times New Roman" w:hAnsi="Times New Roman" w:cs="Times New Roman"/>
          <w:b/>
          <w:bCs/>
          <w:i/>
          <w:iCs/>
          <w:sz w:val="24"/>
          <w:szCs w:val="24"/>
        </w:rPr>
        <w:lastRenderedPageBreak/>
        <w:t>Issue Frame Stability Hypothesis:</w:t>
      </w:r>
      <w:r w:rsidRPr="0019305F">
        <w:rPr>
          <w:rFonts w:ascii="Times New Roman" w:hAnsi="Times New Roman" w:cs="Times New Roman"/>
          <w:i/>
          <w:iCs/>
          <w:sz w:val="24"/>
          <w:szCs w:val="24"/>
        </w:rPr>
        <w:t xml:space="preserve"> There will be a dramatic increase in the frequency of dominant issue frames immediately before</w:t>
      </w:r>
      <w:r w:rsidR="00E9694B" w:rsidRPr="0019305F">
        <w:rPr>
          <w:rFonts w:ascii="Times New Roman" w:hAnsi="Times New Roman" w:cs="Times New Roman"/>
          <w:i/>
          <w:iCs/>
          <w:sz w:val="24"/>
          <w:szCs w:val="24"/>
        </w:rPr>
        <w:t xml:space="preserve"> a major</w:t>
      </w:r>
      <w:r w:rsidRPr="0019305F">
        <w:rPr>
          <w:rFonts w:ascii="Times New Roman" w:hAnsi="Times New Roman" w:cs="Times New Roman"/>
          <w:i/>
          <w:iCs/>
          <w:sz w:val="24"/>
          <w:szCs w:val="24"/>
        </w:rPr>
        <w:t xml:space="preserve"> policy change</w:t>
      </w:r>
      <w:r w:rsidR="00766520">
        <w:rPr>
          <w:rFonts w:ascii="Times New Roman" w:hAnsi="Times New Roman" w:cs="Times New Roman"/>
          <w:i/>
          <w:iCs/>
          <w:sz w:val="24"/>
          <w:szCs w:val="24"/>
        </w:rPr>
        <w:t>.</w:t>
      </w:r>
      <w:r w:rsidRPr="0019305F">
        <w:rPr>
          <w:rFonts w:ascii="Times New Roman" w:hAnsi="Times New Roman" w:cs="Times New Roman"/>
          <w:i/>
          <w:iCs/>
          <w:sz w:val="24"/>
          <w:szCs w:val="24"/>
        </w:rPr>
        <w:t xml:space="preserve"> </w:t>
      </w:r>
    </w:p>
    <w:p w14:paraId="20646473" w14:textId="4AD3B44C" w:rsidR="004A31ED" w:rsidRDefault="00766520" w:rsidP="008A14D2">
      <w:pPr>
        <w:pStyle w:val="Heading1"/>
        <w:jc w:val="center"/>
        <w:rPr>
          <w:rFonts w:ascii="Times New Roman" w:hAnsi="Times New Roman" w:cs="Times New Roman"/>
          <w:b/>
          <w:bCs/>
          <w:color w:val="auto"/>
          <w:sz w:val="24"/>
          <w:szCs w:val="24"/>
        </w:rPr>
      </w:pPr>
      <w:bookmarkStart w:id="14" w:name="_Toc46917861"/>
      <w:bookmarkEnd w:id="13"/>
      <w:r>
        <w:rPr>
          <w:rFonts w:ascii="Times New Roman" w:hAnsi="Times New Roman" w:cs="Times New Roman"/>
          <w:b/>
          <w:bCs/>
          <w:color w:val="auto"/>
          <w:sz w:val="24"/>
          <w:szCs w:val="24"/>
        </w:rPr>
        <w:t>Methods</w:t>
      </w:r>
    </w:p>
    <w:p w14:paraId="466E4FFE" w14:textId="77777777" w:rsidR="004A31ED" w:rsidRPr="00E21C9B" w:rsidRDefault="004A31ED" w:rsidP="004A31ED">
      <w:pPr>
        <w:pStyle w:val="Heading1"/>
        <w:rPr>
          <w:rFonts w:ascii="Times New Roman" w:hAnsi="Times New Roman" w:cs="Times New Roman"/>
          <w:b/>
          <w:bCs/>
          <w:color w:val="auto"/>
          <w:sz w:val="24"/>
          <w:szCs w:val="24"/>
        </w:rPr>
      </w:pPr>
      <w:bookmarkStart w:id="15" w:name="_Toc46917836"/>
      <w:r w:rsidRPr="00E21C9B">
        <w:rPr>
          <w:rFonts w:ascii="Times New Roman" w:hAnsi="Times New Roman" w:cs="Times New Roman"/>
          <w:b/>
          <w:bCs/>
          <w:color w:val="auto"/>
          <w:sz w:val="24"/>
          <w:szCs w:val="24"/>
        </w:rPr>
        <w:t>Source</w:t>
      </w:r>
      <w:bookmarkEnd w:id="15"/>
    </w:p>
    <w:p w14:paraId="10FF904E" w14:textId="4D72ADD2" w:rsidR="004A31ED" w:rsidRPr="001C2D69" w:rsidRDefault="004A31ED" w:rsidP="004A31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Twitter is the primary data source for this </w:t>
      </w:r>
      <w:r w:rsidR="008C45A5">
        <w:rPr>
          <w:rFonts w:ascii="Times New Roman" w:hAnsi="Times New Roman" w:cs="Times New Roman"/>
          <w:sz w:val="24"/>
          <w:szCs w:val="24"/>
        </w:rPr>
        <w:t>manuscript</w:t>
      </w:r>
      <w:r>
        <w:rPr>
          <w:rFonts w:ascii="Times New Roman" w:hAnsi="Times New Roman" w:cs="Times New Roman"/>
          <w:sz w:val="24"/>
          <w:szCs w:val="24"/>
        </w:rPr>
        <w:t xml:space="preserve">. </w:t>
      </w:r>
      <w:r w:rsidRPr="00E9301C">
        <w:rPr>
          <w:rFonts w:ascii="Times New Roman" w:hAnsi="Times New Roman" w:cs="Times New Roman"/>
          <w:sz w:val="24"/>
          <w:szCs w:val="24"/>
        </w:rPr>
        <w:t>Twitter’s</w:t>
      </w:r>
      <w:r w:rsidRPr="0005002A">
        <w:rPr>
          <w:rFonts w:ascii="Times New Roman" w:hAnsi="Times New Roman" w:cs="Times New Roman"/>
          <w:sz w:val="24"/>
          <w:szCs w:val="24"/>
        </w:rPr>
        <w:t xml:space="preserve"> mission is “to give everyone the power to create and share ideas and information instantly, without barriers” (</w:t>
      </w:r>
      <w:r>
        <w:rPr>
          <w:rFonts w:ascii="Times New Roman" w:hAnsi="Times New Roman" w:cs="Times New Roman"/>
          <w:sz w:val="24"/>
          <w:szCs w:val="24"/>
        </w:rPr>
        <w:t>T</w:t>
      </w:r>
      <w:r w:rsidRPr="0005002A">
        <w:rPr>
          <w:rFonts w:ascii="Times New Roman" w:hAnsi="Times New Roman" w:cs="Times New Roman"/>
          <w:sz w:val="24"/>
          <w:szCs w:val="24"/>
        </w:rPr>
        <w:t>witter.com).</w:t>
      </w:r>
      <w:r>
        <w:rPr>
          <w:rFonts w:ascii="Times New Roman" w:hAnsi="Times New Roman" w:cs="Times New Roman"/>
          <w:sz w:val="24"/>
          <w:szCs w:val="24"/>
        </w:rPr>
        <w:t xml:space="preserve"> </w:t>
      </w:r>
      <w:r w:rsidRPr="0005002A">
        <w:rPr>
          <w:rFonts w:ascii="Times New Roman" w:hAnsi="Times New Roman" w:cs="Times New Roman"/>
          <w:sz w:val="24"/>
          <w:szCs w:val="24"/>
        </w:rPr>
        <w:t>The site has 313 million active users of which 91% allow their posts to be op</w:t>
      </w:r>
      <w:r>
        <w:rPr>
          <w:rFonts w:ascii="Times New Roman" w:hAnsi="Times New Roman" w:cs="Times New Roman"/>
          <w:sz w:val="24"/>
          <w:szCs w:val="24"/>
        </w:rPr>
        <w:t xml:space="preserve">en to the public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{"citationItems":[{"id":"ITEM-1","itemData":{"ISBN":"978-1-57735-505-2","abstract":"Every second, the thoughts and feelings of millions of people across the world are recorded in the form of 140-character tweets using Twitter. However, despite the enormous potential presented by this remarkable data source, we still do not have an understanding of the Twitter population itself: Who are the Twitter users? How representative of the overall population are they? In this paper, we take the first steps towards answering these questions by analyzing data on a set of Twitter users representing over 1% of the U.S. population. We develop techniques that allow us to compare the Twitter population to the U.S. population along three axes (geography, gender, and race/ethnicity), and find that the Twitter population is a highly non-uniform sample of the population.","author":[{"dropping-particle":"","family":"Mislove","given":"Alan","non-dropping-particle":"","parse-names":false,"suffix":""},{"dropping-particle":"","family":"Lehmann","given":"Sune","non-dropping-particle":"","parse-names":false,"suffix":""},{"dropping-particle":"","family":"Ahn","given":"Yong-yeol","non-dropping-particle":"","parse-names":false,"suffix":""},{"dropping-particle":"","family":"Onnela","given":"Jukka-pekka","non-dropping-particle":"","parse-names":false,"suffix":""},{"dropping-particle":"","family":"Rosenquist","given":"J Niels","non-dropping-particle":"","parse-names":false,"suffix":""}],"container-title":"Artificial Intelligence","id":"ITEM-1","issued":{"date-parts":[["2011"]]},"page":"554-557","title":"Understanding the Demographics of Twitter Users","type":"article-journal"},"uris":["http://www.mendeley.com/documents/?uuid=1bc97722-26d7-4203-9b1f-2adb00293e30"]}],"mendeley":{"formattedCitation":"(Mislove et al. 2011)","plainTextFormattedCitation":"(Mislove et al. 2011)","previouslyFormattedCitation":"(Mislove et al. 2011)"},"properties":{"noteIndex":0},"schema":"https://github.com/citation-style-language/schema/raw/master/csl-citation.json"}</w:instrText>
      </w:r>
      <w:r>
        <w:rPr>
          <w:rFonts w:ascii="Times New Roman" w:hAnsi="Times New Roman" w:cs="Times New Roman"/>
          <w:sz w:val="24"/>
          <w:szCs w:val="24"/>
        </w:rPr>
        <w:fldChar w:fldCharType="separate"/>
      </w:r>
      <w:r w:rsidRPr="00415929">
        <w:rPr>
          <w:rFonts w:ascii="Times New Roman" w:hAnsi="Times New Roman" w:cs="Times New Roman"/>
          <w:noProof/>
          <w:sz w:val="24"/>
          <w:szCs w:val="24"/>
        </w:rPr>
        <w:t>(Mislove et al. 2011)</w:t>
      </w:r>
      <w:r>
        <w:rPr>
          <w:rFonts w:ascii="Times New Roman" w:hAnsi="Times New Roman" w:cs="Times New Roman"/>
          <w:sz w:val="24"/>
          <w:szCs w:val="24"/>
        </w:rPr>
        <w:fldChar w:fldCharType="end"/>
      </w:r>
      <w:r w:rsidRPr="0005002A">
        <w:rPr>
          <w:rFonts w:ascii="Times New Roman" w:hAnsi="Times New Roman" w:cs="Times New Roman"/>
          <w:sz w:val="24"/>
          <w:szCs w:val="24"/>
        </w:rPr>
        <w:t>. Studies of Twitter data have found that there is</w:t>
      </w:r>
      <w:r>
        <w:rPr>
          <w:rFonts w:ascii="Times New Roman" w:hAnsi="Times New Roman" w:cs="Times New Roman"/>
          <w:sz w:val="24"/>
          <w:szCs w:val="24"/>
        </w:rPr>
        <w:t xml:space="preserve"> a high degree of mutual acquaintances among users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blogosphere is a vast and dynamic complex network. Any examination of the structure of such a network is dependent on the selection of blogs sampled and the time frame of the sample. By comparing two large blog datasets, we demon- strate that samples may differ significantly in their coverage but still show consistency in their aggregate network proper- ties. We further compare the structure of a blog dataset with and without spam blogs, which account for a majority of the links in one sample. We also show that properties such as degree distributions and clustering coefficients depend on the time frame over which the network is aggregated.","author":[{"dropping-particle":"","family":"Shi","given":"Xiaolin","non-dropping-particle":"","parse-names":false,"suffix":""},{"dropping-particle":"","family":"Tseng","given":"Belle","non-dropping-particle":"","parse-names":false,"suffix":""},{"dropping-particle":"","family":"Adamic","given":"Lada a","non-dropping-particle":"","parse-names":false,"suffix":""}],"container-title":"Electrical Engineering","id":"ITEM-1","issued":{"date-parts":[["2007"]]},"page":"48109","title":"Looking at the blogosphere topology through different lenses","type":"article-journal","volume":"1001"},"uris":["http://www.mendeley.com/documents/?uuid=7d68ebad-f712-4fbc-a580-604bf5a1212e"]}],"mendeley":{"formattedCitation":"(Shi, Tseng, and Adamic 2007)","plainTextFormattedCitation":"(Shi, Tseng, and Adamic 2007)","previouslyFormattedCitation":"(Shi, Tseng, and Adamic 2007)"},"properties":{"noteIndex":0},"schema":"https://github.com/citation-style-language/schema/raw/master/csl-citation.json"}</w:instrText>
      </w:r>
      <w:r>
        <w:rPr>
          <w:rFonts w:ascii="Times New Roman" w:hAnsi="Times New Roman" w:cs="Times New Roman"/>
          <w:sz w:val="24"/>
          <w:szCs w:val="24"/>
        </w:rPr>
        <w:fldChar w:fldCharType="separate"/>
      </w:r>
      <w:r w:rsidRPr="00415929">
        <w:rPr>
          <w:rFonts w:ascii="Times New Roman" w:hAnsi="Times New Roman" w:cs="Times New Roman"/>
          <w:noProof/>
          <w:sz w:val="24"/>
          <w:szCs w:val="24"/>
        </w:rPr>
        <w:t>(Shi, Tseng, and Adamic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5002A">
        <w:rPr>
          <w:rFonts w:ascii="Times New Roman" w:hAnsi="Times New Roman" w:cs="Times New Roman"/>
          <w:sz w:val="24"/>
          <w:szCs w:val="24"/>
        </w:rPr>
        <w:t>Because it is public, Twitter’s ties are more diverse than other social media platforms such as Facebook and information is more ea</w:t>
      </w:r>
      <w:r>
        <w:rPr>
          <w:rFonts w:ascii="Times New Roman" w:hAnsi="Times New Roman" w:cs="Times New Roman"/>
          <w:sz w:val="24"/>
          <w:szCs w:val="24"/>
        </w:rPr>
        <w:t>sily accessible for</w:t>
      </w:r>
      <w:r w:rsidRPr="0005002A">
        <w:rPr>
          <w:rFonts w:ascii="Times New Roman" w:hAnsi="Times New Roman" w:cs="Times New Roman"/>
          <w:sz w:val="24"/>
          <w:szCs w:val="24"/>
        </w:rPr>
        <w:t xml:space="preserve"> people outside of one’s immediate network.</w:t>
      </w:r>
      <w:r>
        <w:rPr>
          <w:rFonts w:ascii="Times New Roman" w:hAnsi="Times New Roman" w:cs="Times New Roman"/>
          <w:sz w:val="24"/>
          <w:szCs w:val="24"/>
        </w:rPr>
        <w:t xml:space="preserve"> </w:t>
      </w:r>
      <w:r w:rsidRPr="0005002A">
        <w:rPr>
          <w:rFonts w:ascii="Times New Roman" w:hAnsi="Times New Roman" w:cs="Times New Roman"/>
          <w:sz w:val="24"/>
          <w:szCs w:val="24"/>
        </w:rPr>
        <w:t xml:space="preserve">The data </w:t>
      </w:r>
      <w:r>
        <w:rPr>
          <w:rFonts w:ascii="Times New Roman" w:hAnsi="Times New Roman" w:cs="Times New Roman"/>
          <w:sz w:val="24"/>
          <w:szCs w:val="24"/>
        </w:rPr>
        <w:t>are</w:t>
      </w:r>
      <w:r w:rsidRPr="0005002A">
        <w:rPr>
          <w:rFonts w:ascii="Times New Roman" w:hAnsi="Times New Roman" w:cs="Times New Roman"/>
          <w:sz w:val="24"/>
          <w:szCs w:val="24"/>
        </w:rPr>
        <w:t xml:space="preserve"> discursive in nature</w:t>
      </w:r>
      <w:r>
        <w:rPr>
          <w:rFonts w:ascii="Times New Roman" w:hAnsi="Times New Roman" w:cs="Times New Roman"/>
          <w:sz w:val="24"/>
          <w:szCs w:val="24"/>
        </w:rPr>
        <w:t xml:space="preserve"> but utilizes a variety of communication tools such as mentions ‘Likes’ and ‘Retweets.’</w:t>
      </w:r>
      <w:r>
        <w:rPr>
          <w:rStyle w:val="CommentReference"/>
        </w:rPr>
        <w:t xml:space="preserve"> </w:t>
      </w:r>
    </w:p>
    <w:p w14:paraId="374FA953" w14:textId="77777777" w:rsidR="004A31ED" w:rsidRPr="00E21C9B" w:rsidRDefault="004A31ED" w:rsidP="004A31ED">
      <w:pPr>
        <w:pStyle w:val="Heading1"/>
        <w:rPr>
          <w:rFonts w:ascii="Times New Roman" w:hAnsi="Times New Roman" w:cs="Times New Roman"/>
          <w:b/>
          <w:bCs/>
          <w:color w:val="auto"/>
          <w:sz w:val="24"/>
          <w:szCs w:val="24"/>
        </w:rPr>
      </w:pPr>
      <w:bookmarkStart w:id="16" w:name="_Toc46917837"/>
      <w:r w:rsidRPr="00E21C9B">
        <w:rPr>
          <w:rFonts w:ascii="Times New Roman" w:hAnsi="Times New Roman" w:cs="Times New Roman"/>
          <w:b/>
          <w:bCs/>
          <w:color w:val="auto"/>
          <w:sz w:val="24"/>
          <w:szCs w:val="24"/>
        </w:rPr>
        <w:t>Case Selection</w:t>
      </w:r>
      <w:bookmarkEnd w:id="16"/>
    </w:p>
    <w:p w14:paraId="061F9658" w14:textId="77777777" w:rsidR="004A31ED" w:rsidRDefault="004A31ED" w:rsidP="004A31ED">
      <w:pPr>
        <w:spacing w:after="0" w:line="480" w:lineRule="auto"/>
        <w:rPr>
          <w:rFonts w:ascii="Times New Roman" w:hAnsi="Times New Roman" w:cs="Times New Roman"/>
          <w:sz w:val="24"/>
          <w:szCs w:val="24"/>
        </w:rPr>
      </w:pPr>
      <w:r w:rsidRPr="0005002A">
        <w:rPr>
          <w:rFonts w:ascii="Times New Roman" w:hAnsi="Times New Roman" w:cs="Times New Roman"/>
          <w:sz w:val="24"/>
          <w:szCs w:val="24"/>
        </w:rPr>
        <w:tab/>
        <w:t xml:space="preserve">The </w:t>
      </w:r>
      <w:r>
        <w:rPr>
          <w:rFonts w:ascii="Times New Roman" w:hAnsi="Times New Roman" w:cs="Times New Roman"/>
          <w:sz w:val="24"/>
          <w:szCs w:val="24"/>
        </w:rPr>
        <w:t xml:space="preserve">unconventional oil and gas </w:t>
      </w:r>
      <w:r w:rsidRPr="0005002A">
        <w:rPr>
          <w:rFonts w:ascii="Times New Roman" w:hAnsi="Times New Roman" w:cs="Times New Roman"/>
          <w:sz w:val="24"/>
          <w:szCs w:val="24"/>
        </w:rPr>
        <w:t xml:space="preserve">subsystems </w:t>
      </w:r>
      <w:r>
        <w:rPr>
          <w:rFonts w:ascii="Times New Roman" w:hAnsi="Times New Roman" w:cs="Times New Roman"/>
          <w:sz w:val="24"/>
          <w:szCs w:val="24"/>
        </w:rPr>
        <w:t>of New York and</w:t>
      </w:r>
      <w:r w:rsidRPr="0005002A">
        <w:rPr>
          <w:rFonts w:ascii="Times New Roman" w:hAnsi="Times New Roman" w:cs="Times New Roman"/>
          <w:sz w:val="24"/>
          <w:szCs w:val="24"/>
        </w:rPr>
        <w:t xml:space="preserve"> Colorado, United States will be the focus of this study.</w:t>
      </w:r>
      <w:r>
        <w:rPr>
          <w:rFonts w:ascii="Times New Roman" w:hAnsi="Times New Roman" w:cs="Times New Roman"/>
          <w:sz w:val="24"/>
          <w:szCs w:val="24"/>
        </w:rPr>
        <w:t xml:space="preserve"> Following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{"citationItems":[{"id":"ITEM-1","itemData":{"DOI":"10.1177/1065912907313077","ISSN":"1065-9129","abstract":"How can scholars select cases from a large universe for in-depth case study analysis? Random sampling is not typically a viable approach when the total number of cases to be selected is small. Hence attention to purposive modes of sampling is needed. Yet, while the existing qualitative literature on case selection offers a wide range of suggestions for case selection, most techniques discussed require in-depth familiarity of each case. Seven case selection procedures are considered, each of which facilitates a different strategy for within-case analysis. The case selection procedures considered focus on typical, diverse, extreme, deviant, influential, most similar, and most different cases. For each case selection procedure, quantitative approaches are discussed that meet the goals of the approach, while still requiring information that can reasonably be gathered for a large number of cases.","author":[{"dropping-particle":"","family":"Seawright","given":"Jason","non-dropping-particle":"","parse-names":false,"suffix":""},{"dropping-particle":"","family":"Gerring","given":"John","non-dropping-particle":"","parse-names":false,"suffix":""}],"container-title":"Political Research Quarterly","id":"ITEM-1","issue":"2","issued":{"date-parts":[["2008"]]},"page":"294-308","title":"Case Selection Techniques in Case Study Research","type":"article-journal","volume":"61"},"uris":["http://www.mendeley.com/documents/?uuid=7bf8fc6a-b574-46ae-94b3-0efc6ae38e26"]}],"mendeley":{"formattedCitation":"(Seawright and Gerring 2008)","manualFormatting":"Seawright and Gerring (2008)","plainTextFormattedCitation":"(Seawright and Gerring 2008)","previouslyFormattedCitation":"(Seawright and Gerring 2008)"},"properties":{"noteIndex":0},"schema":"https://github.com/citation-style-language/schema/raw/master/csl-citation.json"}</w:instrText>
      </w:r>
      <w:r>
        <w:rPr>
          <w:rFonts w:ascii="Times New Roman" w:hAnsi="Times New Roman" w:cs="Times New Roman"/>
          <w:sz w:val="24"/>
          <w:szCs w:val="24"/>
        </w:rPr>
        <w:fldChar w:fldCharType="separate"/>
      </w:r>
      <w:r w:rsidRPr="00A5555E">
        <w:rPr>
          <w:rFonts w:ascii="Times New Roman" w:hAnsi="Times New Roman" w:cs="Times New Roman"/>
          <w:noProof/>
          <w:sz w:val="24"/>
          <w:szCs w:val="24"/>
        </w:rPr>
        <w:t xml:space="preserve">Seawright and Gerring </w:t>
      </w:r>
      <w:r>
        <w:rPr>
          <w:rFonts w:ascii="Times New Roman" w:hAnsi="Times New Roman" w:cs="Times New Roman"/>
          <w:noProof/>
          <w:sz w:val="24"/>
          <w:szCs w:val="24"/>
        </w:rPr>
        <w:t>(</w:t>
      </w:r>
      <w:r w:rsidRPr="00A5555E">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’s Purposive Case Selection method, I am interested in structuring a case study comparison of an extreme with a ‘normal’ case. </w:t>
      </w:r>
      <w:r w:rsidRPr="00D1405C">
        <w:rPr>
          <w:rFonts w:ascii="Times New Roman" w:hAnsi="Times New Roman" w:cs="Times New Roman"/>
          <w:sz w:val="24"/>
          <w:szCs w:val="24"/>
        </w:rPr>
        <w:t>The extreme</w:t>
      </w:r>
      <w:r>
        <w:rPr>
          <w:rFonts w:ascii="Times New Roman" w:hAnsi="Times New Roman" w:cs="Times New Roman"/>
          <w:sz w:val="24"/>
          <w:szCs w:val="24"/>
        </w:rPr>
        <w:t xml:space="preserve"> characteristic related to my research question</w:t>
      </w:r>
      <w:r w:rsidRPr="00D1405C">
        <w:rPr>
          <w:rFonts w:ascii="Times New Roman" w:hAnsi="Times New Roman" w:cs="Times New Roman"/>
          <w:sz w:val="24"/>
          <w:szCs w:val="24"/>
        </w:rPr>
        <w:t xml:space="preserve"> is a major policy change</w:t>
      </w:r>
      <w:r>
        <w:rPr>
          <w:rFonts w:ascii="Times New Roman" w:hAnsi="Times New Roman" w:cs="Times New Roman"/>
          <w:sz w:val="24"/>
          <w:szCs w:val="24"/>
        </w:rPr>
        <w:t xml:space="preserve">. In New York, there has been an outright ban while </w:t>
      </w:r>
      <w:r w:rsidRPr="00D1405C">
        <w:rPr>
          <w:rFonts w:ascii="Times New Roman" w:hAnsi="Times New Roman" w:cs="Times New Roman"/>
          <w:sz w:val="24"/>
          <w:szCs w:val="24"/>
        </w:rPr>
        <w:t>other subsystems have experienced only minor policy changes.</w:t>
      </w:r>
      <w:r>
        <w:rPr>
          <w:rFonts w:ascii="Times New Roman" w:hAnsi="Times New Roman" w:cs="Times New Roman"/>
          <w:sz w:val="24"/>
          <w:szCs w:val="24"/>
        </w:rPr>
        <w:t xml:space="preserve"> In line with the aforementioned scholars, such an approach is exploratory in nature; to understand how an extreme treatment impacts key variables. </w:t>
      </w:r>
    </w:p>
    <w:p w14:paraId="04D7627F" w14:textId="77777777" w:rsidR="004A31ED" w:rsidRPr="00E21C9B" w:rsidRDefault="004A31ED" w:rsidP="004A31ED">
      <w:pPr>
        <w:pStyle w:val="Heading1"/>
        <w:rPr>
          <w:rFonts w:ascii="Times New Roman" w:hAnsi="Times New Roman" w:cs="Times New Roman"/>
          <w:b/>
          <w:bCs/>
          <w:color w:val="auto"/>
          <w:sz w:val="24"/>
          <w:szCs w:val="24"/>
        </w:rPr>
      </w:pPr>
      <w:bookmarkStart w:id="17" w:name="_Toc46917838"/>
      <w:r w:rsidRPr="00E21C9B">
        <w:rPr>
          <w:rFonts w:ascii="Times New Roman" w:hAnsi="Times New Roman" w:cs="Times New Roman"/>
          <w:b/>
          <w:bCs/>
          <w:color w:val="auto"/>
          <w:sz w:val="24"/>
          <w:szCs w:val="24"/>
        </w:rPr>
        <w:lastRenderedPageBreak/>
        <w:t>Data Collection</w:t>
      </w:r>
      <w:bookmarkEnd w:id="17"/>
    </w:p>
    <w:p w14:paraId="55EA6246" w14:textId="5F8D197B" w:rsidR="004A31ED" w:rsidRDefault="004A31ED" w:rsidP="004A31E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Data collection occurred in three steps. The first step involved the identification of policy actors in the subsystem. I identified policy actors a priori using the results of two sampling processes conducted by the Workshop on Policy Process Research (WOPPR) at the University of Colorado Denver. WOPPR is a research lab focused on using diverse theoretical lenses and methodological approaches to understand how public policy is designed and implemented. The purpose of this particular project was to capture and analyze actors who were actively involved or knowledgeable about unconventional oil and gas development in New York and Colorado. The survey in New York was conducted in 2017. In Colorado, the survey was conducted in 2014. Through a purposive sampling approach based on evidence in media reports, online reports, public hearings, testimony and recommendations from interviews, WOPPR scholars identified 930 individuals and organizations working to shape policy around unconventional oil and gas development in those respective states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ierce","given":"Jonathan","non-dropping-particle":"","parse-names":false,"suffix":""},{"dropping-particle":"","family":"Scholar","given":"Post-doctoral","non-dropping-particle":"","parse-names":false,"suffix":""}],"id":"ITEM-1","issue":"November","issued":{"date-parts":[["2013"]]},"title":"A Summary Report of Perceptions of the Politics and Regulation of Hydraulic Fracturing in Colorado","type":"report"},"uris":["http://www.mendeley.com/documents/?uuid=7f2f1ca5-65c2-44cb-ba25-c79d395788c8"]},{"id":"ITEM-2","itemData":{"author":[{"dropping-particle":"","family":"Heikkila","given":"Tanya","non-dropping-particle":"","parse-names":false,"suffix":""},{"dropping-particle":"","family":"Weible","given":"Christopher M.","non-dropping-particle":"","parse-names":false,"suffix":""}],"id":"ITEM-2","issued":{"date-parts":[["2015"]]},"page":"1-20","title":"A Summary Report of a 2015 Survey of the Politics of Oil and Gas Development Using Hydraulic Fracturing in Colorado Authors","type":"article-journal"},"uris":["http://www.mendeley.com/documents/?uuid=d604d4ff-4caa-4a5f-ab83-0fd9f6da721b"]},{"id":"ITEM-3","itemData":{"DOI":"10.1093/jopart/mur035","ISBN":"10531858","ISSN":"10531858","PMID":"74075169","author":[{"dropping-particle":"","family":"Heikkila","given":"Tanya","non-dropping-particle":"","parse-names":false,"suffix":""},{"dropping-particle":"","family":"Weible","given":"Christopher M.","non-dropping-particle":"","parse-names":false,"suffix":""}],"id":"ITEM-3","issued":{"date-parts":[["2017"]]},"number-of-pages":"1-20","publisher-place":"Denver","title":"A Summary Report of a 2017 Survey of the Politics of Oil and Gas Development Using Hydraulic Fracturing in Colorado","type":"report"},"uris":["http://www.mendeley.com/documents/?uuid=68642abe-4774-4d77-adce-a6215a107866"]}],"mendeley":{"formattedCitation":"(Heikkila and Weible 2015, 2017; J. Pierce and Scholar 2013)","manualFormatting":"(Heikkila and Weible 2015, 2017; J. Pierce 2013)","plainTextFormattedCitation":"(Heikkila and Weible 2015, 2017; J. Pierce and Scholar 2013)","previouslyFormattedCitation":"(Heikkila and Weible 2015, 2017; J. Pierce and Scholar 2013)"},"properties":{"noteIndex":0},"schema":"https://github.com/citation-style-language/schema/raw/master/csl-citation.json"}</w:instrText>
      </w:r>
      <w:r>
        <w:rPr>
          <w:rFonts w:ascii="Times New Roman" w:hAnsi="Times New Roman" w:cs="Times New Roman"/>
          <w:sz w:val="24"/>
          <w:szCs w:val="24"/>
        </w:rPr>
        <w:fldChar w:fldCharType="separate"/>
      </w:r>
      <w:r w:rsidRPr="00E71C76">
        <w:rPr>
          <w:rFonts w:ascii="Times New Roman" w:hAnsi="Times New Roman" w:cs="Times New Roman"/>
          <w:noProof/>
          <w:sz w:val="24"/>
          <w:szCs w:val="24"/>
        </w:rPr>
        <w:t>(Heikkila and Weible 20</w:t>
      </w:r>
      <w:r>
        <w:rPr>
          <w:rFonts w:ascii="Times New Roman" w:hAnsi="Times New Roman" w:cs="Times New Roman"/>
          <w:noProof/>
          <w:sz w:val="24"/>
          <w:szCs w:val="24"/>
        </w:rPr>
        <w:t xml:space="preserve">15, 2017; J. Pierce </w:t>
      </w:r>
      <w:r w:rsidRPr="00E71C76">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In New York, 379 policy actors were identified. In Colorado, 551 policy actors were identified. During the second phase, I cross referenced the 930 individuals and organizations to identify which of those policy actors had active Twitter accounts.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Of the 930 total policy actors within the two subsystems, 335 accounts were identified.</w:t>
      </w:r>
      <w:r w:rsidRPr="007067D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last step utilized programming software to ‘call up’ tweets from Twitter’s Application Programming Interface based on a set of parameters. The 335 Twitter handles were then paired with keywords “hydraulic fracturing,” “unconventional oil and gas development,” “unconventional oil and gas,” “shale gas,” “shale oil,” “unconventional oil,” “unconventional gas,” and “stimulation.” The queries </w:t>
      </w:r>
      <w:r w:rsidR="00766520">
        <w:rPr>
          <w:rFonts w:ascii="Times New Roman" w:hAnsi="Times New Roman" w:cs="Times New Roman"/>
          <w:sz w:val="24"/>
          <w:szCs w:val="24"/>
        </w:rPr>
        <w:t>originally</w:t>
      </w:r>
      <w:r>
        <w:rPr>
          <w:rFonts w:ascii="Times New Roman" w:hAnsi="Times New Roman" w:cs="Times New Roman"/>
          <w:sz w:val="24"/>
          <w:szCs w:val="24"/>
        </w:rPr>
        <w:t xml:space="preserve"> </w:t>
      </w:r>
      <w:r>
        <w:rPr>
          <w:rFonts w:ascii="Times New Roman" w:hAnsi="Times New Roman" w:cs="Times New Roman"/>
          <w:sz w:val="24"/>
          <w:szCs w:val="24"/>
        </w:rPr>
        <w:lastRenderedPageBreak/>
        <w:t>collected all tweets with the aforementioned keywords made by the identified Twitter accounts from 2009 to 2016.</w:t>
      </w:r>
      <w:r>
        <w:rPr>
          <w:rStyle w:val="FootnoteReference"/>
          <w:rFonts w:ascii="Times New Roman" w:hAnsi="Times New Roman" w:cs="Times New Roman"/>
          <w:sz w:val="24"/>
          <w:szCs w:val="24"/>
        </w:rPr>
        <w:footnoteReference w:id="4"/>
      </w:r>
      <w:r w:rsidRPr="007067D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p>
    <w:p w14:paraId="39380648" w14:textId="77777777" w:rsidR="007C38C0" w:rsidRPr="003C6A23" w:rsidRDefault="007C38C0" w:rsidP="00766520">
      <w:pPr>
        <w:pStyle w:val="Heading1"/>
        <w:rPr>
          <w:rFonts w:ascii="Times New Roman" w:hAnsi="Times New Roman" w:cs="Times New Roman"/>
          <w:b/>
          <w:bCs/>
          <w:color w:val="auto"/>
          <w:sz w:val="24"/>
          <w:szCs w:val="24"/>
        </w:rPr>
      </w:pPr>
      <w:bookmarkStart w:id="19" w:name="_Toc46917848"/>
      <w:r w:rsidRPr="009C6247">
        <w:rPr>
          <w:rFonts w:ascii="Times New Roman" w:hAnsi="Times New Roman" w:cs="Times New Roman"/>
          <w:b/>
          <w:bCs/>
          <w:color w:val="auto"/>
          <w:sz w:val="24"/>
          <w:szCs w:val="24"/>
        </w:rPr>
        <w:t>Data Measurement</w:t>
      </w:r>
      <w:bookmarkEnd w:id="19"/>
    </w:p>
    <w:p w14:paraId="3555D9A4" w14:textId="77777777" w:rsidR="007C38C0" w:rsidRPr="00766520" w:rsidRDefault="007C38C0" w:rsidP="007C38C0">
      <w:pPr>
        <w:spacing w:after="0" w:line="480" w:lineRule="auto"/>
        <w:ind w:firstLine="720"/>
        <w:rPr>
          <w:rFonts w:ascii="Times New Roman" w:hAnsi="Times New Roman" w:cs="Times New Roman"/>
          <w:sz w:val="24"/>
          <w:szCs w:val="24"/>
        </w:rPr>
      </w:pPr>
      <w:r w:rsidRPr="00766520">
        <w:rPr>
          <w:rFonts w:ascii="Times New Roman" w:hAnsi="Times New Roman" w:cs="Times New Roman"/>
          <w:sz w:val="24"/>
          <w:szCs w:val="24"/>
        </w:rPr>
        <w:t xml:space="preserve">Coalition membership was measured by identifying a policy position in the content of an original post during within two years of the major policy change or by evaluating their mission statement on their website as of August of 2019. </w:t>
      </w:r>
      <w:bookmarkStart w:id="20" w:name="_Hlk45639100"/>
      <w:r w:rsidRPr="00766520">
        <w:rPr>
          <w:rFonts w:ascii="Times New Roman" w:hAnsi="Times New Roman" w:cs="Times New Roman"/>
          <w:sz w:val="24"/>
          <w:szCs w:val="24"/>
        </w:rPr>
        <w:t>It is assumed that policy core beliefs such as support or opposition to unconventional oil and gas are relatively stable.  Because of this, one instance of a policy position was sufficient to det</w:t>
      </w:r>
      <w:bookmarkEnd w:id="20"/>
      <w:r w:rsidRPr="00766520">
        <w:rPr>
          <w:rFonts w:ascii="Times New Roman" w:hAnsi="Times New Roman" w:cs="Times New Roman"/>
          <w:sz w:val="24"/>
          <w:szCs w:val="24"/>
        </w:rPr>
        <w:t>ermine coalition membership. Policy actors were coded as pro-, anti-, or unaffiliated based on their policy position related to unconventional oil and gas development, also referred to as hydraulic fracturing or ‘fracking.’ A “pro- coalition” member would be coded if the actor expresses in a tweet that they were supportive of unconventional oil and gas development. A supportive tweet can come in the form of stating that the actor wants to see unconventional oil and gas continued or expanded. It could also be through their professed actions. Supportive actions can be identified if the policy actors talk about engaging in drilling or unconventional oil and gas wells, investing in unconventional oil and gas businesses, collaborating with the oil and gas industry on researching unconventional oil and gas technologies, exploring a shale formation, or taking political actions that represent support (e.g. testifying in a public hearing that unconventional oil and gas is beneficial, safe, or “good” in some way), etc.</w:t>
      </w:r>
    </w:p>
    <w:p w14:paraId="398B281E" w14:textId="77777777" w:rsidR="007C38C0" w:rsidRPr="00766520" w:rsidRDefault="007C38C0" w:rsidP="007C38C0">
      <w:pPr>
        <w:spacing w:after="0" w:line="480" w:lineRule="auto"/>
        <w:ind w:firstLine="720"/>
        <w:rPr>
          <w:rFonts w:ascii="Times New Roman" w:hAnsi="Times New Roman" w:cs="Times New Roman"/>
          <w:sz w:val="24"/>
          <w:szCs w:val="24"/>
        </w:rPr>
      </w:pPr>
      <w:r w:rsidRPr="00766520">
        <w:rPr>
          <w:rFonts w:ascii="Times New Roman" w:hAnsi="Times New Roman" w:cs="Times New Roman"/>
          <w:sz w:val="24"/>
          <w:szCs w:val="24"/>
        </w:rPr>
        <w:lastRenderedPageBreak/>
        <w:t>The “anti- coalition” policy position would be coded if the actor expresses in the tweet that they are in opposition to the level of unconventional oil and gas development, want to see the practice ended entirely, or if the tweet describes the actor’s actions in a way that makes it clear that the actor is opposed. For example, an “opposing” tweet could come in the form of stating that no more wells should be drilled, or they support an end to fracking. Opposing “actions” would be identified if the author talks about attempts to stop or limit unconventional oil and gas such as protesting at a public event, by testifying before Congress on problems related to unconventional oil and gas, or talking about collaborating with other organizations.</w:t>
      </w:r>
    </w:p>
    <w:p w14:paraId="0F4DD3E2" w14:textId="2EF30D1D" w:rsidR="00D50AFF" w:rsidRPr="008A14D2" w:rsidRDefault="00785913" w:rsidP="00766520">
      <w:pPr>
        <w:pStyle w:val="Heading1"/>
        <w:rPr>
          <w:rFonts w:ascii="Times New Roman" w:hAnsi="Times New Roman" w:cs="Times New Roman"/>
          <w:b/>
          <w:bCs/>
          <w:color w:val="auto"/>
          <w:sz w:val="24"/>
          <w:szCs w:val="24"/>
        </w:rPr>
      </w:pPr>
      <w:r w:rsidRPr="008A14D2">
        <w:rPr>
          <w:rFonts w:ascii="Times New Roman" w:hAnsi="Times New Roman" w:cs="Times New Roman"/>
          <w:b/>
          <w:bCs/>
          <w:color w:val="auto"/>
          <w:sz w:val="24"/>
          <w:szCs w:val="24"/>
        </w:rPr>
        <w:t xml:space="preserve">Data </w:t>
      </w:r>
      <w:bookmarkEnd w:id="14"/>
      <w:r w:rsidR="00766520">
        <w:rPr>
          <w:rFonts w:ascii="Times New Roman" w:hAnsi="Times New Roman" w:cs="Times New Roman"/>
          <w:b/>
          <w:bCs/>
          <w:color w:val="auto"/>
          <w:sz w:val="24"/>
          <w:szCs w:val="24"/>
        </w:rPr>
        <w:t>Analysis</w:t>
      </w:r>
    </w:p>
    <w:p w14:paraId="2F55B0E1" w14:textId="62FD3C4F" w:rsidR="00925B8E" w:rsidRPr="00F86100" w:rsidRDefault="00017FC7" w:rsidP="007207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focus</w:t>
      </w:r>
      <w:r w:rsidR="00766520">
        <w:rPr>
          <w:rFonts w:ascii="Times New Roman" w:hAnsi="Times New Roman" w:cs="Times New Roman"/>
          <w:sz w:val="24"/>
          <w:szCs w:val="24"/>
        </w:rPr>
        <w:t>ed</w:t>
      </w:r>
      <w:r>
        <w:rPr>
          <w:rFonts w:ascii="Times New Roman" w:hAnsi="Times New Roman" w:cs="Times New Roman"/>
          <w:sz w:val="24"/>
          <w:szCs w:val="24"/>
        </w:rPr>
        <w:t xml:space="preserve"> the analysis </w:t>
      </w:r>
      <w:r w:rsidR="00BB50C2">
        <w:rPr>
          <w:rFonts w:ascii="Times New Roman" w:hAnsi="Times New Roman" w:cs="Times New Roman"/>
          <w:sz w:val="24"/>
          <w:szCs w:val="24"/>
        </w:rPr>
        <w:t>on</w:t>
      </w:r>
      <w:r>
        <w:rPr>
          <w:rFonts w:ascii="Times New Roman" w:hAnsi="Times New Roman" w:cs="Times New Roman"/>
          <w:sz w:val="24"/>
          <w:szCs w:val="24"/>
        </w:rPr>
        <w:t xml:space="preserve"> the six weeks leading up to the </w:t>
      </w:r>
      <w:r w:rsidR="0019305F">
        <w:rPr>
          <w:rFonts w:ascii="Times New Roman" w:hAnsi="Times New Roman" w:cs="Times New Roman"/>
          <w:sz w:val="24"/>
          <w:szCs w:val="24"/>
        </w:rPr>
        <w:t xml:space="preserve">major </w:t>
      </w:r>
      <w:r>
        <w:rPr>
          <w:rFonts w:ascii="Times New Roman" w:hAnsi="Times New Roman" w:cs="Times New Roman"/>
          <w:sz w:val="24"/>
          <w:szCs w:val="24"/>
        </w:rPr>
        <w:t>policy change (November 1</w:t>
      </w:r>
      <w:r w:rsidRPr="00017FC7">
        <w:rPr>
          <w:rFonts w:ascii="Times New Roman" w:hAnsi="Times New Roman" w:cs="Times New Roman"/>
          <w:sz w:val="24"/>
          <w:szCs w:val="24"/>
          <w:vertAlign w:val="superscript"/>
        </w:rPr>
        <w:t>st</w:t>
      </w:r>
      <w:r>
        <w:rPr>
          <w:rFonts w:ascii="Times New Roman" w:hAnsi="Times New Roman" w:cs="Times New Roman"/>
          <w:sz w:val="24"/>
          <w:szCs w:val="24"/>
        </w:rPr>
        <w:t>, 2014 to December 16</w:t>
      </w:r>
      <w:r w:rsidRPr="00017FC7">
        <w:rPr>
          <w:rFonts w:ascii="Times New Roman" w:hAnsi="Times New Roman" w:cs="Times New Roman"/>
          <w:sz w:val="24"/>
          <w:szCs w:val="24"/>
          <w:vertAlign w:val="superscript"/>
        </w:rPr>
        <w:t>th</w:t>
      </w:r>
      <w:r>
        <w:rPr>
          <w:rFonts w:ascii="Times New Roman" w:hAnsi="Times New Roman" w:cs="Times New Roman"/>
          <w:sz w:val="24"/>
          <w:szCs w:val="24"/>
        </w:rPr>
        <w:t>, 2014) and the six weeks that followed (December 17</w:t>
      </w:r>
      <w:r w:rsidRPr="00017FC7">
        <w:rPr>
          <w:rFonts w:ascii="Times New Roman" w:hAnsi="Times New Roman" w:cs="Times New Roman"/>
          <w:sz w:val="24"/>
          <w:szCs w:val="24"/>
          <w:vertAlign w:val="superscript"/>
        </w:rPr>
        <w:t>th</w:t>
      </w:r>
      <w:r>
        <w:rPr>
          <w:rFonts w:ascii="Times New Roman" w:hAnsi="Times New Roman" w:cs="Times New Roman"/>
          <w:sz w:val="24"/>
          <w:szCs w:val="24"/>
        </w:rPr>
        <w:t>, 2014 to January 31</w:t>
      </w:r>
      <w:r w:rsidRPr="00017FC7">
        <w:rPr>
          <w:rFonts w:ascii="Times New Roman" w:hAnsi="Times New Roman" w:cs="Times New Roman"/>
          <w:sz w:val="24"/>
          <w:szCs w:val="24"/>
          <w:vertAlign w:val="superscript"/>
        </w:rPr>
        <w:t>st</w:t>
      </w:r>
      <w:r>
        <w:rPr>
          <w:rFonts w:ascii="Times New Roman" w:hAnsi="Times New Roman" w:cs="Times New Roman"/>
          <w:sz w:val="24"/>
          <w:szCs w:val="24"/>
        </w:rPr>
        <w:t>, 2015).</w:t>
      </w:r>
      <w:r w:rsidR="00CF6050">
        <w:rPr>
          <w:rFonts w:ascii="Times New Roman" w:hAnsi="Times New Roman" w:cs="Times New Roman"/>
          <w:sz w:val="24"/>
          <w:szCs w:val="24"/>
        </w:rPr>
        <w:t xml:space="preserve"> </w:t>
      </w:r>
      <w:r w:rsidR="0019305F">
        <w:rPr>
          <w:rFonts w:ascii="Times New Roman" w:hAnsi="Times New Roman" w:cs="Times New Roman"/>
          <w:sz w:val="24"/>
          <w:szCs w:val="24"/>
        </w:rPr>
        <w:t xml:space="preserve">The ban on unconventional oil and gas development constitutes a major policy change. </w:t>
      </w:r>
      <w:r w:rsidR="00BB50C2">
        <w:rPr>
          <w:rFonts w:ascii="Times New Roman" w:hAnsi="Times New Roman" w:cs="Times New Roman"/>
          <w:sz w:val="24"/>
          <w:szCs w:val="24"/>
        </w:rPr>
        <w:t>Two thousand</w:t>
      </w:r>
      <w:r w:rsidR="00003034" w:rsidRPr="00003034">
        <w:rPr>
          <w:rFonts w:ascii="Times New Roman" w:hAnsi="Times New Roman" w:cs="Times New Roman"/>
          <w:sz w:val="24"/>
          <w:szCs w:val="24"/>
        </w:rPr>
        <w:t xml:space="preserve"> tweets were coded before the major policy change and 2</w:t>
      </w:r>
      <w:r w:rsidR="00BE36E7">
        <w:rPr>
          <w:rFonts w:ascii="Times New Roman" w:hAnsi="Times New Roman" w:cs="Times New Roman"/>
          <w:sz w:val="24"/>
          <w:szCs w:val="24"/>
        </w:rPr>
        <w:t>,</w:t>
      </w:r>
      <w:r w:rsidR="00003034" w:rsidRPr="00003034">
        <w:rPr>
          <w:rFonts w:ascii="Times New Roman" w:hAnsi="Times New Roman" w:cs="Times New Roman"/>
          <w:sz w:val="24"/>
          <w:szCs w:val="24"/>
        </w:rPr>
        <w:t xml:space="preserve">416 were coded after, for a sample of </w:t>
      </w:r>
      <w:r w:rsidR="00BE36E7">
        <w:rPr>
          <w:rFonts w:ascii="Times New Roman" w:hAnsi="Times New Roman" w:cs="Times New Roman"/>
          <w:sz w:val="24"/>
          <w:szCs w:val="24"/>
        </w:rPr>
        <w:t>4</w:t>
      </w:r>
      <w:r w:rsidR="00757F92">
        <w:rPr>
          <w:rFonts w:ascii="Times New Roman" w:hAnsi="Times New Roman" w:cs="Times New Roman"/>
          <w:sz w:val="24"/>
          <w:szCs w:val="24"/>
        </w:rPr>
        <w:t>,</w:t>
      </w:r>
      <w:r w:rsidR="00BE36E7">
        <w:rPr>
          <w:rFonts w:ascii="Times New Roman" w:hAnsi="Times New Roman" w:cs="Times New Roman"/>
          <w:sz w:val="24"/>
          <w:szCs w:val="24"/>
        </w:rPr>
        <w:t>416 tweets</w:t>
      </w:r>
      <w:r w:rsidR="00003034" w:rsidRPr="00003034">
        <w:rPr>
          <w:rFonts w:ascii="Times New Roman" w:hAnsi="Times New Roman" w:cs="Times New Roman"/>
          <w:sz w:val="24"/>
          <w:szCs w:val="24"/>
        </w:rPr>
        <w:t>.</w:t>
      </w:r>
      <w:r w:rsidR="00CF6050">
        <w:rPr>
          <w:rFonts w:ascii="Times New Roman" w:hAnsi="Times New Roman" w:cs="Times New Roman"/>
          <w:sz w:val="24"/>
          <w:szCs w:val="24"/>
        </w:rPr>
        <w:t xml:space="preserve"> </w:t>
      </w:r>
      <w:r w:rsidR="00A15BA6">
        <w:rPr>
          <w:rFonts w:ascii="Times New Roman" w:hAnsi="Times New Roman" w:cs="Times New Roman"/>
          <w:sz w:val="24"/>
          <w:szCs w:val="24"/>
        </w:rPr>
        <w:t>Intercoder reliability was conducted over three rounds with two coders to ensure internal validity.</w:t>
      </w:r>
      <w:r w:rsidR="00CF6050">
        <w:rPr>
          <w:rFonts w:ascii="Times New Roman" w:hAnsi="Times New Roman" w:cs="Times New Roman"/>
          <w:sz w:val="24"/>
          <w:szCs w:val="24"/>
        </w:rPr>
        <w:t xml:space="preserve"> </w:t>
      </w:r>
      <w:r w:rsidR="00A15BA6">
        <w:rPr>
          <w:rFonts w:ascii="Times New Roman" w:hAnsi="Times New Roman" w:cs="Times New Roman"/>
          <w:sz w:val="24"/>
          <w:szCs w:val="24"/>
        </w:rPr>
        <w:t>Each round of intercoder reliability checks increased the percentage of agreement on whether an issue frame existed in a tweet and which issue frame is being used.</w:t>
      </w:r>
      <w:r w:rsidR="009A516D">
        <w:rPr>
          <w:rStyle w:val="FootnoteReference"/>
          <w:rFonts w:ascii="Times New Roman" w:hAnsi="Times New Roman" w:cs="Times New Roman"/>
          <w:sz w:val="24"/>
          <w:szCs w:val="24"/>
        </w:rPr>
        <w:footnoteReference w:id="6"/>
      </w:r>
      <w:r w:rsidR="00CF6050">
        <w:rPr>
          <w:rFonts w:ascii="Times New Roman" w:hAnsi="Times New Roman" w:cs="Times New Roman"/>
          <w:sz w:val="24"/>
          <w:szCs w:val="24"/>
        </w:rPr>
        <w:t xml:space="preserve"> </w:t>
      </w:r>
    </w:p>
    <w:p w14:paraId="41E092D5" w14:textId="587ECEC2" w:rsidR="00785913" w:rsidRDefault="00785913" w:rsidP="0072078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w:t>
      </w:r>
      <w:r w:rsidR="00766520">
        <w:rPr>
          <w:rFonts w:ascii="Times New Roman" w:hAnsi="Times New Roman" w:cs="Times New Roman"/>
          <w:sz w:val="24"/>
          <w:szCs w:val="24"/>
        </w:rPr>
        <w:t>next</w:t>
      </w:r>
      <w:r>
        <w:rPr>
          <w:rFonts w:ascii="Times New Roman" w:hAnsi="Times New Roman" w:cs="Times New Roman"/>
          <w:sz w:val="24"/>
          <w:szCs w:val="24"/>
        </w:rPr>
        <w:t xml:space="preserve"> step </w:t>
      </w:r>
      <w:r w:rsidR="00766520">
        <w:rPr>
          <w:rFonts w:ascii="Times New Roman" w:hAnsi="Times New Roman" w:cs="Times New Roman"/>
          <w:sz w:val="24"/>
          <w:szCs w:val="24"/>
        </w:rPr>
        <w:t>was</w:t>
      </w:r>
      <w:r>
        <w:rPr>
          <w:rFonts w:ascii="Times New Roman" w:hAnsi="Times New Roman" w:cs="Times New Roman"/>
          <w:sz w:val="24"/>
          <w:szCs w:val="24"/>
        </w:rPr>
        <w:t xml:space="preserve"> to code the text of a given tweet.</w:t>
      </w:r>
      <w:r w:rsidR="00CF6050">
        <w:rPr>
          <w:rFonts w:ascii="Times New Roman" w:hAnsi="Times New Roman" w:cs="Times New Roman"/>
          <w:sz w:val="24"/>
          <w:szCs w:val="24"/>
        </w:rPr>
        <w:t xml:space="preserve"> </w:t>
      </w:r>
      <w:r w:rsidR="00F90754">
        <w:rPr>
          <w:rFonts w:ascii="Times New Roman" w:hAnsi="Times New Roman" w:cs="Times New Roman"/>
          <w:sz w:val="24"/>
          <w:szCs w:val="24"/>
        </w:rPr>
        <w:t>Twelve</w:t>
      </w:r>
      <w:r>
        <w:rPr>
          <w:rFonts w:ascii="Times New Roman" w:hAnsi="Times New Roman" w:cs="Times New Roman"/>
          <w:sz w:val="24"/>
          <w:szCs w:val="24"/>
        </w:rPr>
        <w:t xml:space="preserve"> frames were identified a priori based on issue frames used in past empirical works studying the oil and gas </w:t>
      </w:r>
      <w:r w:rsidR="00AC0DCF">
        <w:rPr>
          <w:rFonts w:ascii="Times New Roman" w:hAnsi="Times New Roman" w:cs="Times New Roman"/>
          <w:sz w:val="24"/>
          <w:szCs w:val="24"/>
        </w:rPr>
        <w:t xml:space="preserve">subsystem </w:t>
      </w:r>
      <w:r w:rsidR="000970B8">
        <w:rPr>
          <w:rFonts w:ascii="Times New Roman" w:hAnsi="Times New Roman" w:cs="Times New Roman"/>
          <w:sz w:val="24"/>
          <w:szCs w:val="24"/>
        </w:rPr>
        <w:fldChar w:fldCharType="begin" w:fldLock="1"/>
      </w:r>
      <w:r w:rsidR="000970B8">
        <w:rPr>
          <w:rFonts w:ascii="Times New Roman" w:hAnsi="Times New Roman" w:cs="Times New Roman"/>
          <w:sz w:val="24"/>
          <w:szCs w:val="24"/>
        </w:rPr>
        <w:instrText>ADDIN CSL_CITATION {"citationItems":[{"id":"ITEM-1","itemData":{"DOI":"10.1080/1523908X.2015.1116378","ISBN":"1523-908X 1522-7200","ISSN":"15227200","abstract":"‘Fracking’ was on New York’s agenda since 2008, yet no decision was made about it until late 2014. The gridlock is an intriguing puzzle given that the Marcellus shale is considered a ‘world class’ energy supply, and development has been aggressive in other US states. While policy scholars typically conceptualize gridlock as policy stab- ility, this paper examines it as a dynamic process by which competing discourse coalitions engage in interactive framing processes that (re)structure the discussion. This suggests that the interaction between contending coalitions influences gridlock. Yet, we lack knowledge about interactive framing between competing coalitions during policy con- troversies. Our main finding is that a central mechanism of gridlock is the production of conflict through interactive framing dynamics that deny a shared discursive space capable of ushering in a consensus, or reasoned agreement. In New York, this contest evolved from a policy consensus about the economic benefits of fracking to policy negotiation that incorporated environmental threats, and to prolonged policy controversy in which com- peting discourse coalitions contested notions of fracking in relation to energy production, environmental protection, public health, economic development, and governance. While a ban has been instituted, the failure to bridge discourse coalitions suggests that controversy will persist unless meaning disputes are resolved.","author":[{"dropping-particle":"","family":"Dodge","given":"Jennifer","non-dropping-particle":"","parse-names":false,"suffix":""},{"dropping-particle":"","family":"Lee","given":"Jeongyoon","non-dropping-particle":"","parse-names":false,"suffix":""}],"container-title":"Journal of Environmental Policy and Planning","id":"ITEM-1","issue":"1","issued":{"date-parts":[["2017"]]},"page":"14-34","publisher":"Taylor &amp; Francis","title":"Framing Dynamics and Political Gridlock: The Curious Case of Hydraulic Fracturing in New York","type":"article-journal","volume":"19"},"uris":["http://www.mendeley.com/documents/?uuid=7b08476a-7e48-4516-8871-d0fe5016e86e"]},{"id":"ITEM-2","itemData":{"DOI":"10.1080/1523908X.2018.1493984","ISSN":"15227200","abstract":"This paper identifies the coalitions involved in the topic of shale oil and gas development in India and identifies the circumstances surrounding a change in policy in 2013 by the Ministry of Petroleum and Natural Gas to promote shale exploration. Using the Advocacy Coalition Framework as the theoretical lens, the data are collected primarily from newspaper articles from 2010 to 2015 to identify coalitions, including actors’ positions, priorities, and interactions. The findings show the presence of a dominant advocacy coalition in favor of shale oil and gas development with priorities about energy security and a regulatory framework. The findings indicate some internal coalition disagreement, but stronger internal coalition agreement. Policy change was preceded by a spike in disagreement internal to the dominant coalition. This paper shows how a change in a dominant coalition can precede a change in policy, offers a replicable method of identifying and measuring coalitions via newspaper content analysis, provides a rare application of the Advocacy Coalition Framework outside of North America and Western Europe, and provides evidence of support for shale oil and gas development in India.","author":[{"dropping-particle":"","family":"Olofsson","given":"Kristin L.","non-dropping-particle":"","parse-names":false,"suffix":""},{"dropping-particle":"","family":"Katz","given":"Juniper","non-dropping-particle":"","parse-names":false,"suffix":""},{"dropping-particle":"","family":"Costie","given":"Daniel P.","non-dropping-particle":"","parse-names":false,"suffix":""},{"dropping-particle":"","family":"Heikkila","given":"Tanya","non-dropping-particle":"","parse-names":false,"suffix":""},{"dropping-particle":"","family":"Weible","given":"Christopher M.","non-dropping-particle":"","parse-names":false,"suffix":""}],"container-title":"Journal of Environmental Policy and Planning","id":"ITEM-2","issue":"5","issued":{"date-parts":[["2018"]]},"page":"645-660","publisher":"Taylor &amp; Francis","title":"A dominant coalition and policy change: an analysis of shale oil and gas politics in India","type":"article-journal","volume":"20"},"uris":["http://www.mendeley.com/documents/?uuid=be3a3aa3-56e7-42ac-b600-a010a61f08da"]},{"id":"ITEM-3","itemData":{"author":[{"dropping-particle":"","family":"Flachsland","given":"Christian","non-dropping-particle":"","parse-names":false,"suffix":""},{"dropping-particle":"","family":"Pahle","given":"Michael","non-dropping-particle":"","parse-names":false,"suffix":""},{"dropping-particle":"","family":"Leipprand","given":"Anna","non-dropping-particle":"","parse-names":false,"suffix":""}],"id":"ITEM-3","issued":{"date-parts":[["2015"]]},"page":"1-24","title":"Energy Transformation on the rise : an analysis of narratives in German energy policy debates","type":"article-journal"},"uris":["http://www.mendeley.com/documents/?uuid=a30feb92-1373-4577-84f5-14a1b81c3064"]},{"id":"ITEM-4","itemData":{"DOI":"10.1111/ropr.12364","ISSN":"15411338","abstract":"This paper compares and contrasts high-conflict policy debates over the siting of three natural gas pipeline projects at different decision stages of the siting process. This paper draws on over 600 newspaper articles spanning 3 years, analyzed through Discourse Network Analysis. Drawing from the Advocacy Coalition Framework and Policy Conflict framework, this paper finds that actor framing of opposing policy beliefs involves more indirect than direct confrontations, with statements in the media waxing and waning over time. Opponents of the pipelines more often explicitly argue against pipelines, while also using a broad range of conceptual arguments, whereas proponents more often couch their arguments around the economic benefits of pipelines and use fewer conceptual frames overall. We also find evidence that opposing coalitions use similar framing across different decision contexts. This paper concludes with a commentary on the status and contributions of this paper to the study of policy conflicts and next steps in advancing similar research agendas.","author":[{"dropping-particle":"","family":"Yordy","given":"Jill","non-dropping-particle":"","parse-names":false,"suffix":""},{"dropping-particle":"","family":"You","given":"Jongeun","non-dropping-particle":"","parse-names":false,"suffix":""},{"dropping-particle":"","family":"Park","given":"Kyudong","non-dropping-particle":"","parse-names":false,"suffix":""},{"dropping-particle":"","family":"Weible","given":"Christopher M.","non-dropping-particle":"","parse-names":false,"suffix":""},{"dropping-particle":"","family":"Heikkila","given":"Tanya","non-dropping-particle":"","parse-names":false,"suffix":""}],"container-title":"Review of Policy Research","id":"ITEM-4","issue":"6","issued":{"date-parts":[["2019"]]},"page":"736-756","title":"Framing Contests and Policy Conflicts over Gas Pipelines","type":"article-journal","volume":"36"},"uris":["http://www.mendeley.com/documents/?uuid=525036c2-9497-40c7-8fb8-683c5f030668"]}],"mendeley":{"formattedCitation":"(Dodge and Lee 2017b; Flachsland, Pahle, and Leipprand 2015; Olofsson et al. 2018; Yordy et al. 2019)","plainTextFormattedCitation":"(Dodge and Lee 2017b; Flachsland, Pahle, and Leipprand 2015; Olofsson et al. 2018; Yordy et al. 2019)","previouslyFormattedCitation":"(Dodge and Lee 2017b; Flachsland, Pahle, and Leipprand 2015; Olofsson et al. 2018; Yordy et al. 2019)"},"properties":{"noteIndex":0},"schema":"https://github.com/citation-style-language/schema/raw/master/csl-citation.json"}</w:instrText>
      </w:r>
      <w:r w:rsidR="000970B8">
        <w:rPr>
          <w:rFonts w:ascii="Times New Roman" w:hAnsi="Times New Roman" w:cs="Times New Roman"/>
          <w:sz w:val="24"/>
          <w:szCs w:val="24"/>
        </w:rPr>
        <w:fldChar w:fldCharType="separate"/>
      </w:r>
      <w:r w:rsidR="000970B8" w:rsidRPr="000970B8">
        <w:rPr>
          <w:rFonts w:ascii="Times New Roman" w:hAnsi="Times New Roman" w:cs="Times New Roman"/>
          <w:noProof/>
          <w:sz w:val="24"/>
          <w:szCs w:val="24"/>
        </w:rPr>
        <w:t>(Dodge and Lee 2017b; Flachsland, Pahle, and Leipprand 2015; Olofsson et al. 2018; Yordy et al. 2019)</w:t>
      </w:r>
      <w:r w:rsidR="000970B8">
        <w:rPr>
          <w:rFonts w:ascii="Times New Roman" w:hAnsi="Times New Roman" w:cs="Times New Roman"/>
          <w:sz w:val="24"/>
          <w:szCs w:val="24"/>
        </w:rPr>
        <w:fldChar w:fldCharType="end"/>
      </w:r>
      <w:r>
        <w:rPr>
          <w:rFonts w:ascii="Times New Roman" w:hAnsi="Times New Roman" w:cs="Times New Roman"/>
          <w:sz w:val="24"/>
          <w:szCs w:val="24"/>
        </w:rPr>
        <w:t>.</w:t>
      </w:r>
      <w:r w:rsidR="00CF6050">
        <w:rPr>
          <w:rFonts w:ascii="Times New Roman" w:hAnsi="Times New Roman" w:cs="Times New Roman"/>
          <w:sz w:val="24"/>
          <w:szCs w:val="24"/>
        </w:rPr>
        <w:t xml:space="preserve"> </w:t>
      </w:r>
      <w:r w:rsidR="007A4227">
        <w:rPr>
          <w:rFonts w:ascii="Times New Roman" w:hAnsi="Times New Roman" w:cs="Times New Roman"/>
          <w:sz w:val="24"/>
          <w:szCs w:val="24"/>
        </w:rPr>
        <w:t>Risks and benefits related to the economy, safety, health, environment, and energy development have been frames identified in past literature.</w:t>
      </w:r>
      <w:r w:rsidR="00CF6050">
        <w:rPr>
          <w:rFonts w:ascii="Times New Roman" w:hAnsi="Times New Roman" w:cs="Times New Roman"/>
          <w:sz w:val="24"/>
          <w:szCs w:val="24"/>
        </w:rPr>
        <w:t xml:space="preserve"> </w:t>
      </w:r>
      <w:r w:rsidR="007A4227">
        <w:rPr>
          <w:rFonts w:ascii="Times New Roman" w:hAnsi="Times New Roman" w:cs="Times New Roman"/>
          <w:sz w:val="24"/>
          <w:szCs w:val="24"/>
        </w:rPr>
        <w:t>Scientific</w:t>
      </w:r>
      <w:r w:rsidR="00AC0DCF">
        <w:rPr>
          <w:rFonts w:ascii="Times New Roman" w:hAnsi="Times New Roman" w:cs="Times New Roman"/>
          <w:sz w:val="24"/>
          <w:szCs w:val="24"/>
        </w:rPr>
        <w:t xml:space="preserve"> information is often employed to support </w:t>
      </w:r>
      <w:r w:rsidR="00AC0DCF">
        <w:rPr>
          <w:rFonts w:ascii="Times New Roman" w:hAnsi="Times New Roman" w:cs="Times New Roman"/>
          <w:sz w:val="24"/>
          <w:szCs w:val="24"/>
        </w:rPr>
        <w:lastRenderedPageBreak/>
        <w:t>or oppose unconventional oil and gas</w:t>
      </w:r>
      <w:r w:rsidR="0069150D">
        <w:rPr>
          <w:rFonts w:ascii="Times New Roman" w:hAnsi="Times New Roman" w:cs="Times New Roman"/>
          <w:sz w:val="24"/>
          <w:szCs w:val="24"/>
        </w:rPr>
        <w:t xml:space="preserve"> as well </w:t>
      </w:r>
      <w:r w:rsidR="000970B8">
        <w:rPr>
          <w:rFonts w:ascii="Times New Roman" w:hAnsi="Times New Roman" w:cs="Times New Roman"/>
          <w:sz w:val="24"/>
          <w:szCs w:val="24"/>
        </w:rPr>
        <w:fldChar w:fldCharType="begin" w:fldLock="1"/>
      </w:r>
      <w:r w:rsidR="000970B8">
        <w:rPr>
          <w:rFonts w:ascii="Times New Roman" w:hAnsi="Times New Roman" w:cs="Times New Roman"/>
          <w:sz w:val="24"/>
          <w:szCs w:val="24"/>
        </w:rPr>
        <w:instrText>ADDIN CSL_CITATION {"citationItems":[{"id":"ITEM-1","itemData":{"DOI":"10.1080/09505431.2018.1425384","ISSN":"14701189","abstract":"Technological advancements in hydraulic fracturing and horizontal drilling have spurred a controversial boom in oil and gas production. In Colorado, these debates take place directly in the suburban metro corridor, where local governments are turning to memorandums of understanding (MOU), negotiated directly with industry operators, to shape industry activity. We show that in Erie, the town that first pioneered this policy tool, these MOUs ostensibly welcome public participation in the planning and deliberation process but can unintentionally reinforce scientism-based governance. Citizen science challenged the local government’s deficit model of the public, but it also shored up scientific authority and triggered a government imaginary of anti-fracking activists as an unruly public. Residents countered this imaginary by electing officials committed to public engagement and transparency, which opened up debates to encompass quality of life issues that had been sidelined by the original focus on competing scientific evidence about pollution. While fracking-related citizen science does not appear to be directly responsible for the government turnover and its attendant shift in governance, we suggest it did enhance civic engagement related to general issues of fiscal responsibility, ethics and transparency that did play a role in the election.","author":[{"dropping-particle":"","family":"Zilliox","given":"Skylar","non-dropping-particle":"","parse-names":false,"suffix":""},{"dropping-particle":"","family":"Smith","given":"Jessica M.","non-dropping-particle":"","parse-names":false,"suffix":""}],"container-title":"Science as Culture","id":"ITEM-1","issue":"2","issued":{"date-parts":[["2018"]]},"page":"221-241","publisher":"Taylor &amp; Francis","title":"Colorado’s Fracking Debates: Citizen Science, Conflict and Collaboration","type":"article-journal","volume":"27"},"uris":["http://www.mendeley.com/documents/?uuid=9af9e40a-013d-4094-bb2d-bb794f0ee98b"]}],"mendeley":{"formattedCitation":"(Zilliox and Smith 2018)","plainTextFormattedCitation":"(Zilliox and Smith 2018)","previouslyFormattedCitation":"(Zilliox and Smith 2018)"},"properties":{"noteIndex":0},"schema":"https://github.com/citation-style-language/schema/raw/master/csl-citation.json"}</w:instrText>
      </w:r>
      <w:r w:rsidR="000970B8">
        <w:rPr>
          <w:rFonts w:ascii="Times New Roman" w:hAnsi="Times New Roman" w:cs="Times New Roman"/>
          <w:sz w:val="24"/>
          <w:szCs w:val="24"/>
        </w:rPr>
        <w:fldChar w:fldCharType="separate"/>
      </w:r>
      <w:r w:rsidR="000970B8" w:rsidRPr="000970B8">
        <w:rPr>
          <w:rFonts w:ascii="Times New Roman" w:hAnsi="Times New Roman" w:cs="Times New Roman"/>
          <w:noProof/>
          <w:sz w:val="24"/>
          <w:szCs w:val="24"/>
        </w:rPr>
        <w:t>(Zilliox and Smith 2018)</w:t>
      </w:r>
      <w:r w:rsidR="000970B8">
        <w:rPr>
          <w:rFonts w:ascii="Times New Roman" w:hAnsi="Times New Roman" w:cs="Times New Roman"/>
          <w:sz w:val="24"/>
          <w:szCs w:val="24"/>
        </w:rPr>
        <w:fldChar w:fldCharType="end"/>
      </w:r>
      <w:r w:rsidR="000970B8">
        <w:rPr>
          <w:rFonts w:ascii="Times New Roman" w:hAnsi="Times New Roman" w:cs="Times New Roman"/>
          <w:sz w:val="24"/>
          <w:szCs w:val="24"/>
        </w:rPr>
        <w:t>. T</w:t>
      </w:r>
      <w:r w:rsidR="00422F18">
        <w:rPr>
          <w:rFonts w:ascii="Times New Roman" w:hAnsi="Times New Roman" w:cs="Times New Roman"/>
          <w:sz w:val="24"/>
          <w:szCs w:val="24"/>
        </w:rPr>
        <w:t xml:space="preserve">he </w:t>
      </w:r>
      <w:r w:rsidR="00846997">
        <w:rPr>
          <w:rFonts w:ascii="Times New Roman" w:hAnsi="Times New Roman" w:cs="Times New Roman"/>
          <w:sz w:val="24"/>
          <w:szCs w:val="24"/>
        </w:rPr>
        <w:t xml:space="preserve">issue frames </w:t>
      </w:r>
      <w:r w:rsidR="00422F18" w:rsidRPr="00846997">
        <w:rPr>
          <w:rFonts w:ascii="Times New Roman" w:hAnsi="Times New Roman" w:cs="Times New Roman"/>
          <w:i/>
          <w:iCs/>
          <w:sz w:val="24"/>
          <w:szCs w:val="24"/>
        </w:rPr>
        <w:t>risk</w:t>
      </w:r>
      <w:r w:rsidR="00846997" w:rsidRPr="00846997">
        <w:rPr>
          <w:rFonts w:ascii="Times New Roman" w:hAnsi="Times New Roman" w:cs="Times New Roman"/>
          <w:i/>
          <w:iCs/>
          <w:sz w:val="24"/>
          <w:szCs w:val="24"/>
        </w:rPr>
        <w:t xml:space="preserve"> of regulation/ban</w:t>
      </w:r>
      <w:r w:rsidR="00766520">
        <w:rPr>
          <w:rFonts w:ascii="Times New Roman" w:hAnsi="Times New Roman" w:cs="Times New Roman"/>
          <w:sz w:val="24"/>
          <w:szCs w:val="24"/>
        </w:rPr>
        <w:t>,</w:t>
      </w:r>
      <w:r w:rsidR="00422F18">
        <w:rPr>
          <w:rFonts w:ascii="Times New Roman" w:hAnsi="Times New Roman" w:cs="Times New Roman"/>
          <w:sz w:val="24"/>
          <w:szCs w:val="24"/>
        </w:rPr>
        <w:t xml:space="preserve"> </w:t>
      </w:r>
      <w:r w:rsidR="00422F18" w:rsidRPr="00846997">
        <w:rPr>
          <w:rFonts w:ascii="Times New Roman" w:hAnsi="Times New Roman" w:cs="Times New Roman"/>
          <w:i/>
          <w:iCs/>
          <w:sz w:val="24"/>
          <w:szCs w:val="24"/>
        </w:rPr>
        <w:t>benefit of regulation/ban</w:t>
      </w:r>
      <w:r w:rsidR="00766520">
        <w:rPr>
          <w:rFonts w:ascii="Times New Roman" w:hAnsi="Times New Roman" w:cs="Times New Roman"/>
          <w:i/>
          <w:iCs/>
          <w:sz w:val="24"/>
          <w:szCs w:val="24"/>
        </w:rPr>
        <w:t>, Experts and science</w:t>
      </w:r>
      <w:r w:rsidR="00766520" w:rsidRPr="00E76A40">
        <w:rPr>
          <w:rFonts w:ascii="Times New Roman" w:hAnsi="Times New Roman" w:cs="Times New Roman"/>
          <w:i/>
          <w:iCs/>
          <w:sz w:val="24"/>
          <w:szCs w:val="24"/>
        </w:rPr>
        <w:t xml:space="preserve"> in opposition to </w:t>
      </w:r>
      <w:r w:rsidR="00766520">
        <w:rPr>
          <w:rFonts w:ascii="Times New Roman" w:hAnsi="Times New Roman" w:cs="Times New Roman"/>
          <w:i/>
          <w:iCs/>
          <w:sz w:val="24"/>
          <w:szCs w:val="24"/>
        </w:rPr>
        <w:t>unconventional oil and gas and Experts and science</w:t>
      </w:r>
      <w:r w:rsidR="00766520" w:rsidRPr="00E76A40">
        <w:rPr>
          <w:rFonts w:ascii="Times New Roman" w:hAnsi="Times New Roman" w:cs="Times New Roman"/>
          <w:i/>
          <w:iCs/>
          <w:sz w:val="24"/>
          <w:szCs w:val="24"/>
        </w:rPr>
        <w:t xml:space="preserve"> in </w:t>
      </w:r>
      <w:r w:rsidR="00766520">
        <w:rPr>
          <w:rFonts w:ascii="Times New Roman" w:hAnsi="Times New Roman" w:cs="Times New Roman"/>
          <w:i/>
          <w:iCs/>
          <w:sz w:val="24"/>
          <w:szCs w:val="24"/>
        </w:rPr>
        <w:t>support of unconventional oil and gas</w:t>
      </w:r>
      <w:r w:rsidR="00766520">
        <w:rPr>
          <w:rFonts w:ascii="Times New Roman" w:hAnsi="Times New Roman" w:cs="Times New Roman"/>
          <w:sz w:val="24"/>
          <w:szCs w:val="24"/>
        </w:rPr>
        <w:t xml:space="preserve"> </w:t>
      </w:r>
      <w:r w:rsidR="00422F18">
        <w:rPr>
          <w:rFonts w:ascii="Times New Roman" w:hAnsi="Times New Roman" w:cs="Times New Roman"/>
          <w:sz w:val="24"/>
          <w:szCs w:val="24"/>
        </w:rPr>
        <w:t>were created after an initial review of the tweets was conducted.</w:t>
      </w:r>
      <w:r w:rsidR="00CF6050">
        <w:rPr>
          <w:rFonts w:ascii="Times New Roman" w:hAnsi="Times New Roman" w:cs="Times New Roman"/>
          <w:sz w:val="24"/>
          <w:szCs w:val="24"/>
        </w:rPr>
        <w:t xml:space="preserve"> </w:t>
      </w:r>
      <w:r w:rsidR="0019305F">
        <w:rPr>
          <w:rFonts w:ascii="Times New Roman" w:hAnsi="Times New Roman" w:cs="Times New Roman"/>
          <w:sz w:val="24"/>
          <w:szCs w:val="24"/>
        </w:rPr>
        <w:t>The 4,416 tweets were then coded manually by the primary investigator</w:t>
      </w:r>
      <w:r w:rsidR="00E20CCF">
        <w:rPr>
          <w:rFonts w:ascii="Times New Roman" w:hAnsi="Times New Roman" w:cs="Times New Roman"/>
          <w:sz w:val="24"/>
          <w:szCs w:val="24"/>
        </w:rPr>
        <w:t xml:space="preserve"> using the established codebook from the intercoder process.  </w:t>
      </w:r>
      <w:r w:rsidR="00DC5F25">
        <w:rPr>
          <w:rFonts w:ascii="Times New Roman" w:hAnsi="Times New Roman" w:cs="Times New Roman"/>
          <w:sz w:val="24"/>
          <w:szCs w:val="24"/>
        </w:rPr>
        <w:t xml:space="preserve">See </w:t>
      </w:r>
      <w:r w:rsidR="00DC5F25" w:rsidRPr="00DC5F25">
        <w:rPr>
          <w:rFonts w:ascii="Times New Roman" w:hAnsi="Times New Roman" w:cs="Times New Roman"/>
          <w:b/>
          <w:sz w:val="24"/>
          <w:szCs w:val="24"/>
        </w:rPr>
        <w:t>Appendix A</w:t>
      </w:r>
      <w:r w:rsidR="00DC5F25">
        <w:rPr>
          <w:rFonts w:ascii="Times New Roman" w:hAnsi="Times New Roman" w:cs="Times New Roman"/>
          <w:sz w:val="24"/>
          <w:szCs w:val="24"/>
        </w:rPr>
        <w:t xml:space="preserve"> for conceptual definitions of the issue frames.</w:t>
      </w:r>
    </w:p>
    <w:p w14:paraId="40C21A0A" w14:textId="52B57EB2" w:rsidR="004333FF" w:rsidRPr="004333FF" w:rsidRDefault="004333FF" w:rsidP="004333FF">
      <w:pPr>
        <w:pStyle w:val="Heading1"/>
        <w:jc w:val="center"/>
        <w:rPr>
          <w:rFonts w:ascii="Times New Roman" w:hAnsi="Times New Roman" w:cs="Times New Roman"/>
          <w:b/>
          <w:color w:val="auto"/>
          <w:sz w:val="24"/>
          <w:szCs w:val="24"/>
        </w:rPr>
      </w:pPr>
      <w:r w:rsidRPr="004333FF">
        <w:rPr>
          <w:rFonts w:ascii="Times New Roman" w:hAnsi="Times New Roman" w:cs="Times New Roman"/>
          <w:b/>
          <w:color w:val="auto"/>
          <w:sz w:val="24"/>
          <w:szCs w:val="24"/>
        </w:rPr>
        <w:t>Results</w:t>
      </w:r>
    </w:p>
    <w:p w14:paraId="5DA37FF7" w14:textId="398B7434" w:rsidR="00816B8E" w:rsidRDefault="00816B8E" w:rsidP="00DC5F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presenting results related to the online Discursive Strategy Hypothesis, a brief overview of the other types of political messaging present in the data is helpful. Issue framing is not the only way in which political messages are communicated via Twitter. There are political tweets that highlighted decision-makers who were for or against unconventional oil and gas and public opinion polls (‘New poll shows x% of New Yorkers approve of y’). Also, many tweets are words of encouragement, thanking decision-makers and other policy actors for their work in the policy process (‘Thank you, Governor Cuomo’). Some tweets provide updates on some technical or tangential aspect of unconventional oil and gas (‘Shale gas pipeline moving from x to y’). Others are statements of policy positions without an issue frame attached (‘Go Frack Go!’). Still others are calls to action (‘Please sign this petition to ensure that x happens’). Lastly, science is invoked but is done as a way to discredit the source or to indicate the inconclusiveness of scientific inquiry. </w:t>
      </w:r>
    </w:p>
    <w:p w14:paraId="2EAA1C0F" w14:textId="074AA143" w:rsidR="00DC5F25" w:rsidRDefault="00DC5F25" w:rsidP="00DC5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Results also show that dominant frames do play a role on Twitter. </w:t>
      </w:r>
      <w:r>
        <w:rPr>
          <w:rFonts w:ascii="Times New Roman" w:hAnsi="Times New Roman" w:cs="Times New Roman"/>
          <w:b/>
          <w:bCs/>
          <w:sz w:val="24"/>
          <w:szCs w:val="24"/>
        </w:rPr>
        <w:t>Tables 1</w:t>
      </w:r>
      <w:r>
        <w:rPr>
          <w:rFonts w:ascii="Times New Roman" w:hAnsi="Times New Roman" w:cs="Times New Roman"/>
          <w:sz w:val="24"/>
          <w:szCs w:val="24"/>
        </w:rPr>
        <w:t xml:space="preserve"> provides some illustrative examples of dominant frames in use. Several points are worthy of noting from this sample. First, both coalitions use events outside of the New York subsystem to construct a frame relevant to the New York subsystem. The anti-coalition references Montana and their </w:t>
      </w:r>
      <w:r>
        <w:rPr>
          <w:rFonts w:ascii="Times New Roman" w:hAnsi="Times New Roman" w:cs="Times New Roman"/>
          <w:sz w:val="24"/>
          <w:szCs w:val="24"/>
        </w:rPr>
        <w:lastRenderedPageBreak/>
        <w:t>constitution to highlight the environmental impacts of unconventional oil and gas. The pro-coalition references the Colorado subsystem, creating a public health and safety frame through highlighting that families can be assured that unconventional oil and gas is being conducted responsibly. Second, when both coalitions use the opposition’s dominant frames (</w:t>
      </w:r>
      <w:r w:rsidR="00FC44DB">
        <w:rPr>
          <w:rFonts w:ascii="Times New Roman" w:hAnsi="Times New Roman" w:cs="Times New Roman"/>
          <w:sz w:val="24"/>
          <w:szCs w:val="24"/>
        </w:rPr>
        <w:t>i.e.</w:t>
      </w:r>
      <w:r>
        <w:rPr>
          <w:rFonts w:ascii="Times New Roman" w:hAnsi="Times New Roman" w:cs="Times New Roman"/>
          <w:sz w:val="24"/>
          <w:szCs w:val="24"/>
        </w:rPr>
        <w:t xml:space="preserve">, the economy and energy development for the anti- coalition; the environment and public health and safety for the pro- coalition), they are often utilized in relative terms. For instance, the anti-coalition’s use of a policy risk related to unconventional oil and gas is not constructed to argue that any policy comes with risks. It is largely used to argue that the current policy does not go far enough. The same theme is identified when the pro-coalition uses </w:t>
      </w:r>
      <w:r w:rsidRPr="00A76AFC">
        <w:rPr>
          <w:rFonts w:ascii="Times New Roman" w:hAnsi="Times New Roman" w:cs="Times New Roman"/>
          <w:i/>
          <w:iCs/>
          <w:sz w:val="24"/>
          <w:szCs w:val="24"/>
        </w:rPr>
        <w:t>environmental benefit</w:t>
      </w:r>
      <w:r>
        <w:rPr>
          <w:rFonts w:ascii="Times New Roman" w:hAnsi="Times New Roman" w:cs="Times New Roman"/>
          <w:sz w:val="24"/>
          <w:szCs w:val="24"/>
        </w:rPr>
        <w:t xml:space="preserve"> and </w:t>
      </w:r>
      <w:r w:rsidRPr="00692BD5">
        <w:rPr>
          <w:rFonts w:ascii="Times New Roman" w:hAnsi="Times New Roman" w:cs="Times New Roman"/>
          <w:i/>
          <w:iCs/>
          <w:sz w:val="24"/>
          <w:szCs w:val="24"/>
        </w:rPr>
        <w:t>public health and safety benefit</w:t>
      </w:r>
      <w:r>
        <w:rPr>
          <w:rFonts w:ascii="Times New Roman" w:hAnsi="Times New Roman" w:cs="Times New Roman"/>
          <w:sz w:val="24"/>
          <w:szCs w:val="24"/>
        </w:rPr>
        <w:t xml:space="preserve"> frames. These policy actors are arguing that unconventional oil and gas is beneficial to the environment, health, and safety</w:t>
      </w:r>
      <w:r w:rsidRPr="00692BD5">
        <w:rPr>
          <w:rFonts w:ascii="Times New Roman" w:hAnsi="Times New Roman" w:cs="Times New Roman"/>
          <w:sz w:val="24"/>
          <w:szCs w:val="24"/>
        </w:rPr>
        <w:t xml:space="preserve"> relative</w:t>
      </w:r>
      <w:r>
        <w:rPr>
          <w:rFonts w:ascii="Times New Roman" w:hAnsi="Times New Roman" w:cs="Times New Roman"/>
          <w:sz w:val="24"/>
          <w:szCs w:val="24"/>
        </w:rPr>
        <w:t xml:space="preserve"> to other practices inferred to be riskier. Third, policy actors layer text with other discursive tools such as hashtags and ‘@.’ Embedding these into the text creates a more interactive network that links related tweets to each other. Lastly, of the tweets with an issue frame, 45% of the anti-coalition tweets and 41% of the pro-coalition tweets use two or more issue frames. For instance, the pro-coalition’s use of ‘science in support’ argues that a study found that unconventional oil and gas chemicals are safe relative to other common household items. This constitutes both a science and public health and safety frame. </w:t>
      </w:r>
    </w:p>
    <w:p w14:paraId="7EDC7B64" w14:textId="33C48373" w:rsidR="00720789" w:rsidRPr="00BB50C2" w:rsidRDefault="008A14D2" w:rsidP="00BB50C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DC5F25">
        <w:rPr>
          <w:rFonts w:ascii="Times New Roman" w:hAnsi="Times New Roman" w:cs="Times New Roman"/>
          <w:b/>
          <w:bCs/>
          <w:sz w:val="24"/>
          <w:szCs w:val="24"/>
        </w:rPr>
        <w:t>1</w:t>
      </w:r>
      <w:r>
        <w:rPr>
          <w:rFonts w:ascii="Times New Roman" w:hAnsi="Times New Roman" w:cs="Times New Roman"/>
          <w:b/>
          <w:bCs/>
          <w:sz w:val="24"/>
          <w:szCs w:val="24"/>
        </w:rPr>
        <w:t>: Dominant Frames in Use</w:t>
      </w:r>
    </w:p>
    <w:p w14:paraId="0179A879" w14:textId="1C8E067A" w:rsidR="00DA1F8F" w:rsidRDefault="00816B8E" w:rsidP="00DC0E49">
      <w:pPr>
        <w:spacing w:line="480" w:lineRule="auto"/>
        <w:rPr>
          <w:rFonts w:ascii="Times New Roman" w:hAnsi="Times New Roman" w:cs="Times New Roman"/>
          <w:sz w:val="24"/>
          <w:szCs w:val="24"/>
        </w:rPr>
      </w:pPr>
      <w:r w:rsidRPr="00816B8E">
        <w:rPr>
          <w:noProof/>
        </w:rPr>
        <w:lastRenderedPageBreak/>
        <w:drawing>
          <wp:inline distT="0" distB="0" distL="0" distR="0" wp14:anchorId="0CBB6B28" wp14:editId="2C7BD928">
            <wp:extent cx="5943600" cy="33194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19419"/>
                    </a:xfrm>
                    <a:prstGeom prst="rect">
                      <a:avLst/>
                    </a:prstGeom>
                    <a:noFill/>
                    <a:ln>
                      <a:noFill/>
                    </a:ln>
                  </pic:spPr>
                </pic:pic>
              </a:graphicData>
            </a:graphic>
          </wp:inline>
        </w:drawing>
      </w:r>
    </w:p>
    <w:p w14:paraId="41817C04" w14:textId="77777777" w:rsidR="00DC5F25" w:rsidRDefault="00DC5F25" w:rsidP="00DC5F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further evidence of dominant issue frames being used on Twitter, </w:t>
      </w:r>
      <w:r>
        <w:rPr>
          <w:rFonts w:ascii="Times New Roman" w:hAnsi="Times New Roman" w:cs="Times New Roman"/>
          <w:b/>
          <w:bCs/>
          <w:sz w:val="24"/>
          <w:szCs w:val="24"/>
        </w:rPr>
        <w:t>Tables 2 &amp; 3</w:t>
      </w:r>
      <w:r>
        <w:rPr>
          <w:rFonts w:ascii="Times New Roman" w:hAnsi="Times New Roman" w:cs="Times New Roman"/>
          <w:sz w:val="24"/>
          <w:szCs w:val="24"/>
        </w:rPr>
        <w:t xml:space="preserve"> show that over a 3-month period surrounding the major policy change, the dominant frames are used in New York and Colorado, however in different frequencies. In New York, 2,078 instances of issue frames are captured. The anti-coalition make up the majority at 64% and the pro-coalition make up 35%.</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Colorado, 1,498 instances of issue frames are captured. The anti-coalition and the pro-coalition in Colorado are much more balanced in their use of issue frames with the former representing 54% and the latter representing 44%.</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1F7F7B19" w14:textId="77777777" w:rsidR="00DC5F25" w:rsidRDefault="00DC5F25" w:rsidP="00DC5F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Within the pro-coalition, the vast majority of frames relate to economic benefits and energy development benefits. In the anti-coalition, environmental and/or public health and safety risk are the most frequently used frames. Across coalitions, the anti-coalitions use science as a frame 23% more often than the pro-coalition.</w:t>
      </w:r>
    </w:p>
    <w:p w14:paraId="4A70F02F" w14:textId="486356F8" w:rsidR="00026A73" w:rsidRDefault="00DC5F25" w:rsidP="00DC5F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Addressing the Issue Frame Congruence Hypothesis, there are some mixed findings. By and large, the anti- coalitions use risks related to unconventional oil and gas and benefits related to policies addressing the practice. The pro- coalition predominately sticks to unconventional oil and gas benefits and policy risks related to the practice. An exception is that the anti-coalitions also express risks to policies as they push for their policy positions. In addition, </w:t>
      </w:r>
      <w:bookmarkStart w:id="21" w:name="_Hlk43715369"/>
      <w:r>
        <w:rPr>
          <w:rFonts w:ascii="Times New Roman" w:hAnsi="Times New Roman" w:cs="Times New Roman"/>
          <w:sz w:val="24"/>
          <w:szCs w:val="24"/>
        </w:rPr>
        <w:t xml:space="preserve">while there is some evidence of opposing coalition members using the issue frames of the opposition, there is much greater evidence that the dominant issue frames of coalitions, as identified in past scholarship, are utilized by the respective coalitions much more often. </w:t>
      </w:r>
      <w:bookmarkEnd w:id="21"/>
      <w:r>
        <w:rPr>
          <w:rFonts w:ascii="Times New Roman" w:hAnsi="Times New Roman" w:cs="Times New Roman"/>
          <w:sz w:val="24"/>
          <w:szCs w:val="24"/>
        </w:rPr>
        <w:t>The pro- coalition uses frames related to the economy and energy development 71% of the time. The anti-coalition uses frames related to the environment, public health and safety, and the use of science 87% of the time.</w:t>
      </w:r>
    </w:p>
    <w:p w14:paraId="108CC835" w14:textId="6E56647E" w:rsidR="00F04D44" w:rsidRDefault="00BD6175" w:rsidP="00F04D44">
      <w:pPr>
        <w:spacing w:line="480" w:lineRule="auto"/>
        <w:rPr>
          <w:rFonts w:ascii="Times New Roman" w:hAnsi="Times New Roman" w:cs="Times New Roman"/>
          <w:b/>
          <w:bCs/>
          <w:sz w:val="24"/>
          <w:szCs w:val="24"/>
        </w:rPr>
      </w:pPr>
      <w:r>
        <w:rPr>
          <w:rFonts w:ascii="Times New Roman" w:hAnsi="Times New Roman" w:cs="Times New Roman"/>
          <w:b/>
          <w:bCs/>
          <w:sz w:val="24"/>
          <w:szCs w:val="24"/>
        </w:rPr>
        <w:t>Table</w:t>
      </w:r>
      <w:r w:rsidR="002849CE">
        <w:rPr>
          <w:rFonts w:ascii="Times New Roman" w:hAnsi="Times New Roman" w:cs="Times New Roman"/>
          <w:b/>
          <w:bCs/>
          <w:sz w:val="24"/>
          <w:szCs w:val="24"/>
        </w:rPr>
        <w:t>s</w:t>
      </w:r>
      <w:r>
        <w:rPr>
          <w:rFonts w:ascii="Times New Roman" w:hAnsi="Times New Roman" w:cs="Times New Roman"/>
          <w:b/>
          <w:bCs/>
          <w:sz w:val="24"/>
          <w:szCs w:val="24"/>
        </w:rPr>
        <w:t xml:space="preserve"> </w:t>
      </w:r>
      <w:r w:rsidR="00DC5F25">
        <w:rPr>
          <w:rFonts w:ascii="Times New Roman" w:hAnsi="Times New Roman" w:cs="Times New Roman"/>
          <w:b/>
          <w:bCs/>
          <w:sz w:val="24"/>
          <w:szCs w:val="24"/>
        </w:rPr>
        <w:t>2</w:t>
      </w:r>
      <w:r>
        <w:rPr>
          <w:rFonts w:ascii="Times New Roman" w:hAnsi="Times New Roman" w:cs="Times New Roman"/>
          <w:b/>
          <w:bCs/>
          <w:sz w:val="24"/>
          <w:szCs w:val="24"/>
        </w:rPr>
        <w:t xml:space="preserve"> </w:t>
      </w:r>
      <w:r w:rsidR="002849CE">
        <w:rPr>
          <w:rFonts w:ascii="Times New Roman" w:hAnsi="Times New Roman" w:cs="Times New Roman"/>
          <w:b/>
          <w:bCs/>
          <w:sz w:val="24"/>
          <w:szCs w:val="24"/>
        </w:rPr>
        <w:t>&amp;</w:t>
      </w:r>
      <w:r>
        <w:rPr>
          <w:rFonts w:ascii="Times New Roman" w:hAnsi="Times New Roman" w:cs="Times New Roman"/>
          <w:b/>
          <w:bCs/>
          <w:sz w:val="24"/>
          <w:szCs w:val="24"/>
        </w:rPr>
        <w:t xml:space="preserve"> </w:t>
      </w:r>
      <w:r w:rsidR="00DC5F25">
        <w:rPr>
          <w:rFonts w:ascii="Times New Roman" w:hAnsi="Times New Roman" w:cs="Times New Roman"/>
          <w:b/>
          <w:bCs/>
          <w:sz w:val="24"/>
          <w:szCs w:val="24"/>
        </w:rPr>
        <w:t>3</w:t>
      </w:r>
      <w:r>
        <w:rPr>
          <w:rFonts w:ascii="Times New Roman" w:hAnsi="Times New Roman" w:cs="Times New Roman"/>
          <w:b/>
          <w:bCs/>
          <w:sz w:val="24"/>
          <w:szCs w:val="24"/>
        </w:rPr>
        <w:t xml:space="preserve"> </w:t>
      </w:r>
      <w:r w:rsidR="00C108ED">
        <w:rPr>
          <w:rFonts w:ascii="Times New Roman" w:hAnsi="Times New Roman" w:cs="Times New Roman"/>
          <w:b/>
          <w:bCs/>
          <w:sz w:val="24"/>
          <w:szCs w:val="24"/>
        </w:rPr>
        <w:t>- Issue Frames</w:t>
      </w:r>
      <w:r w:rsidR="002849CE">
        <w:rPr>
          <w:rFonts w:ascii="Times New Roman" w:hAnsi="Times New Roman" w:cs="Times New Roman"/>
          <w:b/>
          <w:bCs/>
          <w:sz w:val="24"/>
          <w:szCs w:val="24"/>
        </w:rPr>
        <w:t xml:space="preserve"> Before and After Ban</w:t>
      </w:r>
    </w:p>
    <w:p w14:paraId="7AE0147C" w14:textId="5976D31D" w:rsidR="00242A69" w:rsidRPr="00BD6175" w:rsidRDefault="00242A69" w:rsidP="00F04D44">
      <w:pPr>
        <w:spacing w:line="480" w:lineRule="auto"/>
        <w:rPr>
          <w:rFonts w:ascii="Times New Roman" w:hAnsi="Times New Roman" w:cs="Times New Roman"/>
          <w:i/>
          <w:iCs/>
          <w:sz w:val="24"/>
          <w:szCs w:val="24"/>
        </w:rPr>
      </w:pPr>
      <w:r w:rsidRPr="00BD6175">
        <w:rPr>
          <w:rFonts w:ascii="Times New Roman" w:hAnsi="Times New Roman" w:cs="Times New Roman"/>
          <w:i/>
          <w:iCs/>
          <w:sz w:val="24"/>
          <w:szCs w:val="24"/>
        </w:rPr>
        <w:t>New York</w:t>
      </w:r>
    </w:p>
    <w:tbl>
      <w:tblPr>
        <w:tblW w:w="8140" w:type="dxa"/>
        <w:tblLook w:val="04A0" w:firstRow="1" w:lastRow="0" w:firstColumn="1" w:lastColumn="0" w:noHBand="0" w:noVBand="1"/>
      </w:tblPr>
      <w:tblGrid>
        <w:gridCol w:w="2960"/>
        <w:gridCol w:w="1340"/>
        <w:gridCol w:w="1084"/>
        <w:gridCol w:w="836"/>
        <w:gridCol w:w="1084"/>
        <w:gridCol w:w="836"/>
      </w:tblGrid>
      <w:tr w:rsidR="00A22649" w:rsidRPr="00E20209" w14:paraId="6821EB9F" w14:textId="77777777" w:rsidTr="00B70763">
        <w:trPr>
          <w:trHeight w:val="300"/>
        </w:trPr>
        <w:tc>
          <w:tcPr>
            <w:tcW w:w="4300" w:type="dxa"/>
            <w:gridSpan w:val="2"/>
            <w:vMerge w:val="restart"/>
            <w:tcBorders>
              <w:top w:val="single" w:sz="12" w:space="0" w:color="auto"/>
              <w:left w:val="single" w:sz="12" w:space="0" w:color="auto"/>
              <w:bottom w:val="nil"/>
              <w:right w:val="nil"/>
            </w:tcBorders>
            <w:shd w:val="clear" w:color="auto" w:fill="auto"/>
            <w:noWrap/>
            <w:vAlign w:val="bottom"/>
            <w:hideMark/>
          </w:tcPr>
          <w:p w14:paraId="629C9CA6" w14:textId="3F974B87" w:rsidR="00A22649" w:rsidRPr="00E20209" w:rsidRDefault="00692BD5" w:rsidP="00692BD5">
            <w:pPr>
              <w:spacing w:after="0" w:line="240" w:lineRule="auto"/>
              <w:jc w:val="center"/>
              <w:rPr>
                <w:rFonts w:ascii="Calibri" w:eastAsia="Times New Roman" w:hAnsi="Calibri" w:cs="Calibri"/>
                <w:color w:val="000000"/>
              </w:rPr>
            </w:pPr>
            <w:bookmarkStart w:id="22" w:name="_Hlk41046182"/>
            <w:r>
              <w:rPr>
                <w:rFonts w:ascii="Calibri" w:eastAsia="Times New Roman" w:hAnsi="Calibri" w:cs="Calibri"/>
                <w:color w:val="000000"/>
              </w:rPr>
              <w:t>New York</w:t>
            </w:r>
          </w:p>
        </w:tc>
        <w:tc>
          <w:tcPr>
            <w:tcW w:w="1920" w:type="dxa"/>
            <w:gridSpan w:val="2"/>
            <w:tcBorders>
              <w:top w:val="single" w:sz="12" w:space="0" w:color="auto"/>
              <w:left w:val="single" w:sz="8" w:space="0" w:color="auto"/>
              <w:bottom w:val="nil"/>
              <w:right w:val="single" w:sz="8" w:space="0" w:color="auto"/>
            </w:tcBorders>
            <w:shd w:val="clear" w:color="auto" w:fill="auto"/>
            <w:noWrap/>
            <w:vAlign w:val="bottom"/>
            <w:hideMark/>
          </w:tcPr>
          <w:p w14:paraId="2D327A3A" w14:textId="77777777" w:rsidR="00A22649" w:rsidRPr="00E20209" w:rsidRDefault="00A22649" w:rsidP="00B70763">
            <w:pPr>
              <w:spacing w:after="0" w:line="240" w:lineRule="auto"/>
              <w:jc w:val="center"/>
              <w:rPr>
                <w:rFonts w:ascii="Calibri" w:eastAsia="Times New Roman" w:hAnsi="Calibri" w:cs="Calibri"/>
                <w:color w:val="000000"/>
              </w:rPr>
            </w:pPr>
            <w:r w:rsidRPr="00E20209">
              <w:rPr>
                <w:rFonts w:ascii="Calibri" w:eastAsia="Times New Roman" w:hAnsi="Calibri" w:cs="Calibri"/>
                <w:color w:val="000000"/>
              </w:rPr>
              <w:t>Anti</w:t>
            </w:r>
          </w:p>
        </w:tc>
        <w:tc>
          <w:tcPr>
            <w:tcW w:w="1920" w:type="dxa"/>
            <w:gridSpan w:val="2"/>
            <w:tcBorders>
              <w:top w:val="single" w:sz="12" w:space="0" w:color="auto"/>
              <w:left w:val="nil"/>
              <w:bottom w:val="nil"/>
              <w:right w:val="single" w:sz="12" w:space="0" w:color="000000"/>
            </w:tcBorders>
            <w:shd w:val="clear" w:color="auto" w:fill="auto"/>
            <w:noWrap/>
            <w:vAlign w:val="bottom"/>
            <w:hideMark/>
          </w:tcPr>
          <w:p w14:paraId="0487C875" w14:textId="77777777" w:rsidR="00A22649" w:rsidRPr="00E20209" w:rsidRDefault="00A22649" w:rsidP="00B70763">
            <w:pPr>
              <w:spacing w:after="0" w:line="240" w:lineRule="auto"/>
              <w:jc w:val="center"/>
              <w:rPr>
                <w:rFonts w:ascii="Calibri" w:eastAsia="Times New Roman" w:hAnsi="Calibri" w:cs="Calibri"/>
                <w:color w:val="000000"/>
              </w:rPr>
            </w:pPr>
            <w:r w:rsidRPr="00E20209">
              <w:rPr>
                <w:rFonts w:ascii="Calibri" w:eastAsia="Times New Roman" w:hAnsi="Calibri" w:cs="Calibri"/>
                <w:color w:val="000000"/>
              </w:rPr>
              <w:t>Pro</w:t>
            </w:r>
          </w:p>
        </w:tc>
      </w:tr>
      <w:tr w:rsidR="00A22649" w:rsidRPr="00E20209" w14:paraId="63561BCA" w14:textId="77777777" w:rsidTr="00B70763">
        <w:trPr>
          <w:trHeight w:val="300"/>
        </w:trPr>
        <w:tc>
          <w:tcPr>
            <w:tcW w:w="4300" w:type="dxa"/>
            <w:gridSpan w:val="2"/>
            <w:vMerge/>
            <w:tcBorders>
              <w:top w:val="single" w:sz="12" w:space="0" w:color="auto"/>
              <w:left w:val="single" w:sz="12" w:space="0" w:color="auto"/>
              <w:bottom w:val="nil"/>
              <w:right w:val="nil"/>
            </w:tcBorders>
            <w:vAlign w:val="center"/>
            <w:hideMark/>
          </w:tcPr>
          <w:p w14:paraId="785918A9" w14:textId="77777777" w:rsidR="00A22649" w:rsidRPr="00E20209" w:rsidRDefault="00A22649" w:rsidP="00B70763">
            <w:pPr>
              <w:spacing w:after="0" w:line="240" w:lineRule="auto"/>
              <w:rPr>
                <w:rFonts w:ascii="Calibri" w:eastAsia="Times New Roman" w:hAnsi="Calibri" w:cs="Calibri"/>
                <w:color w:val="000000"/>
              </w:rPr>
            </w:pPr>
          </w:p>
        </w:tc>
        <w:tc>
          <w:tcPr>
            <w:tcW w:w="1084" w:type="dxa"/>
            <w:tcBorders>
              <w:top w:val="nil"/>
              <w:left w:val="single" w:sz="8" w:space="0" w:color="auto"/>
              <w:bottom w:val="single" w:sz="8" w:space="0" w:color="auto"/>
              <w:right w:val="single" w:sz="8" w:space="0" w:color="auto"/>
            </w:tcBorders>
            <w:shd w:val="clear" w:color="auto" w:fill="auto"/>
            <w:noWrap/>
            <w:vAlign w:val="bottom"/>
            <w:hideMark/>
          </w:tcPr>
          <w:p w14:paraId="0D140CCD"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Before</w:t>
            </w:r>
          </w:p>
        </w:tc>
        <w:tc>
          <w:tcPr>
            <w:tcW w:w="836" w:type="dxa"/>
            <w:tcBorders>
              <w:top w:val="nil"/>
              <w:left w:val="nil"/>
              <w:bottom w:val="single" w:sz="8" w:space="0" w:color="auto"/>
              <w:right w:val="single" w:sz="8" w:space="0" w:color="auto"/>
            </w:tcBorders>
            <w:shd w:val="clear" w:color="auto" w:fill="auto"/>
            <w:noWrap/>
            <w:vAlign w:val="bottom"/>
            <w:hideMark/>
          </w:tcPr>
          <w:p w14:paraId="553BBC42"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After</w:t>
            </w:r>
          </w:p>
        </w:tc>
        <w:tc>
          <w:tcPr>
            <w:tcW w:w="1084" w:type="dxa"/>
            <w:tcBorders>
              <w:top w:val="nil"/>
              <w:left w:val="nil"/>
              <w:bottom w:val="single" w:sz="8" w:space="0" w:color="auto"/>
              <w:right w:val="single" w:sz="8" w:space="0" w:color="auto"/>
            </w:tcBorders>
            <w:shd w:val="clear" w:color="auto" w:fill="auto"/>
            <w:noWrap/>
            <w:vAlign w:val="bottom"/>
            <w:hideMark/>
          </w:tcPr>
          <w:p w14:paraId="6FB21B1F"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Before</w:t>
            </w:r>
          </w:p>
        </w:tc>
        <w:tc>
          <w:tcPr>
            <w:tcW w:w="836" w:type="dxa"/>
            <w:tcBorders>
              <w:top w:val="nil"/>
              <w:left w:val="nil"/>
              <w:bottom w:val="single" w:sz="8" w:space="0" w:color="auto"/>
              <w:right w:val="single" w:sz="12" w:space="0" w:color="auto"/>
            </w:tcBorders>
            <w:shd w:val="clear" w:color="auto" w:fill="auto"/>
            <w:noWrap/>
            <w:vAlign w:val="bottom"/>
            <w:hideMark/>
          </w:tcPr>
          <w:p w14:paraId="1EC76ABA"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After</w:t>
            </w:r>
          </w:p>
        </w:tc>
      </w:tr>
      <w:tr w:rsidR="00A22649" w:rsidRPr="00E20209" w14:paraId="6CA51DB5" w14:textId="77777777" w:rsidTr="00B70763">
        <w:trPr>
          <w:trHeight w:val="288"/>
        </w:trPr>
        <w:tc>
          <w:tcPr>
            <w:tcW w:w="2960" w:type="dxa"/>
            <w:vMerge w:val="restart"/>
            <w:tcBorders>
              <w:top w:val="single" w:sz="8" w:space="0" w:color="auto"/>
              <w:left w:val="single" w:sz="12" w:space="0" w:color="auto"/>
              <w:bottom w:val="single" w:sz="4" w:space="0" w:color="8EA9DB"/>
              <w:right w:val="nil"/>
            </w:tcBorders>
            <w:shd w:val="clear" w:color="D9E1F2" w:fill="D9E1F2"/>
            <w:vAlign w:val="bottom"/>
            <w:hideMark/>
          </w:tcPr>
          <w:p w14:paraId="7974F364" w14:textId="77777777" w:rsidR="00A22649" w:rsidRPr="00E20209" w:rsidRDefault="00A22649" w:rsidP="00B70763">
            <w:pPr>
              <w:spacing w:after="0" w:line="240" w:lineRule="auto"/>
              <w:jc w:val="center"/>
              <w:rPr>
                <w:rFonts w:ascii="Calibri" w:eastAsia="Times New Roman" w:hAnsi="Calibri" w:cs="Calibri"/>
                <w:b/>
                <w:bCs/>
                <w:color w:val="000000"/>
              </w:rPr>
            </w:pPr>
            <w:r w:rsidRPr="00E20209">
              <w:rPr>
                <w:rFonts w:ascii="Calibri" w:eastAsia="Times New Roman" w:hAnsi="Calibri" w:cs="Calibri"/>
                <w:b/>
                <w:bCs/>
                <w:color w:val="000000"/>
              </w:rPr>
              <w:t>Economic</w:t>
            </w:r>
          </w:p>
        </w:tc>
        <w:tc>
          <w:tcPr>
            <w:tcW w:w="1340" w:type="dxa"/>
            <w:tcBorders>
              <w:top w:val="single" w:sz="8" w:space="0" w:color="auto"/>
              <w:left w:val="nil"/>
              <w:bottom w:val="nil"/>
              <w:right w:val="nil"/>
            </w:tcBorders>
            <w:shd w:val="clear" w:color="auto" w:fill="auto"/>
            <w:noWrap/>
            <w:vAlign w:val="bottom"/>
            <w:hideMark/>
          </w:tcPr>
          <w:p w14:paraId="16AA2975"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Risk</w:t>
            </w:r>
          </w:p>
        </w:tc>
        <w:tc>
          <w:tcPr>
            <w:tcW w:w="1084" w:type="dxa"/>
            <w:tcBorders>
              <w:top w:val="nil"/>
              <w:left w:val="dashed" w:sz="4" w:space="0" w:color="auto"/>
              <w:bottom w:val="nil"/>
              <w:right w:val="dashed" w:sz="4" w:space="0" w:color="auto"/>
            </w:tcBorders>
            <w:shd w:val="clear" w:color="auto" w:fill="auto"/>
            <w:noWrap/>
            <w:vAlign w:val="bottom"/>
            <w:hideMark/>
          </w:tcPr>
          <w:p w14:paraId="19053729"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15</w:t>
            </w:r>
          </w:p>
        </w:tc>
        <w:tc>
          <w:tcPr>
            <w:tcW w:w="836" w:type="dxa"/>
            <w:tcBorders>
              <w:top w:val="nil"/>
              <w:left w:val="nil"/>
              <w:bottom w:val="nil"/>
              <w:right w:val="dashed" w:sz="4" w:space="0" w:color="auto"/>
            </w:tcBorders>
            <w:shd w:val="clear" w:color="auto" w:fill="auto"/>
            <w:noWrap/>
            <w:vAlign w:val="bottom"/>
            <w:hideMark/>
          </w:tcPr>
          <w:p w14:paraId="7821E892"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18</w:t>
            </w:r>
          </w:p>
        </w:tc>
        <w:tc>
          <w:tcPr>
            <w:tcW w:w="1084" w:type="dxa"/>
            <w:tcBorders>
              <w:top w:val="nil"/>
              <w:left w:val="nil"/>
              <w:bottom w:val="nil"/>
              <w:right w:val="dashed" w:sz="4" w:space="0" w:color="auto"/>
            </w:tcBorders>
            <w:shd w:val="clear" w:color="auto" w:fill="auto"/>
            <w:noWrap/>
            <w:vAlign w:val="bottom"/>
            <w:hideMark/>
          </w:tcPr>
          <w:p w14:paraId="47E43096"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2</w:t>
            </w:r>
          </w:p>
        </w:tc>
        <w:tc>
          <w:tcPr>
            <w:tcW w:w="836" w:type="dxa"/>
            <w:tcBorders>
              <w:top w:val="nil"/>
              <w:left w:val="nil"/>
              <w:bottom w:val="nil"/>
              <w:right w:val="single" w:sz="12" w:space="0" w:color="auto"/>
            </w:tcBorders>
            <w:shd w:val="clear" w:color="auto" w:fill="auto"/>
            <w:noWrap/>
            <w:vAlign w:val="bottom"/>
            <w:hideMark/>
          </w:tcPr>
          <w:p w14:paraId="1828B499"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2</w:t>
            </w:r>
          </w:p>
        </w:tc>
      </w:tr>
      <w:tr w:rsidR="00A22649" w:rsidRPr="00E20209" w14:paraId="4C5B2122" w14:textId="77777777" w:rsidTr="00B70763">
        <w:trPr>
          <w:trHeight w:val="288"/>
        </w:trPr>
        <w:tc>
          <w:tcPr>
            <w:tcW w:w="2960" w:type="dxa"/>
            <w:vMerge/>
            <w:tcBorders>
              <w:top w:val="single" w:sz="8" w:space="0" w:color="auto"/>
              <w:left w:val="single" w:sz="12" w:space="0" w:color="auto"/>
              <w:bottom w:val="single" w:sz="4" w:space="0" w:color="8EA9DB"/>
              <w:right w:val="nil"/>
            </w:tcBorders>
            <w:vAlign w:val="center"/>
            <w:hideMark/>
          </w:tcPr>
          <w:p w14:paraId="15719793" w14:textId="77777777" w:rsidR="00A22649" w:rsidRPr="00E20209" w:rsidRDefault="00A22649" w:rsidP="00B70763">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14:paraId="41D0AEC1"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Benefit</w:t>
            </w:r>
          </w:p>
        </w:tc>
        <w:tc>
          <w:tcPr>
            <w:tcW w:w="1084" w:type="dxa"/>
            <w:tcBorders>
              <w:top w:val="nil"/>
              <w:left w:val="dashed" w:sz="4" w:space="0" w:color="auto"/>
              <w:bottom w:val="nil"/>
              <w:right w:val="dashed" w:sz="4" w:space="0" w:color="auto"/>
            </w:tcBorders>
            <w:shd w:val="clear" w:color="auto" w:fill="auto"/>
            <w:noWrap/>
            <w:vAlign w:val="bottom"/>
            <w:hideMark/>
          </w:tcPr>
          <w:p w14:paraId="7DCCFF78"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w:t>
            </w:r>
          </w:p>
        </w:tc>
        <w:tc>
          <w:tcPr>
            <w:tcW w:w="836" w:type="dxa"/>
            <w:tcBorders>
              <w:top w:val="nil"/>
              <w:left w:val="nil"/>
              <w:bottom w:val="nil"/>
              <w:right w:val="dashed" w:sz="4" w:space="0" w:color="auto"/>
            </w:tcBorders>
            <w:shd w:val="clear" w:color="auto" w:fill="auto"/>
            <w:noWrap/>
            <w:vAlign w:val="bottom"/>
            <w:hideMark/>
          </w:tcPr>
          <w:p w14:paraId="3C71AB3C"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1084" w:type="dxa"/>
            <w:tcBorders>
              <w:top w:val="nil"/>
              <w:left w:val="nil"/>
              <w:bottom w:val="nil"/>
              <w:right w:val="dashed" w:sz="4" w:space="0" w:color="auto"/>
            </w:tcBorders>
            <w:shd w:val="clear" w:color="auto" w:fill="auto"/>
            <w:noWrap/>
            <w:vAlign w:val="bottom"/>
            <w:hideMark/>
          </w:tcPr>
          <w:p w14:paraId="6FC2F463"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124</w:t>
            </w:r>
          </w:p>
        </w:tc>
        <w:tc>
          <w:tcPr>
            <w:tcW w:w="836" w:type="dxa"/>
            <w:tcBorders>
              <w:top w:val="nil"/>
              <w:left w:val="nil"/>
              <w:bottom w:val="nil"/>
              <w:right w:val="single" w:sz="12" w:space="0" w:color="auto"/>
            </w:tcBorders>
            <w:shd w:val="clear" w:color="auto" w:fill="auto"/>
            <w:noWrap/>
            <w:vAlign w:val="bottom"/>
            <w:hideMark/>
          </w:tcPr>
          <w:p w14:paraId="252660C5"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175</w:t>
            </w:r>
          </w:p>
        </w:tc>
      </w:tr>
      <w:tr w:rsidR="00A22649" w:rsidRPr="00E20209" w14:paraId="2D409401" w14:textId="77777777" w:rsidTr="00B70763">
        <w:trPr>
          <w:trHeight w:val="288"/>
        </w:trPr>
        <w:tc>
          <w:tcPr>
            <w:tcW w:w="2960" w:type="dxa"/>
            <w:vMerge w:val="restart"/>
            <w:tcBorders>
              <w:top w:val="nil"/>
              <w:left w:val="single" w:sz="12" w:space="0" w:color="auto"/>
              <w:bottom w:val="single" w:sz="4" w:space="0" w:color="8EA9DB"/>
              <w:right w:val="nil"/>
            </w:tcBorders>
            <w:shd w:val="clear" w:color="D9E1F2" w:fill="D9E1F2"/>
            <w:vAlign w:val="bottom"/>
            <w:hideMark/>
          </w:tcPr>
          <w:p w14:paraId="5F12FEB3" w14:textId="77777777" w:rsidR="00A22649" w:rsidRPr="00E20209" w:rsidRDefault="00A22649" w:rsidP="00B70763">
            <w:pPr>
              <w:spacing w:after="0" w:line="240" w:lineRule="auto"/>
              <w:jc w:val="center"/>
              <w:rPr>
                <w:rFonts w:ascii="Calibri" w:eastAsia="Times New Roman" w:hAnsi="Calibri" w:cs="Calibri"/>
                <w:b/>
                <w:bCs/>
                <w:color w:val="000000"/>
              </w:rPr>
            </w:pPr>
            <w:r w:rsidRPr="00E20209">
              <w:rPr>
                <w:rFonts w:ascii="Calibri" w:eastAsia="Times New Roman" w:hAnsi="Calibri" w:cs="Calibri"/>
                <w:b/>
                <w:bCs/>
                <w:color w:val="000000"/>
              </w:rPr>
              <w:t>Environmental</w:t>
            </w:r>
          </w:p>
        </w:tc>
        <w:tc>
          <w:tcPr>
            <w:tcW w:w="1340" w:type="dxa"/>
            <w:tcBorders>
              <w:top w:val="nil"/>
              <w:left w:val="nil"/>
              <w:bottom w:val="nil"/>
              <w:right w:val="nil"/>
            </w:tcBorders>
            <w:shd w:val="clear" w:color="auto" w:fill="auto"/>
            <w:noWrap/>
            <w:vAlign w:val="bottom"/>
            <w:hideMark/>
          </w:tcPr>
          <w:p w14:paraId="76C201B3"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Risk</w:t>
            </w:r>
          </w:p>
        </w:tc>
        <w:tc>
          <w:tcPr>
            <w:tcW w:w="1084" w:type="dxa"/>
            <w:tcBorders>
              <w:top w:val="nil"/>
              <w:left w:val="dashed" w:sz="4" w:space="0" w:color="auto"/>
              <w:bottom w:val="nil"/>
              <w:right w:val="dashed" w:sz="4" w:space="0" w:color="auto"/>
            </w:tcBorders>
            <w:shd w:val="clear" w:color="auto" w:fill="auto"/>
            <w:noWrap/>
            <w:vAlign w:val="bottom"/>
            <w:hideMark/>
          </w:tcPr>
          <w:p w14:paraId="0BC826B8"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213</w:t>
            </w:r>
          </w:p>
        </w:tc>
        <w:tc>
          <w:tcPr>
            <w:tcW w:w="836" w:type="dxa"/>
            <w:tcBorders>
              <w:top w:val="nil"/>
              <w:left w:val="nil"/>
              <w:bottom w:val="nil"/>
              <w:right w:val="dashed" w:sz="4" w:space="0" w:color="auto"/>
            </w:tcBorders>
            <w:shd w:val="clear" w:color="auto" w:fill="auto"/>
            <w:noWrap/>
            <w:vAlign w:val="bottom"/>
            <w:hideMark/>
          </w:tcPr>
          <w:p w14:paraId="18820988"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246</w:t>
            </w:r>
          </w:p>
        </w:tc>
        <w:tc>
          <w:tcPr>
            <w:tcW w:w="1084" w:type="dxa"/>
            <w:tcBorders>
              <w:top w:val="nil"/>
              <w:left w:val="nil"/>
              <w:bottom w:val="nil"/>
              <w:right w:val="dashed" w:sz="4" w:space="0" w:color="auto"/>
            </w:tcBorders>
            <w:shd w:val="clear" w:color="auto" w:fill="auto"/>
            <w:noWrap/>
            <w:vAlign w:val="bottom"/>
            <w:hideMark/>
          </w:tcPr>
          <w:p w14:paraId="4FB47215"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nil"/>
              <w:right w:val="single" w:sz="12" w:space="0" w:color="auto"/>
            </w:tcBorders>
            <w:shd w:val="clear" w:color="auto" w:fill="auto"/>
            <w:noWrap/>
            <w:vAlign w:val="bottom"/>
            <w:hideMark/>
          </w:tcPr>
          <w:p w14:paraId="58897B00"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r>
      <w:tr w:rsidR="00A22649" w:rsidRPr="00E20209" w14:paraId="76A81FAD" w14:textId="77777777" w:rsidTr="00B70763">
        <w:trPr>
          <w:trHeight w:val="288"/>
        </w:trPr>
        <w:tc>
          <w:tcPr>
            <w:tcW w:w="2960" w:type="dxa"/>
            <w:vMerge/>
            <w:tcBorders>
              <w:top w:val="nil"/>
              <w:left w:val="single" w:sz="12" w:space="0" w:color="auto"/>
              <w:bottom w:val="single" w:sz="4" w:space="0" w:color="8EA9DB"/>
              <w:right w:val="nil"/>
            </w:tcBorders>
            <w:vAlign w:val="center"/>
            <w:hideMark/>
          </w:tcPr>
          <w:p w14:paraId="217ABE83" w14:textId="77777777" w:rsidR="00A22649" w:rsidRPr="00E20209" w:rsidRDefault="00A22649" w:rsidP="00B70763">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14:paraId="7CEB5A63"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Benefit</w:t>
            </w:r>
          </w:p>
        </w:tc>
        <w:tc>
          <w:tcPr>
            <w:tcW w:w="1084" w:type="dxa"/>
            <w:tcBorders>
              <w:top w:val="nil"/>
              <w:left w:val="dashed" w:sz="4" w:space="0" w:color="auto"/>
              <w:bottom w:val="nil"/>
              <w:right w:val="dashed" w:sz="4" w:space="0" w:color="auto"/>
            </w:tcBorders>
            <w:shd w:val="clear" w:color="auto" w:fill="auto"/>
            <w:noWrap/>
            <w:vAlign w:val="bottom"/>
            <w:hideMark/>
          </w:tcPr>
          <w:p w14:paraId="6BF78E02"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4</w:t>
            </w:r>
          </w:p>
        </w:tc>
        <w:tc>
          <w:tcPr>
            <w:tcW w:w="836" w:type="dxa"/>
            <w:tcBorders>
              <w:top w:val="nil"/>
              <w:left w:val="nil"/>
              <w:bottom w:val="nil"/>
              <w:right w:val="dashed" w:sz="4" w:space="0" w:color="auto"/>
            </w:tcBorders>
            <w:shd w:val="clear" w:color="auto" w:fill="auto"/>
            <w:noWrap/>
            <w:vAlign w:val="bottom"/>
            <w:hideMark/>
          </w:tcPr>
          <w:p w14:paraId="130FE149"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1084" w:type="dxa"/>
            <w:tcBorders>
              <w:top w:val="nil"/>
              <w:left w:val="nil"/>
              <w:bottom w:val="nil"/>
              <w:right w:val="dashed" w:sz="4" w:space="0" w:color="auto"/>
            </w:tcBorders>
            <w:shd w:val="clear" w:color="auto" w:fill="auto"/>
            <w:noWrap/>
            <w:vAlign w:val="bottom"/>
            <w:hideMark/>
          </w:tcPr>
          <w:p w14:paraId="6342590D"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22</w:t>
            </w:r>
          </w:p>
        </w:tc>
        <w:tc>
          <w:tcPr>
            <w:tcW w:w="836" w:type="dxa"/>
            <w:tcBorders>
              <w:top w:val="nil"/>
              <w:left w:val="nil"/>
              <w:bottom w:val="nil"/>
              <w:right w:val="single" w:sz="12" w:space="0" w:color="auto"/>
            </w:tcBorders>
            <w:shd w:val="clear" w:color="auto" w:fill="auto"/>
            <w:noWrap/>
            <w:vAlign w:val="bottom"/>
            <w:hideMark/>
          </w:tcPr>
          <w:p w14:paraId="035F3605"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44</w:t>
            </w:r>
          </w:p>
        </w:tc>
      </w:tr>
      <w:tr w:rsidR="00A22649" w:rsidRPr="00E20209" w14:paraId="781DF49B" w14:textId="77777777" w:rsidTr="00B70763">
        <w:trPr>
          <w:trHeight w:val="288"/>
        </w:trPr>
        <w:tc>
          <w:tcPr>
            <w:tcW w:w="2960" w:type="dxa"/>
            <w:vMerge w:val="restart"/>
            <w:tcBorders>
              <w:top w:val="nil"/>
              <w:left w:val="single" w:sz="12" w:space="0" w:color="auto"/>
              <w:bottom w:val="single" w:sz="4" w:space="0" w:color="8EA9DB"/>
              <w:right w:val="nil"/>
            </w:tcBorders>
            <w:shd w:val="clear" w:color="D9E1F2" w:fill="D9E1F2"/>
            <w:vAlign w:val="bottom"/>
            <w:hideMark/>
          </w:tcPr>
          <w:p w14:paraId="2AD42317" w14:textId="77777777" w:rsidR="00A22649" w:rsidRPr="00E20209" w:rsidRDefault="00A22649" w:rsidP="00B70763">
            <w:pPr>
              <w:spacing w:after="0" w:line="240" w:lineRule="auto"/>
              <w:jc w:val="center"/>
              <w:rPr>
                <w:rFonts w:ascii="Calibri" w:eastAsia="Times New Roman" w:hAnsi="Calibri" w:cs="Calibri"/>
                <w:b/>
                <w:bCs/>
                <w:color w:val="000000"/>
              </w:rPr>
            </w:pPr>
            <w:r w:rsidRPr="00E20209">
              <w:rPr>
                <w:rFonts w:ascii="Calibri" w:eastAsia="Times New Roman" w:hAnsi="Calibri" w:cs="Calibri"/>
                <w:b/>
                <w:bCs/>
                <w:color w:val="000000"/>
              </w:rPr>
              <w:t>Energy Development</w:t>
            </w:r>
          </w:p>
        </w:tc>
        <w:tc>
          <w:tcPr>
            <w:tcW w:w="1340" w:type="dxa"/>
            <w:tcBorders>
              <w:top w:val="nil"/>
              <w:left w:val="nil"/>
              <w:bottom w:val="nil"/>
              <w:right w:val="nil"/>
            </w:tcBorders>
            <w:shd w:val="clear" w:color="auto" w:fill="auto"/>
            <w:noWrap/>
            <w:vAlign w:val="bottom"/>
            <w:hideMark/>
          </w:tcPr>
          <w:p w14:paraId="2752EAEB"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Risk</w:t>
            </w:r>
          </w:p>
        </w:tc>
        <w:tc>
          <w:tcPr>
            <w:tcW w:w="1084" w:type="dxa"/>
            <w:tcBorders>
              <w:top w:val="nil"/>
              <w:left w:val="dashed" w:sz="4" w:space="0" w:color="auto"/>
              <w:bottom w:val="nil"/>
              <w:right w:val="dashed" w:sz="4" w:space="0" w:color="auto"/>
            </w:tcBorders>
            <w:shd w:val="clear" w:color="auto" w:fill="auto"/>
            <w:noWrap/>
            <w:vAlign w:val="bottom"/>
            <w:hideMark/>
          </w:tcPr>
          <w:p w14:paraId="330B10BD"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38</w:t>
            </w:r>
          </w:p>
        </w:tc>
        <w:tc>
          <w:tcPr>
            <w:tcW w:w="836" w:type="dxa"/>
            <w:tcBorders>
              <w:top w:val="nil"/>
              <w:left w:val="nil"/>
              <w:bottom w:val="nil"/>
              <w:right w:val="dashed" w:sz="4" w:space="0" w:color="auto"/>
            </w:tcBorders>
            <w:shd w:val="clear" w:color="auto" w:fill="auto"/>
            <w:noWrap/>
            <w:vAlign w:val="bottom"/>
            <w:hideMark/>
          </w:tcPr>
          <w:p w14:paraId="4A8DF48E"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27</w:t>
            </w:r>
          </w:p>
        </w:tc>
        <w:tc>
          <w:tcPr>
            <w:tcW w:w="1084" w:type="dxa"/>
            <w:tcBorders>
              <w:top w:val="nil"/>
              <w:left w:val="nil"/>
              <w:bottom w:val="nil"/>
              <w:right w:val="dashed" w:sz="4" w:space="0" w:color="auto"/>
            </w:tcBorders>
            <w:shd w:val="clear" w:color="auto" w:fill="auto"/>
            <w:noWrap/>
            <w:vAlign w:val="bottom"/>
            <w:hideMark/>
          </w:tcPr>
          <w:p w14:paraId="42EBD9E1"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nil"/>
              <w:right w:val="single" w:sz="12" w:space="0" w:color="auto"/>
            </w:tcBorders>
            <w:shd w:val="clear" w:color="auto" w:fill="auto"/>
            <w:noWrap/>
            <w:vAlign w:val="bottom"/>
            <w:hideMark/>
          </w:tcPr>
          <w:p w14:paraId="6D1274F6"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r>
      <w:tr w:rsidR="00A22649" w:rsidRPr="00E20209" w14:paraId="26DA43E7" w14:textId="77777777" w:rsidTr="00B70763">
        <w:trPr>
          <w:trHeight w:val="288"/>
        </w:trPr>
        <w:tc>
          <w:tcPr>
            <w:tcW w:w="2960" w:type="dxa"/>
            <w:vMerge/>
            <w:tcBorders>
              <w:top w:val="nil"/>
              <w:left w:val="single" w:sz="12" w:space="0" w:color="auto"/>
              <w:bottom w:val="single" w:sz="4" w:space="0" w:color="8EA9DB"/>
              <w:right w:val="nil"/>
            </w:tcBorders>
            <w:vAlign w:val="center"/>
            <w:hideMark/>
          </w:tcPr>
          <w:p w14:paraId="303DC63C" w14:textId="77777777" w:rsidR="00A22649" w:rsidRPr="00E20209" w:rsidRDefault="00A22649" w:rsidP="00B70763">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14:paraId="4CEAC33D"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Benefit</w:t>
            </w:r>
          </w:p>
        </w:tc>
        <w:tc>
          <w:tcPr>
            <w:tcW w:w="1084" w:type="dxa"/>
            <w:tcBorders>
              <w:top w:val="nil"/>
              <w:left w:val="dashed" w:sz="4" w:space="0" w:color="auto"/>
              <w:bottom w:val="nil"/>
              <w:right w:val="dashed" w:sz="4" w:space="0" w:color="auto"/>
            </w:tcBorders>
            <w:shd w:val="clear" w:color="auto" w:fill="auto"/>
            <w:noWrap/>
            <w:vAlign w:val="bottom"/>
            <w:hideMark/>
          </w:tcPr>
          <w:p w14:paraId="6550D406"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w:t>
            </w:r>
          </w:p>
        </w:tc>
        <w:tc>
          <w:tcPr>
            <w:tcW w:w="836" w:type="dxa"/>
            <w:tcBorders>
              <w:top w:val="nil"/>
              <w:left w:val="nil"/>
              <w:bottom w:val="nil"/>
              <w:right w:val="dashed" w:sz="4" w:space="0" w:color="auto"/>
            </w:tcBorders>
            <w:shd w:val="clear" w:color="auto" w:fill="auto"/>
            <w:noWrap/>
            <w:vAlign w:val="bottom"/>
            <w:hideMark/>
          </w:tcPr>
          <w:p w14:paraId="68E2D45A"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1084" w:type="dxa"/>
            <w:tcBorders>
              <w:top w:val="nil"/>
              <w:left w:val="nil"/>
              <w:bottom w:val="nil"/>
              <w:right w:val="dashed" w:sz="4" w:space="0" w:color="auto"/>
            </w:tcBorders>
            <w:shd w:val="clear" w:color="auto" w:fill="auto"/>
            <w:noWrap/>
            <w:vAlign w:val="bottom"/>
            <w:hideMark/>
          </w:tcPr>
          <w:p w14:paraId="60F9694B"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103</w:t>
            </w:r>
          </w:p>
        </w:tc>
        <w:tc>
          <w:tcPr>
            <w:tcW w:w="836" w:type="dxa"/>
            <w:tcBorders>
              <w:top w:val="nil"/>
              <w:left w:val="nil"/>
              <w:bottom w:val="nil"/>
              <w:right w:val="single" w:sz="12" w:space="0" w:color="auto"/>
            </w:tcBorders>
            <w:shd w:val="clear" w:color="auto" w:fill="auto"/>
            <w:noWrap/>
            <w:vAlign w:val="bottom"/>
            <w:hideMark/>
          </w:tcPr>
          <w:p w14:paraId="5B4951F6"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108</w:t>
            </w:r>
          </w:p>
        </w:tc>
      </w:tr>
      <w:tr w:rsidR="00A22649" w:rsidRPr="00E20209" w14:paraId="79683B39" w14:textId="77777777" w:rsidTr="00B70763">
        <w:trPr>
          <w:trHeight w:val="288"/>
        </w:trPr>
        <w:tc>
          <w:tcPr>
            <w:tcW w:w="2960" w:type="dxa"/>
            <w:vMerge w:val="restart"/>
            <w:tcBorders>
              <w:top w:val="nil"/>
              <w:left w:val="single" w:sz="12" w:space="0" w:color="auto"/>
              <w:bottom w:val="single" w:sz="4" w:space="0" w:color="8EA9DB"/>
              <w:right w:val="nil"/>
            </w:tcBorders>
            <w:shd w:val="clear" w:color="D9E1F2" w:fill="D9E1F2"/>
            <w:vAlign w:val="bottom"/>
            <w:hideMark/>
          </w:tcPr>
          <w:p w14:paraId="1E6BC039" w14:textId="77777777" w:rsidR="00A22649" w:rsidRPr="00E20209" w:rsidRDefault="00A22649" w:rsidP="00B70763">
            <w:pPr>
              <w:spacing w:after="0" w:line="240" w:lineRule="auto"/>
              <w:jc w:val="center"/>
              <w:rPr>
                <w:rFonts w:ascii="Calibri" w:eastAsia="Times New Roman" w:hAnsi="Calibri" w:cs="Calibri"/>
                <w:b/>
                <w:bCs/>
                <w:color w:val="000000"/>
              </w:rPr>
            </w:pPr>
            <w:r w:rsidRPr="00E20209">
              <w:rPr>
                <w:rFonts w:ascii="Calibri" w:eastAsia="Times New Roman" w:hAnsi="Calibri" w:cs="Calibri"/>
                <w:b/>
                <w:bCs/>
                <w:color w:val="000000"/>
              </w:rPr>
              <w:t>Public Safety and Health</w:t>
            </w:r>
          </w:p>
        </w:tc>
        <w:tc>
          <w:tcPr>
            <w:tcW w:w="1340" w:type="dxa"/>
            <w:tcBorders>
              <w:top w:val="nil"/>
              <w:left w:val="nil"/>
              <w:bottom w:val="nil"/>
              <w:right w:val="nil"/>
            </w:tcBorders>
            <w:shd w:val="clear" w:color="auto" w:fill="auto"/>
            <w:noWrap/>
            <w:vAlign w:val="bottom"/>
            <w:hideMark/>
          </w:tcPr>
          <w:p w14:paraId="26BA133D"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Risk</w:t>
            </w:r>
          </w:p>
        </w:tc>
        <w:tc>
          <w:tcPr>
            <w:tcW w:w="1084" w:type="dxa"/>
            <w:tcBorders>
              <w:top w:val="nil"/>
              <w:left w:val="dashed" w:sz="4" w:space="0" w:color="auto"/>
              <w:bottom w:val="nil"/>
              <w:right w:val="dashed" w:sz="4" w:space="0" w:color="auto"/>
            </w:tcBorders>
            <w:shd w:val="clear" w:color="auto" w:fill="auto"/>
            <w:noWrap/>
            <w:vAlign w:val="bottom"/>
            <w:hideMark/>
          </w:tcPr>
          <w:p w14:paraId="4B80DE68"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181</w:t>
            </w:r>
          </w:p>
        </w:tc>
        <w:tc>
          <w:tcPr>
            <w:tcW w:w="836" w:type="dxa"/>
            <w:tcBorders>
              <w:top w:val="nil"/>
              <w:left w:val="nil"/>
              <w:bottom w:val="nil"/>
              <w:right w:val="dashed" w:sz="4" w:space="0" w:color="auto"/>
            </w:tcBorders>
            <w:shd w:val="clear" w:color="auto" w:fill="auto"/>
            <w:noWrap/>
            <w:vAlign w:val="bottom"/>
            <w:hideMark/>
          </w:tcPr>
          <w:p w14:paraId="29E10E0E"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198</w:t>
            </w:r>
          </w:p>
        </w:tc>
        <w:tc>
          <w:tcPr>
            <w:tcW w:w="1084" w:type="dxa"/>
            <w:tcBorders>
              <w:top w:val="nil"/>
              <w:left w:val="nil"/>
              <w:bottom w:val="nil"/>
              <w:right w:val="dashed" w:sz="4" w:space="0" w:color="auto"/>
            </w:tcBorders>
            <w:shd w:val="clear" w:color="auto" w:fill="auto"/>
            <w:noWrap/>
            <w:vAlign w:val="bottom"/>
            <w:hideMark/>
          </w:tcPr>
          <w:p w14:paraId="39E4F37F"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nil"/>
              <w:right w:val="single" w:sz="12" w:space="0" w:color="auto"/>
            </w:tcBorders>
            <w:shd w:val="clear" w:color="auto" w:fill="auto"/>
            <w:noWrap/>
            <w:vAlign w:val="bottom"/>
            <w:hideMark/>
          </w:tcPr>
          <w:p w14:paraId="1F5E22C2"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r>
      <w:tr w:rsidR="00A22649" w:rsidRPr="00E20209" w14:paraId="51061EA6" w14:textId="77777777" w:rsidTr="00B70763">
        <w:trPr>
          <w:trHeight w:val="300"/>
        </w:trPr>
        <w:tc>
          <w:tcPr>
            <w:tcW w:w="2960" w:type="dxa"/>
            <w:vMerge/>
            <w:tcBorders>
              <w:top w:val="nil"/>
              <w:left w:val="single" w:sz="12" w:space="0" w:color="auto"/>
              <w:bottom w:val="single" w:sz="4" w:space="0" w:color="8EA9DB"/>
              <w:right w:val="nil"/>
            </w:tcBorders>
            <w:vAlign w:val="center"/>
            <w:hideMark/>
          </w:tcPr>
          <w:p w14:paraId="2EB4F63D" w14:textId="77777777" w:rsidR="00A22649" w:rsidRPr="00E20209" w:rsidRDefault="00A22649" w:rsidP="00B70763">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14:paraId="6F5757CD"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Benefit</w:t>
            </w:r>
          </w:p>
        </w:tc>
        <w:tc>
          <w:tcPr>
            <w:tcW w:w="1084" w:type="dxa"/>
            <w:tcBorders>
              <w:top w:val="nil"/>
              <w:left w:val="dashed" w:sz="4" w:space="0" w:color="auto"/>
              <w:bottom w:val="nil"/>
              <w:right w:val="dashed" w:sz="4" w:space="0" w:color="auto"/>
            </w:tcBorders>
            <w:shd w:val="clear" w:color="auto" w:fill="auto"/>
            <w:noWrap/>
            <w:vAlign w:val="bottom"/>
            <w:hideMark/>
          </w:tcPr>
          <w:p w14:paraId="04D044EB"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nil"/>
              <w:right w:val="dashed" w:sz="4" w:space="0" w:color="auto"/>
            </w:tcBorders>
            <w:shd w:val="clear" w:color="auto" w:fill="auto"/>
            <w:noWrap/>
            <w:vAlign w:val="bottom"/>
            <w:hideMark/>
          </w:tcPr>
          <w:p w14:paraId="44F09F26"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1084" w:type="dxa"/>
            <w:tcBorders>
              <w:top w:val="nil"/>
              <w:left w:val="nil"/>
              <w:bottom w:val="nil"/>
              <w:right w:val="dashed" w:sz="4" w:space="0" w:color="auto"/>
            </w:tcBorders>
            <w:shd w:val="clear" w:color="auto" w:fill="auto"/>
            <w:noWrap/>
            <w:vAlign w:val="bottom"/>
            <w:hideMark/>
          </w:tcPr>
          <w:p w14:paraId="5E163BFC"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15</w:t>
            </w:r>
          </w:p>
        </w:tc>
        <w:tc>
          <w:tcPr>
            <w:tcW w:w="836" w:type="dxa"/>
            <w:tcBorders>
              <w:top w:val="nil"/>
              <w:left w:val="nil"/>
              <w:bottom w:val="nil"/>
              <w:right w:val="single" w:sz="12" w:space="0" w:color="auto"/>
            </w:tcBorders>
            <w:shd w:val="clear" w:color="auto" w:fill="auto"/>
            <w:noWrap/>
            <w:vAlign w:val="bottom"/>
            <w:hideMark/>
          </w:tcPr>
          <w:p w14:paraId="160821D1"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r>
      <w:tr w:rsidR="00A22649" w:rsidRPr="00E20209" w14:paraId="24037F9B" w14:textId="77777777" w:rsidTr="00B70763">
        <w:trPr>
          <w:trHeight w:val="300"/>
        </w:trPr>
        <w:tc>
          <w:tcPr>
            <w:tcW w:w="2960" w:type="dxa"/>
            <w:vMerge w:val="restart"/>
            <w:tcBorders>
              <w:top w:val="nil"/>
              <w:left w:val="single" w:sz="12" w:space="0" w:color="auto"/>
              <w:bottom w:val="single" w:sz="4" w:space="0" w:color="8EA9DB"/>
              <w:right w:val="nil"/>
            </w:tcBorders>
            <w:shd w:val="clear" w:color="D9E1F2" w:fill="D9E1F2"/>
            <w:vAlign w:val="bottom"/>
            <w:hideMark/>
          </w:tcPr>
          <w:p w14:paraId="72D2AA55" w14:textId="77777777" w:rsidR="00A22649" w:rsidRPr="00E20209" w:rsidRDefault="00A22649" w:rsidP="00B70763">
            <w:pPr>
              <w:spacing w:after="0" w:line="240" w:lineRule="auto"/>
              <w:jc w:val="center"/>
              <w:rPr>
                <w:rFonts w:ascii="Calibri" w:eastAsia="Times New Roman" w:hAnsi="Calibri" w:cs="Calibri"/>
                <w:b/>
                <w:bCs/>
                <w:color w:val="000000"/>
              </w:rPr>
            </w:pPr>
            <w:r w:rsidRPr="00E20209">
              <w:rPr>
                <w:rFonts w:ascii="Calibri" w:eastAsia="Times New Roman" w:hAnsi="Calibri" w:cs="Calibri"/>
                <w:b/>
                <w:bCs/>
                <w:color w:val="000000"/>
              </w:rPr>
              <w:t>Policy</w:t>
            </w:r>
          </w:p>
        </w:tc>
        <w:tc>
          <w:tcPr>
            <w:tcW w:w="1340" w:type="dxa"/>
            <w:tcBorders>
              <w:top w:val="nil"/>
              <w:left w:val="nil"/>
              <w:bottom w:val="nil"/>
              <w:right w:val="nil"/>
            </w:tcBorders>
            <w:shd w:val="clear" w:color="auto" w:fill="auto"/>
            <w:noWrap/>
            <w:vAlign w:val="bottom"/>
            <w:hideMark/>
          </w:tcPr>
          <w:p w14:paraId="16DD6B87"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Risk</w:t>
            </w:r>
          </w:p>
        </w:tc>
        <w:tc>
          <w:tcPr>
            <w:tcW w:w="1084" w:type="dxa"/>
            <w:tcBorders>
              <w:top w:val="nil"/>
              <w:left w:val="dashed" w:sz="4" w:space="0" w:color="auto"/>
              <w:bottom w:val="nil"/>
              <w:right w:val="dashed" w:sz="4" w:space="0" w:color="auto"/>
            </w:tcBorders>
            <w:shd w:val="clear" w:color="auto" w:fill="auto"/>
            <w:noWrap/>
            <w:vAlign w:val="bottom"/>
            <w:hideMark/>
          </w:tcPr>
          <w:p w14:paraId="4772DC34"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4</w:t>
            </w:r>
          </w:p>
        </w:tc>
        <w:tc>
          <w:tcPr>
            <w:tcW w:w="836" w:type="dxa"/>
            <w:tcBorders>
              <w:top w:val="nil"/>
              <w:left w:val="nil"/>
              <w:bottom w:val="nil"/>
              <w:right w:val="dashed" w:sz="4" w:space="0" w:color="auto"/>
            </w:tcBorders>
            <w:shd w:val="clear" w:color="auto" w:fill="auto"/>
            <w:noWrap/>
            <w:vAlign w:val="bottom"/>
            <w:hideMark/>
          </w:tcPr>
          <w:p w14:paraId="1C769FA5"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7</w:t>
            </w:r>
          </w:p>
        </w:tc>
        <w:tc>
          <w:tcPr>
            <w:tcW w:w="1084" w:type="dxa"/>
            <w:tcBorders>
              <w:top w:val="nil"/>
              <w:left w:val="nil"/>
              <w:bottom w:val="nil"/>
              <w:right w:val="dashed" w:sz="4" w:space="0" w:color="auto"/>
            </w:tcBorders>
            <w:shd w:val="clear" w:color="auto" w:fill="auto"/>
            <w:noWrap/>
            <w:vAlign w:val="bottom"/>
            <w:hideMark/>
          </w:tcPr>
          <w:p w14:paraId="0DD72DDF"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5</w:t>
            </w:r>
          </w:p>
        </w:tc>
        <w:tc>
          <w:tcPr>
            <w:tcW w:w="836" w:type="dxa"/>
            <w:tcBorders>
              <w:top w:val="nil"/>
              <w:left w:val="nil"/>
              <w:bottom w:val="nil"/>
              <w:right w:val="single" w:sz="12" w:space="0" w:color="auto"/>
            </w:tcBorders>
            <w:shd w:val="clear" w:color="auto" w:fill="auto"/>
            <w:noWrap/>
            <w:vAlign w:val="bottom"/>
            <w:hideMark/>
          </w:tcPr>
          <w:p w14:paraId="13078EF1"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55</w:t>
            </w:r>
          </w:p>
        </w:tc>
      </w:tr>
      <w:tr w:rsidR="00A22649" w:rsidRPr="00E20209" w14:paraId="299E1880" w14:textId="77777777" w:rsidTr="00B70763">
        <w:trPr>
          <w:trHeight w:val="288"/>
        </w:trPr>
        <w:tc>
          <w:tcPr>
            <w:tcW w:w="2960" w:type="dxa"/>
            <w:vMerge/>
            <w:tcBorders>
              <w:top w:val="nil"/>
              <w:left w:val="single" w:sz="12" w:space="0" w:color="auto"/>
              <w:bottom w:val="single" w:sz="4" w:space="0" w:color="8EA9DB"/>
              <w:right w:val="nil"/>
            </w:tcBorders>
            <w:vAlign w:val="center"/>
            <w:hideMark/>
          </w:tcPr>
          <w:p w14:paraId="35431ECC" w14:textId="77777777" w:rsidR="00A22649" w:rsidRPr="00E20209" w:rsidRDefault="00A22649" w:rsidP="00B70763">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14:paraId="6B014881"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Benefit</w:t>
            </w:r>
          </w:p>
        </w:tc>
        <w:tc>
          <w:tcPr>
            <w:tcW w:w="1084" w:type="dxa"/>
            <w:tcBorders>
              <w:top w:val="nil"/>
              <w:left w:val="dashed" w:sz="4" w:space="0" w:color="auto"/>
              <w:bottom w:val="nil"/>
              <w:right w:val="dashed" w:sz="4" w:space="0" w:color="auto"/>
            </w:tcBorders>
            <w:shd w:val="clear" w:color="auto" w:fill="auto"/>
            <w:noWrap/>
            <w:vAlign w:val="bottom"/>
            <w:hideMark/>
          </w:tcPr>
          <w:p w14:paraId="2B47793F"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8</w:t>
            </w:r>
          </w:p>
        </w:tc>
        <w:tc>
          <w:tcPr>
            <w:tcW w:w="836" w:type="dxa"/>
            <w:tcBorders>
              <w:top w:val="nil"/>
              <w:left w:val="nil"/>
              <w:bottom w:val="nil"/>
              <w:right w:val="dashed" w:sz="4" w:space="0" w:color="auto"/>
            </w:tcBorders>
            <w:shd w:val="clear" w:color="auto" w:fill="auto"/>
            <w:noWrap/>
            <w:vAlign w:val="bottom"/>
            <w:hideMark/>
          </w:tcPr>
          <w:p w14:paraId="70032D71"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60</w:t>
            </w:r>
          </w:p>
        </w:tc>
        <w:tc>
          <w:tcPr>
            <w:tcW w:w="1084" w:type="dxa"/>
            <w:tcBorders>
              <w:top w:val="nil"/>
              <w:left w:val="nil"/>
              <w:bottom w:val="nil"/>
              <w:right w:val="dashed" w:sz="4" w:space="0" w:color="auto"/>
            </w:tcBorders>
            <w:shd w:val="clear" w:color="auto" w:fill="auto"/>
            <w:noWrap/>
            <w:vAlign w:val="bottom"/>
            <w:hideMark/>
          </w:tcPr>
          <w:p w14:paraId="44F333CC"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nil"/>
              <w:right w:val="single" w:sz="12" w:space="0" w:color="auto"/>
            </w:tcBorders>
            <w:shd w:val="clear" w:color="auto" w:fill="auto"/>
            <w:noWrap/>
            <w:vAlign w:val="bottom"/>
            <w:hideMark/>
          </w:tcPr>
          <w:p w14:paraId="4116FABE"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r>
      <w:tr w:rsidR="00A22649" w:rsidRPr="00E20209" w14:paraId="421FEEA8" w14:textId="77777777" w:rsidTr="00B70763">
        <w:trPr>
          <w:trHeight w:val="288"/>
        </w:trPr>
        <w:tc>
          <w:tcPr>
            <w:tcW w:w="2960" w:type="dxa"/>
            <w:vMerge w:val="restart"/>
            <w:tcBorders>
              <w:top w:val="nil"/>
              <w:left w:val="single" w:sz="12" w:space="0" w:color="auto"/>
              <w:bottom w:val="single" w:sz="8" w:space="0" w:color="000000"/>
              <w:right w:val="nil"/>
            </w:tcBorders>
            <w:shd w:val="clear" w:color="D9E1F2" w:fill="D9E1F2"/>
            <w:vAlign w:val="bottom"/>
            <w:hideMark/>
          </w:tcPr>
          <w:p w14:paraId="311EB94C" w14:textId="77777777" w:rsidR="00A22649" w:rsidRPr="00E20209" w:rsidRDefault="00A22649" w:rsidP="00B70763">
            <w:pPr>
              <w:spacing w:after="0" w:line="240" w:lineRule="auto"/>
              <w:jc w:val="center"/>
              <w:rPr>
                <w:rFonts w:ascii="Calibri" w:eastAsia="Times New Roman" w:hAnsi="Calibri" w:cs="Calibri"/>
                <w:b/>
                <w:bCs/>
                <w:color w:val="000000"/>
              </w:rPr>
            </w:pPr>
            <w:r w:rsidRPr="00E20209">
              <w:rPr>
                <w:rFonts w:ascii="Calibri" w:eastAsia="Times New Roman" w:hAnsi="Calibri" w:cs="Calibri"/>
                <w:b/>
                <w:bCs/>
                <w:color w:val="000000"/>
              </w:rPr>
              <w:t>Use of Science</w:t>
            </w:r>
          </w:p>
        </w:tc>
        <w:tc>
          <w:tcPr>
            <w:tcW w:w="1340" w:type="dxa"/>
            <w:tcBorders>
              <w:top w:val="nil"/>
              <w:left w:val="nil"/>
              <w:bottom w:val="nil"/>
              <w:right w:val="nil"/>
            </w:tcBorders>
            <w:shd w:val="clear" w:color="auto" w:fill="auto"/>
            <w:noWrap/>
            <w:vAlign w:val="bottom"/>
            <w:hideMark/>
          </w:tcPr>
          <w:p w14:paraId="02B76770"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Opposition</w:t>
            </w:r>
          </w:p>
        </w:tc>
        <w:tc>
          <w:tcPr>
            <w:tcW w:w="1084" w:type="dxa"/>
            <w:tcBorders>
              <w:top w:val="nil"/>
              <w:left w:val="dashed" w:sz="4" w:space="0" w:color="auto"/>
              <w:bottom w:val="nil"/>
              <w:right w:val="dashed" w:sz="4" w:space="0" w:color="auto"/>
            </w:tcBorders>
            <w:shd w:val="clear" w:color="auto" w:fill="auto"/>
            <w:noWrap/>
            <w:vAlign w:val="bottom"/>
            <w:hideMark/>
          </w:tcPr>
          <w:p w14:paraId="5107EA76"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166</w:t>
            </w:r>
          </w:p>
        </w:tc>
        <w:tc>
          <w:tcPr>
            <w:tcW w:w="836" w:type="dxa"/>
            <w:tcBorders>
              <w:top w:val="nil"/>
              <w:left w:val="nil"/>
              <w:bottom w:val="nil"/>
              <w:right w:val="dashed" w:sz="4" w:space="0" w:color="auto"/>
            </w:tcBorders>
            <w:shd w:val="clear" w:color="auto" w:fill="auto"/>
            <w:noWrap/>
            <w:vAlign w:val="bottom"/>
            <w:hideMark/>
          </w:tcPr>
          <w:p w14:paraId="37BA823E"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139</w:t>
            </w:r>
          </w:p>
        </w:tc>
        <w:tc>
          <w:tcPr>
            <w:tcW w:w="1084" w:type="dxa"/>
            <w:tcBorders>
              <w:top w:val="nil"/>
              <w:left w:val="nil"/>
              <w:bottom w:val="nil"/>
              <w:right w:val="dashed" w:sz="4" w:space="0" w:color="auto"/>
            </w:tcBorders>
            <w:shd w:val="clear" w:color="auto" w:fill="auto"/>
            <w:noWrap/>
            <w:vAlign w:val="bottom"/>
            <w:hideMark/>
          </w:tcPr>
          <w:p w14:paraId="0923590C"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nil"/>
              <w:right w:val="single" w:sz="12" w:space="0" w:color="auto"/>
            </w:tcBorders>
            <w:shd w:val="clear" w:color="auto" w:fill="auto"/>
            <w:noWrap/>
            <w:vAlign w:val="bottom"/>
            <w:hideMark/>
          </w:tcPr>
          <w:p w14:paraId="2C1BD0A4"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r>
      <w:tr w:rsidR="00A22649" w:rsidRPr="00E20209" w14:paraId="17C0BE1E" w14:textId="77777777" w:rsidTr="00B70763">
        <w:trPr>
          <w:trHeight w:val="300"/>
        </w:trPr>
        <w:tc>
          <w:tcPr>
            <w:tcW w:w="2960" w:type="dxa"/>
            <w:vMerge/>
            <w:tcBorders>
              <w:top w:val="nil"/>
              <w:left w:val="single" w:sz="12" w:space="0" w:color="auto"/>
              <w:bottom w:val="single" w:sz="8" w:space="0" w:color="000000"/>
              <w:right w:val="nil"/>
            </w:tcBorders>
            <w:vAlign w:val="center"/>
            <w:hideMark/>
          </w:tcPr>
          <w:p w14:paraId="5E137D05" w14:textId="77777777" w:rsidR="00A22649" w:rsidRPr="00E20209" w:rsidRDefault="00A22649" w:rsidP="00B70763">
            <w:pPr>
              <w:spacing w:after="0" w:line="240" w:lineRule="auto"/>
              <w:rPr>
                <w:rFonts w:ascii="Calibri" w:eastAsia="Times New Roman" w:hAnsi="Calibri" w:cs="Calibri"/>
                <w:b/>
                <w:bCs/>
                <w:color w:val="000000"/>
              </w:rPr>
            </w:pPr>
          </w:p>
        </w:tc>
        <w:tc>
          <w:tcPr>
            <w:tcW w:w="1340" w:type="dxa"/>
            <w:tcBorders>
              <w:top w:val="nil"/>
              <w:left w:val="nil"/>
              <w:bottom w:val="single" w:sz="8" w:space="0" w:color="auto"/>
              <w:right w:val="nil"/>
            </w:tcBorders>
            <w:shd w:val="clear" w:color="auto" w:fill="auto"/>
            <w:noWrap/>
            <w:vAlign w:val="bottom"/>
            <w:hideMark/>
          </w:tcPr>
          <w:p w14:paraId="2CB0086D"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Support</w:t>
            </w:r>
          </w:p>
        </w:tc>
        <w:tc>
          <w:tcPr>
            <w:tcW w:w="1084" w:type="dxa"/>
            <w:tcBorders>
              <w:top w:val="nil"/>
              <w:left w:val="dashed" w:sz="4" w:space="0" w:color="auto"/>
              <w:bottom w:val="single" w:sz="8" w:space="0" w:color="auto"/>
              <w:right w:val="dashed" w:sz="4" w:space="0" w:color="auto"/>
            </w:tcBorders>
            <w:shd w:val="clear" w:color="auto" w:fill="auto"/>
            <w:noWrap/>
            <w:vAlign w:val="bottom"/>
            <w:hideMark/>
          </w:tcPr>
          <w:p w14:paraId="78400EBE"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836" w:type="dxa"/>
            <w:tcBorders>
              <w:top w:val="nil"/>
              <w:left w:val="nil"/>
              <w:bottom w:val="single" w:sz="8" w:space="0" w:color="auto"/>
              <w:right w:val="dashed" w:sz="4" w:space="0" w:color="auto"/>
            </w:tcBorders>
            <w:shd w:val="clear" w:color="auto" w:fill="auto"/>
            <w:noWrap/>
            <w:vAlign w:val="bottom"/>
            <w:hideMark/>
          </w:tcPr>
          <w:p w14:paraId="4C82845C"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0</w:t>
            </w:r>
          </w:p>
        </w:tc>
        <w:tc>
          <w:tcPr>
            <w:tcW w:w="1084" w:type="dxa"/>
            <w:tcBorders>
              <w:top w:val="nil"/>
              <w:left w:val="nil"/>
              <w:bottom w:val="single" w:sz="8" w:space="0" w:color="auto"/>
              <w:right w:val="dashed" w:sz="4" w:space="0" w:color="auto"/>
            </w:tcBorders>
            <w:shd w:val="clear" w:color="auto" w:fill="auto"/>
            <w:noWrap/>
            <w:vAlign w:val="bottom"/>
            <w:hideMark/>
          </w:tcPr>
          <w:p w14:paraId="461CA8A5"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36</w:t>
            </w:r>
          </w:p>
        </w:tc>
        <w:tc>
          <w:tcPr>
            <w:tcW w:w="836" w:type="dxa"/>
            <w:tcBorders>
              <w:top w:val="nil"/>
              <w:left w:val="nil"/>
              <w:bottom w:val="single" w:sz="8" w:space="0" w:color="auto"/>
              <w:right w:val="single" w:sz="12" w:space="0" w:color="auto"/>
            </w:tcBorders>
            <w:shd w:val="clear" w:color="auto" w:fill="auto"/>
            <w:noWrap/>
            <w:vAlign w:val="bottom"/>
            <w:hideMark/>
          </w:tcPr>
          <w:p w14:paraId="547E9902"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33</w:t>
            </w:r>
          </w:p>
        </w:tc>
      </w:tr>
      <w:tr w:rsidR="00A22649" w:rsidRPr="00E20209" w14:paraId="403646B0" w14:textId="77777777" w:rsidTr="00B70763">
        <w:trPr>
          <w:trHeight w:val="288"/>
        </w:trPr>
        <w:tc>
          <w:tcPr>
            <w:tcW w:w="2960" w:type="dxa"/>
            <w:tcBorders>
              <w:top w:val="nil"/>
              <w:left w:val="single" w:sz="12" w:space="0" w:color="auto"/>
              <w:bottom w:val="single" w:sz="12" w:space="0" w:color="auto"/>
              <w:right w:val="nil"/>
            </w:tcBorders>
            <w:shd w:val="clear" w:color="auto" w:fill="auto"/>
            <w:noWrap/>
            <w:vAlign w:val="bottom"/>
            <w:hideMark/>
          </w:tcPr>
          <w:p w14:paraId="584A36F3"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Total</w:t>
            </w:r>
          </w:p>
        </w:tc>
        <w:tc>
          <w:tcPr>
            <w:tcW w:w="1340" w:type="dxa"/>
            <w:tcBorders>
              <w:top w:val="nil"/>
              <w:left w:val="nil"/>
              <w:bottom w:val="single" w:sz="12" w:space="0" w:color="auto"/>
              <w:right w:val="nil"/>
            </w:tcBorders>
            <w:shd w:val="clear" w:color="auto" w:fill="auto"/>
            <w:noWrap/>
            <w:vAlign w:val="bottom"/>
            <w:hideMark/>
          </w:tcPr>
          <w:p w14:paraId="322AEF01" w14:textId="77777777" w:rsidR="00A22649" w:rsidRPr="00E20209" w:rsidRDefault="00A22649" w:rsidP="00B70763">
            <w:pPr>
              <w:spacing w:after="0" w:line="240" w:lineRule="auto"/>
              <w:rPr>
                <w:rFonts w:ascii="Calibri" w:eastAsia="Times New Roman" w:hAnsi="Calibri" w:cs="Calibri"/>
                <w:color w:val="000000"/>
              </w:rPr>
            </w:pPr>
            <w:r w:rsidRPr="00E20209">
              <w:rPr>
                <w:rFonts w:ascii="Calibri" w:eastAsia="Times New Roman" w:hAnsi="Calibri" w:cs="Calibri"/>
                <w:color w:val="000000"/>
              </w:rPr>
              <w:t> </w:t>
            </w:r>
          </w:p>
        </w:tc>
        <w:tc>
          <w:tcPr>
            <w:tcW w:w="1084" w:type="dxa"/>
            <w:tcBorders>
              <w:top w:val="nil"/>
              <w:left w:val="nil"/>
              <w:bottom w:val="single" w:sz="12" w:space="0" w:color="auto"/>
              <w:right w:val="nil"/>
            </w:tcBorders>
            <w:shd w:val="clear" w:color="auto" w:fill="auto"/>
            <w:noWrap/>
            <w:vAlign w:val="bottom"/>
            <w:hideMark/>
          </w:tcPr>
          <w:p w14:paraId="341FD454"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631</w:t>
            </w:r>
          </w:p>
        </w:tc>
        <w:tc>
          <w:tcPr>
            <w:tcW w:w="836" w:type="dxa"/>
            <w:tcBorders>
              <w:top w:val="nil"/>
              <w:left w:val="nil"/>
              <w:bottom w:val="single" w:sz="12" w:space="0" w:color="auto"/>
              <w:right w:val="nil"/>
            </w:tcBorders>
            <w:shd w:val="clear" w:color="auto" w:fill="auto"/>
            <w:noWrap/>
            <w:vAlign w:val="bottom"/>
            <w:hideMark/>
          </w:tcPr>
          <w:p w14:paraId="4421619F"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695</w:t>
            </w:r>
          </w:p>
        </w:tc>
        <w:tc>
          <w:tcPr>
            <w:tcW w:w="1084" w:type="dxa"/>
            <w:tcBorders>
              <w:top w:val="nil"/>
              <w:left w:val="nil"/>
              <w:bottom w:val="single" w:sz="12" w:space="0" w:color="auto"/>
              <w:right w:val="nil"/>
            </w:tcBorders>
            <w:shd w:val="clear" w:color="auto" w:fill="auto"/>
            <w:noWrap/>
            <w:vAlign w:val="bottom"/>
            <w:hideMark/>
          </w:tcPr>
          <w:p w14:paraId="4FAAF910"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307</w:t>
            </w:r>
          </w:p>
        </w:tc>
        <w:tc>
          <w:tcPr>
            <w:tcW w:w="836" w:type="dxa"/>
            <w:tcBorders>
              <w:top w:val="nil"/>
              <w:left w:val="nil"/>
              <w:bottom w:val="single" w:sz="12" w:space="0" w:color="auto"/>
              <w:right w:val="single" w:sz="12" w:space="0" w:color="auto"/>
            </w:tcBorders>
            <w:shd w:val="clear" w:color="auto" w:fill="auto"/>
            <w:noWrap/>
            <w:vAlign w:val="bottom"/>
            <w:hideMark/>
          </w:tcPr>
          <w:p w14:paraId="6D21AEA8" w14:textId="77777777" w:rsidR="00A22649" w:rsidRPr="00E20209" w:rsidRDefault="00A22649" w:rsidP="00B70763">
            <w:pPr>
              <w:spacing w:after="0" w:line="240" w:lineRule="auto"/>
              <w:jc w:val="right"/>
              <w:rPr>
                <w:rFonts w:ascii="Calibri" w:eastAsia="Times New Roman" w:hAnsi="Calibri" w:cs="Calibri"/>
                <w:color w:val="000000"/>
              </w:rPr>
            </w:pPr>
            <w:r w:rsidRPr="00E20209">
              <w:rPr>
                <w:rFonts w:ascii="Calibri" w:eastAsia="Times New Roman" w:hAnsi="Calibri" w:cs="Calibri"/>
                <w:color w:val="000000"/>
              </w:rPr>
              <w:t>417</w:t>
            </w:r>
          </w:p>
        </w:tc>
      </w:tr>
      <w:bookmarkEnd w:id="22"/>
    </w:tbl>
    <w:p w14:paraId="49D1C3AB" w14:textId="77777777" w:rsidR="00DC5F25" w:rsidRDefault="00DC5F25" w:rsidP="00F04D44">
      <w:pPr>
        <w:spacing w:line="480" w:lineRule="auto"/>
        <w:rPr>
          <w:rFonts w:ascii="Times New Roman" w:hAnsi="Times New Roman" w:cs="Times New Roman"/>
          <w:i/>
          <w:iCs/>
          <w:sz w:val="24"/>
          <w:szCs w:val="24"/>
        </w:rPr>
      </w:pPr>
    </w:p>
    <w:p w14:paraId="7EEC3F25" w14:textId="56DF266B" w:rsidR="00242A69" w:rsidRPr="00BD6175" w:rsidRDefault="00242A69" w:rsidP="00F04D44">
      <w:pPr>
        <w:spacing w:line="480" w:lineRule="auto"/>
        <w:rPr>
          <w:rFonts w:ascii="Times New Roman" w:hAnsi="Times New Roman" w:cs="Times New Roman"/>
          <w:i/>
          <w:iCs/>
          <w:sz w:val="24"/>
          <w:szCs w:val="24"/>
        </w:rPr>
      </w:pPr>
      <w:r w:rsidRPr="00BD6175">
        <w:rPr>
          <w:rFonts w:ascii="Times New Roman" w:hAnsi="Times New Roman" w:cs="Times New Roman"/>
          <w:i/>
          <w:iCs/>
          <w:sz w:val="24"/>
          <w:szCs w:val="24"/>
        </w:rPr>
        <w:lastRenderedPageBreak/>
        <w:t>Colorado</w:t>
      </w:r>
    </w:p>
    <w:tbl>
      <w:tblPr>
        <w:tblW w:w="8175" w:type="dxa"/>
        <w:tblLook w:val="04A0" w:firstRow="1" w:lastRow="0" w:firstColumn="1" w:lastColumn="0" w:noHBand="0" w:noVBand="1"/>
      </w:tblPr>
      <w:tblGrid>
        <w:gridCol w:w="2955"/>
        <w:gridCol w:w="1350"/>
        <w:gridCol w:w="1080"/>
        <w:gridCol w:w="810"/>
        <w:gridCol w:w="1080"/>
        <w:gridCol w:w="900"/>
      </w:tblGrid>
      <w:tr w:rsidR="00242A69" w:rsidRPr="00242A69" w14:paraId="6DC040D5" w14:textId="77777777" w:rsidTr="00CB12C7">
        <w:trPr>
          <w:trHeight w:val="300"/>
        </w:trPr>
        <w:tc>
          <w:tcPr>
            <w:tcW w:w="4305" w:type="dxa"/>
            <w:gridSpan w:val="2"/>
            <w:vMerge w:val="restart"/>
            <w:tcBorders>
              <w:top w:val="single" w:sz="12" w:space="0" w:color="auto"/>
              <w:left w:val="single" w:sz="12" w:space="0" w:color="auto"/>
              <w:bottom w:val="nil"/>
              <w:right w:val="nil"/>
            </w:tcBorders>
            <w:shd w:val="clear" w:color="auto" w:fill="auto"/>
            <w:noWrap/>
            <w:vAlign w:val="bottom"/>
            <w:hideMark/>
          </w:tcPr>
          <w:p w14:paraId="0440238A" w14:textId="28594B7A" w:rsidR="00242A69" w:rsidRPr="00242A69" w:rsidRDefault="00692BD5" w:rsidP="00242A69">
            <w:pPr>
              <w:spacing w:after="0" w:line="240" w:lineRule="auto"/>
              <w:jc w:val="center"/>
              <w:rPr>
                <w:rFonts w:ascii="Calibri" w:eastAsia="Times New Roman" w:hAnsi="Calibri" w:cs="Calibri"/>
                <w:color w:val="000000"/>
              </w:rPr>
            </w:pPr>
            <w:r>
              <w:rPr>
                <w:rFonts w:ascii="Calibri" w:eastAsia="Times New Roman" w:hAnsi="Calibri" w:cs="Calibri"/>
                <w:color w:val="000000"/>
              </w:rPr>
              <w:t>Colorado</w:t>
            </w:r>
            <w:r w:rsidR="00242A69" w:rsidRPr="00242A69">
              <w:rPr>
                <w:rFonts w:ascii="Calibri" w:eastAsia="Times New Roman" w:hAnsi="Calibri" w:cs="Calibri"/>
                <w:color w:val="000000"/>
              </w:rPr>
              <w:t> </w:t>
            </w:r>
          </w:p>
        </w:tc>
        <w:tc>
          <w:tcPr>
            <w:tcW w:w="1890" w:type="dxa"/>
            <w:gridSpan w:val="2"/>
            <w:tcBorders>
              <w:top w:val="single" w:sz="12" w:space="0" w:color="auto"/>
              <w:left w:val="single" w:sz="8" w:space="0" w:color="auto"/>
              <w:bottom w:val="nil"/>
              <w:right w:val="single" w:sz="8" w:space="0" w:color="auto"/>
            </w:tcBorders>
            <w:shd w:val="clear" w:color="auto" w:fill="auto"/>
            <w:noWrap/>
            <w:vAlign w:val="bottom"/>
            <w:hideMark/>
          </w:tcPr>
          <w:p w14:paraId="2BA0280C" w14:textId="77777777" w:rsidR="00242A69" w:rsidRPr="00242A69" w:rsidRDefault="00242A69" w:rsidP="00242A69">
            <w:pPr>
              <w:spacing w:after="0" w:line="240" w:lineRule="auto"/>
              <w:jc w:val="center"/>
              <w:rPr>
                <w:rFonts w:ascii="Calibri" w:eastAsia="Times New Roman" w:hAnsi="Calibri" w:cs="Calibri"/>
                <w:color w:val="000000"/>
              </w:rPr>
            </w:pPr>
            <w:r w:rsidRPr="00242A69">
              <w:rPr>
                <w:rFonts w:ascii="Calibri" w:eastAsia="Times New Roman" w:hAnsi="Calibri" w:cs="Calibri"/>
                <w:color w:val="000000"/>
              </w:rPr>
              <w:t>Anti</w:t>
            </w:r>
          </w:p>
        </w:tc>
        <w:tc>
          <w:tcPr>
            <w:tcW w:w="1980" w:type="dxa"/>
            <w:gridSpan w:val="2"/>
            <w:tcBorders>
              <w:top w:val="single" w:sz="12" w:space="0" w:color="auto"/>
              <w:left w:val="nil"/>
              <w:bottom w:val="nil"/>
              <w:right w:val="single" w:sz="12" w:space="0" w:color="000000"/>
            </w:tcBorders>
            <w:shd w:val="clear" w:color="auto" w:fill="auto"/>
            <w:noWrap/>
            <w:vAlign w:val="bottom"/>
            <w:hideMark/>
          </w:tcPr>
          <w:p w14:paraId="3A2D0FB4" w14:textId="77777777" w:rsidR="00242A69" w:rsidRPr="00242A69" w:rsidRDefault="00242A69" w:rsidP="00242A69">
            <w:pPr>
              <w:spacing w:after="0" w:line="240" w:lineRule="auto"/>
              <w:jc w:val="center"/>
              <w:rPr>
                <w:rFonts w:ascii="Calibri" w:eastAsia="Times New Roman" w:hAnsi="Calibri" w:cs="Calibri"/>
                <w:color w:val="000000"/>
              </w:rPr>
            </w:pPr>
            <w:r w:rsidRPr="00242A69">
              <w:rPr>
                <w:rFonts w:ascii="Calibri" w:eastAsia="Times New Roman" w:hAnsi="Calibri" w:cs="Calibri"/>
                <w:color w:val="000000"/>
              </w:rPr>
              <w:t>Pro</w:t>
            </w:r>
          </w:p>
        </w:tc>
      </w:tr>
      <w:tr w:rsidR="00242A69" w:rsidRPr="00242A69" w14:paraId="694C2B47" w14:textId="77777777" w:rsidTr="00CB12C7">
        <w:trPr>
          <w:trHeight w:val="300"/>
        </w:trPr>
        <w:tc>
          <w:tcPr>
            <w:tcW w:w="4305" w:type="dxa"/>
            <w:gridSpan w:val="2"/>
            <w:vMerge/>
            <w:tcBorders>
              <w:top w:val="single" w:sz="12" w:space="0" w:color="auto"/>
              <w:left w:val="single" w:sz="12" w:space="0" w:color="auto"/>
              <w:bottom w:val="nil"/>
              <w:right w:val="nil"/>
            </w:tcBorders>
            <w:vAlign w:val="center"/>
            <w:hideMark/>
          </w:tcPr>
          <w:p w14:paraId="0384206C" w14:textId="77777777" w:rsidR="00242A69" w:rsidRPr="00242A69" w:rsidRDefault="00242A69" w:rsidP="00242A69">
            <w:pPr>
              <w:spacing w:after="0" w:line="240" w:lineRule="auto"/>
              <w:rPr>
                <w:rFonts w:ascii="Calibri" w:eastAsia="Times New Roman" w:hAnsi="Calibri" w:cs="Calibri"/>
                <w:color w:val="000000"/>
              </w:rPr>
            </w:pP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EDC7837"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Before</w:t>
            </w:r>
          </w:p>
        </w:tc>
        <w:tc>
          <w:tcPr>
            <w:tcW w:w="810" w:type="dxa"/>
            <w:tcBorders>
              <w:top w:val="nil"/>
              <w:left w:val="nil"/>
              <w:bottom w:val="single" w:sz="8" w:space="0" w:color="auto"/>
              <w:right w:val="single" w:sz="8" w:space="0" w:color="auto"/>
            </w:tcBorders>
            <w:shd w:val="clear" w:color="auto" w:fill="auto"/>
            <w:noWrap/>
            <w:vAlign w:val="bottom"/>
            <w:hideMark/>
          </w:tcPr>
          <w:p w14:paraId="6AFCE3E4"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After</w:t>
            </w:r>
          </w:p>
        </w:tc>
        <w:tc>
          <w:tcPr>
            <w:tcW w:w="1080" w:type="dxa"/>
            <w:tcBorders>
              <w:top w:val="nil"/>
              <w:left w:val="nil"/>
              <w:bottom w:val="single" w:sz="8" w:space="0" w:color="auto"/>
              <w:right w:val="single" w:sz="8" w:space="0" w:color="auto"/>
            </w:tcBorders>
            <w:shd w:val="clear" w:color="auto" w:fill="auto"/>
            <w:noWrap/>
            <w:vAlign w:val="bottom"/>
            <w:hideMark/>
          </w:tcPr>
          <w:p w14:paraId="02BFA33C"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Before</w:t>
            </w:r>
          </w:p>
        </w:tc>
        <w:tc>
          <w:tcPr>
            <w:tcW w:w="900" w:type="dxa"/>
            <w:tcBorders>
              <w:top w:val="nil"/>
              <w:left w:val="nil"/>
              <w:bottom w:val="single" w:sz="8" w:space="0" w:color="auto"/>
              <w:right w:val="single" w:sz="12" w:space="0" w:color="auto"/>
            </w:tcBorders>
            <w:shd w:val="clear" w:color="auto" w:fill="auto"/>
            <w:noWrap/>
            <w:vAlign w:val="bottom"/>
            <w:hideMark/>
          </w:tcPr>
          <w:p w14:paraId="0CE5DC96"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After</w:t>
            </w:r>
          </w:p>
        </w:tc>
      </w:tr>
      <w:tr w:rsidR="00242A69" w:rsidRPr="00242A69" w14:paraId="3E48FEB4" w14:textId="77777777" w:rsidTr="00CB12C7">
        <w:trPr>
          <w:trHeight w:val="288"/>
        </w:trPr>
        <w:tc>
          <w:tcPr>
            <w:tcW w:w="2955" w:type="dxa"/>
            <w:vMerge w:val="restart"/>
            <w:tcBorders>
              <w:top w:val="single" w:sz="8" w:space="0" w:color="auto"/>
              <w:left w:val="single" w:sz="12" w:space="0" w:color="auto"/>
              <w:bottom w:val="single" w:sz="4" w:space="0" w:color="8EA9DB"/>
              <w:right w:val="nil"/>
            </w:tcBorders>
            <w:shd w:val="clear" w:color="D9E1F2" w:fill="D9E1F2"/>
            <w:vAlign w:val="bottom"/>
            <w:hideMark/>
          </w:tcPr>
          <w:p w14:paraId="2A2529E3" w14:textId="77777777" w:rsidR="00242A69" w:rsidRPr="00242A69" w:rsidRDefault="00242A69" w:rsidP="00242A69">
            <w:pPr>
              <w:spacing w:after="0" w:line="240" w:lineRule="auto"/>
              <w:jc w:val="center"/>
              <w:rPr>
                <w:rFonts w:ascii="Calibri" w:eastAsia="Times New Roman" w:hAnsi="Calibri" w:cs="Calibri"/>
                <w:b/>
                <w:bCs/>
                <w:color w:val="000000"/>
              </w:rPr>
            </w:pPr>
            <w:r w:rsidRPr="00242A69">
              <w:rPr>
                <w:rFonts w:ascii="Calibri" w:eastAsia="Times New Roman" w:hAnsi="Calibri" w:cs="Calibri"/>
                <w:b/>
                <w:bCs/>
                <w:color w:val="000000"/>
              </w:rPr>
              <w:t>Economic</w:t>
            </w:r>
          </w:p>
        </w:tc>
        <w:tc>
          <w:tcPr>
            <w:tcW w:w="1350" w:type="dxa"/>
            <w:tcBorders>
              <w:top w:val="single" w:sz="8" w:space="0" w:color="auto"/>
              <w:left w:val="nil"/>
              <w:bottom w:val="nil"/>
              <w:right w:val="nil"/>
            </w:tcBorders>
            <w:shd w:val="clear" w:color="auto" w:fill="auto"/>
            <w:noWrap/>
            <w:vAlign w:val="bottom"/>
            <w:hideMark/>
          </w:tcPr>
          <w:p w14:paraId="6EC4B19E"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Risk</w:t>
            </w:r>
          </w:p>
        </w:tc>
        <w:tc>
          <w:tcPr>
            <w:tcW w:w="1080" w:type="dxa"/>
            <w:tcBorders>
              <w:top w:val="nil"/>
              <w:left w:val="dashed" w:sz="4" w:space="0" w:color="auto"/>
              <w:bottom w:val="nil"/>
              <w:right w:val="dashed" w:sz="4" w:space="0" w:color="auto"/>
            </w:tcBorders>
            <w:shd w:val="clear" w:color="auto" w:fill="auto"/>
            <w:noWrap/>
            <w:vAlign w:val="bottom"/>
            <w:hideMark/>
          </w:tcPr>
          <w:p w14:paraId="0ADEF788"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5</w:t>
            </w:r>
          </w:p>
        </w:tc>
        <w:tc>
          <w:tcPr>
            <w:tcW w:w="810" w:type="dxa"/>
            <w:tcBorders>
              <w:top w:val="nil"/>
              <w:left w:val="nil"/>
              <w:bottom w:val="nil"/>
              <w:right w:val="dashed" w:sz="4" w:space="0" w:color="auto"/>
            </w:tcBorders>
            <w:shd w:val="clear" w:color="auto" w:fill="auto"/>
            <w:noWrap/>
            <w:vAlign w:val="bottom"/>
            <w:hideMark/>
          </w:tcPr>
          <w:p w14:paraId="26CADD12"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18</w:t>
            </w:r>
          </w:p>
        </w:tc>
        <w:tc>
          <w:tcPr>
            <w:tcW w:w="1080" w:type="dxa"/>
            <w:tcBorders>
              <w:top w:val="nil"/>
              <w:left w:val="nil"/>
              <w:bottom w:val="nil"/>
              <w:right w:val="dashed" w:sz="4" w:space="0" w:color="auto"/>
            </w:tcBorders>
            <w:shd w:val="clear" w:color="auto" w:fill="auto"/>
            <w:noWrap/>
            <w:vAlign w:val="bottom"/>
            <w:hideMark/>
          </w:tcPr>
          <w:p w14:paraId="4F8FCC03"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w:t>
            </w:r>
          </w:p>
        </w:tc>
        <w:tc>
          <w:tcPr>
            <w:tcW w:w="900" w:type="dxa"/>
            <w:tcBorders>
              <w:top w:val="nil"/>
              <w:left w:val="nil"/>
              <w:bottom w:val="nil"/>
              <w:right w:val="single" w:sz="12" w:space="0" w:color="auto"/>
            </w:tcBorders>
            <w:shd w:val="clear" w:color="auto" w:fill="auto"/>
            <w:noWrap/>
            <w:vAlign w:val="bottom"/>
            <w:hideMark/>
          </w:tcPr>
          <w:p w14:paraId="5A926C13"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2</w:t>
            </w:r>
          </w:p>
        </w:tc>
      </w:tr>
      <w:tr w:rsidR="00242A69" w:rsidRPr="00242A69" w14:paraId="38A3459D" w14:textId="77777777" w:rsidTr="00CB12C7">
        <w:trPr>
          <w:trHeight w:val="288"/>
        </w:trPr>
        <w:tc>
          <w:tcPr>
            <w:tcW w:w="2955" w:type="dxa"/>
            <w:vMerge/>
            <w:tcBorders>
              <w:top w:val="single" w:sz="8" w:space="0" w:color="auto"/>
              <w:left w:val="single" w:sz="12" w:space="0" w:color="auto"/>
              <w:bottom w:val="single" w:sz="4" w:space="0" w:color="8EA9DB"/>
              <w:right w:val="nil"/>
            </w:tcBorders>
            <w:vAlign w:val="center"/>
            <w:hideMark/>
          </w:tcPr>
          <w:p w14:paraId="11600527" w14:textId="77777777" w:rsidR="00242A69" w:rsidRPr="00242A69" w:rsidRDefault="00242A69" w:rsidP="00242A69">
            <w:pPr>
              <w:spacing w:after="0" w:line="240" w:lineRule="auto"/>
              <w:rPr>
                <w:rFonts w:ascii="Calibri" w:eastAsia="Times New Roman" w:hAnsi="Calibri" w:cs="Calibri"/>
                <w:b/>
                <w:bCs/>
                <w:color w:val="000000"/>
              </w:rPr>
            </w:pPr>
          </w:p>
        </w:tc>
        <w:tc>
          <w:tcPr>
            <w:tcW w:w="1350" w:type="dxa"/>
            <w:tcBorders>
              <w:top w:val="nil"/>
              <w:left w:val="nil"/>
              <w:bottom w:val="nil"/>
              <w:right w:val="nil"/>
            </w:tcBorders>
            <w:shd w:val="clear" w:color="auto" w:fill="auto"/>
            <w:noWrap/>
            <w:vAlign w:val="bottom"/>
            <w:hideMark/>
          </w:tcPr>
          <w:p w14:paraId="2BB260C4"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Benefit</w:t>
            </w:r>
          </w:p>
        </w:tc>
        <w:tc>
          <w:tcPr>
            <w:tcW w:w="1080" w:type="dxa"/>
            <w:tcBorders>
              <w:top w:val="nil"/>
              <w:left w:val="dashed" w:sz="4" w:space="0" w:color="auto"/>
              <w:bottom w:val="nil"/>
              <w:right w:val="dashed" w:sz="4" w:space="0" w:color="auto"/>
            </w:tcBorders>
            <w:shd w:val="clear" w:color="auto" w:fill="auto"/>
            <w:noWrap/>
            <w:vAlign w:val="bottom"/>
            <w:hideMark/>
          </w:tcPr>
          <w:p w14:paraId="7537107F"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w:t>
            </w:r>
          </w:p>
        </w:tc>
        <w:tc>
          <w:tcPr>
            <w:tcW w:w="810" w:type="dxa"/>
            <w:tcBorders>
              <w:top w:val="nil"/>
              <w:left w:val="nil"/>
              <w:bottom w:val="nil"/>
              <w:right w:val="dashed" w:sz="4" w:space="0" w:color="auto"/>
            </w:tcBorders>
            <w:shd w:val="clear" w:color="auto" w:fill="auto"/>
            <w:noWrap/>
            <w:vAlign w:val="bottom"/>
            <w:hideMark/>
          </w:tcPr>
          <w:p w14:paraId="5C80DB69"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1080" w:type="dxa"/>
            <w:tcBorders>
              <w:top w:val="nil"/>
              <w:left w:val="nil"/>
              <w:bottom w:val="nil"/>
              <w:right w:val="dashed" w:sz="4" w:space="0" w:color="auto"/>
            </w:tcBorders>
            <w:shd w:val="clear" w:color="auto" w:fill="auto"/>
            <w:noWrap/>
            <w:vAlign w:val="bottom"/>
            <w:hideMark/>
          </w:tcPr>
          <w:p w14:paraId="566E2DF9"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119</w:t>
            </w:r>
          </w:p>
        </w:tc>
        <w:tc>
          <w:tcPr>
            <w:tcW w:w="900" w:type="dxa"/>
            <w:tcBorders>
              <w:top w:val="nil"/>
              <w:left w:val="nil"/>
              <w:bottom w:val="nil"/>
              <w:right w:val="single" w:sz="12" w:space="0" w:color="auto"/>
            </w:tcBorders>
            <w:shd w:val="clear" w:color="auto" w:fill="auto"/>
            <w:noWrap/>
            <w:vAlign w:val="bottom"/>
            <w:hideMark/>
          </w:tcPr>
          <w:p w14:paraId="5BE699B3"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132</w:t>
            </w:r>
          </w:p>
        </w:tc>
      </w:tr>
      <w:tr w:rsidR="00242A69" w:rsidRPr="00242A69" w14:paraId="06B7DCDA" w14:textId="77777777" w:rsidTr="00CB12C7">
        <w:trPr>
          <w:trHeight w:val="288"/>
        </w:trPr>
        <w:tc>
          <w:tcPr>
            <w:tcW w:w="2955" w:type="dxa"/>
            <w:vMerge w:val="restart"/>
            <w:tcBorders>
              <w:top w:val="nil"/>
              <w:left w:val="single" w:sz="12" w:space="0" w:color="auto"/>
              <w:bottom w:val="single" w:sz="4" w:space="0" w:color="8EA9DB"/>
              <w:right w:val="nil"/>
            </w:tcBorders>
            <w:shd w:val="clear" w:color="D9E1F2" w:fill="D9E1F2"/>
            <w:vAlign w:val="bottom"/>
            <w:hideMark/>
          </w:tcPr>
          <w:p w14:paraId="6AB26CDA" w14:textId="77777777" w:rsidR="00242A69" w:rsidRPr="00242A69" w:rsidRDefault="00242A69" w:rsidP="00242A69">
            <w:pPr>
              <w:spacing w:after="0" w:line="240" w:lineRule="auto"/>
              <w:jc w:val="center"/>
              <w:rPr>
                <w:rFonts w:ascii="Calibri" w:eastAsia="Times New Roman" w:hAnsi="Calibri" w:cs="Calibri"/>
                <w:b/>
                <w:bCs/>
                <w:color w:val="000000"/>
              </w:rPr>
            </w:pPr>
            <w:r w:rsidRPr="00242A69">
              <w:rPr>
                <w:rFonts w:ascii="Calibri" w:eastAsia="Times New Roman" w:hAnsi="Calibri" w:cs="Calibri"/>
                <w:b/>
                <w:bCs/>
                <w:color w:val="000000"/>
              </w:rPr>
              <w:t>Environmental</w:t>
            </w:r>
          </w:p>
        </w:tc>
        <w:tc>
          <w:tcPr>
            <w:tcW w:w="1350" w:type="dxa"/>
            <w:tcBorders>
              <w:top w:val="nil"/>
              <w:left w:val="nil"/>
              <w:bottom w:val="nil"/>
              <w:right w:val="nil"/>
            </w:tcBorders>
            <w:shd w:val="clear" w:color="auto" w:fill="auto"/>
            <w:noWrap/>
            <w:vAlign w:val="bottom"/>
            <w:hideMark/>
          </w:tcPr>
          <w:p w14:paraId="5A06D8B6"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Risk</w:t>
            </w:r>
          </w:p>
        </w:tc>
        <w:tc>
          <w:tcPr>
            <w:tcW w:w="1080" w:type="dxa"/>
            <w:tcBorders>
              <w:top w:val="nil"/>
              <w:left w:val="dashed" w:sz="4" w:space="0" w:color="auto"/>
              <w:bottom w:val="nil"/>
              <w:right w:val="dashed" w:sz="4" w:space="0" w:color="auto"/>
            </w:tcBorders>
            <w:shd w:val="clear" w:color="auto" w:fill="auto"/>
            <w:noWrap/>
            <w:vAlign w:val="bottom"/>
            <w:hideMark/>
          </w:tcPr>
          <w:p w14:paraId="53B49F13"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152</w:t>
            </w:r>
          </w:p>
        </w:tc>
        <w:tc>
          <w:tcPr>
            <w:tcW w:w="810" w:type="dxa"/>
            <w:tcBorders>
              <w:top w:val="nil"/>
              <w:left w:val="nil"/>
              <w:bottom w:val="nil"/>
              <w:right w:val="dashed" w:sz="4" w:space="0" w:color="auto"/>
            </w:tcBorders>
            <w:shd w:val="clear" w:color="auto" w:fill="auto"/>
            <w:noWrap/>
            <w:vAlign w:val="bottom"/>
            <w:hideMark/>
          </w:tcPr>
          <w:p w14:paraId="53477764"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188</w:t>
            </w:r>
          </w:p>
        </w:tc>
        <w:tc>
          <w:tcPr>
            <w:tcW w:w="1080" w:type="dxa"/>
            <w:tcBorders>
              <w:top w:val="nil"/>
              <w:left w:val="nil"/>
              <w:bottom w:val="nil"/>
              <w:right w:val="dashed" w:sz="4" w:space="0" w:color="auto"/>
            </w:tcBorders>
            <w:shd w:val="clear" w:color="auto" w:fill="auto"/>
            <w:noWrap/>
            <w:vAlign w:val="bottom"/>
            <w:hideMark/>
          </w:tcPr>
          <w:p w14:paraId="77BC08D9"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900" w:type="dxa"/>
            <w:tcBorders>
              <w:top w:val="nil"/>
              <w:left w:val="nil"/>
              <w:bottom w:val="nil"/>
              <w:right w:val="single" w:sz="12" w:space="0" w:color="auto"/>
            </w:tcBorders>
            <w:shd w:val="clear" w:color="auto" w:fill="auto"/>
            <w:noWrap/>
            <w:vAlign w:val="bottom"/>
            <w:hideMark/>
          </w:tcPr>
          <w:p w14:paraId="03AC5EA7"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r>
      <w:tr w:rsidR="00242A69" w:rsidRPr="00242A69" w14:paraId="3DFF59D4" w14:textId="77777777" w:rsidTr="00CB12C7">
        <w:trPr>
          <w:trHeight w:val="288"/>
        </w:trPr>
        <w:tc>
          <w:tcPr>
            <w:tcW w:w="2955" w:type="dxa"/>
            <w:vMerge/>
            <w:tcBorders>
              <w:top w:val="nil"/>
              <w:left w:val="single" w:sz="12" w:space="0" w:color="auto"/>
              <w:bottom w:val="single" w:sz="4" w:space="0" w:color="8EA9DB"/>
              <w:right w:val="nil"/>
            </w:tcBorders>
            <w:vAlign w:val="center"/>
            <w:hideMark/>
          </w:tcPr>
          <w:p w14:paraId="56A042CD" w14:textId="77777777" w:rsidR="00242A69" w:rsidRPr="00242A69" w:rsidRDefault="00242A69" w:rsidP="00242A69">
            <w:pPr>
              <w:spacing w:after="0" w:line="240" w:lineRule="auto"/>
              <w:rPr>
                <w:rFonts w:ascii="Calibri" w:eastAsia="Times New Roman" w:hAnsi="Calibri" w:cs="Calibri"/>
                <w:b/>
                <w:bCs/>
                <w:color w:val="000000"/>
              </w:rPr>
            </w:pPr>
          </w:p>
        </w:tc>
        <w:tc>
          <w:tcPr>
            <w:tcW w:w="1350" w:type="dxa"/>
            <w:tcBorders>
              <w:top w:val="nil"/>
              <w:left w:val="nil"/>
              <w:bottom w:val="nil"/>
              <w:right w:val="nil"/>
            </w:tcBorders>
            <w:shd w:val="clear" w:color="auto" w:fill="auto"/>
            <w:noWrap/>
            <w:vAlign w:val="bottom"/>
            <w:hideMark/>
          </w:tcPr>
          <w:p w14:paraId="5D2FA7BC"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Benefit</w:t>
            </w:r>
          </w:p>
        </w:tc>
        <w:tc>
          <w:tcPr>
            <w:tcW w:w="1080" w:type="dxa"/>
            <w:tcBorders>
              <w:top w:val="nil"/>
              <w:left w:val="dashed" w:sz="4" w:space="0" w:color="auto"/>
              <w:bottom w:val="nil"/>
              <w:right w:val="dashed" w:sz="4" w:space="0" w:color="auto"/>
            </w:tcBorders>
            <w:shd w:val="clear" w:color="auto" w:fill="auto"/>
            <w:noWrap/>
            <w:vAlign w:val="bottom"/>
            <w:hideMark/>
          </w:tcPr>
          <w:p w14:paraId="0842BB68"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4</w:t>
            </w:r>
          </w:p>
        </w:tc>
        <w:tc>
          <w:tcPr>
            <w:tcW w:w="810" w:type="dxa"/>
            <w:tcBorders>
              <w:top w:val="nil"/>
              <w:left w:val="nil"/>
              <w:bottom w:val="nil"/>
              <w:right w:val="dashed" w:sz="4" w:space="0" w:color="auto"/>
            </w:tcBorders>
            <w:shd w:val="clear" w:color="auto" w:fill="auto"/>
            <w:noWrap/>
            <w:vAlign w:val="bottom"/>
            <w:hideMark/>
          </w:tcPr>
          <w:p w14:paraId="031C2BAC"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1080" w:type="dxa"/>
            <w:tcBorders>
              <w:top w:val="nil"/>
              <w:left w:val="nil"/>
              <w:bottom w:val="nil"/>
              <w:right w:val="dashed" w:sz="4" w:space="0" w:color="auto"/>
            </w:tcBorders>
            <w:shd w:val="clear" w:color="auto" w:fill="auto"/>
            <w:noWrap/>
            <w:vAlign w:val="bottom"/>
            <w:hideMark/>
          </w:tcPr>
          <w:p w14:paraId="6AC4235F"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34</w:t>
            </w:r>
          </w:p>
        </w:tc>
        <w:tc>
          <w:tcPr>
            <w:tcW w:w="900" w:type="dxa"/>
            <w:tcBorders>
              <w:top w:val="nil"/>
              <w:left w:val="nil"/>
              <w:bottom w:val="nil"/>
              <w:right w:val="single" w:sz="12" w:space="0" w:color="auto"/>
            </w:tcBorders>
            <w:shd w:val="clear" w:color="auto" w:fill="auto"/>
            <w:noWrap/>
            <w:vAlign w:val="bottom"/>
            <w:hideMark/>
          </w:tcPr>
          <w:p w14:paraId="018DF512"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43</w:t>
            </w:r>
          </w:p>
        </w:tc>
      </w:tr>
      <w:tr w:rsidR="00242A69" w:rsidRPr="00242A69" w14:paraId="1104F6F5" w14:textId="77777777" w:rsidTr="00CB12C7">
        <w:trPr>
          <w:trHeight w:val="288"/>
        </w:trPr>
        <w:tc>
          <w:tcPr>
            <w:tcW w:w="2955" w:type="dxa"/>
            <w:vMerge w:val="restart"/>
            <w:tcBorders>
              <w:top w:val="nil"/>
              <w:left w:val="single" w:sz="12" w:space="0" w:color="auto"/>
              <w:bottom w:val="single" w:sz="4" w:space="0" w:color="8EA9DB"/>
              <w:right w:val="nil"/>
            </w:tcBorders>
            <w:shd w:val="clear" w:color="D9E1F2" w:fill="D9E1F2"/>
            <w:vAlign w:val="bottom"/>
            <w:hideMark/>
          </w:tcPr>
          <w:p w14:paraId="0825ECE4" w14:textId="77777777" w:rsidR="00242A69" w:rsidRPr="00242A69" w:rsidRDefault="00242A69" w:rsidP="00242A69">
            <w:pPr>
              <w:spacing w:after="0" w:line="240" w:lineRule="auto"/>
              <w:jc w:val="center"/>
              <w:rPr>
                <w:rFonts w:ascii="Calibri" w:eastAsia="Times New Roman" w:hAnsi="Calibri" w:cs="Calibri"/>
                <w:b/>
                <w:bCs/>
                <w:color w:val="000000"/>
              </w:rPr>
            </w:pPr>
            <w:r w:rsidRPr="00242A69">
              <w:rPr>
                <w:rFonts w:ascii="Calibri" w:eastAsia="Times New Roman" w:hAnsi="Calibri" w:cs="Calibri"/>
                <w:b/>
                <w:bCs/>
                <w:color w:val="000000"/>
              </w:rPr>
              <w:t>Energy Development</w:t>
            </w:r>
          </w:p>
        </w:tc>
        <w:tc>
          <w:tcPr>
            <w:tcW w:w="1350" w:type="dxa"/>
            <w:tcBorders>
              <w:top w:val="nil"/>
              <w:left w:val="nil"/>
              <w:bottom w:val="nil"/>
              <w:right w:val="nil"/>
            </w:tcBorders>
            <w:shd w:val="clear" w:color="auto" w:fill="auto"/>
            <w:noWrap/>
            <w:vAlign w:val="bottom"/>
            <w:hideMark/>
          </w:tcPr>
          <w:p w14:paraId="31FDA1B9"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Risk</w:t>
            </w:r>
          </w:p>
        </w:tc>
        <w:tc>
          <w:tcPr>
            <w:tcW w:w="1080" w:type="dxa"/>
            <w:tcBorders>
              <w:top w:val="nil"/>
              <w:left w:val="dashed" w:sz="4" w:space="0" w:color="auto"/>
              <w:bottom w:val="nil"/>
              <w:right w:val="dashed" w:sz="4" w:space="0" w:color="auto"/>
            </w:tcBorders>
            <w:shd w:val="clear" w:color="auto" w:fill="auto"/>
            <w:noWrap/>
            <w:vAlign w:val="bottom"/>
            <w:hideMark/>
          </w:tcPr>
          <w:p w14:paraId="6A320734"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33</w:t>
            </w:r>
          </w:p>
        </w:tc>
        <w:tc>
          <w:tcPr>
            <w:tcW w:w="810" w:type="dxa"/>
            <w:tcBorders>
              <w:top w:val="nil"/>
              <w:left w:val="nil"/>
              <w:bottom w:val="nil"/>
              <w:right w:val="dashed" w:sz="4" w:space="0" w:color="auto"/>
            </w:tcBorders>
            <w:shd w:val="clear" w:color="auto" w:fill="auto"/>
            <w:noWrap/>
            <w:vAlign w:val="bottom"/>
            <w:hideMark/>
          </w:tcPr>
          <w:p w14:paraId="1C4B3D4B"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21</w:t>
            </w:r>
          </w:p>
        </w:tc>
        <w:tc>
          <w:tcPr>
            <w:tcW w:w="1080" w:type="dxa"/>
            <w:tcBorders>
              <w:top w:val="nil"/>
              <w:left w:val="nil"/>
              <w:bottom w:val="nil"/>
              <w:right w:val="dashed" w:sz="4" w:space="0" w:color="auto"/>
            </w:tcBorders>
            <w:shd w:val="clear" w:color="auto" w:fill="auto"/>
            <w:noWrap/>
            <w:vAlign w:val="bottom"/>
            <w:hideMark/>
          </w:tcPr>
          <w:p w14:paraId="0D7B3333"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w:t>
            </w:r>
          </w:p>
        </w:tc>
        <w:tc>
          <w:tcPr>
            <w:tcW w:w="900" w:type="dxa"/>
            <w:tcBorders>
              <w:top w:val="nil"/>
              <w:left w:val="nil"/>
              <w:bottom w:val="nil"/>
              <w:right w:val="single" w:sz="12" w:space="0" w:color="auto"/>
            </w:tcBorders>
            <w:shd w:val="clear" w:color="auto" w:fill="auto"/>
            <w:noWrap/>
            <w:vAlign w:val="bottom"/>
            <w:hideMark/>
          </w:tcPr>
          <w:p w14:paraId="4A67F3E8"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r>
      <w:tr w:rsidR="00242A69" w:rsidRPr="00242A69" w14:paraId="111E4DA7" w14:textId="77777777" w:rsidTr="00CB12C7">
        <w:trPr>
          <w:trHeight w:val="288"/>
        </w:trPr>
        <w:tc>
          <w:tcPr>
            <w:tcW w:w="2955" w:type="dxa"/>
            <w:vMerge/>
            <w:tcBorders>
              <w:top w:val="nil"/>
              <w:left w:val="single" w:sz="12" w:space="0" w:color="auto"/>
              <w:bottom w:val="single" w:sz="4" w:space="0" w:color="8EA9DB"/>
              <w:right w:val="nil"/>
            </w:tcBorders>
            <w:vAlign w:val="center"/>
            <w:hideMark/>
          </w:tcPr>
          <w:p w14:paraId="0682C928" w14:textId="77777777" w:rsidR="00242A69" w:rsidRPr="00242A69" w:rsidRDefault="00242A69" w:rsidP="00242A69">
            <w:pPr>
              <w:spacing w:after="0" w:line="240" w:lineRule="auto"/>
              <w:rPr>
                <w:rFonts w:ascii="Calibri" w:eastAsia="Times New Roman" w:hAnsi="Calibri" w:cs="Calibri"/>
                <w:b/>
                <w:bCs/>
                <w:color w:val="000000"/>
              </w:rPr>
            </w:pPr>
          </w:p>
        </w:tc>
        <w:tc>
          <w:tcPr>
            <w:tcW w:w="1350" w:type="dxa"/>
            <w:tcBorders>
              <w:top w:val="nil"/>
              <w:left w:val="nil"/>
              <w:bottom w:val="nil"/>
              <w:right w:val="nil"/>
            </w:tcBorders>
            <w:shd w:val="clear" w:color="auto" w:fill="auto"/>
            <w:noWrap/>
            <w:vAlign w:val="bottom"/>
            <w:hideMark/>
          </w:tcPr>
          <w:p w14:paraId="626BC731"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Benefit</w:t>
            </w:r>
          </w:p>
        </w:tc>
        <w:tc>
          <w:tcPr>
            <w:tcW w:w="1080" w:type="dxa"/>
            <w:tcBorders>
              <w:top w:val="nil"/>
              <w:left w:val="dashed" w:sz="4" w:space="0" w:color="auto"/>
              <w:bottom w:val="nil"/>
              <w:right w:val="dashed" w:sz="4" w:space="0" w:color="auto"/>
            </w:tcBorders>
            <w:shd w:val="clear" w:color="auto" w:fill="auto"/>
            <w:noWrap/>
            <w:vAlign w:val="bottom"/>
            <w:hideMark/>
          </w:tcPr>
          <w:p w14:paraId="5BC57D76"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w:t>
            </w:r>
          </w:p>
        </w:tc>
        <w:tc>
          <w:tcPr>
            <w:tcW w:w="810" w:type="dxa"/>
            <w:tcBorders>
              <w:top w:val="nil"/>
              <w:left w:val="nil"/>
              <w:bottom w:val="nil"/>
              <w:right w:val="dashed" w:sz="4" w:space="0" w:color="auto"/>
            </w:tcBorders>
            <w:shd w:val="clear" w:color="auto" w:fill="auto"/>
            <w:noWrap/>
            <w:vAlign w:val="bottom"/>
            <w:hideMark/>
          </w:tcPr>
          <w:p w14:paraId="426B0FD4"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1080" w:type="dxa"/>
            <w:tcBorders>
              <w:top w:val="nil"/>
              <w:left w:val="nil"/>
              <w:bottom w:val="nil"/>
              <w:right w:val="dashed" w:sz="4" w:space="0" w:color="auto"/>
            </w:tcBorders>
            <w:shd w:val="clear" w:color="auto" w:fill="auto"/>
            <w:noWrap/>
            <w:vAlign w:val="bottom"/>
            <w:hideMark/>
          </w:tcPr>
          <w:p w14:paraId="204B0A70"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88</w:t>
            </w:r>
          </w:p>
        </w:tc>
        <w:tc>
          <w:tcPr>
            <w:tcW w:w="900" w:type="dxa"/>
            <w:tcBorders>
              <w:top w:val="nil"/>
              <w:left w:val="nil"/>
              <w:bottom w:val="nil"/>
              <w:right w:val="single" w:sz="12" w:space="0" w:color="auto"/>
            </w:tcBorders>
            <w:shd w:val="clear" w:color="auto" w:fill="auto"/>
            <w:noWrap/>
            <w:vAlign w:val="bottom"/>
            <w:hideMark/>
          </w:tcPr>
          <w:p w14:paraId="79DC3D08"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81</w:t>
            </w:r>
          </w:p>
        </w:tc>
      </w:tr>
      <w:tr w:rsidR="00242A69" w:rsidRPr="00242A69" w14:paraId="093281DB" w14:textId="77777777" w:rsidTr="00CB12C7">
        <w:trPr>
          <w:trHeight w:val="288"/>
        </w:trPr>
        <w:tc>
          <w:tcPr>
            <w:tcW w:w="2955" w:type="dxa"/>
            <w:vMerge w:val="restart"/>
            <w:tcBorders>
              <w:top w:val="nil"/>
              <w:left w:val="single" w:sz="12" w:space="0" w:color="auto"/>
              <w:bottom w:val="single" w:sz="4" w:space="0" w:color="8EA9DB"/>
              <w:right w:val="nil"/>
            </w:tcBorders>
            <w:shd w:val="clear" w:color="D9E1F2" w:fill="D9E1F2"/>
            <w:vAlign w:val="bottom"/>
            <w:hideMark/>
          </w:tcPr>
          <w:p w14:paraId="5295A8F4" w14:textId="77777777" w:rsidR="00242A69" w:rsidRPr="00242A69" w:rsidRDefault="00242A69" w:rsidP="00242A69">
            <w:pPr>
              <w:spacing w:after="0" w:line="240" w:lineRule="auto"/>
              <w:jc w:val="center"/>
              <w:rPr>
                <w:rFonts w:ascii="Calibri" w:eastAsia="Times New Roman" w:hAnsi="Calibri" w:cs="Calibri"/>
                <w:b/>
                <w:bCs/>
                <w:color w:val="000000"/>
              </w:rPr>
            </w:pPr>
            <w:r w:rsidRPr="00242A69">
              <w:rPr>
                <w:rFonts w:ascii="Calibri" w:eastAsia="Times New Roman" w:hAnsi="Calibri" w:cs="Calibri"/>
                <w:b/>
                <w:bCs/>
                <w:color w:val="000000"/>
              </w:rPr>
              <w:t>Public Safety and Health</w:t>
            </w:r>
          </w:p>
        </w:tc>
        <w:tc>
          <w:tcPr>
            <w:tcW w:w="1350" w:type="dxa"/>
            <w:tcBorders>
              <w:top w:val="nil"/>
              <w:left w:val="nil"/>
              <w:bottom w:val="nil"/>
              <w:right w:val="nil"/>
            </w:tcBorders>
            <w:shd w:val="clear" w:color="auto" w:fill="auto"/>
            <w:noWrap/>
            <w:vAlign w:val="bottom"/>
            <w:hideMark/>
          </w:tcPr>
          <w:p w14:paraId="527F75B3"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Risk</w:t>
            </w:r>
          </w:p>
        </w:tc>
        <w:tc>
          <w:tcPr>
            <w:tcW w:w="1080" w:type="dxa"/>
            <w:tcBorders>
              <w:top w:val="nil"/>
              <w:left w:val="dashed" w:sz="4" w:space="0" w:color="auto"/>
              <w:bottom w:val="nil"/>
              <w:right w:val="dashed" w:sz="4" w:space="0" w:color="auto"/>
            </w:tcBorders>
            <w:shd w:val="clear" w:color="auto" w:fill="auto"/>
            <w:noWrap/>
            <w:vAlign w:val="bottom"/>
            <w:hideMark/>
          </w:tcPr>
          <w:p w14:paraId="7ED344CA"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136</w:t>
            </w:r>
          </w:p>
        </w:tc>
        <w:tc>
          <w:tcPr>
            <w:tcW w:w="810" w:type="dxa"/>
            <w:tcBorders>
              <w:top w:val="nil"/>
              <w:left w:val="nil"/>
              <w:bottom w:val="nil"/>
              <w:right w:val="dashed" w:sz="4" w:space="0" w:color="auto"/>
            </w:tcBorders>
            <w:shd w:val="clear" w:color="auto" w:fill="auto"/>
            <w:noWrap/>
            <w:vAlign w:val="bottom"/>
            <w:hideMark/>
          </w:tcPr>
          <w:p w14:paraId="0A0307C0"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134</w:t>
            </w:r>
          </w:p>
        </w:tc>
        <w:tc>
          <w:tcPr>
            <w:tcW w:w="1080" w:type="dxa"/>
            <w:tcBorders>
              <w:top w:val="nil"/>
              <w:left w:val="nil"/>
              <w:bottom w:val="nil"/>
              <w:right w:val="dashed" w:sz="4" w:space="0" w:color="auto"/>
            </w:tcBorders>
            <w:shd w:val="clear" w:color="auto" w:fill="auto"/>
            <w:noWrap/>
            <w:vAlign w:val="bottom"/>
            <w:hideMark/>
          </w:tcPr>
          <w:p w14:paraId="314D08B9"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900" w:type="dxa"/>
            <w:tcBorders>
              <w:top w:val="nil"/>
              <w:left w:val="nil"/>
              <w:bottom w:val="nil"/>
              <w:right w:val="single" w:sz="12" w:space="0" w:color="auto"/>
            </w:tcBorders>
            <w:shd w:val="clear" w:color="auto" w:fill="auto"/>
            <w:noWrap/>
            <w:vAlign w:val="bottom"/>
            <w:hideMark/>
          </w:tcPr>
          <w:p w14:paraId="73546EFB"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2</w:t>
            </w:r>
          </w:p>
        </w:tc>
      </w:tr>
      <w:tr w:rsidR="00242A69" w:rsidRPr="00242A69" w14:paraId="251ED1E1" w14:textId="77777777" w:rsidTr="00CB12C7">
        <w:trPr>
          <w:trHeight w:val="288"/>
        </w:trPr>
        <w:tc>
          <w:tcPr>
            <w:tcW w:w="2955" w:type="dxa"/>
            <w:vMerge/>
            <w:tcBorders>
              <w:top w:val="nil"/>
              <w:left w:val="single" w:sz="12" w:space="0" w:color="auto"/>
              <w:bottom w:val="single" w:sz="4" w:space="0" w:color="8EA9DB"/>
              <w:right w:val="nil"/>
            </w:tcBorders>
            <w:vAlign w:val="center"/>
            <w:hideMark/>
          </w:tcPr>
          <w:p w14:paraId="71AC6CF9" w14:textId="77777777" w:rsidR="00242A69" w:rsidRPr="00242A69" w:rsidRDefault="00242A69" w:rsidP="00242A69">
            <w:pPr>
              <w:spacing w:after="0" w:line="240" w:lineRule="auto"/>
              <w:rPr>
                <w:rFonts w:ascii="Calibri" w:eastAsia="Times New Roman" w:hAnsi="Calibri" w:cs="Calibri"/>
                <w:b/>
                <w:bCs/>
                <w:color w:val="000000"/>
              </w:rPr>
            </w:pPr>
          </w:p>
        </w:tc>
        <w:tc>
          <w:tcPr>
            <w:tcW w:w="1350" w:type="dxa"/>
            <w:tcBorders>
              <w:top w:val="nil"/>
              <w:left w:val="nil"/>
              <w:bottom w:val="nil"/>
              <w:right w:val="nil"/>
            </w:tcBorders>
            <w:shd w:val="clear" w:color="auto" w:fill="auto"/>
            <w:noWrap/>
            <w:vAlign w:val="bottom"/>
            <w:hideMark/>
          </w:tcPr>
          <w:p w14:paraId="7EDD720E"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Benefit</w:t>
            </w:r>
          </w:p>
        </w:tc>
        <w:tc>
          <w:tcPr>
            <w:tcW w:w="1080" w:type="dxa"/>
            <w:tcBorders>
              <w:top w:val="nil"/>
              <w:left w:val="dashed" w:sz="4" w:space="0" w:color="auto"/>
              <w:bottom w:val="nil"/>
              <w:right w:val="dashed" w:sz="4" w:space="0" w:color="auto"/>
            </w:tcBorders>
            <w:shd w:val="clear" w:color="auto" w:fill="auto"/>
            <w:noWrap/>
            <w:vAlign w:val="bottom"/>
            <w:hideMark/>
          </w:tcPr>
          <w:p w14:paraId="106D8EFB"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810" w:type="dxa"/>
            <w:tcBorders>
              <w:top w:val="nil"/>
              <w:left w:val="nil"/>
              <w:bottom w:val="nil"/>
              <w:right w:val="dashed" w:sz="4" w:space="0" w:color="auto"/>
            </w:tcBorders>
            <w:shd w:val="clear" w:color="auto" w:fill="auto"/>
            <w:noWrap/>
            <w:vAlign w:val="bottom"/>
            <w:hideMark/>
          </w:tcPr>
          <w:p w14:paraId="5612EB74"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1080" w:type="dxa"/>
            <w:tcBorders>
              <w:top w:val="nil"/>
              <w:left w:val="nil"/>
              <w:bottom w:val="nil"/>
              <w:right w:val="dashed" w:sz="4" w:space="0" w:color="auto"/>
            </w:tcBorders>
            <w:shd w:val="clear" w:color="auto" w:fill="auto"/>
            <w:noWrap/>
            <w:vAlign w:val="bottom"/>
            <w:hideMark/>
          </w:tcPr>
          <w:p w14:paraId="2EDFAACA"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20</w:t>
            </w:r>
          </w:p>
        </w:tc>
        <w:tc>
          <w:tcPr>
            <w:tcW w:w="900" w:type="dxa"/>
            <w:tcBorders>
              <w:top w:val="nil"/>
              <w:left w:val="nil"/>
              <w:bottom w:val="nil"/>
              <w:right w:val="single" w:sz="12" w:space="0" w:color="auto"/>
            </w:tcBorders>
            <w:shd w:val="clear" w:color="auto" w:fill="auto"/>
            <w:noWrap/>
            <w:vAlign w:val="bottom"/>
            <w:hideMark/>
          </w:tcPr>
          <w:p w14:paraId="55A7E591"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r>
      <w:tr w:rsidR="00242A69" w:rsidRPr="00242A69" w14:paraId="2B84918C" w14:textId="77777777" w:rsidTr="00CB12C7">
        <w:trPr>
          <w:trHeight w:val="288"/>
        </w:trPr>
        <w:tc>
          <w:tcPr>
            <w:tcW w:w="2955" w:type="dxa"/>
            <w:vMerge w:val="restart"/>
            <w:tcBorders>
              <w:top w:val="nil"/>
              <w:left w:val="single" w:sz="12" w:space="0" w:color="auto"/>
              <w:bottom w:val="single" w:sz="4" w:space="0" w:color="8EA9DB"/>
              <w:right w:val="nil"/>
            </w:tcBorders>
            <w:shd w:val="clear" w:color="D9E1F2" w:fill="D9E1F2"/>
            <w:vAlign w:val="bottom"/>
            <w:hideMark/>
          </w:tcPr>
          <w:p w14:paraId="2A66754A" w14:textId="77777777" w:rsidR="00242A69" w:rsidRPr="00242A69" w:rsidRDefault="00242A69" w:rsidP="00242A69">
            <w:pPr>
              <w:spacing w:after="0" w:line="240" w:lineRule="auto"/>
              <w:jc w:val="center"/>
              <w:rPr>
                <w:rFonts w:ascii="Calibri" w:eastAsia="Times New Roman" w:hAnsi="Calibri" w:cs="Calibri"/>
                <w:b/>
                <w:bCs/>
                <w:color w:val="000000"/>
              </w:rPr>
            </w:pPr>
            <w:r w:rsidRPr="00242A69">
              <w:rPr>
                <w:rFonts w:ascii="Calibri" w:eastAsia="Times New Roman" w:hAnsi="Calibri" w:cs="Calibri"/>
                <w:b/>
                <w:bCs/>
                <w:color w:val="000000"/>
              </w:rPr>
              <w:t>Policy</w:t>
            </w:r>
          </w:p>
        </w:tc>
        <w:tc>
          <w:tcPr>
            <w:tcW w:w="1350" w:type="dxa"/>
            <w:tcBorders>
              <w:top w:val="nil"/>
              <w:left w:val="nil"/>
              <w:bottom w:val="nil"/>
              <w:right w:val="nil"/>
            </w:tcBorders>
            <w:shd w:val="clear" w:color="auto" w:fill="auto"/>
            <w:noWrap/>
            <w:vAlign w:val="bottom"/>
            <w:hideMark/>
          </w:tcPr>
          <w:p w14:paraId="37AE557A"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Risk</w:t>
            </w:r>
          </w:p>
        </w:tc>
        <w:tc>
          <w:tcPr>
            <w:tcW w:w="1080" w:type="dxa"/>
            <w:tcBorders>
              <w:top w:val="nil"/>
              <w:left w:val="dashed" w:sz="4" w:space="0" w:color="auto"/>
              <w:bottom w:val="nil"/>
              <w:right w:val="dashed" w:sz="4" w:space="0" w:color="auto"/>
            </w:tcBorders>
            <w:shd w:val="clear" w:color="auto" w:fill="auto"/>
            <w:noWrap/>
            <w:vAlign w:val="bottom"/>
            <w:hideMark/>
          </w:tcPr>
          <w:p w14:paraId="3611E8A3"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4</w:t>
            </w:r>
          </w:p>
        </w:tc>
        <w:tc>
          <w:tcPr>
            <w:tcW w:w="810" w:type="dxa"/>
            <w:tcBorders>
              <w:top w:val="nil"/>
              <w:left w:val="nil"/>
              <w:bottom w:val="nil"/>
              <w:right w:val="dashed" w:sz="4" w:space="0" w:color="auto"/>
            </w:tcBorders>
            <w:shd w:val="clear" w:color="auto" w:fill="auto"/>
            <w:noWrap/>
            <w:vAlign w:val="bottom"/>
            <w:hideMark/>
          </w:tcPr>
          <w:p w14:paraId="68167B58"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5</w:t>
            </w:r>
          </w:p>
        </w:tc>
        <w:tc>
          <w:tcPr>
            <w:tcW w:w="1080" w:type="dxa"/>
            <w:tcBorders>
              <w:top w:val="nil"/>
              <w:left w:val="nil"/>
              <w:bottom w:val="nil"/>
              <w:right w:val="dashed" w:sz="4" w:space="0" w:color="auto"/>
            </w:tcBorders>
            <w:shd w:val="clear" w:color="auto" w:fill="auto"/>
            <w:noWrap/>
            <w:vAlign w:val="bottom"/>
            <w:hideMark/>
          </w:tcPr>
          <w:p w14:paraId="4186DFC5"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6</w:t>
            </w:r>
          </w:p>
        </w:tc>
        <w:tc>
          <w:tcPr>
            <w:tcW w:w="900" w:type="dxa"/>
            <w:tcBorders>
              <w:top w:val="nil"/>
              <w:left w:val="nil"/>
              <w:bottom w:val="nil"/>
              <w:right w:val="single" w:sz="12" w:space="0" w:color="auto"/>
            </w:tcBorders>
            <w:shd w:val="clear" w:color="auto" w:fill="auto"/>
            <w:noWrap/>
            <w:vAlign w:val="bottom"/>
            <w:hideMark/>
          </w:tcPr>
          <w:p w14:paraId="6E436B9E"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53</w:t>
            </w:r>
          </w:p>
        </w:tc>
      </w:tr>
      <w:tr w:rsidR="00242A69" w:rsidRPr="00242A69" w14:paraId="1F52911F" w14:textId="77777777" w:rsidTr="00CB12C7">
        <w:trPr>
          <w:trHeight w:val="288"/>
        </w:trPr>
        <w:tc>
          <w:tcPr>
            <w:tcW w:w="2955" w:type="dxa"/>
            <w:vMerge/>
            <w:tcBorders>
              <w:top w:val="nil"/>
              <w:left w:val="single" w:sz="12" w:space="0" w:color="auto"/>
              <w:bottom w:val="single" w:sz="4" w:space="0" w:color="8EA9DB"/>
              <w:right w:val="nil"/>
            </w:tcBorders>
            <w:vAlign w:val="center"/>
            <w:hideMark/>
          </w:tcPr>
          <w:p w14:paraId="17D07929" w14:textId="77777777" w:rsidR="00242A69" w:rsidRPr="00242A69" w:rsidRDefault="00242A69" w:rsidP="00242A69">
            <w:pPr>
              <w:spacing w:after="0" w:line="240" w:lineRule="auto"/>
              <w:rPr>
                <w:rFonts w:ascii="Calibri" w:eastAsia="Times New Roman" w:hAnsi="Calibri" w:cs="Calibri"/>
                <w:b/>
                <w:bCs/>
                <w:color w:val="000000"/>
              </w:rPr>
            </w:pPr>
          </w:p>
        </w:tc>
        <w:tc>
          <w:tcPr>
            <w:tcW w:w="1350" w:type="dxa"/>
            <w:tcBorders>
              <w:top w:val="nil"/>
              <w:left w:val="nil"/>
              <w:bottom w:val="nil"/>
              <w:right w:val="nil"/>
            </w:tcBorders>
            <w:shd w:val="clear" w:color="auto" w:fill="auto"/>
            <w:noWrap/>
            <w:vAlign w:val="bottom"/>
            <w:hideMark/>
          </w:tcPr>
          <w:p w14:paraId="33C4D072"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Benefit</w:t>
            </w:r>
          </w:p>
        </w:tc>
        <w:tc>
          <w:tcPr>
            <w:tcW w:w="1080" w:type="dxa"/>
            <w:tcBorders>
              <w:top w:val="nil"/>
              <w:left w:val="dashed" w:sz="4" w:space="0" w:color="auto"/>
              <w:bottom w:val="nil"/>
              <w:right w:val="dashed" w:sz="4" w:space="0" w:color="auto"/>
            </w:tcBorders>
            <w:shd w:val="clear" w:color="auto" w:fill="auto"/>
            <w:noWrap/>
            <w:vAlign w:val="bottom"/>
            <w:hideMark/>
          </w:tcPr>
          <w:p w14:paraId="207D61E2"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7</w:t>
            </w:r>
          </w:p>
        </w:tc>
        <w:tc>
          <w:tcPr>
            <w:tcW w:w="810" w:type="dxa"/>
            <w:tcBorders>
              <w:top w:val="nil"/>
              <w:left w:val="nil"/>
              <w:bottom w:val="nil"/>
              <w:right w:val="dashed" w:sz="4" w:space="0" w:color="auto"/>
            </w:tcBorders>
            <w:shd w:val="clear" w:color="auto" w:fill="auto"/>
            <w:noWrap/>
            <w:vAlign w:val="bottom"/>
            <w:hideMark/>
          </w:tcPr>
          <w:p w14:paraId="0520E4FC"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19</w:t>
            </w:r>
          </w:p>
        </w:tc>
        <w:tc>
          <w:tcPr>
            <w:tcW w:w="1080" w:type="dxa"/>
            <w:tcBorders>
              <w:top w:val="nil"/>
              <w:left w:val="nil"/>
              <w:bottom w:val="nil"/>
              <w:right w:val="dashed" w:sz="4" w:space="0" w:color="auto"/>
            </w:tcBorders>
            <w:shd w:val="clear" w:color="auto" w:fill="auto"/>
            <w:noWrap/>
            <w:vAlign w:val="bottom"/>
            <w:hideMark/>
          </w:tcPr>
          <w:p w14:paraId="59FD4EC5"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900" w:type="dxa"/>
            <w:tcBorders>
              <w:top w:val="nil"/>
              <w:left w:val="nil"/>
              <w:bottom w:val="nil"/>
              <w:right w:val="single" w:sz="12" w:space="0" w:color="auto"/>
            </w:tcBorders>
            <w:shd w:val="clear" w:color="auto" w:fill="auto"/>
            <w:noWrap/>
            <w:vAlign w:val="bottom"/>
            <w:hideMark/>
          </w:tcPr>
          <w:p w14:paraId="65C3B062"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r>
      <w:tr w:rsidR="00242A69" w:rsidRPr="00242A69" w14:paraId="58077660" w14:textId="77777777" w:rsidTr="00CB12C7">
        <w:trPr>
          <w:trHeight w:val="288"/>
        </w:trPr>
        <w:tc>
          <w:tcPr>
            <w:tcW w:w="2955" w:type="dxa"/>
            <w:vMerge w:val="restart"/>
            <w:tcBorders>
              <w:top w:val="nil"/>
              <w:left w:val="single" w:sz="12" w:space="0" w:color="auto"/>
              <w:bottom w:val="single" w:sz="8" w:space="0" w:color="000000"/>
              <w:right w:val="nil"/>
            </w:tcBorders>
            <w:shd w:val="clear" w:color="D9E1F2" w:fill="D9E1F2"/>
            <w:vAlign w:val="bottom"/>
            <w:hideMark/>
          </w:tcPr>
          <w:p w14:paraId="3D960CDB" w14:textId="77777777" w:rsidR="00242A69" w:rsidRPr="00242A69" w:rsidRDefault="00242A69" w:rsidP="00242A69">
            <w:pPr>
              <w:spacing w:after="0" w:line="240" w:lineRule="auto"/>
              <w:jc w:val="center"/>
              <w:rPr>
                <w:rFonts w:ascii="Calibri" w:eastAsia="Times New Roman" w:hAnsi="Calibri" w:cs="Calibri"/>
                <w:b/>
                <w:bCs/>
                <w:color w:val="000000"/>
              </w:rPr>
            </w:pPr>
            <w:r w:rsidRPr="00242A69">
              <w:rPr>
                <w:rFonts w:ascii="Calibri" w:eastAsia="Times New Roman" w:hAnsi="Calibri" w:cs="Calibri"/>
                <w:b/>
                <w:bCs/>
                <w:color w:val="000000"/>
              </w:rPr>
              <w:t>Use of Science</w:t>
            </w:r>
          </w:p>
        </w:tc>
        <w:tc>
          <w:tcPr>
            <w:tcW w:w="1350" w:type="dxa"/>
            <w:tcBorders>
              <w:top w:val="nil"/>
              <w:left w:val="nil"/>
              <w:bottom w:val="nil"/>
              <w:right w:val="nil"/>
            </w:tcBorders>
            <w:shd w:val="clear" w:color="auto" w:fill="auto"/>
            <w:noWrap/>
            <w:vAlign w:val="bottom"/>
            <w:hideMark/>
          </w:tcPr>
          <w:p w14:paraId="4078090C"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Opposition</w:t>
            </w:r>
          </w:p>
        </w:tc>
        <w:tc>
          <w:tcPr>
            <w:tcW w:w="1080" w:type="dxa"/>
            <w:tcBorders>
              <w:top w:val="nil"/>
              <w:left w:val="dashed" w:sz="4" w:space="0" w:color="auto"/>
              <w:bottom w:val="nil"/>
              <w:right w:val="dashed" w:sz="4" w:space="0" w:color="auto"/>
            </w:tcBorders>
            <w:shd w:val="clear" w:color="auto" w:fill="auto"/>
            <w:noWrap/>
            <w:vAlign w:val="bottom"/>
            <w:hideMark/>
          </w:tcPr>
          <w:p w14:paraId="57FFE2E1"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33</w:t>
            </w:r>
          </w:p>
        </w:tc>
        <w:tc>
          <w:tcPr>
            <w:tcW w:w="810" w:type="dxa"/>
            <w:tcBorders>
              <w:top w:val="nil"/>
              <w:left w:val="nil"/>
              <w:bottom w:val="nil"/>
              <w:right w:val="dashed" w:sz="4" w:space="0" w:color="auto"/>
            </w:tcBorders>
            <w:shd w:val="clear" w:color="auto" w:fill="auto"/>
            <w:noWrap/>
            <w:vAlign w:val="bottom"/>
            <w:hideMark/>
          </w:tcPr>
          <w:p w14:paraId="0EAFC38F"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55</w:t>
            </w:r>
          </w:p>
        </w:tc>
        <w:tc>
          <w:tcPr>
            <w:tcW w:w="1080" w:type="dxa"/>
            <w:tcBorders>
              <w:top w:val="nil"/>
              <w:left w:val="nil"/>
              <w:bottom w:val="nil"/>
              <w:right w:val="dashed" w:sz="4" w:space="0" w:color="auto"/>
            </w:tcBorders>
            <w:shd w:val="clear" w:color="auto" w:fill="auto"/>
            <w:noWrap/>
            <w:vAlign w:val="bottom"/>
            <w:hideMark/>
          </w:tcPr>
          <w:p w14:paraId="07EDF50F"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900" w:type="dxa"/>
            <w:tcBorders>
              <w:top w:val="nil"/>
              <w:left w:val="nil"/>
              <w:bottom w:val="nil"/>
              <w:right w:val="single" w:sz="12" w:space="0" w:color="auto"/>
            </w:tcBorders>
            <w:shd w:val="clear" w:color="auto" w:fill="auto"/>
            <w:noWrap/>
            <w:vAlign w:val="bottom"/>
            <w:hideMark/>
          </w:tcPr>
          <w:p w14:paraId="4EDEE517"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r>
      <w:tr w:rsidR="00242A69" w:rsidRPr="00242A69" w14:paraId="4E9D6881" w14:textId="77777777" w:rsidTr="00CB12C7">
        <w:trPr>
          <w:trHeight w:val="300"/>
        </w:trPr>
        <w:tc>
          <w:tcPr>
            <w:tcW w:w="2955" w:type="dxa"/>
            <w:vMerge/>
            <w:tcBorders>
              <w:top w:val="nil"/>
              <w:left w:val="single" w:sz="12" w:space="0" w:color="auto"/>
              <w:bottom w:val="single" w:sz="8" w:space="0" w:color="000000"/>
              <w:right w:val="nil"/>
            </w:tcBorders>
            <w:vAlign w:val="center"/>
            <w:hideMark/>
          </w:tcPr>
          <w:p w14:paraId="3155249B" w14:textId="77777777" w:rsidR="00242A69" w:rsidRPr="00242A69" w:rsidRDefault="00242A69" w:rsidP="00242A69">
            <w:pPr>
              <w:spacing w:after="0" w:line="240" w:lineRule="auto"/>
              <w:rPr>
                <w:rFonts w:ascii="Calibri" w:eastAsia="Times New Roman" w:hAnsi="Calibri" w:cs="Calibri"/>
                <w:b/>
                <w:bCs/>
                <w:color w:val="000000"/>
              </w:rPr>
            </w:pPr>
          </w:p>
        </w:tc>
        <w:tc>
          <w:tcPr>
            <w:tcW w:w="1350" w:type="dxa"/>
            <w:tcBorders>
              <w:top w:val="nil"/>
              <w:left w:val="nil"/>
              <w:bottom w:val="single" w:sz="8" w:space="0" w:color="auto"/>
              <w:right w:val="nil"/>
            </w:tcBorders>
            <w:shd w:val="clear" w:color="auto" w:fill="auto"/>
            <w:noWrap/>
            <w:vAlign w:val="bottom"/>
            <w:hideMark/>
          </w:tcPr>
          <w:p w14:paraId="2A6A1F15"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Support</w:t>
            </w:r>
          </w:p>
        </w:tc>
        <w:tc>
          <w:tcPr>
            <w:tcW w:w="1080" w:type="dxa"/>
            <w:tcBorders>
              <w:top w:val="nil"/>
              <w:left w:val="dashed" w:sz="4" w:space="0" w:color="auto"/>
              <w:bottom w:val="single" w:sz="8" w:space="0" w:color="auto"/>
              <w:right w:val="dashed" w:sz="4" w:space="0" w:color="auto"/>
            </w:tcBorders>
            <w:shd w:val="clear" w:color="auto" w:fill="auto"/>
            <w:noWrap/>
            <w:vAlign w:val="bottom"/>
            <w:hideMark/>
          </w:tcPr>
          <w:p w14:paraId="44373B20"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810" w:type="dxa"/>
            <w:tcBorders>
              <w:top w:val="nil"/>
              <w:left w:val="nil"/>
              <w:bottom w:val="single" w:sz="8" w:space="0" w:color="auto"/>
              <w:right w:val="dashed" w:sz="4" w:space="0" w:color="auto"/>
            </w:tcBorders>
            <w:shd w:val="clear" w:color="auto" w:fill="auto"/>
            <w:noWrap/>
            <w:vAlign w:val="bottom"/>
            <w:hideMark/>
          </w:tcPr>
          <w:p w14:paraId="15E413F1"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0</w:t>
            </w:r>
          </w:p>
        </w:tc>
        <w:tc>
          <w:tcPr>
            <w:tcW w:w="1080" w:type="dxa"/>
            <w:tcBorders>
              <w:top w:val="nil"/>
              <w:left w:val="nil"/>
              <w:bottom w:val="single" w:sz="8" w:space="0" w:color="auto"/>
              <w:right w:val="dashed" w:sz="4" w:space="0" w:color="auto"/>
            </w:tcBorders>
            <w:shd w:val="clear" w:color="auto" w:fill="auto"/>
            <w:noWrap/>
            <w:vAlign w:val="bottom"/>
            <w:hideMark/>
          </w:tcPr>
          <w:p w14:paraId="69DDCBCE"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42</w:t>
            </w:r>
          </w:p>
        </w:tc>
        <w:tc>
          <w:tcPr>
            <w:tcW w:w="900" w:type="dxa"/>
            <w:tcBorders>
              <w:top w:val="nil"/>
              <w:left w:val="nil"/>
              <w:bottom w:val="single" w:sz="8" w:space="0" w:color="auto"/>
              <w:right w:val="single" w:sz="12" w:space="0" w:color="auto"/>
            </w:tcBorders>
            <w:shd w:val="clear" w:color="auto" w:fill="auto"/>
            <w:noWrap/>
            <w:vAlign w:val="bottom"/>
            <w:hideMark/>
          </w:tcPr>
          <w:p w14:paraId="7CE09412"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26</w:t>
            </w:r>
          </w:p>
        </w:tc>
      </w:tr>
      <w:tr w:rsidR="00242A69" w:rsidRPr="00242A69" w14:paraId="76F1F5C1" w14:textId="77777777" w:rsidTr="00CB12C7">
        <w:trPr>
          <w:trHeight w:val="300"/>
        </w:trPr>
        <w:tc>
          <w:tcPr>
            <w:tcW w:w="2955" w:type="dxa"/>
            <w:tcBorders>
              <w:top w:val="nil"/>
              <w:left w:val="single" w:sz="12" w:space="0" w:color="auto"/>
              <w:bottom w:val="single" w:sz="12" w:space="0" w:color="auto"/>
              <w:right w:val="nil"/>
            </w:tcBorders>
            <w:shd w:val="clear" w:color="auto" w:fill="auto"/>
            <w:noWrap/>
            <w:vAlign w:val="bottom"/>
            <w:hideMark/>
          </w:tcPr>
          <w:p w14:paraId="07BF0159"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Total</w:t>
            </w:r>
          </w:p>
        </w:tc>
        <w:tc>
          <w:tcPr>
            <w:tcW w:w="1350" w:type="dxa"/>
            <w:tcBorders>
              <w:top w:val="nil"/>
              <w:left w:val="nil"/>
              <w:bottom w:val="single" w:sz="12" w:space="0" w:color="auto"/>
              <w:right w:val="nil"/>
            </w:tcBorders>
            <w:shd w:val="clear" w:color="auto" w:fill="auto"/>
            <w:noWrap/>
            <w:vAlign w:val="bottom"/>
            <w:hideMark/>
          </w:tcPr>
          <w:p w14:paraId="45A356B3" w14:textId="77777777" w:rsidR="00242A69" w:rsidRPr="00242A69" w:rsidRDefault="00242A69" w:rsidP="00242A69">
            <w:pPr>
              <w:spacing w:after="0" w:line="240" w:lineRule="auto"/>
              <w:rPr>
                <w:rFonts w:ascii="Calibri" w:eastAsia="Times New Roman" w:hAnsi="Calibri" w:cs="Calibri"/>
                <w:color w:val="000000"/>
              </w:rPr>
            </w:pPr>
            <w:r w:rsidRPr="00242A69">
              <w:rPr>
                <w:rFonts w:ascii="Calibri" w:eastAsia="Times New Roman" w:hAnsi="Calibri" w:cs="Calibri"/>
                <w:color w:val="000000"/>
              </w:rPr>
              <w:t> </w:t>
            </w:r>
          </w:p>
        </w:tc>
        <w:tc>
          <w:tcPr>
            <w:tcW w:w="1080" w:type="dxa"/>
            <w:tcBorders>
              <w:top w:val="nil"/>
              <w:left w:val="nil"/>
              <w:bottom w:val="single" w:sz="12" w:space="0" w:color="auto"/>
              <w:right w:val="nil"/>
            </w:tcBorders>
            <w:shd w:val="clear" w:color="auto" w:fill="auto"/>
            <w:noWrap/>
            <w:vAlign w:val="bottom"/>
            <w:hideMark/>
          </w:tcPr>
          <w:p w14:paraId="2641E0AE"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376</w:t>
            </w:r>
          </w:p>
        </w:tc>
        <w:tc>
          <w:tcPr>
            <w:tcW w:w="810" w:type="dxa"/>
            <w:tcBorders>
              <w:top w:val="nil"/>
              <w:left w:val="nil"/>
              <w:bottom w:val="single" w:sz="12" w:space="0" w:color="auto"/>
              <w:right w:val="nil"/>
            </w:tcBorders>
            <w:shd w:val="clear" w:color="auto" w:fill="auto"/>
            <w:noWrap/>
            <w:vAlign w:val="bottom"/>
            <w:hideMark/>
          </w:tcPr>
          <w:p w14:paraId="485529E9"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440</w:t>
            </w:r>
          </w:p>
        </w:tc>
        <w:tc>
          <w:tcPr>
            <w:tcW w:w="1080" w:type="dxa"/>
            <w:tcBorders>
              <w:top w:val="nil"/>
              <w:left w:val="nil"/>
              <w:bottom w:val="single" w:sz="12" w:space="0" w:color="auto"/>
              <w:right w:val="nil"/>
            </w:tcBorders>
            <w:shd w:val="clear" w:color="auto" w:fill="auto"/>
            <w:noWrap/>
            <w:vAlign w:val="bottom"/>
            <w:hideMark/>
          </w:tcPr>
          <w:p w14:paraId="06359A0D"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313</w:t>
            </w:r>
          </w:p>
        </w:tc>
        <w:tc>
          <w:tcPr>
            <w:tcW w:w="900" w:type="dxa"/>
            <w:tcBorders>
              <w:top w:val="nil"/>
              <w:left w:val="nil"/>
              <w:bottom w:val="single" w:sz="12" w:space="0" w:color="auto"/>
              <w:right w:val="single" w:sz="12" w:space="0" w:color="auto"/>
            </w:tcBorders>
            <w:shd w:val="clear" w:color="auto" w:fill="auto"/>
            <w:noWrap/>
            <w:vAlign w:val="bottom"/>
            <w:hideMark/>
          </w:tcPr>
          <w:p w14:paraId="5163A65C" w14:textId="77777777" w:rsidR="00242A69" w:rsidRPr="00242A69" w:rsidRDefault="00242A69" w:rsidP="00242A69">
            <w:pPr>
              <w:spacing w:after="0" w:line="240" w:lineRule="auto"/>
              <w:jc w:val="right"/>
              <w:rPr>
                <w:rFonts w:ascii="Calibri" w:eastAsia="Times New Roman" w:hAnsi="Calibri" w:cs="Calibri"/>
                <w:color w:val="000000"/>
              </w:rPr>
            </w:pPr>
            <w:r w:rsidRPr="00242A69">
              <w:rPr>
                <w:rFonts w:ascii="Calibri" w:eastAsia="Times New Roman" w:hAnsi="Calibri" w:cs="Calibri"/>
                <w:color w:val="000000"/>
              </w:rPr>
              <w:t>339</w:t>
            </w:r>
          </w:p>
        </w:tc>
      </w:tr>
    </w:tbl>
    <w:p w14:paraId="34771864" w14:textId="77777777" w:rsidR="00242A69" w:rsidRPr="00242A69" w:rsidRDefault="00242A69" w:rsidP="00F04D44">
      <w:pPr>
        <w:spacing w:line="480" w:lineRule="auto"/>
        <w:rPr>
          <w:rFonts w:ascii="Times New Roman" w:hAnsi="Times New Roman" w:cs="Times New Roman"/>
          <w:b/>
          <w:bCs/>
          <w:sz w:val="24"/>
          <w:szCs w:val="24"/>
        </w:rPr>
      </w:pPr>
    </w:p>
    <w:p w14:paraId="6D4D2D5F" w14:textId="77777777" w:rsidR="00BD6175" w:rsidRDefault="00BD6175" w:rsidP="00B4382F">
      <w:pPr>
        <w:spacing w:line="480" w:lineRule="auto"/>
        <w:rPr>
          <w:rFonts w:ascii="Times New Roman" w:hAnsi="Times New Roman" w:cs="Times New Roman"/>
          <w:b/>
          <w:bCs/>
          <w:sz w:val="24"/>
          <w:szCs w:val="24"/>
        </w:rPr>
      </w:pPr>
    </w:p>
    <w:p w14:paraId="35546C75" w14:textId="40CAF311" w:rsidR="009B1E00" w:rsidRPr="00C86EA7" w:rsidRDefault="00BD6175" w:rsidP="00B4382F">
      <w:pPr>
        <w:spacing w:line="480" w:lineRule="auto"/>
        <w:rPr>
          <w:rFonts w:ascii="Times New Roman" w:hAnsi="Times New Roman" w:cs="Times New Roman"/>
          <w:b/>
          <w:bCs/>
          <w:sz w:val="24"/>
          <w:szCs w:val="24"/>
        </w:rPr>
      </w:pPr>
      <w:r>
        <w:rPr>
          <w:rFonts w:ascii="Times New Roman" w:hAnsi="Times New Roman" w:cs="Times New Roman"/>
          <w:b/>
          <w:bCs/>
          <w:sz w:val="24"/>
          <w:szCs w:val="24"/>
        </w:rPr>
        <w:t>3.1</w:t>
      </w:r>
      <w:r w:rsidR="00C108ED" w:rsidRPr="00C86EA7">
        <w:rPr>
          <w:rFonts w:ascii="Times New Roman" w:hAnsi="Times New Roman" w:cs="Times New Roman"/>
          <w:b/>
          <w:bCs/>
          <w:sz w:val="24"/>
          <w:szCs w:val="24"/>
        </w:rPr>
        <w:t xml:space="preserve"> Issue Framing Over Time</w:t>
      </w:r>
      <w:r w:rsidR="008D20A9">
        <w:rPr>
          <w:rFonts w:ascii="Times New Roman" w:hAnsi="Times New Roman" w:cs="Times New Roman"/>
          <w:b/>
          <w:bCs/>
          <w:sz w:val="24"/>
          <w:szCs w:val="24"/>
        </w:rPr>
        <w:t xml:space="preserve"> in New York</w:t>
      </w:r>
    </w:p>
    <w:p w14:paraId="3EAC3875" w14:textId="7CACDE85" w:rsidR="008D7165" w:rsidRDefault="008D7165" w:rsidP="00816B8E">
      <w:pPr>
        <w:spacing w:line="480" w:lineRule="auto"/>
        <w:jc w:val="center"/>
        <w:rPr>
          <w:rFonts w:ascii="Times New Roman" w:hAnsi="Times New Roman" w:cs="Times New Roman"/>
          <w:sz w:val="24"/>
          <w:szCs w:val="24"/>
        </w:rPr>
      </w:pPr>
      <w:r>
        <w:rPr>
          <w:noProof/>
        </w:rPr>
        <w:drawing>
          <wp:inline distT="0" distB="0" distL="0" distR="0" wp14:anchorId="0EE18E9A" wp14:editId="3F0D6560">
            <wp:extent cx="4572000" cy="2743200"/>
            <wp:effectExtent l="0" t="0" r="0" b="0"/>
            <wp:docPr id="12" name="Chart 12">
              <a:extLst xmlns:a="http://schemas.openxmlformats.org/drawingml/2006/main">
                <a:ext uri="{FF2B5EF4-FFF2-40B4-BE49-F238E27FC236}">
                  <a16:creationId xmlns:a16="http://schemas.microsoft.com/office/drawing/2014/main" id="{0F9B6CCD-68EA-45AB-8BEB-B341A680E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83AF1D" w14:textId="6420F516" w:rsidR="009B1E00" w:rsidRDefault="008D7165" w:rsidP="00816B8E">
      <w:pPr>
        <w:spacing w:line="480" w:lineRule="auto"/>
        <w:jc w:val="center"/>
        <w:rPr>
          <w:rFonts w:ascii="Times New Roman" w:hAnsi="Times New Roman" w:cs="Times New Roman"/>
          <w:sz w:val="24"/>
          <w:szCs w:val="24"/>
        </w:rPr>
      </w:pPr>
      <w:r>
        <w:rPr>
          <w:noProof/>
        </w:rPr>
        <w:lastRenderedPageBreak/>
        <w:drawing>
          <wp:inline distT="0" distB="0" distL="0" distR="0" wp14:anchorId="5F6727A7" wp14:editId="1031317B">
            <wp:extent cx="4572000" cy="2743200"/>
            <wp:effectExtent l="0" t="0" r="0" b="0"/>
            <wp:docPr id="18" name="Chart 18">
              <a:extLst xmlns:a="http://schemas.openxmlformats.org/drawingml/2006/main">
                <a:ext uri="{FF2B5EF4-FFF2-40B4-BE49-F238E27FC236}">
                  <a16:creationId xmlns:a16="http://schemas.microsoft.com/office/drawing/2014/main" id="{7A1DD495-CBE1-45EA-A32A-9CCCBE2CF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6A3577" w14:textId="6501C5B2" w:rsidR="009B1E00" w:rsidRPr="00017FC7" w:rsidRDefault="00C108ED" w:rsidP="00C06F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test the temporal aspect of this work, this chapter analyzes the frames used in </w:t>
      </w:r>
      <w:r w:rsidR="00C86EA7">
        <w:rPr>
          <w:rFonts w:ascii="Times New Roman" w:hAnsi="Times New Roman" w:cs="Times New Roman"/>
          <w:sz w:val="24"/>
          <w:szCs w:val="24"/>
        </w:rPr>
        <w:t>1-week</w:t>
      </w:r>
      <w:r>
        <w:rPr>
          <w:rFonts w:ascii="Times New Roman" w:hAnsi="Times New Roman" w:cs="Times New Roman"/>
          <w:sz w:val="24"/>
          <w:szCs w:val="24"/>
        </w:rPr>
        <w:t xml:space="preserve"> increments.</w:t>
      </w:r>
      <w:r w:rsidR="00CF6050">
        <w:rPr>
          <w:rFonts w:ascii="Times New Roman" w:hAnsi="Times New Roman" w:cs="Times New Roman"/>
          <w:sz w:val="24"/>
          <w:szCs w:val="24"/>
        </w:rPr>
        <w:t xml:space="preserve"> </w:t>
      </w:r>
      <w:r w:rsidR="007E0D1F">
        <w:rPr>
          <w:rFonts w:ascii="Times New Roman" w:hAnsi="Times New Roman" w:cs="Times New Roman"/>
          <w:sz w:val="24"/>
          <w:szCs w:val="24"/>
        </w:rPr>
        <w:t>The Issue Frame Stability Hypothesis</w:t>
      </w:r>
      <w:r>
        <w:rPr>
          <w:rFonts w:ascii="Times New Roman" w:hAnsi="Times New Roman" w:cs="Times New Roman"/>
          <w:sz w:val="24"/>
          <w:szCs w:val="24"/>
        </w:rPr>
        <w:t xml:space="preserve"> expect</w:t>
      </w:r>
      <w:r w:rsidR="007E0D1F">
        <w:rPr>
          <w:rFonts w:ascii="Times New Roman" w:hAnsi="Times New Roman" w:cs="Times New Roman"/>
          <w:sz w:val="24"/>
          <w:szCs w:val="24"/>
        </w:rPr>
        <w:t>s</w:t>
      </w:r>
      <w:r>
        <w:rPr>
          <w:rFonts w:ascii="Times New Roman" w:hAnsi="Times New Roman" w:cs="Times New Roman"/>
          <w:sz w:val="24"/>
          <w:szCs w:val="24"/>
        </w:rPr>
        <w:t xml:space="preserve"> that issue expansion will occur in both coalitions leading up to a major policy change. </w:t>
      </w:r>
      <w:r w:rsidR="009B1E00" w:rsidRPr="000970B8">
        <w:rPr>
          <w:rFonts w:ascii="Times New Roman" w:hAnsi="Times New Roman" w:cs="Times New Roman"/>
          <w:b/>
          <w:bCs/>
          <w:sz w:val="24"/>
          <w:szCs w:val="24"/>
        </w:rPr>
        <w:t xml:space="preserve">Graphic </w:t>
      </w:r>
      <w:r w:rsidR="00A6548B">
        <w:rPr>
          <w:rFonts w:ascii="Times New Roman" w:hAnsi="Times New Roman" w:cs="Times New Roman"/>
          <w:b/>
          <w:bCs/>
          <w:sz w:val="24"/>
          <w:szCs w:val="24"/>
        </w:rPr>
        <w:t>3.1</w:t>
      </w:r>
      <w:r w:rsidR="009B1E00">
        <w:rPr>
          <w:rFonts w:ascii="Times New Roman" w:hAnsi="Times New Roman" w:cs="Times New Roman"/>
          <w:sz w:val="24"/>
          <w:szCs w:val="24"/>
        </w:rPr>
        <w:t xml:space="preserve"> show the changes in total tweets over time by week.</w:t>
      </w:r>
      <w:r w:rsidR="00CF6050">
        <w:rPr>
          <w:rFonts w:ascii="Times New Roman" w:hAnsi="Times New Roman" w:cs="Times New Roman"/>
          <w:sz w:val="24"/>
          <w:szCs w:val="24"/>
        </w:rPr>
        <w:t xml:space="preserve"> </w:t>
      </w:r>
      <w:r w:rsidR="009B1E00">
        <w:rPr>
          <w:rFonts w:ascii="Times New Roman" w:hAnsi="Times New Roman" w:cs="Times New Roman"/>
          <w:sz w:val="24"/>
          <w:szCs w:val="24"/>
        </w:rPr>
        <w:t>Periods ‘-6’ to ‘-1’ represent the six weeks leading up to the policy change on December 16</w:t>
      </w:r>
      <w:r w:rsidR="009B1E00" w:rsidRPr="009B1E00">
        <w:rPr>
          <w:rFonts w:ascii="Times New Roman" w:hAnsi="Times New Roman" w:cs="Times New Roman"/>
          <w:sz w:val="24"/>
          <w:szCs w:val="24"/>
          <w:vertAlign w:val="superscript"/>
        </w:rPr>
        <w:t>th</w:t>
      </w:r>
      <w:r w:rsidR="009B1E00">
        <w:rPr>
          <w:rFonts w:ascii="Times New Roman" w:hAnsi="Times New Roman" w:cs="Times New Roman"/>
          <w:sz w:val="24"/>
          <w:szCs w:val="24"/>
        </w:rPr>
        <w:t>, 2014.</w:t>
      </w:r>
      <w:r w:rsidR="00CF6050">
        <w:rPr>
          <w:rFonts w:ascii="Times New Roman" w:hAnsi="Times New Roman" w:cs="Times New Roman"/>
          <w:sz w:val="24"/>
          <w:szCs w:val="24"/>
        </w:rPr>
        <w:t xml:space="preserve"> </w:t>
      </w:r>
      <w:r w:rsidR="009B1E00">
        <w:rPr>
          <w:rFonts w:ascii="Times New Roman" w:hAnsi="Times New Roman" w:cs="Times New Roman"/>
          <w:sz w:val="24"/>
          <w:szCs w:val="24"/>
        </w:rPr>
        <w:t xml:space="preserve">Periods </w:t>
      </w:r>
      <w:r w:rsidR="000F2DD1">
        <w:rPr>
          <w:rFonts w:ascii="Times New Roman" w:hAnsi="Times New Roman" w:cs="Times New Roman"/>
          <w:sz w:val="24"/>
          <w:szCs w:val="24"/>
        </w:rPr>
        <w:t>‘1’ to ‘6’ represents the six weeks after the policy change.</w:t>
      </w:r>
      <w:r w:rsidR="00CF6050">
        <w:rPr>
          <w:rFonts w:ascii="Times New Roman" w:hAnsi="Times New Roman" w:cs="Times New Roman"/>
          <w:sz w:val="24"/>
          <w:szCs w:val="24"/>
        </w:rPr>
        <w:t xml:space="preserve"> </w:t>
      </w:r>
      <w:r w:rsidR="007E0D1F">
        <w:rPr>
          <w:rFonts w:ascii="Times New Roman" w:hAnsi="Times New Roman" w:cs="Times New Roman"/>
          <w:sz w:val="24"/>
          <w:szCs w:val="24"/>
        </w:rPr>
        <w:t xml:space="preserve">The graphic illustrates that there </w:t>
      </w:r>
      <w:r w:rsidR="00CB12C7">
        <w:rPr>
          <w:rFonts w:ascii="Times New Roman" w:hAnsi="Times New Roman" w:cs="Times New Roman"/>
          <w:sz w:val="24"/>
          <w:szCs w:val="24"/>
        </w:rPr>
        <w:t>is</w:t>
      </w:r>
      <w:r w:rsidR="007E0D1F">
        <w:rPr>
          <w:rFonts w:ascii="Times New Roman" w:hAnsi="Times New Roman" w:cs="Times New Roman"/>
          <w:sz w:val="24"/>
          <w:szCs w:val="24"/>
        </w:rPr>
        <w:t xml:space="preserve"> indeed an increase in issue framing leading up to the policy change in New York.</w:t>
      </w:r>
      <w:r w:rsidR="00CF6050">
        <w:rPr>
          <w:rFonts w:ascii="Times New Roman" w:hAnsi="Times New Roman" w:cs="Times New Roman"/>
          <w:sz w:val="24"/>
          <w:szCs w:val="24"/>
        </w:rPr>
        <w:t xml:space="preserve"> </w:t>
      </w:r>
      <w:r w:rsidR="00C06F08">
        <w:rPr>
          <w:rFonts w:ascii="Times New Roman" w:hAnsi="Times New Roman" w:cs="Times New Roman"/>
          <w:sz w:val="24"/>
          <w:szCs w:val="24"/>
        </w:rPr>
        <w:t>This</w:t>
      </w:r>
      <w:r w:rsidR="000F2DD1">
        <w:rPr>
          <w:rFonts w:ascii="Times New Roman" w:hAnsi="Times New Roman" w:cs="Times New Roman"/>
          <w:sz w:val="24"/>
          <w:szCs w:val="24"/>
        </w:rPr>
        <w:t xml:space="preserve"> also shows that leading up to the policy change, both coalitions utilized issue framing more than they had in the five periods leading up to the change, followed by a </w:t>
      </w:r>
      <w:r w:rsidR="008D7165">
        <w:rPr>
          <w:rFonts w:ascii="Times New Roman" w:hAnsi="Times New Roman" w:cs="Times New Roman"/>
          <w:sz w:val="24"/>
          <w:szCs w:val="24"/>
        </w:rPr>
        <w:t xml:space="preserve">marked </w:t>
      </w:r>
      <w:r w:rsidR="000F2DD1">
        <w:rPr>
          <w:rFonts w:ascii="Times New Roman" w:hAnsi="Times New Roman" w:cs="Times New Roman"/>
          <w:sz w:val="24"/>
          <w:szCs w:val="24"/>
        </w:rPr>
        <w:t>decrease in</w:t>
      </w:r>
      <w:r w:rsidR="009D3ECA">
        <w:rPr>
          <w:rFonts w:ascii="Times New Roman" w:hAnsi="Times New Roman" w:cs="Times New Roman"/>
          <w:sz w:val="24"/>
          <w:szCs w:val="24"/>
        </w:rPr>
        <w:t xml:space="preserve"> issue</w:t>
      </w:r>
      <w:r w:rsidR="000F2DD1">
        <w:rPr>
          <w:rFonts w:ascii="Times New Roman" w:hAnsi="Times New Roman" w:cs="Times New Roman"/>
          <w:sz w:val="24"/>
          <w:szCs w:val="24"/>
        </w:rPr>
        <w:t xml:space="preserve"> framing.</w:t>
      </w:r>
      <w:r w:rsidR="00CF6050">
        <w:rPr>
          <w:rFonts w:ascii="Times New Roman" w:hAnsi="Times New Roman" w:cs="Times New Roman"/>
          <w:sz w:val="24"/>
          <w:szCs w:val="24"/>
        </w:rPr>
        <w:t xml:space="preserve"> </w:t>
      </w:r>
      <w:r w:rsidR="000F2DD1">
        <w:rPr>
          <w:rFonts w:ascii="Times New Roman" w:hAnsi="Times New Roman" w:cs="Times New Roman"/>
          <w:sz w:val="24"/>
          <w:szCs w:val="24"/>
        </w:rPr>
        <w:t>This reduction is more pronounced with the anti-coalition than the pro-coalition.</w:t>
      </w:r>
      <w:r w:rsidR="00CF6050">
        <w:rPr>
          <w:rFonts w:ascii="Times New Roman" w:hAnsi="Times New Roman" w:cs="Times New Roman"/>
          <w:sz w:val="24"/>
          <w:szCs w:val="24"/>
        </w:rPr>
        <w:t xml:space="preserve"> </w:t>
      </w:r>
      <w:r w:rsidR="000F2DD1">
        <w:rPr>
          <w:rFonts w:ascii="Times New Roman" w:hAnsi="Times New Roman" w:cs="Times New Roman"/>
          <w:sz w:val="24"/>
          <w:szCs w:val="24"/>
        </w:rPr>
        <w:t>Leading up to the policy change, anti-coalition’s use of policy benefits exhibited the greatest increase in frequency.</w:t>
      </w:r>
      <w:r w:rsidR="00CF6050">
        <w:rPr>
          <w:rFonts w:ascii="Times New Roman" w:hAnsi="Times New Roman" w:cs="Times New Roman"/>
          <w:sz w:val="24"/>
          <w:szCs w:val="24"/>
        </w:rPr>
        <w:t xml:space="preserve"> </w:t>
      </w:r>
      <w:r w:rsidR="000F2DD1">
        <w:rPr>
          <w:rFonts w:ascii="Times New Roman" w:hAnsi="Times New Roman" w:cs="Times New Roman"/>
          <w:sz w:val="24"/>
          <w:szCs w:val="24"/>
        </w:rPr>
        <w:t>For the pro-coalition, the greatest increase</w:t>
      </w:r>
      <w:r w:rsidR="008D7165">
        <w:rPr>
          <w:rFonts w:ascii="Times New Roman" w:hAnsi="Times New Roman" w:cs="Times New Roman"/>
          <w:sz w:val="24"/>
          <w:szCs w:val="24"/>
        </w:rPr>
        <w:t xml:space="preserve"> leading up to the policy change</w:t>
      </w:r>
      <w:r w:rsidR="000F2DD1">
        <w:rPr>
          <w:rFonts w:ascii="Times New Roman" w:hAnsi="Times New Roman" w:cs="Times New Roman"/>
          <w:sz w:val="24"/>
          <w:szCs w:val="24"/>
        </w:rPr>
        <w:t xml:space="preserve"> is seen in economic benefit frames</w:t>
      </w:r>
      <w:r w:rsidR="00C56AFB">
        <w:rPr>
          <w:rStyle w:val="FootnoteReference"/>
          <w:rFonts w:ascii="Times New Roman" w:hAnsi="Times New Roman" w:cs="Times New Roman"/>
          <w:sz w:val="24"/>
          <w:szCs w:val="24"/>
        </w:rPr>
        <w:footnoteReference w:id="9"/>
      </w:r>
      <w:r w:rsidR="000F2DD1">
        <w:rPr>
          <w:rFonts w:ascii="Times New Roman" w:hAnsi="Times New Roman" w:cs="Times New Roman"/>
          <w:sz w:val="24"/>
          <w:szCs w:val="24"/>
        </w:rPr>
        <w:t xml:space="preserve">. </w:t>
      </w:r>
    </w:p>
    <w:p w14:paraId="2EADDF9B" w14:textId="0E628231" w:rsidR="00925B8E" w:rsidRPr="008A14D2" w:rsidRDefault="00925B8E" w:rsidP="008A14D2">
      <w:pPr>
        <w:pStyle w:val="Heading1"/>
        <w:jc w:val="center"/>
        <w:rPr>
          <w:rFonts w:ascii="Times New Roman" w:hAnsi="Times New Roman" w:cs="Times New Roman"/>
          <w:b/>
          <w:bCs/>
          <w:color w:val="auto"/>
          <w:sz w:val="24"/>
          <w:szCs w:val="24"/>
        </w:rPr>
      </w:pPr>
      <w:bookmarkStart w:id="23" w:name="_Toc46917864"/>
      <w:r w:rsidRPr="008A14D2">
        <w:rPr>
          <w:rFonts w:ascii="Times New Roman" w:hAnsi="Times New Roman" w:cs="Times New Roman"/>
          <w:b/>
          <w:bCs/>
          <w:color w:val="auto"/>
          <w:sz w:val="24"/>
          <w:szCs w:val="24"/>
        </w:rPr>
        <w:lastRenderedPageBreak/>
        <w:t>D</w:t>
      </w:r>
      <w:bookmarkEnd w:id="23"/>
      <w:r w:rsidR="005E4B3C">
        <w:rPr>
          <w:rFonts w:ascii="Times New Roman" w:hAnsi="Times New Roman" w:cs="Times New Roman"/>
          <w:b/>
          <w:bCs/>
          <w:color w:val="auto"/>
          <w:sz w:val="24"/>
          <w:szCs w:val="24"/>
        </w:rPr>
        <w:t>ISCUSSION</w:t>
      </w:r>
    </w:p>
    <w:p w14:paraId="0B04CBF5" w14:textId="2D4BCB39" w:rsidR="00B70763" w:rsidRDefault="00B70763" w:rsidP="00780A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9F48C8">
        <w:rPr>
          <w:rFonts w:ascii="Times New Roman" w:hAnsi="Times New Roman" w:cs="Times New Roman"/>
          <w:sz w:val="24"/>
          <w:szCs w:val="24"/>
        </w:rPr>
        <w:t>manuscript</w:t>
      </w:r>
      <w:r>
        <w:rPr>
          <w:rFonts w:ascii="Times New Roman" w:hAnsi="Times New Roman" w:cs="Times New Roman"/>
          <w:sz w:val="24"/>
          <w:szCs w:val="24"/>
        </w:rPr>
        <w:t xml:space="preserve"> </w:t>
      </w:r>
      <w:r w:rsidR="000E4981">
        <w:rPr>
          <w:rFonts w:ascii="Times New Roman" w:hAnsi="Times New Roman" w:cs="Times New Roman"/>
          <w:sz w:val="24"/>
          <w:szCs w:val="24"/>
        </w:rPr>
        <w:t>asks,</w:t>
      </w:r>
      <w:r>
        <w:rPr>
          <w:rFonts w:ascii="Times New Roman" w:hAnsi="Times New Roman" w:cs="Times New Roman"/>
          <w:sz w:val="24"/>
          <w:szCs w:val="24"/>
        </w:rPr>
        <w:t xml:space="preserve"> ‘how are issue frames used by advocacy coalitions and how does this change over time?” Partially confirming the first hypothesis, </w:t>
      </w:r>
      <w:bookmarkStart w:id="24" w:name="_Hlk43728726"/>
      <w:r>
        <w:rPr>
          <w:rFonts w:ascii="Times New Roman" w:hAnsi="Times New Roman" w:cs="Times New Roman"/>
          <w:sz w:val="24"/>
          <w:szCs w:val="24"/>
        </w:rPr>
        <w:t xml:space="preserve">I </w:t>
      </w:r>
      <w:r w:rsidR="00CB12C7">
        <w:rPr>
          <w:rFonts w:ascii="Times New Roman" w:hAnsi="Times New Roman" w:cs="Times New Roman"/>
          <w:sz w:val="24"/>
          <w:szCs w:val="24"/>
        </w:rPr>
        <w:t>find</w:t>
      </w:r>
      <w:r>
        <w:rPr>
          <w:rFonts w:ascii="Times New Roman" w:hAnsi="Times New Roman" w:cs="Times New Roman"/>
          <w:sz w:val="24"/>
          <w:szCs w:val="24"/>
        </w:rPr>
        <w:t xml:space="preserve"> that dominant </w:t>
      </w:r>
      <w:r w:rsidR="009D3ECA">
        <w:rPr>
          <w:rFonts w:ascii="Times New Roman" w:hAnsi="Times New Roman" w:cs="Times New Roman"/>
          <w:sz w:val="24"/>
          <w:szCs w:val="24"/>
        </w:rPr>
        <w:t xml:space="preserve">issue </w:t>
      </w:r>
      <w:r>
        <w:rPr>
          <w:rFonts w:ascii="Times New Roman" w:hAnsi="Times New Roman" w:cs="Times New Roman"/>
          <w:sz w:val="24"/>
          <w:szCs w:val="24"/>
        </w:rPr>
        <w:t xml:space="preserve">frames are </w:t>
      </w:r>
      <w:r w:rsidR="009D3ECA">
        <w:rPr>
          <w:rFonts w:ascii="Times New Roman" w:hAnsi="Times New Roman" w:cs="Times New Roman"/>
          <w:sz w:val="24"/>
          <w:szCs w:val="24"/>
        </w:rPr>
        <w:t>a strategy</w:t>
      </w:r>
      <w:r>
        <w:rPr>
          <w:rFonts w:ascii="Times New Roman" w:hAnsi="Times New Roman" w:cs="Times New Roman"/>
          <w:sz w:val="24"/>
          <w:szCs w:val="24"/>
        </w:rPr>
        <w:t xml:space="preserve"> </w:t>
      </w:r>
      <w:r w:rsidR="009D3ECA">
        <w:rPr>
          <w:rFonts w:ascii="Times New Roman" w:hAnsi="Times New Roman" w:cs="Times New Roman"/>
          <w:sz w:val="24"/>
          <w:szCs w:val="24"/>
        </w:rPr>
        <w:t>employed by</w:t>
      </w:r>
      <w:r>
        <w:rPr>
          <w:rFonts w:ascii="Times New Roman" w:hAnsi="Times New Roman" w:cs="Times New Roman"/>
          <w:sz w:val="24"/>
          <w:szCs w:val="24"/>
        </w:rPr>
        <w:t xml:space="preserve"> both coalitions.</w:t>
      </w:r>
      <w:r w:rsidR="00CF6050">
        <w:rPr>
          <w:rFonts w:ascii="Times New Roman" w:hAnsi="Times New Roman" w:cs="Times New Roman"/>
          <w:sz w:val="24"/>
          <w:szCs w:val="24"/>
        </w:rPr>
        <w:t xml:space="preserve"> </w:t>
      </w:r>
      <w:bookmarkEnd w:id="24"/>
      <w:r>
        <w:rPr>
          <w:rFonts w:ascii="Times New Roman" w:hAnsi="Times New Roman" w:cs="Times New Roman"/>
          <w:sz w:val="24"/>
          <w:szCs w:val="24"/>
        </w:rPr>
        <w:t>The frames that have been found in debates and newspaper</w:t>
      </w:r>
      <w:r w:rsidR="00D83BA5">
        <w:rPr>
          <w:rFonts w:ascii="Times New Roman" w:hAnsi="Times New Roman" w:cs="Times New Roman"/>
          <w:sz w:val="24"/>
          <w:szCs w:val="24"/>
        </w:rPr>
        <w:t>s</w:t>
      </w:r>
      <w:r w:rsidR="003D7509">
        <w:rPr>
          <w:rFonts w:ascii="Times New Roman" w:hAnsi="Times New Roman" w:cs="Times New Roman"/>
          <w:sz w:val="24"/>
          <w:szCs w:val="24"/>
        </w:rPr>
        <w:t xml:space="preserve"> are very salient on Twitter</w:t>
      </w:r>
      <w:r w:rsidR="00D83BA5">
        <w:rPr>
          <w:rFonts w:ascii="Times New Roman" w:hAnsi="Times New Roman" w:cs="Times New Roman"/>
          <w:sz w:val="24"/>
          <w:szCs w:val="24"/>
        </w:rPr>
        <w:t>.</w:t>
      </w:r>
      <w:r w:rsidR="00CF6050">
        <w:rPr>
          <w:rFonts w:ascii="Times New Roman" w:hAnsi="Times New Roman" w:cs="Times New Roman"/>
          <w:sz w:val="24"/>
          <w:szCs w:val="24"/>
        </w:rPr>
        <w:t xml:space="preserve"> </w:t>
      </w:r>
      <w:r w:rsidR="00D83BA5">
        <w:rPr>
          <w:rFonts w:ascii="Times New Roman" w:hAnsi="Times New Roman" w:cs="Times New Roman"/>
          <w:sz w:val="24"/>
          <w:szCs w:val="24"/>
        </w:rPr>
        <w:t xml:space="preserve">This reinforces </w:t>
      </w:r>
      <w:r w:rsidR="000970B8">
        <w:rPr>
          <w:rFonts w:ascii="Times New Roman" w:hAnsi="Times New Roman" w:cs="Times New Roman"/>
          <w:sz w:val="24"/>
          <w:szCs w:val="24"/>
        </w:rPr>
        <w:fldChar w:fldCharType="begin" w:fldLock="1"/>
      </w:r>
      <w:r w:rsidR="000970B8">
        <w:rPr>
          <w:rFonts w:ascii="Times New Roman" w:hAnsi="Times New Roman" w:cs="Times New Roman"/>
          <w:sz w:val="24"/>
          <w:szCs w:val="24"/>
        </w:rPr>
        <w:instrText>ADDIN CSL_CITATION {"citationItems":[{"id":"ITEM-1","itemData":{"DOI":"10.1177/0002716215570549","ISBN":"0002716215570","ISSN":"15523349","abstract":"This study examines the dynamics of the framing of mass shooting incidences in the U.S. occurring in the traditional commercial online news media and Twitter. We demonstrate that there is a dynamic, reciprocal relationship between the attention paid to different aspects of mass shootings in online news and in Twitter: tweets tend to be responsive to traditional media reporting, but traditional media framing of these incidents also seems to resonate from public framing in the Twitterverse. We also explore how different frames become prominent as they compete among media as time passes after shooting events. Finally, we find that key differences emerge between norms of journalistic routine and how users rely on Twitter to express their reactions to these tragic shooting incidents.","author":[{"dropping-particle":"","family":"Guggenheim","given":"Lauren","non-dropping-particle":"","parse-names":false,"suffix":""},{"dropping-particle":"","family":"Jang","given":"S. Mo","non-dropping-particle":"","parse-names":false,"suffix":""},{"dropping-particle":"","family":"Bae","given":"Soo Young","non-dropping-particle":"","parse-names":false,"suffix":""},{"dropping-particle":"","family":"Neuman","given":"W. Russell","non-dropping-particle":"","parse-names":false,"suffix":""}],"container-title":"Annals of the American Academy of Political and Social Science","id":"ITEM-1","issue":"1","issued":{"date-parts":[["2015"]]},"page":"207-224","title":"The Dynamics of Issue Frame Competition in Traditional and Social Media","type":"article-journal","volume":"659"},"uris":["http://www.mendeley.com/documents/?uuid=e9da9742-13a6-492d-959c-be22df8276b4"]}],"mendeley":{"formattedCitation":"(Guggenheim et al. 2015)","manualFormatting":"Guggenheim et al. (2015)","plainTextFormattedCitation":"(Guggenheim et al. 2015)","previouslyFormattedCitation":"(Guggenheim et al. 2015)"},"properties":{"noteIndex":0},"schema":"https://github.com/citation-style-language/schema/raw/master/csl-citation.json"}</w:instrText>
      </w:r>
      <w:r w:rsidR="000970B8">
        <w:rPr>
          <w:rFonts w:ascii="Times New Roman" w:hAnsi="Times New Roman" w:cs="Times New Roman"/>
          <w:sz w:val="24"/>
          <w:szCs w:val="24"/>
        </w:rPr>
        <w:fldChar w:fldCharType="separate"/>
      </w:r>
      <w:r w:rsidR="000970B8" w:rsidRPr="000970B8">
        <w:rPr>
          <w:rFonts w:ascii="Times New Roman" w:hAnsi="Times New Roman" w:cs="Times New Roman"/>
          <w:noProof/>
          <w:sz w:val="24"/>
          <w:szCs w:val="24"/>
        </w:rPr>
        <w:t xml:space="preserve">Guggenheim et al. </w:t>
      </w:r>
      <w:r w:rsidR="000970B8">
        <w:rPr>
          <w:rFonts w:ascii="Times New Roman" w:hAnsi="Times New Roman" w:cs="Times New Roman"/>
          <w:noProof/>
          <w:sz w:val="24"/>
          <w:szCs w:val="24"/>
        </w:rPr>
        <w:t>(</w:t>
      </w:r>
      <w:r w:rsidR="000970B8" w:rsidRPr="000970B8">
        <w:rPr>
          <w:rFonts w:ascii="Times New Roman" w:hAnsi="Times New Roman" w:cs="Times New Roman"/>
          <w:noProof/>
          <w:sz w:val="24"/>
          <w:szCs w:val="24"/>
        </w:rPr>
        <w:t>2015)</w:t>
      </w:r>
      <w:r w:rsidR="000970B8">
        <w:rPr>
          <w:rFonts w:ascii="Times New Roman" w:hAnsi="Times New Roman" w:cs="Times New Roman"/>
          <w:sz w:val="24"/>
          <w:szCs w:val="24"/>
        </w:rPr>
        <w:fldChar w:fldCharType="end"/>
      </w:r>
      <w:r w:rsidR="000970B8">
        <w:rPr>
          <w:rFonts w:ascii="Times New Roman" w:hAnsi="Times New Roman" w:cs="Times New Roman"/>
          <w:sz w:val="24"/>
          <w:szCs w:val="24"/>
        </w:rPr>
        <w:t>’s</w:t>
      </w:r>
      <w:r w:rsidR="00D83BA5">
        <w:rPr>
          <w:rFonts w:ascii="Times New Roman" w:hAnsi="Times New Roman" w:cs="Times New Roman"/>
          <w:sz w:val="24"/>
          <w:szCs w:val="24"/>
        </w:rPr>
        <w:t xml:space="preserve"> claim that there is a feedback loop between traditional media sources and Twitter. I also f</w:t>
      </w:r>
      <w:r w:rsidR="00CB12C7">
        <w:rPr>
          <w:rFonts w:ascii="Times New Roman" w:hAnsi="Times New Roman" w:cs="Times New Roman"/>
          <w:sz w:val="24"/>
          <w:szCs w:val="24"/>
        </w:rPr>
        <w:t>i</w:t>
      </w:r>
      <w:r w:rsidR="00D83BA5">
        <w:rPr>
          <w:rFonts w:ascii="Times New Roman" w:hAnsi="Times New Roman" w:cs="Times New Roman"/>
          <w:sz w:val="24"/>
          <w:szCs w:val="24"/>
        </w:rPr>
        <w:t xml:space="preserve">nd that outside events </w:t>
      </w:r>
      <w:r w:rsidR="00CB12C7">
        <w:rPr>
          <w:rFonts w:ascii="Times New Roman" w:hAnsi="Times New Roman" w:cs="Times New Roman"/>
          <w:sz w:val="24"/>
          <w:szCs w:val="24"/>
        </w:rPr>
        <w:t>ar</w:t>
      </w:r>
      <w:r w:rsidR="00D83BA5">
        <w:rPr>
          <w:rFonts w:ascii="Times New Roman" w:hAnsi="Times New Roman" w:cs="Times New Roman"/>
          <w:sz w:val="24"/>
          <w:szCs w:val="24"/>
        </w:rPr>
        <w:t>e used to construct issue frames.</w:t>
      </w:r>
      <w:r w:rsidR="00CF6050">
        <w:rPr>
          <w:rFonts w:ascii="Times New Roman" w:hAnsi="Times New Roman" w:cs="Times New Roman"/>
          <w:sz w:val="24"/>
          <w:szCs w:val="24"/>
        </w:rPr>
        <w:t xml:space="preserve"> </w:t>
      </w:r>
      <w:r w:rsidR="00D83BA5">
        <w:rPr>
          <w:rFonts w:ascii="Times New Roman" w:hAnsi="Times New Roman" w:cs="Times New Roman"/>
          <w:sz w:val="24"/>
          <w:szCs w:val="24"/>
        </w:rPr>
        <w:t>This is further evidence that</w:t>
      </w:r>
      <w:r w:rsidR="001262A9">
        <w:rPr>
          <w:rFonts w:ascii="Times New Roman" w:hAnsi="Times New Roman" w:cs="Times New Roman"/>
          <w:sz w:val="24"/>
          <w:szCs w:val="24"/>
        </w:rPr>
        <w:t xml:space="preserve"> the </w:t>
      </w:r>
      <w:r w:rsidR="00D83BA5">
        <w:rPr>
          <w:rFonts w:ascii="Times New Roman" w:hAnsi="Times New Roman" w:cs="Times New Roman"/>
          <w:sz w:val="24"/>
          <w:szCs w:val="24"/>
        </w:rPr>
        <w:t>physical boundaries that separate subsystems</w:t>
      </w:r>
      <w:r w:rsidR="001262A9">
        <w:rPr>
          <w:rFonts w:ascii="Times New Roman" w:hAnsi="Times New Roman" w:cs="Times New Roman"/>
          <w:sz w:val="24"/>
          <w:szCs w:val="24"/>
        </w:rPr>
        <w:t xml:space="preserve"> are at least porous enough for homogenous political messaging to reach audiences in different cities and has the potential to influence the policy processes in distant locations.</w:t>
      </w:r>
      <w:r w:rsidR="00CF6050">
        <w:rPr>
          <w:rFonts w:ascii="Times New Roman" w:hAnsi="Times New Roman" w:cs="Times New Roman"/>
          <w:sz w:val="24"/>
          <w:szCs w:val="24"/>
        </w:rPr>
        <w:t xml:space="preserve"> </w:t>
      </w:r>
      <w:r w:rsidR="00D83BA5">
        <w:rPr>
          <w:rFonts w:ascii="Times New Roman" w:hAnsi="Times New Roman" w:cs="Times New Roman"/>
          <w:sz w:val="24"/>
          <w:szCs w:val="24"/>
        </w:rPr>
        <w:t xml:space="preserve">A final observation of how coalition members in the unconventional oil and gas subsystem use issue frames is that they </w:t>
      </w:r>
      <w:r w:rsidR="00D3492E">
        <w:rPr>
          <w:rFonts w:ascii="Times New Roman" w:hAnsi="Times New Roman" w:cs="Times New Roman"/>
          <w:sz w:val="24"/>
          <w:szCs w:val="24"/>
        </w:rPr>
        <w:t>are</w:t>
      </w:r>
      <w:r w:rsidR="00D83BA5">
        <w:rPr>
          <w:rFonts w:ascii="Times New Roman" w:hAnsi="Times New Roman" w:cs="Times New Roman"/>
          <w:sz w:val="24"/>
          <w:szCs w:val="24"/>
        </w:rPr>
        <w:t xml:space="preserve"> often used in conjunction with other issue frames. The platform limits communication to 240 characters. As a result, typical messages are not terribly </w:t>
      </w:r>
      <w:r w:rsidR="000E4981">
        <w:rPr>
          <w:rFonts w:ascii="Times New Roman" w:hAnsi="Times New Roman" w:cs="Times New Roman"/>
          <w:sz w:val="24"/>
          <w:szCs w:val="24"/>
        </w:rPr>
        <w:t>nuanced,</w:t>
      </w:r>
      <w:r w:rsidR="00D83BA5">
        <w:rPr>
          <w:rFonts w:ascii="Times New Roman" w:hAnsi="Times New Roman" w:cs="Times New Roman"/>
          <w:sz w:val="24"/>
          <w:szCs w:val="24"/>
        </w:rPr>
        <w:t xml:space="preserve"> and it often takes users several tweets to convey a complex message.</w:t>
      </w:r>
      <w:r w:rsidR="00CF6050">
        <w:rPr>
          <w:rFonts w:ascii="Times New Roman" w:hAnsi="Times New Roman" w:cs="Times New Roman"/>
          <w:sz w:val="24"/>
          <w:szCs w:val="24"/>
        </w:rPr>
        <w:t xml:space="preserve"> </w:t>
      </w:r>
      <w:r w:rsidR="00D83BA5">
        <w:rPr>
          <w:rFonts w:ascii="Times New Roman" w:hAnsi="Times New Roman" w:cs="Times New Roman"/>
          <w:sz w:val="24"/>
          <w:szCs w:val="24"/>
        </w:rPr>
        <w:t>Because of this, it is surprising to see</w:t>
      </w:r>
      <w:r w:rsidR="001262A9">
        <w:rPr>
          <w:rFonts w:ascii="Times New Roman" w:hAnsi="Times New Roman" w:cs="Times New Roman"/>
          <w:sz w:val="24"/>
          <w:szCs w:val="24"/>
        </w:rPr>
        <w:t xml:space="preserve"> relatively</w:t>
      </w:r>
      <w:r w:rsidR="00D83BA5">
        <w:rPr>
          <w:rFonts w:ascii="Times New Roman" w:hAnsi="Times New Roman" w:cs="Times New Roman"/>
          <w:sz w:val="24"/>
          <w:szCs w:val="24"/>
        </w:rPr>
        <w:t xml:space="preserve"> complex issue frame construction in a single tweet.</w:t>
      </w:r>
      <w:r w:rsidR="00CF6050">
        <w:rPr>
          <w:rFonts w:ascii="Times New Roman" w:hAnsi="Times New Roman" w:cs="Times New Roman"/>
          <w:sz w:val="24"/>
          <w:szCs w:val="24"/>
        </w:rPr>
        <w:t xml:space="preserve"> </w:t>
      </w:r>
    </w:p>
    <w:p w14:paraId="3239D4AD" w14:textId="77777777" w:rsidR="006C18AB" w:rsidRDefault="001262A9" w:rsidP="00780A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Findings related to issue congruence </w:t>
      </w:r>
      <w:r w:rsidR="00D3492E">
        <w:rPr>
          <w:rFonts w:ascii="Times New Roman" w:hAnsi="Times New Roman" w:cs="Times New Roman"/>
          <w:sz w:val="24"/>
          <w:szCs w:val="24"/>
        </w:rPr>
        <w:t>are</w:t>
      </w:r>
      <w:r>
        <w:rPr>
          <w:rFonts w:ascii="Times New Roman" w:hAnsi="Times New Roman" w:cs="Times New Roman"/>
          <w:sz w:val="24"/>
          <w:szCs w:val="24"/>
        </w:rPr>
        <w:t xml:space="preserve"> mixed.</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In general, there </w:t>
      </w:r>
      <w:r w:rsidR="00D3492E">
        <w:rPr>
          <w:rFonts w:ascii="Times New Roman" w:hAnsi="Times New Roman" w:cs="Times New Roman"/>
          <w:sz w:val="24"/>
          <w:szCs w:val="24"/>
        </w:rPr>
        <w:t>is</w:t>
      </w:r>
      <w:r>
        <w:rPr>
          <w:rFonts w:ascii="Times New Roman" w:hAnsi="Times New Roman" w:cs="Times New Roman"/>
          <w:sz w:val="24"/>
          <w:szCs w:val="24"/>
        </w:rPr>
        <w:t xml:space="preserve"> little issue congruence.</w:t>
      </w:r>
      <w:r w:rsidR="00CF6050">
        <w:rPr>
          <w:rFonts w:ascii="Times New Roman" w:hAnsi="Times New Roman" w:cs="Times New Roman"/>
          <w:sz w:val="24"/>
          <w:szCs w:val="24"/>
        </w:rPr>
        <w:t xml:space="preserve"> </w:t>
      </w:r>
      <w:r w:rsidR="003D7509">
        <w:rPr>
          <w:rFonts w:ascii="Times New Roman" w:hAnsi="Times New Roman" w:cs="Times New Roman"/>
          <w:sz w:val="24"/>
          <w:szCs w:val="24"/>
        </w:rPr>
        <w:t>All</w:t>
      </w:r>
      <w:r>
        <w:rPr>
          <w:rFonts w:ascii="Times New Roman" w:hAnsi="Times New Roman" w:cs="Times New Roman"/>
          <w:sz w:val="24"/>
          <w:szCs w:val="24"/>
        </w:rPr>
        <w:t xml:space="preserve"> coalitions did use the </w:t>
      </w:r>
      <w:r w:rsidRPr="00C86EA7">
        <w:rPr>
          <w:rFonts w:ascii="Times New Roman" w:hAnsi="Times New Roman" w:cs="Times New Roman"/>
          <w:i/>
          <w:iCs/>
          <w:sz w:val="24"/>
          <w:szCs w:val="24"/>
        </w:rPr>
        <w:t>risk of policy</w:t>
      </w:r>
      <w:r>
        <w:rPr>
          <w:rFonts w:ascii="Times New Roman" w:hAnsi="Times New Roman" w:cs="Times New Roman"/>
          <w:sz w:val="24"/>
          <w:szCs w:val="24"/>
        </w:rPr>
        <w:t xml:space="preserve"> </w:t>
      </w:r>
      <w:r w:rsidR="001D7EA8">
        <w:rPr>
          <w:rFonts w:ascii="Times New Roman" w:hAnsi="Times New Roman" w:cs="Times New Roman"/>
          <w:sz w:val="24"/>
          <w:szCs w:val="24"/>
        </w:rPr>
        <w:t>frame,</w:t>
      </w:r>
      <w:r>
        <w:rPr>
          <w:rFonts w:ascii="Times New Roman" w:hAnsi="Times New Roman" w:cs="Times New Roman"/>
          <w:sz w:val="24"/>
          <w:szCs w:val="24"/>
        </w:rPr>
        <w:t xml:space="preserve"> but the anti</w:t>
      </w:r>
      <w:r w:rsidR="00503C04">
        <w:rPr>
          <w:rFonts w:ascii="Times New Roman" w:hAnsi="Times New Roman" w:cs="Times New Roman"/>
          <w:sz w:val="24"/>
          <w:szCs w:val="24"/>
        </w:rPr>
        <w:t>-coalition use</w:t>
      </w:r>
      <w:r w:rsidR="00D3492E">
        <w:rPr>
          <w:rFonts w:ascii="Times New Roman" w:hAnsi="Times New Roman" w:cs="Times New Roman"/>
          <w:sz w:val="24"/>
          <w:szCs w:val="24"/>
        </w:rPr>
        <w:t>s</w:t>
      </w:r>
      <w:r w:rsidR="00503C04">
        <w:rPr>
          <w:rFonts w:ascii="Times New Roman" w:hAnsi="Times New Roman" w:cs="Times New Roman"/>
          <w:sz w:val="24"/>
          <w:szCs w:val="24"/>
        </w:rPr>
        <w:t xml:space="preserve"> </w:t>
      </w:r>
      <w:r>
        <w:rPr>
          <w:rFonts w:ascii="Times New Roman" w:hAnsi="Times New Roman" w:cs="Times New Roman"/>
          <w:sz w:val="24"/>
          <w:szCs w:val="24"/>
        </w:rPr>
        <w:t>it</w:t>
      </w:r>
      <w:r w:rsidR="00503C04">
        <w:rPr>
          <w:rFonts w:ascii="Times New Roman" w:hAnsi="Times New Roman" w:cs="Times New Roman"/>
          <w:sz w:val="24"/>
          <w:szCs w:val="24"/>
        </w:rPr>
        <w:t xml:space="preserve"> when arguing that the policy did not go far </w:t>
      </w:r>
      <w:r w:rsidR="002A31B2">
        <w:rPr>
          <w:rFonts w:ascii="Times New Roman" w:hAnsi="Times New Roman" w:cs="Times New Roman"/>
          <w:sz w:val="24"/>
          <w:szCs w:val="24"/>
        </w:rPr>
        <w:t>enough,</w:t>
      </w:r>
      <w:r w:rsidR="00503C04">
        <w:rPr>
          <w:rFonts w:ascii="Times New Roman" w:hAnsi="Times New Roman" w:cs="Times New Roman"/>
          <w:sz w:val="24"/>
          <w:szCs w:val="24"/>
        </w:rPr>
        <w:t xml:space="preserve"> or the policy was not being enforced.</w:t>
      </w:r>
      <w:r w:rsidR="00CF6050">
        <w:rPr>
          <w:rFonts w:ascii="Times New Roman" w:hAnsi="Times New Roman" w:cs="Times New Roman"/>
          <w:sz w:val="24"/>
          <w:szCs w:val="24"/>
        </w:rPr>
        <w:t xml:space="preserve"> </w:t>
      </w:r>
      <w:r>
        <w:rPr>
          <w:rFonts w:ascii="Times New Roman" w:hAnsi="Times New Roman" w:cs="Times New Roman"/>
          <w:sz w:val="24"/>
          <w:szCs w:val="24"/>
        </w:rPr>
        <w:t>Like-wise, the pro-coalition use</w:t>
      </w:r>
      <w:r w:rsidR="00D3492E">
        <w:rPr>
          <w:rFonts w:ascii="Times New Roman" w:hAnsi="Times New Roman" w:cs="Times New Roman"/>
          <w:sz w:val="24"/>
          <w:szCs w:val="24"/>
        </w:rPr>
        <w:t xml:space="preserve">s </w:t>
      </w:r>
      <w:r>
        <w:rPr>
          <w:rFonts w:ascii="Times New Roman" w:hAnsi="Times New Roman" w:cs="Times New Roman"/>
          <w:sz w:val="24"/>
          <w:szCs w:val="24"/>
        </w:rPr>
        <w:t xml:space="preserve">it by arguing </w:t>
      </w:r>
      <w:r w:rsidR="0000161D">
        <w:rPr>
          <w:rFonts w:ascii="Times New Roman" w:hAnsi="Times New Roman" w:cs="Times New Roman"/>
          <w:sz w:val="24"/>
          <w:szCs w:val="24"/>
        </w:rPr>
        <w:t>the issue of enforcement (</w:t>
      </w:r>
      <w:r w:rsidR="001D7EA8">
        <w:rPr>
          <w:rFonts w:ascii="Times New Roman" w:hAnsi="Times New Roman" w:cs="Times New Roman"/>
          <w:sz w:val="24"/>
          <w:szCs w:val="24"/>
        </w:rPr>
        <w:t>i.e.</w:t>
      </w:r>
      <w:r w:rsidR="0000161D">
        <w:rPr>
          <w:rFonts w:ascii="Times New Roman" w:hAnsi="Times New Roman" w:cs="Times New Roman"/>
          <w:sz w:val="24"/>
          <w:szCs w:val="24"/>
        </w:rPr>
        <w:t>, ‘we don’t need new laws, we just need to enforce the ones we have) but never arguing that the policy did not go far enough.</w:t>
      </w:r>
      <w:r w:rsidR="00CF6050">
        <w:rPr>
          <w:rFonts w:ascii="Times New Roman" w:hAnsi="Times New Roman" w:cs="Times New Roman"/>
          <w:sz w:val="24"/>
          <w:szCs w:val="24"/>
        </w:rPr>
        <w:t xml:space="preserve"> </w:t>
      </w:r>
      <w:r w:rsidR="0000161D">
        <w:rPr>
          <w:rFonts w:ascii="Times New Roman" w:hAnsi="Times New Roman" w:cs="Times New Roman"/>
          <w:sz w:val="24"/>
          <w:szCs w:val="24"/>
        </w:rPr>
        <w:t xml:space="preserve">Just as often as the enforcement argument, </w:t>
      </w:r>
      <w:r w:rsidR="0000161D" w:rsidRPr="00C86EA7">
        <w:rPr>
          <w:rFonts w:ascii="Times New Roman" w:hAnsi="Times New Roman" w:cs="Times New Roman"/>
          <w:i/>
          <w:iCs/>
          <w:sz w:val="24"/>
          <w:szCs w:val="24"/>
        </w:rPr>
        <w:t>risk of policy</w:t>
      </w:r>
      <w:r w:rsidR="0000161D">
        <w:rPr>
          <w:rFonts w:ascii="Times New Roman" w:hAnsi="Times New Roman" w:cs="Times New Roman"/>
          <w:sz w:val="24"/>
          <w:szCs w:val="24"/>
        </w:rPr>
        <w:t xml:space="preserve"> </w:t>
      </w:r>
      <w:r w:rsidR="00D3492E">
        <w:rPr>
          <w:rFonts w:ascii="Times New Roman" w:hAnsi="Times New Roman" w:cs="Times New Roman"/>
          <w:sz w:val="24"/>
          <w:szCs w:val="24"/>
        </w:rPr>
        <w:t>is</w:t>
      </w:r>
      <w:r w:rsidR="0000161D">
        <w:rPr>
          <w:rFonts w:ascii="Times New Roman" w:hAnsi="Times New Roman" w:cs="Times New Roman"/>
          <w:sz w:val="24"/>
          <w:szCs w:val="24"/>
        </w:rPr>
        <w:t xml:space="preserve"> often coupled with economic and energy development issue frames.</w:t>
      </w:r>
      <w:r w:rsidR="006C18AB">
        <w:rPr>
          <w:rFonts w:ascii="Times New Roman" w:hAnsi="Times New Roman" w:cs="Times New Roman"/>
          <w:sz w:val="24"/>
          <w:szCs w:val="24"/>
        </w:rPr>
        <w:t xml:space="preserve">  </w:t>
      </w:r>
    </w:p>
    <w:p w14:paraId="21D41195" w14:textId="6FA0D181" w:rsidR="0000161D" w:rsidRDefault="006C18AB" w:rsidP="00780A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C6F22">
        <w:rPr>
          <w:rFonts w:ascii="Times New Roman" w:hAnsi="Times New Roman" w:cs="Times New Roman"/>
          <w:sz w:val="24"/>
          <w:szCs w:val="24"/>
        </w:rPr>
        <w:t xml:space="preserve">he anti-coalition is much more likely to use environmental </w:t>
      </w:r>
      <w:r w:rsidR="007211CC">
        <w:rPr>
          <w:rFonts w:ascii="Times New Roman" w:hAnsi="Times New Roman" w:cs="Times New Roman"/>
          <w:sz w:val="24"/>
          <w:szCs w:val="24"/>
        </w:rPr>
        <w:t xml:space="preserve">and public health and safety risk </w:t>
      </w:r>
      <w:r w:rsidR="00CC6F22">
        <w:rPr>
          <w:rFonts w:ascii="Times New Roman" w:hAnsi="Times New Roman" w:cs="Times New Roman"/>
          <w:sz w:val="24"/>
          <w:szCs w:val="24"/>
        </w:rPr>
        <w:t>issue frames</w:t>
      </w:r>
      <w:r w:rsidR="007211CC">
        <w:rPr>
          <w:rFonts w:ascii="Times New Roman" w:hAnsi="Times New Roman" w:cs="Times New Roman"/>
          <w:sz w:val="24"/>
          <w:szCs w:val="24"/>
        </w:rPr>
        <w:t xml:space="preserve"> than economic and energy development risk issue frames.</w:t>
      </w:r>
      <w:r w:rsidR="00CC6F22">
        <w:rPr>
          <w:rFonts w:ascii="Times New Roman" w:hAnsi="Times New Roman" w:cs="Times New Roman"/>
          <w:sz w:val="24"/>
          <w:szCs w:val="24"/>
        </w:rPr>
        <w:t xml:space="preserve"> </w:t>
      </w:r>
      <w:r w:rsidR="007211CC">
        <w:rPr>
          <w:rFonts w:ascii="Times New Roman" w:hAnsi="Times New Roman" w:cs="Times New Roman"/>
          <w:sz w:val="24"/>
          <w:szCs w:val="24"/>
        </w:rPr>
        <w:t>T</w:t>
      </w:r>
      <w:r w:rsidR="00CC6F22">
        <w:rPr>
          <w:rFonts w:ascii="Times New Roman" w:hAnsi="Times New Roman" w:cs="Times New Roman"/>
          <w:sz w:val="24"/>
          <w:szCs w:val="24"/>
        </w:rPr>
        <w:t xml:space="preserve">he pro- coalition is </w:t>
      </w:r>
      <w:r w:rsidR="00CC6F22">
        <w:rPr>
          <w:rFonts w:ascii="Times New Roman" w:hAnsi="Times New Roman" w:cs="Times New Roman"/>
          <w:sz w:val="24"/>
          <w:szCs w:val="24"/>
        </w:rPr>
        <w:lastRenderedPageBreak/>
        <w:t>much more likely to use economic</w:t>
      </w:r>
      <w:r w:rsidR="007211CC">
        <w:rPr>
          <w:rFonts w:ascii="Times New Roman" w:hAnsi="Times New Roman" w:cs="Times New Roman"/>
          <w:sz w:val="24"/>
          <w:szCs w:val="24"/>
        </w:rPr>
        <w:t xml:space="preserve"> and energy development benefit</w:t>
      </w:r>
      <w:r w:rsidR="00CC6F22">
        <w:rPr>
          <w:rFonts w:ascii="Times New Roman" w:hAnsi="Times New Roman" w:cs="Times New Roman"/>
          <w:sz w:val="24"/>
          <w:szCs w:val="24"/>
        </w:rPr>
        <w:t xml:space="preserve"> frames</w:t>
      </w:r>
      <w:r w:rsidR="007211CC">
        <w:rPr>
          <w:rFonts w:ascii="Times New Roman" w:hAnsi="Times New Roman" w:cs="Times New Roman"/>
          <w:sz w:val="24"/>
          <w:szCs w:val="24"/>
        </w:rPr>
        <w:t xml:space="preserve"> than environmental and public health and safety frames. </w:t>
      </w:r>
      <w:r>
        <w:rPr>
          <w:rFonts w:ascii="Times New Roman" w:hAnsi="Times New Roman" w:cs="Times New Roman"/>
          <w:sz w:val="24"/>
          <w:szCs w:val="24"/>
        </w:rPr>
        <w:t>The high degree of issue incongruence</w:t>
      </w:r>
      <w:r w:rsidRPr="0000161D">
        <w:rPr>
          <w:rFonts w:ascii="Times New Roman" w:hAnsi="Times New Roman" w:cs="Times New Roman"/>
          <w:sz w:val="24"/>
          <w:szCs w:val="24"/>
        </w:rPr>
        <w:t xml:space="preserve"> </w:t>
      </w:r>
      <w:r>
        <w:rPr>
          <w:rFonts w:ascii="Times New Roman" w:hAnsi="Times New Roman" w:cs="Times New Roman"/>
          <w:sz w:val="24"/>
          <w:szCs w:val="24"/>
        </w:rPr>
        <w:t>reinforces</w:t>
      </w:r>
      <w:r w:rsidRPr="0000161D">
        <w:rPr>
          <w:rFonts w:ascii="Times New Roman" w:hAnsi="Times New Roman" w:cs="Times New Roman"/>
          <w:sz w:val="24"/>
          <w:szCs w:val="24"/>
        </w:rPr>
        <w:t xml:space="preserve"> the notion that </w:t>
      </w:r>
      <w:r>
        <w:rPr>
          <w:rFonts w:ascii="Times New Roman" w:hAnsi="Times New Roman" w:cs="Times New Roman"/>
          <w:sz w:val="24"/>
          <w:szCs w:val="24"/>
        </w:rPr>
        <w:t xml:space="preserve">policy actors are not ‘talking to each other’ by speaking on similar issues. </w:t>
      </w:r>
      <w:r w:rsidR="007211CC">
        <w:rPr>
          <w:rFonts w:ascii="Times New Roman" w:hAnsi="Times New Roman" w:cs="Times New Roman"/>
          <w:sz w:val="24"/>
          <w:szCs w:val="24"/>
        </w:rPr>
        <w:t xml:space="preserve">While there is some evidence of all eight being used, the propensities described above </w:t>
      </w:r>
      <w:r w:rsidR="0000161D">
        <w:rPr>
          <w:rFonts w:ascii="Times New Roman" w:hAnsi="Times New Roman" w:cs="Times New Roman"/>
          <w:sz w:val="24"/>
          <w:szCs w:val="24"/>
        </w:rPr>
        <w:t>further suggests that there is a considerable amount of conflict in the subsystem</w:t>
      </w:r>
      <w:r w:rsidR="007211CC">
        <w:rPr>
          <w:rFonts w:ascii="Times New Roman" w:hAnsi="Times New Roman" w:cs="Times New Roman"/>
          <w:sz w:val="24"/>
          <w:szCs w:val="24"/>
        </w:rPr>
        <w:t xml:space="preserve"> as opposing coalition members still disagree on what topics and problem definitions should be prioritized</w:t>
      </w:r>
      <w:r w:rsidR="0000161D">
        <w:rPr>
          <w:rFonts w:ascii="Times New Roman" w:hAnsi="Times New Roman" w:cs="Times New Roman"/>
          <w:sz w:val="24"/>
          <w:szCs w:val="24"/>
        </w:rPr>
        <w:t>.</w:t>
      </w:r>
    </w:p>
    <w:p w14:paraId="14420705" w14:textId="0F2196A4" w:rsidR="00EF74A7" w:rsidRPr="000F2DD1" w:rsidRDefault="00F46762" w:rsidP="008A1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Lastly</w:t>
      </w:r>
      <w:r w:rsidR="0084335A">
        <w:rPr>
          <w:rFonts w:ascii="Times New Roman" w:hAnsi="Times New Roman" w:cs="Times New Roman"/>
          <w:sz w:val="24"/>
          <w:szCs w:val="24"/>
        </w:rPr>
        <w:t>,</w:t>
      </w:r>
      <w:r w:rsidR="00CC6F22">
        <w:rPr>
          <w:rFonts w:ascii="Times New Roman" w:hAnsi="Times New Roman" w:cs="Times New Roman"/>
          <w:sz w:val="24"/>
          <w:szCs w:val="24"/>
        </w:rPr>
        <w:t xml:space="preserve"> the Issue Framing Stability Hypothesis </w:t>
      </w:r>
      <w:r w:rsidR="006C18AB">
        <w:rPr>
          <w:rFonts w:ascii="Times New Roman" w:hAnsi="Times New Roman" w:cs="Times New Roman"/>
          <w:sz w:val="24"/>
          <w:szCs w:val="24"/>
        </w:rPr>
        <w:t>was</w:t>
      </w:r>
      <w:r w:rsidR="00D220BF">
        <w:rPr>
          <w:rFonts w:ascii="Times New Roman" w:hAnsi="Times New Roman" w:cs="Times New Roman"/>
          <w:sz w:val="24"/>
          <w:szCs w:val="24"/>
        </w:rPr>
        <w:t xml:space="preserve"> </w:t>
      </w:r>
      <w:r w:rsidR="00CC6F22">
        <w:rPr>
          <w:rFonts w:ascii="Times New Roman" w:hAnsi="Times New Roman" w:cs="Times New Roman"/>
          <w:sz w:val="24"/>
          <w:szCs w:val="24"/>
        </w:rPr>
        <w:t xml:space="preserve">confirmed. </w:t>
      </w:r>
      <w:r w:rsidR="006C18AB">
        <w:rPr>
          <w:rFonts w:ascii="Times New Roman" w:hAnsi="Times New Roman" w:cs="Times New Roman"/>
          <w:sz w:val="24"/>
          <w:szCs w:val="24"/>
        </w:rPr>
        <w:t xml:space="preserve"> There was an increase in framing leading up to the major policy change.  This provides some evidence that there were strategic efforts to mobilize coalition members leading up to the ban. </w:t>
      </w:r>
      <w:r w:rsidR="0084335A" w:rsidRPr="0084335A">
        <w:rPr>
          <w:rFonts w:ascii="Times New Roman" w:hAnsi="Times New Roman" w:cs="Times New Roman"/>
          <w:sz w:val="24"/>
          <w:szCs w:val="24"/>
        </w:rPr>
        <w:t xml:space="preserve">What had lagged, however, was </w:t>
      </w:r>
      <w:r w:rsidR="00503C04">
        <w:rPr>
          <w:rFonts w:ascii="Times New Roman" w:hAnsi="Times New Roman" w:cs="Times New Roman"/>
          <w:sz w:val="24"/>
          <w:szCs w:val="24"/>
        </w:rPr>
        <w:t xml:space="preserve">discussion of </w:t>
      </w:r>
      <w:r w:rsidR="00503C04" w:rsidRPr="006A3657">
        <w:rPr>
          <w:rFonts w:ascii="Times New Roman" w:hAnsi="Times New Roman" w:cs="Times New Roman"/>
          <w:i/>
          <w:iCs/>
          <w:sz w:val="24"/>
          <w:szCs w:val="24"/>
        </w:rPr>
        <w:t>benefits</w:t>
      </w:r>
      <w:r w:rsidR="00503C04">
        <w:rPr>
          <w:rFonts w:ascii="Times New Roman" w:hAnsi="Times New Roman" w:cs="Times New Roman"/>
          <w:sz w:val="24"/>
          <w:szCs w:val="24"/>
        </w:rPr>
        <w:t xml:space="preserve"> or</w:t>
      </w:r>
      <w:r w:rsidR="0084335A" w:rsidRPr="0084335A">
        <w:rPr>
          <w:rFonts w:ascii="Times New Roman" w:hAnsi="Times New Roman" w:cs="Times New Roman"/>
          <w:sz w:val="24"/>
          <w:szCs w:val="24"/>
        </w:rPr>
        <w:t xml:space="preserve"> </w:t>
      </w:r>
      <w:r w:rsidR="0084335A" w:rsidRPr="006A3657">
        <w:rPr>
          <w:rFonts w:ascii="Times New Roman" w:hAnsi="Times New Roman" w:cs="Times New Roman"/>
          <w:i/>
          <w:iCs/>
          <w:sz w:val="24"/>
          <w:szCs w:val="24"/>
        </w:rPr>
        <w:t>risk</w:t>
      </w:r>
      <w:r w:rsidR="00503C04" w:rsidRPr="006A3657">
        <w:rPr>
          <w:rFonts w:ascii="Times New Roman" w:hAnsi="Times New Roman" w:cs="Times New Roman"/>
          <w:i/>
          <w:iCs/>
          <w:sz w:val="24"/>
          <w:szCs w:val="24"/>
        </w:rPr>
        <w:t>s</w:t>
      </w:r>
      <w:r w:rsidR="0084335A" w:rsidRPr="006A3657">
        <w:rPr>
          <w:rFonts w:ascii="Times New Roman" w:hAnsi="Times New Roman" w:cs="Times New Roman"/>
          <w:i/>
          <w:iCs/>
          <w:sz w:val="24"/>
          <w:szCs w:val="24"/>
        </w:rPr>
        <w:t xml:space="preserve"> of policy</w:t>
      </w:r>
      <w:r w:rsidR="0084335A" w:rsidRPr="0084335A">
        <w:rPr>
          <w:rFonts w:ascii="Times New Roman" w:hAnsi="Times New Roman" w:cs="Times New Roman"/>
          <w:sz w:val="24"/>
          <w:szCs w:val="24"/>
        </w:rPr>
        <w:t xml:space="preserve"> frames used by th</w:t>
      </w:r>
      <w:r w:rsidR="00503C04">
        <w:rPr>
          <w:rFonts w:ascii="Times New Roman" w:hAnsi="Times New Roman" w:cs="Times New Roman"/>
          <w:sz w:val="24"/>
          <w:szCs w:val="24"/>
        </w:rPr>
        <w:t xml:space="preserve">e respective </w:t>
      </w:r>
      <w:r w:rsidR="0084335A" w:rsidRPr="0084335A">
        <w:rPr>
          <w:rFonts w:ascii="Times New Roman" w:hAnsi="Times New Roman" w:cs="Times New Roman"/>
          <w:sz w:val="24"/>
          <w:szCs w:val="24"/>
        </w:rPr>
        <w:t>coalition</w:t>
      </w:r>
      <w:r w:rsidR="00503C04">
        <w:rPr>
          <w:rFonts w:ascii="Times New Roman" w:hAnsi="Times New Roman" w:cs="Times New Roman"/>
          <w:sz w:val="24"/>
          <w:szCs w:val="24"/>
        </w:rPr>
        <w:t>s</w:t>
      </w:r>
      <w:r w:rsidR="0084335A" w:rsidRPr="0084335A">
        <w:rPr>
          <w:rFonts w:ascii="Times New Roman" w:hAnsi="Times New Roman" w:cs="Times New Roman"/>
          <w:sz w:val="24"/>
          <w:szCs w:val="24"/>
        </w:rPr>
        <w:t>.</w:t>
      </w:r>
      <w:r w:rsidR="00CF6050">
        <w:rPr>
          <w:rFonts w:ascii="Times New Roman" w:hAnsi="Times New Roman" w:cs="Times New Roman"/>
          <w:sz w:val="24"/>
          <w:szCs w:val="24"/>
        </w:rPr>
        <w:t xml:space="preserve"> </w:t>
      </w:r>
      <w:r w:rsidR="0084335A" w:rsidRPr="0084335A">
        <w:rPr>
          <w:rFonts w:ascii="Times New Roman" w:hAnsi="Times New Roman" w:cs="Times New Roman"/>
          <w:sz w:val="24"/>
          <w:szCs w:val="24"/>
        </w:rPr>
        <w:t>Th</w:t>
      </w:r>
      <w:r w:rsidR="00503C04">
        <w:rPr>
          <w:rFonts w:ascii="Times New Roman" w:hAnsi="Times New Roman" w:cs="Times New Roman"/>
          <w:sz w:val="24"/>
          <w:szCs w:val="24"/>
        </w:rPr>
        <w:t xml:space="preserve">is suggests </w:t>
      </w:r>
      <w:r w:rsidR="00757F92">
        <w:rPr>
          <w:rFonts w:ascii="Times New Roman" w:hAnsi="Times New Roman" w:cs="Times New Roman"/>
          <w:sz w:val="24"/>
          <w:szCs w:val="24"/>
        </w:rPr>
        <w:t>coalition members are</w:t>
      </w:r>
      <w:r w:rsidR="006C18AB">
        <w:rPr>
          <w:rFonts w:ascii="Times New Roman" w:hAnsi="Times New Roman" w:cs="Times New Roman"/>
          <w:sz w:val="24"/>
          <w:szCs w:val="24"/>
        </w:rPr>
        <w:t xml:space="preserve"> shifting not only the frequency of issue frames but also the selection of issue frames in response to the policy change.</w:t>
      </w:r>
      <w:r w:rsidR="00757F92">
        <w:rPr>
          <w:rFonts w:ascii="Times New Roman" w:hAnsi="Times New Roman" w:cs="Times New Roman"/>
          <w:sz w:val="24"/>
          <w:szCs w:val="24"/>
        </w:rPr>
        <w:t xml:space="preserve"> </w:t>
      </w:r>
    </w:p>
    <w:p w14:paraId="133B439F" w14:textId="2E64CC84" w:rsidR="006C10A6" w:rsidRPr="003F278E" w:rsidRDefault="006C10A6" w:rsidP="003F278E">
      <w:pPr>
        <w:pStyle w:val="Heading1"/>
        <w:jc w:val="center"/>
        <w:rPr>
          <w:rFonts w:ascii="Times New Roman" w:hAnsi="Times New Roman" w:cs="Times New Roman"/>
          <w:b/>
          <w:bCs/>
          <w:color w:val="auto"/>
          <w:sz w:val="24"/>
          <w:szCs w:val="24"/>
        </w:rPr>
      </w:pPr>
      <w:bookmarkStart w:id="25" w:name="_Toc46917879"/>
      <w:r w:rsidRPr="003F278E">
        <w:rPr>
          <w:rFonts w:ascii="Times New Roman" w:hAnsi="Times New Roman" w:cs="Times New Roman"/>
          <w:b/>
          <w:bCs/>
          <w:color w:val="auto"/>
          <w:sz w:val="24"/>
          <w:szCs w:val="24"/>
        </w:rPr>
        <w:t>C</w:t>
      </w:r>
      <w:r w:rsidR="00BA06D0" w:rsidRPr="003F278E">
        <w:rPr>
          <w:rFonts w:ascii="Times New Roman" w:hAnsi="Times New Roman" w:cs="Times New Roman"/>
          <w:b/>
          <w:bCs/>
          <w:color w:val="auto"/>
          <w:sz w:val="24"/>
          <w:szCs w:val="24"/>
        </w:rPr>
        <w:t>ONCLUSION</w:t>
      </w:r>
      <w:bookmarkEnd w:id="25"/>
    </w:p>
    <w:p w14:paraId="38D6EDAE" w14:textId="672EDCD3" w:rsidR="006C10A6" w:rsidRDefault="006C10A6" w:rsidP="00BA06D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3440F0">
        <w:rPr>
          <w:rFonts w:ascii="Times New Roman" w:hAnsi="Times New Roman" w:cs="Times New Roman"/>
          <w:sz w:val="24"/>
          <w:szCs w:val="24"/>
        </w:rPr>
        <w:t>objectives of this work</w:t>
      </w:r>
      <w:r>
        <w:rPr>
          <w:rFonts w:ascii="Times New Roman" w:hAnsi="Times New Roman" w:cs="Times New Roman"/>
          <w:sz w:val="24"/>
          <w:szCs w:val="24"/>
        </w:rPr>
        <w:t xml:space="preserve"> </w:t>
      </w:r>
      <w:r w:rsidR="003440F0">
        <w:rPr>
          <w:rFonts w:ascii="Times New Roman" w:hAnsi="Times New Roman" w:cs="Times New Roman"/>
          <w:sz w:val="24"/>
          <w:szCs w:val="24"/>
        </w:rPr>
        <w:t>were</w:t>
      </w:r>
      <w:r>
        <w:rPr>
          <w:rFonts w:ascii="Times New Roman" w:hAnsi="Times New Roman" w:cs="Times New Roman"/>
          <w:sz w:val="24"/>
          <w:szCs w:val="24"/>
        </w:rPr>
        <w:t xml:space="preserve"> three-fold.</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First, this work </w:t>
      </w:r>
      <w:r w:rsidR="003440F0">
        <w:rPr>
          <w:rFonts w:ascii="Times New Roman" w:hAnsi="Times New Roman" w:cs="Times New Roman"/>
          <w:sz w:val="24"/>
          <w:szCs w:val="24"/>
        </w:rPr>
        <w:t>wa</w:t>
      </w:r>
      <w:r w:rsidR="00FF59C4">
        <w:rPr>
          <w:rFonts w:ascii="Times New Roman" w:hAnsi="Times New Roman" w:cs="Times New Roman"/>
          <w:sz w:val="24"/>
          <w:szCs w:val="24"/>
        </w:rPr>
        <w:t>s</w:t>
      </w:r>
      <w:r>
        <w:rPr>
          <w:rFonts w:ascii="Times New Roman" w:hAnsi="Times New Roman" w:cs="Times New Roman"/>
          <w:sz w:val="24"/>
          <w:szCs w:val="24"/>
        </w:rPr>
        <w:t xml:space="preserve"> conducted to explore how discursive strategies are employed </w:t>
      </w:r>
      <w:r w:rsidR="00C1085E">
        <w:rPr>
          <w:rFonts w:ascii="Times New Roman" w:hAnsi="Times New Roman" w:cs="Times New Roman"/>
          <w:sz w:val="24"/>
          <w:szCs w:val="24"/>
        </w:rPr>
        <w:t>online</w:t>
      </w:r>
      <w:r>
        <w:rPr>
          <w:rFonts w:ascii="Times New Roman" w:hAnsi="Times New Roman" w:cs="Times New Roman"/>
          <w:sz w:val="24"/>
          <w:szCs w:val="24"/>
        </w:rPr>
        <w:t>.</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The use of </w:t>
      </w:r>
      <w:r w:rsidR="00C1085E">
        <w:rPr>
          <w:rFonts w:ascii="Times New Roman" w:hAnsi="Times New Roman" w:cs="Times New Roman"/>
          <w:sz w:val="24"/>
          <w:szCs w:val="24"/>
        </w:rPr>
        <w:t>online</w:t>
      </w:r>
      <w:r>
        <w:rPr>
          <w:rFonts w:ascii="Times New Roman" w:hAnsi="Times New Roman" w:cs="Times New Roman"/>
          <w:sz w:val="24"/>
          <w:szCs w:val="24"/>
        </w:rPr>
        <w:t xml:space="preserve"> platforms like Twitter for coordinated political action has increased over the past fifteen years and will only grow in popularity as more people use the internet for political engagement. In the lead up to a national election during a pandemic, coalitions are likely to see this as an ideal way of engaging other policy actors as well as their constituencies which could easily remain a best practice long after the pandemic has ended.</w:t>
      </w:r>
      <w:r w:rsidR="00CF6050">
        <w:rPr>
          <w:rFonts w:ascii="Times New Roman" w:hAnsi="Times New Roman" w:cs="Times New Roman"/>
          <w:sz w:val="24"/>
          <w:szCs w:val="24"/>
        </w:rPr>
        <w:t xml:space="preserve"> </w:t>
      </w:r>
      <w:r w:rsidR="002B36AE">
        <w:rPr>
          <w:rFonts w:ascii="Times New Roman" w:hAnsi="Times New Roman" w:cs="Times New Roman"/>
          <w:sz w:val="24"/>
          <w:szCs w:val="24"/>
        </w:rPr>
        <w:t xml:space="preserve">This </w:t>
      </w:r>
      <w:r w:rsidR="004D7F53">
        <w:rPr>
          <w:rFonts w:ascii="Times New Roman" w:hAnsi="Times New Roman" w:cs="Times New Roman"/>
          <w:sz w:val="24"/>
          <w:szCs w:val="24"/>
        </w:rPr>
        <w:t>manuscript</w:t>
      </w:r>
      <w:r w:rsidR="002B36AE">
        <w:rPr>
          <w:rFonts w:ascii="Times New Roman" w:hAnsi="Times New Roman" w:cs="Times New Roman"/>
          <w:sz w:val="24"/>
          <w:szCs w:val="24"/>
        </w:rPr>
        <w:t xml:space="preserve"> works to better understand how discursive strategies are employed online as their use is expected only to grow. </w:t>
      </w:r>
      <w:r>
        <w:rPr>
          <w:rFonts w:ascii="Times New Roman" w:hAnsi="Times New Roman" w:cs="Times New Roman"/>
          <w:sz w:val="24"/>
          <w:szCs w:val="24"/>
        </w:rPr>
        <w:t xml:space="preserve">Second, I </w:t>
      </w:r>
      <w:r w:rsidR="00FF59C4">
        <w:rPr>
          <w:rFonts w:ascii="Times New Roman" w:hAnsi="Times New Roman" w:cs="Times New Roman"/>
          <w:sz w:val="24"/>
          <w:szCs w:val="24"/>
        </w:rPr>
        <w:t>am</w:t>
      </w:r>
      <w:r>
        <w:rPr>
          <w:rFonts w:ascii="Times New Roman" w:hAnsi="Times New Roman" w:cs="Times New Roman"/>
          <w:sz w:val="24"/>
          <w:szCs w:val="24"/>
        </w:rPr>
        <w:t xml:space="preserve"> interested in understanding the role that conflict plays in adversarial subsystems.</w:t>
      </w:r>
      <w:r w:rsidR="00CF6050">
        <w:rPr>
          <w:rFonts w:ascii="Times New Roman" w:hAnsi="Times New Roman" w:cs="Times New Roman"/>
          <w:sz w:val="24"/>
          <w:szCs w:val="24"/>
        </w:rPr>
        <w:t xml:space="preserve"> </w:t>
      </w:r>
      <w:r>
        <w:rPr>
          <w:rFonts w:ascii="Times New Roman" w:hAnsi="Times New Roman" w:cs="Times New Roman"/>
          <w:sz w:val="24"/>
          <w:szCs w:val="24"/>
        </w:rPr>
        <w:t>Adversarial subsystems are those that have a higher propensity for conflict than other subsystems.</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It speaks to the nature of </w:t>
      </w:r>
      <w:r>
        <w:rPr>
          <w:rFonts w:ascii="Times New Roman" w:hAnsi="Times New Roman" w:cs="Times New Roman"/>
          <w:sz w:val="24"/>
          <w:szCs w:val="24"/>
        </w:rPr>
        <w:lastRenderedPageBreak/>
        <w:t xml:space="preserve">the policy process </w:t>
      </w:r>
      <w:r w:rsidR="002A31B2">
        <w:rPr>
          <w:rFonts w:ascii="Times New Roman" w:hAnsi="Times New Roman" w:cs="Times New Roman"/>
          <w:sz w:val="24"/>
          <w:szCs w:val="24"/>
        </w:rPr>
        <w:t>therein,</w:t>
      </w:r>
      <w:r>
        <w:rPr>
          <w:rFonts w:ascii="Times New Roman" w:hAnsi="Times New Roman" w:cs="Times New Roman"/>
          <w:sz w:val="24"/>
          <w:szCs w:val="24"/>
        </w:rPr>
        <w:t xml:space="preserve"> whether there is space for compromise between dominant policy positions, the amount and types of venues for resolving disputes, and the history of conflict and compromise in the subsystem.</w:t>
      </w:r>
      <w:r w:rsidR="00CF6050">
        <w:rPr>
          <w:rFonts w:ascii="Times New Roman" w:hAnsi="Times New Roman" w:cs="Times New Roman"/>
          <w:sz w:val="24"/>
          <w:szCs w:val="24"/>
        </w:rPr>
        <w:t xml:space="preserve"> </w:t>
      </w:r>
      <w:r>
        <w:rPr>
          <w:rFonts w:ascii="Times New Roman" w:hAnsi="Times New Roman" w:cs="Times New Roman"/>
          <w:sz w:val="24"/>
          <w:szCs w:val="24"/>
        </w:rPr>
        <w:t>However, within an adversarial subsystem, the degree of conflict varies.</w:t>
      </w:r>
      <w:r w:rsidR="00CF6050">
        <w:rPr>
          <w:rFonts w:ascii="Times New Roman" w:hAnsi="Times New Roman" w:cs="Times New Roman"/>
          <w:sz w:val="24"/>
          <w:szCs w:val="24"/>
        </w:rPr>
        <w:t xml:space="preserve"> </w:t>
      </w:r>
      <w:r>
        <w:rPr>
          <w:rFonts w:ascii="Times New Roman" w:hAnsi="Times New Roman" w:cs="Times New Roman"/>
          <w:sz w:val="24"/>
          <w:szCs w:val="24"/>
        </w:rPr>
        <w:t>Tension between actors can grow leading up to a major policy change.</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This work </w:t>
      </w:r>
      <w:r w:rsidR="00FF59C4">
        <w:rPr>
          <w:rFonts w:ascii="Times New Roman" w:hAnsi="Times New Roman" w:cs="Times New Roman"/>
          <w:sz w:val="24"/>
          <w:szCs w:val="24"/>
        </w:rPr>
        <w:t>i</w:t>
      </w:r>
      <w:r>
        <w:rPr>
          <w:rFonts w:ascii="Times New Roman" w:hAnsi="Times New Roman" w:cs="Times New Roman"/>
          <w:sz w:val="24"/>
          <w:szCs w:val="24"/>
        </w:rPr>
        <w:t>s interested in looking at two adversarial subsystems with differing levels of conflict.</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Lastly, I </w:t>
      </w:r>
      <w:r w:rsidR="00FF59C4">
        <w:rPr>
          <w:rFonts w:ascii="Times New Roman" w:hAnsi="Times New Roman" w:cs="Times New Roman"/>
          <w:sz w:val="24"/>
          <w:szCs w:val="24"/>
        </w:rPr>
        <w:t>am</w:t>
      </w:r>
      <w:r>
        <w:rPr>
          <w:rFonts w:ascii="Times New Roman" w:hAnsi="Times New Roman" w:cs="Times New Roman"/>
          <w:sz w:val="24"/>
          <w:szCs w:val="24"/>
        </w:rPr>
        <w:t xml:space="preserve"> interested in looking at how discursive strategies change as the result of a major policy change.</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It is assumed that coalitions will respond differently based on whether they are winning or losing and whether they perceive that their interests are being threatened. Studying issue framing, my work provides additional insight into how policy actors respond and when. </w:t>
      </w:r>
    </w:p>
    <w:p w14:paraId="4D47F63B" w14:textId="37939173" w:rsidR="003440F0" w:rsidRDefault="003440F0" w:rsidP="003440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limitation of this research is that abstract and informal language posed a challenge to accurately identifying whether or not a frame was present. Twitter’s limited textual capacity leads users to use colloquial terms or make sweeping statements that, without appropriate context, is difficult to assess. The chief instance of this is when assessing the </w:t>
      </w:r>
      <w:r w:rsidRPr="00D957B1">
        <w:rPr>
          <w:rFonts w:ascii="Times New Roman" w:hAnsi="Times New Roman" w:cs="Times New Roman"/>
          <w:sz w:val="24"/>
          <w:szCs w:val="24"/>
        </w:rPr>
        <w:t xml:space="preserve">risk/benefit of </w:t>
      </w:r>
      <w:r>
        <w:rPr>
          <w:rFonts w:ascii="Times New Roman" w:hAnsi="Times New Roman" w:cs="Times New Roman"/>
          <w:sz w:val="24"/>
          <w:szCs w:val="24"/>
        </w:rPr>
        <w:t>policy. It</w:t>
      </w:r>
      <w:r w:rsidRPr="00D957B1">
        <w:rPr>
          <w:rFonts w:ascii="Times New Roman" w:hAnsi="Times New Roman" w:cs="Times New Roman"/>
          <w:sz w:val="24"/>
          <w:szCs w:val="24"/>
        </w:rPr>
        <w:t xml:space="preserve"> may be underrepresented</w:t>
      </w:r>
      <w:r>
        <w:rPr>
          <w:rFonts w:ascii="Times New Roman" w:hAnsi="Times New Roman" w:cs="Times New Roman"/>
          <w:sz w:val="24"/>
          <w:szCs w:val="24"/>
        </w:rPr>
        <w:t xml:space="preserve"> in my analysis as some tweets express broad sentiments following the major policy change but only posted something like ‘Good work, governor! We are now a healthier state.’ This issue is mediated by evaluating additional tweets from the coalition member which provided additional context. In the instance of the most common case described above, these statements are always made after the policy change and not before and largely fade away shortly after the policy change. </w:t>
      </w:r>
    </w:p>
    <w:p w14:paraId="5CBE26E0" w14:textId="77777777" w:rsidR="003440F0" w:rsidRPr="00317AF8" w:rsidRDefault="003440F0" w:rsidP="003440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second limitation is the e</w:t>
      </w:r>
      <w:r w:rsidRPr="00A34E4F">
        <w:rPr>
          <w:rFonts w:ascii="Times New Roman" w:hAnsi="Times New Roman" w:cs="Times New Roman"/>
          <w:sz w:val="24"/>
          <w:szCs w:val="24"/>
        </w:rPr>
        <w:t xml:space="preserve">xtent to which social media reflects </w:t>
      </w:r>
      <w:r>
        <w:rPr>
          <w:rFonts w:ascii="Times New Roman" w:hAnsi="Times New Roman" w:cs="Times New Roman"/>
          <w:sz w:val="24"/>
          <w:szCs w:val="24"/>
        </w:rPr>
        <w:t xml:space="preserve">meaningful </w:t>
      </w:r>
      <w:r w:rsidRPr="00A34E4F">
        <w:rPr>
          <w:rFonts w:ascii="Times New Roman" w:hAnsi="Times New Roman" w:cs="Times New Roman"/>
          <w:sz w:val="24"/>
          <w:szCs w:val="24"/>
        </w:rPr>
        <w:t>associati</w:t>
      </w:r>
      <w:r>
        <w:rPr>
          <w:rFonts w:ascii="Times New Roman" w:hAnsi="Times New Roman" w:cs="Times New Roman"/>
          <w:sz w:val="24"/>
          <w:szCs w:val="24"/>
        </w:rPr>
        <w:t>on and coordination. I</w:t>
      </w:r>
      <w:r w:rsidRPr="00A34E4F">
        <w:rPr>
          <w:rFonts w:ascii="Times New Roman" w:hAnsi="Times New Roman" w:cs="Times New Roman"/>
          <w:sz w:val="24"/>
          <w:szCs w:val="24"/>
        </w:rPr>
        <w:t xml:space="preserve">nformation transfer amongst policy </w:t>
      </w:r>
      <w:r>
        <w:rPr>
          <w:rFonts w:ascii="Times New Roman" w:hAnsi="Times New Roman" w:cs="Times New Roman"/>
          <w:sz w:val="24"/>
          <w:szCs w:val="24"/>
        </w:rPr>
        <w:t>actors</w:t>
      </w:r>
      <w:r w:rsidRPr="00A34E4F">
        <w:rPr>
          <w:rFonts w:ascii="Times New Roman" w:hAnsi="Times New Roman" w:cs="Times New Roman"/>
          <w:sz w:val="24"/>
          <w:szCs w:val="24"/>
        </w:rPr>
        <w:t xml:space="preserve"> may be overstated</w:t>
      </w:r>
      <w:r>
        <w:rPr>
          <w:rFonts w:ascii="Times New Roman" w:hAnsi="Times New Roman" w:cs="Times New Roman"/>
          <w:sz w:val="24"/>
          <w:szCs w:val="24"/>
        </w:rPr>
        <w:t xml:space="preserve">. One entrenched weakness of the ACF is its inability to draw the line between what is meaningful coordination and what is not. More explicit and visible displays of collective action are easily identified but </w:t>
      </w:r>
      <w:r>
        <w:rPr>
          <w:rFonts w:ascii="Times New Roman" w:hAnsi="Times New Roman" w:cs="Times New Roman"/>
          <w:sz w:val="24"/>
          <w:szCs w:val="24"/>
        </w:rPr>
        <w:lastRenderedPageBreak/>
        <w:t xml:space="preserve">there are many other behaviors of successful coalitions that are not as easy to measure. Many studies have confirmed that online discourse does reflect off-line behavior related to voting, protesting, and even revolution (O’Conner et al 2010; Costanza-Chock 2008). As more and more people shift their civic engagement to online platforms, especially during the lead up to a presidential election in a pandemic, the more likely that those associations will manifest into real changes to the policy agenda vis-à-vis alignment of a coalition’s discursive strategies and shifts in public opinion.  </w:t>
      </w:r>
    </w:p>
    <w:p w14:paraId="05E6395E" w14:textId="2FD40C43" w:rsidR="003440F0" w:rsidRDefault="00972B58" w:rsidP="003440F0">
      <w:pPr>
        <w:spacing w:after="0" w:line="480"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A final limitation is</w:t>
      </w:r>
      <w:r w:rsidR="003440F0" w:rsidRPr="006C18AB">
        <w:rPr>
          <w:rFonts w:ascii="Times New Roman" w:eastAsia="Calibri" w:hAnsi="Times New Roman" w:cs="Times New Roman"/>
          <w:sz w:val="24"/>
          <w:szCs w:val="24"/>
        </w:rPr>
        <w:t xml:space="preserve"> the impact of exogenous factors on </w:t>
      </w:r>
      <w:r>
        <w:rPr>
          <w:rFonts w:ascii="Times New Roman" w:eastAsia="Calibri" w:hAnsi="Times New Roman" w:cs="Times New Roman"/>
          <w:sz w:val="24"/>
          <w:szCs w:val="24"/>
        </w:rPr>
        <w:t>the results</w:t>
      </w:r>
      <w:r w:rsidR="003440F0" w:rsidRPr="006C18AB">
        <w:rPr>
          <w:rFonts w:ascii="Times New Roman" w:eastAsia="Calibri" w:hAnsi="Times New Roman" w:cs="Times New Roman"/>
          <w:sz w:val="24"/>
          <w:szCs w:val="24"/>
        </w:rPr>
        <w:t xml:space="preserve"> must be recognized. An external factor that could have played a role in the major reduction in activity after the policy change is dynamics of the energy market more broadly. Between 2014 and 2015, the price of a barrel of oil dropped from 87.39 USD to 44.39 USD (USEIA</w:t>
      </w:r>
      <w:r w:rsidR="003440F0" w:rsidRPr="006C18AB">
        <w:rPr>
          <w:rStyle w:val="Hyperlink"/>
          <w:rFonts w:ascii="Times New Roman" w:eastAsia="Calibri" w:hAnsi="Times New Roman" w:cs="Times New Roman"/>
          <w:color w:val="auto"/>
          <w:sz w:val="24"/>
          <w:szCs w:val="24"/>
          <w:u w:val="none"/>
        </w:rPr>
        <w:t xml:space="preserve"> 2020</w:t>
      </w:r>
      <w:r w:rsidR="003440F0" w:rsidRPr="006C18AB">
        <w:rPr>
          <w:rFonts w:ascii="Times New Roman" w:eastAsia="Calibri" w:hAnsi="Times New Roman" w:cs="Times New Roman"/>
          <w:sz w:val="24"/>
          <w:szCs w:val="24"/>
        </w:rPr>
        <w:t>). With such low prices, hydraulic fracturing has become less economically tenable in many parts of the country. Fewer wells are being drilled and the conflicts associated with such development may be neutered for the time. Such changes could have reduced salience of the issue. However, drilled wells continue to be active, and those coalition members who have much to gain or lose once it becomes viable again still have a stake in shaping discourse around these issues.</w:t>
      </w:r>
      <w:r w:rsidR="003440F0">
        <w:rPr>
          <w:rFonts w:ascii="Times New Roman" w:eastAsia="Calibri" w:hAnsi="Times New Roman" w:cs="Times New Roman"/>
          <w:sz w:val="24"/>
          <w:szCs w:val="24"/>
        </w:rPr>
        <w:t xml:space="preserve"> </w:t>
      </w:r>
    </w:p>
    <w:p w14:paraId="2A26E5AC" w14:textId="61A8A1FA" w:rsidR="00BE1E07" w:rsidRDefault="00BE1E07" w:rsidP="00BE1E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work shows that issue frames are a common discursive strategy in at least two unconventional oil and gas subsystems. As coalitions compete within this discursive venue, there is greater utilization of distinct issue frames to advance policy positions. This issue incongruence indicates that the subsystem is more characterized by conflict than by consensus. In addition, I find that the use of issue framing comports with the theory of issue expansion. </w:t>
      </w:r>
    </w:p>
    <w:p w14:paraId="74E7444C" w14:textId="3145BD9E" w:rsidR="00BE1E07" w:rsidRDefault="00BE1E07" w:rsidP="003440F0">
      <w:pPr>
        <w:spacing w:after="0" w:line="480" w:lineRule="auto"/>
        <w:ind w:firstLine="360"/>
        <w:contextualSpacing/>
        <w:rPr>
          <w:rFonts w:ascii="Times New Roman" w:eastAsia="Calibri" w:hAnsi="Times New Roman" w:cs="Times New Roman"/>
          <w:sz w:val="24"/>
          <w:szCs w:val="24"/>
        </w:rPr>
      </w:pPr>
    </w:p>
    <w:p w14:paraId="03E05363" w14:textId="708CED7D" w:rsidR="006C10A6" w:rsidRDefault="006C10A6" w:rsidP="00BA06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B7347D">
        <w:rPr>
          <w:rFonts w:ascii="Times New Roman" w:hAnsi="Times New Roman" w:cs="Times New Roman"/>
          <w:sz w:val="24"/>
          <w:szCs w:val="24"/>
        </w:rPr>
        <w:t>manuscript</w:t>
      </w:r>
      <w:r>
        <w:rPr>
          <w:rFonts w:ascii="Times New Roman" w:hAnsi="Times New Roman" w:cs="Times New Roman"/>
          <w:sz w:val="24"/>
          <w:szCs w:val="24"/>
        </w:rPr>
        <w:t xml:space="preserve"> contributes to the study and practice of policymaking in a variety of ways.</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Methodologically, this work uses Twitter both as an </w:t>
      </w:r>
      <w:r w:rsidR="00C1085E">
        <w:rPr>
          <w:rFonts w:ascii="Times New Roman" w:hAnsi="Times New Roman" w:cs="Times New Roman"/>
          <w:sz w:val="24"/>
          <w:szCs w:val="24"/>
        </w:rPr>
        <w:t>online</w:t>
      </w:r>
      <w:r>
        <w:rPr>
          <w:rFonts w:ascii="Times New Roman" w:hAnsi="Times New Roman" w:cs="Times New Roman"/>
          <w:sz w:val="24"/>
          <w:szCs w:val="24"/>
        </w:rPr>
        <w:t xml:space="preserve"> venue and as a data source.</w:t>
      </w:r>
      <w:r w:rsidR="00CF6050">
        <w:rPr>
          <w:rFonts w:ascii="Times New Roman" w:hAnsi="Times New Roman" w:cs="Times New Roman"/>
          <w:sz w:val="24"/>
          <w:szCs w:val="24"/>
        </w:rPr>
        <w:t xml:space="preserve"> </w:t>
      </w:r>
      <w:r>
        <w:rPr>
          <w:rFonts w:ascii="Times New Roman" w:hAnsi="Times New Roman" w:cs="Times New Roman"/>
          <w:sz w:val="24"/>
          <w:szCs w:val="24"/>
        </w:rPr>
        <w:t>Past ACF applications have used newspapers and surveys to determine coalitions and observe behavior.</w:t>
      </w:r>
      <w:r w:rsidR="00CF6050">
        <w:rPr>
          <w:rFonts w:ascii="Times New Roman" w:hAnsi="Times New Roman" w:cs="Times New Roman"/>
          <w:sz w:val="24"/>
          <w:szCs w:val="24"/>
        </w:rPr>
        <w:t xml:space="preserve"> </w:t>
      </w:r>
      <w:r>
        <w:rPr>
          <w:rFonts w:ascii="Times New Roman" w:hAnsi="Times New Roman" w:cs="Times New Roman"/>
          <w:sz w:val="24"/>
          <w:szCs w:val="24"/>
        </w:rPr>
        <w:t>This work was able to look directly at behavior (as opposed to reported behavior) and do so over time.</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While several ACF works use Twitter to observe relevant discourse, </w:t>
      </w:r>
      <w:r w:rsidR="00EE1FB7">
        <w:rPr>
          <w:rFonts w:ascii="Times New Roman" w:hAnsi="Times New Roman" w:cs="Times New Roman"/>
          <w:sz w:val="24"/>
          <w:szCs w:val="24"/>
        </w:rPr>
        <w:t>they</w:t>
      </w:r>
      <w:r>
        <w:rPr>
          <w:rFonts w:ascii="Times New Roman" w:hAnsi="Times New Roman" w:cs="Times New Roman"/>
          <w:sz w:val="24"/>
          <w:szCs w:val="24"/>
        </w:rPr>
        <w:t xml:space="preserve"> do not look at the totality of the discourse over time and across a significant amount of active coalition members.</w:t>
      </w:r>
      <w:r w:rsidR="00CF6050">
        <w:rPr>
          <w:rFonts w:ascii="Times New Roman" w:hAnsi="Times New Roman" w:cs="Times New Roman"/>
          <w:sz w:val="24"/>
          <w:szCs w:val="24"/>
        </w:rPr>
        <w:t xml:space="preserve"> </w:t>
      </w:r>
    </w:p>
    <w:p w14:paraId="4FEBBCBA" w14:textId="1F391B8F" w:rsidR="006C10A6" w:rsidRDefault="006C10A6" w:rsidP="00BA06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Theoretically, this work contributes in two key ways.</w:t>
      </w:r>
      <w:r w:rsidR="00CF6050">
        <w:rPr>
          <w:rFonts w:ascii="Times New Roman" w:hAnsi="Times New Roman" w:cs="Times New Roman"/>
          <w:sz w:val="24"/>
          <w:szCs w:val="24"/>
        </w:rPr>
        <w:t xml:space="preserve"> </w:t>
      </w:r>
      <w:r>
        <w:rPr>
          <w:rFonts w:ascii="Times New Roman" w:hAnsi="Times New Roman" w:cs="Times New Roman"/>
          <w:sz w:val="24"/>
          <w:szCs w:val="24"/>
        </w:rPr>
        <w:t>First, it provides additional insight into how the ACF should conceptualize a policy subsystem. While all politics may be local, those politics can be strategically used across subsystems, blurring the boundaries between them.</w:t>
      </w:r>
      <w:r w:rsidR="00CF6050">
        <w:rPr>
          <w:rFonts w:ascii="Times New Roman" w:hAnsi="Times New Roman" w:cs="Times New Roman"/>
          <w:sz w:val="24"/>
          <w:szCs w:val="24"/>
        </w:rPr>
        <w:t xml:space="preserve"> </w:t>
      </w:r>
      <w:r>
        <w:rPr>
          <w:rFonts w:ascii="Times New Roman" w:hAnsi="Times New Roman" w:cs="Times New Roman"/>
          <w:sz w:val="24"/>
          <w:szCs w:val="24"/>
        </w:rPr>
        <w:t>National players such as the American Petroleum Institute and Earthworks have influence in discursive venues even if they are not ones with local knowledge or ‘boots on the ground.’</w:t>
      </w:r>
      <w:r w:rsidR="00CF6050">
        <w:rPr>
          <w:rFonts w:ascii="Times New Roman" w:hAnsi="Times New Roman" w:cs="Times New Roman"/>
          <w:sz w:val="24"/>
          <w:szCs w:val="24"/>
        </w:rPr>
        <w:t xml:space="preserve"> </w:t>
      </w:r>
      <w:r>
        <w:rPr>
          <w:rFonts w:ascii="Times New Roman" w:hAnsi="Times New Roman" w:cs="Times New Roman"/>
          <w:sz w:val="24"/>
          <w:szCs w:val="24"/>
        </w:rPr>
        <w:t>Discursive venues like Twitter allow for events in different geographic locations relevant to policy actors in the New York subsystem to be distributed through the coalition’s network.</w:t>
      </w:r>
      <w:r w:rsidR="00CF6050">
        <w:rPr>
          <w:rFonts w:ascii="Times New Roman" w:hAnsi="Times New Roman" w:cs="Times New Roman"/>
          <w:sz w:val="24"/>
          <w:szCs w:val="24"/>
        </w:rPr>
        <w:t xml:space="preserve"> </w:t>
      </w:r>
      <w:r>
        <w:rPr>
          <w:rFonts w:ascii="Times New Roman" w:hAnsi="Times New Roman" w:cs="Times New Roman"/>
          <w:sz w:val="24"/>
          <w:szCs w:val="24"/>
        </w:rPr>
        <w:t>As the use of the internet increases, the physical boundaries separating subsystems may need to be rethought or perhaps rejected entirely.</w:t>
      </w:r>
      <w:r w:rsidR="00CF6050">
        <w:rPr>
          <w:rFonts w:ascii="Times New Roman" w:hAnsi="Times New Roman" w:cs="Times New Roman"/>
          <w:sz w:val="24"/>
          <w:szCs w:val="24"/>
        </w:rPr>
        <w:t xml:space="preserve"> </w:t>
      </w:r>
    </w:p>
    <w:p w14:paraId="21B41B84" w14:textId="23900EBF" w:rsidR="006C10A6" w:rsidRDefault="006C10A6" w:rsidP="00BA06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second theoretical contribution relates to how we conceive of conflict in adversarial subsystems.</w:t>
      </w:r>
      <w:r w:rsidR="00CF6050">
        <w:rPr>
          <w:rFonts w:ascii="Times New Roman" w:hAnsi="Times New Roman" w:cs="Times New Roman"/>
          <w:sz w:val="24"/>
          <w:szCs w:val="24"/>
        </w:rPr>
        <w:t xml:space="preserve"> </w:t>
      </w:r>
      <w:r>
        <w:rPr>
          <w:rFonts w:ascii="Times New Roman" w:hAnsi="Times New Roman" w:cs="Times New Roman"/>
          <w:sz w:val="24"/>
          <w:szCs w:val="24"/>
        </w:rPr>
        <w:t>It is assumed that if conflict is observed, it is an adversarial subsystem.</w:t>
      </w:r>
      <w:r w:rsidR="00CF6050">
        <w:rPr>
          <w:rFonts w:ascii="Times New Roman" w:hAnsi="Times New Roman" w:cs="Times New Roman"/>
          <w:sz w:val="24"/>
          <w:szCs w:val="24"/>
        </w:rPr>
        <w:t xml:space="preserve"> </w:t>
      </w:r>
      <w:r>
        <w:rPr>
          <w:rFonts w:ascii="Times New Roman" w:hAnsi="Times New Roman" w:cs="Times New Roman"/>
          <w:sz w:val="24"/>
          <w:szCs w:val="24"/>
        </w:rPr>
        <w:t>This understanding is incomplete in that every subsystem in a democratic society has some degree of conflict and that conflict can be healthy.</w:t>
      </w:r>
      <w:r w:rsidR="00CF6050">
        <w:rPr>
          <w:rFonts w:ascii="Times New Roman" w:hAnsi="Times New Roman" w:cs="Times New Roman"/>
          <w:sz w:val="24"/>
          <w:szCs w:val="24"/>
        </w:rPr>
        <w:t xml:space="preserve"> </w:t>
      </w:r>
      <w:r>
        <w:rPr>
          <w:rFonts w:ascii="Times New Roman" w:hAnsi="Times New Roman" w:cs="Times New Roman"/>
          <w:sz w:val="24"/>
          <w:szCs w:val="24"/>
        </w:rPr>
        <w:t>Similarly, there are varying degrees of conflict in an adversarial subsystem.</w:t>
      </w:r>
      <w:r w:rsidR="00CF6050">
        <w:rPr>
          <w:rFonts w:ascii="Times New Roman" w:hAnsi="Times New Roman" w:cs="Times New Roman"/>
          <w:sz w:val="24"/>
          <w:szCs w:val="24"/>
        </w:rPr>
        <w:t xml:space="preserve"> </w:t>
      </w:r>
      <w:r w:rsidR="00972B58">
        <w:rPr>
          <w:rFonts w:ascii="Times New Roman" w:hAnsi="Times New Roman" w:cs="Times New Roman"/>
          <w:sz w:val="24"/>
          <w:szCs w:val="24"/>
        </w:rPr>
        <w:t>This</w:t>
      </w:r>
      <w:r>
        <w:rPr>
          <w:rFonts w:ascii="Times New Roman" w:hAnsi="Times New Roman" w:cs="Times New Roman"/>
          <w:sz w:val="24"/>
          <w:szCs w:val="24"/>
        </w:rPr>
        <w:t xml:space="preserve"> work acknowledge</w:t>
      </w:r>
      <w:r w:rsidR="00972B58">
        <w:rPr>
          <w:rFonts w:ascii="Times New Roman" w:hAnsi="Times New Roman" w:cs="Times New Roman"/>
          <w:sz w:val="24"/>
          <w:szCs w:val="24"/>
        </w:rPr>
        <w:t>s</w:t>
      </w:r>
      <w:r>
        <w:rPr>
          <w:rFonts w:ascii="Times New Roman" w:hAnsi="Times New Roman" w:cs="Times New Roman"/>
          <w:sz w:val="24"/>
          <w:szCs w:val="24"/>
        </w:rPr>
        <w:t xml:space="preserve"> this nuance by providing evidence of two adversarial subsystems characterized by varying degrees of conflict.</w:t>
      </w:r>
      <w:r w:rsidR="00CF6050">
        <w:rPr>
          <w:rFonts w:ascii="Times New Roman" w:hAnsi="Times New Roman" w:cs="Times New Roman"/>
          <w:sz w:val="24"/>
          <w:szCs w:val="24"/>
        </w:rPr>
        <w:t xml:space="preserve"> </w:t>
      </w:r>
    </w:p>
    <w:p w14:paraId="4D87B12B" w14:textId="245A9EEC" w:rsidR="00100136" w:rsidRDefault="006C10A6" w:rsidP="00036C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last contribution relates to the practice of policymaking.</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My </w:t>
      </w:r>
      <w:r w:rsidR="008C45A5">
        <w:rPr>
          <w:rFonts w:ascii="Times New Roman" w:hAnsi="Times New Roman" w:cs="Times New Roman"/>
          <w:sz w:val="24"/>
          <w:szCs w:val="24"/>
        </w:rPr>
        <w:t>manuscript</w:t>
      </w:r>
      <w:r>
        <w:rPr>
          <w:rFonts w:ascii="Times New Roman" w:hAnsi="Times New Roman" w:cs="Times New Roman"/>
          <w:sz w:val="24"/>
          <w:szCs w:val="24"/>
        </w:rPr>
        <w:t xml:space="preserve"> directs attention to ways in which we can build more inclusive policy processes. Lasswell</w:t>
      </w:r>
      <w:r w:rsidR="000E5DBE">
        <w:rPr>
          <w:rFonts w:ascii="Times New Roman" w:hAnsi="Times New Roman" w:cs="Times New Roman"/>
          <w:sz w:val="24"/>
          <w:szCs w:val="24"/>
        </w:rPr>
        <w:t xml:space="preserve"> (1951)</w:t>
      </w:r>
      <w:r>
        <w:rPr>
          <w:rFonts w:ascii="Times New Roman" w:hAnsi="Times New Roman" w:cs="Times New Roman"/>
          <w:sz w:val="24"/>
          <w:szCs w:val="24"/>
        </w:rPr>
        <w:t xml:space="preserve"> argues that the purpose of studying the policy process is to improve democracy.</w:t>
      </w:r>
      <w:r w:rsidR="00CF6050">
        <w:rPr>
          <w:rFonts w:ascii="Times New Roman" w:hAnsi="Times New Roman" w:cs="Times New Roman"/>
          <w:sz w:val="24"/>
          <w:szCs w:val="24"/>
        </w:rPr>
        <w:t xml:space="preserve"> </w:t>
      </w:r>
      <w:r>
        <w:rPr>
          <w:rFonts w:ascii="Times New Roman" w:hAnsi="Times New Roman" w:cs="Times New Roman"/>
          <w:sz w:val="24"/>
          <w:szCs w:val="24"/>
        </w:rPr>
        <w:t>In order to do that, we need to identify better, more efficient, and more innovative ways to include a broader range of interests in the policy process.</w:t>
      </w:r>
      <w:r w:rsidR="00CF6050">
        <w:rPr>
          <w:rFonts w:ascii="Times New Roman" w:hAnsi="Times New Roman" w:cs="Times New Roman"/>
          <w:sz w:val="24"/>
          <w:szCs w:val="24"/>
        </w:rPr>
        <w:t xml:space="preserve"> </w:t>
      </w:r>
      <w:r>
        <w:rPr>
          <w:rFonts w:ascii="Times New Roman" w:hAnsi="Times New Roman" w:cs="Times New Roman"/>
          <w:sz w:val="24"/>
          <w:szCs w:val="24"/>
        </w:rPr>
        <w:t>Social media platforms have historically facilitated inclusion and will likely continue to grow in popularity.</w:t>
      </w:r>
      <w:r w:rsidR="00CF6050">
        <w:rPr>
          <w:rFonts w:ascii="Times New Roman" w:hAnsi="Times New Roman" w:cs="Times New Roman"/>
          <w:sz w:val="24"/>
          <w:szCs w:val="24"/>
        </w:rPr>
        <w:t xml:space="preserve"> </w:t>
      </w:r>
      <w:r>
        <w:rPr>
          <w:rFonts w:ascii="Times New Roman" w:hAnsi="Times New Roman" w:cs="Times New Roman"/>
          <w:sz w:val="24"/>
          <w:szCs w:val="24"/>
        </w:rPr>
        <w:t xml:space="preserve">Still, more work needs to be done to have a better understanding of the relationship between conflict and inclusion and how </w:t>
      </w:r>
      <w:r w:rsidR="00C1085E">
        <w:rPr>
          <w:rFonts w:ascii="Times New Roman" w:hAnsi="Times New Roman" w:cs="Times New Roman"/>
          <w:sz w:val="24"/>
          <w:szCs w:val="24"/>
        </w:rPr>
        <w:t>online</w:t>
      </w:r>
      <w:r>
        <w:rPr>
          <w:rFonts w:ascii="Times New Roman" w:hAnsi="Times New Roman" w:cs="Times New Roman"/>
          <w:sz w:val="24"/>
          <w:szCs w:val="24"/>
        </w:rPr>
        <w:t xml:space="preserve"> discursive venues demonstrate promise at bringing attention to disenfranchised voices so that their interests can be represented through policy.</w:t>
      </w:r>
      <w:r w:rsidR="00CF6050">
        <w:rPr>
          <w:rFonts w:ascii="Times New Roman" w:hAnsi="Times New Roman" w:cs="Times New Roman"/>
          <w:sz w:val="24"/>
          <w:szCs w:val="24"/>
        </w:rPr>
        <w:t xml:space="preserve"> </w:t>
      </w:r>
      <w:bookmarkStart w:id="26" w:name="_Toc46917880"/>
    </w:p>
    <w:p w14:paraId="438F9568" w14:textId="77777777" w:rsidR="00036CDB" w:rsidRDefault="00036CDB" w:rsidP="00036CDB">
      <w:pPr>
        <w:spacing w:after="0" w:line="480" w:lineRule="auto"/>
        <w:ind w:firstLine="720"/>
        <w:rPr>
          <w:rFonts w:ascii="Times New Roman" w:hAnsi="Times New Roman" w:cs="Times New Roman"/>
          <w:b/>
          <w:bCs/>
          <w:sz w:val="24"/>
          <w:szCs w:val="24"/>
        </w:rPr>
      </w:pPr>
    </w:p>
    <w:p w14:paraId="046B70E9" w14:textId="768D48DD" w:rsidR="00100136" w:rsidRDefault="00100136" w:rsidP="003F278E">
      <w:pPr>
        <w:pStyle w:val="Heading1"/>
        <w:jc w:val="center"/>
        <w:rPr>
          <w:rFonts w:ascii="Times New Roman" w:hAnsi="Times New Roman" w:cs="Times New Roman"/>
          <w:b/>
          <w:bCs/>
          <w:color w:val="auto"/>
          <w:sz w:val="24"/>
          <w:szCs w:val="24"/>
        </w:rPr>
      </w:pPr>
    </w:p>
    <w:p w14:paraId="25314331" w14:textId="77777777" w:rsidR="00100136" w:rsidRPr="00100136" w:rsidRDefault="00100136" w:rsidP="00100136"/>
    <w:p w14:paraId="1F805A44" w14:textId="00EC4DA5" w:rsidR="008064C8" w:rsidRPr="003F278E" w:rsidRDefault="004C6F90" w:rsidP="003F278E">
      <w:pPr>
        <w:pStyle w:val="Heading1"/>
        <w:jc w:val="center"/>
        <w:rPr>
          <w:rFonts w:ascii="Times New Roman" w:hAnsi="Times New Roman" w:cs="Times New Roman"/>
          <w:b/>
          <w:bCs/>
          <w:color w:val="auto"/>
          <w:sz w:val="24"/>
          <w:szCs w:val="24"/>
        </w:rPr>
      </w:pPr>
      <w:r w:rsidRPr="003F278E">
        <w:rPr>
          <w:rFonts w:ascii="Times New Roman" w:hAnsi="Times New Roman" w:cs="Times New Roman"/>
          <w:b/>
          <w:bCs/>
          <w:color w:val="auto"/>
          <w:sz w:val="24"/>
          <w:szCs w:val="24"/>
        </w:rPr>
        <w:t>REFERENCES</w:t>
      </w:r>
      <w:bookmarkEnd w:id="26"/>
    </w:p>
    <w:p w14:paraId="6C79F178" w14:textId="2FD5E6A7" w:rsidR="002A2008" w:rsidRPr="002A2008" w:rsidRDefault="00B01D76"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2A2008" w:rsidRPr="002A2008">
        <w:rPr>
          <w:rFonts w:ascii="Times New Roman" w:hAnsi="Times New Roman" w:cs="Times New Roman"/>
          <w:noProof/>
          <w:sz w:val="24"/>
          <w:szCs w:val="24"/>
        </w:rPr>
        <w:t xml:space="preserve">Abokhodair, Norah, Daisy Yoo, and David W. McDonald. 2015. “Dissecting a Social Botnet: Growth, Content and Influence in Twitter.” </w:t>
      </w:r>
      <w:r w:rsidR="002A2008" w:rsidRPr="002A2008">
        <w:rPr>
          <w:rFonts w:ascii="Times New Roman" w:hAnsi="Times New Roman" w:cs="Times New Roman"/>
          <w:i/>
          <w:iCs/>
          <w:noProof/>
          <w:sz w:val="24"/>
          <w:szCs w:val="24"/>
        </w:rPr>
        <w:t>CSCW 2015 - Proceedings of the 2015 ACM International Conference on Computer-Supported Cooperative Work and Social Computing</w:t>
      </w:r>
      <w:r w:rsidR="002A2008" w:rsidRPr="002A2008">
        <w:rPr>
          <w:rFonts w:ascii="Times New Roman" w:hAnsi="Times New Roman" w:cs="Times New Roman"/>
          <w:noProof/>
          <w:sz w:val="24"/>
          <w:szCs w:val="24"/>
        </w:rPr>
        <w:t>: 839–51.</w:t>
      </w:r>
    </w:p>
    <w:p w14:paraId="1D31683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Adgate, John L., Bernard D. Goldstein, and Lisa M. McKenzie. 2014. “Potential Public Health Hazards, Exposures and Health Effects from Unconventional Natural Gas Development.” </w:t>
      </w:r>
      <w:r w:rsidRPr="002A2008">
        <w:rPr>
          <w:rFonts w:ascii="Times New Roman" w:hAnsi="Times New Roman" w:cs="Times New Roman"/>
          <w:i/>
          <w:iCs/>
          <w:noProof/>
          <w:sz w:val="24"/>
          <w:szCs w:val="24"/>
        </w:rPr>
        <w:t>Environmental Science and Technology</w:t>
      </w:r>
      <w:r w:rsidRPr="002A2008">
        <w:rPr>
          <w:rFonts w:ascii="Times New Roman" w:hAnsi="Times New Roman" w:cs="Times New Roman"/>
          <w:noProof/>
          <w:sz w:val="24"/>
          <w:szCs w:val="24"/>
        </w:rPr>
        <w:t xml:space="preserve"> 48(15): 8307–20.</w:t>
      </w:r>
    </w:p>
    <w:p w14:paraId="0B77640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Administration, U.s. Energy Information. 2013. “Technically Recoverable Shale Oil and Shale Gas Resources : An Assessment of 137 Shale Formations in 41 Countries Outside the United States.” </w:t>
      </w:r>
      <w:r w:rsidRPr="002A2008">
        <w:rPr>
          <w:rFonts w:ascii="Times New Roman" w:hAnsi="Times New Roman" w:cs="Times New Roman"/>
          <w:i/>
          <w:iCs/>
          <w:noProof/>
          <w:sz w:val="24"/>
          <w:szCs w:val="24"/>
        </w:rPr>
        <w:t>U.S. Energy Information Administration</w:t>
      </w:r>
      <w:r w:rsidRPr="002A2008">
        <w:rPr>
          <w:rFonts w:ascii="Times New Roman" w:hAnsi="Times New Roman" w:cs="Times New Roman"/>
          <w:noProof/>
          <w:sz w:val="24"/>
          <w:szCs w:val="24"/>
        </w:rPr>
        <w:t xml:space="preserve"> 2013(June): 76 pp.</w:t>
      </w:r>
    </w:p>
    <w:p w14:paraId="7E45A29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Agarwal, Sheetal D., W. Lance Bennett, Courtney N. Johnson, and Shawn Walker. 2014. “A Model of Crowd-Enabled Organization: Theory and Methods for Understanding the Role of Twitter in the Occupy Protests.” </w:t>
      </w:r>
      <w:r w:rsidRPr="002A2008">
        <w:rPr>
          <w:rFonts w:ascii="Times New Roman" w:hAnsi="Times New Roman" w:cs="Times New Roman"/>
          <w:i/>
          <w:iCs/>
          <w:noProof/>
          <w:sz w:val="24"/>
          <w:szCs w:val="24"/>
        </w:rPr>
        <w:t>International Journal of Communication</w:t>
      </w:r>
      <w:r w:rsidRPr="002A2008">
        <w:rPr>
          <w:rFonts w:ascii="Times New Roman" w:hAnsi="Times New Roman" w:cs="Times New Roman"/>
          <w:noProof/>
          <w:sz w:val="24"/>
          <w:szCs w:val="24"/>
        </w:rPr>
        <w:t xml:space="preserve"> 8(1): 646–72.</w:t>
      </w:r>
    </w:p>
    <w:p w14:paraId="507BFF6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Agranoff, Robert, and Michael McGuire. 2001. “Big Questions in Public Network Management Research.” </w:t>
      </w:r>
      <w:r w:rsidRPr="002A2008">
        <w:rPr>
          <w:rFonts w:ascii="Times New Roman" w:hAnsi="Times New Roman" w:cs="Times New Roman"/>
          <w:i/>
          <w:iCs/>
          <w:noProof/>
          <w:sz w:val="24"/>
          <w:szCs w:val="24"/>
        </w:rPr>
        <w:t>Journal of Public Administration Research and Theory</w:t>
      </w:r>
      <w:r w:rsidRPr="002A2008">
        <w:rPr>
          <w:rFonts w:ascii="Times New Roman" w:hAnsi="Times New Roman" w:cs="Times New Roman"/>
          <w:noProof/>
          <w:sz w:val="24"/>
          <w:szCs w:val="24"/>
        </w:rPr>
        <w:t xml:space="preserve"> 11(3): 295–326. http://jpart.oxfordjournals.org/content/11/3/295.abstract.</w:t>
      </w:r>
    </w:p>
    <w:p w14:paraId="40011BCF" w14:textId="22F8F88D"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Arnold, Gwen, and Le Anh-Nguyen Long. 2017. “Analyzing the Role of Social Networks in Municipal Decision-Making about High-Volume Hydraulic Fracturing.”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45(3): 414–41.</w:t>
      </w:r>
    </w:p>
    <w:p w14:paraId="0594997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Arnold, Gwen, and Kaubin Wosti Neupane. 2017. “Determinants of Pro-Fracking Measure Adoption by New York Southern Tier Municipalities.” </w:t>
      </w:r>
      <w:r w:rsidRPr="002A2008">
        <w:rPr>
          <w:rFonts w:ascii="Times New Roman" w:hAnsi="Times New Roman" w:cs="Times New Roman"/>
          <w:i/>
          <w:iCs/>
          <w:noProof/>
          <w:sz w:val="24"/>
          <w:szCs w:val="24"/>
        </w:rPr>
        <w:t>Review of Policy Research</w:t>
      </w:r>
      <w:r w:rsidRPr="002A2008">
        <w:rPr>
          <w:rFonts w:ascii="Times New Roman" w:hAnsi="Times New Roman" w:cs="Times New Roman"/>
          <w:noProof/>
          <w:sz w:val="24"/>
          <w:szCs w:val="24"/>
        </w:rPr>
        <w:t xml:space="preserve"> 34(2): 208–32.</w:t>
      </w:r>
    </w:p>
    <w:p w14:paraId="30CF0AD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Barberá, Pablo et al. 2015. “Tweeting From Left to Right: Is Online Political Communication More Than an Echo Chamber?” </w:t>
      </w:r>
      <w:r w:rsidRPr="002A2008">
        <w:rPr>
          <w:rFonts w:ascii="Times New Roman" w:hAnsi="Times New Roman" w:cs="Times New Roman"/>
          <w:i/>
          <w:iCs/>
          <w:noProof/>
          <w:sz w:val="24"/>
          <w:szCs w:val="24"/>
        </w:rPr>
        <w:t>Psychological Science</w:t>
      </w:r>
      <w:r w:rsidRPr="002A2008">
        <w:rPr>
          <w:rFonts w:ascii="Times New Roman" w:hAnsi="Times New Roman" w:cs="Times New Roman"/>
          <w:noProof/>
          <w:sz w:val="24"/>
          <w:szCs w:val="24"/>
        </w:rPr>
        <w:t xml:space="preserve"> 26(10): 1531–42. https://doi.org/10.1177/0956797615594620.</w:t>
      </w:r>
    </w:p>
    <w:p w14:paraId="11E0D4CC"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Baumgartner, Frank R. 1989. </w:t>
      </w:r>
      <w:r w:rsidRPr="002A2008">
        <w:rPr>
          <w:rFonts w:ascii="Times New Roman" w:hAnsi="Times New Roman" w:cs="Times New Roman"/>
          <w:i/>
          <w:iCs/>
          <w:noProof/>
          <w:sz w:val="24"/>
          <w:szCs w:val="24"/>
        </w:rPr>
        <w:t>Conflict and Rhetoric in French Policymaking</w:t>
      </w:r>
      <w:r w:rsidRPr="002A2008">
        <w:rPr>
          <w:rFonts w:ascii="Times New Roman" w:hAnsi="Times New Roman" w:cs="Times New Roman"/>
          <w:noProof/>
          <w:sz w:val="24"/>
          <w:szCs w:val="24"/>
        </w:rPr>
        <w:t>. Pittsburgh: University of Pittsburgh Press.</w:t>
      </w:r>
    </w:p>
    <w:p w14:paraId="79504A0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Baumgartner, Frank R., and Bryan D. Jones. 1993. </w:t>
      </w:r>
      <w:r w:rsidRPr="002A2008">
        <w:rPr>
          <w:rFonts w:ascii="Times New Roman" w:hAnsi="Times New Roman" w:cs="Times New Roman"/>
          <w:i/>
          <w:iCs/>
          <w:noProof/>
          <w:sz w:val="24"/>
          <w:szCs w:val="24"/>
        </w:rPr>
        <w:t>Agendas and Instability in American Politics</w:t>
      </w:r>
      <w:r w:rsidRPr="002A2008">
        <w:rPr>
          <w:rFonts w:ascii="Times New Roman" w:hAnsi="Times New Roman" w:cs="Times New Roman"/>
          <w:noProof/>
          <w:sz w:val="24"/>
          <w:szCs w:val="24"/>
        </w:rPr>
        <w:t>.</w:t>
      </w:r>
    </w:p>
    <w:p w14:paraId="18351064" w14:textId="38466FD3"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Becker, Vanessa, and Anne Werner. 2014. “One Step Forward , One Step Back : Shale Gas in Denmark and Sweden.” </w:t>
      </w:r>
      <w:r w:rsidR="001A470B">
        <w:rPr>
          <w:rFonts w:ascii="Times New Roman" w:hAnsi="Times New Roman" w:cs="Times New Roman"/>
          <w:i/>
          <w:iCs/>
          <w:noProof/>
          <w:sz w:val="24"/>
          <w:szCs w:val="24"/>
        </w:rPr>
        <w:t xml:space="preserve">Journal of European Management and Public Affairs Studies </w:t>
      </w:r>
      <w:r w:rsidRPr="002A2008">
        <w:rPr>
          <w:rFonts w:ascii="Times New Roman" w:hAnsi="Times New Roman" w:cs="Times New Roman"/>
          <w:noProof/>
          <w:sz w:val="24"/>
          <w:szCs w:val="24"/>
        </w:rPr>
        <w:t>1(2).</w:t>
      </w:r>
    </w:p>
    <w:p w14:paraId="46C28CFE"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Bennett, W. Lance. 2012. “The Personalization of Politics: Political Identity, Social Media, and Changing Patterns of Participation.” </w:t>
      </w:r>
      <w:r w:rsidRPr="002A2008">
        <w:rPr>
          <w:rFonts w:ascii="Times New Roman" w:hAnsi="Times New Roman" w:cs="Times New Roman"/>
          <w:i/>
          <w:iCs/>
          <w:noProof/>
          <w:sz w:val="24"/>
          <w:szCs w:val="24"/>
        </w:rPr>
        <w:t>Annals of the American Academy of Political and Social Science</w:t>
      </w:r>
      <w:r w:rsidRPr="002A2008">
        <w:rPr>
          <w:rFonts w:ascii="Times New Roman" w:hAnsi="Times New Roman" w:cs="Times New Roman"/>
          <w:noProof/>
          <w:sz w:val="24"/>
          <w:szCs w:val="24"/>
        </w:rPr>
        <w:t xml:space="preserve"> 644(1): 20–39.</w:t>
      </w:r>
    </w:p>
    <w:p w14:paraId="30A7BCB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Birkland, Thomas A. 1998. “Focusing Events, Mobilization, and Agenda Setting.” </w:t>
      </w:r>
      <w:r w:rsidRPr="002A2008">
        <w:rPr>
          <w:rFonts w:ascii="Times New Roman" w:hAnsi="Times New Roman" w:cs="Times New Roman"/>
          <w:i/>
          <w:iCs/>
          <w:noProof/>
          <w:sz w:val="24"/>
          <w:szCs w:val="24"/>
        </w:rPr>
        <w:t>Journal of Public Policy</w:t>
      </w:r>
      <w:r w:rsidRPr="002A2008">
        <w:rPr>
          <w:rFonts w:ascii="Times New Roman" w:hAnsi="Times New Roman" w:cs="Times New Roman"/>
          <w:noProof/>
          <w:sz w:val="24"/>
          <w:szCs w:val="24"/>
        </w:rPr>
        <w:t xml:space="preserve"> 18(1): 53–74.</w:t>
      </w:r>
    </w:p>
    <w:p w14:paraId="2E00C86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2006. </w:t>
      </w:r>
      <w:r w:rsidRPr="002A2008">
        <w:rPr>
          <w:rFonts w:ascii="Times New Roman" w:hAnsi="Times New Roman" w:cs="Times New Roman"/>
          <w:i/>
          <w:iCs/>
          <w:noProof/>
          <w:sz w:val="24"/>
          <w:szCs w:val="24"/>
        </w:rPr>
        <w:t>Lessons of Disaster: Policy Change after Catastrophic Events</w:t>
      </w:r>
      <w:r w:rsidRPr="002A2008">
        <w:rPr>
          <w:rFonts w:ascii="Times New Roman" w:hAnsi="Times New Roman" w:cs="Times New Roman"/>
          <w:noProof/>
          <w:sz w:val="24"/>
          <w:szCs w:val="24"/>
        </w:rPr>
        <w:t>. Washington, DC: Georgetown University Press.</w:t>
      </w:r>
    </w:p>
    <w:p w14:paraId="6F13CE4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Bishop, Jonathan. 2014. “Representations of ‘trolls’ in Mass Media Communication: A Review of Media-Texts and Moral Panics Relating to ‘Internet Trolling.’” </w:t>
      </w:r>
      <w:r w:rsidRPr="002A2008">
        <w:rPr>
          <w:rFonts w:ascii="Times New Roman" w:hAnsi="Times New Roman" w:cs="Times New Roman"/>
          <w:i/>
          <w:iCs/>
          <w:noProof/>
          <w:sz w:val="24"/>
          <w:szCs w:val="24"/>
        </w:rPr>
        <w:t>International Journal of Web Based Communities</w:t>
      </w:r>
      <w:r w:rsidRPr="002A2008">
        <w:rPr>
          <w:rFonts w:ascii="Times New Roman" w:hAnsi="Times New Roman" w:cs="Times New Roman"/>
          <w:noProof/>
          <w:sz w:val="24"/>
          <w:szCs w:val="24"/>
        </w:rPr>
        <w:t xml:space="preserve"> 10(1): 7–24.</w:t>
      </w:r>
    </w:p>
    <w:p w14:paraId="65DE98D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Bode, Leticia, Emily K. Vraga, Porismita Borah, and Dhavan V. Shah. 2014. “A New Space for Political Behavior: Political Social Networking and Its Democratic Consequences.” </w:t>
      </w:r>
      <w:r w:rsidRPr="002A2008">
        <w:rPr>
          <w:rFonts w:ascii="Times New Roman" w:hAnsi="Times New Roman" w:cs="Times New Roman"/>
          <w:i/>
          <w:iCs/>
          <w:noProof/>
          <w:sz w:val="24"/>
          <w:szCs w:val="24"/>
        </w:rPr>
        <w:t>Journal of Computer-Mediated Communication</w:t>
      </w:r>
      <w:r w:rsidRPr="002A2008">
        <w:rPr>
          <w:rFonts w:ascii="Times New Roman" w:hAnsi="Times New Roman" w:cs="Times New Roman"/>
          <w:noProof/>
          <w:sz w:val="24"/>
          <w:szCs w:val="24"/>
        </w:rPr>
        <w:t xml:space="preserve"> 19(3): 414–29.</w:t>
      </w:r>
    </w:p>
    <w:p w14:paraId="27998E53"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Boin, Arjen, Paul ’T Hart, and Allan McConnell. 2009. “Crisis Exploitation: Political and Policy Impacts of Framing Contests.” </w:t>
      </w:r>
      <w:r w:rsidRPr="002A2008">
        <w:rPr>
          <w:rFonts w:ascii="Times New Roman" w:hAnsi="Times New Roman" w:cs="Times New Roman"/>
          <w:i/>
          <w:iCs/>
          <w:noProof/>
          <w:sz w:val="24"/>
          <w:szCs w:val="24"/>
        </w:rPr>
        <w:t>Journal of European Public Policy</w:t>
      </w:r>
      <w:r w:rsidRPr="002A2008">
        <w:rPr>
          <w:rFonts w:ascii="Times New Roman" w:hAnsi="Times New Roman" w:cs="Times New Roman"/>
          <w:noProof/>
          <w:sz w:val="24"/>
          <w:szCs w:val="24"/>
        </w:rPr>
        <w:t xml:space="preserve"> 16(1): 81–106.</w:t>
      </w:r>
    </w:p>
    <w:p w14:paraId="48F5DE6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Borgatti, Stephen P. 2005. “Centrality and Network Flow.” </w:t>
      </w:r>
      <w:r w:rsidRPr="002A2008">
        <w:rPr>
          <w:rFonts w:ascii="Times New Roman" w:hAnsi="Times New Roman" w:cs="Times New Roman"/>
          <w:i/>
          <w:iCs/>
          <w:noProof/>
          <w:sz w:val="24"/>
          <w:szCs w:val="24"/>
        </w:rPr>
        <w:t>Social Networks</w:t>
      </w:r>
      <w:r w:rsidRPr="002A2008">
        <w:rPr>
          <w:rFonts w:ascii="Times New Roman" w:hAnsi="Times New Roman" w:cs="Times New Roman"/>
          <w:noProof/>
          <w:sz w:val="24"/>
          <w:szCs w:val="24"/>
        </w:rPr>
        <w:t xml:space="preserve"> 27(1): 55–71.</w:t>
      </w:r>
    </w:p>
    <w:p w14:paraId="1B6287A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Brady, Authors Henry E, Sidney Verba, and Kay Lehman Schlozman. 1995. “Beyond SES : A Resource Model of Political Participation.”</w:t>
      </w:r>
    </w:p>
    <w:p w14:paraId="2DFB419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Callaghan, Karen, and Frauke Schnell. 2001. “Assessing the Democratic Debate: How the News Media Frame Elite Policy Discourse.” </w:t>
      </w:r>
      <w:r w:rsidRPr="002A2008">
        <w:rPr>
          <w:rFonts w:ascii="Times New Roman" w:hAnsi="Times New Roman" w:cs="Times New Roman"/>
          <w:i/>
          <w:iCs/>
          <w:noProof/>
          <w:sz w:val="24"/>
          <w:szCs w:val="24"/>
        </w:rPr>
        <w:t>Political Communication</w:t>
      </w:r>
      <w:r w:rsidRPr="002A2008">
        <w:rPr>
          <w:rFonts w:ascii="Times New Roman" w:hAnsi="Times New Roman" w:cs="Times New Roman"/>
          <w:noProof/>
          <w:sz w:val="24"/>
          <w:szCs w:val="24"/>
        </w:rPr>
        <w:t xml:space="preserve"> 18(2): 183–213.</w:t>
      </w:r>
    </w:p>
    <w:p w14:paraId="1B10774E"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Chailleux, Sebastien, and Stephane Moyson. 2016. </w:t>
      </w:r>
      <w:r w:rsidRPr="002A2008">
        <w:rPr>
          <w:rFonts w:ascii="Times New Roman" w:hAnsi="Times New Roman" w:cs="Times New Roman"/>
          <w:i/>
          <w:iCs/>
          <w:noProof/>
          <w:sz w:val="24"/>
          <w:szCs w:val="24"/>
        </w:rPr>
        <w:t>The French Ban on Hydraulic Fracturing and the Attempts to Reverse It : Social Mobilization , Professional Forums , and Coalition Strategies</w:t>
      </w:r>
      <w:r w:rsidRPr="002A2008">
        <w:rPr>
          <w:rFonts w:ascii="Times New Roman" w:hAnsi="Times New Roman" w:cs="Times New Roman"/>
          <w:noProof/>
          <w:sz w:val="24"/>
          <w:szCs w:val="24"/>
        </w:rPr>
        <w:t>.</w:t>
      </w:r>
    </w:p>
    <w:p w14:paraId="61BDB45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Clarke, Christopher E. et al. 2015. “Public Opinion on Energy Development: The Interplay of Issue Framing, Top-of-Mind Associations, and Political Ideology.” </w:t>
      </w:r>
      <w:r w:rsidRPr="002A2008">
        <w:rPr>
          <w:rFonts w:ascii="Times New Roman" w:hAnsi="Times New Roman" w:cs="Times New Roman"/>
          <w:i/>
          <w:iCs/>
          <w:noProof/>
          <w:sz w:val="24"/>
          <w:szCs w:val="24"/>
        </w:rPr>
        <w:t>Energy Policy</w:t>
      </w:r>
      <w:r w:rsidRPr="002A2008">
        <w:rPr>
          <w:rFonts w:ascii="Times New Roman" w:hAnsi="Times New Roman" w:cs="Times New Roman"/>
          <w:noProof/>
          <w:sz w:val="24"/>
          <w:szCs w:val="24"/>
        </w:rPr>
        <w:t xml:space="preserve"> 81: 131–40. http://dx.doi.org/10.1016/j.enpol.2015.02.019.</w:t>
      </w:r>
    </w:p>
    <w:p w14:paraId="45BB5E1E"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Costanza-Chock, Sasha. 2008. “The Immigrant Rights Movement on the Net: Between ‘Web 2.0’ and Comunicación Popular.” </w:t>
      </w:r>
      <w:r w:rsidRPr="002A2008">
        <w:rPr>
          <w:rFonts w:ascii="Times New Roman" w:hAnsi="Times New Roman" w:cs="Times New Roman"/>
          <w:i/>
          <w:iCs/>
          <w:noProof/>
          <w:sz w:val="24"/>
          <w:szCs w:val="24"/>
        </w:rPr>
        <w:t>American Quarterly</w:t>
      </w:r>
      <w:r w:rsidRPr="002A2008">
        <w:rPr>
          <w:rFonts w:ascii="Times New Roman" w:hAnsi="Times New Roman" w:cs="Times New Roman"/>
          <w:noProof/>
          <w:sz w:val="24"/>
          <w:szCs w:val="24"/>
        </w:rPr>
        <w:t xml:space="preserve"> 60(3): 851–64.</w:t>
      </w:r>
    </w:p>
    <w:p w14:paraId="401684C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Costie, Daniel P., Federico Holm, and Ramiro Berardo. 2018. “Hydraulic Fracturing, Coalition </w:t>
      </w:r>
      <w:r w:rsidRPr="002A2008">
        <w:rPr>
          <w:rFonts w:ascii="Times New Roman" w:hAnsi="Times New Roman" w:cs="Times New Roman"/>
          <w:noProof/>
          <w:sz w:val="24"/>
          <w:szCs w:val="24"/>
        </w:rPr>
        <w:lastRenderedPageBreak/>
        <w:t xml:space="preserve">Activity and Shock: Assessing the Potential for Coalition-Based Collective Action in Argentina’s Vaca Muerta Formation.” </w:t>
      </w:r>
      <w:r w:rsidRPr="002A2008">
        <w:rPr>
          <w:rFonts w:ascii="Times New Roman" w:hAnsi="Times New Roman" w:cs="Times New Roman"/>
          <w:i/>
          <w:iCs/>
          <w:noProof/>
          <w:sz w:val="24"/>
          <w:szCs w:val="24"/>
        </w:rPr>
        <w:t>Extractive Industries and Society</w:t>
      </w:r>
      <w:r w:rsidRPr="002A2008">
        <w:rPr>
          <w:rFonts w:ascii="Times New Roman" w:hAnsi="Times New Roman" w:cs="Times New Roman"/>
          <w:noProof/>
          <w:sz w:val="24"/>
          <w:szCs w:val="24"/>
        </w:rPr>
        <w:t xml:space="preserve"> 5(4): 499–507. https://doi.org/10.1016/j.exis.2018.08.003.</w:t>
      </w:r>
    </w:p>
    <w:p w14:paraId="3AF1BFD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Crow, Deserai Anderson, and Michael D. Jones. “Practical Insights from the Study of Narrative Public Policy: A Policy Actor’s Guide to the Narrative Policy Framework (Draft).” : 1–23.</w:t>
      </w:r>
    </w:p>
    <w:p w14:paraId="675A196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Davis, Charles. 2012. “The Politics of ‘Fracking’: Regulating Natural Gas Drilling Practices in Colorado and Texas.” </w:t>
      </w:r>
      <w:r w:rsidRPr="002A2008">
        <w:rPr>
          <w:rFonts w:ascii="Times New Roman" w:hAnsi="Times New Roman" w:cs="Times New Roman"/>
          <w:i/>
          <w:iCs/>
          <w:noProof/>
          <w:sz w:val="24"/>
          <w:szCs w:val="24"/>
        </w:rPr>
        <w:t>Review of Policy Research</w:t>
      </w:r>
      <w:r w:rsidRPr="002A2008">
        <w:rPr>
          <w:rFonts w:ascii="Times New Roman" w:hAnsi="Times New Roman" w:cs="Times New Roman"/>
          <w:noProof/>
          <w:sz w:val="24"/>
          <w:szCs w:val="24"/>
        </w:rPr>
        <w:t xml:space="preserve"> 29(2): 177–91.</w:t>
      </w:r>
    </w:p>
    <w:p w14:paraId="068DBDB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Dodge, Jennifer, and Jeongyoon Lee. 2017a. “Framing Dynamics and Political Gridlock: The Curious Case of Hydraulic Fracturing in New York.” </w:t>
      </w:r>
      <w:r w:rsidRPr="002A2008">
        <w:rPr>
          <w:rFonts w:ascii="Times New Roman" w:hAnsi="Times New Roman" w:cs="Times New Roman"/>
          <w:i/>
          <w:iCs/>
          <w:noProof/>
          <w:sz w:val="24"/>
          <w:szCs w:val="24"/>
        </w:rPr>
        <w:t>Journal of Environmental Policy and Planning</w:t>
      </w:r>
      <w:r w:rsidRPr="002A2008">
        <w:rPr>
          <w:rFonts w:ascii="Times New Roman" w:hAnsi="Times New Roman" w:cs="Times New Roman"/>
          <w:noProof/>
          <w:sz w:val="24"/>
          <w:szCs w:val="24"/>
        </w:rPr>
        <w:t xml:space="preserve"> 19(1): 14–34.</w:t>
      </w:r>
    </w:p>
    <w:p w14:paraId="06B3F6E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2017b. “Framing Dynamics and Political Gridlock: The Curious Case of Hydraulic Fracturing in New York.” </w:t>
      </w:r>
      <w:r w:rsidRPr="002A2008">
        <w:rPr>
          <w:rFonts w:ascii="Times New Roman" w:hAnsi="Times New Roman" w:cs="Times New Roman"/>
          <w:i/>
          <w:iCs/>
          <w:noProof/>
          <w:sz w:val="24"/>
          <w:szCs w:val="24"/>
        </w:rPr>
        <w:t>Journal of Environmental Policy and Planning</w:t>
      </w:r>
      <w:r w:rsidRPr="002A2008">
        <w:rPr>
          <w:rFonts w:ascii="Times New Roman" w:hAnsi="Times New Roman" w:cs="Times New Roman"/>
          <w:noProof/>
          <w:sz w:val="24"/>
          <w:szCs w:val="24"/>
        </w:rPr>
        <w:t xml:space="preserve"> 19(1): 14–34.</w:t>
      </w:r>
    </w:p>
    <w:p w14:paraId="41134166"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Downs, Anthony. 1972. “Up and Down with Ecology-the Issue-Attention Cycle.” </w:t>
      </w:r>
      <w:r w:rsidRPr="002A2008">
        <w:rPr>
          <w:rFonts w:ascii="Times New Roman" w:hAnsi="Times New Roman" w:cs="Times New Roman"/>
          <w:i/>
          <w:iCs/>
          <w:noProof/>
          <w:sz w:val="24"/>
          <w:szCs w:val="24"/>
        </w:rPr>
        <w:t>Public Interest</w:t>
      </w:r>
      <w:r w:rsidRPr="002A2008">
        <w:rPr>
          <w:rFonts w:ascii="Times New Roman" w:hAnsi="Times New Roman" w:cs="Times New Roman"/>
          <w:noProof/>
          <w:sz w:val="24"/>
          <w:szCs w:val="24"/>
        </w:rPr>
        <w:t xml:space="preserve"> 28.</w:t>
      </w:r>
    </w:p>
    <w:p w14:paraId="1AC0C537"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Dunning, Thad. 2008. “Improving Causal Inference: Strengths And.” </w:t>
      </w:r>
      <w:r w:rsidRPr="002A2008">
        <w:rPr>
          <w:rFonts w:ascii="Times New Roman" w:hAnsi="Times New Roman" w:cs="Times New Roman"/>
          <w:i/>
          <w:iCs/>
          <w:noProof/>
          <w:sz w:val="24"/>
          <w:szCs w:val="24"/>
        </w:rPr>
        <w:t>Political Research Quaterly</w:t>
      </w:r>
      <w:r w:rsidRPr="002A2008">
        <w:rPr>
          <w:rFonts w:ascii="Times New Roman" w:hAnsi="Times New Roman" w:cs="Times New Roman"/>
          <w:noProof/>
          <w:sz w:val="24"/>
          <w:szCs w:val="24"/>
        </w:rPr>
        <w:t xml:space="preserve"> 61(2).</w:t>
      </w:r>
    </w:p>
    <w:p w14:paraId="705A9CAE"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Easton, David. 1965. 59 </w:t>
      </w:r>
      <w:r w:rsidRPr="002A2008">
        <w:rPr>
          <w:rFonts w:ascii="Times New Roman" w:hAnsi="Times New Roman" w:cs="Times New Roman"/>
          <w:i/>
          <w:iCs/>
          <w:noProof/>
          <w:sz w:val="24"/>
          <w:szCs w:val="24"/>
        </w:rPr>
        <w:t>A Framework for Political Analysis</w:t>
      </w:r>
      <w:r w:rsidRPr="002A2008">
        <w:rPr>
          <w:rFonts w:ascii="Times New Roman" w:hAnsi="Times New Roman" w:cs="Times New Roman"/>
          <w:noProof/>
          <w:sz w:val="24"/>
          <w:szCs w:val="24"/>
        </w:rPr>
        <w:t>. The University of Chicago Press.</w:t>
      </w:r>
    </w:p>
    <w:p w14:paraId="5F39A6E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Ellsworth, William L. 2013. “Injection-Induced Earthquakes.” </w:t>
      </w:r>
      <w:r w:rsidRPr="002A2008">
        <w:rPr>
          <w:rFonts w:ascii="Times New Roman" w:hAnsi="Times New Roman" w:cs="Times New Roman"/>
          <w:i/>
          <w:iCs/>
          <w:noProof/>
          <w:sz w:val="24"/>
          <w:szCs w:val="24"/>
        </w:rPr>
        <w:t>Science</w:t>
      </w:r>
      <w:r w:rsidRPr="002A2008">
        <w:rPr>
          <w:rFonts w:ascii="Times New Roman" w:hAnsi="Times New Roman" w:cs="Times New Roman"/>
          <w:noProof/>
          <w:sz w:val="24"/>
          <w:szCs w:val="24"/>
        </w:rPr>
        <w:t xml:space="preserve"> 341(6142): 1225942. http://science.sciencemag.org/content/341/6142/1225942%0Ahttp://science.sciencemag.org/content/sci/341/6142/1225942.full.pdf%0Ahttp://www.ncbi.nlm.nih.gov/pubmed/23846903.</w:t>
      </w:r>
    </w:p>
    <w:p w14:paraId="41C5217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Entman, Robert M. 1993. “Framing : Toward Clarification of A Fractured Paradigm.” </w:t>
      </w:r>
      <w:r w:rsidRPr="002A2008">
        <w:rPr>
          <w:rFonts w:ascii="Times New Roman" w:hAnsi="Times New Roman" w:cs="Times New Roman"/>
          <w:i/>
          <w:iCs/>
          <w:noProof/>
          <w:sz w:val="24"/>
          <w:szCs w:val="24"/>
        </w:rPr>
        <w:t>Journal of Communication</w:t>
      </w:r>
      <w:r w:rsidRPr="002A2008">
        <w:rPr>
          <w:rFonts w:ascii="Times New Roman" w:hAnsi="Times New Roman" w:cs="Times New Roman"/>
          <w:noProof/>
          <w:sz w:val="24"/>
          <w:szCs w:val="24"/>
        </w:rPr>
        <w:t xml:space="preserve"> 43(January): 51–58.</w:t>
      </w:r>
    </w:p>
    <w:p w14:paraId="42A1D6D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Esch, M. 2012. “Gas Drillers Wrangle over New York Limitations, Bans.” </w:t>
      </w:r>
      <w:r w:rsidRPr="002A2008">
        <w:rPr>
          <w:rFonts w:ascii="Times New Roman" w:hAnsi="Times New Roman" w:cs="Times New Roman"/>
          <w:i/>
          <w:iCs/>
          <w:noProof/>
          <w:sz w:val="24"/>
          <w:szCs w:val="24"/>
        </w:rPr>
        <w:t>Akron Beacon Journal</w:t>
      </w:r>
      <w:r w:rsidRPr="002A2008">
        <w:rPr>
          <w:rFonts w:ascii="Times New Roman" w:hAnsi="Times New Roman" w:cs="Times New Roman"/>
          <w:noProof/>
          <w:sz w:val="24"/>
          <w:szCs w:val="24"/>
        </w:rPr>
        <w:t>. http://www.uticaod.com/x1798483124/Many-NY-gas-leases-expire-as-moratorium-remains.</w:t>
      </w:r>
    </w:p>
    <w:p w14:paraId="55BC565D"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Evensen, Darrick, Richard Stedman, and Benjamin Brown-Steiner. 2017. “Resilient but Not Sustainable? Public Perceptions of Shale Gas Development via Hydraulic Fracturing.” </w:t>
      </w:r>
      <w:r w:rsidRPr="002A2008">
        <w:rPr>
          <w:rFonts w:ascii="Times New Roman" w:hAnsi="Times New Roman" w:cs="Times New Roman"/>
          <w:i/>
          <w:iCs/>
          <w:noProof/>
          <w:sz w:val="24"/>
          <w:szCs w:val="24"/>
        </w:rPr>
        <w:t>Ecology and Society</w:t>
      </w:r>
      <w:r w:rsidRPr="002A2008">
        <w:rPr>
          <w:rFonts w:ascii="Times New Roman" w:hAnsi="Times New Roman" w:cs="Times New Roman"/>
          <w:noProof/>
          <w:sz w:val="24"/>
          <w:szCs w:val="24"/>
        </w:rPr>
        <w:t xml:space="preserve"> 22(1).</w:t>
      </w:r>
    </w:p>
    <w:p w14:paraId="354A209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Ferrara, Emilio et al. 2016. “The Rise of Social Bots.” </w:t>
      </w:r>
      <w:r w:rsidRPr="002A2008">
        <w:rPr>
          <w:rFonts w:ascii="Times New Roman" w:hAnsi="Times New Roman" w:cs="Times New Roman"/>
          <w:i/>
          <w:iCs/>
          <w:noProof/>
          <w:sz w:val="24"/>
          <w:szCs w:val="24"/>
        </w:rPr>
        <w:t>Communications of the ACM</w:t>
      </w:r>
      <w:r w:rsidRPr="002A2008">
        <w:rPr>
          <w:rFonts w:ascii="Times New Roman" w:hAnsi="Times New Roman" w:cs="Times New Roman"/>
          <w:noProof/>
          <w:sz w:val="24"/>
          <w:szCs w:val="24"/>
        </w:rPr>
        <w:t xml:space="preserve"> 59(7): 96–104.</w:t>
      </w:r>
    </w:p>
    <w:p w14:paraId="77D08BB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Finkel, M.L. L, and J. Hays. 2013. “The Implications of Unconventional Drilling for Natural Gas: A Global Public Health Concern.” </w:t>
      </w:r>
      <w:r w:rsidRPr="002A2008">
        <w:rPr>
          <w:rFonts w:ascii="Times New Roman" w:hAnsi="Times New Roman" w:cs="Times New Roman"/>
          <w:i/>
          <w:iCs/>
          <w:noProof/>
          <w:sz w:val="24"/>
          <w:szCs w:val="24"/>
        </w:rPr>
        <w:t>Public Health</w:t>
      </w:r>
      <w:r w:rsidRPr="002A2008">
        <w:rPr>
          <w:rFonts w:ascii="Times New Roman" w:hAnsi="Times New Roman" w:cs="Times New Roman"/>
          <w:noProof/>
          <w:sz w:val="24"/>
          <w:szCs w:val="24"/>
        </w:rPr>
        <w:t xml:space="preserve"> 127(10): 889–93. http://linkinghub.elsevier.com/retrieve/pii/S0033350613002412.</w:t>
      </w:r>
    </w:p>
    <w:p w14:paraId="168D671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Fischer, Manuel. 2014. “Coalition Structures and Policy Change in a Consensus Democracy.”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42(3): 344–66.</w:t>
      </w:r>
    </w:p>
    <w:p w14:paraId="49B8B565"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Fischer, Manuel, Karin Ingold, Pascal Sciarini, and Frédéric Varone. 2012. “Impacts of Market Liberalization on Regulatory Network: A Longitudinal Analysis of the Swiss Telecommunications Sector.”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40(3): 435–57.</w:t>
      </w:r>
    </w:p>
    <w:p w14:paraId="4E13CDF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Flachsland, Christian, Michael Pahle, and Anna Leipprand. 2015. “Energy Transformation on the Rise : An Analysis of Narratives in German Energy Policy Debates.” : 1–24.</w:t>
      </w:r>
    </w:p>
    <w:p w14:paraId="68D05FC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Fung, Archon. 2009. “Democratizing the Policy Process.” </w:t>
      </w:r>
      <w:r w:rsidRPr="002A2008">
        <w:rPr>
          <w:rFonts w:ascii="Times New Roman" w:hAnsi="Times New Roman" w:cs="Times New Roman"/>
          <w:i/>
          <w:iCs/>
          <w:noProof/>
          <w:sz w:val="24"/>
          <w:szCs w:val="24"/>
        </w:rPr>
        <w:t>The Oxford Handbook of Public Policy</w:t>
      </w:r>
      <w:r w:rsidRPr="002A2008">
        <w:rPr>
          <w:rFonts w:ascii="Times New Roman" w:hAnsi="Times New Roman" w:cs="Times New Roman"/>
          <w:noProof/>
          <w:sz w:val="24"/>
          <w:szCs w:val="24"/>
        </w:rPr>
        <w:t xml:space="preserve"> (August 2018): 1–18.</w:t>
      </w:r>
    </w:p>
    <w:p w14:paraId="1CF65AB6"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Gallegos, Tanya J, Brian A Varela, Seth S Haines, and Mark A Engle. 2016. “Assessment of a Numerical Model to Reproduce Event-Scale Erosion and Deposition Distributions in a Braided River.” </w:t>
      </w:r>
      <w:r w:rsidRPr="002A2008">
        <w:rPr>
          <w:rFonts w:ascii="Times New Roman" w:hAnsi="Times New Roman" w:cs="Times New Roman"/>
          <w:i/>
          <w:iCs/>
          <w:noProof/>
          <w:sz w:val="24"/>
          <w:szCs w:val="24"/>
        </w:rPr>
        <w:t>Water Resources Research</w:t>
      </w:r>
      <w:r w:rsidRPr="002A2008">
        <w:rPr>
          <w:rFonts w:ascii="Times New Roman" w:hAnsi="Times New Roman" w:cs="Times New Roman"/>
          <w:noProof/>
          <w:sz w:val="24"/>
          <w:szCs w:val="24"/>
        </w:rPr>
        <w:t xml:space="preserve"> (52): 6621–42.</w:t>
      </w:r>
    </w:p>
    <w:p w14:paraId="3202CBA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Gamson, William, and Andre Modigliani. 1989. “Media Discourse and Public Opinion on Nuclear Power : A Constructionist Approach.” </w:t>
      </w:r>
      <w:r w:rsidRPr="002A2008">
        <w:rPr>
          <w:rFonts w:ascii="Times New Roman" w:hAnsi="Times New Roman" w:cs="Times New Roman"/>
          <w:i/>
          <w:iCs/>
          <w:noProof/>
          <w:sz w:val="24"/>
          <w:szCs w:val="24"/>
        </w:rPr>
        <w:t>American Journal of Sociology</w:t>
      </w:r>
      <w:r w:rsidRPr="002A2008">
        <w:rPr>
          <w:rFonts w:ascii="Times New Roman" w:hAnsi="Times New Roman" w:cs="Times New Roman"/>
          <w:noProof/>
          <w:sz w:val="24"/>
          <w:szCs w:val="24"/>
        </w:rPr>
        <w:t xml:space="preserve"> 95(1): 1–37. http://www.jstor.org/stable/2780405.</w:t>
      </w:r>
    </w:p>
    <w:p w14:paraId="304C008A" w14:textId="01468126"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Garrett, R. Kelly. 2006. “Protest in an Information Society: A Review of </w:t>
      </w:r>
      <w:r w:rsidR="001A470B">
        <w:rPr>
          <w:rFonts w:ascii="Times New Roman" w:hAnsi="Times New Roman" w:cs="Times New Roman"/>
          <w:noProof/>
          <w:sz w:val="24"/>
          <w:szCs w:val="24"/>
        </w:rPr>
        <w:t>Li</w:t>
      </w:r>
      <w:r w:rsidRPr="002A2008">
        <w:rPr>
          <w:rFonts w:ascii="Times New Roman" w:hAnsi="Times New Roman" w:cs="Times New Roman"/>
          <w:noProof/>
          <w:sz w:val="24"/>
          <w:szCs w:val="24"/>
        </w:rPr>
        <w:t xml:space="preserve">terature on Social Movements and New ICTs.” </w:t>
      </w:r>
      <w:r w:rsidRPr="002A2008">
        <w:rPr>
          <w:rFonts w:ascii="Times New Roman" w:hAnsi="Times New Roman" w:cs="Times New Roman"/>
          <w:i/>
          <w:iCs/>
          <w:noProof/>
          <w:sz w:val="24"/>
          <w:szCs w:val="24"/>
        </w:rPr>
        <w:t>Information Communication and Society</w:t>
      </w:r>
      <w:r w:rsidRPr="002A2008">
        <w:rPr>
          <w:rFonts w:ascii="Times New Roman" w:hAnsi="Times New Roman" w:cs="Times New Roman"/>
          <w:noProof/>
          <w:sz w:val="24"/>
          <w:szCs w:val="24"/>
        </w:rPr>
        <w:t xml:space="preserve"> 9(2): 202–24.</w:t>
      </w:r>
    </w:p>
    <w:p w14:paraId="6EBD886B" w14:textId="4EB0936D"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Granovetter, Mark S. 1973. “The Strength of Weak Ties.” </w:t>
      </w:r>
      <w:r w:rsidR="001A470B">
        <w:rPr>
          <w:rFonts w:ascii="Times New Roman" w:hAnsi="Times New Roman" w:cs="Times New Roman"/>
          <w:i/>
          <w:iCs/>
          <w:noProof/>
          <w:sz w:val="24"/>
          <w:szCs w:val="24"/>
        </w:rPr>
        <w:t xml:space="preserve">American Journal of Sociology </w:t>
      </w:r>
      <w:r w:rsidRPr="002A2008">
        <w:rPr>
          <w:rFonts w:ascii="Times New Roman" w:hAnsi="Times New Roman" w:cs="Times New Roman"/>
          <w:noProof/>
          <w:sz w:val="24"/>
          <w:szCs w:val="24"/>
        </w:rPr>
        <w:t>78(6): 1360–80.</w:t>
      </w:r>
    </w:p>
    <w:p w14:paraId="78276C5A" w14:textId="3A5DFDD1"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Guber, Deborah Lynn, and Christopher J Bosso. 1968. “</w:t>
      </w:r>
      <w:r w:rsidR="001A470B">
        <w:rPr>
          <w:rFonts w:ascii="Times New Roman" w:hAnsi="Times New Roman" w:cs="Times New Roman"/>
          <w:noProof/>
          <w:sz w:val="24"/>
          <w:szCs w:val="24"/>
        </w:rPr>
        <w:t>Issue Framing, Agenda Setting, and Environmental Discourse</w:t>
      </w:r>
      <w:r w:rsidRPr="002A2008">
        <w:rPr>
          <w:rFonts w:ascii="Times New Roman" w:hAnsi="Times New Roman" w:cs="Times New Roman"/>
          <w:noProof/>
          <w:sz w:val="24"/>
          <w:szCs w:val="24"/>
        </w:rPr>
        <w:t>.” : 1–36.</w:t>
      </w:r>
    </w:p>
    <w:p w14:paraId="1B749FB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Guggenheim, Lauren, S. Mo Jang, Soo Young Bae, and W. Russell Neuman. 2015. “The Dynamics of Issue Frame Competition in Traditional and Social Media.” </w:t>
      </w:r>
      <w:r w:rsidRPr="002A2008">
        <w:rPr>
          <w:rFonts w:ascii="Times New Roman" w:hAnsi="Times New Roman" w:cs="Times New Roman"/>
          <w:i/>
          <w:iCs/>
          <w:noProof/>
          <w:sz w:val="24"/>
          <w:szCs w:val="24"/>
        </w:rPr>
        <w:t>Annals of the American Academy of Political and Social Science</w:t>
      </w:r>
      <w:r w:rsidRPr="002A2008">
        <w:rPr>
          <w:rFonts w:ascii="Times New Roman" w:hAnsi="Times New Roman" w:cs="Times New Roman"/>
          <w:noProof/>
          <w:sz w:val="24"/>
          <w:szCs w:val="24"/>
        </w:rPr>
        <w:t xml:space="preserve"> 659(1): 207–24. http://ann.sagepub.com/cgi/doi/10.1177/0002716215570549.</w:t>
      </w:r>
    </w:p>
    <w:p w14:paraId="64204CC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Gulati, Ranjay. 1999. “Network Location and Learning: The Influence of Network Resources and Firm Capabilities on Alliance Formation.” </w:t>
      </w:r>
      <w:r w:rsidRPr="002A2008">
        <w:rPr>
          <w:rFonts w:ascii="Times New Roman" w:hAnsi="Times New Roman" w:cs="Times New Roman"/>
          <w:i/>
          <w:iCs/>
          <w:noProof/>
          <w:sz w:val="24"/>
          <w:szCs w:val="24"/>
        </w:rPr>
        <w:t>Strategic Management Journal</w:t>
      </w:r>
      <w:r w:rsidRPr="002A2008">
        <w:rPr>
          <w:rFonts w:ascii="Times New Roman" w:hAnsi="Times New Roman" w:cs="Times New Roman"/>
          <w:noProof/>
          <w:sz w:val="24"/>
          <w:szCs w:val="24"/>
        </w:rPr>
        <w:t xml:space="preserve"> 20(5): 397–420.</w:t>
      </w:r>
    </w:p>
    <w:p w14:paraId="462D6C1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Haider-Markel, Donald P., and Mark R. Joslyn. 2001. “Gun Policy , Opinion , Tragedy , and Blame Attribution : The Conditional Influence of Issue Frames.” 63(2): 520–43.</w:t>
      </w:r>
    </w:p>
    <w:p w14:paraId="5797ADD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Hamdy, Naila, and Ehab H. Gomaa. 2012. “Framing the Egyptian Uprising in Arabic Language Newspapers and Social Media.” </w:t>
      </w:r>
      <w:r w:rsidRPr="002A2008">
        <w:rPr>
          <w:rFonts w:ascii="Times New Roman" w:hAnsi="Times New Roman" w:cs="Times New Roman"/>
          <w:i/>
          <w:iCs/>
          <w:noProof/>
          <w:sz w:val="24"/>
          <w:szCs w:val="24"/>
        </w:rPr>
        <w:t>Journal of Communication</w:t>
      </w:r>
      <w:r w:rsidRPr="002A2008">
        <w:rPr>
          <w:rFonts w:ascii="Times New Roman" w:hAnsi="Times New Roman" w:cs="Times New Roman"/>
          <w:noProof/>
          <w:sz w:val="24"/>
          <w:szCs w:val="24"/>
        </w:rPr>
        <w:t xml:space="preserve"> 62(2): 195–211.</w:t>
      </w:r>
    </w:p>
    <w:p w14:paraId="70F570B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Harlow, Summer, and Dustin Harp. 2012. “Collective Action on the Web.” </w:t>
      </w:r>
      <w:r w:rsidRPr="002A2008">
        <w:rPr>
          <w:rFonts w:ascii="Times New Roman" w:hAnsi="Times New Roman" w:cs="Times New Roman"/>
          <w:i/>
          <w:iCs/>
          <w:noProof/>
          <w:sz w:val="24"/>
          <w:szCs w:val="24"/>
        </w:rPr>
        <w:t>Information, Communication &amp; Society</w:t>
      </w:r>
      <w:r w:rsidRPr="002A2008">
        <w:rPr>
          <w:rFonts w:ascii="Times New Roman" w:hAnsi="Times New Roman" w:cs="Times New Roman"/>
          <w:noProof/>
          <w:sz w:val="24"/>
          <w:szCs w:val="24"/>
        </w:rPr>
        <w:t xml:space="preserve"> 15(2): 196–216. http://www.tandfonline.com/doi/abs/10.1080/1369118X.2011.591411.</w:t>
      </w:r>
    </w:p>
    <w:p w14:paraId="12F110BE"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Heaney, Michael T., and Fabio Rojas. 2008. “Coalition Dissolution, Mobilization, and Network Dynamics in the U.S. Antiwar Movement.” </w:t>
      </w:r>
      <w:r w:rsidRPr="002A2008">
        <w:rPr>
          <w:rFonts w:ascii="Times New Roman" w:hAnsi="Times New Roman" w:cs="Times New Roman"/>
          <w:i/>
          <w:iCs/>
          <w:noProof/>
          <w:sz w:val="24"/>
          <w:szCs w:val="24"/>
        </w:rPr>
        <w:t>Research in Social Movements, Conflicts and Change</w:t>
      </w:r>
      <w:r w:rsidRPr="002A2008">
        <w:rPr>
          <w:rFonts w:ascii="Times New Roman" w:hAnsi="Times New Roman" w:cs="Times New Roman"/>
          <w:noProof/>
          <w:sz w:val="24"/>
          <w:szCs w:val="24"/>
        </w:rPr>
        <w:t xml:space="preserve"> 28(08): 39–82.</w:t>
      </w:r>
    </w:p>
    <w:p w14:paraId="451C05CA" w14:textId="2EC39055" w:rsidR="002A2008" w:rsidRPr="001A470B" w:rsidRDefault="002A2008" w:rsidP="002A2008">
      <w:pPr>
        <w:widowControl w:val="0"/>
        <w:autoSpaceDE w:val="0"/>
        <w:autoSpaceDN w:val="0"/>
        <w:adjustRightInd w:val="0"/>
        <w:spacing w:after="100" w:line="240" w:lineRule="auto"/>
        <w:ind w:left="480" w:hanging="480"/>
        <w:rPr>
          <w:rFonts w:ascii="Times New Roman" w:hAnsi="Times New Roman" w:cs="Times New Roman"/>
          <w:i/>
          <w:iCs/>
          <w:noProof/>
          <w:sz w:val="24"/>
          <w:szCs w:val="24"/>
        </w:rPr>
      </w:pPr>
      <w:r w:rsidRPr="002A2008">
        <w:rPr>
          <w:rFonts w:ascii="Times New Roman" w:hAnsi="Times New Roman" w:cs="Times New Roman"/>
          <w:noProof/>
          <w:sz w:val="24"/>
          <w:szCs w:val="24"/>
        </w:rPr>
        <w:t>Heclo, Hugh. 1978. “Issue Networks and the Executive Establishment.”</w:t>
      </w:r>
      <w:r w:rsidR="001A470B">
        <w:rPr>
          <w:rFonts w:ascii="Times New Roman" w:hAnsi="Times New Roman" w:cs="Times New Roman"/>
          <w:noProof/>
          <w:sz w:val="24"/>
          <w:szCs w:val="24"/>
        </w:rPr>
        <w:t xml:space="preserve"> </w:t>
      </w:r>
      <w:r w:rsidR="001A470B">
        <w:rPr>
          <w:rFonts w:ascii="Times New Roman" w:hAnsi="Times New Roman" w:cs="Times New Roman"/>
          <w:i/>
          <w:iCs/>
          <w:noProof/>
          <w:sz w:val="24"/>
          <w:szCs w:val="24"/>
        </w:rPr>
        <w:t>Public Administration Concept Cases.</w:t>
      </w:r>
    </w:p>
    <w:p w14:paraId="5F16FC2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Heikkila, Tanya, Christopher M. Weible, et al. 2014. “A Summary Report of the Politics of Shale Gas Development and High-Volume Hydraulic Fracturing in New York.” (April).</w:t>
      </w:r>
    </w:p>
    <w:p w14:paraId="0FD397D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Heikkila, Tanya, Jonathan J. Pierce, et al. 2014. “Understanding a Period of Policy Change: The Case of Hydraulic Fracturing Disclosure Policy in Colorado.” </w:t>
      </w:r>
      <w:r w:rsidRPr="002A2008">
        <w:rPr>
          <w:rFonts w:ascii="Times New Roman" w:hAnsi="Times New Roman" w:cs="Times New Roman"/>
          <w:i/>
          <w:iCs/>
          <w:noProof/>
          <w:sz w:val="24"/>
          <w:szCs w:val="24"/>
        </w:rPr>
        <w:t>Review of Policy Research</w:t>
      </w:r>
      <w:r w:rsidRPr="002A2008">
        <w:rPr>
          <w:rFonts w:ascii="Times New Roman" w:hAnsi="Times New Roman" w:cs="Times New Roman"/>
          <w:noProof/>
          <w:sz w:val="24"/>
          <w:szCs w:val="24"/>
        </w:rPr>
        <w:t xml:space="preserve"> 31(2): 65–87.</w:t>
      </w:r>
    </w:p>
    <w:p w14:paraId="4374033E"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Heikkila, Tanya et al. 2019. “A Comparative View of Advocacy Coalitions: Exploring Shale Development Politics in the United States, Argentina, and China.” </w:t>
      </w:r>
      <w:r w:rsidRPr="002A2008">
        <w:rPr>
          <w:rFonts w:ascii="Times New Roman" w:hAnsi="Times New Roman" w:cs="Times New Roman"/>
          <w:i/>
          <w:iCs/>
          <w:noProof/>
          <w:sz w:val="24"/>
          <w:szCs w:val="24"/>
        </w:rPr>
        <w:t>Journal of Comparative Policy Analysis: Research and Practice</w:t>
      </w:r>
      <w:r w:rsidRPr="002A2008">
        <w:rPr>
          <w:rFonts w:ascii="Times New Roman" w:hAnsi="Times New Roman" w:cs="Times New Roman"/>
          <w:noProof/>
          <w:sz w:val="24"/>
          <w:szCs w:val="24"/>
        </w:rPr>
        <w:t xml:space="preserve"> 21(2): 736–56. </w:t>
      </w:r>
      <w:r w:rsidRPr="002A2008">
        <w:rPr>
          <w:rFonts w:ascii="Times New Roman" w:hAnsi="Times New Roman" w:cs="Times New Roman"/>
          <w:noProof/>
          <w:sz w:val="24"/>
          <w:szCs w:val="24"/>
        </w:rPr>
        <w:lastRenderedPageBreak/>
        <w:t>https://doi.org/10.1080/13876988.2017.1405551.</w:t>
      </w:r>
    </w:p>
    <w:p w14:paraId="54AD44F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Heikkila, Tanya, and Christopher M. Weible. 2015. “A Summary Report of a 2015 Survey of the Politics of Oil and Gas Development Using Hydraulic Fracturing in Colorado Authors.” : 1–20.</w:t>
      </w:r>
    </w:p>
    <w:p w14:paraId="163B1FE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2017. </w:t>
      </w:r>
      <w:r w:rsidRPr="002A2008">
        <w:rPr>
          <w:rFonts w:ascii="Times New Roman" w:hAnsi="Times New Roman" w:cs="Times New Roman"/>
          <w:i/>
          <w:iCs/>
          <w:noProof/>
          <w:sz w:val="24"/>
          <w:szCs w:val="24"/>
        </w:rPr>
        <w:t>A Summary Report of a 2017 Survey of the Politics of Oil and Gas Development Using Hydraulic Fracturing in Colorado</w:t>
      </w:r>
      <w:r w:rsidRPr="002A2008">
        <w:rPr>
          <w:rFonts w:ascii="Times New Roman" w:hAnsi="Times New Roman" w:cs="Times New Roman"/>
          <w:noProof/>
          <w:sz w:val="24"/>
          <w:szCs w:val="24"/>
        </w:rPr>
        <w:t>. Denver.</w:t>
      </w:r>
    </w:p>
    <w:p w14:paraId="7543C3E5"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Heikkila, Tanya, Christopher M. Weible, and Kristin Olofsson. 2017. “Policy Conflicts over U.S. Shale Development.” </w:t>
      </w:r>
      <w:r w:rsidRPr="002A2008">
        <w:rPr>
          <w:rFonts w:ascii="Times New Roman" w:hAnsi="Times New Roman" w:cs="Times New Roman"/>
          <w:i/>
          <w:iCs/>
          <w:noProof/>
          <w:sz w:val="24"/>
          <w:szCs w:val="24"/>
        </w:rPr>
        <w:t>Environment</w:t>
      </w:r>
      <w:r w:rsidRPr="002A2008">
        <w:rPr>
          <w:rFonts w:ascii="Times New Roman" w:hAnsi="Times New Roman" w:cs="Times New Roman"/>
          <w:noProof/>
          <w:sz w:val="24"/>
          <w:szCs w:val="24"/>
        </w:rPr>
        <w:t xml:space="preserve"> 59(3): 4–13.</w:t>
      </w:r>
    </w:p>
    <w:p w14:paraId="43BF265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Heikkila, Tanya, Christopher M. Weible, and Jonathan J. Pierce. 2014. “Exploring the Policy Narratives and Politics of Hydraulic Fracturing in New York.” In </w:t>
      </w:r>
      <w:r w:rsidRPr="002A2008">
        <w:rPr>
          <w:rFonts w:ascii="Times New Roman" w:hAnsi="Times New Roman" w:cs="Times New Roman"/>
          <w:i/>
          <w:iCs/>
          <w:noProof/>
          <w:sz w:val="24"/>
          <w:szCs w:val="24"/>
        </w:rPr>
        <w:t>The Science of Stories: Applications of the Narrative Policy Framework in Public Policy Analysis</w:t>
      </w:r>
      <w:r w:rsidRPr="002A2008">
        <w:rPr>
          <w:rFonts w:ascii="Times New Roman" w:hAnsi="Times New Roman" w:cs="Times New Roman"/>
          <w:noProof/>
          <w:sz w:val="24"/>
          <w:szCs w:val="24"/>
        </w:rPr>
        <w:t>, eds. Michael D. Jones, Elizabeth A. Shanahan, and Mark K. McBeth. New York: Palgrave Macmillan, 185–207.</w:t>
      </w:r>
    </w:p>
    <w:p w14:paraId="172FDFDC"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Hillman, Amy J., and Michael A. Hitt. 1999. “Corporate Political Strategy Formulation : A Model of Approach , Participation , and Strategy Decisions Author ( s ): Amy J . Hillman and Michael A . Hitt Source : The Academy of Management Review , Vol . 24 , No . 4 ( Oct ., 1999 ), Pp . 825-842 Publishe.” 24(4): 825–42.</w:t>
      </w:r>
    </w:p>
    <w:p w14:paraId="22ABAA2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Holyoke, T. T., H. Brown, and J. R. Henig. 2012. “Shopping in the Political Arena: Strategic State and Local Venue Selection by Advocates.” </w:t>
      </w:r>
      <w:r w:rsidRPr="002A2008">
        <w:rPr>
          <w:rFonts w:ascii="Times New Roman" w:hAnsi="Times New Roman" w:cs="Times New Roman"/>
          <w:i/>
          <w:iCs/>
          <w:noProof/>
          <w:sz w:val="24"/>
          <w:szCs w:val="24"/>
        </w:rPr>
        <w:t>State and Local Government Review</w:t>
      </w:r>
      <w:r w:rsidRPr="002A2008">
        <w:rPr>
          <w:rFonts w:ascii="Times New Roman" w:hAnsi="Times New Roman" w:cs="Times New Roman"/>
          <w:noProof/>
          <w:sz w:val="24"/>
          <w:szCs w:val="24"/>
        </w:rPr>
        <w:t xml:space="preserve"> 44(1): 9–20.</w:t>
      </w:r>
    </w:p>
    <w:p w14:paraId="2EAA781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Ingold, Karin. 2011. “Network Structures within Policy Processes: Coalitions, Power, and Brokerage in Swiss Climate Policy.”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39(3): 435–59.</w:t>
      </w:r>
    </w:p>
    <w:p w14:paraId="5CCE353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Ingold, Karin, and Christopher M Weible. 2018. “Why Advocacy Coalitions Matter and Practical Insights about Them.” : 1–25.</w:t>
      </w:r>
    </w:p>
    <w:p w14:paraId="6DDB780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Jacoby, William G. 2000. “Issue Framing and Public Opinion on Government Spending.” </w:t>
      </w:r>
      <w:r w:rsidRPr="002A2008">
        <w:rPr>
          <w:rFonts w:ascii="Times New Roman" w:hAnsi="Times New Roman" w:cs="Times New Roman"/>
          <w:i/>
          <w:iCs/>
          <w:noProof/>
          <w:sz w:val="24"/>
          <w:szCs w:val="24"/>
        </w:rPr>
        <w:t>American Journal of Political Science</w:t>
      </w:r>
      <w:r w:rsidRPr="002A2008">
        <w:rPr>
          <w:rFonts w:ascii="Times New Roman" w:hAnsi="Times New Roman" w:cs="Times New Roman"/>
          <w:noProof/>
          <w:sz w:val="24"/>
          <w:szCs w:val="24"/>
        </w:rPr>
        <w:t xml:space="preserve"> 44(4): 750.</w:t>
      </w:r>
    </w:p>
    <w:p w14:paraId="1798C5F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Java, Akshay, Xiaodan Song, Tim Finin, and Belle Tseng. 2007. “Why We Twitter: Understanding Microblogging Usage and Communities.” </w:t>
      </w:r>
      <w:r w:rsidRPr="002A2008">
        <w:rPr>
          <w:rFonts w:ascii="Times New Roman" w:hAnsi="Times New Roman" w:cs="Times New Roman"/>
          <w:i/>
          <w:iCs/>
          <w:noProof/>
          <w:sz w:val="24"/>
          <w:szCs w:val="24"/>
        </w:rPr>
        <w:t>Proceedings of the 9th WebKDD and 1st SNA-KDD 2007 workshop on Web mining and social network analysis - WebKDD/SNA-KDD ’07</w:t>
      </w:r>
      <w:r w:rsidRPr="002A2008">
        <w:rPr>
          <w:rFonts w:ascii="Times New Roman" w:hAnsi="Times New Roman" w:cs="Times New Roman"/>
          <w:noProof/>
          <w:sz w:val="24"/>
          <w:szCs w:val="24"/>
        </w:rPr>
        <w:t>: 56–65. http://portal.acm.org/citation.cfm?doid=1348549.1348556.</w:t>
      </w:r>
    </w:p>
    <w:p w14:paraId="5AEE6BE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Jenkins-Smith, Hank C., Gilbert K St. Clair, and Brian Woods. 1991. “Explaining Change in Policy Subsystems: Analysis of Coalition Stability and Defection over Time.” </w:t>
      </w:r>
      <w:r w:rsidRPr="002A2008">
        <w:rPr>
          <w:rFonts w:ascii="Times New Roman" w:hAnsi="Times New Roman" w:cs="Times New Roman"/>
          <w:i/>
          <w:iCs/>
          <w:noProof/>
          <w:sz w:val="24"/>
          <w:szCs w:val="24"/>
        </w:rPr>
        <w:t>Political Science</w:t>
      </w:r>
      <w:r w:rsidRPr="002A2008">
        <w:rPr>
          <w:rFonts w:ascii="Times New Roman" w:hAnsi="Times New Roman" w:cs="Times New Roman"/>
          <w:noProof/>
          <w:sz w:val="24"/>
          <w:szCs w:val="24"/>
        </w:rPr>
        <w:t xml:space="preserve"> 35(4): 851–80.</w:t>
      </w:r>
    </w:p>
    <w:p w14:paraId="07AEE726"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Jenkins-Smith, Hank C., and Paul a. Sabatier. 1994. “Evaluating the Advocacy Coalition Framework.” </w:t>
      </w:r>
      <w:r w:rsidRPr="002A2008">
        <w:rPr>
          <w:rFonts w:ascii="Times New Roman" w:hAnsi="Times New Roman" w:cs="Times New Roman"/>
          <w:i/>
          <w:iCs/>
          <w:noProof/>
          <w:sz w:val="24"/>
          <w:szCs w:val="24"/>
        </w:rPr>
        <w:t>Journal of Public Policy</w:t>
      </w:r>
      <w:r w:rsidRPr="002A2008">
        <w:rPr>
          <w:rFonts w:ascii="Times New Roman" w:hAnsi="Times New Roman" w:cs="Times New Roman"/>
          <w:noProof/>
          <w:sz w:val="24"/>
          <w:szCs w:val="24"/>
        </w:rPr>
        <w:t xml:space="preserve"> 14(2): 175–203. http://www.journals.cambridge.org/abstract_S0143814X00007431.</w:t>
      </w:r>
    </w:p>
    <w:p w14:paraId="5BE648F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Jones, Bryan D, and Frank R Baumgartner. 2012. “From There to Here: Punctuated Equilibrium to the General Punctuation Thesis to a Theory of Government Information Processing - Jones - 2012 - Policy Studies Journal - Wiley Online Library.”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40(1): 1–20. http://onlinelibrary.wiley.com/doi/10.1111/j.1541-0072.2011.00431.x/full.</w:t>
      </w:r>
    </w:p>
    <w:p w14:paraId="2C88F88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Jones, Michael D., and Hank C. Jenkins-Smith. 2009. “Trans-Subsystem Dynamics: Policy Topography, Mass Opinion, and Policy Change.”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37(1): 37–58.</w:t>
      </w:r>
    </w:p>
    <w:p w14:paraId="1DB2341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Kay, David. 2011. “The Economic Impact of Marcellus Shale Gas Drilling What Have We Learned? What Are the Limitations?”</w:t>
      </w:r>
    </w:p>
    <w:p w14:paraId="5886592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Kinder, Donald R., and Lynn M. Sanders. 1990. “Mimicking Political Debate with Survey Questions: The Case of White Opinion on Affirmative Action for Blacks.” </w:t>
      </w:r>
      <w:r w:rsidRPr="002A2008">
        <w:rPr>
          <w:rFonts w:ascii="Times New Roman" w:hAnsi="Times New Roman" w:cs="Times New Roman"/>
          <w:i/>
          <w:iCs/>
          <w:noProof/>
          <w:sz w:val="24"/>
          <w:szCs w:val="24"/>
        </w:rPr>
        <w:t>Social Cognition</w:t>
      </w:r>
      <w:r w:rsidRPr="002A2008">
        <w:rPr>
          <w:rFonts w:ascii="Times New Roman" w:hAnsi="Times New Roman" w:cs="Times New Roman"/>
          <w:noProof/>
          <w:sz w:val="24"/>
          <w:szCs w:val="24"/>
        </w:rPr>
        <w:t xml:space="preserve"> 8(1): 73–103.</w:t>
      </w:r>
    </w:p>
    <w:p w14:paraId="35165F5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Kingdon, John W. 2011. </w:t>
      </w:r>
      <w:r w:rsidRPr="002A2008">
        <w:rPr>
          <w:rFonts w:ascii="Times New Roman" w:hAnsi="Times New Roman" w:cs="Times New Roman"/>
          <w:i/>
          <w:iCs/>
          <w:noProof/>
          <w:sz w:val="24"/>
          <w:szCs w:val="24"/>
        </w:rPr>
        <w:t>Agendas, Alternatives, and Public Policies</w:t>
      </w:r>
      <w:r w:rsidRPr="002A2008">
        <w:rPr>
          <w:rFonts w:ascii="Times New Roman" w:hAnsi="Times New Roman" w:cs="Times New Roman"/>
          <w:noProof/>
          <w:sz w:val="24"/>
          <w:szCs w:val="24"/>
        </w:rPr>
        <w:t>. 2nd ed. Longman.</w:t>
      </w:r>
    </w:p>
    <w:p w14:paraId="36538AD5"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Konkel, Lindsey. 2016. “Salting the Earth: The Environmental Impact of Oil and Gas Wastewater Spills.” 124(12): 230–35.</w:t>
      </w:r>
    </w:p>
    <w:p w14:paraId="3E01D02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Leifeld, Philip, and Sebastian Haunss. 2012. “Political Discourse Networks and the Conflict over Software Patents in Europe.” </w:t>
      </w:r>
      <w:r w:rsidRPr="002A2008">
        <w:rPr>
          <w:rFonts w:ascii="Times New Roman" w:hAnsi="Times New Roman" w:cs="Times New Roman"/>
          <w:i/>
          <w:iCs/>
          <w:noProof/>
          <w:sz w:val="24"/>
          <w:szCs w:val="24"/>
        </w:rPr>
        <w:t>European Journal of Political Research</w:t>
      </w:r>
      <w:r w:rsidRPr="002A2008">
        <w:rPr>
          <w:rFonts w:ascii="Times New Roman" w:hAnsi="Times New Roman" w:cs="Times New Roman"/>
          <w:noProof/>
          <w:sz w:val="24"/>
          <w:szCs w:val="24"/>
        </w:rPr>
        <w:t xml:space="preserve"> 51(3): 382–409.</w:t>
      </w:r>
    </w:p>
    <w:p w14:paraId="669AC8D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Light, Paul C. 1982. </w:t>
      </w:r>
      <w:r w:rsidRPr="002A2008">
        <w:rPr>
          <w:rFonts w:ascii="Times New Roman" w:hAnsi="Times New Roman" w:cs="Times New Roman"/>
          <w:i/>
          <w:iCs/>
          <w:noProof/>
          <w:sz w:val="24"/>
          <w:szCs w:val="24"/>
        </w:rPr>
        <w:t>The President’s Agenda: Domestic Policy Choice from Kennedy to Carter (with Notes on Ronald Reagan)</w:t>
      </w:r>
      <w:r w:rsidRPr="002A2008">
        <w:rPr>
          <w:rFonts w:ascii="Times New Roman" w:hAnsi="Times New Roman" w:cs="Times New Roman"/>
          <w:noProof/>
          <w:sz w:val="24"/>
          <w:szCs w:val="24"/>
        </w:rPr>
        <w:t>. Baltimore: Johns Hopkins University Press.</w:t>
      </w:r>
    </w:p>
    <w:p w14:paraId="5B18098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Loader, Brian D., and Dan Mercea. 2011. “Networking Democracy?” </w:t>
      </w:r>
      <w:r w:rsidRPr="002A2008">
        <w:rPr>
          <w:rFonts w:ascii="Times New Roman" w:hAnsi="Times New Roman" w:cs="Times New Roman"/>
          <w:i/>
          <w:iCs/>
          <w:noProof/>
          <w:sz w:val="24"/>
          <w:szCs w:val="24"/>
        </w:rPr>
        <w:t>Information, Communication &amp; Society</w:t>
      </w:r>
      <w:r w:rsidRPr="002A2008">
        <w:rPr>
          <w:rFonts w:ascii="Times New Roman" w:hAnsi="Times New Roman" w:cs="Times New Roman"/>
          <w:noProof/>
          <w:sz w:val="24"/>
          <w:szCs w:val="24"/>
        </w:rPr>
        <w:t xml:space="preserve"> 14(6): 757–69. http://www.tandfonline.com/doi/abs/10.1080/1369118X.2011.592648.</w:t>
      </w:r>
    </w:p>
    <w:p w14:paraId="4432013E" w14:textId="5B8F6139"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Lowi, Theodore. 1972. “Four Systems of Policy , Politics , and Choice.” </w:t>
      </w:r>
      <w:r w:rsidR="00F21971">
        <w:rPr>
          <w:rFonts w:ascii="Times New Roman" w:hAnsi="Times New Roman" w:cs="Times New Roman"/>
          <w:i/>
          <w:iCs/>
          <w:noProof/>
          <w:sz w:val="24"/>
          <w:szCs w:val="24"/>
        </w:rPr>
        <w:t xml:space="preserve">Public Administration Review </w:t>
      </w:r>
      <w:r w:rsidRPr="002A2008">
        <w:rPr>
          <w:rFonts w:ascii="Times New Roman" w:hAnsi="Times New Roman" w:cs="Times New Roman"/>
          <w:noProof/>
          <w:sz w:val="24"/>
          <w:szCs w:val="24"/>
        </w:rPr>
        <w:t>32(4): 298–310.</w:t>
      </w:r>
    </w:p>
    <w:p w14:paraId="4D667DC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Malinick, Todd E., D. B. Tindall, and Mario Diani. 2013. “Network Centrality and Social Movement Media Coverage: A Two-Mode Network Analytic Approach.” </w:t>
      </w:r>
      <w:r w:rsidRPr="002A2008">
        <w:rPr>
          <w:rFonts w:ascii="Times New Roman" w:hAnsi="Times New Roman" w:cs="Times New Roman"/>
          <w:i/>
          <w:iCs/>
          <w:noProof/>
          <w:sz w:val="24"/>
          <w:szCs w:val="24"/>
        </w:rPr>
        <w:t>Social Networks</w:t>
      </w:r>
      <w:r w:rsidRPr="002A2008">
        <w:rPr>
          <w:rFonts w:ascii="Times New Roman" w:hAnsi="Times New Roman" w:cs="Times New Roman"/>
          <w:noProof/>
          <w:sz w:val="24"/>
          <w:szCs w:val="24"/>
        </w:rPr>
        <w:t xml:space="preserve"> 35(2): 148–58. http://dx.doi.org/10.1016/j.socnet.2011.10.005.</w:t>
      </w:r>
    </w:p>
    <w:p w14:paraId="6FF3A4A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Manetti, Giacomo, Marco Bellucci, and Luca Bagnoli. 2017. “Stakeholder Engagement and Public Information Through Social Media: A Study of Canadian and American Public Transportation Agencies.” </w:t>
      </w:r>
      <w:r w:rsidRPr="002A2008">
        <w:rPr>
          <w:rFonts w:ascii="Times New Roman" w:hAnsi="Times New Roman" w:cs="Times New Roman"/>
          <w:i/>
          <w:iCs/>
          <w:noProof/>
          <w:sz w:val="24"/>
          <w:szCs w:val="24"/>
        </w:rPr>
        <w:t>American Review of Public Administration</w:t>
      </w:r>
      <w:r w:rsidRPr="002A2008">
        <w:rPr>
          <w:rFonts w:ascii="Times New Roman" w:hAnsi="Times New Roman" w:cs="Times New Roman"/>
          <w:noProof/>
          <w:sz w:val="24"/>
          <w:szCs w:val="24"/>
        </w:rPr>
        <w:t xml:space="preserve"> 47(8): 991–1009.</w:t>
      </w:r>
    </w:p>
    <w:p w14:paraId="7100ED2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Matti, Simon, and Annica Sandstrom. 2013. “The Defining Elements of Advocacy Coalitions: Continuing the Search for Explanations for Coordination and Coalition Structures.” </w:t>
      </w:r>
      <w:r w:rsidRPr="002A2008">
        <w:rPr>
          <w:rFonts w:ascii="Times New Roman" w:hAnsi="Times New Roman" w:cs="Times New Roman"/>
          <w:i/>
          <w:iCs/>
          <w:noProof/>
          <w:sz w:val="24"/>
          <w:szCs w:val="24"/>
        </w:rPr>
        <w:t>Review of Policy Research</w:t>
      </w:r>
      <w:r w:rsidRPr="002A2008">
        <w:rPr>
          <w:rFonts w:ascii="Times New Roman" w:hAnsi="Times New Roman" w:cs="Times New Roman"/>
          <w:noProof/>
          <w:sz w:val="24"/>
          <w:szCs w:val="24"/>
        </w:rPr>
        <w:t xml:space="preserve"> 30(2): 240–57.</w:t>
      </w:r>
    </w:p>
    <w:p w14:paraId="4B9660C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Matti, Simon, and Annica Sandström. 2011. “The Rationale Determining Advocacy Coalitions: Examining Coordination Networks and Corresponding Beliefs.”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39(3): 385–410.</w:t>
      </w:r>
    </w:p>
    <w:p w14:paraId="630AD4D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Merry, Melissa K. 2011. “Interest Group Activism on the Web: The Case of Environmental Organizations.” </w:t>
      </w:r>
      <w:r w:rsidRPr="002A2008">
        <w:rPr>
          <w:rFonts w:ascii="Times New Roman" w:hAnsi="Times New Roman" w:cs="Times New Roman"/>
          <w:i/>
          <w:iCs/>
          <w:noProof/>
          <w:sz w:val="24"/>
          <w:szCs w:val="24"/>
        </w:rPr>
        <w:t>Journal of Information Technology &amp; Politics</w:t>
      </w:r>
      <w:r w:rsidRPr="002A2008">
        <w:rPr>
          <w:rFonts w:ascii="Times New Roman" w:hAnsi="Times New Roman" w:cs="Times New Roman"/>
          <w:noProof/>
          <w:sz w:val="24"/>
          <w:szCs w:val="24"/>
        </w:rPr>
        <w:t xml:space="preserve"> 8(1): 110–28.</w:t>
      </w:r>
    </w:p>
    <w:p w14:paraId="3194C25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2014. “Broadcast Versus Interaction: Environmental Groups’ Use of Twitter.” </w:t>
      </w:r>
      <w:r w:rsidRPr="002A2008">
        <w:rPr>
          <w:rFonts w:ascii="Times New Roman" w:hAnsi="Times New Roman" w:cs="Times New Roman"/>
          <w:i/>
          <w:iCs/>
          <w:noProof/>
          <w:sz w:val="24"/>
          <w:szCs w:val="24"/>
        </w:rPr>
        <w:t>Journal of Information Technology &amp; Politics</w:t>
      </w:r>
      <w:r w:rsidRPr="002A2008">
        <w:rPr>
          <w:rFonts w:ascii="Times New Roman" w:hAnsi="Times New Roman" w:cs="Times New Roman"/>
          <w:noProof/>
          <w:sz w:val="24"/>
          <w:szCs w:val="24"/>
        </w:rPr>
        <w:t xml:space="preserve"> 11(3): 329–44. http://www.tandfonline.com/doi/abs/10.1080/19331681.2014.933723.</w:t>
      </w:r>
    </w:p>
    <w:p w14:paraId="32F0ED0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2017. “Angels versus Devils: The Portrayal of Characters in the Gun Policy Debate.”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00(00). http://doi.wiley.com/10.1111/psj.12207.</w:t>
      </w:r>
    </w:p>
    <w:p w14:paraId="5FC1384C"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Mettler, Suzanne, and Mallory SoRelle. 2014. “Policy Feedback Theory.” In </w:t>
      </w:r>
      <w:r w:rsidRPr="002A2008">
        <w:rPr>
          <w:rFonts w:ascii="Times New Roman" w:hAnsi="Times New Roman" w:cs="Times New Roman"/>
          <w:i/>
          <w:iCs/>
          <w:noProof/>
          <w:sz w:val="24"/>
          <w:szCs w:val="24"/>
        </w:rPr>
        <w:t>Theories of the Policy Process</w:t>
      </w:r>
      <w:r w:rsidRPr="002A2008">
        <w:rPr>
          <w:rFonts w:ascii="Times New Roman" w:hAnsi="Times New Roman" w:cs="Times New Roman"/>
          <w:noProof/>
          <w:sz w:val="24"/>
          <w:szCs w:val="24"/>
        </w:rPr>
        <w:t>,.</w:t>
      </w:r>
    </w:p>
    <w:p w14:paraId="12999BE5"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Mettler, Suzanne, and Joe Soss. 2004. “The Consequences of Public Policy for Democratic Citizenship: Bridging Policy Studies and Mass Politics.” </w:t>
      </w:r>
      <w:r w:rsidRPr="002A2008">
        <w:rPr>
          <w:rFonts w:ascii="Times New Roman" w:hAnsi="Times New Roman" w:cs="Times New Roman"/>
          <w:i/>
          <w:iCs/>
          <w:noProof/>
          <w:sz w:val="24"/>
          <w:szCs w:val="24"/>
        </w:rPr>
        <w:t>Perspectives on Politics</w:t>
      </w:r>
      <w:r w:rsidRPr="002A2008">
        <w:rPr>
          <w:rFonts w:ascii="Times New Roman" w:hAnsi="Times New Roman" w:cs="Times New Roman"/>
          <w:noProof/>
          <w:sz w:val="24"/>
          <w:szCs w:val="24"/>
        </w:rPr>
        <w:t xml:space="preserve"> 2(1): 55–73.</w:t>
      </w:r>
    </w:p>
    <w:p w14:paraId="29FE635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Mislove, Alan et al. 2011. “Understanding the Demographics of Twitter Users.” </w:t>
      </w:r>
      <w:r w:rsidRPr="002A2008">
        <w:rPr>
          <w:rFonts w:ascii="Times New Roman" w:hAnsi="Times New Roman" w:cs="Times New Roman"/>
          <w:i/>
          <w:iCs/>
          <w:noProof/>
          <w:sz w:val="24"/>
          <w:szCs w:val="24"/>
        </w:rPr>
        <w:t>Artificial Intelligence</w:t>
      </w:r>
      <w:r w:rsidRPr="002A2008">
        <w:rPr>
          <w:rFonts w:ascii="Times New Roman" w:hAnsi="Times New Roman" w:cs="Times New Roman"/>
          <w:noProof/>
          <w:sz w:val="24"/>
          <w:szCs w:val="24"/>
        </w:rPr>
        <w:t>: 554–57. http://www.aaai.org/ocs/index.php/ICWSM/ICWSM11/paper/viewFile/2816/3234.</w:t>
      </w:r>
    </w:p>
    <w:p w14:paraId="1F355DC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Mutz, Diana. C. 2002. “Cross-Cutting Social Networks: Testing Democratic Theory in Practice.” </w:t>
      </w:r>
      <w:r w:rsidRPr="002A2008">
        <w:rPr>
          <w:rFonts w:ascii="Times New Roman" w:hAnsi="Times New Roman" w:cs="Times New Roman"/>
          <w:i/>
          <w:iCs/>
          <w:noProof/>
          <w:sz w:val="24"/>
          <w:szCs w:val="24"/>
        </w:rPr>
        <w:t>American Political Science Review</w:t>
      </w:r>
      <w:r w:rsidRPr="002A2008">
        <w:rPr>
          <w:rFonts w:ascii="Times New Roman" w:hAnsi="Times New Roman" w:cs="Times New Roman"/>
          <w:noProof/>
          <w:sz w:val="24"/>
          <w:szCs w:val="24"/>
        </w:rPr>
        <w:t xml:space="preserve"> 96(1): 111–26.</w:t>
      </w:r>
    </w:p>
    <w:p w14:paraId="5D5AF04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Nelson, Thomas E., Rosalee A. Clawson, and Zoe M. Oxley. 1997. “Media Framing of a Civil Liberties Conflict and Its Effect on Tolerance.” </w:t>
      </w:r>
      <w:r w:rsidRPr="002A2008">
        <w:rPr>
          <w:rFonts w:ascii="Times New Roman" w:hAnsi="Times New Roman" w:cs="Times New Roman"/>
          <w:i/>
          <w:iCs/>
          <w:noProof/>
          <w:sz w:val="24"/>
          <w:szCs w:val="24"/>
        </w:rPr>
        <w:t>American Political Science Review</w:t>
      </w:r>
      <w:r w:rsidRPr="002A2008">
        <w:rPr>
          <w:rFonts w:ascii="Times New Roman" w:hAnsi="Times New Roman" w:cs="Times New Roman"/>
          <w:noProof/>
          <w:sz w:val="24"/>
          <w:szCs w:val="24"/>
        </w:rPr>
        <w:t xml:space="preserve"> 91(3): 567–83.</w:t>
      </w:r>
    </w:p>
    <w:p w14:paraId="04C0F05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Nicot, J.-P., and B R Scanlon. 2012. “Water Use for Shale Gas Production in Texas, U.S.” </w:t>
      </w:r>
      <w:r w:rsidRPr="002A2008">
        <w:rPr>
          <w:rFonts w:ascii="Times New Roman" w:hAnsi="Times New Roman" w:cs="Times New Roman"/>
          <w:i/>
          <w:iCs/>
          <w:noProof/>
          <w:sz w:val="24"/>
          <w:szCs w:val="24"/>
        </w:rPr>
        <w:t>U.S. Environmental Science and Technology</w:t>
      </w:r>
      <w:r w:rsidRPr="002A2008">
        <w:rPr>
          <w:rFonts w:ascii="Times New Roman" w:hAnsi="Times New Roman" w:cs="Times New Roman"/>
          <w:noProof/>
          <w:sz w:val="24"/>
          <w:szCs w:val="24"/>
        </w:rPr>
        <w:t xml:space="preserve"> 46: 3580–86.</w:t>
      </w:r>
    </w:p>
    <w:p w14:paraId="78D03E6C"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Nisbet, Matthew. 2009. “Communicating Climate Change: Why Frames Matter for Public Engagement.” </w:t>
      </w:r>
      <w:r w:rsidRPr="002A2008">
        <w:rPr>
          <w:rFonts w:ascii="Times New Roman" w:hAnsi="Times New Roman" w:cs="Times New Roman"/>
          <w:i/>
          <w:iCs/>
          <w:noProof/>
          <w:sz w:val="24"/>
          <w:szCs w:val="24"/>
        </w:rPr>
        <w:t>Environment</w:t>
      </w:r>
      <w:r w:rsidRPr="002A2008">
        <w:rPr>
          <w:rFonts w:ascii="Times New Roman" w:hAnsi="Times New Roman" w:cs="Times New Roman"/>
          <w:noProof/>
          <w:sz w:val="24"/>
          <w:szCs w:val="24"/>
        </w:rPr>
        <w:t xml:space="preserve"> 51(2): 12–23.</w:t>
      </w:r>
    </w:p>
    <w:p w14:paraId="67F79DC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Nohrstedt, Daniel. 2010. “Do Advocacy Coalitions Matter? Crisis and Change in Swedish Nuclear Energy Policy.” </w:t>
      </w:r>
      <w:r w:rsidRPr="002A2008">
        <w:rPr>
          <w:rFonts w:ascii="Times New Roman" w:hAnsi="Times New Roman" w:cs="Times New Roman"/>
          <w:i/>
          <w:iCs/>
          <w:noProof/>
          <w:sz w:val="24"/>
          <w:szCs w:val="24"/>
        </w:rPr>
        <w:t>Journal of Public Administration Research and Theory</w:t>
      </w:r>
      <w:r w:rsidRPr="002A2008">
        <w:rPr>
          <w:rFonts w:ascii="Times New Roman" w:hAnsi="Times New Roman" w:cs="Times New Roman"/>
          <w:noProof/>
          <w:sz w:val="24"/>
          <w:szCs w:val="24"/>
        </w:rPr>
        <w:t xml:space="preserve"> 20(2): 309–33.</w:t>
      </w:r>
    </w:p>
    <w:p w14:paraId="216C044E" w14:textId="4948868C" w:rsid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2011. “Shifting Resources and Venues Producing Policy Change in Contested Subsystems: A Case Study of Swedish Signals Intelligence Policy.”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39(3): 461–84.</w:t>
      </w:r>
    </w:p>
    <w:p w14:paraId="7E5E8611" w14:textId="490299AC" w:rsidR="00F21971" w:rsidRPr="00F21971" w:rsidRDefault="00F21971"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21971">
        <w:rPr>
          <w:rFonts w:ascii="Times New Roman" w:hAnsi="Times New Roman" w:cs="Times New Roman"/>
          <w:color w:val="222222"/>
          <w:sz w:val="24"/>
          <w:szCs w:val="24"/>
          <w:shd w:val="clear" w:color="auto" w:fill="FFFFFF"/>
        </w:rPr>
        <w:t>Nohrstedt, D., &amp; Olofsson, K. (2016). Advocacy coalition politics and strategies on hydraulic fracturing in Sweden. In </w:t>
      </w:r>
      <w:r w:rsidRPr="00F21971">
        <w:rPr>
          <w:rFonts w:ascii="Times New Roman" w:hAnsi="Times New Roman" w:cs="Times New Roman"/>
          <w:i/>
          <w:iCs/>
          <w:color w:val="222222"/>
          <w:sz w:val="24"/>
          <w:szCs w:val="24"/>
          <w:shd w:val="clear" w:color="auto" w:fill="FFFFFF"/>
        </w:rPr>
        <w:t>Policy debates on hydraulic fracturing</w:t>
      </w:r>
      <w:r w:rsidRPr="00F21971">
        <w:rPr>
          <w:rFonts w:ascii="Times New Roman" w:hAnsi="Times New Roman" w:cs="Times New Roman"/>
          <w:color w:val="222222"/>
          <w:sz w:val="24"/>
          <w:szCs w:val="24"/>
          <w:shd w:val="clear" w:color="auto" w:fill="FFFFFF"/>
        </w:rPr>
        <w:t> (pp. 147-175). Palgrave Macmillan, New York.</w:t>
      </w:r>
    </w:p>
    <w:p w14:paraId="0B26B09C"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O’connor, Brendan, Ramnath Balasubramanyan, Bryan R Routledge, and Noah A Smith. 2010. “From Tweets to Polls: Linking Text Sentiment to Public Opinion Time Series.” http://www.sca.isr.umich.</w:t>
      </w:r>
    </w:p>
    <w:p w14:paraId="6651F6BC" w14:textId="50C4B71D" w:rsid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Olofsson, Kristin L. et al. 2018. “A Dominant Coalition and Policy Change: An Analysis of Shale Oil and Gas Politics in India.” </w:t>
      </w:r>
      <w:r w:rsidRPr="002A2008">
        <w:rPr>
          <w:rFonts w:ascii="Times New Roman" w:hAnsi="Times New Roman" w:cs="Times New Roman"/>
          <w:i/>
          <w:iCs/>
          <w:noProof/>
          <w:sz w:val="24"/>
          <w:szCs w:val="24"/>
        </w:rPr>
        <w:t>Journal of Environmental Policy and Planning</w:t>
      </w:r>
      <w:r w:rsidRPr="002A2008">
        <w:rPr>
          <w:rFonts w:ascii="Times New Roman" w:hAnsi="Times New Roman" w:cs="Times New Roman"/>
          <w:noProof/>
          <w:sz w:val="24"/>
          <w:szCs w:val="24"/>
        </w:rPr>
        <w:t xml:space="preserve"> 20(5): 645–60. https://www.tandfonline.com/doi/full/10.1080/1523908X.2018.1493984.</w:t>
      </w:r>
    </w:p>
    <w:p w14:paraId="25B1A8F5" w14:textId="7B5ADD00" w:rsidR="00F21971" w:rsidRPr="00F21971" w:rsidRDefault="00F21971"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21971">
        <w:rPr>
          <w:rFonts w:ascii="Times New Roman" w:hAnsi="Times New Roman" w:cs="Times New Roman"/>
          <w:color w:val="222222"/>
          <w:sz w:val="24"/>
          <w:szCs w:val="24"/>
          <w:shd w:val="clear" w:color="auto" w:fill="FFFFFF"/>
        </w:rPr>
        <w:t>Olson, M. (2009). </w:t>
      </w:r>
      <w:r w:rsidRPr="00F21971">
        <w:rPr>
          <w:rFonts w:ascii="Times New Roman" w:hAnsi="Times New Roman" w:cs="Times New Roman"/>
          <w:i/>
          <w:iCs/>
          <w:color w:val="222222"/>
          <w:sz w:val="24"/>
          <w:szCs w:val="24"/>
          <w:shd w:val="clear" w:color="auto" w:fill="FFFFFF"/>
        </w:rPr>
        <w:t>The Logic of Collective Action: Public Goods and the Theory of Groups, Second Printing with a New Preface and Appendix</w:t>
      </w:r>
      <w:r w:rsidRPr="00F21971">
        <w:rPr>
          <w:rFonts w:ascii="Times New Roman" w:hAnsi="Times New Roman" w:cs="Times New Roman"/>
          <w:color w:val="222222"/>
          <w:sz w:val="24"/>
          <w:szCs w:val="24"/>
          <w:shd w:val="clear" w:color="auto" w:fill="FFFFFF"/>
        </w:rPr>
        <w:t> (Vol. 124). Harvard University Press.</w:t>
      </w:r>
    </w:p>
    <w:p w14:paraId="7467D247"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Ortmann, Stephan. 2012. “Policy Advocacy in a Competitive Authoritarian Regime: The Growth of Civil Society and Agenda Setting in Singapore.” </w:t>
      </w:r>
      <w:r w:rsidRPr="002A2008">
        <w:rPr>
          <w:rFonts w:ascii="Times New Roman" w:hAnsi="Times New Roman" w:cs="Times New Roman"/>
          <w:i/>
          <w:iCs/>
          <w:noProof/>
          <w:sz w:val="24"/>
          <w:szCs w:val="24"/>
        </w:rPr>
        <w:t>Administration &amp; Society</w:t>
      </w:r>
      <w:r w:rsidRPr="002A2008">
        <w:rPr>
          <w:rFonts w:ascii="Times New Roman" w:hAnsi="Times New Roman" w:cs="Times New Roman"/>
          <w:noProof/>
          <w:sz w:val="24"/>
          <w:szCs w:val="24"/>
        </w:rPr>
        <w:t xml:space="preserve"> 44(6): 13–25. http://aas.sagepub.com/cgi/doi/10.1177/0095399712460080.</w:t>
      </w:r>
    </w:p>
    <w:p w14:paraId="4DFAEC3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Papacharissi, Zizi. 2004. “Democracy Online: Civility, Politeness, and the Democratic Potential of Online Political Discussion Groups.” </w:t>
      </w:r>
      <w:r w:rsidRPr="002A2008">
        <w:rPr>
          <w:rFonts w:ascii="Times New Roman" w:hAnsi="Times New Roman" w:cs="Times New Roman"/>
          <w:i/>
          <w:iCs/>
          <w:noProof/>
          <w:sz w:val="24"/>
          <w:szCs w:val="24"/>
        </w:rPr>
        <w:t>New Media and Society</w:t>
      </w:r>
      <w:r w:rsidRPr="002A2008">
        <w:rPr>
          <w:rFonts w:ascii="Times New Roman" w:hAnsi="Times New Roman" w:cs="Times New Roman"/>
          <w:noProof/>
          <w:sz w:val="24"/>
          <w:szCs w:val="24"/>
        </w:rPr>
        <w:t xml:space="preserve"> 6(2): 259–83.</w:t>
      </w:r>
    </w:p>
    <w:p w14:paraId="2E44247D"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Petticrew, Mark et al. 2005. “Natural Experiments: An Underused Tool for Public Health?” </w:t>
      </w:r>
      <w:r w:rsidRPr="002A2008">
        <w:rPr>
          <w:rFonts w:ascii="Times New Roman" w:hAnsi="Times New Roman" w:cs="Times New Roman"/>
          <w:i/>
          <w:iCs/>
          <w:noProof/>
          <w:sz w:val="24"/>
          <w:szCs w:val="24"/>
        </w:rPr>
        <w:t>Public Health</w:t>
      </w:r>
      <w:r w:rsidRPr="002A2008">
        <w:rPr>
          <w:rFonts w:ascii="Times New Roman" w:hAnsi="Times New Roman" w:cs="Times New Roman"/>
          <w:noProof/>
          <w:sz w:val="24"/>
          <w:szCs w:val="24"/>
        </w:rPr>
        <w:t xml:space="preserve"> 119(9): 751–57.</w:t>
      </w:r>
    </w:p>
    <w:p w14:paraId="07389F96"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Pierce, Jonathan J. 2011. “Coalition Stability and Belief Change: Advocacy Coalitions in U.S. Foreign Policy and the Creation of Israel, 1922-44.”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39(3): 411–34.</w:t>
      </w:r>
    </w:p>
    <w:p w14:paraId="224EFE9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Pierce, Jonathan, and Post-doctoral Scholar. 2013. </w:t>
      </w:r>
      <w:r w:rsidRPr="002A2008">
        <w:rPr>
          <w:rFonts w:ascii="Times New Roman" w:hAnsi="Times New Roman" w:cs="Times New Roman"/>
          <w:i/>
          <w:iCs/>
          <w:noProof/>
          <w:sz w:val="24"/>
          <w:szCs w:val="24"/>
        </w:rPr>
        <w:t>A Summary Report of Perceptions of the Politics and Regulation of Hydraulic Fracturing in Colorado</w:t>
      </w:r>
      <w:r w:rsidRPr="002A2008">
        <w:rPr>
          <w:rFonts w:ascii="Times New Roman" w:hAnsi="Times New Roman" w:cs="Times New Roman"/>
          <w:noProof/>
          <w:sz w:val="24"/>
          <w:szCs w:val="24"/>
        </w:rPr>
        <w:t>. http://www.ucdenver.edu/academics/colleges/SPA/BuechnerInstitute/Research/natgasdev/Pages/Understanding-the-Politics-of-Shale-Gas-Development.aspx.</w:t>
      </w:r>
    </w:p>
    <w:p w14:paraId="4B8A543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Poole, Keith T, and R Steven Daniels. 1985. “Ideology, Party, and Voting in the U.S. Congress, 1959-1980.” </w:t>
      </w:r>
      <w:r w:rsidRPr="002A2008">
        <w:rPr>
          <w:rFonts w:ascii="Times New Roman" w:hAnsi="Times New Roman" w:cs="Times New Roman"/>
          <w:i/>
          <w:iCs/>
          <w:noProof/>
          <w:sz w:val="24"/>
          <w:szCs w:val="24"/>
        </w:rPr>
        <w:t>Political Science</w:t>
      </w:r>
      <w:r w:rsidRPr="002A2008">
        <w:rPr>
          <w:rFonts w:ascii="Times New Roman" w:hAnsi="Times New Roman" w:cs="Times New Roman"/>
          <w:noProof/>
          <w:sz w:val="24"/>
          <w:szCs w:val="24"/>
        </w:rPr>
        <w:t xml:space="preserve"> 79(2): 373–99.</w:t>
      </w:r>
    </w:p>
    <w:p w14:paraId="14CE1FB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Pralle, Sarah B. 2003. “Venue Shopping, Political Strategy, and Policy Change: The Internationalization of Canadian Forest Advocacy.” </w:t>
      </w:r>
      <w:r w:rsidRPr="002A2008">
        <w:rPr>
          <w:rFonts w:ascii="Times New Roman" w:hAnsi="Times New Roman" w:cs="Times New Roman"/>
          <w:i/>
          <w:iCs/>
          <w:noProof/>
          <w:sz w:val="24"/>
          <w:szCs w:val="24"/>
        </w:rPr>
        <w:t>Journal of Public Policy</w:t>
      </w:r>
      <w:r w:rsidRPr="002A2008">
        <w:rPr>
          <w:rFonts w:ascii="Times New Roman" w:hAnsi="Times New Roman" w:cs="Times New Roman"/>
          <w:noProof/>
          <w:sz w:val="24"/>
          <w:szCs w:val="24"/>
        </w:rPr>
        <w:t xml:space="preserve"> 23(3): 233–60.</w:t>
      </w:r>
    </w:p>
    <w:p w14:paraId="42A2B55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2009. “Agenda-Setting and Climate Change.” </w:t>
      </w:r>
      <w:r w:rsidRPr="002A2008">
        <w:rPr>
          <w:rFonts w:ascii="Times New Roman" w:hAnsi="Times New Roman" w:cs="Times New Roman"/>
          <w:i/>
          <w:iCs/>
          <w:noProof/>
          <w:sz w:val="24"/>
          <w:szCs w:val="24"/>
        </w:rPr>
        <w:t>Environmental Politics</w:t>
      </w:r>
      <w:r w:rsidRPr="002A2008">
        <w:rPr>
          <w:rFonts w:ascii="Times New Roman" w:hAnsi="Times New Roman" w:cs="Times New Roman"/>
          <w:noProof/>
          <w:sz w:val="24"/>
          <w:szCs w:val="24"/>
        </w:rPr>
        <w:t xml:space="preserve"> 18(5): 781–99.</w:t>
      </w:r>
    </w:p>
    <w:p w14:paraId="7713EE5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Putnam, Linda, and Martha Shoemaker. 2007. “Changes in Conflict Framing in the News Coverage of an Environmental Conflict.” </w:t>
      </w:r>
      <w:r w:rsidRPr="002A2008">
        <w:rPr>
          <w:rFonts w:ascii="Times New Roman" w:hAnsi="Times New Roman" w:cs="Times New Roman"/>
          <w:i/>
          <w:iCs/>
          <w:noProof/>
          <w:sz w:val="24"/>
          <w:szCs w:val="24"/>
        </w:rPr>
        <w:t>Journal of Dispute Resolution</w:t>
      </w:r>
      <w:r w:rsidRPr="002A2008">
        <w:rPr>
          <w:rFonts w:ascii="Times New Roman" w:hAnsi="Times New Roman" w:cs="Times New Roman"/>
          <w:noProof/>
          <w:sz w:val="24"/>
          <w:szCs w:val="24"/>
        </w:rPr>
        <w:t xml:space="preserve"> 2007(1): 10.</w:t>
      </w:r>
    </w:p>
    <w:p w14:paraId="52AABB9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Rabe, Barry G. 2013. “Lessons from Pennsylvania ’ s Early Move into Fracking.” 30(3): 321–40.</w:t>
      </w:r>
    </w:p>
    <w:p w14:paraId="7AEAAC9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Rambukkana, Nathan. 2013. “CFP-Hashtag Publics: The Power and Politics of Networked Discourse Communities.” (Benovitz 124): 1–3. http://complexsingularities.net/call-for-papers-hashtag-publics/.</w:t>
      </w:r>
    </w:p>
    <w:p w14:paraId="17EB69C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Reisigl, Martin, and Ruth Wodak. 2008. “The Discourse-Historical Approach (DHA).” : 87–121.</w:t>
      </w:r>
    </w:p>
    <w:p w14:paraId="3D44EFC0"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Ruths, D., and J. Pfeffer. 2014. “Social Media for Large Studies of Behavior.” </w:t>
      </w:r>
      <w:r w:rsidRPr="002A2008">
        <w:rPr>
          <w:rFonts w:ascii="Times New Roman" w:hAnsi="Times New Roman" w:cs="Times New Roman"/>
          <w:i/>
          <w:iCs/>
          <w:noProof/>
          <w:sz w:val="24"/>
          <w:szCs w:val="24"/>
        </w:rPr>
        <w:t>Science</w:t>
      </w:r>
      <w:r w:rsidRPr="002A2008">
        <w:rPr>
          <w:rFonts w:ascii="Times New Roman" w:hAnsi="Times New Roman" w:cs="Times New Roman"/>
          <w:noProof/>
          <w:sz w:val="24"/>
          <w:szCs w:val="24"/>
        </w:rPr>
        <w:t xml:space="preserve"> 346(6213): 1063–64. http://www.sciencemag.org/cgi/doi/10.1126/science.346.6213.1063.</w:t>
      </w:r>
    </w:p>
    <w:p w14:paraId="18AE5C0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Sabatier, Paul a. 1998. “The Advocacy Coalition Framework: Revisions and Relevance for Europe.” </w:t>
      </w:r>
      <w:r w:rsidRPr="002A2008">
        <w:rPr>
          <w:rFonts w:ascii="Times New Roman" w:hAnsi="Times New Roman" w:cs="Times New Roman"/>
          <w:i/>
          <w:iCs/>
          <w:noProof/>
          <w:sz w:val="24"/>
          <w:szCs w:val="24"/>
        </w:rPr>
        <w:t>Journal of European Public Policy</w:t>
      </w:r>
      <w:r w:rsidRPr="002A2008">
        <w:rPr>
          <w:rFonts w:ascii="Times New Roman" w:hAnsi="Times New Roman" w:cs="Times New Roman"/>
          <w:noProof/>
          <w:sz w:val="24"/>
          <w:szCs w:val="24"/>
        </w:rPr>
        <w:t xml:space="preserve"> 5(1): 98–130.</w:t>
      </w:r>
    </w:p>
    <w:p w14:paraId="740DA37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Sabatier, Paul A. 1987. “Knowledge, Policy-Oriented Learning, and Policy Change.” </w:t>
      </w:r>
      <w:r w:rsidRPr="002A2008">
        <w:rPr>
          <w:rFonts w:ascii="Times New Roman" w:hAnsi="Times New Roman" w:cs="Times New Roman"/>
          <w:i/>
          <w:iCs/>
          <w:noProof/>
          <w:sz w:val="24"/>
          <w:szCs w:val="24"/>
        </w:rPr>
        <w:t>Knowledge</w:t>
      </w:r>
      <w:r w:rsidRPr="002A2008">
        <w:rPr>
          <w:rFonts w:ascii="Times New Roman" w:hAnsi="Times New Roman" w:cs="Times New Roman"/>
          <w:noProof/>
          <w:sz w:val="24"/>
          <w:szCs w:val="24"/>
        </w:rPr>
        <w:t xml:space="preserve"> 8(4): 649–92. http://journals.sagepub.com/doi/10.1177/0164025987008004005.</w:t>
      </w:r>
    </w:p>
    <w:p w14:paraId="4A447F5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1988. “An Advocacy Coalition Framework of Policy Change and the Role of Policy-Oriented Learning Therein.” </w:t>
      </w:r>
      <w:r w:rsidRPr="002A2008">
        <w:rPr>
          <w:rFonts w:ascii="Times New Roman" w:hAnsi="Times New Roman" w:cs="Times New Roman"/>
          <w:i/>
          <w:iCs/>
          <w:noProof/>
          <w:sz w:val="24"/>
          <w:szCs w:val="24"/>
        </w:rPr>
        <w:t>Framework</w:t>
      </w:r>
      <w:r w:rsidRPr="002A2008">
        <w:rPr>
          <w:rFonts w:ascii="Times New Roman" w:hAnsi="Times New Roman" w:cs="Times New Roman"/>
          <w:noProof/>
          <w:sz w:val="24"/>
          <w:szCs w:val="24"/>
        </w:rPr>
        <w:t xml:space="preserve"> 21(2): 129–68.</w:t>
      </w:r>
    </w:p>
    <w:p w14:paraId="40D6238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Sabatier, Paul A., and Hank C. Jenkins-Smith. 1993. </w:t>
      </w:r>
      <w:r w:rsidRPr="002A2008">
        <w:rPr>
          <w:rFonts w:ascii="Times New Roman" w:hAnsi="Times New Roman" w:cs="Times New Roman"/>
          <w:i/>
          <w:iCs/>
          <w:noProof/>
          <w:sz w:val="24"/>
          <w:szCs w:val="24"/>
        </w:rPr>
        <w:t>Policy Change and Learning : An Advocacy Coalition Approach</w:t>
      </w:r>
      <w:r w:rsidRPr="002A2008">
        <w:rPr>
          <w:rFonts w:ascii="Times New Roman" w:hAnsi="Times New Roman" w:cs="Times New Roman"/>
          <w:noProof/>
          <w:sz w:val="24"/>
          <w:szCs w:val="24"/>
        </w:rPr>
        <w:t>. Westview Press.</w:t>
      </w:r>
    </w:p>
    <w:p w14:paraId="721D62E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Sabatier, Paul A., and Chris M. Weible. 2016. </w:t>
      </w:r>
      <w:r w:rsidRPr="002A2008">
        <w:rPr>
          <w:rFonts w:ascii="Times New Roman" w:hAnsi="Times New Roman" w:cs="Times New Roman"/>
          <w:i/>
          <w:iCs/>
          <w:noProof/>
          <w:sz w:val="24"/>
          <w:szCs w:val="24"/>
        </w:rPr>
        <w:t>Theories of the Policy Process</w:t>
      </w:r>
      <w:r w:rsidRPr="002A2008">
        <w:rPr>
          <w:rFonts w:ascii="Times New Roman" w:hAnsi="Times New Roman" w:cs="Times New Roman"/>
          <w:noProof/>
          <w:sz w:val="24"/>
          <w:szCs w:val="24"/>
        </w:rPr>
        <w:t>. Westview Press.</w:t>
      </w:r>
    </w:p>
    <w:p w14:paraId="6C6843F5"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Sabatier, Paul a, and Hank C. Jenkins-Smith. 1993. “Policy Change and Learning.”</w:t>
      </w:r>
    </w:p>
    <w:p w14:paraId="7703FA9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Schattschneider, Elmer Eric, and David Adamany. 1975. </w:t>
      </w:r>
      <w:r w:rsidRPr="002A2008">
        <w:rPr>
          <w:rFonts w:ascii="Times New Roman" w:hAnsi="Times New Roman" w:cs="Times New Roman"/>
          <w:i/>
          <w:iCs/>
          <w:noProof/>
          <w:sz w:val="24"/>
          <w:szCs w:val="24"/>
        </w:rPr>
        <w:t>The Semisovereign People: A Realist’s View of Democracy in America</w:t>
      </w:r>
      <w:r w:rsidRPr="002A2008">
        <w:rPr>
          <w:rFonts w:ascii="Times New Roman" w:hAnsi="Times New Roman" w:cs="Times New Roman"/>
          <w:noProof/>
          <w:sz w:val="24"/>
          <w:szCs w:val="24"/>
        </w:rPr>
        <w:t>. Hinsdale: Dryden Press.</w:t>
      </w:r>
    </w:p>
    <w:p w14:paraId="6EB0BAE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Seawright, Jason, and John Gerring. 2008. “Case Selection Techniques in Case Study Research.” </w:t>
      </w:r>
      <w:r w:rsidRPr="002A2008">
        <w:rPr>
          <w:rFonts w:ascii="Times New Roman" w:hAnsi="Times New Roman" w:cs="Times New Roman"/>
          <w:i/>
          <w:iCs/>
          <w:noProof/>
          <w:sz w:val="24"/>
          <w:szCs w:val="24"/>
        </w:rPr>
        <w:t>Political Research Quarterly</w:t>
      </w:r>
      <w:r w:rsidRPr="002A2008">
        <w:rPr>
          <w:rFonts w:ascii="Times New Roman" w:hAnsi="Times New Roman" w:cs="Times New Roman"/>
          <w:noProof/>
          <w:sz w:val="24"/>
          <w:szCs w:val="24"/>
        </w:rPr>
        <w:t xml:space="preserve"> 61(2): 294–308.</w:t>
      </w:r>
    </w:p>
    <w:p w14:paraId="0CFE5615"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Shaw, Christopher, and Brigitte Nerlich. 2015. “Metaphor as a Mechanism of Global Climate Change Governance: A Study of International Policies, 1992-2012.” </w:t>
      </w:r>
      <w:r w:rsidRPr="002A2008">
        <w:rPr>
          <w:rFonts w:ascii="Times New Roman" w:hAnsi="Times New Roman" w:cs="Times New Roman"/>
          <w:i/>
          <w:iCs/>
          <w:noProof/>
          <w:sz w:val="24"/>
          <w:szCs w:val="24"/>
        </w:rPr>
        <w:t>Ecological Economics</w:t>
      </w:r>
      <w:r w:rsidRPr="002A2008">
        <w:rPr>
          <w:rFonts w:ascii="Times New Roman" w:hAnsi="Times New Roman" w:cs="Times New Roman"/>
          <w:noProof/>
          <w:sz w:val="24"/>
          <w:szCs w:val="24"/>
        </w:rPr>
        <w:t xml:space="preserve"> 109: 34–40. http://dx.doi.org/10.1016/j.ecolecon.2014.11.001.</w:t>
      </w:r>
    </w:p>
    <w:p w14:paraId="14391F5A"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Shi, Xiaolin, Belle Tseng, and Lada a Adamic. 2007. “Looking at the Blogosphere Topology through Different Lenses.” </w:t>
      </w:r>
      <w:r w:rsidRPr="002A2008">
        <w:rPr>
          <w:rFonts w:ascii="Times New Roman" w:hAnsi="Times New Roman" w:cs="Times New Roman"/>
          <w:i/>
          <w:iCs/>
          <w:noProof/>
          <w:sz w:val="24"/>
          <w:szCs w:val="24"/>
        </w:rPr>
        <w:t>Electrical Engineering</w:t>
      </w:r>
      <w:r w:rsidRPr="002A2008">
        <w:rPr>
          <w:rFonts w:ascii="Times New Roman" w:hAnsi="Times New Roman" w:cs="Times New Roman"/>
          <w:noProof/>
          <w:sz w:val="24"/>
          <w:szCs w:val="24"/>
        </w:rPr>
        <w:t xml:space="preserve"> 1001: 48109. http://icwsm.org/papers/2--Shi-Tseng-Adamic.pdf.</w:t>
      </w:r>
    </w:p>
    <w:p w14:paraId="6E746A41"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Singleton Jr., Royce A., and Bruce C. Straits. 2010. </w:t>
      </w:r>
      <w:r w:rsidRPr="002A2008">
        <w:rPr>
          <w:rFonts w:ascii="Times New Roman" w:hAnsi="Times New Roman" w:cs="Times New Roman"/>
          <w:i/>
          <w:iCs/>
          <w:noProof/>
          <w:sz w:val="24"/>
          <w:szCs w:val="24"/>
        </w:rPr>
        <w:t>Approaches to Social Research</w:t>
      </w:r>
      <w:r w:rsidRPr="002A2008">
        <w:rPr>
          <w:rFonts w:ascii="Times New Roman" w:hAnsi="Times New Roman" w:cs="Times New Roman"/>
          <w:noProof/>
          <w:sz w:val="24"/>
          <w:szCs w:val="24"/>
        </w:rPr>
        <w:t>. 5th ed. New York: Oxford University Press.</w:t>
      </w:r>
    </w:p>
    <w:p w14:paraId="031D200D"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Smith, L. Graham. 1984. “Public Participation in Policy Making: The State-of-the-Art in Canada.” </w:t>
      </w:r>
      <w:r w:rsidRPr="002A2008">
        <w:rPr>
          <w:rFonts w:ascii="Times New Roman" w:hAnsi="Times New Roman" w:cs="Times New Roman"/>
          <w:i/>
          <w:iCs/>
          <w:noProof/>
          <w:sz w:val="24"/>
          <w:szCs w:val="24"/>
        </w:rPr>
        <w:t>Geoforum</w:t>
      </w:r>
      <w:r w:rsidRPr="002A2008">
        <w:rPr>
          <w:rFonts w:ascii="Times New Roman" w:hAnsi="Times New Roman" w:cs="Times New Roman"/>
          <w:noProof/>
          <w:sz w:val="24"/>
          <w:szCs w:val="24"/>
        </w:rPr>
        <w:t xml:space="preserve"> 15(2): 253–59.</w:t>
      </w:r>
    </w:p>
    <w:p w14:paraId="0F633D83"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Smith, Tom. 1987. “That Which We Call Welfare by Any Other Name Would Smell Sweeter an Analysis of the Impact of Question Wording on Response Patterns.” 51(1): 75–83.</w:t>
      </w:r>
    </w:p>
    <w:p w14:paraId="6D3B7333"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Snow, David A., and Robert D. Benford. 1988. “Ideology, Frame Resonance, and Participant Mobilization.” </w:t>
      </w:r>
      <w:r w:rsidRPr="002A2008">
        <w:rPr>
          <w:rFonts w:ascii="Times New Roman" w:hAnsi="Times New Roman" w:cs="Times New Roman"/>
          <w:i/>
          <w:iCs/>
          <w:noProof/>
          <w:sz w:val="24"/>
          <w:szCs w:val="24"/>
        </w:rPr>
        <w:t>International social movement research</w:t>
      </w:r>
      <w:r w:rsidRPr="002A2008">
        <w:rPr>
          <w:rFonts w:ascii="Times New Roman" w:hAnsi="Times New Roman" w:cs="Times New Roman"/>
          <w:noProof/>
          <w:sz w:val="24"/>
          <w:szCs w:val="24"/>
        </w:rPr>
        <w:t xml:space="preserve"> 1(1): 197–217.</w:t>
      </w:r>
    </w:p>
    <w:p w14:paraId="1CBF6D9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Snow, David A, E Burke Rochford, Steven K Worden, and Robert D Benford. 1986. “Frame Alignment Processes , Micromobilization, and Movement Participation.” </w:t>
      </w:r>
      <w:r w:rsidRPr="002A2008">
        <w:rPr>
          <w:rFonts w:ascii="Times New Roman" w:hAnsi="Times New Roman" w:cs="Times New Roman"/>
          <w:i/>
          <w:iCs/>
          <w:noProof/>
          <w:sz w:val="24"/>
          <w:szCs w:val="24"/>
        </w:rPr>
        <w:t>American Sociological Review</w:t>
      </w:r>
      <w:r w:rsidRPr="002A2008">
        <w:rPr>
          <w:rFonts w:ascii="Times New Roman" w:hAnsi="Times New Roman" w:cs="Times New Roman"/>
          <w:noProof/>
          <w:sz w:val="24"/>
          <w:szCs w:val="24"/>
        </w:rPr>
        <w:t xml:space="preserve"> 51(4): 464–81.</w:t>
      </w:r>
    </w:p>
    <w:p w14:paraId="76DC935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Steinert-Threlkeld, Zachary C., Delia Mocanu, Alessandro Vespignani, and James Fowler. 2015. “Online Social Networks and Offline Protest.” </w:t>
      </w:r>
      <w:r w:rsidRPr="002A2008">
        <w:rPr>
          <w:rFonts w:ascii="Times New Roman" w:hAnsi="Times New Roman" w:cs="Times New Roman"/>
          <w:i/>
          <w:iCs/>
          <w:noProof/>
          <w:sz w:val="24"/>
          <w:szCs w:val="24"/>
        </w:rPr>
        <w:t>EPJ Data Science</w:t>
      </w:r>
      <w:r w:rsidRPr="002A2008">
        <w:rPr>
          <w:rFonts w:ascii="Times New Roman" w:hAnsi="Times New Roman" w:cs="Times New Roman"/>
          <w:noProof/>
          <w:sz w:val="24"/>
          <w:szCs w:val="24"/>
        </w:rPr>
        <w:t xml:space="preserve"> 4(1): 1–9. http://dx.doi.org/10.1140/epjds/s13688-015-0056-y.</w:t>
      </w:r>
    </w:p>
    <w:p w14:paraId="070E88F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Stritch, Andrew. 2015. “The Advocacy Coalition Framework and Nascent Subsystems: Trade Union Disclosure Policy in Canada.”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43(4): 437–55.</w:t>
      </w:r>
    </w:p>
    <w:p w14:paraId="53A94378"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Urbina, Ian. 2011. “A Tainted Water Well, and Concern There May Be More.” : 4–9.</w:t>
      </w:r>
    </w:p>
    <w:p w14:paraId="1F8E4756"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Wang, Qiang, Xi Chen, Awadhesh N. Jha, and Howard Rogers. 2014. “Natural Gas from Shale Formation - The Evolution, Evidences and Challenges of Shale Gas Revolution in United States.” </w:t>
      </w:r>
      <w:r w:rsidRPr="002A2008">
        <w:rPr>
          <w:rFonts w:ascii="Times New Roman" w:hAnsi="Times New Roman" w:cs="Times New Roman"/>
          <w:i/>
          <w:iCs/>
          <w:noProof/>
          <w:sz w:val="24"/>
          <w:szCs w:val="24"/>
        </w:rPr>
        <w:t>Renewable and Sustainable Energy Reviews</w:t>
      </w:r>
      <w:r w:rsidRPr="002A2008">
        <w:rPr>
          <w:rFonts w:ascii="Times New Roman" w:hAnsi="Times New Roman" w:cs="Times New Roman"/>
          <w:noProof/>
          <w:sz w:val="24"/>
          <w:szCs w:val="24"/>
        </w:rPr>
        <w:t xml:space="preserve"> 30: 1–28. http://dx.doi.org/10.1016/j.rser.2013.08.065.</w:t>
      </w:r>
    </w:p>
    <w:p w14:paraId="30536192"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Wang, Zhongmin, and Alan Krupnick. 2013. “A Retrospective Review of Shale Gas Development in the United States: What Led to the Boom?” </w:t>
      </w:r>
      <w:r w:rsidRPr="002A2008">
        <w:rPr>
          <w:rFonts w:ascii="Times New Roman" w:hAnsi="Times New Roman" w:cs="Times New Roman"/>
          <w:i/>
          <w:iCs/>
          <w:noProof/>
          <w:sz w:val="24"/>
          <w:szCs w:val="24"/>
        </w:rPr>
        <w:t>Economics of Energy and Environmental Policy</w:t>
      </w:r>
      <w:r w:rsidRPr="002A2008">
        <w:rPr>
          <w:rFonts w:ascii="Times New Roman" w:hAnsi="Times New Roman" w:cs="Times New Roman"/>
          <w:noProof/>
          <w:sz w:val="24"/>
          <w:szCs w:val="24"/>
        </w:rPr>
        <w:t xml:space="preserve"> 4(1): 5–17.</w:t>
      </w:r>
    </w:p>
    <w:p w14:paraId="09D2E1C7"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Weible, Chris, Tanya Heikkila, Karin Ingold, and Manuel Fischer. 2016. “Contours of Coalition Politics on Hydraulic Fracturing Within the United States of America.” In </w:t>
      </w:r>
      <w:r w:rsidRPr="002A2008">
        <w:rPr>
          <w:rFonts w:ascii="Times New Roman" w:hAnsi="Times New Roman" w:cs="Times New Roman"/>
          <w:i/>
          <w:iCs/>
          <w:noProof/>
          <w:sz w:val="24"/>
          <w:szCs w:val="24"/>
        </w:rPr>
        <w:t>Comparing Coalition Politics: Policy Debates on Hydraulic Fracturing in North America and Western Europe</w:t>
      </w:r>
      <w:r w:rsidRPr="002A2008">
        <w:rPr>
          <w:rFonts w:ascii="Times New Roman" w:hAnsi="Times New Roman" w:cs="Times New Roman"/>
          <w:noProof/>
          <w:sz w:val="24"/>
          <w:szCs w:val="24"/>
        </w:rPr>
        <w:t>, Palgrave Macmillan.</w:t>
      </w:r>
    </w:p>
    <w:p w14:paraId="7A2C4A8F" w14:textId="5A0E3B09"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Weible, Christopher. 2008. “Expert-Based Information and Policy Subsystems: A Review and Synthesis.” </w:t>
      </w:r>
      <w:r w:rsidRPr="002A2008">
        <w:rPr>
          <w:rFonts w:ascii="Times New Roman" w:hAnsi="Times New Roman" w:cs="Times New Roman"/>
          <w:i/>
          <w:iCs/>
          <w:noProof/>
          <w:sz w:val="24"/>
          <w:szCs w:val="24"/>
        </w:rPr>
        <w:t xml:space="preserve">The </w:t>
      </w:r>
      <w:r w:rsidR="00F21971">
        <w:rPr>
          <w:rFonts w:ascii="Times New Roman" w:hAnsi="Times New Roman" w:cs="Times New Roman"/>
          <w:i/>
          <w:iCs/>
          <w:noProof/>
          <w:sz w:val="24"/>
          <w:szCs w:val="24"/>
        </w:rPr>
        <w:t>P</w:t>
      </w:r>
      <w:r w:rsidRPr="002A2008">
        <w:rPr>
          <w:rFonts w:ascii="Times New Roman" w:hAnsi="Times New Roman" w:cs="Times New Roman"/>
          <w:i/>
          <w:iCs/>
          <w:noProof/>
          <w:sz w:val="24"/>
          <w:szCs w:val="24"/>
        </w:rPr>
        <w:t xml:space="preserve">olicy of </w:t>
      </w:r>
      <w:r w:rsidR="00F21971">
        <w:rPr>
          <w:rFonts w:ascii="Times New Roman" w:hAnsi="Times New Roman" w:cs="Times New Roman"/>
          <w:i/>
          <w:iCs/>
          <w:noProof/>
          <w:sz w:val="24"/>
          <w:szCs w:val="24"/>
        </w:rPr>
        <w:t>S</w:t>
      </w:r>
      <w:r w:rsidRPr="002A2008">
        <w:rPr>
          <w:rFonts w:ascii="Times New Roman" w:hAnsi="Times New Roman" w:cs="Times New Roman"/>
          <w:i/>
          <w:iCs/>
          <w:noProof/>
          <w:sz w:val="24"/>
          <w:szCs w:val="24"/>
        </w:rPr>
        <w:t xml:space="preserve">tudies </w:t>
      </w:r>
      <w:r w:rsidR="00F21971">
        <w:rPr>
          <w:rFonts w:ascii="Times New Roman" w:hAnsi="Times New Roman" w:cs="Times New Roman"/>
          <w:i/>
          <w:iCs/>
          <w:noProof/>
          <w:sz w:val="24"/>
          <w:szCs w:val="24"/>
        </w:rPr>
        <w:t>J</w:t>
      </w:r>
      <w:r w:rsidRPr="002A2008">
        <w:rPr>
          <w:rFonts w:ascii="Times New Roman" w:hAnsi="Times New Roman" w:cs="Times New Roman"/>
          <w:i/>
          <w:iCs/>
          <w:noProof/>
          <w:sz w:val="24"/>
          <w:szCs w:val="24"/>
        </w:rPr>
        <w:t>ournal</w:t>
      </w:r>
      <w:r w:rsidRPr="002A2008">
        <w:rPr>
          <w:rFonts w:ascii="Times New Roman" w:hAnsi="Times New Roman" w:cs="Times New Roman"/>
          <w:noProof/>
          <w:sz w:val="24"/>
          <w:szCs w:val="24"/>
        </w:rPr>
        <w:t xml:space="preserve"> 36(4): 615–35.</w:t>
      </w:r>
    </w:p>
    <w:p w14:paraId="103543C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Weible, Christopher M. 2005a. “Beliefs and Perceived Influence in a Natural Resource Conflict: An Advocacy Coalition Approach to Policy Networks.” </w:t>
      </w:r>
      <w:r w:rsidRPr="002A2008">
        <w:rPr>
          <w:rFonts w:ascii="Times New Roman" w:hAnsi="Times New Roman" w:cs="Times New Roman"/>
          <w:i/>
          <w:iCs/>
          <w:noProof/>
          <w:sz w:val="24"/>
          <w:szCs w:val="24"/>
        </w:rPr>
        <w:t>Political Research Quarterly</w:t>
      </w:r>
      <w:r w:rsidRPr="002A2008">
        <w:rPr>
          <w:rFonts w:ascii="Times New Roman" w:hAnsi="Times New Roman" w:cs="Times New Roman"/>
          <w:noProof/>
          <w:sz w:val="24"/>
          <w:szCs w:val="24"/>
        </w:rPr>
        <w:t xml:space="preserve"> 58(3): 461–75.</w:t>
      </w:r>
    </w:p>
    <w:p w14:paraId="66766F54"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 2007. “An Advocacy Coalition Framework Approach to Stakeholder Analysis: Understanding the Political Context of California Marine Protected Area Policy.” </w:t>
      </w:r>
      <w:r w:rsidRPr="002A2008">
        <w:rPr>
          <w:rFonts w:ascii="Times New Roman" w:hAnsi="Times New Roman" w:cs="Times New Roman"/>
          <w:i/>
          <w:iCs/>
          <w:noProof/>
          <w:sz w:val="24"/>
          <w:szCs w:val="24"/>
        </w:rPr>
        <w:t>Journal of Public Administration Research and Theory</w:t>
      </w:r>
      <w:r w:rsidRPr="002A2008">
        <w:rPr>
          <w:rFonts w:ascii="Times New Roman" w:hAnsi="Times New Roman" w:cs="Times New Roman"/>
          <w:noProof/>
          <w:sz w:val="24"/>
          <w:szCs w:val="24"/>
        </w:rPr>
        <w:t xml:space="preserve"> 17(1): 95–117.</w:t>
      </w:r>
    </w:p>
    <w:p w14:paraId="6899C646"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Weible, Christopher M., and Paul A. Sabatier. 2005. “Comparing Policy Networks: Marine Protected Areas in California.” </w:t>
      </w:r>
      <w:r w:rsidRPr="002A2008">
        <w:rPr>
          <w:rFonts w:ascii="Times New Roman" w:hAnsi="Times New Roman" w:cs="Times New Roman"/>
          <w:i/>
          <w:iCs/>
          <w:noProof/>
          <w:sz w:val="24"/>
          <w:szCs w:val="24"/>
        </w:rPr>
        <w:t>Policy Studies Journal</w:t>
      </w:r>
      <w:r w:rsidRPr="002A2008">
        <w:rPr>
          <w:rFonts w:ascii="Times New Roman" w:hAnsi="Times New Roman" w:cs="Times New Roman"/>
          <w:noProof/>
          <w:sz w:val="24"/>
          <w:szCs w:val="24"/>
        </w:rPr>
        <w:t xml:space="preserve"> 33(2): 181–201.</w:t>
      </w:r>
    </w:p>
    <w:p w14:paraId="6E5866AF"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Weible, Christopher M. 2005b. “An Advocacy Coalition Approach to Policy Networks.” </w:t>
      </w:r>
      <w:r w:rsidRPr="002A2008">
        <w:rPr>
          <w:rFonts w:ascii="Times New Roman" w:hAnsi="Times New Roman" w:cs="Times New Roman"/>
          <w:i/>
          <w:iCs/>
          <w:noProof/>
          <w:sz w:val="24"/>
          <w:szCs w:val="24"/>
        </w:rPr>
        <w:t>Political Research Quarterly</w:t>
      </w:r>
      <w:r w:rsidRPr="002A2008">
        <w:rPr>
          <w:rFonts w:ascii="Times New Roman" w:hAnsi="Times New Roman" w:cs="Times New Roman"/>
          <w:noProof/>
          <w:sz w:val="24"/>
          <w:szCs w:val="24"/>
        </w:rPr>
        <w:t xml:space="preserve"> 58(3): 461–75.</w:t>
      </w:r>
    </w:p>
    <w:p w14:paraId="4A6E5C49" w14:textId="7551720E" w:rsidR="002A2008" w:rsidRPr="00F21971" w:rsidRDefault="00F21971"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21971">
        <w:rPr>
          <w:rFonts w:ascii="Times New Roman" w:hAnsi="Times New Roman" w:cs="Times New Roman"/>
          <w:color w:val="222222"/>
          <w:sz w:val="24"/>
          <w:szCs w:val="24"/>
          <w:shd w:val="clear" w:color="auto" w:fill="FFFFFF"/>
        </w:rPr>
        <w:t>Weible, C. M., Ingold, K., Nohrstedt, D., Henry, A. D., &amp; Jenkins‐Smith, H. C. (2019). Sharpening advocacy coalitions. </w:t>
      </w:r>
      <w:r w:rsidRPr="00F21971">
        <w:rPr>
          <w:rFonts w:ascii="Times New Roman" w:hAnsi="Times New Roman" w:cs="Times New Roman"/>
          <w:i/>
          <w:iCs/>
          <w:color w:val="222222"/>
          <w:sz w:val="24"/>
          <w:szCs w:val="24"/>
          <w:shd w:val="clear" w:color="auto" w:fill="FFFFFF"/>
        </w:rPr>
        <w:t xml:space="preserve">Policy </w:t>
      </w:r>
      <w:r>
        <w:rPr>
          <w:rFonts w:ascii="Times New Roman" w:hAnsi="Times New Roman" w:cs="Times New Roman"/>
          <w:i/>
          <w:iCs/>
          <w:color w:val="222222"/>
          <w:sz w:val="24"/>
          <w:szCs w:val="24"/>
          <w:shd w:val="clear" w:color="auto" w:fill="FFFFFF"/>
        </w:rPr>
        <w:t>S</w:t>
      </w:r>
      <w:r w:rsidRPr="00F21971">
        <w:rPr>
          <w:rFonts w:ascii="Times New Roman" w:hAnsi="Times New Roman" w:cs="Times New Roman"/>
          <w:i/>
          <w:iCs/>
          <w:color w:val="222222"/>
          <w:sz w:val="24"/>
          <w:szCs w:val="24"/>
          <w:shd w:val="clear" w:color="auto" w:fill="FFFFFF"/>
        </w:rPr>
        <w:t xml:space="preserve">tudies </w:t>
      </w:r>
      <w:r>
        <w:rPr>
          <w:rFonts w:ascii="Times New Roman" w:hAnsi="Times New Roman" w:cs="Times New Roman"/>
          <w:i/>
          <w:iCs/>
          <w:color w:val="222222"/>
          <w:sz w:val="24"/>
          <w:szCs w:val="24"/>
          <w:shd w:val="clear" w:color="auto" w:fill="FFFFFF"/>
        </w:rPr>
        <w:t>J</w:t>
      </w:r>
      <w:r w:rsidRPr="00F21971">
        <w:rPr>
          <w:rFonts w:ascii="Times New Roman" w:hAnsi="Times New Roman" w:cs="Times New Roman"/>
          <w:i/>
          <w:iCs/>
          <w:color w:val="222222"/>
          <w:sz w:val="24"/>
          <w:szCs w:val="24"/>
          <w:shd w:val="clear" w:color="auto" w:fill="FFFFFF"/>
        </w:rPr>
        <w:t>ournal</w:t>
      </w:r>
      <w:r w:rsidRPr="00F2197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2A2008" w:rsidRPr="00F21971">
        <w:rPr>
          <w:rFonts w:ascii="Times New Roman" w:hAnsi="Times New Roman" w:cs="Times New Roman"/>
          <w:noProof/>
          <w:sz w:val="24"/>
          <w:szCs w:val="24"/>
        </w:rPr>
        <w:t>Wilson, Carter. 2000. “Policy Regimes and Policy Change.” 20(3): 247–74.</w:t>
      </w:r>
    </w:p>
    <w:p w14:paraId="06D73863"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lastRenderedPageBreak/>
        <w:t xml:space="preserve">Yordy, Jill et al. 2019. “Framing Contests and Policy Conflicts over Gas Pipelines.” </w:t>
      </w:r>
      <w:r w:rsidRPr="002A2008">
        <w:rPr>
          <w:rFonts w:ascii="Times New Roman" w:hAnsi="Times New Roman" w:cs="Times New Roman"/>
          <w:i/>
          <w:iCs/>
          <w:noProof/>
          <w:sz w:val="24"/>
          <w:szCs w:val="24"/>
        </w:rPr>
        <w:t>Review of Policy Research</w:t>
      </w:r>
      <w:r w:rsidRPr="002A2008">
        <w:rPr>
          <w:rFonts w:ascii="Times New Roman" w:hAnsi="Times New Roman" w:cs="Times New Roman"/>
          <w:noProof/>
          <w:sz w:val="24"/>
          <w:szCs w:val="24"/>
        </w:rPr>
        <w:t xml:space="preserve"> 36(6): 736–56.</w:t>
      </w:r>
    </w:p>
    <w:p w14:paraId="099AD59B"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2A2008">
        <w:rPr>
          <w:rFonts w:ascii="Times New Roman" w:hAnsi="Times New Roman" w:cs="Times New Roman"/>
          <w:noProof/>
          <w:sz w:val="24"/>
          <w:szCs w:val="24"/>
        </w:rPr>
        <w:t xml:space="preserve">Zafonte, Matthew, and Paul a. Sabatier. 2004. “Short-Term Versus Long-Term Coalitions in the Policy Process : Automotive Pollution Control, 1963 – 1989.” </w:t>
      </w:r>
      <w:r w:rsidRPr="002A2008">
        <w:rPr>
          <w:rFonts w:ascii="Times New Roman" w:hAnsi="Times New Roman" w:cs="Times New Roman"/>
          <w:i/>
          <w:iCs/>
          <w:noProof/>
          <w:sz w:val="24"/>
          <w:szCs w:val="24"/>
        </w:rPr>
        <w:t>The Policy Studies Journal</w:t>
      </w:r>
      <w:r w:rsidRPr="002A2008">
        <w:rPr>
          <w:rFonts w:ascii="Times New Roman" w:hAnsi="Times New Roman" w:cs="Times New Roman"/>
          <w:noProof/>
          <w:sz w:val="24"/>
          <w:szCs w:val="24"/>
        </w:rPr>
        <w:t xml:space="preserve"> 32(1): 1963–89.</w:t>
      </w:r>
    </w:p>
    <w:p w14:paraId="14015229" w14:textId="77777777" w:rsidR="002A2008" w:rsidRPr="002A2008" w:rsidRDefault="002A2008" w:rsidP="002A2008">
      <w:pPr>
        <w:widowControl w:val="0"/>
        <w:autoSpaceDE w:val="0"/>
        <w:autoSpaceDN w:val="0"/>
        <w:adjustRightInd w:val="0"/>
        <w:spacing w:after="100" w:line="240" w:lineRule="auto"/>
        <w:ind w:left="480" w:hanging="480"/>
        <w:rPr>
          <w:rFonts w:ascii="Times New Roman" w:hAnsi="Times New Roman" w:cs="Times New Roman"/>
          <w:noProof/>
          <w:sz w:val="24"/>
        </w:rPr>
      </w:pPr>
      <w:r w:rsidRPr="002A2008">
        <w:rPr>
          <w:rFonts w:ascii="Times New Roman" w:hAnsi="Times New Roman" w:cs="Times New Roman"/>
          <w:noProof/>
          <w:sz w:val="24"/>
          <w:szCs w:val="24"/>
        </w:rPr>
        <w:t xml:space="preserve">Zilliox, Skylar, and Jessica M. Smith. 2018. “Colorado’s Fracking Debates: Citizen Science, Conflict and Collaboration.” </w:t>
      </w:r>
      <w:r w:rsidRPr="002A2008">
        <w:rPr>
          <w:rFonts w:ascii="Times New Roman" w:hAnsi="Times New Roman" w:cs="Times New Roman"/>
          <w:i/>
          <w:iCs/>
          <w:noProof/>
          <w:sz w:val="24"/>
          <w:szCs w:val="24"/>
        </w:rPr>
        <w:t>Science as Culture</w:t>
      </w:r>
      <w:r w:rsidRPr="002A2008">
        <w:rPr>
          <w:rFonts w:ascii="Times New Roman" w:hAnsi="Times New Roman" w:cs="Times New Roman"/>
          <w:noProof/>
          <w:sz w:val="24"/>
          <w:szCs w:val="24"/>
        </w:rPr>
        <w:t xml:space="preserve"> 27(2): 221–41.</w:t>
      </w:r>
    </w:p>
    <w:p w14:paraId="10EB3D00" w14:textId="14A25852" w:rsidR="00B01D76" w:rsidRDefault="00B01D76" w:rsidP="004C6F90">
      <w:pPr>
        <w:spacing w:after="100" w:afterAutospacing="1" w:line="240" w:lineRule="auto"/>
      </w:pPr>
      <w:r>
        <w:rPr>
          <w:rFonts w:ascii="Times New Roman" w:hAnsi="Times New Roman" w:cs="Times New Roman"/>
          <w:b/>
          <w:sz w:val="24"/>
          <w:szCs w:val="24"/>
          <w:u w:val="single"/>
        </w:rPr>
        <w:fldChar w:fldCharType="end"/>
      </w:r>
    </w:p>
    <w:p w14:paraId="3BE53F9E" w14:textId="77777777" w:rsidR="00BA06D0" w:rsidRDefault="00BA06D0" w:rsidP="009550B2">
      <w:pPr>
        <w:spacing w:after="100" w:afterAutospacing="1" w:line="480" w:lineRule="auto"/>
        <w:rPr>
          <w:rFonts w:ascii="Times New Roman" w:hAnsi="Times New Roman" w:cs="Times New Roman"/>
          <w:b/>
          <w:sz w:val="24"/>
          <w:szCs w:val="24"/>
        </w:rPr>
      </w:pPr>
    </w:p>
    <w:p w14:paraId="466CBCA7" w14:textId="77777777" w:rsidR="00BA06D0" w:rsidRDefault="00BA06D0" w:rsidP="009550B2">
      <w:pPr>
        <w:spacing w:after="100" w:afterAutospacing="1" w:line="480" w:lineRule="auto"/>
        <w:rPr>
          <w:rFonts w:ascii="Times New Roman" w:hAnsi="Times New Roman" w:cs="Times New Roman"/>
          <w:b/>
          <w:sz w:val="24"/>
          <w:szCs w:val="24"/>
        </w:rPr>
      </w:pPr>
    </w:p>
    <w:p w14:paraId="68C00060" w14:textId="77777777" w:rsidR="00BA06D0" w:rsidRDefault="00BA06D0" w:rsidP="009550B2">
      <w:pPr>
        <w:spacing w:after="100" w:afterAutospacing="1" w:line="480" w:lineRule="auto"/>
        <w:rPr>
          <w:rFonts w:ascii="Times New Roman" w:hAnsi="Times New Roman" w:cs="Times New Roman"/>
          <w:b/>
          <w:sz w:val="24"/>
          <w:szCs w:val="24"/>
        </w:rPr>
      </w:pPr>
    </w:p>
    <w:p w14:paraId="218CC46F" w14:textId="77777777" w:rsidR="00BA06D0" w:rsidRDefault="00BA06D0" w:rsidP="009550B2">
      <w:pPr>
        <w:spacing w:after="100" w:afterAutospacing="1" w:line="480" w:lineRule="auto"/>
        <w:rPr>
          <w:rFonts w:ascii="Times New Roman" w:hAnsi="Times New Roman" w:cs="Times New Roman"/>
          <w:b/>
          <w:sz w:val="24"/>
          <w:szCs w:val="24"/>
        </w:rPr>
      </w:pPr>
    </w:p>
    <w:p w14:paraId="6D261E83" w14:textId="77777777" w:rsidR="00BA06D0" w:rsidRDefault="00BA06D0" w:rsidP="009550B2">
      <w:pPr>
        <w:spacing w:after="100" w:afterAutospacing="1" w:line="480" w:lineRule="auto"/>
        <w:rPr>
          <w:rFonts w:ascii="Times New Roman" w:hAnsi="Times New Roman" w:cs="Times New Roman"/>
          <w:b/>
          <w:sz w:val="24"/>
          <w:szCs w:val="24"/>
        </w:rPr>
      </w:pPr>
    </w:p>
    <w:p w14:paraId="68F5A37D" w14:textId="6CB498A1" w:rsidR="00BA06D0" w:rsidRPr="003F278E" w:rsidRDefault="00BA06D0" w:rsidP="003F278E">
      <w:pPr>
        <w:pStyle w:val="Heading1"/>
        <w:jc w:val="center"/>
        <w:rPr>
          <w:rFonts w:ascii="Times New Roman" w:hAnsi="Times New Roman" w:cs="Times New Roman"/>
          <w:b/>
          <w:bCs/>
          <w:color w:val="auto"/>
          <w:sz w:val="24"/>
          <w:szCs w:val="24"/>
        </w:rPr>
      </w:pPr>
      <w:bookmarkStart w:id="27" w:name="_Toc46917881"/>
      <w:r w:rsidRPr="003F278E">
        <w:rPr>
          <w:rFonts w:ascii="Times New Roman" w:hAnsi="Times New Roman" w:cs="Times New Roman"/>
          <w:b/>
          <w:bCs/>
          <w:color w:val="auto"/>
          <w:sz w:val="24"/>
          <w:szCs w:val="24"/>
        </w:rPr>
        <w:t>APPENDIX A</w:t>
      </w:r>
      <w:bookmarkEnd w:id="27"/>
    </w:p>
    <w:p w14:paraId="67503DB7" w14:textId="07B7BC79" w:rsidR="00BA06D0" w:rsidRDefault="00DC5F25" w:rsidP="00BA06D0">
      <w:pPr>
        <w:spacing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CONCEPTUAL DEFINITIONS OF ISSUE FRAMES</w:t>
      </w:r>
    </w:p>
    <w:p w14:paraId="663668DE"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02B7D">
        <w:rPr>
          <w:rFonts w:ascii="Times New Roman" w:hAnsi="Times New Roman" w:cs="Times New Roman"/>
          <w:i/>
          <w:iCs/>
          <w:sz w:val="24"/>
          <w:szCs w:val="24"/>
        </w:rPr>
        <w:t>Economic risk.</w:t>
      </w:r>
      <w:r>
        <w:rPr>
          <w:rFonts w:ascii="Times New Roman" w:hAnsi="Times New Roman" w:cs="Times New Roman"/>
          <w:sz w:val="24"/>
          <w:szCs w:val="24"/>
        </w:rPr>
        <w:t xml:space="preserve"> </w:t>
      </w:r>
      <w:r w:rsidRPr="00E02B7D">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02B7D">
        <w:rPr>
          <w:rFonts w:ascii="Times New Roman" w:hAnsi="Times New Roman" w:cs="Times New Roman"/>
          <w:sz w:val="24"/>
          <w:szCs w:val="24"/>
        </w:rPr>
        <w:t xml:space="preserve"> to have economic risks. For instance, statements about how </w:t>
      </w:r>
      <w:r>
        <w:rPr>
          <w:rFonts w:ascii="Times New Roman" w:hAnsi="Times New Roman" w:cs="Times New Roman"/>
          <w:sz w:val="24"/>
          <w:szCs w:val="24"/>
        </w:rPr>
        <w:t>unconventional oil and gas</w:t>
      </w:r>
      <w:r w:rsidRPr="00E02B7D">
        <w:rPr>
          <w:rFonts w:ascii="Times New Roman" w:hAnsi="Times New Roman" w:cs="Times New Roman"/>
          <w:sz w:val="24"/>
          <w:szCs w:val="24"/>
        </w:rPr>
        <w:t xml:space="preserve"> disrupts regional economies, negatively affects tourism and jobs, favors concentration of income in favor of corporations, public officials appealing to industry groups over citizens, or sucks up public resources that could be used in other sectors</w:t>
      </w:r>
    </w:p>
    <w:p w14:paraId="5061FF10" w14:textId="77777777" w:rsidR="00DC5F25" w:rsidRDefault="00DC5F25" w:rsidP="00DC5F25">
      <w:pPr>
        <w:pStyle w:val="ListParagraph"/>
        <w:spacing w:line="240" w:lineRule="auto"/>
        <w:rPr>
          <w:rFonts w:ascii="Times New Roman" w:hAnsi="Times New Roman" w:cs="Times New Roman"/>
          <w:sz w:val="24"/>
          <w:szCs w:val="24"/>
        </w:rPr>
      </w:pPr>
    </w:p>
    <w:p w14:paraId="5A82F0A9"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 xml:space="preserve">Environmental risk. </w:t>
      </w:r>
      <w:r w:rsidRPr="00E02B7D">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02B7D">
        <w:rPr>
          <w:rFonts w:ascii="Times New Roman" w:hAnsi="Times New Roman" w:cs="Times New Roman"/>
          <w:sz w:val="24"/>
          <w:szCs w:val="24"/>
        </w:rPr>
        <w:t xml:space="preserve"> to have environmental risks. For instance, statements about how </w:t>
      </w:r>
      <w:r>
        <w:rPr>
          <w:rFonts w:ascii="Times New Roman" w:hAnsi="Times New Roman" w:cs="Times New Roman"/>
          <w:sz w:val="24"/>
          <w:szCs w:val="24"/>
        </w:rPr>
        <w:t>unconventional oil and gas</w:t>
      </w:r>
      <w:r w:rsidRPr="00E02B7D">
        <w:rPr>
          <w:rFonts w:ascii="Times New Roman" w:hAnsi="Times New Roman" w:cs="Times New Roman"/>
          <w:sz w:val="24"/>
          <w:szCs w:val="24"/>
        </w:rPr>
        <w:t xml:space="preserve"> can result in contamination of groundwater or surface water, lead to earthquakes, affect biodiversity/displace species are examples of environmental risk.</w:t>
      </w:r>
    </w:p>
    <w:p w14:paraId="6C577A27" w14:textId="77777777" w:rsidR="00DC5F25" w:rsidRPr="00E02B7D" w:rsidRDefault="00DC5F25" w:rsidP="00DC5F25">
      <w:pPr>
        <w:pStyle w:val="ListParagraph"/>
        <w:rPr>
          <w:rFonts w:ascii="Times New Roman" w:hAnsi="Times New Roman" w:cs="Times New Roman"/>
          <w:sz w:val="24"/>
          <w:szCs w:val="24"/>
        </w:rPr>
      </w:pPr>
    </w:p>
    <w:p w14:paraId="72F6268C"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Public safety and health risk.</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to have risks associated with community safety and health such as contaminated drinking water or an explosion at a well site. Violence and war can be interpreted as risk to public safety and health.</w:t>
      </w:r>
    </w:p>
    <w:p w14:paraId="6831B6C7" w14:textId="77777777" w:rsidR="00DC5F25" w:rsidRPr="00E76A40" w:rsidRDefault="00DC5F25" w:rsidP="00DC5F25">
      <w:pPr>
        <w:pStyle w:val="ListParagraph"/>
        <w:rPr>
          <w:rFonts w:ascii="Times New Roman" w:hAnsi="Times New Roman" w:cs="Times New Roman"/>
          <w:sz w:val="24"/>
          <w:szCs w:val="24"/>
        </w:rPr>
      </w:pPr>
    </w:p>
    <w:p w14:paraId="563DDC1D"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lastRenderedPageBreak/>
        <w:t>Energy development risk.</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to be a risk to energy development and independence.</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For instance, statements about national security, energy independence, or large-scale production of oil and gas using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(at least in part).</w:t>
      </w:r>
    </w:p>
    <w:p w14:paraId="1E322CFD" w14:textId="77777777" w:rsidR="00DC5F25" w:rsidRPr="00E76A40" w:rsidRDefault="00DC5F25" w:rsidP="00DC5F25">
      <w:pPr>
        <w:pStyle w:val="ListParagraph"/>
        <w:rPr>
          <w:rFonts w:ascii="Times New Roman" w:hAnsi="Times New Roman" w:cs="Times New Roman"/>
          <w:sz w:val="24"/>
          <w:szCs w:val="24"/>
        </w:rPr>
      </w:pPr>
    </w:p>
    <w:p w14:paraId="05F4A155"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Risk of regulation/ban.</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a current or upcoming </w:t>
      </w:r>
      <w:r>
        <w:rPr>
          <w:rFonts w:ascii="Times New Roman" w:hAnsi="Times New Roman" w:cs="Times New Roman"/>
          <w:sz w:val="24"/>
          <w:szCs w:val="24"/>
        </w:rPr>
        <w:t>regulation, moratorium, or ban</w:t>
      </w:r>
      <w:r w:rsidRPr="00E76A40">
        <w:rPr>
          <w:rFonts w:ascii="Times New Roman" w:hAnsi="Times New Roman" w:cs="Times New Roman"/>
          <w:sz w:val="24"/>
          <w:szCs w:val="24"/>
        </w:rPr>
        <w:t xml:space="preserve"> related to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would have negative impacts on society, the economy, etc.</w:t>
      </w:r>
      <w:r>
        <w:rPr>
          <w:rFonts w:ascii="Times New Roman" w:hAnsi="Times New Roman" w:cs="Times New Roman"/>
          <w:sz w:val="24"/>
          <w:szCs w:val="24"/>
        </w:rPr>
        <w:t xml:space="preserve"> </w:t>
      </w:r>
    </w:p>
    <w:p w14:paraId="14DDEEEE" w14:textId="77777777" w:rsidR="00DC5F25" w:rsidRPr="00E76A40" w:rsidRDefault="00DC5F25" w:rsidP="00DC5F25">
      <w:pPr>
        <w:pStyle w:val="ListParagraph"/>
        <w:rPr>
          <w:rFonts w:ascii="Times New Roman" w:hAnsi="Times New Roman" w:cs="Times New Roman"/>
          <w:sz w:val="24"/>
          <w:szCs w:val="24"/>
        </w:rPr>
      </w:pPr>
    </w:p>
    <w:p w14:paraId="2123EB04"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i/>
          <w:iCs/>
          <w:sz w:val="24"/>
          <w:szCs w:val="24"/>
        </w:rPr>
        <w:t>Experts and science</w:t>
      </w:r>
      <w:r w:rsidRPr="00E76A40">
        <w:rPr>
          <w:rFonts w:ascii="Times New Roman" w:hAnsi="Times New Roman" w:cs="Times New Roman"/>
          <w:i/>
          <w:iCs/>
          <w:sz w:val="24"/>
          <w:szCs w:val="24"/>
        </w:rPr>
        <w:t xml:space="preserve"> in opposition to </w:t>
      </w:r>
      <w:r>
        <w:rPr>
          <w:rFonts w:ascii="Times New Roman" w:hAnsi="Times New Roman" w:cs="Times New Roman"/>
          <w:i/>
          <w:iCs/>
          <w:sz w:val="24"/>
          <w:szCs w:val="24"/>
        </w:rPr>
        <w:t>unconventional oil and gas</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uses scholarly works, data, or statistics in opposition to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or the actor uses material created by experts</w:t>
      </w:r>
      <w:r>
        <w:rPr>
          <w:rFonts w:ascii="Times New Roman" w:hAnsi="Times New Roman" w:cs="Times New Roman"/>
          <w:sz w:val="24"/>
          <w:szCs w:val="24"/>
        </w:rPr>
        <w:t>.</w:t>
      </w:r>
    </w:p>
    <w:p w14:paraId="79FBC806" w14:textId="77777777" w:rsidR="00DC5F25" w:rsidRPr="00E76A40" w:rsidRDefault="00DC5F25" w:rsidP="00DC5F25">
      <w:pPr>
        <w:pStyle w:val="ListParagraph"/>
        <w:rPr>
          <w:rFonts w:ascii="Times New Roman" w:hAnsi="Times New Roman" w:cs="Times New Roman"/>
          <w:sz w:val="24"/>
          <w:szCs w:val="24"/>
        </w:rPr>
      </w:pPr>
    </w:p>
    <w:p w14:paraId="4B358AA3" w14:textId="5D52A5CE"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Economic benefit.</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to have economic benefits. For instance, statements about market prices ($/barrel of oil, price of solar panels, stocks of energy businesses, </w:t>
      </w:r>
      <w:r w:rsidR="00FC44DB" w:rsidRPr="00E76A40">
        <w:rPr>
          <w:rFonts w:ascii="Times New Roman" w:hAnsi="Times New Roman" w:cs="Times New Roman"/>
          <w:sz w:val="24"/>
          <w:szCs w:val="24"/>
        </w:rPr>
        <w:t>etc.</w:t>
      </w:r>
      <w:r w:rsidRPr="00E76A40">
        <w:rPr>
          <w:rFonts w:ascii="Times New Roman" w:hAnsi="Times New Roman" w:cs="Times New Roman"/>
          <w:sz w:val="24"/>
          <w:szCs w:val="24"/>
        </w:rPr>
        <w:t xml:space="preserve">), how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favors jobs creation, injects money in local communities, improves the financial health of local and state level governments, etc. are considered examples of economic benefit.</w:t>
      </w:r>
    </w:p>
    <w:p w14:paraId="60145DD0" w14:textId="77777777" w:rsidR="00DC5F25" w:rsidRPr="00E76A40" w:rsidRDefault="00DC5F25" w:rsidP="00DC5F25">
      <w:pPr>
        <w:pStyle w:val="ListParagraph"/>
        <w:rPr>
          <w:rFonts w:ascii="Times New Roman" w:hAnsi="Times New Roman" w:cs="Times New Roman"/>
          <w:sz w:val="24"/>
          <w:szCs w:val="24"/>
        </w:rPr>
      </w:pPr>
    </w:p>
    <w:p w14:paraId="085FE329"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Environmental benefit</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to have environmental benefits OR if the actors state that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is “safe” for the environment</w:t>
      </w:r>
    </w:p>
    <w:p w14:paraId="619A5344" w14:textId="77777777" w:rsidR="00DC5F25" w:rsidRPr="00E76A40" w:rsidRDefault="00DC5F25" w:rsidP="00DC5F25">
      <w:pPr>
        <w:pStyle w:val="ListParagraph"/>
        <w:rPr>
          <w:rFonts w:ascii="Times New Roman" w:hAnsi="Times New Roman" w:cs="Times New Roman"/>
          <w:sz w:val="24"/>
          <w:szCs w:val="24"/>
        </w:rPr>
      </w:pPr>
    </w:p>
    <w:p w14:paraId="78793A75"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Public safety and health benefit</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to have benefits associated with community safety.</w:t>
      </w:r>
    </w:p>
    <w:p w14:paraId="5DC483C7" w14:textId="77777777" w:rsidR="00DC5F25" w:rsidRPr="00E76A40" w:rsidRDefault="00DC5F25" w:rsidP="00DC5F25">
      <w:pPr>
        <w:pStyle w:val="ListParagraph"/>
        <w:rPr>
          <w:rFonts w:ascii="Times New Roman" w:hAnsi="Times New Roman" w:cs="Times New Roman"/>
          <w:sz w:val="24"/>
          <w:szCs w:val="24"/>
        </w:rPr>
      </w:pPr>
    </w:p>
    <w:p w14:paraId="57004B13"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Energy development benefit</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he/she believes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to encourage and/or catalyze energy development and independence.</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For instance, statements about national security, energy independence, or large-scale production of oil and gas using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(at least in part).</w:t>
      </w:r>
    </w:p>
    <w:p w14:paraId="414CF351" w14:textId="77777777" w:rsidR="00DC5F25" w:rsidRPr="00E76A40" w:rsidRDefault="00DC5F25" w:rsidP="00DC5F25">
      <w:pPr>
        <w:pStyle w:val="ListParagraph"/>
        <w:rPr>
          <w:rFonts w:ascii="Times New Roman" w:hAnsi="Times New Roman" w:cs="Times New Roman"/>
          <w:sz w:val="24"/>
          <w:szCs w:val="24"/>
        </w:rPr>
      </w:pPr>
    </w:p>
    <w:p w14:paraId="401F34FB" w14:textId="77777777" w:rsidR="00DC5F25" w:rsidRDefault="00DC5F25" w:rsidP="00DC5F25">
      <w:pPr>
        <w:pStyle w:val="ListParagraph"/>
        <w:numPr>
          <w:ilvl w:val="0"/>
          <w:numId w:val="5"/>
        </w:numPr>
        <w:spacing w:line="240" w:lineRule="auto"/>
        <w:rPr>
          <w:rFonts w:ascii="Times New Roman" w:hAnsi="Times New Roman" w:cs="Times New Roman"/>
          <w:sz w:val="24"/>
          <w:szCs w:val="24"/>
        </w:rPr>
      </w:pPr>
      <w:r w:rsidRPr="00E76A40">
        <w:rPr>
          <w:rFonts w:ascii="Times New Roman" w:hAnsi="Times New Roman" w:cs="Times New Roman"/>
          <w:i/>
          <w:iCs/>
          <w:sz w:val="24"/>
          <w:szCs w:val="24"/>
        </w:rPr>
        <w:t>Benefit of regulation/ban.</w:t>
      </w:r>
      <w:r>
        <w:rPr>
          <w:rFonts w:ascii="Times New Roman" w:hAnsi="Times New Roman" w:cs="Times New Roman"/>
          <w:sz w:val="24"/>
          <w:szCs w:val="24"/>
        </w:rPr>
        <w:t xml:space="preserve"> </w:t>
      </w:r>
      <w:r w:rsidRPr="00E76A40">
        <w:rPr>
          <w:rFonts w:ascii="Times New Roman" w:hAnsi="Times New Roman" w:cs="Times New Roman"/>
          <w:sz w:val="24"/>
          <w:szCs w:val="24"/>
        </w:rPr>
        <w:t xml:space="preserve">The actor suggests that a current or upcoming </w:t>
      </w:r>
      <w:r>
        <w:rPr>
          <w:rFonts w:ascii="Times New Roman" w:hAnsi="Times New Roman" w:cs="Times New Roman"/>
          <w:sz w:val="24"/>
          <w:szCs w:val="24"/>
        </w:rPr>
        <w:t>regulation, moratorium, or ban</w:t>
      </w:r>
      <w:r w:rsidRPr="00E76A40">
        <w:rPr>
          <w:rFonts w:ascii="Times New Roman" w:hAnsi="Times New Roman" w:cs="Times New Roman"/>
          <w:sz w:val="24"/>
          <w:szCs w:val="24"/>
        </w:rPr>
        <w:t xml:space="preserve"> related to </w:t>
      </w:r>
      <w:r>
        <w:rPr>
          <w:rFonts w:ascii="Times New Roman" w:hAnsi="Times New Roman" w:cs="Times New Roman"/>
          <w:sz w:val="24"/>
          <w:szCs w:val="24"/>
        </w:rPr>
        <w:t>unconventional oil and gas</w:t>
      </w:r>
      <w:r w:rsidRPr="00E76A40">
        <w:rPr>
          <w:rFonts w:ascii="Times New Roman" w:hAnsi="Times New Roman" w:cs="Times New Roman"/>
          <w:sz w:val="24"/>
          <w:szCs w:val="24"/>
        </w:rPr>
        <w:t xml:space="preserve"> would have positive impacts on society, the economy, etc.</w:t>
      </w:r>
      <w:r>
        <w:rPr>
          <w:rFonts w:ascii="Times New Roman" w:hAnsi="Times New Roman" w:cs="Times New Roman"/>
          <w:sz w:val="24"/>
          <w:szCs w:val="24"/>
        </w:rPr>
        <w:t xml:space="preserve"> </w:t>
      </w:r>
    </w:p>
    <w:p w14:paraId="084050C3" w14:textId="77777777" w:rsidR="00DC5F25" w:rsidRPr="00816B8E" w:rsidRDefault="00DC5F25" w:rsidP="00DC5F25">
      <w:pPr>
        <w:pStyle w:val="ListParagraph"/>
        <w:rPr>
          <w:rFonts w:ascii="Times New Roman" w:hAnsi="Times New Roman" w:cs="Times New Roman"/>
          <w:i/>
          <w:iCs/>
          <w:sz w:val="24"/>
          <w:szCs w:val="24"/>
        </w:rPr>
      </w:pPr>
    </w:p>
    <w:p w14:paraId="2666F892" w14:textId="638F803A" w:rsidR="00DC5F25" w:rsidRDefault="00DC5F25" w:rsidP="00DC5F25">
      <w:pPr>
        <w:pStyle w:val="ListParagraph"/>
        <w:numPr>
          <w:ilvl w:val="0"/>
          <w:numId w:val="5"/>
        </w:numPr>
        <w:spacing w:line="240" w:lineRule="auto"/>
        <w:rPr>
          <w:rFonts w:ascii="Times New Roman" w:hAnsi="Times New Roman" w:cs="Times New Roman"/>
          <w:sz w:val="24"/>
          <w:szCs w:val="24"/>
        </w:rPr>
      </w:pPr>
      <w:r w:rsidRPr="00816B8E">
        <w:rPr>
          <w:rFonts w:ascii="Times New Roman" w:hAnsi="Times New Roman" w:cs="Times New Roman"/>
          <w:i/>
          <w:iCs/>
          <w:sz w:val="24"/>
          <w:szCs w:val="24"/>
        </w:rPr>
        <w:t>Experts and science in support of unconventional oil and gas.</w:t>
      </w:r>
      <w:r w:rsidRPr="00816B8E">
        <w:rPr>
          <w:rFonts w:ascii="Times New Roman" w:hAnsi="Times New Roman" w:cs="Times New Roman"/>
          <w:sz w:val="24"/>
          <w:szCs w:val="24"/>
        </w:rPr>
        <w:t xml:space="preserve"> The actor uses scholarly works, data, or statistics in support of unconventional oil and gas, or the actor uses material created by experts (i.e., articles written)</w:t>
      </w:r>
    </w:p>
    <w:p w14:paraId="2CEE15D4" w14:textId="63F6A887" w:rsidR="00E87047" w:rsidRDefault="00E87047" w:rsidP="00E87047">
      <w:pPr>
        <w:pStyle w:val="ListParagraph"/>
        <w:rPr>
          <w:rFonts w:ascii="Times New Roman" w:hAnsi="Times New Roman" w:cs="Times New Roman"/>
          <w:sz w:val="24"/>
          <w:szCs w:val="24"/>
        </w:rPr>
      </w:pPr>
    </w:p>
    <w:p w14:paraId="08AC2DAB" w14:textId="59081984" w:rsidR="00100136" w:rsidRDefault="00100136" w:rsidP="00E87047">
      <w:pPr>
        <w:pStyle w:val="ListParagraph"/>
        <w:rPr>
          <w:rFonts w:ascii="Times New Roman" w:hAnsi="Times New Roman" w:cs="Times New Roman"/>
          <w:sz w:val="24"/>
          <w:szCs w:val="24"/>
        </w:rPr>
      </w:pPr>
    </w:p>
    <w:p w14:paraId="26C7BCCA" w14:textId="1AC0E4B1" w:rsidR="00100136" w:rsidRDefault="00100136" w:rsidP="00E87047">
      <w:pPr>
        <w:pStyle w:val="ListParagraph"/>
        <w:rPr>
          <w:rFonts w:ascii="Times New Roman" w:hAnsi="Times New Roman" w:cs="Times New Roman"/>
          <w:sz w:val="24"/>
          <w:szCs w:val="24"/>
        </w:rPr>
      </w:pPr>
    </w:p>
    <w:p w14:paraId="75122B85" w14:textId="4282652D" w:rsidR="00100136" w:rsidRDefault="00100136" w:rsidP="00E87047">
      <w:pPr>
        <w:pStyle w:val="ListParagraph"/>
        <w:rPr>
          <w:rFonts w:ascii="Times New Roman" w:hAnsi="Times New Roman" w:cs="Times New Roman"/>
          <w:sz w:val="24"/>
          <w:szCs w:val="24"/>
        </w:rPr>
      </w:pPr>
    </w:p>
    <w:p w14:paraId="1F704106" w14:textId="3A58A91F" w:rsidR="00100136" w:rsidRDefault="00100136" w:rsidP="00E87047">
      <w:pPr>
        <w:pStyle w:val="ListParagraph"/>
        <w:rPr>
          <w:rFonts w:ascii="Times New Roman" w:hAnsi="Times New Roman" w:cs="Times New Roman"/>
          <w:sz w:val="24"/>
          <w:szCs w:val="24"/>
        </w:rPr>
      </w:pPr>
    </w:p>
    <w:p w14:paraId="765CE3A6" w14:textId="5D5C4EDE" w:rsidR="00100136" w:rsidRDefault="00100136" w:rsidP="00E87047">
      <w:pPr>
        <w:pStyle w:val="ListParagraph"/>
        <w:rPr>
          <w:rFonts w:ascii="Times New Roman" w:hAnsi="Times New Roman" w:cs="Times New Roman"/>
          <w:sz w:val="24"/>
          <w:szCs w:val="24"/>
        </w:rPr>
      </w:pPr>
    </w:p>
    <w:p w14:paraId="394A79A9" w14:textId="41368890" w:rsidR="00100136" w:rsidRDefault="00100136" w:rsidP="00E87047">
      <w:pPr>
        <w:pStyle w:val="ListParagraph"/>
        <w:rPr>
          <w:rFonts w:ascii="Times New Roman" w:hAnsi="Times New Roman" w:cs="Times New Roman"/>
          <w:sz w:val="24"/>
          <w:szCs w:val="24"/>
        </w:rPr>
      </w:pPr>
    </w:p>
    <w:p w14:paraId="6421E4B0" w14:textId="2EA095AA" w:rsidR="00100136" w:rsidRDefault="00100136" w:rsidP="00E87047">
      <w:pPr>
        <w:pStyle w:val="ListParagraph"/>
        <w:rPr>
          <w:rFonts w:ascii="Times New Roman" w:hAnsi="Times New Roman" w:cs="Times New Roman"/>
          <w:sz w:val="24"/>
          <w:szCs w:val="24"/>
        </w:rPr>
      </w:pPr>
    </w:p>
    <w:p w14:paraId="619A7438" w14:textId="180401EB" w:rsidR="00100136" w:rsidRDefault="00100136" w:rsidP="00E87047">
      <w:pPr>
        <w:pStyle w:val="ListParagraph"/>
        <w:rPr>
          <w:rFonts w:ascii="Times New Roman" w:hAnsi="Times New Roman" w:cs="Times New Roman"/>
          <w:sz w:val="24"/>
          <w:szCs w:val="24"/>
        </w:rPr>
      </w:pPr>
    </w:p>
    <w:p w14:paraId="6CCA4B4B" w14:textId="4886A39D" w:rsidR="00100136" w:rsidRDefault="00100136" w:rsidP="00E87047">
      <w:pPr>
        <w:pStyle w:val="ListParagraph"/>
        <w:rPr>
          <w:rFonts w:ascii="Times New Roman" w:hAnsi="Times New Roman" w:cs="Times New Roman"/>
          <w:sz w:val="24"/>
          <w:szCs w:val="24"/>
        </w:rPr>
      </w:pPr>
    </w:p>
    <w:p w14:paraId="703F9F84" w14:textId="4AAF6CAD" w:rsidR="00100136" w:rsidRDefault="00100136" w:rsidP="00E87047">
      <w:pPr>
        <w:pStyle w:val="ListParagraph"/>
        <w:rPr>
          <w:rFonts w:ascii="Times New Roman" w:hAnsi="Times New Roman" w:cs="Times New Roman"/>
          <w:sz w:val="24"/>
          <w:szCs w:val="24"/>
        </w:rPr>
      </w:pPr>
    </w:p>
    <w:p w14:paraId="46E91053" w14:textId="35FA6DA4" w:rsidR="00100136" w:rsidRDefault="00100136" w:rsidP="00E87047">
      <w:pPr>
        <w:pStyle w:val="ListParagraph"/>
        <w:rPr>
          <w:rFonts w:ascii="Times New Roman" w:hAnsi="Times New Roman" w:cs="Times New Roman"/>
          <w:sz w:val="24"/>
          <w:szCs w:val="24"/>
        </w:rPr>
      </w:pPr>
    </w:p>
    <w:p w14:paraId="634CFD6D" w14:textId="7D4ED799" w:rsidR="00100136" w:rsidRDefault="00100136" w:rsidP="00E87047">
      <w:pPr>
        <w:pStyle w:val="ListParagraph"/>
        <w:rPr>
          <w:rFonts w:ascii="Times New Roman" w:hAnsi="Times New Roman" w:cs="Times New Roman"/>
          <w:sz w:val="24"/>
          <w:szCs w:val="24"/>
        </w:rPr>
      </w:pPr>
    </w:p>
    <w:p w14:paraId="54B1F5C0" w14:textId="2036F12A" w:rsidR="00100136" w:rsidRDefault="00100136" w:rsidP="00E87047">
      <w:pPr>
        <w:pStyle w:val="ListParagraph"/>
        <w:rPr>
          <w:rFonts w:ascii="Times New Roman" w:hAnsi="Times New Roman" w:cs="Times New Roman"/>
          <w:sz w:val="24"/>
          <w:szCs w:val="24"/>
        </w:rPr>
      </w:pPr>
    </w:p>
    <w:p w14:paraId="76CEACD9" w14:textId="497D17F1" w:rsidR="00100136" w:rsidRDefault="00100136" w:rsidP="00E87047">
      <w:pPr>
        <w:pStyle w:val="ListParagraph"/>
        <w:rPr>
          <w:rFonts w:ascii="Times New Roman" w:hAnsi="Times New Roman" w:cs="Times New Roman"/>
          <w:sz w:val="24"/>
          <w:szCs w:val="24"/>
        </w:rPr>
      </w:pPr>
    </w:p>
    <w:p w14:paraId="5F0C5190" w14:textId="518E4243" w:rsidR="00100136" w:rsidRDefault="00100136" w:rsidP="00E87047">
      <w:pPr>
        <w:pStyle w:val="ListParagraph"/>
        <w:rPr>
          <w:rFonts w:ascii="Times New Roman" w:hAnsi="Times New Roman" w:cs="Times New Roman"/>
          <w:sz w:val="24"/>
          <w:szCs w:val="24"/>
        </w:rPr>
      </w:pPr>
    </w:p>
    <w:p w14:paraId="5990DC3B" w14:textId="28F86239" w:rsidR="00100136" w:rsidRDefault="00100136" w:rsidP="00E87047">
      <w:pPr>
        <w:pStyle w:val="ListParagraph"/>
        <w:rPr>
          <w:rFonts w:ascii="Times New Roman" w:hAnsi="Times New Roman" w:cs="Times New Roman"/>
          <w:sz w:val="24"/>
          <w:szCs w:val="24"/>
        </w:rPr>
      </w:pPr>
    </w:p>
    <w:p w14:paraId="5BDCDE7A" w14:textId="03C54A94" w:rsidR="00100136" w:rsidRDefault="00100136" w:rsidP="00E87047">
      <w:pPr>
        <w:pStyle w:val="ListParagraph"/>
        <w:rPr>
          <w:rFonts w:ascii="Times New Roman" w:hAnsi="Times New Roman" w:cs="Times New Roman"/>
          <w:sz w:val="24"/>
          <w:szCs w:val="24"/>
        </w:rPr>
      </w:pPr>
    </w:p>
    <w:p w14:paraId="42CABD79" w14:textId="0490227A" w:rsidR="00100136" w:rsidRDefault="00100136" w:rsidP="00E87047">
      <w:pPr>
        <w:pStyle w:val="ListParagraph"/>
        <w:rPr>
          <w:rFonts w:ascii="Times New Roman" w:hAnsi="Times New Roman" w:cs="Times New Roman"/>
          <w:sz w:val="24"/>
          <w:szCs w:val="24"/>
        </w:rPr>
      </w:pPr>
    </w:p>
    <w:p w14:paraId="28875FD7" w14:textId="03523FFD" w:rsidR="00100136" w:rsidRDefault="00100136" w:rsidP="00E87047">
      <w:pPr>
        <w:pStyle w:val="ListParagraph"/>
        <w:rPr>
          <w:rFonts w:ascii="Times New Roman" w:hAnsi="Times New Roman" w:cs="Times New Roman"/>
          <w:sz w:val="24"/>
          <w:szCs w:val="24"/>
        </w:rPr>
      </w:pPr>
    </w:p>
    <w:p w14:paraId="056D79A5" w14:textId="6A82AB96" w:rsidR="00100136" w:rsidRDefault="00100136" w:rsidP="00E87047">
      <w:pPr>
        <w:pStyle w:val="ListParagraph"/>
        <w:rPr>
          <w:rFonts w:ascii="Times New Roman" w:hAnsi="Times New Roman" w:cs="Times New Roman"/>
          <w:sz w:val="24"/>
          <w:szCs w:val="24"/>
        </w:rPr>
      </w:pPr>
    </w:p>
    <w:p w14:paraId="31FD7A73" w14:textId="6326E452" w:rsidR="00100136" w:rsidRDefault="00100136" w:rsidP="00E87047">
      <w:pPr>
        <w:pStyle w:val="ListParagraph"/>
        <w:rPr>
          <w:rFonts w:ascii="Times New Roman" w:hAnsi="Times New Roman" w:cs="Times New Roman"/>
          <w:sz w:val="24"/>
          <w:szCs w:val="24"/>
        </w:rPr>
      </w:pPr>
    </w:p>
    <w:p w14:paraId="6611FE38" w14:textId="1681B378" w:rsidR="00100136" w:rsidRDefault="00100136" w:rsidP="00E87047">
      <w:pPr>
        <w:pStyle w:val="ListParagraph"/>
        <w:rPr>
          <w:rFonts w:ascii="Times New Roman" w:hAnsi="Times New Roman" w:cs="Times New Roman"/>
          <w:sz w:val="24"/>
          <w:szCs w:val="24"/>
        </w:rPr>
      </w:pPr>
    </w:p>
    <w:p w14:paraId="08CEB433" w14:textId="40EDDCAC" w:rsidR="00100136" w:rsidRDefault="00100136" w:rsidP="00E87047">
      <w:pPr>
        <w:pStyle w:val="ListParagraph"/>
        <w:rPr>
          <w:rFonts w:ascii="Times New Roman" w:hAnsi="Times New Roman" w:cs="Times New Roman"/>
          <w:sz w:val="24"/>
          <w:szCs w:val="24"/>
        </w:rPr>
      </w:pPr>
    </w:p>
    <w:p w14:paraId="003792C5" w14:textId="15F7E692" w:rsidR="00100136" w:rsidRDefault="00100136" w:rsidP="00E87047">
      <w:pPr>
        <w:pStyle w:val="ListParagraph"/>
        <w:rPr>
          <w:rFonts w:ascii="Times New Roman" w:hAnsi="Times New Roman" w:cs="Times New Roman"/>
          <w:sz w:val="24"/>
          <w:szCs w:val="24"/>
        </w:rPr>
      </w:pPr>
    </w:p>
    <w:p w14:paraId="6255249C" w14:textId="0C74F806" w:rsidR="00100136" w:rsidRDefault="00100136" w:rsidP="00E87047">
      <w:pPr>
        <w:pStyle w:val="ListParagraph"/>
        <w:rPr>
          <w:rFonts w:ascii="Times New Roman" w:hAnsi="Times New Roman" w:cs="Times New Roman"/>
          <w:sz w:val="24"/>
          <w:szCs w:val="24"/>
        </w:rPr>
      </w:pPr>
    </w:p>
    <w:p w14:paraId="7E5BC3C9" w14:textId="77777777" w:rsidR="00100136" w:rsidRPr="00E87047" w:rsidRDefault="00100136" w:rsidP="00E87047">
      <w:pPr>
        <w:pStyle w:val="ListParagraph"/>
        <w:rPr>
          <w:rFonts w:ascii="Times New Roman" w:hAnsi="Times New Roman" w:cs="Times New Roman"/>
          <w:sz w:val="24"/>
          <w:szCs w:val="24"/>
        </w:rPr>
      </w:pPr>
    </w:p>
    <w:p w14:paraId="410A1BD8" w14:textId="617DB06C" w:rsidR="00E87047" w:rsidRDefault="00E87047" w:rsidP="00E87047">
      <w:pPr>
        <w:pStyle w:val="Heading1"/>
        <w:jc w:val="center"/>
        <w:rPr>
          <w:rFonts w:ascii="Times New Roman" w:hAnsi="Times New Roman" w:cs="Times New Roman"/>
          <w:b/>
          <w:bCs/>
          <w:color w:val="auto"/>
          <w:sz w:val="24"/>
          <w:szCs w:val="24"/>
        </w:rPr>
      </w:pPr>
      <w:bookmarkStart w:id="28" w:name="_Toc46917884"/>
      <w:r w:rsidRPr="003F278E">
        <w:rPr>
          <w:rFonts w:ascii="Times New Roman" w:hAnsi="Times New Roman" w:cs="Times New Roman"/>
          <w:b/>
          <w:bCs/>
          <w:color w:val="auto"/>
          <w:sz w:val="24"/>
          <w:szCs w:val="24"/>
        </w:rPr>
        <w:t xml:space="preserve">APPENDIX </w:t>
      </w:r>
      <w:bookmarkEnd w:id="28"/>
      <w:r>
        <w:rPr>
          <w:rFonts w:ascii="Times New Roman" w:hAnsi="Times New Roman" w:cs="Times New Roman"/>
          <w:b/>
          <w:bCs/>
          <w:color w:val="auto"/>
          <w:sz w:val="24"/>
          <w:szCs w:val="24"/>
        </w:rPr>
        <w:t>B</w:t>
      </w:r>
    </w:p>
    <w:p w14:paraId="3BDB08A8" w14:textId="77777777" w:rsidR="00E87047" w:rsidRDefault="00E87047" w:rsidP="00E870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STATISTICAL SIGNIFICANCE OF ISSUE FRAMING OVER TIME</w:t>
      </w:r>
    </w:p>
    <w:p w14:paraId="5CE7F10B" w14:textId="77777777" w:rsidR="00E87047" w:rsidRDefault="00E87047" w:rsidP="00E87047">
      <w:pPr>
        <w:spacing w:after="0" w:line="240" w:lineRule="auto"/>
        <w:rPr>
          <w:rFonts w:ascii="Times New Roman" w:hAnsi="Times New Roman" w:cs="Times New Roman"/>
          <w:b/>
          <w:sz w:val="24"/>
          <w:szCs w:val="24"/>
        </w:rPr>
      </w:pPr>
    </w:p>
    <w:p w14:paraId="49170EEF" w14:textId="77777777" w:rsidR="00E87047" w:rsidRDefault="00E87047" w:rsidP="00E87047">
      <w:pPr>
        <w:spacing w:after="0" w:line="240" w:lineRule="auto"/>
        <w:rPr>
          <w:rFonts w:ascii="Calibri" w:eastAsia="Times New Roman" w:hAnsi="Calibri" w:cs="Calibri"/>
          <w:i/>
          <w:iCs/>
          <w:color w:val="000000"/>
        </w:rPr>
      </w:pPr>
      <w:r w:rsidRPr="00585E51">
        <w:rPr>
          <w:rFonts w:ascii="Calibri" w:eastAsia="Times New Roman" w:hAnsi="Calibri" w:cs="Calibri"/>
          <w:i/>
          <w:iCs/>
          <w:color w:val="000000"/>
        </w:rPr>
        <w:t>t-Test: Two-Sample Assuming Equal Variances</w:t>
      </w:r>
    </w:p>
    <w:p w14:paraId="14A4BBCC" w14:textId="77777777" w:rsidR="00E87047" w:rsidRDefault="00E87047" w:rsidP="00E87047">
      <w:pPr>
        <w:spacing w:after="0" w:line="240" w:lineRule="auto"/>
        <w:rPr>
          <w:rFonts w:ascii="Calibri" w:eastAsia="Times New Roman" w:hAnsi="Calibri" w:cs="Calibri"/>
          <w:i/>
          <w:iCs/>
          <w:color w:val="000000"/>
        </w:rPr>
      </w:pPr>
    </w:p>
    <w:tbl>
      <w:tblPr>
        <w:tblW w:w="5385" w:type="dxa"/>
        <w:jc w:val="center"/>
        <w:tblLook w:val="04A0" w:firstRow="1" w:lastRow="0" w:firstColumn="1" w:lastColumn="0" w:noHBand="0" w:noVBand="1"/>
      </w:tblPr>
      <w:tblGrid>
        <w:gridCol w:w="2939"/>
        <w:gridCol w:w="57"/>
        <w:gridCol w:w="1219"/>
        <w:gridCol w:w="1165"/>
        <w:gridCol w:w="6"/>
      </w:tblGrid>
      <w:tr w:rsidR="00E87047" w:rsidRPr="00C56AFB" w14:paraId="3E627175" w14:textId="77777777" w:rsidTr="00DE3380">
        <w:trPr>
          <w:gridAfter w:val="1"/>
          <w:wAfter w:w="7" w:type="dxa"/>
          <w:trHeight w:val="312"/>
          <w:jc w:val="center"/>
        </w:trPr>
        <w:tc>
          <w:tcPr>
            <w:tcW w:w="5378" w:type="dxa"/>
            <w:gridSpan w:val="4"/>
            <w:tcBorders>
              <w:top w:val="single" w:sz="12" w:space="0" w:color="auto"/>
              <w:left w:val="single" w:sz="12" w:space="0" w:color="auto"/>
              <w:bottom w:val="single" w:sz="8" w:space="0" w:color="auto"/>
              <w:right w:val="single" w:sz="12" w:space="0" w:color="000000"/>
            </w:tcBorders>
            <w:shd w:val="clear" w:color="auto" w:fill="auto"/>
            <w:noWrap/>
            <w:vAlign w:val="bottom"/>
            <w:hideMark/>
          </w:tcPr>
          <w:p w14:paraId="0EC533D7" w14:textId="77777777" w:rsidR="00E87047" w:rsidRPr="00C56AFB" w:rsidRDefault="00E87047" w:rsidP="00DE3380">
            <w:pPr>
              <w:spacing w:after="0" w:line="240" w:lineRule="auto"/>
              <w:jc w:val="center"/>
              <w:rPr>
                <w:rFonts w:ascii="Calibri" w:eastAsia="Times New Roman" w:hAnsi="Calibri" w:cs="Calibri"/>
                <w:color w:val="000000"/>
              </w:rPr>
            </w:pPr>
            <w:r w:rsidRPr="00C56AFB">
              <w:rPr>
                <w:rFonts w:ascii="Calibri" w:eastAsia="Times New Roman" w:hAnsi="Calibri" w:cs="Calibri"/>
                <w:color w:val="000000"/>
              </w:rPr>
              <w:t>Anti- Coalition New York</w:t>
            </w:r>
          </w:p>
        </w:tc>
      </w:tr>
      <w:tr w:rsidR="00E87047" w:rsidRPr="00C56AFB" w14:paraId="5C812EE2" w14:textId="77777777" w:rsidTr="00DE3380">
        <w:trPr>
          <w:gridAfter w:val="1"/>
          <w:wAfter w:w="7" w:type="dxa"/>
          <w:trHeight w:val="312"/>
          <w:jc w:val="center"/>
        </w:trPr>
        <w:tc>
          <w:tcPr>
            <w:tcW w:w="2996" w:type="dxa"/>
            <w:gridSpan w:val="2"/>
            <w:tcBorders>
              <w:top w:val="single" w:sz="8" w:space="0" w:color="auto"/>
              <w:left w:val="single" w:sz="12" w:space="0" w:color="auto"/>
              <w:bottom w:val="single" w:sz="4" w:space="0" w:color="auto"/>
              <w:right w:val="nil"/>
            </w:tcBorders>
            <w:shd w:val="clear" w:color="auto" w:fill="auto"/>
            <w:noWrap/>
            <w:vAlign w:val="bottom"/>
            <w:hideMark/>
          </w:tcPr>
          <w:p w14:paraId="61A771BD" w14:textId="77777777" w:rsidR="00E87047" w:rsidRPr="00C56AFB" w:rsidRDefault="00E87047" w:rsidP="00DE3380">
            <w:pPr>
              <w:spacing w:after="0" w:line="240" w:lineRule="auto"/>
              <w:jc w:val="center"/>
              <w:rPr>
                <w:rFonts w:ascii="Calibri" w:eastAsia="Times New Roman" w:hAnsi="Calibri" w:cs="Calibri"/>
                <w:i/>
                <w:iCs/>
                <w:color w:val="000000"/>
              </w:rPr>
            </w:pPr>
            <w:r w:rsidRPr="00C56AFB">
              <w:rPr>
                <w:rFonts w:ascii="Calibri" w:eastAsia="Times New Roman" w:hAnsi="Calibri" w:cs="Calibri"/>
                <w:i/>
                <w:iCs/>
                <w:color w:val="000000"/>
              </w:rPr>
              <w:t> </w:t>
            </w:r>
          </w:p>
        </w:tc>
        <w:tc>
          <w:tcPr>
            <w:tcW w:w="1217" w:type="dxa"/>
            <w:tcBorders>
              <w:top w:val="single" w:sz="8" w:space="0" w:color="auto"/>
              <w:left w:val="nil"/>
              <w:bottom w:val="single" w:sz="4" w:space="0" w:color="auto"/>
              <w:right w:val="nil"/>
            </w:tcBorders>
            <w:shd w:val="clear" w:color="auto" w:fill="auto"/>
            <w:noWrap/>
            <w:vAlign w:val="bottom"/>
            <w:hideMark/>
          </w:tcPr>
          <w:p w14:paraId="6FC35080" w14:textId="77777777" w:rsidR="00E87047" w:rsidRPr="00C56AFB" w:rsidRDefault="00E87047" w:rsidP="00DE3380">
            <w:pPr>
              <w:spacing w:after="0" w:line="240" w:lineRule="auto"/>
              <w:jc w:val="center"/>
              <w:rPr>
                <w:rFonts w:ascii="Calibri" w:eastAsia="Times New Roman" w:hAnsi="Calibri" w:cs="Calibri"/>
                <w:i/>
                <w:iCs/>
                <w:color w:val="000000"/>
              </w:rPr>
            </w:pPr>
            <w:r w:rsidRPr="00C56AFB">
              <w:rPr>
                <w:rFonts w:ascii="Calibri" w:eastAsia="Times New Roman" w:hAnsi="Calibri" w:cs="Calibri"/>
                <w:i/>
                <w:iCs/>
                <w:color w:val="000000"/>
              </w:rPr>
              <w:t>Before</w:t>
            </w:r>
          </w:p>
        </w:tc>
        <w:tc>
          <w:tcPr>
            <w:tcW w:w="1165" w:type="dxa"/>
            <w:tcBorders>
              <w:top w:val="single" w:sz="8" w:space="0" w:color="auto"/>
              <w:left w:val="nil"/>
              <w:bottom w:val="single" w:sz="4" w:space="0" w:color="auto"/>
              <w:right w:val="single" w:sz="12" w:space="0" w:color="auto"/>
            </w:tcBorders>
            <w:shd w:val="clear" w:color="auto" w:fill="auto"/>
            <w:noWrap/>
            <w:vAlign w:val="bottom"/>
            <w:hideMark/>
          </w:tcPr>
          <w:p w14:paraId="32F42D78" w14:textId="77777777" w:rsidR="00E87047" w:rsidRPr="00C56AFB" w:rsidRDefault="00E87047" w:rsidP="00DE3380">
            <w:pPr>
              <w:spacing w:after="0" w:line="240" w:lineRule="auto"/>
              <w:jc w:val="center"/>
              <w:rPr>
                <w:rFonts w:ascii="Calibri" w:eastAsia="Times New Roman" w:hAnsi="Calibri" w:cs="Calibri"/>
                <w:i/>
                <w:iCs/>
                <w:color w:val="000000"/>
              </w:rPr>
            </w:pPr>
            <w:r w:rsidRPr="00C56AFB">
              <w:rPr>
                <w:rFonts w:ascii="Calibri" w:eastAsia="Times New Roman" w:hAnsi="Calibri" w:cs="Calibri"/>
                <w:i/>
                <w:iCs/>
                <w:color w:val="000000"/>
              </w:rPr>
              <w:t>After</w:t>
            </w:r>
          </w:p>
        </w:tc>
      </w:tr>
      <w:tr w:rsidR="00E87047" w:rsidRPr="00C56AFB" w14:paraId="349EEC89"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62F06938"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Mean</w:t>
            </w:r>
          </w:p>
        </w:tc>
        <w:tc>
          <w:tcPr>
            <w:tcW w:w="1217" w:type="dxa"/>
            <w:tcBorders>
              <w:top w:val="nil"/>
              <w:left w:val="nil"/>
              <w:bottom w:val="nil"/>
              <w:right w:val="nil"/>
            </w:tcBorders>
            <w:shd w:val="clear" w:color="auto" w:fill="auto"/>
            <w:noWrap/>
            <w:vAlign w:val="bottom"/>
            <w:hideMark/>
          </w:tcPr>
          <w:p w14:paraId="3C01705F"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98.66667</w:t>
            </w:r>
          </w:p>
        </w:tc>
        <w:tc>
          <w:tcPr>
            <w:tcW w:w="1165" w:type="dxa"/>
            <w:tcBorders>
              <w:top w:val="nil"/>
              <w:left w:val="nil"/>
              <w:bottom w:val="nil"/>
              <w:right w:val="single" w:sz="12" w:space="0" w:color="auto"/>
            </w:tcBorders>
            <w:shd w:val="clear" w:color="auto" w:fill="auto"/>
            <w:noWrap/>
            <w:vAlign w:val="bottom"/>
            <w:hideMark/>
          </w:tcPr>
          <w:p w14:paraId="1E40BCFD"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103.8333</w:t>
            </w:r>
          </w:p>
        </w:tc>
      </w:tr>
      <w:tr w:rsidR="00E87047" w:rsidRPr="00C56AFB" w14:paraId="423B0305"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4FE50734"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Variance</w:t>
            </w:r>
          </w:p>
        </w:tc>
        <w:tc>
          <w:tcPr>
            <w:tcW w:w="1217" w:type="dxa"/>
            <w:tcBorders>
              <w:top w:val="nil"/>
              <w:left w:val="nil"/>
              <w:bottom w:val="nil"/>
              <w:right w:val="nil"/>
            </w:tcBorders>
            <w:shd w:val="clear" w:color="auto" w:fill="auto"/>
            <w:noWrap/>
            <w:vAlign w:val="bottom"/>
            <w:hideMark/>
          </w:tcPr>
          <w:p w14:paraId="20524204"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7667.467</w:t>
            </w:r>
          </w:p>
        </w:tc>
        <w:tc>
          <w:tcPr>
            <w:tcW w:w="1165" w:type="dxa"/>
            <w:tcBorders>
              <w:top w:val="nil"/>
              <w:left w:val="nil"/>
              <w:bottom w:val="nil"/>
              <w:right w:val="single" w:sz="12" w:space="0" w:color="auto"/>
            </w:tcBorders>
            <w:shd w:val="clear" w:color="auto" w:fill="auto"/>
            <w:noWrap/>
            <w:vAlign w:val="bottom"/>
            <w:hideMark/>
          </w:tcPr>
          <w:p w14:paraId="0EBB4B0E"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13844.57</w:t>
            </w:r>
          </w:p>
        </w:tc>
      </w:tr>
      <w:tr w:rsidR="00E87047" w:rsidRPr="00C56AFB" w14:paraId="3A92A711"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6CEFB3BA"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Observations</w:t>
            </w:r>
          </w:p>
        </w:tc>
        <w:tc>
          <w:tcPr>
            <w:tcW w:w="1217" w:type="dxa"/>
            <w:tcBorders>
              <w:top w:val="nil"/>
              <w:left w:val="nil"/>
              <w:bottom w:val="nil"/>
              <w:right w:val="nil"/>
            </w:tcBorders>
            <w:shd w:val="clear" w:color="auto" w:fill="auto"/>
            <w:noWrap/>
            <w:vAlign w:val="bottom"/>
            <w:hideMark/>
          </w:tcPr>
          <w:p w14:paraId="42CEC967"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6</w:t>
            </w:r>
          </w:p>
        </w:tc>
        <w:tc>
          <w:tcPr>
            <w:tcW w:w="1165" w:type="dxa"/>
            <w:tcBorders>
              <w:top w:val="nil"/>
              <w:left w:val="nil"/>
              <w:bottom w:val="nil"/>
              <w:right w:val="single" w:sz="12" w:space="0" w:color="auto"/>
            </w:tcBorders>
            <w:shd w:val="clear" w:color="auto" w:fill="auto"/>
            <w:noWrap/>
            <w:vAlign w:val="bottom"/>
            <w:hideMark/>
          </w:tcPr>
          <w:p w14:paraId="12113E60"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6</w:t>
            </w:r>
          </w:p>
        </w:tc>
      </w:tr>
      <w:tr w:rsidR="00E87047" w:rsidRPr="00C56AFB" w14:paraId="4B0677F1"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272007E0"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Pooled Variance</w:t>
            </w:r>
          </w:p>
        </w:tc>
        <w:tc>
          <w:tcPr>
            <w:tcW w:w="1217" w:type="dxa"/>
            <w:tcBorders>
              <w:top w:val="nil"/>
              <w:left w:val="nil"/>
              <w:bottom w:val="nil"/>
              <w:right w:val="nil"/>
            </w:tcBorders>
            <w:shd w:val="clear" w:color="auto" w:fill="auto"/>
            <w:noWrap/>
            <w:vAlign w:val="bottom"/>
            <w:hideMark/>
          </w:tcPr>
          <w:p w14:paraId="12DAE7E8"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10756.02</w:t>
            </w:r>
          </w:p>
        </w:tc>
        <w:tc>
          <w:tcPr>
            <w:tcW w:w="1165" w:type="dxa"/>
            <w:tcBorders>
              <w:top w:val="nil"/>
              <w:left w:val="nil"/>
              <w:bottom w:val="nil"/>
              <w:right w:val="single" w:sz="12" w:space="0" w:color="auto"/>
            </w:tcBorders>
            <w:shd w:val="clear" w:color="auto" w:fill="auto"/>
            <w:noWrap/>
            <w:vAlign w:val="bottom"/>
            <w:hideMark/>
          </w:tcPr>
          <w:p w14:paraId="72FF665A"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5BF20685"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52342C18"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Hypothesized Mean Difference</w:t>
            </w:r>
          </w:p>
        </w:tc>
        <w:tc>
          <w:tcPr>
            <w:tcW w:w="1217" w:type="dxa"/>
            <w:tcBorders>
              <w:top w:val="nil"/>
              <w:left w:val="nil"/>
              <w:bottom w:val="nil"/>
              <w:right w:val="nil"/>
            </w:tcBorders>
            <w:shd w:val="clear" w:color="auto" w:fill="auto"/>
            <w:noWrap/>
            <w:vAlign w:val="bottom"/>
            <w:hideMark/>
          </w:tcPr>
          <w:p w14:paraId="368C82DD"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w:t>
            </w:r>
          </w:p>
        </w:tc>
        <w:tc>
          <w:tcPr>
            <w:tcW w:w="1165" w:type="dxa"/>
            <w:tcBorders>
              <w:top w:val="nil"/>
              <w:left w:val="nil"/>
              <w:bottom w:val="nil"/>
              <w:right w:val="single" w:sz="12" w:space="0" w:color="auto"/>
            </w:tcBorders>
            <w:shd w:val="clear" w:color="auto" w:fill="auto"/>
            <w:noWrap/>
            <w:vAlign w:val="bottom"/>
            <w:hideMark/>
          </w:tcPr>
          <w:p w14:paraId="47853293"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48A62DCF"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6EF10357"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df</w:t>
            </w:r>
          </w:p>
        </w:tc>
        <w:tc>
          <w:tcPr>
            <w:tcW w:w="1217" w:type="dxa"/>
            <w:tcBorders>
              <w:top w:val="nil"/>
              <w:left w:val="nil"/>
              <w:bottom w:val="nil"/>
              <w:right w:val="nil"/>
            </w:tcBorders>
            <w:shd w:val="clear" w:color="auto" w:fill="auto"/>
            <w:noWrap/>
            <w:vAlign w:val="bottom"/>
            <w:hideMark/>
          </w:tcPr>
          <w:p w14:paraId="2F1A1771"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10</w:t>
            </w:r>
          </w:p>
        </w:tc>
        <w:tc>
          <w:tcPr>
            <w:tcW w:w="1165" w:type="dxa"/>
            <w:tcBorders>
              <w:top w:val="nil"/>
              <w:left w:val="nil"/>
              <w:bottom w:val="nil"/>
              <w:right w:val="single" w:sz="12" w:space="0" w:color="auto"/>
            </w:tcBorders>
            <w:shd w:val="clear" w:color="auto" w:fill="auto"/>
            <w:noWrap/>
            <w:vAlign w:val="bottom"/>
            <w:hideMark/>
          </w:tcPr>
          <w:p w14:paraId="17022731"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773E1EF7"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2A384215"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t Stat</w:t>
            </w:r>
          </w:p>
        </w:tc>
        <w:tc>
          <w:tcPr>
            <w:tcW w:w="1217" w:type="dxa"/>
            <w:tcBorders>
              <w:top w:val="nil"/>
              <w:left w:val="nil"/>
              <w:bottom w:val="nil"/>
              <w:right w:val="nil"/>
            </w:tcBorders>
            <w:shd w:val="clear" w:color="auto" w:fill="auto"/>
            <w:noWrap/>
            <w:vAlign w:val="bottom"/>
            <w:hideMark/>
          </w:tcPr>
          <w:p w14:paraId="4B4BD7FA"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-0.08629</w:t>
            </w:r>
          </w:p>
        </w:tc>
        <w:tc>
          <w:tcPr>
            <w:tcW w:w="1165" w:type="dxa"/>
            <w:tcBorders>
              <w:top w:val="nil"/>
              <w:left w:val="nil"/>
              <w:bottom w:val="nil"/>
              <w:right w:val="single" w:sz="12" w:space="0" w:color="auto"/>
            </w:tcBorders>
            <w:shd w:val="clear" w:color="auto" w:fill="auto"/>
            <w:noWrap/>
            <w:vAlign w:val="bottom"/>
            <w:hideMark/>
          </w:tcPr>
          <w:p w14:paraId="37A95C13"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0152C9D1"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2536D04F"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P(T&lt;=t) one-tail</w:t>
            </w:r>
          </w:p>
        </w:tc>
        <w:tc>
          <w:tcPr>
            <w:tcW w:w="1217" w:type="dxa"/>
            <w:tcBorders>
              <w:top w:val="nil"/>
              <w:left w:val="nil"/>
              <w:bottom w:val="nil"/>
              <w:right w:val="nil"/>
            </w:tcBorders>
            <w:shd w:val="clear" w:color="auto" w:fill="auto"/>
            <w:noWrap/>
            <w:vAlign w:val="bottom"/>
            <w:hideMark/>
          </w:tcPr>
          <w:p w14:paraId="42E233CD"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0.466471</w:t>
            </w:r>
          </w:p>
        </w:tc>
        <w:tc>
          <w:tcPr>
            <w:tcW w:w="1165" w:type="dxa"/>
            <w:tcBorders>
              <w:top w:val="nil"/>
              <w:left w:val="nil"/>
              <w:bottom w:val="nil"/>
              <w:right w:val="single" w:sz="12" w:space="0" w:color="auto"/>
            </w:tcBorders>
            <w:shd w:val="clear" w:color="auto" w:fill="auto"/>
            <w:noWrap/>
            <w:vAlign w:val="bottom"/>
            <w:hideMark/>
          </w:tcPr>
          <w:p w14:paraId="7AEA15C9"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5149F7E1"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60150BE6"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t Critical one-tail</w:t>
            </w:r>
          </w:p>
        </w:tc>
        <w:tc>
          <w:tcPr>
            <w:tcW w:w="1217" w:type="dxa"/>
            <w:tcBorders>
              <w:top w:val="nil"/>
              <w:left w:val="nil"/>
              <w:bottom w:val="nil"/>
              <w:right w:val="nil"/>
            </w:tcBorders>
            <w:shd w:val="clear" w:color="auto" w:fill="auto"/>
            <w:noWrap/>
            <w:vAlign w:val="bottom"/>
            <w:hideMark/>
          </w:tcPr>
          <w:p w14:paraId="22766082"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1.812461</w:t>
            </w:r>
          </w:p>
        </w:tc>
        <w:tc>
          <w:tcPr>
            <w:tcW w:w="1165" w:type="dxa"/>
            <w:tcBorders>
              <w:top w:val="nil"/>
              <w:left w:val="nil"/>
              <w:bottom w:val="nil"/>
              <w:right w:val="single" w:sz="12" w:space="0" w:color="auto"/>
            </w:tcBorders>
            <w:shd w:val="clear" w:color="auto" w:fill="auto"/>
            <w:noWrap/>
            <w:vAlign w:val="bottom"/>
            <w:hideMark/>
          </w:tcPr>
          <w:p w14:paraId="32611406"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0EB75002" w14:textId="77777777" w:rsidTr="00DE3380">
        <w:trPr>
          <w:gridAfter w:val="1"/>
          <w:wAfter w:w="7" w:type="dxa"/>
          <w:trHeight w:val="288"/>
          <w:jc w:val="center"/>
        </w:trPr>
        <w:tc>
          <w:tcPr>
            <w:tcW w:w="2996" w:type="dxa"/>
            <w:gridSpan w:val="2"/>
            <w:tcBorders>
              <w:top w:val="nil"/>
              <w:left w:val="single" w:sz="12" w:space="0" w:color="auto"/>
              <w:bottom w:val="nil"/>
              <w:right w:val="nil"/>
            </w:tcBorders>
            <w:shd w:val="clear" w:color="auto" w:fill="auto"/>
            <w:noWrap/>
            <w:vAlign w:val="bottom"/>
            <w:hideMark/>
          </w:tcPr>
          <w:p w14:paraId="1DB75A71"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P(T&lt;=t) two-tail</w:t>
            </w:r>
          </w:p>
        </w:tc>
        <w:tc>
          <w:tcPr>
            <w:tcW w:w="1217" w:type="dxa"/>
            <w:tcBorders>
              <w:top w:val="nil"/>
              <w:left w:val="nil"/>
              <w:bottom w:val="nil"/>
              <w:right w:val="nil"/>
            </w:tcBorders>
            <w:shd w:val="clear" w:color="auto" w:fill="auto"/>
            <w:noWrap/>
            <w:vAlign w:val="bottom"/>
            <w:hideMark/>
          </w:tcPr>
          <w:p w14:paraId="1E156384"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0.932942</w:t>
            </w:r>
          </w:p>
        </w:tc>
        <w:tc>
          <w:tcPr>
            <w:tcW w:w="1165" w:type="dxa"/>
            <w:tcBorders>
              <w:top w:val="nil"/>
              <w:left w:val="nil"/>
              <w:bottom w:val="nil"/>
              <w:right w:val="single" w:sz="12" w:space="0" w:color="auto"/>
            </w:tcBorders>
            <w:shd w:val="clear" w:color="auto" w:fill="auto"/>
            <w:noWrap/>
            <w:vAlign w:val="bottom"/>
            <w:hideMark/>
          </w:tcPr>
          <w:p w14:paraId="359776DA"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16EF1879" w14:textId="77777777" w:rsidTr="00DE3380">
        <w:trPr>
          <w:gridAfter w:val="1"/>
          <w:wAfter w:w="7" w:type="dxa"/>
          <w:trHeight w:val="300"/>
          <w:jc w:val="center"/>
        </w:trPr>
        <w:tc>
          <w:tcPr>
            <w:tcW w:w="2996" w:type="dxa"/>
            <w:gridSpan w:val="2"/>
            <w:tcBorders>
              <w:top w:val="nil"/>
              <w:left w:val="single" w:sz="12" w:space="0" w:color="auto"/>
              <w:bottom w:val="single" w:sz="12" w:space="0" w:color="auto"/>
              <w:right w:val="nil"/>
            </w:tcBorders>
            <w:shd w:val="clear" w:color="auto" w:fill="auto"/>
            <w:noWrap/>
            <w:vAlign w:val="bottom"/>
            <w:hideMark/>
          </w:tcPr>
          <w:p w14:paraId="298502CB"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t Critical two-tail</w:t>
            </w:r>
          </w:p>
        </w:tc>
        <w:tc>
          <w:tcPr>
            <w:tcW w:w="1217" w:type="dxa"/>
            <w:tcBorders>
              <w:top w:val="nil"/>
              <w:left w:val="nil"/>
              <w:bottom w:val="single" w:sz="12" w:space="0" w:color="auto"/>
              <w:right w:val="nil"/>
            </w:tcBorders>
            <w:shd w:val="clear" w:color="auto" w:fill="auto"/>
            <w:noWrap/>
            <w:vAlign w:val="bottom"/>
            <w:hideMark/>
          </w:tcPr>
          <w:p w14:paraId="6EC8E3B6"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2.228139</w:t>
            </w:r>
          </w:p>
        </w:tc>
        <w:tc>
          <w:tcPr>
            <w:tcW w:w="1165" w:type="dxa"/>
            <w:tcBorders>
              <w:top w:val="nil"/>
              <w:left w:val="nil"/>
              <w:bottom w:val="single" w:sz="12" w:space="0" w:color="auto"/>
              <w:right w:val="single" w:sz="12" w:space="0" w:color="auto"/>
            </w:tcBorders>
            <w:shd w:val="clear" w:color="auto" w:fill="auto"/>
            <w:noWrap/>
            <w:vAlign w:val="bottom"/>
            <w:hideMark/>
          </w:tcPr>
          <w:p w14:paraId="2BD49F46"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79D630AC" w14:textId="77777777" w:rsidTr="00DE3380">
        <w:trPr>
          <w:trHeight w:val="312"/>
          <w:jc w:val="center"/>
        </w:trPr>
        <w:tc>
          <w:tcPr>
            <w:tcW w:w="5385" w:type="dxa"/>
            <w:gridSpan w:val="5"/>
            <w:tcBorders>
              <w:top w:val="single" w:sz="12" w:space="0" w:color="auto"/>
              <w:left w:val="single" w:sz="12" w:space="0" w:color="auto"/>
              <w:bottom w:val="single" w:sz="8" w:space="0" w:color="auto"/>
              <w:right w:val="single" w:sz="12" w:space="0" w:color="000000"/>
            </w:tcBorders>
            <w:shd w:val="clear" w:color="auto" w:fill="auto"/>
            <w:noWrap/>
            <w:vAlign w:val="bottom"/>
            <w:hideMark/>
          </w:tcPr>
          <w:p w14:paraId="6D8A9DD7" w14:textId="77777777" w:rsidR="00E87047" w:rsidRPr="00C56AFB" w:rsidRDefault="00E87047" w:rsidP="00DE3380">
            <w:pPr>
              <w:spacing w:after="0" w:line="240" w:lineRule="auto"/>
              <w:jc w:val="center"/>
              <w:rPr>
                <w:rFonts w:ascii="Calibri" w:eastAsia="Times New Roman" w:hAnsi="Calibri" w:cs="Calibri"/>
                <w:color w:val="000000"/>
              </w:rPr>
            </w:pPr>
            <w:r w:rsidRPr="00C56AFB">
              <w:rPr>
                <w:rFonts w:ascii="Calibri" w:eastAsia="Times New Roman" w:hAnsi="Calibri" w:cs="Calibri"/>
                <w:color w:val="000000"/>
              </w:rPr>
              <w:t>Pro- Coalition New York</w:t>
            </w:r>
          </w:p>
        </w:tc>
      </w:tr>
      <w:tr w:rsidR="00E87047" w:rsidRPr="00C56AFB" w14:paraId="37FE5F5F" w14:textId="77777777" w:rsidTr="00DE3380">
        <w:trPr>
          <w:trHeight w:val="288"/>
          <w:jc w:val="center"/>
        </w:trPr>
        <w:tc>
          <w:tcPr>
            <w:tcW w:w="2939" w:type="dxa"/>
            <w:tcBorders>
              <w:top w:val="single" w:sz="8" w:space="0" w:color="auto"/>
              <w:left w:val="single" w:sz="12" w:space="0" w:color="auto"/>
              <w:bottom w:val="single" w:sz="4" w:space="0" w:color="auto"/>
              <w:right w:val="nil"/>
            </w:tcBorders>
            <w:shd w:val="clear" w:color="auto" w:fill="auto"/>
            <w:noWrap/>
            <w:vAlign w:val="bottom"/>
            <w:hideMark/>
          </w:tcPr>
          <w:p w14:paraId="29162228" w14:textId="77777777" w:rsidR="00E87047" w:rsidRPr="00C56AFB" w:rsidRDefault="00E87047" w:rsidP="00DE3380">
            <w:pPr>
              <w:spacing w:after="0" w:line="240" w:lineRule="auto"/>
              <w:jc w:val="center"/>
              <w:rPr>
                <w:rFonts w:ascii="Calibri" w:eastAsia="Times New Roman" w:hAnsi="Calibri" w:cs="Calibri"/>
                <w:i/>
                <w:iCs/>
                <w:color w:val="000000"/>
              </w:rPr>
            </w:pPr>
            <w:r w:rsidRPr="00C56AFB">
              <w:rPr>
                <w:rFonts w:ascii="Calibri" w:eastAsia="Times New Roman" w:hAnsi="Calibri" w:cs="Calibri"/>
                <w:i/>
                <w:iCs/>
                <w:color w:val="000000"/>
              </w:rPr>
              <w:t> </w:t>
            </w:r>
          </w:p>
        </w:tc>
        <w:tc>
          <w:tcPr>
            <w:tcW w:w="1276" w:type="dxa"/>
            <w:gridSpan w:val="2"/>
            <w:tcBorders>
              <w:top w:val="single" w:sz="8" w:space="0" w:color="auto"/>
              <w:left w:val="nil"/>
              <w:bottom w:val="single" w:sz="4" w:space="0" w:color="auto"/>
              <w:right w:val="nil"/>
            </w:tcBorders>
            <w:shd w:val="clear" w:color="auto" w:fill="auto"/>
            <w:noWrap/>
            <w:vAlign w:val="bottom"/>
            <w:hideMark/>
          </w:tcPr>
          <w:p w14:paraId="5129331E" w14:textId="77777777" w:rsidR="00E87047" w:rsidRPr="00C56AFB" w:rsidRDefault="00E87047" w:rsidP="00DE3380">
            <w:pPr>
              <w:spacing w:after="0" w:line="240" w:lineRule="auto"/>
              <w:jc w:val="center"/>
              <w:rPr>
                <w:rFonts w:ascii="Calibri" w:eastAsia="Times New Roman" w:hAnsi="Calibri" w:cs="Calibri"/>
                <w:i/>
                <w:iCs/>
                <w:color w:val="000000"/>
              </w:rPr>
            </w:pPr>
            <w:r w:rsidRPr="00C56AFB">
              <w:rPr>
                <w:rFonts w:ascii="Calibri" w:eastAsia="Times New Roman" w:hAnsi="Calibri" w:cs="Calibri"/>
                <w:i/>
                <w:iCs/>
                <w:color w:val="000000"/>
              </w:rPr>
              <w:t>Before</w:t>
            </w:r>
          </w:p>
        </w:tc>
        <w:tc>
          <w:tcPr>
            <w:tcW w:w="1170" w:type="dxa"/>
            <w:gridSpan w:val="2"/>
            <w:tcBorders>
              <w:top w:val="single" w:sz="8" w:space="0" w:color="auto"/>
              <w:left w:val="nil"/>
              <w:bottom w:val="single" w:sz="4" w:space="0" w:color="auto"/>
              <w:right w:val="single" w:sz="12" w:space="0" w:color="auto"/>
            </w:tcBorders>
            <w:shd w:val="clear" w:color="auto" w:fill="auto"/>
            <w:noWrap/>
            <w:vAlign w:val="bottom"/>
            <w:hideMark/>
          </w:tcPr>
          <w:p w14:paraId="349AF6E4" w14:textId="77777777" w:rsidR="00E87047" w:rsidRPr="00C56AFB" w:rsidRDefault="00E87047" w:rsidP="00DE3380">
            <w:pPr>
              <w:spacing w:after="0" w:line="240" w:lineRule="auto"/>
              <w:jc w:val="center"/>
              <w:rPr>
                <w:rFonts w:ascii="Calibri" w:eastAsia="Times New Roman" w:hAnsi="Calibri" w:cs="Calibri"/>
                <w:i/>
                <w:iCs/>
                <w:color w:val="000000"/>
              </w:rPr>
            </w:pPr>
            <w:r w:rsidRPr="00C56AFB">
              <w:rPr>
                <w:rFonts w:ascii="Calibri" w:eastAsia="Times New Roman" w:hAnsi="Calibri" w:cs="Calibri"/>
                <w:i/>
                <w:iCs/>
                <w:color w:val="000000"/>
              </w:rPr>
              <w:t>After</w:t>
            </w:r>
          </w:p>
        </w:tc>
      </w:tr>
      <w:tr w:rsidR="00E87047" w:rsidRPr="00C56AFB" w14:paraId="3FF0A511"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349D917C"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lastRenderedPageBreak/>
              <w:t>Mean</w:t>
            </w:r>
          </w:p>
        </w:tc>
        <w:tc>
          <w:tcPr>
            <w:tcW w:w="1276" w:type="dxa"/>
            <w:gridSpan w:val="2"/>
            <w:tcBorders>
              <w:top w:val="nil"/>
              <w:left w:val="nil"/>
              <w:bottom w:val="nil"/>
              <w:right w:val="nil"/>
            </w:tcBorders>
            <w:shd w:val="clear" w:color="auto" w:fill="auto"/>
            <w:noWrap/>
            <w:vAlign w:val="bottom"/>
            <w:hideMark/>
          </w:tcPr>
          <w:p w14:paraId="1BE310F3"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17.66667</w:t>
            </w:r>
          </w:p>
        </w:tc>
        <w:tc>
          <w:tcPr>
            <w:tcW w:w="1170" w:type="dxa"/>
            <w:gridSpan w:val="2"/>
            <w:tcBorders>
              <w:top w:val="nil"/>
              <w:left w:val="nil"/>
              <w:bottom w:val="nil"/>
              <w:right w:val="single" w:sz="12" w:space="0" w:color="auto"/>
            </w:tcBorders>
            <w:shd w:val="clear" w:color="auto" w:fill="auto"/>
            <w:noWrap/>
            <w:vAlign w:val="bottom"/>
            <w:hideMark/>
          </w:tcPr>
          <w:p w14:paraId="710DF804"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28.16667</w:t>
            </w:r>
          </w:p>
        </w:tc>
      </w:tr>
      <w:tr w:rsidR="00E87047" w:rsidRPr="00C56AFB" w14:paraId="1E0EEB11"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0DF96182"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Variance</w:t>
            </w:r>
          </w:p>
        </w:tc>
        <w:tc>
          <w:tcPr>
            <w:tcW w:w="1276" w:type="dxa"/>
            <w:gridSpan w:val="2"/>
            <w:tcBorders>
              <w:top w:val="nil"/>
              <w:left w:val="nil"/>
              <w:bottom w:val="nil"/>
              <w:right w:val="nil"/>
            </w:tcBorders>
            <w:shd w:val="clear" w:color="auto" w:fill="auto"/>
            <w:noWrap/>
            <w:vAlign w:val="bottom"/>
            <w:hideMark/>
          </w:tcPr>
          <w:p w14:paraId="331E7405"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94.66667</w:t>
            </w:r>
          </w:p>
        </w:tc>
        <w:tc>
          <w:tcPr>
            <w:tcW w:w="1170" w:type="dxa"/>
            <w:gridSpan w:val="2"/>
            <w:tcBorders>
              <w:top w:val="nil"/>
              <w:left w:val="nil"/>
              <w:bottom w:val="nil"/>
              <w:right w:val="single" w:sz="12" w:space="0" w:color="auto"/>
            </w:tcBorders>
            <w:shd w:val="clear" w:color="auto" w:fill="auto"/>
            <w:noWrap/>
            <w:vAlign w:val="bottom"/>
            <w:hideMark/>
          </w:tcPr>
          <w:p w14:paraId="3255BBB5"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401.3667</w:t>
            </w:r>
          </w:p>
        </w:tc>
      </w:tr>
      <w:tr w:rsidR="00E87047" w:rsidRPr="00C56AFB" w14:paraId="23D11DF8"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3D5CBCA0"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Observations</w:t>
            </w:r>
          </w:p>
        </w:tc>
        <w:tc>
          <w:tcPr>
            <w:tcW w:w="1276" w:type="dxa"/>
            <w:gridSpan w:val="2"/>
            <w:tcBorders>
              <w:top w:val="nil"/>
              <w:left w:val="nil"/>
              <w:bottom w:val="nil"/>
              <w:right w:val="nil"/>
            </w:tcBorders>
            <w:shd w:val="clear" w:color="auto" w:fill="auto"/>
            <w:noWrap/>
            <w:vAlign w:val="bottom"/>
            <w:hideMark/>
          </w:tcPr>
          <w:p w14:paraId="29BD0A9C"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6</w:t>
            </w:r>
          </w:p>
        </w:tc>
        <w:tc>
          <w:tcPr>
            <w:tcW w:w="1170" w:type="dxa"/>
            <w:gridSpan w:val="2"/>
            <w:tcBorders>
              <w:top w:val="nil"/>
              <w:left w:val="nil"/>
              <w:bottom w:val="nil"/>
              <w:right w:val="single" w:sz="12" w:space="0" w:color="auto"/>
            </w:tcBorders>
            <w:shd w:val="clear" w:color="auto" w:fill="auto"/>
            <w:noWrap/>
            <w:vAlign w:val="bottom"/>
            <w:hideMark/>
          </w:tcPr>
          <w:p w14:paraId="544CDD42"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6</w:t>
            </w:r>
          </w:p>
        </w:tc>
      </w:tr>
      <w:tr w:rsidR="00E87047" w:rsidRPr="00C56AFB" w14:paraId="527CEB58"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287789A3"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Pooled Variance</w:t>
            </w:r>
          </w:p>
        </w:tc>
        <w:tc>
          <w:tcPr>
            <w:tcW w:w="1276" w:type="dxa"/>
            <w:gridSpan w:val="2"/>
            <w:tcBorders>
              <w:top w:val="nil"/>
              <w:left w:val="nil"/>
              <w:bottom w:val="nil"/>
              <w:right w:val="nil"/>
            </w:tcBorders>
            <w:shd w:val="clear" w:color="auto" w:fill="auto"/>
            <w:noWrap/>
            <w:vAlign w:val="bottom"/>
            <w:hideMark/>
          </w:tcPr>
          <w:p w14:paraId="0CE80431"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248.0167</w:t>
            </w:r>
          </w:p>
        </w:tc>
        <w:tc>
          <w:tcPr>
            <w:tcW w:w="1170" w:type="dxa"/>
            <w:gridSpan w:val="2"/>
            <w:tcBorders>
              <w:top w:val="nil"/>
              <w:left w:val="nil"/>
              <w:bottom w:val="nil"/>
              <w:right w:val="single" w:sz="12" w:space="0" w:color="auto"/>
            </w:tcBorders>
            <w:shd w:val="clear" w:color="auto" w:fill="auto"/>
            <w:noWrap/>
            <w:vAlign w:val="bottom"/>
            <w:hideMark/>
          </w:tcPr>
          <w:p w14:paraId="3BF57456"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680AC565"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1D5D8296"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Hypothesized Mean Difference</w:t>
            </w:r>
          </w:p>
        </w:tc>
        <w:tc>
          <w:tcPr>
            <w:tcW w:w="1276" w:type="dxa"/>
            <w:gridSpan w:val="2"/>
            <w:tcBorders>
              <w:top w:val="nil"/>
              <w:left w:val="nil"/>
              <w:bottom w:val="nil"/>
              <w:right w:val="nil"/>
            </w:tcBorders>
            <w:shd w:val="clear" w:color="auto" w:fill="auto"/>
            <w:noWrap/>
            <w:vAlign w:val="bottom"/>
            <w:hideMark/>
          </w:tcPr>
          <w:p w14:paraId="27677263"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w:t>
            </w:r>
          </w:p>
        </w:tc>
        <w:tc>
          <w:tcPr>
            <w:tcW w:w="1170" w:type="dxa"/>
            <w:gridSpan w:val="2"/>
            <w:tcBorders>
              <w:top w:val="nil"/>
              <w:left w:val="nil"/>
              <w:bottom w:val="nil"/>
              <w:right w:val="single" w:sz="12" w:space="0" w:color="auto"/>
            </w:tcBorders>
            <w:shd w:val="clear" w:color="auto" w:fill="auto"/>
            <w:noWrap/>
            <w:vAlign w:val="bottom"/>
            <w:hideMark/>
          </w:tcPr>
          <w:p w14:paraId="469BF4CA"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01821353"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00438FA2"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df</w:t>
            </w:r>
          </w:p>
        </w:tc>
        <w:tc>
          <w:tcPr>
            <w:tcW w:w="1276" w:type="dxa"/>
            <w:gridSpan w:val="2"/>
            <w:tcBorders>
              <w:top w:val="nil"/>
              <w:left w:val="nil"/>
              <w:bottom w:val="nil"/>
              <w:right w:val="nil"/>
            </w:tcBorders>
            <w:shd w:val="clear" w:color="auto" w:fill="auto"/>
            <w:noWrap/>
            <w:vAlign w:val="bottom"/>
            <w:hideMark/>
          </w:tcPr>
          <w:p w14:paraId="3AE9E875"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10</w:t>
            </w:r>
          </w:p>
        </w:tc>
        <w:tc>
          <w:tcPr>
            <w:tcW w:w="1170" w:type="dxa"/>
            <w:gridSpan w:val="2"/>
            <w:tcBorders>
              <w:top w:val="nil"/>
              <w:left w:val="nil"/>
              <w:bottom w:val="nil"/>
              <w:right w:val="single" w:sz="12" w:space="0" w:color="auto"/>
            </w:tcBorders>
            <w:shd w:val="clear" w:color="auto" w:fill="auto"/>
            <w:noWrap/>
            <w:vAlign w:val="bottom"/>
            <w:hideMark/>
          </w:tcPr>
          <w:p w14:paraId="3A87A999"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743ADE56"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762C083A"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t Stat</w:t>
            </w:r>
          </w:p>
        </w:tc>
        <w:tc>
          <w:tcPr>
            <w:tcW w:w="1276" w:type="dxa"/>
            <w:gridSpan w:val="2"/>
            <w:tcBorders>
              <w:top w:val="nil"/>
              <w:left w:val="nil"/>
              <w:bottom w:val="nil"/>
              <w:right w:val="nil"/>
            </w:tcBorders>
            <w:shd w:val="clear" w:color="auto" w:fill="auto"/>
            <w:noWrap/>
            <w:vAlign w:val="bottom"/>
            <w:hideMark/>
          </w:tcPr>
          <w:p w14:paraId="1244984E"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-1.15481</w:t>
            </w:r>
          </w:p>
        </w:tc>
        <w:tc>
          <w:tcPr>
            <w:tcW w:w="1170" w:type="dxa"/>
            <w:gridSpan w:val="2"/>
            <w:tcBorders>
              <w:top w:val="nil"/>
              <w:left w:val="nil"/>
              <w:bottom w:val="nil"/>
              <w:right w:val="single" w:sz="12" w:space="0" w:color="auto"/>
            </w:tcBorders>
            <w:shd w:val="clear" w:color="auto" w:fill="auto"/>
            <w:noWrap/>
            <w:vAlign w:val="bottom"/>
            <w:hideMark/>
          </w:tcPr>
          <w:p w14:paraId="6C939152"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5CC267F6"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11708AA6"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P(T&lt;=t) one-tail</w:t>
            </w:r>
          </w:p>
        </w:tc>
        <w:tc>
          <w:tcPr>
            <w:tcW w:w="1276" w:type="dxa"/>
            <w:gridSpan w:val="2"/>
            <w:tcBorders>
              <w:top w:val="nil"/>
              <w:left w:val="nil"/>
              <w:bottom w:val="nil"/>
              <w:right w:val="nil"/>
            </w:tcBorders>
            <w:shd w:val="clear" w:color="auto" w:fill="auto"/>
            <w:noWrap/>
            <w:vAlign w:val="bottom"/>
            <w:hideMark/>
          </w:tcPr>
          <w:p w14:paraId="2583AA18"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0.137509</w:t>
            </w:r>
          </w:p>
        </w:tc>
        <w:tc>
          <w:tcPr>
            <w:tcW w:w="1170" w:type="dxa"/>
            <w:gridSpan w:val="2"/>
            <w:tcBorders>
              <w:top w:val="nil"/>
              <w:left w:val="nil"/>
              <w:bottom w:val="nil"/>
              <w:right w:val="single" w:sz="12" w:space="0" w:color="auto"/>
            </w:tcBorders>
            <w:shd w:val="clear" w:color="auto" w:fill="auto"/>
            <w:noWrap/>
            <w:vAlign w:val="bottom"/>
            <w:hideMark/>
          </w:tcPr>
          <w:p w14:paraId="47211F81"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29A530AF" w14:textId="77777777" w:rsidTr="00DE3380">
        <w:trPr>
          <w:trHeight w:val="288"/>
          <w:jc w:val="center"/>
        </w:trPr>
        <w:tc>
          <w:tcPr>
            <w:tcW w:w="2939" w:type="dxa"/>
            <w:tcBorders>
              <w:top w:val="nil"/>
              <w:left w:val="single" w:sz="12" w:space="0" w:color="auto"/>
              <w:bottom w:val="nil"/>
              <w:right w:val="nil"/>
            </w:tcBorders>
            <w:shd w:val="clear" w:color="auto" w:fill="auto"/>
            <w:noWrap/>
            <w:vAlign w:val="bottom"/>
            <w:hideMark/>
          </w:tcPr>
          <w:p w14:paraId="291B28E0"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t Critical one-tail</w:t>
            </w:r>
          </w:p>
        </w:tc>
        <w:tc>
          <w:tcPr>
            <w:tcW w:w="1276" w:type="dxa"/>
            <w:gridSpan w:val="2"/>
            <w:tcBorders>
              <w:top w:val="nil"/>
              <w:left w:val="nil"/>
              <w:bottom w:val="nil"/>
              <w:right w:val="nil"/>
            </w:tcBorders>
            <w:shd w:val="clear" w:color="auto" w:fill="auto"/>
            <w:noWrap/>
            <w:vAlign w:val="bottom"/>
            <w:hideMark/>
          </w:tcPr>
          <w:p w14:paraId="11FBF16B"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1.812461</w:t>
            </w:r>
          </w:p>
        </w:tc>
        <w:tc>
          <w:tcPr>
            <w:tcW w:w="1170" w:type="dxa"/>
            <w:gridSpan w:val="2"/>
            <w:tcBorders>
              <w:top w:val="nil"/>
              <w:left w:val="nil"/>
              <w:bottom w:val="nil"/>
              <w:right w:val="single" w:sz="12" w:space="0" w:color="auto"/>
            </w:tcBorders>
            <w:shd w:val="clear" w:color="auto" w:fill="auto"/>
            <w:noWrap/>
            <w:vAlign w:val="bottom"/>
            <w:hideMark/>
          </w:tcPr>
          <w:p w14:paraId="096959C3"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48AB74E9" w14:textId="77777777" w:rsidTr="00DE3380">
        <w:trPr>
          <w:trHeight w:val="300"/>
          <w:jc w:val="center"/>
        </w:trPr>
        <w:tc>
          <w:tcPr>
            <w:tcW w:w="2939" w:type="dxa"/>
            <w:tcBorders>
              <w:top w:val="nil"/>
              <w:left w:val="single" w:sz="12" w:space="0" w:color="auto"/>
              <w:bottom w:val="nil"/>
              <w:right w:val="nil"/>
            </w:tcBorders>
            <w:shd w:val="clear" w:color="auto" w:fill="auto"/>
            <w:noWrap/>
            <w:vAlign w:val="bottom"/>
            <w:hideMark/>
          </w:tcPr>
          <w:p w14:paraId="41496ECF"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P(T&lt;=t) two-tail</w:t>
            </w:r>
          </w:p>
        </w:tc>
        <w:tc>
          <w:tcPr>
            <w:tcW w:w="1276" w:type="dxa"/>
            <w:gridSpan w:val="2"/>
            <w:tcBorders>
              <w:top w:val="nil"/>
              <w:left w:val="nil"/>
              <w:bottom w:val="nil"/>
              <w:right w:val="nil"/>
            </w:tcBorders>
            <w:shd w:val="clear" w:color="auto" w:fill="auto"/>
            <w:noWrap/>
            <w:vAlign w:val="bottom"/>
            <w:hideMark/>
          </w:tcPr>
          <w:p w14:paraId="392CCEBF"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0.275019</w:t>
            </w:r>
          </w:p>
        </w:tc>
        <w:tc>
          <w:tcPr>
            <w:tcW w:w="1170" w:type="dxa"/>
            <w:gridSpan w:val="2"/>
            <w:tcBorders>
              <w:top w:val="nil"/>
              <w:left w:val="nil"/>
              <w:bottom w:val="nil"/>
              <w:right w:val="single" w:sz="12" w:space="0" w:color="auto"/>
            </w:tcBorders>
            <w:shd w:val="clear" w:color="auto" w:fill="auto"/>
            <w:noWrap/>
            <w:vAlign w:val="bottom"/>
            <w:hideMark/>
          </w:tcPr>
          <w:p w14:paraId="07043D2C"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r w:rsidR="00E87047" w:rsidRPr="00C56AFB" w14:paraId="71B1C91E" w14:textId="77777777" w:rsidTr="00DE3380">
        <w:trPr>
          <w:trHeight w:val="312"/>
          <w:jc w:val="center"/>
        </w:trPr>
        <w:tc>
          <w:tcPr>
            <w:tcW w:w="2939" w:type="dxa"/>
            <w:tcBorders>
              <w:top w:val="nil"/>
              <w:left w:val="single" w:sz="12" w:space="0" w:color="auto"/>
              <w:bottom w:val="single" w:sz="12" w:space="0" w:color="auto"/>
              <w:right w:val="nil"/>
            </w:tcBorders>
            <w:shd w:val="clear" w:color="auto" w:fill="auto"/>
            <w:noWrap/>
            <w:vAlign w:val="bottom"/>
            <w:hideMark/>
          </w:tcPr>
          <w:p w14:paraId="74B0E3C3"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t Critical two-tail</w:t>
            </w:r>
          </w:p>
        </w:tc>
        <w:tc>
          <w:tcPr>
            <w:tcW w:w="1276" w:type="dxa"/>
            <w:gridSpan w:val="2"/>
            <w:tcBorders>
              <w:top w:val="nil"/>
              <w:left w:val="nil"/>
              <w:bottom w:val="single" w:sz="12" w:space="0" w:color="auto"/>
              <w:right w:val="nil"/>
            </w:tcBorders>
            <w:shd w:val="clear" w:color="auto" w:fill="auto"/>
            <w:noWrap/>
            <w:vAlign w:val="bottom"/>
            <w:hideMark/>
          </w:tcPr>
          <w:p w14:paraId="411E96DE" w14:textId="77777777" w:rsidR="00E87047" w:rsidRPr="00C56AFB" w:rsidRDefault="00E87047" w:rsidP="00DE3380">
            <w:pPr>
              <w:spacing w:after="0" w:line="240" w:lineRule="auto"/>
              <w:jc w:val="right"/>
              <w:rPr>
                <w:rFonts w:ascii="Calibri" w:eastAsia="Times New Roman" w:hAnsi="Calibri" w:cs="Calibri"/>
                <w:color w:val="000000"/>
              </w:rPr>
            </w:pPr>
            <w:r w:rsidRPr="00C56AFB">
              <w:rPr>
                <w:rFonts w:ascii="Calibri" w:eastAsia="Times New Roman" w:hAnsi="Calibri" w:cs="Calibri"/>
                <w:color w:val="000000"/>
              </w:rPr>
              <w:t>2.228139</w:t>
            </w:r>
          </w:p>
        </w:tc>
        <w:tc>
          <w:tcPr>
            <w:tcW w:w="1170" w:type="dxa"/>
            <w:gridSpan w:val="2"/>
            <w:tcBorders>
              <w:top w:val="nil"/>
              <w:left w:val="nil"/>
              <w:bottom w:val="single" w:sz="12" w:space="0" w:color="auto"/>
              <w:right w:val="single" w:sz="12" w:space="0" w:color="auto"/>
            </w:tcBorders>
            <w:shd w:val="clear" w:color="auto" w:fill="auto"/>
            <w:noWrap/>
            <w:vAlign w:val="bottom"/>
            <w:hideMark/>
          </w:tcPr>
          <w:p w14:paraId="4D8E9332" w14:textId="77777777" w:rsidR="00E87047" w:rsidRPr="00C56AFB" w:rsidRDefault="00E87047" w:rsidP="00DE3380">
            <w:pPr>
              <w:spacing w:after="0" w:line="240" w:lineRule="auto"/>
              <w:rPr>
                <w:rFonts w:ascii="Calibri" w:eastAsia="Times New Roman" w:hAnsi="Calibri" w:cs="Calibri"/>
                <w:color w:val="000000"/>
              </w:rPr>
            </w:pPr>
            <w:r w:rsidRPr="00C56AFB">
              <w:rPr>
                <w:rFonts w:ascii="Calibri" w:eastAsia="Times New Roman" w:hAnsi="Calibri" w:cs="Calibri"/>
                <w:color w:val="000000"/>
              </w:rPr>
              <w:t> </w:t>
            </w:r>
          </w:p>
        </w:tc>
      </w:tr>
    </w:tbl>
    <w:p w14:paraId="4C7D6993" w14:textId="77777777" w:rsidR="00E87047" w:rsidRPr="00585E51" w:rsidRDefault="00E87047" w:rsidP="00E87047">
      <w:pPr>
        <w:spacing w:after="0" w:line="240" w:lineRule="auto"/>
        <w:rPr>
          <w:rFonts w:ascii="Calibri" w:eastAsia="Times New Roman" w:hAnsi="Calibri" w:cs="Calibri"/>
          <w:i/>
          <w:iCs/>
          <w:color w:val="000000"/>
        </w:rPr>
      </w:pPr>
    </w:p>
    <w:p w14:paraId="13370C56" w14:textId="77777777" w:rsidR="00E87047" w:rsidRPr="00E87047" w:rsidRDefault="00E87047" w:rsidP="00E87047">
      <w:pPr>
        <w:spacing w:line="240" w:lineRule="auto"/>
        <w:rPr>
          <w:rFonts w:ascii="Times New Roman" w:hAnsi="Times New Roman" w:cs="Times New Roman"/>
          <w:sz w:val="24"/>
          <w:szCs w:val="24"/>
        </w:rPr>
      </w:pPr>
    </w:p>
    <w:sectPr w:rsidR="00E87047" w:rsidRPr="00E87047" w:rsidSect="00972B58">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91B8" w14:textId="77777777" w:rsidR="0037225A" w:rsidRDefault="0037225A" w:rsidP="009F183A">
      <w:pPr>
        <w:spacing w:after="0" w:line="240" w:lineRule="auto"/>
      </w:pPr>
      <w:r>
        <w:separator/>
      </w:r>
    </w:p>
  </w:endnote>
  <w:endnote w:type="continuationSeparator" w:id="0">
    <w:p w14:paraId="5697478F" w14:textId="77777777" w:rsidR="0037225A" w:rsidRDefault="0037225A" w:rsidP="009F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9F9F" w14:textId="77777777" w:rsidR="00880C52" w:rsidRDefault="0088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00909"/>
      <w:docPartObj>
        <w:docPartGallery w:val="Page Numbers (Bottom of Page)"/>
        <w:docPartUnique/>
      </w:docPartObj>
    </w:sdtPr>
    <w:sdtEndPr>
      <w:rPr>
        <w:noProof/>
      </w:rPr>
    </w:sdtEndPr>
    <w:sdtContent>
      <w:p w14:paraId="65E2FE67" w14:textId="60C9A9B9" w:rsidR="00880C52" w:rsidRDefault="00880C52">
        <w:pPr>
          <w:pStyle w:val="Footer"/>
          <w:jc w:val="right"/>
        </w:pPr>
        <w:r>
          <w:rPr>
            <w:noProof/>
          </w:rPr>
          <w:fldChar w:fldCharType="begin"/>
        </w:r>
        <w:r>
          <w:rPr>
            <w:noProof/>
          </w:rPr>
          <w:instrText xml:space="preserve"> PAGE   \* MERGEFORMAT </w:instrText>
        </w:r>
        <w:r>
          <w:rPr>
            <w:noProof/>
          </w:rPr>
          <w:fldChar w:fldCharType="separate"/>
        </w:r>
        <w:r>
          <w:rPr>
            <w:noProof/>
          </w:rPr>
          <w:t>23</w:t>
        </w:r>
        <w:r>
          <w:rPr>
            <w:noProof/>
          </w:rPr>
          <w:fldChar w:fldCharType="end"/>
        </w:r>
      </w:p>
    </w:sdtContent>
  </w:sdt>
  <w:p w14:paraId="5046A6A2" w14:textId="77777777" w:rsidR="00880C52" w:rsidRDefault="00880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48C" w14:textId="77777777" w:rsidR="00880C52" w:rsidRDefault="0088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9620" w14:textId="77777777" w:rsidR="0037225A" w:rsidRDefault="0037225A" w:rsidP="009F183A">
      <w:pPr>
        <w:spacing w:after="0" w:line="240" w:lineRule="auto"/>
      </w:pPr>
      <w:r>
        <w:separator/>
      </w:r>
    </w:p>
  </w:footnote>
  <w:footnote w:type="continuationSeparator" w:id="0">
    <w:p w14:paraId="20A81447" w14:textId="77777777" w:rsidR="0037225A" w:rsidRDefault="0037225A" w:rsidP="009F183A">
      <w:pPr>
        <w:spacing w:after="0" w:line="240" w:lineRule="auto"/>
      </w:pPr>
      <w:r>
        <w:continuationSeparator/>
      </w:r>
    </w:p>
  </w:footnote>
  <w:footnote w:id="1">
    <w:p w14:paraId="4AE32F8F" w14:textId="77777777" w:rsidR="00880C52" w:rsidRDefault="00880C52" w:rsidP="00756653">
      <w:pPr>
        <w:pStyle w:val="FootnoteText"/>
      </w:pPr>
      <w:r>
        <w:rPr>
          <w:rStyle w:val="FootnoteReference"/>
        </w:rPr>
        <w:footnoteRef/>
      </w:r>
      <w:r>
        <w:t xml:space="preserve"> While the nature of governance in any country is inherently about managing conflict, in less democratic states this conflict is kept within the ‘black box.’ In addition, policies such as the separation of powers in the US make conflict inevitable.</w:t>
      </w:r>
    </w:p>
  </w:footnote>
  <w:footnote w:id="2">
    <w:p w14:paraId="13F21B8F" w14:textId="1A11C30D" w:rsidR="00880C52" w:rsidRPr="0066693C" w:rsidRDefault="00880C52" w:rsidP="004A31ED">
      <w:pPr>
        <w:pStyle w:val="FootnoteText"/>
        <w:rPr>
          <w:rFonts w:ascii="Times New Roman" w:hAnsi="Times New Roman" w:cs="Times New Roman"/>
        </w:rPr>
      </w:pPr>
      <w:r w:rsidRPr="0066693C">
        <w:rPr>
          <w:rStyle w:val="FootnoteReference"/>
          <w:rFonts w:ascii="Times New Roman" w:hAnsi="Times New Roman" w:cs="Times New Roman"/>
        </w:rPr>
        <w:footnoteRef/>
      </w:r>
      <w:r w:rsidRPr="0066693C">
        <w:rPr>
          <w:rFonts w:ascii="Times New Roman" w:hAnsi="Times New Roman" w:cs="Times New Roman"/>
        </w:rPr>
        <w:t xml:space="preserve"> Individuals and organizations can have inactive or ‘zombie’ Twitter accounts that are either unattended or not used to post Tweets.  Those accounts are excluded from this </w:t>
      </w:r>
      <w:r w:rsidR="008C45A5">
        <w:rPr>
          <w:rFonts w:ascii="Times New Roman" w:hAnsi="Times New Roman" w:cs="Times New Roman"/>
        </w:rPr>
        <w:t>manuscript</w:t>
      </w:r>
      <w:r w:rsidRPr="0066693C">
        <w:rPr>
          <w:rFonts w:ascii="Times New Roman" w:hAnsi="Times New Roman" w:cs="Times New Roman"/>
        </w:rPr>
        <w:t>.</w:t>
      </w:r>
    </w:p>
  </w:footnote>
  <w:footnote w:id="3">
    <w:p w14:paraId="4A17ECD4" w14:textId="77777777" w:rsidR="00880C52" w:rsidRPr="0066693C" w:rsidRDefault="00880C52" w:rsidP="004A31ED">
      <w:pPr>
        <w:pStyle w:val="FootnoteText"/>
        <w:rPr>
          <w:rFonts w:ascii="Times New Roman" w:hAnsi="Times New Roman" w:cs="Times New Roman"/>
        </w:rPr>
      </w:pPr>
      <w:r w:rsidRPr="0066693C">
        <w:rPr>
          <w:rStyle w:val="FootnoteReference"/>
          <w:rFonts w:ascii="Times New Roman" w:hAnsi="Times New Roman" w:cs="Times New Roman"/>
        </w:rPr>
        <w:footnoteRef/>
      </w:r>
      <w:r w:rsidRPr="0066693C">
        <w:rPr>
          <w:rFonts w:ascii="Times New Roman" w:hAnsi="Times New Roman" w:cs="Times New Roman"/>
        </w:rPr>
        <w:t xml:space="preserve"> In the original ‘snowball’ approach, individuals that worked at the same organization were separated out.  Because this study is more interested in the organizational affiliation of policy actors on Twitter, those individuals were aggregated into a singular policy actor.  Actors without an organizational affiliation were omitted.   </w:t>
      </w:r>
    </w:p>
  </w:footnote>
  <w:footnote w:id="4">
    <w:p w14:paraId="12E55D7B" w14:textId="2FBCEAA3" w:rsidR="00880C52" w:rsidRPr="0066693C" w:rsidRDefault="00880C52" w:rsidP="004A31ED">
      <w:pPr>
        <w:pStyle w:val="FootnoteText"/>
        <w:rPr>
          <w:rFonts w:ascii="Times New Roman" w:hAnsi="Times New Roman" w:cs="Times New Roman"/>
        </w:rPr>
      </w:pPr>
      <w:r w:rsidRPr="0066693C">
        <w:rPr>
          <w:rStyle w:val="FootnoteReference"/>
          <w:rFonts w:ascii="Times New Roman" w:hAnsi="Times New Roman" w:cs="Times New Roman"/>
        </w:rPr>
        <w:footnoteRef/>
      </w:r>
      <w:r w:rsidRPr="0066693C">
        <w:rPr>
          <w:rFonts w:ascii="Times New Roman" w:hAnsi="Times New Roman" w:cs="Times New Roman"/>
        </w:rPr>
        <w:t xml:space="preserve"> </w:t>
      </w:r>
      <w:bookmarkStart w:id="18" w:name="_Hlk45634183"/>
      <w:r w:rsidRPr="0066693C">
        <w:rPr>
          <w:rFonts w:ascii="Times New Roman" w:hAnsi="Times New Roman" w:cs="Times New Roman"/>
        </w:rPr>
        <w:t xml:space="preserve">Chapters of this </w:t>
      </w:r>
      <w:r w:rsidR="008C45A5">
        <w:rPr>
          <w:rFonts w:ascii="Times New Roman" w:hAnsi="Times New Roman" w:cs="Times New Roman"/>
        </w:rPr>
        <w:t>manuscript</w:t>
      </w:r>
      <w:r w:rsidRPr="0066693C">
        <w:rPr>
          <w:rFonts w:ascii="Times New Roman" w:hAnsi="Times New Roman" w:cs="Times New Roman"/>
        </w:rPr>
        <w:t xml:space="preserve"> focus on the two years before and two years after (or smaller increments therein) the major policy change.  This covers the time period 2012 to 2016.  While I recognize that policy actors ‘come and go’ from the subsystem, it is a reasonable assumption to make that those identified in the survey during 2017 in New York and 2014 in Colorado would also be present from 2012 to 2016.  There activity is not assumed but rather evidenced in their frequency of tweets that included content about unconventional oil and gas.  </w:t>
      </w:r>
      <w:bookmarkEnd w:id="18"/>
    </w:p>
  </w:footnote>
  <w:footnote w:id="5">
    <w:p w14:paraId="043FF0B5" w14:textId="77777777" w:rsidR="00880C52" w:rsidRDefault="00880C52" w:rsidP="004A31ED">
      <w:pPr>
        <w:pStyle w:val="FootnoteText"/>
      </w:pPr>
      <w:r w:rsidRPr="0066693C">
        <w:rPr>
          <w:rStyle w:val="FootnoteReference"/>
          <w:rFonts w:ascii="Times New Roman" w:hAnsi="Times New Roman" w:cs="Times New Roman"/>
        </w:rPr>
        <w:footnoteRef/>
      </w:r>
      <w:r w:rsidRPr="0066693C">
        <w:rPr>
          <w:rFonts w:ascii="Times New Roman" w:hAnsi="Times New Roman" w:cs="Times New Roman"/>
        </w:rPr>
        <w:t xml:space="preserve"> While I have tweets from 2009 to 2016, I did not analyze those before 2012, except to provide descriptive statistics for this introduction.</w:t>
      </w:r>
    </w:p>
  </w:footnote>
  <w:footnote w:id="6">
    <w:p w14:paraId="74673293" w14:textId="7D6A9A21" w:rsidR="00880C52" w:rsidRDefault="00880C52">
      <w:pPr>
        <w:pStyle w:val="FootnoteText"/>
      </w:pPr>
      <w:r>
        <w:rPr>
          <w:rStyle w:val="FootnoteReference"/>
        </w:rPr>
        <w:footnoteRef/>
      </w:r>
      <w:r>
        <w:t xml:space="preserve"> We reached 35% agreement on the presence of the same issue frame and 98% agreement on the absence of an issue frame.  </w:t>
      </w:r>
    </w:p>
  </w:footnote>
  <w:footnote w:id="7">
    <w:p w14:paraId="0277B3E3" w14:textId="77777777" w:rsidR="00DC5F25" w:rsidRDefault="00DC5F25" w:rsidP="00DC5F25">
      <w:pPr>
        <w:pStyle w:val="FootnoteText"/>
      </w:pPr>
      <w:r>
        <w:rPr>
          <w:rStyle w:val="FootnoteReference"/>
        </w:rPr>
        <w:footnoteRef/>
      </w:r>
      <w:r>
        <w:t xml:space="preserve"> 28 frames were constructed by unaffiliated policy actors in New York</w:t>
      </w:r>
    </w:p>
  </w:footnote>
  <w:footnote w:id="8">
    <w:p w14:paraId="453CC4C9" w14:textId="77777777" w:rsidR="00DC5F25" w:rsidRDefault="00DC5F25" w:rsidP="00DC5F25">
      <w:pPr>
        <w:pStyle w:val="FootnoteText"/>
      </w:pPr>
      <w:r>
        <w:rPr>
          <w:rStyle w:val="FootnoteReference"/>
        </w:rPr>
        <w:footnoteRef/>
      </w:r>
      <w:r>
        <w:t xml:space="preserve"> 30 frames were constructed by unaffiliated policy actors in Colorado</w:t>
      </w:r>
    </w:p>
  </w:footnote>
  <w:footnote w:id="9">
    <w:p w14:paraId="26BA5AD8" w14:textId="45A38A54" w:rsidR="00880C52" w:rsidRDefault="00880C52">
      <w:pPr>
        <w:pStyle w:val="FootnoteText"/>
      </w:pPr>
      <w:r>
        <w:rPr>
          <w:rStyle w:val="FootnoteReference"/>
        </w:rPr>
        <w:footnoteRef/>
      </w:r>
      <w:r>
        <w:t xml:space="preserve"> This finding was not statistically significant.  See </w:t>
      </w:r>
      <w:r w:rsidRPr="00C56AFB">
        <w:rPr>
          <w:b/>
          <w:bCs/>
        </w:rPr>
        <w:t xml:space="preserve">Appendix </w:t>
      </w:r>
      <w:r w:rsidR="00022B18">
        <w:rPr>
          <w:b/>
          <w:bCs/>
        </w:rPr>
        <w:t>B</w:t>
      </w:r>
      <w:r>
        <w:t xml:space="preserve"> for the two-sample t test assuming equal variance.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93B9" w14:textId="77777777" w:rsidR="00880C52" w:rsidRDefault="0088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2B7F" w14:textId="61D91E6E" w:rsidR="00880C52" w:rsidRDefault="0088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153824"/>
      <w:docPartObj>
        <w:docPartGallery w:val="Watermarks"/>
        <w:docPartUnique/>
      </w:docPartObj>
    </w:sdtPr>
    <w:sdtEndPr/>
    <w:sdtContent>
      <w:p w14:paraId="44553337" w14:textId="62985037" w:rsidR="00880C52" w:rsidRDefault="0037225A">
        <w:pPr>
          <w:pStyle w:val="Header"/>
        </w:pPr>
        <w:r>
          <w:rPr>
            <w:noProof/>
          </w:rPr>
          <w:pict w14:anchorId="28FFC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A"/>
    <w:multiLevelType w:val="hybridMultilevel"/>
    <w:tmpl w:val="B7F4BBB6"/>
    <w:lvl w:ilvl="0" w:tplc="A74ED0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06458"/>
    <w:multiLevelType w:val="hybridMultilevel"/>
    <w:tmpl w:val="EF285D54"/>
    <w:lvl w:ilvl="0" w:tplc="EABCC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263AA"/>
    <w:multiLevelType w:val="hybridMultilevel"/>
    <w:tmpl w:val="5420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4AB7"/>
    <w:multiLevelType w:val="hybridMultilevel"/>
    <w:tmpl w:val="099E3D0C"/>
    <w:lvl w:ilvl="0" w:tplc="3E047B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21194"/>
    <w:multiLevelType w:val="hybridMultilevel"/>
    <w:tmpl w:val="F7AE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00056"/>
    <w:multiLevelType w:val="hybridMultilevel"/>
    <w:tmpl w:val="43A2F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C5C82"/>
    <w:multiLevelType w:val="hybridMultilevel"/>
    <w:tmpl w:val="884644B0"/>
    <w:lvl w:ilvl="0" w:tplc="363AC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9646E"/>
    <w:multiLevelType w:val="hybridMultilevel"/>
    <w:tmpl w:val="D79C2E24"/>
    <w:lvl w:ilvl="0" w:tplc="6184A4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7B6ECD"/>
    <w:multiLevelType w:val="hybridMultilevel"/>
    <w:tmpl w:val="C2EC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B2E38"/>
    <w:multiLevelType w:val="hybridMultilevel"/>
    <w:tmpl w:val="A8F08B50"/>
    <w:lvl w:ilvl="0" w:tplc="363AC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F20A1"/>
    <w:multiLevelType w:val="hybridMultilevel"/>
    <w:tmpl w:val="ECE6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176FC"/>
    <w:multiLevelType w:val="hybridMultilevel"/>
    <w:tmpl w:val="80F82BCC"/>
    <w:lvl w:ilvl="0" w:tplc="4D4006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4"/>
  </w:num>
  <w:num w:numId="5">
    <w:abstractNumId w:val="8"/>
  </w:num>
  <w:num w:numId="6">
    <w:abstractNumId w:val="1"/>
  </w:num>
  <w:num w:numId="7">
    <w:abstractNumId w:val="6"/>
  </w:num>
  <w:num w:numId="8">
    <w:abstractNumId w:val="9"/>
  </w:num>
  <w:num w:numId="9">
    <w:abstractNumId w:val="2"/>
  </w:num>
  <w:num w:numId="10">
    <w:abstractNumId w:val="10"/>
  </w:num>
  <w:num w:numId="11">
    <w:abstractNumId w:val="7"/>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3A"/>
    <w:rsid w:val="00000291"/>
    <w:rsid w:val="0000161D"/>
    <w:rsid w:val="00001DD3"/>
    <w:rsid w:val="00002739"/>
    <w:rsid w:val="00003034"/>
    <w:rsid w:val="00003938"/>
    <w:rsid w:val="00003BFC"/>
    <w:rsid w:val="00004381"/>
    <w:rsid w:val="00004E2C"/>
    <w:rsid w:val="0000536F"/>
    <w:rsid w:val="00010BAF"/>
    <w:rsid w:val="000116D7"/>
    <w:rsid w:val="00011A35"/>
    <w:rsid w:val="00014942"/>
    <w:rsid w:val="000153FF"/>
    <w:rsid w:val="0001540C"/>
    <w:rsid w:val="00015434"/>
    <w:rsid w:val="000173CD"/>
    <w:rsid w:val="00017835"/>
    <w:rsid w:val="00017DC8"/>
    <w:rsid w:val="00017FC7"/>
    <w:rsid w:val="00020150"/>
    <w:rsid w:val="000214D0"/>
    <w:rsid w:val="00022B18"/>
    <w:rsid w:val="00024080"/>
    <w:rsid w:val="00024FCB"/>
    <w:rsid w:val="0002579A"/>
    <w:rsid w:val="0002673A"/>
    <w:rsid w:val="00026A73"/>
    <w:rsid w:val="00026A77"/>
    <w:rsid w:val="0002704B"/>
    <w:rsid w:val="00033003"/>
    <w:rsid w:val="000356A8"/>
    <w:rsid w:val="00036CDB"/>
    <w:rsid w:val="00037B54"/>
    <w:rsid w:val="0004124C"/>
    <w:rsid w:val="00041A13"/>
    <w:rsid w:val="00042023"/>
    <w:rsid w:val="00042BEA"/>
    <w:rsid w:val="0004371D"/>
    <w:rsid w:val="00043AD6"/>
    <w:rsid w:val="000457E4"/>
    <w:rsid w:val="000468E5"/>
    <w:rsid w:val="00047444"/>
    <w:rsid w:val="000513BF"/>
    <w:rsid w:val="00053827"/>
    <w:rsid w:val="00056ECA"/>
    <w:rsid w:val="00061DE3"/>
    <w:rsid w:val="00062475"/>
    <w:rsid w:val="00062CCD"/>
    <w:rsid w:val="000638C5"/>
    <w:rsid w:val="00064CEA"/>
    <w:rsid w:val="000656F0"/>
    <w:rsid w:val="0006700C"/>
    <w:rsid w:val="00070AB9"/>
    <w:rsid w:val="0007253C"/>
    <w:rsid w:val="0007357C"/>
    <w:rsid w:val="00075FB7"/>
    <w:rsid w:val="0007699C"/>
    <w:rsid w:val="00080D62"/>
    <w:rsid w:val="00081682"/>
    <w:rsid w:val="00082334"/>
    <w:rsid w:val="00084D30"/>
    <w:rsid w:val="00086AB2"/>
    <w:rsid w:val="00086C22"/>
    <w:rsid w:val="00090B32"/>
    <w:rsid w:val="0009117C"/>
    <w:rsid w:val="0009237A"/>
    <w:rsid w:val="00093F3D"/>
    <w:rsid w:val="00095294"/>
    <w:rsid w:val="00095699"/>
    <w:rsid w:val="00095925"/>
    <w:rsid w:val="00095F5E"/>
    <w:rsid w:val="000970B8"/>
    <w:rsid w:val="000A2CA0"/>
    <w:rsid w:val="000A41A2"/>
    <w:rsid w:val="000A4B82"/>
    <w:rsid w:val="000A508B"/>
    <w:rsid w:val="000A5401"/>
    <w:rsid w:val="000A685F"/>
    <w:rsid w:val="000A6D69"/>
    <w:rsid w:val="000A70B2"/>
    <w:rsid w:val="000A739B"/>
    <w:rsid w:val="000A7BFD"/>
    <w:rsid w:val="000B2123"/>
    <w:rsid w:val="000B28E7"/>
    <w:rsid w:val="000B328B"/>
    <w:rsid w:val="000B4B7D"/>
    <w:rsid w:val="000B6AF8"/>
    <w:rsid w:val="000C088F"/>
    <w:rsid w:val="000C0C34"/>
    <w:rsid w:val="000C1EF6"/>
    <w:rsid w:val="000C2DAA"/>
    <w:rsid w:val="000C2EB5"/>
    <w:rsid w:val="000C3BB4"/>
    <w:rsid w:val="000C3ED0"/>
    <w:rsid w:val="000C4D8C"/>
    <w:rsid w:val="000C6882"/>
    <w:rsid w:val="000D1E52"/>
    <w:rsid w:val="000D328A"/>
    <w:rsid w:val="000D52FD"/>
    <w:rsid w:val="000D5606"/>
    <w:rsid w:val="000D7844"/>
    <w:rsid w:val="000E0FA3"/>
    <w:rsid w:val="000E2E09"/>
    <w:rsid w:val="000E460A"/>
    <w:rsid w:val="000E4981"/>
    <w:rsid w:val="000E4E4A"/>
    <w:rsid w:val="000E5DBE"/>
    <w:rsid w:val="000E5F16"/>
    <w:rsid w:val="000E6167"/>
    <w:rsid w:val="000F0C9B"/>
    <w:rsid w:val="000F16BF"/>
    <w:rsid w:val="000F2DD1"/>
    <w:rsid w:val="000F4192"/>
    <w:rsid w:val="000F4ADC"/>
    <w:rsid w:val="000F5C6D"/>
    <w:rsid w:val="000F69CD"/>
    <w:rsid w:val="000F7260"/>
    <w:rsid w:val="00100136"/>
    <w:rsid w:val="0010022B"/>
    <w:rsid w:val="001012D7"/>
    <w:rsid w:val="0010296A"/>
    <w:rsid w:val="001036F0"/>
    <w:rsid w:val="0010454C"/>
    <w:rsid w:val="001049BD"/>
    <w:rsid w:val="001057EE"/>
    <w:rsid w:val="00105E26"/>
    <w:rsid w:val="00110B0E"/>
    <w:rsid w:val="00110DF3"/>
    <w:rsid w:val="00111551"/>
    <w:rsid w:val="00111C1C"/>
    <w:rsid w:val="00111CC8"/>
    <w:rsid w:val="00112856"/>
    <w:rsid w:val="00112C93"/>
    <w:rsid w:val="00113CCF"/>
    <w:rsid w:val="001140B1"/>
    <w:rsid w:val="00114EAD"/>
    <w:rsid w:val="001200EE"/>
    <w:rsid w:val="00120929"/>
    <w:rsid w:val="00120D5E"/>
    <w:rsid w:val="00122514"/>
    <w:rsid w:val="0012327F"/>
    <w:rsid w:val="00123453"/>
    <w:rsid w:val="00124893"/>
    <w:rsid w:val="001262A9"/>
    <w:rsid w:val="001304E7"/>
    <w:rsid w:val="0013091D"/>
    <w:rsid w:val="00130CA6"/>
    <w:rsid w:val="00132502"/>
    <w:rsid w:val="00133590"/>
    <w:rsid w:val="00135428"/>
    <w:rsid w:val="00136AD1"/>
    <w:rsid w:val="00137314"/>
    <w:rsid w:val="001376CE"/>
    <w:rsid w:val="0014145B"/>
    <w:rsid w:val="00142021"/>
    <w:rsid w:val="00142249"/>
    <w:rsid w:val="001458E9"/>
    <w:rsid w:val="00145E1A"/>
    <w:rsid w:val="00145FBA"/>
    <w:rsid w:val="00151AF3"/>
    <w:rsid w:val="001526BA"/>
    <w:rsid w:val="00154B4D"/>
    <w:rsid w:val="00156938"/>
    <w:rsid w:val="001575CF"/>
    <w:rsid w:val="00157E8D"/>
    <w:rsid w:val="001617E1"/>
    <w:rsid w:val="001622CC"/>
    <w:rsid w:val="00163174"/>
    <w:rsid w:val="00164E95"/>
    <w:rsid w:val="00165290"/>
    <w:rsid w:val="001667BB"/>
    <w:rsid w:val="00167B29"/>
    <w:rsid w:val="00167F42"/>
    <w:rsid w:val="001701FE"/>
    <w:rsid w:val="00172BAA"/>
    <w:rsid w:val="0017484F"/>
    <w:rsid w:val="00176C8D"/>
    <w:rsid w:val="0017761D"/>
    <w:rsid w:val="0017761F"/>
    <w:rsid w:val="00180A33"/>
    <w:rsid w:val="00181657"/>
    <w:rsid w:val="0018206D"/>
    <w:rsid w:val="00183DE6"/>
    <w:rsid w:val="00184B3B"/>
    <w:rsid w:val="00191DE6"/>
    <w:rsid w:val="00191E9A"/>
    <w:rsid w:val="00192644"/>
    <w:rsid w:val="0019305F"/>
    <w:rsid w:val="0019755D"/>
    <w:rsid w:val="0019775A"/>
    <w:rsid w:val="001A0884"/>
    <w:rsid w:val="001A2093"/>
    <w:rsid w:val="001A470B"/>
    <w:rsid w:val="001A488F"/>
    <w:rsid w:val="001A4892"/>
    <w:rsid w:val="001A6EEE"/>
    <w:rsid w:val="001A735D"/>
    <w:rsid w:val="001A74BD"/>
    <w:rsid w:val="001B117B"/>
    <w:rsid w:val="001B202B"/>
    <w:rsid w:val="001B3E31"/>
    <w:rsid w:val="001B4CB9"/>
    <w:rsid w:val="001B7867"/>
    <w:rsid w:val="001C01D0"/>
    <w:rsid w:val="001C0995"/>
    <w:rsid w:val="001C2D69"/>
    <w:rsid w:val="001C2D91"/>
    <w:rsid w:val="001C35C9"/>
    <w:rsid w:val="001C3E7F"/>
    <w:rsid w:val="001C5F92"/>
    <w:rsid w:val="001C68E5"/>
    <w:rsid w:val="001D0AE8"/>
    <w:rsid w:val="001D2187"/>
    <w:rsid w:val="001D4A10"/>
    <w:rsid w:val="001D6823"/>
    <w:rsid w:val="001D6922"/>
    <w:rsid w:val="001D759F"/>
    <w:rsid w:val="001D7A2D"/>
    <w:rsid w:val="001D7EA8"/>
    <w:rsid w:val="001E0507"/>
    <w:rsid w:val="001E0B3F"/>
    <w:rsid w:val="001E2528"/>
    <w:rsid w:val="001E2BF1"/>
    <w:rsid w:val="001E2E34"/>
    <w:rsid w:val="001E3952"/>
    <w:rsid w:val="001E494C"/>
    <w:rsid w:val="001E6EA7"/>
    <w:rsid w:val="001F1FD0"/>
    <w:rsid w:val="001F54C4"/>
    <w:rsid w:val="001F5E70"/>
    <w:rsid w:val="001F6159"/>
    <w:rsid w:val="001F61BD"/>
    <w:rsid w:val="001F653B"/>
    <w:rsid w:val="002024CC"/>
    <w:rsid w:val="0020682E"/>
    <w:rsid w:val="00206A12"/>
    <w:rsid w:val="00206D58"/>
    <w:rsid w:val="00210333"/>
    <w:rsid w:val="002112F4"/>
    <w:rsid w:val="002119BB"/>
    <w:rsid w:val="00212A54"/>
    <w:rsid w:val="00213A33"/>
    <w:rsid w:val="00214B29"/>
    <w:rsid w:val="0021553C"/>
    <w:rsid w:val="0022004D"/>
    <w:rsid w:val="002222C4"/>
    <w:rsid w:val="00222342"/>
    <w:rsid w:val="002234F4"/>
    <w:rsid w:val="002251A0"/>
    <w:rsid w:val="00225DC7"/>
    <w:rsid w:val="0022725D"/>
    <w:rsid w:val="00227558"/>
    <w:rsid w:val="002317B5"/>
    <w:rsid w:val="00232070"/>
    <w:rsid w:val="00232A45"/>
    <w:rsid w:val="00233314"/>
    <w:rsid w:val="00233F74"/>
    <w:rsid w:val="0023481F"/>
    <w:rsid w:val="00237007"/>
    <w:rsid w:val="00237AC0"/>
    <w:rsid w:val="00241229"/>
    <w:rsid w:val="0024237C"/>
    <w:rsid w:val="00242A69"/>
    <w:rsid w:val="00246D03"/>
    <w:rsid w:val="00246F48"/>
    <w:rsid w:val="00247A3F"/>
    <w:rsid w:val="00250629"/>
    <w:rsid w:val="00251065"/>
    <w:rsid w:val="002551D3"/>
    <w:rsid w:val="00255974"/>
    <w:rsid w:val="00255D85"/>
    <w:rsid w:val="002563DD"/>
    <w:rsid w:val="002646EE"/>
    <w:rsid w:val="0026691D"/>
    <w:rsid w:val="00267D3F"/>
    <w:rsid w:val="00267F52"/>
    <w:rsid w:val="00270F48"/>
    <w:rsid w:val="00271DCB"/>
    <w:rsid w:val="002758DD"/>
    <w:rsid w:val="0028006A"/>
    <w:rsid w:val="00280111"/>
    <w:rsid w:val="0028132D"/>
    <w:rsid w:val="002818D0"/>
    <w:rsid w:val="0028206A"/>
    <w:rsid w:val="0028389F"/>
    <w:rsid w:val="002839C9"/>
    <w:rsid w:val="002849CE"/>
    <w:rsid w:val="0028548B"/>
    <w:rsid w:val="002856AF"/>
    <w:rsid w:val="002863C2"/>
    <w:rsid w:val="002903C3"/>
    <w:rsid w:val="002933E9"/>
    <w:rsid w:val="00294E42"/>
    <w:rsid w:val="00295689"/>
    <w:rsid w:val="002959B0"/>
    <w:rsid w:val="00296704"/>
    <w:rsid w:val="002A0A11"/>
    <w:rsid w:val="002A2008"/>
    <w:rsid w:val="002A2020"/>
    <w:rsid w:val="002A2C97"/>
    <w:rsid w:val="002A31B2"/>
    <w:rsid w:val="002A376D"/>
    <w:rsid w:val="002A67BC"/>
    <w:rsid w:val="002A691B"/>
    <w:rsid w:val="002A6C63"/>
    <w:rsid w:val="002A77EE"/>
    <w:rsid w:val="002B12A6"/>
    <w:rsid w:val="002B168B"/>
    <w:rsid w:val="002B1EAE"/>
    <w:rsid w:val="002B1F1A"/>
    <w:rsid w:val="002B36AE"/>
    <w:rsid w:val="002B58E1"/>
    <w:rsid w:val="002B5B40"/>
    <w:rsid w:val="002B63CE"/>
    <w:rsid w:val="002B77C1"/>
    <w:rsid w:val="002B7C66"/>
    <w:rsid w:val="002C0B62"/>
    <w:rsid w:val="002C0D57"/>
    <w:rsid w:val="002C1653"/>
    <w:rsid w:val="002C4026"/>
    <w:rsid w:val="002C4313"/>
    <w:rsid w:val="002C4579"/>
    <w:rsid w:val="002C4797"/>
    <w:rsid w:val="002C482C"/>
    <w:rsid w:val="002C7534"/>
    <w:rsid w:val="002C75DB"/>
    <w:rsid w:val="002D096C"/>
    <w:rsid w:val="002D1620"/>
    <w:rsid w:val="002D19CD"/>
    <w:rsid w:val="002D289F"/>
    <w:rsid w:val="002D2B85"/>
    <w:rsid w:val="002D4464"/>
    <w:rsid w:val="002D5FC2"/>
    <w:rsid w:val="002D635C"/>
    <w:rsid w:val="002D66EB"/>
    <w:rsid w:val="002D7A11"/>
    <w:rsid w:val="002E165B"/>
    <w:rsid w:val="002E2919"/>
    <w:rsid w:val="002E3713"/>
    <w:rsid w:val="002E3B10"/>
    <w:rsid w:val="002E5473"/>
    <w:rsid w:val="002E74C9"/>
    <w:rsid w:val="002E75BC"/>
    <w:rsid w:val="002F053A"/>
    <w:rsid w:val="002F068F"/>
    <w:rsid w:val="002F091A"/>
    <w:rsid w:val="002F6338"/>
    <w:rsid w:val="002F75AF"/>
    <w:rsid w:val="00300027"/>
    <w:rsid w:val="00303651"/>
    <w:rsid w:val="00303748"/>
    <w:rsid w:val="003041D4"/>
    <w:rsid w:val="003044B4"/>
    <w:rsid w:val="00307C7C"/>
    <w:rsid w:val="00307F01"/>
    <w:rsid w:val="00310107"/>
    <w:rsid w:val="003110F8"/>
    <w:rsid w:val="003117EE"/>
    <w:rsid w:val="00313017"/>
    <w:rsid w:val="003130B3"/>
    <w:rsid w:val="0031337F"/>
    <w:rsid w:val="00314C23"/>
    <w:rsid w:val="00314CE4"/>
    <w:rsid w:val="00317786"/>
    <w:rsid w:val="00317AF8"/>
    <w:rsid w:val="0032108F"/>
    <w:rsid w:val="00322DC9"/>
    <w:rsid w:val="00322E80"/>
    <w:rsid w:val="003233D0"/>
    <w:rsid w:val="00327DEC"/>
    <w:rsid w:val="00330639"/>
    <w:rsid w:val="003311BE"/>
    <w:rsid w:val="0033170A"/>
    <w:rsid w:val="00331CB3"/>
    <w:rsid w:val="0033234E"/>
    <w:rsid w:val="00332FA1"/>
    <w:rsid w:val="00332FE9"/>
    <w:rsid w:val="00333766"/>
    <w:rsid w:val="003345B4"/>
    <w:rsid w:val="003359CE"/>
    <w:rsid w:val="00335F57"/>
    <w:rsid w:val="00336791"/>
    <w:rsid w:val="00336B26"/>
    <w:rsid w:val="00336F0C"/>
    <w:rsid w:val="003401BD"/>
    <w:rsid w:val="00340CAF"/>
    <w:rsid w:val="00342DDD"/>
    <w:rsid w:val="003440F0"/>
    <w:rsid w:val="003460E9"/>
    <w:rsid w:val="003474FC"/>
    <w:rsid w:val="0034761B"/>
    <w:rsid w:val="003477A7"/>
    <w:rsid w:val="00350266"/>
    <w:rsid w:val="003506D8"/>
    <w:rsid w:val="00350AD6"/>
    <w:rsid w:val="00355CBD"/>
    <w:rsid w:val="003568CD"/>
    <w:rsid w:val="003576C8"/>
    <w:rsid w:val="0036173D"/>
    <w:rsid w:val="00362249"/>
    <w:rsid w:val="00362B9D"/>
    <w:rsid w:val="00362BD7"/>
    <w:rsid w:val="00362F73"/>
    <w:rsid w:val="003635DD"/>
    <w:rsid w:val="00364F1D"/>
    <w:rsid w:val="00365551"/>
    <w:rsid w:val="00367C71"/>
    <w:rsid w:val="003706BA"/>
    <w:rsid w:val="00370983"/>
    <w:rsid w:val="00371776"/>
    <w:rsid w:val="0037225A"/>
    <w:rsid w:val="00374212"/>
    <w:rsid w:val="00374481"/>
    <w:rsid w:val="00375746"/>
    <w:rsid w:val="003778A0"/>
    <w:rsid w:val="00381DA7"/>
    <w:rsid w:val="0038232E"/>
    <w:rsid w:val="00382E4C"/>
    <w:rsid w:val="0038419B"/>
    <w:rsid w:val="003841E6"/>
    <w:rsid w:val="003850A2"/>
    <w:rsid w:val="00385612"/>
    <w:rsid w:val="00385DCE"/>
    <w:rsid w:val="00392D10"/>
    <w:rsid w:val="00394D5E"/>
    <w:rsid w:val="00395A1F"/>
    <w:rsid w:val="00396E1F"/>
    <w:rsid w:val="00396FC5"/>
    <w:rsid w:val="003A091F"/>
    <w:rsid w:val="003A1B9C"/>
    <w:rsid w:val="003A2AA1"/>
    <w:rsid w:val="003A2FA2"/>
    <w:rsid w:val="003A3E44"/>
    <w:rsid w:val="003A4B4F"/>
    <w:rsid w:val="003A57F3"/>
    <w:rsid w:val="003A5902"/>
    <w:rsid w:val="003A641E"/>
    <w:rsid w:val="003A7B61"/>
    <w:rsid w:val="003B0D3B"/>
    <w:rsid w:val="003B1CB2"/>
    <w:rsid w:val="003B372A"/>
    <w:rsid w:val="003B3EF7"/>
    <w:rsid w:val="003B4204"/>
    <w:rsid w:val="003B4BE9"/>
    <w:rsid w:val="003B528D"/>
    <w:rsid w:val="003B5516"/>
    <w:rsid w:val="003B6210"/>
    <w:rsid w:val="003B6933"/>
    <w:rsid w:val="003B6F2C"/>
    <w:rsid w:val="003B71A1"/>
    <w:rsid w:val="003C0769"/>
    <w:rsid w:val="003C27DB"/>
    <w:rsid w:val="003C677A"/>
    <w:rsid w:val="003C6A23"/>
    <w:rsid w:val="003C6B40"/>
    <w:rsid w:val="003D12C1"/>
    <w:rsid w:val="003D570A"/>
    <w:rsid w:val="003D591F"/>
    <w:rsid w:val="003D6D75"/>
    <w:rsid w:val="003D703A"/>
    <w:rsid w:val="003D7509"/>
    <w:rsid w:val="003E107B"/>
    <w:rsid w:val="003E1F45"/>
    <w:rsid w:val="003E408A"/>
    <w:rsid w:val="003E408C"/>
    <w:rsid w:val="003E4A85"/>
    <w:rsid w:val="003E640A"/>
    <w:rsid w:val="003E7593"/>
    <w:rsid w:val="003E7624"/>
    <w:rsid w:val="003E771D"/>
    <w:rsid w:val="003F278E"/>
    <w:rsid w:val="003F6658"/>
    <w:rsid w:val="003F7832"/>
    <w:rsid w:val="00401E57"/>
    <w:rsid w:val="00401FE8"/>
    <w:rsid w:val="00402597"/>
    <w:rsid w:val="00405FE5"/>
    <w:rsid w:val="00407307"/>
    <w:rsid w:val="0041092D"/>
    <w:rsid w:val="004119B3"/>
    <w:rsid w:val="00412A47"/>
    <w:rsid w:val="00412F91"/>
    <w:rsid w:val="00415030"/>
    <w:rsid w:val="004150AB"/>
    <w:rsid w:val="004150BE"/>
    <w:rsid w:val="0041532B"/>
    <w:rsid w:val="00415929"/>
    <w:rsid w:val="00415BB7"/>
    <w:rsid w:val="004168B4"/>
    <w:rsid w:val="00417543"/>
    <w:rsid w:val="00421964"/>
    <w:rsid w:val="00422F18"/>
    <w:rsid w:val="004230A3"/>
    <w:rsid w:val="004231FD"/>
    <w:rsid w:val="00423AC3"/>
    <w:rsid w:val="00425FD3"/>
    <w:rsid w:val="0042640A"/>
    <w:rsid w:val="00426785"/>
    <w:rsid w:val="004275C1"/>
    <w:rsid w:val="0043028F"/>
    <w:rsid w:val="00431220"/>
    <w:rsid w:val="004333FF"/>
    <w:rsid w:val="00433D29"/>
    <w:rsid w:val="004355CD"/>
    <w:rsid w:val="00435E4E"/>
    <w:rsid w:val="0043653D"/>
    <w:rsid w:val="0043745C"/>
    <w:rsid w:val="00437D23"/>
    <w:rsid w:val="0044154C"/>
    <w:rsid w:val="004438C2"/>
    <w:rsid w:val="0044448C"/>
    <w:rsid w:val="004447E1"/>
    <w:rsid w:val="004457CD"/>
    <w:rsid w:val="00451CBF"/>
    <w:rsid w:val="00453B9D"/>
    <w:rsid w:val="0045565C"/>
    <w:rsid w:val="004573E9"/>
    <w:rsid w:val="0045779B"/>
    <w:rsid w:val="00457999"/>
    <w:rsid w:val="00460091"/>
    <w:rsid w:val="0046153D"/>
    <w:rsid w:val="00463380"/>
    <w:rsid w:val="00463A7E"/>
    <w:rsid w:val="0046402A"/>
    <w:rsid w:val="0046479C"/>
    <w:rsid w:val="00465B06"/>
    <w:rsid w:val="00465CF5"/>
    <w:rsid w:val="00465D3F"/>
    <w:rsid w:val="00466135"/>
    <w:rsid w:val="004700DF"/>
    <w:rsid w:val="0047348D"/>
    <w:rsid w:val="00473D37"/>
    <w:rsid w:val="004761B9"/>
    <w:rsid w:val="004768E6"/>
    <w:rsid w:val="004778D9"/>
    <w:rsid w:val="00480814"/>
    <w:rsid w:val="00480897"/>
    <w:rsid w:val="004831C9"/>
    <w:rsid w:val="00483CF7"/>
    <w:rsid w:val="0048589A"/>
    <w:rsid w:val="00486429"/>
    <w:rsid w:val="00487174"/>
    <w:rsid w:val="00490C42"/>
    <w:rsid w:val="004912B2"/>
    <w:rsid w:val="00491735"/>
    <w:rsid w:val="004922AA"/>
    <w:rsid w:val="00492A32"/>
    <w:rsid w:val="004932F6"/>
    <w:rsid w:val="00495804"/>
    <w:rsid w:val="00496CBC"/>
    <w:rsid w:val="004A0B4F"/>
    <w:rsid w:val="004A1288"/>
    <w:rsid w:val="004A2190"/>
    <w:rsid w:val="004A21C9"/>
    <w:rsid w:val="004A2E66"/>
    <w:rsid w:val="004A31ED"/>
    <w:rsid w:val="004A38F9"/>
    <w:rsid w:val="004B2595"/>
    <w:rsid w:val="004B26D5"/>
    <w:rsid w:val="004B38EA"/>
    <w:rsid w:val="004B3920"/>
    <w:rsid w:val="004B3F90"/>
    <w:rsid w:val="004B4225"/>
    <w:rsid w:val="004B49FC"/>
    <w:rsid w:val="004B4DC9"/>
    <w:rsid w:val="004B5708"/>
    <w:rsid w:val="004B5ECF"/>
    <w:rsid w:val="004B6C01"/>
    <w:rsid w:val="004B777A"/>
    <w:rsid w:val="004C0134"/>
    <w:rsid w:val="004C0CAF"/>
    <w:rsid w:val="004C3215"/>
    <w:rsid w:val="004C328A"/>
    <w:rsid w:val="004C4332"/>
    <w:rsid w:val="004C4A27"/>
    <w:rsid w:val="004C6F90"/>
    <w:rsid w:val="004C7041"/>
    <w:rsid w:val="004C721F"/>
    <w:rsid w:val="004C736C"/>
    <w:rsid w:val="004D0EB5"/>
    <w:rsid w:val="004D2653"/>
    <w:rsid w:val="004D2692"/>
    <w:rsid w:val="004D7702"/>
    <w:rsid w:val="004D7F53"/>
    <w:rsid w:val="004E13C3"/>
    <w:rsid w:val="004E14BD"/>
    <w:rsid w:val="004E2EA2"/>
    <w:rsid w:val="004E392B"/>
    <w:rsid w:val="004E4A9A"/>
    <w:rsid w:val="004E4F99"/>
    <w:rsid w:val="004E57CA"/>
    <w:rsid w:val="004E593E"/>
    <w:rsid w:val="004E5A3A"/>
    <w:rsid w:val="004E69FD"/>
    <w:rsid w:val="004F35FF"/>
    <w:rsid w:val="004F47F2"/>
    <w:rsid w:val="004F507C"/>
    <w:rsid w:val="004F5C25"/>
    <w:rsid w:val="004F674D"/>
    <w:rsid w:val="00500C5E"/>
    <w:rsid w:val="00503C04"/>
    <w:rsid w:val="00503D47"/>
    <w:rsid w:val="005046D0"/>
    <w:rsid w:val="00504EF8"/>
    <w:rsid w:val="00505167"/>
    <w:rsid w:val="0050788A"/>
    <w:rsid w:val="00512132"/>
    <w:rsid w:val="00513DA1"/>
    <w:rsid w:val="005140A3"/>
    <w:rsid w:val="00515C81"/>
    <w:rsid w:val="00516D8F"/>
    <w:rsid w:val="00517E20"/>
    <w:rsid w:val="00520BF3"/>
    <w:rsid w:val="00520C54"/>
    <w:rsid w:val="00520E7E"/>
    <w:rsid w:val="00523E22"/>
    <w:rsid w:val="00525025"/>
    <w:rsid w:val="00526190"/>
    <w:rsid w:val="00530B0F"/>
    <w:rsid w:val="00531749"/>
    <w:rsid w:val="0053192C"/>
    <w:rsid w:val="00531AB5"/>
    <w:rsid w:val="00531BC1"/>
    <w:rsid w:val="00532E83"/>
    <w:rsid w:val="00534D83"/>
    <w:rsid w:val="00535578"/>
    <w:rsid w:val="00535A21"/>
    <w:rsid w:val="00537E48"/>
    <w:rsid w:val="00540615"/>
    <w:rsid w:val="00540ADD"/>
    <w:rsid w:val="0054147E"/>
    <w:rsid w:val="00542367"/>
    <w:rsid w:val="00542D8E"/>
    <w:rsid w:val="005438A6"/>
    <w:rsid w:val="005440B5"/>
    <w:rsid w:val="0054413B"/>
    <w:rsid w:val="00554494"/>
    <w:rsid w:val="005545FE"/>
    <w:rsid w:val="00554956"/>
    <w:rsid w:val="0055532B"/>
    <w:rsid w:val="005570FA"/>
    <w:rsid w:val="00557BCA"/>
    <w:rsid w:val="005625FC"/>
    <w:rsid w:val="0056360A"/>
    <w:rsid w:val="00564B4D"/>
    <w:rsid w:val="00565E91"/>
    <w:rsid w:val="005710F8"/>
    <w:rsid w:val="00571CE8"/>
    <w:rsid w:val="00573C39"/>
    <w:rsid w:val="00584930"/>
    <w:rsid w:val="00584E30"/>
    <w:rsid w:val="00585E51"/>
    <w:rsid w:val="0058675D"/>
    <w:rsid w:val="00587190"/>
    <w:rsid w:val="00592F9C"/>
    <w:rsid w:val="005939B7"/>
    <w:rsid w:val="00594612"/>
    <w:rsid w:val="00596FDF"/>
    <w:rsid w:val="00597536"/>
    <w:rsid w:val="005A183D"/>
    <w:rsid w:val="005A1DA3"/>
    <w:rsid w:val="005A27C1"/>
    <w:rsid w:val="005A2BA3"/>
    <w:rsid w:val="005A2BC2"/>
    <w:rsid w:val="005A536A"/>
    <w:rsid w:val="005A74A2"/>
    <w:rsid w:val="005B06D1"/>
    <w:rsid w:val="005B1B6F"/>
    <w:rsid w:val="005B1D88"/>
    <w:rsid w:val="005B482A"/>
    <w:rsid w:val="005B70F8"/>
    <w:rsid w:val="005B7409"/>
    <w:rsid w:val="005C069B"/>
    <w:rsid w:val="005C1031"/>
    <w:rsid w:val="005C3AC7"/>
    <w:rsid w:val="005C3DD9"/>
    <w:rsid w:val="005C6EAA"/>
    <w:rsid w:val="005D07DB"/>
    <w:rsid w:val="005D1577"/>
    <w:rsid w:val="005D1704"/>
    <w:rsid w:val="005D1D32"/>
    <w:rsid w:val="005D2767"/>
    <w:rsid w:val="005D2AAA"/>
    <w:rsid w:val="005D326B"/>
    <w:rsid w:val="005D33C7"/>
    <w:rsid w:val="005D379D"/>
    <w:rsid w:val="005D3F54"/>
    <w:rsid w:val="005D5AFC"/>
    <w:rsid w:val="005D75C1"/>
    <w:rsid w:val="005E2E4D"/>
    <w:rsid w:val="005E3C69"/>
    <w:rsid w:val="005E47CF"/>
    <w:rsid w:val="005E4B3C"/>
    <w:rsid w:val="005E52B4"/>
    <w:rsid w:val="005E6FC8"/>
    <w:rsid w:val="005F03CE"/>
    <w:rsid w:val="005F04CA"/>
    <w:rsid w:val="005F06B1"/>
    <w:rsid w:val="005F1E15"/>
    <w:rsid w:val="005F28F0"/>
    <w:rsid w:val="005F2E6D"/>
    <w:rsid w:val="005F3FE0"/>
    <w:rsid w:val="005F504F"/>
    <w:rsid w:val="005F6525"/>
    <w:rsid w:val="005F66E5"/>
    <w:rsid w:val="005F6845"/>
    <w:rsid w:val="005F6D28"/>
    <w:rsid w:val="005F75DD"/>
    <w:rsid w:val="00600B46"/>
    <w:rsid w:val="00602635"/>
    <w:rsid w:val="00603A3B"/>
    <w:rsid w:val="00603A99"/>
    <w:rsid w:val="006061C0"/>
    <w:rsid w:val="00611386"/>
    <w:rsid w:val="006144C9"/>
    <w:rsid w:val="00616112"/>
    <w:rsid w:val="00617A42"/>
    <w:rsid w:val="006227EA"/>
    <w:rsid w:val="00626452"/>
    <w:rsid w:val="0062661E"/>
    <w:rsid w:val="00627106"/>
    <w:rsid w:val="00630BFB"/>
    <w:rsid w:val="00631D6E"/>
    <w:rsid w:val="00634F28"/>
    <w:rsid w:val="006364FC"/>
    <w:rsid w:val="00636A84"/>
    <w:rsid w:val="0063762B"/>
    <w:rsid w:val="00640173"/>
    <w:rsid w:val="00640432"/>
    <w:rsid w:val="0064439F"/>
    <w:rsid w:val="006446B1"/>
    <w:rsid w:val="0064480D"/>
    <w:rsid w:val="00645209"/>
    <w:rsid w:val="00645930"/>
    <w:rsid w:val="0064621C"/>
    <w:rsid w:val="00647E05"/>
    <w:rsid w:val="006502A5"/>
    <w:rsid w:val="00652E14"/>
    <w:rsid w:val="006535C9"/>
    <w:rsid w:val="00655E3A"/>
    <w:rsid w:val="00656924"/>
    <w:rsid w:val="00657803"/>
    <w:rsid w:val="006578EE"/>
    <w:rsid w:val="006608FD"/>
    <w:rsid w:val="00661828"/>
    <w:rsid w:val="00662360"/>
    <w:rsid w:val="00663C35"/>
    <w:rsid w:val="006642FA"/>
    <w:rsid w:val="006645E0"/>
    <w:rsid w:val="00666919"/>
    <w:rsid w:val="0066693C"/>
    <w:rsid w:val="00671A03"/>
    <w:rsid w:val="006745B0"/>
    <w:rsid w:val="00676AB1"/>
    <w:rsid w:val="0067769E"/>
    <w:rsid w:val="00680295"/>
    <w:rsid w:val="00681F9B"/>
    <w:rsid w:val="00685908"/>
    <w:rsid w:val="0069150D"/>
    <w:rsid w:val="0069269A"/>
    <w:rsid w:val="00692BD5"/>
    <w:rsid w:val="00693863"/>
    <w:rsid w:val="006958F8"/>
    <w:rsid w:val="00695D36"/>
    <w:rsid w:val="006969C0"/>
    <w:rsid w:val="006A3657"/>
    <w:rsid w:val="006A490D"/>
    <w:rsid w:val="006A6506"/>
    <w:rsid w:val="006B2A69"/>
    <w:rsid w:val="006B4F0C"/>
    <w:rsid w:val="006B554B"/>
    <w:rsid w:val="006B5E45"/>
    <w:rsid w:val="006B6F57"/>
    <w:rsid w:val="006B7A83"/>
    <w:rsid w:val="006C10A6"/>
    <w:rsid w:val="006C1554"/>
    <w:rsid w:val="006C18AB"/>
    <w:rsid w:val="006C37A3"/>
    <w:rsid w:val="006C37DD"/>
    <w:rsid w:val="006C41E4"/>
    <w:rsid w:val="006C425F"/>
    <w:rsid w:val="006C4262"/>
    <w:rsid w:val="006C49E0"/>
    <w:rsid w:val="006C5E9C"/>
    <w:rsid w:val="006C69B3"/>
    <w:rsid w:val="006C723F"/>
    <w:rsid w:val="006D0997"/>
    <w:rsid w:val="006D0ADC"/>
    <w:rsid w:val="006D1DC2"/>
    <w:rsid w:val="006D26F1"/>
    <w:rsid w:val="006D33C1"/>
    <w:rsid w:val="006D525F"/>
    <w:rsid w:val="006D5817"/>
    <w:rsid w:val="006D7F5F"/>
    <w:rsid w:val="006E004A"/>
    <w:rsid w:val="006E04D5"/>
    <w:rsid w:val="006E199F"/>
    <w:rsid w:val="006E1EF6"/>
    <w:rsid w:val="006E31CE"/>
    <w:rsid w:val="006E35CB"/>
    <w:rsid w:val="006E5E48"/>
    <w:rsid w:val="006E6C30"/>
    <w:rsid w:val="006E7794"/>
    <w:rsid w:val="006F1F69"/>
    <w:rsid w:val="006F2BC6"/>
    <w:rsid w:val="006F4336"/>
    <w:rsid w:val="006F460B"/>
    <w:rsid w:val="006F557F"/>
    <w:rsid w:val="006F5D9A"/>
    <w:rsid w:val="006F6AEE"/>
    <w:rsid w:val="006F6C73"/>
    <w:rsid w:val="006F7F2E"/>
    <w:rsid w:val="007001B5"/>
    <w:rsid w:val="00700741"/>
    <w:rsid w:val="0070075D"/>
    <w:rsid w:val="00702F03"/>
    <w:rsid w:val="0070629B"/>
    <w:rsid w:val="007067D3"/>
    <w:rsid w:val="00710D22"/>
    <w:rsid w:val="00711629"/>
    <w:rsid w:val="00713DB2"/>
    <w:rsid w:val="007146B3"/>
    <w:rsid w:val="00714790"/>
    <w:rsid w:val="00715E0E"/>
    <w:rsid w:val="00716B4D"/>
    <w:rsid w:val="007200A2"/>
    <w:rsid w:val="007203E8"/>
    <w:rsid w:val="00720789"/>
    <w:rsid w:val="00721174"/>
    <w:rsid w:val="007211CC"/>
    <w:rsid w:val="007244A7"/>
    <w:rsid w:val="00727A25"/>
    <w:rsid w:val="00732B95"/>
    <w:rsid w:val="00732D3E"/>
    <w:rsid w:val="007356D2"/>
    <w:rsid w:val="0073615A"/>
    <w:rsid w:val="00740110"/>
    <w:rsid w:val="00741AB3"/>
    <w:rsid w:val="0074484F"/>
    <w:rsid w:val="00744BCE"/>
    <w:rsid w:val="00750A9E"/>
    <w:rsid w:val="00751F93"/>
    <w:rsid w:val="00752FA4"/>
    <w:rsid w:val="00754605"/>
    <w:rsid w:val="00754BD7"/>
    <w:rsid w:val="00755F3B"/>
    <w:rsid w:val="00756653"/>
    <w:rsid w:val="0075720F"/>
    <w:rsid w:val="00757C3C"/>
    <w:rsid w:val="00757F92"/>
    <w:rsid w:val="00766520"/>
    <w:rsid w:val="007715C6"/>
    <w:rsid w:val="00771C34"/>
    <w:rsid w:val="0077444A"/>
    <w:rsid w:val="0077488F"/>
    <w:rsid w:val="007761B8"/>
    <w:rsid w:val="00776363"/>
    <w:rsid w:val="00776364"/>
    <w:rsid w:val="0077683B"/>
    <w:rsid w:val="00776E8E"/>
    <w:rsid w:val="00777253"/>
    <w:rsid w:val="00780AA8"/>
    <w:rsid w:val="00781B36"/>
    <w:rsid w:val="00784461"/>
    <w:rsid w:val="0078453F"/>
    <w:rsid w:val="00785913"/>
    <w:rsid w:val="007869FD"/>
    <w:rsid w:val="00787DBD"/>
    <w:rsid w:val="00787EA2"/>
    <w:rsid w:val="0079090D"/>
    <w:rsid w:val="00791C8A"/>
    <w:rsid w:val="00793149"/>
    <w:rsid w:val="00793973"/>
    <w:rsid w:val="00796627"/>
    <w:rsid w:val="00796FE1"/>
    <w:rsid w:val="007A091F"/>
    <w:rsid w:val="007A2105"/>
    <w:rsid w:val="007A2F1B"/>
    <w:rsid w:val="007A4227"/>
    <w:rsid w:val="007A5348"/>
    <w:rsid w:val="007A66F4"/>
    <w:rsid w:val="007A6E55"/>
    <w:rsid w:val="007B05EF"/>
    <w:rsid w:val="007B1849"/>
    <w:rsid w:val="007B1E5C"/>
    <w:rsid w:val="007B1F64"/>
    <w:rsid w:val="007B1F82"/>
    <w:rsid w:val="007B2A98"/>
    <w:rsid w:val="007B2E21"/>
    <w:rsid w:val="007B4DF1"/>
    <w:rsid w:val="007B510C"/>
    <w:rsid w:val="007B76B5"/>
    <w:rsid w:val="007C006A"/>
    <w:rsid w:val="007C01A3"/>
    <w:rsid w:val="007C06C2"/>
    <w:rsid w:val="007C0A08"/>
    <w:rsid w:val="007C2103"/>
    <w:rsid w:val="007C3856"/>
    <w:rsid w:val="007C38C0"/>
    <w:rsid w:val="007D3658"/>
    <w:rsid w:val="007D605D"/>
    <w:rsid w:val="007D6433"/>
    <w:rsid w:val="007E0D1F"/>
    <w:rsid w:val="007E1F7A"/>
    <w:rsid w:val="007E2640"/>
    <w:rsid w:val="007E2BEA"/>
    <w:rsid w:val="007E5B54"/>
    <w:rsid w:val="007F0B0D"/>
    <w:rsid w:val="007F2D60"/>
    <w:rsid w:val="007F3878"/>
    <w:rsid w:val="007F40AD"/>
    <w:rsid w:val="007F6835"/>
    <w:rsid w:val="007F7F8F"/>
    <w:rsid w:val="007F7FF7"/>
    <w:rsid w:val="00800D94"/>
    <w:rsid w:val="008012D7"/>
    <w:rsid w:val="0080347E"/>
    <w:rsid w:val="008046B8"/>
    <w:rsid w:val="0080542B"/>
    <w:rsid w:val="00805B82"/>
    <w:rsid w:val="00806441"/>
    <w:rsid w:val="008064C8"/>
    <w:rsid w:val="0081062C"/>
    <w:rsid w:val="008149CE"/>
    <w:rsid w:val="00814C81"/>
    <w:rsid w:val="0081543C"/>
    <w:rsid w:val="00815627"/>
    <w:rsid w:val="00816B8E"/>
    <w:rsid w:val="00817161"/>
    <w:rsid w:val="008173B1"/>
    <w:rsid w:val="00821D1E"/>
    <w:rsid w:val="00821EA2"/>
    <w:rsid w:val="008222FA"/>
    <w:rsid w:val="00823172"/>
    <w:rsid w:val="0082640C"/>
    <w:rsid w:val="008268D5"/>
    <w:rsid w:val="008320C3"/>
    <w:rsid w:val="00832CB0"/>
    <w:rsid w:val="008342BE"/>
    <w:rsid w:val="00834D28"/>
    <w:rsid w:val="0083523F"/>
    <w:rsid w:val="008357B5"/>
    <w:rsid w:val="00835C80"/>
    <w:rsid w:val="0083744C"/>
    <w:rsid w:val="00837AA9"/>
    <w:rsid w:val="00840284"/>
    <w:rsid w:val="00840328"/>
    <w:rsid w:val="00842C83"/>
    <w:rsid w:val="00842E23"/>
    <w:rsid w:val="0084335A"/>
    <w:rsid w:val="00843EB0"/>
    <w:rsid w:val="008455D5"/>
    <w:rsid w:val="00846997"/>
    <w:rsid w:val="008470F1"/>
    <w:rsid w:val="00852588"/>
    <w:rsid w:val="008535FE"/>
    <w:rsid w:val="00854A39"/>
    <w:rsid w:val="00860691"/>
    <w:rsid w:val="00862E85"/>
    <w:rsid w:val="00862FA5"/>
    <w:rsid w:val="00865938"/>
    <w:rsid w:val="008659EC"/>
    <w:rsid w:val="008669D9"/>
    <w:rsid w:val="008677C1"/>
    <w:rsid w:val="0087001D"/>
    <w:rsid w:val="008706D6"/>
    <w:rsid w:val="0087071C"/>
    <w:rsid w:val="00873423"/>
    <w:rsid w:val="00874E14"/>
    <w:rsid w:val="008801C0"/>
    <w:rsid w:val="00880AAE"/>
    <w:rsid w:val="00880C52"/>
    <w:rsid w:val="00881BF4"/>
    <w:rsid w:val="008827A9"/>
    <w:rsid w:val="00882A55"/>
    <w:rsid w:val="0088543C"/>
    <w:rsid w:val="0088553C"/>
    <w:rsid w:val="008862E9"/>
    <w:rsid w:val="008866A1"/>
    <w:rsid w:val="0088690F"/>
    <w:rsid w:val="00892794"/>
    <w:rsid w:val="00893863"/>
    <w:rsid w:val="008949BD"/>
    <w:rsid w:val="0089676A"/>
    <w:rsid w:val="00896A26"/>
    <w:rsid w:val="008A091A"/>
    <w:rsid w:val="008A14D2"/>
    <w:rsid w:val="008A237A"/>
    <w:rsid w:val="008A2BE8"/>
    <w:rsid w:val="008A50B4"/>
    <w:rsid w:val="008A5552"/>
    <w:rsid w:val="008A641B"/>
    <w:rsid w:val="008A6D40"/>
    <w:rsid w:val="008A7286"/>
    <w:rsid w:val="008B053F"/>
    <w:rsid w:val="008B0A1A"/>
    <w:rsid w:val="008B218D"/>
    <w:rsid w:val="008B4BC9"/>
    <w:rsid w:val="008B6579"/>
    <w:rsid w:val="008B6A45"/>
    <w:rsid w:val="008B6C22"/>
    <w:rsid w:val="008B7038"/>
    <w:rsid w:val="008B7EF4"/>
    <w:rsid w:val="008C03CB"/>
    <w:rsid w:val="008C05D7"/>
    <w:rsid w:val="008C2E47"/>
    <w:rsid w:val="008C45A5"/>
    <w:rsid w:val="008C5B6C"/>
    <w:rsid w:val="008C5EF8"/>
    <w:rsid w:val="008D17DD"/>
    <w:rsid w:val="008D2051"/>
    <w:rsid w:val="008D20A9"/>
    <w:rsid w:val="008D25E7"/>
    <w:rsid w:val="008D3CEE"/>
    <w:rsid w:val="008D3EFA"/>
    <w:rsid w:val="008D7165"/>
    <w:rsid w:val="008D742A"/>
    <w:rsid w:val="008E163F"/>
    <w:rsid w:val="008E3E23"/>
    <w:rsid w:val="008E4C6F"/>
    <w:rsid w:val="008E57BC"/>
    <w:rsid w:val="008E7DEF"/>
    <w:rsid w:val="008F1A44"/>
    <w:rsid w:val="008F1E32"/>
    <w:rsid w:val="008F2177"/>
    <w:rsid w:val="008F3651"/>
    <w:rsid w:val="008F46BC"/>
    <w:rsid w:val="008F53F7"/>
    <w:rsid w:val="008F7BC2"/>
    <w:rsid w:val="00900D7E"/>
    <w:rsid w:val="00904CF2"/>
    <w:rsid w:val="00906EE0"/>
    <w:rsid w:val="00907723"/>
    <w:rsid w:val="00910C2C"/>
    <w:rsid w:val="00911099"/>
    <w:rsid w:val="009115B1"/>
    <w:rsid w:val="00911BFC"/>
    <w:rsid w:val="00912D6A"/>
    <w:rsid w:val="00913E69"/>
    <w:rsid w:val="00916053"/>
    <w:rsid w:val="00921192"/>
    <w:rsid w:val="009225B9"/>
    <w:rsid w:val="00923499"/>
    <w:rsid w:val="00925578"/>
    <w:rsid w:val="0092563B"/>
    <w:rsid w:val="00925B8E"/>
    <w:rsid w:val="00926ABE"/>
    <w:rsid w:val="00926B31"/>
    <w:rsid w:val="00930A61"/>
    <w:rsid w:val="0093205D"/>
    <w:rsid w:val="009330A5"/>
    <w:rsid w:val="00935B9B"/>
    <w:rsid w:val="00936CAB"/>
    <w:rsid w:val="00940CDD"/>
    <w:rsid w:val="0094376E"/>
    <w:rsid w:val="00945335"/>
    <w:rsid w:val="009453A8"/>
    <w:rsid w:val="0094660A"/>
    <w:rsid w:val="009473BC"/>
    <w:rsid w:val="0095036D"/>
    <w:rsid w:val="00950F0D"/>
    <w:rsid w:val="0095264F"/>
    <w:rsid w:val="00952D2C"/>
    <w:rsid w:val="00954C5C"/>
    <w:rsid w:val="009550B2"/>
    <w:rsid w:val="00956BC0"/>
    <w:rsid w:val="00956DE0"/>
    <w:rsid w:val="0095756C"/>
    <w:rsid w:val="00957CD5"/>
    <w:rsid w:val="00960383"/>
    <w:rsid w:val="009606AC"/>
    <w:rsid w:val="00960ED8"/>
    <w:rsid w:val="00962067"/>
    <w:rsid w:val="0096321F"/>
    <w:rsid w:val="009636CC"/>
    <w:rsid w:val="009637BC"/>
    <w:rsid w:val="009649C5"/>
    <w:rsid w:val="00964FAA"/>
    <w:rsid w:val="00965501"/>
    <w:rsid w:val="0096550A"/>
    <w:rsid w:val="009659F7"/>
    <w:rsid w:val="009664DC"/>
    <w:rsid w:val="00966BF5"/>
    <w:rsid w:val="00967B42"/>
    <w:rsid w:val="00967D54"/>
    <w:rsid w:val="00972952"/>
    <w:rsid w:val="00972AE9"/>
    <w:rsid w:val="00972B58"/>
    <w:rsid w:val="00977FCE"/>
    <w:rsid w:val="00980FDE"/>
    <w:rsid w:val="00981732"/>
    <w:rsid w:val="00981FB8"/>
    <w:rsid w:val="00983AFB"/>
    <w:rsid w:val="00987C5F"/>
    <w:rsid w:val="00990CCB"/>
    <w:rsid w:val="00990F85"/>
    <w:rsid w:val="0099625D"/>
    <w:rsid w:val="009967CD"/>
    <w:rsid w:val="00996C75"/>
    <w:rsid w:val="00997F26"/>
    <w:rsid w:val="009A0166"/>
    <w:rsid w:val="009A117E"/>
    <w:rsid w:val="009A18A6"/>
    <w:rsid w:val="009A32D9"/>
    <w:rsid w:val="009A45A2"/>
    <w:rsid w:val="009A516D"/>
    <w:rsid w:val="009A618A"/>
    <w:rsid w:val="009A6CE5"/>
    <w:rsid w:val="009A6E30"/>
    <w:rsid w:val="009A76E5"/>
    <w:rsid w:val="009B071A"/>
    <w:rsid w:val="009B0887"/>
    <w:rsid w:val="009B1B8D"/>
    <w:rsid w:val="009B1E00"/>
    <w:rsid w:val="009B3256"/>
    <w:rsid w:val="009B45B2"/>
    <w:rsid w:val="009B5093"/>
    <w:rsid w:val="009B6F0A"/>
    <w:rsid w:val="009B73ED"/>
    <w:rsid w:val="009C2CA6"/>
    <w:rsid w:val="009C468E"/>
    <w:rsid w:val="009C49D6"/>
    <w:rsid w:val="009C5E43"/>
    <w:rsid w:val="009C6247"/>
    <w:rsid w:val="009D02F7"/>
    <w:rsid w:val="009D3ECA"/>
    <w:rsid w:val="009D7791"/>
    <w:rsid w:val="009D7C1C"/>
    <w:rsid w:val="009D7C82"/>
    <w:rsid w:val="009E14CA"/>
    <w:rsid w:val="009E2DAD"/>
    <w:rsid w:val="009E319F"/>
    <w:rsid w:val="009E3735"/>
    <w:rsid w:val="009E4728"/>
    <w:rsid w:val="009E4838"/>
    <w:rsid w:val="009E4C9D"/>
    <w:rsid w:val="009E543E"/>
    <w:rsid w:val="009E5F7F"/>
    <w:rsid w:val="009E7A6F"/>
    <w:rsid w:val="009F183A"/>
    <w:rsid w:val="009F357F"/>
    <w:rsid w:val="009F44D3"/>
    <w:rsid w:val="009F48C8"/>
    <w:rsid w:val="00A010DD"/>
    <w:rsid w:val="00A11431"/>
    <w:rsid w:val="00A120C7"/>
    <w:rsid w:val="00A12EC7"/>
    <w:rsid w:val="00A14D7D"/>
    <w:rsid w:val="00A15207"/>
    <w:rsid w:val="00A15BA6"/>
    <w:rsid w:val="00A16100"/>
    <w:rsid w:val="00A17490"/>
    <w:rsid w:val="00A17541"/>
    <w:rsid w:val="00A219D5"/>
    <w:rsid w:val="00A22649"/>
    <w:rsid w:val="00A24D5A"/>
    <w:rsid w:val="00A250C2"/>
    <w:rsid w:val="00A255BF"/>
    <w:rsid w:val="00A257A7"/>
    <w:rsid w:val="00A26029"/>
    <w:rsid w:val="00A27C5E"/>
    <w:rsid w:val="00A27E0C"/>
    <w:rsid w:val="00A307B7"/>
    <w:rsid w:val="00A33EB7"/>
    <w:rsid w:val="00A34E4F"/>
    <w:rsid w:val="00A34FD7"/>
    <w:rsid w:val="00A36322"/>
    <w:rsid w:val="00A3723C"/>
    <w:rsid w:val="00A403A9"/>
    <w:rsid w:val="00A4114B"/>
    <w:rsid w:val="00A4173E"/>
    <w:rsid w:val="00A425D9"/>
    <w:rsid w:val="00A42843"/>
    <w:rsid w:val="00A43746"/>
    <w:rsid w:val="00A463AF"/>
    <w:rsid w:val="00A464FB"/>
    <w:rsid w:val="00A467ED"/>
    <w:rsid w:val="00A4689C"/>
    <w:rsid w:val="00A46ED0"/>
    <w:rsid w:val="00A50927"/>
    <w:rsid w:val="00A532ED"/>
    <w:rsid w:val="00A53EE7"/>
    <w:rsid w:val="00A547BD"/>
    <w:rsid w:val="00A552F7"/>
    <w:rsid w:val="00A5555E"/>
    <w:rsid w:val="00A60B55"/>
    <w:rsid w:val="00A61523"/>
    <w:rsid w:val="00A645A1"/>
    <w:rsid w:val="00A6548B"/>
    <w:rsid w:val="00A65707"/>
    <w:rsid w:val="00A733E6"/>
    <w:rsid w:val="00A736FF"/>
    <w:rsid w:val="00A739BF"/>
    <w:rsid w:val="00A741AD"/>
    <w:rsid w:val="00A7484A"/>
    <w:rsid w:val="00A74B39"/>
    <w:rsid w:val="00A76AFC"/>
    <w:rsid w:val="00A77C35"/>
    <w:rsid w:val="00A8085B"/>
    <w:rsid w:val="00A81962"/>
    <w:rsid w:val="00A8325B"/>
    <w:rsid w:val="00A83844"/>
    <w:rsid w:val="00A83FC8"/>
    <w:rsid w:val="00A85C8C"/>
    <w:rsid w:val="00A86F64"/>
    <w:rsid w:val="00A900D8"/>
    <w:rsid w:val="00A90C95"/>
    <w:rsid w:val="00A9107D"/>
    <w:rsid w:val="00A911BE"/>
    <w:rsid w:val="00A91404"/>
    <w:rsid w:val="00A916EA"/>
    <w:rsid w:val="00A92441"/>
    <w:rsid w:val="00A92AB0"/>
    <w:rsid w:val="00A9444A"/>
    <w:rsid w:val="00A944A3"/>
    <w:rsid w:val="00A94761"/>
    <w:rsid w:val="00A94BEA"/>
    <w:rsid w:val="00A95920"/>
    <w:rsid w:val="00A96526"/>
    <w:rsid w:val="00A973C5"/>
    <w:rsid w:val="00AA0529"/>
    <w:rsid w:val="00AA0CE8"/>
    <w:rsid w:val="00AA21DB"/>
    <w:rsid w:val="00AA305A"/>
    <w:rsid w:val="00AA44B0"/>
    <w:rsid w:val="00AA4620"/>
    <w:rsid w:val="00AA5E1D"/>
    <w:rsid w:val="00AA60F8"/>
    <w:rsid w:val="00AA6BB5"/>
    <w:rsid w:val="00AA6E23"/>
    <w:rsid w:val="00AA723C"/>
    <w:rsid w:val="00AB12D5"/>
    <w:rsid w:val="00AB2B4E"/>
    <w:rsid w:val="00AB3335"/>
    <w:rsid w:val="00AB3F74"/>
    <w:rsid w:val="00AB4577"/>
    <w:rsid w:val="00AB6B98"/>
    <w:rsid w:val="00AB6C14"/>
    <w:rsid w:val="00AC050A"/>
    <w:rsid w:val="00AC0821"/>
    <w:rsid w:val="00AC0DCF"/>
    <w:rsid w:val="00AC26F5"/>
    <w:rsid w:val="00AC2E5B"/>
    <w:rsid w:val="00AC5033"/>
    <w:rsid w:val="00AC58EE"/>
    <w:rsid w:val="00AC613B"/>
    <w:rsid w:val="00AC6388"/>
    <w:rsid w:val="00AC6CAD"/>
    <w:rsid w:val="00AC7E8B"/>
    <w:rsid w:val="00AD2306"/>
    <w:rsid w:val="00AD2B18"/>
    <w:rsid w:val="00AD3D35"/>
    <w:rsid w:val="00AD6B93"/>
    <w:rsid w:val="00AD70A9"/>
    <w:rsid w:val="00AD7622"/>
    <w:rsid w:val="00AE01E4"/>
    <w:rsid w:val="00AE0465"/>
    <w:rsid w:val="00AE106C"/>
    <w:rsid w:val="00AE26B6"/>
    <w:rsid w:val="00AE3440"/>
    <w:rsid w:val="00AF0394"/>
    <w:rsid w:val="00AF07EF"/>
    <w:rsid w:val="00AF2268"/>
    <w:rsid w:val="00AF25B4"/>
    <w:rsid w:val="00AF3B68"/>
    <w:rsid w:val="00AF5B20"/>
    <w:rsid w:val="00AF5B4E"/>
    <w:rsid w:val="00AF5D63"/>
    <w:rsid w:val="00AF63CB"/>
    <w:rsid w:val="00B00F62"/>
    <w:rsid w:val="00B01D76"/>
    <w:rsid w:val="00B02A3E"/>
    <w:rsid w:val="00B041C4"/>
    <w:rsid w:val="00B05870"/>
    <w:rsid w:val="00B06619"/>
    <w:rsid w:val="00B06870"/>
    <w:rsid w:val="00B106A4"/>
    <w:rsid w:val="00B10A27"/>
    <w:rsid w:val="00B11925"/>
    <w:rsid w:val="00B11E9A"/>
    <w:rsid w:val="00B140E3"/>
    <w:rsid w:val="00B14642"/>
    <w:rsid w:val="00B14FD2"/>
    <w:rsid w:val="00B15760"/>
    <w:rsid w:val="00B16DA9"/>
    <w:rsid w:val="00B20956"/>
    <w:rsid w:val="00B22AAF"/>
    <w:rsid w:val="00B252EA"/>
    <w:rsid w:val="00B2556D"/>
    <w:rsid w:val="00B264DD"/>
    <w:rsid w:val="00B275BE"/>
    <w:rsid w:val="00B2786E"/>
    <w:rsid w:val="00B27D05"/>
    <w:rsid w:val="00B31F3E"/>
    <w:rsid w:val="00B31FAC"/>
    <w:rsid w:val="00B322A8"/>
    <w:rsid w:val="00B33632"/>
    <w:rsid w:val="00B33A08"/>
    <w:rsid w:val="00B3709E"/>
    <w:rsid w:val="00B3785A"/>
    <w:rsid w:val="00B37FB8"/>
    <w:rsid w:val="00B41754"/>
    <w:rsid w:val="00B41B7E"/>
    <w:rsid w:val="00B4382F"/>
    <w:rsid w:val="00B448A1"/>
    <w:rsid w:val="00B468B9"/>
    <w:rsid w:val="00B47759"/>
    <w:rsid w:val="00B47774"/>
    <w:rsid w:val="00B477D0"/>
    <w:rsid w:val="00B51F58"/>
    <w:rsid w:val="00B52746"/>
    <w:rsid w:val="00B542D7"/>
    <w:rsid w:val="00B546C1"/>
    <w:rsid w:val="00B54A0F"/>
    <w:rsid w:val="00B54D05"/>
    <w:rsid w:val="00B5571A"/>
    <w:rsid w:val="00B55F4B"/>
    <w:rsid w:val="00B56109"/>
    <w:rsid w:val="00B56143"/>
    <w:rsid w:val="00B56537"/>
    <w:rsid w:val="00B62C8D"/>
    <w:rsid w:val="00B63696"/>
    <w:rsid w:val="00B65074"/>
    <w:rsid w:val="00B70763"/>
    <w:rsid w:val="00B70C30"/>
    <w:rsid w:val="00B713F5"/>
    <w:rsid w:val="00B730F2"/>
    <w:rsid w:val="00B7347D"/>
    <w:rsid w:val="00B749F7"/>
    <w:rsid w:val="00B74B0F"/>
    <w:rsid w:val="00B76B8B"/>
    <w:rsid w:val="00B77ADD"/>
    <w:rsid w:val="00B806E6"/>
    <w:rsid w:val="00B81214"/>
    <w:rsid w:val="00B8176D"/>
    <w:rsid w:val="00B819DD"/>
    <w:rsid w:val="00B839AD"/>
    <w:rsid w:val="00B83DE1"/>
    <w:rsid w:val="00B86725"/>
    <w:rsid w:val="00B9014A"/>
    <w:rsid w:val="00B924F4"/>
    <w:rsid w:val="00B92749"/>
    <w:rsid w:val="00B94666"/>
    <w:rsid w:val="00B95434"/>
    <w:rsid w:val="00B96ACD"/>
    <w:rsid w:val="00BA06D0"/>
    <w:rsid w:val="00BA134C"/>
    <w:rsid w:val="00BA311C"/>
    <w:rsid w:val="00BA43E8"/>
    <w:rsid w:val="00BA60C6"/>
    <w:rsid w:val="00BA6CA5"/>
    <w:rsid w:val="00BA71F4"/>
    <w:rsid w:val="00BA7AD4"/>
    <w:rsid w:val="00BB16F4"/>
    <w:rsid w:val="00BB1986"/>
    <w:rsid w:val="00BB1FB8"/>
    <w:rsid w:val="00BB3AE7"/>
    <w:rsid w:val="00BB50C2"/>
    <w:rsid w:val="00BB5770"/>
    <w:rsid w:val="00BB7C23"/>
    <w:rsid w:val="00BB7C75"/>
    <w:rsid w:val="00BC0F65"/>
    <w:rsid w:val="00BC3D3E"/>
    <w:rsid w:val="00BC6FD4"/>
    <w:rsid w:val="00BD03BA"/>
    <w:rsid w:val="00BD1375"/>
    <w:rsid w:val="00BD156D"/>
    <w:rsid w:val="00BD3062"/>
    <w:rsid w:val="00BD4AE3"/>
    <w:rsid w:val="00BD5B63"/>
    <w:rsid w:val="00BD5F01"/>
    <w:rsid w:val="00BD6175"/>
    <w:rsid w:val="00BD6613"/>
    <w:rsid w:val="00BD6D13"/>
    <w:rsid w:val="00BD7FAB"/>
    <w:rsid w:val="00BE04CC"/>
    <w:rsid w:val="00BE1C99"/>
    <w:rsid w:val="00BE1E07"/>
    <w:rsid w:val="00BE1FE6"/>
    <w:rsid w:val="00BE3176"/>
    <w:rsid w:val="00BE36E7"/>
    <w:rsid w:val="00BE3C20"/>
    <w:rsid w:val="00BE3F94"/>
    <w:rsid w:val="00BE5CEC"/>
    <w:rsid w:val="00BE5D0B"/>
    <w:rsid w:val="00BE5E2C"/>
    <w:rsid w:val="00BF1088"/>
    <w:rsid w:val="00BF1CCE"/>
    <w:rsid w:val="00BF4F31"/>
    <w:rsid w:val="00BF7F75"/>
    <w:rsid w:val="00C04377"/>
    <w:rsid w:val="00C04690"/>
    <w:rsid w:val="00C06F08"/>
    <w:rsid w:val="00C07FDD"/>
    <w:rsid w:val="00C102A7"/>
    <w:rsid w:val="00C1085E"/>
    <w:rsid w:val="00C108ED"/>
    <w:rsid w:val="00C1720A"/>
    <w:rsid w:val="00C20111"/>
    <w:rsid w:val="00C20282"/>
    <w:rsid w:val="00C207DE"/>
    <w:rsid w:val="00C2100C"/>
    <w:rsid w:val="00C2186E"/>
    <w:rsid w:val="00C22495"/>
    <w:rsid w:val="00C24E62"/>
    <w:rsid w:val="00C24F37"/>
    <w:rsid w:val="00C25AFE"/>
    <w:rsid w:val="00C326DD"/>
    <w:rsid w:val="00C36A5B"/>
    <w:rsid w:val="00C37F3B"/>
    <w:rsid w:val="00C408D8"/>
    <w:rsid w:val="00C40C61"/>
    <w:rsid w:val="00C40ED6"/>
    <w:rsid w:val="00C4256F"/>
    <w:rsid w:val="00C4348E"/>
    <w:rsid w:val="00C454C9"/>
    <w:rsid w:val="00C4698A"/>
    <w:rsid w:val="00C474A7"/>
    <w:rsid w:val="00C5086F"/>
    <w:rsid w:val="00C50D39"/>
    <w:rsid w:val="00C55510"/>
    <w:rsid w:val="00C56AFB"/>
    <w:rsid w:val="00C56F11"/>
    <w:rsid w:val="00C572BC"/>
    <w:rsid w:val="00C579BA"/>
    <w:rsid w:val="00C60C3B"/>
    <w:rsid w:val="00C61F41"/>
    <w:rsid w:val="00C62A05"/>
    <w:rsid w:val="00C6303C"/>
    <w:rsid w:val="00C64057"/>
    <w:rsid w:val="00C64104"/>
    <w:rsid w:val="00C6437F"/>
    <w:rsid w:val="00C64ED4"/>
    <w:rsid w:val="00C6672B"/>
    <w:rsid w:val="00C66840"/>
    <w:rsid w:val="00C66D31"/>
    <w:rsid w:val="00C67B57"/>
    <w:rsid w:val="00C73314"/>
    <w:rsid w:val="00C74B86"/>
    <w:rsid w:val="00C755AF"/>
    <w:rsid w:val="00C76651"/>
    <w:rsid w:val="00C80BC3"/>
    <w:rsid w:val="00C82772"/>
    <w:rsid w:val="00C83748"/>
    <w:rsid w:val="00C852AA"/>
    <w:rsid w:val="00C86EA7"/>
    <w:rsid w:val="00C87ED2"/>
    <w:rsid w:val="00C93039"/>
    <w:rsid w:val="00C9687D"/>
    <w:rsid w:val="00C969C7"/>
    <w:rsid w:val="00C97AFE"/>
    <w:rsid w:val="00CA1909"/>
    <w:rsid w:val="00CA53EC"/>
    <w:rsid w:val="00CA5F18"/>
    <w:rsid w:val="00CA6E68"/>
    <w:rsid w:val="00CA76A2"/>
    <w:rsid w:val="00CA774F"/>
    <w:rsid w:val="00CB04E6"/>
    <w:rsid w:val="00CB09EB"/>
    <w:rsid w:val="00CB1115"/>
    <w:rsid w:val="00CB12C7"/>
    <w:rsid w:val="00CB3A04"/>
    <w:rsid w:val="00CB6367"/>
    <w:rsid w:val="00CB6872"/>
    <w:rsid w:val="00CB7826"/>
    <w:rsid w:val="00CC11CD"/>
    <w:rsid w:val="00CC1B51"/>
    <w:rsid w:val="00CC1F62"/>
    <w:rsid w:val="00CC272C"/>
    <w:rsid w:val="00CC6F22"/>
    <w:rsid w:val="00CC78CF"/>
    <w:rsid w:val="00CC78DF"/>
    <w:rsid w:val="00CD0AFA"/>
    <w:rsid w:val="00CD18B2"/>
    <w:rsid w:val="00CD671E"/>
    <w:rsid w:val="00CD6A75"/>
    <w:rsid w:val="00CD6F7D"/>
    <w:rsid w:val="00CD7DF1"/>
    <w:rsid w:val="00CE0CE0"/>
    <w:rsid w:val="00CE2797"/>
    <w:rsid w:val="00CE35E6"/>
    <w:rsid w:val="00CE391C"/>
    <w:rsid w:val="00CE5110"/>
    <w:rsid w:val="00CE5D8B"/>
    <w:rsid w:val="00CE783E"/>
    <w:rsid w:val="00CE7B6C"/>
    <w:rsid w:val="00CF0C09"/>
    <w:rsid w:val="00CF196D"/>
    <w:rsid w:val="00CF3BCC"/>
    <w:rsid w:val="00CF4683"/>
    <w:rsid w:val="00CF5743"/>
    <w:rsid w:val="00CF5A2E"/>
    <w:rsid w:val="00CF6050"/>
    <w:rsid w:val="00CF68DD"/>
    <w:rsid w:val="00D004DF"/>
    <w:rsid w:val="00D038BA"/>
    <w:rsid w:val="00D039D7"/>
    <w:rsid w:val="00D03E23"/>
    <w:rsid w:val="00D04E65"/>
    <w:rsid w:val="00D05762"/>
    <w:rsid w:val="00D07366"/>
    <w:rsid w:val="00D1098C"/>
    <w:rsid w:val="00D112A9"/>
    <w:rsid w:val="00D1405C"/>
    <w:rsid w:val="00D1781A"/>
    <w:rsid w:val="00D17E81"/>
    <w:rsid w:val="00D205D0"/>
    <w:rsid w:val="00D20685"/>
    <w:rsid w:val="00D20968"/>
    <w:rsid w:val="00D212B9"/>
    <w:rsid w:val="00D21E16"/>
    <w:rsid w:val="00D22034"/>
    <w:rsid w:val="00D220BF"/>
    <w:rsid w:val="00D22D5B"/>
    <w:rsid w:val="00D2440E"/>
    <w:rsid w:val="00D26340"/>
    <w:rsid w:val="00D267B3"/>
    <w:rsid w:val="00D26CA7"/>
    <w:rsid w:val="00D27401"/>
    <w:rsid w:val="00D27684"/>
    <w:rsid w:val="00D3367A"/>
    <w:rsid w:val="00D341C3"/>
    <w:rsid w:val="00D3492E"/>
    <w:rsid w:val="00D35827"/>
    <w:rsid w:val="00D36C79"/>
    <w:rsid w:val="00D37516"/>
    <w:rsid w:val="00D37630"/>
    <w:rsid w:val="00D376CD"/>
    <w:rsid w:val="00D413EB"/>
    <w:rsid w:val="00D429A3"/>
    <w:rsid w:val="00D429FA"/>
    <w:rsid w:val="00D469F7"/>
    <w:rsid w:val="00D47F7A"/>
    <w:rsid w:val="00D5092F"/>
    <w:rsid w:val="00D50AFF"/>
    <w:rsid w:val="00D5174F"/>
    <w:rsid w:val="00D56BAF"/>
    <w:rsid w:val="00D60ED1"/>
    <w:rsid w:val="00D6275B"/>
    <w:rsid w:val="00D71C53"/>
    <w:rsid w:val="00D726C3"/>
    <w:rsid w:val="00D7293A"/>
    <w:rsid w:val="00D72DB9"/>
    <w:rsid w:val="00D741C4"/>
    <w:rsid w:val="00D74E1F"/>
    <w:rsid w:val="00D75A7F"/>
    <w:rsid w:val="00D76A43"/>
    <w:rsid w:val="00D7702A"/>
    <w:rsid w:val="00D7736E"/>
    <w:rsid w:val="00D775A7"/>
    <w:rsid w:val="00D8027D"/>
    <w:rsid w:val="00D83578"/>
    <w:rsid w:val="00D83BA5"/>
    <w:rsid w:val="00D845F1"/>
    <w:rsid w:val="00D85F98"/>
    <w:rsid w:val="00D90838"/>
    <w:rsid w:val="00D91E07"/>
    <w:rsid w:val="00D92FB0"/>
    <w:rsid w:val="00D93878"/>
    <w:rsid w:val="00D957B1"/>
    <w:rsid w:val="00DA0864"/>
    <w:rsid w:val="00DA0DA6"/>
    <w:rsid w:val="00DA1F8F"/>
    <w:rsid w:val="00DA6D30"/>
    <w:rsid w:val="00DA7724"/>
    <w:rsid w:val="00DA778D"/>
    <w:rsid w:val="00DA7B66"/>
    <w:rsid w:val="00DB09E6"/>
    <w:rsid w:val="00DB1D20"/>
    <w:rsid w:val="00DB35D0"/>
    <w:rsid w:val="00DB58F9"/>
    <w:rsid w:val="00DB641C"/>
    <w:rsid w:val="00DB670D"/>
    <w:rsid w:val="00DB6B35"/>
    <w:rsid w:val="00DC0C11"/>
    <w:rsid w:val="00DC0E49"/>
    <w:rsid w:val="00DC28DC"/>
    <w:rsid w:val="00DC3CE6"/>
    <w:rsid w:val="00DC4994"/>
    <w:rsid w:val="00DC5F25"/>
    <w:rsid w:val="00DC6161"/>
    <w:rsid w:val="00DD01AE"/>
    <w:rsid w:val="00DD060E"/>
    <w:rsid w:val="00DD4B9B"/>
    <w:rsid w:val="00DD546B"/>
    <w:rsid w:val="00DD5EA5"/>
    <w:rsid w:val="00DD6665"/>
    <w:rsid w:val="00DE3236"/>
    <w:rsid w:val="00DE45C4"/>
    <w:rsid w:val="00DE7BF0"/>
    <w:rsid w:val="00DF3CF4"/>
    <w:rsid w:val="00DF6BE1"/>
    <w:rsid w:val="00DF726E"/>
    <w:rsid w:val="00DF7BE2"/>
    <w:rsid w:val="00E01719"/>
    <w:rsid w:val="00E01D33"/>
    <w:rsid w:val="00E02B7D"/>
    <w:rsid w:val="00E02F67"/>
    <w:rsid w:val="00E037E0"/>
    <w:rsid w:val="00E03A86"/>
    <w:rsid w:val="00E049BC"/>
    <w:rsid w:val="00E07845"/>
    <w:rsid w:val="00E1062E"/>
    <w:rsid w:val="00E1119A"/>
    <w:rsid w:val="00E1153E"/>
    <w:rsid w:val="00E15828"/>
    <w:rsid w:val="00E15B6C"/>
    <w:rsid w:val="00E15D72"/>
    <w:rsid w:val="00E16FB3"/>
    <w:rsid w:val="00E17ADD"/>
    <w:rsid w:val="00E20CCF"/>
    <w:rsid w:val="00E21A74"/>
    <w:rsid w:val="00E21C9B"/>
    <w:rsid w:val="00E234C5"/>
    <w:rsid w:val="00E23C5E"/>
    <w:rsid w:val="00E23D6B"/>
    <w:rsid w:val="00E24EAE"/>
    <w:rsid w:val="00E254AE"/>
    <w:rsid w:val="00E27C18"/>
    <w:rsid w:val="00E30A83"/>
    <w:rsid w:val="00E32221"/>
    <w:rsid w:val="00E326A5"/>
    <w:rsid w:val="00E32E1A"/>
    <w:rsid w:val="00E32EDC"/>
    <w:rsid w:val="00E3373B"/>
    <w:rsid w:val="00E340EF"/>
    <w:rsid w:val="00E3432D"/>
    <w:rsid w:val="00E34A88"/>
    <w:rsid w:val="00E37BB1"/>
    <w:rsid w:val="00E40970"/>
    <w:rsid w:val="00E40BBF"/>
    <w:rsid w:val="00E40C79"/>
    <w:rsid w:val="00E4296A"/>
    <w:rsid w:val="00E438EA"/>
    <w:rsid w:val="00E43EAA"/>
    <w:rsid w:val="00E44ACC"/>
    <w:rsid w:val="00E44B14"/>
    <w:rsid w:val="00E45645"/>
    <w:rsid w:val="00E45DB2"/>
    <w:rsid w:val="00E45DDE"/>
    <w:rsid w:val="00E4726F"/>
    <w:rsid w:val="00E472B6"/>
    <w:rsid w:val="00E47573"/>
    <w:rsid w:val="00E47FA6"/>
    <w:rsid w:val="00E505F1"/>
    <w:rsid w:val="00E51105"/>
    <w:rsid w:val="00E51771"/>
    <w:rsid w:val="00E52CAB"/>
    <w:rsid w:val="00E53AB5"/>
    <w:rsid w:val="00E54575"/>
    <w:rsid w:val="00E559C2"/>
    <w:rsid w:val="00E55DDE"/>
    <w:rsid w:val="00E56362"/>
    <w:rsid w:val="00E61F44"/>
    <w:rsid w:val="00E629F3"/>
    <w:rsid w:val="00E62D90"/>
    <w:rsid w:val="00E62FB0"/>
    <w:rsid w:val="00E64005"/>
    <w:rsid w:val="00E64176"/>
    <w:rsid w:val="00E65541"/>
    <w:rsid w:val="00E717BD"/>
    <w:rsid w:val="00E71C76"/>
    <w:rsid w:val="00E721A5"/>
    <w:rsid w:val="00E725A2"/>
    <w:rsid w:val="00E72984"/>
    <w:rsid w:val="00E72B80"/>
    <w:rsid w:val="00E7333C"/>
    <w:rsid w:val="00E7384E"/>
    <w:rsid w:val="00E74FB6"/>
    <w:rsid w:val="00E753B4"/>
    <w:rsid w:val="00E76A40"/>
    <w:rsid w:val="00E801DC"/>
    <w:rsid w:val="00E81AE2"/>
    <w:rsid w:val="00E838CF"/>
    <w:rsid w:val="00E83A1F"/>
    <w:rsid w:val="00E85ECC"/>
    <w:rsid w:val="00E87047"/>
    <w:rsid w:val="00E872FE"/>
    <w:rsid w:val="00E8760F"/>
    <w:rsid w:val="00E9301C"/>
    <w:rsid w:val="00E93C95"/>
    <w:rsid w:val="00E944BB"/>
    <w:rsid w:val="00E9694B"/>
    <w:rsid w:val="00EA0BDE"/>
    <w:rsid w:val="00EA0DD1"/>
    <w:rsid w:val="00EA1D5E"/>
    <w:rsid w:val="00EA2AE1"/>
    <w:rsid w:val="00EA2FC5"/>
    <w:rsid w:val="00EA5C39"/>
    <w:rsid w:val="00EB068D"/>
    <w:rsid w:val="00EB1028"/>
    <w:rsid w:val="00EB1A55"/>
    <w:rsid w:val="00EB3826"/>
    <w:rsid w:val="00EB468A"/>
    <w:rsid w:val="00EB529F"/>
    <w:rsid w:val="00EB731F"/>
    <w:rsid w:val="00EB77A1"/>
    <w:rsid w:val="00EB7BE6"/>
    <w:rsid w:val="00EB7C2F"/>
    <w:rsid w:val="00EC02A5"/>
    <w:rsid w:val="00EC1B71"/>
    <w:rsid w:val="00EC4672"/>
    <w:rsid w:val="00EC5592"/>
    <w:rsid w:val="00EC635F"/>
    <w:rsid w:val="00EC64E6"/>
    <w:rsid w:val="00ED2FCB"/>
    <w:rsid w:val="00ED3EEB"/>
    <w:rsid w:val="00ED4D89"/>
    <w:rsid w:val="00EE1FB7"/>
    <w:rsid w:val="00EE3AC8"/>
    <w:rsid w:val="00EE3B47"/>
    <w:rsid w:val="00EE5ECF"/>
    <w:rsid w:val="00EE64B0"/>
    <w:rsid w:val="00EE6744"/>
    <w:rsid w:val="00EF079C"/>
    <w:rsid w:val="00EF2AFA"/>
    <w:rsid w:val="00EF3E93"/>
    <w:rsid w:val="00EF40C1"/>
    <w:rsid w:val="00EF4606"/>
    <w:rsid w:val="00EF47CF"/>
    <w:rsid w:val="00EF4998"/>
    <w:rsid w:val="00EF74A7"/>
    <w:rsid w:val="00F00EAB"/>
    <w:rsid w:val="00F0294E"/>
    <w:rsid w:val="00F02A78"/>
    <w:rsid w:val="00F04D44"/>
    <w:rsid w:val="00F056E0"/>
    <w:rsid w:val="00F066A4"/>
    <w:rsid w:val="00F0769F"/>
    <w:rsid w:val="00F109DC"/>
    <w:rsid w:val="00F14B21"/>
    <w:rsid w:val="00F14FDC"/>
    <w:rsid w:val="00F15856"/>
    <w:rsid w:val="00F15930"/>
    <w:rsid w:val="00F160EE"/>
    <w:rsid w:val="00F20C4E"/>
    <w:rsid w:val="00F21971"/>
    <w:rsid w:val="00F21B04"/>
    <w:rsid w:val="00F22979"/>
    <w:rsid w:val="00F22A36"/>
    <w:rsid w:val="00F22E07"/>
    <w:rsid w:val="00F240E4"/>
    <w:rsid w:val="00F24875"/>
    <w:rsid w:val="00F24BA7"/>
    <w:rsid w:val="00F2772F"/>
    <w:rsid w:val="00F30B3E"/>
    <w:rsid w:val="00F3130D"/>
    <w:rsid w:val="00F34DA6"/>
    <w:rsid w:val="00F37ABA"/>
    <w:rsid w:val="00F37B09"/>
    <w:rsid w:val="00F45D4B"/>
    <w:rsid w:val="00F46762"/>
    <w:rsid w:val="00F475DD"/>
    <w:rsid w:val="00F52FB3"/>
    <w:rsid w:val="00F5415E"/>
    <w:rsid w:val="00F54972"/>
    <w:rsid w:val="00F54C2E"/>
    <w:rsid w:val="00F56B54"/>
    <w:rsid w:val="00F60630"/>
    <w:rsid w:val="00F60944"/>
    <w:rsid w:val="00F61D59"/>
    <w:rsid w:val="00F63879"/>
    <w:rsid w:val="00F6436A"/>
    <w:rsid w:val="00F64C6D"/>
    <w:rsid w:val="00F71CB0"/>
    <w:rsid w:val="00F72093"/>
    <w:rsid w:val="00F75EA3"/>
    <w:rsid w:val="00F76359"/>
    <w:rsid w:val="00F81A98"/>
    <w:rsid w:val="00F83B98"/>
    <w:rsid w:val="00F84203"/>
    <w:rsid w:val="00F849E9"/>
    <w:rsid w:val="00F850BF"/>
    <w:rsid w:val="00F903FB"/>
    <w:rsid w:val="00F90754"/>
    <w:rsid w:val="00F90968"/>
    <w:rsid w:val="00F910EE"/>
    <w:rsid w:val="00F914BE"/>
    <w:rsid w:val="00F9152F"/>
    <w:rsid w:val="00F91FC3"/>
    <w:rsid w:val="00F9532F"/>
    <w:rsid w:val="00F95A63"/>
    <w:rsid w:val="00F96C31"/>
    <w:rsid w:val="00FA1369"/>
    <w:rsid w:val="00FA2CF7"/>
    <w:rsid w:val="00FA2CFE"/>
    <w:rsid w:val="00FA7132"/>
    <w:rsid w:val="00FB174A"/>
    <w:rsid w:val="00FB18BF"/>
    <w:rsid w:val="00FB1B80"/>
    <w:rsid w:val="00FB2E0D"/>
    <w:rsid w:val="00FB7887"/>
    <w:rsid w:val="00FC0B79"/>
    <w:rsid w:val="00FC44DB"/>
    <w:rsid w:val="00FC5AF3"/>
    <w:rsid w:val="00FC672E"/>
    <w:rsid w:val="00FD0EAE"/>
    <w:rsid w:val="00FD151E"/>
    <w:rsid w:val="00FD1565"/>
    <w:rsid w:val="00FD19D7"/>
    <w:rsid w:val="00FD1B7C"/>
    <w:rsid w:val="00FD1EF2"/>
    <w:rsid w:val="00FD76E0"/>
    <w:rsid w:val="00FE018F"/>
    <w:rsid w:val="00FE2BC6"/>
    <w:rsid w:val="00FE3D40"/>
    <w:rsid w:val="00FE4BBA"/>
    <w:rsid w:val="00FE6602"/>
    <w:rsid w:val="00FE670B"/>
    <w:rsid w:val="00FE73F6"/>
    <w:rsid w:val="00FE7ED2"/>
    <w:rsid w:val="00FF211C"/>
    <w:rsid w:val="00FF3721"/>
    <w:rsid w:val="00FF5629"/>
    <w:rsid w:val="00FF59C4"/>
    <w:rsid w:val="00FF5FA5"/>
    <w:rsid w:val="00FF7261"/>
    <w:rsid w:val="00FF7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B37C"/>
  <w15:docId w15:val="{71B12680-7BB3-4982-A77C-B14D2B2F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83A"/>
    <w:pPr>
      <w:spacing w:after="200" w:line="276" w:lineRule="auto"/>
    </w:pPr>
  </w:style>
  <w:style w:type="paragraph" w:styleId="Heading1">
    <w:name w:val="heading 1"/>
    <w:basedOn w:val="Normal"/>
    <w:next w:val="Normal"/>
    <w:link w:val="Heading1Char"/>
    <w:uiPriority w:val="9"/>
    <w:qFormat/>
    <w:rsid w:val="00C62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83A"/>
    <w:pPr>
      <w:ind w:left="720"/>
      <w:contextualSpacing/>
    </w:pPr>
  </w:style>
  <w:style w:type="character" w:styleId="Hyperlink">
    <w:name w:val="Hyperlink"/>
    <w:basedOn w:val="DefaultParagraphFont"/>
    <w:uiPriority w:val="99"/>
    <w:unhideWhenUsed/>
    <w:rsid w:val="009F183A"/>
    <w:rPr>
      <w:color w:val="0563C1" w:themeColor="hyperlink"/>
      <w:u w:val="single"/>
    </w:rPr>
  </w:style>
  <w:style w:type="character" w:styleId="CommentReference">
    <w:name w:val="annotation reference"/>
    <w:basedOn w:val="DefaultParagraphFont"/>
    <w:uiPriority w:val="99"/>
    <w:semiHidden/>
    <w:unhideWhenUsed/>
    <w:rsid w:val="009F183A"/>
    <w:rPr>
      <w:sz w:val="16"/>
      <w:szCs w:val="16"/>
    </w:rPr>
  </w:style>
  <w:style w:type="paragraph" w:styleId="CommentText">
    <w:name w:val="annotation text"/>
    <w:basedOn w:val="Normal"/>
    <w:link w:val="CommentTextChar"/>
    <w:uiPriority w:val="99"/>
    <w:unhideWhenUsed/>
    <w:rsid w:val="009F183A"/>
    <w:pPr>
      <w:spacing w:line="240" w:lineRule="auto"/>
    </w:pPr>
    <w:rPr>
      <w:sz w:val="20"/>
      <w:szCs w:val="20"/>
    </w:rPr>
  </w:style>
  <w:style w:type="character" w:customStyle="1" w:styleId="CommentTextChar">
    <w:name w:val="Comment Text Char"/>
    <w:basedOn w:val="DefaultParagraphFont"/>
    <w:link w:val="CommentText"/>
    <w:uiPriority w:val="99"/>
    <w:rsid w:val="009F183A"/>
    <w:rPr>
      <w:sz w:val="20"/>
      <w:szCs w:val="20"/>
    </w:rPr>
  </w:style>
  <w:style w:type="paragraph" w:styleId="FootnoteText">
    <w:name w:val="footnote text"/>
    <w:basedOn w:val="Normal"/>
    <w:link w:val="FootnoteTextChar"/>
    <w:uiPriority w:val="99"/>
    <w:unhideWhenUsed/>
    <w:rsid w:val="009F183A"/>
    <w:pPr>
      <w:spacing w:after="0" w:line="240" w:lineRule="auto"/>
    </w:pPr>
    <w:rPr>
      <w:sz w:val="20"/>
      <w:szCs w:val="20"/>
    </w:rPr>
  </w:style>
  <w:style w:type="character" w:customStyle="1" w:styleId="FootnoteTextChar">
    <w:name w:val="Footnote Text Char"/>
    <w:basedOn w:val="DefaultParagraphFont"/>
    <w:link w:val="FootnoteText"/>
    <w:uiPriority w:val="99"/>
    <w:rsid w:val="009F183A"/>
    <w:rPr>
      <w:sz w:val="20"/>
      <w:szCs w:val="20"/>
    </w:rPr>
  </w:style>
  <w:style w:type="character" w:styleId="FootnoteReference">
    <w:name w:val="footnote reference"/>
    <w:basedOn w:val="DefaultParagraphFont"/>
    <w:uiPriority w:val="99"/>
    <w:unhideWhenUsed/>
    <w:rsid w:val="009F183A"/>
    <w:rPr>
      <w:vertAlign w:val="superscript"/>
    </w:rPr>
  </w:style>
  <w:style w:type="paragraph" w:styleId="BalloonText">
    <w:name w:val="Balloon Text"/>
    <w:basedOn w:val="Normal"/>
    <w:link w:val="BalloonTextChar"/>
    <w:uiPriority w:val="99"/>
    <w:semiHidden/>
    <w:unhideWhenUsed/>
    <w:rsid w:val="009F1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8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6B6"/>
    <w:rPr>
      <w:b/>
      <w:bCs/>
    </w:rPr>
  </w:style>
  <w:style w:type="character" w:customStyle="1" w:styleId="CommentSubjectChar">
    <w:name w:val="Comment Subject Char"/>
    <w:basedOn w:val="CommentTextChar"/>
    <w:link w:val="CommentSubject"/>
    <w:uiPriority w:val="99"/>
    <w:semiHidden/>
    <w:rsid w:val="00AE26B6"/>
    <w:rPr>
      <w:b/>
      <w:bCs/>
      <w:sz w:val="20"/>
      <w:szCs w:val="20"/>
    </w:rPr>
  </w:style>
  <w:style w:type="paragraph" w:styleId="Revision">
    <w:name w:val="Revision"/>
    <w:hidden/>
    <w:uiPriority w:val="99"/>
    <w:semiHidden/>
    <w:rsid w:val="00CE35E6"/>
    <w:pPr>
      <w:spacing w:after="0" w:line="240" w:lineRule="auto"/>
    </w:pPr>
  </w:style>
  <w:style w:type="character" w:customStyle="1" w:styleId="UnresolvedMention1">
    <w:name w:val="Unresolved Mention1"/>
    <w:basedOn w:val="DefaultParagraphFont"/>
    <w:uiPriority w:val="99"/>
    <w:semiHidden/>
    <w:unhideWhenUsed/>
    <w:rsid w:val="009A45A2"/>
    <w:rPr>
      <w:color w:val="605E5C"/>
      <w:shd w:val="clear" w:color="auto" w:fill="E1DFDD"/>
    </w:rPr>
  </w:style>
  <w:style w:type="paragraph" w:styleId="Header">
    <w:name w:val="header"/>
    <w:basedOn w:val="Normal"/>
    <w:link w:val="HeaderChar"/>
    <w:uiPriority w:val="99"/>
    <w:unhideWhenUsed/>
    <w:rsid w:val="009A4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5A2"/>
  </w:style>
  <w:style w:type="paragraph" w:styleId="Footer">
    <w:name w:val="footer"/>
    <w:basedOn w:val="Normal"/>
    <w:link w:val="FooterChar"/>
    <w:uiPriority w:val="99"/>
    <w:unhideWhenUsed/>
    <w:rsid w:val="009A4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5A2"/>
  </w:style>
  <w:style w:type="paragraph" w:styleId="NormalWeb">
    <w:name w:val="Normal (Web)"/>
    <w:basedOn w:val="Normal"/>
    <w:uiPriority w:val="99"/>
    <w:semiHidden/>
    <w:unhideWhenUsed/>
    <w:rsid w:val="002234F4"/>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7200A2"/>
    <w:rPr>
      <w:color w:val="954F72" w:themeColor="followedHyperlink"/>
      <w:u w:val="single"/>
    </w:rPr>
  </w:style>
  <w:style w:type="character" w:styleId="LineNumber">
    <w:name w:val="line number"/>
    <w:basedOn w:val="DefaultParagraphFont"/>
    <w:uiPriority w:val="99"/>
    <w:semiHidden/>
    <w:unhideWhenUsed/>
    <w:rsid w:val="00A12EC7"/>
  </w:style>
  <w:style w:type="table" w:styleId="TableGrid">
    <w:name w:val="Table Grid"/>
    <w:basedOn w:val="TableNormal"/>
    <w:uiPriority w:val="39"/>
    <w:rsid w:val="00FF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977057526468055703msolistparagraph">
    <w:name w:val="m_-4977057526468055703msolistparagraph"/>
    <w:basedOn w:val="Normal"/>
    <w:rsid w:val="00E52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20929"/>
    <w:rPr>
      <w:color w:val="605E5C"/>
      <w:shd w:val="clear" w:color="auto" w:fill="E1DFDD"/>
    </w:rPr>
  </w:style>
  <w:style w:type="character" w:customStyle="1" w:styleId="Heading1Char">
    <w:name w:val="Heading 1 Char"/>
    <w:basedOn w:val="DefaultParagraphFont"/>
    <w:link w:val="Heading1"/>
    <w:uiPriority w:val="9"/>
    <w:rsid w:val="00C62A0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2A05"/>
    <w:pPr>
      <w:spacing w:line="259" w:lineRule="auto"/>
      <w:outlineLvl w:val="9"/>
    </w:pPr>
  </w:style>
  <w:style w:type="paragraph" w:styleId="TOC1">
    <w:name w:val="toc 1"/>
    <w:basedOn w:val="Normal"/>
    <w:next w:val="Normal"/>
    <w:autoRedefine/>
    <w:uiPriority w:val="39"/>
    <w:unhideWhenUsed/>
    <w:rsid w:val="008A2B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384">
      <w:bodyDiv w:val="1"/>
      <w:marLeft w:val="0"/>
      <w:marRight w:val="0"/>
      <w:marTop w:val="0"/>
      <w:marBottom w:val="0"/>
      <w:divBdr>
        <w:top w:val="none" w:sz="0" w:space="0" w:color="auto"/>
        <w:left w:val="none" w:sz="0" w:space="0" w:color="auto"/>
        <w:bottom w:val="none" w:sz="0" w:space="0" w:color="auto"/>
        <w:right w:val="none" w:sz="0" w:space="0" w:color="auto"/>
      </w:divBdr>
    </w:div>
    <w:div w:id="51270594">
      <w:bodyDiv w:val="1"/>
      <w:marLeft w:val="0"/>
      <w:marRight w:val="0"/>
      <w:marTop w:val="0"/>
      <w:marBottom w:val="0"/>
      <w:divBdr>
        <w:top w:val="none" w:sz="0" w:space="0" w:color="auto"/>
        <w:left w:val="none" w:sz="0" w:space="0" w:color="auto"/>
        <w:bottom w:val="none" w:sz="0" w:space="0" w:color="auto"/>
        <w:right w:val="none" w:sz="0" w:space="0" w:color="auto"/>
      </w:divBdr>
    </w:div>
    <w:div w:id="86392835">
      <w:bodyDiv w:val="1"/>
      <w:marLeft w:val="0"/>
      <w:marRight w:val="0"/>
      <w:marTop w:val="0"/>
      <w:marBottom w:val="0"/>
      <w:divBdr>
        <w:top w:val="none" w:sz="0" w:space="0" w:color="auto"/>
        <w:left w:val="none" w:sz="0" w:space="0" w:color="auto"/>
        <w:bottom w:val="none" w:sz="0" w:space="0" w:color="auto"/>
        <w:right w:val="none" w:sz="0" w:space="0" w:color="auto"/>
      </w:divBdr>
    </w:div>
    <w:div w:id="102506987">
      <w:bodyDiv w:val="1"/>
      <w:marLeft w:val="0"/>
      <w:marRight w:val="0"/>
      <w:marTop w:val="0"/>
      <w:marBottom w:val="0"/>
      <w:divBdr>
        <w:top w:val="none" w:sz="0" w:space="0" w:color="auto"/>
        <w:left w:val="none" w:sz="0" w:space="0" w:color="auto"/>
        <w:bottom w:val="none" w:sz="0" w:space="0" w:color="auto"/>
        <w:right w:val="none" w:sz="0" w:space="0" w:color="auto"/>
      </w:divBdr>
    </w:div>
    <w:div w:id="167139560">
      <w:bodyDiv w:val="1"/>
      <w:marLeft w:val="0"/>
      <w:marRight w:val="0"/>
      <w:marTop w:val="0"/>
      <w:marBottom w:val="0"/>
      <w:divBdr>
        <w:top w:val="none" w:sz="0" w:space="0" w:color="auto"/>
        <w:left w:val="none" w:sz="0" w:space="0" w:color="auto"/>
        <w:bottom w:val="none" w:sz="0" w:space="0" w:color="auto"/>
        <w:right w:val="none" w:sz="0" w:space="0" w:color="auto"/>
      </w:divBdr>
    </w:div>
    <w:div w:id="191501589">
      <w:bodyDiv w:val="1"/>
      <w:marLeft w:val="0"/>
      <w:marRight w:val="0"/>
      <w:marTop w:val="0"/>
      <w:marBottom w:val="0"/>
      <w:divBdr>
        <w:top w:val="none" w:sz="0" w:space="0" w:color="auto"/>
        <w:left w:val="none" w:sz="0" w:space="0" w:color="auto"/>
        <w:bottom w:val="none" w:sz="0" w:space="0" w:color="auto"/>
        <w:right w:val="none" w:sz="0" w:space="0" w:color="auto"/>
      </w:divBdr>
    </w:div>
    <w:div w:id="221257308">
      <w:bodyDiv w:val="1"/>
      <w:marLeft w:val="0"/>
      <w:marRight w:val="0"/>
      <w:marTop w:val="0"/>
      <w:marBottom w:val="0"/>
      <w:divBdr>
        <w:top w:val="none" w:sz="0" w:space="0" w:color="auto"/>
        <w:left w:val="none" w:sz="0" w:space="0" w:color="auto"/>
        <w:bottom w:val="none" w:sz="0" w:space="0" w:color="auto"/>
        <w:right w:val="none" w:sz="0" w:space="0" w:color="auto"/>
      </w:divBdr>
    </w:div>
    <w:div w:id="248278067">
      <w:bodyDiv w:val="1"/>
      <w:marLeft w:val="0"/>
      <w:marRight w:val="0"/>
      <w:marTop w:val="0"/>
      <w:marBottom w:val="0"/>
      <w:divBdr>
        <w:top w:val="none" w:sz="0" w:space="0" w:color="auto"/>
        <w:left w:val="none" w:sz="0" w:space="0" w:color="auto"/>
        <w:bottom w:val="none" w:sz="0" w:space="0" w:color="auto"/>
        <w:right w:val="none" w:sz="0" w:space="0" w:color="auto"/>
      </w:divBdr>
    </w:div>
    <w:div w:id="282156324">
      <w:bodyDiv w:val="1"/>
      <w:marLeft w:val="0"/>
      <w:marRight w:val="0"/>
      <w:marTop w:val="0"/>
      <w:marBottom w:val="0"/>
      <w:divBdr>
        <w:top w:val="none" w:sz="0" w:space="0" w:color="auto"/>
        <w:left w:val="none" w:sz="0" w:space="0" w:color="auto"/>
        <w:bottom w:val="none" w:sz="0" w:space="0" w:color="auto"/>
        <w:right w:val="none" w:sz="0" w:space="0" w:color="auto"/>
      </w:divBdr>
    </w:div>
    <w:div w:id="321586224">
      <w:bodyDiv w:val="1"/>
      <w:marLeft w:val="0"/>
      <w:marRight w:val="0"/>
      <w:marTop w:val="0"/>
      <w:marBottom w:val="0"/>
      <w:divBdr>
        <w:top w:val="none" w:sz="0" w:space="0" w:color="auto"/>
        <w:left w:val="none" w:sz="0" w:space="0" w:color="auto"/>
        <w:bottom w:val="none" w:sz="0" w:space="0" w:color="auto"/>
        <w:right w:val="none" w:sz="0" w:space="0" w:color="auto"/>
      </w:divBdr>
    </w:div>
    <w:div w:id="392050131">
      <w:bodyDiv w:val="1"/>
      <w:marLeft w:val="0"/>
      <w:marRight w:val="0"/>
      <w:marTop w:val="0"/>
      <w:marBottom w:val="0"/>
      <w:divBdr>
        <w:top w:val="none" w:sz="0" w:space="0" w:color="auto"/>
        <w:left w:val="none" w:sz="0" w:space="0" w:color="auto"/>
        <w:bottom w:val="none" w:sz="0" w:space="0" w:color="auto"/>
        <w:right w:val="none" w:sz="0" w:space="0" w:color="auto"/>
      </w:divBdr>
    </w:div>
    <w:div w:id="444806817">
      <w:bodyDiv w:val="1"/>
      <w:marLeft w:val="0"/>
      <w:marRight w:val="0"/>
      <w:marTop w:val="0"/>
      <w:marBottom w:val="0"/>
      <w:divBdr>
        <w:top w:val="none" w:sz="0" w:space="0" w:color="auto"/>
        <w:left w:val="none" w:sz="0" w:space="0" w:color="auto"/>
        <w:bottom w:val="none" w:sz="0" w:space="0" w:color="auto"/>
        <w:right w:val="none" w:sz="0" w:space="0" w:color="auto"/>
      </w:divBdr>
    </w:div>
    <w:div w:id="448664970">
      <w:bodyDiv w:val="1"/>
      <w:marLeft w:val="0"/>
      <w:marRight w:val="0"/>
      <w:marTop w:val="0"/>
      <w:marBottom w:val="0"/>
      <w:divBdr>
        <w:top w:val="none" w:sz="0" w:space="0" w:color="auto"/>
        <w:left w:val="none" w:sz="0" w:space="0" w:color="auto"/>
        <w:bottom w:val="none" w:sz="0" w:space="0" w:color="auto"/>
        <w:right w:val="none" w:sz="0" w:space="0" w:color="auto"/>
      </w:divBdr>
    </w:div>
    <w:div w:id="464665943">
      <w:bodyDiv w:val="1"/>
      <w:marLeft w:val="0"/>
      <w:marRight w:val="0"/>
      <w:marTop w:val="0"/>
      <w:marBottom w:val="0"/>
      <w:divBdr>
        <w:top w:val="none" w:sz="0" w:space="0" w:color="auto"/>
        <w:left w:val="none" w:sz="0" w:space="0" w:color="auto"/>
        <w:bottom w:val="none" w:sz="0" w:space="0" w:color="auto"/>
        <w:right w:val="none" w:sz="0" w:space="0" w:color="auto"/>
      </w:divBdr>
    </w:div>
    <w:div w:id="502935892">
      <w:bodyDiv w:val="1"/>
      <w:marLeft w:val="0"/>
      <w:marRight w:val="0"/>
      <w:marTop w:val="0"/>
      <w:marBottom w:val="0"/>
      <w:divBdr>
        <w:top w:val="none" w:sz="0" w:space="0" w:color="auto"/>
        <w:left w:val="none" w:sz="0" w:space="0" w:color="auto"/>
        <w:bottom w:val="none" w:sz="0" w:space="0" w:color="auto"/>
        <w:right w:val="none" w:sz="0" w:space="0" w:color="auto"/>
      </w:divBdr>
    </w:div>
    <w:div w:id="567032377">
      <w:bodyDiv w:val="1"/>
      <w:marLeft w:val="0"/>
      <w:marRight w:val="0"/>
      <w:marTop w:val="0"/>
      <w:marBottom w:val="0"/>
      <w:divBdr>
        <w:top w:val="none" w:sz="0" w:space="0" w:color="auto"/>
        <w:left w:val="none" w:sz="0" w:space="0" w:color="auto"/>
        <w:bottom w:val="none" w:sz="0" w:space="0" w:color="auto"/>
        <w:right w:val="none" w:sz="0" w:space="0" w:color="auto"/>
      </w:divBdr>
    </w:div>
    <w:div w:id="694114763">
      <w:bodyDiv w:val="1"/>
      <w:marLeft w:val="0"/>
      <w:marRight w:val="0"/>
      <w:marTop w:val="0"/>
      <w:marBottom w:val="0"/>
      <w:divBdr>
        <w:top w:val="none" w:sz="0" w:space="0" w:color="auto"/>
        <w:left w:val="none" w:sz="0" w:space="0" w:color="auto"/>
        <w:bottom w:val="none" w:sz="0" w:space="0" w:color="auto"/>
        <w:right w:val="none" w:sz="0" w:space="0" w:color="auto"/>
      </w:divBdr>
    </w:div>
    <w:div w:id="715617608">
      <w:bodyDiv w:val="1"/>
      <w:marLeft w:val="0"/>
      <w:marRight w:val="0"/>
      <w:marTop w:val="0"/>
      <w:marBottom w:val="0"/>
      <w:divBdr>
        <w:top w:val="none" w:sz="0" w:space="0" w:color="auto"/>
        <w:left w:val="none" w:sz="0" w:space="0" w:color="auto"/>
        <w:bottom w:val="none" w:sz="0" w:space="0" w:color="auto"/>
        <w:right w:val="none" w:sz="0" w:space="0" w:color="auto"/>
      </w:divBdr>
    </w:div>
    <w:div w:id="760758472">
      <w:bodyDiv w:val="1"/>
      <w:marLeft w:val="0"/>
      <w:marRight w:val="0"/>
      <w:marTop w:val="0"/>
      <w:marBottom w:val="0"/>
      <w:divBdr>
        <w:top w:val="none" w:sz="0" w:space="0" w:color="auto"/>
        <w:left w:val="none" w:sz="0" w:space="0" w:color="auto"/>
        <w:bottom w:val="none" w:sz="0" w:space="0" w:color="auto"/>
        <w:right w:val="none" w:sz="0" w:space="0" w:color="auto"/>
      </w:divBdr>
    </w:div>
    <w:div w:id="761726533">
      <w:bodyDiv w:val="1"/>
      <w:marLeft w:val="0"/>
      <w:marRight w:val="0"/>
      <w:marTop w:val="0"/>
      <w:marBottom w:val="0"/>
      <w:divBdr>
        <w:top w:val="none" w:sz="0" w:space="0" w:color="auto"/>
        <w:left w:val="none" w:sz="0" w:space="0" w:color="auto"/>
        <w:bottom w:val="none" w:sz="0" w:space="0" w:color="auto"/>
        <w:right w:val="none" w:sz="0" w:space="0" w:color="auto"/>
      </w:divBdr>
    </w:div>
    <w:div w:id="762262757">
      <w:bodyDiv w:val="1"/>
      <w:marLeft w:val="0"/>
      <w:marRight w:val="0"/>
      <w:marTop w:val="0"/>
      <w:marBottom w:val="0"/>
      <w:divBdr>
        <w:top w:val="none" w:sz="0" w:space="0" w:color="auto"/>
        <w:left w:val="none" w:sz="0" w:space="0" w:color="auto"/>
        <w:bottom w:val="none" w:sz="0" w:space="0" w:color="auto"/>
        <w:right w:val="none" w:sz="0" w:space="0" w:color="auto"/>
      </w:divBdr>
    </w:div>
    <w:div w:id="795098757">
      <w:bodyDiv w:val="1"/>
      <w:marLeft w:val="0"/>
      <w:marRight w:val="0"/>
      <w:marTop w:val="0"/>
      <w:marBottom w:val="0"/>
      <w:divBdr>
        <w:top w:val="none" w:sz="0" w:space="0" w:color="auto"/>
        <w:left w:val="none" w:sz="0" w:space="0" w:color="auto"/>
        <w:bottom w:val="none" w:sz="0" w:space="0" w:color="auto"/>
        <w:right w:val="none" w:sz="0" w:space="0" w:color="auto"/>
      </w:divBdr>
    </w:div>
    <w:div w:id="800074655">
      <w:bodyDiv w:val="1"/>
      <w:marLeft w:val="0"/>
      <w:marRight w:val="0"/>
      <w:marTop w:val="0"/>
      <w:marBottom w:val="0"/>
      <w:divBdr>
        <w:top w:val="none" w:sz="0" w:space="0" w:color="auto"/>
        <w:left w:val="none" w:sz="0" w:space="0" w:color="auto"/>
        <w:bottom w:val="none" w:sz="0" w:space="0" w:color="auto"/>
        <w:right w:val="none" w:sz="0" w:space="0" w:color="auto"/>
      </w:divBdr>
    </w:div>
    <w:div w:id="870411127">
      <w:bodyDiv w:val="1"/>
      <w:marLeft w:val="0"/>
      <w:marRight w:val="0"/>
      <w:marTop w:val="0"/>
      <w:marBottom w:val="0"/>
      <w:divBdr>
        <w:top w:val="none" w:sz="0" w:space="0" w:color="auto"/>
        <w:left w:val="none" w:sz="0" w:space="0" w:color="auto"/>
        <w:bottom w:val="none" w:sz="0" w:space="0" w:color="auto"/>
        <w:right w:val="none" w:sz="0" w:space="0" w:color="auto"/>
      </w:divBdr>
    </w:div>
    <w:div w:id="945575636">
      <w:bodyDiv w:val="1"/>
      <w:marLeft w:val="0"/>
      <w:marRight w:val="0"/>
      <w:marTop w:val="0"/>
      <w:marBottom w:val="0"/>
      <w:divBdr>
        <w:top w:val="none" w:sz="0" w:space="0" w:color="auto"/>
        <w:left w:val="none" w:sz="0" w:space="0" w:color="auto"/>
        <w:bottom w:val="none" w:sz="0" w:space="0" w:color="auto"/>
        <w:right w:val="none" w:sz="0" w:space="0" w:color="auto"/>
      </w:divBdr>
    </w:div>
    <w:div w:id="1051883311">
      <w:bodyDiv w:val="1"/>
      <w:marLeft w:val="0"/>
      <w:marRight w:val="0"/>
      <w:marTop w:val="0"/>
      <w:marBottom w:val="0"/>
      <w:divBdr>
        <w:top w:val="none" w:sz="0" w:space="0" w:color="auto"/>
        <w:left w:val="none" w:sz="0" w:space="0" w:color="auto"/>
        <w:bottom w:val="none" w:sz="0" w:space="0" w:color="auto"/>
        <w:right w:val="none" w:sz="0" w:space="0" w:color="auto"/>
      </w:divBdr>
    </w:div>
    <w:div w:id="1066026962">
      <w:bodyDiv w:val="1"/>
      <w:marLeft w:val="0"/>
      <w:marRight w:val="0"/>
      <w:marTop w:val="0"/>
      <w:marBottom w:val="0"/>
      <w:divBdr>
        <w:top w:val="none" w:sz="0" w:space="0" w:color="auto"/>
        <w:left w:val="none" w:sz="0" w:space="0" w:color="auto"/>
        <w:bottom w:val="none" w:sz="0" w:space="0" w:color="auto"/>
        <w:right w:val="none" w:sz="0" w:space="0" w:color="auto"/>
      </w:divBdr>
    </w:div>
    <w:div w:id="1077747358">
      <w:bodyDiv w:val="1"/>
      <w:marLeft w:val="0"/>
      <w:marRight w:val="0"/>
      <w:marTop w:val="0"/>
      <w:marBottom w:val="0"/>
      <w:divBdr>
        <w:top w:val="none" w:sz="0" w:space="0" w:color="auto"/>
        <w:left w:val="none" w:sz="0" w:space="0" w:color="auto"/>
        <w:bottom w:val="none" w:sz="0" w:space="0" w:color="auto"/>
        <w:right w:val="none" w:sz="0" w:space="0" w:color="auto"/>
      </w:divBdr>
    </w:div>
    <w:div w:id="1108698086">
      <w:bodyDiv w:val="1"/>
      <w:marLeft w:val="0"/>
      <w:marRight w:val="0"/>
      <w:marTop w:val="0"/>
      <w:marBottom w:val="0"/>
      <w:divBdr>
        <w:top w:val="none" w:sz="0" w:space="0" w:color="auto"/>
        <w:left w:val="none" w:sz="0" w:space="0" w:color="auto"/>
        <w:bottom w:val="none" w:sz="0" w:space="0" w:color="auto"/>
        <w:right w:val="none" w:sz="0" w:space="0" w:color="auto"/>
      </w:divBdr>
    </w:div>
    <w:div w:id="1117407433">
      <w:bodyDiv w:val="1"/>
      <w:marLeft w:val="0"/>
      <w:marRight w:val="0"/>
      <w:marTop w:val="0"/>
      <w:marBottom w:val="0"/>
      <w:divBdr>
        <w:top w:val="none" w:sz="0" w:space="0" w:color="auto"/>
        <w:left w:val="none" w:sz="0" w:space="0" w:color="auto"/>
        <w:bottom w:val="none" w:sz="0" w:space="0" w:color="auto"/>
        <w:right w:val="none" w:sz="0" w:space="0" w:color="auto"/>
      </w:divBdr>
    </w:div>
    <w:div w:id="1147866800">
      <w:bodyDiv w:val="1"/>
      <w:marLeft w:val="0"/>
      <w:marRight w:val="0"/>
      <w:marTop w:val="0"/>
      <w:marBottom w:val="0"/>
      <w:divBdr>
        <w:top w:val="none" w:sz="0" w:space="0" w:color="auto"/>
        <w:left w:val="none" w:sz="0" w:space="0" w:color="auto"/>
        <w:bottom w:val="none" w:sz="0" w:space="0" w:color="auto"/>
        <w:right w:val="none" w:sz="0" w:space="0" w:color="auto"/>
      </w:divBdr>
    </w:div>
    <w:div w:id="1185169684">
      <w:bodyDiv w:val="1"/>
      <w:marLeft w:val="0"/>
      <w:marRight w:val="0"/>
      <w:marTop w:val="0"/>
      <w:marBottom w:val="0"/>
      <w:divBdr>
        <w:top w:val="none" w:sz="0" w:space="0" w:color="auto"/>
        <w:left w:val="none" w:sz="0" w:space="0" w:color="auto"/>
        <w:bottom w:val="none" w:sz="0" w:space="0" w:color="auto"/>
        <w:right w:val="none" w:sz="0" w:space="0" w:color="auto"/>
      </w:divBdr>
    </w:div>
    <w:div w:id="1185899138">
      <w:bodyDiv w:val="1"/>
      <w:marLeft w:val="0"/>
      <w:marRight w:val="0"/>
      <w:marTop w:val="0"/>
      <w:marBottom w:val="0"/>
      <w:divBdr>
        <w:top w:val="none" w:sz="0" w:space="0" w:color="auto"/>
        <w:left w:val="none" w:sz="0" w:space="0" w:color="auto"/>
        <w:bottom w:val="none" w:sz="0" w:space="0" w:color="auto"/>
        <w:right w:val="none" w:sz="0" w:space="0" w:color="auto"/>
      </w:divBdr>
    </w:div>
    <w:div w:id="1201939438">
      <w:bodyDiv w:val="1"/>
      <w:marLeft w:val="0"/>
      <w:marRight w:val="0"/>
      <w:marTop w:val="0"/>
      <w:marBottom w:val="0"/>
      <w:divBdr>
        <w:top w:val="none" w:sz="0" w:space="0" w:color="auto"/>
        <w:left w:val="none" w:sz="0" w:space="0" w:color="auto"/>
        <w:bottom w:val="none" w:sz="0" w:space="0" w:color="auto"/>
        <w:right w:val="none" w:sz="0" w:space="0" w:color="auto"/>
      </w:divBdr>
    </w:div>
    <w:div w:id="1222205735">
      <w:bodyDiv w:val="1"/>
      <w:marLeft w:val="0"/>
      <w:marRight w:val="0"/>
      <w:marTop w:val="0"/>
      <w:marBottom w:val="0"/>
      <w:divBdr>
        <w:top w:val="none" w:sz="0" w:space="0" w:color="auto"/>
        <w:left w:val="none" w:sz="0" w:space="0" w:color="auto"/>
        <w:bottom w:val="none" w:sz="0" w:space="0" w:color="auto"/>
        <w:right w:val="none" w:sz="0" w:space="0" w:color="auto"/>
      </w:divBdr>
    </w:div>
    <w:div w:id="1286809086">
      <w:bodyDiv w:val="1"/>
      <w:marLeft w:val="0"/>
      <w:marRight w:val="0"/>
      <w:marTop w:val="0"/>
      <w:marBottom w:val="0"/>
      <w:divBdr>
        <w:top w:val="none" w:sz="0" w:space="0" w:color="auto"/>
        <w:left w:val="none" w:sz="0" w:space="0" w:color="auto"/>
        <w:bottom w:val="none" w:sz="0" w:space="0" w:color="auto"/>
        <w:right w:val="none" w:sz="0" w:space="0" w:color="auto"/>
      </w:divBdr>
      <w:divsChild>
        <w:div w:id="266036757">
          <w:marLeft w:val="0"/>
          <w:marRight w:val="0"/>
          <w:marTop w:val="0"/>
          <w:marBottom w:val="0"/>
          <w:divBdr>
            <w:top w:val="none" w:sz="0" w:space="0" w:color="auto"/>
            <w:left w:val="none" w:sz="0" w:space="0" w:color="auto"/>
            <w:bottom w:val="none" w:sz="0" w:space="0" w:color="auto"/>
            <w:right w:val="none" w:sz="0" w:space="0" w:color="auto"/>
          </w:divBdr>
        </w:div>
        <w:div w:id="993605568">
          <w:marLeft w:val="0"/>
          <w:marRight w:val="0"/>
          <w:marTop w:val="0"/>
          <w:marBottom w:val="0"/>
          <w:divBdr>
            <w:top w:val="none" w:sz="0" w:space="0" w:color="auto"/>
            <w:left w:val="none" w:sz="0" w:space="0" w:color="auto"/>
            <w:bottom w:val="none" w:sz="0" w:space="0" w:color="auto"/>
            <w:right w:val="none" w:sz="0" w:space="0" w:color="auto"/>
          </w:divBdr>
        </w:div>
        <w:div w:id="1090353649">
          <w:marLeft w:val="0"/>
          <w:marRight w:val="0"/>
          <w:marTop w:val="0"/>
          <w:marBottom w:val="0"/>
          <w:divBdr>
            <w:top w:val="none" w:sz="0" w:space="0" w:color="auto"/>
            <w:left w:val="none" w:sz="0" w:space="0" w:color="auto"/>
            <w:bottom w:val="none" w:sz="0" w:space="0" w:color="auto"/>
            <w:right w:val="none" w:sz="0" w:space="0" w:color="auto"/>
          </w:divBdr>
        </w:div>
        <w:div w:id="1171406874">
          <w:marLeft w:val="0"/>
          <w:marRight w:val="0"/>
          <w:marTop w:val="0"/>
          <w:marBottom w:val="0"/>
          <w:divBdr>
            <w:top w:val="none" w:sz="0" w:space="0" w:color="auto"/>
            <w:left w:val="none" w:sz="0" w:space="0" w:color="auto"/>
            <w:bottom w:val="none" w:sz="0" w:space="0" w:color="auto"/>
            <w:right w:val="none" w:sz="0" w:space="0" w:color="auto"/>
          </w:divBdr>
        </w:div>
        <w:div w:id="1206333273">
          <w:marLeft w:val="0"/>
          <w:marRight w:val="0"/>
          <w:marTop w:val="0"/>
          <w:marBottom w:val="0"/>
          <w:divBdr>
            <w:top w:val="none" w:sz="0" w:space="0" w:color="auto"/>
            <w:left w:val="none" w:sz="0" w:space="0" w:color="auto"/>
            <w:bottom w:val="none" w:sz="0" w:space="0" w:color="auto"/>
            <w:right w:val="none" w:sz="0" w:space="0" w:color="auto"/>
          </w:divBdr>
        </w:div>
        <w:div w:id="1268391416">
          <w:marLeft w:val="0"/>
          <w:marRight w:val="0"/>
          <w:marTop w:val="0"/>
          <w:marBottom w:val="0"/>
          <w:divBdr>
            <w:top w:val="none" w:sz="0" w:space="0" w:color="auto"/>
            <w:left w:val="none" w:sz="0" w:space="0" w:color="auto"/>
            <w:bottom w:val="none" w:sz="0" w:space="0" w:color="auto"/>
            <w:right w:val="none" w:sz="0" w:space="0" w:color="auto"/>
          </w:divBdr>
        </w:div>
        <w:div w:id="2077436032">
          <w:marLeft w:val="0"/>
          <w:marRight w:val="0"/>
          <w:marTop w:val="0"/>
          <w:marBottom w:val="0"/>
          <w:divBdr>
            <w:top w:val="none" w:sz="0" w:space="0" w:color="auto"/>
            <w:left w:val="none" w:sz="0" w:space="0" w:color="auto"/>
            <w:bottom w:val="none" w:sz="0" w:space="0" w:color="auto"/>
            <w:right w:val="none" w:sz="0" w:space="0" w:color="auto"/>
          </w:divBdr>
        </w:div>
      </w:divsChild>
    </w:div>
    <w:div w:id="1329282503">
      <w:bodyDiv w:val="1"/>
      <w:marLeft w:val="0"/>
      <w:marRight w:val="0"/>
      <w:marTop w:val="0"/>
      <w:marBottom w:val="0"/>
      <w:divBdr>
        <w:top w:val="none" w:sz="0" w:space="0" w:color="auto"/>
        <w:left w:val="none" w:sz="0" w:space="0" w:color="auto"/>
        <w:bottom w:val="none" w:sz="0" w:space="0" w:color="auto"/>
        <w:right w:val="none" w:sz="0" w:space="0" w:color="auto"/>
      </w:divBdr>
    </w:div>
    <w:div w:id="1338575771">
      <w:bodyDiv w:val="1"/>
      <w:marLeft w:val="0"/>
      <w:marRight w:val="0"/>
      <w:marTop w:val="0"/>
      <w:marBottom w:val="0"/>
      <w:divBdr>
        <w:top w:val="none" w:sz="0" w:space="0" w:color="auto"/>
        <w:left w:val="none" w:sz="0" w:space="0" w:color="auto"/>
        <w:bottom w:val="none" w:sz="0" w:space="0" w:color="auto"/>
        <w:right w:val="none" w:sz="0" w:space="0" w:color="auto"/>
      </w:divBdr>
    </w:div>
    <w:div w:id="1371959187">
      <w:bodyDiv w:val="1"/>
      <w:marLeft w:val="0"/>
      <w:marRight w:val="0"/>
      <w:marTop w:val="0"/>
      <w:marBottom w:val="0"/>
      <w:divBdr>
        <w:top w:val="none" w:sz="0" w:space="0" w:color="auto"/>
        <w:left w:val="none" w:sz="0" w:space="0" w:color="auto"/>
        <w:bottom w:val="none" w:sz="0" w:space="0" w:color="auto"/>
        <w:right w:val="none" w:sz="0" w:space="0" w:color="auto"/>
      </w:divBdr>
    </w:div>
    <w:div w:id="1393236154">
      <w:bodyDiv w:val="1"/>
      <w:marLeft w:val="0"/>
      <w:marRight w:val="0"/>
      <w:marTop w:val="0"/>
      <w:marBottom w:val="0"/>
      <w:divBdr>
        <w:top w:val="none" w:sz="0" w:space="0" w:color="auto"/>
        <w:left w:val="none" w:sz="0" w:space="0" w:color="auto"/>
        <w:bottom w:val="none" w:sz="0" w:space="0" w:color="auto"/>
        <w:right w:val="none" w:sz="0" w:space="0" w:color="auto"/>
      </w:divBdr>
    </w:div>
    <w:div w:id="1452358685">
      <w:bodyDiv w:val="1"/>
      <w:marLeft w:val="0"/>
      <w:marRight w:val="0"/>
      <w:marTop w:val="0"/>
      <w:marBottom w:val="0"/>
      <w:divBdr>
        <w:top w:val="none" w:sz="0" w:space="0" w:color="auto"/>
        <w:left w:val="none" w:sz="0" w:space="0" w:color="auto"/>
        <w:bottom w:val="none" w:sz="0" w:space="0" w:color="auto"/>
        <w:right w:val="none" w:sz="0" w:space="0" w:color="auto"/>
      </w:divBdr>
    </w:div>
    <w:div w:id="1487817905">
      <w:bodyDiv w:val="1"/>
      <w:marLeft w:val="0"/>
      <w:marRight w:val="0"/>
      <w:marTop w:val="0"/>
      <w:marBottom w:val="0"/>
      <w:divBdr>
        <w:top w:val="none" w:sz="0" w:space="0" w:color="auto"/>
        <w:left w:val="none" w:sz="0" w:space="0" w:color="auto"/>
        <w:bottom w:val="none" w:sz="0" w:space="0" w:color="auto"/>
        <w:right w:val="none" w:sz="0" w:space="0" w:color="auto"/>
      </w:divBdr>
    </w:div>
    <w:div w:id="1489781411">
      <w:bodyDiv w:val="1"/>
      <w:marLeft w:val="0"/>
      <w:marRight w:val="0"/>
      <w:marTop w:val="0"/>
      <w:marBottom w:val="0"/>
      <w:divBdr>
        <w:top w:val="none" w:sz="0" w:space="0" w:color="auto"/>
        <w:left w:val="none" w:sz="0" w:space="0" w:color="auto"/>
        <w:bottom w:val="none" w:sz="0" w:space="0" w:color="auto"/>
        <w:right w:val="none" w:sz="0" w:space="0" w:color="auto"/>
      </w:divBdr>
    </w:div>
    <w:div w:id="1589381855">
      <w:bodyDiv w:val="1"/>
      <w:marLeft w:val="0"/>
      <w:marRight w:val="0"/>
      <w:marTop w:val="0"/>
      <w:marBottom w:val="0"/>
      <w:divBdr>
        <w:top w:val="none" w:sz="0" w:space="0" w:color="auto"/>
        <w:left w:val="none" w:sz="0" w:space="0" w:color="auto"/>
        <w:bottom w:val="none" w:sz="0" w:space="0" w:color="auto"/>
        <w:right w:val="none" w:sz="0" w:space="0" w:color="auto"/>
      </w:divBdr>
    </w:div>
    <w:div w:id="1612205258">
      <w:bodyDiv w:val="1"/>
      <w:marLeft w:val="0"/>
      <w:marRight w:val="0"/>
      <w:marTop w:val="0"/>
      <w:marBottom w:val="0"/>
      <w:divBdr>
        <w:top w:val="none" w:sz="0" w:space="0" w:color="auto"/>
        <w:left w:val="none" w:sz="0" w:space="0" w:color="auto"/>
        <w:bottom w:val="none" w:sz="0" w:space="0" w:color="auto"/>
        <w:right w:val="none" w:sz="0" w:space="0" w:color="auto"/>
      </w:divBdr>
    </w:div>
    <w:div w:id="1627002163">
      <w:bodyDiv w:val="1"/>
      <w:marLeft w:val="0"/>
      <w:marRight w:val="0"/>
      <w:marTop w:val="0"/>
      <w:marBottom w:val="0"/>
      <w:divBdr>
        <w:top w:val="none" w:sz="0" w:space="0" w:color="auto"/>
        <w:left w:val="none" w:sz="0" w:space="0" w:color="auto"/>
        <w:bottom w:val="none" w:sz="0" w:space="0" w:color="auto"/>
        <w:right w:val="none" w:sz="0" w:space="0" w:color="auto"/>
      </w:divBdr>
    </w:div>
    <w:div w:id="1670449384">
      <w:bodyDiv w:val="1"/>
      <w:marLeft w:val="0"/>
      <w:marRight w:val="0"/>
      <w:marTop w:val="0"/>
      <w:marBottom w:val="0"/>
      <w:divBdr>
        <w:top w:val="none" w:sz="0" w:space="0" w:color="auto"/>
        <w:left w:val="none" w:sz="0" w:space="0" w:color="auto"/>
        <w:bottom w:val="none" w:sz="0" w:space="0" w:color="auto"/>
        <w:right w:val="none" w:sz="0" w:space="0" w:color="auto"/>
      </w:divBdr>
    </w:div>
    <w:div w:id="1679427094">
      <w:bodyDiv w:val="1"/>
      <w:marLeft w:val="0"/>
      <w:marRight w:val="0"/>
      <w:marTop w:val="0"/>
      <w:marBottom w:val="0"/>
      <w:divBdr>
        <w:top w:val="none" w:sz="0" w:space="0" w:color="auto"/>
        <w:left w:val="none" w:sz="0" w:space="0" w:color="auto"/>
        <w:bottom w:val="none" w:sz="0" w:space="0" w:color="auto"/>
        <w:right w:val="none" w:sz="0" w:space="0" w:color="auto"/>
      </w:divBdr>
    </w:div>
    <w:div w:id="1824007699">
      <w:bodyDiv w:val="1"/>
      <w:marLeft w:val="0"/>
      <w:marRight w:val="0"/>
      <w:marTop w:val="0"/>
      <w:marBottom w:val="0"/>
      <w:divBdr>
        <w:top w:val="none" w:sz="0" w:space="0" w:color="auto"/>
        <w:left w:val="none" w:sz="0" w:space="0" w:color="auto"/>
        <w:bottom w:val="none" w:sz="0" w:space="0" w:color="auto"/>
        <w:right w:val="none" w:sz="0" w:space="0" w:color="auto"/>
      </w:divBdr>
    </w:div>
    <w:div w:id="1865820657">
      <w:bodyDiv w:val="1"/>
      <w:marLeft w:val="0"/>
      <w:marRight w:val="0"/>
      <w:marTop w:val="0"/>
      <w:marBottom w:val="0"/>
      <w:divBdr>
        <w:top w:val="none" w:sz="0" w:space="0" w:color="auto"/>
        <w:left w:val="none" w:sz="0" w:space="0" w:color="auto"/>
        <w:bottom w:val="none" w:sz="0" w:space="0" w:color="auto"/>
        <w:right w:val="none" w:sz="0" w:space="0" w:color="auto"/>
      </w:divBdr>
    </w:div>
    <w:div w:id="1880778236">
      <w:bodyDiv w:val="1"/>
      <w:marLeft w:val="0"/>
      <w:marRight w:val="0"/>
      <w:marTop w:val="0"/>
      <w:marBottom w:val="0"/>
      <w:divBdr>
        <w:top w:val="none" w:sz="0" w:space="0" w:color="auto"/>
        <w:left w:val="none" w:sz="0" w:space="0" w:color="auto"/>
        <w:bottom w:val="none" w:sz="0" w:space="0" w:color="auto"/>
        <w:right w:val="none" w:sz="0" w:space="0" w:color="auto"/>
      </w:divBdr>
    </w:div>
    <w:div w:id="1935431309">
      <w:bodyDiv w:val="1"/>
      <w:marLeft w:val="0"/>
      <w:marRight w:val="0"/>
      <w:marTop w:val="0"/>
      <w:marBottom w:val="0"/>
      <w:divBdr>
        <w:top w:val="none" w:sz="0" w:space="0" w:color="auto"/>
        <w:left w:val="none" w:sz="0" w:space="0" w:color="auto"/>
        <w:bottom w:val="none" w:sz="0" w:space="0" w:color="auto"/>
        <w:right w:val="none" w:sz="0" w:space="0" w:color="auto"/>
      </w:divBdr>
    </w:div>
    <w:div w:id="1963613936">
      <w:bodyDiv w:val="1"/>
      <w:marLeft w:val="0"/>
      <w:marRight w:val="0"/>
      <w:marTop w:val="0"/>
      <w:marBottom w:val="0"/>
      <w:divBdr>
        <w:top w:val="none" w:sz="0" w:space="0" w:color="auto"/>
        <w:left w:val="none" w:sz="0" w:space="0" w:color="auto"/>
        <w:bottom w:val="none" w:sz="0" w:space="0" w:color="auto"/>
        <w:right w:val="none" w:sz="0" w:space="0" w:color="auto"/>
      </w:divBdr>
    </w:div>
    <w:div w:id="1998145727">
      <w:bodyDiv w:val="1"/>
      <w:marLeft w:val="0"/>
      <w:marRight w:val="0"/>
      <w:marTop w:val="0"/>
      <w:marBottom w:val="0"/>
      <w:divBdr>
        <w:top w:val="none" w:sz="0" w:space="0" w:color="auto"/>
        <w:left w:val="none" w:sz="0" w:space="0" w:color="auto"/>
        <w:bottom w:val="none" w:sz="0" w:space="0" w:color="auto"/>
        <w:right w:val="none" w:sz="0" w:space="0" w:color="auto"/>
      </w:divBdr>
    </w:div>
    <w:div w:id="2032493548">
      <w:bodyDiv w:val="1"/>
      <w:marLeft w:val="0"/>
      <w:marRight w:val="0"/>
      <w:marTop w:val="0"/>
      <w:marBottom w:val="0"/>
      <w:divBdr>
        <w:top w:val="none" w:sz="0" w:space="0" w:color="auto"/>
        <w:left w:val="none" w:sz="0" w:space="0" w:color="auto"/>
        <w:bottom w:val="none" w:sz="0" w:space="0" w:color="auto"/>
        <w:right w:val="none" w:sz="0" w:space="0" w:color="auto"/>
      </w:divBdr>
    </w:div>
    <w:div w:id="2077782909">
      <w:bodyDiv w:val="1"/>
      <w:marLeft w:val="0"/>
      <w:marRight w:val="0"/>
      <w:marTop w:val="0"/>
      <w:marBottom w:val="0"/>
      <w:divBdr>
        <w:top w:val="none" w:sz="0" w:space="0" w:color="auto"/>
        <w:left w:val="none" w:sz="0" w:space="0" w:color="auto"/>
        <w:bottom w:val="none" w:sz="0" w:space="0" w:color="auto"/>
        <w:right w:val="none" w:sz="0" w:space="0" w:color="auto"/>
      </w:divBdr>
    </w:div>
    <w:div w:id="2110925922">
      <w:bodyDiv w:val="1"/>
      <w:marLeft w:val="0"/>
      <w:marRight w:val="0"/>
      <w:marTop w:val="0"/>
      <w:marBottom w:val="0"/>
      <w:divBdr>
        <w:top w:val="none" w:sz="0" w:space="0" w:color="auto"/>
        <w:left w:val="none" w:sz="0" w:space="0" w:color="auto"/>
        <w:bottom w:val="none" w:sz="0" w:space="0" w:color="auto"/>
        <w:right w:val="none" w:sz="0" w:space="0" w:color="auto"/>
      </w:divBdr>
    </w:div>
    <w:div w:id="21246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park\OneDrive%20-%20The%20University%20of%20Colorado%20Denver\Dissertation\Data\Framing%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park\OneDrive%20-%20The%20University%20of%20Colorado%20Denver\Dissertation\Data\Framing%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Framing</a:t>
            </a:r>
            <a:r>
              <a:rPr lang="en-US" baseline="0"/>
              <a:t> Use Over Time- Anti  Coalition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'By Week'!$AU$3</c:f>
              <c:strCache>
                <c:ptCount val="1"/>
                <c:pt idx="0">
                  <c:v>Economic Risk</c:v>
                </c:pt>
              </c:strCache>
            </c:strRef>
          </c:tx>
          <c:spPr>
            <a:solidFill>
              <a:schemeClr val="accent1"/>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Week'!$AV$3:$BG$3</c:f>
              <c:numCache>
                <c:formatCode>General</c:formatCode>
                <c:ptCount val="12"/>
                <c:pt idx="0">
                  <c:v>1</c:v>
                </c:pt>
                <c:pt idx="1">
                  <c:v>0</c:v>
                </c:pt>
                <c:pt idx="2">
                  <c:v>2</c:v>
                </c:pt>
                <c:pt idx="3">
                  <c:v>4</c:v>
                </c:pt>
                <c:pt idx="4">
                  <c:v>1</c:v>
                </c:pt>
                <c:pt idx="5">
                  <c:v>3</c:v>
                </c:pt>
                <c:pt idx="6">
                  <c:v>5</c:v>
                </c:pt>
                <c:pt idx="7">
                  <c:v>0</c:v>
                </c:pt>
                <c:pt idx="8">
                  <c:v>0</c:v>
                </c:pt>
                <c:pt idx="9">
                  <c:v>6</c:v>
                </c:pt>
                <c:pt idx="10">
                  <c:v>4</c:v>
                </c:pt>
                <c:pt idx="11">
                  <c:v>1</c:v>
                </c:pt>
              </c:numCache>
            </c:numRef>
          </c:val>
          <c:extLst>
            <c:ext xmlns:c16="http://schemas.microsoft.com/office/drawing/2014/chart" uri="{C3380CC4-5D6E-409C-BE32-E72D297353CC}">
              <c16:uniqueId val="{00000000-06EF-4147-9DF2-B9B6628C9866}"/>
            </c:ext>
          </c:extLst>
        </c:ser>
        <c:ser>
          <c:idx val="1"/>
          <c:order val="1"/>
          <c:tx>
            <c:strRef>
              <c:f>'By Week'!$AU$4</c:f>
              <c:strCache>
                <c:ptCount val="1"/>
                <c:pt idx="0">
                  <c:v>Environmental Risk</c:v>
                </c:pt>
              </c:strCache>
            </c:strRef>
          </c:tx>
          <c:spPr>
            <a:solidFill>
              <a:schemeClr val="accent2"/>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Week'!$AV$4:$BG$4</c:f>
              <c:numCache>
                <c:formatCode>General</c:formatCode>
                <c:ptCount val="12"/>
                <c:pt idx="0">
                  <c:v>11</c:v>
                </c:pt>
                <c:pt idx="1">
                  <c:v>33</c:v>
                </c:pt>
                <c:pt idx="2">
                  <c:v>36</c:v>
                </c:pt>
                <c:pt idx="3">
                  <c:v>13</c:v>
                </c:pt>
                <c:pt idx="4">
                  <c:v>33</c:v>
                </c:pt>
                <c:pt idx="5">
                  <c:v>83</c:v>
                </c:pt>
                <c:pt idx="6">
                  <c:v>68</c:v>
                </c:pt>
                <c:pt idx="7">
                  <c:v>8</c:v>
                </c:pt>
                <c:pt idx="8">
                  <c:v>16</c:v>
                </c:pt>
                <c:pt idx="9">
                  <c:v>38</c:v>
                </c:pt>
                <c:pt idx="10">
                  <c:v>31</c:v>
                </c:pt>
                <c:pt idx="11">
                  <c:v>40</c:v>
                </c:pt>
              </c:numCache>
            </c:numRef>
          </c:val>
          <c:extLst>
            <c:ext xmlns:c16="http://schemas.microsoft.com/office/drawing/2014/chart" uri="{C3380CC4-5D6E-409C-BE32-E72D297353CC}">
              <c16:uniqueId val="{00000001-06EF-4147-9DF2-B9B6628C9866}"/>
            </c:ext>
          </c:extLst>
        </c:ser>
        <c:ser>
          <c:idx val="2"/>
          <c:order val="2"/>
          <c:tx>
            <c:strRef>
              <c:f>'By Week'!$AU$5</c:f>
              <c:strCache>
                <c:ptCount val="1"/>
                <c:pt idx="0">
                  <c:v>Energy Dev Risk</c:v>
                </c:pt>
              </c:strCache>
            </c:strRef>
          </c:tx>
          <c:spPr>
            <a:solidFill>
              <a:schemeClr val="accent3"/>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Week'!$AV$5:$BG$5</c:f>
              <c:numCache>
                <c:formatCode>General</c:formatCode>
                <c:ptCount val="12"/>
                <c:pt idx="0">
                  <c:v>0</c:v>
                </c:pt>
                <c:pt idx="1">
                  <c:v>3</c:v>
                </c:pt>
                <c:pt idx="2">
                  <c:v>3</c:v>
                </c:pt>
                <c:pt idx="3">
                  <c:v>2</c:v>
                </c:pt>
                <c:pt idx="4">
                  <c:v>16</c:v>
                </c:pt>
                <c:pt idx="5">
                  <c:v>10</c:v>
                </c:pt>
                <c:pt idx="6">
                  <c:v>9</c:v>
                </c:pt>
                <c:pt idx="7">
                  <c:v>1</c:v>
                </c:pt>
                <c:pt idx="8">
                  <c:v>2</c:v>
                </c:pt>
                <c:pt idx="9">
                  <c:v>6</c:v>
                </c:pt>
                <c:pt idx="10">
                  <c:v>0</c:v>
                </c:pt>
                <c:pt idx="11">
                  <c:v>4</c:v>
                </c:pt>
              </c:numCache>
            </c:numRef>
          </c:val>
          <c:extLst>
            <c:ext xmlns:c16="http://schemas.microsoft.com/office/drawing/2014/chart" uri="{C3380CC4-5D6E-409C-BE32-E72D297353CC}">
              <c16:uniqueId val="{00000002-06EF-4147-9DF2-B9B6628C9866}"/>
            </c:ext>
          </c:extLst>
        </c:ser>
        <c:ser>
          <c:idx val="3"/>
          <c:order val="3"/>
          <c:tx>
            <c:strRef>
              <c:f>'By Week'!$AU$6</c:f>
              <c:strCache>
                <c:ptCount val="1"/>
                <c:pt idx="0">
                  <c:v>Public Safety and Health Risk</c:v>
                </c:pt>
              </c:strCache>
            </c:strRef>
          </c:tx>
          <c:spPr>
            <a:solidFill>
              <a:schemeClr val="accent4"/>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Week'!$AV$6:$BG$6</c:f>
              <c:numCache>
                <c:formatCode>General</c:formatCode>
                <c:ptCount val="12"/>
                <c:pt idx="0">
                  <c:v>8</c:v>
                </c:pt>
                <c:pt idx="1">
                  <c:v>29</c:v>
                </c:pt>
                <c:pt idx="2">
                  <c:v>22</c:v>
                </c:pt>
                <c:pt idx="3">
                  <c:v>17</c:v>
                </c:pt>
                <c:pt idx="4">
                  <c:v>37</c:v>
                </c:pt>
                <c:pt idx="5">
                  <c:v>48</c:v>
                </c:pt>
                <c:pt idx="6">
                  <c:v>125</c:v>
                </c:pt>
                <c:pt idx="7">
                  <c:v>7</c:v>
                </c:pt>
                <c:pt idx="8">
                  <c:v>8</c:v>
                </c:pt>
                <c:pt idx="9">
                  <c:v>14</c:v>
                </c:pt>
                <c:pt idx="10">
                  <c:v>17</c:v>
                </c:pt>
                <c:pt idx="11">
                  <c:v>14</c:v>
                </c:pt>
              </c:numCache>
            </c:numRef>
          </c:val>
          <c:extLst>
            <c:ext xmlns:c16="http://schemas.microsoft.com/office/drawing/2014/chart" uri="{C3380CC4-5D6E-409C-BE32-E72D297353CC}">
              <c16:uniqueId val="{00000003-06EF-4147-9DF2-B9B6628C9866}"/>
            </c:ext>
          </c:extLst>
        </c:ser>
        <c:ser>
          <c:idx val="4"/>
          <c:order val="4"/>
          <c:tx>
            <c:strRef>
              <c:f>'By Week'!$AU$7</c:f>
              <c:strCache>
                <c:ptCount val="1"/>
                <c:pt idx="0">
                  <c:v>Policy Risk</c:v>
                </c:pt>
              </c:strCache>
            </c:strRef>
          </c:tx>
          <c:spPr>
            <a:solidFill>
              <a:schemeClr val="accent5"/>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Week'!$AV$7:$BG$7</c:f>
              <c:numCache>
                <c:formatCode>General</c:formatCode>
                <c:ptCount val="12"/>
                <c:pt idx="0">
                  <c:v>0</c:v>
                </c:pt>
                <c:pt idx="1">
                  <c:v>0</c:v>
                </c:pt>
                <c:pt idx="2">
                  <c:v>2</c:v>
                </c:pt>
                <c:pt idx="3">
                  <c:v>1</c:v>
                </c:pt>
                <c:pt idx="4">
                  <c:v>0</c:v>
                </c:pt>
                <c:pt idx="5">
                  <c:v>1</c:v>
                </c:pt>
                <c:pt idx="6">
                  <c:v>1</c:v>
                </c:pt>
                <c:pt idx="7">
                  <c:v>0</c:v>
                </c:pt>
                <c:pt idx="8">
                  <c:v>0</c:v>
                </c:pt>
                <c:pt idx="9">
                  <c:v>1</c:v>
                </c:pt>
                <c:pt idx="10">
                  <c:v>2</c:v>
                </c:pt>
                <c:pt idx="11">
                  <c:v>2</c:v>
                </c:pt>
              </c:numCache>
            </c:numRef>
          </c:val>
          <c:extLst>
            <c:ext xmlns:c16="http://schemas.microsoft.com/office/drawing/2014/chart" uri="{C3380CC4-5D6E-409C-BE32-E72D297353CC}">
              <c16:uniqueId val="{00000004-06EF-4147-9DF2-B9B6628C9866}"/>
            </c:ext>
          </c:extLst>
        </c:ser>
        <c:ser>
          <c:idx val="5"/>
          <c:order val="5"/>
          <c:tx>
            <c:strRef>
              <c:f>'By Week'!$AU$8</c:f>
              <c:strCache>
                <c:ptCount val="1"/>
                <c:pt idx="0">
                  <c:v>Policy Benefit</c:v>
                </c:pt>
              </c:strCache>
            </c:strRef>
          </c:tx>
          <c:spPr>
            <a:solidFill>
              <a:schemeClr val="accent6"/>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Week'!$AV$8:$BG$8</c:f>
              <c:numCache>
                <c:formatCode>General</c:formatCode>
                <c:ptCount val="12"/>
                <c:pt idx="0">
                  <c:v>4</c:v>
                </c:pt>
                <c:pt idx="1">
                  <c:v>0</c:v>
                </c:pt>
                <c:pt idx="2">
                  <c:v>1</c:v>
                </c:pt>
                <c:pt idx="3">
                  <c:v>0</c:v>
                </c:pt>
                <c:pt idx="4">
                  <c:v>1</c:v>
                </c:pt>
                <c:pt idx="5">
                  <c:v>2</c:v>
                </c:pt>
                <c:pt idx="6">
                  <c:v>43</c:v>
                </c:pt>
                <c:pt idx="7">
                  <c:v>6</c:v>
                </c:pt>
                <c:pt idx="8">
                  <c:v>2</c:v>
                </c:pt>
                <c:pt idx="9">
                  <c:v>2</c:v>
                </c:pt>
                <c:pt idx="10">
                  <c:v>2</c:v>
                </c:pt>
                <c:pt idx="11">
                  <c:v>5</c:v>
                </c:pt>
              </c:numCache>
            </c:numRef>
          </c:val>
          <c:extLst>
            <c:ext xmlns:c16="http://schemas.microsoft.com/office/drawing/2014/chart" uri="{C3380CC4-5D6E-409C-BE32-E72D297353CC}">
              <c16:uniqueId val="{00000005-06EF-4147-9DF2-B9B6628C9866}"/>
            </c:ext>
          </c:extLst>
        </c:ser>
        <c:ser>
          <c:idx val="6"/>
          <c:order val="6"/>
          <c:tx>
            <c:strRef>
              <c:f>'By Week'!$AU$9</c:f>
              <c:strCache>
                <c:ptCount val="1"/>
                <c:pt idx="0">
                  <c:v>Use of Science in Opposition</c:v>
                </c:pt>
              </c:strCache>
            </c:strRef>
          </c:tx>
          <c:spPr>
            <a:solidFill>
              <a:schemeClr val="accent1">
                <a:lumMod val="60000"/>
              </a:schemeClr>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Week'!$AV$9:$BG$9</c:f>
              <c:numCache>
                <c:formatCode>General</c:formatCode>
                <c:ptCount val="12"/>
                <c:pt idx="0">
                  <c:v>9</c:v>
                </c:pt>
                <c:pt idx="1">
                  <c:v>3</c:v>
                </c:pt>
                <c:pt idx="2">
                  <c:v>9</c:v>
                </c:pt>
                <c:pt idx="3">
                  <c:v>3</c:v>
                </c:pt>
                <c:pt idx="4">
                  <c:v>19</c:v>
                </c:pt>
                <c:pt idx="5">
                  <c:v>122</c:v>
                </c:pt>
                <c:pt idx="6">
                  <c:v>89</c:v>
                </c:pt>
                <c:pt idx="7">
                  <c:v>9</c:v>
                </c:pt>
                <c:pt idx="8">
                  <c:v>3</c:v>
                </c:pt>
                <c:pt idx="9">
                  <c:v>4</c:v>
                </c:pt>
                <c:pt idx="10">
                  <c:v>12</c:v>
                </c:pt>
                <c:pt idx="11">
                  <c:v>16</c:v>
                </c:pt>
              </c:numCache>
            </c:numRef>
          </c:val>
          <c:extLst>
            <c:ext xmlns:c16="http://schemas.microsoft.com/office/drawing/2014/chart" uri="{C3380CC4-5D6E-409C-BE32-E72D297353CC}">
              <c16:uniqueId val="{00000006-06EF-4147-9DF2-B9B6628C9866}"/>
            </c:ext>
          </c:extLst>
        </c:ser>
        <c:ser>
          <c:idx val="7"/>
          <c:order val="7"/>
          <c:tx>
            <c:strRef>
              <c:f>'By Week'!$AU$10</c:f>
              <c:strCache>
                <c:ptCount val="1"/>
                <c:pt idx="0">
                  <c:v>Tweets w/o Frame</c:v>
                </c:pt>
              </c:strCache>
            </c:strRef>
          </c:tx>
          <c:spPr>
            <a:solidFill>
              <a:schemeClr val="accent2">
                <a:lumMod val="60000"/>
              </a:schemeClr>
            </a:solidFill>
            <a:ln>
              <a:noFill/>
            </a:ln>
            <a:effectLst/>
          </c:spPr>
          <c:invertIfNegative val="0"/>
          <c:cat>
            <c:numRef>
              <c:f>'By Week'!$AV$2:$BG$2</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Week'!$AV$10:$BG$10</c:f>
              <c:numCache>
                <c:formatCode>General</c:formatCode>
                <c:ptCount val="12"/>
                <c:pt idx="0">
                  <c:v>209</c:v>
                </c:pt>
                <c:pt idx="1">
                  <c:v>110</c:v>
                </c:pt>
                <c:pt idx="2">
                  <c:v>72</c:v>
                </c:pt>
                <c:pt idx="3">
                  <c:v>73</c:v>
                </c:pt>
                <c:pt idx="4">
                  <c:v>151</c:v>
                </c:pt>
                <c:pt idx="5">
                  <c:v>143</c:v>
                </c:pt>
                <c:pt idx="6">
                  <c:v>381</c:v>
                </c:pt>
                <c:pt idx="7">
                  <c:v>59</c:v>
                </c:pt>
                <c:pt idx="8">
                  <c:v>35</c:v>
                </c:pt>
                <c:pt idx="9">
                  <c:v>115</c:v>
                </c:pt>
                <c:pt idx="10">
                  <c:v>100</c:v>
                </c:pt>
                <c:pt idx="11">
                  <c:v>129</c:v>
                </c:pt>
              </c:numCache>
            </c:numRef>
          </c:val>
          <c:extLst>
            <c:ext xmlns:c16="http://schemas.microsoft.com/office/drawing/2014/chart" uri="{C3380CC4-5D6E-409C-BE32-E72D297353CC}">
              <c16:uniqueId val="{00000007-06EF-4147-9DF2-B9B6628C9866}"/>
            </c:ext>
          </c:extLst>
        </c:ser>
        <c:dLbls>
          <c:showLegendKey val="0"/>
          <c:showVal val="0"/>
          <c:showCatName val="0"/>
          <c:showSerName val="0"/>
          <c:showPercent val="0"/>
          <c:showBubbleSize val="0"/>
        </c:dLbls>
        <c:gapWidth val="150"/>
        <c:overlap val="100"/>
        <c:axId val="1872699680"/>
        <c:axId val="1525992896"/>
      </c:barChart>
      <c:catAx>
        <c:axId val="1872699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1</a:t>
                </a:r>
                <a:r>
                  <a:rPr lang="en-US" baseline="0"/>
                  <a:t> Week Periods, Before and After Policy Change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92896"/>
        <c:crosses val="autoZero"/>
        <c:auto val="1"/>
        <c:lblAlgn val="ctr"/>
        <c:lblOffset val="100"/>
        <c:noMultiLvlLbl val="0"/>
      </c:catAx>
      <c:valAx>
        <c:axId val="152599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a:t>
                </a:r>
                <a:r>
                  <a:rPr lang="en-US" baseline="0"/>
                  <a:t> of Frames Used</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69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Framing</a:t>
            </a:r>
            <a:r>
              <a:rPr lang="en-US" baseline="0"/>
              <a:t> Use Over Time- Pro Coalition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'By Week'!$BJ$4</c:f>
              <c:strCache>
                <c:ptCount val="1"/>
                <c:pt idx="0">
                  <c:v>Economic Benefit</c:v>
                </c:pt>
              </c:strCache>
            </c:strRef>
          </c:tx>
          <c:spPr>
            <a:solidFill>
              <a:schemeClr val="accent1"/>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Week'!$BK$4:$BV$4</c:f>
              <c:numCache>
                <c:formatCode>General</c:formatCode>
                <c:ptCount val="12"/>
                <c:pt idx="0">
                  <c:v>15</c:v>
                </c:pt>
                <c:pt idx="1">
                  <c:v>16</c:v>
                </c:pt>
                <c:pt idx="2">
                  <c:v>23</c:v>
                </c:pt>
                <c:pt idx="3">
                  <c:v>6</c:v>
                </c:pt>
                <c:pt idx="4">
                  <c:v>12</c:v>
                </c:pt>
                <c:pt idx="5">
                  <c:v>34</c:v>
                </c:pt>
                <c:pt idx="6">
                  <c:v>66</c:v>
                </c:pt>
                <c:pt idx="7">
                  <c:v>17</c:v>
                </c:pt>
                <c:pt idx="8">
                  <c:v>21</c:v>
                </c:pt>
                <c:pt idx="9">
                  <c:v>24</c:v>
                </c:pt>
                <c:pt idx="10">
                  <c:v>9</c:v>
                </c:pt>
                <c:pt idx="11">
                  <c:v>32</c:v>
                </c:pt>
              </c:numCache>
            </c:numRef>
          </c:val>
          <c:extLst>
            <c:ext xmlns:c16="http://schemas.microsoft.com/office/drawing/2014/chart" uri="{C3380CC4-5D6E-409C-BE32-E72D297353CC}">
              <c16:uniqueId val="{00000000-CAB5-44DF-9855-4A82921E3975}"/>
            </c:ext>
          </c:extLst>
        </c:ser>
        <c:ser>
          <c:idx val="1"/>
          <c:order val="1"/>
          <c:tx>
            <c:strRef>
              <c:f>'By Week'!$BJ$5</c:f>
              <c:strCache>
                <c:ptCount val="1"/>
                <c:pt idx="0">
                  <c:v>Env Benefit</c:v>
                </c:pt>
              </c:strCache>
            </c:strRef>
          </c:tx>
          <c:spPr>
            <a:solidFill>
              <a:schemeClr val="accent2"/>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Week'!$BK$5:$BV$5</c:f>
              <c:numCache>
                <c:formatCode>General</c:formatCode>
                <c:ptCount val="12"/>
                <c:pt idx="0">
                  <c:v>1</c:v>
                </c:pt>
                <c:pt idx="1">
                  <c:v>4</c:v>
                </c:pt>
                <c:pt idx="2">
                  <c:v>3</c:v>
                </c:pt>
                <c:pt idx="3">
                  <c:v>0</c:v>
                </c:pt>
                <c:pt idx="4">
                  <c:v>11</c:v>
                </c:pt>
                <c:pt idx="5">
                  <c:v>2</c:v>
                </c:pt>
                <c:pt idx="6">
                  <c:v>12</c:v>
                </c:pt>
                <c:pt idx="7">
                  <c:v>2</c:v>
                </c:pt>
                <c:pt idx="8">
                  <c:v>9</c:v>
                </c:pt>
                <c:pt idx="9">
                  <c:v>1</c:v>
                </c:pt>
                <c:pt idx="10">
                  <c:v>6</c:v>
                </c:pt>
                <c:pt idx="11">
                  <c:v>13</c:v>
                </c:pt>
              </c:numCache>
            </c:numRef>
          </c:val>
          <c:extLst>
            <c:ext xmlns:c16="http://schemas.microsoft.com/office/drawing/2014/chart" uri="{C3380CC4-5D6E-409C-BE32-E72D297353CC}">
              <c16:uniqueId val="{00000001-CAB5-44DF-9855-4A82921E3975}"/>
            </c:ext>
          </c:extLst>
        </c:ser>
        <c:ser>
          <c:idx val="2"/>
          <c:order val="2"/>
          <c:tx>
            <c:strRef>
              <c:f>'By Week'!$BJ$6</c:f>
              <c:strCache>
                <c:ptCount val="1"/>
                <c:pt idx="0">
                  <c:v>Energy Development Benefit</c:v>
                </c:pt>
              </c:strCache>
            </c:strRef>
          </c:tx>
          <c:spPr>
            <a:solidFill>
              <a:schemeClr val="accent3"/>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Week'!$BK$6:$BV$6</c:f>
              <c:numCache>
                <c:formatCode>General</c:formatCode>
                <c:ptCount val="12"/>
                <c:pt idx="0">
                  <c:v>10</c:v>
                </c:pt>
                <c:pt idx="1">
                  <c:v>9</c:v>
                </c:pt>
                <c:pt idx="2">
                  <c:v>20</c:v>
                </c:pt>
                <c:pt idx="3">
                  <c:v>16</c:v>
                </c:pt>
                <c:pt idx="4">
                  <c:v>23</c:v>
                </c:pt>
                <c:pt idx="5">
                  <c:v>21</c:v>
                </c:pt>
                <c:pt idx="6">
                  <c:v>37</c:v>
                </c:pt>
                <c:pt idx="7">
                  <c:v>10</c:v>
                </c:pt>
                <c:pt idx="8">
                  <c:v>11</c:v>
                </c:pt>
                <c:pt idx="9">
                  <c:v>17</c:v>
                </c:pt>
                <c:pt idx="10">
                  <c:v>9</c:v>
                </c:pt>
                <c:pt idx="11">
                  <c:v>19</c:v>
                </c:pt>
              </c:numCache>
            </c:numRef>
          </c:val>
          <c:extLst>
            <c:ext xmlns:c16="http://schemas.microsoft.com/office/drawing/2014/chart" uri="{C3380CC4-5D6E-409C-BE32-E72D297353CC}">
              <c16:uniqueId val="{00000002-CAB5-44DF-9855-4A82921E3975}"/>
            </c:ext>
          </c:extLst>
        </c:ser>
        <c:ser>
          <c:idx val="3"/>
          <c:order val="3"/>
          <c:tx>
            <c:strRef>
              <c:f>'By Week'!$BJ$7</c:f>
              <c:strCache>
                <c:ptCount val="1"/>
                <c:pt idx="0">
                  <c:v>Public Safety and Health Benefit</c:v>
                </c:pt>
              </c:strCache>
            </c:strRef>
          </c:tx>
          <c:spPr>
            <a:solidFill>
              <a:schemeClr val="accent4"/>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Week'!$BK$7:$BV$7</c:f>
              <c:numCache>
                <c:formatCode>General</c:formatCode>
                <c:ptCount val="12"/>
                <c:pt idx="0">
                  <c:v>0</c:v>
                </c:pt>
                <c:pt idx="1">
                  <c:v>4</c:v>
                </c:pt>
                <c:pt idx="2">
                  <c:v>3</c:v>
                </c:pt>
                <c:pt idx="3">
                  <c:v>6</c:v>
                </c:pt>
                <c:pt idx="11">
                  <c:v>2</c:v>
                </c:pt>
              </c:numCache>
            </c:numRef>
          </c:val>
          <c:extLst>
            <c:ext xmlns:c16="http://schemas.microsoft.com/office/drawing/2014/chart" uri="{C3380CC4-5D6E-409C-BE32-E72D297353CC}">
              <c16:uniqueId val="{00000003-CAB5-44DF-9855-4A82921E3975}"/>
            </c:ext>
          </c:extLst>
        </c:ser>
        <c:ser>
          <c:idx val="4"/>
          <c:order val="4"/>
          <c:tx>
            <c:strRef>
              <c:f>'By Week'!$BJ$8</c:f>
              <c:strCache>
                <c:ptCount val="1"/>
                <c:pt idx="0">
                  <c:v>Risk of Policy</c:v>
                </c:pt>
              </c:strCache>
            </c:strRef>
          </c:tx>
          <c:spPr>
            <a:solidFill>
              <a:schemeClr val="accent5"/>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Week'!$BK$8:$BV$8</c:f>
              <c:numCache>
                <c:formatCode>General</c:formatCode>
                <c:ptCount val="12"/>
                <c:pt idx="4">
                  <c:v>1</c:v>
                </c:pt>
                <c:pt idx="5">
                  <c:v>4</c:v>
                </c:pt>
                <c:pt idx="6">
                  <c:v>43</c:v>
                </c:pt>
                <c:pt idx="7">
                  <c:v>6</c:v>
                </c:pt>
                <c:pt idx="8">
                  <c:v>2</c:v>
                </c:pt>
                <c:pt idx="11">
                  <c:v>4</c:v>
                </c:pt>
              </c:numCache>
            </c:numRef>
          </c:val>
          <c:extLst>
            <c:ext xmlns:c16="http://schemas.microsoft.com/office/drawing/2014/chart" uri="{C3380CC4-5D6E-409C-BE32-E72D297353CC}">
              <c16:uniqueId val="{00000004-CAB5-44DF-9855-4A82921E3975}"/>
            </c:ext>
          </c:extLst>
        </c:ser>
        <c:ser>
          <c:idx val="5"/>
          <c:order val="5"/>
          <c:tx>
            <c:strRef>
              <c:f>'By Week'!$BJ$9</c:f>
              <c:strCache>
                <c:ptCount val="1"/>
                <c:pt idx="0">
                  <c:v>Use of Science in Support</c:v>
                </c:pt>
              </c:strCache>
            </c:strRef>
          </c:tx>
          <c:spPr>
            <a:solidFill>
              <a:schemeClr val="accent6"/>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Week'!$BK$9:$BV$9</c:f>
              <c:numCache>
                <c:formatCode>General</c:formatCode>
                <c:ptCount val="12"/>
                <c:pt idx="0">
                  <c:v>4</c:v>
                </c:pt>
                <c:pt idx="1">
                  <c:v>8</c:v>
                </c:pt>
                <c:pt idx="2">
                  <c:v>6</c:v>
                </c:pt>
                <c:pt idx="3">
                  <c:v>4</c:v>
                </c:pt>
                <c:pt idx="4">
                  <c:v>2</c:v>
                </c:pt>
                <c:pt idx="5">
                  <c:v>8</c:v>
                </c:pt>
                <c:pt idx="6">
                  <c:v>15</c:v>
                </c:pt>
                <c:pt idx="8">
                  <c:v>7</c:v>
                </c:pt>
                <c:pt idx="9">
                  <c:v>4</c:v>
                </c:pt>
                <c:pt idx="10">
                  <c:v>3</c:v>
                </c:pt>
                <c:pt idx="11">
                  <c:v>2</c:v>
                </c:pt>
              </c:numCache>
            </c:numRef>
          </c:val>
          <c:extLst>
            <c:ext xmlns:c16="http://schemas.microsoft.com/office/drawing/2014/chart" uri="{C3380CC4-5D6E-409C-BE32-E72D297353CC}">
              <c16:uniqueId val="{00000005-CAB5-44DF-9855-4A82921E3975}"/>
            </c:ext>
          </c:extLst>
        </c:ser>
        <c:ser>
          <c:idx val="6"/>
          <c:order val="6"/>
          <c:tx>
            <c:strRef>
              <c:f>'By Week'!$BJ$10</c:f>
              <c:strCache>
                <c:ptCount val="1"/>
                <c:pt idx="0">
                  <c:v>Tweets w/o Frames</c:v>
                </c:pt>
              </c:strCache>
            </c:strRef>
          </c:tx>
          <c:spPr>
            <a:solidFill>
              <a:schemeClr val="accent1">
                <a:lumMod val="60000"/>
              </a:schemeClr>
            </a:solidFill>
            <a:ln>
              <a:noFill/>
            </a:ln>
            <a:effectLst/>
          </c:spPr>
          <c:invertIfNegative val="0"/>
          <c:cat>
            <c:numRef>
              <c:f>'By Week'!$BK$3:$BV$3</c:f>
              <c:numCache>
                <c:formatCode>General</c:formatCode>
                <c:ptCount val="12"/>
                <c:pt idx="0">
                  <c:v>-6</c:v>
                </c:pt>
                <c:pt idx="1">
                  <c:v>-5</c:v>
                </c:pt>
                <c:pt idx="2">
                  <c:v>-4</c:v>
                </c:pt>
                <c:pt idx="3">
                  <c:v>-3</c:v>
                </c:pt>
                <c:pt idx="4">
                  <c:v>-2</c:v>
                </c:pt>
                <c:pt idx="5">
                  <c:v>-1</c:v>
                </c:pt>
                <c:pt idx="6">
                  <c:v>1</c:v>
                </c:pt>
                <c:pt idx="7">
                  <c:v>2</c:v>
                </c:pt>
                <c:pt idx="8">
                  <c:v>3</c:v>
                </c:pt>
                <c:pt idx="9">
                  <c:v>4</c:v>
                </c:pt>
                <c:pt idx="10">
                  <c:v>5</c:v>
                </c:pt>
                <c:pt idx="11">
                  <c:v>6</c:v>
                </c:pt>
              </c:numCache>
            </c:numRef>
          </c:cat>
          <c:val>
            <c:numRef>
              <c:f>'By Week'!$BK$10:$BV$10</c:f>
              <c:numCache>
                <c:formatCode>General</c:formatCode>
                <c:ptCount val="12"/>
                <c:pt idx="0">
                  <c:v>18</c:v>
                </c:pt>
                <c:pt idx="1">
                  <c:v>10</c:v>
                </c:pt>
                <c:pt idx="2">
                  <c:v>27</c:v>
                </c:pt>
                <c:pt idx="3">
                  <c:v>13</c:v>
                </c:pt>
                <c:pt idx="4">
                  <c:v>28</c:v>
                </c:pt>
                <c:pt idx="5">
                  <c:v>12</c:v>
                </c:pt>
                <c:pt idx="6">
                  <c:v>103</c:v>
                </c:pt>
                <c:pt idx="7">
                  <c:v>16</c:v>
                </c:pt>
                <c:pt idx="8">
                  <c:v>53</c:v>
                </c:pt>
                <c:pt idx="9">
                  <c:v>31</c:v>
                </c:pt>
                <c:pt idx="10">
                  <c:v>25</c:v>
                </c:pt>
                <c:pt idx="11">
                  <c:v>61</c:v>
                </c:pt>
              </c:numCache>
            </c:numRef>
          </c:val>
          <c:extLst>
            <c:ext xmlns:c16="http://schemas.microsoft.com/office/drawing/2014/chart" uri="{C3380CC4-5D6E-409C-BE32-E72D297353CC}">
              <c16:uniqueId val="{00000006-CAB5-44DF-9855-4A82921E3975}"/>
            </c:ext>
          </c:extLst>
        </c:ser>
        <c:dLbls>
          <c:showLegendKey val="0"/>
          <c:showVal val="0"/>
          <c:showCatName val="0"/>
          <c:showSerName val="0"/>
          <c:showPercent val="0"/>
          <c:showBubbleSize val="0"/>
        </c:dLbls>
        <c:gapWidth val="150"/>
        <c:overlap val="100"/>
        <c:axId val="1949713600"/>
        <c:axId val="1659943952"/>
      </c:barChart>
      <c:catAx>
        <c:axId val="194971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1</a:t>
                </a:r>
                <a:r>
                  <a:rPr lang="en-US" baseline="0"/>
                  <a:t> Week Periods, Before and After Policy Change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943952"/>
        <c:crosses val="autoZero"/>
        <c:auto val="1"/>
        <c:lblAlgn val="ctr"/>
        <c:lblOffset val="100"/>
        <c:noMultiLvlLbl val="0"/>
      </c:catAx>
      <c:valAx>
        <c:axId val="165994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a:t>
                </a:r>
                <a:r>
                  <a:rPr lang="en-US" baseline="0"/>
                  <a:t> of Frames Used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71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D90C536E2D443A8F8BDD743928A57" ma:contentTypeVersion="11" ma:contentTypeDescription="Create a new document." ma:contentTypeScope="" ma:versionID="849b1b32fe9d2faf7aac4dce4ee96dc9">
  <xsd:schema xmlns:xsd="http://www.w3.org/2001/XMLSchema" xmlns:xs="http://www.w3.org/2001/XMLSchema" xmlns:p="http://schemas.microsoft.com/office/2006/metadata/properties" xmlns:ns3="f2f053dc-b729-4b23-af50-6f891647b5c3" targetNamespace="http://schemas.microsoft.com/office/2006/metadata/properties" ma:root="true" ma:fieldsID="83491630ceb204f8367754c49cb32092" ns3:_="">
    <xsd:import namespace="f2f053dc-b729-4b23-af50-6f891647b5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053dc-b729-4b23-af50-6f891647b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A5DFB-6541-4F29-91A4-5730A95CD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1CD40D-DDE5-436E-A05C-C2164290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053dc-b729-4b23-af50-6f891647b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D9151-8955-40E4-8309-D0ED6A2C1622}">
  <ds:schemaRefs>
    <ds:schemaRef ds:uri="http://schemas.openxmlformats.org/officeDocument/2006/bibliography"/>
  </ds:schemaRefs>
</ds:datastoreItem>
</file>

<file path=customXml/itemProps4.xml><?xml version="1.0" encoding="utf-8"?>
<ds:datastoreItem xmlns:ds="http://schemas.openxmlformats.org/officeDocument/2006/customXml" ds:itemID="{D18FA425-675C-43A4-A52D-F9C1FE85C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39911</Words>
  <Characters>227497</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Costie</dc:creator>
  <cp:keywords/>
  <dc:description/>
  <cp:lastModifiedBy>Daniel Costie</cp:lastModifiedBy>
  <cp:revision>9</cp:revision>
  <cp:lastPrinted>2021-03-31T19:17:00Z</cp:lastPrinted>
  <dcterms:created xsi:type="dcterms:W3CDTF">2022-03-07T17:02:00Z</dcterms:created>
  <dcterms:modified xsi:type="dcterms:W3CDTF">2022-03-07T17:09:00Z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76ab7473-e574-3aed-a6c1-e050f6f996e2</vt:lpwstr>
  </property>
  <property fmtid="{D5CDD505-2E9C-101B-9397-08002B2CF9AE}" pid="24" name="Mendeley Citation Style_1">
    <vt:lpwstr>http://www.zotero.org/styles/american-political-science-association</vt:lpwstr>
  </property>
  <property fmtid="{D5CDD505-2E9C-101B-9397-08002B2CF9AE}" pid="25" name="ContentTypeId">
    <vt:lpwstr>0x010100E7FD90C536E2D443A8F8BDD743928A57</vt:lpwstr>
  </property>
</Properties>
</file>