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85B3D" w14:textId="77777777" w:rsidR="00A57226" w:rsidRPr="00E534C2" w:rsidRDefault="00A57226" w:rsidP="00A57226">
      <w:pPr>
        <w:spacing w:line="240" w:lineRule="auto"/>
        <w:jc w:val="center"/>
        <w:rPr>
          <w:rFonts w:eastAsia="MS Mincho" w:cs="Times New Roman"/>
          <w:b/>
          <w:sz w:val="28"/>
          <w:szCs w:val="28"/>
        </w:rPr>
      </w:pPr>
      <w:r w:rsidRPr="00E534C2">
        <w:rPr>
          <w:rFonts w:cs="Times New Roman"/>
          <w:b/>
          <w:bCs/>
          <w:sz w:val="28"/>
          <w:szCs w:val="28"/>
        </w:rPr>
        <w:t>The Politics of Banking Union in the EU: Regulator</w:t>
      </w:r>
      <w:r w:rsidR="00AB0FEE">
        <w:rPr>
          <w:rFonts w:cs="Times New Roman"/>
          <w:b/>
          <w:bCs/>
          <w:sz w:val="28"/>
          <w:szCs w:val="28"/>
        </w:rPr>
        <w:t>s</w:t>
      </w:r>
      <w:r w:rsidRPr="00E534C2">
        <w:rPr>
          <w:rFonts w:cs="Times New Roman"/>
          <w:b/>
          <w:bCs/>
          <w:sz w:val="28"/>
          <w:szCs w:val="28"/>
        </w:rPr>
        <w:t>, Resolution and Deposit Insurance</w:t>
      </w:r>
      <w:r w:rsidRPr="00E534C2">
        <w:rPr>
          <w:rFonts w:eastAsia="MS Mincho" w:cs="Times New Roman"/>
          <w:b/>
          <w:sz w:val="28"/>
          <w:szCs w:val="28"/>
        </w:rPr>
        <w:t> </w:t>
      </w:r>
    </w:p>
    <w:p w14:paraId="0EA11698" w14:textId="77777777" w:rsidR="00A57226" w:rsidRPr="002571B3" w:rsidRDefault="00A57226" w:rsidP="00A57226">
      <w:pPr>
        <w:spacing w:line="240" w:lineRule="auto"/>
        <w:jc w:val="center"/>
        <w:rPr>
          <w:rFonts w:eastAsia="MS Mincho" w:cs="Times New Roman"/>
          <w:szCs w:val="24"/>
        </w:rPr>
      </w:pPr>
    </w:p>
    <w:p w14:paraId="54EC7A1E" w14:textId="77777777" w:rsidR="00A57226" w:rsidRPr="002571B3" w:rsidRDefault="00A57226" w:rsidP="00E534C2">
      <w:pPr>
        <w:spacing w:line="240" w:lineRule="auto"/>
        <w:contextualSpacing/>
        <w:jc w:val="center"/>
        <w:rPr>
          <w:rFonts w:eastAsia="MS Mincho" w:cs="Times New Roman"/>
          <w:szCs w:val="24"/>
        </w:rPr>
      </w:pPr>
    </w:p>
    <w:p w14:paraId="0F15B3E2" w14:textId="77777777" w:rsidR="00A57226" w:rsidRDefault="00A57226" w:rsidP="00E534C2">
      <w:pPr>
        <w:spacing w:line="240" w:lineRule="auto"/>
        <w:contextualSpacing/>
        <w:jc w:val="center"/>
        <w:rPr>
          <w:rFonts w:cs="Times New Roman"/>
          <w:szCs w:val="24"/>
        </w:rPr>
      </w:pPr>
      <w:r w:rsidRPr="002571B3">
        <w:rPr>
          <w:rFonts w:eastAsia="MS Mincho" w:cs="Times New Roman"/>
          <w:szCs w:val="24"/>
        </w:rPr>
        <w:t>Mark C</w:t>
      </w:r>
      <w:r w:rsidRPr="002571B3">
        <w:rPr>
          <w:rFonts w:cs="Times New Roman"/>
          <w:szCs w:val="24"/>
        </w:rPr>
        <w:t>assell</w:t>
      </w:r>
      <w:r w:rsidR="00E534C2">
        <w:rPr>
          <w:rFonts w:cs="Times New Roman"/>
          <w:szCs w:val="24"/>
        </w:rPr>
        <w:t>, Ph.D.</w:t>
      </w:r>
    </w:p>
    <w:p w14:paraId="4EA2968E" w14:textId="77777777" w:rsidR="00E534C2" w:rsidRDefault="00E534C2" w:rsidP="00E534C2">
      <w:pPr>
        <w:spacing w:line="240" w:lineRule="auto"/>
        <w:contextualSpacing/>
        <w:jc w:val="center"/>
        <w:rPr>
          <w:rFonts w:cs="Times New Roman"/>
          <w:szCs w:val="24"/>
        </w:rPr>
      </w:pPr>
      <w:r>
        <w:rPr>
          <w:rFonts w:cs="Times New Roman"/>
          <w:szCs w:val="24"/>
        </w:rPr>
        <w:t>Professor of Political Science</w:t>
      </w:r>
    </w:p>
    <w:p w14:paraId="4E769AEE" w14:textId="77777777" w:rsidR="00E534C2" w:rsidRDefault="00E534C2" w:rsidP="00E534C2">
      <w:pPr>
        <w:spacing w:line="240" w:lineRule="auto"/>
        <w:contextualSpacing/>
        <w:jc w:val="center"/>
        <w:rPr>
          <w:rFonts w:cs="Times New Roman"/>
          <w:szCs w:val="24"/>
        </w:rPr>
      </w:pPr>
      <w:r>
        <w:rPr>
          <w:rFonts w:cs="Times New Roman"/>
          <w:szCs w:val="24"/>
        </w:rPr>
        <w:t>Department of Political Science</w:t>
      </w:r>
    </w:p>
    <w:p w14:paraId="37227208" w14:textId="77777777" w:rsidR="00E534C2" w:rsidRDefault="00E534C2" w:rsidP="00E534C2">
      <w:pPr>
        <w:spacing w:line="240" w:lineRule="auto"/>
        <w:contextualSpacing/>
        <w:jc w:val="center"/>
        <w:rPr>
          <w:rFonts w:cs="Times New Roman"/>
          <w:szCs w:val="24"/>
        </w:rPr>
      </w:pPr>
      <w:r w:rsidRPr="002571B3">
        <w:rPr>
          <w:rFonts w:cs="Times New Roman"/>
          <w:szCs w:val="24"/>
        </w:rPr>
        <w:t>Kent State University</w:t>
      </w:r>
    </w:p>
    <w:p w14:paraId="3F7D6104" w14:textId="77777777" w:rsidR="00E534C2" w:rsidRDefault="00E534C2" w:rsidP="00E534C2">
      <w:pPr>
        <w:spacing w:line="240" w:lineRule="auto"/>
        <w:contextualSpacing/>
        <w:jc w:val="center"/>
        <w:rPr>
          <w:rFonts w:cs="Times New Roman"/>
          <w:szCs w:val="24"/>
        </w:rPr>
      </w:pPr>
      <w:r>
        <w:rPr>
          <w:rFonts w:cs="Times New Roman"/>
          <w:szCs w:val="24"/>
        </w:rPr>
        <w:t>mcassell@kent.edu</w:t>
      </w:r>
    </w:p>
    <w:p w14:paraId="47FFB490" w14:textId="77777777" w:rsidR="00E534C2" w:rsidRDefault="00E534C2" w:rsidP="00E534C2">
      <w:pPr>
        <w:spacing w:line="240" w:lineRule="auto"/>
        <w:contextualSpacing/>
        <w:jc w:val="center"/>
        <w:rPr>
          <w:rFonts w:cs="Times New Roman"/>
          <w:szCs w:val="24"/>
        </w:rPr>
      </w:pPr>
    </w:p>
    <w:p w14:paraId="37BED78C" w14:textId="77777777" w:rsidR="00E534C2" w:rsidRPr="002571B3" w:rsidRDefault="00E534C2" w:rsidP="00E534C2">
      <w:pPr>
        <w:spacing w:line="240" w:lineRule="auto"/>
        <w:contextualSpacing/>
        <w:jc w:val="center"/>
        <w:rPr>
          <w:rFonts w:cs="Times New Roman"/>
          <w:szCs w:val="24"/>
        </w:rPr>
      </w:pPr>
    </w:p>
    <w:p w14:paraId="2F5FEA88" w14:textId="77777777" w:rsidR="00E534C2" w:rsidRDefault="00E534C2" w:rsidP="00E534C2">
      <w:pPr>
        <w:spacing w:line="240" w:lineRule="auto"/>
        <w:contextualSpacing/>
        <w:jc w:val="center"/>
        <w:rPr>
          <w:rFonts w:cs="Times New Roman"/>
          <w:szCs w:val="24"/>
        </w:rPr>
      </w:pPr>
      <w:r>
        <w:rPr>
          <w:rFonts w:cs="Times New Roman"/>
          <w:szCs w:val="24"/>
        </w:rPr>
        <w:t>Anna Hutcheson</w:t>
      </w:r>
    </w:p>
    <w:p w14:paraId="0DB520A0" w14:textId="77777777" w:rsidR="00E534C2" w:rsidRDefault="00E534C2" w:rsidP="00E534C2">
      <w:pPr>
        <w:spacing w:line="240" w:lineRule="auto"/>
        <w:contextualSpacing/>
        <w:jc w:val="center"/>
        <w:rPr>
          <w:rFonts w:cs="Times New Roman"/>
          <w:szCs w:val="24"/>
        </w:rPr>
      </w:pPr>
      <w:r>
        <w:rPr>
          <w:rFonts w:cs="Times New Roman"/>
          <w:szCs w:val="24"/>
        </w:rPr>
        <w:t>Doctoral Student</w:t>
      </w:r>
    </w:p>
    <w:p w14:paraId="78B15CF5" w14:textId="77777777" w:rsidR="00E534C2" w:rsidRDefault="00E534C2" w:rsidP="00E534C2">
      <w:pPr>
        <w:spacing w:line="240" w:lineRule="auto"/>
        <w:contextualSpacing/>
        <w:jc w:val="center"/>
        <w:rPr>
          <w:rFonts w:cs="Times New Roman"/>
          <w:szCs w:val="24"/>
        </w:rPr>
      </w:pPr>
      <w:r>
        <w:rPr>
          <w:rFonts w:cs="Times New Roman"/>
          <w:szCs w:val="24"/>
        </w:rPr>
        <w:t>Department of Political Science</w:t>
      </w:r>
    </w:p>
    <w:p w14:paraId="4748241B" w14:textId="77777777" w:rsidR="00E534C2" w:rsidRDefault="00A57226" w:rsidP="00E534C2">
      <w:pPr>
        <w:spacing w:line="240" w:lineRule="auto"/>
        <w:contextualSpacing/>
        <w:jc w:val="center"/>
        <w:rPr>
          <w:rFonts w:cs="Times New Roman"/>
          <w:szCs w:val="24"/>
        </w:rPr>
      </w:pPr>
      <w:r w:rsidRPr="002571B3">
        <w:rPr>
          <w:rFonts w:cs="Times New Roman"/>
          <w:szCs w:val="24"/>
        </w:rPr>
        <w:t>Kent State University</w:t>
      </w:r>
    </w:p>
    <w:p w14:paraId="359DF873" w14:textId="77777777" w:rsidR="00E534C2" w:rsidRDefault="00E534C2" w:rsidP="00E534C2">
      <w:pPr>
        <w:spacing w:line="240" w:lineRule="auto"/>
        <w:contextualSpacing/>
        <w:jc w:val="center"/>
        <w:rPr>
          <w:rFonts w:cs="Times New Roman"/>
          <w:szCs w:val="24"/>
        </w:rPr>
      </w:pPr>
      <w:r w:rsidRPr="00E534C2">
        <w:rPr>
          <w:rFonts w:cs="Times New Roman"/>
          <w:szCs w:val="24"/>
        </w:rPr>
        <w:t>ahutche2@ke</w:t>
      </w:r>
      <w:r>
        <w:rPr>
          <w:rFonts w:cs="Times New Roman"/>
          <w:szCs w:val="24"/>
        </w:rPr>
        <w:t>nt.edu</w:t>
      </w:r>
    </w:p>
    <w:p w14:paraId="0851290D" w14:textId="77777777" w:rsidR="00E534C2" w:rsidRPr="002571B3" w:rsidRDefault="00E534C2" w:rsidP="00E534C2">
      <w:pPr>
        <w:spacing w:line="240" w:lineRule="auto"/>
        <w:contextualSpacing/>
        <w:jc w:val="center"/>
        <w:rPr>
          <w:rFonts w:cs="Times New Roman"/>
          <w:szCs w:val="24"/>
        </w:rPr>
      </w:pPr>
    </w:p>
    <w:p w14:paraId="2CA07FF6" w14:textId="77777777" w:rsidR="00E534C2" w:rsidRDefault="00E534C2" w:rsidP="00E534C2"/>
    <w:p w14:paraId="2459C89A" w14:textId="77777777" w:rsidR="00E534C2" w:rsidRDefault="00E534C2" w:rsidP="00E534C2"/>
    <w:p w14:paraId="23717352" w14:textId="77777777" w:rsidR="00E534C2" w:rsidRDefault="00E534C2" w:rsidP="00E534C2"/>
    <w:p w14:paraId="5261CD2E" w14:textId="77777777" w:rsidR="00E534C2" w:rsidRPr="00E534C2" w:rsidRDefault="00E534C2" w:rsidP="00E534C2">
      <w:pPr>
        <w:jc w:val="center"/>
        <w:rPr>
          <w:b/>
        </w:rPr>
      </w:pPr>
      <w:r>
        <w:t xml:space="preserve">*** </w:t>
      </w:r>
      <w:r>
        <w:rPr>
          <w:b/>
        </w:rPr>
        <w:t>Please do not cite without the permission of the authors**</w:t>
      </w:r>
    </w:p>
    <w:p w14:paraId="0D0946FD" w14:textId="77777777" w:rsidR="00E534C2" w:rsidRDefault="00E534C2" w:rsidP="00E534C2"/>
    <w:p w14:paraId="37F51341" w14:textId="77777777" w:rsidR="00E534C2" w:rsidRDefault="00E534C2" w:rsidP="00E534C2"/>
    <w:p w14:paraId="4FF0790F" w14:textId="77777777" w:rsidR="00E534C2" w:rsidRDefault="00E534C2" w:rsidP="00E534C2"/>
    <w:p w14:paraId="5761031F" w14:textId="77777777" w:rsidR="00E534C2" w:rsidRDefault="00E534C2" w:rsidP="00E534C2"/>
    <w:p w14:paraId="3FC1B1D3" w14:textId="77777777" w:rsidR="00E534C2" w:rsidRDefault="00E534C2" w:rsidP="00E534C2"/>
    <w:p w14:paraId="04CFC545" w14:textId="77777777" w:rsidR="00E534C2" w:rsidRDefault="00E534C2" w:rsidP="00E534C2"/>
    <w:p w14:paraId="31CFA4D6" w14:textId="77777777" w:rsidR="00E534C2" w:rsidRDefault="00E534C2" w:rsidP="00E534C2"/>
    <w:p w14:paraId="05F36523" w14:textId="77777777" w:rsidR="00E534C2" w:rsidRDefault="00E534C2" w:rsidP="00E534C2"/>
    <w:p w14:paraId="657B9673" w14:textId="77777777" w:rsidR="00E534C2" w:rsidRDefault="00E534C2" w:rsidP="00E534C2"/>
    <w:p w14:paraId="5147B675" w14:textId="77777777" w:rsidR="00E534C2" w:rsidRDefault="00E534C2" w:rsidP="00E534C2"/>
    <w:p w14:paraId="472F89EF" w14:textId="77777777" w:rsidR="00E534C2" w:rsidRDefault="00E534C2" w:rsidP="00E534C2">
      <w:r>
        <w:t xml:space="preserve">Prepared for delivery at the </w:t>
      </w:r>
      <w:r>
        <w:rPr>
          <w:rFonts w:eastAsia="Times New Roman" w:cs="Times New Roman"/>
        </w:rPr>
        <w:t xml:space="preserve">Financial Crisis in Comparative Perspective Panel at the </w:t>
      </w:r>
      <w:r>
        <w:t xml:space="preserve">2016 Annual Meeting of the Western Political Science Association, San Diego, CA March 24-28, 2016.  </w:t>
      </w:r>
    </w:p>
    <w:p w14:paraId="05CB7117" w14:textId="77777777" w:rsidR="00A57226" w:rsidRPr="002571B3" w:rsidRDefault="00A57226" w:rsidP="00E534C2">
      <w:pPr>
        <w:spacing w:line="240" w:lineRule="auto"/>
        <w:contextualSpacing/>
        <w:jc w:val="center"/>
        <w:rPr>
          <w:rFonts w:cs="Times New Roman"/>
          <w:bCs/>
          <w:caps/>
          <w:szCs w:val="24"/>
        </w:rPr>
      </w:pPr>
      <w:r w:rsidRPr="002571B3">
        <w:rPr>
          <w:rFonts w:cs="Times New Roman"/>
          <w:szCs w:val="24"/>
        </w:rPr>
        <w:br w:type="column"/>
      </w:r>
    </w:p>
    <w:p w14:paraId="68BE3BF8" w14:textId="77777777" w:rsidR="00A57226" w:rsidRPr="002571B3" w:rsidRDefault="00A57226" w:rsidP="00A57226">
      <w:pPr>
        <w:spacing w:line="480" w:lineRule="auto"/>
        <w:rPr>
          <w:rFonts w:cs="Times New Roman"/>
          <w:b/>
          <w:bCs/>
          <w:caps/>
          <w:szCs w:val="24"/>
        </w:rPr>
      </w:pPr>
      <w:r w:rsidRPr="002571B3">
        <w:rPr>
          <w:rFonts w:cs="Times New Roman"/>
          <w:b/>
          <w:bCs/>
          <w:caps/>
          <w:szCs w:val="24"/>
        </w:rPr>
        <w:t>Introduction</w:t>
      </w:r>
      <w:r w:rsidRPr="002571B3">
        <w:rPr>
          <w:rFonts w:cs="Times New Roman"/>
          <w:b/>
          <w:bCs/>
          <w:caps/>
          <w:szCs w:val="24"/>
        </w:rPr>
        <w:tab/>
      </w:r>
    </w:p>
    <w:p w14:paraId="650F9745" w14:textId="77777777" w:rsidR="00A57226" w:rsidRPr="002571B3" w:rsidRDefault="00A57226" w:rsidP="00A57226">
      <w:pPr>
        <w:spacing w:line="480" w:lineRule="auto"/>
        <w:ind w:firstLine="720"/>
        <w:rPr>
          <w:rFonts w:cs="Times New Roman"/>
          <w:szCs w:val="24"/>
        </w:rPr>
      </w:pPr>
      <w:r w:rsidRPr="002571B3">
        <w:rPr>
          <w:rFonts w:cs="Times New Roman"/>
          <w:szCs w:val="24"/>
        </w:rPr>
        <w:t xml:space="preserve">Nearly 20 years ago Stanley Hoffmann (1997, 139) bemoaned the pessimism toward a more united Europe in a review essay in </w:t>
      </w:r>
      <w:r w:rsidRPr="002571B3">
        <w:rPr>
          <w:rFonts w:cs="Times New Roman"/>
          <w:i/>
          <w:szCs w:val="24"/>
        </w:rPr>
        <w:t>Foreign Affairs</w:t>
      </w:r>
      <w:r w:rsidRPr="002571B3">
        <w:rPr>
          <w:rFonts w:cs="Times New Roman"/>
          <w:szCs w:val="24"/>
        </w:rPr>
        <w:t xml:space="preserve"> titled, “</w:t>
      </w:r>
      <w:r w:rsidRPr="002571B3">
        <w:rPr>
          <w:rFonts w:eastAsia="Times New Roman" w:cs="Times New Roman"/>
          <w:szCs w:val="24"/>
        </w:rPr>
        <w:t xml:space="preserve">Back to Euro-Pessimism? A Jeremiad Too Fond of Gloom and Doom.”  </w:t>
      </w:r>
      <w:r w:rsidRPr="002571B3">
        <w:rPr>
          <w:rFonts w:cs="Times New Roman"/>
          <w:szCs w:val="24"/>
        </w:rPr>
        <w:t xml:space="preserve">Since its inception as the European Coal and Steel Community </w:t>
      </w:r>
      <w:r>
        <w:rPr>
          <w:rFonts w:cs="Times New Roman"/>
          <w:szCs w:val="24"/>
        </w:rPr>
        <w:t xml:space="preserve">(ECSC) </w:t>
      </w:r>
      <w:r w:rsidRPr="002571B3">
        <w:rPr>
          <w:rFonts w:cs="Times New Roman"/>
          <w:szCs w:val="24"/>
        </w:rPr>
        <w:t>in 1951, the European Union</w:t>
      </w:r>
      <w:r>
        <w:rPr>
          <w:rFonts w:cs="Times New Roman"/>
          <w:szCs w:val="24"/>
        </w:rPr>
        <w:t xml:space="preserve"> (EU)</w:t>
      </w:r>
      <w:r w:rsidRPr="002571B3">
        <w:rPr>
          <w:rFonts w:cs="Times New Roman"/>
          <w:szCs w:val="24"/>
        </w:rPr>
        <w:t xml:space="preserve"> has struggled to unify its economic and monetary systems.  Hoffmann’s point two decades ago is an important reminder that the history of European integration is characterized by periods of accomplishments and optimism followed by periods of stagnation and “Euro-pessimism</w:t>
      </w:r>
      <w:r>
        <w:rPr>
          <w:rFonts w:cs="Times New Roman"/>
          <w:szCs w:val="24"/>
        </w:rPr>
        <w:t>.</w:t>
      </w:r>
      <w:r w:rsidRPr="002571B3">
        <w:rPr>
          <w:rFonts w:cs="Times New Roman"/>
          <w:szCs w:val="24"/>
        </w:rPr>
        <w:t>”</w:t>
      </w:r>
      <w:r>
        <w:rPr>
          <w:rFonts w:cs="Times New Roman"/>
          <w:szCs w:val="24"/>
        </w:rPr>
        <w:t xml:space="preserve">  The European shuffle is always</w:t>
      </w:r>
      <w:r w:rsidRPr="002571B3">
        <w:rPr>
          <w:rFonts w:cs="Times New Roman"/>
          <w:szCs w:val="24"/>
        </w:rPr>
        <w:t xml:space="preserve"> two steps forward, one step back.   </w:t>
      </w:r>
    </w:p>
    <w:p w14:paraId="222B2DC6" w14:textId="10E86CF2" w:rsidR="00A57226" w:rsidRPr="002571B3" w:rsidRDefault="00A57226" w:rsidP="00A57226">
      <w:pPr>
        <w:pStyle w:val="Heading1"/>
        <w:spacing w:line="480" w:lineRule="auto"/>
        <w:ind w:firstLine="720"/>
        <w:rPr>
          <w:rFonts w:ascii="Times New Roman" w:hAnsi="Times New Roman" w:cs="Times New Roman"/>
          <w:b w:val="0"/>
          <w:sz w:val="24"/>
          <w:szCs w:val="24"/>
        </w:rPr>
      </w:pPr>
      <w:r w:rsidRPr="002571B3">
        <w:rPr>
          <w:rFonts w:ascii="Times New Roman" w:hAnsi="Times New Roman" w:cs="Times New Roman"/>
          <w:b w:val="0"/>
          <w:sz w:val="24"/>
          <w:szCs w:val="24"/>
        </w:rPr>
        <w:t xml:space="preserve">Today Euro-pessimism is in resurgence </w:t>
      </w:r>
      <w:r w:rsidRPr="002571B3">
        <w:rPr>
          <w:rFonts w:ascii="Times New Roman" w:eastAsia="Times New Roman" w:hAnsi="Times New Roman" w:cs="Times New Roman"/>
          <w:b w:val="0"/>
          <w:sz w:val="24"/>
          <w:szCs w:val="24"/>
        </w:rPr>
        <w:t>(Yardley, 2015; Gordan, 2014)</w:t>
      </w:r>
      <w:r w:rsidRPr="002571B3">
        <w:rPr>
          <w:rFonts w:ascii="Times New Roman" w:hAnsi="Times New Roman" w:cs="Times New Roman"/>
          <w:b w:val="0"/>
          <w:sz w:val="24"/>
          <w:szCs w:val="24"/>
        </w:rPr>
        <w:t>.  The continent continues to deal with a severe banking and sovereign debt</w:t>
      </w:r>
      <w:r w:rsidR="004C7F58">
        <w:rPr>
          <w:rFonts w:ascii="Times New Roman" w:hAnsi="Times New Roman" w:cs="Times New Roman"/>
          <w:b w:val="0"/>
          <w:sz w:val="24"/>
          <w:szCs w:val="24"/>
        </w:rPr>
        <w:t xml:space="preserve"> problem</w:t>
      </w:r>
      <w:r w:rsidRPr="002571B3">
        <w:rPr>
          <w:rFonts w:ascii="Times New Roman" w:hAnsi="Times New Roman" w:cs="Times New Roman"/>
          <w:b w:val="0"/>
          <w:sz w:val="24"/>
          <w:szCs w:val="24"/>
        </w:rPr>
        <w:t xml:space="preserve"> </w:t>
      </w:r>
      <w:r w:rsidRPr="002571B3">
        <w:rPr>
          <w:rFonts w:ascii="Times New Roman" w:eastAsia="Times New Roman" w:hAnsi="Times New Roman" w:cs="Times New Roman"/>
          <w:b w:val="0"/>
          <w:sz w:val="24"/>
          <w:szCs w:val="24"/>
        </w:rPr>
        <w:t>(Jones, Kelemen, &amp; Meunier, 2015)</w:t>
      </w:r>
      <w:r w:rsidRPr="002571B3">
        <w:rPr>
          <w:rFonts w:ascii="Times New Roman" w:hAnsi="Times New Roman" w:cs="Times New Roman"/>
          <w:b w:val="0"/>
          <w:sz w:val="24"/>
          <w:szCs w:val="24"/>
        </w:rPr>
        <w:t xml:space="preserve">.  Growth rates among Europe’s national economies are uneven at best and anemic at worst.  </w:t>
      </w:r>
      <w:r w:rsidRPr="002571B3">
        <w:rPr>
          <w:rFonts w:ascii="Times New Roman" w:eastAsia="Times New Roman" w:hAnsi="Times New Roman" w:cs="Times New Roman"/>
          <w:b w:val="0"/>
          <w:sz w:val="24"/>
          <w:szCs w:val="24"/>
        </w:rPr>
        <w:t xml:space="preserve">The </w:t>
      </w:r>
      <w:r w:rsidR="00841C5E">
        <w:rPr>
          <w:rFonts w:ascii="Times New Roman" w:eastAsia="Times New Roman" w:hAnsi="Times New Roman" w:cs="Times New Roman"/>
          <w:b w:val="0"/>
          <w:sz w:val="24"/>
          <w:szCs w:val="24"/>
        </w:rPr>
        <w:t xml:space="preserve">real </w:t>
      </w:r>
      <w:r w:rsidRPr="002571B3">
        <w:rPr>
          <w:rFonts w:ascii="Times New Roman" w:eastAsia="Times New Roman" w:hAnsi="Times New Roman" w:cs="Times New Roman"/>
          <w:b w:val="0"/>
          <w:sz w:val="24"/>
          <w:szCs w:val="24"/>
        </w:rPr>
        <w:t>gross domestic product</w:t>
      </w:r>
      <w:r>
        <w:rPr>
          <w:rFonts w:ascii="Times New Roman" w:eastAsia="Times New Roman" w:hAnsi="Times New Roman" w:cs="Times New Roman"/>
          <w:b w:val="0"/>
          <w:sz w:val="24"/>
          <w:szCs w:val="24"/>
        </w:rPr>
        <w:t xml:space="preserve"> (GDP) </w:t>
      </w:r>
      <w:r w:rsidRPr="002571B3">
        <w:rPr>
          <w:rFonts w:ascii="Times New Roman" w:eastAsia="Times New Roman" w:hAnsi="Times New Roman" w:cs="Times New Roman"/>
          <w:b w:val="0"/>
          <w:sz w:val="24"/>
          <w:szCs w:val="24"/>
        </w:rPr>
        <w:t xml:space="preserve">of the 19 countries </w:t>
      </w:r>
      <w:r w:rsidR="00841C5E">
        <w:rPr>
          <w:rFonts w:ascii="Times New Roman" w:eastAsia="Times New Roman" w:hAnsi="Times New Roman" w:cs="Times New Roman"/>
          <w:b w:val="0"/>
          <w:sz w:val="24"/>
          <w:szCs w:val="24"/>
        </w:rPr>
        <w:t>(out of 28 EU member states) that share the euro</w:t>
      </w:r>
      <w:r w:rsidRPr="002571B3">
        <w:rPr>
          <w:rFonts w:ascii="Times New Roman" w:eastAsia="Times New Roman" w:hAnsi="Times New Roman" w:cs="Times New Roman"/>
          <w:b w:val="0"/>
          <w:sz w:val="24"/>
          <w:szCs w:val="24"/>
        </w:rPr>
        <w:t xml:space="preserve"> was less in 2014 than it was in 2007.  In Spain and Greece jobless rates are north of 25 percent and even higher among young adults (Jolly 2014). </w:t>
      </w:r>
      <w:r w:rsidRPr="002571B3">
        <w:rPr>
          <w:rFonts w:ascii="Times New Roman" w:hAnsi="Times New Roman" w:cs="Times New Roman"/>
          <w:b w:val="0"/>
          <w:sz w:val="24"/>
          <w:szCs w:val="24"/>
        </w:rPr>
        <w:t xml:space="preserve">Conflicts in the Middle East triggered a refugee crisis that taxes European governments’ capacity to govern and fuels extremist political parties </w:t>
      </w:r>
      <w:r w:rsidRPr="002571B3">
        <w:rPr>
          <w:rFonts w:ascii="Times New Roman" w:eastAsia="Times New Roman" w:hAnsi="Times New Roman" w:cs="Times New Roman"/>
          <w:b w:val="0"/>
          <w:sz w:val="24"/>
          <w:szCs w:val="24"/>
        </w:rPr>
        <w:t>(Polychroniou, 2015)</w:t>
      </w:r>
      <w:r w:rsidRPr="002571B3">
        <w:rPr>
          <w:rFonts w:ascii="Times New Roman" w:hAnsi="Times New Roman" w:cs="Times New Roman"/>
          <w:b w:val="0"/>
          <w:sz w:val="24"/>
          <w:szCs w:val="24"/>
        </w:rPr>
        <w:t xml:space="preserve">.  The situation is so dire that countries like Greece and Britain are seriously considering the unthinkable: leaving the European Union </w:t>
      </w:r>
      <w:r w:rsidRPr="002571B3">
        <w:rPr>
          <w:rFonts w:ascii="Times New Roman" w:eastAsia="Times New Roman" w:hAnsi="Times New Roman" w:cs="Times New Roman"/>
          <w:b w:val="0"/>
          <w:sz w:val="24"/>
          <w:szCs w:val="24"/>
        </w:rPr>
        <w:t>("Everyone Loses If Britain Exits the E.U.," 2016)</w:t>
      </w:r>
      <w:r w:rsidRPr="002571B3">
        <w:rPr>
          <w:rFonts w:ascii="Times New Roman" w:hAnsi="Times New Roman" w:cs="Times New Roman"/>
          <w:b w:val="0"/>
          <w:sz w:val="24"/>
          <w:szCs w:val="24"/>
        </w:rPr>
        <w:t xml:space="preserve">.  Yet, there is one bright spot in an otherwise dreary outlook: banking union, the legislative effort by European policy makers to create a level playing field for their banking and finance sectors.  </w:t>
      </w:r>
    </w:p>
    <w:p w14:paraId="6D87DA7F" w14:textId="3FA84752" w:rsidR="00A57226" w:rsidRDefault="00A57226" w:rsidP="00A57226">
      <w:pPr>
        <w:pStyle w:val="Heading1"/>
        <w:spacing w:line="480" w:lineRule="auto"/>
        <w:ind w:firstLine="720"/>
        <w:rPr>
          <w:rFonts w:ascii="Times New Roman" w:hAnsi="Times New Roman" w:cs="Times New Roman"/>
          <w:b w:val="0"/>
          <w:sz w:val="24"/>
          <w:szCs w:val="24"/>
        </w:rPr>
      </w:pPr>
      <w:r w:rsidRPr="002571B3">
        <w:rPr>
          <w:rFonts w:ascii="Times New Roman" w:hAnsi="Times New Roman" w:cs="Times New Roman"/>
          <w:b w:val="0"/>
          <w:sz w:val="24"/>
          <w:szCs w:val="24"/>
        </w:rPr>
        <w:t>The Great Recession and the sovereign debt crisis prompted European leaders to take “a radical initiative to stabilize the EU’s national banking systems” (Howarth and Quaglia 2013, 104; Mün</w:t>
      </w:r>
      <w:r w:rsidR="005B0640">
        <w:rPr>
          <w:rFonts w:ascii="Times New Roman" w:hAnsi="Times New Roman" w:cs="Times New Roman"/>
          <w:b w:val="0"/>
          <w:sz w:val="24"/>
          <w:szCs w:val="24"/>
        </w:rPr>
        <w:t>chau</w:t>
      </w:r>
      <w:r w:rsidRPr="002571B3">
        <w:rPr>
          <w:rFonts w:ascii="Times New Roman" w:hAnsi="Times New Roman" w:cs="Times New Roman"/>
          <w:b w:val="0"/>
          <w:sz w:val="24"/>
          <w:szCs w:val="24"/>
        </w:rPr>
        <w:t xml:space="preserve"> 2015).  In </w:t>
      </w:r>
      <w:r w:rsidRPr="00841C5E">
        <w:rPr>
          <w:rFonts w:ascii="Times New Roman" w:hAnsi="Times New Roman" w:cs="Times New Roman"/>
          <w:b w:val="0"/>
          <w:sz w:val="24"/>
          <w:szCs w:val="24"/>
        </w:rPr>
        <w:t>spring 2012 IMF Managing Di</w:t>
      </w:r>
      <w:r w:rsidR="00841C5E" w:rsidRPr="00841C5E">
        <w:rPr>
          <w:rFonts w:ascii="Times New Roman" w:hAnsi="Times New Roman" w:cs="Times New Roman"/>
          <w:b w:val="0"/>
          <w:sz w:val="24"/>
          <w:szCs w:val="24"/>
        </w:rPr>
        <w:t xml:space="preserve">rector Christine LaGarde </w:t>
      </w:r>
      <w:r w:rsidR="00841C5E" w:rsidRPr="00481BB1">
        <w:rPr>
          <w:rFonts w:eastAsia="Times New Roman" w:cs="Times New Roman"/>
          <w:b w:val="0"/>
          <w:sz w:val="24"/>
          <w:szCs w:val="24"/>
        </w:rPr>
        <w:t>("IMF/CFP</w:t>
      </w:r>
      <w:r w:rsidR="00841C5E" w:rsidRPr="00841C5E">
        <w:rPr>
          <w:rFonts w:eastAsia="Times New Roman" w:cs="Times New Roman"/>
          <w:b w:val="0"/>
          <w:sz w:val="24"/>
          <w:szCs w:val="24"/>
        </w:rPr>
        <w:t xml:space="preserve"> Policy Roundtable" 2012) </w:t>
      </w:r>
      <w:r w:rsidRPr="00841C5E">
        <w:rPr>
          <w:rFonts w:ascii="Times New Roman" w:hAnsi="Times New Roman" w:cs="Times New Roman"/>
          <w:b w:val="0"/>
          <w:sz w:val="24"/>
          <w:szCs w:val="24"/>
        </w:rPr>
        <w:t>and European Central Bank (E</w:t>
      </w:r>
      <w:r w:rsidR="00841C5E" w:rsidRPr="00841C5E">
        <w:rPr>
          <w:rFonts w:ascii="Times New Roman" w:hAnsi="Times New Roman" w:cs="Times New Roman"/>
          <w:b w:val="0"/>
          <w:sz w:val="24"/>
          <w:szCs w:val="24"/>
        </w:rPr>
        <w:t xml:space="preserve">CB) president Mario Draghi </w:t>
      </w:r>
      <w:r w:rsidR="00841C5E">
        <w:rPr>
          <w:rFonts w:ascii="Times New Roman" w:hAnsi="Times New Roman" w:cs="Times New Roman"/>
          <w:b w:val="0"/>
          <w:sz w:val="24"/>
          <w:szCs w:val="24"/>
        </w:rPr>
        <w:t>(“</w:t>
      </w:r>
      <w:r w:rsidR="00841C5E" w:rsidRPr="00841C5E">
        <w:rPr>
          <w:rStyle w:val="citationtext"/>
          <w:rFonts w:eastAsia="Times New Roman" w:cs="Times New Roman"/>
          <w:b w:val="0"/>
          <w:sz w:val="24"/>
          <w:szCs w:val="24"/>
        </w:rPr>
        <w:t>Hearing at the Committee on Economic and Monetary Affairs</w:t>
      </w:r>
      <w:r w:rsidR="00841C5E">
        <w:rPr>
          <w:rStyle w:val="citationtext"/>
          <w:rFonts w:eastAsia="Times New Roman" w:cs="Times New Roman"/>
          <w:b w:val="0"/>
          <w:sz w:val="24"/>
          <w:szCs w:val="24"/>
        </w:rPr>
        <w:t xml:space="preserve">” </w:t>
      </w:r>
      <w:r w:rsidR="00841C5E" w:rsidRPr="00841C5E">
        <w:rPr>
          <w:rStyle w:val="citationtext"/>
          <w:rFonts w:eastAsia="Times New Roman" w:cs="Times New Roman"/>
          <w:b w:val="0"/>
          <w:sz w:val="24"/>
          <w:szCs w:val="24"/>
        </w:rPr>
        <w:t>2012</w:t>
      </w:r>
      <w:r w:rsidR="00841C5E">
        <w:rPr>
          <w:rStyle w:val="citationtext"/>
          <w:rFonts w:eastAsia="Times New Roman" w:cs="Times New Roman"/>
          <w:b w:val="0"/>
          <w:sz w:val="24"/>
          <w:szCs w:val="24"/>
        </w:rPr>
        <w:t>)</w:t>
      </w:r>
      <w:r w:rsidRPr="002571B3">
        <w:rPr>
          <w:rFonts w:ascii="Times New Roman" w:hAnsi="Times New Roman" w:cs="Times New Roman"/>
          <w:b w:val="0"/>
          <w:sz w:val="24"/>
          <w:szCs w:val="24"/>
        </w:rPr>
        <w:t xml:space="preserve"> issued </w:t>
      </w:r>
      <w:r>
        <w:rPr>
          <w:rFonts w:ascii="Times New Roman" w:hAnsi="Times New Roman" w:cs="Times New Roman"/>
          <w:b w:val="0"/>
          <w:sz w:val="24"/>
          <w:szCs w:val="24"/>
        </w:rPr>
        <w:t xml:space="preserve">dire </w:t>
      </w:r>
      <w:r w:rsidRPr="002571B3">
        <w:rPr>
          <w:rFonts w:ascii="Times New Roman" w:hAnsi="Times New Roman" w:cs="Times New Roman"/>
          <w:b w:val="0"/>
          <w:sz w:val="24"/>
          <w:szCs w:val="24"/>
        </w:rPr>
        <w:t>warning</w:t>
      </w:r>
      <w:r>
        <w:rPr>
          <w:rFonts w:ascii="Times New Roman" w:hAnsi="Times New Roman" w:cs="Times New Roman"/>
          <w:b w:val="0"/>
          <w:sz w:val="24"/>
          <w:szCs w:val="24"/>
        </w:rPr>
        <w:t>s</w:t>
      </w:r>
      <w:r w:rsidRPr="002571B3">
        <w:rPr>
          <w:rFonts w:ascii="Times New Roman" w:hAnsi="Times New Roman" w:cs="Times New Roman"/>
          <w:b w:val="0"/>
          <w:sz w:val="24"/>
          <w:szCs w:val="24"/>
        </w:rPr>
        <w:t xml:space="preserve"> about the health of the E</w:t>
      </w:r>
      <w:r>
        <w:rPr>
          <w:rFonts w:ascii="Times New Roman" w:hAnsi="Times New Roman" w:cs="Times New Roman"/>
          <w:b w:val="0"/>
          <w:sz w:val="24"/>
          <w:szCs w:val="24"/>
        </w:rPr>
        <w:t xml:space="preserve">uropean Monetary Union (EMU) and called </w:t>
      </w:r>
      <w:r w:rsidRPr="002571B3">
        <w:rPr>
          <w:rFonts w:ascii="Times New Roman" w:hAnsi="Times New Roman" w:cs="Times New Roman"/>
          <w:b w:val="0"/>
          <w:sz w:val="24"/>
          <w:szCs w:val="24"/>
        </w:rPr>
        <w:t>for “</w:t>
      </w:r>
      <w:r w:rsidRPr="002571B3">
        <w:rPr>
          <w:rFonts w:ascii="Times New Roman" w:eastAsia="Times New Roman" w:hAnsi="Times New Roman" w:cs="Times New Roman"/>
          <w:b w:val="0"/>
          <w:sz w:val="24"/>
          <w:szCs w:val="24"/>
        </w:rPr>
        <w:t>strengthening banking supervision and resolution at</w:t>
      </w:r>
      <w:r w:rsidR="009662EB">
        <w:rPr>
          <w:rFonts w:ascii="Times New Roman" w:eastAsia="Times New Roman" w:hAnsi="Times New Roman" w:cs="Times New Roman"/>
          <w:b w:val="0"/>
          <w:sz w:val="24"/>
          <w:szCs w:val="24"/>
        </w:rPr>
        <w:t xml:space="preserve"> the</w:t>
      </w:r>
      <w:r w:rsidRPr="002571B3">
        <w:rPr>
          <w:rFonts w:ascii="Times New Roman" w:eastAsia="Times New Roman" w:hAnsi="Times New Roman" w:cs="Times New Roman"/>
          <w:b w:val="0"/>
          <w:sz w:val="24"/>
          <w:szCs w:val="24"/>
        </w:rPr>
        <w:t xml:space="preserve"> European level.” </w:t>
      </w:r>
      <w:r w:rsidRPr="002571B3">
        <w:rPr>
          <w:rFonts w:ascii="Times New Roman" w:hAnsi="Times New Roman" w:cs="Times New Roman"/>
          <w:b w:val="0"/>
          <w:sz w:val="24"/>
          <w:szCs w:val="24"/>
        </w:rPr>
        <w:t xml:space="preserve"> The following summer the</w:t>
      </w:r>
      <w:r>
        <w:rPr>
          <w:rFonts w:ascii="Times New Roman" w:hAnsi="Times New Roman" w:cs="Times New Roman"/>
          <w:b w:val="0"/>
          <w:sz w:val="24"/>
          <w:szCs w:val="24"/>
        </w:rPr>
        <w:t xml:space="preserve"> European Commission issued the</w:t>
      </w:r>
      <w:r w:rsidRPr="002571B3">
        <w:rPr>
          <w:rFonts w:ascii="Times New Roman" w:hAnsi="Times New Roman" w:cs="Times New Roman"/>
          <w:b w:val="0"/>
          <w:sz w:val="24"/>
          <w:szCs w:val="24"/>
        </w:rPr>
        <w:t xml:space="preserve"> “Roadmap towards a Banking Union” which stressed the importance of creating a banking union as a ‘mutual reinforcement’ for the single market (European Commission 2012, 4).   The road</w:t>
      </w:r>
      <w:r>
        <w:rPr>
          <w:rFonts w:ascii="Times New Roman" w:hAnsi="Times New Roman" w:cs="Times New Roman"/>
          <w:b w:val="0"/>
          <w:sz w:val="24"/>
          <w:szCs w:val="24"/>
        </w:rPr>
        <w:t xml:space="preserve">map spelled out </w:t>
      </w:r>
      <w:r w:rsidRPr="002571B3">
        <w:rPr>
          <w:rFonts w:ascii="Times New Roman" w:hAnsi="Times New Roman" w:cs="Times New Roman"/>
          <w:b w:val="0"/>
          <w:sz w:val="24"/>
          <w:szCs w:val="24"/>
        </w:rPr>
        <w:t>three pillars</w:t>
      </w:r>
      <w:r>
        <w:rPr>
          <w:rFonts w:ascii="Times New Roman" w:hAnsi="Times New Roman" w:cs="Times New Roman"/>
          <w:b w:val="0"/>
          <w:sz w:val="24"/>
          <w:szCs w:val="24"/>
        </w:rPr>
        <w:t xml:space="preserve"> of banking union</w:t>
      </w:r>
      <w:r w:rsidRPr="002571B3">
        <w:rPr>
          <w:rFonts w:ascii="Times New Roman" w:hAnsi="Times New Roman" w:cs="Times New Roman"/>
          <w:b w:val="0"/>
          <w:sz w:val="24"/>
          <w:szCs w:val="24"/>
        </w:rPr>
        <w:t xml:space="preserve">: 1) prudential requirements, including a single supervisor; 2) a common deposit guarantee scheme; and 3) an “integrated crisis management framework” or resolution plan (European Commission 2012, 6).  </w:t>
      </w:r>
      <w:r>
        <w:rPr>
          <w:rFonts w:ascii="Times New Roman" w:hAnsi="Times New Roman" w:cs="Times New Roman"/>
          <w:b w:val="0"/>
          <w:sz w:val="24"/>
          <w:szCs w:val="24"/>
        </w:rPr>
        <w:t xml:space="preserve">In 2013, within a year of the Roadmap, </w:t>
      </w:r>
      <w:r w:rsidRPr="002571B3">
        <w:rPr>
          <w:rFonts w:ascii="Times New Roman" w:hAnsi="Times New Roman" w:cs="Times New Roman"/>
          <w:b w:val="0"/>
          <w:sz w:val="24"/>
          <w:szCs w:val="24"/>
        </w:rPr>
        <w:t xml:space="preserve">the European Commission passed the Single Supervisory Mechanism (SSM), adopted a single regulatory playbook, and established the European Central Bank (ECB) as Europe’s singular banking supervisor.  A year later, in 2014, Europe passed the Single Resolution Mechanism (SRM) which included a resolution fund designed to restructure or close insolvent banks and paid for through a tax on all existing European banks. </w:t>
      </w:r>
    </w:p>
    <w:p w14:paraId="0FD6249D" w14:textId="6FCBB3BC" w:rsidR="00E20D76" w:rsidRPr="002571B3" w:rsidRDefault="00A57226" w:rsidP="00A57226">
      <w:pPr>
        <w:pStyle w:val="Heading1"/>
        <w:spacing w:line="480" w:lineRule="auto"/>
        <w:ind w:firstLine="720"/>
        <w:rPr>
          <w:rFonts w:ascii="Times New Roman" w:hAnsi="Times New Roman" w:cs="Times New Roman"/>
          <w:b w:val="0"/>
          <w:sz w:val="24"/>
          <w:szCs w:val="24"/>
        </w:rPr>
      </w:pPr>
      <w:r w:rsidRPr="002571B3">
        <w:rPr>
          <w:rFonts w:ascii="Times New Roman" w:hAnsi="Times New Roman" w:cs="Times New Roman"/>
          <w:b w:val="0"/>
          <w:sz w:val="24"/>
          <w:szCs w:val="24"/>
        </w:rPr>
        <w:t xml:space="preserve">European leaders managed in a short period of time (less than three years) to adopt two of </w:t>
      </w:r>
      <w:r w:rsidR="004065A0">
        <w:rPr>
          <w:rFonts w:ascii="Times New Roman" w:hAnsi="Times New Roman" w:cs="Times New Roman"/>
          <w:b w:val="0"/>
          <w:sz w:val="24"/>
          <w:szCs w:val="24"/>
        </w:rPr>
        <w:t xml:space="preserve">the </w:t>
      </w:r>
      <w:r w:rsidRPr="002571B3">
        <w:rPr>
          <w:rFonts w:ascii="Times New Roman" w:hAnsi="Times New Roman" w:cs="Times New Roman"/>
          <w:b w:val="0"/>
          <w:sz w:val="24"/>
          <w:szCs w:val="24"/>
        </w:rPr>
        <w:t xml:space="preserve">three pillars that constitute EU banking union </w:t>
      </w:r>
      <w:r w:rsidRPr="002571B3">
        <w:rPr>
          <w:rFonts w:ascii="Times New Roman" w:eastAsia="Times New Roman" w:hAnsi="Times New Roman" w:cs="Times New Roman"/>
          <w:b w:val="0"/>
          <w:sz w:val="24"/>
          <w:szCs w:val="24"/>
        </w:rPr>
        <w:t>(Donnelly, 2016; Howarth &amp; Quaglia, 2013;</w:t>
      </w:r>
      <w:r w:rsidRPr="002571B3">
        <w:rPr>
          <w:rFonts w:ascii="Times New Roman" w:hAnsi="Times New Roman" w:cs="Times New Roman"/>
          <w:b w:val="0"/>
          <w:sz w:val="24"/>
          <w:szCs w:val="24"/>
        </w:rPr>
        <w:t xml:space="preserve"> </w:t>
      </w:r>
      <w:r w:rsidRPr="002571B3">
        <w:rPr>
          <w:rFonts w:ascii="Times New Roman" w:eastAsia="Times New Roman" w:hAnsi="Times New Roman" w:cs="Times New Roman"/>
          <w:b w:val="0"/>
          <w:sz w:val="24"/>
          <w:szCs w:val="24"/>
        </w:rPr>
        <w:t>Christie, 2014)</w:t>
      </w:r>
      <w:r>
        <w:rPr>
          <w:rFonts w:ascii="Times New Roman" w:hAnsi="Times New Roman" w:cs="Times New Roman"/>
          <w:b w:val="0"/>
          <w:sz w:val="24"/>
          <w:szCs w:val="24"/>
        </w:rPr>
        <w:t>.  Causes for the rapid integration of EU banking and finance include</w:t>
      </w:r>
      <w:r w:rsidRPr="002571B3">
        <w:rPr>
          <w:rFonts w:ascii="Times New Roman" w:hAnsi="Times New Roman" w:cs="Times New Roman"/>
          <w:b w:val="0"/>
          <w:sz w:val="24"/>
          <w:szCs w:val="24"/>
        </w:rPr>
        <w:t xml:space="preserve">: </w:t>
      </w:r>
      <w:r>
        <w:rPr>
          <w:rFonts w:ascii="Times New Roman" w:hAnsi="Times New Roman" w:cs="Times New Roman"/>
          <w:b w:val="0"/>
          <w:sz w:val="24"/>
          <w:szCs w:val="24"/>
        </w:rPr>
        <w:t xml:space="preserve">the </w:t>
      </w:r>
      <w:r w:rsidRPr="002571B3">
        <w:rPr>
          <w:rFonts w:ascii="Times New Roman" w:hAnsi="Times New Roman" w:cs="Times New Roman"/>
          <w:b w:val="0"/>
          <w:sz w:val="24"/>
          <w:szCs w:val="24"/>
        </w:rPr>
        <w:t>internationalization of transnational banks (Epstein 2014); intergovernmentalism (Schimmelfennig 2015; N</w:t>
      </w:r>
      <w:r w:rsidR="00481BB1">
        <w:rPr>
          <w:rFonts w:ascii="Times New Roman" w:hAnsi="Times New Roman" w:cs="Times New Roman"/>
          <w:b w:val="0"/>
          <w:sz w:val="24"/>
          <w:szCs w:val="24"/>
        </w:rPr>
        <w:t>ie</w:t>
      </w:r>
      <w:r w:rsidRPr="002571B3">
        <w:rPr>
          <w:rFonts w:ascii="Times New Roman" w:hAnsi="Times New Roman" w:cs="Times New Roman"/>
          <w:b w:val="0"/>
          <w:sz w:val="24"/>
          <w:szCs w:val="24"/>
        </w:rPr>
        <w:t xml:space="preserve">mann and Ioannou 2015); and </w:t>
      </w:r>
      <w:r>
        <w:rPr>
          <w:rFonts w:ascii="Times New Roman" w:hAnsi="Times New Roman" w:cs="Times New Roman"/>
          <w:b w:val="0"/>
          <w:sz w:val="24"/>
          <w:szCs w:val="24"/>
        </w:rPr>
        <w:t xml:space="preserve">the power of </w:t>
      </w:r>
      <w:r w:rsidRPr="002571B3">
        <w:rPr>
          <w:rFonts w:ascii="Times New Roman" w:hAnsi="Times New Roman" w:cs="Times New Roman"/>
          <w:b w:val="0"/>
          <w:sz w:val="24"/>
          <w:szCs w:val="24"/>
        </w:rPr>
        <w:t xml:space="preserve">ideas (Schäfer 2015). </w:t>
      </w:r>
      <w:r w:rsidR="00841C5E">
        <w:rPr>
          <w:rFonts w:ascii="Times New Roman" w:hAnsi="Times New Roman" w:cs="Times New Roman"/>
          <w:b w:val="0"/>
          <w:sz w:val="24"/>
          <w:szCs w:val="24"/>
        </w:rPr>
        <w:t xml:space="preserve"> N</w:t>
      </w:r>
      <w:r>
        <w:rPr>
          <w:rFonts w:ascii="Times New Roman" w:hAnsi="Times New Roman" w:cs="Times New Roman"/>
          <w:b w:val="0"/>
          <w:sz w:val="24"/>
          <w:szCs w:val="24"/>
        </w:rPr>
        <w:t>o scholarly work</w:t>
      </w:r>
      <w:r w:rsidR="00841C5E">
        <w:rPr>
          <w:rFonts w:ascii="Times New Roman" w:hAnsi="Times New Roman" w:cs="Times New Roman"/>
          <w:b w:val="0"/>
          <w:sz w:val="24"/>
          <w:szCs w:val="24"/>
        </w:rPr>
        <w:t>, however,</w:t>
      </w:r>
      <w:r>
        <w:rPr>
          <w:rFonts w:ascii="Times New Roman" w:hAnsi="Times New Roman" w:cs="Times New Roman"/>
          <w:b w:val="0"/>
          <w:sz w:val="24"/>
          <w:szCs w:val="24"/>
        </w:rPr>
        <w:t xml:space="preserve"> has </w:t>
      </w:r>
      <w:r w:rsidRPr="002571B3">
        <w:rPr>
          <w:rFonts w:ascii="Times New Roman" w:hAnsi="Times New Roman" w:cs="Times New Roman"/>
          <w:b w:val="0"/>
          <w:sz w:val="24"/>
          <w:szCs w:val="24"/>
        </w:rPr>
        <w:t>address</w:t>
      </w:r>
      <w:r>
        <w:rPr>
          <w:rFonts w:ascii="Times New Roman" w:hAnsi="Times New Roman" w:cs="Times New Roman"/>
          <w:b w:val="0"/>
          <w:sz w:val="24"/>
          <w:szCs w:val="24"/>
        </w:rPr>
        <w:t>ed</w:t>
      </w:r>
      <w:r w:rsidRPr="002571B3">
        <w:rPr>
          <w:rFonts w:ascii="Times New Roman" w:hAnsi="Times New Roman" w:cs="Times New Roman"/>
          <w:b w:val="0"/>
          <w:sz w:val="24"/>
          <w:szCs w:val="24"/>
        </w:rPr>
        <w:t xml:space="preserve"> a particularly striking puzzle</w:t>
      </w:r>
      <w:r w:rsidR="00841C5E">
        <w:rPr>
          <w:rFonts w:ascii="Times New Roman" w:hAnsi="Times New Roman" w:cs="Times New Roman"/>
          <w:b w:val="0"/>
          <w:sz w:val="24"/>
          <w:szCs w:val="24"/>
        </w:rPr>
        <w:t>: W</w:t>
      </w:r>
      <w:r>
        <w:rPr>
          <w:rFonts w:ascii="Times New Roman" w:hAnsi="Times New Roman" w:cs="Times New Roman"/>
          <w:b w:val="0"/>
          <w:sz w:val="24"/>
          <w:szCs w:val="24"/>
        </w:rPr>
        <w:t xml:space="preserve">hy </w:t>
      </w:r>
      <w:r w:rsidR="00841C5E">
        <w:rPr>
          <w:rFonts w:ascii="Times New Roman" w:hAnsi="Times New Roman" w:cs="Times New Roman"/>
          <w:b w:val="0"/>
          <w:sz w:val="24"/>
          <w:szCs w:val="24"/>
        </w:rPr>
        <w:t xml:space="preserve">did </w:t>
      </w:r>
      <w:r>
        <w:rPr>
          <w:rFonts w:ascii="Times New Roman" w:hAnsi="Times New Roman" w:cs="Times New Roman"/>
          <w:b w:val="0"/>
          <w:sz w:val="24"/>
          <w:szCs w:val="24"/>
        </w:rPr>
        <w:t xml:space="preserve">Europe </w:t>
      </w:r>
      <w:r w:rsidR="00841C5E">
        <w:rPr>
          <w:rFonts w:ascii="Times New Roman" w:hAnsi="Times New Roman" w:cs="Times New Roman"/>
          <w:b w:val="0"/>
          <w:sz w:val="24"/>
          <w:szCs w:val="24"/>
        </w:rPr>
        <w:t>succeed</w:t>
      </w:r>
      <w:r w:rsidRPr="002571B3">
        <w:rPr>
          <w:rFonts w:ascii="Times New Roman" w:hAnsi="Times New Roman" w:cs="Times New Roman"/>
          <w:b w:val="0"/>
          <w:sz w:val="24"/>
          <w:szCs w:val="24"/>
        </w:rPr>
        <w:t xml:space="preserve"> in adopting two pillars of banking union but fa</w:t>
      </w:r>
      <w:r>
        <w:rPr>
          <w:rFonts w:ascii="Times New Roman" w:hAnsi="Times New Roman" w:cs="Times New Roman"/>
          <w:b w:val="0"/>
          <w:sz w:val="24"/>
          <w:szCs w:val="24"/>
        </w:rPr>
        <w:t>il to adopt a</w:t>
      </w:r>
      <w:r w:rsidRPr="002571B3">
        <w:rPr>
          <w:rFonts w:ascii="Times New Roman" w:hAnsi="Times New Roman" w:cs="Times New Roman"/>
          <w:b w:val="0"/>
          <w:sz w:val="24"/>
          <w:szCs w:val="24"/>
        </w:rPr>
        <w:t xml:space="preserve"> third - an EU-wide Deposit </w:t>
      </w:r>
      <w:r w:rsidR="001914B5">
        <w:rPr>
          <w:rFonts w:ascii="Times New Roman" w:hAnsi="Times New Roman" w:cs="Times New Roman"/>
          <w:b w:val="0"/>
          <w:sz w:val="24"/>
          <w:szCs w:val="24"/>
        </w:rPr>
        <w:t>Insurance</w:t>
      </w:r>
      <w:r w:rsidRPr="002571B3">
        <w:rPr>
          <w:rFonts w:ascii="Times New Roman" w:hAnsi="Times New Roman" w:cs="Times New Roman"/>
          <w:b w:val="0"/>
          <w:sz w:val="24"/>
          <w:szCs w:val="24"/>
        </w:rPr>
        <w:t xml:space="preserve"> Scheme (</w:t>
      </w:r>
      <w:r w:rsidR="001914B5">
        <w:rPr>
          <w:rFonts w:ascii="Times New Roman" w:hAnsi="Times New Roman" w:cs="Times New Roman"/>
          <w:b w:val="0"/>
          <w:sz w:val="24"/>
          <w:szCs w:val="24"/>
        </w:rPr>
        <w:t>EDI</w:t>
      </w:r>
      <w:r w:rsidRPr="002571B3">
        <w:rPr>
          <w:rFonts w:ascii="Times New Roman" w:hAnsi="Times New Roman" w:cs="Times New Roman"/>
          <w:b w:val="0"/>
          <w:sz w:val="24"/>
          <w:szCs w:val="24"/>
        </w:rPr>
        <w:t>S)</w:t>
      </w:r>
      <w:r w:rsidR="00BB525E">
        <w:rPr>
          <w:rFonts w:ascii="Times New Roman" w:hAnsi="Times New Roman" w:cs="Times New Roman"/>
          <w:b w:val="0"/>
          <w:sz w:val="24"/>
          <w:szCs w:val="24"/>
        </w:rPr>
        <w:t>?</w:t>
      </w:r>
      <w:r w:rsidRPr="002571B3">
        <w:rPr>
          <w:rFonts w:ascii="Times New Roman" w:hAnsi="Times New Roman" w:cs="Times New Roman"/>
          <w:b w:val="0"/>
          <w:sz w:val="24"/>
          <w:szCs w:val="24"/>
        </w:rPr>
        <w:t xml:space="preserve">  The failure to accept all three pillars is </w:t>
      </w:r>
      <w:r w:rsidR="00BB525E">
        <w:rPr>
          <w:rFonts w:ascii="Times New Roman" w:hAnsi="Times New Roman" w:cs="Times New Roman"/>
          <w:b w:val="0"/>
          <w:sz w:val="24"/>
          <w:szCs w:val="24"/>
        </w:rPr>
        <w:t>curious</w:t>
      </w:r>
      <w:r w:rsidRPr="002571B3">
        <w:rPr>
          <w:rFonts w:ascii="Times New Roman" w:hAnsi="Times New Roman" w:cs="Times New Roman"/>
          <w:b w:val="0"/>
          <w:sz w:val="24"/>
          <w:szCs w:val="24"/>
        </w:rPr>
        <w:t xml:space="preserve"> on several counts.  First, early in the process European leaders</w:t>
      </w:r>
      <w:r>
        <w:rPr>
          <w:rFonts w:ascii="Times New Roman" w:hAnsi="Times New Roman" w:cs="Times New Roman"/>
          <w:b w:val="0"/>
          <w:sz w:val="24"/>
          <w:szCs w:val="24"/>
        </w:rPr>
        <w:t xml:space="preserve"> and banking experts</w:t>
      </w:r>
      <w:r w:rsidRPr="002571B3">
        <w:rPr>
          <w:rFonts w:ascii="Times New Roman" w:hAnsi="Times New Roman" w:cs="Times New Roman"/>
          <w:b w:val="0"/>
          <w:sz w:val="24"/>
          <w:szCs w:val="24"/>
        </w:rPr>
        <w:t xml:space="preserve"> e</w:t>
      </w:r>
      <w:r>
        <w:rPr>
          <w:rFonts w:ascii="Times New Roman" w:hAnsi="Times New Roman" w:cs="Times New Roman"/>
          <w:b w:val="0"/>
          <w:sz w:val="24"/>
          <w:szCs w:val="24"/>
        </w:rPr>
        <w:t>mphasized that banking union consisted of</w:t>
      </w:r>
      <w:r w:rsidRPr="002571B3">
        <w:rPr>
          <w:rFonts w:ascii="Times New Roman" w:hAnsi="Times New Roman" w:cs="Times New Roman"/>
          <w:b w:val="0"/>
          <w:sz w:val="24"/>
          <w:szCs w:val="24"/>
        </w:rPr>
        <w:t xml:space="preserve"> three pi</w:t>
      </w:r>
      <w:r>
        <w:rPr>
          <w:rFonts w:ascii="Times New Roman" w:hAnsi="Times New Roman" w:cs="Times New Roman"/>
          <w:b w:val="0"/>
          <w:sz w:val="24"/>
          <w:szCs w:val="24"/>
        </w:rPr>
        <w:t>llars that worked together to ensure a stable system</w:t>
      </w:r>
      <w:r w:rsidR="00BB525E">
        <w:rPr>
          <w:rFonts w:ascii="Times New Roman" w:hAnsi="Times New Roman" w:cs="Times New Roman"/>
          <w:b w:val="0"/>
          <w:sz w:val="24"/>
          <w:szCs w:val="24"/>
        </w:rPr>
        <w:t xml:space="preserve"> and without which </w:t>
      </w:r>
      <w:r>
        <w:rPr>
          <w:rFonts w:ascii="Times New Roman" w:hAnsi="Times New Roman" w:cs="Times New Roman"/>
          <w:b w:val="0"/>
          <w:sz w:val="24"/>
          <w:szCs w:val="24"/>
        </w:rPr>
        <w:t>the entire system was vulnerable.</w:t>
      </w:r>
      <w:r w:rsidRPr="002571B3">
        <w:rPr>
          <w:rFonts w:ascii="Times New Roman" w:hAnsi="Times New Roman" w:cs="Times New Roman"/>
          <w:b w:val="0"/>
          <w:sz w:val="24"/>
          <w:szCs w:val="24"/>
        </w:rPr>
        <w:t xml:space="preserve"> Christine LaGarde, Mario Draghi, and </w:t>
      </w:r>
      <w:r w:rsidRPr="002571B3">
        <w:rPr>
          <w:rStyle w:val="Strong"/>
          <w:rFonts w:ascii="Times New Roman" w:eastAsia="Times New Roman" w:hAnsi="Times New Roman" w:cs="Times New Roman"/>
          <w:sz w:val="24"/>
          <w:szCs w:val="24"/>
        </w:rPr>
        <w:t>Vitor Constân</w:t>
      </w:r>
      <w:r>
        <w:rPr>
          <w:rStyle w:val="Strong"/>
          <w:rFonts w:ascii="Times New Roman" w:eastAsia="Times New Roman" w:hAnsi="Times New Roman" w:cs="Times New Roman"/>
          <w:sz w:val="24"/>
          <w:szCs w:val="24"/>
        </w:rPr>
        <w:t xml:space="preserve">cio (vice-president of the ECB) made this point during </w:t>
      </w:r>
      <w:r w:rsidR="00BB525E">
        <w:rPr>
          <w:rStyle w:val="Strong"/>
          <w:rFonts w:ascii="Times New Roman" w:eastAsia="Times New Roman" w:hAnsi="Times New Roman" w:cs="Times New Roman"/>
          <w:sz w:val="24"/>
          <w:szCs w:val="24"/>
        </w:rPr>
        <w:t>many</w:t>
      </w:r>
      <w:r w:rsidRPr="002571B3">
        <w:rPr>
          <w:rStyle w:val="Strong"/>
          <w:rFonts w:ascii="Times New Roman" w:eastAsia="Times New Roman" w:hAnsi="Times New Roman" w:cs="Times New Roman"/>
          <w:sz w:val="24"/>
          <w:szCs w:val="24"/>
        </w:rPr>
        <w:t xml:space="preserve"> public speeches.</w:t>
      </w:r>
      <w:r w:rsidR="00E20D76" w:rsidRPr="002571B3">
        <w:rPr>
          <w:rStyle w:val="FootnoteReference"/>
          <w:rFonts w:ascii="Times New Roman" w:eastAsia="Times New Roman" w:hAnsi="Times New Roman" w:cs="Times New Roman"/>
          <w:b w:val="0"/>
          <w:bCs w:val="0"/>
          <w:sz w:val="24"/>
          <w:szCs w:val="24"/>
        </w:rPr>
        <w:footnoteReference w:id="1"/>
      </w:r>
      <w:r w:rsidR="00E20D76" w:rsidRPr="002571B3">
        <w:rPr>
          <w:rStyle w:val="Strong"/>
          <w:rFonts w:ascii="Times New Roman" w:eastAsia="Times New Roman" w:hAnsi="Times New Roman" w:cs="Times New Roman"/>
          <w:sz w:val="24"/>
          <w:szCs w:val="24"/>
        </w:rPr>
        <w:t xml:space="preserve"> </w:t>
      </w:r>
      <w:r w:rsidR="00E20D76" w:rsidRPr="002571B3">
        <w:rPr>
          <w:rFonts w:ascii="Times New Roman" w:hAnsi="Times New Roman" w:cs="Times New Roman"/>
          <w:b w:val="0"/>
          <w:sz w:val="24"/>
          <w:szCs w:val="24"/>
        </w:rPr>
        <w:t xml:space="preserve"> </w:t>
      </w:r>
      <w:r w:rsidR="00E20D76">
        <w:rPr>
          <w:rFonts w:ascii="Times New Roman" w:hAnsi="Times New Roman" w:cs="Times New Roman"/>
          <w:b w:val="0"/>
          <w:sz w:val="24"/>
          <w:szCs w:val="24"/>
        </w:rPr>
        <w:t xml:space="preserve"> B</w:t>
      </w:r>
      <w:r w:rsidR="00E20D76" w:rsidRPr="002571B3">
        <w:rPr>
          <w:rFonts w:ascii="Times New Roman" w:hAnsi="Times New Roman" w:cs="Times New Roman"/>
          <w:b w:val="0"/>
          <w:sz w:val="24"/>
          <w:szCs w:val="24"/>
        </w:rPr>
        <w:t xml:space="preserve">anking experts across the political spectrum </w:t>
      </w:r>
      <w:r w:rsidR="00E20D76">
        <w:rPr>
          <w:rFonts w:ascii="Times New Roman" w:hAnsi="Times New Roman" w:cs="Times New Roman"/>
          <w:b w:val="0"/>
          <w:sz w:val="24"/>
          <w:szCs w:val="24"/>
        </w:rPr>
        <w:t>stressed all three pillars as necessary for</w:t>
      </w:r>
      <w:r w:rsidR="00E20D76" w:rsidRPr="002571B3">
        <w:rPr>
          <w:rFonts w:ascii="Times New Roman" w:hAnsi="Times New Roman" w:cs="Times New Roman"/>
          <w:b w:val="0"/>
          <w:sz w:val="24"/>
          <w:szCs w:val="24"/>
        </w:rPr>
        <w:t xml:space="preserve"> effective banking union (Verhelst 2012; </w:t>
      </w:r>
      <w:r w:rsidR="00E20D76" w:rsidRPr="002571B3">
        <w:rPr>
          <w:rFonts w:ascii="Times New Roman" w:eastAsia="Times New Roman" w:hAnsi="Times New Roman" w:cs="Times New Roman"/>
          <w:b w:val="0"/>
          <w:sz w:val="24"/>
          <w:szCs w:val="24"/>
        </w:rPr>
        <w:t>Goyal et al., 2013; Veron and Wolff, 2013)</w:t>
      </w:r>
      <w:r w:rsidR="00E20D76" w:rsidRPr="002571B3">
        <w:rPr>
          <w:rFonts w:ascii="Times New Roman" w:hAnsi="Times New Roman" w:cs="Times New Roman"/>
          <w:b w:val="0"/>
          <w:sz w:val="24"/>
          <w:szCs w:val="24"/>
        </w:rPr>
        <w:t xml:space="preserve">.  </w:t>
      </w:r>
      <w:r w:rsidR="00E20D76">
        <w:rPr>
          <w:rFonts w:ascii="Times New Roman" w:hAnsi="Times New Roman" w:cs="Times New Roman"/>
          <w:b w:val="0"/>
          <w:sz w:val="24"/>
          <w:szCs w:val="24"/>
        </w:rPr>
        <w:t xml:space="preserve">In fact, experts often point to the United States’ </w:t>
      </w:r>
      <w:r w:rsidR="00E20D76" w:rsidRPr="002571B3">
        <w:rPr>
          <w:rFonts w:ascii="Times New Roman" w:hAnsi="Times New Roman" w:cs="Times New Roman"/>
          <w:b w:val="0"/>
          <w:sz w:val="24"/>
          <w:szCs w:val="24"/>
        </w:rPr>
        <w:t>Federal Deposit Insurance Corporation as</w:t>
      </w:r>
      <w:r w:rsidR="00E20D76">
        <w:rPr>
          <w:rFonts w:ascii="Times New Roman" w:hAnsi="Times New Roman" w:cs="Times New Roman"/>
          <w:b w:val="0"/>
          <w:sz w:val="24"/>
          <w:szCs w:val="24"/>
        </w:rPr>
        <w:t xml:space="preserve"> an example of a </w:t>
      </w:r>
      <w:r w:rsidR="00E20D76" w:rsidRPr="002571B3">
        <w:rPr>
          <w:rFonts w:ascii="Times New Roman" w:hAnsi="Times New Roman" w:cs="Times New Roman"/>
          <w:b w:val="0"/>
          <w:sz w:val="24"/>
          <w:szCs w:val="24"/>
        </w:rPr>
        <w:t>banking union that</w:t>
      </w:r>
      <w:r w:rsidR="00E20D76">
        <w:rPr>
          <w:rFonts w:ascii="Times New Roman" w:hAnsi="Times New Roman" w:cs="Times New Roman"/>
          <w:b w:val="0"/>
          <w:sz w:val="24"/>
          <w:szCs w:val="24"/>
        </w:rPr>
        <w:t xml:space="preserve"> is successful precisely because it connects</w:t>
      </w:r>
      <w:r w:rsidR="00E20D76" w:rsidRPr="002571B3">
        <w:rPr>
          <w:rFonts w:ascii="Times New Roman" w:hAnsi="Times New Roman" w:cs="Times New Roman"/>
          <w:b w:val="0"/>
          <w:sz w:val="24"/>
          <w:szCs w:val="24"/>
        </w:rPr>
        <w:t xml:space="preserve"> resolution, deposit insurance and su</w:t>
      </w:r>
      <w:r w:rsidR="00E20D76">
        <w:rPr>
          <w:rFonts w:ascii="Times New Roman" w:hAnsi="Times New Roman" w:cs="Times New Roman"/>
          <w:b w:val="0"/>
          <w:sz w:val="24"/>
          <w:szCs w:val="24"/>
        </w:rPr>
        <w:t>pervision.</w:t>
      </w:r>
      <w:r w:rsidR="00E20D76" w:rsidRPr="002571B3">
        <w:rPr>
          <w:rFonts w:ascii="Times New Roman" w:hAnsi="Times New Roman" w:cs="Times New Roman"/>
          <w:b w:val="0"/>
          <w:sz w:val="24"/>
          <w:szCs w:val="24"/>
        </w:rPr>
        <w:t xml:space="preserve"> </w:t>
      </w:r>
    </w:p>
    <w:p w14:paraId="254752DC" w14:textId="77777777" w:rsidR="00E20D76" w:rsidRPr="002571B3" w:rsidRDefault="00E20D76" w:rsidP="00A57226">
      <w:pPr>
        <w:pStyle w:val="Heading1"/>
        <w:spacing w:line="480" w:lineRule="auto"/>
        <w:ind w:firstLine="720"/>
        <w:rPr>
          <w:rFonts w:ascii="Times New Roman" w:hAnsi="Times New Roman" w:cs="Times New Roman"/>
          <w:b w:val="0"/>
          <w:sz w:val="24"/>
          <w:szCs w:val="24"/>
        </w:rPr>
      </w:pPr>
      <w:r>
        <w:rPr>
          <w:rFonts w:ascii="Times New Roman" w:hAnsi="Times New Roman" w:cs="Times New Roman"/>
          <w:b w:val="0"/>
          <w:sz w:val="24"/>
          <w:szCs w:val="24"/>
        </w:rPr>
        <w:t xml:space="preserve">Equally puzzling is the fact that </w:t>
      </w:r>
      <w:r w:rsidRPr="002571B3">
        <w:rPr>
          <w:rFonts w:ascii="Times New Roman" w:hAnsi="Times New Roman" w:cs="Times New Roman"/>
          <w:b w:val="0"/>
          <w:sz w:val="24"/>
          <w:szCs w:val="24"/>
        </w:rPr>
        <w:t>ideational, material interest, or intergovernmental factors that converged to pass</w:t>
      </w:r>
      <w:r>
        <w:rPr>
          <w:rFonts w:ascii="Times New Roman" w:hAnsi="Times New Roman" w:cs="Times New Roman"/>
          <w:b w:val="0"/>
          <w:sz w:val="24"/>
          <w:szCs w:val="24"/>
        </w:rPr>
        <w:t xml:space="preserve"> the SSM and SRM would fa</w:t>
      </w:r>
      <w:r w:rsidRPr="002571B3">
        <w:rPr>
          <w:rFonts w:ascii="Times New Roman" w:hAnsi="Times New Roman" w:cs="Times New Roman"/>
          <w:b w:val="0"/>
          <w:sz w:val="24"/>
          <w:szCs w:val="24"/>
        </w:rPr>
        <w:t>l</w:t>
      </w:r>
      <w:r>
        <w:rPr>
          <w:rFonts w:ascii="Times New Roman" w:hAnsi="Times New Roman" w:cs="Times New Roman"/>
          <w:b w:val="0"/>
          <w:sz w:val="24"/>
          <w:szCs w:val="24"/>
        </w:rPr>
        <w:t>l short in adopting an EDIS.</w:t>
      </w:r>
      <w:r w:rsidRPr="002571B3">
        <w:rPr>
          <w:rFonts w:ascii="Times New Roman" w:hAnsi="Times New Roman" w:cs="Times New Roman"/>
          <w:b w:val="0"/>
          <w:sz w:val="24"/>
          <w:szCs w:val="24"/>
        </w:rPr>
        <w:t xml:space="preserve">   All three pillars came on to the policy agenda at roughly the </w:t>
      </w:r>
      <w:r>
        <w:rPr>
          <w:rFonts w:ascii="Times New Roman" w:hAnsi="Times New Roman" w:cs="Times New Roman"/>
          <w:b w:val="0"/>
          <w:sz w:val="24"/>
          <w:szCs w:val="24"/>
        </w:rPr>
        <w:t>time and in the same context.</w:t>
      </w:r>
      <w:r w:rsidRPr="002571B3">
        <w:rPr>
          <w:rFonts w:ascii="Times New Roman" w:hAnsi="Times New Roman" w:cs="Times New Roman"/>
          <w:b w:val="0"/>
          <w:sz w:val="24"/>
          <w:szCs w:val="24"/>
        </w:rPr>
        <w:t xml:space="preserve">  Similar interest groups were involved in all three cases including member states, the European Commission, and banking interests</w:t>
      </w:r>
      <w:r>
        <w:rPr>
          <w:rFonts w:ascii="Times New Roman" w:hAnsi="Times New Roman" w:cs="Times New Roman"/>
          <w:b w:val="0"/>
          <w:sz w:val="24"/>
          <w:szCs w:val="24"/>
        </w:rPr>
        <w:t>,</w:t>
      </w:r>
      <w:r w:rsidRPr="002571B3">
        <w:rPr>
          <w:rFonts w:ascii="Times New Roman" w:hAnsi="Times New Roman" w:cs="Times New Roman"/>
          <w:b w:val="0"/>
          <w:sz w:val="24"/>
          <w:szCs w:val="24"/>
        </w:rPr>
        <w:t xml:space="preserve"> notably Germany’s powerful public and cooperative banks who opposed all three pillars (Schäfer 2015).  The formal and informal institutions </w:t>
      </w:r>
      <w:r>
        <w:rPr>
          <w:rFonts w:ascii="Times New Roman" w:hAnsi="Times New Roman" w:cs="Times New Roman"/>
          <w:b w:val="0"/>
          <w:sz w:val="24"/>
          <w:szCs w:val="24"/>
        </w:rPr>
        <w:t xml:space="preserve">– the European Commission, the German parliament, the European parliament – </w:t>
      </w:r>
      <w:r w:rsidRPr="002571B3">
        <w:rPr>
          <w:rFonts w:ascii="Times New Roman" w:hAnsi="Times New Roman" w:cs="Times New Roman"/>
          <w:b w:val="0"/>
          <w:sz w:val="24"/>
          <w:szCs w:val="24"/>
        </w:rPr>
        <w:t>that were in play in the development</w:t>
      </w:r>
      <w:r>
        <w:rPr>
          <w:rFonts w:ascii="Times New Roman" w:hAnsi="Times New Roman" w:cs="Times New Roman"/>
          <w:b w:val="0"/>
          <w:sz w:val="24"/>
          <w:szCs w:val="24"/>
        </w:rPr>
        <w:t xml:space="preserve"> and implementation</w:t>
      </w:r>
      <w:r w:rsidRPr="002571B3">
        <w:rPr>
          <w:rFonts w:ascii="Times New Roman" w:hAnsi="Times New Roman" w:cs="Times New Roman"/>
          <w:b w:val="0"/>
          <w:sz w:val="24"/>
          <w:szCs w:val="24"/>
        </w:rPr>
        <w:t xml:space="preserve"> of SSM and SRM were also engaged in the development of </w:t>
      </w:r>
      <w:r>
        <w:rPr>
          <w:rFonts w:ascii="Times New Roman" w:hAnsi="Times New Roman" w:cs="Times New Roman"/>
          <w:b w:val="0"/>
          <w:sz w:val="24"/>
          <w:szCs w:val="24"/>
        </w:rPr>
        <w:t>EDIS</w:t>
      </w:r>
      <w:r w:rsidRPr="002571B3">
        <w:rPr>
          <w:rFonts w:ascii="Times New Roman" w:hAnsi="Times New Roman" w:cs="Times New Roman"/>
          <w:b w:val="0"/>
          <w:sz w:val="24"/>
          <w:szCs w:val="24"/>
        </w:rPr>
        <w:t xml:space="preserve">.  And finally, the ideational arguments made by David Schäfer and others to explain the passage of SSM and SRM apply equally to the passage of </w:t>
      </w:r>
      <w:r>
        <w:rPr>
          <w:rFonts w:ascii="Times New Roman" w:hAnsi="Times New Roman" w:cs="Times New Roman"/>
          <w:b w:val="0"/>
          <w:sz w:val="24"/>
          <w:szCs w:val="24"/>
        </w:rPr>
        <w:t>EDIS</w:t>
      </w:r>
      <w:r w:rsidRPr="002571B3">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2571B3">
        <w:rPr>
          <w:rFonts w:ascii="Times New Roman" w:hAnsi="Times New Roman" w:cs="Times New Roman"/>
          <w:b w:val="0"/>
          <w:sz w:val="24"/>
          <w:szCs w:val="24"/>
        </w:rPr>
        <w:t xml:space="preserve">Schäfer argues that SSM and SRM passed because they fit within Germany’s conception of ordo-liberalism. </w:t>
      </w:r>
      <w:r>
        <w:rPr>
          <w:rFonts w:ascii="Times New Roman" w:hAnsi="Times New Roman" w:cs="Times New Roman"/>
          <w:b w:val="0"/>
          <w:sz w:val="24"/>
          <w:szCs w:val="24"/>
        </w:rPr>
        <w:t xml:space="preserve"> Material interests were trumped by Germany’s post-war economic ideology that made it difficult to oppose mechanisms that broke the “vicious cycle” or “deadly embrace” between sovereigns and banks (Schäfer 2015, 2; De Grauwe, 2013). </w:t>
      </w:r>
      <w:r w:rsidRPr="002571B3">
        <w:rPr>
          <w:rFonts w:ascii="Times New Roman" w:hAnsi="Times New Roman" w:cs="Times New Roman"/>
          <w:b w:val="0"/>
          <w:sz w:val="24"/>
          <w:szCs w:val="24"/>
        </w:rPr>
        <w:t>Yet, an even stronger ordo-liberal case could be made to in</w:t>
      </w:r>
      <w:r>
        <w:rPr>
          <w:rFonts w:ascii="Times New Roman" w:hAnsi="Times New Roman" w:cs="Times New Roman"/>
          <w:b w:val="0"/>
          <w:sz w:val="24"/>
          <w:szCs w:val="24"/>
        </w:rPr>
        <w:t>clude deposit insurance since deposit guarantees are</w:t>
      </w:r>
      <w:r w:rsidRPr="002571B3">
        <w:rPr>
          <w:rFonts w:ascii="Times New Roman" w:hAnsi="Times New Roman" w:cs="Times New Roman"/>
          <w:b w:val="0"/>
          <w:sz w:val="24"/>
          <w:szCs w:val="24"/>
        </w:rPr>
        <w:t xml:space="preserve"> so closely linked to resolution. Indeed scholars note that</w:t>
      </w:r>
      <w:r>
        <w:rPr>
          <w:rFonts w:ascii="Times New Roman" w:hAnsi="Times New Roman" w:cs="Times New Roman"/>
          <w:b w:val="0"/>
          <w:sz w:val="24"/>
          <w:szCs w:val="24"/>
        </w:rPr>
        <w:t xml:space="preserve"> the combination of</w:t>
      </w:r>
      <w:r w:rsidRPr="002571B3">
        <w:rPr>
          <w:rFonts w:ascii="Times New Roman" w:hAnsi="Times New Roman" w:cs="Times New Roman"/>
          <w:b w:val="0"/>
          <w:sz w:val="24"/>
          <w:szCs w:val="24"/>
        </w:rPr>
        <w:t xml:space="preserve"> deposit insurance </w:t>
      </w:r>
      <w:r w:rsidRPr="00377D90">
        <w:rPr>
          <w:rFonts w:ascii="Times New Roman" w:hAnsi="Times New Roman" w:cs="Times New Roman"/>
          <w:b w:val="0"/>
          <w:sz w:val="24"/>
          <w:szCs w:val="24"/>
        </w:rPr>
        <w:t>AND</w:t>
      </w:r>
      <w:r w:rsidRPr="002571B3">
        <w:rPr>
          <w:rFonts w:ascii="Times New Roman" w:hAnsi="Times New Roman" w:cs="Times New Roman"/>
          <w:b w:val="0"/>
          <w:sz w:val="24"/>
          <w:szCs w:val="24"/>
        </w:rPr>
        <w:t xml:space="preserve"> </w:t>
      </w:r>
      <w:r>
        <w:rPr>
          <w:rFonts w:ascii="Times New Roman" w:hAnsi="Times New Roman" w:cs="Times New Roman"/>
          <w:b w:val="0"/>
          <w:sz w:val="24"/>
          <w:szCs w:val="24"/>
        </w:rPr>
        <w:t xml:space="preserve">resolution policies determines the </w:t>
      </w:r>
      <w:r w:rsidRPr="002571B3">
        <w:rPr>
          <w:rFonts w:ascii="Times New Roman" w:hAnsi="Times New Roman" w:cs="Times New Roman"/>
          <w:b w:val="0"/>
          <w:sz w:val="24"/>
          <w:szCs w:val="24"/>
        </w:rPr>
        <w:t>level of moral hazard in the system</w:t>
      </w:r>
      <w:r>
        <w:rPr>
          <w:rFonts w:ascii="Times New Roman" w:hAnsi="Times New Roman" w:cs="Times New Roman"/>
          <w:b w:val="0"/>
          <w:sz w:val="24"/>
          <w:szCs w:val="24"/>
        </w:rPr>
        <w:t xml:space="preserve">. And it is moral hazard that, </w:t>
      </w:r>
      <w:r w:rsidRPr="002571B3">
        <w:rPr>
          <w:rFonts w:ascii="Times New Roman" w:hAnsi="Times New Roman" w:cs="Times New Roman"/>
          <w:b w:val="0"/>
          <w:sz w:val="24"/>
          <w:szCs w:val="24"/>
        </w:rPr>
        <w:t>in turn</w:t>
      </w:r>
      <w:r>
        <w:rPr>
          <w:rFonts w:ascii="Times New Roman" w:hAnsi="Times New Roman" w:cs="Times New Roman"/>
          <w:b w:val="0"/>
          <w:sz w:val="24"/>
          <w:szCs w:val="24"/>
        </w:rPr>
        <w:t>,</w:t>
      </w:r>
      <w:r w:rsidRPr="002571B3">
        <w:rPr>
          <w:rFonts w:ascii="Times New Roman" w:hAnsi="Times New Roman" w:cs="Times New Roman"/>
          <w:b w:val="0"/>
          <w:sz w:val="24"/>
          <w:szCs w:val="24"/>
        </w:rPr>
        <w:t xml:space="preserve"> </w:t>
      </w:r>
      <w:r>
        <w:rPr>
          <w:rFonts w:ascii="Times New Roman" w:hAnsi="Times New Roman" w:cs="Times New Roman"/>
          <w:b w:val="0"/>
          <w:sz w:val="24"/>
          <w:szCs w:val="24"/>
        </w:rPr>
        <w:t>underscores the</w:t>
      </w:r>
      <w:r w:rsidRPr="002571B3">
        <w:rPr>
          <w:rFonts w:ascii="Times New Roman" w:hAnsi="Times New Roman" w:cs="Times New Roman"/>
          <w:b w:val="0"/>
          <w:sz w:val="24"/>
          <w:szCs w:val="24"/>
        </w:rPr>
        <w:t xml:space="preserve"> importance and challenge of banking supervision.  </w:t>
      </w:r>
    </w:p>
    <w:p w14:paraId="3C4281C3" w14:textId="77777777" w:rsidR="00E20D76" w:rsidRPr="002571B3" w:rsidRDefault="00E20D76" w:rsidP="00A57226">
      <w:pPr>
        <w:pStyle w:val="Heading1"/>
        <w:spacing w:line="480" w:lineRule="auto"/>
        <w:ind w:firstLine="720"/>
        <w:rPr>
          <w:rFonts w:ascii="Times New Roman" w:hAnsi="Times New Roman" w:cs="Times New Roman"/>
          <w:b w:val="0"/>
          <w:sz w:val="24"/>
          <w:szCs w:val="24"/>
        </w:rPr>
      </w:pPr>
      <w:r w:rsidRPr="002571B3">
        <w:rPr>
          <w:rFonts w:ascii="Times New Roman" w:hAnsi="Times New Roman" w:cs="Times New Roman"/>
          <w:b w:val="0"/>
          <w:sz w:val="24"/>
          <w:szCs w:val="24"/>
        </w:rPr>
        <w:t xml:space="preserve">In short, standard theories of comparative political economy are insufficient to explain the incompleteness of </w:t>
      </w:r>
      <w:r>
        <w:rPr>
          <w:rFonts w:ascii="Times New Roman" w:hAnsi="Times New Roman" w:cs="Times New Roman"/>
          <w:b w:val="0"/>
          <w:sz w:val="24"/>
          <w:szCs w:val="24"/>
        </w:rPr>
        <w:t xml:space="preserve">the EU’s </w:t>
      </w:r>
      <w:r w:rsidRPr="002571B3">
        <w:rPr>
          <w:rFonts w:ascii="Times New Roman" w:hAnsi="Times New Roman" w:cs="Times New Roman"/>
          <w:b w:val="0"/>
          <w:sz w:val="24"/>
          <w:szCs w:val="24"/>
        </w:rPr>
        <w:t>banking union.  Based on ideational, interest, or institutional theories one would expect all three policies to either pass together or fail to pass togethe</w:t>
      </w:r>
      <w:r>
        <w:rPr>
          <w:rFonts w:ascii="Times New Roman" w:hAnsi="Times New Roman" w:cs="Times New Roman"/>
          <w:b w:val="0"/>
          <w:sz w:val="24"/>
          <w:szCs w:val="24"/>
        </w:rPr>
        <w:t xml:space="preserve">r.  Yet we don’t see this. Why not? </w:t>
      </w:r>
    </w:p>
    <w:p w14:paraId="5E78E663" w14:textId="77777777" w:rsidR="00E20D76" w:rsidRDefault="00E20D76" w:rsidP="00A57226">
      <w:pPr>
        <w:pStyle w:val="Heading1"/>
        <w:spacing w:line="480" w:lineRule="auto"/>
        <w:ind w:firstLine="720"/>
        <w:rPr>
          <w:rFonts w:ascii="Times New Roman" w:hAnsi="Times New Roman" w:cs="Times New Roman"/>
          <w:b w:val="0"/>
          <w:sz w:val="24"/>
          <w:szCs w:val="24"/>
        </w:rPr>
      </w:pPr>
      <w:r w:rsidRPr="002571B3">
        <w:rPr>
          <w:rFonts w:ascii="Times New Roman" w:hAnsi="Times New Roman" w:cs="Times New Roman"/>
          <w:b w:val="0"/>
          <w:sz w:val="24"/>
          <w:szCs w:val="24"/>
        </w:rPr>
        <w:t>Two literatures</w:t>
      </w:r>
      <w:r>
        <w:rPr>
          <w:rFonts w:ascii="Times New Roman" w:hAnsi="Times New Roman" w:cs="Times New Roman"/>
          <w:b w:val="0"/>
          <w:sz w:val="24"/>
          <w:szCs w:val="24"/>
        </w:rPr>
        <w:t>, one</w:t>
      </w:r>
      <w:r w:rsidRPr="002571B3">
        <w:rPr>
          <w:rFonts w:ascii="Times New Roman" w:hAnsi="Times New Roman" w:cs="Times New Roman"/>
          <w:b w:val="0"/>
          <w:sz w:val="24"/>
          <w:szCs w:val="24"/>
        </w:rPr>
        <w:t xml:space="preserve"> commonly used in the study of public policy</w:t>
      </w:r>
      <w:r>
        <w:rPr>
          <w:rFonts w:ascii="Times New Roman" w:hAnsi="Times New Roman" w:cs="Times New Roman"/>
          <w:b w:val="0"/>
          <w:sz w:val="24"/>
          <w:szCs w:val="24"/>
        </w:rPr>
        <w:t xml:space="preserve"> and a second used in the study of international relations, offer a clue. </w:t>
      </w:r>
      <w:r w:rsidRPr="002571B3">
        <w:rPr>
          <w:rFonts w:ascii="Times New Roman" w:hAnsi="Times New Roman" w:cs="Times New Roman"/>
          <w:b w:val="0"/>
          <w:sz w:val="24"/>
          <w:szCs w:val="24"/>
        </w:rPr>
        <w:t xml:space="preserve">  The first literature argues that the politics surrounding an issue – the nature of the conflict over the development or adoption of a policy -- is a function </w:t>
      </w:r>
      <w:r>
        <w:rPr>
          <w:rFonts w:ascii="Times New Roman" w:hAnsi="Times New Roman" w:cs="Times New Roman"/>
          <w:b w:val="0"/>
          <w:sz w:val="24"/>
          <w:szCs w:val="24"/>
        </w:rPr>
        <w:t xml:space="preserve">of </w:t>
      </w:r>
      <w:r w:rsidRPr="002571B3">
        <w:rPr>
          <w:rFonts w:ascii="Times New Roman" w:hAnsi="Times New Roman" w:cs="Times New Roman"/>
          <w:b w:val="0"/>
          <w:sz w:val="24"/>
          <w:szCs w:val="24"/>
        </w:rPr>
        <w:t xml:space="preserve">the type of policy being proposed (Lowi 1964; Wilson 1995; Gormley 1986).  We argue William Gormley’s salience-complexity typology is a useful heuristic to understand banking union.  </w:t>
      </w:r>
      <w:r>
        <w:rPr>
          <w:rFonts w:ascii="Times New Roman" w:hAnsi="Times New Roman" w:cs="Times New Roman"/>
          <w:b w:val="0"/>
          <w:sz w:val="24"/>
          <w:szCs w:val="24"/>
        </w:rPr>
        <w:t xml:space="preserve">In particular, we suggest that what distinguishes the three pillars of banking union is the level of salience.  All three pillars are equally complex. However, deposit insurance is far more salient than the other two.  It is this heightened level of salience that triggers a different, more contentious political dynamic. </w:t>
      </w:r>
    </w:p>
    <w:p w14:paraId="5F2B47EB" w14:textId="26F3477E" w:rsidR="00E20D76" w:rsidRPr="002571B3" w:rsidRDefault="00E20D76" w:rsidP="00A57226">
      <w:pPr>
        <w:pStyle w:val="Heading1"/>
        <w:spacing w:line="480" w:lineRule="auto"/>
        <w:ind w:firstLine="720"/>
        <w:rPr>
          <w:rFonts w:ascii="Times New Roman" w:hAnsi="Times New Roman" w:cs="Times New Roman"/>
          <w:b w:val="0"/>
          <w:sz w:val="24"/>
          <w:szCs w:val="24"/>
        </w:rPr>
      </w:pPr>
      <w:r w:rsidRPr="002571B3">
        <w:rPr>
          <w:rFonts w:ascii="Times New Roman" w:hAnsi="Times New Roman" w:cs="Times New Roman"/>
          <w:b w:val="0"/>
          <w:sz w:val="24"/>
          <w:szCs w:val="24"/>
        </w:rPr>
        <w:t xml:space="preserve">A second literature common in economics and </w:t>
      </w:r>
      <w:r>
        <w:rPr>
          <w:rFonts w:ascii="Times New Roman" w:hAnsi="Times New Roman" w:cs="Times New Roman"/>
          <w:b w:val="0"/>
          <w:sz w:val="24"/>
          <w:szCs w:val="24"/>
        </w:rPr>
        <w:t xml:space="preserve">IR </w:t>
      </w:r>
      <w:r w:rsidRPr="002571B3">
        <w:rPr>
          <w:rFonts w:ascii="Times New Roman" w:hAnsi="Times New Roman" w:cs="Times New Roman"/>
          <w:b w:val="0"/>
          <w:sz w:val="24"/>
          <w:szCs w:val="24"/>
        </w:rPr>
        <w:t>theory, argues that policy choices are influenced not only by the potential net gains from a policy but also the expected losses</w:t>
      </w:r>
      <w:r w:rsidRPr="002571B3">
        <w:rPr>
          <w:rFonts w:ascii="Times New Roman" w:eastAsia="Times New Roman" w:hAnsi="Times New Roman" w:cs="Times New Roman"/>
          <w:b w:val="0"/>
          <w:sz w:val="24"/>
          <w:szCs w:val="24"/>
        </w:rPr>
        <w:t xml:space="preserve"> (Tversky &amp; Kahneman, 1992; Jervis 1992</w:t>
      </w:r>
      <w:r>
        <w:rPr>
          <w:rFonts w:ascii="Times New Roman" w:eastAsia="Times New Roman" w:hAnsi="Times New Roman" w:cs="Times New Roman"/>
          <w:b w:val="0"/>
          <w:sz w:val="24"/>
          <w:szCs w:val="24"/>
        </w:rPr>
        <w:t>; Mercer 2005</w:t>
      </w:r>
      <w:r w:rsidRPr="002571B3">
        <w:rPr>
          <w:rFonts w:ascii="Times New Roman" w:eastAsia="Times New Roman" w:hAnsi="Times New Roman" w:cs="Times New Roman"/>
          <w:b w:val="0"/>
          <w:sz w:val="24"/>
          <w:szCs w:val="24"/>
        </w:rPr>
        <w:t>)</w:t>
      </w:r>
      <w:r w:rsidRPr="002571B3">
        <w:rPr>
          <w:rFonts w:ascii="Times New Roman" w:hAnsi="Times New Roman" w:cs="Times New Roman"/>
          <w:b w:val="0"/>
          <w:sz w:val="24"/>
          <w:szCs w:val="24"/>
        </w:rPr>
        <w:t xml:space="preserve">.  </w:t>
      </w:r>
      <w:r>
        <w:rPr>
          <w:rFonts w:ascii="Times New Roman" w:hAnsi="Times New Roman" w:cs="Times New Roman"/>
          <w:b w:val="0"/>
          <w:sz w:val="24"/>
          <w:szCs w:val="24"/>
        </w:rPr>
        <w:t xml:space="preserve"> Prospect theory argues that when a policy is perceived as leading to loss, individuals and groups will be more likely to oppose it than if the policy is perceived as a gain, even when the net outcome is neutral or even positive. Or to put more simply: “We hate to lose more than we love to win.” (Mercer 2005, 17).  </w:t>
      </w:r>
      <w:r w:rsidRPr="002571B3">
        <w:rPr>
          <w:rFonts w:ascii="Times New Roman" w:hAnsi="Times New Roman" w:cs="Times New Roman"/>
          <w:b w:val="0"/>
          <w:sz w:val="24"/>
          <w:szCs w:val="24"/>
        </w:rPr>
        <w:t>We argue that the psychological differences in expected losses contribute</w:t>
      </w:r>
      <w:r>
        <w:rPr>
          <w:rFonts w:ascii="Times New Roman" w:hAnsi="Times New Roman" w:cs="Times New Roman"/>
          <w:b w:val="0"/>
          <w:sz w:val="24"/>
          <w:szCs w:val="24"/>
        </w:rPr>
        <w:t>d</w:t>
      </w:r>
      <w:r w:rsidRPr="002571B3">
        <w:rPr>
          <w:rFonts w:ascii="Times New Roman" w:hAnsi="Times New Roman" w:cs="Times New Roman"/>
          <w:b w:val="0"/>
          <w:sz w:val="24"/>
          <w:szCs w:val="24"/>
        </w:rPr>
        <w:t xml:space="preserve"> to the banking union outcome.  Both theoretical literatures are discussed below </w:t>
      </w:r>
      <w:r>
        <w:rPr>
          <w:rFonts w:ascii="Times New Roman" w:hAnsi="Times New Roman" w:cs="Times New Roman"/>
          <w:b w:val="0"/>
          <w:sz w:val="24"/>
          <w:szCs w:val="24"/>
        </w:rPr>
        <w:t xml:space="preserve">as alternatives to standard accounts of banking union, </w:t>
      </w:r>
      <w:r w:rsidRPr="002571B3">
        <w:rPr>
          <w:rFonts w:ascii="Times New Roman" w:hAnsi="Times New Roman" w:cs="Times New Roman"/>
          <w:b w:val="0"/>
          <w:sz w:val="24"/>
          <w:szCs w:val="24"/>
        </w:rPr>
        <w:t xml:space="preserve">and then applied to the political process involved in the policy development and adoption of the three pillars of EU banking union. </w:t>
      </w:r>
    </w:p>
    <w:p w14:paraId="1A72E80D" w14:textId="77777777" w:rsidR="00E20D76" w:rsidRDefault="00E20D76" w:rsidP="009A7C53">
      <w:pPr>
        <w:spacing w:line="480" w:lineRule="auto"/>
        <w:rPr>
          <w:rFonts w:cs="Times New Roman"/>
          <w:szCs w:val="24"/>
        </w:rPr>
      </w:pPr>
      <w:r w:rsidRPr="002571B3">
        <w:rPr>
          <w:rFonts w:cs="Times New Roman"/>
          <w:szCs w:val="24"/>
        </w:rPr>
        <w:tab/>
        <w:t>The paper presents the argum</w:t>
      </w:r>
      <w:r>
        <w:rPr>
          <w:rFonts w:cs="Times New Roman"/>
          <w:szCs w:val="24"/>
        </w:rPr>
        <w:t>ent in three sections.  The first section</w:t>
      </w:r>
      <w:r w:rsidRPr="002571B3">
        <w:rPr>
          <w:rFonts w:cs="Times New Roman"/>
          <w:szCs w:val="24"/>
        </w:rPr>
        <w:t xml:space="preserve"> provides background on the three pillars of EU banking union, their function, and why they are important to the larger European</w:t>
      </w:r>
      <w:r>
        <w:rPr>
          <w:rFonts w:cs="Times New Roman"/>
          <w:szCs w:val="24"/>
        </w:rPr>
        <w:t xml:space="preserve"> integration project.  The two theoretical explanations we explore are described in a second section.  A</w:t>
      </w:r>
      <w:r w:rsidRPr="002571B3">
        <w:rPr>
          <w:rFonts w:cs="Times New Roman"/>
          <w:szCs w:val="24"/>
        </w:rPr>
        <w:t xml:space="preserve"> third section applies the policy theories by examining</w:t>
      </w:r>
      <w:r>
        <w:rPr>
          <w:rFonts w:cs="Times New Roman"/>
          <w:szCs w:val="24"/>
        </w:rPr>
        <w:t xml:space="preserve"> empirically</w:t>
      </w:r>
      <w:r w:rsidRPr="002571B3">
        <w:rPr>
          <w:rFonts w:cs="Times New Roman"/>
          <w:szCs w:val="24"/>
        </w:rPr>
        <w:t xml:space="preserve"> the political dynamics involved in the adoption of each of the pillars. </w:t>
      </w:r>
    </w:p>
    <w:p w14:paraId="453D00DB" w14:textId="5E0A7DC5" w:rsidR="00E20D76" w:rsidRPr="009A7C53" w:rsidRDefault="00E20D76" w:rsidP="009A7C53">
      <w:pPr>
        <w:spacing w:line="480" w:lineRule="auto"/>
        <w:ind w:firstLine="720"/>
        <w:rPr>
          <w:rFonts w:cs="Times New Roman"/>
          <w:szCs w:val="24"/>
        </w:rPr>
      </w:pPr>
      <w:r>
        <w:rPr>
          <w:rFonts w:cs="Times New Roman"/>
          <w:szCs w:val="24"/>
        </w:rPr>
        <w:t xml:space="preserve">The empirical section draws on </w:t>
      </w:r>
      <w:r>
        <w:rPr>
          <w:rFonts w:cs="Times New Roman"/>
        </w:rPr>
        <w:t xml:space="preserve">several data sources. </w:t>
      </w:r>
      <w:r w:rsidRPr="000A7A81">
        <w:rPr>
          <w:rFonts w:cs="Times New Roman"/>
        </w:rPr>
        <w:t xml:space="preserve"> First, </w:t>
      </w:r>
      <w:r>
        <w:rPr>
          <w:rFonts w:cs="Times New Roman"/>
        </w:rPr>
        <w:t xml:space="preserve">using LexisNexis Academic </w:t>
      </w:r>
      <w:r w:rsidRPr="000A7A81">
        <w:rPr>
          <w:rFonts w:cs="Times New Roman"/>
        </w:rPr>
        <w:t>we conducted a search of all English-speak</w:t>
      </w:r>
      <w:r>
        <w:rPr>
          <w:rFonts w:cs="Times New Roman"/>
        </w:rPr>
        <w:t xml:space="preserve">ing media outlets during the two-week period preceding the attempted passage of each pillar of banking union. </w:t>
      </w:r>
      <w:r w:rsidRPr="005B0640">
        <w:rPr>
          <w:rFonts w:cs="Times New Roman"/>
        </w:rPr>
        <w:t>The search terms used for the three pillars were, respectively, “single supervisory mechanism” and “single supervisory authority”; “single resolution mechanism” and “single resolution authority”; “European deposit insurance” and “European deposit guarantee”.</w:t>
      </w:r>
      <w:r w:rsidRPr="000A7A81">
        <w:rPr>
          <w:rFonts w:cs="Times New Roman"/>
        </w:rPr>
        <w:t xml:space="preserve"> </w:t>
      </w:r>
      <w:r>
        <w:rPr>
          <w:rFonts w:cs="Times New Roman"/>
        </w:rPr>
        <w:t>A</w:t>
      </w:r>
      <w:r w:rsidRPr="000A7A81">
        <w:rPr>
          <w:rFonts w:cs="Times New Roman"/>
        </w:rPr>
        <w:t>s the debate over deposit insurance is ongoing, more current documents were used to demon</w:t>
      </w:r>
      <w:r>
        <w:rPr>
          <w:rFonts w:cs="Times New Roman"/>
        </w:rPr>
        <w:t>strate that arguments had</w:t>
      </w:r>
      <w:r w:rsidRPr="000A7A81">
        <w:rPr>
          <w:rFonts w:cs="Times New Roman"/>
        </w:rPr>
        <w:t xml:space="preserve"> not changed much in the several years since EU-wide deposit insurance was first recommended. </w:t>
      </w:r>
      <w:r>
        <w:rPr>
          <w:rFonts w:cs="Times New Roman"/>
        </w:rPr>
        <w:t>The search also included E</w:t>
      </w:r>
      <w:r w:rsidRPr="000A7A81">
        <w:rPr>
          <w:rFonts w:cs="Times New Roman"/>
        </w:rPr>
        <w:t>nglish</w:t>
      </w:r>
      <w:r>
        <w:rPr>
          <w:rFonts w:cs="Times New Roman"/>
        </w:rPr>
        <w:t xml:space="preserve"> language</w:t>
      </w:r>
      <w:r w:rsidRPr="000A7A81">
        <w:rPr>
          <w:rFonts w:cs="Times New Roman"/>
        </w:rPr>
        <w:t xml:space="preserve"> versions </w:t>
      </w:r>
      <w:r>
        <w:rPr>
          <w:rFonts w:cs="Times New Roman"/>
        </w:rPr>
        <w:t>of Der</w:t>
      </w:r>
      <w:r w:rsidRPr="000A7A81">
        <w:rPr>
          <w:rFonts w:cs="Times New Roman"/>
        </w:rPr>
        <w:t xml:space="preserve"> Spiegel Online International and Frankfurter Allgemeine Zeitung (FAZ). </w:t>
      </w:r>
      <w:r>
        <w:rPr>
          <w:rFonts w:cs="Times New Roman"/>
        </w:rPr>
        <w:t xml:space="preserve"> We</w:t>
      </w:r>
      <w:r w:rsidRPr="000A7A81">
        <w:rPr>
          <w:rFonts w:cs="Times New Roman"/>
        </w:rPr>
        <w:t xml:space="preserve"> also conducted a search of press releases and public statements by European Union institutions and banking shareholders, especially the German Savings Bank Association (DSGV)</w:t>
      </w:r>
      <w:r>
        <w:rPr>
          <w:rFonts w:cs="Times New Roman"/>
        </w:rPr>
        <w:t xml:space="preserve"> using the same search terms.</w:t>
      </w:r>
      <w:r w:rsidRPr="000A7A81">
        <w:rPr>
          <w:rFonts w:cs="Times New Roman"/>
        </w:rPr>
        <w:t xml:space="preserve"> </w:t>
      </w:r>
      <w:r>
        <w:rPr>
          <w:rFonts w:cs="Times New Roman"/>
          <w:szCs w:val="24"/>
        </w:rPr>
        <w:t xml:space="preserve"> In addition, one of the authors conducted 16</w:t>
      </w:r>
      <w:r w:rsidRPr="00944514">
        <w:rPr>
          <w:rFonts w:cs="Times New Roman"/>
          <w:szCs w:val="24"/>
        </w:rPr>
        <w:t xml:space="preserve"> semi-structured interviews</w:t>
      </w:r>
      <w:r w:rsidRPr="00944514">
        <w:rPr>
          <w:rStyle w:val="FootnoteReference"/>
          <w:rFonts w:cs="Times New Roman"/>
          <w:szCs w:val="24"/>
        </w:rPr>
        <w:footnoteReference w:id="2"/>
      </w:r>
      <w:r w:rsidRPr="00944514">
        <w:rPr>
          <w:rFonts w:cs="Times New Roman"/>
          <w:szCs w:val="24"/>
        </w:rPr>
        <w:t xml:space="preserve"> with three groups: 1) former members or staff from the supervisory boards </w:t>
      </w:r>
      <w:r>
        <w:rPr>
          <w:rFonts w:cs="Times New Roman"/>
          <w:szCs w:val="24"/>
        </w:rPr>
        <w:t>savings banks</w:t>
      </w:r>
      <w:r w:rsidRPr="00944514">
        <w:rPr>
          <w:rFonts w:cs="Times New Roman"/>
          <w:szCs w:val="24"/>
        </w:rPr>
        <w:t xml:space="preserve">; 2) top regulators in the </w:t>
      </w:r>
      <w:r w:rsidRPr="00944514">
        <w:rPr>
          <w:rFonts w:cs="Times New Roman"/>
          <w:i/>
          <w:szCs w:val="24"/>
        </w:rPr>
        <w:t>Bundesbank</w:t>
      </w:r>
      <w:r w:rsidRPr="00944514">
        <w:rPr>
          <w:rFonts w:cs="Times New Roman"/>
          <w:szCs w:val="24"/>
        </w:rPr>
        <w:t xml:space="preserve"> and </w:t>
      </w:r>
      <w:r w:rsidRPr="00944514">
        <w:rPr>
          <w:rFonts w:eastAsia="Times New Roman" w:cs="Times New Roman"/>
          <w:i/>
          <w:szCs w:val="24"/>
        </w:rPr>
        <w:t>Bundesanstalt für Finanzdienstleistungsaufsicht</w:t>
      </w:r>
      <w:r w:rsidRPr="00944514">
        <w:rPr>
          <w:rFonts w:eastAsia="Times New Roman" w:cs="Times New Roman"/>
          <w:szCs w:val="24"/>
        </w:rPr>
        <w:t xml:space="preserve"> (</w:t>
      </w:r>
      <w:r w:rsidRPr="00944514">
        <w:rPr>
          <w:rFonts w:eastAsia="Times New Roman" w:cs="Times New Roman"/>
          <w:i/>
          <w:szCs w:val="24"/>
        </w:rPr>
        <w:t>BaFin</w:t>
      </w:r>
      <w:r w:rsidRPr="00944514">
        <w:rPr>
          <w:rFonts w:eastAsia="Times New Roman" w:cs="Times New Roman"/>
          <w:szCs w:val="24"/>
        </w:rPr>
        <w:t>)</w:t>
      </w:r>
      <w:r w:rsidRPr="00944514">
        <w:rPr>
          <w:rFonts w:cs="Times New Roman"/>
          <w:szCs w:val="24"/>
        </w:rPr>
        <w:t xml:space="preserve"> specifically charged with overseeing </w:t>
      </w:r>
      <w:r w:rsidRPr="00944514">
        <w:rPr>
          <w:rFonts w:cs="Times New Roman"/>
          <w:i/>
          <w:szCs w:val="24"/>
        </w:rPr>
        <w:t>Landesbanken</w:t>
      </w:r>
      <w:r w:rsidRPr="00944514">
        <w:rPr>
          <w:rFonts w:cs="Times New Roman"/>
          <w:szCs w:val="24"/>
        </w:rPr>
        <w:t xml:space="preserve">; and 3) experts on </w:t>
      </w:r>
      <w:r>
        <w:rPr>
          <w:rFonts w:cs="Times New Roman"/>
          <w:szCs w:val="24"/>
        </w:rPr>
        <w:t>savings banks</w:t>
      </w:r>
      <w:r w:rsidRPr="00944514">
        <w:rPr>
          <w:rFonts w:cs="Times New Roman"/>
          <w:szCs w:val="24"/>
        </w:rPr>
        <w:t xml:space="preserve"> including representatives from associations representing</w:t>
      </w:r>
      <w:r>
        <w:rPr>
          <w:rFonts w:cs="Times New Roman"/>
          <w:szCs w:val="24"/>
        </w:rPr>
        <w:t xml:space="preserve"> savings banks,</w:t>
      </w:r>
      <w:r>
        <w:rPr>
          <w:rFonts w:cs="Times New Roman"/>
          <w:i/>
          <w:szCs w:val="24"/>
        </w:rPr>
        <w:t xml:space="preserve"> </w:t>
      </w:r>
      <w:r w:rsidRPr="00944514">
        <w:rPr>
          <w:rFonts w:cs="Times New Roman"/>
          <w:szCs w:val="24"/>
        </w:rPr>
        <w:t xml:space="preserve">academics with expertise in the field of </w:t>
      </w:r>
      <w:r>
        <w:rPr>
          <w:rFonts w:cs="Times New Roman"/>
          <w:szCs w:val="24"/>
        </w:rPr>
        <w:t xml:space="preserve">deposit insurance, </w:t>
      </w:r>
      <w:r w:rsidRPr="00944514">
        <w:rPr>
          <w:rFonts w:cs="Times New Roman"/>
          <w:szCs w:val="24"/>
        </w:rPr>
        <w:t>banking, and journalists.</w:t>
      </w:r>
    </w:p>
    <w:p w14:paraId="5056ABFF" w14:textId="77777777" w:rsidR="00E20D76" w:rsidRPr="002571B3" w:rsidRDefault="00E20D76" w:rsidP="00A57226">
      <w:pPr>
        <w:spacing w:line="480" w:lineRule="auto"/>
        <w:rPr>
          <w:rFonts w:cs="Times New Roman"/>
          <w:bCs/>
          <w:caps/>
          <w:szCs w:val="24"/>
        </w:rPr>
      </w:pPr>
      <w:r w:rsidRPr="002571B3">
        <w:rPr>
          <w:rFonts w:cs="Times New Roman"/>
          <w:b/>
          <w:bCs/>
          <w:caps/>
          <w:szCs w:val="24"/>
        </w:rPr>
        <w:t>Background: Three Pillars of the EU’s Banking Union</w:t>
      </w:r>
    </w:p>
    <w:p w14:paraId="281138B2" w14:textId="77777777" w:rsidR="00E20D76" w:rsidRPr="002571B3" w:rsidRDefault="00E20D76" w:rsidP="00A57226">
      <w:pPr>
        <w:spacing w:line="480" w:lineRule="auto"/>
        <w:rPr>
          <w:rFonts w:cs="Times New Roman"/>
          <w:szCs w:val="24"/>
        </w:rPr>
      </w:pPr>
      <w:r w:rsidRPr="002571B3">
        <w:rPr>
          <w:rFonts w:cs="Times New Roman"/>
          <w:szCs w:val="24"/>
        </w:rPr>
        <w:tab/>
      </w:r>
      <w:r>
        <w:rPr>
          <w:rFonts w:cs="Times New Roman"/>
          <w:szCs w:val="24"/>
        </w:rPr>
        <w:t>European b</w:t>
      </w:r>
      <w:r w:rsidRPr="002571B3">
        <w:rPr>
          <w:rFonts w:cs="Times New Roman"/>
          <w:szCs w:val="24"/>
        </w:rPr>
        <w:t xml:space="preserve">anking union </w:t>
      </w:r>
      <w:r>
        <w:rPr>
          <w:rFonts w:cs="Times New Roman"/>
          <w:szCs w:val="24"/>
        </w:rPr>
        <w:t xml:space="preserve">is a </w:t>
      </w:r>
      <w:r w:rsidRPr="002571B3">
        <w:rPr>
          <w:rFonts w:cs="Times New Roman"/>
          <w:szCs w:val="24"/>
        </w:rPr>
        <w:t xml:space="preserve">coordinated </w:t>
      </w:r>
      <w:r>
        <w:rPr>
          <w:rFonts w:cs="Times New Roman"/>
          <w:szCs w:val="24"/>
        </w:rPr>
        <w:t xml:space="preserve">system of </w:t>
      </w:r>
      <w:r w:rsidRPr="002571B3">
        <w:rPr>
          <w:rFonts w:cs="Times New Roman"/>
          <w:szCs w:val="24"/>
        </w:rPr>
        <w:t>banking</w:t>
      </w:r>
      <w:r>
        <w:rPr>
          <w:rFonts w:cs="Times New Roman"/>
          <w:szCs w:val="24"/>
        </w:rPr>
        <w:t xml:space="preserve"> between 19 EU member states that share a single currency. </w:t>
      </w:r>
      <w:r>
        <w:rPr>
          <w:rFonts w:eastAsia="Times New Roman" w:cs="Times New Roman"/>
        </w:rPr>
        <w:t xml:space="preserve">Figure 1 describes </w:t>
      </w:r>
      <w:r w:rsidRPr="002571B3">
        <w:rPr>
          <w:rFonts w:eastAsia="Times New Roman" w:cs="Times New Roman"/>
        </w:rPr>
        <w:t>the three pillars</w:t>
      </w:r>
      <w:r>
        <w:rPr>
          <w:rFonts w:eastAsia="Times New Roman" w:cs="Times New Roman"/>
        </w:rPr>
        <w:t xml:space="preserve"> of the EU banking system and the</w:t>
      </w:r>
      <w:r w:rsidRPr="002571B3">
        <w:rPr>
          <w:rFonts w:eastAsia="Times New Roman" w:cs="Times New Roman"/>
        </w:rPr>
        <w:t xml:space="preserve"> </w:t>
      </w:r>
      <w:r>
        <w:rPr>
          <w:rFonts w:eastAsia="Times New Roman" w:cs="Times New Roman"/>
        </w:rPr>
        <w:t xml:space="preserve">general </w:t>
      </w:r>
      <w:r w:rsidRPr="002571B3">
        <w:rPr>
          <w:rFonts w:eastAsia="Times New Roman" w:cs="Times New Roman"/>
        </w:rPr>
        <w:t>purpose</w:t>
      </w:r>
      <w:r>
        <w:rPr>
          <w:rFonts w:eastAsia="Times New Roman" w:cs="Times New Roman"/>
        </w:rPr>
        <w:t xml:space="preserve"> of each pillar</w:t>
      </w:r>
      <w:r w:rsidRPr="002571B3">
        <w:rPr>
          <w:rFonts w:eastAsia="Times New Roman" w:cs="Times New Roman"/>
        </w:rPr>
        <w:t xml:space="preserve">.  </w:t>
      </w:r>
    </w:p>
    <w:p w14:paraId="37B8BD16" w14:textId="77777777" w:rsidR="00E20D76" w:rsidRPr="002571B3" w:rsidRDefault="00E20D76" w:rsidP="00A57226">
      <w:pPr>
        <w:keepNext/>
        <w:spacing w:line="480" w:lineRule="auto"/>
        <w:rPr>
          <w:rFonts w:cs="Times New Roman"/>
        </w:rPr>
      </w:pPr>
      <w:r w:rsidRPr="002571B3">
        <w:rPr>
          <w:rFonts w:cs="Times New Roman"/>
          <w:noProof/>
          <w:szCs w:val="24"/>
        </w:rPr>
        <w:drawing>
          <wp:inline distT="0" distB="0" distL="0" distR="0" wp14:anchorId="73C887E3" wp14:editId="6F121309">
            <wp:extent cx="5689600" cy="3236899"/>
            <wp:effectExtent l="25400" t="25400" r="25400"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9600" cy="3236899"/>
                    </a:xfrm>
                    <a:prstGeom prst="rect">
                      <a:avLst/>
                    </a:prstGeom>
                    <a:noFill/>
                    <a:ln>
                      <a:solidFill>
                        <a:schemeClr val="tx1"/>
                      </a:solidFill>
                    </a:ln>
                  </pic:spPr>
                </pic:pic>
              </a:graphicData>
            </a:graphic>
          </wp:inline>
        </w:drawing>
      </w:r>
    </w:p>
    <w:p w14:paraId="453AC637" w14:textId="77777777" w:rsidR="00E20D76" w:rsidRPr="009A7C53" w:rsidRDefault="00E20D76" w:rsidP="009A7C53">
      <w:pPr>
        <w:pStyle w:val="Caption"/>
        <w:rPr>
          <w:rFonts w:cs="Times New Roman"/>
          <w:color w:val="auto"/>
          <w:sz w:val="20"/>
          <w:szCs w:val="20"/>
        </w:rPr>
      </w:pPr>
      <w:r w:rsidRPr="009A7C53">
        <w:rPr>
          <w:rFonts w:cs="Times New Roman"/>
          <w:color w:val="auto"/>
          <w:sz w:val="20"/>
          <w:szCs w:val="20"/>
        </w:rPr>
        <w:t>Figure 1: A Diagram of EU Banking Union’s Three Pillars (Source: Oesterreichischenationalbank https://www.oenb.at/en/Financial</w:t>
      </w:r>
    </w:p>
    <w:p w14:paraId="0CE3F2F9" w14:textId="77777777" w:rsidR="00E20D76" w:rsidRDefault="00E20D76" w:rsidP="00271ECB">
      <w:pPr>
        <w:spacing w:line="480" w:lineRule="auto"/>
        <w:rPr>
          <w:rFonts w:cs="Times New Roman"/>
          <w:szCs w:val="24"/>
        </w:rPr>
      </w:pPr>
      <w:r w:rsidRPr="002571B3">
        <w:rPr>
          <w:rFonts w:cs="Times New Roman"/>
          <w:b/>
          <w:szCs w:val="24"/>
        </w:rPr>
        <w:t>Supervision and Regulation.</w:t>
      </w:r>
      <w:r w:rsidRPr="002571B3">
        <w:rPr>
          <w:rFonts w:cs="Times New Roman"/>
          <w:szCs w:val="24"/>
        </w:rPr>
        <w:t xml:space="preserve"> </w:t>
      </w:r>
    </w:p>
    <w:p w14:paraId="0BFDA1B0" w14:textId="1FECE17F" w:rsidR="00E20D76" w:rsidRPr="002571B3" w:rsidRDefault="00E20D76" w:rsidP="00271ECB">
      <w:pPr>
        <w:spacing w:line="480" w:lineRule="auto"/>
        <w:ind w:firstLine="720"/>
        <w:rPr>
          <w:rFonts w:cs="Times New Roman"/>
          <w:szCs w:val="24"/>
        </w:rPr>
      </w:pPr>
      <w:r w:rsidRPr="002571B3">
        <w:rPr>
          <w:rFonts w:cs="Times New Roman"/>
          <w:szCs w:val="24"/>
        </w:rPr>
        <w:t>Before the financial crisis, each memb</w:t>
      </w:r>
      <w:r>
        <w:rPr>
          <w:rFonts w:cs="Times New Roman"/>
          <w:szCs w:val="24"/>
        </w:rPr>
        <w:t xml:space="preserve">er-state’s supervisory body operated independently.  </w:t>
      </w:r>
      <w:r w:rsidRPr="002571B3">
        <w:rPr>
          <w:rFonts w:cs="Times New Roman"/>
          <w:szCs w:val="24"/>
        </w:rPr>
        <w:t>Capital requirements, risk assessments, and other systemic factors were guided by international bodies such as the Basel Committee but legislative solutions were left to national discretion. Supervision was based on the “home rule” princi</w:t>
      </w:r>
      <w:r>
        <w:rPr>
          <w:rFonts w:cs="Times New Roman"/>
          <w:szCs w:val="24"/>
        </w:rPr>
        <w:t>ple, by which member-states are</w:t>
      </w:r>
      <w:r w:rsidRPr="002571B3">
        <w:rPr>
          <w:rFonts w:cs="Times New Roman"/>
          <w:szCs w:val="24"/>
        </w:rPr>
        <w:t xml:space="preserve"> primarily </w:t>
      </w:r>
      <w:r>
        <w:rPr>
          <w:rFonts w:cs="Times New Roman"/>
          <w:szCs w:val="24"/>
        </w:rPr>
        <w:t xml:space="preserve">responsible for </w:t>
      </w:r>
      <w:r w:rsidRPr="002571B3">
        <w:rPr>
          <w:rFonts w:cs="Times New Roman"/>
          <w:szCs w:val="24"/>
        </w:rPr>
        <w:t xml:space="preserve">the stability of their own banks and less concerned with spillover effects that are frequent in an integrated banking sector (Pisani-Ferry and Sapir 2010, 344). National supervisors maintained a minimal level of cooperation amongst themselves, although this often involved little more than information sharing. </w:t>
      </w:r>
      <w:r>
        <w:rPr>
          <w:rFonts w:cs="Times New Roman"/>
          <w:szCs w:val="24"/>
        </w:rPr>
        <w:t xml:space="preserve"> </w:t>
      </w:r>
      <w:r w:rsidRPr="002571B3">
        <w:rPr>
          <w:rFonts w:cs="Times New Roman"/>
          <w:szCs w:val="24"/>
        </w:rPr>
        <w:t xml:space="preserve"> When banks functioned properly, this laxity did not pose a problem (Pisani-Ferry and Sapir 2010, 346).</w:t>
      </w:r>
      <w:r>
        <w:rPr>
          <w:rFonts w:cs="Times New Roman"/>
          <w:szCs w:val="24"/>
        </w:rPr>
        <w:t xml:space="preserve"> However, between 2003 and 2012, the period in which the global economy fell into recession, the ECB issued a series of Memoranda of Understanding (MoU) designed to establish EU-wide standards and regulations </w:t>
      </w:r>
      <w:r w:rsidRPr="002571B3">
        <w:rPr>
          <w:rFonts w:cs="Times New Roman"/>
          <w:szCs w:val="24"/>
        </w:rPr>
        <w:t>(Kudrna 2012, 287</w:t>
      </w:r>
      <w:r>
        <w:rPr>
          <w:rFonts w:cs="Times New Roman"/>
          <w:szCs w:val="24"/>
        </w:rPr>
        <w:t xml:space="preserve">; </w:t>
      </w:r>
      <w:r w:rsidRPr="002571B3">
        <w:rPr>
          <w:rFonts w:cs="Times New Roman"/>
          <w:szCs w:val="24"/>
        </w:rPr>
        <w:t>European Central Bank 2003</w:t>
      </w:r>
      <w:r>
        <w:rPr>
          <w:rFonts w:cs="Times New Roman"/>
          <w:szCs w:val="24"/>
        </w:rPr>
        <w:t>, 2005, 2008</w:t>
      </w:r>
      <w:r w:rsidRPr="002571B3">
        <w:rPr>
          <w:rFonts w:cs="Times New Roman"/>
          <w:szCs w:val="24"/>
        </w:rPr>
        <w:t xml:space="preserve">). </w:t>
      </w:r>
    </w:p>
    <w:p w14:paraId="1C30A698" w14:textId="77777777" w:rsidR="00A57226" w:rsidRPr="002571B3" w:rsidRDefault="00E20D76" w:rsidP="00A57226">
      <w:pPr>
        <w:spacing w:line="480" w:lineRule="auto"/>
        <w:rPr>
          <w:rFonts w:cs="Times New Roman"/>
          <w:szCs w:val="24"/>
        </w:rPr>
      </w:pPr>
      <w:r>
        <w:rPr>
          <w:rFonts w:cs="Times New Roman"/>
          <w:szCs w:val="24"/>
        </w:rPr>
        <w:tab/>
        <w:t xml:space="preserve">Despite these voluntary efforts vis-à-vis MoUs, member states, the Commission and the ECB remained concerned in 2012 about the fragmented regulatory landscape in Europe.  </w:t>
      </w:r>
      <w:r w:rsidRPr="002571B3">
        <w:rPr>
          <w:rFonts w:cs="Times New Roman"/>
          <w:szCs w:val="24"/>
        </w:rPr>
        <w:t xml:space="preserve">This led the European Commission to propose the “Single Supervisory Mechanism” (SSM) in 2012 and formally accept it in 2013 (European Commission 2012). </w:t>
      </w:r>
      <w:r>
        <w:rPr>
          <w:rFonts w:cs="Times New Roman"/>
          <w:szCs w:val="24"/>
        </w:rPr>
        <w:t xml:space="preserve"> Under the SSM the ECB assigns</w:t>
      </w:r>
      <w:r w:rsidRPr="002571B3">
        <w:rPr>
          <w:rFonts w:cs="Times New Roman"/>
          <w:szCs w:val="24"/>
        </w:rPr>
        <w:t xml:space="preserve"> day-to-day supervision of smaller EU banks to their respective national authorities, while directly overseeing approximately 120 of the biggest banks (RTT News 2014).</w:t>
      </w:r>
      <w:r>
        <w:rPr>
          <w:rStyle w:val="FootnoteReference"/>
          <w:rFonts w:cs="Times New Roman"/>
          <w:szCs w:val="24"/>
        </w:rPr>
        <w:footnoteReference w:id="3"/>
      </w:r>
      <w:r w:rsidRPr="002571B3">
        <w:rPr>
          <w:rFonts w:cs="Times New Roman"/>
          <w:szCs w:val="24"/>
        </w:rPr>
        <w:t xml:space="preserve"> </w:t>
      </w:r>
      <w:r w:rsidR="00A57226">
        <w:rPr>
          <w:rFonts w:cs="Times New Roman"/>
          <w:szCs w:val="24"/>
        </w:rPr>
        <w:t xml:space="preserve">  T</w:t>
      </w:r>
      <w:r w:rsidR="00A57226" w:rsidRPr="002571B3">
        <w:rPr>
          <w:rFonts w:cs="Times New Roman"/>
          <w:szCs w:val="24"/>
        </w:rPr>
        <w:t xml:space="preserve">he ECB assumed official responsibility for supervision, effective November 2014 (Fox 2014).  </w:t>
      </w:r>
    </w:p>
    <w:p w14:paraId="1173DDE7" w14:textId="77777777" w:rsidR="00A57226" w:rsidRPr="003D1A6D" w:rsidRDefault="00A57226" w:rsidP="00A57226">
      <w:pPr>
        <w:spacing w:line="480" w:lineRule="auto"/>
        <w:rPr>
          <w:rFonts w:cs="Times New Roman"/>
          <w:b/>
          <w:szCs w:val="24"/>
        </w:rPr>
      </w:pPr>
      <w:r w:rsidRPr="003D1A6D">
        <w:rPr>
          <w:rFonts w:cs="Times New Roman"/>
          <w:b/>
          <w:szCs w:val="24"/>
        </w:rPr>
        <w:t>Resolution</w:t>
      </w:r>
    </w:p>
    <w:p w14:paraId="2514A1BD" w14:textId="77777777" w:rsidR="00A57226" w:rsidRPr="002571B3" w:rsidRDefault="00A57226" w:rsidP="00A57226">
      <w:pPr>
        <w:spacing w:line="480" w:lineRule="auto"/>
        <w:rPr>
          <w:rFonts w:cs="Times New Roman"/>
          <w:szCs w:val="24"/>
        </w:rPr>
      </w:pPr>
      <w:r>
        <w:rPr>
          <w:rFonts w:cs="Times New Roman"/>
          <w:szCs w:val="24"/>
        </w:rPr>
        <w:tab/>
        <w:t xml:space="preserve">A second pillar of </w:t>
      </w:r>
      <w:r w:rsidRPr="002571B3">
        <w:rPr>
          <w:rFonts w:cs="Times New Roman"/>
          <w:szCs w:val="24"/>
        </w:rPr>
        <w:t>the European financial safety net is</w:t>
      </w:r>
      <w:r>
        <w:rPr>
          <w:rFonts w:cs="Times New Roman"/>
          <w:szCs w:val="24"/>
        </w:rPr>
        <w:t xml:space="preserve"> </w:t>
      </w:r>
      <w:r w:rsidRPr="002571B3">
        <w:rPr>
          <w:rFonts w:cs="Times New Roman"/>
          <w:szCs w:val="24"/>
        </w:rPr>
        <w:t>the “Single Resolution Mechanism” (SRM), which</w:t>
      </w:r>
      <w:r>
        <w:rPr>
          <w:rFonts w:cs="Times New Roman"/>
          <w:szCs w:val="24"/>
        </w:rPr>
        <w:t xml:space="preserve"> complements </w:t>
      </w:r>
      <w:r w:rsidRPr="002571B3">
        <w:rPr>
          <w:rFonts w:cs="Times New Roman"/>
          <w:szCs w:val="24"/>
        </w:rPr>
        <w:t xml:space="preserve">the SSM. Resolution, like supervision generally, was largely left up the discretion of the member states. Unfortunately, when the financial crisis struck Europe, </w:t>
      </w:r>
      <w:r>
        <w:rPr>
          <w:rFonts w:cs="Times New Roman"/>
          <w:szCs w:val="24"/>
        </w:rPr>
        <w:t>few</w:t>
      </w:r>
      <w:r w:rsidRPr="002571B3">
        <w:rPr>
          <w:rFonts w:cs="Times New Roman"/>
          <w:szCs w:val="24"/>
        </w:rPr>
        <w:t xml:space="preserve"> member states had resolution strategies in place. </w:t>
      </w:r>
      <w:r w:rsidR="00423261">
        <w:rPr>
          <w:rFonts w:cs="Times New Roman"/>
          <w:szCs w:val="24"/>
        </w:rPr>
        <w:t>R</w:t>
      </w:r>
      <w:r w:rsidRPr="002571B3">
        <w:rPr>
          <w:rFonts w:cs="Times New Roman"/>
          <w:szCs w:val="24"/>
        </w:rPr>
        <w:t>esolving a bank involves recapitalizing to avoid closure or managing winding down a bank with minimal damage</w:t>
      </w:r>
      <w:r w:rsidR="00423261">
        <w:rPr>
          <w:rFonts w:cs="Times New Roman"/>
          <w:szCs w:val="24"/>
        </w:rPr>
        <w:t>. Without clear guidelines, this was</w:t>
      </w:r>
      <w:r w:rsidRPr="002571B3">
        <w:rPr>
          <w:rFonts w:cs="Times New Roman"/>
          <w:szCs w:val="24"/>
        </w:rPr>
        <w:t xml:space="preserve"> difficult for both domestic and cross-border banks. As a result, the harmonization of resolution tools was added to the banking union agenda. </w:t>
      </w:r>
    </w:p>
    <w:p w14:paraId="238D99B1" w14:textId="77777777" w:rsidR="00A57226" w:rsidRPr="002571B3" w:rsidRDefault="00A57226" w:rsidP="00A57226">
      <w:pPr>
        <w:spacing w:line="480" w:lineRule="auto"/>
        <w:rPr>
          <w:rFonts w:cs="Times New Roman"/>
          <w:szCs w:val="24"/>
        </w:rPr>
      </w:pPr>
      <w:r w:rsidRPr="002571B3">
        <w:rPr>
          <w:rFonts w:cs="Times New Roman"/>
          <w:szCs w:val="24"/>
        </w:rPr>
        <w:tab/>
        <w:t>The major impetus for developing resolution schemes came from the infamous rescues of the Fortis and Dexia banks in September of 2008 (Pisani-Ferry and Sapir 2010, 354). Fortis, a Belgo-Dutch cross-national institution, was the first s</w:t>
      </w:r>
      <w:r>
        <w:rPr>
          <w:rFonts w:cs="Times New Roman"/>
          <w:szCs w:val="24"/>
        </w:rPr>
        <w:t>ystemic bank rescue in the EU (</w:t>
      </w:r>
      <w:r w:rsidRPr="002571B3">
        <w:rPr>
          <w:rFonts w:cs="Times New Roman"/>
          <w:szCs w:val="24"/>
        </w:rPr>
        <w:t xml:space="preserve">Pisani-Ferry and Sapir 2010, 354). The three Benelux countries contribute billions of euros each and, together, they partly nationalized the bank’s branches, a deal coordinated by the ECB (BBC 2008). The ECB took a special interest in this case because Fortis was considered “too big to </w:t>
      </w:r>
      <w:r>
        <w:rPr>
          <w:rFonts w:cs="Times New Roman"/>
          <w:szCs w:val="24"/>
        </w:rPr>
        <w:t>fail.” The ECB</w:t>
      </w:r>
      <w:r w:rsidRPr="002571B3">
        <w:rPr>
          <w:rFonts w:cs="Times New Roman"/>
          <w:szCs w:val="24"/>
        </w:rPr>
        <w:t xml:space="preserve"> was obligated to rescue the bank from collapse, which was likely in the face of the decentralized resolution and liquidity assistance programs of the Benelux countries (Pisani-Ferry and Sapir 2010, 352). Days later, the safety of the EU banking system was again put at risk by the instability of Dexia. After facing the need to enforce and oversee cooperation between banking authorities of both the home and host countries of these large cross-national banks, EU leaders </w:t>
      </w:r>
      <w:r w:rsidR="00423261">
        <w:rPr>
          <w:rFonts w:cs="Times New Roman"/>
          <w:szCs w:val="24"/>
        </w:rPr>
        <w:t>realized they also needed</w:t>
      </w:r>
      <w:r w:rsidRPr="002571B3">
        <w:rPr>
          <w:rFonts w:cs="Times New Roman"/>
          <w:szCs w:val="24"/>
        </w:rPr>
        <w:t xml:space="preserve"> a harmonized approach to resolution (Pisani-Ferry and Sapir 2010, 356). The crisis management system “based on supervisory authorities within individual countries and ad-hoc, discretionary cooperation” was insufficient in the face of system-wide bank issues (Pisani-Ferry and Sapir 2010, 342). </w:t>
      </w:r>
      <w:r>
        <w:rPr>
          <w:rFonts w:cs="Times New Roman"/>
          <w:szCs w:val="24"/>
        </w:rPr>
        <w:t xml:space="preserve"> </w:t>
      </w:r>
    </w:p>
    <w:p w14:paraId="0A4DE077" w14:textId="77777777" w:rsidR="00A57226" w:rsidRPr="002571B3" w:rsidRDefault="00A57226" w:rsidP="00A57226">
      <w:pPr>
        <w:spacing w:line="480" w:lineRule="auto"/>
        <w:rPr>
          <w:rFonts w:cs="Times New Roman"/>
          <w:szCs w:val="24"/>
        </w:rPr>
      </w:pPr>
      <w:r w:rsidRPr="002571B3">
        <w:rPr>
          <w:rFonts w:cs="Times New Roman"/>
          <w:szCs w:val="24"/>
        </w:rPr>
        <w:tab/>
      </w:r>
      <w:r>
        <w:rPr>
          <w:rFonts w:cs="Times New Roman"/>
          <w:szCs w:val="24"/>
        </w:rPr>
        <w:t>In 2009</w:t>
      </w:r>
      <w:r w:rsidRPr="002571B3">
        <w:rPr>
          <w:rFonts w:cs="Times New Roman"/>
          <w:szCs w:val="24"/>
        </w:rPr>
        <w:t xml:space="preserve"> the European Commission issued a report to the European Parliament and Council of Ministers calling for “an EU framework for cross-border crisis management in the banking sector” (European Commission 2009, 1). The Commission called for a harmonized EU framework for bank resolution to correct the “[e]xisting EU measures aimed at resolving a failing bank [which] are minimal in scope and substance” (European Commission 2009, 7). These measures, set at the national level, were incapable of efficiently and effectively resolving crises of large, cross-border bank branches that have increasingly become major players in the European banking environment (European Commission 2014). </w:t>
      </w:r>
    </w:p>
    <w:p w14:paraId="68A8DB71" w14:textId="1D28580C" w:rsidR="00A57226" w:rsidRPr="002571B3" w:rsidRDefault="00A57226" w:rsidP="00A57226">
      <w:pPr>
        <w:spacing w:line="480" w:lineRule="auto"/>
        <w:rPr>
          <w:rFonts w:cs="Times New Roman"/>
          <w:szCs w:val="24"/>
        </w:rPr>
      </w:pPr>
      <w:r w:rsidRPr="002571B3">
        <w:rPr>
          <w:rFonts w:cs="Times New Roman"/>
          <w:szCs w:val="24"/>
        </w:rPr>
        <w:tab/>
        <w:t>This Commission communication, and a similar call from the European Parliament provided motivation for further action towards a more comprehensive, EU-wide strategy for resolution. The first legal step in this direction was taken on May 9, 2010, with the regulation establishing the European Financial Stabilization Mechanism (EFSM). This short-lived program was financed through the issuance of bonds in exchange for financial assistance to troubled bank systems. Ireland, Portugal, and Greece took advantage of this system, before it was replaced by the European Security Mechanism (ESM) in 2012 (EFSF 2014). The ESM was created to be the “permanent crisis resolution mechanism for the countries of the euro area” (European Security Mechanism 201</w:t>
      </w:r>
      <w:r w:rsidR="007F5C26">
        <w:rPr>
          <w:rFonts w:cs="Times New Roman"/>
          <w:szCs w:val="24"/>
        </w:rPr>
        <w:t>6</w:t>
      </w:r>
      <w:r w:rsidRPr="002571B3">
        <w:rPr>
          <w:rFonts w:cs="Times New Roman"/>
          <w:szCs w:val="24"/>
        </w:rPr>
        <w:t xml:space="preserve">). All Eurozone states ratified the ESM. These states were required to contribute to the ESM in order to have the potential benefit from its emergency financial services. Thus far, only Greece, Spain, Ireland, and Cyprus have benefited from the fund (Ewing 2014). </w:t>
      </w:r>
    </w:p>
    <w:p w14:paraId="30F77051" w14:textId="77777777" w:rsidR="00A57226" w:rsidRPr="002571B3" w:rsidRDefault="00A57226" w:rsidP="00A57226">
      <w:pPr>
        <w:spacing w:line="480" w:lineRule="auto"/>
        <w:rPr>
          <w:rFonts w:cs="Times New Roman"/>
          <w:szCs w:val="24"/>
        </w:rPr>
      </w:pPr>
      <w:r w:rsidRPr="002571B3">
        <w:rPr>
          <w:rFonts w:cs="Times New Roman"/>
          <w:szCs w:val="24"/>
        </w:rPr>
        <w:tab/>
        <w:t>Despite the large size of the ESM’s lend</w:t>
      </w:r>
      <w:r>
        <w:rPr>
          <w:rFonts w:cs="Times New Roman"/>
          <w:szCs w:val="24"/>
        </w:rPr>
        <w:t>ing capacity (500 billion euros)</w:t>
      </w:r>
      <w:r w:rsidRPr="002571B3">
        <w:rPr>
          <w:rFonts w:cs="Times New Roman"/>
          <w:szCs w:val="24"/>
        </w:rPr>
        <w:t xml:space="preserve"> EU leaders called for further crisis management mechanisms for banks (Kment and Lindner 2014, 17). </w:t>
      </w:r>
      <w:r>
        <w:rPr>
          <w:rFonts w:cs="Times New Roman"/>
          <w:szCs w:val="24"/>
        </w:rPr>
        <w:t xml:space="preserve">In response, </w:t>
      </w:r>
      <w:r w:rsidRPr="002571B3">
        <w:rPr>
          <w:rFonts w:cs="Times New Roman"/>
          <w:szCs w:val="24"/>
        </w:rPr>
        <w:t xml:space="preserve">the Commission proposed the creation of a Single Resolution Mechanism (SRM) as an efficient tool for the comprehensive resolution of cross-border banks (European Commission 2012, 9). The SRM was approved by the Council of Ministers in July 2014, creating a mechanism that would exist in conjunction with the SSM, in order to quickly address individual banks’ need for resolution. This matched the 2009 </w:t>
      </w:r>
      <w:r w:rsidRPr="002571B3">
        <w:rPr>
          <w:rFonts w:cs="Times New Roman"/>
          <w:i/>
          <w:szCs w:val="24"/>
        </w:rPr>
        <w:t xml:space="preserve">de Larosière </w:t>
      </w:r>
      <w:r w:rsidRPr="002571B3">
        <w:rPr>
          <w:rFonts w:cs="Times New Roman"/>
          <w:szCs w:val="24"/>
        </w:rPr>
        <w:t xml:space="preserve">report, which called for the creation of bodies whose purpose would be to monitor systemic risks, conduct financial supervision, and oversee crisis management (European Commission 2009, 1). Further, the SRM program would be determined by the mechanism’s board and funded through a common EU fund with a target level of 55 billion euros (Regulation 806/2014). The members of the SRM, all EU countries except the UK and Sweden, are required to contribute to a national fund an amount that is proportional to their assets (STRATFOR 2014). Gradually, these national funds must be transferred to the common EU fund, the Single Resolution Fund (SRF), with an ultimate deadline of January 2016. </w:t>
      </w:r>
    </w:p>
    <w:p w14:paraId="1F9CAD58" w14:textId="6F121A54" w:rsidR="00A57226" w:rsidRDefault="00A57226" w:rsidP="00A57226">
      <w:pPr>
        <w:spacing w:line="480" w:lineRule="auto"/>
        <w:rPr>
          <w:rFonts w:cs="Times New Roman"/>
          <w:szCs w:val="24"/>
        </w:rPr>
      </w:pPr>
      <w:r w:rsidRPr="002571B3">
        <w:rPr>
          <w:rFonts w:cs="Times New Roman"/>
          <w:szCs w:val="24"/>
        </w:rPr>
        <w:tab/>
        <w:t xml:space="preserve">These contributions were the main source of controversy behind the conception of the SRF, as there was much disagreement over how the funds should be calculated and how soon the national funds should merge into the EU fund. The size of the contributions was soon determined, as well, requiring French and German banks to contribute the largest amount to the fund, as contributions are calculated </w:t>
      </w:r>
      <w:r>
        <w:rPr>
          <w:rFonts w:cs="Times New Roman"/>
          <w:szCs w:val="24"/>
        </w:rPr>
        <w:t xml:space="preserve">based </w:t>
      </w:r>
      <w:r w:rsidR="000A2D11">
        <w:rPr>
          <w:rFonts w:cs="Times New Roman"/>
          <w:szCs w:val="24"/>
        </w:rPr>
        <w:t xml:space="preserve">on </w:t>
      </w:r>
      <w:r w:rsidRPr="002571B3">
        <w:rPr>
          <w:rFonts w:cs="Times New Roman"/>
          <w:szCs w:val="24"/>
        </w:rPr>
        <w:t xml:space="preserve">total assets and risk (Dendrinou 2014). Small banks, on the other hand, pay a comparatively low flat rate. As a result, the largest banks </w:t>
      </w:r>
      <w:r>
        <w:rPr>
          <w:rFonts w:cs="Times New Roman"/>
          <w:szCs w:val="24"/>
        </w:rPr>
        <w:t>contribute 90% of the SRF</w:t>
      </w:r>
      <w:r w:rsidRPr="002571B3">
        <w:rPr>
          <w:rFonts w:cs="Times New Roman"/>
          <w:szCs w:val="24"/>
        </w:rPr>
        <w:t>’s 55 billion euros, although they only represent 85% of total banking assets (STRATFOR 2</w:t>
      </w:r>
      <w:r>
        <w:rPr>
          <w:rFonts w:cs="Times New Roman"/>
          <w:szCs w:val="24"/>
        </w:rPr>
        <w:t>014). French and German bank</w:t>
      </w:r>
      <w:r w:rsidRPr="002571B3">
        <w:rPr>
          <w:rFonts w:cs="Times New Roman"/>
          <w:szCs w:val="24"/>
        </w:rPr>
        <w:t>s</w:t>
      </w:r>
      <w:r>
        <w:rPr>
          <w:rFonts w:cs="Times New Roman"/>
          <w:szCs w:val="24"/>
        </w:rPr>
        <w:t xml:space="preserve"> contribute the most to the </w:t>
      </w:r>
      <w:r w:rsidR="005B0640">
        <w:rPr>
          <w:rFonts w:cs="Times New Roman"/>
          <w:szCs w:val="24"/>
        </w:rPr>
        <w:t>SRF</w:t>
      </w:r>
      <w:r>
        <w:rPr>
          <w:rFonts w:cs="Times New Roman"/>
          <w:szCs w:val="24"/>
        </w:rPr>
        <w:t xml:space="preserve">, </w:t>
      </w:r>
      <w:r w:rsidRPr="002571B3">
        <w:rPr>
          <w:rFonts w:cs="Times New Roman"/>
          <w:szCs w:val="24"/>
        </w:rPr>
        <w:t>roughly 15 billion euros (</w:t>
      </w:r>
      <w:r w:rsidR="007F5C26" w:rsidRPr="0084380E">
        <w:rPr>
          <w:rFonts w:cs="Times New Roman"/>
          <w:szCs w:val="24"/>
        </w:rPr>
        <w:t>Le Guernigou</w:t>
      </w:r>
      <w:r w:rsidR="007F5C26" w:rsidRPr="002571B3" w:rsidDel="007F5C26">
        <w:rPr>
          <w:rFonts w:cs="Times New Roman"/>
          <w:szCs w:val="24"/>
        </w:rPr>
        <w:t xml:space="preserve"> </w:t>
      </w:r>
      <w:r w:rsidR="007F5C26">
        <w:rPr>
          <w:rFonts w:cs="Times New Roman"/>
          <w:szCs w:val="24"/>
        </w:rPr>
        <w:t xml:space="preserve">et. al. </w:t>
      </w:r>
      <w:r w:rsidRPr="002571B3">
        <w:rPr>
          <w:rFonts w:cs="Times New Roman"/>
          <w:szCs w:val="24"/>
        </w:rPr>
        <w:t xml:space="preserve">2014). </w:t>
      </w:r>
      <w:r>
        <w:rPr>
          <w:rFonts w:cs="Times New Roman"/>
          <w:szCs w:val="24"/>
        </w:rPr>
        <w:t xml:space="preserve"> </w:t>
      </w:r>
      <w:r w:rsidRPr="002571B3">
        <w:rPr>
          <w:rFonts w:cs="Times New Roman"/>
          <w:szCs w:val="24"/>
        </w:rPr>
        <w:t xml:space="preserve"> </w:t>
      </w:r>
    </w:p>
    <w:p w14:paraId="58B2BB3F" w14:textId="77777777" w:rsidR="00A57226" w:rsidRPr="002571B3" w:rsidRDefault="00A57226" w:rsidP="00A57226">
      <w:pPr>
        <w:spacing w:line="480" w:lineRule="auto"/>
        <w:rPr>
          <w:rFonts w:cs="Times New Roman"/>
          <w:szCs w:val="24"/>
        </w:rPr>
      </w:pPr>
      <w:r w:rsidRPr="002571B3">
        <w:rPr>
          <w:rFonts w:cs="Times New Roman"/>
          <w:szCs w:val="24"/>
        </w:rPr>
        <w:tab/>
        <w:t xml:space="preserve">There were also concessions made </w:t>
      </w:r>
      <w:r w:rsidRPr="002571B3">
        <w:rPr>
          <w:rFonts w:cs="Times New Roman"/>
          <w:i/>
          <w:szCs w:val="24"/>
        </w:rPr>
        <w:t>for</w:t>
      </w:r>
      <w:r w:rsidR="009A7C53">
        <w:rPr>
          <w:rFonts w:cs="Times New Roman"/>
          <w:szCs w:val="24"/>
        </w:rPr>
        <w:t xml:space="preserve"> Germany.  </w:t>
      </w:r>
      <w:r w:rsidRPr="002571B3">
        <w:rPr>
          <w:rFonts w:cs="Times New Roman"/>
          <w:szCs w:val="24"/>
        </w:rPr>
        <w:t>Germany wished to protect the interests of its many smaller banks by ensuring that their contributions to the SRF would be minimal (Spiege</w:t>
      </w:r>
      <w:r w:rsidR="009A7C53">
        <w:rPr>
          <w:rFonts w:cs="Times New Roman"/>
          <w:szCs w:val="24"/>
        </w:rPr>
        <w:t xml:space="preserve">l, Barker, and Ross 2014). The compromise reached </w:t>
      </w:r>
      <w:r w:rsidRPr="002571B3">
        <w:rPr>
          <w:rFonts w:cs="Times New Roman"/>
          <w:szCs w:val="24"/>
        </w:rPr>
        <w:t xml:space="preserve">favors states with large numbers of smaller banks, such as Germany and Spain, </w:t>
      </w:r>
      <w:r w:rsidR="000A2D11">
        <w:rPr>
          <w:rFonts w:cs="Times New Roman"/>
          <w:szCs w:val="24"/>
        </w:rPr>
        <w:t>and</w:t>
      </w:r>
      <w:r w:rsidRPr="002571B3">
        <w:rPr>
          <w:rFonts w:cs="Times New Roman"/>
          <w:szCs w:val="24"/>
        </w:rPr>
        <w:t xml:space="preserve"> disadvantages states like</w:t>
      </w:r>
      <w:r w:rsidR="009A7C53">
        <w:rPr>
          <w:rFonts w:cs="Times New Roman"/>
          <w:szCs w:val="24"/>
        </w:rPr>
        <w:t xml:space="preserve"> France, which have larger banks</w:t>
      </w:r>
      <w:r w:rsidRPr="002571B3">
        <w:rPr>
          <w:rFonts w:cs="Times New Roman"/>
          <w:szCs w:val="24"/>
        </w:rPr>
        <w:t>.</w:t>
      </w:r>
      <w:r w:rsidR="009A7C53">
        <w:rPr>
          <w:rFonts w:cs="Times New Roman"/>
          <w:szCs w:val="24"/>
        </w:rPr>
        <w:t xml:space="preserve"> </w:t>
      </w:r>
      <w:r w:rsidRPr="002571B3">
        <w:rPr>
          <w:rFonts w:cs="Times New Roman"/>
          <w:szCs w:val="24"/>
        </w:rPr>
        <w:t xml:space="preserve"> Germany also agreed to drop its opposition to the SRM on the provision that the European Central Bank would be the official authority for the SSM. </w:t>
      </w:r>
      <w:r w:rsidR="009A7C53">
        <w:rPr>
          <w:rFonts w:cs="Times New Roman"/>
          <w:szCs w:val="24"/>
        </w:rPr>
        <w:t xml:space="preserve"> </w:t>
      </w:r>
      <w:r w:rsidRPr="002571B3">
        <w:rPr>
          <w:rFonts w:cs="Times New Roman"/>
          <w:szCs w:val="24"/>
        </w:rPr>
        <w:t xml:space="preserve"> </w:t>
      </w:r>
    </w:p>
    <w:p w14:paraId="5BC63527" w14:textId="77777777" w:rsidR="00A57226" w:rsidRPr="006A7193" w:rsidRDefault="00A57226" w:rsidP="00A57226">
      <w:pPr>
        <w:spacing w:line="480" w:lineRule="auto"/>
        <w:rPr>
          <w:rFonts w:cs="Times New Roman"/>
          <w:b/>
          <w:szCs w:val="24"/>
        </w:rPr>
      </w:pPr>
      <w:r w:rsidRPr="006A7193">
        <w:rPr>
          <w:rFonts w:cs="Times New Roman"/>
          <w:b/>
          <w:szCs w:val="24"/>
        </w:rPr>
        <w:t>Deposit Insurance</w:t>
      </w:r>
    </w:p>
    <w:p w14:paraId="5DF20E21" w14:textId="77777777" w:rsidR="00A57226" w:rsidRPr="002571B3" w:rsidRDefault="00A57226" w:rsidP="00A57226">
      <w:pPr>
        <w:spacing w:line="480" w:lineRule="auto"/>
        <w:ind w:firstLine="720"/>
        <w:rPr>
          <w:rFonts w:cs="Times New Roman"/>
          <w:szCs w:val="24"/>
        </w:rPr>
      </w:pPr>
      <w:r w:rsidRPr="002571B3">
        <w:rPr>
          <w:rFonts w:cs="Times New Roman"/>
          <w:szCs w:val="24"/>
        </w:rPr>
        <w:t xml:space="preserve">Deposit insurance is </w:t>
      </w:r>
      <w:r>
        <w:rPr>
          <w:rFonts w:cs="Times New Roman"/>
          <w:szCs w:val="24"/>
        </w:rPr>
        <w:t xml:space="preserve">a guarantee scheme in which bank deposits below a certain threshold are guaranteed in the event of a bank failure. The purpose of deposit insurance is three-fold.  First, it protects depositors who lack the ability </w:t>
      </w:r>
      <w:r w:rsidRPr="002571B3">
        <w:rPr>
          <w:rFonts w:cs="Times New Roman"/>
          <w:szCs w:val="24"/>
        </w:rPr>
        <w:t xml:space="preserve">to monitor </w:t>
      </w:r>
      <w:r>
        <w:rPr>
          <w:rFonts w:cs="Times New Roman"/>
          <w:szCs w:val="24"/>
        </w:rPr>
        <w:t xml:space="preserve">the riskiness of a bank’s activities </w:t>
      </w:r>
      <w:r w:rsidRPr="002571B3">
        <w:rPr>
          <w:rFonts w:cs="Times New Roman"/>
          <w:szCs w:val="24"/>
        </w:rPr>
        <w:t>(Demirg</w:t>
      </w:r>
      <w:r>
        <w:rPr>
          <w:rFonts w:cs="Times New Roman"/>
          <w:szCs w:val="24"/>
        </w:rPr>
        <w:t>uc-Kunt, Kane, and Laeven 2006</w:t>
      </w:r>
      <w:r w:rsidRPr="002571B3">
        <w:rPr>
          <w:rFonts w:cs="Times New Roman"/>
          <w:szCs w:val="24"/>
        </w:rPr>
        <w:t>).</w:t>
      </w:r>
      <w:r>
        <w:rPr>
          <w:rFonts w:cs="Times New Roman"/>
          <w:szCs w:val="24"/>
        </w:rPr>
        <w:t xml:space="preserve">  In this sense, deposit insurance is another component of the social safety net that reduces citizen uncertainty in the wake of economic turmoil. </w:t>
      </w:r>
      <w:r w:rsidRPr="002571B3">
        <w:rPr>
          <w:rFonts w:cs="Times New Roman"/>
          <w:szCs w:val="24"/>
        </w:rPr>
        <w:t xml:space="preserve"> </w:t>
      </w:r>
      <w:r>
        <w:rPr>
          <w:rFonts w:cs="Times New Roman"/>
          <w:szCs w:val="24"/>
        </w:rPr>
        <w:t>Deposit insurance also prevent</w:t>
      </w:r>
      <w:r w:rsidR="000A2D11">
        <w:rPr>
          <w:rFonts w:cs="Times New Roman"/>
          <w:szCs w:val="24"/>
        </w:rPr>
        <w:t>s</w:t>
      </w:r>
      <w:r>
        <w:rPr>
          <w:rFonts w:cs="Times New Roman"/>
          <w:szCs w:val="24"/>
        </w:rPr>
        <w:t xml:space="preserve"> bank runs </w:t>
      </w:r>
      <w:r w:rsidRPr="002571B3">
        <w:rPr>
          <w:rFonts w:cs="Times New Roman"/>
          <w:szCs w:val="24"/>
        </w:rPr>
        <w:t xml:space="preserve">when depositors feel that </w:t>
      </w:r>
      <w:r>
        <w:rPr>
          <w:rFonts w:cs="Times New Roman"/>
          <w:szCs w:val="24"/>
        </w:rPr>
        <w:t>their money is unsafe in a bank</w:t>
      </w:r>
      <w:r w:rsidRPr="002571B3">
        <w:rPr>
          <w:rFonts w:cs="Times New Roman"/>
          <w:szCs w:val="24"/>
        </w:rPr>
        <w:t xml:space="preserve"> (Demirguc-Kunt, Kane, </w:t>
      </w:r>
      <w:r>
        <w:rPr>
          <w:rFonts w:cs="Times New Roman"/>
          <w:szCs w:val="24"/>
        </w:rPr>
        <w:t>Laeven 2006)</w:t>
      </w:r>
      <w:r w:rsidRPr="002571B3">
        <w:rPr>
          <w:rFonts w:cs="Times New Roman"/>
          <w:szCs w:val="24"/>
        </w:rPr>
        <w:t xml:space="preserve">. </w:t>
      </w:r>
      <w:r>
        <w:rPr>
          <w:rFonts w:cs="Times New Roman"/>
          <w:szCs w:val="24"/>
        </w:rPr>
        <w:t xml:space="preserve"> Finally, deposit insurance is a tool of economic development. The more generous the deposit insurance scheme</w:t>
      </w:r>
      <w:r w:rsidR="000A2D11">
        <w:rPr>
          <w:rFonts w:cs="Times New Roman"/>
          <w:szCs w:val="24"/>
        </w:rPr>
        <w:t>,</w:t>
      </w:r>
      <w:r>
        <w:rPr>
          <w:rFonts w:cs="Times New Roman"/>
          <w:szCs w:val="24"/>
        </w:rPr>
        <w:t xml:space="preserve"> the more a bank can attract capital to invest in regional businesses and investors.  Generosity varies based on </w:t>
      </w:r>
      <w:r w:rsidRPr="002571B3">
        <w:rPr>
          <w:rFonts w:cs="Times New Roman"/>
          <w:szCs w:val="24"/>
        </w:rPr>
        <w:t>level of coverage, type of funding, and management of the scheme and its funds</w:t>
      </w:r>
      <w:r>
        <w:rPr>
          <w:rFonts w:cs="Times New Roman"/>
          <w:szCs w:val="24"/>
        </w:rPr>
        <w:t xml:space="preserve">. </w:t>
      </w:r>
    </w:p>
    <w:p w14:paraId="2A14F696" w14:textId="77777777" w:rsidR="00A57226" w:rsidRPr="002571B3" w:rsidRDefault="00A57226" w:rsidP="00A57226">
      <w:pPr>
        <w:spacing w:line="480" w:lineRule="auto"/>
        <w:ind w:firstLine="720"/>
        <w:rPr>
          <w:rFonts w:cs="Times New Roman"/>
          <w:szCs w:val="24"/>
        </w:rPr>
      </w:pPr>
      <w:r w:rsidRPr="002571B3">
        <w:rPr>
          <w:rFonts w:cs="Times New Roman"/>
          <w:szCs w:val="24"/>
        </w:rPr>
        <w:t>In 1986, the EU (then known as the European Economic Community)</w:t>
      </w:r>
      <w:r>
        <w:rPr>
          <w:rFonts w:cs="Times New Roman"/>
          <w:szCs w:val="24"/>
        </w:rPr>
        <w:t xml:space="preserve"> passed its first directive on d</w:t>
      </w:r>
      <w:r w:rsidRPr="002571B3">
        <w:rPr>
          <w:rFonts w:cs="Times New Roman"/>
          <w:szCs w:val="24"/>
        </w:rPr>
        <w:t>eposit insurance (</w:t>
      </w:r>
      <w:r w:rsidR="007F5C26">
        <w:rPr>
          <w:rFonts w:cs="Times New Roman"/>
          <w:szCs w:val="24"/>
        </w:rPr>
        <w:t xml:space="preserve">Recommendation </w:t>
      </w:r>
      <w:r w:rsidRPr="002571B3">
        <w:rPr>
          <w:rFonts w:cs="Times New Roman"/>
          <w:szCs w:val="24"/>
        </w:rPr>
        <w:t>87/63/EEC). The requi</w:t>
      </w:r>
      <w:r>
        <w:rPr>
          <w:rFonts w:cs="Times New Roman"/>
          <w:szCs w:val="24"/>
        </w:rPr>
        <w:t xml:space="preserve">rements were minimal and vague and the directive </w:t>
      </w:r>
      <w:r w:rsidRPr="002571B3">
        <w:rPr>
          <w:rFonts w:cs="Times New Roman"/>
          <w:szCs w:val="24"/>
        </w:rPr>
        <w:t>en</w:t>
      </w:r>
      <w:r>
        <w:rPr>
          <w:rFonts w:cs="Times New Roman"/>
          <w:szCs w:val="24"/>
        </w:rPr>
        <w:t>couraged rather than mandated</w:t>
      </w:r>
      <w:r w:rsidRPr="002571B3">
        <w:rPr>
          <w:rFonts w:cs="Times New Roman"/>
          <w:szCs w:val="24"/>
        </w:rPr>
        <w:t xml:space="preserve"> the establishment of deposit guarantee schemes.</w:t>
      </w:r>
      <w:r>
        <w:rPr>
          <w:rFonts w:cs="Times New Roman"/>
          <w:szCs w:val="24"/>
        </w:rPr>
        <w:t xml:space="preserve"> Member states set up insurance schemes with different levels of generosity that affected the competitiveness of banks. </w:t>
      </w:r>
      <w:r w:rsidRPr="002571B3">
        <w:rPr>
          <w:rFonts w:cs="Times New Roman"/>
          <w:szCs w:val="24"/>
        </w:rPr>
        <w:t>Recognizing this</w:t>
      </w:r>
      <w:r>
        <w:rPr>
          <w:rFonts w:cs="Times New Roman"/>
          <w:szCs w:val="24"/>
        </w:rPr>
        <w:t>, EU legislators followed up the</w:t>
      </w:r>
      <w:r w:rsidRPr="002571B3">
        <w:rPr>
          <w:rFonts w:cs="Times New Roman"/>
          <w:szCs w:val="24"/>
        </w:rPr>
        <w:t xml:space="preserve"> 1986 recommendations with the 1994 Deposit Guarantee Scheme Directive (</w:t>
      </w:r>
      <w:r w:rsidR="007F5C26">
        <w:rPr>
          <w:rFonts w:cs="Times New Roman"/>
          <w:szCs w:val="24"/>
        </w:rPr>
        <w:t xml:space="preserve">Directive </w:t>
      </w:r>
      <w:r w:rsidRPr="002571B3">
        <w:rPr>
          <w:rFonts w:cs="Times New Roman"/>
          <w:szCs w:val="24"/>
        </w:rPr>
        <w:t xml:space="preserve">94/19/EC). This was the first legal step towards harmonizing deposit insurance schemes, undertaken </w:t>
      </w:r>
      <w:r w:rsidR="000A2D11">
        <w:rPr>
          <w:rFonts w:cs="Times New Roman"/>
          <w:szCs w:val="24"/>
        </w:rPr>
        <w:t>to</w:t>
      </w:r>
      <w:r w:rsidRPr="002571B3">
        <w:rPr>
          <w:rFonts w:cs="Times New Roman"/>
          <w:szCs w:val="24"/>
        </w:rPr>
        <w:t xml:space="preserve"> prevent undue competition between European banks. </w:t>
      </w:r>
    </w:p>
    <w:p w14:paraId="01448FDE" w14:textId="77777777" w:rsidR="00A57226" w:rsidRPr="002571B3" w:rsidRDefault="00A57226" w:rsidP="00A57226">
      <w:pPr>
        <w:spacing w:line="480" w:lineRule="auto"/>
        <w:ind w:firstLine="720"/>
        <w:rPr>
          <w:rFonts w:cs="Times New Roman"/>
          <w:szCs w:val="24"/>
        </w:rPr>
      </w:pPr>
      <w:r w:rsidRPr="002571B3">
        <w:rPr>
          <w:rFonts w:cs="Times New Roman"/>
          <w:szCs w:val="24"/>
        </w:rPr>
        <w:t>Th</w:t>
      </w:r>
      <w:r>
        <w:rPr>
          <w:rFonts w:cs="Times New Roman"/>
          <w:szCs w:val="24"/>
        </w:rPr>
        <w:t xml:space="preserve">is directive was </w:t>
      </w:r>
      <w:r w:rsidRPr="002571B3">
        <w:rPr>
          <w:rFonts w:cs="Times New Roman"/>
          <w:szCs w:val="24"/>
        </w:rPr>
        <w:t xml:space="preserve">also a response to the 1991 failure of the Bank of Credit and Commerce International (BCCI) (Zimmerman 2013). This bank failure, attributed to severe bank fraud and irresponsibility, is often cited as the “biggest bank fraud scandal in history” (Fritz and Bates 1991, n.p.) Upon the closure of BCCI, hundreds of thousands of depositors and other creditors experienced the loss of an estimated $15 billion, with roughly half of those victims being individual depositors (Fritz and Bates 1991, n.p.; Osborne 2013, n.p.). The uneven availability of deposit protection in the states in which BCCI operated spelled disaster for many depositors, who were forced to endure over a decade of legal proceedings to receive incomplete compensation for the BCCI insolvency. </w:t>
      </w:r>
    </w:p>
    <w:p w14:paraId="3E4FF40B" w14:textId="24890965" w:rsidR="00A57226" w:rsidRPr="002571B3" w:rsidRDefault="00A57226" w:rsidP="00A57226">
      <w:pPr>
        <w:spacing w:line="480" w:lineRule="auto"/>
        <w:ind w:firstLine="720"/>
        <w:rPr>
          <w:rFonts w:cs="Times New Roman"/>
          <w:szCs w:val="24"/>
        </w:rPr>
      </w:pPr>
      <w:r w:rsidRPr="002571B3">
        <w:rPr>
          <w:rFonts w:cs="Times New Roman"/>
          <w:szCs w:val="24"/>
        </w:rPr>
        <w:t xml:space="preserve">European leaders learned a valuable lesson from the BCCI case, leading to the 1994 Deposit Guarantee Scheme Directive. This directive </w:t>
      </w:r>
      <w:r w:rsidRPr="002571B3">
        <w:rPr>
          <w:rFonts w:cs="Times New Roman"/>
          <w:i/>
          <w:szCs w:val="24"/>
        </w:rPr>
        <w:t>required</w:t>
      </w:r>
      <w:r w:rsidRPr="002571B3">
        <w:rPr>
          <w:rFonts w:cs="Times New Roman"/>
          <w:szCs w:val="24"/>
        </w:rPr>
        <w:t xml:space="preserve"> every member-state to create a deposit guarantee scheme and </w:t>
      </w:r>
      <w:r w:rsidR="000A2D11">
        <w:rPr>
          <w:rFonts w:cs="Times New Roman"/>
          <w:szCs w:val="24"/>
        </w:rPr>
        <w:t xml:space="preserve">every </w:t>
      </w:r>
      <w:r w:rsidRPr="002571B3">
        <w:rPr>
          <w:rFonts w:cs="Times New Roman"/>
          <w:szCs w:val="24"/>
        </w:rPr>
        <w:t>credit institution</w:t>
      </w:r>
      <w:r w:rsidR="00183016">
        <w:rPr>
          <w:rFonts w:cs="Times New Roman"/>
          <w:szCs w:val="24"/>
        </w:rPr>
        <w:t xml:space="preserve"> to</w:t>
      </w:r>
      <w:r w:rsidRPr="002571B3">
        <w:rPr>
          <w:rFonts w:cs="Times New Roman"/>
          <w:szCs w:val="24"/>
        </w:rPr>
        <w:t xml:space="preserve"> belong to one (</w:t>
      </w:r>
      <w:r w:rsidR="007F5C26">
        <w:rPr>
          <w:rFonts w:cs="Times New Roman"/>
          <w:szCs w:val="24"/>
        </w:rPr>
        <w:t xml:space="preserve">Directive </w:t>
      </w:r>
      <w:r w:rsidRPr="002571B3">
        <w:rPr>
          <w:rFonts w:cs="Times New Roman"/>
          <w:szCs w:val="24"/>
        </w:rPr>
        <w:t xml:space="preserve">94/19/EC, 2). Prior to this, most schemes were </w:t>
      </w:r>
      <w:r w:rsidRPr="002571B3">
        <w:rPr>
          <w:rFonts w:cs="Times New Roman"/>
          <w:i/>
          <w:szCs w:val="24"/>
        </w:rPr>
        <w:t>implicit</w:t>
      </w:r>
      <w:r w:rsidRPr="002571B3">
        <w:rPr>
          <w:rFonts w:cs="Times New Roman"/>
          <w:szCs w:val="24"/>
        </w:rPr>
        <w:t xml:space="preserve">. </w:t>
      </w:r>
      <w:r>
        <w:rPr>
          <w:rFonts w:cs="Times New Roman"/>
          <w:szCs w:val="24"/>
        </w:rPr>
        <w:t>T</w:t>
      </w:r>
      <w:r w:rsidRPr="002571B3">
        <w:rPr>
          <w:rFonts w:cs="Times New Roman"/>
          <w:szCs w:val="24"/>
        </w:rPr>
        <w:t xml:space="preserve">he Directive mandated the creation of an </w:t>
      </w:r>
      <w:r w:rsidRPr="002571B3">
        <w:rPr>
          <w:rFonts w:cs="Times New Roman"/>
          <w:i/>
          <w:szCs w:val="24"/>
        </w:rPr>
        <w:t>explicit</w:t>
      </w:r>
      <w:r w:rsidRPr="002571B3">
        <w:rPr>
          <w:rFonts w:cs="Times New Roman"/>
          <w:szCs w:val="24"/>
        </w:rPr>
        <w:t xml:space="preserve"> deposit insurance scheme, or a formal body within each member state, </w:t>
      </w:r>
      <w:r w:rsidR="00183016">
        <w:rPr>
          <w:rFonts w:cs="Times New Roman"/>
          <w:szCs w:val="24"/>
        </w:rPr>
        <w:t xml:space="preserve">to </w:t>
      </w:r>
      <w:r w:rsidRPr="002571B3">
        <w:rPr>
          <w:rFonts w:cs="Times New Roman"/>
          <w:szCs w:val="24"/>
        </w:rPr>
        <w:t>coordinat</w:t>
      </w:r>
      <w:r w:rsidR="00183016">
        <w:rPr>
          <w:rFonts w:cs="Times New Roman"/>
          <w:szCs w:val="24"/>
        </w:rPr>
        <w:t>e</w:t>
      </w:r>
      <w:r w:rsidRPr="002571B3">
        <w:rPr>
          <w:rFonts w:cs="Times New Roman"/>
          <w:szCs w:val="24"/>
        </w:rPr>
        <w:t xml:space="preserve"> provision of compensation to depositors in the event of a bank failure (</w:t>
      </w:r>
      <w:r w:rsidR="007F5C26">
        <w:rPr>
          <w:rFonts w:cs="Times New Roman"/>
          <w:szCs w:val="24"/>
        </w:rPr>
        <w:t xml:space="preserve">Directive </w:t>
      </w:r>
      <w:r w:rsidRPr="002571B3">
        <w:rPr>
          <w:rFonts w:cs="Times New Roman"/>
          <w:szCs w:val="24"/>
        </w:rPr>
        <w:t>94/19/EC, 2).</w:t>
      </w:r>
      <w:r>
        <w:rPr>
          <w:rFonts w:cs="Times New Roman"/>
          <w:szCs w:val="24"/>
        </w:rPr>
        <w:t xml:space="preserve">  The</w:t>
      </w:r>
      <w:r w:rsidRPr="002571B3">
        <w:rPr>
          <w:rFonts w:cs="Times New Roman"/>
          <w:szCs w:val="24"/>
        </w:rPr>
        <w:t xml:space="preserve"> 1994 Directive</w:t>
      </w:r>
      <w:r w:rsidR="008A7375">
        <w:rPr>
          <w:rFonts w:cs="Times New Roman"/>
          <w:szCs w:val="24"/>
        </w:rPr>
        <w:t xml:space="preserve"> set insurance at 20,000 E</w:t>
      </w:r>
      <w:r w:rsidR="00AA3597">
        <w:rPr>
          <w:rFonts w:cs="Times New Roman"/>
          <w:szCs w:val="24"/>
        </w:rPr>
        <w:t>uropean currency units (ECU)</w:t>
      </w:r>
      <w:r>
        <w:rPr>
          <w:rFonts w:cs="Times New Roman"/>
          <w:szCs w:val="24"/>
        </w:rPr>
        <w:t xml:space="preserve"> per account. The</w:t>
      </w:r>
      <w:r w:rsidRPr="002571B3">
        <w:rPr>
          <w:rFonts w:cs="Times New Roman"/>
          <w:szCs w:val="24"/>
        </w:rPr>
        <w:t xml:space="preserve"> move</w:t>
      </w:r>
      <w:r>
        <w:rPr>
          <w:rFonts w:cs="Times New Roman"/>
          <w:szCs w:val="24"/>
        </w:rPr>
        <w:t xml:space="preserve"> </w:t>
      </w:r>
      <w:r w:rsidRPr="002571B3">
        <w:rPr>
          <w:rFonts w:cs="Times New Roman"/>
          <w:szCs w:val="24"/>
        </w:rPr>
        <w:t xml:space="preserve">was controversial </w:t>
      </w:r>
      <w:r>
        <w:rPr>
          <w:rFonts w:cs="Times New Roman"/>
          <w:szCs w:val="24"/>
        </w:rPr>
        <w:t>because s</w:t>
      </w:r>
      <w:r w:rsidRPr="002571B3">
        <w:rPr>
          <w:rFonts w:cs="Times New Roman"/>
          <w:szCs w:val="24"/>
        </w:rPr>
        <w:t xml:space="preserve">everal states at that time had deposit guarantees that covered 100 percent of deposits. The passage of the </w:t>
      </w:r>
      <w:r>
        <w:rPr>
          <w:rFonts w:cs="Times New Roman"/>
          <w:szCs w:val="24"/>
        </w:rPr>
        <w:t xml:space="preserve">1994 </w:t>
      </w:r>
      <w:r w:rsidRPr="002571B3">
        <w:rPr>
          <w:rFonts w:cs="Times New Roman"/>
          <w:szCs w:val="24"/>
        </w:rPr>
        <w:t>Directive meant they had to lower coverage to comply with the law, as well as ensure competitiveness of other banks in the system. Some states had formerly taken advantage of the low or non-existent levels of deposit insurance in neighboring states by advertising their higher coverage in order to attract depositors (Engineer, Schure, and Gillis 2010; European Parliament 2014). This system was inconsistent with the idea</w:t>
      </w:r>
      <w:r w:rsidR="009662EB">
        <w:rPr>
          <w:rFonts w:cs="Times New Roman"/>
          <w:szCs w:val="24"/>
        </w:rPr>
        <w:t xml:space="preserve"> that</w:t>
      </w:r>
      <w:r w:rsidRPr="002571B3">
        <w:rPr>
          <w:rFonts w:cs="Times New Roman"/>
          <w:szCs w:val="24"/>
        </w:rPr>
        <w:t xml:space="preserve"> EMU and EU decision-makers set out to eliminate such “unequal conditions of competition” (</w:t>
      </w:r>
      <w:r w:rsidR="007F5C26">
        <w:rPr>
          <w:rFonts w:cs="Times New Roman"/>
          <w:szCs w:val="24"/>
        </w:rPr>
        <w:t xml:space="preserve">Directive </w:t>
      </w:r>
      <w:r w:rsidRPr="002571B3">
        <w:rPr>
          <w:rFonts w:cs="Times New Roman"/>
          <w:szCs w:val="24"/>
        </w:rPr>
        <w:t xml:space="preserve">94/19/EC, 2). </w:t>
      </w:r>
    </w:p>
    <w:p w14:paraId="1C520CE9" w14:textId="383A2B5A" w:rsidR="00A57226" w:rsidRPr="002571B3" w:rsidRDefault="00A57226" w:rsidP="00A57226">
      <w:pPr>
        <w:spacing w:line="480" w:lineRule="auto"/>
        <w:rPr>
          <w:rFonts w:cs="Times New Roman"/>
          <w:szCs w:val="24"/>
        </w:rPr>
      </w:pPr>
      <w:r w:rsidRPr="002571B3">
        <w:rPr>
          <w:rFonts w:cs="Times New Roman"/>
          <w:szCs w:val="24"/>
        </w:rPr>
        <w:tab/>
        <w:t xml:space="preserve">Directive 94/19/EC </w:t>
      </w:r>
      <w:r>
        <w:rPr>
          <w:rFonts w:cs="Times New Roman"/>
          <w:szCs w:val="24"/>
        </w:rPr>
        <w:t xml:space="preserve">sought to </w:t>
      </w:r>
      <w:r w:rsidRPr="002571B3">
        <w:rPr>
          <w:rFonts w:cs="Times New Roman"/>
          <w:szCs w:val="24"/>
        </w:rPr>
        <w:t>ensure the stabili</w:t>
      </w:r>
      <w:r>
        <w:rPr>
          <w:rFonts w:cs="Times New Roman"/>
          <w:szCs w:val="24"/>
        </w:rPr>
        <w:t>ty of the banking system by</w:t>
      </w:r>
      <w:r w:rsidRPr="002571B3">
        <w:rPr>
          <w:rFonts w:cs="Times New Roman"/>
          <w:szCs w:val="24"/>
        </w:rPr>
        <w:t xml:space="preserve"> increasing public confidence in banks and eliminating harmful inter-state competition (</w:t>
      </w:r>
      <w:r w:rsidR="007F5C26">
        <w:rPr>
          <w:rFonts w:cs="Times New Roman"/>
          <w:szCs w:val="24"/>
        </w:rPr>
        <w:t xml:space="preserve">Directive </w:t>
      </w:r>
      <w:r w:rsidRPr="002571B3">
        <w:rPr>
          <w:rFonts w:cs="Times New Roman"/>
          <w:szCs w:val="24"/>
        </w:rPr>
        <w:t xml:space="preserve">94/19/EC).  </w:t>
      </w:r>
      <w:r>
        <w:rPr>
          <w:rFonts w:cs="Times New Roman"/>
          <w:szCs w:val="24"/>
        </w:rPr>
        <w:t xml:space="preserve">The 2007 bank run on Northern Rock Bank in Ireland showed that </w:t>
      </w:r>
      <w:r w:rsidRPr="002571B3">
        <w:rPr>
          <w:rFonts w:cs="Times New Roman"/>
          <w:szCs w:val="24"/>
        </w:rPr>
        <w:t xml:space="preserve">the 1994 Directive </w:t>
      </w:r>
      <w:r>
        <w:rPr>
          <w:rFonts w:cs="Times New Roman"/>
          <w:szCs w:val="24"/>
        </w:rPr>
        <w:t xml:space="preserve">was </w:t>
      </w:r>
      <w:r w:rsidRPr="002571B3">
        <w:rPr>
          <w:rFonts w:cs="Times New Roman"/>
          <w:szCs w:val="24"/>
        </w:rPr>
        <w:t xml:space="preserve">insufficient (Bosly and Verhaegen 2014). </w:t>
      </w:r>
      <w:r>
        <w:rPr>
          <w:rFonts w:cs="Times New Roman"/>
          <w:szCs w:val="24"/>
        </w:rPr>
        <w:t xml:space="preserve">The </w:t>
      </w:r>
      <w:r w:rsidRPr="002571B3">
        <w:rPr>
          <w:rFonts w:cs="Times New Roman"/>
          <w:szCs w:val="24"/>
        </w:rPr>
        <w:t>2007-2008 financial crisis further</w:t>
      </w:r>
      <w:r>
        <w:rPr>
          <w:rFonts w:cs="Times New Roman"/>
          <w:szCs w:val="24"/>
        </w:rPr>
        <w:t xml:space="preserve"> demonstrated the need for more to be done leading to the </w:t>
      </w:r>
      <w:r w:rsidRPr="002571B3">
        <w:rPr>
          <w:rFonts w:cs="Times New Roman"/>
          <w:szCs w:val="24"/>
        </w:rPr>
        <w:t>2009 amendment to the Deposit Guarantee Scheme Directive (</w:t>
      </w:r>
      <w:r w:rsidR="007F5C26">
        <w:rPr>
          <w:rFonts w:cs="Times New Roman"/>
          <w:szCs w:val="24"/>
        </w:rPr>
        <w:t xml:space="preserve">Directive </w:t>
      </w:r>
      <w:r w:rsidRPr="002571B3">
        <w:rPr>
          <w:rFonts w:cs="Times New Roman"/>
          <w:szCs w:val="24"/>
        </w:rPr>
        <w:t xml:space="preserve">2009/14/EC). </w:t>
      </w:r>
    </w:p>
    <w:p w14:paraId="12C60D74" w14:textId="2A9DF65C" w:rsidR="00A57226" w:rsidRPr="002571B3" w:rsidRDefault="00A57226" w:rsidP="00A57226">
      <w:pPr>
        <w:spacing w:line="480" w:lineRule="auto"/>
        <w:rPr>
          <w:rFonts w:cs="Times New Roman"/>
          <w:szCs w:val="24"/>
        </w:rPr>
      </w:pPr>
      <w:r w:rsidRPr="002571B3">
        <w:rPr>
          <w:rFonts w:cs="Times New Roman"/>
          <w:szCs w:val="24"/>
        </w:rPr>
        <w:tab/>
        <w:t>The 2009 Directive increased depositors’ coverage from 20,000 to 50,000 euros and decreased the payout period from three months to twenty days (</w:t>
      </w:r>
      <w:r w:rsidR="007F5C26">
        <w:rPr>
          <w:rFonts w:cs="Times New Roman"/>
          <w:szCs w:val="24"/>
        </w:rPr>
        <w:t xml:space="preserve">Directive </w:t>
      </w:r>
      <w:r w:rsidRPr="002571B3">
        <w:rPr>
          <w:rFonts w:cs="Times New Roman"/>
          <w:szCs w:val="24"/>
        </w:rPr>
        <w:t>2009/14/EC).  The Directive also stipulated that all schemes should aim to ins</w:t>
      </w:r>
      <w:r>
        <w:rPr>
          <w:rFonts w:cs="Times New Roman"/>
          <w:szCs w:val="24"/>
        </w:rPr>
        <w:t xml:space="preserve">ure deposits up to 100,000 euros </w:t>
      </w:r>
      <w:r w:rsidRPr="002571B3">
        <w:rPr>
          <w:rFonts w:cs="Times New Roman"/>
          <w:szCs w:val="24"/>
        </w:rPr>
        <w:t>by 2010 (</w:t>
      </w:r>
      <w:r w:rsidR="007F5C26">
        <w:rPr>
          <w:rFonts w:cs="Times New Roman"/>
          <w:szCs w:val="24"/>
        </w:rPr>
        <w:t xml:space="preserve">Directive </w:t>
      </w:r>
      <w:r w:rsidRPr="002571B3">
        <w:rPr>
          <w:rFonts w:cs="Times New Roman"/>
          <w:szCs w:val="24"/>
        </w:rPr>
        <w:t xml:space="preserve">2009/14/EC). Further, the Directive eliminated the former practice of “co-insurance,” which placed some of the financial burden for bank losses on the shoulders of depositors (European </w:t>
      </w:r>
      <w:r w:rsidR="002A60A2">
        <w:rPr>
          <w:rFonts w:cs="Times New Roman"/>
          <w:szCs w:val="24"/>
        </w:rPr>
        <w:t>Union</w:t>
      </w:r>
      <w:r w:rsidR="002A60A2" w:rsidRPr="002571B3">
        <w:rPr>
          <w:rFonts w:cs="Times New Roman"/>
          <w:szCs w:val="24"/>
        </w:rPr>
        <w:t xml:space="preserve"> </w:t>
      </w:r>
      <w:r w:rsidRPr="002571B3">
        <w:rPr>
          <w:rFonts w:cs="Times New Roman"/>
          <w:szCs w:val="24"/>
        </w:rPr>
        <w:t xml:space="preserve">2008, n.p.). </w:t>
      </w:r>
      <w:r>
        <w:rPr>
          <w:rFonts w:cs="Times New Roman"/>
          <w:szCs w:val="24"/>
        </w:rPr>
        <w:t xml:space="preserve"> </w:t>
      </w:r>
      <w:r w:rsidRPr="002571B3">
        <w:rPr>
          <w:rFonts w:cs="Times New Roman"/>
          <w:szCs w:val="24"/>
        </w:rPr>
        <w:t xml:space="preserve">EU legislators recognized, however, that these immediate responses would be insufficient and almost simultaneously with the passing of 2009/14/EC they initiated a review of the existing deposit insurance legislation and </w:t>
      </w:r>
      <w:r w:rsidR="00183016">
        <w:rPr>
          <w:rFonts w:cs="Times New Roman"/>
          <w:szCs w:val="24"/>
        </w:rPr>
        <w:t>of how</w:t>
      </w:r>
      <w:r w:rsidRPr="002571B3">
        <w:rPr>
          <w:rFonts w:cs="Times New Roman"/>
          <w:szCs w:val="24"/>
        </w:rPr>
        <w:t xml:space="preserve"> to enhance protection (European Commission 2015).  </w:t>
      </w:r>
    </w:p>
    <w:p w14:paraId="52FEE791" w14:textId="77777777" w:rsidR="00A57226" w:rsidRPr="002571B3" w:rsidRDefault="00A57226" w:rsidP="00A57226">
      <w:pPr>
        <w:spacing w:line="480" w:lineRule="auto"/>
        <w:rPr>
          <w:rFonts w:cs="Times New Roman"/>
          <w:szCs w:val="24"/>
        </w:rPr>
      </w:pPr>
      <w:r w:rsidRPr="002571B3">
        <w:rPr>
          <w:rFonts w:cs="Times New Roman"/>
          <w:szCs w:val="24"/>
        </w:rPr>
        <w:tab/>
      </w:r>
      <w:r>
        <w:rPr>
          <w:rFonts w:cs="Times New Roman"/>
          <w:szCs w:val="24"/>
        </w:rPr>
        <w:t xml:space="preserve">The review led to </w:t>
      </w:r>
      <w:r w:rsidRPr="002571B3">
        <w:rPr>
          <w:rFonts w:cs="Times New Roman"/>
          <w:szCs w:val="24"/>
        </w:rPr>
        <w:t>the 2014 Directive on Deposit Guarantee Schemes (</w:t>
      </w:r>
      <w:r w:rsidR="002A60A2">
        <w:rPr>
          <w:rFonts w:cs="Times New Roman"/>
          <w:szCs w:val="24"/>
        </w:rPr>
        <w:t xml:space="preserve">Directive </w:t>
      </w:r>
      <w:r w:rsidRPr="002571B3">
        <w:rPr>
          <w:rFonts w:cs="Times New Roman"/>
          <w:szCs w:val="24"/>
        </w:rPr>
        <w:t>2014/49/EU). This most recent iteration</w:t>
      </w:r>
      <w:r>
        <w:rPr>
          <w:rFonts w:cs="Times New Roman"/>
          <w:szCs w:val="24"/>
        </w:rPr>
        <w:t xml:space="preserve"> of European deposit insurance contributed</w:t>
      </w:r>
      <w:r w:rsidRPr="002571B3">
        <w:rPr>
          <w:rFonts w:cs="Times New Roman"/>
          <w:szCs w:val="24"/>
        </w:rPr>
        <w:t xml:space="preserve"> </w:t>
      </w:r>
      <w:r>
        <w:rPr>
          <w:rFonts w:cs="Times New Roman"/>
          <w:szCs w:val="24"/>
        </w:rPr>
        <w:t>“</w:t>
      </w:r>
      <w:r w:rsidRPr="002571B3">
        <w:rPr>
          <w:rFonts w:cs="Times New Roman"/>
          <w:szCs w:val="24"/>
        </w:rPr>
        <w:t>to the completion of the internal market” in the required uniformity of depositor protection for all banks operating within the EU (</w:t>
      </w:r>
      <w:r w:rsidR="002A60A2">
        <w:rPr>
          <w:rFonts w:cs="Times New Roman"/>
          <w:szCs w:val="24"/>
        </w:rPr>
        <w:t xml:space="preserve">Directive </w:t>
      </w:r>
      <w:r w:rsidRPr="002571B3">
        <w:rPr>
          <w:rFonts w:cs="Times New Roman"/>
          <w:szCs w:val="24"/>
        </w:rPr>
        <w:t>2</w:t>
      </w:r>
      <w:r>
        <w:rPr>
          <w:rFonts w:cs="Times New Roman"/>
          <w:szCs w:val="24"/>
        </w:rPr>
        <w:t xml:space="preserve">014/49/EU). Under this law, </w:t>
      </w:r>
      <w:r w:rsidRPr="002571B3">
        <w:rPr>
          <w:rFonts w:cs="Times New Roman"/>
          <w:szCs w:val="24"/>
        </w:rPr>
        <w:t>banks must belong to a depo</w:t>
      </w:r>
      <w:r>
        <w:rPr>
          <w:rFonts w:cs="Times New Roman"/>
          <w:szCs w:val="24"/>
        </w:rPr>
        <w:t>sit insurance scheme if they wish</w:t>
      </w:r>
      <w:r w:rsidRPr="002571B3">
        <w:rPr>
          <w:rFonts w:cs="Times New Roman"/>
          <w:szCs w:val="24"/>
        </w:rPr>
        <w:t xml:space="preserve"> to accept deposits. The coverage level is equal to 100,000 euros per depositor, excluding public authorities. The repayment period is reduced to seven business days. More importantly, the 2014 Directive addresses, for the first time, the question of funding for the deposit insurance schemes. This law stipulates that deposit insurance schemes should maintain adequate </w:t>
      </w:r>
      <w:r w:rsidRPr="002571B3">
        <w:rPr>
          <w:rFonts w:cs="Times New Roman"/>
          <w:i/>
          <w:szCs w:val="24"/>
        </w:rPr>
        <w:t>ex-ante</w:t>
      </w:r>
      <w:r w:rsidRPr="002571B3">
        <w:rPr>
          <w:rFonts w:cs="Times New Roman"/>
          <w:szCs w:val="24"/>
        </w:rPr>
        <w:t xml:space="preserve"> funds, with banks’ contributions determined by both the amount of deposits they</w:t>
      </w:r>
      <w:r>
        <w:rPr>
          <w:rFonts w:cs="Times New Roman"/>
          <w:szCs w:val="24"/>
        </w:rPr>
        <w:t xml:space="preserve"> hold and their levels of risk </w:t>
      </w:r>
      <w:r w:rsidRPr="002571B3">
        <w:rPr>
          <w:rFonts w:cs="Times New Roman"/>
          <w:szCs w:val="24"/>
        </w:rPr>
        <w:t>(</w:t>
      </w:r>
      <w:r w:rsidR="002A60A2">
        <w:rPr>
          <w:rFonts w:cs="Times New Roman"/>
          <w:szCs w:val="24"/>
        </w:rPr>
        <w:t xml:space="preserve">Directive </w:t>
      </w:r>
      <w:r w:rsidRPr="002571B3">
        <w:rPr>
          <w:rFonts w:cs="Times New Roman"/>
          <w:szCs w:val="24"/>
        </w:rPr>
        <w:t xml:space="preserve">2014/49/EC). </w:t>
      </w:r>
    </w:p>
    <w:p w14:paraId="18068A02" w14:textId="77777777" w:rsidR="00A57226" w:rsidRPr="002571B3" w:rsidRDefault="00A57226" w:rsidP="00A57226">
      <w:pPr>
        <w:spacing w:line="480" w:lineRule="auto"/>
        <w:rPr>
          <w:rFonts w:cs="Times New Roman"/>
          <w:szCs w:val="24"/>
        </w:rPr>
      </w:pPr>
      <w:r w:rsidRPr="002571B3">
        <w:rPr>
          <w:rFonts w:cs="Times New Roman"/>
          <w:szCs w:val="24"/>
        </w:rPr>
        <w:tab/>
        <w:t>The 2014 legislation that harmonized the deposit guarantee schemes came after a brief, failed attempt in 2012 by EU leaders to create a common European deposit insurance scheme (Barker 2012). This singular deposit insurance mechanism was meant to be one of three essential components to true banking union, along with a common European bank supervisor and resolution authority. Political battles, to be discussed later in this paper, prevented any proposals on the common deposit insurer to reach the floor, and discussion on the topic was, for all intents and purposes, put to an end. EU members settled for two and a half legs of the tripod, with only further harmonized deposit insurance requirements instead of a single deposit insurance mechanism.</w:t>
      </w:r>
      <w:r>
        <w:rPr>
          <w:rFonts w:cs="Times New Roman"/>
          <w:szCs w:val="24"/>
        </w:rPr>
        <w:t xml:space="preserve">  </w:t>
      </w:r>
    </w:p>
    <w:p w14:paraId="4DE92A85" w14:textId="77777777" w:rsidR="00A57226" w:rsidRPr="0013727E" w:rsidRDefault="00A57226" w:rsidP="00A57226">
      <w:pPr>
        <w:spacing w:line="480" w:lineRule="auto"/>
        <w:rPr>
          <w:rFonts w:cs="Times New Roman"/>
          <w:b/>
          <w:caps/>
          <w:szCs w:val="24"/>
        </w:rPr>
      </w:pPr>
      <w:r w:rsidRPr="0013727E">
        <w:rPr>
          <w:rFonts w:cs="Times New Roman"/>
          <w:b/>
          <w:caps/>
          <w:szCs w:val="24"/>
        </w:rPr>
        <w:t>Theoretical Explanation</w:t>
      </w:r>
      <w:r>
        <w:rPr>
          <w:rFonts w:cs="Times New Roman"/>
          <w:b/>
          <w:caps/>
          <w:szCs w:val="24"/>
        </w:rPr>
        <w:t>s</w:t>
      </w:r>
      <w:r w:rsidRPr="0013727E">
        <w:rPr>
          <w:rFonts w:cs="Times New Roman"/>
          <w:b/>
          <w:caps/>
          <w:szCs w:val="24"/>
        </w:rPr>
        <w:t xml:space="preserve"> for </w:t>
      </w:r>
      <w:r w:rsidR="008B4EB4">
        <w:rPr>
          <w:rFonts w:cs="Times New Roman"/>
          <w:b/>
          <w:caps/>
          <w:szCs w:val="24"/>
        </w:rPr>
        <w:t>why EU Deposit Insurance failed</w:t>
      </w:r>
    </w:p>
    <w:p w14:paraId="05110836" w14:textId="77777777" w:rsidR="00A57226" w:rsidRDefault="00A57226" w:rsidP="00A57226">
      <w:pPr>
        <w:spacing w:line="480" w:lineRule="auto"/>
        <w:rPr>
          <w:rFonts w:cs="Times New Roman"/>
          <w:szCs w:val="24"/>
        </w:rPr>
      </w:pPr>
      <w:r w:rsidRPr="002571B3">
        <w:rPr>
          <w:rFonts w:cs="Times New Roman"/>
          <w:szCs w:val="24"/>
        </w:rPr>
        <w:tab/>
      </w:r>
      <w:r>
        <w:rPr>
          <w:rFonts w:cs="Times New Roman"/>
          <w:szCs w:val="24"/>
        </w:rPr>
        <w:t xml:space="preserve"> As we note above, standard accounts are insufficient to explain why a single deposit insurance scheme </w:t>
      </w:r>
      <w:r w:rsidR="007E55AC">
        <w:rPr>
          <w:rFonts w:cs="Times New Roman"/>
          <w:szCs w:val="24"/>
        </w:rPr>
        <w:t>(</w:t>
      </w:r>
      <w:r w:rsidR="001914B5">
        <w:rPr>
          <w:rFonts w:cs="Times New Roman"/>
          <w:szCs w:val="24"/>
        </w:rPr>
        <w:t>EDIS</w:t>
      </w:r>
      <w:r w:rsidR="007E55AC">
        <w:rPr>
          <w:rFonts w:cs="Times New Roman"/>
          <w:szCs w:val="24"/>
        </w:rPr>
        <w:t xml:space="preserve">) </w:t>
      </w:r>
      <w:r>
        <w:rPr>
          <w:rFonts w:cs="Times New Roman"/>
          <w:szCs w:val="24"/>
        </w:rPr>
        <w:t xml:space="preserve">failed even as a single regulator </w:t>
      </w:r>
      <w:r w:rsidR="007E55AC">
        <w:rPr>
          <w:rFonts w:cs="Times New Roman"/>
          <w:szCs w:val="24"/>
        </w:rPr>
        <w:t xml:space="preserve">(SSM) </w:t>
      </w:r>
      <w:r>
        <w:rPr>
          <w:rFonts w:cs="Times New Roman"/>
          <w:szCs w:val="24"/>
        </w:rPr>
        <w:t xml:space="preserve">and resolution mechanism </w:t>
      </w:r>
      <w:r w:rsidR="007E55AC">
        <w:rPr>
          <w:rFonts w:cs="Times New Roman"/>
          <w:szCs w:val="24"/>
        </w:rPr>
        <w:t xml:space="preserve">(SRM) </w:t>
      </w:r>
      <w:r>
        <w:rPr>
          <w:rFonts w:cs="Times New Roman"/>
          <w:szCs w:val="24"/>
        </w:rPr>
        <w:t xml:space="preserve">succeeded. Banking union negotiations across all three pillars involved two coalitions: a German-led coalition that included Germany, Finland, the Netherlands and some northern European states; and a French-led coalition that included France, Spain, Italy, and other economically-weak Eurozone states.  The French-led coalition – which called for the adoption of all three pillars </w:t>
      </w:r>
      <w:r w:rsidR="000640F2">
        <w:rPr>
          <w:rFonts w:cs="Times New Roman"/>
          <w:szCs w:val="24"/>
        </w:rPr>
        <w:t>–</w:t>
      </w:r>
      <w:r>
        <w:rPr>
          <w:rFonts w:cs="Times New Roman"/>
          <w:szCs w:val="24"/>
        </w:rPr>
        <w:t xml:space="preserve"> was supported by the European Commission, European Parliament, and European Central Bank. The German-led coalition led the opposition to all three pillars of banking union (Schäfer 2015; Howarth and Quaglia 2014).  Scholarly and journalistic accounts of the negotiations focus mainly on the power and influence of Germany’s 400 public savings banks (</w:t>
      </w:r>
      <w:r>
        <w:rPr>
          <w:rFonts w:cs="Times New Roman"/>
          <w:i/>
          <w:szCs w:val="24"/>
        </w:rPr>
        <w:t>Sparkassen</w:t>
      </w:r>
      <w:r>
        <w:rPr>
          <w:rFonts w:cs="Times New Roman"/>
          <w:szCs w:val="24"/>
        </w:rPr>
        <w:t>) and 1</w:t>
      </w:r>
      <w:r w:rsidR="000640F2">
        <w:rPr>
          <w:rFonts w:cs="Times New Roman"/>
          <w:szCs w:val="24"/>
        </w:rPr>
        <w:t>,</w:t>
      </w:r>
      <w:r>
        <w:rPr>
          <w:rFonts w:cs="Times New Roman"/>
          <w:szCs w:val="24"/>
        </w:rPr>
        <w:t xml:space="preserve">200 cooperatives.  </w:t>
      </w:r>
    </w:p>
    <w:p w14:paraId="7974B590" w14:textId="77777777" w:rsidR="00A57226" w:rsidRDefault="00A57226" w:rsidP="00A57226">
      <w:pPr>
        <w:spacing w:line="480" w:lineRule="auto"/>
        <w:ind w:firstLine="720"/>
        <w:rPr>
          <w:rFonts w:cs="Times New Roman"/>
          <w:szCs w:val="24"/>
        </w:rPr>
      </w:pPr>
      <w:r>
        <w:rPr>
          <w:rFonts w:cs="Times New Roman"/>
          <w:szCs w:val="24"/>
        </w:rPr>
        <w:t xml:space="preserve">Deeg’s (1999) seminal study of Germany’s banking system described how savings banks, because of their close relationship with local and regional governments, enjoy unusual influence over </w:t>
      </w:r>
      <w:r w:rsidR="007E55AC">
        <w:rPr>
          <w:rFonts w:cs="Times New Roman"/>
          <w:szCs w:val="24"/>
        </w:rPr>
        <w:t xml:space="preserve">German </w:t>
      </w:r>
      <w:r>
        <w:rPr>
          <w:rFonts w:cs="Times New Roman"/>
          <w:szCs w:val="24"/>
        </w:rPr>
        <w:t xml:space="preserve">politicians across </w:t>
      </w:r>
      <w:r w:rsidR="007E55AC">
        <w:rPr>
          <w:rFonts w:cs="Times New Roman"/>
          <w:szCs w:val="24"/>
        </w:rPr>
        <w:t xml:space="preserve">political </w:t>
      </w:r>
      <w:r>
        <w:rPr>
          <w:rFonts w:cs="Times New Roman"/>
          <w:szCs w:val="24"/>
        </w:rPr>
        <w:t>parties or ideology.  Savings banks are the main source of capital for small and medium-sized</w:t>
      </w:r>
      <w:r w:rsidR="007E55AC">
        <w:rPr>
          <w:rFonts w:cs="Times New Roman"/>
          <w:szCs w:val="24"/>
        </w:rPr>
        <w:t xml:space="preserve"> enterprises (SMEs) in German. And w</w:t>
      </w:r>
      <w:r>
        <w:rPr>
          <w:rFonts w:cs="Times New Roman"/>
          <w:szCs w:val="24"/>
        </w:rPr>
        <w:t>hen combine</w:t>
      </w:r>
      <w:r w:rsidR="000640F2">
        <w:rPr>
          <w:rFonts w:cs="Times New Roman"/>
          <w:szCs w:val="24"/>
        </w:rPr>
        <w:t>d</w:t>
      </w:r>
      <w:r>
        <w:rPr>
          <w:rFonts w:cs="Times New Roman"/>
          <w:szCs w:val="24"/>
        </w:rPr>
        <w:t xml:space="preserve"> they make up about a third of all banking assets in Germany, more than the largest private banks (Howarth and Quaglia 2014; Hardie and Howarth 2013).  So when “the </w:t>
      </w:r>
      <w:r w:rsidRPr="002571B3">
        <w:rPr>
          <w:rFonts w:cs="Times New Roman"/>
          <w:szCs w:val="24"/>
        </w:rPr>
        <w:t xml:space="preserve">loudest objections to EU banking </w:t>
      </w:r>
      <w:r>
        <w:rPr>
          <w:rFonts w:cs="Times New Roman"/>
          <w:szCs w:val="24"/>
        </w:rPr>
        <w:t xml:space="preserve">comes </w:t>
      </w:r>
      <w:r w:rsidRPr="002571B3">
        <w:rPr>
          <w:rFonts w:cs="Times New Roman"/>
          <w:szCs w:val="24"/>
        </w:rPr>
        <w:t>from Germany, and parti</w:t>
      </w:r>
      <w:r>
        <w:rPr>
          <w:rFonts w:cs="Times New Roman"/>
          <w:szCs w:val="24"/>
        </w:rPr>
        <w:t xml:space="preserve">cularly from its savings banks,” scholars point to </w:t>
      </w:r>
      <w:r>
        <w:rPr>
          <w:rFonts w:cs="Times New Roman"/>
          <w:i/>
          <w:szCs w:val="24"/>
        </w:rPr>
        <w:t xml:space="preserve">Sparkassen </w:t>
      </w:r>
      <w:r>
        <w:rPr>
          <w:rFonts w:cs="Times New Roman"/>
          <w:szCs w:val="24"/>
        </w:rPr>
        <w:t xml:space="preserve">as the main driver of banking union </w:t>
      </w:r>
      <w:r w:rsidRPr="002571B3">
        <w:rPr>
          <w:rFonts w:cs="Times New Roman"/>
          <w:szCs w:val="24"/>
        </w:rPr>
        <w:t>(Wilson, Wiesmann, and Barker 2012</w:t>
      </w:r>
      <w:r>
        <w:rPr>
          <w:rFonts w:cs="Times New Roman"/>
          <w:szCs w:val="24"/>
        </w:rPr>
        <w:t>; Barker 2012;</w:t>
      </w:r>
      <w:r w:rsidRPr="00334961">
        <w:rPr>
          <w:rFonts w:cs="Times New Roman"/>
          <w:szCs w:val="24"/>
        </w:rPr>
        <w:t xml:space="preserve"> </w:t>
      </w:r>
      <w:r>
        <w:rPr>
          <w:rFonts w:cs="Times New Roman"/>
          <w:szCs w:val="24"/>
        </w:rPr>
        <w:t>Howarth and Quaglia 2014</w:t>
      </w:r>
      <w:r w:rsidRPr="002571B3">
        <w:rPr>
          <w:rFonts w:cs="Times New Roman"/>
          <w:szCs w:val="24"/>
        </w:rPr>
        <w:t xml:space="preserve">). </w:t>
      </w:r>
      <w:r>
        <w:rPr>
          <w:rFonts w:cs="Times New Roman"/>
          <w:szCs w:val="24"/>
        </w:rPr>
        <w:t xml:space="preserve"> </w:t>
      </w:r>
      <w:r w:rsidRPr="002571B3">
        <w:rPr>
          <w:rFonts w:cs="Times New Roman"/>
          <w:szCs w:val="24"/>
        </w:rPr>
        <w:t xml:space="preserve">Others </w:t>
      </w:r>
      <w:r>
        <w:rPr>
          <w:rFonts w:cs="Times New Roman"/>
          <w:szCs w:val="24"/>
        </w:rPr>
        <w:t>echo</w:t>
      </w:r>
      <w:r w:rsidRPr="002571B3">
        <w:rPr>
          <w:rFonts w:cs="Times New Roman"/>
          <w:szCs w:val="24"/>
        </w:rPr>
        <w:t xml:space="preserve"> this sentiment, stating that the </w:t>
      </w:r>
      <w:r w:rsidRPr="002571B3">
        <w:rPr>
          <w:rFonts w:cs="Times New Roman"/>
          <w:i/>
          <w:szCs w:val="24"/>
        </w:rPr>
        <w:t>Sparkassen</w:t>
      </w:r>
      <w:r>
        <w:rPr>
          <w:rFonts w:cs="Times New Roman"/>
          <w:szCs w:val="24"/>
        </w:rPr>
        <w:t xml:space="preserve"> </w:t>
      </w:r>
      <w:r w:rsidRPr="002571B3">
        <w:rPr>
          <w:rFonts w:cs="Times New Roman"/>
          <w:szCs w:val="24"/>
        </w:rPr>
        <w:t>used their political influence to block several EU rules, including a single deposit insurer, in order to protect their small, retail indu</w:t>
      </w:r>
      <w:r w:rsidR="008B4EB4">
        <w:rPr>
          <w:rFonts w:cs="Times New Roman"/>
          <w:szCs w:val="24"/>
        </w:rPr>
        <w:t>stry from EU rules designed for</w:t>
      </w:r>
      <w:r w:rsidRPr="002571B3">
        <w:rPr>
          <w:rFonts w:cs="Times New Roman"/>
          <w:szCs w:val="24"/>
        </w:rPr>
        <w:t xml:space="preserve"> “big financial conglomerates” (Steinhauser and Stevens 2013). </w:t>
      </w:r>
      <w:r>
        <w:rPr>
          <w:rFonts w:cs="Times New Roman"/>
          <w:szCs w:val="24"/>
        </w:rPr>
        <w:t xml:space="preserve"> </w:t>
      </w:r>
    </w:p>
    <w:p w14:paraId="0D664D20" w14:textId="055E073E" w:rsidR="00A57226" w:rsidRPr="002571B3" w:rsidRDefault="007E55AC" w:rsidP="00A57226">
      <w:pPr>
        <w:spacing w:line="480" w:lineRule="auto"/>
        <w:rPr>
          <w:rFonts w:cs="Times New Roman"/>
          <w:szCs w:val="24"/>
        </w:rPr>
      </w:pPr>
      <w:r>
        <w:rPr>
          <w:rFonts w:cs="Times New Roman"/>
          <w:szCs w:val="24"/>
        </w:rPr>
        <w:t xml:space="preserve"> </w:t>
      </w:r>
      <w:r>
        <w:rPr>
          <w:rFonts w:cs="Times New Roman"/>
          <w:szCs w:val="24"/>
        </w:rPr>
        <w:tab/>
        <w:t>Whi</w:t>
      </w:r>
      <w:r w:rsidR="00662D3B">
        <w:rPr>
          <w:rFonts w:cs="Times New Roman"/>
          <w:szCs w:val="24"/>
        </w:rPr>
        <w:t xml:space="preserve">le it may be appealing to hold Germany’s </w:t>
      </w:r>
      <w:r>
        <w:rPr>
          <w:rFonts w:cs="Times New Roman"/>
          <w:szCs w:val="24"/>
        </w:rPr>
        <w:t xml:space="preserve">public banks </w:t>
      </w:r>
      <w:r w:rsidR="00662D3B">
        <w:rPr>
          <w:rFonts w:cs="Times New Roman"/>
          <w:szCs w:val="24"/>
        </w:rPr>
        <w:t xml:space="preserve">responsible </w:t>
      </w:r>
      <w:r>
        <w:rPr>
          <w:rFonts w:cs="Times New Roman"/>
          <w:szCs w:val="24"/>
        </w:rPr>
        <w:t>for stifling EU banking union, s</w:t>
      </w:r>
      <w:r w:rsidR="00A57226">
        <w:rPr>
          <w:rFonts w:cs="Times New Roman"/>
          <w:szCs w:val="24"/>
        </w:rPr>
        <w:t xml:space="preserve">uch accounts are </w:t>
      </w:r>
      <w:r w:rsidR="00D34667">
        <w:rPr>
          <w:rFonts w:cs="Times New Roman"/>
          <w:szCs w:val="24"/>
        </w:rPr>
        <w:t>at best incomplete</w:t>
      </w:r>
      <w:r w:rsidR="00A57226">
        <w:rPr>
          <w:rFonts w:cs="Times New Roman"/>
          <w:szCs w:val="24"/>
        </w:rPr>
        <w:t xml:space="preserve"> </w:t>
      </w:r>
      <w:r>
        <w:rPr>
          <w:rFonts w:cs="Times New Roman"/>
          <w:szCs w:val="24"/>
        </w:rPr>
        <w:t>since</w:t>
      </w:r>
      <w:r w:rsidR="00A57226">
        <w:rPr>
          <w:rFonts w:cs="Times New Roman"/>
          <w:szCs w:val="24"/>
        </w:rPr>
        <w:t xml:space="preserve"> public banks and co</w:t>
      </w:r>
      <w:r w:rsidR="000640F2">
        <w:rPr>
          <w:rFonts w:cs="Times New Roman"/>
          <w:szCs w:val="24"/>
        </w:rPr>
        <w:t>-</w:t>
      </w:r>
      <w:r w:rsidR="00A57226">
        <w:rPr>
          <w:rFonts w:cs="Times New Roman"/>
          <w:szCs w:val="24"/>
        </w:rPr>
        <w:t>ops were equa</w:t>
      </w:r>
      <w:r>
        <w:rPr>
          <w:rFonts w:cs="Times New Roman"/>
          <w:szCs w:val="24"/>
        </w:rPr>
        <w:t xml:space="preserve">lly opposed to the SSM and SRM </w:t>
      </w:r>
      <w:r w:rsidR="008B4EB4">
        <w:rPr>
          <w:rFonts w:cs="Times New Roman"/>
          <w:szCs w:val="24"/>
        </w:rPr>
        <w:t xml:space="preserve">and </w:t>
      </w:r>
      <w:r>
        <w:rPr>
          <w:rFonts w:cs="Times New Roman"/>
          <w:szCs w:val="24"/>
        </w:rPr>
        <w:t>yet these initiative</w:t>
      </w:r>
      <w:r w:rsidR="008B4EB4">
        <w:rPr>
          <w:rFonts w:cs="Times New Roman"/>
          <w:szCs w:val="24"/>
        </w:rPr>
        <w:t xml:space="preserve">s succeeded. </w:t>
      </w:r>
      <w:r>
        <w:rPr>
          <w:rFonts w:cs="Times New Roman"/>
          <w:szCs w:val="24"/>
        </w:rPr>
        <w:t xml:space="preserve"> In addition, </w:t>
      </w:r>
      <w:r w:rsidR="00A57226" w:rsidRPr="002571B3">
        <w:rPr>
          <w:rFonts w:cs="Times New Roman"/>
          <w:szCs w:val="24"/>
        </w:rPr>
        <w:t>German leaders</w:t>
      </w:r>
      <w:r w:rsidR="00A57226">
        <w:rPr>
          <w:rFonts w:cs="Times New Roman"/>
          <w:szCs w:val="24"/>
        </w:rPr>
        <w:t xml:space="preserve">’ </w:t>
      </w:r>
      <w:r w:rsidR="00A57226" w:rsidRPr="002571B3">
        <w:rPr>
          <w:rFonts w:cs="Times New Roman"/>
          <w:szCs w:val="24"/>
        </w:rPr>
        <w:t>object</w:t>
      </w:r>
      <w:r w:rsidR="00A57226">
        <w:rPr>
          <w:rFonts w:cs="Times New Roman"/>
          <w:szCs w:val="24"/>
        </w:rPr>
        <w:t>ion</w:t>
      </w:r>
      <w:r w:rsidR="00D34667">
        <w:rPr>
          <w:rFonts w:cs="Times New Roman"/>
          <w:szCs w:val="24"/>
        </w:rPr>
        <w:t>s</w:t>
      </w:r>
      <w:r w:rsidR="00A57226">
        <w:rPr>
          <w:rFonts w:cs="Times New Roman"/>
          <w:szCs w:val="24"/>
        </w:rPr>
        <w:t xml:space="preserve"> to a common deposit insurance scheme centered around moral hazard and the mutualization of risk: </w:t>
      </w:r>
      <w:r w:rsidR="008B4EB4">
        <w:rPr>
          <w:rFonts w:cs="Times New Roman"/>
          <w:szCs w:val="24"/>
        </w:rPr>
        <w:t xml:space="preserve">the </w:t>
      </w:r>
      <w:r w:rsidR="00A57226">
        <w:rPr>
          <w:rFonts w:cs="Times New Roman"/>
          <w:szCs w:val="24"/>
        </w:rPr>
        <w:t xml:space="preserve">concern that weak Greek, Italian, Spanish and Cyprian banks would take advantage of the common insurance scheme </w:t>
      </w:r>
      <w:r>
        <w:rPr>
          <w:rFonts w:cs="Times New Roman"/>
          <w:szCs w:val="24"/>
        </w:rPr>
        <w:t xml:space="preserve">precisely because </w:t>
      </w:r>
      <w:r w:rsidR="00A57226">
        <w:rPr>
          <w:rFonts w:cs="Times New Roman"/>
          <w:szCs w:val="24"/>
        </w:rPr>
        <w:t>German banks</w:t>
      </w:r>
      <w:r w:rsidR="008B4EB4">
        <w:rPr>
          <w:rFonts w:cs="Times New Roman"/>
          <w:szCs w:val="24"/>
        </w:rPr>
        <w:t xml:space="preserve"> and German citizens provide a financial backstop that insures</w:t>
      </w:r>
      <w:r w:rsidR="00A57226">
        <w:rPr>
          <w:rFonts w:cs="Times New Roman"/>
          <w:szCs w:val="24"/>
        </w:rPr>
        <w:t xml:space="preserve"> depositors. </w:t>
      </w:r>
      <w:r w:rsidR="008B4EB4">
        <w:rPr>
          <w:rFonts w:cs="Times New Roman"/>
          <w:szCs w:val="24"/>
        </w:rPr>
        <w:t xml:space="preserve">As one German state official put it, </w:t>
      </w:r>
      <w:r w:rsidR="00A57226">
        <w:rPr>
          <w:rFonts w:cs="Times New Roman"/>
          <w:szCs w:val="24"/>
        </w:rPr>
        <w:t>“T</w:t>
      </w:r>
      <w:r w:rsidR="00A57226" w:rsidRPr="002571B3">
        <w:rPr>
          <w:rFonts w:cs="Times New Roman"/>
          <w:szCs w:val="24"/>
        </w:rPr>
        <w:t>o now start a discussion of further mutualization of banks risks through a common deposit insurance</w:t>
      </w:r>
      <w:r w:rsidR="008B4EB4">
        <w:rPr>
          <w:rFonts w:cs="Times New Roman"/>
          <w:szCs w:val="24"/>
        </w:rPr>
        <w:t xml:space="preserve"> </w:t>
      </w:r>
      <w:r w:rsidR="00A57226">
        <w:rPr>
          <w:rFonts w:cs="Times New Roman"/>
          <w:szCs w:val="24"/>
        </w:rPr>
        <w:t>i</w:t>
      </w:r>
      <w:r w:rsidR="00A57226" w:rsidRPr="002571B3">
        <w:rPr>
          <w:rFonts w:cs="Times New Roman"/>
          <w:szCs w:val="24"/>
        </w:rPr>
        <w:t xml:space="preserve">s unacceptable” (Financial Times 2015). </w:t>
      </w:r>
      <w:r w:rsidR="00A57226">
        <w:rPr>
          <w:rFonts w:cs="Times New Roman"/>
          <w:szCs w:val="24"/>
        </w:rPr>
        <w:t xml:space="preserve">  Yet, the SRM</w:t>
      </w:r>
      <w:r w:rsidR="00A57226" w:rsidRPr="002571B3">
        <w:rPr>
          <w:rFonts w:cs="Times New Roman"/>
          <w:szCs w:val="24"/>
        </w:rPr>
        <w:t xml:space="preserve"> and its accompanying common</w:t>
      </w:r>
      <w:r w:rsidR="00A57226">
        <w:rPr>
          <w:rFonts w:cs="Times New Roman"/>
          <w:szCs w:val="24"/>
        </w:rPr>
        <w:t xml:space="preserve"> r</w:t>
      </w:r>
      <w:r w:rsidR="000640F2">
        <w:rPr>
          <w:rFonts w:cs="Times New Roman"/>
          <w:szCs w:val="24"/>
        </w:rPr>
        <w:t>esolution</w:t>
      </w:r>
      <w:r w:rsidR="00A57226" w:rsidRPr="002571B3">
        <w:rPr>
          <w:rFonts w:cs="Times New Roman"/>
          <w:szCs w:val="24"/>
        </w:rPr>
        <w:t xml:space="preserve"> fund, is no less a risk-sharing agreement than deposit insurance. While it is true that German leaders initially opposed the SRM, they did not use veto power on the issue and have supported the mechanism since its legal creation. Arguably, any concession that was made to Germany in exchange for its acceptance of resolution could have been negotiated in the realm of deposit insurance as well. Yet, a 2015 German finance ministry “non-paper” even acknowledged that an effective resolution mechanism is </w:t>
      </w:r>
      <w:r w:rsidR="00A57226" w:rsidRPr="002571B3">
        <w:rPr>
          <w:rFonts w:cs="Times New Roman"/>
          <w:i/>
          <w:szCs w:val="24"/>
        </w:rPr>
        <w:t>needed</w:t>
      </w:r>
      <w:r w:rsidR="00A57226" w:rsidRPr="002571B3">
        <w:rPr>
          <w:rFonts w:cs="Times New Roman"/>
          <w:szCs w:val="24"/>
        </w:rPr>
        <w:t xml:space="preserve"> to prevent bank risks from becoming sovereign risks (Financial Times 2015).</w:t>
      </w:r>
      <w:r w:rsidR="00A57226">
        <w:rPr>
          <w:rFonts w:cs="Times New Roman"/>
          <w:szCs w:val="24"/>
        </w:rPr>
        <w:t xml:space="preserve"> </w:t>
      </w:r>
      <w:r w:rsidR="00A57226" w:rsidRPr="002571B3">
        <w:rPr>
          <w:rFonts w:cs="Times New Roman"/>
          <w:szCs w:val="24"/>
        </w:rPr>
        <w:t xml:space="preserve"> </w:t>
      </w:r>
      <w:r w:rsidR="00183016">
        <w:rPr>
          <w:rFonts w:cs="Times New Roman"/>
          <w:szCs w:val="24"/>
        </w:rPr>
        <w:t>W</w:t>
      </w:r>
      <w:r w:rsidR="00A57226" w:rsidRPr="002571B3">
        <w:rPr>
          <w:rFonts w:cs="Times New Roman"/>
          <w:szCs w:val="24"/>
        </w:rPr>
        <w:t>hy, then, did Europeans agree to a common resolution fund while rejecting a common deposit insurance scheme?</w:t>
      </w:r>
      <w:r>
        <w:rPr>
          <w:rFonts w:cs="Times New Roman"/>
          <w:szCs w:val="24"/>
        </w:rPr>
        <w:t xml:space="preserve">  The fields of public policy and psychology offer an answer.</w:t>
      </w:r>
    </w:p>
    <w:p w14:paraId="28A98930" w14:textId="77777777" w:rsidR="009E0BBE" w:rsidRDefault="009E0BBE" w:rsidP="00A57226">
      <w:pPr>
        <w:spacing w:line="480" w:lineRule="auto"/>
        <w:rPr>
          <w:rFonts w:cs="Times New Roman"/>
          <w:szCs w:val="24"/>
        </w:rPr>
      </w:pPr>
      <w:r>
        <w:rPr>
          <w:rFonts w:cs="Times New Roman"/>
          <w:b/>
          <w:szCs w:val="24"/>
        </w:rPr>
        <w:t>Gormley’s Complexity-Salience Typology</w:t>
      </w:r>
      <w:r w:rsidR="00A57226" w:rsidRPr="002571B3">
        <w:rPr>
          <w:rFonts w:cs="Times New Roman"/>
          <w:szCs w:val="24"/>
        </w:rPr>
        <w:tab/>
      </w:r>
      <w:r w:rsidR="00A57226">
        <w:rPr>
          <w:rFonts w:cs="Times New Roman"/>
          <w:szCs w:val="24"/>
        </w:rPr>
        <w:t xml:space="preserve"> </w:t>
      </w:r>
    </w:p>
    <w:p w14:paraId="0B00B1A2" w14:textId="03488183" w:rsidR="00A57226" w:rsidRDefault="00A57226" w:rsidP="009E0BBE">
      <w:pPr>
        <w:spacing w:line="480" w:lineRule="auto"/>
        <w:ind w:firstLine="720"/>
        <w:rPr>
          <w:rFonts w:cs="Times New Roman"/>
          <w:szCs w:val="24"/>
        </w:rPr>
      </w:pPr>
      <w:r>
        <w:rPr>
          <w:rFonts w:cs="Times New Roman"/>
          <w:szCs w:val="24"/>
        </w:rPr>
        <w:t xml:space="preserve">One </w:t>
      </w:r>
      <w:r w:rsidR="00D34667">
        <w:rPr>
          <w:rFonts w:cs="Times New Roman"/>
          <w:szCs w:val="24"/>
        </w:rPr>
        <w:t xml:space="preserve">possible </w:t>
      </w:r>
      <w:r>
        <w:rPr>
          <w:rFonts w:cs="Times New Roman"/>
          <w:szCs w:val="24"/>
        </w:rPr>
        <w:t>reason for the difference</w:t>
      </w:r>
      <w:r w:rsidR="00D34667">
        <w:rPr>
          <w:rFonts w:cs="Times New Roman"/>
          <w:szCs w:val="24"/>
        </w:rPr>
        <w:t xml:space="preserve"> in outcomes</w:t>
      </w:r>
      <w:r>
        <w:rPr>
          <w:rFonts w:cs="Times New Roman"/>
          <w:szCs w:val="24"/>
        </w:rPr>
        <w:t xml:space="preserve"> across the three pillars is the level of salience</w:t>
      </w:r>
      <w:r w:rsidR="005B0640">
        <w:rPr>
          <w:rFonts w:cs="Times New Roman"/>
          <w:szCs w:val="24"/>
        </w:rPr>
        <w:t>;</w:t>
      </w:r>
      <w:r>
        <w:rPr>
          <w:rFonts w:cs="Times New Roman"/>
          <w:szCs w:val="24"/>
        </w:rPr>
        <w:t xml:space="preserve"> that is th</w:t>
      </w:r>
      <w:r w:rsidR="00D34667">
        <w:rPr>
          <w:rFonts w:cs="Times New Roman"/>
          <w:szCs w:val="24"/>
        </w:rPr>
        <w:t>e number of people affected by the three</w:t>
      </w:r>
      <w:r>
        <w:rPr>
          <w:rFonts w:cs="Times New Roman"/>
          <w:szCs w:val="24"/>
        </w:rPr>
        <w:t xml:space="preserve"> </w:t>
      </w:r>
      <w:r w:rsidR="00D34667">
        <w:rPr>
          <w:rFonts w:cs="Times New Roman"/>
          <w:szCs w:val="24"/>
        </w:rPr>
        <w:t>policies</w:t>
      </w:r>
      <w:r>
        <w:rPr>
          <w:rFonts w:cs="Times New Roman"/>
          <w:szCs w:val="24"/>
        </w:rPr>
        <w:t>.  In the 1980s</w:t>
      </w:r>
      <w:r w:rsidR="000640F2">
        <w:rPr>
          <w:rFonts w:cs="Times New Roman"/>
          <w:szCs w:val="24"/>
        </w:rPr>
        <w:t>,</w:t>
      </w:r>
      <w:r>
        <w:rPr>
          <w:rFonts w:cs="Times New Roman"/>
          <w:szCs w:val="24"/>
        </w:rPr>
        <w:t xml:space="preserve"> William Gormley developed a policy typology that</w:t>
      </w:r>
      <w:r w:rsidR="00D34667">
        <w:rPr>
          <w:rFonts w:cs="Times New Roman"/>
          <w:szCs w:val="24"/>
        </w:rPr>
        <w:t>,</w:t>
      </w:r>
      <w:r>
        <w:rPr>
          <w:rFonts w:cs="Times New Roman"/>
          <w:szCs w:val="24"/>
        </w:rPr>
        <w:t xml:space="preserve"> like other typologies (Lowi 1972; Wilson 1989)</w:t>
      </w:r>
      <w:r w:rsidR="00D34667">
        <w:rPr>
          <w:rFonts w:cs="Times New Roman"/>
          <w:szCs w:val="24"/>
        </w:rPr>
        <w:t>,</w:t>
      </w:r>
      <w:r w:rsidR="004C7F58">
        <w:rPr>
          <w:rFonts w:cs="Times New Roman"/>
          <w:szCs w:val="24"/>
        </w:rPr>
        <w:t xml:space="preserve"> suggests one can</w:t>
      </w:r>
      <w:r>
        <w:rPr>
          <w:rFonts w:cs="Times New Roman"/>
          <w:szCs w:val="24"/>
        </w:rPr>
        <w:t xml:space="preserve"> understand the politics behind a policy with reference to the characteristics of</w:t>
      </w:r>
      <w:r w:rsidR="004C7F58">
        <w:rPr>
          <w:rFonts w:cs="Times New Roman"/>
          <w:szCs w:val="24"/>
        </w:rPr>
        <w:t xml:space="preserve"> the policy itself.  Politics i</w:t>
      </w:r>
      <w:r>
        <w:rPr>
          <w:rFonts w:cs="Times New Roman"/>
          <w:szCs w:val="24"/>
        </w:rPr>
        <w:t>s a function of the policy rather than the other way around.  For Gormley the political process surround</w:t>
      </w:r>
      <w:r w:rsidR="000640F2">
        <w:rPr>
          <w:rFonts w:cs="Times New Roman"/>
          <w:szCs w:val="24"/>
        </w:rPr>
        <w:t>ing</w:t>
      </w:r>
      <w:r>
        <w:rPr>
          <w:rFonts w:cs="Times New Roman"/>
          <w:szCs w:val="24"/>
        </w:rPr>
        <w:t xml:space="preserve"> regulatory policies differ</w:t>
      </w:r>
      <w:r w:rsidR="00D34667">
        <w:rPr>
          <w:rFonts w:cs="Times New Roman"/>
          <w:szCs w:val="24"/>
        </w:rPr>
        <w:t>s</w:t>
      </w:r>
      <w:r>
        <w:rPr>
          <w:rFonts w:cs="Times New Roman"/>
          <w:szCs w:val="24"/>
        </w:rPr>
        <w:t xml:space="preserve"> depending upon the salien</w:t>
      </w:r>
      <w:r w:rsidR="00D34667">
        <w:rPr>
          <w:rFonts w:cs="Times New Roman"/>
          <w:szCs w:val="24"/>
        </w:rPr>
        <w:t>ce and technical complexity of the</w:t>
      </w:r>
      <w:r>
        <w:rPr>
          <w:rFonts w:cs="Times New Roman"/>
          <w:szCs w:val="24"/>
        </w:rPr>
        <w:t xml:space="preserve"> policy.  Salience refers to the size of the population affected and complexity refers to the level of expertise needed to understand an issue.  Salience and complexity are important because they generate different incentives for political actors to participate in the policymaking process.  Moreover, the mix of complexity and salience creates different opportunities for involvement and, by extension, different levels and types of conflict among actors.  Figure 2 illustrates Gormley’s salience-complexity typology.</w:t>
      </w:r>
    </w:p>
    <w:tbl>
      <w:tblPr>
        <w:tblStyle w:val="TableGrid"/>
        <w:tblW w:w="0" w:type="auto"/>
        <w:tblInd w:w="1818" w:type="dxa"/>
        <w:tblBorders>
          <w:insideH w:val="none" w:sz="0" w:space="0" w:color="auto"/>
          <w:insideV w:val="none" w:sz="0" w:space="0" w:color="auto"/>
        </w:tblBorders>
        <w:tblLook w:val="04A0" w:firstRow="1" w:lastRow="0" w:firstColumn="1" w:lastColumn="0" w:noHBand="0" w:noVBand="1"/>
      </w:tblPr>
      <w:tblGrid>
        <w:gridCol w:w="1601"/>
        <w:gridCol w:w="3178"/>
        <w:gridCol w:w="2439"/>
      </w:tblGrid>
      <w:tr w:rsidR="00A57226" w14:paraId="2D32D3BF" w14:textId="77777777" w:rsidTr="007E55AC">
        <w:tc>
          <w:tcPr>
            <w:tcW w:w="1403" w:type="dxa"/>
          </w:tcPr>
          <w:p w14:paraId="34AB5A5C" w14:textId="77777777" w:rsidR="00A57226" w:rsidRDefault="00A57226" w:rsidP="00A57226">
            <w:pPr>
              <w:spacing w:line="480" w:lineRule="auto"/>
              <w:rPr>
                <w:rFonts w:cs="Times New Roman"/>
                <w:szCs w:val="24"/>
              </w:rPr>
            </w:pPr>
          </w:p>
        </w:tc>
        <w:tc>
          <w:tcPr>
            <w:tcW w:w="5617" w:type="dxa"/>
            <w:gridSpan w:val="2"/>
            <w:tcBorders>
              <w:bottom w:val="single" w:sz="4" w:space="0" w:color="auto"/>
            </w:tcBorders>
          </w:tcPr>
          <w:p w14:paraId="2CB65257" w14:textId="77777777" w:rsidR="00A57226" w:rsidRDefault="00A57226" w:rsidP="00A57226">
            <w:pPr>
              <w:contextualSpacing/>
              <w:jc w:val="center"/>
              <w:rPr>
                <w:rFonts w:cs="Times New Roman"/>
                <w:szCs w:val="24"/>
              </w:rPr>
            </w:pPr>
          </w:p>
          <w:p w14:paraId="6981A20E" w14:textId="77777777" w:rsidR="00A57226" w:rsidRPr="00060311" w:rsidRDefault="00A57226" w:rsidP="00A57226">
            <w:pPr>
              <w:contextualSpacing/>
              <w:jc w:val="center"/>
              <w:rPr>
                <w:rFonts w:cs="Times New Roman"/>
                <w:b/>
                <w:sz w:val="28"/>
                <w:szCs w:val="28"/>
              </w:rPr>
            </w:pPr>
            <w:r w:rsidRPr="00060311">
              <w:rPr>
                <w:rFonts w:cs="Times New Roman"/>
                <w:b/>
                <w:sz w:val="28"/>
                <w:szCs w:val="28"/>
              </w:rPr>
              <w:t>Salience</w:t>
            </w:r>
          </w:p>
        </w:tc>
      </w:tr>
      <w:tr w:rsidR="00A57226" w14:paraId="6FCAE971" w14:textId="77777777" w:rsidTr="007E55AC">
        <w:tc>
          <w:tcPr>
            <w:tcW w:w="1403" w:type="dxa"/>
            <w:tcBorders>
              <w:right w:val="single" w:sz="4" w:space="0" w:color="auto"/>
            </w:tcBorders>
          </w:tcPr>
          <w:p w14:paraId="11F20601" w14:textId="77777777" w:rsidR="00A57226" w:rsidRPr="00060311" w:rsidRDefault="00A57226" w:rsidP="00A57226">
            <w:pPr>
              <w:spacing w:line="480" w:lineRule="auto"/>
              <w:jc w:val="right"/>
              <w:rPr>
                <w:rFonts w:cs="Times New Roman"/>
                <w:b/>
                <w:sz w:val="28"/>
                <w:szCs w:val="28"/>
              </w:rPr>
            </w:pPr>
            <w:r w:rsidRPr="00060311">
              <w:rPr>
                <w:rFonts w:cs="Times New Roman"/>
                <w:b/>
                <w:sz w:val="28"/>
                <w:szCs w:val="28"/>
              </w:rPr>
              <w:t>Complexity</w:t>
            </w:r>
          </w:p>
        </w:tc>
        <w:tc>
          <w:tcPr>
            <w:tcW w:w="3178" w:type="dxa"/>
            <w:tcBorders>
              <w:top w:val="single" w:sz="4" w:space="0" w:color="auto"/>
              <w:left w:val="single" w:sz="4" w:space="0" w:color="auto"/>
              <w:bottom w:val="single" w:sz="4" w:space="0" w:color="auto"/>
              <w:right w:val="single" w:sz="4" w:space="0" w:color="auto"/>
            </w:tcBorders>
          </w:tcPr>
          <w:p w14:paraId="0CDD1002" w14:textId="77777777" w:rsidR="00A57226" w:rsidRPr="00060311" w:rsidRDefault="00A57226" w:rsidP="00A57226">
            <w:pPr>
              <w:contextualSpacing/>
              <w:jc w:val="center"/>
              <w:rPr>
                <w:rFonts w:cs="Times New Roman"/>
                <w:b/>
                <w:szCs w:val="24"/>
              </w:rPr>
            </w:pPr>
          </w:p>
          <w:p w14:paraId="17BBE6AF" w14:textId="77777777" w:rsidR="00A57226" w:rsidRPr="00060311" w:rsidRDefault="00A57226" w:rsidP="00A57226">
            <w:pPr>
              <w:contextualSpacing/>
              <w:jc w:val="center"/>
              <w:rPr>
                <w:rFonts w:cs="Times New Roman"/>
                <w:b/>
                <w:szCs w:val="24"/>
              </w:rPr>
            </w:pPr>
            <w:r w:rsidRPr="00060311">
              <w:rPr>
                <w:rFonts w:cs="Times New Roman"/>
                <w:b/>
                <w:szCs w:val="24"/>
              </w:rPr>
              <w:t>High</w:t>
            </w:r>
          </w:p>
        </w:tc>
        <w:tc>
          <w:tcPr>
            <w:tcW w:w="2439" w:type="dxa"/>
            <w:tcBorders>
              <w:top w:val="single" w:sz="4" w:space="0" w:color="auto"/>
              <w:left w:val="single" w:sz="4" w:space="0" w:color="auto"/>
              <w:bottom w:val="single" w:sz="4" w:space="0" w:color="auto"/>
            </w:tcBorders>
          </w:tcPr>
          <w:p w14:paraId="1E8D85C4" w14:textId="77777777" w:rsidR="00A57226" w:rsidRPr="00060311" w:rsidRDefault="00A57226" w:rsidP="00A57226">
            <w:pPr>
              <w:contextualSpacing/>
              <w:jc w:val="center"/>
              <w:rPr>
                <w:rFonts w:cs="Times New Roman"/>
                <w:b/>
                <w:szCs w:val="24"/>
              </w:rPr>
            </w:pPr>
          </w:p>
          <w:p w14:paraId="365180E7" w14:textId="77777777" w:rsidR="00A57226" w:rsidRPr="00060311" w:rsidRDefault="00A57226" w:rsidP="00A57226">
            <w:pPr>
              <w:contextualSpacing/>
              <w:jc w:val="center"/>
              <w:rPr>
                <w:rFonts w:cs="Times New Roman"/>
                <w:b/>
                <w:szCs w:val="24"/>
              </w:rPr>
            </w:pPr>
            <w:r w:rsidRPr="00060311">
              <w:rPr>
                <w:rFonts w:cs="Times New Roman"/>
                <w:b/>
                <w:szCs w:val="24"/>
              </w:rPr>
              <w:t>Low</w:t>
            </w:r>
          </w:p>
        </w:tc>
      </w:tr>
      <w:tr w:rsidR="00A57226" w14:paraId="143D5C7F" w14:textId="77777777" w:rsidTr="007E55AC">
        <w:tc>
          <w:tcPr>
            <w:tcW w:w="1403" w:type="dxa"/>
            <w:tcBorders>
              <w:right w:val="single" w:sz="4" w:space="0" w:color="auto"/>
            </w:tcBorders>
            <w:vAlign w:val="center"/>
          </w:tcPr>
          <w:p w14:paraId="566A97D9" w14:textId="77777777" w:rsidR="00A57226" w:rsidRPr="00060311" w:rsidRDefault="00A57226" w:rsidP="00A57226">
            <w:pPr>
              <w:spacing w:line="480" w:lineRule="auto"/>
              <w:jc w:val="right"/>
              <w:rPr>
                <w:rFonts w:cs="Times New Roman"/>
                <w:b/>
                <w:szCs w:val="24"/>
              </w:rPr>
            </w:pPr>
            <w:r w:rsidRPr="00060311">
              <w:rPr>
                <w:rFonts w:cs="Times New Roman"/>
                <w:b/>
                <w:szCs w:val="24"/>
              </w:rPr>
              <w:t>High</w:t>
            </w:r>
          </w:p>
        </w:tc>
        <w:tc>
          <w:tcPr>
            <w:tcW w:w="3178" w:type="dxa"/>
            <w:tcBorders>
              <w:top w:val="single" w:sz="4" w:space="0" w:color="auto"/>
              <w:left w:val="single" w:sz="4" w:space="0" w:color="auto"/>
              <w:bottom w:val="single" w:sz="4" w:space="0" w:color="auto"/>
              <w:right w:val="single" w:sz="4" w:space="0" w:color="auto"/>
            </w:tcBorders>
          </w:tcPr>
          <w:p w14:paraId="52504D27" w14:textId="77777777" w:rsidR="00A57226" w:rsidRDefault="00A57226" w:rsidP="00A57226">
            <w:pPr>
              <w:spacing w:line="480" w:lineRule="auto"/>
              <w:rPr>
                <w:rFonts w:cs="Times New Roman"/>
                <w:szCs w:val="24"/>
              </w:rPr>
            </w:pPr>
            <w:r>
              <w:rPr>
                <w:rFonts w:cs="Times New Roman"/>
                <w:szCs w:val="24"/>
              </w:rPr>
              <w:t>Operating room politics</w:t>
            </w:r>
          </w:p>
        </w:tc>
        <w:tc>
          <w:tcPr>
            <w:tcW w:w="2439" w:type="dxa"/>
            <w:tcBorders>
              <w:top w:val="single" w:sz="4" w:space="0" w:color="auto"/>
              <w:left w:val="single" w:sz="4" w:space="0" w:color="auto"/>
              <w:bottom w:val="single" w:sz="4" w:space="0" w:color="auto"/>
            </w:tcBorders>
          </w:tcPr>
          <w:p w14:paraId="6DACAB87" w14:textId="77777777" w:rsidR="00A57226" w:rsidRDefault="00A57226" w:rsidP="00A57226">
            <w:pPr>
              <w:spacing w:line="480" w:lineRule="auto"/>
              <w:rPr>
                <w:rFonts w:cs="Times New Roman"/>
                <w:szCs w:val="24"/>
              </w:rPr>
            </w:pPr>
            <w:r>
              <w:rPr>
                <w:rFonts w:cs="Times New Roman"/>
                <w:szCs w:val="24"/>
              </w:rPr>
              <w:t>Board room politics</w:t>
            </w:r>
          </w:p>
        </w:tc>
      </w:tr>
      <w:tr w:rsidR="00A57226" w14:paraId="6F3FE267" w14:textId="77777777" w:rsidTr="007E55AC">
        <w:tc>
          <w:tcPr>
            <w:tcW w:w="1403" w:type="dxa"/>
            <w:tcBorders>
              <w:right w:val="single" w:sz="4" w:space="0" w:color="auto"/>
            </w:tcBorders>
            <w:vAlign w:val="center"/>
          </w:tcPr>
          <w:p w14:paraId="111230C2" w14:textId="77777777" w:rsidR="00A57226" w:rsidRPr="00060311" w:rsidRDefault="00A57226" w:rsidP="00A57226">
            <w:pPr>
              <w:spacing w:line="480" w:lineRule="auto"/>
              <w:jc w:val="right"/>
              <w:rPr>
                <w:rFonts w:cs="Times New Roman"/>
                <w:b/>
                <w:szCs w:val="24"/>
              </w:rPr>
            </w:pPr>
            <w:r w:rsidRPr="00060311">
              <w:rPr>
                <w:rFonts w:cs="Times New Roman"/>
                <w:b/>
                <w:szCs w:val="24"/>
              </w:rPr>
              <w:t>Low</w:t>
            </w:r>
          </w:p>
        </w:tc>
        <w:tc>
          <w:tcPr>
            <w:tcW w:w="3178" w:type="dxa"/>
            <w:tcBorders>
              <w:top w:val="single" w:sz="4" w:space="0" w:color="auto"/>
              <w:left w:val="single" w:sz="4" w:space="0" w:color="auto"/>
              <w:bottom w:val="single" w:sz="4" w:space="0" w:color="auto"/>
              <w:right w:val="single" w:sz="4" w:space="0" w:color="auto"/>
            </w:tcBorders>
          </w:tcPr>
          <w:p w14:paraId="01E533EF" w14:textId="77777777" w:rsidR="00A57226" w:rsidRDefault="00A57226" w:rsidP="00A57226">
            <w:pPr>
              <w:spacing w:line="480" w:lineRule="auto"/>
              <w:rPr>
                <w:rFonts w:cs="Times New Roman"/>
                <w:szCs w:val="24"/>
              </w:rPr>
            </w:pPr>
            <w:r>
              <w:rPr>
                <w:rFonts w:cs="Times New Roman"/>
                <w:szCs w:val="24"/>
              </w:rPr>
              <w:t>Hearing room politics</w:t>
            </w:r>
          </w:p>
        </w:tc>
        <w:tc>
          <w:tcPr>
            <w:tcW w:w="2439" w:type="dxa"/>
            <w:tcBorders>
              <w:top w:val="single" w:sz="4" w:space="0" w:color="auto"/>
              <w:left w:val="single" w:sz="4" w:space="0" w:color="auto"/>
              <w:bottom w:val="single" w:sz="4" w:space="0" w:color="auto"/>
            </w:tcBorders>
          </w:tcPr>
          <w:p w14:paraId="510606CE" w14:textId="77777777" w:rsidR="00A57226" w:rsidRDefault="00A57226" w:rsidP="00A57226">
            <w:pPr>
              <w:spacing w:line="480" w:lineRule="auto"/>
              <w:rPr>
                <w:rFonts w:cs="Times New Roman"/>
                <w:szCs w:val="24"/>
              </w:rPr>
            </w:pPr>
            <w:r>
              <w:rPr>
                <w:rFonts w:cs="Times New Roman"/>
                <w:szCs w:val="24"/>
              </w:rPr>
              <w:t>Street level politics</w:t>
            </w:r>
          </w:p>
        </w:tc>
      </w:tr>
    </w:tbl>
    <w:p w14:paraId="00DD8AE6" w14:textId="5D9390F6" w:rsidR="00A57226" w:rsidRPr="00431F41" w:rsidRDefault="00271ECB" w:rsidP="00A57226">
      <w:pPr>
        <w:spacing w:line="480" w:lineRule="auto"/>
        <w:ind w:left="720" w:firstLine="720"/>
        <w:rPr>
          <w:rFonts w:cs="Times New Roman"/>
          <w:sz w:val="20"/>
          <w:szCs w:val="20"/>
        </w:rPr>
      </w:pPr>
      <w:r>
        <w:rPr>
          <w:rFonts w:cs="Times New Roman"/>
          <w:sz w:val="20"/>
          <w:szCs w:val="20"/>
        </w:rPr>
        <w:t xml:space="preserve">     </w:t>
      </w:r>
      <w:r w:rsidR="00A57226" w:rsidRPr="00431F41">
        <w:rPr>
          <w:rFonts w:cs="Times New Roman"/>
          <w:sz w:val="20"/>
          <w:szCs w:val="20"/>
        </w:rPr>
        <w:t>Figure 2. Gormley’s Salience-Complexity Policy Typology</w:t>
      </w:r>
    </w:p>
    <w:p w14:paraId="4E26483C" w14:textId="77777777" w:rsidR="00A57226" w:rsidRDefault="00A57226" w:rsidP="0065136B">
      <w:pPr>
        <w:spacing w:line="480" w:lineRule="auto"/>
        <w:ind w:firstLine="720"/>
        <w:rPr>
          <w:rFonts w:cs="Times New Roman"/>
          <w:szCs w:val="24"/>
        </w:rPr>
      </w:pPr>
      <w:r>
        <w:rPr>
          <w:rFonts w:cs="Times New Roman"/>
          <w:szCs w:val="24"/>
        </w:rPr>
        <w:t xml:space="preserve">The first category “operating room politics” </w:t>
      </w:r>
      <w:r w:rsidR="003B3D15">
        <w:rPr>
          <w:rFonts w:cs="Times New Roman"/>
          <w:szCs w:val="24"/>
        </w:rPr>
        <w:t>describes</w:t>
      </w:r>
      <w:r>
        <w:rPr>
          <w:rFonts w:cs="Times New Roman"/>
          <w:szCs w:val="24"/>
        </w:rPr>
        <w:t xml:space="preserve"> </w:t>
      </w:r>
      <w:r w:rsidR="000640F2">
        <w:rPr>
          <w:rFonts w:cs="Times New Roman"/>
          <w:szCs w:val="24"/>
        </w:rPr>
        <w:t>policies that</w:t>
      </w:r>
      <w:r>
        <w:rPr>
          <w:rFonts w:cs="Times New Roman"/>
          <w:szCs w:val="24"/>
        </w:rPr>
        <w:t xml:space="preserve"> are highly salient and highly complex such</w:t>
      </w:r>
      <w:r w:rsidR="000640F2">
        <w:rPr>
          <w:rFonts w:cs="Times New Roman"/>
          <w:szCs w:val="24"/>
        </w:rPr>
        <w:t xml:space="preserve"> as</w:t>
      </w:r>
      <w:r>
        <w:rPr>
          <w:rFonts w:cs="Times New Roman"/>
          <w:szCs w:val="24"/>
        </w:rPr>
        <w:t xml:space="preserve"> environmental regulation or financial regulation. The public cares a great deal about the issue yet lack</w:t>
      </w:r>
      <w:r w:rsidR="003B3D15">
        <w:rPr>
          <w:rFonts w:cs="Times New Roman"/>
          <w:szCs w:val="24"/>
        </w:rPr>
        <w:t>s</w:t>
      </w:r>
      <w:r>
        <w:rPr>
          <w:rFonts w:cs="Times New Roman"/>
          <w:szCs w:val="24"/>
        </w:rPr>
        <w:t xml:space="preserve"> the expertise to fully understand </w:t>
      </w:r>
      <w:r w:rsidR="003B3D15">
        <w:rPr>
          <w:rFonts w:cs="Times New Roman"/>
          <w:szCs w:val="24"/>
        </w:rPr>
        <w:t>it</w:t>
      </w:r>
      <w:r>
        <w:rPr>
          <w:rFonts w:cs="Times New Roman"/>
          <w:szCs w:val="24"/>
        </w:rPr>
        <w:t>. Because of the level of salience</w:t>
      </w:r>
      <w:r w:rsidR="004207D8">
        <w:rPr>
          <w:rFonts w:cs="Times New Roman"/>
          <w:szCs w:val="24"/>
        </w:rPr>
        <w:t>,</w:t>
      </w:r>
      <w:r>
        <w:rPr>
          <w:rFonts w:cs="Times New Roman"/>
          <w:szCs w:val="24"/>
        </w:rPr>
        <w:t xml:space="preserve"> politicians </w:t>
      </w:r>
      <w:r w:rsidR="004207D8">
        <w:rPr>
          <w:rFonts w:cs="Times New Roman"/>
          <w:szCs w:val="24"/>
        </w:rPr>
        <w:t xml:space="preserve">from all sides </w:t>
      </w:r>
      <w:r>
        <w:rPr>
          <w:rFonts w:cs="Times New Roman"/>
          <w:szCs w:val="24"/>
        </w:rPr>
        <w:t xml:space="preserve">have a strong incentive to exercise political leadership and public posturing. </w:t>
      </w:r>
      <w:r w:rsidR="00426807">
        <w:rPr>
          <w:rFonts w:cs="Times New Roman"/>
          <w:szCs w:val="24"/>
        </w:rPr>
        <w:t>Operating Room P</w:t>
      </w:r>
      <w:r w:rsidR="004207D8">
        <w:rPr>
          <w:rFonts w:cs="Times New Roman"/>
          <w:szCs w:val="24"/>
        </w:rPr>
        <w:t xml:space="preserve">olitics is typically highly contentious. </w:t>
      </w:r>
      <w:r w:rsidR="00426807">
        <w:rPr>
          <w:rFonts w:cs="Times New Roman"/>
          <w:szCs w:val="24"/>
        </w:rPr>
        <w:t>G</w:t>
      </w:r>
      <w:r>
        <w:rPr>
          <w:rFonts w:cs="Times New Roman"/>
          <w:szCs w:val="24"/>
        </w:rPr>
        <w:t xml:space="preserve">ormley notes </w:t>
      </w:r>
      <w:r w:rsidR="003B3D15">
        <w:rPr>
          <w:rFonts w:cs="Times New Roman"/>
          <w:szCs w:val="24"/>
        </w:rPr>
        <w:t xml:space="preserve">that </w:t>
      </w:r>
      <w:r>
        <w:rPr>
          <w:rFonts w:cs="Times New Roman"/>
          <w:szCs w:val="24"/>
        </w:rPr>
        <w:t xml:space="preserve">while </w:t>
      </w:r>
      <w:r w:rsidR="00426807">
        <w:rPr>
          <w:rFonts w:cs="Times New Roman"/>
          <w:szCs w:val="24"/>
        </w:rPr>
        <w:t xml:space="preserve">Operating Room Politics garners </w:t>
      </w:r>
      <w:r>
        <w:rPr>
          <w:rFonts w:cs="Times New Roman"/>
          <w:szCs w:val="24"/>
        </w:rPr>
        <w:t>much attention in the form of legislative hearings</w:t>
      </w:r>
      <w:r w:rsidR="00426807">
        <w:rPr>
          <w:rFonts w:cs="Times New Roman"/>
          <w:szCs w:val="24"/>
        </w:rPr>
        <w:t>, the result is often a</w:t>
      </w:r>
      <w:r>
        <w:rPr>
          <w:rFonts w:cs="Times New Roman"/>
          <w:szCs w:val="24"/>
        </w:rPr>
        <w:t xml:space="preserve"> set of procedural rather than substantive solutions.  </w:t>
      </w:r>
    </w:p>
    <w:p w14:paraId="2DAE05DC" w14:textId="77777777" w:rsidR="00A57226" w:rsidRDefault="00A57226" w:rsidP="00A57226">
      <w:pPr>
        <w:spacing w:line="480" w:lineRule="auto"/>
        <w:rPr>
          <w:rFonts w:cs="Times New Roman"/>
          <w:szCs w:val="24"/>
        </w:rPr>
      </w:pPr>
      <w:r>
        <w:rPr>
          <w:rFonts w:cs="Times New Roman"/>
          <w:szCs w:val="24"/>
        </w:rPr>
        <w:tab/>
        <w:t xml:space="preserve">A second </w:t>
      </w:r>
      <w:r w:rsidR="004336B0">
        <w:rPr>
          <w:rFonts w:cs="Times New Roman"/>
          <w:szCs w:val="24"/>
        </w:rPr>
        <w:t>category,</w:t>
      </w:r>
      <w:r w:rsidR="00426807">
        <w:rPr>
          <w:rFonts w:cs="Times New Roman"/>
          <w:szCs w:val="24"/>
        </w:rPr>
        <w:t xml:space="preserve"> “Hearing Room P</w:t>
      </w:r>
      <w:r>
        <w:rPr>
          <w:rFonts w:cs="Times New Roman"/>
          <w:szCs w:val="24"/>
        </w:rPr>
        <w:t>olitics”, consists of high salien</w:t>
      </w:r>
      <w:r w:rsidR="004336B0">
        <w:rPr>
          <w:rFonts w:cs="Times New Roman"/>
          <w:szCs w:val="24"/>
        </w:rPr>
        <w:t>ce</w:t>
      </w:r>
      <w:r>
        <w:rPr>
          <w:rFonts w:cs="Times New Roman"/>
          <w:szCs w:val="24"/>
        </w:rPr>
        <w:t>, low complexity policies. Morality policies such as gun control or civil rights policies fit this category.  The public is concerned and affected by an issue and is capable of understanding the issue. Citizens and politicians share a strong incentive to devote resources and attention to the adoption.  Bureaucrats, on the other hand, are less likely to play a role.</w:t>
      </w:r>
    </w:p>
    <w:p w14:paraId="0823829F" w14:textId="77777777" w:rsidR="00563E67" w:rsidRDefault="00A57226" w:rsidP="00377D90">
      <w:pPr>
        <w:spacing w:line="480" w:lineRule="auto"/>
        <w:rPr>
          <w:rFonts w:cs="Times New Roman"/>
          <w:szCs w:val="24"/>
        </w:rPr>
      </w:pPr>
      <w:r>
        <w:rPr>
          <w:rFonts w:cs="Times New Roman"/>
          <w:szCs w:val="24"/>
        </w:rPr>
        <w:tab/>
      </w:r>
      <w:r w:rsidR="00426807">
        <w:rPr>
          <w:rFonts w:cs="Times New Roman"/>
          <w:szCs w:val="24"/>
        </w:rPr>
        <w:t>A third category, “Board Room P</w:t>
      </w:r>
      <w:r w:rsidR="00377D90">
        <w:rPr>
          <w:rFonts w:cs="Times New Roman"/>
          <w:szCs w:val="24"/>
        </w:rPr>
        <w:t>olitics” are</w:t>
      </w:r>
      <w:r w:rsidR="00563E67">
        <w:rPr>
          <w:rFonts w:cs="Times New Roman"/>
          <w:szCs w:val="24"/>
        </w:rPr>
        <w:t xml:space="preserve"> policies that are </w:t>
      </w:r>
      <w:r w:rsidR="00377D90">
        <w:rPr>
          <w:rFonts w:cs="Times New Roman"/>
          <w:szCs w:val="24"/>
        </w:rPr>
        <w:t>typically low in salience and high in com</w:t>
      </w:r>
      <w:r w:rsidR="00563E67">
        <w:rPr>
          <w:rFonts w:cs="Times New Roman"/>
          <w:szCs w:val="24"/>
        </w:rPr>
        <w:t>plexity.  Jacob Hacker characterizes such policies as “subterranean politics.</w:t>
      </w:r>
      <w:r w:rsidR="00377D90">
        <w:rPr>
          <w:rFonts w:cs="Times New Roman"/>
          <w:szCs w:val="24"/>
        </w:rPr>
        <w:t>”</w:t>
      </w:r>
      <w:r w:rsidR="00563E67">
        <w:rPr>
          <w:rFonts w:cs="Times New Roman"/>
          <w:szCs w:val="24"/>
        </w:rPr>
        <w:t xml:space="preserve">  They include</w:t>
      </w:r>
      <w:r w:rsidR="00377D90">
        <w:rPr>
          <w:rFonts w:cs="Times New Roman"/>
          <w:szCs w:val="24"/>
        </w:rPr>
        <w:t xml:space="preserve"> issue</w:t>
      </w:r>
      <w:r w:rsidR="00563E67">
        <w:rPr>
          <w:rFonts w:cs="Times New Roman"/>
          <w:szCs w:val="24"/>
        </w:rPr>
        <w:t xml:space="preserve">s such as </w:t>
      </w:r>
      <w:r w:rsidR="00377D90">
        <w:rPr>
          <w:rFonts w:cs="Times New Roman"/>
          <w:szCs w:val="24"/>
        </w:rPr>
        <w:t xml:space="preserve">privatizing social welfare or </w:t>
      </w:r>
      <w:r w:rsidR="00563E67">
        <w:rPr>
          <w:rFonts w:cs="Times New Roman"/>
          <w:szCs w:val="24"/>
        </w:rPr>
        <w:t xml:space="preserve">passing </w:t>
      </w:r>
      <w:r w:rsidR="00377D90">
        <w:rPr>
          <w:rFonts w:cs="Times New Roman"/>
          <w:szCs w:val="24"/>
        </w:rPr>
        <w:t>tax expenditure</w:t>
      </w:r>
      <w:r w:rsidR="00426807">
        <w:rPr>
          <w:rFonts w:cs="Times New Roman"/>
          <w:szCs w:val="24"/>
        </w:rPr>
        <w:t>s</w:t>
      </w:r>
      <w:r w:rsidR="003B3D15">
        <w:rPr>
          <w:rFonts w:cs="Times New Roman"/>
          <w:szCs w:val="24"/>
        </w:rPr>
        <w:t>,</w:t>
      </w:r>
      <w:r w:rsidR="00426807">
        <w:rPr>
          <w:rFonts w:cs="Times New Roman"/>
          <w:szCs w:val="24"/>
        </w:rPr>
        <w:t xml:space="preserve"> which, while important, do not typically garner much public awareness. </w:t>
      </w:r>
      <w:r w:rsidR="00563E67">
        <w:rPr>
          <w:rFonts w:cs="Times New Roman"/>
          <w:szCs w:val="24"/>
        </w:rPr>
        <w:t xml:space="preserve"> </w:t>
      </w:r>
      <w:r w:rsidR="00377D90">
        <w:rPr>
          <w:rFonts w:cs="Times New Roman"/>
          <w:szCs w:val="24"/>
        </w:rPr>
        <w:t xml:space="preserve">These are often policies </w:t>
      </w:r>
      <w:r w:rsidR="00563E67">
        <w:rPr>
          <w:rFonts w:cs="Times New Roman"/>
          <w:szCs w:val="24"/>
        </w:rPr>
        <w:t xml:space="preserve">that </w:t>
      </w:r>
      <w:r w:rsidR="00377D90">
        <w:rPr>
          <w:rFonts w:cs="Times New Roman"/>
          <w:szCs w:val="24"/>
        </w:rPr>
        <w:t>would not pass</w:t>
      </w:r>
      <w:r w:rsidR="00426807">
        <w:rPr>
          <w:rFonts w:cs="Times New Roman"/>
          <w:szCs w:val="24"/>
        </w:rPr>
        <w:t xml:space="preserve"> if they saw the light of day. </w:t>
      </w:r>
      <w:r w:rsidR="003B3D15">
        <w:rPr>
          <w:rFonts w:cs="Times New Roman"/>
          <w:szCs w:val="24"/>
        </w:rPr>
        <w:t>B</w:t>
      </w:r>
      <w:r w:rsidR="00377D90">
        <w:rPr>
          <w:rFonts w:cs="Times New Roman"/>
          <w:szCs w:val="24"/>
        </w:rPr>
        <w:t xml:space="preserve">ecause </w:t>
      </w:r>
      <w:r w:rsidR="00563E67">
        <w:rPr>
          <w:rFonts w:cs="Times New Roman"/>
          <w:szCs w:val="24"/>
        </w:rPr>
        <w:t xml:space="preserve">they are complex and </w:t>
      </w:r>
      <w:r w:rsidR="00377D90">
        <w:rPr>
          <w:rFonts w:cs="Times New Roman"/>
          <w:szCs w:val="24"/>
        </w:rPr>
        <w:t>lac</w:t>
      </w:r>
      <w:r w:rsidR="00563E67">
        <w:rPr>
          <w:rFonts w:cs="Times New Roman"/>
          <w:szCs w:val="24"/>
        </w:rPr>
        <w:t>k public awareness or interes</w:t>
      </w:r>
      <w:r w:rsidR="00426807">
        <w:rPr>
          <w:rFonts w:cs="Times New Roman"/>
          <w:szCs w:val="24"/>
        </w:rPr>
        <w:t>t</w:t>
      </w:r>
      <w:r w:rsidR="003B3D15">
        <w:rPr>
          <w:rFonts w:cs="Times New Roman"/>
          <w:szCs w:val="24"/>
        </w:rPr>
        <w:t>,</w:t>
      </w:r>
      <w:r w:rsidR="00426807">
        <w:rPr>
          <w:rFonts w:cs="Times New Roman"/>
          <w:szCs w:val="24"/>
        </w:rPr>
        <w:t xml:space="preserve"> substantive outcomes do occur and the political process</w:t>
      </w:r>
      <w:r w:rsidR="00563E67">
        <w:rPr>
          <w:rFonts w:cs="Times New Roman"/>
          <w:szCs w:val="24"/>
        </w:rPr>
        <w:t xml:space="preserve"> is </w:t>
      </w:r>
      <w:r w:rsidR="00426807">
        <w:rPr>
          <w:rFonts w:cs="Times New Roman"/>
          <w:szCs w:val="24"/>
        </w:rPr>
        <w:t xml:space="preserve">typically </w:t>
      </w:r>
      <w:r w:rsidR="00563E67">
        <w:rPr>
          <w:rFonts w:cs="Times New Roman"/>
          <w:szCs w:val="24"/>
        </w:rPr>
        <w:t>dominated by special interest groups and bureaucrats.</w:t>
      </w:r>
    </w:p>
    <w:p w14:paraId="5556BBFE" w14:textId="77777777" w:rsidR="00563E67" w:rsidRDefault="00563E67" w:rsidP="00377D90">
      <w:pPr>
        <w:spacing w:line="480" w:lineRule="auto"/>
        <w:rPr>
          <w:rFonts w:cs="Times New Roman"/>
          <w:szCs w:val="24"/>
        </w:rPr>
      </w:pPr>
      <w:r>
        <w:rPr>
          <w:rFonts w:cs="Times New Roman"/>
          <w:szCs w:val="24"/>
        </w:rPr>
        <w:tab/>
        <w:t xml:space="preserve">Finally, policies with low public interest and low levels of complexity are often made on an </w:t>
      </w:r>
      <w:r>
        <w:rPr>
          <w:rFonts w:cs="Times New Roman"/>
          <w:i/>
          <w:szCs w:val="24"/>
        </w:rPr>
        <w:t>ad-hoc</w:t>
      </w:r>
      <w:r>
        <w:rPr>
          <w:rFonts w:cs="Times New Roman"/>
          <w:szCs w:val="24"/>
        </w:rPr>
        <w:t xml:space="preserve"> basis b</w:t>
      </w:r>
      <w:r w:rsidR="003B3D15">
        <w:rPr>
          <w:rFonts w:cs="Times New Roman"/>
          <w:szCs w:val="24"/>
        </w:rPr>
        <w:t>y</w:t>
      </w:r>
      <w:r>
        <w:rPr>
          <w:rFonts w:cs="Times New Roman"/>
          <w:szCs w:val="24"/>
        </w:rPr>
        <w:t xml:space="preserve"> street-level bureaucrats.  How a police office</w:t>
      </w:r>
      <w:r w:rsidR="002A60A2">
        <w:rPr>
          <w:rFonts w:cs="Times New Roman"/>
          <w:szCs w:val="24"/>
        </w:rPr>
        <w:t>r</w:t>
      </w:r>
      <w:r>
        <w:rPr>
          <w:rFonts w:cs="Times New Roman"/>
          <w:szCs w:val="24"/>
        </w:rPr>
        <w:t xml:space="preserve"> handles a traffic stop or how a building inspector addresses a code violation are neither complex questions nor do they affect a large number of people.  There’s little incentive for politicians or interest groups to get involved.</w:t>
      </w:r>
    </w:p>
    <w:p w14:paraId="7B76DBE2" w14:textId="77777777" w:rsidR="00426807" w:rsidRDefault="00563E67" w:rsidP="00377D90">
      <w:pPr>
        <w:spacing w:line="480" w:lineRule="auto"/>
        <w:rPr>
          <w:rFonts w:cs="Times New Roman"/>
          <w:szCs w:val="24"/>
        </w:rPr>
      </w:pPr>
      <w:r>
        <w:rPr>
          <w:rFonts w:cs="Times New Roman"/>
          <w:szCs w:val="24"/>
        </w:rPr>
        <w:tab/>
      </w:r>
      <w:r w:rsidR="008508A6">
        <w:rPr>
          <w:rFonts w:cs="Times New Roman"/>
          <w:szCs w:val="24"/>
        </w:rPr>
        <w:t xml:space="preserve">Applying Gormley’s salience-complexity typology </w:t>
      </w:r>
      <w:r w:rsidR="004C7F58">
        <w:rPr>
          <w:rFonts w:cs="Times New Roman"/>
          <w:szCs w:val="24"/>
        </w:rPr>
        <w:t xml:space="preserve">is a heuristic tool to </w:t>
      </w:r>
      <w:r w:rsidR="00426807">
        <w:rPr>
          <w:rFonts w:cs="Times New Roman"/>
          <w:szCs w:val="24"/>
        </w:rPr>
        <w:t>better understa</w:t>
      </w:r>
      <w:r w:rsidR="004C7F58">
        <w:rPr>
          <w:rFonts w:cs="Times New Roman"/>
          <w:szCs w:val="24"/>
        </w:rPr>
        <w:t>nd</w:t>
      </w:r>
      <w:r w:rsidR="00426807">
        <w:rPr>
          <w:rFonts w:cs="Times New Roman"/>
          <w:szCs w:val="24"/>
        </w:rPr>
        <w:t xml:space="preserve"> the politics behind a policy. </w:t>
      </w:r>
      <w:r w:rsidR="008508A6">
        <w:rPr>
          <w:rFonts w:cs="Times New Roman"/>
          <w:szCs w:val="24"/>
        </w:rPr>
        <w:t xml:space="preserve"> All three pillars of banking union are highly complex policies that even financial experts struggle to understand.  Yet, if they vary in terms of salience, then on</w:t>
      </w:r>
      <w:r w:rsidR="009F1B28">
        <w:rPr>
          <w:rFonts w:cs="Times New Roman"/>
          <w:szCs w:val="24"/>
        </w:rPr>
        <w:t>e can</w:t>
      </w:r>
      <w:r w:rsidR="008508A6">
        <w:rPr>
          <w:rFonts w:cs="Times New Roman"/>
          <w:szCs w:val="24"/>
        </w:rPr>
        <w:t xml:space="preserve"> expect a different type of political battle</w:t>
      </w:r>
      <w:r w:rsidR="009F1B28">
        <w:rPr>
          <w:rFonts w:cs="Times New Roman"/>
          <w:szCs w:val="24"/>
        </w:rPr>
        <w:t xml:space="preserve"> (and result) </w:t>
      </w:r>
      <w:r w:rsidR="008508A6">
        <w:rPr>
          <w:rFonts w:cs="Times New Roman"/>
          <w:szCs w:val="24"/>
        </w:rPr>
        <w:t xml:space="preserve">even though </w:t>
      </w:r>
      <w:r w:rsidR="009F1B28">
        <w:rPr>
          <w:rFonts w:cs="Times New Roman"/>
          <w:szCs w:val="24"/>
        </w:rPr>
        <w:t xml:space="preserve">the </w:t>
      </w:r>
      <w:r w:rsidR="008508A6">
        <w:rPr>
          <w:rFonts w:cs="Times New Roman"/>
          <w:szCs w:val="24"/>
        </w:rPr>
        <w:t>inst</w:t>
      </w:r>
      <w:r w:rsidR="009F1B28">
        <w:rPr>
          <w:rFonts w:cs="Times New Roman"/>
          <w:szCs w:val="24"/>
        </w:rPr>
        <w:t>itutional-, interest- and ideational-context</w:t>
      </w:r>
      <w:r w:rsidR="008508A6">
        <w:rPr>
          <w:rFonts w:cs="Times New Roman"/>
          <w:szCs w:val="24"/>
        </w:rPr>
        <w:t xml:space="preserve"> are largely the same.  </w:t>
      </w:r>
      <w:r w:rsidR="00426807">
        <w:rPr>
          <w:rFonts w:cs="Times New Roman"/>
          <w:szCs w:val="24"/>
        </w:rPr>
        <w:t xml:space="preserve"> </w:t>
      </w:r>
    </w:p>
    <w:p w14:paraId="19DE5A6D" w14:textId="77777777" w:rsidR="00426807" w:rsidRPr="00426807" w:rsidRDefault="00426807" w:rsidP="00377D90">
      <w:pPr>
        <w:spacing w:line="480" w:lineRule="auto"/>
        <w:rPr>
          <w:rFonts w:cs="Times New Roman"/>
          <w:b/>
          <w:szCs w:val="24"/>
        </w:rPr>
      </w:pPr>
      <w:r>
        <w:rPr>
          <w:rFonts w:cs="Times New Roman"/>
          <w:b/>
          <w:szCs w:val="24"/>
        </w:rPr>
        <w:t>Prospect Theory</w:t>
      </w:r>
    </w:p>
    <w:p w14:paraId="023FBBAD" w14:textId="1A6BC0D0" w:rsidR="00D063B1" w:rsidRDefault="00426807" w:rsidP="009D5F3F">
      <w:pPr>
        <w:spacing w:after="0" w:line="480" w:lineRule="auto"/>
        <w:rPr>
          <w:rFonts w:cs="Times New Roman"/>
          <w:szCs w:val="24"/>
        </w:rPr>
      </w:pPr>
      <w:r>
        <w:rPr>
          <w:rFonts w:cs="Times New Roman"/>
          <w:szCs w:val="24"/>
        </w:rPr>
        <w:tab/>
        <w:t>A second th</w:t>
      </w:r>
      <w:r w:rsidR="00B9148C">
        <w:rPr>
          <w:rFonts w:cs="Times New Roman"/>
          <w:szCs w:val="24"/>
        </w:rPr>
        <w:t xml:space="preserve">eoretical literature that </w:t>
      </w:r>
      <w:r>
        <w:rPr>
          <w:rFonts w:cs="Times New Roman"/>
          <w:szCs w:val="24"/>
        </w:rPr>
        <w:t>make</w:t>
      </w:r>
      <w:r w:rsidR="00B9148C">
        <w:rPr>
          <w:rFonts w:cs="Times New Roman"/>
          <w:szCs w:val="24"/>
        </w:rPr>
        <w:t>s</w:t>
      </w:r>
      <w:r>
        <w:rPr>
          <w:rFonts w:cs="Times New Roman"/>
          <w:szCs w:val="24"/>
        </w:rPr>
        <w:t xml:space="preserve"> sense of the EU banking union outcomes is known as “prospect theory” </w:t>
      </w:r>
      <w:r w:rsidR="003B3D15">
        <w:rPr>
          <w:rFonts w:cs="Times New Roman"/>
          <w:szCs w:val="24"/>
        </w:rPr>
        <w:t xml:space="preserve">– </w:t>
      </w:r>
      <w:r>
        <w:rPr>
          <w:rFonts w:cs="Times New Roman"/>
          <w:szCs w:val="24"/>
        </w:rPr>
        <w:t>a descriptive theory of decision</w:t>
      </w:r>
      <w:r w:rsidR="003B3D15">
        <w:rPr>
          <w:rFonts w:cs="Times New Roman"/>
          <w:szCs w:val="24"/>
        </w:rPr>
        <w:t>-</w:t>
      </w:r>
      <w:r>
        <w:rPr>
          <w:rFonts w:cs="Times New Roman"/>
          <w:szCs w:val="24"/>
        </w:rPr>
        <w:t>making under risk (Mer</w:t>
      </w:r>
      <w:r w:rsidR="00EE5920">
        <w:rPr>
          <w:rFonts w:cs="Times New Roman"/>
          <w:szCs w:val="24"/>
        </w:rPr>
        <w:t xml:space="preserve">cer 2005, 1).  </w:t>
      </w:r>
      <w:r w:rsidR="0097390D">
        <w:rPr>
          <w:rFonts w:cs="Times New Roman"/>
          <w:szCs w:val="24"/>
        </w:rPr>
        <w:t>Of course, no one like</w:t>
      </w:r>
      <w:r w:rsidR="00B9148C">
        <w:rPr>
          <w:rFonts w:cs="Times New Roman"/>
          <w:szCs w:val="24"/>
        </w:rPr>
        <w:t>s</w:t>
      </w:r>
      <w:r w:rsidR="0097390D">
        <w:rPr>
          <w:rFonts w:cs="Times New Roman"/>
          <w:szCs w:val="24"/>
        </w:rPr>
        <w:t xml:space="preserve"> to lose.  But prospect theory, d</w:t>
      </w:r>
      <w:r w:rsidR="00EE5920">
        <w:rPr>
          <w:rFonts w:cs="Times New Roman"/>
          <w:szCs w:val="24"/>
        </w:rPr>
        <w:t xml:space="preserve">eveloped by </w:t>
      </w:r>
      <w:r>
        <w:rPr>
          <w:rFonts w:cs="Times New Roman"/>
          <w:szCs w:val="24"/>
        </w:rPr>
        <w:t>economists Kahneman and Tversky (</w:t>
      </w:r>
      <w:r w:rsidRPr="00271ECB">
        <w:rPr>
          <w:rFonts w:cs="Times New Roman"/>
          <w:szCs w:val="24"/>
        </w:rPr>
        <w:t>1979</w:t>
      </w:r>
      <w:r>
        <w:rPr>
          <w:rFonts w:cs="Times New Roman"/>
          <w:szCs w:val="24"/>
        </w:rPr>
        <w:t>),</w:t>
      </w:r>
      <w:r w:rsidR="0097390D">
        <w:rPr>
          <w:rFonts w:cs="Times New Roman"/>
          <w:szCs w:val="24"/>
        </w:rPr>
        <w:t xml:space="preserve"> a</w:t>
      </w:r>
      <w:r>
        <w:rPr>
          <w:rFonts w:cs="Times New Roman"/>
          <w:szCs w:val="24"/>
        </w:rPr>
        <w:t>rgues that when issues are framed as a loss</w:t>
      </w:r>
      <w:r w:rsidR="00815AE1">
        <w:rPr>
          <w:rFonts w:cs="Times New Roman"/>
          <w:szCs w:val="24"/>
        </w:rPr>
        <w:t xml:space="preserve"> we are more likely to engage in risky behavior to avoid that outcome than if the identical issue is framed as a gain. </w:t>
      </w:r>
      <w:r w:rsidR="00EE5920">
        <w:rPr>
          <w:rFonts w:cs="Times New Roman"/>
          <w:szCs w:val="24"/>
        </w:rPr>
        <w:t xml:space="preserve"> By framing </w:t>
      </w:r>
      <w:r w:rsidR="00403AFE">
        <w:rPr>
          <w:rFonts w:cs="Times New Roman"/>
          <w:szCs w:val="24"/>
        </w:rPr>
        <w:t>something as a gain or a loss</w:t>
      </w:r>
      <w:r w:rsidR="00815AE1">
        <w:rPr>
          <w:rFonts w:cs="Times New Roman"/>
          <w:szCs w:val="24"/>
        </w:rPr>
        <w:t xml:space="preserve"> </w:t>
      </w:r>
      <w:r w:rsidR="00403AFE">
        <w:rPr>
          <w:rFonts w:cs="Times New Roman"/>
          <w:szCs w:val="24"/>
        </w:rPr>
        <w:t xml:space="preserve">– </w:t>
      </w:r>
      <w:r w:rsidR="009D5F3F">
        <w:rPr>
          <w:rFonts w:cs="Times New Roman"/>
          <w:szCs w:val="24"/>
        </w:rPr>
        <w:t xml:space="preserve">discussing </w:t>
      </w:r>
      <w:r w:rsidR="00B9148C">
        <w:rPr>
          <w:rFonts w:cs="Times New Roman"/>
          <w:szCs w:val="24"/>
        </w:rPr>
        <w:t xml:space="preserve">an </w:t>
      </w:r>
      <w:r w:rsidR="00403AFE">
        <w:rPr>
          <w:rFonts w:cs="Times New Roman"/>
          <w:szCs w:val="24"/>
        </w:rPr>
        <w:t>inheritance tax as a “death tax”</w:t>
      </w:r>
      <w:r w:rsidR="009D5F3F">
        <w:rPr>
          <w:rFonts w:cs="Times New Roman"/>
          <w:szCs w:val="24"/>
        </w:rPr>
        <w:t xml:space="preserve"> </w:t>
      </w:r>
      <w:r w:rsidR="00B9148C">
        <w:rPr>
          <w:rFonts w:cs="Times New Roman"/>
          <w:szCs w:val="24"/>
        </w:rPr>
        <w:t xml:space="preserve">or as source of revenue to improve equity or fairness </w:t>
      </w:r>
      <w:r w:rsidR="00403AFE">
        <w:rPr>
          <w:rFonts w:cs="Times New Roman"/>
          <w:szCs w:val="24"/>
        </w:rPr>
        <w:t>– people will change their preferences</w:t>
      </w:r>
      <w:r w:rsidR="009D5F3F">
        <w:rPr>
          <w:rFonts w:cs="Times New Roman"/>
          <w:szCs w:val="24"/>
        </w:rPr>
        <w:t xml:space="preserve"> </w:t>
      </w:r>
      <w:r w:rsidR="009D5F3F">
        <w:rPr>
          <w:rFonts w:eastAsia="Times New Roman" w:cs="Times New Roman"/>
          <w:szCs w:val="24"/>
        </w:rPr>
        <w:t>(Luntz</w:t>
      </w:r>
      <w:r w:rsidR="009D5F3F" w:rsidRPr="009D5F3F">
        <w:rPr>
          <w:rFonts w:eastAsia="Times New Roman" w:cs="Times New Roman"/>
          <w:szCs w:val="24"/>
        </w:rPr>
        <w:t xml:space="preserve"> 2007)</w:t>
      </w:r>
      <w:r w:rsidR="00403AFE">
        <w:rPr>
          <w:rFonts w:cs="Times New Roman"/>
          <w:szCs w:val="24"/>
        </w:rPr>
        <w:t xml:space="preserve">. </w:t>
      </w:r>
      <w:r w:rsidR="00666D03">
        <w:rPr>
          <w:rFonts w:cs="Times New Roman"/>
          <w:szCs w:val="24"/>
        </w:rPr>
        <w:t>Moreover, because they accept frames as a give</w:t>
      </w:r>
      <w:r w:rsidR="0097390D">
        <w:rPr>
          <w:rFonts w:cs="Times New Roman"/>
          <w:szCs w:val="24"/>
        </w:rPr>
        <w:t>n</w:t>
      </w:r>
      <w:r w:rsidR="003B3D15">
        <w:rPr>
          <w:rFonts w:cs="Times New Roman"/>
          <w:szCs w:val="24"/>
        </w:rPr>
        <w:t>,</w:t>
      </w:r>
      <w:r w:rsidR="00666D03">
        <w:rPr>
          <w:rFonts w:cs="Times New Roman"/>
          <w:szCs w:val="24"/>
        </w:rPr>
        <w:t xml:space="preserve"> people are particular</w:t>
      </w:r>
      <w:r w:rsidR="0097390D">
        <w:rPr>
          <w:rFonts w:cs="Times New Roman"/>
          <w:szCs w:val="24"/>
        </w:rPr>
        <w:t>l</w:t>
      </w:r>
      <w:r w:rsidR="00666D03">
        <w:rPr>
          <w:rFonts w:cs="Times New Roman"/>
          <w:szCs w:val="24"/>
        </w:rPr>
        <w:t xml:space="preserve">y </w:t>
      </w:r>
      <w:r w:rsidR="00403AFE">
        <w:rPr>
          <w:rFonts w:cs="Times New Roman"/>
          <w:szCs w:val="24"/>
        </w:rPr>
        <w:t>vulnerable to manipulation (Mercer 20</w:t>
      </w:r>
      <w:r w:rsidR="00481BB1">
        <w:rPr>
          <w:rFonts w:cs="Times New Roman"/>
          <w:szCs w:val="24"/>
        </w:rPr>
        <w:t>0</w:t>
      </w:r>
      <w:r w:rsidR="00403AFE">
        <w:rPr>
          <w:rFonts w:cs="Times New Roman"/>
          <w:szCs w:val="24"/>
        </w:rPr>
        <w:t>5, 3).</w:t>
      </w:r>
      <w:r w:rsidR="0097390D">
        <w:rPr>
          <w:rFonts w:cs="Times New Roman"/>
          <w:szCs w:val="24"/>
        </w:rPr>
        <w:t xml:space="preserve"> </w:t>
      </w:r>
    </w:p>
    <w:p w14:paraId="620F988A" w14:textId="32D0AB54" w:rsidR="007F1F7C" w:rsidRDefault="00D063B1" w:rsidP="009D5F3F">
      <w:pPr>
        <w:spacing w:after="0" w:line="480" w:lineRule="auto"/>
        <w:rPr>
          <w:rFonts w:cs="Times New Roman"/>
          <w:szCs w:val="24"/>
        </w:rPr>
      </w:pPr>
      <w:r>
        <w:rPr>
          <w:rFonts w:cs="Times New Roman"/>
          <w:szCs w:val="24"/>
        </w:rPr>
        <w:tab/>
        <w:t>At its core</w:t>
      </w:r>
      <w:r w:rsidR="00B9148C">
        <w:rPr>
          <w:rFonts w:cs="Times New Roman"/>
          <w:szCs w:val="24"/>
        </w:rPr>
        <w:t>,</w:t>
      </w:r>
      <w:r>
        <w:rPr>
          <w:rFonts w:cs="Times New Roman"/>
          <w:szCs w:val="24"/>
        </w:rPr>
        <w:t xml:space="preserve"> Prospect Theory argues that perceptions matter more t</w:t>
      </w:r>
      <w:r w:rsidR="00B9148C">
        <w:rPr>
          <w:rFonts w:cs="Times New Roman"/>
          <w:szCs w:val="24"/>
        </w:rPr>
        <w:t xml:space="preserve">han empirical reality. </w:t>
      </w:r>
      <w:r w:rsidR="003B3D15">
        <w:rPr>
          <w:rFonts w:cs="Times New Roman"/>
          <w:szCs w:val="24"/>
        </w:rPr>
        <w:t>T</w:t>
      </w:r>
      <w:r w:rsidR="00B9148C">
        <w:rPr>
          <w:rFonts w:cs="Times New Roman"/>
          <w:szCs w:val="24"/>
        </w:rPr>
        <w:t xml:space="preserve">o </w:t>
      </w:r>
      <w:r>
        <w:rPr>
          <w:rFonts w:cs="Times New Roman"/>
          <w:szCs w:val="24"/>
        </w:rPr>
        <w:t>understand the politics behind a p</w:t>
      </w:r>
      <w:r w:rsidR="00B9148C">
        <w:rPr>
          <w:rFonts w:cs="Times New Roman"/>
          <w:szCs w:val="24"/>
        </w:rPr>
        <w:t xml:space="preserve">olicy requires understanding </w:t>
      </w:r>
      <w:r>
        <w:rPr>
          <w:rFonts w:cs="Times New Roman"/>
          <w:szCs w:val="24"/>
        </w:rPr>
        <w:t>how the policy is portrayed by elites and understood by the population.</w:t>
      </w:r>
      <w:r w:rsidR="00403AFE">
        <w:rPr>
          <w:rFonts w:cs="Times New Roman"/>
          <w:szCs w:val="24"/>
        </w:rPr>
        <w:t xml:space="preserve"> </w:t>
      </w:r>
      <w:r>
        <w:rPr>
          <w:rFonts w:cs="Times New Roman"/>
          <w:szCs w:val="24"/>
        </w:rPr>
        <w:t xml:space="preserve"> Moreover, </w:t>
      </w:r>
      <w:r w:rsidR="0097390D">
        <w:rPr>
          <w:rFonts w:cs="Times New Roman"/>
          <w:szCs w:val="24"/>
        </w:rPr>
        <w:t>Tversky and Kahneman (</w:t>
      </w:r>
      <w:r w:rsidR="0097390D" w:rsidRPr="00F0281B">
        <w:rPr>
          <w:rFonts w:cs="Times New Roman"/>
          <w:szCs w:val="24"/>
        </w:rPr>
        <w:t>1974)</w:t>
      </w:r>
      <w:r w:rsidR="0097390D">
        <w:rPr>
          <w:rFonts w:cs="Times New Roman"/>
          <w:szCs w:val="24"/>
        </w:rPr>
        <w:t xml:space="preserve"> suggest that we use mental short-cuts such as analogies or heuristics to </w:t>
      </w:r>
      <w:r w:rsidR="00D1099E">
        <w:rPr>
          <w:rFonts w:cs="Times New Roman"/>
          <w:szCs w:val="24"/>
        </w:rPr>
        <w:t xml:space="preserve">simplify a domain </w:t>
      </w:r>
      <w:r w:rsidR="0097390D">
        <w:rPr>
          <w:rFonts w:cs="Times New Roman"/>
          <w:szCs w:val="24"/>
        </w:rPr>
        <w:t xml:space="preserve">and determine </w:t>
      </w:r>
      <w:r w:rsidR="00D1099E">
        <w:rPr>
          <w:rFonts w:cs="Times New Roman"/>
          <w:szCs w:val="24"/>
        </w:rPr>
        <w:t xml:space="preserve">whether it represents a loss </w:t>
      </w:r>
      <w:r w:rsidR="0097390D">
        <w:rPr>
          <w:rFonts w:cs="Times New Roman"/>
          <w:szCs w:val="24"/>
        </w:rPr>
        <w:t xml:space="preserve">or gain.  </w:t>
      </w:r>
      <w:r w:rsidR="00FA68D1">
        <w:rPr>
          <w:rFonts w:cs="Times New Roman"/>
          <w:szCs w:val="24"/>
        </w:rPr>
        <w:t>T</w:t>
      </w:r>
      <w:r>
        <w:rPr>
          <w:rFonts w:cs="Times New Roman"/>
          <w:szCs w:val="24"/>
        </w:rPr>
        <w:t xml:space="preserve">he probability of something occurring </w:t>
      </w:r>
      <w:r w:rsidR="00FA68D1">
        <w:rPr>
          <w:rFonts w:cs="Times New Roman"/>
          <w:szCs w:val="24"/>
        </w:rPr>
        <w:t xml:space="preserve">is </w:t>
      </w:r>
      <w:r>
        <w:rPr>
          <w:rFonts w:cs="Times New Roman"/>
          <w:szCs w:val="24"/>
        </w:rPr>
        <w:t xml:space="preserve">based </w:t>
      </w:r>
      <w:r w:rsidR="00FA68D1">
        <w:rPr>
          <w:rFonts w:cs="Times New Roman"/>
          <w:szCs w:val="24"/>
        </w:rPr>
        <w:t xml:space="preserve">on </w:t>
      </w:r>
      <w:r>
        <w:rPr>
          <w:rFonts w:cs="Times New Roman"/>
          <w:szCs w:val="24"/>
        </w:rPr>
        <w:t>how closely it resembles an even</w:t>
      </w:r>
      <w:r w:rsidR="00FA68D1">
        <w:rPr>
          <w:rFonts w:cs="Times New Roman"/>
          <w:szCs w:val="24"/>
        </w:rPr>
        <w:t xml:space="preserve">t that’s already occurred. We </w:t>
      </w:r>
      <w:r>
        <w:rPr>
          <w:rFonts w:cs="Times New Roman"/>
          <w:szCs w:val="24"/>
        </w:rPr>
        <w:t>ignore the differe</w:t>
      </w:r>
      <w:r w:rsidR="00FA68D1">
        <w:rPr>
          <w:rFonts w:cs="Times New Roman"/>
          <w:szCs w:val="24"/>
        </w:rPr>
        <w:t>nces in the two situations and</w:t>
      </w:r>
      <w:r>
        <w:rPr>
          <w:rFonts w:cs="Times New Roman"/>
          <w:szCs w:val="24"/>
        </w:rPr>
        <w:t xml:space="preserve"> </w:t>
      </w:r>
      <w:r w:rsidR="00FA68D1">
        <w:rPr>
          <w:rFonts w:cs="Times New Roman"/>
          <w:szCs w:val="24"/>
        </w:rPr>
        <w:t>are drawn to the similarities</w:t>
      </w:r>
      <w:r>
        <w:rPr>
          <w:rFonts w:cs="Times New Roman"/>
          <w:szCs w:val="24"/>
        </w:rPr>
        <w:t>. Another heuristic is to assess probability based on how easily an object comes to mind.  The more salient or visible an event, the more likely we are to overestimate its frequency (Mercer 20</w:t>
      </w:r>
      <w:r w:rsidR="00481BB1">
        <w:rPr>
          <w:rFonts w:cs="Times New Roman"/>
          <w:szCs w:val="24"/>
        </w:rPr>
        <w:t>0</w:t>
      </w:r>
      <w:r>
        <w:rPr>
          <w:rFonts w:cs="Times New Roman"/>
          <w:szCs w:val="24"/>
        </w:rPr>
        <w:t>5, 8).  A final heuristic is to rely on a first impression</w:t>
      </w:r>
      <w:r w:rsidR="007F1F7C">
        <w:rPr>
          <w:rFonts w:cs="Times New Roman"/>
          <w:szCs w:val="24"/>
        </w:rPr>
        <w:t>s and assessment,</w:t>
      </w:r>
      <w:r>
        <w:rPr>
          <w:rFonts w:cs="Times New Roman"/>
          <w:szCs w:val="24"/>
        </w:rPr>
        <w:t xml:space="preserve"> regardless of how arbitrary it might be</w:t>
      </w:r>
      <w:r w:rsidR="007F1F7C">
        <w:rPr>
          <w:rFonts w:cs="Times New Roman"/>
          <w:szCs w:val="24"/>
        </w:rPr>
        <w:t xml:space="preserve">. So we </w:t>
      </w:r>
      <w:r>
        <w:rPr>
          <w:rFonts w:cs="Times New Roman"/>
          <w:szCs w:val="24"/>
        </w:rPr>
        <w:t>use the initial assessment to anchor</w:t>
      </w:r>
      <w:r w:rsidR="007F1F7C">
        <w:rPr>
          <w:rFonts w:cs="Times New Roman"/>
          <w:szCs w:val="24"/>
        </w:rPr>
        <w:t xml:space="preserve"> all subsequent judg</w:t>
      </w:r>
      <w:r>
        <w:rPr>
          <w:rFonts w:cs="Times New Roman"/>
          <w:szCs w:val="24"/>
        </w:rPr>
        <w:t>ments</w:t>
      </w:r>
      <w:r w:rsidR="007F1F7C">
        <w:rPr>
          <w:rFonts w:cs="Times New Roman"/>
          <w:szCs w:val="24"/>
        </w:rPr>
        <w:t xml:space="preserve">; using new information not to revise but to further substantiate our original assessment.  </w:t>
      </w:r>
    </w:p>
    <w:p w14:paraId="0B5BC4EC" w14:textId="77777777" w:rsidR="001C018E" w:rsidRDefault="007F1F7C" w:rsidP="001C018E">
      <w:pPr>
        <w:spacing w:after="0" w:line="480" w:lineRule="auto"/>
        <w:rPr>
          <w:rFonts w:cs="Times New Roman"/>
          <w:szCs w:val="24"/>
        </w:rPr>
      </w:pPr>
      <w:r>
        <w:rPr>
          <w:rFonts w:cs="Times New Roman"/>
          <w:szCs w:val="24"/>
        </w:rPr>
        <w:tab/>
        <w:t>In short, Prospect Theory suggests that fear of loss rather than hope for gain is what drives our action</w:t>
      </w:r>
      <w:r w:rsidR="009B7923">
        <w:rPr>
          <w:rFonts w:cs="Times New Roman"/>
          <w:szCs w:val="24"/>
        </w:rPr>
        <w:t>s</w:t>
      </w:r>
      <w:r>
        <w:rPr>
          <w:rFonts w:cs="Times New Roman"/>
          <w:szCs w:val="24"/>
        </w:rPr>
        <w:t xml:space="preserve">.  </w:t>
      </w:r>
      <w:r w:rsidR="009B7923">
        <w:rPr>
          <w:rFonts w:cs="Times New Roman"/>
          <w:szCs w:val="24"/>
        </w:rPr>
        <w:t>F</w:t>
      </w:r>
      <w:r>
        <w:rPr>
          <w:rFonts w:cs="Times New Roman"/>
          <w:szCs w:val="24"/>
        </w:rPr>
        <w:t xml:space="preserve">urthermore, perceptions of loss </w:t>
      </w:r>
      <w:r w:rsidR="00FA68D1">
        <w:rPr>
          <w:rFonts w:cs="Times New Roman"/>
          <w:szCs w:val="24"/>
        </w:rPr>
        <w:t xml:space="preserve">or gain are a function of </w:t>
      </w:r>
      <w:r>
        <w:rPr>
          <w:rFonts w:cs="Times New Roman"/>
          <w:szCs w:val="24"/>
        </w:rPr>
        <w:t xml:space="preserve">framing </w:t>
      </w:r>
      <w:r w:rsidR="00FA68D1">
        <w:rPr>
          <w:rFonts w:cs="Times New Roman"/>
          <w:szCs w:val="24"/>
        </w:rPr>
        <w:t xml:space="preserve">by elites </w:t>
      </w:r>
      <w:r>
        <w:rPr>
          <w:rFonts w:cs="Times New Roman"/>
          <w:szCs w:val="24"/>
        </w:rPr>
        <w:t xml:space="preserve">and the heuristics individuals use to </w:t>
      </w:r>
      <w:r w:rsidR="001C018E">
        <w:rPr>
          <w:rFonts w:cs="Times New Roman"/>
          <w:szCs w:val="24"/>
        </w:rPr>
        <w:t>make sense of</w:t>
      </w:r>
      <w:r>
        <w:rPr>
          <w:rFonts w:cs="Times New Roman"/>
          <w:szCs w:val="24"/>
        </w:rPr>
        <w:t xml:space="preserve"> information </w:t>
      </w:r>
      <w:r w:rsidR="001C018E">
        <w:rPr>
          <w:rFonts w:cs="Times New Roman"/>
          <w:szCs w:val="24"/>
        </w:rPr>
        <w:t>the</w:t>
      </w:r>
      <w:r w:rsidR="00FA68D1">
        <w:rPr>
          <w:rFonts w:cs="Times New Roman"/>
          <w:szCs w:val="24"/>
        </w:rPr>
        <w:t>y</w:t>
      </w:r>
      <w:r w:rsidR="001C018E">
        <w:rPr>
          <w:rFonts w:cs="Times New Roman"/>
          <w:szCs w:val="24"/>
        </w:rPr>
        <w:t xml:space="preserve"> receive</w:t>
      </w:r>
      <w:r>
        <w:rPr>
          <w:rFonts w:cs="Times New Roman"/>
          <w:szCs w:val="24"/>
        </w:rPr>
        <w:t>.</w:t>
      </w:r>
      <w:r w:rsidR="001C018E">
        <w:rPr>
          <w:rFonts w:cs="Times New Roman"/>
          <w:szCs w:val="24"/>
        </w:rPr>
        <w:t xml:space="preserve"> Prospect Theory th</w:t>
      </w:r>
      <w:r w:rsidR="00FA68D1">
        <w:rPr>
          <w:rFonts w:cs="Times New Roman"/>
          <w:szCs w:val="24"/>
        </w:rPr>
        <w:t>us complements Gormley’s</w:t>
      </w:r>
      <w:r w:rsidR="001C018E">
        <w:rPr>
          <w:rFonts w:cs="Times New Roman"/>
          <w:szCs w:val="24"/>
        </w:rPr>
        <w:t xml:space="preserve"> complexity/salience typology for making sense of Europe’s banking union. </w:t>
      </w:r>
      <w:r>
        <w:rPr>
          <w:rFonts w:cs="Times New Roman"/>
          <w:szCs w:val="24"/>
        </w:rPr>
        <w:t xml:space="preserve"> </w:t>
      </w:r>
    </w:p>
    <w:p w14:paraId="5A9E5398" w14:textId="77777777" w:rsidR="00815373" w:rsidRDefault="001C018E" w:rsidP="00815373">
      <w:pPr>
        <w:spacing w:after="0" w:line="480" w:lineRule="auto"/>
        <w:ind w:firstLine="720"/>
        <w:rPr>
          <w:rFonts w:cs="Times New Roman"/>
          <w:szCs w:val="24"/>
        </w:rPr>
      </w:pPr>
      <w:r>
        <w:rPr>
          <w:rFonts w:cs="Times New Roman"/>
          <w:szCs w:val="24"/>
        </w:rPr>
        <w:t xml:space="preserve">A straightforward hypothesis emerges from Prospect Theory:  Policies perceived by the public and elites as a loss are less likely to be adopted and more likely to be avoided. </w:t>
      </w:r>
      <w:r w:rsidR="00FA68D1">
        <w:rPr>
          <w:rFonts w:cs="Times New Roman"/>
          <w:szCs w:val="24"/>
        </w:rPr>
        <w:t xml:space="preserve"> And the more something is understood as a loss the less likely it is to occur. </w:t>
      </w:r>
      <w:r>
        <w:rPr>
          <w:rFonts w:cs="Times New Roman"/>
          <w:szCs w:val="24"/>
        </w:rPr>
        <w:t xml:space="preserve"> Or to put in the context of the </w:t>
      </w:r>
      <w:r w:rsidR="00FA68D1">
        <w:rPr>
          <w:rFonts w:cs="Times New Roman"/>
          <w:szCs w:val="24"/>
        </w:rPr>
        <w:t xml:space="preserve">puzzle at the center of this research:  </w:t>
      </w:r>
      <w:r w:rsidR="00122DCA">
        <w:rPr>
          <w:rFonts w:cs="Times New Roman"/>
          <w:szCs w:val="24"/>
        </w:rPr>
        <w:t>I</w:t>
      </w:r>
      <w:r>
        <w:rPr>
          <w:rFonts w:cs="Times New Roman"/>
          <w:szCs w:val="24"/>
        </w:rPr>
        <w:t xml:space="preserve">s there evidence that an EU-wide deposit insurance scheme was framed by elites or understood differently by the public </w:t>
      </w:r>
      <w:r w:rsidR="00122DCA">
        <w:rPr>
          <w:rFonts w:cs="Times New Roman"/>
          <w:szCs w:val="24"/>
        </w:rPr>
        <w:t>from the SSM and SRM?</w:t>
      </w:r>
      <w:r w:rsidR="00FA68D1">
        <w:rPr>
          <w:rFonts w:cs="Times New Roman"/>
          <w:szCs w:val="24"/>
        </w:rPr>
        <w:t xml:space="preserve">   And, was </w:t>
      </w:r>
      <w:r w:rsidR="001914B5">
        <w:rPr>
          <w:rFonts w:cs="Times New Roman"/>
          <w:szCs w:val="24"/>
        </w:rPr>
        <w:t>EDIS</w:t>
      </w:r>
      <w:r w:rsidR="00FA68D1">
        <w:rPr>
          <w:rFonts w:cs="Times New Roman"/>
          <w:szCs w:val="24"/>
        </w:rPr>
        <w:t xml:space="preserve"> framed and understood as a loss in comparison to the other two pillars?  </w:t>
      </w:r>
      <w:r w:rsidR="00122DCA">
        <w:rPr>
          <w:rFonts w:cs="Times New Roman"/>
          <w:szCs w:val="24"/>
        </w:rPr>
        <w:t xml:space="preserve">The following section turns the question of whether there is empirical support for Gormley’s complexity/salience hypothesis and Kahneman and Tversky’s Prospect Theory. </w:t>
      </w:r>
    </w:p>
    <w:p w14:paraId="06F9E176" w14:textId="77777777" w:rsidR="00EE5920" w:rsidRDefault="001C018E" w:rsidP="00815373">
      <w:pPr>
        <w:spacing w:after="0" w:line="480" w:lineRule="auto"/>
        <w:ind w:firstLine="720"/>
        <w:rPr>
          <w:rFonts w:cs="Times New Roman"/>
          <w:szCs w:val="24"/>
        </w:rPr>
      </w:pPr>
      <w:r>
        <w:rPr>
          <w:rFonts w:cs="Times New Roman"/>
          <w:szCs w:val="24"/>
        </w:rPr>
        <w:t xml:space="preserve">     </w:t>
      </w:r>
    </w:p>
    <w:p w14:paraId="3B4B2D48" w14:textId="77777777" w:rsidR="0020539F" w:rsidRPr="008A7375" w:rsidRDefault="00122DCA" w:rsidP="008A7375">
      <w:pPr>
        <w:spacing w:line="480" w:lineRule="auto"/>
        <w:rPr>
          <w:rFonts w:cs="Times New Roman"/>
          <w:b/>
          <w:bCs/>
          <w:caps/>
          <w:szCs w:val="24"/>
        </w:rPr>
      </w:pPr>
      <w:r>
        <w:rPr>
          <w:rFonts w:cs="Times New Roman"/>
          <w:b/>
          <w:bCs/>
          <w:caps/>
          <w:szCs w:val="24"/>
        </w:rPr>
        <w:t>Revisiting the</w:t>
      </w:r>
      <w:r w:rsidRPr="00122DCA">
        <w:rPr>
          <w:rFonts w:cs="Times New Roman"/>
          <w:b/>
          <w:bCs/>
          <w:caps/>
          <w:szCs w:val="24"/>
        </w:rPr>
        <w:t xml:space="preserve"> three pillars of EU banking</w:t>
      </w:r>
    </w:p>
    <w:p w14:paraId="4E14EC96" w14:textId="21ED2461" w:rsidR="006667D4" w:rsidRDefault="006667D4" w:rsidP="00122DCA">
      <w:pPr>
        <w:spacing w:line="480" w:lineRule="auto"/>
        <w:ind w:firstLine="720"/>
        <w:rPr>
          <w:rFonts w:cs="Times New Roman"/>
          <w:szCs w:val="24"/>
        </w:rPr>
      </w:pPr>
      <w:r>
        <w:rPr>
          <w:rFonts w:cs="Times New Roman"/>
          <w:szCs w:val="24"/>
        </w:rPr>
        <w:t>From a distance it is not obvious why European member states would adopt only two out of the three pillars of banking union</w:t>
      </w:r>
      <w:r w:rsidR="003B3D15">
        <w:rPr>
          <w:rFonts w:cs="Times New Roman"/>
          <w:szCs w:val="24"/>
        </w:rPr>
        <w:t>,</w:t>
      </w:r>
      <w:r>
        <w:rPr>
          <w:rFonts w:cs="Times New Roman"/>
          <w:szCs w:val="24"/>
        </w:rPr>
        <w:t xml:space="preserve"> particularly when banking experts and EU political leaders like Mario Draghi and Christine Lagarde argue</w:t>
      </w:r>
      <w:r w:rsidR="00F66EE1">
        <w:rPr>
          <w:rFonts w:cs="Times New Roman"/>
          <w:szCs w:val="24"/>
        </w:rPr>
        <w:t>d (and continue to make the case)</w:t>
      </w:r>
      <w:r>
        <w:rPr>
          <w:rFonts w:cs="Times New Roman"/>
          <w:szCs w:val="24"/>
        </w:rPr>
        <w:t xml:space="preserve"> </w:t>
      </w:r>
      <w:r w:rsidR="00F66EE1">
        <w:rPr>
          <w:rFonts w:cs="Times New Roman"/>
          <w:szCs w:val="24"/>
        </w:rPr>
        <w:t xml:space="preserve">that </w:t>
      </w:r>
      <w:r>
        <w:rPr>
          <w:rFonts w:cs="Times New Roman"/>
          <w:szCs w:val="24"/>
        </w:rPr>
        <w:t xml:space="preserve">the entire package was necessary to </w:t>
      </w:r>
      <w:r w:rsidR="003B3D15">
        <w:rPr>
          <w:rFonts w:cs="Times New Roman"/>
          <w:szCs w:val="24"/>
        </w:rPr>
        <w:t>e</w:t>
      </w:r>
      <w:r>
        <w:rPr>
          <w:rFonts w:cs="Times New Roman"/>
          <w:szCs w:val="24"/>
        </w:rPr>
        <w:t>nsure a sta</w:t>
      </w:r>
      <w:r w:rsidR="00F66EE1">
        <w:rPr>
          <w:rFonts w:cs="Times New Roman"/>
          <w:szCs w:val="24"/>
        </w:rPr>
        <w:t>ble banking system.</w:t>
      </w:r>
      <w:r w:rsidR="001914B5">
        <w:rPr>
          <w:rFonts w:cs="Times New Roman"/>
          <w:szCs w:val="24"/>
        </w:rPr>
        <w:t xml:space="preserve"> Even today the website of the European Commission’s Banking Union Page lists all three pillars as necessary</w:t>
      </w:r>
      <w:r w:rsidR="004434CB">
        <w:rPr>
          <w:rFonts w:cs="Times New Roman"/>
          <w:szCs w:val="24"/>
        </w:rPr>
        <w:t xml:space="preserve"> </w:t>
      </w:r>
      <w:r w:rsidR="004434CB">
        <w:rPr>
          <w:rFonts w:eastAsia="Times New Roman" w:cs="Times New Roman"/>
        </w:rPr>
        <w:t>(</w:t>
      </w:r>
      <w:r w:rsidR="005A7DB7">
        <w:rPr>
          <w:rFonts w:eastAsia="Times New Roman" w:cs="Times New Roman"/>
        </w:rPr>
        <w:t xml:space="preserve">European Commission 2016). </w:t>
      </w:r>
      <w:r w:rsidR="00F66EE1">
        <w:rPr>
          <w:rFonts w:cs="Times New Roman"/>
          <w:szCs w:val="24"/>
        </w:rPr>
        <w:t>The proposals occurred at roughly the same moment.  The institutions,</w:t>
      </w:r>
      <w:r>
        <w:rPr>
          <w:rFonts w:cs="Times New Roman"/>
          <w:szCs w:val="24"/>
        </w:rPr>
        <w:t xml:space="preserve"> interests</w:t>
      </w:r>
      <w:r w:rsidR="00F66EE1">
        <w:rPr>
          <w:rFonts w:cs="Times New Roman"/>
          <w:szCs w:val="24"/>
        </w:rPr>
        <w:t>, and ideas that helped pass SSM and SRM were also in</w:t>
      </w:r>
      <w:r w:rsidR="00254D34">
        <w:rPr>
          <w:rFonts w:cs="Times New Roman"/>
          <w:szCs w:val="24"/>
        </w:rPr>
        <w:t xml:space="preserve"> play in the debates over </w:t>
      </w:r>
      <w:r w:rsidR="001914B5">
        <w:rPr>
          <w:rFonts w:cs="Times New Roman"/>
          <w:szCs w:val="24"/>
        </w:rPr>
        <w:t>EDIS</w:t>
      </w:r>
      <w:r w:rsidR="00254D34">
        <w:rPr>
          <w:rFonts w:cs="Times New Roman"/>
          <w:szCs w:val="24"/>
        </w:rPr>
        <w:t xml:space="preserve">.  Work by comparative political economists on public policy in Europe </w:t>
      </w:r>
      <w:r w:rsidR="00F66EE1">
        <w:rPr>
          <w:rFonts w:cs="Times New Roman"/>
          <w:szCs w:val="24"/>
        </w:rPr>
        <w:t xml:space="preserve">suggests </w:t>
      </w:r>
      <w:r>
        <w:rPr>
          <w:rFonts w:cs="Times New Roman"/>
          <w:szCs w:val="24"/>
        </w:rPr>
        <w:t>that a</w:t>
      </w:r>
      <w:r w:rsidR="00F66EE1">
        <w:rPr>
          <w:rFonts w:cs="Times New Roman"/>
          <w:szCs w:val="24"/>
        </w:rPr>
        <w:t>ll three pieces of legislation sh</w:t>
      </w:r>
      <w:r>
        <w:rPr>
          <w:rFonts w:cs="Times New Roman"/>
          <w:szCs w:val="24"/>
        </w:rPr>
        <w:t>ould either fail together or succeed</w:t>
      </w:r>
      <w:r w:rsidR="00F66EE1">
        <w:rPr>
          <w:rFonts w:cs="Times New Roman"/>
          <w:szCs w:val="24"/>
        </w:rPr>
        <w:t xml:space="preserve"> together</w:t>
      </w:r>
      <w:r>
        <w:rPr>
          <w:rFonts w:cs="Times New Roman"/>
          <w:szCs w:val="24"/>
        </w:rPr>
        <w:t>. Yet, that did not occur.  So the question is</w:t>
      </w:r>
      <w:r w:rsidR="00254D34">
        <w:rPr>
          <w:rFonts w:cs="Times New Roman"/>
          <w:szCs w:val="24"/>
        </w:rPr>
        <w:t xml:space="preserve">:  What’s </w:t>
      </w:r>
      <w:r>
        <w:rPr>
          <w:rFonts w:cs="Times New Roman"/>
          <w:szCs w:val="24"/>
        </w:rPr>
        <w:t>uni</w:t>
      </w:r>
      <w:r w:rsidR="00254D34">
        <w:rPr>
          <w:rFonts w:cs="Times New Roman"/>
          <w:szCs w:val="24"/>
        </w:rPr>
        <w:t xml:space="preserve">que about deposit insurance? </w:t>
      </w:r>
    </w:p>
    <w:p w14:paraId="13C510A2" w14:textId="77777777" w:rsidR="006667D4" w:rsidRPr="006667D4" w:rsidRDefault="006667D4" w:rsidP="006667D4">
      <w:pPr>
        <w:spacing w:line="480" w:lineRule="auto"/>
        <w:rPr>
          <w:rFonts w:cs="Times New Roman"/>
          <w:b/>
          <w:szCs w:val="24"/>
        </w:rPr>
      </w:pPr>
      <w:r>
        <w:rPr>
          <w:rFonts w:cs="Times New Roman"/>
          <w:b/>
          <w:szCs w:val="24"/>
        </w:rPr>
        <w:t>Salience Higher for Depository Insurance</w:t>
      </w:r>
    </w:p>
    <w:p w14:paraId="0A1BDE09" w14:textId="77777777" w:rsidR="004A5C71" w:rsidRDefault="00254D34" w:rsidP="00C67B0E">
      <w:pPr>
        <w:spacing w:line="480" w:lineRule="auto"/>
        <w:ind w:firstLine="720"/>
        <w:rPr>
          <w:rFonts w:cs="Times New Roman"/>
          <w:szCs w:val="24"/>
        </w:rPr>
      </w:pPr>
      <w:r>
        <w:rPr>
          <w:rFonts w:cs="Times New Roman"/>
          <w:szCs w:val="24"/>
        </w:rPr>
        <w:t xml:space="preserve">One factor that distinguishes deposit insurance is salience. </w:t>
      </w:r>
      <w:r w:rsidR="00C67B0E">
        <w:rPr>
          <w:rFonts w:cs="Times New Roman"/>
          <w:szCs w:val="24"/>
        </w:rPr>
        <w:t>In reviewing documents leading to the attempted passage of each of the three pillars we find that d</w:t>
      </w:r>
      <w:r w:rsidR="006667D4">
        <w:rPr>
          <w:rFonts w:cs="Times New Roman"/>
          <w:szCs w:val="24"/>
        </w:rPr>
        <w:t xml:space="preserve">eposit insurance is a far more salient issue than SRM and SSM for several reasons. </w:t>
      </w:r>
      <w:r w:rsidR="00C67B0E">
        <w:rPr>
          <w:rFonts w:cs="Times New Roman"/>
          <w:szCs w:val="24"/>
        </w:rPr>
        <w:t xml:space="preserve"> First, </w:t>
      </w:r>
      <w:r>
        <w:rPr>
          <w:rFonts w:cs="Times New Roman"/>
          <w:szCs w:val="24"/>
        </w:rPr>
        <w:t>although</w:t>
      </w:r>
      <w:r w:rsidR="004434CB">
        <w:rPr>
          <w:rFonts w:cs="Times New Roman"/>
          <w:szCs w:val="24"/>
        </w:rPr>
        <w:t xml:space="preserve"> </w:t>
      </w:r>
      <w:r>
        <w:rPr>
          <w:rFonts w:cs="Times New Roman"/>
          <w:szCs w:val="24"/>
        </w:rPr>
        <w:t>resolution mechanism</w:t>
      </w:r>
      <w:r w:rsidR="001914B5">
        <w:rPr>
          <w:rFonts w:cs="Times New Roman"/>
          <w:szCs w:val="24"/>
        </w:rPr>
        <w:t>s</w:t>
      </w:r>
      <w:r>
        <w:rPr>
          <w:rFonts w:cs="Times New Roman"/>
          <w:szCs w:val="24"/>
        </w:rPr>
        <w:t xml:space="preserve"> and </w:t>
      </w:r>
      <w:r w:rsidR="00C67B0E">
        <w:rPr>
          <w:rFonts w:cs="Times New Roman"/>
          <w:szCs w:val="24"/>
        </w:rPr>
        <w:t>d</w:t>
      </w:r>
      <w:r w:rsidR="00A57226" w:rsidRPr="002571B3">
        <w:rPr>
          <w:rFonts w:cs="Times New Roman"/>
          <w:szCs w:val="24"/>
        </w:rPr>
        <w:t>eposit insurance</w:t>
      </w:r>
      <w:r w:rsidR="004434CB">
        <w:rPr>
          <w:rFonts w:cs="Times New Roman"/>
          <w:szCs w:val="24"/>
        </w:rPr>
        <w:t xml:space="preserve"> both protect from the</w:t>
      </w:r>
      <w:r>
        <w:rPr>
          <w:rFonts w:cs="Times New Roman"/>
          <w:szCs w:val="24"/>
        </w:rPr>
        <w:t xml:space="preserve"> fallout of a failed bank, the latter</w:t>
      </w:r>
      <w:r w:rsidR="00A57226" w:rsidRPr="002571B3">
        <w:rPr>
          <w:rFonts w:cs="Times New Roman"/>
          <w:szCs w:val="24"/>
        </w:rPr>
        <w:t xml:space="preserve"> is designed to p</w:t>
      </w:r>
      <w:r>
        <w:rPr>
          <w:rFonts w:cs="Times New Roman"/>
          <w:szCs w:val="24"/>
        </w:rPr>
        <w:t xml:space="preserve">rotect individual account holders while the former is designed to </w:t>
      </w:r>
      <w:r w:rsidR="001914B5">
        <w:rPr>
          <w:rFonts w:cs="Times New Roman"/>
          <w:szCs w:val="24"/>
        </w:rPr>
        <w:t>help</w:t>
      </w:r>
      <w:r>
        <w:rPr>
          <w:rFonts w:cs="Times New Roman"/>
          <w:szCs w:val="24"/>
        </w:rPr>
        <w:t xml:space="preserve"> cred</w:t>
      </w:r>
      <w:r w:rsidR="001914B5">
        <w:rPr>
          <w:rFonts w:cs="Times New Roman"/>
          <w:szCs w:val="24"/>
        </w:rPr>
        <w:t>itors and bondholders</w:t>
      </w:r>
      <w:r w:rsidR="00A57226" w:rsidRPr="002571B3">
        <w:rPr>
          <w:rFonts w:cs="Times New Roman"/>
          <w:szCs w:val="24"/>
        </w:rPr>
        <w:t>.</w:t>
      </w:r>
      <w:r w:rsidR="004434CB">
        <w:rPr>
          <w:rFonts w:cs="Times New Roman"/>
          <w:szCs w:val="24"/>
        </w:rPr>
        <w:t xml:space="preserve">  And while resolution and supervision arguably affect large numbers of people indirectly, the number of people directly affected by deposit insurance is significantly higher.</w:t>
      </w:r>
      <w:r w:rsidR="000B186F">
        <w:rPr>
          <w:rFonts w:cs="Times New Roman"/>
          <w:szCs w:val="24"/>
        </w:rPr>
        <w:t xml:space="preserve"> In European countries, in particular, nearly every </w:t>
      </w:r>
      <w:r w:rsidR="004A5C71">
        <w:rPr>
          <w:rFonts w:cs="Times New Roman"/>
          <w:szCs w:val="24"/>
        </w:rPr>
        <w:t>adult has a bank account</w:t>
      </w:r>
      <w:r w:rsidR="000B186F">
        <w:rPr>
          <w:rFonts w:cs="Times New Roman"/>
          <w:szCs w:val="24"/>
        </w:rPr>
        <w:t xml:space="preserve"> insured by some type of deposit scheme. </w:t>
      </w:r>
      <w:r w:rsidR="004A5C71">
        <w:rPr>
          <w:rFonts w:cs="Times New Roman"/>
          <w:szCs w:val="24"/>
        </w:rPr>
        <w:t xml:space="preserve"> In Germany, for example, 99 percent of adults over the age of 15 have a bank account (</w:t>
      </w:r>
      <w:r w:rsidR="004A5C71" w:rsidRPr="00F0281B">
        <w:rPr>
          <w:rFonts w:cs="Times New Roman"/>
          <w:szCs w:val="24"/>
        </w:rPr>
        <w:t>World Bank 2014).</w:t>
      </w:r>
      <w:r w:rsidR="004A5C71">
        <w:rPr>
          <w:rFonts w:cs="Times New Roman"/>
          <w:szCs w:val="24"/>
        </w:rPr>
        <w:t xml:space="preserve"> </w:t>
      </w:r>
      <w:r w:rsidR="004434CB">
        <w:rPr>
          <w:rFonts w:cs="Times New Roman"/>
          <w:szCs w:val="24"/>
        </w:rPr>
        <w:t xml:space="preserve"> </w:t>
      </w:r>
      <w:r w:rsidR="004A5C71">
        <w:rPr>
          <w:rFonts w:cs="Times New Roman"/>
          <w:szCs w:val="24"/>
        </w:rPr>
        <w:t xml:space="preserve"> </w:t>
      </w:r>
    </w:p>
    <w:p w14:paraId="6A21C82C" w14:textId="77777777" w:rsidR="00885BA0" w:rsidRDefault="004A5C71" w:rsidP="00C67B0E">
      <w:pPr>
        <w:spacing w:line="480" w:lineRule="auto"/>
        <w:ind w:firstLine="720"/>
        <w:rPr>
          <w:rFonts w:cs="Times New Roman"/>
          <w:szCs w:val="24"/>
        </w:rPr>
      </w:pPr>
      <w:r>
        <w:rPr>
          <w:rFonts w:cs="Times New Roman"/>
          <w:szCs w:val="24"/>
        </w:rPr>
        <w:t>Deposit insurance is particular</w:t>
      </w:r>
      <w:r w:rsidR="005A7DB7">
        <w:rPr>
          <w:rFonts w:cs="Times New Roman"/>
          <w:szCs w:val="24"/>
        </w:rPr>
        <w:t>ly</w:t>
      </w:r>
      <w:r>
        <w:rPr>
          <w:rFonts w:cs="Times New Roman"/>
          <w:szCs w:val="24"/>
        </w:rPr>
        <w:t xml:space="preserve"> salient in Germany because it affects not just account holders but also peer institutions</w:t>
      </w:r>
      <w:r w:rsidR="000468CD">
        <w:rPr>
          <w:rFonts w:cs="Times New Roman"/>
          <w:szCs w:val="24"/>
        </w:rPr>
        <w:t xml:space="preserve"> (Beck 2001</w:t>
      </w:r>
      <w:r w:rsidR="00904280" w:rsidRPr="002571B3">
        <w:rPr>
          <w:rFonts w:cs="Times New Roman"/>
          <w:szCs w:val="24"/>
        </w:rPr>
        <w:t>, 1</w:t>
      </w:r>
      <w:r w:rsidR="000C21A3">
        <w:rPr>
          <w:rFonts w:cs="Times New Roman"/>
          <w:szCs w:val="24"/>
        </w:rPr>
        <w:t xml:space="preserve">; </w:t>
      </w:r>
      <w:r w:rsidR="000C21A3" w:rsidRPr="002571B3">
        <w:rPr>
          <w:rFonts w:cs="Times New Roman"/>
          <w:szCs w:val="24"/>
        </w:rPr>
        <w:t>DS</w:t>
      </w:r>
      <w:r w:rsidR="000C21A3">
        <w:rPr>
          <w:rFonts w:cs="Times New Roman"/>
          <w:szCs w:val="24"/>
        </w:rPr>
        <w:t>GV 2015</w:t>
      </w:r>
      <w:r w:rsidR="005A7DB7">
        <w:rPr>
          <w:rFonts w:cs="Times New Roman"/>
          <w:szCs w:val="24"/>
        </w:rPr>
        <w:t>a</w:t>
      </w:r>
      <w:r w:rsidR="00904280" w:rsidRPr="002571B3">
        <w:rPr>
          <w:rFonts w:cs="Times New Roman"/>
          <w:szCs w:val="24"/>
        </w:rPr>
        <w:t>)</w:t>
      </w:r>
      <w:r>
        <w:rPr>
          <w:rFonts w:cs="Times New Roman"/>
          <w:szCs w:val="24"/>
        </w:rPr>
        <w:t xml:space="preserve">. </w:t>
      </w:r>
      <w:r w:rsidR="00885BA0">
        <w:rPr>
          <w:rFonts w:cs="Times New Roman"/>
          <w:szCs w:val="24"/>
        </w:rPr>
        <w:t xml:space="preserve"> In Germany deposit insurance is 1) funded and managed privately and 2) excludes interbank deposits from insurance.  The scheme thus fulfills i</w:t>
      </w:r>
      <w:r w:rsidR="003B3D15">
        <w:rPr>
          <w:rFonts w:cs="Times New Roman"/>
          <w:szCs w:val="24"/>
        </w:rPr>
        <w:t>t</w:t>
      </w:r>
      <w:r w:rsidR="00885BA0">
        <w:rPr>
          <w:rFonts w:cs="Times New Roman"/>
          <w:szCs w:val="24"/>
        </w:rPr>
        <w:t xml:space="preserve">s public function of insuring depositors but outside public regulation and supervision.  Instead, in keeping with Germany’s corporatist system of “private sector governance” German deposit insurance relies primarily on peers monitoring banks rather than depositors.  Thus, both German depositor holders and peer institutions are directly affected by shift in sovereignty from member states to Europe.  </w:t>
      </w:r>
    </w:p>
    <w:p w14:paraId="2D093613" w14:textId="77777777" w:rsidR="00C67B0E" w:rsidRDefault="00885BA0" w:rsidP="00C67B0E">
      <w:pPr>
        <w:spacing w:line="480" w:lineRule="auto"/>
        <w:ind w:firstLine="720"/>
        <w:rPr>
          <w:rFonts w:cs="Times New Roman"/>
          <w:szCs w:val="24"/>
        </w:rPr>
      </w:pPr>
      <w:r>
        <w:rPr>
          <w:rFonts w:cs="Times New Roman"/>
          <w:szCs w:val="24"/>
        </w:rPr>
        <w:t>Finally, in Germany</w:t>
      </w:r>
      <w:r w:rsidR="000468CD">
        <w:rPr>
          <w:rFonts w:cs="Times New Roman"/>
          <w:szCs w:val="24"/>
        </w:rPr>
        <w:t>,</w:t>
      </w:r>
      <w:r>
        <w:rPr>
          <w:rFonts w:cs="Times New Roman"/>
          <w:szCs w:val="24"/>
        </w:rPr>
        <w:t xml:space="preserve"> history plays a role in</w:t>
      </w:r>
      <w:r w:rsidR="000468CD">
        <w:rPr>
          <w:rFonts w:cs="Times New Roman"/>
          <w:szCs w:val="24"/>
        </w:rPr>
        <w:t xml:space="preserve"> raising EDIS’</w:t>
      </w:r>
      <w:r>
        <w:rPr>
          <w:rFonts w:cs="Times New Roman"/>
          <w:szCs w:val="24"/>
        </w:rPr>
        <w:t xml:space="preserve"> level of salience</w:t>
      </w:r>
      <w:r w:rsidR="000468CD">
        <w:rPr>
          <w:rFonts w:cs="Times New Roman"/>
          <w:szCs w:val="24"/>
        </w:rPr>
        <w:t xml:space="preserve">.  The </w:t>
      </w:r>
      <w:r>
        <w:rPr>
          <w:rFonts w:cs="Times New Roman"/>
          <w:szCs w:val="24"/>
        </w:rPr>
        <w:t xml:space="preserve">financial collapse in the 1920s, characterized by </w:t>
      </w:r>
      <w:r w:rsidR="000468CD">
        <w:rPr>
          <w:rFonts w:cs="Times New Roman"/>
          <w:szCs w:val="24"/>
        </w:rPr>
        <w:t>hyperinflation</w:t>
      </w:r>
      <w:r w:rsidR="00922EAC">
        <w:rPr>
          <w:rFonts w:cs="Times New Roman"/>
          <w:szCs w:val="24"/>
        </w:rPr>
        <w:t xml:space="preserve">, high unemployment, and </w:t>
      </w:r>
      <w:r w:rsidR="000468CD">
        <w:rPr>
          <w:rFonts w:cs="Times New Roman"/>
          <w:szCs w:val="24"/>
        </w:rPr>
        <w:t xml:space="preserve">a collapsed banking sector </w:t>
      </w:r>
      <w:r>
        <w:rPr>
          <w:rFonts w:cs="Times New Roman"/>
          <w:szCs w:val="24"/>
        </w:rPr>
        <w:t>in the lead</w:t>
      </w:r>
      <w:r w:rsidR="008B1791">
        <w:rPr>
          <w:rFonts w:cs="Times New Roman"/>
          <w:szCs w:val="24"/>
        </w:rPr>
        <w:t>-</w:t>
      </w:r>
      <w:r>
        <w:rPr>
          <w:rFonts w:cs="Times New Roman"/>
          <w:szCs w:val="24"/>
        </w:rPr>
        <w:t>up to WWII</w:t>
      </w:r>
      <w:r w:rsidR="000468CD">
        <w:rPr>
          <w:rFonts w:cs="Times New Roman"/>
          <w:szCs w:val="24"/>
        </w:rPr>
        <w:t>,</w:t>
      </w:r>
      <w:r>
        <w:rPr>
          <w:rFonts w:cs="Times New Roman"/>
          <w:szCs w:val="24"/>
        </w:rPr>
        <w:t xml:space="preserve"> remains deeply embedded</w:t>
      </w:r>
      <w:r w:rsidR="00922EAC">
        <w:rPr>
          <w:rFonts w:cs="Times New Roman"/>
          <w:szCs w:val="24"/>
        </w:rPr>
        <w:t xml:space="preserve"> in the German psyche (Conradt 1978). </w:t>
      </w:r>
      <w:r w:rsidR="000468CD">
        <w:rPr>
          <w:rFonts w:cs="Times New Roman"/>
          <w:szCs w:val="24"/>
        </w:rPr>
        <w:t xml:space="preserve"> It explain German attitudes toward inflation but also risk taking and financial security more generally.</w:t>
      </w:r>
      <w:r w:rsidR="00922EAC">
        <w:rPr>
          <w:rFonts w:cs="Times New Roman"/>
          <w:szCs w:val="24"/>
        </w:rPr>
        <w:t xml:space="preserve"> </w:t>
      </w:r>
      <w:r w:rsidR="008B1791">
        <w:rPr>
          <w:rFonts w:cs="Times New Roman"/>
          <w:szCs w:val="24"/>
        </w:rPr>
        <w:t>M</w:t>
      </w:r>
      <w:r w:rsidR="00922EAC">
        <w:rPr>
          <w:rFonts w:cs="Times New Roman"/>
          <w:szCs w:val="24"/>
        </w:rPr>
        <w:t>ore recently during the Great Recession of 2007</w:t>
      </w:r>
      <w:r w:rsidR="000468CD">
        <w:rPr>
          <w:rFonts w:cs="Times New Roman"/>
          <w:szCs w:val="24"/>
        </w:rPr>
        <w:t>-2008</w:t>
      </w:r>
      <w:r w:rsidR="00922EAC">
        <w:rPr>
          <w:rFonts w:cs="Times New Roman"/>
          <w:szCs w:val="24"/>
        </w:rPr>
        <w:t xml:space="preserve"> Germany’s retail savings banks and cooperative banks suffered very few losses.  Interviews with leaders of several of Germany’s savings banks or </w:t>
      </w:r>
      <w:r w:rsidR="00922EAC" w:rsidRPr="00922EAC">
        <w:rPr>
          <w:rFonts w:cs="Times New Roman"/>
          <w:i/>
          <w:szCs w:val="24"/>
        </w:rPr>
        <w:t>Sparkassen</w:t>
      </w:r>
      <w:r w:rsidR="000468CD">
        <w:rPr>
          <w:rFonts w:cs="Times New Roman"/>
          <w:szCs w:val="24"/>
        </w:rPr>
        <w:t xml:space="preserve"> revealed that they take a</w:t>
      </w:r>
      <w:r w:rsidR="00922EAC">
        <w:rPr>
          <w:rFonts w:cs="Times New Roman"/>
          <w:szCs w:val="24"/>
        </w:rPr>
        <w:t xml:space="preserve"> great deal of pride in their depository insurance scheme</w:t>
      </w:r>
      <w:r w:rsidR="000468CD">
        <w:rPr>
          <w:rFonts w:cs="Times New Roman"/>
          <w:szCs w:val="24"/>
        </w:rPr>
        <w:t>s</w:t>
      </w:r>
      <w:r w:rsidR="00922EAC">
        <w:rPr>
          <w:rFonts w:cs="Times New Roman"/>
          <w:szCs w:val="24"/>
        </w:rPr>
        <w:t>.</w:t>
      </w:r>
      <w:r w:rsidR="000468CD">
        <w:rPr>
          <w:rFonts w:cs="Times New Roman"/>
          <w:szCs w:val="24"/>
        </w:rPr>
        <w:t xml:space="preserve">  Indeed, several savings bank leaders described their institutions in terms of their depository insurance scheme.</w:t>
      </w:r>
      <w:r w:rsidR="00922EAC">
        <w:rPr>
          <w:rFonts w:cs="Times New Roman"/>
          <w:szCs w:val="24"/>
        </w:rPr>
        <w:t xml:space="preserve">  When asked what kept savings banks from making the same mistakes as Deutsche Bank or s</w:t>
      </w:r>
      <w:r w:rsidR="008B1791">
        <w:rPr>
          <w:rFonts w:cs="Times New Roman"/>
          <w:szCs w:val="24"/>
        </w:rPr>
        <w:t>ome</w:t>
      </w:r>
      <w:r w:rsidR="00922EAC">
        <w:rPr>
          <w:rFonts w:cs="Times New Roman"/>
          <w:szCs w:val="24"/>
        </w:rPr>
        <w:t xml:space="preserve"> of the </w:t>
      </w:r>
      <w:r w:rsidR="00922EAC">
        <w:rPr>
          <w:rFonts w:cs="Times New Roman"/>
          <w:i/>
          <w:szCs w:val="24"/>
        </w:rPr>
        <w:t>Landesbanken</w:t>
      </w:r>
      <w:r w:rsidR="00922EAC">
        <w:rPr>
          <w:rFonts w:cs="Times New Roman"/>
          <w:szCs w:val="24"/>
        </w:rPr>
        <w:t>, several savings bank executives pointed to the peer-monitoring system connected to their depository insurance scheme.  The anecdotal evidence is support</w:t>
      </w:r>
      <w:r w:rsidR="009662EB">
        <w:rPr>
          <w:rFonts w:cs="Times New Roman"/>
          <w:szCs w:val="24"/>
        </w:rPr>
        <w:t>ed</w:t>
      </w:r>
      <w:r w:rsidR="00922EAC">
        <w:rPr>
          <w:rFonts w:cs="Times New Roman"/>
          <w:szCs w:val="24"/>
        </w:rPr>
        <w:t xml:space="preserve"> by systematic analysis of bank risks.  In his analysis of 12 </w:t>
      </w:r>
      <w:r w:rsidR="009662EB">
        <w:rPr>
          <w:rFonts w:cs="Times New Roman"/>
          <w:szCs w:val="24"/>
        </w:rPr>
        <w:t xml:space="preserve">OECD </w:t>
      </w:r>
      <w:r w:rsidR="00922EAC">
        <w:rPr>
          <w:rFonts w:cs="Times New Roman"/>
          <w:szCs w:val="24"/>
        </w:rPr>
        <w:t>countries</w:t>
      </w:r>
      <w:r w:rsidR="00904280">
        <w:rPr>
          <w:rFonts w:cs="Times New Roman"/>
          <w:szCs w:val="24"/>
        </w:rPr>
        <w:t xml:space="preserve"> including the US, Laeven (2000) found that German banks take by far the lowest risk</w:t>
      </w:r>
      <w:r w:rsidR="009662EB">
        <w:rPr>
          <w:rFonts w:cs="Times New Roman"/>
          <w:szCs w:val="24"/>
        </w:rPr>
        <w:t>.</w:t>
      </w:r>
    </w:p>
    <w:p w14:paraId="556C3491" w14:textId="77777777" w:rsidR="00904280" w:rsidRPr="00904280" w:rsidRDefault="000C21A3" w:rsidP="00904280">
      <w:pPr>
        <w:spacing w:line="480" w:lineRule="auto"/>
        <w:ind w:firstLine="720"/>
        <w:rPr>
          <w:rFonts w:cs="Times New Roman"/>
          <w:szCs w:val="24"/>
        </w:rPr>
      </w:pPr>
      <w:r>
        <w:rPr>
          <w:rFonts w:cs="Times New Roman"/>
          <w:szCs w:val="24"/>
        </w:rPr>
        <w:t xml:space="preserve"> So </w:t>
      </w:r>
      <w:r w:rsidR="00904280">
        <w:rPr>
          <w:rFonts w:cs="Times New Roman"/>
          <w:szCs w:val="24"/>
        </w:rPr>
        <w:t xml:space="preserve">while all three pillars of EU banking union are complex, in Germany EDIS is far more salient than SRM and SSM in terms </w:t>
      </w:r>
      <w:r w:rsidR="008B1791">
        <w:rPr>
          <w:rFonts w:cs="Times New Roman"/>
          <w:szCs w:val="24"/>
        </w:rPr>
        <w:t xml:space="preserve">of </w:t>
      </w:r>
      <w:r w:rsidR="00904280">
        <w:rPr>
          <w:rFonts w:cs="Times New Roman"/>
          <w:szCs w:val="24"/>
        </w:rPr>
        <w:t>the number of people/voters affected by the policy.  Gormley’s typology suggests that EDIS is characterized as “operating politics” - a high level of participation of po</w:t>
      </w:r>
      <w:r>
        <w:rPr>
          <w:rFonts w:cs="Times New Roman"/>
          <w:szCs w:val="24"/>
        </w:rPr>
        <w:t xml:space="preserve">liticians and interest groups, </w:t>
      </w:r>
      <w:r w:rsidR="00904280">
        <w:rPr>
          <w:rFonts w:cs="Times New Roman"/>
          <w:szCs w:val="24"/>
        </w:rPr>
        <w:t>greater levels of conflict, and ultimately, a lower likel</w:t>
      </w:r>
      <w:r w:rsidR="008B1791">
        <w:rPr>
          <w:rFonts w:cs="Times New Roman"/>
          <w:szCs w:val="24"/>
        </w:rPr>
        <w:t>ihood</w:t>
      </w:r>
      <w:r w:rsidR="00904280">
        <w:rPr>
          <w:rFonts w:cs="Times New Roman"/>
          <w:szCs w:val="24"/>
        </w:rPr>
        <w:t xml:space="preserve"> of a solution. </w:t>
      </w:r>
      <w:r>
        <w:rPr>
          <w:rFonts w:cs="Times New Roman"/>
          <w:szCs w:val="24"/>
        </w:rPr>
        <w:t xml:space="preserve"> Salience is part of the reason </w:t>
      </w:r>
      <w:r w:rsidRPr="002571B3">
        <w:rPr>
          <w:rFonts w:cs="Times New Roman"/>
          <w:szCs w:val="24"/>
        </w:rPr>
        <w:t>German cooperative</w:t>
      </w:r>
      <w:r w:rsidR="00A11983">
        <w:rPr>
          <w:rFonts w:cs="Times New Roman"/>
          <w:szCs w:val="24"/>
        </w:rPr>
        <w:t>s</w:t>
      </w:r>
      <w:r w:rsidRPr="002571B3">
        <w:rPr>
          <w:rFonts w:cs="Times New Roman"/>
          <w:szCs w:val="24"/>
        </w:rPr>
        <w:t xml:space="preserve"> and local savings banks fought</w:t>
      </w:r>
      <w:r w:rsidR="00A11983">
        <w:rPr>
          <w:rFonts w:cs="Times New Roman"/>
          <w:szCs w:val="24"/>
        </w:rPr>
        <w:t xml:space="preserve"> so hard against</w:t>
      </w:r>
      <w:r w:rsidRPr="002571B3">
        <w:rPr>
          <w:rFonts w:cs="Times New Roman"/>
          <w:szCs w:val="24"/>
        </w:rPr>
        <w:t xml:space="preserve"> the passage of a mutual European deposit insurance scheme (Zimmerman 2013, 276).</w:t>
      </w:r>
    </w:p>
    <w:p w14:paraId="33298B53" w14:textId="77777777" w:rsidR="00904280" w:rsidRPr="00904280" w:rsidRDefault="00904280" w:rsidP="00904280">
      <w:pPr>
        <w:spacing w:line="480" w:lineRule="auto"/>
        <w:rPr>
          <w:rFonts w:cs="Times New Roman"/>
          <w:b/>
          <w:szCs w:val="24"/>
        </w:rPr>
      </w:pPr>
      <w:r>
        <w:rPr>
          <w:rFonts w:cs="Times New Roman"/>
          <w:b/>
          <w:szCs w:val="24"/>
        </w:rPr>
        <w:t>EDIS Framed Effectively as a Loss</w:t>
      </w:r>
    </w:p>
    <w:p w14:paraId="5BD2B12A" w14:textId="77777777" w:rsidR="0064269A" w:rsidRDefault="0072131A" w:rsidP="0064269A">
      <w:pPr>
        <w:spacing w:line="480" w:lineRule="auto"/>
        <w:ind w:firstLine="720"/>
        <w:rPr>
          <w:rFonts w:cs="Times New Roman"/>
        </w:rPr>
      </w:pPr>
      <w:r>
        <w:rPr>
          <w:rFonts w:cs="Times New Roman"/>
        </w:rPr>
        <w:t xml:space="preserve">A review of </w:t>
      </w:r>
      <w:r w:rsidR="00743BEA">
        <w:rPr>
          <w:rFonts w:cs="Times New Roman"/>
        </w:rPr>
        <w:t>statements by elites in the lead</w:t>
      </w:r>
      <w:r w:rsidR="008B1791">
        <w:rPr>
          <w:rFonts w:cs="Times New Roman"/>
        </w:rPr>
        <w:t>-</w:t>
      </w:r>
      <w:r w:rsidR="00743BEA">
        <w:rPr>
          <w:rFonts w:cs="Times New Roman"/>
        </w:rPr>
        <w:t xml:space="preserve">up to the vote on SRM, SSM, and EDIS reveals </w:t>
      </w:r>
      <w:r w:rsidR="00780486" w:rsidRPr="000A7A81">
        <w:rPr>
          <w:rFonts w:cs="Times New Roman"/>
        </w:rPr>
        <w:t xml:space="preserve">themes </w:t>
      </w:r>
      <w:r w:rsidR="00743BEA">
        <w:rPr>
          <w:rFonts w:cs="Times New Roman"/>
        </w:rPr>
        <w:t>c</w:t>
      </w:r>
      <w:r w:rsidR="00780486" w:rsidRPr="000A7A81">
        <w:rPr>
          <w:rFonts w:cs="Times New Roman"/>
        </w:rPr>
        <w:t xml:space="preserve">ommon across all </w:t>
      </w:r>
      <w:r w:rsidR="00743BEA">
        <w:rPr>
          <w:rFonts w:cs="Times New Roman"/>
        </w:rPr>
        <w:t xml:space="preserve">three pillars of banking union and several differences.  </w:t>
      </w:r>
      <w:r w:rsidR="00780486" w:rsidRPr="000A7A81">
        <w:rPr>
          <w:rFonts w:cs="Times New Roman"/>
        </w:rPr>
        <w:t xml:space="preserve">The first common theme </w:t>
      </w:r>
      <w:r w:rsidR="00743BEA">
        <w:rPr>
          <w:rFonts w:cs="Times New Roman"/>
        </w:rPr>
        <w:t>articulated by elites is</w:t>
      </w:r>
      <w:r w:rsidR="00780486" w:rsidRPr="000A7A81">
        <w:rPr>
          <w:rFonts w:cs="Times New Roman"/>
        </w:rPr>
        <w:t xml:space="preserve"> the need to prevent further financial crises. </w:t>
      </w:r>
      <w:r w:rsidR="00743BEA">
        <w:rPr>
          <w:rFonts w:cs="Times New Roman"/>
        </w:rPr>
        <w:t xml:space="preserve"> Elites spoke of </w:t>
      </w:r>
      <w:r w:rsidR="00780486" w:rsidRPr="000A7A81">
        <w:rPr>
          <w:rFonts w:cs="Times New Roman"/>
        </w:rPr>
        <w:t xml:space="preserve">the need to break the “doom loop” </w:t>
      </w:r>
      <w:r w:rsidR="00743BEA">
        <w:rPr>
          <w:rFonts w:cs="Times New Roman"/>
        </w:rPr>
        <w:t xml:space="preserve">or the “vicious cycle” </w:t>
      </w:r>
      <w:r w:rsidR="00780486" w:rsidRPr="000A7A81">
        <w:rPr>
          <w:rFonts w:cs="Times New Roman"/>
        </w:rPr>
        <w:t xml:space="preserve">between bank debt and sovereign debt (Coy 2012; </w:t>
      </w:r>
      <w:r w:rsidR="00780486" w:rsidRPr="003174E0">
        <w:rPr>
          <w:rFonts w:ascii="Times" w:hAnsi="Times"/>
        </w:rPr>
        <w:t>Schäuble</w:t>
      </w:r>
      <w:r w:rsidR="00780486">
        <w:rPr>
          <w:rFonts w:ascii="Times" w:hAnsi="Times"/>
        </w:rPr>
        <w:t xml:space="preserve"> 2013).</w:t>
      </w:r>
      <w:r w:rsidR="00743BEA">
        <w:rPr>
          <w:rFonts w:ascii="Times" w:hAnsi="Times"/>
        </w:rPr>
        <w:t xml:space="preserve"> </w:t>
      </w:r>
      <w:r w:rsidR="0064269A">
        <w:rPr>
          <w:rFonts w:cs="Times New Roman"/>
        </w:rPr>
        <w:t xml:space="preserve"> </w:t>
      </w:r>
    </w:p>
    <w:p w14:paraId="3CE37312" w14:textId="219965FF" w:rsidR="00780486" w:rsidRPr="0064269A" w:rsidRDefault="00780486" w:rsidP="0064269A">
      <w:pPr>
        <w:spacing w:line="480" w:lineRule="auto"/>
        <w:ind w:firstLine="720"/>
        <w:rPr>
          <w:rFonts w:cs="Times New Roman"/>
        </w:rPr>
      </w:pPr>
      <w:r>
        <w:rPr>
          <w:rFonts w:ascii="Times" w:hAnsi="Times"/>
        </w:rPr>
        <w:t>Another common theme</w:t>
      </w:r>
      <w:r w:rsidR="004B625E">
        <w:rPr>
          <w:rFonts w:ascii="Times" w:hAnsi="Times"/>
        </w:rPr>
        <w:t xml:space="preserve"> particularly across the SRM and EDIS, is</w:t>
      </w:r>
      <w:r>
        <w:rPr>
          <w:rFonts w:ascii="Times" w:hAnsi="Times"/>
        </w:rPr>
        <w:t xml:space="preserve"> the fear of </w:t>
      </w:r>
      <w:r w:rsidR="004B625E">
        <w:rPr>
          <w:rFonts w:ascii="Times" w:hAnsi="Times"/>
        </w:rPr>
        <w:t xml:space="preserve"> </w:t>
      </w:r>
      <w:r w:rsidR="00B02FAF">
        <w:rPr>
          <w:rFonts w:ascii="Times" w:hAnsi="Times"/>
        </w:rPr>
        <w:t xml:space="preserve"> mutualization of debt or the “pooling of debt” debt held by banks and sovereigns particular</w:t>
      </w:r>
      <w:r w:rsidR="008B1791">
        <w:rPr>
          <w:rFonts w:ascii="Times" w:hAnsi="Times"/>
        </w:rPr>
        <w:t>ly</w:t>
      </w:r>
      <w:r w:rsidR="00B02FAF">
        <w:rPr>
          <w:rFonts w:ascii="Times" w:hAnsi="Times"/>
        </w:rPr>
        <w:t xml:space="preserve"> in southern Europe.</w:t>
      </w:r>
      <w:r>
        <w:rPr>
          <w:rFonts w:ascii="Times" w:hAnsi="Times"/>
        </w:rPr>
        <w:t xml:space="preserve"> </w:t>
      </w:r>
      <w:r w:rsidR="00B02FAF">
        <w:rPr>
          <w:rFonts w:ascii="Times" w:hAnsi="Times"/>
        </w:rPr>
        <w:t xml:space="preserve"> </w:t>
      </w:r>
      <w:r w:rsidR="002A4477">
        <w:rPr>
          <w:rFonts w:ascii="Times" w:hAnsi="Times"/>
        </w:rPr>
        <w:t>The fr</w:t>
      </w:r>
      <w:r w:rsidR="009662EB">
        <w:rPr>
          <w:rFonts w:ascii="Times" w:hAnsi="Times"/>
        </w:rPr>
        <w:t>amework articulate</w:t>
      </w:r>
      <w:r w:rsidR="006A6322">
        <w:rPr>
          <w:rFonts w:ascii="Times" w:hAnsi="Times"/>
        </w:rPr>
        <w:t>d</w:t>
      </w:r>
      <w:r w:rsidR="009662EB">
        <w:rPr>
          <w:rFonts w:ascii="Times" w:hAnsi="Times"/>
        </w:rPr>
        <w:t xml:space="preserve"> </w:t>
      </w:r>
      <w:r w:rsidR="002A4477">
        <w:rPr>
          <w:rFonts w:ascii="Times" w:hAnsi="Times"/>
        </w:rPr>
        <w:t>by e</w:t>
      </w:r>
      <w:r w:rsidR="00B02FAF">
        <w:rPr>
          <w:rFonts w:ascii="Times" w:hAnsi="Times"/>
        </w:rPr>
        <w:t>lites of the German-l</w:t>
      </w:r>
      <w:r w:rsidR="002A4477">
        <w:rPr>
          <w:rFonts w:ascii="Times" w:hAnsi="Times"/>
        </w:rPr>
        <w:t xml:space="preserve">ed coalition is that mutualization will weaken fiscal discipline in southern European countries, create significant moral hazard, and force the wealthiest EU countries to subsidize the debt of poorer </w:t>
      </w:r>
      <w:r>
        <w:rPr>
          <w:rFonts w:ascii="Times" w:hAnsi="Times"/>
        </w:rPr>
        <w:t>states and their banking sectors (Economist 201</w:t>
      </w:r>
      <w:r w:rsidR="00E73C78">
        <w:rPr>
          <w:rFonts w:ascii="Times" w:hAnsi="Times"/>
        </w:rPr>
        <w:t>4</w:t>
      </w:r>
      <w:r>
        <w:rPr>
          <w:rFonts w:ascii="Times" w:hAnsi="Times"/>
        </w:rPr>
        <w:t xml:space="preserve">). </w:t>
      </w:r>
      <w:r w:rsidR="002A4477">
        <w:rPr>
          <w:rFonts w:ascii="Times" w:hAnsi="Times"/>
        </w:rPr>
        <w:t xml:space="preserve"> In discussing deposit insurance and a resolution mechanism</w:t>
      </w:r>
      <w:r w:rsidR="008B1791">
        <w:rPr>
          <w:rFonts w:ascii="Times" w:hAnsi="Times"/>
        </w:rPr>
        <w:t>,</w:t>
      </w:r>
      <w:r w:rsidR="002A4477">
        <w:rPr>
          <w:rFonts w:ascii="Times" w:hAnsi="Times"/>
        </w:rPr>
        <w:t xml:space="preserve"> elites in the German-led coalition frame the issue the same: a single resolution mechanism or deposit insurance fund would lead </w:t>
      </w:r>
      <w:r>
        <w:rPr>
          <w:rFonts w:ascii="Times" w:hAnsi="Times"/>
        </w:rPr>
        <w:t xml:space="preserve">taxpayer money </w:t>
      </w:r>
      <w:r w:rsidR="002A4477">
        <w:rPr>
          <w:rFonts w:ascii="Times" w:hAnsi="Times"/>
        </w:rPr>
        <w:t xml:space="preserve">to be used </w:t>
      </w:r>
      <w:r>
        <w:rPr>
          <w:rFonts w:ascii="Times" w:hAnsi="Times"/>
        </w:rPr>
        <w:t xml:space="preserve">irresponsibly (Traynor 2013; Wilson 2012a; Heller and Strupczewski 2015). </w:t>
      </w:r>
      <w:r w:rsidR="002A4477">
        <w:rPr>
          <w:rFonts w:ascii="Times" w:hAnsi="Times"/>
        </w:rPr>
        <w:t xml:space="preserve"> At the same time, elites discussed deposit insurance differently tha</w:t>
      </w:r>
      <w:r w:rsidR="008B1791">
        <w:rPr>
          <w:rFonts w:ascii="Times" w:hAnsi="Times"/>
        </w:rPr>
        <w:t>n</w:t>
      </w:r>
      <w:r w:rsidR="002A4477">
        <w:rPr>
          <w:rFonts w:ascii="Times" w:hAnsi="Times"/>
        </w:rPr>
        <w:t xml:space="preserve"> resolution and regulation. </w:t>
      </w:r>
    </w:p>
    <w:p w14:paraId="7CC25912" w14:textId="09728082" w:rsidR="00912CB1" w:rsidRPr="00DD180C" w:rsidRDefault="00780486" w:rsidP="00780486">
      <w:pPr>
        <w:spacing w:line="480" w:lineRule="auto"/>
        <w:rPr>
          <w:rFonts w:cs="Times New Roman"/>
          <w:szCs w:val="24"/>
        </w:rPr>
      </w:pPr>
      <w:r>
        <w:rPr>
          <w:rFonts w:ascii="Times" w:hAnsi="Times"/>
        </w:rPr>
        <w:tab/>
      </w:r>
      <w:r w:rsidR="002A4477">
        <w:rPr>
          <w:rFonts w:ascii="Times" w:hAnsi="Times"/>
        </w:rPr>
        <w:t>Leaders of the German-led coalition framed d</w:t>
      </w:r>
      <w:r>
        <w:rPr>
          <w:rFonts w:ascii="Times" w:hAnsi="Times"/>
        </w:rPr>
        <w:t>eposit insurance</w:t>
      </w:r>
      <w:r w:rsidR="002A4477">
        <w:rPr>
          <w:rFonts w:ascii="Times" w:hAnsi="Times"/>
        </w:rPr>
        <w:t xml:space="preserve"> as</w:t>
      </w:r>
      <w:r>
        <w:rPr>
          <w:rFonts w:ascii="Times" w:hAnsi="Times"/>
        </w:rPr>
        <w:t xml:space="preserve"> a</w:t>
      </w:r>
      <w:r w:rsidR="002A4477">
        <w:rPr>
          <w:rFonts w:ascii="Times" w:hAnsi="Times"/>
        </w:rPr>
        <w:t xml:space="preserve"> loss.  Leaders argued that deposit insurance was a</w:t>
      </w:r>
      <w:r>
        <w:rPr>
          <w:rFonts w:ascii="Times" w:hAnsi="Times"/>
        </w:rPr>
        <w:t xml:space="preserve"> threat to taxpayers’ savings,</w:t>
      </w:r>
      <w:r w:rsidR="002A4477">
        <w:rPr>
          <w:rFonts w:ascii="Times" w:hAnsi="Times"/>
        </w:rPr>
        <w:t xml:space="preserve"> </w:t>
      </w:r>
      <w:r>
        <w:rPr>
          <w:rFonts w:ascii="Times" w:hAnsi="Times"/>
        </w:rPr>
        <w:t xml:space="preserve">“economically wrong and counterproductive” “legalized pickpocketing,” and “a big betrayal” (Erlanger and Castle 2012; Financial Times 2015; </w:t>
      </w:r>
      <w:r w:rsidR="006A6322" w:rsidRPr="00934776">
        <w:rPr>
          <w:rFonts w:cs="Times New Roman"/>
          <w:szCs w:val="24"/>
        </w:rPr>
        <w:t>Münchau</w:t>
      </w:r>
      <w:r w:rsidR="006A6322" w:rsidDel="006A6322">
        <w:rPr>
          <w:rFonts w:ascii="Times" w:hAnsi="Times"/>
        </w:rPr>
        <w:t xml:space="preserve"> </w:t>
      </w:r>
      <w:r>
        <w:rPr>
          <w:rFonts w:ascii="Times" w:hAnsi="Times"/>
        </w:rPr>
        <w:t xml:space="preserve">2015). </w:t>
      </w:r>
      <w:r w:rsidR="00912CB1">
        <w:rPr>
          <w:rFonts w:ascii="Times" w:hAnsi="Times"/>
        </w:rPr>
        <w:t xml:space="preserve"> </w:t>
      </w:r>
      <w:r>
        <w:rPr>
          <w:rFonts w:ascii="Times" w:hAnsi="Times"/>
        </w:rPr>
        <w:t>The German banking association which represents cooperative and savings banks professed the fear</w:t>
      </w:r>
      <w:r w:rsidR="00912CB1">
        <w:rPr>
          <w:rFonts w:ascii="Times" w:hAnsi="Times"/>
        </w:rPr>
        <w:t xml:space="preserve"> that banking union would force</w:t>
      </w:r>
      <w:r>
        <w:rPr>
          <w:rFonts w:ascii="Times" w:hAnsi="Times"/>
        </w:rPr>
        <w:t xml:space="preserve"> </w:t>
      </w:r>
      <w:r w:rsidR="00912CB1">
        <w:rPr>
          <w:rFonts w:ascii="Times" w:hAnsi="Times"/>
        </w:rPr>
        <w:t>“</w:t>
      </w:r>
      <w:r>
        <w:rPr>
          <w:rFonts w:ascii="Times" w:hAnsi="Times"/>
        </w:rPr>
        <w:t>them having to pool deposit insurance schemes on a cross-border basis, potentially using German savings to bail out bank customers in other countries” (Wilson 2012a; DSGV 2014; DSGV 2015</w:t>
      </w:r>
      <w:r w:rsidR="00E73C78">
        <w:rPr>
          <w:rFonts w:ascii="Times" w:hAnsi="Times"/>
        </w:rPr>
        <w:t>b</w:t>
      </w:r>
      <w:r>
        <w:rPr>
          <w:rFonts w:ascii="Times" w:hAnsi="Times"/>
        </w:rPr>
        <w:t xml:space="preserve">). </w:t>
      </w:r>
      <w:r w:rsidR="00FC775D">
        <w:rPr>
          <w:rFonts w:ascii="Times" w:hAnsi="Times"/>
        </w:rPr>
        <w:t xml:space="preserve"> </w:t>
      </w:r>
      <w:r w:rsidR="00FC775D" w:rsidRPr="00FC775D">
        <w:rPr>
          <w:rFonts w:ascii="Georgia" w:eastAsiaTheme="minorEastAsia" w:hAnsi="Georgia" w:cs="Georgia"/>
          <w:color w:val="000001"/>
          <w:szCs w:val="24"/>
          <w:u w:color="000001"/>
        </w:rPr>
        <w:t xml:space="preserve">Ludger </w:t>
      </w:r>
      <w:r w:rsidR="00FC775D" w:rsidRPr="00DD180C">
        <w:rPr>
          <w:rFonts w:eastAsiaTheme="minorEastAsia" w:cs="Times New Roman"/>
          <w:color w:val="000001"/>
          <w:szCs w:val="24"/>
          <w:u w:color="000001"/>
        </w:rPr>
        <w:t>Schuknecht</w:t>
      </w:r>
      <w:r w:rsidR="00FC775D" w:rsidRPr="00DD180C">
        <w:rPr>
          <w:rFonts w:eastAsiaTheme="minorEastAsia" w:cs="Times New Roman"/>
          <w:color w:val="000001"/>
          <w:szCs w:val="24"/>
        </w:rPr>
        <w:t>,</w:t>
      </w:r>
      <w:r w:rsidR="00FC775D" w:rsidRPr="00DD180C">
        <w:rPr>
          <w:rFonts w:eastAsia="Times New Roman" w:cs="Times New Roman"/>
          <w:szCs w:val="24"/>
        </w:rPr>
        <w:t xml:space="preserve"> chief economist of the German Federal Ministry of Finance, used a heuristic to make the case against EDIS stating: </w:t>
      </w:r>
    </w:p>
    <w:p w14:paraId="46DFF815" w14:textId="77777777" w:rsidR="00912CB1" w:rsidRPr="00912CB1" w:rsidRDefault="00912CB1" w:rsidP="00FC775D">
      <w:pPr>
        <w:spacing w:line="240" w:lineRule="auto"/>
        <w:ind w:left="720"/>
        <w:rPr>
          <w:rFonts w:ascii="Times" w:hAnsi="Times"/>
        </w:rPr>
      </w:pPr>
      <w:r w:rsidRPr="00FC775D">
        <w:rPr>
          <w:rFonts w:eastAsiaTheme="minorEastAsia" w:cs="Times New Roman"/>
          <w:iCs/>
          <w:color w:val="000001"/>
          <w:szCs w:val="24"/>
        </w:rPr>
        <w:t xml:space="preserve">It’s no coincidence that investors fled from Greece when, in the first half of 2015, the government undermined the banking system which had been newly recapitalised with €40bn (20% of GDP). EDIS would mean that other countries would soon be liable for the consequences of misguided domestic policies, without those countries being able to influence such </w:t>
      </w:r>
      <w:r w:rsidR="00DD180C">
        <w:rPr>
          <w:rFonts w:eastAsiaTheme="minorEastAsia" w:cs="Times New Roman"/>
          <w:iCs/>
          <w:color w:val="000001"/>
          <w:szCs w:val="24"/>
        </w:rPr>
        <w:t xml:space="preserve">behavior </w:t>
      </w:r>
      <w:r w:rsidR="00DD180C">
        <w:rPr>
          <w:rFonts w:eastAsia="Times New Roman" w:cs="Times New Roman"/>
        </w:rPr>
        <w:t>(Schuknecht, 2016)</w:t>
      </w:r>
      <w:r w:rsidRPr="00FC775D">
        <w:rPr>
          <w:rFonts w:eastAsiaTheme="minorEastAsia" w:cs="Times New Roman"/>
          <w:iCs/>
          <w:color w:val="000001"/>
          <w:szCs w:val="24"/>
        </w:rPr>
        <w:t>.</w:t>
      </w:r>
    </w:p>
    <w:p w14:paraId="193D10E0" w14:textId="08B8C0C4" w:rsidR="00780486" w:rsidRDefault="00094846" w:rsidP="00780486">
      <w:pPr>
        <w:spacing w:line="480" w:lineRule="auto"/>
        <w:rPr>
          <w:rFonts w:ascii="Times" w:hAnsi="Times"/>
        </w:rPr>
      </w:pPr>
      <w:r>
        <w:rPr>
          <w:rFonts w:ascii="Times" w:hAnsi="Times"/>
        </w:rPr>
        <w:t xml:space="preserve">Schuknecht </w:t>
      </w:r>
      <w:r w:rsidR="00FC775D">
        <w:rPr>
          <w:rFonts w:ascii="Times" w:hAnsi="Times"/>
        </w:rPr>
        <w:t>argu</w:t>
      </w:r>
      <w:r>
        <w:rPr>
          <w:rFonts w:ascii="Times" w:hAnsi="Times"/>
        </w:rPr>
        <w:t xml:space="preserve">es: first, moral hazard </w:t>
      </w:r>
      <w:r w:rsidR="00FC775D">
        <w:rPr>
          <w:rFonts w:ascii="Times" w:hAnsi="Times"/>
        </w:rPr>
        <w:t xml:space="preserve">created the Greek crisis; second, that the Greeks are largely to blame; and third, that an EDIS would create the same moral hazard problem for other European countries.  The frame is clearly one of loss with </w:t>
      </w:r>
      <w:r>
        <w:rPr>
          <w:rFonts w:ascii="Times" w:hAnsi="Times"/>
        </w:rPr>
        <w:t xml:space="preserve">a </w:t>
      </w:r>
      <w:r w:rsidR="00FC775D">
        <w:rPr>
          <w:rFonts w:ascii="Times" w:hAnsi="Times"/>
        </w:rPr>
        <w:t>health</w:t>
      </w:r>
      <w:r>
        <w:rPr>
          <w:rFonts w:ascii="Times" w:hAnsi="Times"/>
        </w:rPr>
        <w:t>y</w:t>
      </w:r>
      <w:r w:rsidR="00FC775D">
        <w:rPr>
          <w:rFonts w:ascii="Times" w:hAnsi="Times"/>
        </w:rPr>
        <w:t xml:space="preserve"> dose of fear and xenophobia; fear</w:t>
      </w:r>
      <w:r w:rsidR="00780486">
        <w:rPr>
          <w:rFonts w:ascii="Times" w:hAnsi="Times"/>
        </w:rPr>
        <w:t xml:space="preserve"> that their </w:t>
      </w:r>
      <w:r w:rsidR="00FC775D">
        <w:rPr>
          <w:rFonts w:ascii="Times" w:hAnsi="Times"/>
        </w:rPr>
        <w:t xml:space="preserve">German taxpayers </w:t>
      </w:r>
      <w:r w:rsidR="00780486">
        <w:rPr>
          <w:rFonts w:ascii="Times" w:hAnsi="Times"/>
        </w:rPr>
        <w:t>would essentially pay for</w:t>
      </w:r>
      <w:r w:rsidR="00FC775D">
        <w:rPr>
          <w:rFonts w:ascii="Times" w:hAnsi="Times"/>
        </w:rPr>
        <w:t xml:space="preserve"> the bad behavior of southern European politicians and their banks</w:t>
      </w:r>
      <w:r w:rsidR="00780486">
        <w:rPr>
          <w:rFonts w:ascii="Times" w:hAnsi="Times"/>
        </w:rPr>
        <w:t xml:space="preserve"> (Brunsden 2015a; Brunsden 2015</w:t>
      </w:r>
      <w:r w:rsidR="00CB230E">
        <w:rPr>
          <w:rFonts w:ascii="Times" w:hAnsi="Times"/>
        </w:rPr>
        <w:t>b</w:t>
      </w:r>
      <w:r w:rsidR="00780486">
        <w:rPr>
          <w:rFonts w:ascii="Times" w:hAnsi="Times"/>
        </w:rPr>
        <w:t xml:space="preserve">). </w:t>
      </w:r>
    </w:p>
    <w:p w14:paraId="56BD33A5" w14:textId="77777777" w:rsidR="006D05A9" w:rsidRDefault="006D05A9" w:rsidP="00912CB1">
      <w:pPr>
        <w:spacing w:line="480" w:lineRule="auto"/>
        <w:ind w:firstLine="720"/>
        <w:rPr>
          <w:rFonts w:ascii="Times" w:hAnsi="Times"/>
        </w:rPr>
      </w:pPr>
      <w:r>
        <w:rPr>
          <w:rFonts w:ascii="Times" w:hAnsi="Times"/>
        </w:rPr>
        <w:t>A related theme used by elites to frame d</w:t>
      </w:r>
      <w:r w:rsidR="00912CB1">
        <w:rPr>
          <w:rFonts w:ascii="Times" w:hAnsi="Times"/>
        </w:rPr>
        <w:t xml:space="preserve">eposit insurance </w:t>
      </w:r>
      <w:r>
        <w:rPr>
          <w:rFonts w:ascii="Times" w:hAnsi="Times"/>
        </w:rPr>
        <w:t>as a loss was to focus on the loss of exiting depository insurance schemes.  In Germany there are at least six different deposit insurance schemes.  In debates over</w:t>
      </w:r>
      <w:r w:rsidR="00912CB1">
        <w:rPr>
          <w:rFonts w:ascii="Times" w:hAnsi="Times"/>
        </w:rPr>
        <w:t xml:space="preserve"> EDIS, German elites emphasized the success</w:t>
      </w:r>
      <w:r>
        <w:rPr>
          <w:rFonts w:ascii="Times" w:hAnsi="Times"/>
        </w:rPr>
        <w:t xml:space="preserve"> of their </w:t>
      </w:r>
      <w:r w:rsidR="00912CB1">
        <w:rPr>
          <w:rFonts w:ascii="Times" w:hAnsi="Times"/>
        </w:rPr>
        <w:t>well-functioning deposit guarantees during the post-war period in German and during the recent financial crisis (Wilson 2012b; Steinhauser and Stevens 2013).</w:t>
      </w:r>
      <w:r>
        <w:rPr>
          <w:rFonts w:ascii="Times" w:hAnsi="Times"/>
        </w:rPr>
        <w:t xml:space="preserve">  EDIS represented a loss of control over what many Germans, Dutch and Finns argue were highly successful programs.  Schuknecht </w:t>
      </w:r>
      <w:r w:rsidR="00DD180C">
        <w:rPr>
          <w:rFonts w:ascii="Times" w:hAnsi="Times"/>
        </w:rPr>
        <w:t xml:space="preserve">(2016) </w:t>
      </w:r>
      <w:r>
        <w:rPr>
          <w:rFonts w:ascii="Times" w:hAnsi="Times"/>
        </w:rPr>
        <w:t>articulates the point:</w:t>
      </w:r>
    </w:p>
    <w:p w14:paraId="33732BB7" w14:textId="77777777" w:rsidR="00912CB1" w:rsidRDefault="006D05A9" w:rsidP="006D05A9">
      <w:pPr>
        <w:spacing w:line="240" w:lineRule="auto"/>
        <w:ind w:left="720"/>
        <w:rPr>
          <w:rFonts w:ascii="Times" w:hAnsi="Times"/>
        </w:rPr>
      </w:pPr>
      <w:r>
        <w:rPr>
          <w:rFonts w:eastAsia="Times New Roman" w:cs="Times New Roman"/>
        </w:rPr>
        <w:t xml:space="preserve">The Commission wants to introduce a new levy for the banking sector, ignoring the existing guarantee systems in certain countries and forcibly creating indirect liability risks across national borders. This represents a massive intervention in property rights and freedom of contract, which doesn’t exactly enhance expectations about legal certainty and protection of property in Germany and Europe. </w:t>
      </w:r>
      <w:r w:rsidR="00912CB1">
        <w:rPr>
          <w:rFonts w:ascii="Times" w:hAnsi="Times"/>
        </w:rPr>
        <w:t xml:space="preserve"> </w:t>
      </w:r>
    </w:p>
    <w:p w14:paraId="6460DF19" w14:textId="77777777" w:rsidR="00912CB1" w:rsidRDefault="006D05A9" w:rsidP="006D05A9">
      <w:pPr>
        <w:spacing w:line="480" w:lineRule="auto"/>
        <w:rPr>
          <w:rFonts w:ascii="Times" w:hAnsi="Times"/>
        </w:rPr>
      </w:pPr>
      <w:r>
        <w:rPr>
          <w:rFonts w:ascii="Times" w:hAnsi="Times"/>
        </w:rPr>
        <w:t>For Schuknecht and other elites who oppose EDIS, the shift in sovereignty represented by the policy is akin to taking away property rights and the freedom to enter into contracts.  EDIS, in other words, represents a major loss and step into great uncertainty.</w:t>
      </w:r>
    </w:p>
    <w:p w14:paraId="735BB731" w14:textId="32C7C1E5" w:rsidR="006D05A9" w:rsidRDefault="00780486" w:rsidP="006D05A9">
      <w:pPr>
        <w:spacing w:line="480" w:lineRule="auto"/>
        <w:rPr>
          <w:rFonts w:ascii="Times" w:hAnsi="Times"/>
        </w:rPr>
      </w:pPr>
      <w:r>
        <w:rPr>
          <w:rFonts w:ascii="Times" w:hAnsi="Times"/>
        </w:rPr>
        <w:tab/>
      </w:r>
      <w:r w:rsidR="006D05A9">
        <w:rPr>
          <w:rFonts w:ascii="Times" w:hAnsi="Times"/>
        </w:rPr>
        <w:t xml:space="preserve">In contrast to EDIS, the SRM was framed differently.  </w:t>
      </w:r>
      <w:r>
        <w:rPr>
          <w:rFonts w:ascii="Times" w:hAnsi="Times"/>
        </w:rPr>
        <w:t xml:space="preserve">The SRM was marketed as a way to ensure that banks were “bailed in” using investor and shareholder funds, rather than taxpayers’ money. Through this mechanism, bondholders and other investors in banks would be charged with contributing to bank resolutions before individual citizens, compared </w:t>
      </w:r>
      <w:r w:rsidR="008B1791">
        <w:rPr>
          <w:rFonts w:ascii="Times" w:hAnsi="Times"/>
        </w:rPr>
        <w:t xml:space="preserve">to </w:t>
      </w:r>
      <w:r>
        <w:rPr>
          <w:rFonts w:ascii="Times" w:hAnsi="Times"/>
        </w:rPr>
        <w:t xml:space="preserve">the former bail-out system in which government funds were used to resolve failing banks (Traynor 2013; Kumar 2015). </w:t>
      </w:r>
      <w:r w:rsidR="006D05A9">
        <w:rPr>
          <w:rFonts w:ascii="Times" w:hAnsi="Times"/>
        </w:rPr>
        <w:t xml:space="preserve"> Moreover, a</w:t>
      </w:r>
      <w:r>
        <w:rPr>
          <w:rFonts w:ascii="Times" w:hAnsi="Times"/>
        </w:rPr>
        <w:t xml:space="preserve">lthough </w:t>
      </w:r>
      <w:r w:rsidR="006D05A9">
        <w:rPr>
          <w:rFonts w:ascii="Times" w:hAnsi="Times"/>
        </w:rPr>
        <w:t>the SRM creates a common Resolution F</w:t>
      </w:r>
      <w:r>
        <w:rPr>
          <w:rFonts w:ascii="Times" w:hAnsi="Times"/>
        </w:rPr>
        <w:t xml:space="preserve">und (SRF), resolutions </w:t>
      </w:r>
      <w:r w:rsidR="006D05A9">
        <w:rPr>
          <w:rFonts w:ascii="Times" w:hAnsi="Times"/>
        </w:rPr>
        <w:t>themselves are left to member-states until they build</w:t>
      </w:r>
      <w:r>
        <w:rPr>
          <w:rFonts w:ascii="Times" w:hAnsi="Times"/>
        </w:rPr>
        <w:t xml:space="preserve"> up the appropriate reserves to contribute to the SRF (Traynor 2013). </w:t>
      </w:r>
      <w:r w:rsidR="006D05A9">
        <w:rPr>
          <w:rFonts w:ascii="Times" w:hAnsi="Times"/>
        </w:rPr>
        <w:t xml:space="preserve"> </w:t>
      </w:r>
    </w:p>
    <w:p w14:paraId="208FCF55" w14:textId="1D53E804" w:rsidR="00094846" w:rsidRDefault="004E4DFC" w:rsidP="00536EB4">
      <w:pPr>
        <w:spacing w:line="480" w:lineRule="auto"/>
        <w:rPr>
          <w:rFonts w:ascii="Times" w:hAnsi="Times"/>
        </w:rPr>
      </w:pPr>
      <w:r>
        <w:rPr>
          <w:rFonts w:ascii="Times" w:hAnsi="Times"/>
        </w:rPr>
        <w:tab/>
        <w:t>And although similar</w:t>
      </w:r>
      <w:r w:rsidR="00DD180C">
        <w:rPr>
          <w:rFonts w:ascii="Times" w:hAnsi="Times"/>
        </w:rPr>
        <w:t xml:space="preserve"> mor</w:t>
      </w:r>
      <w:r>
        <w:rPr>
          <w:rFonts w:ascii="Times" w:hAnsi="Times"/>
        </w:rPr>
        <w:t xml:space="preserve">al hazard arguments were leveled </w:t>
      </w:r>
      <w:r w:rsidR="00DD180C">
        <w:rPr>
          <w:rFonts w:ascii="Times" w:hAnsi="Times"/>
        </w:rPr>
        <w:t>against the</w:t>
      </w:r>
      <w:r w:rsidR="006D05A9">
        <w:rPr>
          <w:rFonts w:ascii="Times" w:hAnsi="Times"/>
        </w:rPr>
        <w:t xml:space="preserve"> SRM</w:t>
      </w:r>
      <w:r w:rsidR="00DD180C">
        <w:rPr>
          <w:rFonts w:ascii="Times" w:hAnsi="Times"/>
        </w:rPr>
        <w:t xml:space="preserve">, </w:t>
      </w:r>
      <w:r w:rsidR="006D05A9">
        <w:rPr>
          <w:rFonts w:ascii="Times" w:hAnsi="Times"/>
        </w:rPr>
        <w:t>elites could not m</w:t>
      </w:r>
      <w:r w:rsidR="00DD180C">
        <w:rPr>
          <w:rFonts w:ascii="Times" w:hAnsi="Times"/>
        </w:rPr>
        <w:t xml:space="preserve">ake the case that the SRM </w:t>
      </w:r>
      <w:r w:rsidR="006D05A9">
        <w:rPr>
          <w:rFonts w:ascii="Times" w:hAnsi="Times"/>
        </w:rPr>
        <w:t>replace</w:t>
      </w:r>
      <w:r w:rsidR="00DD180C">
        <w:rPr>
          <w:rFonts w:ascii="Times" w:hAnsi="Times"/>
        </w:rPr>
        <w:t>d</w:t>
      </w:r>
      <w:r w:rsidR="006D05A9">
        <w:rPr>
          <w:rFonts w:ascii="Times" w:hAnsi="Times"/>
        </w:rPr>
        <w:t xml:space="preserve"> </w:t>
      </w:r>
      <w:r w:rsidR="00DD180C">
        <w:rPr>
          <w:rFonts w:ascii="Times" w:hAnsi="Times"/>
        </w:rPr>
        <w:t xml:space="preserve">well-functioning </w:t>
      </w:r>
      <w:r w:rsidR="006D05A9">
        <w:rPr>
          <w:rFonts w:ascii="Times" w:hAnsi="Times"/>
        </w:rPr>
        <w:t>existing resolution systems.</w:t>
      </w:r>
      <w:r w:rsidR="00DD180C">
        <w:rPr>
          <w:rFonts w:ascii="Times" w:hAnsi="Times"/>
        </w:rPr>
        <w:t xml:space="preserve">  </w:t>
      </w:r>
      <w:r>
        <w:rPr>
          <w:rFonts w:ascii="Times" w:hAnsi="Times"/>
        </w:rPr>
        <w:t xml:space="preserve">As noted above, </w:t>
      </w:r>
      <w:r w:rsidR="00DD180C">
        <w:rPr>
          <w:rFonts w:ascii="Times" w:hAnsi="Times"/>
        </w:rPr>
        <w:t xml:space="preserve">European countries lacked </w:t>
      </w:r>
      <w:r>
        <w:rPr>
          <w:rFonts w:ascii="Times" w:hAnsi="Times"/>
        </w:rPr>
        <w:t xml:space="preserve">any type of </w:t>
      </w:r>
      <w:r w:rsidR="00DD180C">
        <w:rPr>
          <w:rFonts w:ascii="Times" w:hAnsi="Times"/>
        </w:rPr>
        <w:t>systematized resolution systems.</w:t>
      </w:r>
      <w:r>
        <w:rPr>
          <w:rFonts w:ascii="Times" w:hAnsi="Times"/>
        </w:rPr>
        <w:t xml:space="preserve">  Resolution in the </w:t>
      </w:r>
      <w:r w:rsidR="00DD180C">
        <w:rPr>
          <w:rFonts w:ascii="Times" w:hAnsi="Times"/>
        </w:rPr>
        <w:t xml:space="preserve">post-war history of bank failures </w:t>
      </w:r>
      <w:r>
        <w:rPr>
          <w:rFonts w:ascii="Times" w:hAnsi="Times"/>
        </w:rPr>
        <w:t>was done ad-hoc.  A</w:t>
      </w:r>
      <w:r w:rsidR="00DD180C">
        <w:rPr>
          <w:rFonts w:ascii="Times" w:hAnsi="Times"/>
        </w:rPr>
        <w:t xml:space="preserve">ctions to recapitalize or resolve </w:t>
      </w:r>
      <w:r>
        <w:rPr>
          <w:rFonts w:ascii="Times" w:hAnsi="Times"/>
        </w:rPr>
        <w:t xml:space="preserve">failing institution like Herstatt Bank </w:t>
      </w:r>
      <w:r w:rsidR="00536EB4">
        <w:rPr>
          <w:rFonts w:ascii="Times" w:hAnsi="Times"/>
        </w:rPr>
        <w:t xml:space="preserve">in Germany </w:t>
      </w:r>
      <w:r>
        <w:rPr>
          <w:rFonts w:ascii="Times" w:hAnsi="Times"/>
        </w:rPr>
        <w:t>in 1974 or</w:t>
      </w:r>
      <w:r w:rsidR="00536EB4" w:rsidRPr="00536EB4">
        <w:rPr>
          <w:rFonts w:eastAsia="Times New Roman" w:cs="Times New Roman"/>
        </w:rPr>
        <w:t xml:space="preserve"> </w:t>
      </w:r>
      <w:r w:rsidR="00536EB4">
        <w:rPr>
          <w:rFonts w:eastAsia="Times New Roman" w:cs="Times New Roman"/>
        </w:rPr>
        <w:t>Nordbanken Sweden in the early 1990s were</w:t>
      </w:r>
      <w:r w:rsidR="00DD180C">
        <w:rPr>
          <w:rFonts w:ascii="Times" w:hAnsi="Times"/>
        </w:rPr>
        <w:t xml:space="preserve"> idiosyncratic and dependent on the political and economic context </w:t>
      </w:r>
      <w:r w:rsidR="00536EB4">
        <w:rPr>
          <w:rFonts w:ascii="Times" w:hAnsi="Times"/>
        </w:rPr>
        <w:t>in the country at that</w:t>
      </w:r>
      <w:r w:rsidR="00DD180C">
        <w:rPr>
          <w:rFonts w:ascii="Times" w:hAnsi="Times"/>
        </w:rPr>
        <w:t xml:space="preserve"> moment.  Elites opposed to SRM could therefore not make the case the policy mean</w:t>
      </w:r>
      <w:r w:rsidR="0031008E">
        <w:rPr>
          <w:rFonts w:ascii="Times" w:hAnsi="Times"/>
        </w:rPr>
        <w:t>t</w:t>
      </w:r>
      <w:r w:rsidR="00DD180C">
        <w:rPr>
          <w:rFonts w:ascii="Times" w:hAnsi="Times"/>
        </w:rPr>
        <w:t xml:space="preserve"> losing an existing policy. </w:t>
      </w:r>
    </w:p>
    <w:p w14:paraId="4811C586" w14:textId="6D45B07D" w:rsidR="00094846" w:rsidRDefault="00094846" w:rsidP="00094846">
      <w:pPr>
        <w:spacing w:line="480" w:lineRule="auto"/>
        <w:rPr>
          <w:rFonts w:ascii="Times" w:hAnsi="Times"/>
        </w:rPr>
      </w:pPr>
      <w:r>
        <w:rPr>
          <w:rFonts w:ascii="Times" w:hAnsi="Times"/>
        </w:rPr>
        <w:tab/>
        <w:t xml:space="preserve">In sum, </w:t>
      </w:r>
      <w:r w:rsidR="000A7A2E">
        <w:rPr>
          <w:rFonts w:ascii="Times" w:hAnsi="Times"/>
        </w:rPr>
        <w:t>although the three pillars of EU banking union are interconnected, because of its salience and how it was perceived</w:t>
      </w:r>
      <w:r w:rsidR="0031008E">
        <w:rPr>
          <w:rFonts w:ascii="Times" w:hAnsi="Times"/>
        </w:rPr>
        <w:t>,</w:t>
      </w:r>
      <w:r w:rsidR="000A7A2E">
        <w:rPr>
          <w:rFonts w:ascii="Times" w:hAnsi="Times"/>
        </w:rPr>
        <w:t xml:space="preserve"> EDIS created </w:t>
      </w:r>
      <w:r w:rsidR="0031008E">
        <w:rPr>
          <w:rFonts w:ascii="Times" w:hAnsi="Times"/>
        </w:rPr>
        <w:t xml:space="preserve">a </w:t>
      </w:r>
      <w:r w:rsidR="000A7A2E">
        <w:rPr>
          <w:rFonts w:ascii="Times" w:hAnsi="Times"/>
        </w:rPr>
        <w:t xml:space="preserve">very different type of politics; one that generated obstacles to passage that were not faced by the SRM or SSM. </w:t>
      </w:r>
    </w:p>
    <w:p w14:paraId="6CD370C1" w14:textId="77777777" w:rsidR="00815373" w:rsidRPr="00FD4E58" w:rsidRDefault="00815373" w:rsidP="00FD4E58">
      <w:pPr>
        <w:spacing w:line="480" w:lineRule="auto"/>
        <w:rPr>
          <w:b/>
          <w:bCs/>
          <w:caps/>
          <w:szCs w:val="24"/>
        </w:rPr>
      </w:pPr>
      <w:r w:rsidRPr="00FD4E58">
        <w:rPr>
          <w:b/>
          <w:bCs/>
          <w:caps/>
          <w:szCs w:val="24"/>
        </w:rPr>
        <w:t>Conclusion: Future of european deposit insurance schemes</w:t>
      </w:r>
    </w:p>
    <w:p w14:paraId="00087F43" w14:textId="25908D0B" w:rsidR="00FD4E58" w:rsidRDefault="00BB7A8C" w:rsidP="00FD4E58">
      <w:pPr>
        <w:spacing w:after="0" w:line="480" w:lineRule="auto"/>
        <w:rPr>
          <w:rFonts w:eastAsia="Times New Roman" w:cs="Times New Roman"/>
          <w:szCs w:val="24"/>
        </w:rPr>
      </w:pPr>
      <w:r w:rsidRPr="00FD4E58">
        <w:rPr>
          <w:bCs/>
        </w:rPr>
        <w:tab/>
        <w:t xml:space="preserve">The debates over a European-wide depository insurance </w:t>
      </w:r>
      <w:r w:rsidR="00F0281B">
        <w:rPr>
          <w:bCs/>
        </w:rPr>
        <w:t>scheme are likely to continue despite setbacks.</w:t>
      </w:r>
      <w:r w:rsidRPr="00FD4E58">
        <w:rPr>
          <w:bCs/>
        </w:rPr>
        <w:t xml:space="preserve">  In February 2016, the European Banking Authority (EBA) published guidelines on cooperation agreements between existing deposit insurance schemes.  The </w:t>
      </w:r>
      <w:r w:rsidRPr="00FD4E58">
        <w:rPr>
          <w:rFonts w:eastAsia="Times New Roman" w:cs="Times New Roman"/>
          <w:bCs/>
          <w:szCs w:val="24"/>
        </w:rPr>
        <w:t>Deposit Guarantee Schemes Directive (DGSD)</w:t>
      </w:r>
      <w:r w:rsidR="00FD4E58" w:rsidRPr="00FD4E58">
        <w:rPr>
          <w:rFonts w:eastAsia="Times New Roman" w:cs="Times New Roman"/>
          <w:bCs/>
          <w:szCs w:val="24"/>
        </w:rPr>
        <w:t xml:space="preserve"> falls far short of a single European-wid</w:t>
      </w:r>
      <w:r w:rsidR="00FD4E58" w:rsidRPr="00FD4E58">
        <w:rPr>
          <w:rFonts w:eastAsia="Times New Roman" w:cs="Times New Roman"/>
          <w:szCs w:val="24"/>
        </w:rPr>
        <w:t>e Deposit Insurance Scheme.</w:t>
      </w:r>
      <w:r w:rsidR="00A81B01">
        <w:rPr>
          <w:rFonts w:eastAsia="Times New Roman" w:cs="Times New Roman"/>
          <w:szCs w:val="24"/>
        </w:rPr>
        <w:t xml:space="preserve"> </w:t>
      </w:r>
      <w:r w:rsidR="00FD4E58" w:rsidRPr="00FD4E58">
        <w:rPr>
          <w:rFonts w:eastAsia="Times New Roman" w:cs="Times New Roman"/>
          <w:szCs w:val="24"/>
        </w:rPr>
        <w:t>The aim of the new directives, however</w:t>
      </w:r>
      <w:r w:rsidR="00A81B01">
        <w:rPr>
          <w:rFonts w:eastAsia="Times New Roman" w:cs="Times New Roman"/>
          <w:szCs w:val="24"/>
        </w:rPr>
        <w:t xml:space="preserve">, is three-fold: 1) </w:t>
      </w:r>
      <w:r w:rsidR="00FD4E58" w:rsidRPr="00FD4E58">
        <w:rPr>
          <w:rFonts w:eastAsia="Times New Roman" w:cs="Times New Roman"/>
          <w:szCs w:val="24"/>
        </w:rPr>
        <w:t xml:space="preserve">insure minimum deposit insurance requirements are met by all members of the EMU; </w:t>
      </w:r>
      <w:r w:rsidR="00F0281B">
        <w:rPr>
          <w:rFonts w:eastAsia="Times New Roman" w:cs="Times New Roman"/>
          <w:szCs w:val="24"/>
        </w:rPr>
        <w:t>2) establish a multi</w:t>
      </w:r>
      <w:r w:rsidR="00A81B01">
        <w:rPr>
          <w:rFonts w:eastAsia="Times New Roman" w:cs="Times New Roman"/>
          <w:szCs w:val="24"/>
        </w:rPr>
        <w:t>lateral framework for creating and implementing cooperation agreements across the EU system of depository institutions in the hopes of co</w:t>
      </w:r>
      <w:r w:rsidR="00C40DE0">
        <w:rPr>
          <w:rFonts w:eastAsia="Times New Roman" w:cs="Times New Roman"/>
          <w:szCs w:val="24"/>
        </w:rPr>
        <w:t>n</w:t>
      </w:r>
      <w:r w:rsidR="00A81B01">
        <w:rPr>
          <w:rFonts w:eastAsia="Times New Roman" w:cs="Times New Roman"/>
          <w:szCs w:val="24"/>
        </w:rPr>
        <w:t xml:space="preserve">verging on a single system; and 3) </w:t>
      </w:r>
      <w:r w:rsidR="00FD4E58" w:rsidRPr="00FD4E58">
        <w:rPr>
          <w:rFonts w:eastAsia="Times New Roman" w:cs="Times New Roman"/>
          <w:szCs w:val="24"/>
        </w:rPr>
        <w:t>insure</w:t>
      </w:r>
      <w:r w:rsidR="00FD4E58">
        <w:rPr>
          <w:rFonts w:eastAsia="Times New Roman" w:cs="Times New Roman"/>
          <w:szCs w:val="24"/>
        </w:rPr>
        <w:t xml:space="preserve"> </w:t>
      </w:r>
      <w:r w:rsidR="00FD4E58" w:rsidRPr="00FD4E58">
        <w:rPr>
          <w:rFonts w:eastAsia="Times New Roman" w:cs="Times New Roman"/>
          <w:szCs w:val="24"/>
        </w:rPr>
        <w:t>depositors in EU branches of institutions headquartered in other member states are treated similarly to depositors in the home member state</w:t>
      </w:r>
      <w:r w:rsidR="00FD4E58">
        <w:rPr>
          <w:rFonts w:eastAsia="Times New Roman" w:cs="Times New Roman"/>
          <w:szCs w:val="24"/>
        </w:rPr>
        <w:t xml:space="preserve">. </w:t>
      </w:r>
      <w:r w:rsidR="00A81B01">
        <w:rPr>
          <w:rFonts w:eastAsia="Times New Roman" w:cs="Times New Roman"/>
          <w:szCs w:val="24"/>
        </w:rPr>
        <w:t xml:space="preserve"> There are currently 750 branches of EU credit institutions located in member states other than the member states in which their headquarters are located.  Therefore, t</w:t>
      </w:r>
      <w:r w:rsidR="00E20D76">
        <w:rPr>
          <w:rFonts w:eastAsia="Times New Roman" w:cs="Times New Roman"/>
          <w:szCs w:val="24"/>
        </w:rPr>
        <w:t xml:space="preserve">he question of how accounts handle </w:t>
      </w:r>
      <w:r w:rsidR="00A81B01">
        <w:rPr>
          <w:rFonts w:eastAsia="Times New Roman" w:cs="Times New Roman"/>
          <w:szCs w:val="24"/>
        </w:rPr>
        <w:t xml:space="preserve">cross-border transactions is acute. </w:t>
      </w:r>
      <w:r w:rsidR="00FD4E58">
        <w:rPr>
          <w:rFonts w:eastAsia="Times New Roman" w:cs="Times New Roman"/>
          <w:szCs w:val="24"/>
        </w:rPr>
        <w:t xml:space="preserve"> The hope is that such rules enable countries to retain depository insura</w:t>
      </w:r>
      <w:r w:rsidR="00C40DE0">
        <w:rPr>
          <w:rFonts w:eastAsia="Times New Roman" w:cs="Times New Roman"/>
          <w:szCs w:val="24"/>
        </w:rPr>
        <w:t>nce as an econ</w:t>
      </w:r>
      <w:bookmarkStart w:id="0" w:name="_GoBack"/>
      <w:bookmarkEnd w:id="0"/>
      <w:r w:rsidR="00C40DE0">
        <w:rPr>
          <w:rFonts w:eastAsia="Times New Roman" w:cs="Times New Roman"/>
          <w:szCs w:val="24"/>
        </w:rPr>
        <w:t>omic develop</w:t>
      </w:r>
      <w:r w:rsidR="0031008E">
        <w:rPr>
          <w:rFonts w:eastAsia="Times New Roman" w:cs="Times New Roman"/>
          <w:szCs w:val="24"/>
        </w:rPr>
        <w:t>ment</w:t>
      </w:r>
      <w:r w:rsidR="00C40DE0">
        <w:rPr>
          <w:rFonts w:eastAsia="Times New Roman" w:cs="Times New Roman"/>
          <w:szCs w:val="24"/>
        </w:rPr>
        <w:t xml:space="preserve"> tool, reduce</w:t>
      </w:r>
      <w:r w:rsidR="00FD4E58">
        <w:rPr>
          <w:rFonts w:eastAsia="Times New Roman" w:cs="Times New Roman"/>
          <w:szCs w:val="24"/>
        </w:rPr>
        <w:t xml:space="preserve"> the likelihood </w:t>
      </w:r>
      <w:r w:rsidR="00C40DE0">
        <w:rPr>
          <w:rFonts w:eastAsia="Times New Roman" w:cs="Times New Roman"/>
          <w:szCs w:val="24"/>
        </w:rPr>
        <w:t xml:space="preserve">of bank </w:t>
      </w:r>
      <w:r w:rsidR="00FD4E58">
        <w:rPr>
          <w:rFonts w:eastAsia="Times New Roman" w:cs="Times New Roman"/>
          <w:szCs w:val="24"/>
        </w:rPr>
        <w:t>run</w:t>
      </w:r>
      <w:r w:rsidR="00C40DE0">
        <w:rPr>
          <w:rFonts w:eastAsia="Times New Roman" w:cs="Times New Roman"/>
          <w:szCs w:val="24"/>
        </w:rPr>
        <w:t xml:space="preserve">s, and create the conditions for convergence on a single scheme. </w:t>
      </w:r>
      <w:r w:rsidR="00FD4E58">
        <w:rPr>
          <w:rFonts w:eastAsia="Times New Roman" w:cs="Times New Roman"/>
          <w:szCs w:val="24"/>
        </w:rPr>
        <w:t xml:space="preserve"> But the new directives keep the responsibility of implementing and running deposit insurance schemes firmly in the hands of domestic institutions.  Whether countries are able to fulfill their commitments remains an open question. The difficult nature of depository insurance</w:t>
      </w:r>
      <w:r w:rsidR="00C25CCB">
        <w:rPr>
          <w:rFonts w:eastAsia="Times New Roman" w:cs="Times New Roman"/>
          <w:szCs w:val="24"/>
        </w:rPr>
        <w:t>,</w:t>
      </w:r>
      <w:r w:rsidR="00FD4E58">
        <w:rPr>
          <w:rFonts w:eastAsia="Times New Roman" w:cs="Times New Roman"/>
          <w:szCs w:val="24"/>
        </w:rPr>
        <w:t xml:space="preserve"> and resolution mechanisms for that matter, is that at the </w:t>
      </w:r>
      <w:r w:rsidR="00C25CCB">
        <w:rPr>
          <w:rFonts w:eastAsia="Times New Roman" w:cs="Times New Roman"/>
          <w:szCs w:val="24"/>
        </w:rPr>
        <w:t>very moment financial institutions (and states) must fulfill commitment they are often the least able to fi</w:t>
      </w:r>
      <w:r w:rsidR="00C40DE0">
        <w:rPr>
          <w:rFonts w:eastAsia="Times New Roman" w:cs="Times New Roman"/>
          <w:szCs w:val="24"/>
        </w:rPr>
        <w:t>nancially or politically.  Yet the recent guidelines are</w:t>
      </w:r>
      <w:r w:rsidR="00C25CCB">
        <w:rPr>
          <w:rFonts w:eastAsia="Times New Roman" w:cs="Times New Roman"/>
          <w:szCs w:val="24"/>
        </w:rPr>
        <w:t xml:space="preserve"> a step closer.</w:t>
      </w:r>
    </w:p>
    <w:p w14:paraId="1719FAE9" w14:textId="70FA89E0" w:rsidR="00C40DE0" w:rsidRPr="00FD4E58" w:rsidRDefault="00C40DE0" w:rsidP="00FD4E58">
      <w:pPr>
        <w:spacing w:after="0" w:line="480" w:lineRule="auto"/>
        <w:rPr>
          <w:rFonts w:eastAsia="Times New Roman" w:cs="Times New Roman"/>
          <w:szCs w:val="24"/>
        </w:rPr>
      </w:pPr>
      <w:r>
        <w:rPr>
          <w:rFonts w:eastAsia="Times New Roman" w:cs="Times New Roman"/>
          <w:szCs w:val="24"/>
        </w:rPr>
        <w:tab/>
        <w:t xml:space="preserve">Comparative political </w:t>
      </w:r>
      <w:r w:rsidR="00E20D76">
        <w:rPr>
          <w:rFonts w:eastAsia="Times New Roman" w:cs="Times New Roman"/>
          <w:szCs w:val="24"/>
        </w:rPr>
        <w:t xml:space="preserve">economists point to </w:t>
      </w:r>
      <w:r>
        <w:rPr>
          <w:rFonts w:eastAsia="Times New Roman" w:cs="Times New Roman"/>
          <w:szCs w:val="24"/>
        </w:rPr>
        <w:t xml:space="preserve">interests, ideas and institutions in shaping cross-national and supra-national public policies.  We argue that salience </w:t>
      </w:r>
      <w:r w:rsidR="00E20D76">
        <w:rPr>
          <w:rFonts w:eastAsia="Times New Roman" w:cs="Times New Roman"/>
          <w:szCs w:val="24"/>
        </w:rPr>
        <w:t>and psychology are factors that also contribute to the nature EU banking union today.  Whether deposit insurance schemes across Europe actually converge will largely depend on the degree to which the citizens within member states perceive change as a loss or a gain particularly in the major economies such as Germany and France.</w:t>
      </w:r>
    </w:p>
    <w:p w14:paraId="727EDA5B" w14:textId="3F930D46" w:rsidR="00E20D76" w:rsidRPr="00715317" w:rsidRDefault="00E20D76" w:rsidP="00E20D76">
      <w:pPr>
        <w:spacing w:line="480" w:lineRule="auto"/>
        <w:jc w:val="center"/>
        <w:rPr>
          <w:rFonts w:cs="Times New Roman"/>
          <w:szCs w:val="24"/>
        </w:rPr>
      </w:pPr>
      <w:r>
        <w:rPr>
          <w:rFonts w:cs="Times New Roman"/>
          <w:szCs w:val="24"/>
        </w:rPr>
        <w:br w:type="column"/>
      </w:r>
      <w:r w:rsidRPr="00715317">
        <w:rPr>
          <w:rFonts w:cs="Times New Roman"/>
          <w:szCs w:val="24"/>
        </w:rPr>
        <w:t>Works Cited</w:t>
      </w:r>
    </w:p>
    <w:p w14:paraId="078BC3BC" w14:textId="77777777" w:rsidR="00E20D76" w:rsidRDefault="00E20D76" w:rsidP="00E20D76">
      <w:pPr>
        <w:spacing w:line="276" w:lineRule="auto"/>
        <w:ind w:left="720" w:hanging="720"/>
        <w:rPr>
          <w:rFonts w:cs="Times New Roman"/>
          <w:szCs w:val="24"/>
        </w:rPr>
      </w:pPr>
      <w:r w:rsidRPr="001A6C5F">
        <w:rPr>
          <w:rFonts w:cs="Times New Roman"/>
          <w:szCs w:val="24"/>
        </w:rPr>
        <w:t>Barker, A. (2012, September 13). Brussels shelved bank deposit scheme - FT.com. </w:t>
      </w:r>
      <w:r w:rsidRPr="001A6C5F">
        <w:rPr>
          <w:rFonts w:cs="Times New Roman"/>
          <w:i/>
          <w:iCs/>
          <w:szCs w:val="24"/>
        </w:rPr>
        <w:t>Financial Times</w:t>
      </w:r>
      <w:r>
        <w:rPr>
          <w:rFonts w:cs="Times New Roman"/>
          <w:szCs w:val="24"/>
        </w:rPr>
        <w:t>. Retrieved October 30, 2014</w:t>
      </w:r>
      <w:r w:rsidRPr="001A6C5F">
        <w:rPr>
          <w:rFonts w:cs="Times New Roman"/>
          <w:szCs w:val="24"/>
        </w:rPr>
        <w:t xml:space="preserve">, from </w:t>
      </w:r>
      <w:hyperlink r:id="rId10" w:history="1">
        <w:r w:rsidRPr="0055006C">
          <w:rPr>
            <w:rStyle w:val="Hyperlink"/>
            <w:rFonts w:cs="Times New Roman"/>
            <w:szCs w:val="24"/>
          </w:rPr>
          <w:t>http://www.ft.com/cms/s/0/e2dd12ec-fdbe-11e1-9901-00144feabdc0.html</w:t>
        </w:r>
      </w:hyperlink>
      <w:r>
        <w:rPr>
          <w:rFonts w:cs="Times New Roman"/>
          <w:szCs w:val="24"/>
        </w:rPr>
        <w:t xml:space="preserve">. </w:t>
      </w:r>
    </w:p>
    <w:p w14:paraId="17E0B248" w14:textId="77777777" w:rsidR="00E20D76" w:rsidRDefault="00E20D76" w:rsidP="00E20D76">
      <w:pPr>
        <w:spacing w:line="276" w:lineRule="auto"/>
        <w:ind w:left="720" w:hanging="720"/>
        <w:rPr>
          <w:rFonts w:cs="Times New Roman"/>
          <w:szCs w:val="24"/>
        </w:rPr>
      </w:pPr>
      <w:r>
        <w:rPr>
          <w:rFonts w:cs="Times New Roman"/>
          <w:szCs w:val="24"/>
        </w:rPr>
        <w:t>BBC</w:t>
      </w:r>
      <w:r w:rsidRPr="00226188">
        <w:rPr>
          <w:rFonts w:cs="Times New Roman"/>
          <w:szCs w:val="24"/>
        </w:rPr>
        <w:t xml:space="preserve">. (2008, September 29). Deal Agreed for Euro Bank Fortis. Retrieved March 8, 2016, from </w:t>
      </w:r>
      <w:hyperlink r:id="rId11" w:history="1">
        <w:r w:rsidRPr="00711524">
          <w:rPr>
            <w:rStyle w:val="Hyperlink"/>
            <w:rFonts w:cs="Times New Roman"/>
            <w:szCs w:val="24"/>
          </w:rPr>
          <w:t>http://news.bbc.co.uk/2/hi/business/7641132.stm</w:t>
        </w:r>
      </w:hyperlink>
      <w:r>
        <w:rPr>
          <w:rFonts w:cs="Times New Roman"/>
          <w:szCs w:val="24"/>
        </w:rPr>
        <w:t xml:space="preserve">. </w:t>
      </w:r>
    </w:p>
    <w:p w14:paraId="2224235D" w14:textId="77777777" w:rsidR="00E20D76" w:rsidRDefault="00E20D76" w:rsidP="00E20D76">
      <w:pPr>
        <w:spacing w:line="276" w:lineRule="auto"/>
        <w:ind w:left="720" w:hanging="720"/>
        <w:rPr>
          <w:rFonts w:cs="Times New Roman"/>
          <w:szCs w:val="24"/>
        </w:rPr>
      </w:pPr>
      <w:r w:rsidRPr="00D74E75">
        <w:rPr>
          <w:rFonts w:cs="Times New Roman"/>
          <w:szCs w:val="24"/>
        </w:rPr>
        <w:t>Beck, T. (2001). </w:t>
      </w:r>
      <w:r w:rsidRPr="00D74E75">
        <w:rPr>
          <w:rFonts w:cs="Times New Roman"/>
          <w:i/>
          <w:iCs/>
          <w:szCs w:val="24"/>
        </w:rPr>
        <w:t>Deposit insurance as private club: Is Germany a model?</w:t>
      </w:r>
      <w:r w:rsidRPr="00D74E75">
        <w:rPr>
          <w:rFonts w:cs="Times New Roman"/>
          <w:szCs w:val="24"/>
        </w:rPr>
        <w:t> Washington, D.C.: World Bank, Financial Sector Strategy and Development Dept.</w:t>
      </w:r>
      <w:r>
        <w:rPr>
          <w:rFonts w:cs="Times New Roman"/>
          <w:szCs w:val="24"/>
        </w:rPr>
        <w:t xml:space="preserve"> </w:t>
      </w:r>
    </w:p>
    <w:p w14:paraId="5F6D6AE5" w14:textId="77777777" w:rsidR="00E20D76" w:rsidRDefault="00E20D76" w:rsidP="00E20D76">
      <w:pPr>
        <w:spacing w:line="276" w:lineRule="auto"/>
        <w:ind w:left="720" w:hanging="720"/>
        <w:rPr>
          <w:rFonts w:cs="Times New Roman"/>
          <w:szCs w:val="24"/>
        </w:rPr>
      </w:pPr>
      <w:r w:rsidRPr="001C0D6F">
        <w:rPr>
          <w:rFonts w:cs="Times New Roman"/>
          <w:szCs w:val="24"/>
        </w:rPr>
        <w:t xml:space="preserve">Bosly, T., &amp; Verhaegen, D. (2014, March 31). Deposit guarantee schemes in the Banking Union | Lexology. Retrieved November 1, 2014, from </w:t>
      </w:r>
      <w:hyperlink r:id="rId12" w:history="1">
        <w:r w:rsidRPr="00F06721">
          <w:rPr>
            <w:rStyle w:val="Hyperlink"/>
            <w:rFonts w:cs="Times New Roman"/>
            <w:szCs w:val="24"/>
          </w:rPr>
          <w:t>http://www.lexology.com/library/detail.aspx?g=9dd1cc6b-3a22-4093-9264-9288b4d17ef0</w:t>
        </w:r>
      </w:hyperlink>
      <w:r>
        <w:rPr>
          <w:rFonts w:cs="Times New Roman"/>
          <w:szCs w:val="24"/>
        </w:rPr>
        <w:t xml:space="preserve">. </w:t>
      </w:r>
    </w:p>
    <w:p w14:paraId="03AAB14E" w14:textId="77777777" w:rsidR="00E20D76" w:rsidRDefault="00E20D76" w:rsidP="00E20D76">
      <w:pPr>
        <w:spacing w:line="276" w:lineRule="auto"/>
        <w:ind w:left="720" w:hanging="720"/>
        <w:rPr>
          <w:rFonts w:cs="Times New Roman"/>
          <w:szCs w:val="24"/>
        </w:rPr>
      </w:pPr>
      <w:r w:rsidRPr="00D20189">
        <w:rPr>
          <w:rFonts w:cs="Times New Roman"/>
          <w:szCs w:val="24"/>
        </w:rPr>
        <w:t xml:space="preserve">Brunsden, J. (2014, March 2). Euro Banks in Dark on Payment Rules for Resolution Fund. Retrieved November 8, 2014, from </w:t>
      </w:r>
      <w:hyperlink r:id="rId13" w:history="1">
        <w:r w:rsidRPr="00AA2E7C">
          <w:rPr>
            <w:rStyle w:val="Hyperlink"/>
            <w:rFonts w:cs="Times New Roman"/>
            <w:szCs w:val="24"/>
          </w:rPr>
          <w:t>http://www.bloomberg.com/news/2014-02-28/euro-banks-in-dark-on-payment-rules-for-resolution-fund.html</w:t>
        </w:r>
      </w:hyperlink>
      <w:r>
        <w:rPr>
          <w:rFonts w:cs="Times New Roman"/>
          <w:szCs w:val="24"/>
        </w:rPr>
        <w:t xml:space="preserve">. </w:t>
      </w:r>
    </w:p>
    <w:p w14:paraId="4660B635" w14:textId="77777777" w:rsidR="00E20D76" w:rsidRDefault="00E20D76" w:rsidP="00E20D76">
      <w:pPr>
        <w:spacing w:line="276" w:lineRule="auto"/>
        <w:ind w:left="720" w:hanging="720"/>
        <w:rPr>
          <w:rFonts w:cs="Times New Roman"/>
          <w:szCs w:val="24"/>
        </w:rPr>
      </w:pPr>
      <w:r w:rsidRPr="00FA7135">
        <w:rPr>
          <w:rFonts w:cs="Times New Roman"/>
          <w:szCs w:val="24"/>
        </w:rPr>
        <w:t>Brunsden, J. (2015</w:t>
      </w:r>
      <w:r>
        <w:rPr>
          <w:rFonts w:cs="Times New Roman"/>
          <w:szCs w:val="24"/>
        </w:rPr>
        <w:t>a</w:t>
      </w:r>
      <w:r w:rsidRPr="00FA7135">
        <w:rPr>
          <w:rFonts w:cs="Times New Roman"/>
          <w:szCs w:val="24"/>
        </w:rPr>
        <w:t>, September 10). Berlin Fights Brussels Push for Deeper Financial Integration. </w:t>
      </w:r>
      <w:r w:rsidRPr="00FA7135">
        <w:rPr>
          <w:rFonts w:cs="Times New Roman"/>
          <w:i/>
          <w:iCs/>
          <w:szCs w:val="24"/>
        </w:rPr>
        <w:t>The Financial Times</w:t>
      </w:r>
      <w:r w:rsidRPr="00FA7135">
        <w:rPr>
          <w:rFonts w:cs="Times New Roman"/>
          <w:szCs w:val="24"/>
        </w:rPr>
        <w:t xml:space="preserve">. Retrieved March 3, 2016, from </w:t>
      </w:r>
      <w:hyperlink r:id="rId14" w:anchor="axzz42LvDp9LQ" w:history="1">
        <w:r w:rsidRPr="0055006C">
          <w:rPr>
            <w:rStyle w:val="Hyperlink"/>
            <w:rFonts w:cs="Times New Roman"/>
            <w:szCs w:val="24"/>
          </w:rPr>
          <w:t>http://www.ft.com/intl/cms/s/0/df1cf84a-57be-11e5-a28b-50226830d644.html#axzz42LvDp9LQ</w:t>
        </w:r>
      </w:hyperlink>
      <w:r>
        <w:rPr>
          <w:rFonts w:cs="Times New Roman"/>
          <w:szCs w:val="24"/>
        </w:rPr>
        <w:t xml:space="preserve">. </w:t>
      </w:r>
    </w:p>
    <w:p w14:paraId="073AE3ED" w14:textId="77777777" w:rsidR="00E20D76" w:rsidRDefault="00E20D76" w:rsidP="00E20D76">
      <w:pPr>
        <w:spacing w:line="276" w:lineRule="auto"/>
        <w:ind w:left="720" w:hanging="720"/>
        <w:rPr>
          <w:rFonts w:cs="Times New Roman"/>
          <w:szCs w:val="24"/>
        </w:rPr>
      </w:pPr>
      <w:r w:rsidRPr="00FA7135">
        <w:rPr>
          <w:rFonts w:cs="Times New Roman"/>
          <w:szCs w:val="24"/>
        </w:rPr>
        <w:t>Brunsden, J. (2015</w:t>
      </w:r>
      <w:r>
        <w:rPr>
          <w:rFonts w:cs="Times New Roman"/>
          <w:szCs w:val="24"/>
        </w:rPr>
        <w:t>b</w:t>
      </w:r>
      <w:r w:rsidRPr="00FA7135">
        <w:rPr>
          <w:rFonts w:cs="Times New Roman"/>
          <w:szCs w:val="24"/>
        </w:rPr>
        <w:t>, November 10). Brussels Plans Deposit Guarantee Fund by 2024. </w:t>
      </w:r>
      <w:r w:rsidRPr="00FA7135">
        <w:rPr>
          <w:rFonts w:cs="Times New Roman"/>
          <w:i/>
          <w:iCs/>
          <w:szCs w:val="24"/>
        </w:rPr>
        <w:t>The Financial Times</w:t>
      </w:r>
      <w:r w:rsidRPr="00FA7135">
        <w:rPr>
          <w:rFonts w:cs="Times New Roman"/>
          <w:szCs w:val="24"/>
        </w:rPr>
        <w:t xml:space="preserve">. Retrieved March 2, 2016, from </w:t>
      </w:r>
      <w:hyperlink r:id="rId15" w:anchor="axzz41pQXtmyZ" w:history="1">
        <w:r w:rsidRPr="0055006C">
          <w:rPr>
            <w:rStyle w:val="Hyperlink"/>
            <w:rFonts w:cs="Times New Roman"/>
            <w:szCs w:val="24"/>
          </w:rPr>
          <w:t>http://www.ft.com/intl/cms/s/0/702b7f8c-888e-11e5-90de-f44762bf9896.html#axzz41pQXtmyZ</w:t>
        </w:r>
      </w:hyperlink>
      <w:r>
        <w:rPr>
          <w:rFonts w:cs="Times New Roman"/>
          <w:szCs w:val="24"/>
        </w:rPr>
        <w:t xml:space="preserve">. </w:t>
      </w:r>
    </w:p>
    <w:p w14:paraId="7946B850" w14:textId="77777777" w:rsidR="00E20D76" w:rsidRDefault="00E20D76" w:rsidP="00E20D76">
      <w:pPr>
        <w:spacing w:line="276" w:lineRule="auto"/>
        <w:ind w:left="720" w:hanging="720"/>
        <w:rPr>
          <w:rFonts w:cs="Times New Roman"/>
          <w:szCs w:val="24"/>
        </w:rPr>
      </w:pPr>
      <w:r w:rsidRPr="006366E8">
        <w:rPr>
          <w:rFonts w:cs="Times New Roman"/>
          <w:szCs w:val="24"/>
        </w:rPr>
        <w:t>Christie, R. (2014, August 28). EU Banking Union Reference Guide to Key Dates, Milestones.</w:t>
      </w:r>
      <w:r>
        <w:rPr>
          <w:rFonts w:cs="Times New Roman"/>
          <w:szCs w:val="24"/>
        </w:rPr>
        <w:t xml:space="preserve"> </w:t>
      </w:r>
      <w:r>
        <w:rPr>
          <w:rFonts w:cs="Times New Roman"/>
          <w:i/>
          <w:szCs w:val="24"/>
        </w:rPr>
        <w:t>Bloomberg</w:t>
      </w:r>
      <w:r>
        <w:rPr>
          <w:rFonts w:cs="Times New Roman"/>
          <w:szCs w:val="24"/>
        </w:rPr>
        <w:t>.</w:t>
      </w:r>
      <w:r w:rsidRPr="006366E8">
        <w:rPr>
          <w:rFonts w:cs="Times New Roman"/>
          <w:szCs w:val="24"/>
        </w:rPr>
        <w:t xml:space="preserve"> Retrieved from </w:t>
      </w:r>
      <w:hyperlink r:id="rId16" w:history="1">
        <w:r w:rsidRPr="00AA2E7C">
          <w:rPr>
            <w:rStyle w:val="Hyperlink"/>
            <w:rFonts w:cs="Times New Roman"/>
            <w:szCs w:val="24"/>
          </w:rPr>
          <w:t>http://www.bloomberg.com/news/2014-08-28/eu-banking-union-reference-guide-to-key-dates-coming-milestones.html</w:t>
        </w:r>
      </w:hyperlink>
      <w:r>
        <w:rPr>
          <w:rFonts w:cs="Times New Roman"/>
          <w:szCs w:val="24"/>
        </w:rPr>
        <w:t xml:space="preserve">. </w:t>
      </w:r>
    </w:p>
    <w:p w14:paraId="2919BE43" w14:textId="77777777" w:rsidR="00E20D76" w:rsidRDefault="00E20D76" w:rsidP="00E20D76">
      <w:pPr>
        <w:spacing w:line="276" w:lineRule="auto"/>
        <w:ind w:left="720" w:hanging="720"/>
        <w:rPr>
          <w:rFonts w:cs="Times New Roman"/>
          <w:szCs w:val="24"/>
        </w:rPr>
      </w:pPr>
      <w:r w:rsidRPr="001C0D6F">
        <w:rPr>
          <w:rFonts w:cs="Times New Roman"/>
          <w:szCs w:val="24"/>
        </w:rPr>
        <w:t>Conradt, D. P. (1978). </w:t>
      </w:r>
      <w:r w:rsidRPr="001C0D6F">
        <w:rPr>
          <w:rFonts w:cs="Times New Roman"/>
          <w:i/>
          <w:iCs/>
          <w:szCs w:val="24"/>
        </w:rPr>
        <w:t>The German polity</w:t>
      </w:r>
      <w:r w:rsidRPr="001C0D6F">
        <w:rPr>
          <w:rFonts w:cs="Times New Roman"/>
          <w:szCs w:val="24"/>
        </w:rPr>
        <w:t>. New York: Longman</w:t>
      </w:r>
      <w:r>
        <w:rPr>
          <w:rFonts w:cs="Times New Roman"/>
          <w:szCs w:val="24"/>
        </w:rPr>
        <w:t xml:space="preserve">. </w:t>
      </w:r>
    </w:p>
    <w:p w14:paraId="5BA4EB14" w14:textId="77777777" w:rsidR="00E20D76" w:rsidRDefault="00E20D76" w:rsidP="00E20D76">
      <w:pPr>
        <w:spacing w:line="276" w:lineRule="auto"/>
        <w:ind w:left="720" w:hanging="720"/>
        <w:rPr>
          <w:rFonts w:cs="Times New Roman"/>
          <w:szCs w:val="24"/>
        </w:rPr>
      </w:pPr>
      <w:r w:rsidRPr="00B506D5">
        <w:rPr>
          <w:rFonts w:cs="Times New Roman"/>
          <w:szCs w:val="24"/>
        </w:rPr>
        <w:t>Coy, P. (2012, June 26). A Way to Break Out of Europe's 'Doom Loop'</w:t>
      </w:r>
      <w:r w:rsidRPr="00B506D5">
        <w:rPr>
          <w:rFonts w:cs="Times New Roman"/>
          <w:i/>
          <w:iCs/>
          <w:szCs w:val="24"/>
        </w:rPr>
        <w:t>Bloomberg</w:t>
      </w:r>
      <w:r w:rsidRPr="00B506D5">
        <w:rPr>
          <w:rFonts w:cs="Times New Roman"/>
          <w:szCs w:val="24"/>
        </w:rPr>
        <w:t xml:space="preserve">. Retrieved March 9, 2016, from </w:t>
      </w:r>
      <w:hyperlink r:id="rId17" w:history="1">
        <w:r w:rsidRPr="00F06721">
          <w:rPr>
            <w:rStyle w:val="Hyperlink"/>
            <w:rFonts w:cs="Times New Roman"/>
            <w:szCs w:val="24"/>
          </w:rPr>
          <w:t>http://www.bloomberg.com/bw/articles/2012-06-26/a-way-to-break-out-of-europes-doom-loop</w:t>
        </w:r>
      </w:hyperlink>
      <w:r>
        <w:rPr>
          <w:rFonts w:cs="Times New Roman"/>
          <w:szCs w:val="24"/>
        </w:rPr>
        <w:t xml:space="preserve">. </w:t>
      </w:r>
    </w:p>
    <w:p w14:paraId="60DB36D4" w14:textId="77777777" w:rsidR="00E20D76" w:rsidRDefault="00E20D76" w:rsidP="00E20D76">
      <w:pPr>
        <w:spacing w:line="276" w:lineRule="auto"/>
        <w:ind w:left="720" w:hanging="720"/>
        <w:rPr>
          <w:rFonts w:cs="Times New Roman"/>
          <w:szCs w:val="24"/>
        </w:rPr>
      </w:pPr>
      <w:r w:rsidRPr="00F9362D">
        <w:rPr>
          <w:rFonts w:cs="Times New Roman"/>
          <w:szCs w:val="24"/>
        </w:rPr>
        <w:t>De Grauwe, P. (2013). </w:t>
      </w:r>
      <w:r w:rsidRPr="00F9362D">
        <w:rPr>
          <w:rFonts w:cs="Times New Roman"/>
          <w:i/>
          <w:iCs/>
          <w:szCs w:val="24"/>
        </w:rPr>
        <w:t>Design Failures in the Euro Zone: Can They Be Fixed?</w:t>
      </w:r>
      <w:r w:rsidRPr="00F9362D">
        <w:rPr>
          <w:rFonts w:cs="Times New Roman"/>
          <w:szCs w:val="24"/>
        </w:rPr>
        <w:t> (Economics Papers, Working paper No. 491). Brussels: European Commission.</w:t>
      </w:r>
      <w:r>
        <w:rPr>
          <w:rFonts w:cs="Times New Roman"/>
          <w:szCs w:val="24"/>
        </w:rPr>
        <w:t xml:space="preserve"> </w:t>
      </w:r>
    </w:p>
    <w:p w14:paraId="54D357AE" w14:textId="77777777" w:rsidR="00E20D76" w:rsidRPr="00715317" w:rsidRDefault="00E20D76" w:rsidP="00E20D76">
      <w:pPr>
        <w:spacing w:line="276" w:lineRule="auto"/>
        <w:ind w:left="720" w:hanging="720"/>
        <w:rPr>
          <w:rFonts w:cs="Times New Roman"/>
          <w:szCs w:val="24"/>
        </w:rPr>
      </w:pPr>
      <w:r w:rsidRPr="00D20189">
        <w:rPr>
          <w:rFonts w:cs="Times New Roman"/>
          <w:szCs w:val="24"/>
        </w:rPr>
        <w:t>Demirguc-Kunt, A., Kane, E. J., &amp; Laeven, L. (2006, July 1). Deposit insu</w:t>
      </w:r>
      <w:r>
        <w:rPr>
          <w:rFonts w:cs="Times New Roman"/>
          <w:szCs w:val="24"/>
        </w:rPr>
        <w:t>rance design and implementation</w:t>
      </w:r>
      <w:r w:rsidRPr="00D20189">
        <w:rPr>
          <w:rFonts w:cs="Times New Roman"/>
          <w:szCs w:val="24"/>
        </w:rPr>
        <w:t>: Policy lessons from research and practice, Vol. 1 of 1. Retrieved from http://econ.worldbank.org/external/default/main?pagePK=64165259&amp;theSitePK=469372&amp;piPK=64165421&amp;menuPK=64166093&amp;entityID=000016406_20060719160944</w:t>
      </w:r>
      <w:r>
        <w:rPr>
          <w:rFonts w:cs="Times New Roman"/>
          <w:szCs w:val="24"/>
        </w:rPr>
        <w:t>.</w:t>
      </w:r>
    </w:p>
    <w:p w14:paraId="4AD780EE" w14:textId="77777777" w:rsidR="00E20D76" w:rsidRDefault="00E20D76" w:rsidP="00E20D76">
      <w:pPr>
        <w:spacing w:line="276" w:lineRule="auto"/>
        <w:ind w:left="720" w:hanging="720"/>
        <w:rPr>
          <w:rFonts w:cs="Times New Roman"/>
          <w:szCs w:val="24"/>
        </w:rPr>
      </w:pPr>
      <w:r w:rsidRPr="00726DBF">
        <w:rPr>
          <w:rFonts w:cs="Times New Roman"/>
          <w:szCs w:val="24"/>
        </w:rPr>
        <w:t>Dendrinou, V. (2014, October 21). Big EU Banks to Bear Main Share of Bailout Funds. </w:t>
      </w:r>
      <w:r w:rsidRPr="00726DBF">
        <w:rPr>
          <w:rFonts w:cs="Times New Roman"/>
          <w:i/>
          <w:iCs/>
          <w:szCs w:val="24"/>
        </w:rPr>
        <w:t>Wall Street Journal</w:t>
      </w:r>
      <w:r w:rsidRPr="00726DBF">
        <w:rPr>
          <w:rFonts w:cs="Times New Roman"/>
          <w:szCs w:val="24"/>
        </w:rPr>
        <w:t xml:space="preserve">. Retrieved November 20, 2015, from </w:t>
      </w:r>
      <w:hyperlink r:id="rId18" w:history="1">
        <w:r w:rsidRPr="00F06721">
          <w:rPr>
            <w:rStyle w:val="Hyperlink"/>
            <w:rFonts w:cs="Times New Roman"/>
            <w:szCs w:val="24"/>
          </w:rPr>
          <w:t>http://online.wsj.com/articles/eus-to-bear-biggest-share-of-bailout-funds-1413903109</w:t>
        </w:r>
      </w:hyperlink>
      <w:r>
        <w:rPr>
          <w:rFonts w:cs="Times New Roman"/>
          <w:szCs w:val="24"/>
        </w:rPr>
        <w:t>.</w:t>
      </w:r>
    </w:p>
    <w:p w14:paraId="487A18AE" w14:textId="77777777" w:rsidR="00E20D76" w:rsidRDefault="00E20D76" w:rsidP="00E20D76">
      <w:pPr>
        <w:spacing w:line="276" w:lineRule="auto"/>
        <w:ind w:left="720" w:hanging="720"/>
        <w:rPr>
          <w:rFonts w:cs="Times New Roman"/>
          <w:szCs w:val="24"/>
        </w:rPr>
      </w:pPr>
      <w:r w:rsidRPr="00A60BAF">
        <w:rPr>
          <w:rFonts w:cs="Times New Roman"/>
          <w:szCs w:val="24"/>
        </w:rPr>
        <w:t>Directive 94/19/EC of the European Parliament and of the Council of 30 May 1994 on deposit-guarantee schemes. Official Journal of the European Communities L135, 31.05.1994. http://eur-lex.europa.eu/legal-content/EN/TXT/?uri=OJ:L:1994:135:TOC.</w:t>
      </w:r>
    </w:p>
    <w:p w14:paraId="0F11AC79" w14:textId="77777777" w:rsidR="00E20D76" w:rsidRDefault="00E20D76" w:rsidP="00E20D76">
      <w:pPr>
        <w:spacing w:line="276" w:lineRule="auto"/>
        <w:ind w:left="720" w:hanging="720"/>
        <w:rPr>
          <w:rFonts w:cs="Times New Roman"/>
          <w:szCs w:val="24"/>
        </w:rPr>
      </w:pPr>
      <w:r w:rsidRPr="00902573">
        <w:rPr>
          <w:rFonts w:cs="Times New Roman"/>
          <w:szCs w:val="24"/>
        </w:rPr>
        <w:t xml:space="preserve">Directive 2009/14/EC of the European Parliament and of the Council of 11 March 2009 amending Directive 94/19/EC on deposit-guarantee schemes as regards the coverage level and the payout delay. </w:t>
      </w:r>
      <w:r w:rsidRPr="00902573">
        <w:rPr>
          <w:rFonts w:cs="Times New Roman"/>
          <w:i/>
          <w:szCs w:val="24"/>
        </w:rPr>
        <w:t>Official Journal of the European Union</w:t>
      </w:r>
      <w:r w:rsidRPr="00902573">
        <w:rPr>
          <w:rFonts w:cs="Times New Roman"/>
          <w:szCs w:val="24"/>
        </w:rPr>
        <w:t xml:space="preserve"> L68, 13.03.2009. </w:t>
      </w:r>
      <w:hyperlink r:id="rId19" w:history="1">
        <w:r w:rsidRPr="00902573">
          <w:rPr>
            <w:rStyle w:val="Hyperlink"/>
            <w:rFonts w:cs="Times New Roman"/>
            <w:szCs w:val="24"/>
          </w:rPr>
          <w:t>http://eur-lex.europa.eu/legal-content/EN/TXT/?uri=OJ:L:2009:068:TOC</w:t>
        </w:r>
      </w:hyperlink>
      <w:r w:rsidRPr="00902573">
        <w:rPr>
          <w:rFonts w:cs="Times New Roman"/>
          <w:szCs w:val="24"/>
        </w:rPr>
        <w:t xml:space="preserve">. </w:t>
      </w:r>
    </w:p>
    <w:p w14:paraId="34124898" w14:textId="77777777" w:rsidR="00E20D76" w:rsidRPr="00715317" w:rsidRDefault="00E20D76" w:rsidP="00E20D76">
      <w:pPr>
        <w:spacing w:line="276" w:lineRule="auto"/>
        <w:ind w:left="720" w:hanging="720"/>
        <w:rPr>
          <w:rFonts w:cs="Times New Roman"/>
          <w:szCs w:val="24"/>
        </w:rPr>
      </w:pPr>
      <w:r w:rsidRPr="00902573">
        <w:rPr>
          <w:rFonts w:cs="Times New Roman"/>
          <w:szCs w:val="24"/>
        </w:rPr>
        <w:t xml:space="preserve">Directive 2014/49/EU of the European Parliament and of the Council of 16 April 2014 on deposit guarantee schemes. </w:t>
      </w:r>
      <w:r w:rsidRPr="00902573">
        <w:rPr>
          <w:rFonts w:cs="Times New Roman"/>
          <w:i/>
          <w:szCs w:val="24"/>
        </w:rPr>
        <w:t>Official Journal of the European Union</w:t>
      </w:r>
      <w:r w:rsidRPr="00902573">
        <w:rPr>
          <w:rFonts w:cs="Times New Roman"/>
          <w:szCs w:val="24"/>
        </w:rPr>
        <w:t xml:space="preserve"> L173, 12.06.2014. </w:t>
      </w:r>
      <w:hyperlink r:id="rId20" w:history="1">
        <w:r w:rsidRPr="00902573">
          <w:rPr>
            <w:rStyle w:val="Hyperlink"/>
            <w:rFonts w:cs="Times New Roman"/>
            <w:szCs w:val="24"/>
          </w:rPr>
          <w:t>http://eur-lex.europa.eu/legal-content/EN/TXT/?uri=OJ:L:2014:173:TOC</w:t>
        </w:r>
      </w:hyperlink>
      <w:r w:rsidRPr="00902573">
        <w:rPr>
          <w:rFonts w:cs="Times New Roman"/>
          <w:szCs w:val="24"/>
        </w:rPr>
        <w:t xml:space="preserve">. </w:t>
      </w:r>
    </w:p>
    <w:p w14:paraId="3C77B042" w14:textId="77777777" w:rsidR="00E20D76" w:rsidRDefault="00E20D76" w:rsidP="00E20D76">
      <w:pPr>
        <w:spacing w:line="276" w:lineRule="auto"/>
        <w:ind w:left="720" w:hanging="720"/>
        <w:rPr>
          <w:rFonts w:cs="Times New Roman"/>
          <w:szCs w:val="24"/>
        </w:rPr>
      </w:pPr>
      <w:r w:rsidRPr="006366E8">
        <w:rPr>
          <w:rFonts w:cs="Times New Roman"/>
          <w:szCs w:val="24"/>
        </w:rPr>
        <w:t>Donnelly, S. (2016). Expert advice and political choice in constructing European banking union. </w:t>
      </w:r>
      <w:r w:rsidRPr="006366E8">
        <w:rPr>
          <w:rFonts w:cs="Times New Roman"/>
          <w:i/>
          <w:iCs/>
          <w:szCs w:val="24"/>
        </w:rPr>
        <w:t>Journal of Banking Regulation</w:t>
      </w:r>
      <w:r w:rsidRPr="006366E8">
        <w:rPr>
          <w:rFonts w:cs="Times New Roman"/>
          <w:szCs w:val="24"/>
        </w:rPr>
        <w:t>. doi:10.1057/jbr.2015.13</w:t>
      </w:r>
      <w:r>
        <w:rPr>
          <w:rFonts w:cs="Times New Roman"/>
          <w:szCs w:val="24"/>
        </w:rPr>
        <w:t xml:space="preserve">. </w:t>
      </w:r>
    </w:p>
    <w:p w14:paraId="56B1A0ED" w14:textId="77777777" w:rsidR="00E20D76" w:rsidRDefault="00E20D76" w:rsidP="00E20D76">
      <w:pPr>
        <w:spacing w:line="276" w:lineRule="auto"/>
        <w:ind w:left="720" w:hanging="720"/>
        <w:rPr>
          <w:rFonts w:cs="Times New Roman"/>
          <w:szCs w:val="24"/>
        </w:rPr>
      </w:pPr>
      <w:r w:rsidRPr="005607AD">
        <w:rPr>
          <w:rFonts w:cs="Times New Roman"/>
          <w:szCs w:val="24"/>
        </w:rPr>
        <w:t>DSGV. (2014, May 20). </w:t>
      </w:r>
      <w:r w:rsidRPr="005607AD">
        <w:rPr>
          <w:rFonts w:cs="Times New Roman"/>
          <w:i/>
          <w:iCs/>
          <w:szCs w:val="24"/>
        </w:rPr>
        <w:t>Seven Key Areas for European Politics: Savings Banks and Landesbanken Position Paper on the 2014 European Elections</w:t>
      </w:r>
      <w:r w:rsidRPr="005607AD">
        <w:rPr>
          <w:rFonts w:cs="Times New Roman"/>
          <w:szCs w:val="24"/>
        </w:rPr>
        <w:t xml:space="preserve"> [Press release]. Retrieved March 8, 2016, from </w:t>
      </w:r>
      <w:hyperlink r:id="rId21" w:history="1">
        <w:r w:rsidRPr="005607AD">
          <w:rPr>
            <w:rStyle w:val="Hyperlink"/>
            <w:rFonts w:cs="Times New Roman"/>
            <w:szCs w:val="24"/>
          </w:rPr>
          <w:t>http://www.dsgv.de/en/facts/publications.html</w:t>
        </w:r>
      </w:hyperlink>
      <w:r w:rsidRPr="005607AD">
        <w:rPr>
          <w:rFonts w:cs="Times New Roman"/>
          <w:szCs w:val="24"/>
        </w:rPr>
        <w:t xml:space="preserve">. </w:t>
      </w:r>
    </w:p>
    <w:p w14:paraId="777792D7" w14:textId="77777777" w:rsidR="00E20D76" w:rsidRDefault="00E20D76" w:rsidP="00E20D76">
      <w:pPr>
        <w:spacing w:line="276" w:lineRule="auto"/>
        <w:ind w:left="720" w:hanging="720"/>
        <w:rPr>
          <w:rFonts w:cs="Times New Roman"/>
          <w:szCs w:val="24"/>
        </w:rPr>
      </w:pPr>
      <w:r w:rsidRPr="0084380E">
        <w:rPr>
          <w:rFonts w:cs="Times New Roman"/>
          <w:szCs w:val="24"/>
        </w:rPr>
        <w:t xml:space="preserve">DSGV. (2015a). The Institutional Protection Scheme of the Savings Banks Finance Group. Retrieved March 8, 2016, from </w:t>
      </w:r>
      <w:hyperlink r:id="rId22" w:history="1">
        <w:r w:rsidRPr="0084380E">
          <w:rPr>
            <w:rStyle w:val="Hyperlink"/>
            <w:rFonts w:cs="Times New Roman"/>
            <w:szCs w:val="24"/>
          </w:rPr>
          <w:t>http://www.dsgv.de/en/savings-banks-finance-group/institutional_protection_scheme.html</w:t>
        </w:r>
      </w:hyperlink>
      <w:r w:rsidRPr="0084380E">
        <w:rPr>
          <w:rFonts w:cs="Times New Roman"/>
          <w:szCs w:val="24"/>
        </w:rPr>
        <w:t xml:space="preserve">. </w:t>
      </w:r>
    </w:p>
    <w:p w14:paraId="41492DC7" w14:textId="77777777" w:rsidR="00E20D76" w:rsidRPr="0084380E" w:rsidRDefault="00E20D76" w:rsidP="00E20D76">
      <w:pPr>
        <w:spacing w:line="276" w:lineRule="auto"/>
        <w:ind w:left="720" w:hanging="720"/>
        <w:rPr>
          <w:rFonts w:cs="Times New Roman"/>
          <w:szCs w:val="24"/>
        </w:rPr>
      </w:pPr>
    </w:p>
    <w:p w14:paraId="2F6E05E2" w14:textId="77777777" w:rsidR="00E20D76" w:rsidRPr="0084380E" w:rsidRDefault="00E20D76" w:rsidP="00E20D76">
      <w:pPr>
        <w:spacing w:line="276" w:lineRule="auto"/>
        <w:ind w:left="720" w:hanging="720"/>
        <w:rPr>
          <w:rFonts w:cs="Times New Roman"/>
          <w:szCs w:val="24"/>
        </w:rPr>
      </w:pPr>
      <w:r w:rsidRPr="0084380E">
        <w:rPr>
          <w:rFonts w:cs="Times New Roman"/>
          <w:szCs w:val="24"/>
        </w:rPr>
        <w:t>DSGV. (2015b, March 12). </w:t>
      </w:r>
      <w:r w:rsidRPr="0084380E">
        <w:rPr>
          <w:rFonts w:cs="Times New Roman"/>
          <w:i/>
          <w:iCs/>
          <w:szCs w:val="24"/>
        </w:rPr>
        <w:t>Statement by Georg Fahrenschon President of the German Savings Banks Association at the DSGV’s Financial Press Conference on 12 March 2015 in Frankfurt/Main</w:t>
      </w:r>
      <w:r w:rsidRPr="0084380E">
        <w:rPr>
          <w:rFonts w:cs="Times New Roman"/>
          <w:szCs w:val="24"/>
        </w:rPr>
        <w:t xml:space="preserve"> [Press release]. Retrieved March 8, 2016, from </w:t>
      </w:r>
      <w:hyperlink r:id="rId23" w:history="1">
        <w:r w:rsidRPr="0084380E">
          <w:rPr>
            <w:rStyle w:val="Hyperlink"/>
            <w:rFonts w:cs="Times New Roman"/>
            <w:szCs w:val="24"/>
          </w:rPr>
          <w:t>http://www.dsgv.de/en/press/press-releases/150312_annual_press_conference_GF.html</w:t>
        </w:r>
      </w:hyperlink>
      <w:r w:rsidRPr="0084380E">
        <w:rPr>
          <w:rFonts w:cs="Times New Roman"/>
          <w:szCs w:val="24"/>
        </w:rPr>
        <w:t xml:space="preserve">. </w:t>
      </w:r>
    </w:p>
    <w:p w14:paraId="2AE479BB" w14:textId="77777777" w:rsidR="00E20D76" w:rsidRDefault="00E20D76" w:rsidP="00E20D76">
      <w:pPr>
        <w:spacing w:line="276" w:lineRule="auto"/>
        <w:ind w:left="720" w:hanging="720"/>
        <w:rPr>
          <w:rFonts w:cs="Times New Roman"/>
          <w:szCs w:val="24"/>
        </w:rPr>
      </w:pPr>
      <w:r w:rsidRPr="00726DBF">
        <w:rPr>
          <w:rFonts w:cs="Times New Roman"/>
          <w:szCs w:val="24"/>
        </w:rPr>
        <w:t>Economist. (2014, April 12). The laws of Euro-nomics. </w:t>
      </w:r>
      <w:r w:rsidRPr="00726DBF">
        <w:rPr>
          <w:rFonts w:cs="Times New Roman"/>
          <w:i/>
          <w:iCs/>
          <w:szCs w:val="24"/>
        </w:rPr>
        <w:t>The Economist</w:t>
      </w:r>
      <w:r w:rsidRPr="00726DBF">
        <w:rPr>
          <w:rFonts w:cs="Times New Roman"/>
          <w:szCs w:val="24"/>
        </w:rPr>
        <w:t xml:space="preserve">. Retrieved March 2, 2016, from </w:t>
      </w:r>
      <w:hyperlink r:id="rId24" w:history="1">
        <w:r w:rsidRPr="00336CD3">
          <w:rPr>
            <w:rStyle w:val="Hyperlink"/>
            <w:rFonts w:cs="Times New Roman"/>
            <w:szCs w:val="24"/>
          </w:rPr>
          <w:t>http://www.economist.com/news/europe/21600723-german-legalism-hampering-rational-crisis-management-laws-euro-nomics</w:t>
        </w:r>
      </w:hyperlink>
      <w:r>
        <w:rPr>
          <w:rFonts w:cs="Times New Roman"/>
          <w:szCs w:val="24"/>
        </w:rPr>
        <w:t xml:space="preserve">. </w:t>
      </w:r>
    </w:p>
    <w:p w14:paraId="1A1ED17A" w14:textId="77777777" w:rsidR="00E20D76" w:rsidRDefault="00E20D76" w:rsidP="00E20D76">
      <w:pPr>
        <w:spacing w:line="276" w:lineRule="auto"/>
        <w:ind w:left="720" w:hanging="720"/>
        <w:rPr>
          <w:rFonts w:cs="Times New Roman"/>
          <w:szCs w:val="24"/>
        </w:rPr>
      </w:pPr>
      <w:r w:rsidRPr="00A72A75">
        <w:rPr>
          <w:rFonts w:cs="Times New Roman"/>
          <w:szCs w:val="24"/>
        </w:rPr>
        <w:t>Engineer, M. H., Schure, P., &amp; Gillis, M. (2013). A positive analysis of deposit insurance provision: Regulatory competition among European Union countries. </w:t>
      </w:r>
      <w:r w:rsidRPr="00A72A75">
        <w:rPr>
          <w:rFonts w:cs="Times New Roman"/>
          <w:i/>
          <w:iCs/>
          <w:szCs w:val="24"/>
        </w:rPr>
        <w:t>Journal of Financial Stability,</w:t>
      </w:r>
      <w:r w:rsidRPr="00A72A75">
        <w:rPr>
          <w:rFonts w:cs="Times New Roman"/>
          <w:szCs w:val="24"/>
        </w:rPr>
        <w:t> </w:t>
      </w:r>
      <w:r w:rsidRPr="00A72A75">
        <w:rPr>
          <w:rFonts w:cs="Times New Roman"/>
          <w:i/>
          <w:iCs/>
          <w:szCs w:val="24"/>
        </w:rPr>
        <w:t>9</w:t>
      </w:r>
      <w:r w:rsidRPr="00A72A75">
        <w:rPr>
          <w:rFonts w:cs="Times New Roman"/>
          <w:szCs w:val="24"/>
        </w:rPr>
        <w:t>(4), 530-544. doi:10.1016/j.jfs.2013.10.001</w:t>
      </w:r>
      <w:r>
        <w:rPr>
          <w:rFonts w:cs="Times New Roman"/>
          <w:szCs w:val="24"/>
        </w:rPr>
        <w:t xml:space="preserve">. </w:t>
      </w:r>
    </w:p>
    <w:p w14:paraId="2B57074B" w14:textId="77777777" w:rsidR="00E20D76" w:rsidRDefault="00E20D76" w:rsidP="00E20D76">
      <w:pPr>
        <w:spacing w:line="276" w:lineRule="auto"/>
        <w:ind w:left="720" w:hanging="720"/>
        <w:rPr>
          <w:rFonts w:cs="Times New Roman"/>
          <w:szCs w:val="24"/>
        </w:rPr>
      </w:pPr>
      <w:r w:rsidRPr="00F9362D">
        <w:rPr>
          <w:rFonts w:cs="Times New Roman"/>
          <w:szCs w:val="24"/>
        </w:rPr>
        <w:t>Epstein, R. (2014). Choosing the Lesser of Two Evils: Explaining Multinational Banking Groups’ Push for Supranational Oversight in the EU (Working paper No. 2). University of Montreal: Cérium Working Paper.</w:t>
      </w:r>
    </w:p>
    <w:p w14:paraId="44BF9725" w14:textId="77777777" w:rsidR="00E20D76" w:rsidRPr="00715317" w:rsidRDefault="00E20D76" w:rsidP="00E20D76">
      <w:pPr>
        <w:spacing w:line="276" w:lineRule="auto"/>
        <w:ind w:left="720" w:hanging="720"/>
        <w:rPr>
          <w:rFonts w:cs="Times New Roman"/>
          <w:szCs w:val="24"/>
        </w:rPr>
      </w:pPr>
      <w:r w:rsidRPr="005607AD">
        <w:rPr>
          <w:rFonts w:cs="Times New Roman"/>
          <w:szCs w:val="24"/>
          <w:lang w:val="fr-FR"/>
        </w:rPr>
        <w:t xml:space="preserve">Erlanger, S., &amp; Castle, S. (2012, June 26). </w:t>
      </w:r>
      <w:r w:rsidRPr="005607AD">
        <w:rPr>
          <w:rFonts w:cs="Times New Roman"/>
          <w:szCs w:val="24"/>
        </w:rPr>
        <w:t>European Union Prods Germany With Fiscal Plan. </w:t>
      </w:r>
      <w:r w:rsidRPr="005607AD">
        <w:rPr>
          <w:rFonts w:cs="Times New Roman"/>
          <w:i/>
          <w:iCs/>
          <w:szCs w:val="24"/>
        </w:rPr>
        <w:t>New York Times</w:t>
      </w:r>
      <w:r w:rsidRPr="005607AD">
        <w:rPr>
          <w:rFonts w:cs="Times New Roman"/>
          <w:szCs w:val="24"/>
        </w:rPr>
        <w:t xml:space="preserve">. Retrieved March 10, 2016, from </w:t>
      </w:r>
      <w:hyperlink r:id="rId25" w:history="1">
        <w:r w:rsidRPr="003F23F3">
          <w:rPr>
            <w:rStyle w:val="Hyperlink"/>
            <w:rFonts w:cs="Times New Roman"/>
            <w:szCs w:val="24"/>
          </w:rPr>
          <w:t>http://www.nytimes.com/2012/06/27/world/europe/european-union-prods-germany-with-fiscal-plan.html</w:t>
        </w:r>
      </w:hyperlink>
      <w:r>
        <w:rPr>
          <w:rFonts w:cs="Times New Roman"/>
          <w:szCs w:val="24"/>
        </w:rPr>
        <w:t xml:space="preserve">. </w:t>
      </w:r>
    </w:p>
    <w:p w14:paraId="05164A8D" w14:textId="77777777" w:rsidR="00E20D76" w:rsidRPr="00715317" w:rsidRDefault="00E20D76" w:rsidP="00E20D76">
      <w:pPr>
        <w:spacing w:line="276" w:lineRule="auto"/>
        <w:ind w:left="720" w:hanging="720"/>
        <w:rPr>
          <w:rFonts w:cs="Times New Roman"/>
          <w:szCs w:val="24"/>
        </w:rPr>
      </w:pPr>
      <w:r w:rsidRPr="00715317">
        <w:rPr>
          <w:rFonts w:cs="Times New Roman"/>
          <w:szCs w:val="24"/>
        </w:rPr>
        <w:t xml:space="preserve"> </w:t>
      </w:r>
      <w:r w:rsidRPr="00301845">
        <w:rPr>
          <w:rFonts w:cs="Times New Roman"/>
          <w:szCs w:val="24"/>
        </w:rPr>
        <w:t>European Central Bank. (2003, March 10). </w:t>
      </w:r>
      <w:r w:rsidRPr="00301845">
        <w:rPr>
          <w:rFonts w:cs="Times New Roman"/>
          <w:i/>
          <w:iCs/>
          <w:szCs w:val="24"/>
        </w:rPr>
        <w:t>Memorandum of Understanding on High-Level Principles of Co-Operation between the Banking Supervisors and Central Banks of the European Union in Crisis Management Situations</w:t>
      </w:r>
      <w:r w:rsidRPr="00301845">
        <w:rPr>
          <w:rFonts w:cs="Times New Roman"/>
          <w:szCs w:val="24"/>
        </w:rPr>
        <w:t xml:space="preserve"> [Press release]. Retrieved March 9, 2016, from </w:t>
      </w:r>
      <w:hyperlink r:id="rId26" w:history="1">
        <w:r w:rsidRPr="00336CD3">
          <w:rPr>
            <w:rStyle w:val="Hyperlink"/>
            <w:rFonts w:cs="Times New Roman"/>
            <w:szCs w:val="24"/>
          </w:rPr>
          <w:t>https://www.ecb.europa.eu/press/pr/date/2003/html/pr030310_3.en.html</w:t>
        </w:r>
      </w:hyperlink>
      <w:r>
        <w:rPr>
          <w:rFonts w:cs="Times New Roman"/>
          <w:szCs w:val="24"/>
        </w:rPr>
        <w:t xml:space="preserve">. </w:t>
      </w:r>
    </w:p>
    <w:p w14:paraId="4336AA1C" w14:textId="77777777" w:rsidR="00E20D76" w:rsidRPr="00715317" w:rsidRDefault="00E20D76" w:rsidP="00E20D76">
      <w:pPr>
        <w:spacing w:line="276" w:lineRule="auto"/>
        <w:ind w:left="720" w:hanging="720"/>
        <w:rPr>
          <w:rFonts w:cs="Times New Roman"/>
          <w:szCs w:val="24"/>
        </w:rPr>
      </w:pPr>
      <w:r w:rsidRPr="00715317">
        <w:rPr>
          <w:rFonts w:cs="Times New Roman"/>
          <w:szCs w:val="24"/>
        </w:rPr>
        <w:t xml:space="preserve">European Central Bank. </w:t>
      </w:r>
      <w:r>
        <w:rPr>
          <w:rFonts w:cs="Times New Roman"/>
          <w:szCs w:val="24"/>
        </w:rPr>
        <w:t>(</w:t>
      </w:r>
      <w:r w:rsidRPr="00715317">
        <w:rPr>
          <w:rFonts w:cs="Times New Roman"/>
          <w:szCs w:val="24"/>
        </w:rPr>
        <w:t>2005</w:t>
      </w:r>
      <w:r>
        <w:rPr>
          <w:rFonts w:cs="Times New Roman"/>
          <w:szCs w:val="24"/>
        </w:rPr>
        <w:t>, May18)</w:t>
      </w:r>
      <w:r w:rsidRPr="00715317">
        <w:rPr>
          <w:rFonts w:cs="Times New Roman"/>
          <w:szCs w:val="24"/>
        </w:rPr>
        <w:t xml:space="preserve">. </w:t>
      </w:r>
      <w:r w:rsidRPr="00715317">
        <w:rPr>
          <w:rFonts w:cs="Times New Roman"/>
          <w:i/>
          <w:szCs w:val="24"/>
        </w:rPr>
        <w:t>Memorandum of Understanding on High-Level Principles of Co-Operation between the Banking Supervisors and Central Banks of the European Union in Crisis Management Situations</w:t>
      </w:r>
      <w:r w:rsidRPr="00715317">
        <w:rPr>
          <w:rFonts w:cs="Times New Roman"/>
          <w:szCs w:val="24"/>
        </w:rPr>
        <w:t xml:space="preserve">. </w:t>
      </w:r>
      <w:r>
        <w:rPr>
          <w:rFonts w:cs="Times New Roman"/>
          <w:szCs w:val="24"/>
        </w:rPr>
        <w:t>[</w:t>
      </w:r>
      <w:r w:rsidRPr="00715317">
        <w:rPr>
          <w:rFonts w:cs="Times New Roman"/>
          <w:szCs w:val="24"/>
        </w:rPr>
        <w:t>Press Release</w:t>
      </w:r>
      <w:r>
        <w:rPr>
          <w:rFonts w:cs="Times New Roman"/>
          <w:szCs w:val="24"/>
        </w:rPr>
        <w:t>]</w:t>
      </w:r>
      <w:r w:rsidRPr="00715317">
        <w:rPr>
          <w:rFonts w:cs="Times New Roman"/>
          <w:szCs w:val="24"/>
        </w:rPr>
        <w:t xml:space="preserve">. </w:t>
      </w:r>
      <w:r>
        <w:rPr>
          <w:rFonts w:cs="Times New Roman"/>
          <w:szCs w:val="24"/>
        </w:rPr>
        <w:t xml:space="preserve">Retrieved March 8, 2016. </w:t>
      </w:r>
      <w:hyperlink r:id="rId27" w:history="1">
        <w:r w:rsidRPr="00336CD3">
          <w:rPr>
            <w:rStyle w:val="Hyperlink"/>
            <w:rFonts w:cs="Times New Roman"/>
            <w:szCs w:val="24"/>
          </w:rPr>
          <w:t>https://www.ecb.europa.eu/press/pr/date/2005/html/pr050518_1.en.html</w:t>
        </w:r>
      </w:hyperlink>
      <w:r>
        <w:rPr>
          <w:rFonts w:cs="Times New Roman"/>
          <w:szCs w:val="24"/>
        </w:rPr>
        <w:t xml:space="preserve">. </w:t>
      </w:r>
    </w:p>
    <w:p w14:paraId="2328D86E" w14:textId="77777777" w:rsidR="00E20D76" w:rsidRDefault="00E20D76" w:rsidP="00E20D76">
      <w:pPr>
        <w:spacing w:line="276" w:lineRule="auto"/>
        <w:ind w:left="720" w:hanging="720"/>
        <w:rPr>
          <w:rFonts w:cs="Times New Roman"/>
          <w:szCs w:val="24"/>
        </w:rPr>
      </w:pPr>
      <w:r w:rsidRPr="00715317">
        <w:rPr>
          <w:rFonts w:cs="Times New Roman"/>
          <w:szCs w:val="24"/>
        </w:rPr>
        <w:t xml:space="preserve">European Central Bank. </w:t>
      </w:r>
      <w:r>
        <w:rPr>
          <w:rFonts w:cs="Times New Roman"/>
          <w:szCs w:val="24"/>
        </w:rPr>
        <w:t>(</w:t>
      </w:r>
      <w:r w:rsidRPr="00715317">
        <w:rPr>
          <w:rFonts w:cs="Times New Roman"/>
          <w:szCs w:val="24"/>
        </w:rPr>
        <w:t>2008</w:t>
      </w:r>
      <w:r>
        <w:rPr>
          <w:rFonts w:cs="Times New Roman"/>
          <w:szCs w:val="24"/>
        </w:rPr>
        <w:t>, June 1)</w:t>
      </w:r>
      <w:r w:rsidRPr="00715317">
        <w:rPr>
          <w:rFonts w:cs="Times New Roman"/>
          <w:szCs w:val="24"/>
        </w:rPr>
        <w:t xml:space="preserve">. </w:t>
      </w:r>
      <w:r w:rsidRPr="00715317">
        <w:rPr>
          <w:rFonts w:cs="Times New Roman"/>
          <w:i/>
          <w:szCs w:val="24"/>
        </w:rPr>
        <w:t xml:space="preserve">Memorandum of Understanding on High-Level Principles of Co-Operation between the Banking Supervisors and Central Banks of the European Union on Cross-Border Financial Stability. </w:t>
      </w:r>
      <w:r>
        <w:rPr>
          <w:rFonts w:cs="Times New Roman"/>
          <w:szCs w:val="24"/>
        </w:rPr>
        <w:t>[</w:t>
      </w:r>
      <w:r w:rsidRPr="00715317">
        <w:rPr>
          <w:rFonts w:cs="Times New Roman"/>
          <w:szCs w:val="24"/>
        </w:rPr>
        <w:t>Press Release</w:t>
      </w:r>
      <w:r>
        <w:rPr>
          <w:rFonts w:cs="Times New Roman"/>
          <w:szCs w:val="24"/>
        </w:rPr>
        <w:t>]</w:t>
      </w:r>
      <w:r w:rsidRPr="00715317">
        <w:rPr>
          <w:rFonts w:cs="Times New Roman"/>
          <w:szCs w:val="24"/>
        </w:rPr>
        <w:t xml:space="preserve">. </w:t>
      </w:r>
      <w:r>
        <w:rPr>
          <w:rFonts w:cs="Times New Roman"/>
          <w:szCs w:val="24"/>
        </w:rPr>
        <w:t xml:space="preserve">Retrieved from </w:t>
      </w:r>
      <w:hyperlink r:id="rId28" w:history="1">
        <w:r w:rsidRPr="00336CD3">
          <w:rPr>
            <w:rStyle w:val="Hyperlink"/>
            <w:rFonts w:cs="Times New Roman"/>
            <w:szCs w:val="24"/>
          </w:rPr>
          <w:t>https://www.ecb.europa.eu/pub/pdf/other/mou-financialstability2008en.pdf</w:t>
        </w:r>
      </w:hyperlink>
      <w:r>
        <w:rPr>
          <w:rFonts w:cs="Times New Roman"/>
          <w:szCs w:val="24"/>
        </w:rPr>
        <w:t xml:space="preserve">. </w:t>
      </w:r>
    </w:p>
    <w:p w14:paraId="7103A8C8" w14:textId="77777777" w:rsidR="00E20D76" w:rsidRDefault="00E20D76" w:rsidP="00E20D76">
      <w:pPr>
        <w:spacing w:line="276" w:lineRule="auto"/>
        <w:ind w:left="720" w:hanging="720"/>
        <w:rPr>
          <w:rFonts w:cs="Times New Roman"/>
          <w:szCs w:val="24"/>
        </w:rPr>
      </w:pPr>
      <w:r w:rsidRPr="003737D0">
        <w:rPr>
          <w:rFonts w:cs="Times New Roman"/>
          <w:szCs w:val="24"/>
        </w:rPr>
        <w:t>European Commission. (2009, October 20). An EU Framework for Cross-Border Crisis Management in the Banking Sector. Retrieved March 8, 2016, from http://ec.europa.eu/internal_market/bank/docs/crisis-management/091020_communication_en.pdf</w:t>
      </w:r>
      <w:r>
        <w:rPr>
          <w:rFonts w:cs="Times New Roman"/>
          <w:szCs w:val="24"/>
        </w:rPr>
        <w:t xml:space="preserve">. </w:t>
      </w:r>
    </w:p>
    <w:p w14:paraId="346F0308" w14:textId="77777777" w:rsidR="00E20D76" w:rsidRPr="00F72530" w:rsidRDefault="00E20D76" w:rsidP="00E20D76">
      <w:pPr>
        <w:spacing w:line="276" w:lineRule="auto"/>
        <w:ind w:left="720" w:hanging="720"/>
        <w:rPr>
          <w:rFonts w:cs="Times New Roman"/>
          <w:szCs w:val="24"/>
        </w:rPr>
      </w:pPr>
      <w:r w:rsidRPr="00715317">
        <w:rPr>
          <w:rFonts w:cs="Times New Roman"/>
          <w:szCs w:val="24"/>
        </w:rPr>
        <w:t xml:space="preserve">European Commission. </w:t>
      </w:r>
      <w:r>
        <w:rPr>
          <w:rFonts w:cs="Times New Roman"/>
          <w:szCs w:val="24"/>
        </w:rPr>
        <w:t>(</w:t>
      </w:r>
      <w:r w:rsidRPr="00715317">
        <w:rPr>
          <w:rFonts w:cs="Times New Roman"/>
          <w:szCs w:val="24"/>
        </w:rPr>
        <w:t>2012</w:t>
      </w:r>
      <w:r>
        <w:rPr>
          <w:rFonts w:cs="Times New Roman"/>
          <w:szCs w:val="24"/>
        </w:rPr>
        <w:t xml:space="preserve">). </w:t>
      </w:r>
      <w:r w:rsidRPr="00715317">
        <w:rPr>
          <w:rFonts w:cs="Times New Roman"/>
          <w:szCs w:val="24"/>
        </w:rPr>
        <w:t>A</w:t>
      </w:r>
      <w:r>
        <w:rPr>
          <w:rFonts w:cs="Times New Roman"/>
          <w:szCs w:val="24"/>
        </w:rPr>
        <w:t xml:space="preserve"> Roadmap towards Banking Union</w:t>
      </w:r>
      <w:r w:rsidRPr="00F72530">
        <w:rPr>
          <w:rFonts w:cs="Times New Roman"/>
          <w:szCs w:val="24"/>
        </w:rPr>
        <w:t>.</w:t>
      </w:r>
      <w:r>
        <w:rPr>
          <w:rFonts w:cs="Times New Roman"/>
          <w:szCs w:val="24"/>
        </w:rPr>
        <w:t xml:space="preserve"> Retrieved March 8, 2016 from</w:t>
      </w:r>
      <w:r w:rsidRPr="00F72530">
        <w:rPr>
          <w:rFonts w:cs="Times New Roman"/>
          <w:szCs w:val="24"/>
        </w:rPr>
        <w:t xml:space="preserve"> </w:t>
      </w:r>
      <w:hyperlink r:id="rId29" w:history="1">
        <w:r w:rsidRPr="00F72530">
          <w:rPr>
            <w:rStyle w:val="Hyperlink"/>
            <w:rFonts w:cs="Times New Roman"/>
            <w:szCs w:val="24"/>
          </w:rPr>
          <w:t>http://eur-lex.europa.eu/legal-content/EN/TXT/HTML/?uri=CELEX:52012DC0510&amp;from=EN</w:t>
        </w:r>
      </w:hyperlink>
      <w:r w:rsidRPr="00F72530">
        <w:rPr>
          <w:rFonts w:cs="Times New Roman"/>
          <w:szCs w:val="24"/>
        </w:rPr>
        <w:t xml:space="preserve">. </w:t>
      </w:r>
    </w:p>
    <w:p w14:paraId="21D425D8" w14:textId="77777777" w:rsidR="00E20D76" w:rsidRDefault="00E20D76" w:rsidP="00E20D76">
      <w:pPr>
        <w:spacing w:line="276" w:lineRule="auto"/>
        <w:ind w:left="720" w:hanging="720"/>
        <w:rPr>
          <w:rFonts w:cs="Times New Roman"/>
          <w:szCs w:val="24"/>
        </w:rPr>
      </w:pPr>
      <w:r w:rsidRPr="006366E8">
        <w:rPr>
          <w:rFonts w:cs="Times New Roman"/>
          <w:szCs w:val="24"/>
        </w:rPr>
        <w:t xml:space="preserve">European Commission. </w:t>
      </w:r>
      <w:r>
        <w:rPr>
          <w:rFonts w:cs="Times New Roman"/>
          <w:szCs w:val="24"/>
        </w:rPr>
        <w:t>(</w:t>
      </w:r>
      <w:r w:rsidRPr="006366E8">
        <w:rPr>
          <w:rFonts w:cs="Times New Roman"/>
          <w:szCs w:val="24"/>
        </w:rPr>
        <w:t>2014</w:t>
      </w:r>
      <w:r>
        <w:rPr>
          <w:rFonts w:cs="Times New Roman"/>
          <w:szCs w:val="24"/>
        </w:rPr>
        <w:t>)</w:t>
      </w:r>
      <w:r w:rsidRPr="006366E8">
        <w:rPr>
          <w:rFonts w:cs="Times New Roman"/>
          <w:szCs w:val="24"/>
        </w:rPr>
        <w:t xml:space="preserve">. </w:t>
      </w:r>
      <w:r w:rsidRPr="00715317">
        <w:rPr>
          <w:rFonts w:cs="Times New Roman"/>
          <w:szCs w:val="24"/>
        </w:rPr>
        <w:t>A Single Resolution Mechanism for the Banking Union- Frequently Asked Questions.</w:t>
      </w:r>
      <w:r>
        <w:rPr>
          <w:rFonts w:cs="Times New Roman"/>
          <w:szCs w:val="24"/>
        </w:rPr>
        <w:t xml:space="preserve"> Retrieved March 8, 2016 from</w:t>
      </w:r>
      <w:r w:rsidRPr="00715317">
        <w:rPr>
          <w:rFonts w:cs="Times New Roman"/>
          <w:szCs w:val="24"/>
        </w:rPr>
        <w:t xml:space="preserve"> </w:t>
      </w:r>
      <w:hyperlink r:id="rId30" w:history="1">
        <w:r w:rsidRPr="00715317">
          <w:rPr>
            <w:rStyle w:val="Hyperlink"/>
            <w:rFonts w:cs="Times New Roman"/>
            <w:szCs w:val="24"/>
          </w:rPr>
          <w:t>http://europa.eu/rapid/press-release_MEMO-14-295_en.htm</w:t>
        </w:r>
      </w:hyperlink>
      <w:r w:rsidRPr="00715317">
        <w:rPr>
          <w:rFonts w:cs="Times New Roman"/>
          <w:szCs w:val="24"/>
        </w:rPr>
        <w:t xml:space="preserve">. </w:t>
      </w:r>
    </w:p>
    <w:p w14:paraId="62BCA470" w14:textId="77777777" w:rsidR="00E20D76" w:rsidRDefault="00E20D76" w:rsidP="00E20D76">
      <w:pPr>
        <w:spacing w:line="276" w:lineRule="auto"/>
        <w:ind w:left="720" w:hanging="720"/>
        <w:rPr>
          <w:rFonts w:cs="Times New Roman"/>
          <w:szCs w:val="24"/>
        </w:rPr>
      </w:pPr>
      <w:r w:rsidRPr="0055292B">
        <w:rPr>
          <w:rFonts w:cs="Times New Roman"/>
          <w:szCs w:val="24"/>
        </w:rPr>
        <w:t xml:space="preserve">European Commission. (2015, November 27). Deposit Guarantee Schemes. Retrieved March 8, 2016, from </w:t>
      </w:r>
      <w:hyperlink r:id="rId31" w:history="1">
        <w:r w:rsidRPr="0055006C">
          <w:rPr>
            <w:rStyle w:val="Hyperlink"/>
            <w:rFonts w:cs="Times New Roman"/>
            <w:szCs w:val="24"/>
          </w:rPr>
          <w:t>http://ec.europa.eu/finance/bank/guarantee/index_en.htm</w:t>
        </w:r>
      </w:hyperlink>
      <w:r>
        <w:rPr>
          <w:rFonts w:cs="Times New Roman"/>
          <w:szCs w:val="24"/>
        </w:rPr>
        <w:t xml:space="preserve">. </w:t>
      </w:r>
    </w:p>
    <w:p w14:paraId="79FD35C6" w14:textId="77777777" w:rsidR="00E20D76" w:rsidRDefault="00E20D76" w:rsidP="00E20D76">
      <w:pPr>
        <w:spacing w:line="276" w:lineRule="auto"/>
        <w:ind w:left="720" w:hanging="720"/>
        <w:rPr>
          <w:rFonts w:cs="Times New Roman"/>
          <w:szCs w:val="24"/>
        </w:rPr>
      </w:pPr>
      <w:r w:rsidRPr="00821028">
        <w:rPr>
          <w:rFonts w:cs="Times New Roman"/>
          <w:szCs w:val="24"/>
        </w:rPr>
        <w:t xml:space="preserve">European Commission. (2016, March 8). European deposit insurance scheme. Retrieved March 9, 2016, from </w:t>
      </w:r>
      <w:hyperlink r:id="rId32" w:history="1">
        <w:r w:rsidRPr="00F06721">
          <w:rPr>
            <w:rStyle w:val="Hyperlink"/>
            <w:rFonts w:cs="Times New Roman"/>
            <w:szCs w:val="24"/>
          </w:rPr>
          <w:t>http://ec.europa.eu/finance/general-policy/banking-union/european-deposit-insurance-scheme/index_en.htm</w:t>
        </w:r>
      </w:hyperlink>
      <w:r>
        <w:rPr>
          <w:rFonts w:cs="Times New Roman"/>
          <w:szCs w:val="24"/>
        </w:rPr>
        <w:t xml:space="preserve">. </w:t>
      </w:r>
    </w:p>
    <w:p w14:paraId="0204EC03" w14:textId="77777777" w:rsidR="00E20D76" w:rsidRDefault="00E20D76" w:rsidP="00E20D76">
      <w:pPr>
        <w:spacing w:line="276" w:lineRule="auto"/>
        <w:ind w:left="720" w:hanging="720"/>
        <w:rPr>
          <w:rFonts w:cs="Times New Roman"/>
          <w:szCs w:val="24"/>
        </w:rPr>
      </w:pPr>
      <w:r>
        <w:rPr>
          <w:rFonts w:cs="Times New Roman"/>
          <w:szCs w:val="24"/>
        </w:rPr>
        <w:t>EFSF</w:t>
      </w:r>
      <w:r w:rsidRPr="00715317">
        <w:rPr>
          <w:rFonts w:cs="Times New Roman"/>
          <w:szCs w:val="24"/>
        </w:rPr>
        <w:t xml:space="preserve">. </w:t>
      </w:r>
      <w:r>
        <w:rPr>
          <w:rFonts w:cs="Times New Roman"/>
          <w:szCs w:val="24"/>
        </w:rPr>
        <w:t>(</w:t>
      </w:r>
      <w:r w:rsidRPr="00715317">
        <w:rPr>
          <w:rFonts w:cs="Times New Roman"/>
          <w:szCs w:val="24"/>
        </w:rPr>
        <w:t>2014</w:t>
      </w:r>
      <w:r>
        <w:rPr>
          <w:rFonts w:cs="Times New Roman"/>
          <w:szCs w:val="24"/>
        </w:rPr>
        <w:t>). Lending Operations. Retrieved March 7, 2016 from</w:t>
      </w:r>
      <w:r w:rsidRPr="00715317">
        <w:rPr>
          <w:rFonts w:cs="Times New Roman"/>
          <w:szCs w:val="24"/>
        </w:rPr>
        <w:t xml:space="preserve"> </w:t>
      </w:r>
      <w:hyperlink r:id="rId33" w:history="1">
        <w:r w:rsidRPr="00715317">
          <w:rPr>
            <w:rStyle w:val="Hyperlink"/>
            <w:rFonts w:cs="Times New Roman"/>
            <w:szCs w:val="24"/>
          </w:rPr>
          <w:t>http://www.efsf.europa.eu/about/operations/index.htm</w:t>
        </w:r>
      </w:hyperlink>
      <w:r w:rsidRPr="00715317">
        <w:rPr>
          <w:rFonts w:cs="Times New Roman"/>
          <w:szCs w:val="24"/>
        </w:rPr>
        <w:t xml:space="preserve">. </w:t>
      </w:r>
    </w:p>
    <w:p w14:paraId="11DEE4F7" w14:textId="77777777" w:rsidR="00E20D76" w:rsidRDefault="00E20D76" w:rsidP="00E20D76">
      <w:pPr>
        <w:spacing w:line="276" w:lineRule="auto"/>
        <w:ind w:left="720" w:hanging="720"/>
        <w:rPr>
          <w:rFonts w:cs="Times New Roman"/>
          <w:szCs w:val="24"/>
        </w:rPr>
      </w:pPr>
      <w:r w:rsidRPr="00916E0E">
        <w:rPr>
          <w:rFonts w:cs="Times New Roman"/>
          <w:szCs w:val="24"/>
        </w:rPr>
        <w:t xml:space="preserve">European Security Mechanism. (2016, February 2). Frequently Asked Questions on the European Stability Mechanism. Retrieved March 8, 2016, from </w:t>
      </w:r>
      <w:hyperlink r:id="rId34" w:history="1">
        <w:r w:rsidRPr="0055006C">
          <w:rPr>
            <w:rStyle w:val="Hyperlink"/>
            <w:rFonts w:cs="Times New Roman"/>
            <w:szCs w:val="24"/>
          </w:rPr>
          <w:t>http://www.esm.europa.eu/publications/index.htm</w:t>
        </w:r>
      </w:hyperlink>
      <w:r>
        <w:rPr>
          <w:rFonts w:cs="Times New Roman"/>
          <w:szCs w:val="24"/>
        </w:rPr>
        <w:t xml:space="preserve">. </w:t>
      </w:r>
    </w:p>
    <w:p w14:paraId="2F02A237" w14:textId="77777777" w:rsidR="00E20D76" w:rsidRDefault="00E20D76" w:rsidP="00E20D76">
      <w:pPr>
        <w:spacing w:line="276" w:lineRule="auto"/>
        <w:ind w:left="720" w:hanging="720"/>
        <w:rPr>
          <w:rFonts w:cs="Times New Roman"/>
          <w:szCs w:val="24"/>
        </w:rPr>
      </w:pPr>
      <w:r>
        <w:rPr>
          <w:rFonts w:cs="Times New Roman"/>
          <w:szCs w:val="24"/>
        </w:rPr>
        <w:t xml:space="preserve">European Union. (2008, December 9). </w:t>
      </w:r>
      <w:r w:rsidRPr="00D85A1D">
        <w:rPr>
          <w:rFonts w:cs="Times New Roman"/>
          <w:szCs w:val="24"/>
        </w:rPr>
        <w:t>Opinion of the European Central Bank of 18 November 2008 at the request of the Council of the European Union on a proposal for a Directive of the European Parliament and of the Council amending Directive 94/19/EC on deposit-guarantee schemes as regards the coverage level and the payout delay (CON/2008/70)</w:t>
      </w:r>
      <w:r>
        <w:rPr>
          <w:rFonts w:cs="Times New Roman"/>
          <w:szCs w:val="24"/>
        </w:rPr>
        <w:t xml:space="preserve">. Retrieved March 2, 2016, from </w:t>
      </w:r>
      <w:hyperlink r:id="rId35" w:history="1">
        <w:r w:rsidRPr="00F06721">
          <w:rPr>
            <w:rStyle w:val="Hyperlink"/>
            <w:rFonts w:cs="Times New Roman"/>
            <w:szCs w:val="24"/>
          </w:rPr>
          <w:t>http://eur-lex.europa.eu/legal-content/EN/TXT/?uri=OJ:C:2008:314:TOC</w:t>
        </w:r>
      </w:hyperlink>
      <w:r>
        <w:rPr>
          <w:rFonts w:cs="Times New Roman"/>
          <w:szCs w:val="24"/>
        </w:rPr>
        <w:t xml:space="preserve">. </w:t>
      </w:r>
    </w:p>
    <w:p w14:paraId="1315D13B" w14:textId="77777777" w:rsidR="00E20D76" w:rsidRDefault="00E20D76" w:rsidP="00E20D76">
      <w:pPr>
        <w:spacing w:line="276" w:lineRule="auto"/>
        <w:ind w:left="720" w:hanging="720"/>
        <w:rPr>
          <w:rFonts w:cs="Times New Roman"/>
          <w:szCs w:val="24"/>
        </w:rPr>
      </w:pPr>
      <w:r w:rsidRPr="00084C1E">
        <w:rPr>
          <w:rFonts w:cs="Times New Roman"/>
          <w:szCs w:val="24"/>
        </w:rPr>
        <w:t>Everyone Loses if Britain Exits the E.U. (2016, February 6). </w:t>
      </w:r>
      <w:r w:rsidRPr="00084C1E">
        <w:rPr>
          <w:rFonts w:cs="Times New Roman"/>
          <w:i/>
          <w:iCs/>
          <w:szCs w:val="24"/>
        </w:rPr>
        <w:t>The New York Times</w:t>
      </w:r>
      <w:r w:rsidRPr="00084C1E">
        <w:rPr>
          <w:rFonts w:cs="Times New Roman"/>
          <w:szCs w:val="24"/>
        </w:rPr>
        <w:t>, p. 8.</w:t>
      </w:r>
      <w:r>
        <w:rPr>
          <w:rFonts w:cs="Times New Roman"/>
          <w:szCs w:val="24"/>
        </w:rPr>
        <w:t xml:space="preserve"> </w:t>
      </w:r>
    </w:p>
    <w:p w14:paraId="47086F38" w14:textId="77777777" w:rsidR="00E20D76" w:rsidRDefault="00E20D76" w:rsidP="00E20D76">
      <w:pPr>
        <w:spacing w:line="276" w:lineRule="auto"/>
        <w:ind w:left="720" w:hanging="720"/>
        <w:rPr>
          <w:rFonts w:cs="Times New Roman"/>
          <w:szCs w:val="24"/>
        </w:rPr>
      </w:pPr>
      <w:r w:rsidRPr="001D4D40">
        <w:rPr>
          <w:rFonts w:cs="Times New Roman"/>
          <w:szCs w:val="24"/>
        </w:rPr>
        <w:t>Ewing, J. (2014, March 18). Germany Court Validates Participation in Euro Zone Bailout Fund. </w:t>
      </w:r>
      <w:r w:rsidRPr="001D4D40">
        <w:rPr>
          <w:rFonts w:cs="Times New Roman"/>
          <w:i/>
          <w:iCs/>
          <w:szCs w:val="24"/>
        </w:rPr>
        <w:t>The New York Times</w:t>
      </w:r>
      <w:r w:rsidRPr="001D4D40">
        <w:rPr>
          <w:rFonts w:cs="Times New Roman"/>
          <w:szCs w:val="24"/>
        </w:rPr>
        <w:t xml:space="preserve">. Retrieved November 1, 2015, from </w:t>
      </w:r>
      <w:hyperlink r:id="rId36" w:history="1">
        <w:r w:rsidRPr="00336CD3">
          <w:rPr>
            <w:rStyle w:val="Hyperlink"/>
            <w:rFonts w:cs="Times New Roman"/>
            <w:szCs w:val="24"/>
          </w:rPr>
          <w:t>http://www.nytimes.com/2014/03/19/business/international/german-court-validates-participation-in-euro-zone-bailout-fund.html</w:t>
        </w:r>
      </w:hyperlink>
      <w:r>
        <w:rPr>
          <w:rFonts w:cs="Times New Roman"/>
          <w:szCs w:val="24"/>
        </w:rPr>
        <w:t xml:space="preserve">. </w:t>
      </w:r>
    </w:p>
    <w:p w14:paraId="299F8652" w14:textId="77777777" w:rsidR="00E20D76" w:rsidRPr="00715317" w:rsidRDefault="00E20D76" w:rsidP="00E20D76">
      <w:pPr>
        <w:spacing w:line="276" w:lineRule="auto"/>
        <w:ind w:left="720" w:hanging="720"/>
        <w:rPr>
          <w:rFonts w:cs="Times New Roman"/>
          <w:szCs w:val="24"/>
        </w:rPr>
      </w:pPr>
      <w:r w:rsidRPr="00BA2D48">
        <w:rPr>
          <w:rFonts w:cs="Times New Roman"/>
          <w:szCs w:val="24"/>
        </w:rPr>
        <w:t xml:space="preserve">Financial Times. (2015, September 8). Non-Paper: The EMU Needs a Stronger Banking Union, but Must Get it Right [Web log post]. Retrieved October 1, 2015, from </w:t>
      </w:r>
      <w:hyperlink r:id="rId37" w:history="1">
        <w:r w:rsidRPr="00F06721">
          <w:rPr>
            <w:rStyle w:val="Hyperlink"/>
            <w:rFonts w:cs="Times New Roman"/>
            <w:szCs w:val="24"/>
          </w:rPr>
          <w:t>http://blogs.ft.com/brusselsblog/files/2015/09/Nonpaperfinal_20150910091345.pdf</w:t>
        </w:r>
      </w:hyperlink>
      <w:r>
        <w:rPr>
          <w:rFonts w:cs="Times New Roman"/>
          <w:szCs w:val="24"/>
        </w:rPr>
        <w:t xml:space="preserve">. </w:t>
      </w:r>
    </w:p>
    <w:p w14:paraId="67F0BC7F" w14:textId="77777777" w:rsidR="00E20D76" w:rsidRPr="00E84FCD" w:rsidRDefault="00E20D76" w:rsidP="00E20D76">
      <w:pPr>
        <w:spacing w:line="276" w:lineRule="auto"/>
        <w:ind w:left="720" w:hanging="720"/>
        <w:rPr>
          <w:rFonts w:cs="Times New Roman"/>
          <w:szCs w:val="24"/>
        </w:rPr>
      </w:pPr>
      <w:r w:rsidRPr="00BA2D48">
        <w:rPr>
          <w:rFonts w:cs="Times New Roman"/>
          <w:szCs w:val="24"/>
        </w:rPr>
        <w:t xml:space="preserve">Fox, B. (2014, November 4). ECB Takes Control as EU Bank Supervisor. Retrieved November 20, 2015, from </w:t>
      </w:r>
      <w:hyperlink r:id="rId38" w:history="1">
        <w:r w:rsidRPr="00F06721">
          <w:rPr>
            <w:rStyle w:val="Hyperlink"/>
            <w:rFonts w:cs="Times New Roman"/>
            <w:szCs w:val="24"/>
          </w:rPr>
          <w:t>https://euobserver.com/news/126361</w:t>
        </w:r>
      </w:hyperlink>
      <w:r>
        <w:rPr>
          <w:rFonts w:cs="Times New Roman"/>
          <w:szCs w:val="24"/>
        </w:rPr>
        <w:t xml:space="preserve">. </w:t>
      </w:r>
    </w:p>
    <w:p w14:paraId="197C43A2" w14:textId="77777777" w:rsidR="00E20D76" w:rsidRDefault="00E20D76" w:rsidP="00E20D76">
      <w:pPr>
        <w:spacing w:line="276" w:lineRule="auto"/>
        <w:ind w:left="720" w:hanging="720"/>
        <w:rPr>
          <w:rFonts w:cs="Times New Roman"/>
          <w:szCs w:val="24"/>
        </w:rPr>
      </w:pPr>
      <w:r w:rsidRPr="006B31A2">
        <w:rPr>
          <w:rFonts w:cs="Times New Roman"/>
          <w:szCs w:val="24"/>
        </w:rPr>
        <w:t>Fritz, S., &amp; Bates, J. (1991, July 11). BCCI Case May Be History's Biggest Bank Fraud Scandal. </w:t>
      </w:r>
      <w:r w:rsidRPr="006B31A2">
        <w:rPr>
          <w:rFonts w:cs="Times New Roman"/>
          <w:i/>
          <w:iCs/>
          <w:szCs w:val="24"/>
        </w:rPr>
        <w:t>Los Angeles Times</w:t>
      </w:r>
      <w:r w:rsidRPr="006B31A2">
        <w:rPr>
          <w:rFonts w:cs="Times New Roman"/>
          <w:szCs w:val="24"/>
        </w:rPr>
        <w:t xml:space="preserve">. Retrieved October 4, 2014, from </w:t>
      </w:r>
      <w:hyperlink r:id="rId39" w:history="1">
        <w:r w:rsidRPr="00711524">
          <w:rPr>
            <w:rStyle w:val="Hyperlink"/>
            <w:rFonts w:cs="Times New Roman"/>
            <w:szCs w:val="24"/>
          </w:rPr>
          <w:t>http://articles.latimes.com/1991-07-11/news/mn-2869_1_independence-bank/2</w:t>
        </w:r>
      </w:hyperlink>
      <w:r>
        <w:rPr>
          <w:rFonts w:cs="Times New Roman"/>
          <w:szCs w:val="24"/>
        </w:rPr>
        <w:t xml:space="preserve">. </w:t>
      </w:r>
    </w:p>
    <w:p w14:paraId="4F3B5C1E" w14:textId="77777777" w:rsidR="00E20D76" w:rsidRDefault="00E20D76" w:rsidP="00E20D76">
      <w:pPr>
        <w:spacing w:line="276" w:lineRule="auto"/>
        <w:ind w:left="720" w:hanging="720"/>
        <w:rPr>
          <w:rFonts w:cs="Times New Roman"/>
          <w:szCs w:val="24"/>
        </w:rPr>
      </w:pPr>
      <w:r w:rsidRPr="006366E8">
        <w:rPr>
          <w:rFonts w:cs="Times New Roman"/>
          <w:szCs w:val="24"/>
        </w:rPr>
        <w:t>Gordan, S. (2014, May 24). The European Model. </w:t>
      </w:r>
      <w:r w:rsidRPr="006366E8">
        <w:rPr>
          <w:rFonts w:cs="Times New Roman"/>
          <w:i/>
          <w:iCs/>
          <w:szCs w:val="24"/>
        </w:rPr>
        <w:t>Financial Times</w:t>
      </w:r>
      <w:r w:rsidRPr="006366E8">
        <w:rPr>
          <w:rFonts w:cs="Times New Roman"/>
          <w:szCs w:val="24"/>
        </w:rPr>
        <w:t>, p. 30.</w:t>
      </w:r>
    </w:p>
    <w:p w14:paraId="3349C291" w14:textId="77777777" w:rsidR="00E20D76" w:rsidRDefault="00E20D76" w:rsidP="00E20D76">
      <w:pPr>
        <w:spacing w:line="276" w:lineRule="auto"/>
        <w:ind w:left="720" w:hanging="720"/>
        <w:rPr>
          <w:rFonts w:cs="Times New Roman"/>
          <w:szCs w:val="24"/>
        </w:rPr>
      </w:pPr>
      <w:r w:rsidRPr="006D280D">
        <w:rPr>
          <w:rFonts w:cs="Times New Roman"/>
          <w:szCs w:val="24"/>
        </w:rPr>
        <w:t>Gormley, W. T. (1986). Regulatory Issue Networks in a Federal System.</w:t>
      </w:r>
      <w:r w:rsidRPr="006D280D">
        <w:rPr>
          <w:rFonts w:cs="Times New Roman"/>
          <w:i/>
          <w:iCs/>
          <w:szCs w:val="24"/>
        </w:rPr>
        <w:t>Polity,</w:t>
      </w:r>
      <w:r w:rsidRPr="006D280D">
        <w:rPr>
          <w:rFonts w:cs="Times New Roman"/>
          <w:szCs w:val="24"/>
        </w:rPr>
        <w:t> </w:t>
      </w:r>
      <w:r w:rsidRPr="006D280D">
        <w:rPr>
          <w:rFonts w:cs="Times New Roman"/>
          <w:i/>
          <w:iCs/>
          <w:szCs w:val="24"/>
        </w:rPr>
        <w:t>18</w:t>
      </w:r>
      <w:r w:rsidRPr="006D280D">
        <w:rPr>
          <w:rFonts w:cs="Times New Roman"/>
          <w:szCs w:val="24"/>
        </w:rPr>
        <w:t>(4), 595-620. doi:10.2307/3234884</w:t>
      </w:r>
      <w:r>
        <w:rPr>
          <w:rFonts w:cs="Times New Roman"/>
          <w:szCs w:val="24"/>
        </w:rPr>
        <w:t xml:space="preserve">. </w:t>
      </w:r>
    </w:p>
    <w:p w14:paraId="2FB9FC15" w14:textId="77777777" w:rsidR="00E20D76" w:rsidRDefault="00E20D76" w:rsidP="00E20D76">
      <w:pPr>
        <w:spacing w:line="276" w:lineRule="auto"/>
        <w:ind w:left="720" w:hanging="720"/>
        <w:rPr>
          <w:rFonts w:cs="Times New Roman"/>
          <w:szCs w:val="24"/>
        </w:rPr>
      </w:pPr>
      <w:r w:rsidRPr="00784C56">
        <w:rPr>
          <w:rFonts w:cs="Times New Roman"/>
          <w:szCs w:val="24"/>
        </w:rPr>
        <w:t>Goyal, R., Koeva, P., Pradhan, M., Tressel, T., Dell'Ariccia, G., Leckow, R., &amp; Pazarbaşioğlu, C. (2013). </w:t>
      </w:r>
      <w:r w:rsidRPr="00784C56">
        <w:rPr>
          <w:rFonts w:cs="Times New Roman"/>
          <w:i/>
          <w:iCs/>
          <w:szCs w:val="24"/>
        </w:rPr>
        <w:t>A banking union for the Euro area</w:t>
      </w:r>
      <w:r w:rsidRPr="00784C56">
        <w:rPr>
          <w:rFonts w:cs="Times New Roman"/>
          <w:szCs w:val="24"/>
        </w:rPr>
        <w:t>. Washington DC: International Monetary Fund.</w:t>
      </w:r>
    </w:p>
    <w:p w14:paraId="0D088F71" w14:textId="77777777" w:rsidR="00E20D76" w:rsidRDefault="00E20D76" w:rsidP="00E20D76">
      <w:pPr>
        <w:spacing w:line="276" w:lineRule="auto"/>
        <w:ind w:left="720" w:hanging="720"/>
        <w:rPr>
          <w:rFonts w:cs="Times New Roman"/>
          <w:szCs w:val="24"/>
        </w:rPr>
      </w:pPr>
      <w:r w:rsidRPr="0012601C">
        <w:rPr>
          <w:rFonts w:cs="Times New Roman"/>
          <w:szCs w:val="24"/>
        </w:rPr>
        <w:t>Hardie, I., &amp; Howarth, D. J. (2013). </w:t>
      </w:r>
      <w:r w:rsidRPr="0012601C">
        <w:rPr>
          <w:rFonts w:cs="Times New Roman"/>
          <w:i/>
          <w:iCs/>
          <w:szCs w:val="24"/>
        </w:rPr>
        <w:t>Market-based banking and the international financial crisis</w:t>
      </w:r>
      <w:r w:rsidRPr="0012601C">
        <w:rPr>
          <w:rFonts w:cs="Times New Roman"/>
          <w:szCs w:val="24"/>
        </w:rPr>
        <w:t>. Oxford: Oxford University Press.</w:t>
      </w:r>
    </w:p>
    <w:p w14:paraId="1C73A56A" w14:textId="77777777" w:rsidR="00E20D76" w:rsidRDefault="00E20D76" w:rsidP="00E20D76">
      <w:pPr>
        <w:spacing w:line="276" w:lineRule="auto"/>
        <w:ind w:left="720" w:hanging="720"/>
        <w:rPr>
          <w:rFonts w:cs="Times New Roman"/>
          <w:szCs w:val="24"/>
        </w:rPr>
      </w:pPr>
      <w:r w:rsidRPr="00196853">
        <w:rPr>
          <w:rFonts w:cs="Times New Roman"/>
          <w:szCs w:val="24"/>
        </w:rPr>
        <w:t>"Hearing at the Committee on Economic and Monetary Affairs of the European Parliament: Introductory statement by Mario Draghi, President of the ECB". European Central Bank. April 25, 2012.</w:t>
      </w:r>
      <w:r>
        <w:rPr>
          <w:rFonts w:cs="Times New Roman"/>
          <w:szCs w:val="24"/>
        </w:rPr>
        <w:t xml:space="preserve"> </w:t>
      </w:r>
    </w:p>
    <w:p w14:paraId="1B9D924D" w14:textId="77777777" w:rsidR="00E20D76" w:rsidRDefault="00E20D76" w:rsidP="00E20D76">
      <w:pPr>
        <w:spacing w:line="276" w:lineRule="auto"/>
        <w:ind w:left="720" w:hanging="720"/>
        <w:rPr>
          <w:rFonts w:cs="Times New Roman"/>
          <w:szCs w:val="24"/>
        </w:rPr>
      </w:pPr>
      <w:r w:rsidRPr="00BA2D48">
        <w:rPr>
          <w:rFonts w:cs="Times New Roman"/>
          <w:szCs w:val="24"/>
        </w:rPr>
        <w:t xml:space="preserve">Heller, G., &amp; Strupczewski, J. (2015, September 11). UPDATE 1-EU, Germany head for clash over deposit insurance plan. </w:t>
      </w:r>
      <w:r w:rsidRPr="00D10285">
        <w:rPr>
          <w:rFonts w:cs="Times New Roman"/>
          <w:i/>
          <w:szCs w:val="24"/>
        </w:rPr>
        <w:t>Reuters</w:t>
      </w:r>
      <w:r>
        <w:rPr>
          <w:rFonts w:cs="Times New Roman"/>
          <w:i/>
          <w:szCs w:val="24"/>
        </w:rPr>
        <w:t>.</w:t>
      </w:r>
      <w:r>
        <w:rPr>
          <w:rFonts w:cs="Times New Roman"/>
          <w:szCs w:val="24"/>
        </w:rPr>
        <w:t xml:space="preserve"> </w:t>
      </w:r>
      <w:r w:rsidRPr="00D10285">
        <w:rPr>
          <w:rFonts w:cs="Times New Roman"/>
          <w:szCs w:val="24"/>
        </w:rPr>
        <w:t>Retrieved</w:t>
      </w:r>
      <w:r w:rsidRPr="00BA2D48">
        <w:rPr>
          <w:rFonts w:cs="Times New Roman"/>
          <w:szCs w:val="24"/>
        </w:rPr>
        <w:t xml:space="preserve"> March 2, 2016, from </w:t>
      </w:r>
      <w:hyperlink r:id="rId40" w:history="1">
        <w:r w:rsidRPr="00F06721">
          <w:rPr>
            <w:rStyle w:val="Hyperlink"/>
            <w:rFonts w:cs="Times New Roman"/>
            <w:szCs w:val="24"/>
          </w:rPr>
          <w:t>http://www.reuters.com/article/eu-deposits-germany-idUSL5N11H3B420150911</w:t>
        </w:r>
      </w:hyperlink>
      <w:r>
        <w:rPr>
          <w:rFonts w:cs="Times New Roman"/>
          <w:szCs w:val="24"/>
        </w:rPr>
        <w:t xml:space="preserve">. </w:t>
      </w:r>
    </w:p>
    <w:p w14:paraId="07024FB2" w14:textId="77777777" w:rsidR="00E20D76" w:rsidRDefault="00E20D76" w:rsidP="00E20D76">
      <w:pPr>
        <w:spacing w:line="276" w:lineRule="auto"/>
        <w:ind w:left="720" w:hanging="720"/>
        <w:rPr>
          <w:rFonts w:cs="Times New Roman"/>
          <w:szCs w:val="24"/>
        </w:rPr>
      </w:pPr>
      <w:r w:rsidRPr="006366E8">
        <w:rPr>
          <w:rFonts w:cs="Times New Roman"/>
          <w:szCs w:val="24"/>
        </w:rPr>
        <w:t>Hoffmann, S. (1997). Back to Euro-Pessimism? A Jeremiad Too Fond of Gloom and Doom. </w:t>
      </w:r>
      <w:r w:rsidRPr="006366E8">
        <w:rPr>
          <w:rFonts w:cs="Times New Roman"/>
          <w:i/>
          <w:iCs/>
          <w:szCs w:val="24"/>
        </w:rPr>
        <w:t>Foreign Affairs,</w:t>
      </w:r>
      <w:r w:rsidRPr="006366E8">
        <w:rPr>
          <w:rFonts w:cs="Times New Roman"/>
          <w:szCs w:val="24"/>
        </w:rPr>
        <w:t> </w:t>
      </w:r>
      <w:r w:rsidRPr="006366E8">
        <w:rPr>
          <w:rFonts w:cs="Times New Roman"/>
          <w:i/>
          <w:iCs/>
          <w:szCs w:val="24"/>
        </w:rPr>
        <w:t>76</w:t>
      </w:r>
      <w:r w:rsidRPr="006366E8">
        <w:rPr>
          <w:rFonts w:cs="Times New Roman"/>
          <w:szCs w:val="24"/>
        </w:rPr>
        <w:t>(1), 139. doi:10.2307/20047915</w:t>
      </w:r>
      <w:r>
        <w:rPr>
          <w:rFonts w:cs="Times New Roman"/>
          <w:szCs w:val="24"/>
        </w:rPr>
        <w:t xml:space="preserve">. </w:t>
      </w:r>
    </w:p>
    <w:p w14:paraId="7EB80A38" w14:textId="77777777" w:rsidR="00E20D76" w:rsidRPr="00715317" w:rsidRDefault="00E20D76" w:rsidP="00E20D76">
      <w:pPr>
        <w:spacing w:line="276" w:lineRule="auto"/>
        <w:ind w:left="720" w:hanging="720"/>
        <w:rPr>
          <w:rFonts w:cs="Times New Roman"/>
          <w:szCs w:val="24"/>
        </w:rPr>
      </w:pPr>
      <w:r w:rsidRPr="00D10285">
        <w:rPr>
          <w:rFonts w:cs="Times New Roman"/>
          <w:szCs w:val="24"/>
        </w:rPr>
        <w:t>Howarth, D., &amp; Quaglia, L. (2013). Banking Union as Holy Grail: Rebuilding the Single Market in Financial Services, Stabilizing Europe's Banks and ‘Completing’ Economic and Monetary Union.</w:t>
      </w:r>
      <w:r w:rsidRPr="00D10285">
        <w:rPr>
          <w:rFonts w:cs="Times New Roman"/>
          <w:i/>
          <w:iCs/>
          <w:szCs w:val="24"/>
        </w:rPr>
        <w:t xml:space="preserve"> Journal of Common Market Studies,</w:t>
      </w:r>
      <w:r w:rsidRPr="00D10285">
        <w:rPr>
          <w:rFonts w:cs="Times New Roman"/>
          <w:szCs w:val="24"/>
        </w:rPr>
        <w:t> </w:t>
      </w:r>
      <w:r w:rsidRPr="00D10285">
        <w:rPr>
          <w:rFonts w:cs="Times New Roman"/>
          <w:i/>
          <w:iCs/>
          <w:szCs w:val="24"/>
        </w:rPr>
        <w:t>51</w:t>
      </w:r>
      <w:r w:rsidRPr="00D10285">
        <w:rPr>
          <w:rFonts w:cs="Times New Roman"/>
          <w:szCs w:val="24"/>
        </w:rPr>
        <w:t>, 103-123. doi:10.1111/jcms.12054</w:t>
      </w:r>
      <w:r>
        <w:rPr>
          <w:rFonts w:cs="Times New Roman"/>
          <w:szCs w:val="24"/>
        </w:rPr>
        <w:t xml:space="preserve">. </w:t>
      </w:r>
    </w:p>
    <w:p w14:paraId="756D0D23" w14:textId="77777777" w:rsidR="00E20D76" w:rsidRDefault="00E20D76" w:rsidP="00E20D76">
      <w:pPr>
        <w:spacing w:line="276" w:lineRule="auto"/>
        <w:ind w:left="720" w:hanging="720"/>
        <w:rPr>
          <w:rFonts w:cs="Times New Roman"/>
          <w:szCs w:val="24"/>
        </w:rPr>
      </w:pPr>
      <w:r w:rsidRPr="0012601C">
        <w:rPr>
          <w:rFonts w:cs="Times New Roman"/>
          <w:szCs w:val="24"/>
        </w:rPr>
        <w:t>Howarth,</w:t>
      </w:r>
      <w:r>
        <w:rPr>
          <w:rFonts w:cs="Times New Roman"/>
          <w:szCs w:val="24"/>
        </w:rPr>
        <w:t xml:space="preserve"> D., &amp; Quaglia, L. (2014). The Steep Road to European Banking Union: C</w:t>
      </w:r>
      <w:r w:rsidRPr="0012601C">
        <w:rPr>
          <w:rFonts w:cs="Times New Roman"/>
          <w:szCs w:val="24"/>
        </w:rPr>
        <w:t>onstructing</w:t>
      </w:r>
      <w:r>
        <w:rPr>
          <w:rFonts w:cs="Times New Roman"/>
          <w:szCs w:val="24"/>
        </w:rPr>
        <w:t xml:space="preserve"> the Single Resolution Mechanism.</w:t>
      </w:r>
      <w:r w:rsidRPr="0012601C">
        <w:rPr>
          <w:rFonts w:cs="Times New Roman"/>
          <w:i/>
          <w:iCs/>
          <w:szCs w:val="24"/>
        </w:rPr>
        <w:t xml:space="preserve"> Journal of Common Market Studies</w:t>
      </w:r>
      <w:r w:rsidRPr="0012601C">
        <w:rPr>
          <w:rFonts w:cs="Times New Roman"/>
          <w:szCs w:val="24"/>
        </w:rPr>
        <w:t>, </w:t>
      </w:r>
      <w:r w:rsidRPr="0012601C">
        <w:rPr>
          <w:rFonts w:cs="Times New Roman"/>
          <w:i/>
          <w:iCs/>
          <w:szCs w:val="24"/>
        </w:rPr>
        <w:t>52</w:t>
      </w:r>
      <w:r w:rsidRPr="0012601C">
        <w:rPr>
          <w:rFonts w:cs="Times New Roman"/>
          <w:szCs w:val="24"/>
        </w:rPr>
        <w:t>(S1), 125-140.</w:t>
      </w:r>
      <w:r w:rsidRPr="00D10285">
        <w:t xml:space="preserve"> </w:t>
      </w:r>
      <w:r>
        <w:t>doi:</w:t>
      </w:r>
      <w:r w:rsidRPr="00D10285">
        <w:rPr>
          <w:rFonts w:cs="Times New Roman"/>
          <w:szCs w:val="24"/>
        </w:rPr>
        <w:t>10.1111/jcms.12178</w:t>
      </w:r>
      <w:r>
        <w:rPr>
          <w:rFonts w:cs="Times New Roman"/>
          <w:szCs w:val="24"/>
        </w:rPr>
        <w:t>.</w:t>
      </w:r>
    </w:p>
    <w:p w14:paraId="739DEF39" w14:textId="77777777" w:rsidR="00E20D76" w:rsidRDefault="00E20D76" w:rsidP="00E20D76">
      <w:pPr>
        <w:spacing w:line="276" w:lineRule="auto"/>
        <w:ind w:left="720" w:hanging="720"/>
        <w:rPr>
          <w:rFonts w:cs="Times New Roman"/>
          <w:szCs w:val="24"/>
        </w:rPr>
      </w:pPr>
      <w:r w:rsidRPr="00C652D1">
        <w:rPr>
          <w:rFonts w:cs="Times New Roman"/>
          <w:szCs w:val="24"/>
        </w:rPr>
        <w:t xml:space="preserve">IMF/CFP Policy Roundtable on the Future of Financial Regulation. (2012). Retrieved March 9, 2016, from </w:t>
      </w:r>
      <w:hyperlink r:id="rId41" w:history="1">
        <w:r w:rsidRPr="00F06721">
          <w:rPr>
            <w:rStyle w:val="Hyperlink"/>
            <w:rFonts w:cs="Times New Roman"/>
            <w:szCs w:val="24"/>
          </w:rPr>
          <w:t>https://www.imf.org/external/np/speeches/2012/041712.htm</w:t>
        </w:r>
      </w:hyperlink>
      <w:r>
        <w:rPr>
          <w:rFonts w:cs="Times New Roman"/>
          <w:szCs w:val="24"/>
        </w:rPr>
        <w:t xml:space="preserve">. </w:t>
      </w:r>
    </w:p>
    <w:p w14:paraId="0CEF5320" w14:textId="77777777" w:rsidR="00E20D76" w:rsidRDefault="00E20D76" w:rsidP="00E20D76">
      <w:pPr>
        <w:spacing w:line="276" w:lineRule="auto"/>
        <w:ind w:left="720" w:hanging="720"/>
        <w:rPr>
          <w:rFonts w:cs="Times New Roman"/>
          <w:szCs w:val="24"/>
        </w:rPr>
      </w:pPr>
      <w:r w:rsidRPr="00784C56">
        <w:rPr>
          <w:rFonts w:cs="Times New Roman"/>
          <w:szCs w:val="24"/>
        </w:rPr>
        <w:t>Jervis, R. (1992). Political Implications of Loss Aversion. </w:t>
      </w:r>
      <w:r w:rsidRPr="00784C56">
        <w:rPr>
          <w:rFonts w:cs="Times New Roman"/>
          <w:i/>
          <w:iCs/>
          <w:szCs w:val="24"/>
        </w:rPr>
        <w:t>Political Psychology,</w:t>
      </w:r>
      <w:r w:rsidRPr="00784C56">
        <w:rPr>
          <w:rFonts w:cs="Times New Roman"/>
          <w:szCs w:val="24"/>
        </w:rPr>
        <w:t> </w:t>
      </w:r>
      <w:r w:rsidRPr="00784C56">
        <w:rPr>
          <w:rFonts w:cs="Times New Roman"/>
          <w:i/>
          <w:iCs/>
          <w:szCs w:val="24"/>
        </w:rPr>
        <w:t>13</w:t>
      </w:r>
      <w:r w:rsidRPr="00784C56">
        <w:rPr>
          <w:rFonts w:cs="Times New Roman"/>
          <w:szCs w:val="24"/>
        </w:rPr>
        <w:t>(2), 187. doi:10.2307/3791678</w:t>
      </w:r>
      <w:r>
        <w:rPr>
          <w:rFonts w:cs="Times New Roman"/>
          <w:szCs w:val="24"/>
        </w:rPr>
        <w:t xml:space="preserve">. </w:t>
      </w:r>
    </w:p>
    <w:p w14:paraId="54549803" w14:textId="77777777" w:rsidR="00E20D76" w:rsidRPr="00AE7ECC" w:rsidRDefault="00E20D76" w:rsidP="00E20D76">
      <w:pPr>
        <w:spacing w:line="276" w:lineRule="auto"/>
        <w:ind w:left="720" w:hanging="720"/>
        <w:rPr>
          <w:rFonts w:cs="Times New Roman"/>
          <w:szCs w:val="24"/>
        </w:rPr>
      </w:pPr>
      <w:r w:rsidRPr="006366E8">
        <w:rPr>
          <w:rFonts w:cs="Times New Roman"/>
          <w:szCs w:val="24"/>
        </w:rPr>
        <w:t>Jolly, D. (2014, May 3). European Unemployment Rate Remains Steady. </w:t>
      </w:r>
      <w:r w:rsidRPr="006366E8">
        <w:rPr>
          <w:rFonts w:cs="Times New Roman"/>
          <w:i/>
          <w:iCs/>
          <w:szCs w:val="24"/>
        </w:rPr>
        <w:t>The New York Times</w:t>
      </w:r>
      <w:r w:rsidRPr="006366E8">
        <w:rPr>
          <w:rFonts w:cs="Times New Roman"/>
          <w:szCs w:val="24"/>
        </w:rPr>
        <w:t>, p. Section B, 2.</w:t>
      </w:r>
    </w:p>
    <w:p w14:paraId="4C589D6E" w14:textId="77777777" w:rsidR="00E20D76" w:rsidRDefault="00E20D76" w:rsidP="00E20D76">
      <w:pPr>
        <w:spacing w:line="276" w:lineRule="auto"/>
        <w:ind w:left="720" w:hanging="720"/>
        <w:rPr>
          <w:rFonts w:cs="Times New Roman"/>
          <w:szCs w:val="24"/>
        </w:rPr>
      </w:pPr>
      <w:r w:rsidRPr="007C7A47">
        <w:rPr>
          <w:rFonts w:cs="Times New Roman"/>
          <w:szCs w:val="24"/>
          <w:lang w:val="fr-FR"/>
        </w:rPr>
        <w:t xml:space="preserve">Jones, E., Kelemen, R. D., &amp; Meunier, S. (2015). </w:t>
      </w:r>
      <w:r w:rsidRPr="006366E8">
        <w:rPr>
          <w:rFonts w:cs="Times New Roman"/>
          <w:szCs w:val="24"/>
        </w:rPr>
        <w:t>Failing Forward? The Euro Crisis and the Incomplete Nature of European Integration.</w:t>
      </w:r>
      <w:r>
        <w:rPr>
          <w:rFonts w:cs="Times New Roman"/>
          <w:szCs w:val="24"/>
        </w:rPr>
        <w:t xml:space="preserve"> </w:t>
      </w:r>
      <w:r w:rsidRPr="006366E8">
        <w:rPr>
          <w:rFonts w:cs="Times New Roman"/>
          <w:i/>
          <w:iCs/>
          <w:szCs w:val="24"/>
        </w:rPr>
        <w:t>Comparative Political Studies,</w:t>
      </w:r>
      <w:r w:rsidRPr="006366E8">
        <w:rPr>
          <w:rFonts w:cs="Times New Roman"/>
          <w:szCs w:val="24"/>
        </w:rPr>
        <w:t> 1-25. doi:10.1177/0010414015617966</w:t>
      </w:r>
      <w:r>
        <w:rPr>
          <w:rFonts w:cs="Times New Roman"/>
          <w:szCs w:val="24"/>
        </w:rPr>
        <w:t xml:space="preserve">. </w:t>
      </w:r>
    </w:p>
    <w:p w14:paraId="7E9C65D7" w14:textId="77777777" w:rsidR="00E20D76" w:rsidRDefault="00E20D76" w:rsidP="00E20D76">
      <w:pPr>
        <w:spacing w:line="276" w:lineRule="auto"/>
        <w:ind w:left="720" w:hanging="720"/>
        <w:rPr>
          <w:rFonts w:cs="Times New Roman"/>
          <w:szCs w:val="24"/>
        </w:rPr>
      </w:pPr>
      <w:r>
        <w:rPr>
          <w:rStyle w:val="citationtext"/>
          <w:rFonts w:eastAsia="Times New Roman" w:cs="Times New Roman"/>
        </w:rPr>
        <w:t xml:space="preserve">Kahneman, D., &amp; Tversky, A. (1979). Prospect Theory: An Analysis of Decision under Risk. </w:t>
      </w:r>
      <w:r>
        <w:rPr>
          <w:rStyle w:val="citationtext"/>
          <w:rFonts w:eastAsia="Times New Roman" w:cs="Times New Roman"/>
          <w:i/>
          <w:iCs/>
        </w:rPr>
        <w:t>Econometrica,</w:t>
      </w:r>
      <w:r>
        <w:rPr>
          <w:rStyle w:val="citationtext"/>
          <w:rFonts w:eastAsia="Times New Roman" w:cs="Times New Roman"/>
        </w:rPr>
        <w:t xml:space="preserve"> </w:t>
      </w:r>
      <w:r>
        <w:rPr>
          <w:rStyle w:val="citationtext"/>
          <w:rFonts w:eastAsia="Times New Roman" w:cs="Times New Roman"/>
          <w:i/>
          <w:iCs/>
        </w:rPr>
        <w:t>47</w:t>
      </w:r>
      <w:r>
        <w:rPr>
          <w:rStyle w:val="citationtext"/>
          <w:rFonts w:eastAsia="Times New Roman" w:cs="Times New Roman"/>
        </w:rPr>
        <w:t>(2), 263-291.</w:t>
      </w:r>
    </w:p>
    <w:p w14:paraId="50FBE3FD" w14:textId="77777777" w:rsidR="00E20D76" w:rsidRDefault="00E20D76" w:rsidP="00E20D76">
      <w:pPr>
        <w:spacing w:line="276" w:lineRule="auto"/>
        <w:ind w:left="720" w:hanging="720"/>
        <w:rPr>
          <w:rFonts w:cs="Times New Roman"/>
          <w:szCs w:val="24"/>
        </w:rPr>
      </w:pPr>
      <w:r w:rsidRPr="006B31A2">
        <w:rPr>
          <w:rFonts w:cs="Times New Roman"/>
          <w:szCs w:val="24"/>
        </w:rPr>
        <w:t>Kment, C., &amp; Lindner, I. (2014). The EU’s Reformed Institutional Framework and the Way Forward. </w:t>
      </w:r>
      <w:r w:rsidRPr="006B31A2">
        <w:rPr>
          <w:rFonts w:cs="Times New Roman"/>
          <w:i/>
          <w:iCs/>
          <w:szCs w:val="24"/>
        </w:rPr>
        <w:t>Monetary Policy &amp; the Economy,</w:t>
      </w:r>
      <w:r w:rsidRPr="006B31A2">
        <w:rPr>
          <w:rFonts w:cs="Times New Roman"/>
          <w:szCs w:val="24"/>
        </w:rPr>
        <w:t> </w:t>
      </w:r>
      <w:r w:rsidRPr="006B31A2">
        <w:rPr>
          <w:rFonts w:cs="Times New Roman"/>
          <w:i/>
          <w:iCs/>
          <w:szCs w:val="24"/>
        </w:rPr>
        <w:t>2014</w:t>
      </w:r>
      <w:r>
        <w:rPr>
          <w:rFonts w:cs="Times New Roman"/>
          <w:szCs w:val="24"/>
        </w:rPr>
        <w:t xml:space="preserve">(1), 12-32. Retrieved March 2, 2016, from </w:t>
      </w:r>
      <w:r w:rsidRPr="006B31A2">
        <w:rPr>
          <w:rFonts w:cs="Times New Roman"/>
          <w:szCs w:val="24"/>
        </w:rPr>
        <w:t>https://www.oenb.at/dam/jcr:67210c4f-c492-428d-b4ac-b778bfbeb640/mop_2014_q1_analyses2.pdf</w:t>
      </w:r>
      <w:r>
        <w:rPr>
          <w:rFonts w:cs="Times New Roman"/>
          <w:szCs w:val="24"/>
        </w:rPr>
        <w:t xml:space="preserve">. </w:t>
      </w:r>
    </w:p>
    <w:p w14:paraId="6A66368D" w14:textId="77777777" w:rsidR="00E20D76" w:rsidRDefault="00E20D76" w:rsidP="00E20D76">
      <w:pPr>
        <w:spacing w:line="276" w:lineRule="auto"/>
        <w:ind w:left="720" w:hanging="720"/>
        <w:rPr>
          <w:rFonts w:cs="Times New Roman"/>
          <w:szCs w:val="24"/>
        </w:rPr>
      </w:pPr>
      <w:r w:rsidRPr="00D10285">
        <w:rPr>
          <w:rFonts w:cs="Times New Roman"/>
          <w:szCs w:val="24"/>
        </w:rPr>
        <w:t>Kudrna, Z. (2012). Cross-Border Resolution of Failed Banks in the European Union after the Crisis: Business as Usual*.</w:t>
      </w:r>
      <w:r w:rsidRPr="00D10285">
        <w:rPr>
          <w:rFonts w:cs="Times New Roman"/>
          <w:i/>
          <w:iCs/>
          <w:szCs w:val="24"/>
        </w:rPr>
        <w:t xml:space="preserve"> Journal of Common Market Studies,</w:t>
      </w:r>
      <w:r w:rsidRPr="00D10285">
        <w:rPr>
          <w:rFonts w:cs="Times New Roman"/>
          <w:szCs w:val="24"/>
        </w:rPr>
        <w:t> </w:t>
      </w:r>
      <w:r w:rsidRPr="00D10285">
        <w:rPr>
          <w:rFonts w:cs="Times New Roman"/>
          <w:i/>
          <w:iCs/>
          <w:szCs w:val="24"/>
        </w:rPr>
        <w:t>50</w:t>
      </w:r>
      <w:r w:rsidRPr="00D10285">
        <w:rPr>
          <w:rFonts w:cs="Times New Roman"/>
          <w:szCs w:val="24"/>
        </w:rPr>
        <w:t>(2), 283-299. doi:</w:t>
      </w:r>
      <w:r>
        <w:rPr>
          <w:rFonts w:cs="Times New Roman"/>
          <w:szCs w:val="24"/>
        </w:rPr>
        <w:t xml:space="preserve">10.1111/j.1468-5965.2011.02204. </w:t>
      </w:r>
    </w:p>
    <w:p w14:paraId="6E47B0A9" w14:textId="77777777" w:rsidR="00E20D76" w:rsidRDefault="00E20D76" w:rsidP="00E20D76">
      <w:pPr>
        <w:spacing w:line="276" w:lineRule="auto"/>
        <w:ind w:left="720" w:hanging="720"/>
        <w:rPr>
          <w:rFonts w:cs="Times New Roman"/>
          <w:szCs w:val="24"/>
        </w:rPr>
      </w:pPr>
      <w:r w:rsidRPr="002872D2">
        <w:rPr>
          <w:rFonts w:cs="Times New Roman"/>
          <w:szCs w:val="24"/>
        </w:rPr>
        <w:t>Kumar, K. (2015, November 28). EU Commission pulls up Germany and 11 more for imbalances: Moots mandatory deposit insurance for euro zone banks. </w:t>
      </w:r>
      <w:r w:rsidRPr="002872D2">
        <w:rPr>
          <w:rFonts w:cs="Times New Roman"/>
          <w:i/>
          <w:iCs/>
          <w:szCs w:val="24"/>
        </w:rPr>
        <w:t>International Business Times</w:t>
      </w:r>
      <w:r w:rsidRPr="002872D2">
        <w:rPr>
          <w:rFonts w:cs="Times New Roman"/>
          <w:szCs w:val="24"/>
        </w:rPr>
        <w:t xml:space="preserve">. Retrieved March 9, 2016, from </w:t>
      </w:r>
      <w:hyperlink r:id="rId42" w:history="1">
        <w:r w:rsidRPr="00F06721">
          <w:rPr>
            <w:rStyle w:val="Hyperlink"/>
            <w:rFonts w:cs="Times New Roman"/>
            <w:szCs w:val="24"/>
          </w:rPr>
          <w:t>http://www.ibtimes.com.au/eu-commission-pulls-germany-11-more-imbalances-moots-mandatory-deposit-insurance-euro-zone-banks</w:t>
        </w:r>
      </w:hyperlink>
      <w:r>
        <w:rPr>
          <w:rFonts w:cs="Times New Roman"/>
          <w:szCs w:val="24"/>
        </w:rPr>
        <w:t xml:space="preserve">. </w:t>
      </w:r>
    </w:p>
    <w:p w14:paraId="4F5143BF" w14:textId="77777777" w:rsidR="00E20D76" w:rsidRPr="00715317" w:rsidRDefault="00E20D76" w:rsidP="00E20D76">
      <w:pPr>
        <w:spacing w:line="276" w:lineRule="auto"/>
        <w:ind w:left="720" w:hanging="720"/>
        <w:rPr>
          <w:rFonts w:cs="Times New Roman"/>
          <w:szCs w:val="24"/>
        </w:rPr>
      </w:pPr>
      <w:r w:rsidRPr="0084380E">
        <w:rPr>
          <w:rFonts w:cs="Times New Roman"/>
          <w:szCs w:val="24"/>
        </w:rPr>
        <w:t>Le Guernigou, Y., Nikolaeva, M., Vinocur, N., Thomas, L., Callus, A., Sage, A., &amp; Henderson, K. (2014, November 4). French, German Resolution Fund Bill to be 15 Billion Euros per Country. </w:t>
      </w:r>
      <w:r w:rsidRPr="0084380E">
        <w:rPr>
          <w:rFonts w:cs="Times New Roman"/>
          <w:i/>
          <w:iCs/>
          <w:szCs w:val="24"/>
        </w:rPr>
        <w:t>Reuters</w:t>
      </w:r>
      <w:r w:rsidRPr="0084380E">
        <w:rPr>
          <w:rFonts w:cs="Times New Roman"/>
          <w:szCs w:val="24"/>
        </w:rPr>
        <w:t xml:space="preserve">. Retrieved November 20, 2014, from </w:t>
      </w:r>
      <w:hyperlink r:id="rId43" w:history="1">
        <w:r w:rsidRPr="0084380E">
          <w:rPr>
            <w:rStyle w:val="Hyperlink"/>
            <w:rFonts w:cs="Times New Roman"/>
            <w:szCs w:val="24"/>
          </w:rPr>
          <w:t>http://www.reuters.com/article/us-france-germany-banks-idUSKBN0IO0Q720141104</w:t>
        </w:r>
      </w:hyperlink>
      <w:r w:rsidRPr="0084380E">
        <w:rPr>
          <w:rFonts w:cs="Times New Roman"/>
          <w:szCs w:val="24"/>
        </w:rPr>
        <w:t xml:space="preserve">. </w:t>
      </w:r>
    </w:p>
    <w:p w14:paraId="7BA0D611" w14:textId="77777777" w:rsidR="00E20D76" w:rsidRDefault="00E20D76" w:rsidP="00E20D76">
      <w:pPr>
        <w:spacing w:line="276" w:lineRule="auto"/>
        <w:ind w:left="720" w:hanging="720"/>
        <w:rPr>
          <w:rFonts w:cs="Times New Roman"/>
          <w:szCs w:val="24"/>
        </w:rPr>
      </w:pPr>
      <w:r w:rsidRPr="00784C56">
        <w:rPr>
          <w:rFonts w:cs="Times New Roman"/>
          <w:szCs w:val="24"/>
        </w:rPr>
        <w:t>Lowi, T. J. (1964). American Business, Public Policy, Case-Studies, and Political Theory. </w:t>
      </w:r>
      <w:r w:rsidRPr="00784C56">
        <w:rPr>
          <w:rFonts w:cs="Times New Roman"/>
          <w:i/>
          <w:iCs/>
          <w:szCs w:val="24"/>
        </w:rPr>
        <w:t>World Pol. World Politics,</w:t>
      </w:r>
      <w:r w:rsidRPr="00784C56">
        <w:rPr>
          <w:rFonts w:cs="Times New Roman"/>
          <w:szCs w:val="24"/>
        </w:rPr>
        <w:t> </w:t>
      </w:r>
      <w:r w:rsidRPr="00784C56">
        <w:rPr>
          <w:rFonts w:cs="Times New Roman"/>
          <w:i/>
          <w:iCs/>
          <w:szCs w:val="24"/>
        </w:rPr>
        <w:t>16</w:t>
      </w:r>
      <w:r w:rsidRPr="00784C56">
        <w:rPr>
          <w:rFonts w:cs="Times New Roman"/>
          <w:szCs w:val="24"/>
        </w:rPr>
        <w:t>(04), 677-715. doi:10.2307/2009452</w:t>
      </w:r>
      <w:r>
        <w:rPr>
          <w:rFonts w:cs="Times New Roman"/>
          <w:szCs w:val="24"/>
        </w:rPr>
        <w:t>.</w:t>
      </w:r>
    </w:p>
    <w:p w14:paraId="644148A7" w14:textId="77777777" w:rsidR="00E20D76" w:rsidRDefault="00E20D76" w:rsidP="00E20D76">
      <w:pPr>
        <w:spacing w:line="276" w:lineRule="auto"/>
        <w:ind w:left="720" w:hanging="720"/>
        <w:rPr>
          <w:rFonts w:cs="Times New Roman"/>
          <w:szCs w:val="24"/>
        </w:rPr>
      </w:pPr>
      <w:r w:rsidRPr="00992301">
        <w:rPr>
          <w:rFonts w:cs="Times New Roman"/>
          <w:szCs w:val="24"/>
        </w:rPr>
        <w:t>Lowi, T. J. (1972). Four Systems of Policy, Politics, and Choice. </w:t>
      </w:r>
      <w:r w:rsidRPr="00992301">
        <w:rPr>
          <w:rFonts w:cs="Times New Roman"/>
          <w:i/>
          <w:iCs/>
          <w:szCs w:val="24"/>
        </w:rPr>
        <w:t>Public Administration Review,</w:t>
      </w:r>
      <w:r w:rsidRPr="00992301">
        <w:rPr>
          <w:rFonts w:cs="Times New Roman"/>
          <w:szCs w:val="24"/>
        </w:rPr>
        <w:t> </w:t>
      </w:r>
      <w:r w:rsidRPr="00992301">
        <w:rPr>
          <w:rFonts w:cs="Times New Roman"/>
          <w:i/>
          <w:iCs/>
          <w:szCs w:val="24"/>
        </w:rPr>
        <w:t>32</w:t>
      </w:r>
      <w:r w:rsidRPr="00992301">
        <w:rPr>
          <w:rFonts w:cs="Times New Roman"/>
          <w:szCs w:val="24"/>
        </w:rPr>
        <w:t>(4), 298. doi:10.2307/974990</w:t>
      </w:r>
      <w:r>
        <w:rPr>
          <w:rFonts w:cs="Times New Roman"/>
          <w:szCs w:val="24"/>
        </w:rPr>
        <w:t xml:space="preserve">. </w:t>
      </w:r>
    </w:p>
    <w:p w14:paraId="378D1FE3" w14:textId="77777777" w:rsidR="00E20D76" w:rsidRDefault="00E20D76" w:rsidP="00E20D76">
      <w:pPr>
        <w:spacing w:line="276" w:lineRule="auto"/>
        <w:ind w:left="720" w:hanging="720"/>
        <w:rPr>
          <w:rFonts w:cs="Times New Roman"/>
          <w:szCs w:val="24"/>
        </w:rPr>
      </w:pPr>
      <w:r w:rsidRPr="00D20189">
        <w:rPr>
          <w:rFonts w:cs="Times New Roman"/>
          <w:szCs w:val="24"/>
        </w:rPr>
        <w:t>Luntz, F. I. (2007). </w:t>
      </w:r>
      <w:r w:rsidRPr="00D20189">
        <w:rPr>
          <w:rFonts w:cs="Times New Roman"/>
          <w:i/>
          <w:iCs/>
          <w:szCs w:val="24"/>
        </w:rPr>
        <w:t>Words that work: It's not what you say, it's what people hear</w:t>
      </w:r>
      <w:r w:rsidRPr="00D20189">
        <w:rPr>
          <w:rFonts w:cs="Times New Roman"/>
          <w:szCs w:val="24"/>
        </w:rPr>
        <w:t>. New York: Hyperion.</w:t>
      </w:r>
    </w:p>
    <w:p w14:paraId="3C0D0C8D" w14:textId="77777777" w:rsidR="00E20D76" w:rsidRDefault="00E20D76" w:rsidP="00E20D76">
      <w:pPr>
        <w:spacing w:line="276" w:lineRule="auto"/>
        <w:ind w:left="720" w:hanging="720"/>
        <w:rPr>
          <w:rFonts w:cs="Times New Roman"/>
          <w:szCs w:val="24"/>
        </w:rPr>
      </w:pPr>
      <w:r w:rsidRPr="006366E8">
        <w:rPr>
          <w:rFonts w:cs="Times New Roman"/>
          <w:szCs w:val="24"/>
        </w:rPr>
        <w:t>Mercer, J. (2005). Prospect Theory And Political Science. </w:t>
      </w:r>
      <w:r w:rsidRPr="006366E8">
        <w:rPr>
          <w:rFonts w:cs="Times New Roman"/>
          <w:i/>
          <w:iCs/>
          <w:szCs w:val="24"/>
        </w:rPr>
        <w:t>Annual Review of Political Science</w:t>
      </w:r>
      <w:r>
        <w:rPr>
          <w:rFonts w:cs="Times New Roman"/>
          <w:i/>
          <w:iCs/>
          <w:szCs w:val="24"/>
        </w:rPr>
        <w:t>.</w:t>
      </w:r>
      <w:r w:rsidRPr="006366E8">
        <w:rPr>
          <w:rFonts w:cs="Times New Roman"/>
          <w:szCs w:val="24"/>
        </w:rPr>
        <w:t> </w:t>
      </w:r>
      <w:r w:rsidRPr="006366E8">
        <w:rPr>
          <w:rFonts w:cs="Times New Roman"/>
          <w:i/>
          <w:iCs/>
          <w:szCs w:val="24"/>
        </w:rPr>
        <w:t>8</w:t>
      </w:r>
      <w:r w:rsidRPr="006366E8">
        <w:rPr>
          <w:rFonts w:cs="Times New Roman"/>
          <w:szCs w:val="24"/>
        </w:rPr>
        <w:t>(1), 1-21. doi:10.1146/annurev.polisci.8.082103.104911</w:t>
      </w:r>
      <w:r>
        <w:rPr>
          <w:rFonts w:cs="Times New Roman"/>
          <w:szCs w:val="24"/>
        </w:rPr>
        <w:t xml:space="preserve">. </w:t>
      </w:r>
    </w:p>
    <w:p w14:paraId="5BA742D4" w14:textId="77777777" w:rsidR="00E20D76" w:rsidRDefault="00E20D76" w:rsidP="00E20D76">
      <w:pPr>
        <w:spacing w:line="276" w:lineRule="auto"/>
        <w:ind w:left="720" w:hanging="720"/>
        <w:rPr>
          <w:rFonts w:cs="Times New Roman"/>
          <w:szCs w:val="24"/>
        </w:rPr>
      </w:pPr>
      <w:r w:rsidRPr="00934776">
        <w:rPr>
          <w:rFonts w:cs="Times New Roman"/>
          <w:szCs w:val="24"/>
        </w:rPr>
        <w:t>Münchau, W. (2015, November 29). Europe Needs a Sense of Strategic Direction to Survive. </w:t>
      </w:r>
      <w:r w:rsidRPr="00934776">
        <w:rPr>
          <w:rFonts w:cs="Times New Roman"/>
          <w:i/>
          <w:iCs/>
          <w:szCs w:val="24"/>
        </w:rPr>
        <w:t>Financial Times</w:t>
      </w:r>
      <w:r w:rsidRPr="00934776">
        <w:rPr>
          <w:rFonts w:cs="Times New Roman"/>
          <w:szCs w:val="24"/>
        </w:rPr>
        <w:t xml:space="preserve">. Retrieved March 8, 2016, from </w:t>
      </w:r>
      <w:hyperlink r:id="rId44" w:history="1">
        <w:r w:rsidRPr="0055006C">
          <w:rPr>
            <w:rStyle w:val="Hyperlink"/>
            <w:rFonts w:cs="Times New Roman"/>
            <w:szCs w:val="24"/>
          </w:rPr>
          <w:t>http://www.ft.com/cms/s/0/db6eed36-951f-11e5-8389-7c9ccf83dceb.html</w:t>
        </w:r>
      </w:hyperlink>
      <w:r>
        <w:rPr>
          <w:rFonts w:cs="Times New Roman"/>
          <w:szCs w:val="24"/>
        </w:rPr>
        <w:t xml:space="preserve">. </w:t>
      </w:r>
    </w:p>
    <w:p w14:paraId="3ABBB567" w14:textId="77777777" w:rsidR="00E20D76" w:rsidRDefault="00E20D76" w:rsidP="00E20D76">
      <w:pPr>
        <w:spacing w:line="276" w:lineRule="auto"/>
        <w:ind w:left="720" w:hanging="720"/>
        <w:rPr>
          <w:rFonts w:cs="Times New Roman"/>
          <w:szCs w:val="24"/>
        </w:rPr>
      </w:pPr>
      <w:r w:rsidRPr="001C0D6F">
        <w:rPr>
          <w:rFonts w:cs="Times New Roman"/>
          <w:szCs w:val="24"/>
        </w:rPr>
        <w:t>Niemann, A., &amp; Ioannou, D. (2015). European economic integration in times of crisis: A case of neofunctionalism? </w:t>
      </w:r>
      <w:r w:rsidRPr="001C0D6F">
        <w:rPr>
          <w:rFonts w:cs="Times New Roman"/>
          <w:i/>
          <w:iCs/>
          <w:szCs w:val="24"/>
        </w:rPr>
        <w:t>Journal of European Public Policy,</w:t>
      </w:r>
      <w:r w:rsidRPr="001C0D6F">
        <w:rPr>
          <w:rFonts w:cs="Times New Roman"/>
          <w:szCs w:val="24"/>
        </w:rPr>
        <w:t> </w:t>
      </w:r>
      <w:r w:rsidRPr="001C0D6F">
        <w:rPr>
          <w:rFonts w:cs="Times New Roman"/>
          <w:i/>
          <w:iCs/>
          <w:szCs w:val="24"/>
        </w:rPr>
        <w:t>22</w:t>
      </w:r>
      <w:r w:rsidRPr="001C0D6F">
        <w:rPr>
          <w:rFonts w:cs="Times New Roman"/>
          <w:szCs w:val="24"/>
        </w:rPr>
        <w:t>(2), 196-218. doi:10.1080/13501763.2014.994021</w:t>
      </w:r>
      <w:r>
        <w:rPr>
          <w:rFonts w:cs="Times New Roman"/>
          <w:szCs w:val="24"/>
        </w:rPr>
        <w:t xml:space="preserve">. </w:t>
      </w:r>
    </w:p>
    <w:p w14:paraId="4E2B09F5" w14:textId="77777777" w:rsidR="00E20D76" w:rsidRPr="00715317" w:rsidRDefault="00E20D76" w:rsidP="00E20D76">
      <w:pPr>
        <w:spacing w:line="276" w:lineRule="auto"/>
        <w:ind w:left="720" w:hanging="720"/>
        <w:rPr>
          <w:rFonts w:cs="Times New Roman"/>
          <w:szCs w:val="24"/>
        </w:rPr>
      </w:pPr>
      <w:r w:rsidRPr="00AE4CBF">
        <w:rPr>
          <w:rFonts w:cs="Times New Roman"/>
          <w:szCs w:val="24"/>
        </w:rPr>
        <w:t xml:space="preserve">Osborne, A. (2013, December 21). BCCI Victims Pursue Extra £200m Payout. Retrieved March 8, 2016, from </w:t>
      </w:r>
      <w:hyperlink r:id="rId45" w:history="1">
        <w:r w:rsidRPr="0055006C">
          <w:rPr>
            <w:rStyle w:val="Hyperlink"/>
            <w:rFonts w:cs="Times New Roman"/>
            <w:szCs w:val="24"/>
          </w:rPr>
          <w:t>http://www.telegraph.co.uk/finance/newsbysector/banksandfinance/10533017/BCCI-victims-pursue-extra-200m-payout.html</w:t>
        </w:r>
      </w:hyperlink>
      <w:r>
        <w:rPr>
          <w:rFonts w:cs="Times New Roman"/>
          <w:szCs w:val="24"/>
        </w:rPr>
        <w:t xml:space="preserve">. </w:t>
      </w:r>
    </w:p>
    <w:p w14:paraId="6429D82A" w14:textId="77777777" w:rsidR="00E20D76" w:rsidRDefault="00E20D76" w:rsidP="00E20D76">
      <w:pPr>
        <w:spacing w:line="276" w:lineRule="auto"/>
        <w:ind w:left="720" w:hanging="720"/>
        <w:rPr>
          <w:rFonts w:cs="Times New Roman"/>
          <w:szCs w:val="24"/>
        </w:rPr>
      </w:pPr>
      <w:r w:rsidRPr="00C618AE">
        <w:rPr>
          <w:rFonts w:cs="Times New Roman"/>
          <w:szCs w:val="24"/>
        </w:rPr>
        <w:t xml:space="preserve">Pisani-Ferry, J. &amp; Sapir, A. (2010). </w:t>
      </w:r>
      <w:r w:rsidRPr="00715317">
        <w:rPr>
          <w:rFonts w:cs="Times New Roman"/>
          <w:szCs w:val="24"/>
        </w:rPr>
        <w:t xml:space="preserve">Banking Crisis Management </w:t>
      </w:r>
      <w:r>
        <w:rPr>
          <w:rFonts w:cs="Times New Roman"/>
          <w:szCs w:val="24"/>
        </w:rPr>
        <w:t>in the EU: An Early Assessment.</w:t>
      </w:r>
      <w:r w:rsidRPr="00715317">
        <w:rPr>
          <w:rFonts w:cs="Times New Roman"/>
          <w:szCs w:val="24"/>
        </w:rPr>
        <w:t xml:space="preserve"> </w:t>
      </w:r>
      <w:r w:rsidRPr="00715317">
        <w:rPr>
          <w:rFonts w:cs="Times New Roman"/>
          <w:i/>
          <w:szCs w:val="24"/>
        </w:rPr>
        <w:t>Economic Policy</w:t>
      </w:r>
      <w:r>
        <w:rPr>
          <w:rFonts w:cs="Times New Roman"/>
          <w:i/>
          <w:szCs w:val="24"/>
        </w:rPr>
        <w:t>, April(2010)</w:t>
      </w:r>
      <w:r>
        <w:rPr>
          <w:rFonts w:cs="Times New Roman"/>
          <w:szCs w:val="24"/>
        </w:rPr>
        <w:t xml:space="preserve">, </w:t>
      </w:r>
      <w:r w:rsidRPr="00715317">
        <w:rPr>
          <w:rFonts w:cs="Times New Roman"/>
          <w:szCs w:val="24"/>
        </w:rPr>
        <w:t>341-373.</w:t>
      </w:r>
      <w:r>
        <w:rPr>
          <w:rFonts w:cs="Times New Roman"/>
          <w:szCs w:val="24"/>
        </w:rPr>
        <w:t xml:space="preserve"> doi:</w:t>
      </w:r>
      <w:r w:rsidRPr="00C618AE">
        <w:t xml:space="preserve"> </w:t>
      </w:r>
      <w:hyperlink r:id="rId46" w:history="1">
        <w:r w:rsidRPr="00C618AE">
          <w:rPr>
            <w:rStyle w:val="Hyperlink"/>
            <w:rFonts w:cs="Times New Roman"/>
            <w:szCs w:val="24"/>
          </w:rPr>
          <w:t>http://dx.doi.org/10.1111/j.1468-0327.2010.00243.x</w:t>
        </w:r>
      </w:hyperlink>
      <w:r>
        <w:rPr>
          <w:rFonts w:cs="Times New Roman"/>
          <w:szCs w:val="24"/>
        </w:rPr>
        <w:t xml:space="preserve">. </w:t>
      </w:r>
    </w:p>
    <w:p w14:paraId="3456AD22" w14:textId="77777777" w:rsidR="00E20D76" w:rsidRDefault="00E20D76" w:rsidP="00E20D76">
      <w:pPr>
        <w:spacing w:line="276" w:lineRule="auto"/>
        <w:ind w:left="720" w:hanging="720"/>
        <w:rPr>
          <w:rFonts w:cs="Times New Roman"/>
          <w:szCs w:val="24"/>
        </w:rPr>
      </w:pPr>
      <w:r w:rsidRPr="006366E8">
        <w:rPr>
          <w:rFonts w:cs="Times New Roman"/>
          <w:szCs w:val="24"/>
        </w:rPr>
        <w:t xml:space="preserve">Polychroniou, C. (2015, August 28). Refugee crisis exposes massive flaws in EU governance. Retrieved from </w:t>
      </w:r>
      <w:hyperlink r:id="rId47" w:history="1">
        <w:r w:rsidRPr="00F06721">
          <w:rPr>
            <w:rStyle w:val="Hyperlink"/>
            <w:rFonts w:cs="Times New Roman"/>
            <w:szCs w:val="24"/>
          </w:rPr>
          <w:t>http://www.aljazeera.com/indepth/opinion/2015/08/refugee-crisis-exposes-massive-flaws-eu-governance-150826115439854.html</w:t>
        </w:r>
      </w:hyperlink>
      <w:r>
        <w:rPr>
          <w:rFonts w:cs="Times New Roman"/>
          <w:szCs w:val="24"/>
        </w:rPr>
        <w:t>.</w:t>
      </w:r>
    </w:p>
    <w:p w14:paraId="7C3CBE13" w14:textId="77777777" w:rsidR="00E20D76" w:rsidRDefault="00E20D76" w:rsidP="00E20D76">
      <w:pPr>
        <w:spacing w:line="276" w:lineRule="auto"/>
        <w:ind w:left="720" w:hanging="720"/>
        <w:rPr>
          <w:rFonts w:cs="Times New Roman"/>
          <w:szCs w:val="24"/>
        </w:rPr>
      </w:pPr>
      <w:r w:rsidRPr="0084380E">
        <w:rPr>
          <w:rFonts w:cs="Times New Roman"/>
          <w:szCs w:val="24"/>
        </w:rPr>
        <w:t xml:space="preserve">Recommendation 87/63/EEC. Commission Recommendation of 22 December 1986 concerning the introduction of deposit-guarantee schemes in the Community. </w:t>
      </w:r>
      <w:r w:rsidRPr="0084380E">
        <w:rPr>
          <w:rFonts w:cs="Times New Roman"/>
          <w:i/>
          <w:szCs w:val="24"/>
        </w:rPr>
        <w:t xml:space="preserve">Official Journal of the European Communities </w:t>
      </w:r>
      <w:r w:rsidRPr="0084380E">
        <w:rPr>
          <w:rFonts w:cs="Times New Roman"/>
          <w:szCs w:val="24"/>
        </w:rPr>
        <w:t xml:space="preserve">L033, 04.02.1987. </w:t>
      </w:r>
      <w:hyperlink r:id="rId48" w:history="1">
        <w:r w:rsidRPr="0084380E">
          <w:rPr>
            <w:rStyle w:val="Hyperlink"/>
            <w:rFonts w:cs="Times New Roman"/>
            <w:szCs w:val="24"/>
          </w:rPr>
          <w:t>http://eur-lex.europa.eu/legal-content/EN/TXT/HTML/?uri=CELEX:31987H0063&amp;from=EN</w:t>
        </w:r>
      </w:hyperlink>
      <w:r w:rsidRPr="0084380E">
        <w:rPr>
          <w:rFonts w:cs="Times New Roman"/>
          <w:szCs w:val="24"/>
        </w:rPr>
        <w:t xml:space="preserve">. </w:t>
      </w:r>
    </w:p>
    <w:p w14:paraId="4154DF1B" w14:textId="77777777" w:rsidR="00E20D76" w:rsidRPr="00715317" w:rsidRDefault="00E20D76" w:rsidP="00E20D76">
      <w:pPr>
        <w:spacing w:line="276" w:lineRule="auto"/>
        <w:ind w:left="720" w:hanging="720"/>
        <w:rPr>
          <w:rFonts w:cs="Times New Roman"/>
          <w:szCs w:val="24"/>
        </w:rPr>
      </w:pPr>
      <w:r w:rsidRPr="0084380E">
        <w:rPr>
          <w:rFonts w:cs="Times New Roman"/>
          <w:szCs w:val="24"/>
        </w:rPr>
        <w:t xml:space="preserve">Regulation 806/204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 </w:t>
      </w:r>
      <w:r w:rsidRPr="0084380E">
        <w:rPr>
          <w:rFonts w:cs="Times New Roman"/>
          <w:i/>
          <w:szCs w:val="24"/>
        </w:rPr>
        <w:t xml:space="preserve">Official Journal of the European Union </w:t>
      </w:r>
      <w:r w:rsidRPr="0084380E">
        <w:rPr>
          <w:rFonts w:cs="Times New Roman"/>
          <w:szCs w:val="24"/>
        </w:rPr>
        <w:t xml:space="preserve">L225, 30.07.2014. </w:t>
      </w:r>
      <w:hyperlink r:id="rId49" w:history="1">
        <w:r w:rsidRPr="0084380E">
          <w:rPr>
            <w:rStyle w:val="Hyperlink"/>
            <w:rFonts w:cs="Times New Roman"/>
            <w:szCs w:val="24"/>
          </w:rPr>
          <w:t>http://eur-lex.europa.eu/legal-content/EN/TXT/HTML/?uri=CELEX:32014R0806&amp;from=EN</w:t>
        </w:r>
      </w:hyperlink>
      <w:r w:rsidRPr="0084380E">
        <w:rPr>
          <w:rFonts w:cs="Times New Roman"/>
          <w:szCs w:val="24"/>
        </w:rPr>
        <w:t xml:space="preserve">. </w:t>
      </w:r>
    </w:p>
    <w:p w14:paraId="6FFFE08E" w14:textId="77777777" w:rsidR="00E20D76" w:rsidRDefault="00E20D76" w:rsidP="00E20D76">
      <w:pPr>
        <w:spacing w:line="276" w:lineRule="auto"/>
        <w:ind w:left="720" w:hanging="720"/>
        <w:rPr>
          <w:rFonts w:cs="Times New Roman"/>
          <w:szCs w:val="24"/>
        </w:rPr>
      </w:pPr>
      <w:r w:rsidRPr="0063608A">
        <w:rPr>
          <w:rFonts w:cs="Times New Roman"/>
          <w:szCs w:val="24"/>
        </w:rPr>
        <w:t xml:space="preserve">Schäfer, D. (2015). A Banking Union of Ideas? The Impact of Ordoliberalism and the Vicious </w:t>
      </w:r>
      <w:r>
        <w:rPr>
          <w:rFonts w:cs="Times New Roman"/>
          <w:szCs w:val="24"/>
        </w:rPr>
        <w:t>Circle on the EU Banking Union.</w:t>
      </w:r>
      <w:r w:rsidRPr="0063608A">
        <w:rPr>
          <w:rFonts w:cs="Times New Roman"/>
          <w:i/>
          <w:iCs/>
          <w:szCs w:val="24"/>
        </w:rPr>
        <w:t xml:space="preserve"> Journal of Common Market Studies,</w:t>
      </w:r>
      <w:r w:rsidRPr="0063608A">
        <w:rPr>
          <w:rFonts w:cs="Times New Roman"/>
          <w:szCs w:val="24"/>
        </w:rPr>
        <w:t> 1-20. doi:10.1111/jcms.12351</w:t>
      </w:r>
      <w:r>
        <w:rPr>
          <w:rFonts w:cs="Times New Roman"/>
          <w:szCs w:val="24"/>
        </w:rPr>
        <w:t xml:space="preserve">. </w:t>
      </w:r>
    </w:p>
    <w:p w14:paraId="465687F2" w14:textId="77777777" w:rsidR="00E20D76" w:rsidRDefault="00E20D76" w:rsidP="00E20D76">
      <w:pPr>
        <w:spacing w:line="276" w:lineRule="auto"/>
        <w:ind w:left="720" w:hanging="720"/>
        <w:rPr>
          <w:rFonts w:cs="Times New Roman"/>
          <w:szCs w:val="24"/>
        </w:rPr>
      </w:pPr>
      <w:r w:rsidRPr="00D74E75">
        <w:rPr>
          <w:rFonts w:cs="Times New Roman"/>
          <w:szCs w:val="24"/>
        </w:rPr>
        <w:t>Schäuble, W. (2013, May 12). Banking Union Must be on Firm Foundations.</w:t>
      </w:r>
      <w:r w:rsidRPr="00D74E75">
        <w:rPr>
          <w:rFonts w:cs="Times New Roman"/>
          <w:i/>
          <w:iCs/>
          <w:szCs w:val="24"/>
        </w:rPr>
        <w:t>Financial Times</w:t>
      </w:r>
      <w:r w:rsidRPr="00D74E75">
        <w:rPr>
          <w:rFonts w:cs="Times New Roman"/>
          <w:szCs w:val="24"/>
        </w:rPr>
        <w:t xml:space="preserve">. Retrieved March 10, 2016, from </w:t>
      </w:r>
      <w:hyperlink r:id="rId50" w:anchor="axzz42LvDp9LQ" w:history="1">
        <w:r w:rsidRPr="003F23F3">
          <w:rPr>
            <w:rStyle w:val="Hyperlink"/>
            <w:rFonts w:cs="Times New Roman"/>
            <w:szCs w:val="24"/>
          </w:rPr>
          <w:t>http://www.ft.com/intl/cms/s/0/8bdaf6e8-b89f-11e2-869f-00144feabdc0.html#axzz42LvDp9LQ</w:t>
        </w:r>
      </w:hyperlink>
      <w:r>
        <w:rPr>
          <w:rFonts w:cs="Times New Roman"/>
          <w:szCs w:val="24"/>
        </w:rPr>
        <w:t xml:space="preserve">. </w:t>
      </w:r>
    </w:p>
    <w:p w14:paraId="00AA192C" w14:textId="77777777" w:rsidR="00E20D76" w:rsidRDefault="00E20D76" w:rsidP="00E20D76">
      <w:pPr>
        <w:spacing w:line="276" w:lineRule="auto"/>
        <w:ind w:left="720" w:hanging="720"/>
        <w:rPr>
          <w:rFonts w:cs="Times New Roman"/>
          <w:szCs w:val="24"/>
        </w:rPr>
      </w:pPr>
      <w:r w:rsidRPr="006366E8">
        <w:rPr>
          <w:rFonts w:cs="Times New Roman"/>
          <w:szCs w:val="24"/>
        </w:rPr>
        <w:t>Schi</w:t>
      </w:r>
      <w:r>
        <w:rPr>
          <w:rFonts w:cs="Times New Roman"/>
          <w:szCs w:val="24"/>
        </w:rPr>
        <w:t>mmelfennig, F. (2015). Liberal Intergovernmentalism and the E</w:t>
      </w:r>
      <w:r w:rsidRPr="006366E8">
        <w:rPr>
          <w:rFonts w:cs="Times New Roman"/>
          <w:szCs w:val="24"/>
        </w:rPr>
        <w:t xml:space="preserve">uro </w:t>
      </w:r>
      <w:r>
        <w:rPr>
          <w:rFonts w:cs="Times New Roman"/>
          <w:szCs w:val="24"/>
        </w:rPr>
        <w:t>Area C</w:t>
      </w:r>
      <w:r w:rsidRPr="006366E8">
        <w:rPr>
          <w:rFonts w:cs="Times New Roman"/>
          <w:szCs w:val="24"/>
        </w:rPr>
        <w:t>risis. </w:t>
      </w:r>
      <w:r w:rsidRPr="006366E8">
        <w:rPr>
          <w:rFonts w:cs="Times New Roman"/>
          <w:i/>
          <w:iCs/>
          <w:szCs w:val="24"/>
        </w:rPr>
        <w:t>Journal of European Public Policy,</w:t>
      </w:r>
      <w:r w:rsidRPr="006366E8">
        <w:rPr>
          <w:rFonts w:cs="Times New Roman"/>
          <w:szCs w:val="24"/>
        </w:rPr>
        <w:t> </w:t>
      </w:r>
      <w:r w:rsidRPr="006366E8">
        <w:rPr>
          <w:rFonts w:cs="Times New Roman"/>
          <w:i/>
          <w:iCs/>
          <w:szCs w:val="24"/>
        </w:rPr>
        <w:t>22</w:t>
      </w:r>
      <w:r w:rsidRPr="006366E8">
        <w:rPr>
          <w:rFonts w:cs="Times New Roman"/>
          <w:szCs w:val="24"/>
        </w:rPr>
        <w:t>(2), 177-195. doi:10.1080/13501763.2014.994020</w:t>
      </w:r>
      <w:r>
        <w:rPr>
          <w:rFonts w:cs="Times New Roman"/>
          <w:szCs w:val="24"/>
        </w:rPr>
        <w:t xml:space="preserve">. </w:t>
      </w:r>
    </w:p>
    <w:p w14:paraId="189460B0" w14:textId="77777777" w:rsidR="00E20D76" w:rsidRDefault="00E20D76" w:rsidP="00E20D76">
      <w:pPr>
        <w:spacing w:line="276" w:lineRule="auto"/>
        <w:ind w:left="720" w:hanging="720"/>
        <w:rPr>
          <w:rFonts w:cs="Times New Roman"/>
          <w:szCs w:val="24"/>
        </w:rPr>
      </w:pPr>
      <w:r w:rsidRPr="001C0D6F">
        <w:rPr>
          <w:rFonts w:cs="Times New Roman"/>
          <w:szCs w:val="24"/>
        </w:rPr>
        <w:t>Schuknecht, L. (2016, February 8). An insurance scheme that only ensures problems. </w:t>
      </w:r>
      <w:r w:rsidRPr="001C0D6F">
        <w:rPr>
          <w:rFonts w:cs="Times New Roman"/>
          <w:i/>
          <w:iCs/>
          <w:szCs w:val="24"/>
        </w:rPr>
        <w:t>Http://blogs.faz.net/fazit/2016/02/08/an-insurance-scheme-that-only-ensures-problems-7298/</w:t>
      </w:r>
      <w:r w:rsidRPr="001C0D6F">
        <w:rPr>
          <w:rFonts w:cs="Times New Roman"/>
          <w:szCs w:val="24"/>
        </w:rPr>
        <w:t>.</w:t>
      </w:r>
    </w:p>
    <w:p w14:paraId="0F4E0028" w14:textId="77777777" w:rsidR="00E20D76" w:rsidRPr="00715317" w:rsidRDefault="00E20D76" w:rsidP="00E20D76">
      <w:pPr>
        <w:spacing w:line="276" w:lineRule="auto"/>
        <w:ind w:left="720" w:hanging="720"/>
        <w:rPr>
          <w:rFonts w:cs="Times New Roman"/>
          <w:szCs w:val="24"/>
        </w:rPr>
      </w:pPr>
      <w:r w:rsidRPr="00F52AAC">
        <w:rPr>
          <w:rFonts w:cs="Times New Roman"/>
          <w:szCs w:val="24"/>
        </w:rPr>
        <w:t>Spiegel, P., Barker, A., &amp; Ross, A. (2014, October 21). EU Leans on Big Banks to Finance Bailout Fund. </w:t>
      </w:r>
      <w:r w:rsidRPr="00F52AAC">
        <w:rPr>
          <w:rFonts w:cs="Times New Roman"/>
          <w:i/>
          <w:iCs/>
          <w:szCs w:val="24"/>
        </w:rPr>
        <w:t>The Financial Times</w:t>
      </w:r>
      <w:r w:rsidRPr="00F52AAC">
        <w:rPr>
          <w:rFonts w:cs="Times New Roman"/>
          <w:szCs w:val="24"/>
        </w:rPr>
        <w:t xml:space="preserve">. Retrieved November 10, 2015, from </w:t>
      </w:r>
      <w:hyperlink r:id="rId51" w:anchor="axzz3L9AZJBDi" w:history="1">
        <w:r w:rsidRPr="00F06721">
          <w:rPr>
            <w:rStyle w:val="Hyperlink"/>
            <w:rFonts w:cs="Times New Roman"/>
            <w:szCs w:val="24"/>
          </w:rPr>
          <w:t>http://www.ft.com/intl/cms/s/0/abc93c04-591f-11e4-a722-00144feab7de.html#axzz3L9AZJBDi</w:t>
        </w:r>
      </w:hyperlink>
      <w:r>
        <w:rPr>
          <w:rFonts w:cs="Times New Roman"/>
          <w:szCs w:val="24"/>
        </w:rPr>
        <w:t xml:space="preserve">. </w:t>
      </w:r>
    </w:p>
    <w:p w14:paraId="3E68B0B2" w14:textId="77777777" w:rsidR="00E20D76" w:rsidRDefault="00E20D76" w:rsidP="00E20D76">
      <w:pPr>
        <w:spacing w:line="276" w:lineRule="auto"/>
        <w:ind w:left="720" w:hanging="720"/>
        <w:rPr>
          <w:rFonts w:cs="Times New Roman"/>
          <w:szCs w:val="24"/>
        </w:rPr>
      </w:pPr>
      <w:r w:rsidRPr="00715317">
        <w:rPr>
          <w:rFonts w:cs="Times New Roman"/>
          <w:szCs w:val="24"/>
        </w:rPr>
        <w:t>Steinhauser, G</w:t>
      </w:r>
      <w:r>
        <w:rPr>
          <w:rFonts w:cs="Times New Roman"/>
          <w:szCs w:val="24"/>
        </w:rPr>
        <w:t xml:space="preserve">.&amp; Stevens, L. (2013, November 10). </w:t>
      </w:r>
      <w:r w:rsidRPr="00715317">
        <w:rPr>
          <w:rFonts w:cs="Times New Roman"/>
          <w:szCs w:val="24"/>
        </w:rPr>
        <w:t>German Savings Banks Flex Political Muscle: Sparkassen have Punched Loopholes into Eur</w:t>
      </w:r>
      <w:r>
        <w:rPr>
          <w:rFonts w:cs="Times New Roman"/>
          <w:szCs w:val="24"/>
        </w:rPr>
        <w:t>ope’s Post-Crisis Banking Laws.</w:t>
      </w:r>
      <w:r w:rsidRPr="00715317">
        <w:rPr>
          <w:rFonts w:cs="Times New Roman"/>
          <w:szCs w:val="24"/>
        </w:rPr>
        <w:t xml:space="preserve"> </w:t>
      </w:r>
      <w:r w:rsidRPr="00715317">
        <w:rPr>
          <w:rFonts w:cs="Times New Roman"/>
          <w:i/>
          <w:szCs w:val="24"/>
        </w:rPr>
        <w:t>Wall Street Journal</w:t>
      </w:r>
      <w:r>
        <w:rPr>
          <w:rFonts w:cs="Times New Roman"/>
          <w:szCs w:val="24"/>
        </w:rPr>
        <w:t xml:space="preserve">. Retrieved October 30, 2015, from </w:t>
      </w:r>
      <w:hyperlink r:id="rId52" w:history="1">
        <w:r w:rsidRPr="00F06721">
          <w:rPr>
            <w:rStyle w:val="Hyperlink"/>
            <w:rFonts w:cs="Times New Roman"/>
            <w:szCs w:val="24"/>
          </w:rPr>
          <w:t>http://www.wsj.com/articles/SB10001424052702303661404579177873015074830</w:t>
        </w:r>
      </w:hyperlink>
      <w:r>
        <w:rPr>
          <w:rFonts w:cs="Times New Roman"/>
          <w:szCs w:val="24"/>
        </w:rPr>
        <w:t xml:space="preserve">. </w:t>
      </w:r>
    </w:p>
    <w:p w14:paraId="514F7AA9" w14:textId="77777777" w:rsidR="00E20D76" w:rsidRDefault="00E20D76" w:rsidP="00E20D76">
      <w:pPr>
        <w:spacing w:line="276" w:lineRule="auto"/>
        <w:ind w:left="720" w:hanging="720"/>
        <w:rPr>
          <w:rFonts w:cs="Times New Roman"/>
          <w:szCs w:val="24"/>
        </w:rPr>
      </w:pPr>
      <w:r>
        <w:rPr>
          <w:rFonts w:cs="Times New Roman"/>
          <w:szCs w:val="24"/>
        </w:rPr>
        <w:t>STRATFOR</w:t>
      </w:r>
      <w:r w:rsidRPr="0084380E">
        <w:rPr>
          <w:rFonts w:cs="Times New Roman"/>
          <w:szCs w:val="24"/>
        </w:rPr>
        <w:t xml:space="preserve">. (2014, October 29). Europe: Building a Banking Union. Retrieved December 1, 2015, from </w:t>
      </w:r>
      <w:hyperlink r:id="rId53" w:history="1">
        <w:r w:rsidRPr="0084380E">
          <w:rPr>
            <w:rStyle w:val="Hyperlink"/>
            <w:rFonts w:cs="Times New Roman"/>
            <w:szCs w:val="24"/>
          </w:rPr>
          <w:t>https://www.stratfor.com/analysis/europe-building-banking-union</w:t>
        </w:r>
      </w:hyperlink>
      <w:r w:rsidRPr="0084380E">
        <w:rPr>
          <w:rFonts w:cs="Times New Roman"/>
          <w:szCs w:val="24"/>
        </w:rPr>
        <w:t xml:space="preserve">. </w:t>
      </w:r>
    </w:p>
    <w:p w14:paraId="71218D64" w14:textId="77777777" w:rsidR="00E20D76" w:rsidRPr="00715317" w:rsidRDefault="00E20D76" w:rsidP="00E20D76">
      <w:pPr>
        <w:spacing w:line="276" w:lineRule="auto"/>
        <w:ind w:left="720" w:hanging="720"/>
        <w:rPr>
          <w:rFonts w:cs="Times New Roman"/>
          <w:szCs w:val="24"/>
        </w:rPr>
      </w:pPr>
      <w:r w:rsidRPr="00C16C54">
        <w:rPr>
          <w:rFonts w:cs="Times New Roman"/>
          <w:szCs w:val="24"/>
        </w:rPr>
        <w:t>Traynor, I. (2013, December 19). Euro Leaders Gather for Summit after Complicated Banking Compromise. </w:t>
      </w:r>
      <w:r w:rsidRPr="00C16C54">
        <w:rPr>
          <w:rFonts w:cs="Times New Roman"/>
          <w:i/>
          <w:iCs/>
          <w:szCs w:val="24"/>
        </w:rPr>
        <w:t>The Guardian</w:t>
      </w:r>
      <w:r w:rsidRPr="00C16C54">
        <w:rPr>
          <w:rFonts w:cs="Times New Roman"/>
          <w:szCs w:val="24"/>
        </w:rPr>
        <w:t xml:space="preserve">. Retrieved March 1, 2016, from </w:t>
      </w:r>
      <w:hyperlink r:id="rId54" w:history="1">
        <w:r w:rsidRPr="00F06721">
          <w:rPr>
            <w:rStyle w:val="Hyperlink"/>
            <w:rFonts w:cs="Times New Roman"/>
            <w:szCs w:val="24"/>
          </w:rPr>
          <w:t>http://www.theguardian.com/business/2013/dec/19/european-leaders-summit-brussels-banking-germany-merkel</w:t>
        </w:r>
      </w:hyperlink>
      <w:r>
        <w:rPr>
          <w:rFonts w:cs="Times New Roman"/>
          <w:szCs w:val="24"/>
        </w:rPr>
        <w:t xml:space="preserve">. </w:t>
      </w:r>
    </w:p>
    <w:p w14:paraId="2F3A3A07" w14:textId="77777777" w:rsidR="00E20D76" w:rsidRDefault="00E20D76" w:rsidP="00E20D76">
      <w:pPr>
        <w:spacing w:line="276" w:lineRule="auto"/>
        <w:ind w:left="720" w:hanging="720"/>
        <w:rPr>
          <w:rFonts w:cs="Times New Roman"/>
          <w:szCs w:val="24"/>
        </w:rPr>
      </w:pPr>
      <w:r w:rsidRPr="00784C56">
        <w:rPr>
          <w:rFonts w:cs="Times New Roman"/>
          <w:szCs w:val="24"/>
        </w:rPr>
        <w:t>Tversky, A., &amp; Kahneman, D. (1992). Advances in prospect theory: Cumulative representation of uncertainty. </w:t>
      </w:r>
      <w:r w:rsidRPr="00784C56">
        <w:rPr>
          <w:rFonts w:cs="Times New Roman"/>
          <w:i/>
          <w:iCs/>
          <w:szCs w:val="24"/>
        </w:rPr>
        <w:t>Journal of Risk and Uncertainty J Risk Uncertainty,</w:t>
      </w:r>
      <w:r w:rsidRPr="00784C56">
        <w:rPr>
          <w:rFonts w:cs="Times New Roman"/>
          <w:szCs w:val="24"/>
        </w:rPr>
        <w:t> </w:t>
      </w:r>
      <w:r w:rsidRPr="00784C56">
        <w:rPr>
          <w:rFonts w:cs="Times New Roman"/>
          <w:i/>
          <w:iCs/>
          <w:szCs w:val="24"/>
        </w:rPr>
        <w:t>5</w:t>
      </w:r>
      <w:r w:rsidRPr="00784C56">
        <w:rPr>
          <w:rFonts w:cs="Times New Roman"/>
          <w:szCs w:val="24"/>
        </w:rPr>
        <w:t>(4), 297-323. doi:10.1007/bf00122574</w:t>
      </w:r>
      <w:r>
        <w:rPr>
          <w:rFonts w:cs="Times New Roman"/>
          <w:szCs w:val="24"/>
        </w:rPr>
        <w:t xml:space="preserve">. </w:t>
      </w:r>
    </w:p>
    <w:p w14:paraId="67D0EC64" w14:textId="77777777" w:rsidR="00E20D76" w:rsidRDefault="00E20D76" w:rsidP="00E20D76">
      <w:pPr>
        <w:spacing w:line="276" w:lineRule="auto"/>
        <w:ind w:left="720" w:hanging="720"/>
        <w:rPr>
          <w:rFonts w:cs="Times New Roman"/>
          <w:szCs w:val="24"/>
        </w:rPr>
      </w:pPr>
      <w:r>
        <w:rPr>
          <w:rStyle w:val="citationtext"/>
          <w:rFonts w:eastAsia="Times New Roman" w:cs="Times New Roman"/>
        </w:rPr>
        <w:t xml:space="preserve">Tversky, A., &amp; Kahneman, D. (1974). Judgment under Uncertainty: Heuristics and Biases. </w:t>
      </w:r>
      <w:r>
        <w:rPr>
          <w:rStyle w:val="citationtext"/>
          <w:rFonts w:eastAsia="Times New Roman" w:cs="Times New Roman"/>
          <w:i/>
          <w:iCs/>
        </w:rPr>
        <w:t>Science,</w:t>
      </w:r>
      <w:r>
        <w:rPr>
          <w:rStyle w:val="citationtext"/>
          <w:rFonts w:eastAsia="Times New Roman" w:cs="Times New Roman"/>
        </w:rPr>
        <w:t xml:space="preserve"> </w:t>
      </w:r>
      <w:r>
        <w:rPr>
          <w:rStyle w:val="citationtext"/>
          <w:rFonts w:eastAsia="Times New Roman" w:cs="Times New Roman"/>
          <w:i/>
          <w:iCs/>
        </w:rPr>
        <w:t>185</w:t>
      </w:r>
      <w:r>
        <w:rPr>
          <w:rStyle w:val="citationtext"/>
          <w:rFonts w:eastAsia="Times New Roman" w:cs="Times New Roman"/>
        </w:rPr>
        <w:t xml:space="preserve">(4157), 1124-1131. </w:t>
      </w:r>
    </w:p>
    <w:p w14:paraId="5509ADF7" w14:textId="77777777" w:rsidR="00E20D76" w:rsidRDefault="00E20D76" w:rsidP="00E20D76">
      <w:pPr>
        <w:spacing w:line="276" w:lineRule="auto"/>
        <w:ind w:left="720" w:hanging="720"/>
        <w:rPr>
          <w:rFonts w:cs="Times New Roman"/>
          <w:szCs w:val="24"/>
        </w:rPr>
      </w:pPr>
      <w:r w:rsidRPr="00784C56">
        <w:rPr>
          <w:rFonts w:cs="Times New Roman"/>
          <w:szCs w:val="24"/>
        </w:rPr>
        <w:t>Verhelst, S. (2012). </w:t>
      </w:r>
      <w:r w:rsidRPr="00784C56">
        <w:rPr>
          <w:rFonts w:cs="Times New Roman"/>
          <w:i/>
          <w:iCs/>
          <w:szCs w:val="24"/>
        </w:rPr>
        <w:t>Banking Union: Are the EMU design mistakes being repeated</w:t>
      </w:r>
      <w:r w:rsidRPr="00784C56">
        <w:rPr>
          <w:rFonts w:cs="Times New Roman"/>
          <w:szCs w:val="24"/>
        </w:rPr>
        <w:t> (Issue brief No. 12). European Policy Brief, Egmont Royal Institute of International Relations.</w:t>
      </w:r>
    </w:p>
    <w:p w14:paraId="6F63BD4F" w14:textId="77777777" w:rsidR="00E20D76" w:rsidRDefault="00E20D76" w:rsidP="00E20D76">
      <w:pPr>
        <w:spacing w:line="276" w:lineRule="auto"/>
        <w:ind w:left="720" w:hanging="720"/>
        <w:rPr>
          <w:rFonts w:cs="Times New Roman"/>
          <w:szCs w:val="24"/>
        </w:rPr>
      </w:pPr>
      <w:r w:rsidRPr="00784C56">
        <w:rPr>
          <w:rFonts w:cs="Times New Roman"/>
          <w:szCs w:val="24"/>
        </w:rPr>
        <w:t>Veron, N., &amp; Wolff, G. (2013, February). </w:t>
      </w:r>
      <w:r w:rsidRPr="00784C56">
        <w:rPr>
          <w:rFonts w:cs="Times New Roman"/>
          <w:i/>
          <w:iCs/>
          <w:szCs w:val="24"/>
        </w:rPr>
        <w:t>Eterson Institute Policy Brief</w:t>
      </w:r>
      <w:r w:rsidRPr="00784C56">
        <w:rPr>
          <w:rFonts w:cs="Times New Roman"/>
          <w:szCs w:val="24"/>
        </w:rPr>
        <w:t xml:space="preserve">(Issue brief No. BP 13-5). Retrieved from </w:t>
      </w:r>
      <w:hyperlink r:id="rId55" w:history="1">
        <w:r w:rsidRPr="00AA2E7C">
          <w:rPr>
            <w:rStyle w:val="Hyperlink"/>
            <w:rFonts w:cs="Times New Roman"/>
            <w:szCs w:val="24"/>
          </w:rPr>
          <w:t>http://bruegel.org/2013/02/from-supervision-to-resolution-next-steps-on-the-road-to-european-banking-union/</w:t>
        </w:r>
      </w:hyperlink>
      <w:r>
        <w:rPr>
          <w:rFonts w:cs="Times New Roman"/>
          <w:szCs w:val="24"/>
        </w:rPr>
        <w:t>.</w:t>
      </w:r>
    </w:p>
    <w:p w14:paraId="60628512" w14:textId="77777777" w:rsidR="00E20D76" w:rsidRDefault="00E20D76" w:rsidP="00E20D76">
      <w:pPr>
        <w:spacing w:line="276" w:lineRule="auto"/>
        <w:ind w:left="720" w:hanging="720"/>
        <w:rPr>
          <w:rFonts w:cs="Times New Roman"/>
          <w:szCs w:val="24"/>
        </w:rPr>
      </w:pPr>
      <w:r w:rsidRPr="00784C56">
        <w:rPr>
          <w:rFonts w:cs="Times New Roman"/>
          <w:szCs w:val="24"/>
        </w:rPr>
        <w:t>Wilson, J. Q. (1995). </w:t>
      </w:r>
      <w:r w:rsidRPr="00784C56">
        <w:rPr>
          <w:rFonts w:cs="Times New Roman"/>
          <w:i/>
          <w:iCs/>
          <w:szCs w:val="24"/>
        </w:rPr>
        <w:t>Political organizations</w:t>
      </w:r>
      <w:r w:rsidRPr="00784C56">
        <w:rPr>
          <w:rFonts w:cs="Times New Roman"/>
          <w:szCs w:val="24"/>
        </w:rPr>
        <w:t>. Princeton, NJ: Princeton Univ. Press.</w:t>
      </w:r>
    </w:p>
    <w:p w14:paraId="3E97E9AB" w14:textId="77777777" w:rsidR="00E20D76" w:rsidRDefault="00E20D76" w:rsidP="00E20D76">
      <w:pPr>
        <w:spacing w:line="276" w:lineRule="auto"/>
        <w:ind w:left="720" w:hanging="720"/>
        <w:rPr>
          <w:rFonts w:cs="Times New Roman"/>
          <w:szCs w:val="24"/>
        </w:rPr>
      </w:pPr>
      <w:r w:rsidRPr="00992301">
        <w:rPr>
          <w:rFonts w:cs="Times New Roman"/>
          <w:szCs w:val="24"/>
        </w:rPr>
        <w:t>Wilson, J. Q. (1989). </w:t>
      </w:r>
      <w:r w:rsidRPr="00992301">
        <w:rPr>
          <w:rFonts w:cs="Times New Roman"/>
          <w:i/>
          <w:iCs/>
          <w:szCs w:val="24"/>
        </w:rPr>
        <w:t>Bureaucracy: What government agencies do and why they do it</w:t>
      </w:r>
      <w:r w:rsidRPr="00992301">
        <w:rPr>
          <w:rFonts w:cs="Times New Roman"/>
          <w:szCs w:val="24"/>
        </w:rPr>
        <w:t>. New York: Basic Books.</w:t>
      </w:r>
    </w:p>
    <w:p w14:paraId="64EC0EB3" w14:textId="77777777" w:rsidR="00E20D76" w:rsidRPr="00AE7ECC" w:rsidRDefault="00E20D76" w:rsidP="00E20D76">
      <w:pPr>
        <w:spacing w:line="276" w:lineRule="auto"/>
        <w:ind w:left="720" w:hanging="720"/>
        <w:rPr>
          <w:rFonts w:cs="Times New Roman"/>
          <w:szCs w:val="24"/>
        </w:rPr>
      </w:pPr>
      <w:r>
        <w:rPr>
          <w:rFonts w:cs="Times New Roman"/>
          <w:szCs w:val="24"/>
        </w:rPr>
        <w:t>Wilson, J. (2012a</w:t>
      </w:r>
      <w:r w:rsidRPr="00C16C54">
        <w:rPr>
          <w:rFonts w:cs="Times New Roman"/>
          <w:szCs w:val="24"/>
        </w:rPr>
        <w:t>, September 4). German Division over Euro Bank Regulation.</w:t>
      </w:r>
      <w:r w:rsidRPr="00C16C54">
        <w:rPr>
          <w:rFonts w:cs="Times New Roman"/>
          <w:i/>
          <w:iCs/>
          <w:szCs w:val="24"/>
        </w:rPr>
        <w:t xml:space="preserve"> Financial Times</w:t>
      </w:r>
      <w:r w:rsidRPr="00C16C54">
        <w:rPr>
          <w:rFonts w:cs="Times New Roman"/>
          <w:szCs w:val="24"/>
        </w:rPr>
        <w:t>. Retrieved March 9, 2016</w:t>
      </w:r>
      <w:r>
        <w:rPr>
          <w:rFonts w:cs="Times New Roman"/>
          <w:szCs w:val="24"/>
        </w:rPr>
        <w:t xml:space="preserve">. </w:t>
      </w:r>
    </w:p>
    <w:p w14:paraId="4EFCD11A" w14:textId="77777777" w:rsidR="00E20D76" w:rsidRDefault="00E20D76" w:rsidP="00E20D76">
      <w:pPr>
        <w:spacing w:line="276" w:lineRule="auto"/>
        <w:ind w:left="720" w:hanging="720"/>
        <w:rPr>
          <w:rFonts w:cs="Times New Roman"/>
          <w:szCs w:val="24"/>
        </w:rPr>
      </w:pPr>
      <w:r>
        <w:rPr>
          <w:rFonts w:cs="Times New Roman"/>
          <w:szCs w:val="24"/>
        </w:rPr>
        <w:t>Wilson, J</w:t>
      </w:r>
      <w:r w:rsidRPr="00AE7ECC">
        <w:rPr>
          <w:rFonts w:cs="Times New Roman"/>
          <w:szCs w:val="24"/>
        </w:rPr>
        <w:t xml:space="preserve">. </w:t>
      </w:r>
      <w:r>
        <w:rPr>
          <w:rFonts w:cs="Times New Roman"/>
          <w:szCs w:val="24"/>
        </w:rPr>
        <w:t xml:space="preserve">(2012b, September 10). </w:t>
      </w:r>
      <w:r w:rsidRPr="00AE7ECC">
        <w:rPr>
          <w:rFonts w:cs="Times New Roman"/>
          <w:szCs w:val="24"/>
        </w:rPr>
        <w:t>Banker Praises Landesban</w:t>
      </w:r>
      <w:r>
        <w:rPr>
          <w:rFonts w:cs="Times New Roman"/>
          <w:szCs w:val="24"/>
        </w:rPr>
        <w:t xml:space="preserve">ken Reforms. </w:t>
      </w:r>
      <w:r w:rsidRPr="00AE7ECC">
        <w:rPr>
          <w:rFonts w:cs="Times New Roman"/>
          <w:i/>
          <w:szCs w:val="24"/>
        </w:rPr>
        <w:t>Financial Times</w:t>
      </w:r>
      <w:r>
        <w:rPr>
          <w:rFonts w:cs="Times New Roman"/>
          <w:szCs w:val="24"/>
        </w:rPr>
        <w:t>. Retrieved March 7, 2016.</w:t>
      </w:r>
      <w:r w:rsidRPr="00AE7ECC">
        <w:rPr>
          <w:rFonts w:cs="Times New Roman"/>
          <w:szCs w:val="24"/>
        </w:rPr>
        <w:t xml:space="preserve"> </w:t>
      </w:r>
    </w:p>
    <w:p w14:paraId="53EEB7BF" w14:textId="77777777" w:rsidR="00E20D76" w:rsidRDefault="00E20D76" w:rsidP="00E20D76">
      <w:pPr>
        <w:spacing w:line="276" w:lineRule="auto"/>
        <w:ind w:left="720" w:hanging="720"/>
        <w:rPr>
          <w:rFonts w:cs="Times New Roman"/>
          <w:szCs w:val="24"/>
        </w:rPr>
      </w:pPr>
      <w:r w:rsidRPr="00715317">
        <w:rPr>
          <w:rFonts w:cs="Times New Roman"/>
          <w:szCs w:val="24"/>
        </w:rPr>
        <w:t xml:space="preserve">Wilson, James, </w:t>
      </w:r>
      <w:r>
        <w:rPr>
          <w:rFonts w:cs="Times New Roman"/>
          <w:szCs w:val="24"/>
        </w:rPr>
        <w:t>Wiesmann</w:t>
      </w:r>
      <w:r w:rsidRPr="00715317">
        <w:rPr>
          <w:rFonts w:cs="Times New Roman"/>
          <w:szCs w:val="24"/>
        </w:rPr>
        <w:t>,</w:t>
      </w:r>
      <w:r>
        <w:rPr>
          <w:rFonts w:cs="Times New Roman"/>
          <w:szCs w:val="24"/>
        </w:rPr>
        <w:t xml:space="preserve"> G. &amp;</w:t>
      </w:r>
      <w:r w:rsidRPr="00715317">
        <w:rPr>
          <w:rFonts w:cs="Times New Roman"/>
          <w:szCs w:val="24"/>
        </w:rPr>
        <w:t xml:space="preserve"> </w:t>
      </w:r>
      <w:r>
        <w:rPr>
          <w:rFonts w:cs="Times New Roman"/>
          <w:szCs w:val="24"/>
        </w:rPr>
        <w:t>Barker, A</w:t>
      </w:r>
      <w:r w:rsidRPr="00715317">
        <w:rPr>
          <w:rFonts w:cs="Times New Roman"/>
          <w:szCs w:val="24"/>
        </w:rPr>
        <w:t xml:space="preserve">. </w:t>
      </w:r>
      <w:r>
        <w:rPr>
          <w:rFonts w:cs="Times New Roman"/>
          <w:szCs w:val="24"/>
        </w:rPr>
        <w:t>(</w:t>
      </w:r>
      <w:r w:rsidRPr="00715317">
        <w:rPr>
          <w:rFonts w:cs="Times New Roman"/>
          <w:szCs w:val="24"/>
        </w:rPr>
        <w:t>2012</w:t>
      </w:r>
      <w:r>
        <w:rPr>
          <w:rFonts w:cs="Times New Roman"/>
          <w:szCs w:val="24"/>
        </w:rPr>
        <w:t xml:space="preserve">, December 2). </w:t>
      </w:r>
      <w:r w:rsidRPr="00715317">
        <w:rPr>
          <w:rFonts w:cs="Times New Roman"/>
          <w:szCs w:val="24"/>
        </w:rPr>
        <w:t xml:space="preserve">Germany’s </w:t>
      </w:r>
      <w:r>
        <w:rPr>
          <w:rFonts w:cs="Times New Roman"/>
          <w:szCs w:val="24"/>
        </w:rPr>
        <w:t xml:space="preserve">Small Banks Fight Union Plans. </w:t>
      </w:r>
      <w:r>
        <w:rPr>
          <w:rFonts w:cs="Times New Roman"/>
          <w:i/>
          <w:szCs w:val="24"/>
        </w:rPr>
        <w:t xml:space="preserve">The </w:t>
      </w:r>
      <w:r w:rsidRPr="00715317">
        <w:rPr>
          <w:rFonts w:cs="Times New Roman"/>
          <w:i/>
          <w:szCs w:val="24"/>
        </w:rPr>
        <w:t>Financial Times</w:t>
      </w:r>
      <w:r w:rsidRPr="00715317">
        <w:rPr>
          <w:rFonts w:cs="Times New Roman"/>
          <w:szCs w:val="24"/>
        </w:rPr>
        <w:t xml:space="preserve">. Dec. 2. </w:t>
      </w:r>
      <w:r>
        <w:rPr>
          <w:rFonts w:cs="Times New Roman"/>
          <w:szCs w:val="24"/>
        </w:rPr>
        <w:t xml:space="preserve">Retrieved September 14, 2016. </w:t>
      </w:r>
    </w:p>
    <w:p w14:paraId="080C0A69" w14:textId="77777777" w:rsidR="00E20D76" w:rsidRDefault="00E20D76" w:rsidP="00E20D76">
      <w:pPr>
        <w:spacing w:line="276" w:lineRule="auto"/>
        <w:ind w:left="720" w:hanging="720"/>
        <w:rPr>
          <w:rFonts w:cs="Times New Roman"/>
          <w:szCs w:val="24"/>
        </w:rPr>
      </w:pPr>
      <w:r>
        <w:rPr>
          <w:rStyle w:val="citationtext"/>
          <w:rFonts w:eastAsia="Times New Roman" w:cs="Times New Roman"/>
        </w:rPr>
        <w:t xml:space="preserve">World Bank. (2014). </w:t>
      </w:r>
      <w:r>
        <w:rPr>
          <w:rStyle w:val="citationtext"/>
          <w:rFonts w:eastAsia="Times New Roman" w:cs="Times New Roman"/>
          <w:i/>
          <w:iCs/>
        </w:rPr>
        <w:t>Financial Inclusion Data/Global Findex</w:t>
      </w:r>
      <w:r>
        <w:rPr>
          <w:rStyle w:val="citationtext"/>
          <w:rFonts w:eastAsia="Times New Roman" w:cs="Times New Roman"/>
        </w:rPr>
        <w:t>. Retrieved from http://datatopics.worldbank.org/financialinclusion/</w:t>
      </w:r>
    </w:p>
    <w:p w14:paraId="50F80076" w14:textId="77777777" w:rsidR="00E20D76" w:rsidRDefault="00E20D76" w:rsidP="00E20D76">
      <w:pPr>
        <w:spacing w:line="276" w:lineRule="auto"/>
        <w:ind w:left="720" w:hanging="720"/>
        <w:rPr>
          <w:rFonts w:cs="Times New Roman"/>
          <w:szCs w:val="24"/>
        </w:rPr>
      </w:pPr>
      <w:r w:rsidRPr="006366E8">
        <w:rPr>
          <w:rFonts w:cs="Times New Roman"/>
          <w:szCs w:val="24"/>
        </w:rPr>
        <w:t xml:space="preserve">Yardley, J. (2015, December 19). Has Europe Reached the Breaking Point? Retrieved from </w:t>
      </w:r>
      <w:hyperlink r:id="rId56" w:history="1">
        <w:r w:rsidRPr="00AA2E7C">
          <w:rPr>
            <w:rStyle w:val="Hyperlink"/>
            <w:rFonts w:cs="Times New Roman"/>
            <w:szCs w:val="24"/>
          </w:rPr>
          <w:t>http://www.nytimes.com/2015/12/20/magazine/has-europe-reached-the-breaking-point.html?smtyp=cur</w:t>
        </w:r>
      </w:hyperlink>
      <w:r>
        <w:rPr>
          <w:rFonts w:cs="Times New Roman"/>
          <w:szCs w:val="24"/>
        </w:rPr>
        <w:t>.</w:t>
      </w:r>
    </w:p>
    <w:p w14:paraId="5536900C" w14:textId="77777777" w:rsidR="00E20D76" w:rsidRDefault="00E20D76" w:rsidP="00E20D76">
      <w:pPr>
        <w:spacing w:line="276" w:lineRule="auto"/>
        <w:ind w:left="720" w:hanging="720"/>
        <w:rPr>
          <w:rFonts w:cs="Times New Roman"/>
          <w:szCs w:val="24"/>
        </w:rPr>
      </w:pPr>
      <w:r w:rsidRPr="00D20189">
        <w:rPr>
          <w:rFonts w:cs="Times New Roman"/>
          <w:szCs w:val="24"/>
        </w:rPr>
        <w:t>Zimmerman, H. (2013). The Uneasy Promise of Deposit Insurance: Financial Globalization and the Protection of Savers. </w:t>
      </w:r>
      <w:r w:rsidRPr="00D20189">
        <w:rPr>
          <w:rFonts w:cs="Times New Roman"/>
          <w:i/>
          <w:iCs/>
          <w:szCs w:val="24"/>
        </w:rPr>
        <w:t>Competition and Change,</w:t>
      </w:r>
      <w:r w:rsidRPr="00D20189">
        <w:rPr>
          <w:rFonts w:cs="Times New Roman"/>
          <w:szCs w:val="24"/>
        </w:rPr>
        <w:t> </w:t>
      </w:r>
      <w:r w:rsidRPr="00D20189">
        <w:rPr>
          <w:rFonts w:cs="Times New Roman"/>
          <w:i/>
          <w:iCs/>
          <w:szCs w:val="24"/>
        </w:rPr>
        <w:t>17</w:t>
      </w:r>
      <w:r>
        <w:rPr>
          <w:rFonts w:cs="Times New Roman"/>
          <w:szCs w:val="24"/>
        </w:rPr>
        <w:t>(3), 265-282. doi:</w:t>
      </w:r>
      <w:r w:rsidRPr="00D20189">
        <w:rPr>
          <w:rFonts w:cs="Times New Roman"/>
          <w:szCs w:val="24"/>
        </w:rPr>
        <w:t>10.1179/1024529413Z.00000000037</w:t>
      </w:r>
      <w:r>
        <w:rPr>
          <w:rFonts w:cs="Times New Roman"/>
          <w:szCs w:val="24"/>
        </w:rPr>
        <w:t xml:space="preserve">. </w:t>
      </w:r>
    </w:p>
    <w:p w14:paraId="29410CC1" w14:textId="77777777" w:rsidR="00E20D76" w:rsidRDefault="00E20D76" w:rsidP="00E20D76"/>
    <w:p w14:paraId="2CCF82D8" w14:textId="77777777" w:rsidR="008A7375" w:rsidRPr="00780486" w:rsidRDefault="00A57226" w:rsidP="00780486">
      <w:pPr>
        <w:spacing w:line="480" w:lineRule="auto"/>
        <w:ind w:firstLine="720"/>
        <w:rPr>
          <w:rFonts w:ascii="Times" w:hAnsi="Times"/>
        </w:rPr>
      </w:pPr>
      <w:r w:rsidRPr="002571B3">
        <w:rPr>
          <w:rFonts w:cs="Times New Roman"/>
          <w:szCs w:val="24"/>
        </w:rPr>
        <w:br w:type="page"/>
      </w:r>
      <w:r w:rsidR="008A7375" w:rsidRPr="001061F2">
        <w:rPr>
          <w:rFonts w:cs="Times New Roman"/>
          <w:caps/>
          <w:szCs w:val="24"/>
        </w:rPr>
        <w:t>Appendix 1</w:t>
      </w:r>
    </w:p>
    <w:p w14:paraId="2FDB650C" w14:textId="77777777" w:rsidR="008A7375" w:rsidRDefault="008A7375" w:rsidP="008A7375">
      <w:pPr>
        <w:rPr>
          <w:rFonts w:cs="Times New Roman"/>
        </w:rPr>
      </w:pPr>
      <w:r>
        <w:rPr>
          <w:rFonts w:cs="Times New Roman"/>
        </w:rPr>
        <w:t>Interviewees were promised anonymity.  Interviews were conducted in German, transcribed and translated into English.  Listed are the titles of those interviewed.</w:t>
      </w:r>
    </w:p>
    <w:p w14:paraId="0EC04944" w14:textId="77777777" w:rsidR="008A7375" w:rsidRPr="006B1A0E" w:rsidRDefault="008A7375" w:rsidP="008A7375">
      <w:pPr>
        <w:pStyle w:val="ListParagraph"/>
        <w:numPr>
          <w:ilvl w:val="0"/>
          <w:numId w:val="1"/>
        </w:numPr>
        <w:spacing w:after="200" w:line="276" w:lineRule="auto"/>
        <w:rPr>
          <w:rFonts w:cs="Times New Roman"/>
        </w:rPr>
      </w:pPr>
      <w:r w:rsidRPr="006B1A0E">
        <w:rPr>
          <w:rFonts w:cs="Times New Roman"/>
        </w:rPr>
        <w:t>Executive Director, Banking Supervision</w:t>
      </w:r>
      <w:r w:rsidRPr="006B1A0E">
        <w:rPr>
          <w:rFonts w:cs="Times New Roman"/>
          <w:i/>
        </w:rPr>
        <w:t xml:space="preserve"> </w:t>
      </w:r>
      <w:r w:rsidRPr="006B1A0E">
        <w:rPr>
          <w:rFonts w:cs="Times New Roman"/>
        </w:rPr>
        <w:t>BAK and BaFin</w:t>
      </w:r>
    </w:p>
    <w:p w14:paraId="01C76942" w14:textId="77777777" w:rsidR="008A7375" w:rsidRPr="006B1A0E" w:rsidRDefault="008A7375" w:rsidP="008A7375">
      <w:pPr>
        <w:pStyle w:val="ListParagraph"/>
        <w:numPr>
          <w:ilvl w:val="0"/>
          <w:numId w:val="1"/>
        </w:numPr>
        <w:spacing w:after="200" w:line="276" w:lineRule="auto"/>
        <w:rPr>
          <w:rFonts w:cs="Times New Roman"/>
        </w:rPr>
      </w:pPr>
      <w:r w:rsidRPr="006B1A0E">
        <w:rPr>
          <w:rFonts w:cs="Times New Roman"/>
        </w:rPr>
        <w:t>Regional banking regulator, Deutsche Bank</w:t>
      </w:r>
    </w:p>
    <w:p w14:paraId="5A1DBB41" w14:textId="77777777" w:rsidR="008A7375" w:rsidRPr="006B1A0E" w:rsidRDefault="008A7375" w:rsidP="008A7375">
      <w:pPr>
        <w:pStyle w:val="ListParagraph"/>
        <w:numPr>
          <w:ilvl w:val="0"/>
          <w:numId w:val="1"/>
        </w:numPr>
        <w:spacing w:after="200" w:line="276" w:lineRule="auto"/>
        <w:rPr>
          <w:rFonts w:cs="Times New Roman"/>
        </w:rPr>
      </w:pPr>
      <w:r w:rsidRPr="006B1A0E">
        <w:rPr>
          <w:rFonts w:cs="Times New Roman"/>
        </w:rPr>
        <w:t>Regional banking regulator, Deutsche Bank</w:t>
      </w:r>
    </w:p>
    <w:p w14:paraId="41A581E2" w14:textId="77777777" w:rsidR="008A7375" w:rsidRPr="006B1A0E" w:rsidRDefault="008A7375" w:rsidP="008A7375">
      <w:pPr>
        <w:pStyle w:val="ListParagraph"/>
        <w:numPr>
          <w:ilvl w:val="0"/>
          <w:numId w:val="1"/>
        </w:numPr>
        <w:spacing w:after="200" w:line="276" w:lineRule="auto"/>
        <w:rPr>
          <w:rFonts w:cs="Times New Roman"/>
        </w:rPr>
      </w:pPr>
      <w:r w:rsidRPr="006B1A0E">
        <w:rPr>
          <w:rFonts w:cs="Times New Roman"/>
        </w:rPr>
        <w:t>President of the Deutsche Bank Regional Office</w:t>
      </w:r>
    </w:p>
    <w:p w14:paraId="0574A0B5" w14:textId="77777777" w:rsidR="008A7375" w:rsidRPr="006B1A0E" w:rsidRDefault="008A7375" w:rsidP="008A7375">
      <w:pPr>
        <w:pStyle w:val="ListParagraph"/>
        <w:numPr>
          <w:ilvl w:val="0"/>
          <w:numId w:val="1"/>
        </w:numPr>
        <w:spacing w:after="200" w:line="276" w:lineRule="auto"/>
        <w:rPr>
          <w:rFonts w:cs="Times New Roman"/>
        </w:rPr>
      </w:pPr>
      <w:r w:rsidRPr="006B1A0E">
        <w:rPr>
          <w:rFonts w:cs="Times New Roman"/>
        </w:rPr>
        <w:t xml:space="preserve">Former </w:t>
      </w:r>
      <w:r w:rsidRPr="006B1A0E">
        <w:rPr>
          <w:rFonts w:cs="Times New Roman"/>
          <w:i/>
        </w:rPr>
        <w:t xml:space="preserve">Landesbank </w:t>
      </w:r>
      <w:r w:rsidRPr="006B1A0E">
        <w:rPr>
          <w:rFonts w:cs="Times New Roman"/>
        </w:rPr>
        <w:t xml:space="preserve">Supervisory Board Member </w:t>
      </w:r>
    </w:p>
    <w:p w14:paraId="6645FEEB" w14:textId="77777777" w:rsidR="008A7375" w:rsidRPr="006B1A0E" w:rsidRDefault="008A7375" w:rsidP="008A7375">
      <w:pPr>
        <w:pStyle w:val="ListParagraph"/>
        <w:numPr>
          <w:ilvl w:val="0"/>
          <w:numId w:val="1"/>
        </w:numPr>
        <w:spacing w:after="200" w:line="276" w:lineRule="auto"/>
        <w:rPr>
          <w:rFonts w:cs="Times New Roman"/>
        </w:rPr>
      </w:pPr>
      <w:r w:rsidRPr="006B1A0E">
        <w:rPr>
          <w:rFonts w:cs="Times New Roman"/>
        </w:rPr>
        <w:t xml:space="preserve">Former </w:t>
      </w:r>
      <w:r w:rsidRPr="006B1A0E">
        <w:rPr>
          <w:rFonts w:cs="Times New Roman"/>
          <w:i/>
        </w:rPr>
        <w:t xml:space="preserve">Landesbank </w:t>
      </w:r>
      <w:r w:rsidRPr="006B1A0E">
        <w:rPr>
          <w:rFonts w:cs="Times New Roman"/>
        </w:rPr>
        <w:t xml:space="preserve">Supervisory Board Member </w:t>
      </w:r>
    </w:p>
    <w:p w14:paraId="26515BEF" w14:textId="77777777" w:rsidR="008A7375" w:rsidRPr="006B1A0E" w:rsidRDefault="008A7375" w:rsidP="008A7375">
      <w:pPr>
        <w:pStyle w:val="ListParagraph"/>
        <w:numPr>
          <w:ilvl w:val="0"/>
          <w:numId w:val="1"/>
        </w:numPr>
        <w:spacing w:after="200" w:line="276" w:lineRule="auto"/>
        <w:rPr>
          <w:rFonts w:cs="Times New Roman"/>
        </w:rPr>
      </w:pPr>
      <w:r w:rsidRPr="006B1A0E">
        <w:rPr>
          <w:rFonts w:cs="Times New Roman"/>
        </w:rPr>
        <w:t xml:space="preserve">Former management director, </w:t>
      </w:r>
      <w:r w:rsidRPr="006B1A0E">
        <w:rPr>
          <w:rFonts w:cs="Times New Roman"/>
          <w:i/>
        </w:rPr>
        <w:t>Landesbank</w:t>
      </w:r>
    </w:p>
    <w:p w14:paraId="1A409C25" w14:textId="77777777" w:rsidR="008A7375" w:rsidRPr="006B1A0E" w:rsidRDefault="008A7375" w:rsidP="008A7375">
      <w:pPr>
        <w:pStyle w:val="ListParagraph"/>
        <w:numPr>
          <w:ilvl w:val="0"/>
          <w:numId w:val="1"/>
        </w:numPr>
        <w:spacing w:after="200" w:line="276" w:lineRule="auto"/>
        <w:rPr>
          <w:rFonts w:cs="Times New Roman"/>
        </w:rPr>
      </w:pPr>
      <w:r w:rsidRPr="006B1A0E">
        <w:rPr>
          <w:rFonts w:cs="Times New Roman"/>
        </w:rPr>
        <w:t>Financial</w:t>
      </w:r>
      <w:r>
        <w:rPr>
          <w:rFonts w:cs="Times New Roman"/>
        </w:rPr>
        <w:t xml:space="preserve"> journalist at</w:t>
      </w:r>
      <w:r w:rsidRPr="006B1A0E">
        <w:rPr>
          <w:rFonts w:cs="Times New Roman"/>
        </w:rPr>
        <w:t xml:space="preserve"> major German newspaper who covered the </w:t>
      </w:r>
      <w:r w:rsidRPr="006B1A0E">
        <w:rPr>
          <w:rFonts w:cs="Times New Roman"/>
          <w:i/>
        </w:rPr>
        <w:t xml:space="preserve">Landesbanken </w:t>
      </w:r>
      <w:r w:rsidRPr="006B1A0E">
        <w:rPr>
          <w:rFonts w:cs="Times New Roman"/>
        </w:rPr>
        <w:t>collapse</w:t>
      </w:r>
    </w:p>
    <w:p w14:paraId="3BB2F362" w14:textId="77777777" w:rsidR="008A7375" w:rsidRPr="006B1A0E" w:rsidRDefault="008A7375" w:rsidP="008A7375">
      <w:pPr>
        <w:pStyle w:val="ListParagraph"/>
        <w:numPr>
          <w:ilvl w:val="0"/>
          <w:numId w:val="1"/>
        </w:numPr>
        <w:spacing w:after="200" w:line="276" w:lineRule="auto"/>
        <w:rPr>
          <w:rFonts w:cs="Times New Roman"/>
        </w:rPr>
      </w:pPr>
      <w:r w:rsidRPr="006B1A0E">
        <w:rPr>
          <w:rFonts w:cs="Times New Roman"/>
        </w:rPr>
        <w:t xml:space="preserve">Former managing director </w:t>
      </w:r>
      <w:r w:rsidRPr="006B1A0E">
        <w:rPr>
          <w:rFonts w:cs="Times New Roman"/>
          <w:i/>
        </w:rPr>
        <w:t>Landesbank</w:t>
      </w:r>
    </w:p>
    <w:p w14:paraId="5B2FDC6E" w14:textId="77777777" w:rsidR="008A7375" w:rsidRPr="006B1A0E" w:rsidRDefault="008A7375" w:rsidP="008A7375">
      <w:pPr>
        <w:pStyle w:val="ListParagraph"/>
        <w:numPr>
          <w:ilvl w:val="0"/>
          <w:numId w:val="1"/>
        </w:numPr>
        <w:spacing w:after="200" w:line="276" w:lineRule="auto"/>
        <w:rPr>
          <w:rFonts w:cs="Times New Roman"/>
        </w:rPr>
      </w:pPr>
      <w:r w:rsidRPr="006B1A0E">
        <w:rPr>
          <w:rFonts w:cs="Times New Roman"/>
        </w:rPr>
        <w:t>Chairman of management committee , Landesbausparkasse</w:t>
      </w:r>
    </w:p>
    <w:p w14:paraId="56283C08" w14:textId="77777777" w:rsidR="008A7375" w:rsidRPr="006B1A0E" w:rsidRDefault="008A7375" w:rsidP="008A7375">
      <w:pPr>
        <w:pStyle w:val="ListParagraph"/>
        <w:numPr>
          <w:ilvl w:val="0"/>
          <w:numId w:val="1"/>
        </w:numPr>
        <w:spacing w:after="200" w:line="276" w:lineRule="auto"/>
        <w:rPr>
          <w:rFonts w:cs="Times New Roman"/>
        </w:rPr>
      </w:pPr>
      <w:r w:rsidRPr="006B1A0E">
        <w:rPr>
          <w:rFonts w:cs="Times New Roman"/>
        </w:rPr>
        <w:t>Manager, Deutsche Sparkassen- und Giroverband</w:t>
      </w:r>
    </w:p>
    <w:p w14:paraId="6093D11A" w14:textId="77777777" w:rsidR="008A7375" w:rsidRPr="006B1A0E" w:rsidRDefault="008A7375" w:rsidP="008A7375">
      <w:pPr>
        <w:pStyle w:val="ListParagraph"/>
        <w:numPr>
          <w:ilvl w:val="0"/>
          <w:numId w:val="1"/>
        </w:numPr>
        <w:spacing w:after="200" w:line="276" w:lineRule="auto"/>
        <w:rPr>
          <w:rFonts w:cs="Times New Roman"/>
        </w:rPr>
      </w:pPr>
      <w:r w:rsidRPr="006B1A0E">
        <w:rPr>
          <w:rFonts w:cs="Times New Roman"/>
        </w:rPr>
        <w:t xml:space="preserve">Economics professor and expert on </w:t>
      </w:r>
      <w:r w:rsidRPr="006B1A0E">
        <w:rPr>
          <w:rFonts w:cs="Times New Roman"/>
          <w:i/>
        </w:rPr>
        <w:t>Landesbanken</w:t>
      </w:r>
    </w:p>
    <w:p w14:paraId="21C9B641" w14:textId="77777777" w:rsidR="008A7375" w:rsidRPr="008B1791" w:rsidRDefault="008A7375" w:rsidP="008A7375">
      <w:pPr>
        <w:pStyle w:val="ListParagraph"/>
        <w:numPr>
          <w:ilvl w:val="0"/>
          <w:numId w:val="1"/>
        </w:numPr>
        <w:spacing w:after="200" w:line="276" w:lineRule="auto"/>
        <w:rPr>
          <w:rFonts w:cs="Times New Roman"/>
        </w:rPr>
      </w:pPr>
      <w:r w:rsidRPr="008B1791">
        <w:rPr>
          <w:rFonts w:cs="Times New Roman"/>
        </w:rPr>
        <w:t>Political science professor and expert on public banks in Germany</w:t>
      </w:r>
    </w:p>
    <w:p w14:paraId="52618CFD" w14:textId="77777777" w:rsidR="008A7375" w:rsidRPr="002D69E7" w:rsidRDefault="008A7375" w:rsidP="008A7375">
      <w:pPr>
        <w:pStyle w:val="ListParagraph"/>
        <w:numPr>
          <w:ilvl w:val="0"/>
          <w:numId w:val="1"/>
        </w:numPr>
        <w:spacing w:after="200" w:line="276" w:lineRule="auto"/>
        <w:rPr>
          <w:rFonts w:cs="Times New Roman"/>
          <w:i/>
        </w:rPr>
      </w:pPr>
      <w:r w:rsidRPr="006B1A0E">
        <w:rPr>
          <w:rFonts w:cs="Times New Roman"/>
        </w:rPr>
        <w:t xml:space="preserve">Member of Supervisory Board of a medium-size </w:t>
      </w:r>
      <w:r w:rsidRPr="002D69E7">
        <w:rPr>
          <w:rFonts w:cs="Times New Roman"/>
          <w:i/>
        </w:rPr>
        <w:t>Sparkasse</w:t>
      </w:r>
    </w:p>
    <w:p w14:paraId="036ABAA7" w14:textId="77777777" w:rsidR="008A7375" w:rsidRPr="006B1A0E" w:rsidRDefault="008A7375" w:rsidP="008A7375">
      <w:pPr>
        <w:pStyle w:val="ListParagraph"/>
        <w:numPr>
          <w:ilvl w:val="0"/>
          <w:numId w:val="1"/>
        </w:numPr>
        <w:spacing w:after="200" w:line="276" w:lineRule="auto"/>
        <w:rPr>
          <w:rFonts w:cs="Times New Roman"/>
        </w:rPr>
      </w:pPr>
      <w:r w:rsidRPr="006B1A0E">
        <w:rPr>
          <w:rFonts w:cs="Times New Roman"/>
        </w:rPr>
        <w:t xml:space="preserve">Chairman of the Supervisory Board of a medium size </w:t>
      </w:r>
      <w:r w:rsidRPr="002D69E7">
        <w:rPr>
          <w:rFonts w:cs="Times New Roman"/>
          <w:i/>
        </w:rPr>
        <w:t>Sparkasse.</w:t>
      </w:r>
    </w:p>
    <w:p w14:paraId="30874BFF" w14:textId="77777777" w:rsidR="008A7375" w:rsidRPr="006B1A0E" w:rsidRDefault="008A7375" w:rsidP="008A7375">
      <w:pPr>
        <w:pStyle w:val="ListParagraph"/>
        <w:numPr>
          <w:ilvl w:val="0"/>
          <w:numId w:val="1"/>
        </w:numPr>
        <w:spacing w:after="200" w:line="276" w:lineRule="auto"/>
        <w:rPr>
          <w:rFonts w:cs="Times New Roman"/>
        </w:rPr>
      </w:pPr>
      <w:r w:rsidRPr="006B1A0E">
        <w:rPr>
          <w:rFonts w:cs="Times New Roman"/>
        </w:rPr>
        <w:t xml:space="preserve">Director, </w:t>
      </w:r>
      <w:r w:rsidRPr="002D69E7">
        <w:rPr>
          <w:rFonts w:eastAsia="Times New Roman" w:cs="Times New Roman"/>
          <w:bCs/>
          <w:i/>
        </w:rPr>
        <w:t>Bundesverband Öffentlicher Banken Deutschlands</w:t>
      </w:r>
      <w:r w:rsidRPr="006B1A0E">
        <w:rPr>
          <w:rFonts w:eastAsia="Times New Roman" w:cs="Times New Roman"/>
        </w:rPr>
        <w:t xml:space="preserve"> (</w:t>
      </w:r>
      <w:r w:rsidRPr="006B1A0E">
        <w:rPr>
          <w:rFonts w:eastAsia="Times New Roman" w:cs="Times New Roman"/>
          <w:iCs/>
        </w:rPr>
        <w:t>Federal Association of Public Banks in Germany</w:t>
      </w:r>
      <w:r w:rsidRPr="006B1A0E">
        <w:rPr>
          <w:rFonts w:eastAsia="Times New Roman" w:cs="Times New Roman"/>
        </w:rPr>
        <w:t>)</w:t>
      </w:r>
    </w:p>
    <w:p w14:paraId="517B395F" w14:textId="77777777" w:rsidR="008A7375" w:rsidRPr="00944514" w:rsidRDefault="008A7375" w:rsidP="008A7375">
      <w:pPr>
        <w:spacing w:after="0" w:line="480" w:lineRule="auto"/>
        <w:ind w:firstLine="720"/>
        <w:contextualSpacing/>
        <w:rPr>
          <w:rFonts w:eastAsiaTheme="minorEastAsia" w:cs="Times New Roman"/>
          <w:szCs w:val="24"/>
          <w:lang w:eastAsia="ja-JP"/>
        </w:rPr>
      </w:pPr>
    </w:p>
    <w:p w14:paraId="7F54D324" w14:textId="77777777" w:rsidR="00A57226" w:rsidRPr="002571B3" w:rsidRDefault="00A57226" w:rsidP="00A57226">
      <w:pPr>
        <w:rPr>
          <w:rFonts w:cs="Times New Roman"/>
          <w:szCs w:val="24"/>
        </w:rPr>
      </w:pPr>
    </w:p>
    <w:p w14:paraId="7434FFEA" w14:textId="77777777" w:rsidR="00A57226" w:rsidRPr="002571B3" w:rsidRDefault="00A57226" w:rsidP="00A57226">
      <w:pPr>
        <w:spacing w:line="480" w:lineRule="auto"/>
        <w:rPr>
          <w:rFonts w:cs="Times New Roman"/>
          <w:szCs w:val="24"/>
        </w:rPr>
      </w:pPr>
      <w:r w:rsidRPr="002571B3">
        <w:rPr>
          <w:rFonts w:cs="Times New Roman"/>
          <w:szCs w:val="24"/>
        </w:rPr>
        <w:tab/>
        <w:t xml:space="preserve"> </w:t>
      </w:r>
    </w:p>
    <w:p w14:paraId="304AAD51" w14:textId="77777777" w:rsidR="00A57226" w:rsidRPr="002571B3" w:rsidRDefault="00A57226" w:rsidP="00A57226">
      <w:pPr>
        <w:spacing w:line="480" w:lineRule="auto"/>
        <w:rPr>
          <w:rFonts w:cs="Times New Roman"/>
          <w:szCs w:val="24"/>
        </w:rPr>
      </w:pPr>
      <w:r w:rsidRPr="002571B3">
        <w:rPr>
          <w:rFonts w:cs="Times New Roman"/>
          <w:szCs w:val="24"/>
        </w:rPr>
        <w:tab/>
        <w:t xml:space="preserve"> </w:t>
      </w:r>
    </w:p>
    <w:p w14:paraId="3BE7D943" w14:textId="77777777" w:rsidR="00A57226" w:rsidRPr="002571B3" w:rsidRDefault="00A57226" w:rsidP="00A57226">
      <w:pPr>
        <w:spacing w:line="480" w:lineRule="auto"/>
        <w:rPr>
          <w:rFonts w:cs="Times New Roman"/>
          <w:szCs w:val="24"/>
        </w:rPr>
      </w:pPr>
      <w:r w:rsidRPr="002571B3">
        <w:rPr>
          <w:rFonts w:cs="Times New Roman"/>
          <w:szCs w:val="24"/>
        </w:rPr>
        <w:tab/>
      </w:r>
    </w:p>
    <w:p w14:paraId="4886BB34" w14:textId="77777777" w:rsidR="00500A58" w:rsidRDefault="00500A58"/>
    <w:sectPr w:rsidR="00500A58">
      <w:headerReference w:type="default" r:id="rId5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A1F33" w14:textId="77777777" w:rsidR="00F0281B" w:rsidRDefault="00F0281B" w:rsidP="00A57226">
      <w:pPr>
        <w:spacing w:after="0" w:line="240" w:lineRule="auto"/>
      </w:pPr>
      <w:r>
        <w:separator/>
      </w:r>
    </w:p>
  </w:endnote>
  <w:endnote w:type="continuationSeparator" w:id="0">
    <w:p w14:paraId="57121BA3" w14:textId="77777777" w:rsidR="00F0281B" w:rsidRDefault="00F0281B" w:rsidP="00A5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Mincho">
    <w:charset w:val="80"/>
    <w:family w:val="auto"/>
    <w:pitch w:val="variable"/>
    <w:sig w:usb0="E00002FF" w:usb1="6AC7FDFB" w:usb2="08000012" w:usb3="00000000" w:csb0="000200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71119" w14:textId="77777777" w:rsidR="00F0281B" w:rsidRDefault="00F0281B" w:rsidP="00A57226">
      <w:pPr>
        <w:spacing w:after="0" w:line="240" w:lineRule="auto"/>
      </w:pPr>
      <w:r>
        <w:separator/>
      </w:r>
    </w:p>
  </w:footnote>
  <w:footnote w:type="continuationSeparator" w:id="0">
    <w:p w14:paraId="30B78F9D" w14:textId="77777777" w:rsidR="00F0281B" w:rsidRDefault="00F0281B" w:rsidP="00A57226">
      <w:pPr>
        <w:spacing w:after="0" w:line="240" w:lineRule="auto"/>
      </w:pPr>
      <w:r>
        <w:continuationSeparator/>
      </w:r>
    </w:p>
  </w:footnote>
  <w:footnote w:id="1">
    <w:p w14:paraId="5A2422CF" w14:textId="77777777" w:rsidR="00E20D76" w:rsidRDefault="00E20D76" w:rsidP="00A57226">
      <w:pPr>
        <w:pStyle w:val="FootnoteText"/>
      </w:pPr>
      <w:r>
        <w:rPr>
          <w:rStyle w:val="FootnoteReference"/>
        </w:rPr>
        <w:footnoteRef/>
      </w:r>
      <w:r>
        <w:t xml:space="preserve"> </w:t>
      </w:r>
      <w:r w:rsidRPr="00E20D76">
        <w:rPr>
          <w:rStyle w:val="Strong"/>
          <w:rFonts w:eastAsia="Times New Roman" w:cs="Times New Roman"/>
          <w:b w:val="0"/>
          <w:bCs w:val="0"/>
          <w:sz w:val="20"/>
          <w:szCs w:val="20"/>
        </w:rPr>
        <w:t>Constâncio stated before the British House of Lords’ hearing, “</w:t>
      </w:r>
      <w:r w:rsidRPr="00E20D76">
        <w:rPr>
          <w:rFonts w:eastAsia="Times New Roman" w:cs="Times New Roman"/>
          <w:bCs/>
          <w:sz w:val="20"/>
          <w:szCs w:val="20"/>
        </w:rPr>
        <w:t>Of course, the concept of banking union is something for which different people can have different definitions. Nevertheless it is now more or less official, because it is already stated in documents that it comprises three main elements: first, supervision, then resolution of financial institutions and then deposit insurance.”</w:t>
      </w:r>
    </w:p>
  </w:footnote>
  <w:footnote w:id="2">
    <w:p w14:paraId="375849D3" w14:textId="77777777" w:rsidR="00E20D76" w:rsidRPr="000E1F40" w:rsidRDefault="00E20D76" w:rsidP="008A7375">
      <w:pPr>
        <w:pStyle w:val="FootnoteText"/>
        <w:contextualSpacing/>
      </w:pPr>
      <w:r w:rsidRPr="000E1F40">
        <w:rPr>
          <w:rStyle w:val="FootnoteReference"/>
        </w:rPr>
        <w:footnoteRef/>
      </w:r>
      <w:r w:rsidRPr="000E1F40">
        <w:t xml:space="preserve"> A </w:t>
      </w:r>
      <w:r>
        <w:t xml:space="preserve">list of interviewees </w:t>
      </w:r>
      <w:r w:rsidRPr="000E1F40">
        <w:t xml:space="preserve">is presented in Appendix 1.  The recorded </w:t>
      </w:r>
      <w:r w:rsidRPr="003E1CE6">
        <w:rPr>
          <w:rFonts w:cs="Times New Roman"/>
          <w:szCs w:val="20"/>
        </w:rPr>
        <w:t>interviews were primarily conducted in German, transcribed, and then translated into English.</w:t>
      </w:r>
    </w:p>
  </w:footnote>
  <w:footnote w:id="3">
    <w:p w14:paraId="5114E956" w14:textId="77777777" w:rsidR="00E20D76" w:rsidRDefault="00E20D76" w:rsidP="00A57226">
      <w:pPr>
        <w:pStyle w:val="FootnoteText"/>
      </w:pPr>
      <w:r>
        <w:rPr>
          <w:rStyle w:val="FootnoteReference"/>
        </w:rPr>
        <w:footnoteRef/>
      </w:r>
      <w:r>
        <w:t xml:space="preserve"> </w:t>
      </w:r>
      <w:r w:rsidRPr="003D1A6D">
        <w:rPr>
          <w:rFonts w:cs="Times New Roman"/>
          <w:sz w:val="20"/>
          <w:szCs w:val="20"/>
        </w:rPr>
        <w:t>The banks chosen for direct supervision by ECB included those banks whose assets comprised upwards from 20% of their respective member state’s gross domestic product (GDP), as well as those institutions that received financial assistance from the temporary crisis resolution mechanism, the European Financial Stability Facility (RTT News 2014).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419213"/>
      <w:docPartObj>
        <w:docPartGallery w:val="Page Numbers (Top of Page)"/>
        <w:docPartUnique/>
      </w:docPartObj>
    </w:sdtPr>
    <w:sdtEndPr>
      <w:rPr>
        <w:noProof/>
      </w:rPr>
    </w:sdtEndPr>
    <w:sdtContent>
      <w:p w14:paraId="44879BB7" w14:textId="77777777" w:rsidR="00F0281B" w:rsidRDefault="00F0281B">
        <w:pPr>
          <w:pStyle w:val="Header"/>
          <w:jc w:val="right"/>
        </w:pPr>
        <w:r>
          <w:fldChar w:fldCharType="begin"/>
        </w:r>
        <w:r>
          <w:instrText xml:space="preserve"> PAGE   \* MERGEFORMAT </w:instrText>
        </w:r>
        <w:r>
          <w:fldChar w:fldCharType="separate"/>
        </w:r>
        <w:r w:rsidR="00206D90">
          <w:rPr>
            <w:noProof/>
          </w:rPr>
          <w:t>1</w:t>
        </w:r>
        <w:r>
          <w:rPr>
            <w:noProof/>
          </w:rPr>
          <w:fldChar w:fldCharType="end"/>
        </w:r>
      </w:p>
    </w:sdtContent>
  </w:sdt>
  <w:p w14:paraId="216DA5CE" w14:textId="77777777" w:rsidR="00F0281B" w:rsidRDefault="00F0281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01CF5"/>
    <w:multiLevelType w:val="hybridMultilevel"/>
    <w:tmpl w:val="80C47D3C"/>
    <w:lvl w:ilvl="0" w:tplc="CB06210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866416"/>
    <w:multiLevelType w:val="hybridMultilevel"/>
    <w:tmpl w:val="07ACD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226"/>
    <w:rsid w:val="000468CD"/>
    <w:rsid w:val="000640F2"/>
    <w:rsid w:val="00094846"/>
    <w:rsid w:val="000A2D11"/>
    <w:rsid w:val="000A33E2"/>
    <w:rsid w:val="000A7A2E"/>
    <w:rsid w:val="000B186F"/>
    <w:rsid w:val="000C21A3"/>
    <w:rsid w:val="000C54FF"/>
    <w:rsid w:val="00122DCA"/>
    <w:rsid w:val="00183016"/>
    <w:rsid w:val="001914B5"/>
    <w:rsid w:val="001C018E"/>
    <w:rsid w:val="0020539F"/>
    <w:rsid w:val="00206D90"/>
    <w:rsid w:val="00254D34"/>
    <w:rsid w:val="00271ECB"/>
    <w:rsid w:val="002A4477"/>
    <w:rsid w:val="002A60A2"/>
    <w:rsid w:val="0031008E"/>
    <w:rsid w:val="00377D90"/>
    <w:rsid w:val="003B3D15"/>
    <w:rsid w:val="00403AFE"/>
    <w:rsid w:val="004065A0"/>
    <w:rsid w:val="004207D8"/>
    <w:rsid w:val="00423261"/>
    <w:rsid w:val="00426807"/>
    <w:rsid w:val="004336B0"/>
    <w:rsid w:val="004434CB"/>
    <w:rsid w:val="00481BB1"/>
    <w:rsid w:val="004A5C71"/>
    <w:rsid w:val="004B625E"/>
    <w:rsid w:val="004C7F58"/>
    <w:rsid w:val="004E4DFC"/>
    <w:rsid w:val="00500A58"/>
    <w:rsid w:val="00501ED4"/>
    <w:rsid w:val="00536EB4"/>
    <w:rsid w:val="00552918"/>
    <w:rsid w:val="00563E67"/>
    <w:rsid w:val="005A7DB7"/>
    <w:rsid w:val="005B0640"/>
    <w:rsid w:val="005F302B"/>
    <w:rsid w:val="00623ADC"/>
    <w:rsid w:val="0064269A"/>
    <w:rsid w:val="0065136B"/>
    <w:rsid w:val="0066116E"/>
    <w:rsid w:val="00662D3B"/>
    <w:rsid w:val="006667D4"/>
    <w:rsid w:val="00666D03"/>
    <w:rsid w:val="00682D33"/>
    <w:rsid w:val="006A6322"/>
    <w:rsid w:val="006D05A9"/>
    <w:rsid w:val="0072131A"/>
    <w:rsid w:val="0074394E"/>
    <w:rsid w:val="00743BEA"/>
    <w:rsid w:val="0077185A"/>
    <w:rsid w:val="00780486"/>
    <w:rsid w:val="007C5875"/>
    <w:rsid w:val="007D657F"/>
    <w:rsid w:val="007E55AC"/>
    <w:rsid w:val="007F1F7C"/>
    <w:rsid w:val="007F5C26"/>
    <w:rsid w:val="00815373"/>
    <w:rsid w:val="00815AE1"/>
    <w:rsid w:val="0082353A"/>
    <w:rsid w:val="00841C5E"/>
    <w:rsid w:val="008508A6"/>
    <w:rsid w:val="00854D8D"/>
    <w:rsid w:val="0087458F"/>
    <w:rsid w:val="00885BA0"/>
    <w:rsid w:val="008A7375"/>
    <w:rsid w:val="008B1791"/>
    <w:rsid w:val="008B4EB4"/>
    <w:rsid w:val="00904280"/>
    <w:rsid w:val="00912CB1"/>
    <w:rsid w:val="00922EAC"/>
    <w:rsid w:val="009662EB"/>
    <w:rsid w:val="0097390D"/>
    <w:rsid w:val="009A7C53"/>
    <w:rsid w:val="009B7923"/>
    <w:rsid w:val="009D5F3F"/>
    <w:rsid w:val="009E0BBE"/>
    <w:rsid w:val="009F1B28"/>
    <w:rsid w:val="00A11983"/>
    <w:rsid w:val="00A57226"/>
    <w:rsid w:val="00A81B01"/>
    <w:rsid w:val="00AA3597"/>
    <w:rsid w:val="00AB0FEE"/>
    <w:rsid w:val="00B02FAF"/>
    <w:rsid w:val="00B25FE4"/>
    <w:rsid w:val="00B678AE"/>
    <w:rsid w:val="00B9148C"/>
    <w:rsid w:val="00BB2D5C"/>
    <w:rsid w:val="00BB525E"/>
    <w:rsid w:val="00BB7A8C"/>
    <w:rsid w:val="00C25CCB"/>
    <w:rsid w:val="00C40DE0"/>
    <w:rsid w:val="00C67B0E"/>
    <w:rsid w:val="00CB230E"/>
    <w:rsid w:val="00CD325F"/>
    <w:rsid w:val="00D063B1"/>
    <w:rsid w:val="00D1099E"/>
    <w:rsid w:val="00D34667"/>
    <w:rsid w:val="00D36FAA"/>
    <w:rsid w:val="00D41F6B"/>
    <w:rsid w:val="00D63879"/>
    <w:rsid w:val="00DC2262"/>
    <w:rsid w:val="00DD180C"/>
    <w:rsid w:val="00E0700B"/>
    <w:rsid w:val="00E206B3"/>
    <w:rsid w:val="00E20D76"/>
    <w:rsid w:val="00E534C2"/>
    <w:rsid w:val="00E6773B"/>
    <w:rsid w:val="00E73C78"/>
    <w:rsid w:val="00EC5579"/>
    <w:rsid w:val="00EE5920"/>
    <w:rsid w:val="00F0281B"/>
    <w:rsid w:val="00F66EE1"/>
    <w:rsid w:val="00F9201E"/>
    <w:rsid w:val="00FA68D1"/>
    <w:rsid w:val="00FC2AF4"/>
    <w:rsid w:val="00FC775D"/>
    <w:rsid w:val="00FD4E58"/>
    <w:rsid w:val="00FD5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4A58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26"/>
    <w:pPr>
      <w:spacing w:after="160" w:line="259" w:lineRule="auto"/>
    </w:pPr>
    <w:rPr>
      <w:rFonts w:ascii="Times New Roman" w:eastAsiaTheme="minorHAnsi" w:hAnsi="Times New Roman"/>
      <w:szCs w:val="22"/>
    </w:rPr>
  </w:style>
  <w:style w:type="paragraph" w:styleId="Heading1">
    <w:name w:val="heading 1"/>
    <w:basedOn w:val="Normal"/>
    <w:link w:val="Heading1Char"/>
    <w:uiPriority w:val="9"/>
    <w:qFormat/>
    <w:rsid w:val="00A57226"/>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226"/>
    <w:rPr>
      <w:rFonts w:ascii="Times" w:eastAsiaTheme="minorHAnsi" w:hAnsi="Times"/>
      <w:b/>
      <w:bCs/>
      <w:kern w:val="36"/>
      <w:sz w:val="48"/>
      <w:szCs w:val="48"/>
    </w:rPr>
  </w:style>
  <w:style w:type="paragraph" w:styleId="Header">
    <w:name w:val="header"/>
    <w:basedOn w:val="Normal"/>
    <w:link w:val="HeaderChar"/>
    <w:uiPriority w:val="99"/>
    <w:unhideWhenUsed/>
    <w:rsid w:val="00A5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226"/>
    <w:rPr>
      <w:rFonts w:ascii="Times New Roman" w:eastAsiaTheme="minorHAnsi" w:hAnsi="Times New Roman"/>
      <w:szCs w:val="22"/>
    </w:rPr>
  </w:style>
  <w:style w:type="paragraph" w:styleId="ListParagraph">
    <w:name w:val="List Paragraph"/>
    <w:basedOn w:val="Normal"/>
    <w:uiPriority w:val="34"/>
    <w:qFormat/>
    <w:rsid w:val="00A57226"/>
    <w:pPr>
      <w:spacing w:after="0" w:line="240" w:lineRule="auto"/>
      <w:ind w:left="720"/>
      <w:contextualSpacing/>
    </w:pPr>
    <w:rPr>
      <w:rFonts w:asciiTheme="minorHAnsi" w:eastAsiaTheme="minorEastAsia" w:hAnsiTheme="minorHAnsi"/>
      <w:szCs w:val="24"/>
    </w:rPr>
  </w:style>
  <w:style w:type="character" w:styleId="Strong">
    <w:name w:val="Strong"/>
    <w:basedOn w:val="DefaultParagraphFont"/>
    <w:uiPriority w:val="22"/>
    <w:qFormat/>
    <w:rsid w:val="00A57226"/>
    <w:rPr>
      <w:b/>
      <w:bCs/>
    </w:rPr>
  </w:style>
  <w:style w:type="paragraph" w:styleId="EndnoteText">
    <w:name w:val="endnote text"/>
    <w:basedOn w:val="Normal"/>
    <w:link w:val="EndnoteTextChar"/>
    <w:uiPriority w:val="99"/>
    <w:unhideWhenUsed/>
    <w:rsid w:val="00A57226"/>
    <w:pPr>
      <w:spacing w:after="0" w:line="240" w:lineRule="auto"/>
    </w:pPr>
    <w:rPr>
      <w:szCs w:val="24"/>
    </w:rPr>
  </w:style>
  <w:style w:type="character" w:customStyle="1" w:styleId="EndnoteTextChar">
    <w:name w:val="Endnote Text Char"/>
    <w:basedOn w:val="DefaultParagraphFont"/>
    <w:link w:val="EndnoteText"/>
    <w:uiPriority w:val="99"/>
    <w:rsid w:val="00A57226"/>
    <w:rPr>
      <w:rFonts w:ascii="Times New Roman" w:eastAsiaTheme="minorHAnsi" w:hAnsi="Times New Roman"/>
    </w:rPr>
  </w:style>
  <w:style w:type="character" w:styleId="EndnoteReference">
    <w:name w:val="endnote reference"/>
    <w:basedOn w:val="DefaultParagraphFont"/>
    <w:uiPriority w:val="99"/>
    <w:unhideWhenUsed/>
    <w:rsid w:val="00A57226"/>
    <w:rPr>
      <w:vertAlign w:val="superscript"/>
    </w:rPr>
  </w:style>
  <w:style w:type="paragraph" w:styleId="Caption">
    <w:name w:val="caption"/>
    <w:basedOn w:val="Normal"/>
    <w:next w:val="Normal"/>
    <w:uiPriority w:val="35"/>
    <w:unhideWhenUsed/>
    <w:qFormat/>
    <w:rsid w:val="00A57226"/>
    <w:pPr>
      <w:spacing w:after="200" w:line="240" w:lineRule="auto"/>
    </w:pPr>
    <w:rPr>
      <w:b/>
      <w:bCs/>
      <w:color w:val="4F81BD" w:themeColor="accent1"/>
      <w:sz w:val="18"/>
      <w:szCs w:val="18"/>
    </w:rPr>
  </w:style>
  <w:style w:type="table" w:styleId="TableGrid">
    <w:name w:val="Table Grid"/>
    <w:basedOn w:val="TableNormal"/>
    <w:uiPriority w:val="39"/>
    <w:rsid w:val="00A57226"/>
    <w:rPr>
      <w:rFonts w:ascii="Times New Roman" w:eastAsiaTheme="minorHAnsi" w:hAnsi="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722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7226"/>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EC5579"/>
    <w:rPr>
      <w:sz w:val="18"/>
      <w:szCs w:val="18"/>
    </w:rPr>
  </w:style>
  <w:style w:type="paragraph" w:styleId="CommentText">
    <w:name w:val="annotation text"/>
    <w:basedOn w:val="Normal"/>
    <w:link w:val="CommentTextChar"/>
    <w:uiPriority w:val="99"/>
    <w:semiHidden/>
    <w:unhideWhenUsed/>
    <w:rsid w:val="00EC5579"/>
    <w:pPr>
      <w:spacing w:line="240" w:lineRule="auto"/>
    </w:pPr>
    <w:rPr>
      <w:szCs w:val="24"/>
    </w:rPr>
  </w:style>
  <w:style w:type="character" w:customStyle="1" w:styleId="CommentTextChar">
    <w:name w:val="Comment Text Char"/>
    <w:basedOn w:val="DefaultParagraphFont"/>
    <w:link w:val="CommentText"/>
    <w:uiPriority w:val="99"/>
    <w:semiHidden/>
    <w:rsid w:val="00EC5579"/>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EC5579"/>
    <w:rPr>
      <w:b/>
      <w:bCs/>
      <w:sz w:val="20"/>
      <w:szCs w:val="20"/>
    </w:rPr>
  </w:style>
  <w:style w:type="character" w:customStyle="1" w:styleId="CommentSubjectChar">
    <w:name w:val="Comment Subject Char"/>
    <w:basedOn w:val="CommentTextChar"/>
    <w:link w:val="CommentSubject"/>
    <w:uiPriority w:val="99"/>
    <w:semiHidden/>
    <w:rsid w:val="00EC5579"/>
    <w:rPr>
      <w:rFonts w:ascii="Times New Roman" w:eastAsiaTheme="minorHAnsi" w:hAnsi="Times New Roman"/>
      <w:b/>
      <w:bCs/>
      <w:sz w:val="20"/>
      <w:szCs w:val="20"/>
    </w:rPr>
  </w:style>
  <w:style w:type="character" w:customStyle="1" w:styleId="citationtext">
    <w:name w:val="citation_text"/>
    <w:basedOn w:val="DefaultParagraphFont"/>
    <w:rsid w:val="00841C5E"/>
  </w:style>
  <w:style w:type="character" w:styleId="Hyperlink">
    <w:name w:val="Hyperlink"/>
    <w:basedOn w:val="DefaultParagraphFont"/>
    <w:uiPriority w:val="99"/>
    <w:semiHidden/>
    <w:unhideWhenUsed/>
    <w:rsid w:val="00841C5E"/>
    <w:rPr>
      <w:color w:val="0000FF"/>
      <w:u w:val="single"/>
    </w:rPr>
  </w:style>
  <w:style w:type="character" w:styleId="FollowedHyperlink">
    <w:name w:val="FollowedHyperlink"/>
    <w:basedOn w:val="DefaultParagraphFont"/>
    <w:uiPriority w:val="99"/>
    <w:semiHidden/>
    <w:unhideWhenUsed/>
    <w:rsid w:val="00841C5E"/>
    <w:rPr>
      <w:color w:val="800080" w:themeColor="followedHyperlink"/>
      <w:u w:val="single"/>
    </w:rPr>
  </w:style>
  <w:style w:type="paragraph" w:styleId="FootnoteText">
    <w:name w:val="footnote text"/>
    <w:basedOn w:val="Normal"/>
    <w:link w:val="FootnoteTextChar"/>
    <w:uiPriority w:val="99"/>
    <w:semiHidden/>
    <w:unhideWhenUsed/>
    <w:rsid w:val="00E20D76"/>
    <w:pPr>
      <w:spacing w:after="0" w:line="240" w:lineRule="auto"/>
    </w:pPr>
    <w:rPr>
      <w:szCs w:val="24"/>
    </w:rPr>
  </w:style>
  <w:style w:type="character" w:customStyle="1" w:styleId="FootnoteTextChar">
    <w:name w:val="Footnote Text Char"/>
    <w:basedOn w:val="DefaultParagraphFont"/>
    <w:link w:val="FootnoteText"/>
    <w:uiPriority w:val="99"/>
    <w:semiHidden/>
    <w:rsid w:val="00E20D76"/>
    <w:rPr>
      <w:rFonts w:ascii="Times New Roman" w:eastAsiaTheme="minorHAnsi" w:hAnsi="Times New Roman"/>
    </w:rPr>
  </w:style>
  <w:style w:type="character" w:styleId="FootnoteReference">
    <w:name w:val="footnote reference"/>
    <w:basedOn w:val="DefaultParagraphFont"/>
    <w:uiPriority w:val="99"/>
    <w:semiHidden/>
    <w:unhideWhenUsed/>
    <w:rsid w:val="00E20D7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26"/>
    <w:pPr>
      <w:spacing w:after="160" w:line="259" w:lineRule="auto"/>
    </w:pPr>
    <w:rPr>
      <w:rFonts w:ascii="Times New Roman" w:eastAsiaTheme="minorHAnsi" w:hAnsi="Times New Roman"/>
      <w:szCs w:val="22"/>
    </w:rPr>
  </w:style>
  <w:style w:type="paragraph" w:styleId="Heading1">
    <w:name w:val="heading 1"/>
    <w:basedOn w:val="Normal"/>
    <w:link w:val="Heading1Char"/>
    <w:uiPriority w:val="9"/>
    <w:qFormat/>
    <w:rsid w:val="00A57226"/>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226"/>
    <w:rPr>
      <w:rFonts w:ascii="Times" w:eastAsiaTheme="minorHAnsi" w:hAnsi="Times"/>
      <w:b/>
      <w:bCs/>
      <w:kern w:val="36"/>
      <w:sz w:val="48"/>
      <w:szCs w:val="48"/>
    </w:rPr>
  </w:style>
  <w:style w:type="paragraph" w:styleId="Header">
    <w:name w:val="header"/>
    <w:basedOn w:val="Normal"/>
    <w:link w:val="HeaderChar"/>
    <w:uiPriority w:val="99"/>
    <w:unhideWhenUsed/>
    <w:rsid w:val="00A5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226"/>
    <w:rPr>
      <w:rFonts w:ascii="Times New Roman" w:eastAsiaTheme="minorHAnsi" w:hAnsi="Times New Roman"/>
      <w:szCs w:val="22"/>
    </w:rPr>
  </w:style>
  <w:style w:type="paragraph" w:styleId="ListParagraph">
    <w:name w:val="List Paragraph"/>
    <w:basedOn w:val="Normal"/>
    <w:uiPriority w:val="34"/>
    <w:qFormat/>
    <w:rsid w:val="00A57226"/>
    <w:pPr>
      <w:spacing w:after="0" w:line="240" w:lineRule="auto"/>
      <w:ind w:left="720"/>
      <w:contextualSpacing/>
    </w:pPr>
    <w:rPr>
      <w:rFonts w:asciiTheme="minorHAnsi" w:eastAsiaTheme="minorEastAsia" w:hAnsiTheme="minorHAnsi"/>
      <w:szCs w:val="24"/>
    </w:rPr>
  </w:style>
  <w:style w:type="character" w:styleId="Strong">
    <w:name w:val="Strong"/>
    <w:basedOn w:val="DefaultParagraphFont"/>
    <w:uiPriority w:val="22"/>
    <w:qFormat/>
    <w:rsid w:val="00A57226"/>
    <w:rPr>
      <w:b/>
      <w:bCs/>
    </w:rPr>
  </w:style>
  <w:style w:type="paragraph" w:styleId="EndnoteText">
    <w:name w:val="endnote text"/>
    <w:basedOn w:val="Normal"/>
    <w:link w:val="EndnoteTextChar"/>
    <w:uiPriority w:val="99"/>
    <w:unhideWhenUsed/>
    <w:rsid w:val="00A57226"/>
    <w:pPr>
      <w:spacing w:after="0" w:line="240" w:lineRule="auto"/>
    </w:pPr>
    <w:rPr>
      <w:szCs w:val="24"/>
    </w:rPr>
  </w:style>
  <w:style w:type="character" w:customStyle="1" w:styleId="EndnoteTextChar">
    <w:name w:val="Endnote Text Char"/>
    <w:basedOn w:val="DefaultParagraphFont"/>
    <w:link w:val="EndnoteText"/>
    <w:uiPriority w:val="99"/>
    <w:rsid w:val="00A57226"/>
    <w:rPr>
      <w:rFonts w:ascii="Times New Roman" w:eastAsiaTheme="minorHAnsi" w:hAnsi="Times New Roman"/>
    </w:rPr>
  </w:style>
  <w:style w:type="character" w:styleId="EndnoteReference">
    <w:name w:val="endnote reference"/>
    <w:basedOn w:val="DefaultParagraphFont"/>
    <w:uiPriority w:val="99"/>
    <w:unhideWhenUsed/>
    <w:rsid w:val="00A57226"/>
    <w:rPr>
      <w:vertAlign w:val="superscript"/>
    </w:rPr>
  </w:style>
  <w:style w:type="paragraph" w:styleId="Caption">
    <w:name w:val="caption"/>
    <w:basedOn w:val="Normal"/>
    <w:next w:val="Normal"/>
    <w:uiPriority w:val="35"/>
    <w:unhideWhenUsed/>
    <w:qFormat/>
    <w:rsid w:val="00A57226"/>
    <w:pPr>
      <w:spacing w:after="200" w:line="240" w:lineRule="auto"/>
    </w:pPr>
    <w:rPr>
      <w:b/>
      <w:bCs/>
      <w:color w:val="4F81BD" w:themeColor="accent1"/>
      <w:sz w:val="18"/>
      <w:szCs w:val="18"/>
    </w:rPr>
  </w:style>
  <w:style w:type="table" w:styleId="TableGrid">
    <w:name w:val="Table Grid"/>
    <w:basedOn w:val="TableNormal"/>
    <w:uiPriority w:val="39"/>
    <w:rsid w:val="00A57226"/>
    <w:rPr>
      <w:rFonts w:ascii="Times New Roman" w:eastAsiaTheme="minorHAnsi" w:hAnsi="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722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7226"/>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EC5579"/>
    <w:rPr>
      <w:sz w:val="18"/>
      <w:szCs w:val="18"/>
    </w:rPr>
  </w:style>
  <w:style w:type="paragraph" w:styleId="CommentText">
    <w:name w:val="annotation text"/>
    <w:basedOn w:val="Normal"/>
    <w:link w:val="CommentTextChar"/>
    <w:uiPriority w:val="99"/>
    <w:semiHidden/>
    <w:unhideWhenUsed/>
    <w:rsid w:val="00EC5579"/>
    <w:pPr>
      <w:spacing w:line="240" w:lineRule="auto"/>
    </w:pPr>
    <w:rPr>
      <w:szCs w:val="24"/>
    </w:rPr>
  </w:style>
  <w:style w:type="character" w:customStyle="1" w:styleId="CommentTextChar">
    <w:name w:val="Comment Text Char"/>
    <w:basedOn w:val="DefaultParagraphFont"/>
    <w:link w:val="CommentText"/>
    <w:uiPriority w:val="99"/>
    <w:semiHidden/>
    <w:rsid w:val="00EC5579"/>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EC5579"/>
    <w:rPr>
      <w:b/>
      <w:bCs/>
      <w:sz w:val="20"/>
      <w:szCs w:val="20"/>
    </w:rPr>
  </w:style>
  <w:style w:type="character" w:customStyle="1" w:styleId="CommentSubjectChar">
    <w:name w:val="Comment Subject Char"/>
    <w:basedOn w:val="CommentTextChar"/>
    <w:link w:val="CommentSubject"/>
    <w:uiPriority w:val="99"/>
    <w:semiHidden/>
    <w:rsid w:val="00EC5579"/>
    <w:rPr>
      <w:rFonts w:ascii="Times New Roman" w:eastAsiaTheme="minorHAnsi" w:hAnsi="Times New Roman"/>
      <w:b/>
      <w:bCs/>
      <w:sz w:val="20"/>
      <w:szCs w:val="20"/>
    </w:rPr>
  </w:style>
  <w:style w:type="character" w:customStyle="1" w:styleId="citationtext">
    <w:name w:val="citation_text"/>
    <w:basedOn w:val="DefaultParagraphFont"/>
    <w:rsid w:val="00841C5E"/>
  </w:style>
  <w:style w:type="character" w:styleId="Hyperlink">
    <w:name w:val="Hyperlink"/>
    <w:basedOn w:val="DefaultParagraphFont"/>
    <w:uiPriority w:val="99"/>
    <w:semiHidden/>
    <w:unhideWhenUsed/>
    <w:rsid w:val="00841C5E"/>
    <w:rPr>
      <w:color w:val="0000FF"/>
      <w:u w:val="single"/>
    </w:rPr>
  </w:style>
  <w:style w:type="character" w:styleId="FollowedHyperlink">
    <w:name w:val="FollowedHyperlink"/>
    <w:basedOn w:val="DefaultParagraphFont"/>
    <w:uiPriority w:val="99"/>
    <w:semiHidden/>
    <w:unhideWhenUsed/>
    <w:rsid w:val="00841C5E"/>
    <w:rPr>
      <w:color w:val="800080" w:themeColor="followedHyperlink"/>
      <w:u w:val="single"/>
    </w:rPr>
  </w:style>
  <w:style w:type="paragraph" w:styleId="FootnoteText">
    <w:name w:val="footnote text"/>
    <w:basedOn w:val="Normal"/>
    <w:link w:val="FootnoteTextChar"/>
    <w:uiPriority w:val="99"/>
    <w:semiHidden/>
    <w:unhideWhenUsed/>
    <w:rsid w:val="00E20D76"/>
    <w:pPr>
      <w:spacing w:after="0" w:line="240" w:lineRule="auto"/>
    </w:pPr>
    <w:rPr>
      <w:szCs w:val="24"/>
    </w:rPr>
  </w:style>
  <w:style w:type="character" w:customStyle="1" w:styleId="FootnoteTextChar">
    <w:name w:val="Footnote Text Char"/>
    <w:basedOn w:val="DefaultParagraphFont"/>
    <w:link w:val="FootnoteText"/>
    <w:uiPriority w:val="99"/>
    <w:semiHidden/>
    <w:rsid w:val="00E20D76"/>
    <w:rPr>
      <w:rFonts w:ascii="Times New Roman" w:eastAsiaTheme="minorHAnsi" w:hAnsi="Times New Roman"/>
    </w:rPr>
  </w:style>
  <w:style w:type="character" w:styleId="FootnoteReference">
    <w:name w:val="footnote reference"/>
    <w:basedOn w:val="DefaultParagraphFont"/>
    <w:uiPriority w:val="99"/>
    <w:semiHidden/>
    <w:unhideWhenUsed/>
    <w:rsid w:val="00E20D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450374">
      <w:bodyDiv w:val="1"/>
      <w:marLeft w:val="0"/>
      <w:marRight w:val="0"/>
      <w:marTop w:val="0"/>
      <w:marBottom w:val="0"/>
      <w:divBdr>
        <w:top w:val="none" w:sz="0" w:space="0" w:color="auto"/>
        <w:left w:val="none" w:sz="0" w:space="0" w:color="auto"/>
        <w:bottom w:val="none" w:sz="0" w:space="0" w:color="auto"/>
        <w:right w:val="none" w:sz="0" w:space="0" w:color="auto"/>
      </w:divBdr>
    </w:div>
    <w:div w:id="1687322330">
      <w:bodyDiv w:val="1"/>
      <w:marLeft w:val="0"/>
      <w:marRight w:val="0"/>
      <w:marTop w:val="0"/>
      <w:marBottom w:val="0"/>
      <w:divBdr>
        <w:top w:val="none" w:sz="0" w:space="0" w:color="auto"/>
        <w:left w:val="none" w:sz="0" w:space="0" w:color="auto"/>
        <w:bottom w:val="none" w:sz="0" w:space="0" w:color="auto"/>
        <w:right w:val="none" w:sz="0" w:space="0" w:color="auto"/>
      </w:divBdr>
      <w:divsChild>
        <w:div w:id="1062605718">
          <w:marLeft w:val="0"/>
          <w:marRight w:val="0"/>
          <w:marTop w:val="0"/>
          <w:marBottom w:val="0"/>
          <w:divBdr>
            <w:top w:val="none" w:sz="0" w:space="0" w:color="auto"/>
            <w:left w:val="none" w:sz="0" w:space="0" w:color="auto"/>
            <w:bottom w:val="none" w:sz="0" w:space="0" w:color="auto"/>
            <w:right w:val="none" w:sz="0" w:space="0" w:color="auto"/>
          </w:divBdr>
        </w:div>
        <w:div w:id="2041588557">
          <w:marLeft w:val="0"/>
          <w:marRight w:val="0"/>
          <w:marTop w:val="0"/>
          <w:marBottom w:val="0"/>
          <w:divBdr>
            <w:top w:val="none" w:sz="0" w:space="0" w:color="auto"/>
            <w:left w:val="none" w:sz="0" w:space="0" w:color="auto"/>
            <w:bottom w:val="none" w:sz="0" w:space="0" w:color="auto"/>
            <w:right w:val="none" w:sz="0" w:space="0" w:color="auto"/>
          </w:divBdr>
        </w:div>
        <w:div w:id="2118060642">
          <w:marLeft w:val="0"/>
          <w:marRight w:val="0"/>
          <w:marTop w:val="0"/>
          <w:marBottom w:val="0"/>
          <w:divBdr>
            <w:top w:val="none" w:sz="0" w:space="0" w:color="auto"/>
            <w:left w:val="none" w:sz="0" w:space="0" w:color="auto"/>
            <w:bottom w:val="none" w:sz="0" w:space="0" w:color="auto"/>
            <w:right w:val="none" w:sz="0" w:space="0" w:color="auto"/>
          </w:divBdr>
        </w:div>
      </w:divsChild>
    </w:div>
    <w:div w:id="19278073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bloomberg.com/news/2014-02-28/euro-banks-in-dark-on-payment-rules-for-resolution-fund.html" TargetMode="External"/><Relationship Id="rId14" Type="http://schemas.openxmlformats.org/officeDocument/2006/relationships/hyperlink" Target="http://www.ft.com/intl/cms/s/0/df1cf84a-57be-11e5-a28b-50226830d644.html" TargetMode="External"/><Relationship Id="rId15" Type="http://schemas.openxmlformats.org/officeDocument/2006/relationships/hyperlink" Target="http://www.ft.com/intl/cms/s/0/702b7f8c-888e-11e5-90de-f44762bf9896.html" TargetMode="External"/><Relationship Id="rId16" Type="http://schemas.openxmlformats.org/officeDocument/2006/relationships/hyperlink" Target="http://www.bloomberg.com/news/2014-08-28/eu-banking-union-reference-guide-to-key-dates-coming-milestones.html" TargetMode="External"/><Relationship Id="rId17" Type="http://schemas.openxmlformats.org/officeDocument/2006/relationships/hyperlink" Target="http://www.bloomberg.com/bw/articles/2012-06-26/a-way-to-break-out-of-europes-doom-loop" TargetMode="External"/><Relationship Id="rId18" Type="http://schemas.openxmlformats.org/officeDocument/2006/relationships/hyperlink" Target="http://online.wsj.com/articles/eus-to-bear-biggest-share-of-bailout-funds-1413903109" TargetMode="External"/><Relationship Id="rId19" Type="http://schemas.openxmlformats.org/officeDocument/2006/relationships/hyperlink" Target="http://eur-lex.europa.eu/legal-content/EN/TXT/?uri=OJ:L:2009:068:TOC" TargetMode="External"/><Relationship Id="rId50" Type="http://schemas.openxmlformats.org/officeDocument/2006/relationships/hyperlink" Target="http://www.ft.com/intl/cms/s/0/8bdaf6e8-b89f-11e2-869f-00144feabdc0.html" TargetMode="External"/><Relationship Id="rId51" Type="http://schemas.openxmlformats.org/officeDocument/2006/relationships/hyperlink" Target="http://www.ft.com/intl/cms/s/0/abc93c04-591f-11e4-a722-00144feab7de.html" TargetMode="External"/><Relationship Id="rId52" Type="http://schemas.openxmlformats.org/officeDocument/2006/relationships/hyperlink" Target="http://www.wsj.com/articles/SB10001424052702303661404579177873015074830" TargetMode="External"/><Relationship Id="rId53" Type="http://schemas.openxmlformats.org/officeDocument/2006/relationships/hyperlink" Target="https://www.stratfor.com/analysis/europe-building-banking-union" TargetMode="External"/><Relationship Id="rId54" Type="http://schemas.openxmlformats.org/officeDocument/2006/relationships/hyperlink" Target="http://www.theguardian.com/business/2013/dec/19/european-leaders-summit-brussels-banking-germany-merkel" TargetMode="External"/><Relationship Id="rId55" Type="http://schemas.openxmlformats.org/officeDocument/2006/relationships/hyperlink" Target="http://bruegel.org/2013/02/from-supervision-to-resolution-next-steps-on-the-road-to-european-banking-union/" TargetMode="External"/><Relationship Id="rId56" Type="http://schemas.openxmlformats.org/officeDocument/2006/relationships/hyperlink" Target="http://www.nytimes.com/2015/12/20/magazine/has-europe-reached-the-breaking-point.html?smtyp=cur" TargetMode="External"/><Relationship Id="rId57" Type="http://schemas.openxmlformats.org/officeDocument/2006/relationships/header" Target="header1.xml"/><Relationship Id="rId58" Type="http://schemas.openxmlformats.org/officeDocument/2006/relationships/fontTable" Target="fontTable.xml"/><Relationship Id="rId59" Type="http://schemas.openxmlformats.org/officeDocument/2006/relationships/theme" Target="theme/theme1.xml"/><Relationship Id="rId40" Type="http://schemas.openxmlformats.org/officeDocument/2006/relationships/hyperlink" Target="http://www.reuters.com/article/eu-deposits-germany-idUSL5N11H3B420150911" TargetMode="External"/><Relationship Id="rId41" Type="http://schemas.openxmlformats.org/officeDocument/2006/relationships/hyperlink" Target="https://www.imf.org/external/np/speeches/2012/041712.htm" TargetMode="External"/><Relationship Id="rId42" Type="http://schemas.openxmlformats.org/officeDocument/2006/relationships/hyperlink" Target="http://www.ibtimes.com.au/eu-commission-pulls-germany-11-more-imbalances-moots-mandatory-deposit-insurance-euro-zone-banks" TargetMode="External"/><Relationship Id="rId43" Type="http://schemas.openxmlformats.org/officeDocument/2006/relationships/hyperlink" Target="http://www.reuters.com/article/us-france-germany-banks-idUSKBN0IO0Q720141104" TargetMode="External"/><Relationship Id="rId44" Type="http://schemas.openxmlformats.org/officeDocument/2006/relationships/hyperlink" Target="http://www.ft.com/cms/s/0/db6eed36-951f-11e5-8389-7c9ccf83dceb.html" TargetMode="External"/><Relationship Id="rId45" Type="http://schemas.openxmlformats.org/officeDocument/2006/relationships/hyperlink" Target="http://www.telegraph.co.uk/finance/newsbysector/banksandfinance/10533017/BCCI-victims-pursue-extra-200m-payout.html" TargetMode="External"/><Relationship Id="rId46" Type="http://schemas.openxmlformats.org/officeDocument/2006/relationships/hyperlink" Target="http://dx.doi.org/10.1111/j.1468-0327.2010.00243.x" TargetMode="External"/><Relationship Id="rId47" Type="http://schemas.openxmlformats.org/officeDocument/2006/relationships/hyperlink" Target="http://www.aljazeera.com/indepth/opinion/2015/08/refugee-crisis-exposes-massive-flaws-eu-governance-150826115439854.html" TargetMode="External"/><Relationship Id="rId48" Type="http://schemas.openxmlformats.org/officeDocument/2006/relationships/hyperlink" Target="http://eur-lex.europa.eu/legal-content/EN/TXT/HTML/?uri=CELEX:31987H0063&amp;from=EN" TargetMode="External"/><Relationship Id="rId49" Type="http://schemas.openxmlformats.org/officeDocument/2006/relationships/hyperlink" Target="http://eur-lex.europa.eu/legal-content/EN/TXT/HTML/?uri=CELEX:32014R0806&amp;from=E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30" Type="http://schemas.openxmlformats.org/officeDocument/2006/relationships/hyperlink" Target="http://europa.eu/rapid/press-release_MEMO-14-295_en.htm" TargetMode="External"/><Relationship Id="rId31" Type="http://schemas.openxmlformats.org/officeDocument/2006/relationships/hyperlink" Target="http://ec.europa.eu/finance/bank/guarantee/index_en.htm" TargetMode="External"/><Relationship Id="rId32" Type="http://schemas.openxmlformats.org/officeDocument/2006/relationships/hyperlink" Target="http://ec.europa.eu/finance/general-policy/banking-union/european-deposit-insurance-scheme/index_en.htm" TargetMode="External"/><Relationship Id="rId33" Type="http://schemas.openxmlformats.org/officeDocument/2006/relationships/hyperlink" Target="http://www.efsf.europa.eu/about/operations/index.htm" TargetMode="External"/><Relationship Id="rId34" Type="http://schemas.openxmlformats.org/officeDocument/2006/relationships/hyperlink" Target="http://www.esm.europa.eu/publications/index.htm" TargetMode="External"/><Relationship Id="rId35" Type="http://schemas.openxmlformats.org/officeDocument/2006/relationships/hyperlink" Target="http://eur-lex.europa.eu/legal-content/EN/TXT/?uri=OJ:C:2008:314:TOC" TargetMode="External"/><Relationship Id="rId36" Type="http://schemas.openxmlformats.org/officeDocument/2006/relationships/hyperlink" Target="http://www.nytimes.com/2014/03/19/business/international/german-court-validates-participation-in-euro-zone-bailout-fund.html" TargetMode="External"/><Relationship Id="rId37" Type="http://schemas.openxmlformats.org/officeDocument/2006/relationships/hyperlink" Target="http://blogs.ft.com/brusselsblog/files/2015/09/Nonpaperfinal_20150910091345.pdf" TargetMode="External"/><Relationship Id="rId38" Type="http://schemas.openxmlformats.org/officeDocument/2006/relationships/hyperlink" Target="https://euobserver.com/news/126361" TargetMode="External"/><Relationship Id="rId39" Type="http://schemas.openxmlformats.org/officeDocument/2006/relationships/hyperlink" Target="http://articles.latimes.com/1991-07-11/news/mn-2869_1_independence-bank/2" TargetMode="External"/><Relationship Id="rId20" Type="http://schemas.openxmlformats.org/officeDocument/2006/relationships/hyperlink" Target="http://eur-lex.europa.eu/legal-content/EN/TXT/?uri=OJ:L:2014:173:TOC" TargetMode="External"/><Relationship Id="rId21" Type="http://schemas.openxmlformats.org/officeDocument/2006/relationships/hyperlink" Target="http://www.dsgv.de/en/facts/publications.html" TargetMode="External"/><Relationship Id="rId22" Type="http://schemas.openxmlformats.org/officeDocument/2006/relationships/hyperlink" Target="http://www.dsgv.de/en/savings-banks-finance-group/institutional_protection_scheme.html" TargetMode="External"/><Relationship Id="rId23" Type="http://schemas.openxmlformats.org/officeDocument/2006/relationships/hyperlink" Target="http://www.dsgv.de/en/press/press-releases/150312_annual_press_conference_GF.html" TargetMode="External"/><Relationship Id="rId24" Type="http://schemas.openxmlformats.org/officeDocument/2006/relationships/hyperlink" Target="http://www.economist.com/news/europe/21600723-german-legalism-hampering-rational-crisis-management-laws-euro-nomics" TargetMode="External"/><Relationship Id="rId25" Type="http://schemas.openxmlformats.org/officeDocument/2006/relationships/hyperlink" Target="http://www.nytimes.com/2012/06/27/world/europe/european-union-prods-germany-with-fiscal-plan.html" TargetMode="External"/><Relationship Id="rId26" Type="http://schemas.openxmlformats.org/officeDocument/2006/relationships/hyperlink" Target="https://www.ecb.europa.eu/press/pr/date/2003/html/pr030310_3.en.html" TargetMode="External"/><Relationship Id="rId27" Type="http://schemas.openxmlformats.org/officeDocument/2006/relationships/hyperlink" Target="https://www.ecb.europa.eu/press/pr/date/2005/html/pr050518_1.en.html" TargetMode="External"/><Relationship Id="rId28" Type="http://schemas.openxmlformats.org/officeDocument/2006/relationships/hyperlink" Target="https://www.ecb.europa.eu/pub/pdf/other/mou-financialstability2008en.pdf" TargetMode="External"/><Relationship Id="rId29" Type="http://schemas.openxmlformats.org/officeDocument/2006/relationships/hyperlink" Target="http://eur-lex.europa.eu/legal-content/EN/TXT/HTML/?uri=CELEX:52012DC0510&amp;from=EN" TargetMode="External"/><Relationship Id="rId10" Type="http://schemas.openxmlformats.org/officeDocument/2006/relationships/hyperlink" Target="http://www.ft.com/cms/s/0/e2dd12ec-fdbe-11e1-9901-00144feabdc0.html" TargetMode="External"/><Relationship Id="rId11" Type="http://schemas.openxmlformats.org/officeDocument/2006/relationships/hyperlink" Target="http://news.bbc.co.uk/2/hi/business/7641132.stm" TargetMode="External"/><Relationship Id="rId12" Type="http://schemas.openxmlformats.org/officeDocument/2006/relationships/hyperlink" Target="http://www.lexology.com/library/detail.aspx?g=9dd1cc6b-3a22-4093-9264-9288b4d17e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C9822-0A35-A94F-92EB-12DB3420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10841</Words>
  <Characters>61796</Characters>
  <Application>Microsoft Macintosh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72493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Hutcheson</dc:creator>
  <cp:keywords/>
  <dc:description/>
  <cp:lastModifiedBy>Mark Cassell</cp:lastModifiedBy>
  <cp:revision>2</cp:revision>
  <dcterms:created xsi:type="dcterms:W3CDTF">2016-03-15T11:55:00Z</dcterms:created>
  <dcterms:modified xsi:type="dcterms:W3CDTF">2016-03-15T11:55:00Z</dcterms:modified>
</cp:coreProperties>
</file>