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082AE7" w:rsidRDefault="00082AE7">
      <w:pPr>
        <w:rPr>
          <w:rFonts w:ascii="Garamond" w:hAnsi="Garamond"/>
        </w:rPr>
      </w:pPr>
    </w:p>
    <w:p w:rsidR="00082AE7" w:rsidRDefault="00082AE7">
      <w:pPr>
        <w:rPr>
          <w:rFonts w:ascii="Garamond" w:hAnsi="Garamond"/>
        </w:rPr>
      </w:pPr>
    </w:p>
    <w:p w:rsidR="00082AE7" w:rsidRDefault="00082AE7">
      <w:pPr>
        <w:rPr>
          <w:rFonts w:ascii="Garamond" w:hAnsi="Garamond"/>
        </w:rPr>
      </w:pPr>
    </w:p>
    <w:p w:rsidR="00082AE7" w:rsidRDefault="00082AE7">
      <w:pPr>
        <w:rPr>
          <w:rFonts w:ascii="Garamond" w:hAnsi="Garamond"/>
        </w:rPr>
      </w:pPr>
    </w:p>
    <w:p w:rsidR="00082AE7" w:rsidRDefault="00082AE7">
      <w:pPr>
        <w:rPr>
          <w:rFonts w:ascii="Garamond" w:hAnsi="Garamond"/>
        </w:rPr>
      </w:pPr>
    </w:p>
    <w:p w:rsidR="00082AE7" w:rsidRDefault="00082AE7">
      <w:pPr>
        <w:rPr>
          <w:rFonts w:ascii="Garamond" w:hAnsi="Garamond"/>
        </w:rPr>
      </w:pPr>
    </w:p>
    <w:p w:rsidR="00082AE7" w:rsidRDefault="00082AE7">
      <w:pPr>
        <w:rPr>
          <w:rFonts w:ascii="Garamond" w:hAnsi="Garamond"/>
        </w:rPr>
      </w:pPr>
    </w:p>
    <w:p w:rsidR="00082AE7" w:rsidRDefault="00082AE7">
      <w:pPr>
        <w:rPr>
          <w:rFonts w:ascii="Garamond" w:hAnsi="Garamond"/>
        </w:rPr>
      </w:pPr>
    </w:p>
    <w:p w:rsidR="00082AE7" w:rsidRDefault="00082AE7">
      <w:pPr>
        <w:rPr>
          <w:rFonts w:ascii="Garamond" w:hAnsi="Garamond"/>
        </w:rPr>
      </w:pPr>
    </w:p>
    <w:p w:rsidR="00082AE7" w:rsidRDefault="00082AE7">
      <w:pPr>
        <w:rPr>
          <w:rFonts w:ascii="Garamond" w:hAnsi="Garamond"/>
        </w:rPr>
      </w:pPr>
    </w:p>
    <w:p w:rsidR="00082AE7" w:rsidRDefault="00082AE7">
      <w:pPr>
        <w:rPr>
          <w:rFonts w:ascii="Garamond" w:hAnsi="Garamond"/>
        </w:rPr>
      </w:pPr>
    </w:p>
    <w:p w:rsidR="00082AE7" w:rsidRDefault="00082AE7">
      <w:pPr>
        <w:rPr>
          <w:rFonts w:ascii="Garamond" w:hAnsi="Garamond"/>
        </w:rPr>
      </w:pPr>
    </w:p>
    <w:p w:rsidR="00082AE7" w:rsidRDefault="00082AE7">
      <w:pPr>
        <w:rPr>
          <w:rFonts w:ascii="Garamond" w:hAnsi="Garamond"/>
        </w:rPr>
      </w:pPr>
    </w:p>
    <w:p w:rsidR="00082AE7" w:rsidRDefault="00082AE7">
      <w:pPr>
        <w:rPr>
          <w:rFonts w:ascii="Garamond" w:hAnsi="Garamond"/>
        </w:rPr>
      </w:pPr>
    </w:p>
    <w:p w:rsidR="00082AE7" w:rsidRDefault="00082AE7">
      <w:pPr>
        <w:rPr>
          <w:rFonts w:ascii="Garamond" w:hAnsi="Garamond"/>
        </w:rPr>
      </w:pPr>
    </w:p>
    <w:p w:rsidR="00082AE7" w:rsidRDefault="00082AE7">
      <w:pPr>
        <w:rPr>
          <w:rFonts w:ascii="Garamond" w:hAnsi="Garamond"/>
        </w:rPr>
      </w:pPr>
    </w:p>
    <w:p w:rsidR="00082AE7" w:rsidRDefault="00082AE7">
      <w:pPr>
        <w:rPr>
          <w:rFonts w:ascii="Garamond" w:hAnsi="Garamond"/>
        </w:rPr>
      </w:pPr>
    </w:p>
    <w:p w:rsidR="00082AE7" w:rsidRDefault="00082AE7">
      <w:pPr>
        <w:rPr>
          <w:rFonts w:ascii="Garamond" w:hAnsi="Garamond"/>
        </w:rPr>
      </w:pPr>
    </w:p>
    <w:p w:rsidR="00082AE7" w:rsidRDefault="00082AE7">
      <w:pPr>
        <w:rPr>
          <w:rFonts w:ascii="Garamond" w:hAnsi="Garamond"/>
        </w:rPr>
      </w:pPr>
    </w:p>
    <w:p w:rsidR="00082AE7" w:rsidRDefault="00082AE7" w:rsidP="00082AE7">
      <w:pPr>
        <w:jc w:val="center"/>
        <w:rPr>
          <w:rFonts w:ascii="Garamond" w:hAnsi="Garamond"/>
          <w:sz w:val="32"/>
        </w:rPr>
      </w:pPr>
      <w:r>
        <w:rPr>
          <w:rFonts w:ascii="Garamond" w:hAnsi="Garamond"/>
          <w:sz w:val="32"/>
        </w:rPr>
        <w:t>The Courts and Coequality</w:t>
      </w:r>
    </w:p>
    <w:p w:rsidR="00082AE7" w:rsidRDefault="00643D0B" w:rsidP="00082AE7">
      <w:pPr>
        <w:jc w:val="center"/>
        <w:rPr>
          <w:rFonts w:ascii="Garamond" w:hAnsi="Garamond"/>
          <w:sz w:val="32"/>
        </w:rPr>
      </w:pPr>
      <w:r>
        <w:rPr>
          <w:rFonts w:ascii="Garamond" w:hAnsi="Garamond"/>
          <w:sz w:val="32"/>
        </w:rPr>
        <w:t>Aiding a False Originalism</w:t>
      </w:r>
    </w:p>
    <w:p w:rsidR="00082AE7" w:rsidRDefault="00082AE7" w:rsidP="00082AE7">
      <w:pPr>
        <w:jc w:val="center"/>
        <w:rPr>
          <w:rFonts w:ascii="Garamond" w:hAnsi="Garamond"/>
          <w:sz w:val="32"/>
        </w:rPr>
      </w:pPr>
    </w:p>
    <w:p w:rsidR="00082AE7" w:rsidRDefault="00082AE7" w:rsidP="00082AE7">
      <w:pPr>
        <w:jc w:val="center"/>
        <w:rPr>
          <w:rFonts w:ascii="Garamond" w:hAnsi="Garamond"/>
          <w:sz w:val="32"/>
        </w:rPr>
      </w:pPr>
      <w:r>
        <w:rPr>
          <w:rFonts w:ascii="Garamond" w:hAnsi="Garamond"/>
          <w:sz w:val="32"/>
        </w:rPr>
        <w:t>David J. Siemers</w:t>
      </w:r>
    </w:p>
    <w:p w:rsidR="00082AE7" w:rsidRDefault="00082AE7" w:rsidP="00082AE7">
      <w:pPr>
        <w:jc w:val="center"/>
        <w:rPr>
          <w:rFonts w:ascii="Garamond" w:hAnsi="Garamond"/>
          <w:sz w:val="32"/>
        </w:rPr>
      </w:pPr>
      <w:r>
        <w:rPr>
          <w:rFonts w:ascii="Garamond" w:hAnsi="Garamond"/>
          <w:sz w:val="32"/>
        </w:rPr>
        <w:t>University of Wisconsin-Oshkosh</w:t>
      </w:r>
    </w:p>
    <w:p w:rsidR="00082AE7" w:rsidRDefault="00082AE7" w:rsidP="00082AE7">
      <w:pPr>
        <w:jc w:val="center"/>
        <w:rPr>
          <w:rFonts w:ascii="Garamond" w:hAnsi="Garamond"/>
          <w:sz w:val="32"/>
        </w:rPr>
      </w:pPr>
    </w:p>
    <w:p w:rsidR="00082AE7" w:rsidRDefault="00082AE7" w:rsidP="00082AE7">
      <w:pPr>
        <w:jc w:val="center"/>
        <w:rPr>
          <w:rFonts w:ascii="Garamond" w:hAnsi="Garamond"/>
          <w:sz w:val="32"/>
        </w:rPr>
      </w:pPr>
    </w:p>
    <w:p w:rsidR="00082AE7" w:rsidRDefault="00082AE7" w:rsidP="00082AE7">
      <w:pPr>
        <w:jc w:val="center"/>
        <w:rPr>
          <w:rFonts w:ascii="Garamond" w:hAnsi="Garamond"/>
          <w:sz w:val="32"/>
        </w:rPr>
      </w:pPr>
    </w:p>
    <w:p w:rsidR="00082AE7" w:rsidRDefault="00082AE7" w:rsidP="00082AE7">
      <w:pPr>
        <w:jc w:val="center"/>
        <w:rPr>
          <w:rFonts w:ascii="Garamond" w:hAnsi="Garamond"/>
          <w:sz w:val="32"/>
        </w:rPr>
      </w:pPr>
    </w:p>
    <w:p w:rsidR="00082AE7" w:rsidRDefault="00082AE7" w:rsidP="00082AE7">
      <w:pPr>
        <w:jc w:val="center"/>
        <w:rPr>
          <w:rFonts w:ascii="Garamond" w:hAnsi="Garamond"/>
          <w:sz w:val="32"/>
        </w:rPr>
      </w:pPr>
    </w:p>
    <w:p w:rsidR="00082AE7" w:rsidRDefault="00082AE7" w:rsidP="00082AE7">
      <w:pPr>
        <w:jc w:val="center"/>
        <w:rPr>
          <w:rFonts w:ascii="Garamond" w:hAnsi="Garamond"/>
          <w:sz w:val="32"/>
        </w:rPr>
      </w:pPr>
    </w:p>
    <w:p w:rsidR="00082AE7" w:rsidRDefault="00082AE7" w:rsidP="00082AE7">
      <w:pPr>
        <w:rPr>
          <w:rFonts w:ascii="Garamond" w:hAnsi="Garamond"/>
          <w:sz w:val="32"/>
        </w:rPr>
      </w:pPr>
    </w:p>
    <w:p w:rsidR="00082AE7" w:rsidRDefault="00082AE7" w:rsidP="00082AE7">
      <w:pPr>
        <w:rPr>
          <w:rFonts w:ascii="Garamond" w:hAnsi="Garamond"/>
          <w:sz w:val="32"/>
        </w:rPr>
      </w:pPr>
    </w:p>
    <w:p w:rsidR="00082AE7" w:rsidRDefault="00082AE7" w:rsidP="00082AE7">
      <w:pPr>
        <w:rPr>
          <w:rFonts w:ascii="Garamond" w:hAnsi="Garamond"/>
          <w:sz w:val="32"/>
        </w:rPr>
      </w:pPr>
    </w:p>
    <w:p w:rsidR="00082AE7" w:rsidRDefault="00082AE7" w:rsidP="00082AE7">
      <w:pPr>
        <w:rPr>
          <w:rFonts w:ascii="Garamond" w:hAnsi="Garamond"/>
          <w:sz w:val="32"/>
        </w:rPr>
      </w:pPr>
    </w:p>
    <w:p w:rsidR="00082AE7" w:rsidRDefault="00082AE7" w:rsidP="00082AE7">
      <w:pPr>
        <w:rPr>
          <w:rFonts w:ascii="Garamond" w:hAnsi="Garamond"/>
          <w:sz w:val="32"/>
        </w:rPr>
      </w:pPr>
    </w:p>
    <w:p w:rsidR="00082AE7" w:rsidRDefault="00082AE7" w:rsidP="00082AE7">
      <w:pPr>
        <w:rPr>
          <w:rFonts w:ascii="Garamond" w:hAnsi="Garamond"/>
          <w:sz w:val="32"/>
        </w:rPr>
      </w:pPr>
    </w:p>
    <w:p w:rsidR="00082AE7" w:rsidRDefault="00082AE7" w:rsidP="00082AE7">
      <w:pPr>
        <w:rPr>
          <w:rFonts w:ascii="Garamond" w:hAnsi="Garamond"/>
          <w:sz w:val="32"/>
        </w:rPr>
      </w:pPr>
    </w:p>
    <w:p w:rsidR="00082AE7" w:rsidRDefault="00082AE7" w:rsidP="00082AE7">
      <w:pPr>
        <w:rPr>
          <w:rFonts w:ascii="Garamond" w:hAnsi="Garamond"/>
          <w:sz w:val="32"/>
        </w:rPr>
      </w:pPr>
    </w:p>
    <w:p w:rsidR="00082AE7" w:rsidRDefault="00082AE7" w:rsidP="00082AE7">
      <w:pPr>
        <w:jc w:val="center"/>
        <w:rPr>
          <w:rFonts w:ascii="Garamond" w:hAnsi="Garamond"/>
        </w:rPr>
      </w:pPr>
      <w:r>
        <w:rPr>
          <w:rFonts w:ascii="Garamond" w:hAnsi="Garamond"/>
        </w:rPr>
        <w:t>Paper prepared for the Western Political Science Association’s 2013 Annual Meeting</w:t>
      </w:r>
    </w:p>
    <w:p w:rsidR="00082AE7" w:rsidRDefault="00082AE7" w:rsidP="00082AE7">
      <w:pPr>
        <w:jc w:val="center"/>
        <w:rPr>
          <w:rFonts w:ascii="Garamond" w:hAnsi="Garamond"/>
        </w:rPr>
      </w:pPr>
      <w:r>
        <w:rPr>
          <w:rFonts w:ascii="Garamond" w:hAnsi="Garamond"/>
        </w:rPr>
        <w:t>Los Angeles, CA, March 2013</w:t>
      </w:r>
    </w:p>
    <w:p w:rsidR="00082AE7" w:rsidRDefault="00082AE7" w:rsidP="00082AE7">
      <w:pPr>
        <w:jc w:val="center"/>
        <w:rPr>
          <w:rFonts w:ascii="Garamond" w:hAnsi="Garamond"/>
        </w:rPr>
      </w:pPr>
    </w:p>
    <w:p w:rsidR="00082AE7" w:rsidRDefault="00082AE7" w:rsidP="00082AE7">
      <w:pPr>
        <w:rPr>
          <w:rFonts w:ascii="Garamond" w:hAnsi="Garamond"/>
        </w:rPr>
      </w:pPr>
    </w:p>
    <w:p w:rsidR="00082AE7" w:rsidRPr="00082AE7" w:rsidRDefault="00082AE7" w:rsidP="00082AE7">
      <w:pPr>
        <w:rPr>
          <w:rFonts w:ascii="Garamond" w:hAnsi="Garamond"/>
        </w:rPr>
      </w:pPr>
      <w:r w:rsidRPr="00082AE7">
        <w:rPr>
          <w:rFonts w:ascii="Garamond" w:hAnsi="Garamond"/>
        </w:rPr>
        <w:t xml:space="preserve">Abstract:  Though </w:t>
      </w:r>
      <w:r>
        <w:rPr>
          <w:rFonts w:ascii="Garamond" w:hAnsi="Garamond"/>
        </w:rPr>
        <w:t xml:space="preserve">the </w:t>
      </w:r>
      <w:r w:rsidRPr="00082AE7">
        <w:rPr>
          <w:rFonts w:ascii="Garamond" w:hAnsi="Garamond"/>
        </w:rPr>
        <w:t xml:space="preserve">"coequality" of legislative, executive, and judicial branches was not part of the </w:t>
      </w:r>
      <w:r>
        <w:rPr>
          <w:rFonts w:ascii="Garamond" w:hAnsi="Garamond"/>
        </w:rPr>
        <w:t xml:space="preserve">American </w:t>
      </w:r>
      <w:r w:rsidRPr="00082AE7">
        <w:rPr>
          <w:rFonts w:ascii="Garamond" w:hAnsi="Garamond"/>
        </w:rPr>
        <w:t xml:space="preserve">founders' institutional design, it has become a popular shorthand to describe institutional power in the US.  Through an examination of </w:t>
      </w:r>
      <w:r>
        <w:rPr>
          <w:rFonts w:ascii="Garamond" w:hAnsi="Garamond"/>
        </w:rPr>
        <w:t xml:space="preserve">Supreme Court </w:t>
      </w:r>
      <w:r w:rsidRPr="00082AE7">
        <w:rPr>
          <w:rFonts w:ascii="Garamond" w:hAnsi="Garamond"/>
        </w:rPr>
        <w:t xml:space="preserve">opinions which discuss and assert the coequality of institutions, </w:t>
      </w:r>
      <w:r>
        <w:rPr>
          <w:rFonts w:ascii="Garamond" w:hAnsi="Garamond"/>
        </w:rPr>
        <w:t xml:space="preserve">this paper examines the </w:t>
      </w:r>
      <w:r w:rsidRPr="00082AE7">
        <w:rPr>
          <w:rFonts w:ascii="Garamond" w:hAnsi="Garamond"/>
        </w:rPr>
        <w:t>Court's role i</w:t>
      </w:r>
      <w:r>
        <w:rPr>
          <w:rFonts w:ascii="Garamond" w:hAnsi="Garamond"/>
        </w:rPr>
        <w:t>n backing and promoting the idea</w:t>
      </w:r>
      <w:r w:rsidRPr="00082AE7">
        <w:rPr>
          <w:rFonts w:ascii="Garamond" w:hAnsi="Garamond"/>
        </w:rPr>
        <w:t xml:space="preserve"> of coequality.  The record shows that </w:t>
      </w:r>
      <w:r>
        <w:rPr>
          <w:rFonts w:ascii="Garamond" w:hAnsi="Garamond"/>
        </w:rPr>
        <w:t xml:space="preserve">most </w:t>
      </w:r>
      <w:r w:rsidRPr="00082AE7">
        <w:rPr>
          <w:rFonts w:ascii="Garamond" w:hAnsi="Garamond"/>
        </w:rPr>
        <w:t xml:space="preserve">judicial assertions of coequality </w:t>
      </w:r>
      <w:r w:rsidR="008F3EC5">
        <w:rPr>
          <w:rFonts w:ascii="Garamond" w:hAnsi="Garamond"/>
        </w:rPr>
        <w:t>are of a quite</w:t>
      </w:r>
      <w:r>
        <w:rPr>
          <w:rFonts w:ascii="Garamond" w:hAnsi="Garamond"/>
        </w:rPr>
        <w:t xml:space="preserve"> recent</w:t>
      </w:r>
      <w:r w:rsidR="008F3EC5">
        <w:rPr>
          <w:rFonts w:ascii="Garamond" w:hAnsi="Garamond"/>
        </w:rPr>
        <w:t xml:space="preserve"> vintage</w:t>
      </w:r>
      <w:r w:rsidRPr="00082AE7">
        <w:rPr>
          <w:rFonts w:ascii="Garamond" w:hAnsi="Garamond"/>
        </w:rPr>
        <w:t xml:space="preserve">, </w:t>
      </w:r>
      <w:r>
        <w:rPr>
          <w:rFonts w:ascii="Garamond" w:hAnsi="Garamond"/>
        </w:rPr>
        <w:t>with a growth spurt contemporaneous</w:t>
      </w:r>
      <w:r w:rsidRPr="00082AE7">
        <w:rPr>
          <w:rFonts w:ascii="Garamond" w:hAnsi="Garamond"/>
        </w:rPr>
        <w:t xml:space="preserve"> with</w:t>
      </w:r>
      <w:r w:rsidR="008F3EC5">
        <w:rPr>
          <w:rFonts w:ascii="Garamond" w:hAnsi="Garamond"/>
        </w:rPr>
        <w:t xml:space="preserve"> the </w:t>
      </w:r>
      <w:r w:rsidRPr="00082AE7">
        <w:rPr>
          <w:rFonts w:ascii="Garamond" w:hAnsi="Garamond"/>
        </w:rPr>
        <w:t xml:space="preserve">presidents who </w:t>
      </w:r>
      <w:r w:rsidR="008F3EC5">
        <w:rPr>
          <w:rFonts w:ascii="Garamond" w:hAnsi="Garamond"/>
        </w:rPr>
        <w:t>first</w:t>
      </w:r>
      <w:r>
        <w:rPr>
          <w:rFonts w:ascii="Garamond" w:hAnsi="Garamond"/>
        </w:rPr>
        <w:t xml:space="preserve"> </w:t>
      </w:r>
      <w:r w:rsidRPr="00082AE7">
        <w:rPr>
          <w:rFonts w:ascii="Garamond" w:hAnsi="Garamond"/>
        </w:rPr>
        <w:t>assert</w:t>
      </w:r>
      <w:r>
        <w:rPr>
          <w:rFonts w:ascii="Garamond" w:hAnsi="Garamond"/>
        </w:rPr>
        <w:t>ed</w:t>
      </w:r>
      <w:r w:rsidRPr="00082AE7">
        <w:rPr>
          <w:rFonts w:ascii="Garamond" w:hAnsi="Garamond"/>
        </w:rPr>
        <w:t xml:space="preserve"> this same institutional power relationshi</w:t>
      </w:r>
      <w:r w:rsidR="00643D0B">
        <w:rPr>
          <w:rFonts w:ascii="Garamond" w:hAnsi="Garamond"/>
        </w:rPr>
        <w:t>p.  I</w:t>
      </w:r>
      <w:r>
        <w:rPr>
          <w:rFonts w:ascii="Garamond" w:hAnsi="Garamond"/>
        </w:rPr>
        <w:t>nstitutional coequality has moved from something not contemplated</w:t>
      </w:r>
      <w:r w:rsidR="00DB51F3">
        <w:rPr>
          <w:rFonts w:ascii="Garamond" w:hAnsi="Garamond"/>
        </w:rPr>
        <w:t>, to an assertion of equal cons</w:t>
      </w:r>
      <w:r w:rsidR="00643D0B">
        <w:rPr>
          <w:rFonts w:ascii="Garamond" w:hAnsi="Garamond"/>
        </w:rPr>
        <w:t>t</w:t>
      </w:r>
      <w:r w:rsidR="00DB51F3">
        <w:rPr>
          <w:rFonts w:ascii="Garamond" w:hAnsi="Garamond"/>
        </w:rPr>
        <w:t>itutional standing,</w:t>
      </w:r>
      <w:r>
        <w:rPr>
          <w:rFonts w:ascii="Garamond" w:hAnsi="Garamond"/>
        </w:rPr>
        <w:t xml:space="preserve"> to a </w:t>
      </w:r>
      <w:r w:rsidR="008F3EC5">
        <w:rPr>
          <w:rFonts w:ascii="Garamond" w:hAnsi="Garamond"/>
        </w:rPr>
        <w:t xml:space="preserve">kind of blithe truism used in many opinions. </w:t>
      </w:r>
      <w:r w:rsidR="00DB51F3">
        <w:rPr>
          <w:rFonts w:ascii="Garamond" w:hAnsi="Garamond"/>
        </w:rPr>
        <w:t xml:space="preserve"> </w:t>
      </w:r>
      <w:r w:rsidR="008F3EC5">
        <w:rPr>
          <w:rFonts w:ascii="Garamond" w:hAnsi="Garamond"/>
        </w:rPr>
        <w:t>Emphasizing coequality has</w:t>
      </w:r>
      <w:r w:rsidRPr="00082AE7">
        <w:rPr>
          <w:rFonts w:ascii="Garamond" w:hAnsi="Garamond"/>
        </w:rPr>
        <w:t xml:space="preserve"> moved</w:t>
      </w:r>
      <w:r w:rsidR="008F3EC5">
        <w:rPr>
          <w:rFonts w:ascii="Garamond" w:hAnsi="Garamond"/>
        </w:rPr>
        <w:t xml:space="preserve"> the Court away from a "separation of functions" model of government, to</w:t>
      </w:r>
      <w:r w:rsidR="00643D0B">
        <w:rPr>
          <w:rFonts w:ascii="Garamond" w:hAnsi="Garamond"/>
        </w:rPr>
        <w:t>ward</w:t>
      </w:r>
      <w:r w:rsidR="008F3EC5">
        <w:rPr>
          <w:rFonts w:ascii="Garamond" w:hAnsi="Garamond"/>
        </w:rPr>
        <w:t xml:space="preserve"> a “separation of powers” model</w:t>
      </w:r>
      <w:r w:rsidR="00643D0B">
        <w:rPr>
          <w:rFonts w:ascii="Garamond" w:hAnsi="Garamond"/>
        </w:rPr>
        <w:t xml:space="preserve"> of institutional relations</w:t>
      </w:r>
      <w:r w:rsidR="008F3EC5">
        <w:rPr>
          <w:rFonts w:ascii="Garamond" w:hAnsi="Garamond"/>
        </w:rPr>
        <w:t xml:space="preserve">. </w:t>
      </w:r>
      <w:r w:rsidR="00DB51F3">
        <w:rPr>
          <w:rFonts w:ascii="Garamond" w:hAnsi="Garamond"/>
        </w:rPr>
        <w:t xml:space="preserve"> The court has a special reason to assert coequality:  it is a</w:t>
      </w:r>
      <w:r w:rsidR="00643D0B">
        <w:rPr>
          <w:rFonts w:ascii="Garamond" w:hAnsi="Garamond"/>
        </w:rPr>
        <w:t xml:space="preserve"> safe means of asserting its</w:t>
      </w:r>
      <w:r w:rsidR="00DB51F3">
        <w:rPr>
          <w:rFonts w:ascii="Garamond" w:hAnsi="Garamond"/>
        </w:rPr>
        <w:t xml:space="preserve"> power, couched in a shell of interbranch deference. T</w:t>
      </w:r>
      <w:r w:rsidR="008F3EC5">
        <w:rPr>
          <w:rFonts w:ascii="Garamond" w:hAnsi="Garamond"/>
        </w:rPr>
        <w:t xml:space="preserve">his phraseology </w:t>
      </w:r>
      <w:r w:rsidR="00643D0B">
        <w:rPr>
          <w:rFonts w:ascii="Garamond" w:hAnsi="Garamond"/>
        </w:rPr>
        <w:t xml:space="preserve">also </w:t>
      </w:r>
      <w:r w:rsidR="008F3EC5">
        <w:rPr>
          <w:rFonts w:ascii="Garamond" w:hAnsi="Garamond"/>
        </w:rPr>
        <w:t xml:space="preserve">gives </w:t>
      </w:r>
      <w:r w:rsidR="00643D0B">
        <w:rPr>
          <w:rFonts w:ascii="Garamond" w:hAnsi="Garamond"/>
        </w:rPr>
        <w:t xml:space="preserve">rhetorical </w:t>
      </w:r>
      <w:r w:rsidR="008F3EC5">
        <w:rPr>
          <w:rFonts w:ascii="Garamond" w:hAnsi="Garamond"/>
        </w:rPr>
        <w:t>ammunition to others who tout institutional coequality as a desirable norm.</w:t>
      </w:r>
      <w:r w:rsidR="00DB51F3">
        <w:rPr>
          <w:rFonts w:ascii="Garamond" w:hAnsi="Garamond"/>
        </w:rPr>
        <w:t xml:space="preserve">  </w:t>
      </w:r>
    </w:p>
    <w:p w:rsidR="00082AE7" w:rsidRPr="00082AE7" w:rsidRDefault="00082AE7" w:rsidP="00082AE7">
      <w:pPr>
        <w:rPr>
          <w:rFonts w:ascii="Garamond" w:hAnsi="Garamond"/>
        </w:rPr>
      </w:pPr>
    </w:p>
    <w:p w:rsidR="00082AE7" w:rsidRDefault="00082AE7" w:rsidP="00082AE7">
      <w:pPr>
        <w:jc w:val="cente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CA006A" w:rsidRDefault="00CA006A" w:rsidP="00082AE7">
      <w:pPr>
        <w:rPr>
          <w:rFonts w:ascii="Garamond" w:hAnsi="Garamond"/>
        </w:rPr>
      </w:pPr>
    </w:p>
    <w:p w:rsidR="00950296" w:rsidRDefault="00950296" w:rsidP="00082AE7">
      <w:pPr>
        <w:rPr>
          <w:rFonts w:ascii="Garamond" w:hAnsi="Garamond"/>
        </w:rPr>
      </w:pPr>
      <w:r>
        <w:rPr>
          <w:rFonts w:ascii="Garamond" w:hAnsi="Garamond"/>
        </w:rPr>
        <w:t>The functions of government under our system are apportioned.  To the legislative department has been committed the duty of ma</w:t>
      </w:r>
      <w:r w:rsidR="008F3EC5">
        <w:rPr>
          <w:rFonts w:ascii="Garamond" w:hAnsi="Garamond"/>
        </w:rPr>
        <w:t>k</w:t>
      </w:r>
      <w:r>
        <w:rPr>
          <w:rFonts w:ascii="Garamond" w:hAnsi="Garamond"/>
        </w:rPr>
        <w:t>ing laws; to the executive the duty of executing them; and to the judiciary the duty of interpreting and applying them in cases properly brought before the courts.  The general rule is that neither department may invade the province of the other and neither may control, direct or restrain the action of the other.</w:t>
      </w:r>
    </w:p>
    <w:p w:rsidR="00950296" w:rsidRDefault="00950296" w:rsidP="00082AE7">
      <w:pPr>
        <w:rPr>
          <w:rFonts w:ascii="Garamond" w:hAnsi="Garamond"/>
        </w:rPr>
      </w:pPr>
    </w:p>
    <w:p w:rsidR="00950296" w:rsidRDefault="00643D0B" w:rsidP="00082AE7">
      <w:pPr>
        <w:rPr>
          <w:rFonts w:ascii="Garamond" w:hAnsi="Garamond"/>
        </w:rPr>
      </w:pPr>
      <w:r>
        <w:rPr>
          <w:rFonts w:ascii="Garamond" w:hAnsi="Garamond"/>
        </w:rPr>
        <w:tab/>
        <w:t>-</w:t>
      </w:r>
      <w:r w:rsidR="00950296">
        <w:rPr>
          <w:rFonts w:ascii="Garamond" w:hAnsi="Garamond"/>
        </w:rPr>
        <w:t xml:space="preserve">Justice George Sutherland, </w:t>
      </w:r>
      <w:r w:rsidR="00F940C0" w:rsidRPr="00643D0B">
        <w:rPr>
          <w:rFonts w:ascii="Garamond" w:hAnsi="Garamond"/>
          <w:i/>
        </w:rPr>
        <w:t>Frothingham v. Mellon</w:t>
      </w:r>
      <w:r w:rsidR="00950296">
        <w:rPr>
          <w:rFonts w:ascii="Garamond" w:hAnsi="Garamond"/>
        </w:rPr>
        <w:t xml:space="preserve"> (1923)</w:t>
      </w:r>
    </w:p>
    <w:p w:rsidR="00007CE4" w:rsidRDefault="00007CE4" w:rsidP="00082AE7">
      <w:pPr>
        <w:rPr>
          <w:rFonts w:ascii="Garamond" w:hAnsi="Garamond"/>
        </w:rPr>
      </w:pPr>
    </w:p>
    <w:p w:rsidR="00950296" w:rsidRDefault="00950296" w:rsidP="00082AE7">
      <w:pPr>
        <w:rPr>
          <w:rFonts w:ascii="Garamond" w:hAnsi="Garamond"/>
        </w:rPr>
      </w:pPr>
    </w:p>
    <w:p w:rsidR="00007CE4" w:rsidRDefault="00007CE4" w:rsidP="00082AE7">
      <w:pPr>
        <w:rPr>
          <w:rFonts w:ascii="Garamond" w:hAnsi="Garamond"/>
        </w:rPr>
      </w:pPr>
      <w:r>
        <w:rPr>
          <w:rFonts w:ascii="Garamond" w:hAnsi="Garamond"/>
        </w:rPr>
        <w:t>The principle of separation of powers focuses on the distribution of powers among three coequal Branches.</w:t>
      </w:r>
    </w:p>
    <w:p w:rsidR="00007CE4" w:rsidRDefault="00007CE4" w:rsidP="00082AE7">
      <w:pPr>
        <w:rPr>
          <w:rFonts w:ascii="Garamond" w:hAnsi="Garamond"/>
        </w:rPr>
      </w:pPr>
    </w:p>
    <w:p w:rsidR="00007CE4" w:rsidRDefault="00007CE4" w:rsidP="00082AE7">
      <w:pPr>
        <w:rPr>
          <w:rFonts w:ascii="Garamond" w:hAnsi="Garamond"/>
        </w:rPr>
      </w:pPr>
      <w:r>
        <w:rPr>
          <w:rFonts w:ascii="Garamond" w:hAnsi="Garamond"/>
        </w:rPr>
        <w:tab/>
        <w:t xml:space="preserve">-Justice Sandra Day O’Connor, </w:t>
      </w:r>
      <w:r w:rsidRPr="00643D0B">
        <w:rPr>
          <w:rFonts w:ascii="Garamond" w:hAnsi="Garamond"/>
          <w:i/>
        </w:rPr>
        <w:t>Touby v. United States</w:t>
      </w:r>
      <w:r>
        <w:rPr>
          <w:rFonts w:ascii="Garamond" w:hAnsi="Garamond"/>
        </w:rPr>
        <w:t xml:space="preserve"> (1991)</w:t>
      </w:r>
    </w:p>
    <w:p w:rsidR="00007CE4" w:rsidRDefault="00007CE4" w:rsidP="00082AE7">
      <w:pPr>
        <w:rPr>
          <w:rFonts w:ascii="Garamond" w:hAnsi="Garamond"/>
        </w:rPr>
      </w:pPr>
    </w:p>
    <w:p w:rsidR="00950296" w:rsidRDefault="00950296" w:rsidP="00082AE7">
      <w:pPr>
        <w:rPr>
          <w:rFonts w:ascii="Garamond" w:hAnsi="Garamond"/>
        </w:rPr>
      </w:pPr>
    </w:p>
    <w:p w:rsidR="0021491A" w:rsidRDefault="00950296" w:rsidP="00537010">
      <w:pPr>
        <w:spacing w:line="480" w:lineRule="auto"/>
        <w:rPr>
          <w:rFonts w:ascii="Garamond" w:hAnsi="Garamond"/>
        </w:rPr>
      </w:pPr>
      <w:r>
        <w:rPr>
          <w:rFonts w:ascii="Garamond" w:hAnsi="Garamond"/>
        </w:rPr>
        <w:tab/>
      </w:r>
      <w:r w:rsidR="00007CE4">
        <w:rPr>
          <w:rFonts w:ascii="Garamond" w:hAnsi="Garamond"/>
        </w:rPr>
        <w:t xml:space="preserve">While the above quotes are not </w:t>
      </w:r>
      <w:r w:rsidR="00F82192">
        <w:rPr>
          <w:rFonts w:ascii="Garamond" w:hAnsi="Garamond"/>
        </w:rPr>
        <w:t xml:space="preserve">mutually exclusive or </w:t>
      </w:r>
      <w:r w:rsidR="00007CE4">
        <w:rPr>
          <w:rFonts w:ascii="Garamond" w:hAnsi="Garamond"/>
        </w:rPr>
        <w:t xml:space="preserve">diametrically opposed to each other, they do suggest an important difference in emphasis.  Justice Sutherland expresses a traditional </w:t>
      </w:r>
      <w:r w:rsidR="00F82192">
        <w:rPr>
          <w:rFonts w:ascii="Garamond" w:hAnsi="Garamond"/>
        </w:rPr>
        <w:t xml:space="preserve">view of interbranch relations.  The Constitution gave specific powers to each institution </w:t>
      </w:r>
      <w:r w:rsidR="00C620B6">
        <w:rPr>
          <w:rFonts w:ascii="Garamond" w:hAnsi="Garamond"/>
        </w:rPr>
        <w:t xml:space="preserve">of government, </w:t>
      </w:r>
      <w:r w:rsidR="00F82192">
        <w:rPr>
          <w:rFonts w:ascii="Garamond" w:hAnsi="Garamond"/>
        </w:rPr>
        <w:t xml:space="preserve">and it is the duty of each </w:t>
      </w:r>
      <w:r w:rsidR="00C620B6">
        <w:rPr>
          <w:rFonts w:ascii="Garamond" w:hAnsi="Garamond"/>
        </w:rPr>
        <w:t xml:space="preserve">of these </w:t>
      </w:r>
      <w:r w:rsidR="00F82192">
        <w:rPr>
          <w:rFonts w:ascii="Garamond" w:hAnsi="Garamond"/>
        </w:rPr>
        <w:t>institution</w:t>
      </w:r>
      <w:r w:rsidR="00C620B6">
        <w:rPr>
          <w:rFonts w:ascii="Garamond" w:hAnsi="Garamond"/>
        </w:rPr>
        <w:t>s</w:t>
      </w:r>
      <w:r w:rsidR="00F82192">
        <w:rPr>
          <w:rFonts w:ascii="Garamond" w:hAnsi="Garamond"/>
        </w:rPr>
        <w:t xml:space="preserve"> to stay within its proper bounds and</w:t>
      </w:r>
      <w:r w:rsidR="00C620B6">
        <w:rPr>
          <w:rFonts w:ascii="Garamond" w:hAnsi="Garamond"/>
        </w:rPr>
        <w:t xml:space="preserve"> to</w:t>
      </w:r>
      <w:r w:rsidR="00F82192">
        <w:rPr>
          <w:rFonts w:ascii="Garamond" w:hAnsi="Garamond"/>
        </w:rPr>
        <w:t xml:space="preserve"> res</w:t>
      </w:r>
      <w:r w:rsidR="008F3EC5">
        <w:rPr>
          <w:rFonts w:ascii="Garamond" w:hAnsi="Garamond"/>
        </w:rPr>
        <w:t>ist the temptation to act in</w:t>
      </w:r>
      <w:r w:rsidR="00F82192">
        <w:rPr>
          <w:rFonts w:ascii="Garamond" w:hAnsi="Garamond"/>
        </w:rPr>
        <w:t xml:space="preserve"> sphere</w:t>
      </w:r>
      <w:r w:rsidR="00C620B6">
        <w:rPr>
          <w:rFonts w:ascii="Garamond" w:hAnsi="Garamond"/>
        </w:rPr>
        <w:t>s designated to the other branc</w:t>
      </w:r>
      <w:r w:rsidR="0021491A">
        <w:rPr>
          <w:rFonts w:ascii="Garamond" w:hAnsi="Garamond"/>
        </w:rPr>
        <w:t>hes.  The</w:t>
      </w:r>
      <w:r w:rsidR="00F82192">
        <w:rPr>
          <w:rFonts w:ascii="Garamond" w:hAnsi="Garamond"/>
        </w:rPr>
        <w:t xml:space="preserve"> traditional shorthand term for this vi</w:t>
      </w:r>
      <w:r w:rsidR="00C620B6">
        <w:rPr>
          <w:rFonts w:ascii="Garamond" w:hAnsi="Garamond"/>
        </w:rPr>
        <w:t>ew is</w:t>
      </w:r>
      <w:r w:rsidR="0021491A">
        <w:rPr>
          <w:rFonts w:ascii="Garamond" w:hAnsi="Garamond"/>
        </w:rPr>
        <w:t xml:space="preserve"> often</w:t>
      </w:r>
      <w:r w:rsidR="00C620B6">
        <w:rPr>
          <w:rFonts w:ascii="Garamond" w:hAnsi="Garamond"/>
        </w:rPr>
        <w:t xml:space="preserve"> the “separation of powers.</w:t>
      </w:r>
      <w:r w:rsidR="00F82192">
        <w:rPr>
          <w:rFonts w:ascii="Garamond" w:hAnsi="Garamond"/>
        </w:rPr>
        <w:t>”</w:t>
      </w:r>
      <w:r w:rsidR="00BC008A">
        <w:rPr>
          <w:rFonts w:ascii="Garamond" w:hAnsi="Garamond"/>
        </w:rPr>
        <w:t xml:space="preserve">  Yet the use of that</w:t>
      </w:r>
      <w:r w:rsidR="00C620B6">
        <w:rPr>
          <w:rFonts w:ascii="Garamond" w:hAnsi="Garamond"/>
        </w:rPr>
        <w:t xml:space="preserve"> phr</w:t>
      </w:r>
      <w:r w:rsidR="00643D0B">
        <w:rPr>
          <w:rFonts w:ascii="Garamond" w:hAnsi="Garamond"/>
        </w:rPr>
        <w:t>ase can be misleading, as it might</w:t>
      </w:r>
      <w:r w:rsidR="00C620B6">
        <w:rPr>
          <w:rFonts w:ascii="Garamond" w:hAnsi="Garamond"/>
        </w:rPr>
        <w:t xml:space="preserve"> be </w:t>
      </w:r>
      <w:r w:rsidR="00BC008A">
        <w:rPr>
          <w:rFonts w:ascii="Garamond" w:hAnsi="Garamond"/>
        </w:rPr>
        <w:t xml:space="preserve">when stated </w:t>
      </w:r>
      <w:r w:rsidR="00C620B6">
        <w:rPr>
          <w:rFonts w:ascii="Garamond" w:hAnsi="Garamond"/>
        </w:rPr>
        <w:t xml:space="preserve">in the quote of Justice O’Connor.  O’Connor uses the term “separation of powers” </w:t>
      </w:r>
      <w:r w:rsidR="00DB51F3">
        <w:rPr>
          <w:rFonts w:ascii="Garamond" w:hAnsi="Garamond"/>
        </w:rPr>
        <w:t xml:space="preserve">and “distribution of powers” </w:t>
      </w:r>
      <w:r w:rsidR="00C620B6">
        <w:rPr>
          <w:rFonts w:ascii="Garamond" w:hAnsi="Garamond"/>
        </w:rPr>
        <w:t>in the same sentence that sh</w:t>
      </w:r>
      <w:r w:rsidR="00DB51F3">
        <w:rPr>
          <w:rFonts w:ascii="Garamond" w:hAnsi="Garamond"/>
        </w:rPr>
        <w:t>e asserts the existence of</w:t>
      </w:r>
      <w:r w:rsidR="00C620B6">
        <w:rPr>
          <w:rFonts w:ascii="Garamond" w:hAnsi="Garamond"/>
        </w:rPr>
        <w:t xml:space="preserve"> coequa</w:t>
      </w:r>
      <w:r w:rsidR="00DB51F3">
        <w:rPr>
          <w:rFonts w:ascii="Garamond" w:hAnsi="Garamond"/>
        </w:rPr>
        <w:t>l branches.  Thus it seems</w:t>
      </w:r>
      <w:r w:rsidR="00C620B6">
        <w:rPr>
          <w:rFonts w:ascii="Garamond" w:hAnsi="Garamond"/>
        </w:rPr>
        <w:t xml:space="preserve"> O’Connor </w:t>
      </w:r>
      <w:r w:rsidR="00DB51F3">
        <w:rPr>
          <w:rFonts w:ascii="Garamond" w:hAnsi="Garamond"/>
        </w:rPr>
        <w:t>is suggesting</w:t>
      </w:r>
      <w:r w:rsidR="00C620B6">
        <w:rPr>
          <w:rFonts w:ascii="Garamond" w:hAnsi="Garamond"/>
        </w:rPr>
        <w:t xml:space="preserve"> that </w:t>
      </w:r>
      <w:r w:rsidR="0021491A">
        <w:rPr>
          <w:rFonts w:ascii="Garamond" w:hAnsi="Garamond"/>
        </w:rPr>
        <w:t xml:space="preserve">the </w:t>
      </w:r>
      <w:r w:rsidR="00C620B6">
        <w:rPr>
          <w:rFonts w:ascii="Garamond" w:hAnsi="Garamond"/>
        </w:rPr>
        <w:t xml:space="preserve">three branches </w:t>
      </w:r>
      <w:r w:rsidR="0021491A">
        <w:rPr>
          <w:rFonts w:ascii="Garamond" w:hAnsi="Garamond"/>
        </w:rPr>
        <w:t>of government have an equal quantity</w:t>
      </w:r>
      <w:r w:rsidR="00C620B6">
        <w:rPr>
          <w:rFonts w:ascii="Garamond" w:hAnsi="Garamond"/>
        </w:rPr>
        <w:t xml:space="preserve"> of power </w:t>
      </w:r>
      <w:r w:rsidR="0021491A">
        <w:rPr>
          <w:rFonts w:ascii="Garamond" w:hAnsi="Garamond"/>
        </w:rPr>
        <w:t>allotted</w:t>
      </w:r>
      <w:r w:rsidR="00C620B6">
        <w:rPr>
          <w:rFonts w:ascii="Garamond" w:hAnsi="Garamond"/>
        </w:rPr>
        <w:t xml:space="preserve"> to them by the Constitution.  This is a very different </w:t>
      </w:r>
      <w:r w:rsidR="0021491A">
        <w:rPr>
          <w:rFonts w:ascii="Garamond" w:hAnsi="Garamond"/>
        </w:rPr>
        <w:t xml:space="preserve">assertion than that forwarded by Sutherland, which does not assess the quantity of power </w:t>
      </w:r>
      <w:r w:rsidR="008F3EC5">
        <w:rPr>
          <w:rFonts w:ascii="Garamond" w:hAnsi="Garamond"/>
        </w:rPr>
        <w:t>associated with each major function of government, and thus</w:t>
      </w:r>
      <w:r w:rsidR="00BC008A">
        <w:rPr>
          <w:rFonts w:ascii="Garamond" w:hAnsi="Garamond"/>
        </w:rPr>
        <w:t xml:space="preserve"> each branch</w:t>
      </w:r>
      <w:r w:rsidR="0021491A">
        <w:rPr>
          <w:rFonts w:ascii="Garamond" w:hAnsi="Garamond"/>
        </w:rPr>
        <w:t xml:space="preserve">. </w:t>
      </w:r>
      <w:r w:rsidR="00F82192">
        <w:rPr>
          <w:rFonts w:ascii="Garamond" w:hAnsi="Garamond"/>
        </w:rPr>
        <w:t xml:space="preserve"> </w:t>
      </w:r>
    </w:p>
    <w:p w:rsidR="00BC008A" w:rsidRDefault="0021491A" w:rsidP="00537010">
      <w:pPr>
        <w:spacing w:line="480" w:lineRule="auto"/>
        <w:ind w:firstLine="720"/>
        <w:rPr>
          <w:rFonts w:ascii="Garamond" w:hAnsi="Garamond"/>
        </w:rPr>
      </w:pPr>
      <w:r>
        <w:rPr>
          <w:rFonts w:ascii="Garamond" w:hAnsi="Garamond"/>
        </w:rPr>
        <w:t xml:space="preserve">Because of this </w:t>
      </w:r>
      <w:r w:rsidR="00D3664E">
        <w:rPr>
          <w:rFonts w:ascii="Garamond" w:hAnsi="Garamond"/>
        </w:rPr>
        <w:t xml:space="preserve">potential </w:t>
      </w:r>
      <w:r>
        <w:rPr>
          <w:rFonts w:ascii="Garamond" w:hAnsi="Garamond"/>
        </w:rPr>
        <w:t xml:space="preserve">confusion, I will refer to the Sutherland approach as </w:t>
      </w:r>
      <w:r w:rsidR="00F82192">
        <w:rPr>
          <w:rFonts w:ascii="Garamond" w:hAnsi="Garamond"/>
        </w:rPr>
        <w:t xml:space="preserve">a “separation of functions” </w:t>
      </w:r>
      <w:r w:rsidR="00D3664E">
        <w:rPr>
          <w:rFonts w:ascii="Garamond" w:hAnsi="Garamond"/>
        </w:rPr>
        <w:t xml:space="preserve">approach to institutions.  </w:t>
      </w:r>
      <w:r w:rsidR="00DB51F3">
        <w:rPr>
          <w:rFonts w:ascii="Garamond" w:hAnsi="Garamond"/>
        </w:rPr>
        <w:t xml:space="preserve">It has been articulated frequently in court decisions, and perhaps the most famous example is Justice Hugo Black’s opinion for the court in </w:t>
      </w:r>
      <w:r w:rsidR="00DB51F3">
        <w:rPr>
          <w:rFonts w:ascii="Garamond" w:hAnsi="Garamond"/>
          <w:i/>
        </w:rPr>
        <w:t>Youngstown Sheet &amp; Tube v. Sawyer</w:t>
      </w:r>
      <w:r w:rsidR="00DB51F3">
        <w:rPr>
          <w:rFonts w:ascii="Garamond" w:hAnsi="Garamond"/>
        </w:rPr>
        <w:t xml:space="preserve"> (1952).  </w:t>
      </w:r>
      <w:r w:rsidR="00D3664E">
        <w:rPr>
          <w:rFonts w:ascii="Garamond" w:hAnsi="Garamond"/>
        </w:rPr>
        <w:t>T</w:t>
      </w:r>
      <w:r w:rsidR="00BC008A">
        <w:rPr>
          <w:rFonts w:ascii="Garamond" w:hAnsi="Garamond"/>
        </w:rPr>
        <w:t>he alternative view</w:t>
      </w:r>
      <w:r>
        <w:rPr>
          <w:rFonts w:ascii="Garamond" w:hAnsi="Garamond"/>
        </w:rPr>
        <w:t xml:space="preserve"> implied in the</w:t>
      </w:r>
      <w:r w:rsidR="00C620B6">
        <w:rPr>
          <w:rFonts w:ascii="Garamond" w:hAnsi="Garamond"/>
        </w:rPr>
        <w:t xml:space="preserve"> O’Connor </w:t>
      </w:r>
      <w:r w:rsidR="00BC008A">
        <w:rPr>
          <w:rFonts w:ascii="Garamond" w:hAnsi="Garamond"/>
        </w:rPr>
        <w:t xml:space="preserve">quote </w:t>
      </w:r>
      <w:r w:rsidR="00D3664E">
        <w:rPr>
          <w:rFonts w:ascii="Garamond" w:hAnsi="Garamond"/>
        </w:rPr>
        <w:t xml:space="preserve">can be described using </w:t>
      </w:r>
      <w:r>
        <w:rPr>
          <w:rFonts w:ascii="Garamond" w:hAnsi="Garamond"/>
        </w:rPr>
        <w:t>the “</w:t>
      </w:r>
      <w:r w:rsidR="00C620B6">
        <w:rPr>
          <w:rFonts w:ascii="Garamond" w:hAnsi="Garamond"/>
        </w:rPr>
        <w:t>separation of powers</w:t>
      </w:r>
      <w:r>
        <w:rPr>
          <w:rFonts w:ascii="Garamond" w:hAnsi="Garamond"/>
        </w:rPr>
        <w:t xml:space="preserve">” </w:t>
      </w:r>
      <w:r w:rsidR="00BC008A">
        <w:rPr>
          <w:rFonts w:ascii="Garamond" w:hAnsi="Garamond"/>
        </w:rPr>
        <w:t>label</w:t>
      </w:r>
      <w:r w:rsidR="00DB51F3">
        <w:rPr>
          <w:rFonts w:ascii="Garamond" w:hAnsi="Garamond"/>
        </w:rPr>
        <w:t xml:space="preserve"> because it is a statement about the distribution of power itself</w:t>
      </w:r>
      <w:r>
        <w:rPr>
          <w:rFonts w:ascii="Garamond" w:hAnsi="Garamond"/>
        </w:rPr>
        <w:t>.</w:t>
      </w:r>
      <w:r w:rsidR="00D3664E">
        <w:rPr>
          <w:rFonts w:ascii="Garamond" w:hAnsi="Garamond"/>
        </w:rPr>
        <w:t xml:space="preserve">  In this paper my goal is</w:t>
      </w:r>
      <w:r w:rsidR="00BC008A">
        <w:rPr>
          <w:rFonts w:ascii="Garamond" w:hAnsi="Garamond"/>
        </w:rPr>
        <w:t xml:space="preserve"> to discern </w:t>
      </w:r>
      <w:r w:rsidR="00D3664E">
        <w:rPr>
          <w:rFonts w:ascii="Garamond" w:hAnsi="Garamond"/>
        </w:rPr>
        <w:t xml:space="preserve">whether </w:t>
      </w:r>
      <w:r w:rsidR="00BC008A">
        <w:rPr>
          <w:rFonts w:ascii="Garamond" w:hAnsi="Garamond"/>
        </w:rPr>
        <w:t xml:space="preserve">the US Supreme Court has transitioned from a more traditional </w:t>
      </w:r>
      <w:r w:rsidR="00DB51F3">
        <w:rPr>
          <w:rFonts w:ascii="Garamond" w:hAnsi="Garamond"/>
        </w:rPr>
        <w:t xml:space="preserve">and constitutionally intended </w:t>
      </w:r>
      <w:r w:rsidR="00BC008A">
        <w:rPr>
          <w:rFonts w:ascii="Garamond" w:hAnsi="Garamond"/>
        </w:rPr>
        <w:t>separatio</w:t>
      </w:r>
      <w:r w:rsidR="00D3664E">
        <w:rPr>
          <w:rFonts w:ascii="Garamond" w:hAnsi="Garamond"/>
        </w:rPr>
        <w:t>n of functions approach to</w:t>
      </w:r>
      <w:r w:rsidR="00BC008A">
        <w:rPr>
          <w:rFonts w:ascii="Garamond" w:hAnsi="Garamond"/>
        </w:rPr>
        <w:t xml:space="preserve"> jurisprudence to a newer separation of powers approach.  </w:t>
      </w:r>
    </w:p>
    <w:p w:rsidR="00FA3B14" w:rsidRDefault="00BC008A" w:rsidP="00537010">
      <w:pPr>
        <w:spacing w:line="480" w:lineRule="auto"/>
        <w:ind w:firstLine="720"/>
        <w:rPr>
          <w:rFonts w:ascii="Garamond" w:hAnsi="Garamond"/>
        </w:rPr>
      </w:pPr>
      <w:r>
        <w:rPr>
          <w:rFonts w:ascii="Garamond" w:hAnsi="Garamond"/>
        </w:rPr>
        <w:t xml:space="preserve">This research is prompted by two observations which serve as the background for this </w:t>
      </w:r>
      <w:r w:rsidR="00FA3B14">
        <w:rPr>
          <w:rFonts w:ascii="Garamond" w:hAnsi="Garamond"/>
        </w:rPr>
        <w:t>paper</w:t>
      </w:r>
      <w:r>
        <w:rPr>
          <w:rFonts w:ascii="Garamond" w:hAnsi="Garamond"/>
        </w:rPr>
        <w:t xml:space="preserve">.  First, the founders did not set up the Constitution with the separation of powers model in mind. </w:t>
      </w:r>
      <w:r w:rsidR="00FA3B14">
        <w:rPr>
          <w:rFonts w:ascii="Garamond" w:hAnsi="Garamond"/>
        </w:rPr>
        <w:t xml:space="preserve"> </w:t>
      </w:r>
      <w:r>
        <w:rPr>
          <w:rFonts w:ascii="Garamond" w:hAnsi="Garamond"/>
        </w:rPr>
        <w:t>The founders did not in</w:t>
      </w:r>
      <w:r w:rsidR="00FA3B14">
        <w:rPr>
          <w:rFonts w:ascii="Garamond" w:hAnsi="Garamond"/>
        </w:rPr>
        <w:t xml:space="preserve">tend for the presidency </w:t>
      </w:r>
      <w:r w:rsidR="00D3664E">
        <w:rPr>
          <w:rFonts w:ascii="Garamond" w:hAnsi="Garamond"/>
        </w:rPr>
        <w:t xml:space="preserve">or </w:t>
      </w:r>
      <w:r w:rsidR="00643D0B">
        <w:rPr>
          <w:rFonts w:ascii="Garamond" w:hAnsi="Garamond"/>
        </w:rPr>
        <w:t xml:space="preserve">the federal </w:t>
      </w:r>
      <w:r w:rsidR="00D3664E">
        <w:rPr>
          <w:rFonts w:ascii="Garamond" w:hAnsi="Garamond"/>
        </w:rPr>
        <w:t xml:space="preserve">judiciary </w:t>
      </w:r>
      <w:r w:rsidR="00FA3B14">
        <w:rPr>
          <w:rFonts w:ascii="Garamond" w:hAnsi="Garamond"/>
        </w:rPr>
        <w:t xml:space="preserve">to be </w:t>
      </w:r>
      <w:r>
        <w:rPr>
          <w:rFonts w:ascii="Garamond" w:hAnsi="Garamond"/>
        </w:rPr>
        <w:t xml:space="preserve">equal in power </w:t>
      </w:r>
      <w:r w:rsidR="00D3664E">
        <w:rPr>
          <w:rFonts w:ascii="Garamond" w:hAnsi="Garamond"/>
        </w:rPr>
        <w:t>to the legislative branch.  Instead, these two institutions were to</w:t>
      </w:r>
      <w:r>
        <w:rPr>
          <w:rFonts w:ascii="Garamond" w:hAnsi="Garamond"/>
        </w:rPr>
        <w:t xml:space="preserve"> act in the r</w:t>
      </w:r>
      <w:r w:rsidR="00D3664E">
        <w:rPr>
          <w:rFonts w:ascii="Garamond" w:hAnsi="Garamond"/>
        </w:rPr>
        <w:t>oles prescribed to them</w:t>
      </w:r>
      <w:r w:rsidR="00DB51F3">
        <w:rPr>
          <w:rFonts w:ascii="Garamond" w:hAnsi="Garamond"/>
        </w:rPr>
        <w:t xml:space="preserve"> by the Constitution.  The president was to execute</w:t>
      </w:r>
      <w:r>
        <w:rPr>
          <w:rFonts w:ascii="Garamond" w:hAnsi="Garamond"/>
        </w:rPr>
        <w:t xml:space="preserve"> the law, </w:t>
      </w:r>
      <w:r w:rsidR="00DB51F3">
        <w:rPr>
          <w:rFonts w:ascii="Garamond" w:hAnsi="Garamond"/>
        </w:rPr>
        <w:t>periodically recommend</w:t>
      </w:r>
      <w:r w:rsidR="00FA3B14">
        <w:rPr>
          <w:rFonts w:ascii="Garamond" w:hAnsi="Garamond"/>
        </w:rPr>
        <w:t xml:space="preserve"> to Congress b</w:t>
      </w:r>
      <w:r w:rsidR="00DB51F3">
        <w:rPr>
          <w:rFonts w:ascii="Garamond" w:hAnsi="Garamond"/>
        </w:rPr>
        <w:t>eneficial laws, and veto ill-</w:t>
      </w:r>
      <w:r w:rsidR="00FA3B14">
        <w:rPr>
          <w:rFonts w:ascii="Garamond" w:hAnsi="Garamond"/>
        </w:rPr>
        <w:t>advised enactments</w:t>
      </w:r>
      <w:r w:rsidR="00DB51F3">
        <w:rPr>
          <w:rFonts w:ascii="Garamond" w:hAnsi="Garamond"/>
        </w:rPr>
        <w:t>.  The judiciary was to adjudicate federal matters and disputes within the states</w:t>
      </w:r>
      <w:r w:rsidR="00D3664E">
        <w:rPr>
          <w:rFonts w:ascii="Garamond" w:hAnsi="Garamond"/>
        </w:rPr>
        <w:t xml:space="preserve"> which implicated the </w:t>
      </w:r>
      <w:r w:rsidR="00DB51F3">
        <w:rPr>
          <w:rFonts w:ascii="Garamond" w:hAnsi="Garamond"/>
        </w:rPr>
        <w:t xml:space="preserve">federal </w:t>
      </w:r>
      <w:r w:rsidR="00D3664E">
        <w:rPr>
          <w:rFonts w:ascii="Garamond" w:hAnsi="Garamond"/>
        </w:rPr>
        <w:t>Constitution.  The founders</w:t>
      </w:r>
      <w:r w:rsidR="00FA3B14">
        <w:rPr>
          <w:rFonts w:ascii="Garamond" w:hAnsi="Garamond"/>
        </w:rPr>
        <w:t xml:space="preserve"> set in place a separation of functions model, slightly more complicated than the one </w:t>
      </w:r>
      <w:r w:rsidR="00DB51F3">
        <w:rPr>
          <w:rFonts w:ascii="Garamond" w:hAnsi="Garamond"/>
        </w:rPr>
        <w:t xml:space="preserve">simply </w:t>
      </w:r>
      <w:r w:rsidR="00FA3B14">
        <w:rPr>
          <w:rFonts w:ascii="Garamond" w:hAnsi="Garamond"/>
        </w:rPr>
        <w:t xml:space="preserve">described in Justice Sutherland’s quote, </w:t>
      </w:r>
      <w:r w:rsidR="00DB51F3">
        <w:rPr>
          <w:rFonts w:ascii="Garamond" w:hAnsi="Garamond"/>
        </w:rPr>
        <w:t>because there are powers shared between the executive and legislative branches</w:t>
      </w:r>
      <w:r w:rsidR="00FA3B14">
        <w:rPr>
          <w:rFonts w:ascii="Garamond" w:hAnsi="Garamond"/>
        </w:rPr>
        <w:t xml:space="preserve">.  Second, in recent times presidents have actively endorsed the separation of powers model, </w:t>
      </w:r>
      <w:r w:rsidR="00D3664E">
        <w:rPr>
          <w:rFonts w:ascii="Garamond" w:hAnsi="Garamond"/>
        </w:rPr>
        <w:t>stressing institutional coequality.</w:t>
      </w:r>
      <w:r w:rsidR="00A15500">
        <w:rPr>
          <w:rFonts w:ascii="Garamond" w:hAnsi="Garamond"/>
        </w:rPr>
        <w:t xml:space="preserve">  The</w:t>
      </w:r>
      <w:r w:rsidR="00DB51F3">
        <w:rPr>
          <w:rFonts w:ascii="Garamond" w:hAnsi="Garamond"/>
        </w:rPr>
        <w:t>ir primary motive in doing so</w:t>
      </w:r>
      <w:r w:rsidR="00D3664E">
        <w:rPr>
          <w:rFonts w:ascii="Garamond" w:hAnsi="Garamond"/>
        </w:rPr>
        <w:t xml:space="preserve"> seems to be a </w:t>
      </w:r>
      <w:r w:rsidR="00FA3B14">
        <w:rPr>
          <w:rFonts w:ascii="Garamond" w:hAnsi="Garamond"/>
        </w:rPr>
        <w:t>justification of their own exercise of p</w:t>
      </w:r>
      <w:r w:rsidR="00DB51F3">
        <w:rPr>
          <w:rFonts w:ascii="Garamond" w:hAnsi="Garamond"/>
        </w:rPr>
        <w:t>ower, and in so doing they have helped add this conception to the American civics lexicon.</w:t>
      </w:r>
    </w:p>
    <w:p w:rsidR="009D2915" w:rsidRDefault="00357565" w:rsidP="00537010">
      <w:pPr>
        <w:spacing w:line="480" w:lineRule="auto"/>
        <w:ind w:firstLine="720"/>
        <w:rPr>
          <w:rFonts w:ascii="Garamond" w:hAnsi="Garamond"/>
        </w:rPr>
      </w:pPr>
      <w:r>
        <w:rPr>
          <w:rFonts w:ascii="Garamond" w:hAnsi="Garamond"/>
        </w:rPr>
        <w:t xml:space="preserve">After setting the stage by </w:t>
      </w:r>
      <w:r w:rsidR="007F1781">
        <w:rPr>
          <w:rFonts w:ascii="Garamond" w:hAnsi="Garamond"/>
        </w:rPr>
        <w:t xml:space="preserve">briefly </w:t>
      </w:r>
      <w:r>
        <w:rPr>
          <w:rFonts w:ascii="Garamond" w:hAnsi="Garamond"/>
        </w:rPr>
        <w:t>discussing how the founders and presidents have discussed coequality, I systematically analyze the Supreme Court opinions in which the terms “</w:t>
      </w:r>
      <w:r w:rsidR="009701B0">
        <w:rPr>
          <w:rFonts w:ascii="Garamond" w:hAnsi="Garamond"/>
        </w:rPr>
        <w:t xml:space="preserve">coequal” and “coequality” have been </w:t>
      </w:r>
      <w:r>
        <w:rPr>
          <w:rFonts w:ascii="Garamond" w:hAnsi="Garamond"/>
        </w:rPr>
        <w:t>employed</w:t>
      </w:r>
      <w:r w:rsidR="009701B0">
        <w:rPr>
          <w:rFonts w:ascii="Garamond" w:hAnsi="Garamond"/>
        </w:rPr>
        <w:t xml:space="preserve">. </w:t>
      </w:r>
      <w:r>
        <w:rPr>
          <w:rFonts w:ascii="Garamond" w:hAnsi="Garamond"/>
        </w:rPr>
        <w:t xml:space="preserve"> A numerical analysis indicates that using the word coequal to describe interbranch relations has risen significantly in the last four decades.  A qualitative analysis of these cases </w:t>
      </w:r>
      <w:r w:rsidR="00DB51F3">
        <w:rPr>
          <w:rFonts w:ascii="Garamond" w:hAnsi="Garamond"/>
        </w:rPr>
        <w:t>shows</w:t>
      </w:r>
      <w:r>
        <w:rPr>
          <w:rFonts w:ascii="Garamond" w:hAnsi="Garamond"/>
        </w:rPr>
        <w:t xml:space="preserve"> that while the court has not moved to touting a pure s</w:t>
      </w:r>
      <w:r w:rsidR="00045AA6">
        <w:rPr>
          <w:rFonts w:ascii="Garamond" w:hAnsi="Garamond"/>
        </w:rPr>
        <w:t>eparation of powers view, t</w:t>
      </w:r>
      <w:r>
        <w:rPr>
          <w:rFonts w:ascii="Garamond" w:hAnsi="Garamond"/>
        </w:rPr>
        <w:t xml:space="preserve">here has been </w:t>
      </w:r>
      <w:r w:rsidR="00045AA6">
        <w:rPr>
          <w:rFonts w:ascii="Garamond" w:hAnsi="Garamond"/>
        </w:rPr>
        <w:t>substantial movement</w:t>
      </w:r>
      <w:r>
        <w:rPr>
          <w:rFonts w:ascii="Garamond" w:hAnsi="Garamond"/>
        </w:rPr>
        <w:t xml:space="preserve"> from the separation of functions approach.  </w:t>
      </w:r>
      <w:r w:rsidR="00045AA6">
        <w:rPr>
          <w:rFonts w:ascii="Garamond" w:hAnsi="Garamond"/>
        </w:rPr>
        <w:t>Since</w:t>
      </w:r>
      <w:r>
        <w:rPr>
          <w:rFonts w:ascii="Garamond" w:hAnsi="Garamond"/>
        </w:rPr>
        <w:t xml:space="preserve"> </w:t>
      </w:r>
      <w:r w:rsidR="00045AA6">
        <w:rPr>
          <w:rFonts w:ascii="Garamond" w:hAnsi="Garamond"/>
        </w:rPr>
        <w:t xml:space="preserve">language from Supreme Court decisions is often </w:t>
      </w:r>
      <w:r w:rsidR="0047050A">
        <w:rPr>
          <w:rFonts w:ascii="Garamond" w:hAnsi="Garamond"/>
        </w:rPr>
        <w:t>quoted</w:t>
      </w:r>
      <w:r w:rsidR="00045AA6">
        <w:rPr>
          <w:rFonts w:ascii="Garamond" w:hAnsi="Garamond"/>
        </w:rPr>
        <w:t xml:space="preserve">, </w:t>
      </w:r>
      <w:r>
        <w:rPr>
          <w:rFonts w:ascii="Garamond" w:hAnsi="Garamond"/>
        </w:rPr>
        <w:t xml:space="preserve">the </w:t>
      </w:r>
      <w:r w:rsidR="00045AA6">
        <w:rPr>
          <w:rFonts w:ascii="Garamond" w:hAnsi="Garamond"/>
        </w:rPr>
        <w:t xml:space="preserve">court itself </w:t>
      </w:r>
      <w:r w:rsidR="00DB51F3">
        <w:rPr>
          <w:rFonts w:ascii="Garamond" w:hAnsi="Garamond"/>
        </w:rPr>
        <w:t>has</w:t>
      </w:r>
      <w:r w:rsidR="00045AA6">
        <w:rPr>
          <w:rFonts w:ascii="Garamond" w:hAnsi="Garamond"/>
        </w:rPr>
        <w:t xml:space="preserve"> likely</w:t>
      </w:r>
      <w:r w:rsidR="00DB51F3">
        <w:rPr>
          <w:rFonts w:ascii="Garamond" w:hAnsi="Garamond"/>
        </w:rPr>
        <w:t xml:space="preserve"> been a</w:t>
      </w:r>
      <w:r w:rsidR="00045AA6">
        <w:rPr>
          <w:rFonts w:ascii="Garamond" w:hAnsi="Garamond"/>
        </w:rPr>
        <w:t xml:space="preserve"> player in turning the American public’s view of their polity toward a separation of powers perspective. </w:t>
      </w:r>
    </w:p>
    <w:p w:rsidR="009D2915" w:rsidRDefault="00045AA6" w:rsidP="00537010">
      <w:pPr>
        <w:spacing w:line="480" w:lineRule="auto"/>
        <w:rPr>
          <w:rFonts w:ascii="Garamond" w:hAnsi="Garamond"/>
        </w:rPr>
      </w:pPr>
      <w:r>
        <w:rPr>
          <w:rFonts w:ascii="Garamond" w:hAnsi="Garamond"/>
        </w:rPr>
        <w:tab/>
        <w:t xml:space="preserve">The distribution of power across </w:t>
      </w:r>
      <w:r w:rsidR="00544DA0">
        <w:rPr>
          <w:rFonts w:ascii="Garamond" w:hAnsi="Garamond"/>
        </w:rPr>
        <w:t>branch</w:t>
      </w:r>
      <w:r>
        <w:rPr>
          <w:rFonts w:ascii="Garamond" w:hAnsi="Garamond"/>
        </w:rPr>
        <w:t>es is a key element of the American polity</w:t>
      </w:r>
      <w:r w:rsidR="00544DA0">
        <w:rPr>
          <w:rFonts w:ascii="Garamond" w:hAnsi="Garamond"/>
        </w:rPr>
        <w:t xml:space="preserve">.  </w:t>
      </w:r>
      <w:r w:rsidR="007F1781">
        <w:rPr>
          <w:rFonts w:ascii="Garamond" w:hAnsi="Garamond"/>
        </w:rPr>
        <w:t xml:space="preserve">Supreme Court cases which involve interbranch power </w:t>
      </w:r>
      <w:r w:rsidR="00881378">
        <w:rPr>
          <w:rFonts w:ascii="Garamond" w:hAnsi="Garamond"/>
        </w:rPr>
        <w:t>a</w:t>
      </w:r>
      <w:r w:rsidR="007F1781">
        <w:rPr>
          <w:rFonts w:ascii="Garamond" w:hAnsi="Garamond"/>
        </w:rPr>
        <w:t>re particular</w:t>
      </w:r>
      <w:r w:rsidR="0047050A">
        <w:rPr>
          <w:rFonts w:ascii="Garamond" w:hAnsi="Garamond"/>
        </w:rPr>
        <w:t>ly</w:t>
      </w:r>
      <w:r w:rsidR="007F1781">
        <w:rPr>
          <w:rFonts w:ascii="Garamond" w:hAnsi="Garamond"/>
        </w:rPr>
        <w:t xml:space="preserve"> important and</w:t>
      </w:r>
      <w:r w:rsidR="00881378">
        <w:rPr>
          <w:rFonts w:ascii="Garamond" w:hAnsi="Garamond"/>
        </w:rPr>
        <w:t xml:space="preserve"> include some of the most consequential and controversial cases of recent decades, </w:t>
      </w:r>
      <w:r w:rsidR="007F1781">
        <w:rPr>
          <w:rFonts w:ascii="Garamond" w:hAnsi="Garamond"/>
        </w:rPr>
        <w:t>like</w:t>
      </w:r>
      <w:r w:rsidR="00881378">
        <w:rPr>
          <w:rFonts w:ascii="Garamond" w:hAnsi="Garamond"/>
        </w:rPr>
        <w:t xml:space="preserve"> </w:t>
      </w:r>
      <w:r w:rsidR="00881378" w:rsidRPr="00643D0B">
        <w:rPr>
          <w:rFonts w:ascii="Garamond" w:hAnsi="Garamond"/>
          <w:i/>
        </w:rPr>
        <w:t>Baker v. Carr</w:t>
      </w:r>
      <w:r w:rsidR="00881378">
        <w:rPr>
          <w:rFonts w:ascii="Garamond" w:hAnsi="Garamond"/>
        </w:rPr>
        <w:t xml:space="preserve"> (</w:t>
      </w:r>
      <w:r w:rsidR="00643D0B">
        <w:rPr>
          <w:rFonts w:ascii="Garamond" w:hAnsi="Garamond"/>
        </w:rPr>
        <w:t xml:space="preserve">1962, </w:t>
      </w:r>
      <w:r w:rsidR="00DB51F3">
        <w:rPr>
          <w:rFonts w:ascii="Garamond" w:hAnsi="Garamond"/>
        </w:rPr>
        <w:t xml:space="preserve">asserting federal power in gerrymandering cases), </w:t>
      </w:r>
      <w:r w:rsidR="00DB51F3" w:rsidRPr="00643D0B">
        <w:rPr>
          <w:rFonts w:ascii="Garamond" w:hAnsi="Garamond"/>
          <w:i/>
        </w:rPr>
        <w:t>New York Times v. US</w:t>
      </w:r>
      <w:r w:rsidR="00DB51F3">
        <w:rPr>
          <w:rFonts w:ascii="Garamond" w:hAnsi="Garamond"/>
        </w:rPr>
        <w:t xml:space="preserve"> (</w:t>
      </w:r>
      <w:r w:rsidR="00643D0B">
        <w:rPr>
          <w:rFonts w:ascii="Garamond" w:hAnsi="Garamond"/>
        </w:rPr>
        <w:t xml:space="preserve">1971, </w:t>
      </w:r>
      <w:r w:rsidR="00DB51F3">
        <w:rPr>
          <w:rFonts w:ascii="Garamond" w:hAnsi="Garamond"/>
        </w:rPr>
        <w:t>t</w:t>
      </w:r>
      <w:r w:rsidR="00881378">
        <w:rPr>
          <w:rFonts w:ascii="Garamond" w:hAnsi="Garamond"/>
        </w:rPr>
        <w:t xml:space="preserve">he Pentagon Papers case), </w:t>
      </w:r>
      <w:r w:rsidR="00881378" w:rsidRPr="00643D0B">
        <w:rPr>
          <w:rFonts w:ascii="Garamond" w:hAnsi="Garamond"/>
          <w:i/>
        </w:rPr>
        <w:t>US v. Nixon</w:t>
      </w:r>
      <w:r w:rsidR="00881378">
        <w:rPr>
          <w:rFonts w:ascii="Garamond" w:hAnsi="Garamond"/>
        </w:rPr>
        <w:t xml:space="preserve"> (</w:t>
      </w:r>
      <w:r w:rsidR="00643D0B">
        <w:rPr>
          <w:rFonts w:ascii="Garamond" w:hAnsi="Garamond"/>
        </w:rPr>
        <w:t xml:space="preserve">1974, </w:t>
      </w:r>
      <w:r w:rsidR="00DB51F3">
        <w:rPr>
          <w:rFonts w:ascii="Garamond" w:hAnsi="Garamond"/>
        </w:rPr>
        <w:t>ruling on the president’s obligation to produce evidence in a criminal probe</w:t>
      </w:r>
      <w:r w:rsidR="00881378">
        <w:rPr>
          <w:rFonts w:ascii="Garamond" w:hAnsi="Garamond"/>
        </w:rPr>
        <w:t xml:space="preserve">), </w:t>
      </w:r>
      <w:r w:rsidR="007F1781">
        <w:rPr>
          <w:rFonts w:ascii="Garamond" w:hAnsi="Garamond"/>
        </w:rPr>
        <w:t xml:space="preserve">and the landmark campaign finance cases </w:t>
      </w:r>
      <w:r w:rsidR="00881378" w:rsidRPr="00643D0B">
        <w:rPr>
          <w:rFonts w:ascii="Garamond" w:hAnsi="Garamond"/>
          <w:i/>
        </w:rPr>
        <w:t>Buckley v. Valeo</w:t>
      </w:r>
      <w:r w:rsidR="00881378">
        <w:rPr>
          <w:rFonts w:ascii="Garamond" w:hAnsi="Garamond"/>
        </w:rPr>
        <w:t xml:space="preserve"> </w:t>
      </w:r>
      <w:r w:rsidR="00643D0B">
        <w:rPr>
          <w:rFonts w:ascii="Garamond" w:hAnsi="Garamond"/>
        </w:rPr>
        <w:t xml:space="preserve">(1976) </w:t>
      </w:r>
      <w:r w:rsidR="00881378">
        <w:rPr>
          <w:rFonts w:ascii="Garamond" w:hAnsi="Garamond"/>
        </w:rPr>
        <w:t xml:space="preserve">and </w:t>
      </w:r>
      <w:r w:rsidR="00881378" w:rsidRPr="00643D0B">
        <w:rPr>
          <w:rFonts w:ascii="Garamond" w:hAnsi="Garamond"/>
          <w:i/>
        </w:rPr>
        <w:t>Citizens United</w:t>
      </w:r>
      <w:r w:rsidR="007F1781" w:rsidRPr="00643D0B">
        <w:rPr>
          <w:rFonts w:ascii="Garamond" w:hAnsi="Garamond"/>
          <w:i/>
        </w:rPr>
        <w:t xml:space="preserve"> v. FEC</w:t>
      </w:r>
      <w:r w:rsidR="00643D0B">
        <w:rPr>
          <w:rFonts w:ascii="Garamond" w:hAnsi="Garamond"/>
        </w:rPr>
        <w:t xml:space="preserve"> (2010)</w:t>
      </w:r>
      <w:r w:rsidR="00881378">
        <w:rPr>
          <w:rFonts w:ascii="Garamond" w:hAnsi="Garamond"/>
        </w:rPr>
        <w:t>.</w:t>
      </w:r>
      <w:r w:rsidR="00DB51F3">
        <w:rPr>
          <w:rFonts w:ascii="Garamond" w:hAnsi="Garamond"/>
        </w:rPr>
        <w:t xml:space="preserve">  While lawyers and students of the law discuss cases and the reasoning of opinions in depth</w:t>
      </w:r>
      <w:r w:rsidR="007F1781">
        <w:rPr>
          <w:rFonts w:ascii="Garamond" w:hAnsi="Garamond"/>
        </w:rPr>
        <w:t xml:space="preserve">, rarely do anything but </w:t>
      </w:r>
      <w:r>
        <w:rPr>
          <w:rFonts w:ascii="Garamond" w:hAnsi="Garamond"/>
        </w:rPr>
        <w:t>phrases</w:t>
      </w:r>
      <w:r w:rsidR="00DB51F3">
        <w:rPr>
          <w:rFonts w:ascii="Garamond" w:hAnsi="Garamond"/>
        </w:rPr>
        <w:t xml:space="preserve"> from opinions</w:t>
      </w:r>
      <w:r w:rsidR="007F1781">
        <w:rPr>
          <w:rFonts w:ascii="Garamond" w:hAnsi="Garamond"/>
        </w:rPr>
        <w:t xml:space="preserve"> work their way to the public’s consciousness.</w:t>
      </w:r>
      <w:r w:rsidR="00DB51F3">
        <w:rPr>
          <w:rFonts w:ascii="Garamond" w:hAnsi="Garamond"/>
        </w:rPr>
        <w:t xml:space="preserve">  In rather cavalier</w:t>
      </w:r>
      <w:r>
        <w:rPr>
          <w:rFonts w:ascii="Garamond" w:hAnsi="Garamond"/>
        </w:rPr>
        <w:t xml:space="preserve">ly employing the terms “coequal” and “coequality” to describe interbranch relations, </w:t>
      </w:r>
      <w:r w:rsidR="0047050A">
        <w:rPr>
          <w:rFonts w:ascii="Garamond" w:hAnsi="Garamond"/>
        </w:rPr>
        <w:t xml:space="preserve">and in doing so repeatedly, </w:t>
      </w:r>
      <w:r>
        <w:rPr>
          <w:rFonts w:ascii="Garamond" w:hAnsi="Garamond"/>
        </w:rPr>
        <w:t>the US Supreme Court has contributed to a major misunderstanding of American institutions</w:t>
      </w:r>
      <w:r w:rsidR="00DB51F3">
        <w:rPr>
          <w:rFonts w:ascii="Garamond" w:hAnsi="Garamond"/>
        </w:rPr>
        <w:t>.  This conception is</w:t>
      </w:r>
      <w:r w:rsidR="00C51C71">
        <w:rPr>
          <w:rFonts w:ascii="Garamond" w:hAnsi="Garamond"/>
        </w:rPr>
        <w:t xml:space="preserve"> at odds with the founder</w:t>
      </w:r>
      <w:r w:rsidR="001A35DE">
        <w:rPr>
          <w:rFonts w:ascii="Garamond" w:hAnsi="Garamond"/>
        </w:rPr>
        <w:t>s’ separation of functions view, but more importantly, it contributes to a problematic view that the institutions of the national government are locked in a kind of Newtonian ba</w:t>
      </w:r>
      <w:r w:rsidR="00643D0B">
        <w:rPr>
          <w:rFonts w:ascii="Garamond" w:hAnsi="Garamond"/>
        </w:rPr>
        <w:t>ttle, with each institution</w:t>
      </w:r>
      <w:r w:rsidR="001A35DE">
        <w:rPr>
          <w:rFonts w:ascii="Garamond" w:hAnsi="Garamond"/>
        </w:rPr>
        <w:t xml:space="preserve"> able to check the action of any other with an “equal and opposite” reaction.</w:t>
      </w:r>
    </w:p>
    <w:p w:rsidR="001A35DE" w:rsidRDefault="001A35DE" w:rsidP="00082AE7">
      <w:pPr>
        <w:rPr>
          <w:rFonts w:ascii="Garamond" w:hAnsi="Garamond"/>
        </w:rPr>
      </w:pPr>
    </w:p>
    <w:p w:rsidR="00523128" w:rsidRPr="00643D0B" w:rsidRDefault="00643D0B" w:rsidP="001A35DE">
      <w:pPr>
        <w:jc w:val="center"/>
        <w:rPr>
          <w:rFonts w:ascii="Garamond" w:hAnsi="Garamond"/>
          <w:b/>
        </w:rPr>
      </w:pPr>
      <w:r>
        <w:rPr>
          <w:rFonts w:ascii="Garamond" w:hAnsi="Garamond"/>
          <w:b/>
        </w:rPr>
        <w:t>Coequality:  Rejections and Rebirth</w:t>
      </w:r>
    </w:p>
    <w:p w:rsidR="00523128" w:rsidRDefault="00523128" w:rsidP="00082AE7">
      <w:pPr>
        <w:rPr>
          <w:rFonts w:ascii="Garamond" w:hAnsi="Garamond"/>
        </w:rPr>
      </w:pPr>
    </w:p>
    <w:p w:rsidR="00215AAF" w:rsidRDefault="007F1781" w:rsidP="00537010">
      <w:pPr>
        <w:spacing w:line="480" w:lineRule="auto"/>
        <w:rPr>
          <w:rFonts w:ascii="Garamond" w:hAnsi="Garamond"/>
        </w:rPr>
      </w:pPr>
      <w:r>
        <w:rPr>
          <w:rFonts w:ascii="Garamond" w:hAnsi="Garamond"/>
        </w:rPr>
        <w:tab/>
        <w:t>None of the American Founders</w:t>
      </w:r>
      <w:r w:rsidR="00523128">
        <w:rPr>
          <w:rFonts w:ascii="Garamond" w:hAnsi="Garamond"/>
        </w:rPr>
        <w:t xml:space="preserve"> intend</w:t>
      </w:r>
      <w:r>
        <w:rPr>
          <w:rFonts w:ascii="Garamond" w:hAnsi="Garamond"/>
        </w:rPr>
        <w:t>ed</w:t>
      </w:r>
      <w:r w:rsidR="00523128">
        <w:rPr>
          <w:rFonts w:ascii="Garamond" w:hAnsi="Garamond"/>
        </w:rPr>
        <w:t xml:space="preserve"> to construct a coequal set of </w:t>
      </w:r>
      <w:r w:rsidR="007E2A90">
        <w:rPr>
          <w:rFonts w:ascii="Garamond" w:hAnsi="Garamond"/>
        </w:rPr>
        <w:t xml:space="preserve">governing </w:t>
      </w:r>
      <w:r w:rsidR="00523128">
        <w:rPr>
          <w:rFonts w:ascii="Garamond" w:hAnsi="Garamond"/>
        </w:rPr>
        <w:t>institutions</w:t>
      </w:r>
      <w:r w:rsidR="00F95BA6">
        <w:rPr>
          <w:rFonts w:ascii="Garamond" w:hAnsi="Garamond"/>
        </w:rPr>
        <w:t>, at least not in the way that the concept is typically bandied about today, as a balance of power between legislative, executive, and judicial branches.  How could they, when James Madison, that most active architect of the new regime wrote that “in republican government the legislative authority, necessarily, predominates” (Federalist #51, Cooke 19</w:t>
      </w:r>
      <w:r w:rsidR="007E2A90">
        <w:rPr>
          <w:rFonts w:ascii="Garamond" w:hAnsi="Garamond"/>
        </w:rPr>
        <w:t xml:space="preserve">61:  350)?  Bicameralism </w:t>
      </w:r>
      <w:r w:rsidR="00F95BA6">
        <w:rPr>
          <w:rFonts w:ascii="Garamond" w:hAnsi="Garamond"/>
        </w:rPr>
        <w:t>was not only a device used to balance the power prospects</w:t>
      </w:r>
      <w:r w:rsidR="007E2A90">
        <w:rPr>
          <w:rFonts w:ascii="Garamond" w:hAnsi="Garamond"/>
        </w:rPr>
        <w:t xml:space="preserve"> of the large and small states.  I</w:t>
      </w:r>
      <w:r w:rsidR="00F95BA6">
        <w:rPr>
          <w:rFonts w:ascii="Garamond" w:hAnsi="Garamond"/>
        </w:rPr>
        <w:t>t was a means to prevent the aggrandizement of power by the legislature</w:t>
      </w:r>
      <w:r w:rsidR="00215AAF">
        <w:rPr>
          <w:rFonts w:ascii="Garamond" w:hAnsi="Garamond"/>
        </w:rPr>
        <w:t>.  Madison concludes that “the remedy for this inconveniency is, to divide the legislature i</w:t>
      </w:r>
      <w:r w:rsidR="0047050A">
        <w:rPr>
          <w:rFonts w:ascii="Garamond" w:hAnsi="Garamond"/>
        </w:rPr>
        <w:t>nto different branches” and</w:t>
      </w:r>
      <w:r w:rsidR="00215AAF">
        <w:rPr>
          <w:rFonts w:ascii="Garamond" w:hAnsi="Garamond"/>
        </w:rPr>
        <w:t xml:space="preserve"> “the weakness of the executive, on the other hand, [requires] that it should be fortified” (ibid.).</w:t>
      </w:r>
    </w:p>
    <w:p w:rsidR="00044567" w:rsidRDefault="00215AAF" w:rsidP="00537010">
      <w:pPr>
        <w:spacing w:line="480" w:lineRule="auto"/>
        <w:ind w:firstLine="720"/>
        <w:rPr>
          <w:rFonts w:ascii="Garamond" w:hAnsi="Garamond"/>
        </w:rPr>
      </w:pPr>
      <w:r>
        <w:rPr>
          <w:rFonts w:ascii="Garamond" w:hAnsi="Garamond"/>
        </w:rPr>
        <w:t>M</w:t>
      </w:r>
      <w:r w:rsidR="007E2A90">
        <w:rPr>
          <w:rFonts w:ascii="Garamond" w:hAnsi="Garamond"/>
        </w:rPr>
        <w:t>ost who gathered in Philadelphia to write the Constitution worried more about legislative than executive usurpation.</w:t>
      </w:r>
      <w:r w:rsidR="007E2A90">
        <w:rPr>
          <w:rStyle w:val="FootnoteReference"/>
          <w:rFonts w:ascii="Garamond" w:hAnsi="Garamond"/>
        </w:rPr>
        <w:footnoteReference w:id="0"/>
      </w:r>
      <w:r w:rsidR="007E2A90">
        <w:rPr>
          <w:rFonts w:ascii="Garamond" w:hAnsi="Garamond"/>
        </w:rPr>
        <w:t xml:space="preserve"> </w:t>
      </w:r>
      <w:r>
        <w:rPr>
          <w:rFonts w:ascii="Garamond" w:hAnsi="Garamond"/>
        </w:rPr>
        <w:t xml:space="preserve"> </w:t>
      </w:r>
      <w:r w:rsidR="00203DCC">
        <w:rPr>
          <w:rFonts w:ascii="Garamond" w:hAnsi="Garamond"/>
        </w:rPr>
        <w:t xml:space="preserve">Though Alexander Hamilton </w:t>
      </w:r>
      <w:r w:rsidR="008A7294">
        <w:rPr>
          <w:rFonts w:ascii="Garamond" w:hAnsi="Garamond"/>
        </w:rPr>
        <w:t>was</w:t>
      </w:r>
      <w:r w:rsidR="00203DCC">
        <w:rPr>
          <w:rFonts w:ascii="Garamond" w:hAnsi="Garamond"/>
        </w:rPr>
        <w:t xml:space="preserve"> the most executive-centric of them all, he shared with many an understanding of history that emphasized legislative aggrandizement.  In Federalist #71, </w:t>
      </w:r>
      <w:r w:rsidR="008A7294">
        <w:rPr>
          <w:rFonts w:ascii="Garamond" w:hAnsi="Garamond"/>
        </w:rPr>
        <w:t xml:space="preserve">an essay written </w:t>
      </w:r>
      <w:r w:rsidR="0047050A">
        <w:rPr>
          <w:rFonts w:ascii="Garamond" w:hAnsi="Garamond"/>
        </w:rPr>
        <w:t>to be</w:t>
      </w:r>
      <w:r w:rsidR="008A7294">
        <w:rPr>
          <w:rFonts w:ascii="Garamond" w:hAnsi="Garamond"/>
        </w:rPr>
        <w:t xml:space="preserve"> convincing</w:t>
      </w:r>
      <w:r w:rsidR="0047050A">
        <w:rPr>
          <w:rFonts w:ascii="Garamond" w:hAnsi="Garamond"/>
        </w:rPr>
        <w:t xml:space="preserve"> to those unlikely to share his enthusiasm for executive power</w:t>
      </w:r>
      <w:r w:rsidR="008A7294">
        <w:rPr>
          <w:rFonts w:ascii="Garamond" w:hAnsi="Garamond"/>
        </w:rPr>
        <w:t xml:space="preserve">, </w:t>
      </w:r>
      <w:r w:rsidR="00203DCC">
        <w:rPr>
          <w:rFonts w:ascii="Garamond" w:hAnsi="Garamond"/>
        </w:rPr>
        <w:t>he noted that the English House of Commons had “raised themselves to the rank and consequence of a coequal branch of the Legislature” (Cooke 1961:  485)</w:t>
      </w:r>
      <w:r>
        <w:rPr>
          <w:rFonts w:ascii="Garamond" w:hAnsi="Garamond"/>
        </w:rPr>
        <w:t xml:space="preserve">.  This was </w:t>
      </w:r>
      <w:r w:rsidR="00056B45">
        <w:rPr>
          <w:rFonts w:ascii="Garamond" w:hAnsi="Garamond"/>
        </w:rPr>
        <w:t xml:space="preserve">part of a package of arguments offered by Hamilton to show that the proposed federal executive should not be feared.  </w:t>
      </w:r>
      <w:r w:rsidR="00B92A61">
        <w:rPr>
          <w:rFonts w:ascii="Garamond" w:hAnsi="Garamond"/>
        </w:rPr>
        <w:t xml:space="preserve">The views of those like Madison and Hamilton carried the day in Philadelphia, and this is why the president, much to the consternation of separation of powers purists, was dealt in to the legislative process, tasked with recommending to Congress “measures as he shall judge necessary and expedient” (Article II, Section 3), and given possession of a qualified veto.  </w:t>
      </w:r>
    </w:p>
    <w:p w:rsidR="00B7209D" w:rsidRDefault="00A30F87" w:rsidP="00537010">
      <w:pPr>
        <w:spacing w:line="480" w:lineRule="auto"/>
        <w:ind w:firstLine="720"/>
        <w:rPr>
          <w:rFonts w:ascii="Garamond" w:hAnsi="Garamond"/>
        </w:rPr>
      </w:pPr>
      <w:r>
        <w:rPr>
          <w:rFonts w:ascii="Garamond" w:hAnsi="Garamond"/>
        </w:rPr>
        <w:t>Hamilton</w:t>
      </w:r>
      <w:r w:rsidR="00044567">
        <w:rPr>
          <w:rFonts w:ascii="Garamond" w:hAnsi="Garamond"/>
        </w:rPr>
        <w:t xml:space="preserve"> </w:t>
      </w:r>
      <w:r w:rsidR="00056B45">
        <w:rPr>
          <w:rFonts w:ascii="Garamond" w:hAnsi="Garamond"/>
        </w:rPr>
        <w:t xml:space="preserve">also </w:t>
      </w:r>
      <w:r w:rsidR="00044567">
        <w:rPr>
          <w:rFonts w:ascii="Garamond" w:hAnsi="Garamond"/>
        </w:rPr>
        <w:t xml:space="preserve">singled out the judiciary in </w:t>
      </w:r>
      <w:r w:rsidR="00044567" w:rsidRPr="00044567">
        <w:rPr>
          <w:rFonts w:ascii="Garamond" w:hAnsi="Garamond"/>
          <w:i/>
        </w:rPr>
        <w:t>The Federalist</w:t>
      </w:r>
      <w:r w:rsidR="00044567">
        <w:rPr>
          <w:rFonts w:ascii="Garamond" w:hAnsi="Garamond"/>
        </w:rPr>
        <w:t>, noting that its power paled in comparison with</w:t>
      </w:r>
      <w:r w:rsidR="00B7209D">
        <w:rPr>
          <w:rFonts w:ascii="Garamond" w:hAnsi="Garamond"/>
        </w:rPr>
        <w:t xml:space="preserve"> the</w:t>
      </w:r>
      <w:r w:rsidR="00044567">
        <w:rPr>
          <w:rFonts w:ascii="Garamond" w:hAnsi="Garamond"/>
        </w:rPr>
        <w:t xml:space="preserve"> lawmaking branches.  Alongside his famed comment about the judiciary </w:t>
      </w:r>
      <w:r w:rsidR="001A35DE">
        <w:rPr>
          <w:rFonts w:ascii="Garamond" w:hAnsi="Garamond"/>
        </w:rPr>
        <w:t>being “least dangerous” because it lacked</w:t>
      </w:r>
      <w:r w:rsidR="00044567">
        <w:rPr>
          <w:rFonts w:ascii="Garamond" w:hAnsi="Garamond"/>
        </w:rPr>
        <w:t xml:space="preserve"> the power of purse and sword, </w:t>
      </w:r>
      <w:r w:rsidR="00FA5BB7">
        <w:rPr>
          <w:rFonts w:ascii="Garamond" w:hAnsi="Garamond"/>
        </w:rPr>
        <w:t>he</w:t>
      </w:r>
      <w:r w:rsidR="00044567">
        <w:rPr>
          <w:rFonts w:ascii="Garamond" w:hAnsi="Garamond"/>
        </w:rPr>
        <w:t xml:space="preserve"> wrote in Federalist #78 that “the judiciary is beyond comparison the weakest of the three departments of power” (Cooke 1961: 523).  </w:t>
      </w:r>
      <w:r w:rsidR="00643D0B">
        <w:rPr>
          <w:rFonts w:ascii="Garamond" w:hAnsi="Garamond"/>
        </w:rPr>
        <w:t>In general</w:t>
      </w:r>
      <w:r w:rsidR="0047050A">
        <w:rPr>
          <w:rFonts w:ascii="Garamond" w:hAnsi="Garamond"/>
        </w:rPr>
        <w:t>,</w:t>
      </w:r>
      <w:r w:rsidR="00643D0B">
        <w:rPr>
          <w:rFonts w:ascii="Garamond" w:hAnsi="Garamond"/>
        </w:rPr>
        <w:t xml:space="preserve"> during the ratification debate</w:t>
      </w:r>
      <w:r w:rsidR="0047050A">
        <w:rPr>
          <w:rFonts w:ascii="Garamond" w:hAnsi="Garamond"/>
        </w:rPr>
        <w:t xml:space="preserve"> </w:t>
      </w:r>
      <w:r w:rsidR="001A35DE">
        <w:rPr>
          <w:rFonts w:ascii="Garamond" w:hAnsi="Garamond"/>
        </w:rPr>
        <w:t xml:space="preserve">Federalists emphasized that </w:t>
      </w:r>
      <w:r w:rsidR="0047050A">
        <w:rPr>
          <w:rFonts w:ascii="Garamond" w:hAnsi="Garamond"/>
        </w:rPr>
        <w:t>institutions of government did different things, which produced a differential of power between them.</w:t>
      </w:r>
      <w:r w:rsidR="001A35DE">
        <w:rPr>
          <w:rFonts w:ascii="Garamond" w:hAnsi="Garamond"/>
        </w:rPr>
        <w:t xml:space="preserve">  </w:t>
      </w:r>
    </w:p>
    <w:p w:rsidR="00044567" w:rsidRDefault="00044567" w:rsidP="00537010">
      <w:pPr>
        <w:spacing w:line="480" w:lineRule="auto"/>
        <w:ind w:firstLine="720"/>
        <w:rPr>
          <w:rFonts w:ascii="Garamond" w:hAnsi="Garamond"/>
        </w:rPr>
      </w:pPr>
      <w:r>
        <w:rPr>
          <w:rFonts w:ascii="Garamond" w:hAnsi="Garamond"/>
        </w:rPr>
        <w:t>The trick of constitution-making to those in Philadelphia</w:t>
      </w:r>
      <w:r w:rsidR="0047050A">
        <w:rPr>
          <w:rFonts w:ascii="Garamond" w:hAnsi="Garamond"/>
        </w:rPr>
        <w:t>, was producing</w:t>
      </w:r>
      <w:r>
        <w:rPr>
          <w:rFonts w:ascii="Garamond" w:hAnsi="Garamond"/>
        </w:rPr>
        <w:t xml:space="preserve"> a stable arrangement </w:t>
      </w:r>
      <w:r w:rsidR="00203DCC">
        <w:rPr>
          <w:rFonts w:ascii="Garamond" w:hAnsi="Garamond"/>
        </w:rPr>
        <w:t>out of an institutional array that</w:t>
      </w:r>
      <w:r w:rsidR="007F1781">
        <w:rPr>
          <w:rFonts w:ascii="Garamond" w:hAnsi="Garamond"/>
        </w:rPr>
        <w:t>,</w:t>
      </w:r>
      <w:r w:rsidR="00203DCC">
        <w:rPr>
          <w:rFonts w:ascii="Garamond" w:hAnsi="Garamond"/>
        </w:rPr>
        <w:t xml:space="preserve"> </w:t>
      </w:r>
      <w:r w:rsidR="00056B45">
        <w:rPr>
          <w:rFonts w:ascii="Garamond" w:hAnsi="Garamond"/>
        </w:rPr>
        <w:t>left to its own devices</w:t>
      </w:r>
      <w:r w:rsidR="007F1781">
        <w:rPr>
          <w:rFonts w:ascii="Garamond" w:hAnsi="Garamond"/>
        </w:rPr>
        <w:t>,</w:t>
      </w:r>
      <w:r w:rsidR="00056B45">
        <w:rPr>
          <w:rFonts w:ascii="Garamond" w:hAnsi="Garamond"/>
        </w:rPr>
        <w:t xml:space="preserve"> </w:t>
      </w:r>
      <w:r w:rsidR="0047050A">
        <w:rPr>
          <w:rFonts w:ascii="Garamond" w:hAnsi="Garamond"/>
        </w:rPr>
        <w:t xml:space="preserve">would be unstable and </w:t>
      </w:r>
      <w:r w:rsidR="00203DCC">
        <w:rPr>
          <w:rFonts w:ascii="Garamond" w:hAnsi="Garamond"/>
        </w:rPr>
        <w:t>d</w:t>
      </w:r>
      <w:r w:rsidR="0047050A">
        <w:rPr>
          <w:rFonts w:ascii="Garamond" w:hAnsi="Garamond"/>
        </w:rPr>
        <w:t>egenerate</w:t>
      </w:r>
      <w:r w:rsidR="00FA5BB7">
        <w:rPr>
          <w:rFonts w:ascii="Garamond" w:hAnsi="Garamond"/>
        </w:rPr>
        <w:t xml:space="preserve"> into tyranny. </w:t>
      </w:r>
      <w:r w:rsidR="001A35DE">
        <w:rPr>
          <w:rFonts w:ascii="Garamond" w:hAnsi="Garamond"/>
        </w:rPr>
        <w:t xml:space="preserve"> Tinkering, adjusting the system away from</w:t>
      </w:r>
      <w:r w:rsidR="0047050A">
        <w:rPr>
          <w:rFonts w:ascii="Garamond" w:hAnsi="Garamond"/>
        </w:rPr>
        <w:t xml:space="preserve"> a pure segregation of legislative, executive, and judicial power</w:t>
      </w:r>
      <w:r w:rsidR="001A35DE">
        <w:rPr>
          <w:rFonts w:ascii="Garamond" w:hAnsi="Garamond"/>
        </w:rPr>
        <w:t>,</w:t>
      </w:r>
      <w:r w:rsidR="0047050A">
        <w:rPr>
          <w:rFonts w:ascii="Garamond" w:hAnsi="Garamond"/>
        </w:rPr>
        <w:t xml:space="preserve"> </w:t>
      </w:r>
      <w:r w:rsidR="00056B45">
        <w:rPr>
          <w:rFonts w:ascii="Garamond" w:hAnsi="Garamond"/>
        </w:rPr>
        <w:t xml:space="preserve">was needed to induce stasis.  </w:t>
      </w:r>
      <w:r w:rsidR="00C6613D">
        <w:rPr>
          <w:rFonts w:ascii="Garamond" w:hAnsi="Garamond"/>
        </w:rPr>
        <w:t xml:space="preserve">In Federalist #51 </w:t>
      </w:r>
      <w:r w:rsidR="00203DCC">
        <w:rPr>
          <w:rFonts w:ascii="Garamond" w:hAnsi="Garamond"/>
        </w:rPr>
        <w:t xml:space="preserve">Madison emphasized the need of each branch </w:t>
      </w:r>
      <w:r w:rsidR="00B7209D">
        <w:rPr>
          <w:rFonts w:ascii="Garamond" w:hAnsi="Garamond"/>
        </w:rPr>
        <w:t>having the</w:t>
      </w:r>
      <w:r w:rsidR="00056B45">
        <w:rPr>
          <w:rFonts w:ascii="Garamond" w:hAnsi="Garamond"/>
        </w:rPr>
        <w:t xml:space="preserve"> tools</w:t>
      </w:r>
      <w:r w:rsidR="00203DCC">
        <w:rPr>
          <w:rFonts w:ascii="Garamond" w:hAnsi="Garamond"/>
        </w:rPr>
        <w:t xml:space="preserve"> to protect its </w:t>
      </w:r>
      <w:r w:rsidR="00FA5BB7">
        <w:rPr>
          <w:rFonts w:ascii="Garamond" w:hAnsi="Garamond"/>
        </w:rPr>
        <w:t>o</w:t>
      </w:r>
      <w:r w:rsidR="00056B45">
        <w:rPr>
          <w:rFonts w:ascii="Garamond" w:hAnsi="Garamond"/>
        </w:rPr>
        <w:t xml:space="preserve">wn </w:t>
      </w:r>
      <w:r w:rsidR="0047050A">
        <w:rPr>
          <w:rFonts w:ascii="Garamond" w:hAnsi="Garamond"/>
        </w:rPr>
        <w:t xml:space="preserve">ability to wield its </w:t>
      </w:r>
      <w:r w:rsidR="00056B45">
        <w:rPr>
          <w:rFonts w:ascii="Garamond" w:hAnsi="Garamond"/>
        </w:rPr>
        <w:t>constitutional prerogatives.</w:t>
      </w:r>
      <w:r w:rsidR="001A35DE">
        <w:rPr>
          <w:rStyle w:val="FootnoteReference"/>
          <w:rFonts w:ascii="Garamond" w:hAnsi="Garamond"/>
        </w:rPr>
        <w:footnoteReference w:id="1"/>
      </w:r>
      <w:r w:rsidR="001A35DE">
        <w:rPr>
          <w:rFonts w:ascii="Garamond" w:hAnsi="Garamond"/>
        </w:rPr>
        <w:t xml:space="preserve">  </w:t>
      </w:r>
      <w:r w:rsidR="00056B45">
        <w:rPr>
          <w:rFonts w:ascii="Garamond" w:hAnsi="Garamond"/>
        </w:rPr>
        <w:t xml:space="preserve">He did </w:t>
      </w:r>
      <w:r w:rsidR="00FA5BB7">
        <w:rPr>
          <w:rFonts w:ascii="Garamond" w:hAnsi="Garamond"/>
        </w:rPr>
        <w:t xml:space="preserve">not </w:t>
      </w:r>
      <w:r w:rsidR="00056B45">
        <w:rPr>
          <w:rFonts w:ascii="Garamond" w:hAnsi="Garamond"/>
        </w:rPr>
        <w:t xml:space="preserve">suggest </w:t>
      </w:r>
      <w:r w:rsidR="00FA5BB7">
        <w:rPr>
          <w:rFonts w:ascii="Garamond" w:hAnsi="Garamond"/>
        </w:rPr>
        <w:t xml:space="preserve">that </w:t>
      </w:r>
      <w:r w:rsidR="0023315B">
        <w:rPr>
          <w:rFonts w:ascii="Garamond" w:hAnsi="Garamond"/>
        </w:rPr>
        <w:t>this final outcome</w:t>
      </w:r>
      <w:r w:rsidR="00B7209D">
        <w:rPr>
          <w:rFonts w:ascii="Garamond" w:hAnsi="Garamond"/>
        </w:rPr>
        <w:t xml:space="preserve"> produced</w:t>
      </w:r>
      <w:r w:rsidR="00056B45">
        <w:rPr>
          <w:rFonts w:ascii="Garamond" w:hAnsi="Garamond"/>
        </w:rPr>
        <w:t xml:space="preserve"> institutions that were “coequal</w:t>
      </w:r>
      <w:r w:rsidR="00FA5BB7">
        <w:rPr>
          <w:rFonts w:ascii="Garamond" w:hAnsi="Garamond"/>
        </w:rPr>
        <w:t>”</w:t>
      </w:r>
      <w:r w:rsidR="00056B45">
        <w:rPr>
          <w:rFonts w:ascii="Garamond" w:hAnsi="Garamond"/>
        </w:rPr>
        <w:t xml:space="preserve"> in power</w:t>
      </w:r>
      <w:r w:rsidR="0047050A">
        <w:rPr>
          <w:rFonts w:ascii="Garamond" w:hAnsi="Garamond"/>
        </w:rPr>
        <w:t>, even though he</w:t>
      </w:r>
      <w:r w:rsidR="00B7209D">
        <w:rPr>
          <w:rFonts w:ascii="Garamond" w:hAnsi="Garamond"/>
        </w:rPr>
        <w:t xml:space="preserve"> used that</w:t>
      </w:r>
      <w:r w:rsidR="006F4025">
        <w:rPr>
          <w:rFonts w:ascii="Garamond" w:hAnsi="Garamond"/>
        </w:rPr>
        <w:t xml:space="preserve"> </w:t>
      </w:r>
      <w:r w:rsidR="0023315B">
        <w:rPr>
          <w:rFonts w:ascii="Garamond" w:hAnsi="Garamond"/>
        </w:rPr>
        <w:t xml:space="preserve">very </w:t>
      </w:r>
      <w:r w:rsidR="006F4025">
        <w:rPr>
          <w:rFonts w:ascii="Garamond" w:hAnsi="Garamond"/>
        </w:rPr>
        <w:t>word in other settings</w:t>
      </w:r>
      <w:r w:rsidR="0023315B">
        <w:rPr>
          <w:rFonts w:ascii="Garamond" w:hAnsi="Garamond"/>
        </w:rPr>
        <w:t xml:space="preserve">, </w:t>
      </w:r>
      <w:r w:rsidR="00643D0B">
        <w:rPr>
          <w:rFonts w:ascii="Garamond" w:hAnsi="Garamond"/>
        </w:rPr>
        <w:t>to describe</w:t>
      </w:r>
      <w:r w:rsidR="0023315B">
        <w:rPr>
          <w:rFonts w:ascii="Garamond" w:hAnsi="Garamond"/>
        </w:rPr>
        <w:t xml:space="preserve"> how states were treated in certain ways in </w:t>
      </w:r>
      <w:r w:rsidR="006F4025">
        <w:rPr>
          <w:rFonts w:ascii="Garamond" w:hAnsi="Garamond"/>
        </w:rPr>
        <w:t>the Constitution</w:t>
      </w:r>
      <w:r w:rsidR="00B7209D">
        <w:rPr>
          <w:rFonts w:ascii="Garamond" w:hAnsi="Garamond"/>
        </w:rPr>
        <w:t xml:space="preserve"> (Federalist #39).  Hamilton, meanwhile, used </w:t>
      </w:r>
      <w:r w:rsidR="0023315B">
        <w:rPr>
          <w:rFonts w:ascii="Garamond" w:hAnsi="Garamond"/>
        </w:rPr>
        <w:t xml:space="preserve">the term </w:t>
      </w:r>
      <w:r w:rsidR="00B7209D">
        <w:rPr>
          <w:rFonts w:ascii="Garamond" w:hAnsi="Garamond"/>
        </w:rPr>
        <w:t xml:space="preserve">coequal to describe </w:t>
      </w:r>
      <w:r w:rsidR="0023315B">
        <w:rPr>
          <w:rFonts w:ascii="Garamond" w:hAnsi="Garamond"/>
        </w:rPr>
        <w:t xml:space="preserve">joint </w:t>
      </w:r>
      <w:r w:rsidR="006F4025">
        <w:rPr>
          <w:rFonts w:ascii="Garamond" w:hAnsi="Garamond"/>
        </w:rPr>
        <w:t>federal and state cont</w:t>
      </w:r>
      <w:r w:rsidR="0047050A">
        <w:rPr>
          <w:rFonts w:ascii="Garamond" w:hAnsi="Garamond"/>
        </w:rPr>
        <w:t xml:space="preserve">rol over taxation, but not </w:t>
      </w:r>
      <w:r w:rsidR="00643D0B">
        <w:rPr>
          <w:rFonts w:ascii="Garamond" w:hAnsi="Garamond"/>
        </w:rPr>
        <w:t xml:space="preserve">to describe </w:t>
      </w:r>
      <w:r w:rsidR="0047050A">
        <w:rPr>
          <w:rFonts w:ascii="Garamond" w:hAnsi="Garamond"/>
        </w:rPr>
        <w:t>the institutions of the federal government.</w:t>
      </w:r>
    </w:p>
    <w:p w:rsidR="007F1781" w:rsidRDefault="00135B78" w:rsidP="00537010">
      <w:pPr>
        <w:spacing w:line="480" w:lineRule="auto"/>
        <w:ind w:firstLine="720"/>
        <w:rPr>
          <w:rFonts w:ascii="Garamond" w:hAnsi="Garamond"/>
        </w:rPr>
      </w:pPr>
      <w:r>
        <w:rPr>
          <w:rFonts w:ascii="Garamond" w:hAnsi="Garamond"/>
        </w:rPr>
        <w:t>C</w:t>
      </w:r>
      <w:r w:rsidR="00203DCC">
        <w:rPr>
          <w:rFonts w:ascii="Garamond" w:hAnsi="Garamond"/>
        </w:rPr>
        <w:t xml:space="preserve">oequality </w:t>
      </w:r>
      <w:r>
        <w:rPr>
          <w:rFonts w:ascii="Garamond" w:hAnsi="Garamond"/>
        </w:rPr>
        <w:t>and coequal were</w:t>
      </w:r>
      <w:r w:rsidR="00203DCC">
        <w:rPr>
          <w:rFonts w:ascii="Garamond" w:hAnsi="Garamond"/>
        </w:rPr>
        <w:t xml:space="preserve"> word</w:t>
      </w:r>
      <w:r>
        <w:rPr>
          <w:rFonts w:ascii="Garamond" w:hAnsi="Garamond"/>
        </w:rPr>
        <w:t>s frequently used and</w:t>
      </w:r>
      <w:r w:rsidR="00203DCC">
        <w:rPr>
          <w:rFonts w:ascii="Garamond" w:hAnsi="Garamond"/>
        </w:rPr>
        <w:t xml:space="preserve"> </w:t>
      </w:r>
      <w:r w:rsidR="006F4025">
        <w:rPr>
          <w:rFonts w:ascii="Garamond" w:hAnsi="Garamond"/>
        </w:rPr>
        <w:t xml:space="preserve">well </w:t>
      </w:r>
      <w:r w:rsidR="00203DCC">
        <w:rPr>
          <w:rFonts w:ascii="Garamond" w:hAnsi="Garamond"/>
        </w:rPr>
        <w:t>know</w:t>
      </w:r>
      <w:r w:rsidR="006F4025">
        <w:rPr>
          <w:rFonts w:ascii="Garamond" w:hAnsi="Garamond"/>
        </w:rPr>
        <w:t>n to the founding generation.  And t</w:t>
      </w:r>
      <w:r w:rsidR="00FA5BB7">
        <w:rPr>
          <w:rFonts w:ascii="Garamond" w:hAnsi="Garamond"/>
        </w:rPr>
        <w:t>here was</w:t>
      </w:r>
      <w:r w:rsidR="006F4025">
        <w:rPr>
          <w:rFonts w:ascii="Garamond" w:hAnsi="Garamond"/>
        </w:rPr>
        <w:t>, in fact,</w:t>
      </w:r>
      <w:r w:rsidR="00FA5BB7">
        <w:rPr>
          <w:rFonts w:ascii="Garamond" w:hAnsi="Garamond"/>
        </w:rPr>
        <w:t xml:space="preserve"> a version of c</w:t>
      </w:r>
      <w:r w:rsidR="006F4025">
        <w:rPr>
          <w:rFonts w:ascii="Garamond" w:hAnsi="Garamond"/>
        </w:rPr>
        <w:t>oequal institutionalism</w:t>
      </w:r>
      <w:r w:rsidR="00FA5BB7">
        <w:rPr>
          <w:rFonts w:ascii="Garamond" w:hAnsi="Garamond"/>
        </w:rPr>
        <w:t xml:space="preserve"> </w:t>
      </w:r>
      <w:r w:rsidR="006F4025">
        <w:rPr>
          <w:rFonts w:ascii="Garamond" w:hAnsi="Garamond"/>
        </w:rPr>
        <w:t xml:space="preserve">that was </w:t>
      </w:r>
      <w:r w:rsidR="00FA5BB7">
        <w:rPr>
          <w:rFonts w:ascii="Garamond" w:hAnsi="Garamond"/>
        </w:rPr>
        <w:t>preferred by some</w:t>
      </w:r>
      <w:r w:rsidR="00D44E02">
        <w:rPr>
          <w:rFonts w:ascii="Garamond" w:hAnsi="Garamond"/>
        </w:rPr>
        <w:t xml:space="preserve"> of the leading figures of</w:t>
      </w:r>
      <w:r>
        <w:rPr>
          <w:rFonts w:ascii="Garamond" w:hAnsi="Garamond"/>
        </w:rPr>
        <w:t xml:space="preserve"> the American political scene</w:t>
      </w:r>
      <w:r w:rsidR="00203DCC">
        <w:rPr>
          <w:rFonts w:ascii="Garamond" w:hAnsi="Garamond"/>
        </w:rPr>
        <w:t>.</w:t>
      </w:r>
      <w:r w:rsidR="00FA5BB7">
        <w:rPr>
          <w:rFonts w:ascii="Garamond" w:hAnsi="Garamond"/>
        </w:rPr>
        <w:t xml:space="preserve"> </w:t>
      </w:r>
      <w:r w:rsidR="006F4025">
        <w:rPr>
          <w:rFonts w:ascii="Garamond" w:hAnsi="Garamond"/>
        </w:rPr>
        <w:t xml:space="preserve"> </w:t>
      </w:r>
      <w:r w:rsidR="00FA5BB7">
        <w:rPr>
          <w:rFonts w:ascii="Garamond" w:hAnsi="Garamond"/>
        </w:rPr>
        <w:t xml:space="preserve">Those who admired </w:t>
      </w:r>
      <w:r w:rsidR="006F4025">
        <w:rPr>
          <w:rFonts w:ascii="Garamond" w:hAnsi="Garamond"/>
        </w:rPr>
        <w:t>the historical stability of English</w:t>
      </w:r>
      <w:r w:rsidR="00FA5BB7">
        <w:rPr>
          <w:rFonts w:ascii="Garamond" w:hAnsi="Garamond"/>
        </w:rPr>
        <w:t xml:space="preserve"> institutions and thought them worthy of emulation because of </w:t>
      </w:r>
      <w:r w:rsidR="0023315B">
        <w:rPr>
          <w:rFonts w:ascii="Garamond" w:hAnsi="Garamond"/>
        </w:rPr>
        <w:t>this</w:t>
      </w:r>
      <w:r w:rsidR="00643D0B">
        <w:rPr>
          <w:rFonts w:ascii="Garamond" w:hAnsi="Garamond"/>
        </w:rPr>
        <w:t>,</w:t>
      </w:r>
      <w:r w:rsidR="00FA5BB7">
        <w:rPr>
          <w:rFonts w:ascii="Garamond" w:hAnsi="Garamond"/>
        </w:rPr>
        <w:t xml:space="preserve"> believed that w</w:t>
      </w:r>
      <w:r>
        <w:rPr>
          <w:rFonts w:ascii="Garamond" w:hAnsi="Garamond"/>
        </w:rPr>
        <w:t>hat made these institutions work</w:t>
      </w:r>
      <w:r w:rsidR="00FA5BB7">
        <w:rPr>
          <w:rFonts w:ascii="Garamond" w:hAnsi="Garamond"/>
        </w:rPr>
        <w:t xml:space="preserve"> was their </w:t>
      </w:r>
      <w:r w:rsidR="00D44E02">
        <w:rPr>
          <w:rFonts w:ascii="Garamond" w:hAnsi="Garamond"/>
        </w:rPr>
        <w:t>trilateral</w:t>
      </w:r>
      <w:r>
        <w:rPr>
          <w:rFonts w:ascii="Garamond" w:hAnsi="Garamond"/>
        </w:rPr>
        <w:t xml:space="preserve"> coequality.  The House of Commons, the House of Lords, and the </w:t>
      </w:r>
      <w:r w:rsidR="00D44E02">
        <w:rPr>
          <w:rFonts w:ascii="Garamond" w:hAnsi="Garamond"/>
        </w:rPr>
        <w:t xml:space="preserve">British </w:t>
      </w:r>
      <w:r>
        <w:rPr>
          <w:rFonts w:ascii="Garamond" w:hAnsi="Garamond"/>
        </w:rPr>
        <w:t>monarch each needed to app</w:t>
      </w:r>
      <w:r w:rsidR="00D44E02">
        <w:rPr>
          <w:rFonts w:ascii="Garamond" w:hAnsi="Garamond"/>
        </w:rPr>
        <w:t>rove of legislation for it to go</w:t>
      </w:r>
      <w:r>
        <w:rPr>
          <w:rFonts w:ascii="Garamond" w:hAnsi="Garamond"/>
        </w:rPr>
        <w:t xml:space="preserve"> in</w:t>
      </w:r>
      <w:r w:rsidR="00D44E02">
        <w:rPr>
          <w:rFonts w:ascii="Garamond" w:hAnsi="Garamond"/>
        </w:rPr>
        <w:t>to</w:t>
      </w:r>
      <w:r>
        <w:rPr>
          <w:rFonts w:ascii="Garamond" w:hAnsi="Garamond"/>
        </w:rPr>
        <w:t xml:space="preserve"> effect.</w:t>
      </w:r>
      <w:r>
        <w:rPr>
          <w:rStyle w:val="FootnoteReference"/>
          <w:rFonts w:ascii="Garamond" w:hAnsi="Garamond"/>
        </w:rPr>
        <w:footnoteReference w:id="2"/>
      </w:r>
      <w:r w:rsidR="00643D0B">
        <w:rPr>
          <w:rFonts w:ascii="Garamond" w:hAnsi="Garamond"/>
        </w:rPr>
        <w:t xml:space="preserve">  This was not </w:t>
      </w:r>
      <w:r w:rsidR="0023315B">
        <w:rPr>
          <w:rFonts w:ascii="Garamond" w:hAnsi="Garamond"/>
        </w:rPr>
        <w:t xml:space="preserve">a </w:t>
      </w:r>
      <w:r w:rsidR="00643D0B">
        <w:rPr>
          <w:rFonts w:ascii="Garamond" w:hAnsi="Garamond"/>
        </w:rPr>
        <w:t xml:space="preserve">claim of equal power.  However, </w:t>
      </w:r>
      <w:r>
        <w:rPr>
          <w:rFonts w:ascii="Garamond" w:hAnsi="Garamond"/>
        </w:rPr>
        <w:t xml:space="preserve">it was an understanding that </w:t>
      </w:r>
      <w:r w:rsidR="005D4C30">
        <w:rPr>
          <w:rFonts w:ascii="Garamond" w:hAnsi="Garamond"/>
        </w:rPr>
        <w:t xml:space="preserve">substantial changes in the government required </w:t>
      </w:r>
      <w:r w:rsidR="00D44E02">
        <w:rPr>
          <w:rFonts w:ascii="Garamond" w:hAnsi="Garamond"/>
        </w:rPr>
        <w:t>the simultaneous</w:t>
      </w:r>
      <w:r w:rsidR="005D4C30">
        <w:rPr>
          <w:rFonts w:ascii="Garamond" w:hAnsi="Garamond"/>
        </w:rPr>
        <w:t xml:space="preserve"> approval </w:t>
      </w:r>
      <w:r w:rsidR="00D44E02">
        <w:rPr>
          <w:rFonts w:ascii="Garamond" w:hAnsi="Garamond"/>
        </w:rPr>
        <w:t>of all</w:t>
      </w:r>
      <w:r w:rsidR="005D4C30">
        <w:rPr>
          <w:rFonts w:ascii="Garamond" w:hAnsi="Garamond"/>
        </w:rPr>
        <w:t xml:space="preserve"> three governing estates</w:t>
      </w:r>
      <w:r w:rsidR="00D44E02">
        <w:rPr>
          <w:rFonts w:ascii="Garamond" w:hAnsi="Garamond"/>
        </w:rPr>
        <w:t>; each</w:t>
      </w:r>
      <w:r w:rsidR="005D4C30">
        <w:rPr>
          <w:rFonts w:ascii="Garamond" w:hAnsi="Garamond"/>
        </w:rPr>
        <w:t xml:space="preserve"> had an equal ability to prevent change</w:t>
      </w:r>
      <w:r w:rsidR="0023315B">
        <w:rPr>
          <w:rFonts w:ascii="Garamond" w:hAnsi="Garamond"/>
        </w:rPr>
        <w:t xml:space="preserve"> in the laws of the realm</w:t>
      </w:r>
      <w:r w:rsidR="005D4C30">
        <w:rPr>
          <w:rFonts w:ascii="Garamond" w:hAnsi="Garamond"/>
        </w:rPr>
        <w:t xml:space="preserve">. </w:t>
      </w:r>
    </w:p>
    <w:p w:rsidR="00FA5BB7" w:rsidRPr="00D44E02" w:rsidRDefault="00135B78" w:rsidP="00537010">
      <w:pPr>
        <w:spacing w:line="480" w:lineRule="auto"/>
        <w:ind w:firstLine="720"/>
        <w:rPr>
          <w:rFonts w:ascii="Garamond" w:hAnsi="Garamond"/>
        </w:rPr>
      </w:pPr>
      <w:r>
        <w:rPr>
          <w:rFonts w:ascii="Garamond" w:hAnsi="Garamond"/>
        </w:rPr>
        <w:t xml:space="preserve">Among those who favored this version of </w:t>
      </w:r>
      <w:r w:rsidR="00D44E02">
        <w:rPr>
          <w:rFonts w:ascii="Garamond" w:hAnsi="Garamond"/>
        </w:rPr>
        <w:t xml:space="preserve">institutional </w:t>
      </w:r>
      <w:r>
        <w:rPr>
          <w:rFonts w:ascii="Garamond" w:hAnsi="Garamond"/>
        </w:rPr>
        <w:t>coequality were</w:t>
      </w:r>
      <w:r w:rsidR="00FA5BB7">
        <w:rPr>
          <w:rFonts w:ascii="Garamond" w:hAnsi="Garamond"/>
        </w:rPr>
        <w:t xml:space="preserve"> </w:t>
      </w:r>
      <w:r>
        <w:rPr>
          <w:rFonts w:ascii="Garamond" w:hAnsi="Garamond"/>
        </w:rPr>
        <w:t>Hamilton, John Adams</w:t>
      </w:r>
      <w:r w:rsidR="00FA5BB7">
        <w:rPr>
          <w:rFonts w:ascii="Garamond" w:hAnsi="Garamond"/>
        </w:rPr>
        <w:t>, George Mason, and Elbridge Gerry</w:t>
      </w:r>
      <w:r>
        <w:rPr>
          <w:rFonts w:ascii="Garamond" w:hAnsi="Garamond"/>
        </w:rPr>
        <w:t>.  The latter two became Antifederalists, in large par</w:t>
      </w:r>
      <w:r w:rsidR="00643D0B">
        <w:rPr>
          <w:rFonts w:ascii="Garamond" w:hAnsi="Garamond"/>
        </w:rPr>
        <w:t>t because they believed that</w:t>
      </w:r>
      <w:r w:rsidR="0023315B">
        <w:rPr>
          <w:rFonts w:ascii="Garamond" w:hAnsi="Garamond"/>
        </w:rPr>
        <w:t xml:space="preserve"> common</w:t>
      </w:r>
      <w:r>
        <w:rPr>
          <w:rFonts w:ascii="Garamond" w:hAnsi="Garamond"/>
        </w:rPr>
        <w:t xml:space="preserve"> </w:t>
      </w:r>
      <w:r w:rsidR="005D4C30">
        <w:rPr>
          <w:rFonts w:ascii="Garamond" w:hAnsi="Garamond"/>
        </w:rPr>
        <w:t>citizens were inadequately represented in the House of Representatives</w:t>
      </w:r>
      <w:r w:rsidR="0023315B">
        <w:rPr>
          <w:rFonts w:ascii="Garamond" w:hAnsi="Garamond"/>
        </w:rPr>
        <w:t>, which they thought of as the American equivalent of the House of Commons</w:t>
      </w:r>
      <w:r w:rsidR="005D4C30">
        <w:rPr>
          <w:rFonts w:ascii="Garamond" w:hAnsi="Garamond"/>
        </w:rPr>
        <w:t>.  Hamilton and Adams supported the Constitution, but both frequently lamented the relative weakness of the executive.  Adams, for instance, complained to Roger Sherman that “the house and the senate are equal, but the third branch, the essential, is n</w:t>
      </w:r>
      <w:r w:rsidR="0023315B">
        <w:rPr>
          <w:rFonts w:ascii="Garamond" w:hAnsi="Garamond"/>
        </w:rPr>
        <w:t xml:space="preserve">ot equal” (Carey 2000:  449).  Because the institution lacked an unqualified veto, </w:t>
      </w:r>
      <w:r w:rsidR="005D4C30">
        <w:rPr>
          <w:rFonts w:ascii="Garamond" w:hAnsi="Garamond"/>
        </w:rPr>
        <w:t>that is o</w:t>
      </w:r>
      <w:r w:rsidR="0023315B">
        <w:rPr>
          <w:rFonts w:ascii="Garamond" w:hAnsi="Garamond"/>
        </w:rPr>
        <w:t>ne that could not be overridden</w:t>
      </w:r>
      <w:r w:rsidR="005D4C30">
        <w:rPr>
          <w:rFonts w:ascii="Garamond" w:hAnsi="Garamond"/>
        </w:rPr>
        <w:t>, “the legislative power will increase, [and] the executive power will diminish” (450).  This view may not have been prescient, but that is not</w:t>
      </w:r>
      <w:r w:rsidR="00B7209D">
        <w:rPr>
          <w:rFonts w:ascii="Garamond" w:hAnsi="Garamond"/>
        </w:rPr>
        <w:t xml:space="preserve"> the point.  </w:t>
      </w:r>
      <w:r w:rsidR="0023315B">
        <w:rPr>
          <w:rFonts w:ascii="Garamond" w:hAnsi="Garamond"/>
        </w:rPr>
        <w:t>Rather, it</w:t>
      </w:r>
      <w:r w:rsidR="00D44E02">
        <w:rPr>
          <w:rFonts w:ascii="Garamond" w:hAnsi="Garamond"/>
        </w:rPr>
        <w:t xml:space="preserve"> is that the</w:t>
      </w:r>
      <w:r w:rsidR="005D4C30">
        <w:rPr>
          <w:rFonts w:ascii="Garamond" w:hAnsi="Garamond"/>
        </w:rPr>
        <w:t>se “founding coequalists” did not have</w:t>
      </w:r>
      <w:r w:rsidR="0023315B">
        <w:rPr>
          <w:rFonts w:ascii="Garamond" w:hAnsi="Garamond"/>
        </w:rPr>
        <w:t xml:space="preserve"> sufficient strength</w:t>
      </w:r>
      <w:r w:rsidR="00D44E02">
        <w:rPr>
          <w:rFonts w:ascii="Garamond" w:hAnsi="Garamond"/>
        </w:rPr>
        <w:t xml:space="preserve"> to get their way </w:t>
      </w:r>
      <w:r w:rsidR="0023315B">
        <w:rPr>
          <w:rFonts w:ascii="Garamond" w:hAnsi="Garamond"/>
        </w:rPr>
        <w:t xml:space="preserve">in Philadelphia </w:t>
      </w:r>
      <w:r w:rsidR="00D44E02">
        <w:rPr>
          <w:rFonts w:ascii="Garamond" w:hAnsi="Garamond"/>
        </w:rPr>
        <w:t>and ended up disappointed in the new government to varying degrees</w:t>
      </w:r>
      <w:r w:rsidR="0023315B">
        <w:rPr>
          <w:rFonts w:ascii="Garamond" w:hAnsi="Garamond"/>
        </w:rPr>
        <w:t>, precisely</w:t>
      </w:r>
      <w:r w:rsidR="00D44E02">
        <w:rPr>
          <w:rFonts w:ascii="Garamond" w:hAnsi="Garamond"/>
        </w:rPr>
        <w:t xml:space="preserve"> because the institutions of government were </w:t>
      </w:r>
      <w:r w:rsidR="00D44E02">
        <w:rPr>
          <w:rFonts w:ascii="Garamond" w:hAnsi="Garamond"/>
          <w:i/>
        </w:rPr>
        <w:t>not</w:t>
      </w:r>
      <w:r w:rsidR="00D44E02">
        <w:rPr>
          <w:rFonts w:ascii="Garamond" w:hAnsi="Garamond"/>
        </w:rPr>
        <w:t xml:space="preserve"> coequal.  </w:t>
      </w:r>
    </w:p>
    <w:p w:rsidR="00493745" w:rsidRDefault="0062742A" w:rsidP="00537010">
      <w:pPr>
        <w:spacing w:line="480" w:lineRule="auto"/>
        <w:ind w:firstLine="720"/>
        <w:rPr>
          <w:rFonts w:ascii="Garamond" w:hAnsi="Garamond"/>
        </w:rPr>
      </w:pPr>
      <w:r>
        <w:rPr>
          <w:rFonts w:ascii="Garamond" w:hAnsi="Garamond"/>
        </w:rPr>
        <w:t>So how did the</w:t>
      </w:r>
      <w:r w:rsidR="00493745">
        <w:rPr>
          <w:rFonts w:ascii="Garamond" w:hAnsi="Garamond"/>
        </w:rPr>
        <w:t xml:space="preserve"> concept </w:t>
      </w:r>
      <w:r>
        <w:rPr>
          <w:rFonts w:ascii="Garamond" w:hAnsi="Garamond"/>
        </w:rPr>
        <w:t xml:space="preserve">of coequal institutions </w:t>
      </w:r>
      <w:r w:rsidR="00493745">
        <w:rPr>
          <w:rFonts w:ascii="Garamond" w:hAnsi="Garamond"/>
        </w:rPr>
        <w:t>come into vogue?  Who was responsible for introducing three coequal branches a</w:t>
      </w:r>
      <w:r>
        <w:rPr>
          <w:rFonts w:ascii="Garamond" w:hAnsi="Garamond"/>
        </w:rPr>
        <w:t>s a shorthand for describing</w:t>
      </w:r>
      <w:r w:rsidR="00493745">
        <w:rPr>
          <w:rFonts w:ascii="Garamond" w:hAnsi="Garamond"/>
        </w:rPr>
        <w:t xml:space="preserve"> American governing institutions?  Part of the answer lies in</w:t>
      </w:r>
      <w:r w:rsidR="00FA5BB7">
        <w:rPr>
          <w:rFonts w:ascii="Garamond" w:hAnsi="Garamond"/>
        </w:rPr>
        <w:t xml:space="preserve"> prior research on how preside</w:t>
      </w:r>
      <w:r w:rsidR="00493745">
        <w:rPr>
          <w:rFonts w:ascii="Garamond" w:hAnsi="Garamond"/>
        </w:rPr>
        <w:t>nts have addressed coequality.  M</w:t>
      </w:r>
      <w:r w:rsidR="00FA5BB7">
        <w:rPr>
          <w:rFonts w:ascii="Garamond" w:hAnsi="Garamond"/>
        </w:rPr>
        <w:t xml:space="preserve">y coauthor Paul </w:t>
      </w:r>
      <w:r w:rsidR="000B50CE">
        <w:rPr>
          <w:rFonts w:ascii="Garamond" w:hAnsi="Garamond"/>
        </w:rPr>
        <w:t xml:space="preserve">T. Beach and I demonstrated </w:t>
      </w:r>
      <w:r w:rsidR="00B7209D">
        <w:rPr>
          <w:rFonts w:ascii="Garamond" w:hAnsi="Garamond"/>
        </w:rPr>
        <w:t>that</w:t>
      </w:r>
      <w:r w:rsidR="000B50CE">
        <w:rPr>
          <w:rFonts w:ascii="Garamond" w:hAnsi="Garamond"/>
        </w:rPr>
        <w:t xml:space="preserve"> presidents up to Richard</w:t>
      </w:r>
      <w:r w:rsidR="00FA5BB7">
        <w:rPr>
          <w:rFonts w:ascii="Garamond" w:hAnsi="Garamond"/>
        </w:rPr>
        <w:t xml:space="preserve"> </w:t>
      </w:r>
      <w:r w:rsidR="000B50CE">
        <w:rPr>
          <w:rFonts w:ascii="Garamond" w:hAnsi="Garamond"/>
        </w:rPr>
        <w:t xml:space="preserve">Nixon had not claimed to be at the head of </w:t>
      </w:r>
      <w:r>
        <w:rPr>
          <w:rFonts w:ascii="Garamond" w:hAnsi="Garamond"/>
        </w:rPr>
        <w:t xml:space="preserve">a </w:t>
      </w:r>
      <w:r w:rsidR="00B7209D">
        <w:rPr>
          <w:rFonts w:ascii="Garamond" w:hAnsi="Garamond"/>
        </w:rPr>
        <w:t>branch of government</w:t>
      </w:r>
      <w:r w:rsidR="00493745">
        <w:rPr>
          <w:rFonts w:ascii="Garamond" w:hAnsi="Garamond"/>
        </w:rPr>
        <w:t xml:space="preserve"> coequal </w:t>
      </w:r>
      <w:r>
        <w:rPr>
          <w:rFonts w:ascii="Garamond" w:hAnsi="Garamond"/>
        </w:rPr>
        <w:t xml:space="preserve">in power </w:t>
      </w:r>
      <w:r w:rsidR="00493745">
        <w:rPr>
          <w:rFonts w:ascii="Garamond" w:hAnsi="Garamond"/>
        </w:rPr>
        <w:t>to the legislature or judiciary.  Nixon and his successor, Gerald Ford, popularized this view as a means of staving off Congressional investigation and then electoral defeat during and immediately after the Watergate scandal.  F</w:t>
      </w:r>
      <w:r w:rsidR="000B50CE">
        <w:rPr>
          <w:rFonts w:ascii="Garamond" w:hAnsi="Garamond"/>
        </w:rPr>
        <w:t>rom Richard Nixon forward</w:t>
      </w:r>
      <w:r w:rsidR="00D44E02">
        <w:rPr>
          <w:rFonts w:ascii="Garamond" w:hAnsi="Garamond"/>
        </w:rPr>
        <w:t>,</w:t>
      </w:r>
      <w:r w:rsidR="00493745">
        <w:rPr>
          <w:rFonts w:ascii="Garamond" w:hAnsi="Garamond"/>
        </w:rPr>
        <w:t xml:space="preserve"> coequality of power has become</w:t>
      </w:r>
      <w:r w:rsidR="000B50CE">
        <w:rPr>
          <w:rFonts w:ascii="Garamond" w:hAnsi="Garamond"/>
        </w:rPr>
        <w:t xml:space="preserve"> a</w:t>
      </w:r>
      <w:r w:rsidR="00493745">
        <w:rPr>
          <w:rFonts w:ascii="Garamond" w:hAnsi="Garamond"/>
        </w:rPr>
        <w:t xml:space="preserve"> fairly</w:t>
      </w:r>
      <w:r w:rsidR="000B50CE">
        <w:rPr>
          <w:rFonts w:ascii="Garamond" w:hAnsi="Garamond"/>
        </w:rPr>
        <w:t xml:space="preserve"> common claim</w:t>
      </w:r>
      <w:r w:rsidR="00B7209D">
        <w:rPr>
          <w:rFonts w:ascii="Garamond" w:hAnsi="Garamond"/>
        </w:rPr>
        <w:t xml:space="preserve"> </w:t>
      </w:r>
      <w:r w:rsidR="00493745">
        <w:rPr>
          <w:rFonts w:ascii="Garamond" w:hAnsi="Garamond"/>
        </w:rPr>
        <w:t xml:space="preserve">of presidents </w:t>
      </w:r>
      <w:r w:rsidR="00B7209D">
        <w:rPr>
          <w:rFonts w:ascii="Garamond" w:hAnsi="Garamond"/>
        </w:rPr>
        <w:t>(Siemers and Beach)</w:t>
      </w:r>
      <w:r w:rsidR="000B50CE">
        <w:rPr>
          <w:rFonts w:ascii="Garamond" w:hAnsi="Garamond"/>
        </w:rPr>
        <w:t>.</w:t>
      </w:r>
      <w:r w:rsidR="000B50CE">
        <w:rPr>
          <w:rStyle w:val="FootnoteReference"/>
          <w:rFonts w:ascii="Garamond" w:hAnsi="Garamond"/>
        </w:rPr>
        <w:footnoteReference w:id="3"/>
      </w:r>
      <w:r w:rsidR="000B50CE">
        <w:rPr>
          <w:rFonts w:ascii="Garamond" w:hAnsi="Garamond"/>
        </w:rPr>
        <w:t xml:space="preserve"> </w:t>
      </w:r>
    </w:p>
    <w:p w:rsidR="00D44E02" w:rsidRDefault="00FA5BB7" w:rsidP="00493745">
      <w:pPr>
        <w:spacing w:line="480" w:lineRule="auto"/>
        <w:ind w:firstLine="720"/>
        <w:rPr>
          <w:rFonts w:ascii="Garamond" w:hAnsi="Garamond"/>
        </w:rPr>
      </w:pPr>
      <w:r>
        <w:rPr>
          <w:rFonts w:ascii="Garamond" w:hAnsi="Garamond"/>
        </w:rPr>
        <w:t xml:space="preserve">The first president who </w:t>
      </w:r>
      <w:r w:rsidR="00493745">
        <w:rPr>
          <w:rFonts w:ascii="Garamond" w:hAnsi="Garamond"/>
        </w:rPr>
        <w:t>used the word</w:t>
      </w:r>
      <w:r w:rsidR="008A7294">
        <w:rPr>
          <w:rFonts w:ascii="Garamond" w:hAnsi="Garamond"/>
        </w:rPr>
        <w:t xml:space="preserve"> coequality</w:t>
      </w:r>
      <w:r w:rsidR="00493745">
        <w:rPr>
          <w:rFonts w:ascii="Garamond" w:hAnsi="Garamond"/>
        </w:rPr>
        <w:t xml:space="preserve"> in relation to the presidency predated Richard Nixon by well over a century.  In using the term, Andrew Jackson </w:t>
      </w:r>
      <w:r>
        <w:rPr>
          <w:rFonts w:ascii="Garamond" w:hAnsi="Garamond"/>
        </w:rPr>
        <w:t xml:space="preserve">was </w:t>
      </w:r>
      <w:r w:rsidR="008A7294">
        <w:rPr>
          <w:rFonts w:ascii="Garamond" w:hAnsi="Garamond"/>
        </w:rPr>
        <w:t xml:space="preserve">not </w:t>
      </w:r>
      <w:r w:rsidR="00EF4581">
        <w:rPr>
          <w:rFonts w:ascii="Garamond" w:hAnsi="Garamond"/>
        </w:rPr>
        <w:t>suggesting that</w:t>
      </w:r>
      <w:r w:rsidR="008A7294">
        <w:rPr>
          <w:rFonts w:ascii="Garamond" w:hAnsi="Garamond"/>
        </w:rPr>
        <w:t xml:space="preserve"> </w:t>
      </w:r>
      <w:r w:rsidR="00D44E02">
        <w:rPr>
          <w:rFonts w:ascii="Garamond" w:hAnsi="Garamond"/>
        </w:rPr>
        <w:t>the quantity</w:t>
      </w:r>
      <w:r w:rsidR="00EF4581">
        <w:rPr>
          <w:rFonts w:ascii="Garamond" w:hAnsi="Garamond"/>
        </w:rPr>
        <w:t xml:space="preserve"> of power he possessed as president</w:t>
      </w:r>
      <w:r w:rsidR="007F1781">
        <w:rPr>
          <w:rFonts w:ascii="Garamond" w:hAnsi="Garamond"/>
        </w:rPr>
        <w:t xml:space="preserve"> </w:t>
      </w:r>
      <w:r w:rsidR="00B92A61">
        <w:rPr>
          <w:rFonts w:ascii="Garamond" w:hAnsi="Garamond"/>
        </w:rPr>
        <w:t>rivaled</w:t>
      </w:r>
      <w:r w:rsidR="00493745">
        <w:rPr>
          <w:rFonts w:ascii="Garamond" w:hAnsi="Garamond"/>
        </w:rPr>
        <w:t xml:space="preserve"> that of the</w:t>
      </w:r>
      <w:r w:rsidR="007F1781">
        <w:rPr>
          <w:rFonts w:ascii="Garamond" w:hAnsi="Garamond"/>
        </w:rPr>
        <w:t xml:space="preserve"> Congress</w:t>
      </w:r>
      <w:r w:rsidR="007E33D7">
        <w:rPr>
          <w:rFonts w:ascii="Garamond" w:hAnsi="Garamond"/>
        </w:rPr>
        <w:t xml:space="preserve">. </w:t>
      </w:r>
      <w:r w:rsidR="007F1781">
        <w:rPr>
          <w:rFonts w:ascii="Garamond" w:hAnsi="Garamond"/>
        </w:rPr>
        <w:t xml:space="preserve"> </w:t>
      </w:r>
      <w:r w:rsidR="007E33D7">
        <w:rPr>
          <w:rFonts w:ascii="Garamond" w:hAnsi="Garamond"/>
        </w:rPr>
        <w:t>Rather, he was insisting</w:t>
      </w:r>
      <w:r w:rsidR="00FD1F26">
        <w:rPr>
          <w:rFonts w:ascii="Garamond" w:hAnsi="Garamond"/>
        </w:rPr>
        <w:t xml:space="preserve"> </w:t>
      </w:r>
      <w:r w:rsidR="00D44E02">
        <w:rPr>
          <w:rFonts w:ascii="Garamond" w:hAnsi="Garamond"/>
        </w:rPr>
        <w:t xml:space="preserve">that </w:t>
      </w:r>
      <w:r w:rsidR="00FD1F26">
        <w:rPr>
          <w:rFonts w:ascii="Garamond" w:hAnsi="Garamond"/>
        </w:rPr>
        <w:t>the presidency</w:t>
      </w:r>
      <w:r w:rsidR="007E33D7">
        <w:rPr>
          <w:rFonts w:ascii="Garamond" w:hAnsi="Garamond"/>
        </w:rPr>
        <w:t xml:space="preserve"> and Congress’s</w:t>
      </w:r>
      <w:r w:rsidR="00D44E02">
        <w:rPr>
          <w:rFonts w:ascii="Garamond" w:hAnsi="Garamond"/>
        </w:rPr>
        <w:t xml:space="preserve"> </w:t>
      </w:r>
      <w:r w:rsidR="007E33D7">
        <w:rPr>
          <w:rFonts w:ascii="Garamond" w:hAnsi="Garamond"/>
        </w:rPr>
        <w:t>constitutional standing</w:t>
      </w:r>
      <w:r w:rsidR="00FD1F26">
        <w:rPr>
          <w:rFonts w:ascii="Garamond" w:hAnsi="Garamond"/>
        </w:rPr>
        <w:t xml:space="preserve"> </w:t>
      </w:r>
      <w:r w:rsidR="00493745">
        <w:rPr>
          <w:rFonts w:ascii="Garamond" w:hAnsi="Garamond"/>
        </w:rPr>
        <w:t xml:space="preserve">or legitimacy </w:t>
      </w:r>
      <w:r w:rsidR="00D44E02">
        <w:rPr>
          <w:rFonts w:ascii="Garamond" w:hAnsi="Garamond"/>
        </w:rPr>
        <w:t>was equal</w:t>
      </w:r>
      <w:r w:rsidR="00FD1F26">
        <w:rPr>
          <w:rFonts w:ascii="Garamond" w:hAnsi="Garamond"/>
        </w:rPr>
        <w:t xml:space="preserve">. </w:t>
      </w:r>
      <w:r w:rsidR="00EF4581">
        <w:rPr>
          <w:rFonts w:ascii="Garamond" w:hAnsi="Garamond"/>
        </w:rPr>
        <w:t xml:space="preserve"> </w:t>
      </w:r>
      <w:r w:rsidR="00493745">
        <w:rPr>
          <w:rFonts w:ascii="Garamond" w:hAnsi="Garamond"/>
        </w:rPr>
        <w:t>The Senate</w:t>
      </w:r>
      <w:r w:rsidR="00D44E02">
        <w:rPr>
          <w:rFonts w:ascii="Garamond" w:hAnsi="Garamond"/>
        </w:rPr>
        <w:t xml:space="preserve"> censured Jackson </w:t>
      </w:r>
      <w:r w:rsidR="00493745">
        <w:rPr>
          <w:rFonts w:ascii="Garamond" w:hAnsi="Garamond"/>
        </w:rPr>
        <w:t xml:space="preserve">in 1834 </w:t>
      </w:r>
      <w:r w:rsidR="00D44E02">
        <w:rPr>
          <w:rFonts w:ascii="Garamond" w:hAnsi="Garamond"/>
        </w:rPr>
        <w:t>for ordering his Tre</w:t>
      </w:r>
      <w:r w:rsidR="007E33D7">
        <w:rPr>
          <w:rFonts w:ascii="Garamond" w:hAnsi="Garamond"/>
        </w:rPr>
        <w:t>asury Secretary to distribute f</w:t>
      </w:r>
      <w:r w:rsidR="00D44E02">
        <w:rPr>
          <w:rFonts w:ascii="Garamond" w:hAnsi="Garamond"/>
        </w:rPr>
        <w:t xml:space="preserve">unds in the </w:t>
      </w:r>
      <w:r w:rsidR="007E33D7">
        <w:rPr>
          <w:rFonts w:ascii="Garamond" w:hAnsi="Garamond"/>
        </w:rPr>
        <w:t>Bank of the United States to</w:t>
      </w:r>
      <w:r w:rsidR="00D44E02">
        <w:rPr>
          <w:rFonts w:ascii="Garamond" w:hAnsi="Garamond"/>
        </w:rPr>
        <w:t xml:space="preserve"> state banks.  </w:t>
      </w:r>
      <w:r w:rsidR="007F1781">
        <w:rPr>
          <w:rFonts w:ascii="Garamond" w:hAnsi="Garamond"/>
        </w:rPr>
        <w:t xml:space="preserve">Jackson </w:t>
      </w:r>
      <w:r w:rsidR="00D44E02">
        <w:rPr>
          <w:rFonts w:ascii="Garamond" w:hAnsi="Garamond"/>
        </w:rPr>
        <w:t>protested that</w:t>
      </w:r>
      <w:r w:rsidR="00FD1F26">
        <w:rPr>
          <w:rFonts w:ascii="Garamond" w:hAnsi="Garamond"/>
        </w:rPr>
        <w:t xml:space="preserve"> </w:t>
      </w:r>
      <w:r w:rsidR="00EF4581">
        <w:rPr>
          <w:rFonts w:ascii="Garamond" w:hAnsi="Garamond"/>
        </w:rPr>
        <w:t xml:space="preserve">in </w:t>
      </w:r>
      <w:r w:rsidR="00FD1F26">
        <w:rPr>
          <w:rFonts w:ascii="Garamond" w:hAnsi="Garamond"/>
        </w:rPr>
        <w:t xml:space="preserve">the absence of specific constitutional authorization, the Senate could not </w:t>
      </w:r>
      <w:r w:rsidR="00EF4581">
        <w:rPr>
          <w:rFonts w:ascii="Garamond" w:hAnsi="Garamond"/>
        </w:rPr>
        <w:t xml:space="preserve">invent a </w:t>
      </w:r>
      <w:r w:rsidR="00FD1F26">
        <w:rPr>
          <w:rFonts w:ascii="Garamond" w:hAnsi="Garamond"/>
        </w:rPr>
        <w:t>punish</w:t>
      </w:r>
      <w:r w:rsidR="00EF4581">
        <w:rPr>
          <w:rFonts w:ascii="Garamond" w:hAnsi="Garamond"/>
        </w:rPr>
        <w:t xml:space="preserve">ment, </w:t>
      </w:r>
      <w:r w:rsidR="007E33D7">
        <w:rPr>
          <w:rFonts w:ascii="Garamond" w:hAnsi="Garamond"/>
        </w:rPr>
        <w:t xml:space="preserve">a </w:t>
      </w:r>
      <w:r w:rsidR="00EF4581">
        <w:rPr>
          <w:rFonts w:ascii="Garamond" w:hAnsi="Garamond"/>
        </w:rPr>
        <w:t xml:space="preserve">reprimand, or </w:t>
      </w:r>
      <w:r w:rsidR="007E33D7">
        <w:rPr>
          <w:rFonts w:ascii="Garamond" w:hAnsi="Garamond"/>
        </w:rPr>
        <w:t xml:space="preserve">a </w:t>
      </w:r>
      <w:r w:rsidR="00EF4581">
        <w:rPr>
          <w:rFonts w:ascii="Garamond" w:hAnsi="Garamond"/>
        </w:rPr>
        <w:t>device to</w:t>
      </w:r>
      <w:r w:rsidR="00FD1F26">
        <w:rPr>
          <w:rFonts w:ascii="Garamond" w:hAnsi="Garamond"/>
        </w:rPr>
        <w:t xml:space="preserve"> stop </w:t>
      </w:r>
      <w:r w:rsidR="00EF4581">
        <w:rPr>
          <w:rFonts w:ascii="Garamond" w:hAnsi="Garamond"/>
        </w:rPr>
        <w:t xml:space="preserve">the president </w:t>
      </w:r>
      <w:r w:rsidR="00493745">
        <w:rPr>
          <w:rFonts w:ascii="Garamond" w:hAnsi="Garamond"/>
        </w:rPr>
        <w:t xml:space="preserve">from acting </w:t>
      </w:r>
      <w:r w:rsidR="00FD1F26">
        <w:rPr>
          <w:rFonts w:ascii="Garamond" w:hAnsi="Garamond"/>
        </w:rPr>
        <w:t>in</w:t>
      </w:r>
      <w:r w:rsidR="007E33D7">
        <w:rPr>
          <w:rFonts w:ascii="Garamond" w:hAnsi="Garamond"/>
        </w:rPr>
        <w:t xml:space="preserve"> what he argued was</w:t>
      </w:r>
      <w:r w:rsidR="00FD1F26">
        <w:rPr>
          <w:rFonts w:ascii="Garamond" w:hAnsi="Garamond"/>
        </w:rPr>
        <w:t xml:space="preserve"> his own constitut</w:t>
      </w:r>
      <w:r w:rsidR="007F1781">
        <w:rPr>
          <w:rFonts w:ascii="Garamond" w:hAnsi="Garamond"/>
        </w:rPr>
        <w:t>ional sphere</w:t>
      </w:r>
      <w:r w:rsidR="00493745">
        <w:rPr>
          <w:rFonts w:ascii="Garamond" w:hAnsi="Garamond"/>
        </w:rPr>
        <w:t xml:space="preserve"> (</w:t>
      </w:r>
      <w:r w:rsidR="007E33D7">
        <w:rPr>
          <w:rFonts w:ascii="Garamond" w:hAnsi="Garamond"/>
        </w:rPr>
        <w:t>a controversial claim, to be sure)</w:t>
      </w:r>
      <w:r w:rsidR="00FD1F26">
        <w:rPr>
          <w:rFonts w:ascii="Garamond" w:hAnsi="Garamond"/>
        </w:rPr>
        <w:t xml:space="preserve">. </w:t>
      </w:r>
      <w:r w:rsidR="007E33D7">
        <w:rPr>
          <w:rFonts w:ascii="Garamond" w:hAnsi="Garamond"/>
        </w:rPr>
        <w:t xml:space="preserve"> The Congress did have a constitutionally sanctioned </w:t>
      </w:r>
      <w:r w:rsidR="0062742A">
        <w:rPr>
          <w:rFonts w:ascii="Garamond" w:hAnsi="Garamond"/>
        </w:rPr>
        <w:t>mechanism</w:t>
      </w:r>
      <w:r w:rsidR="007E33D7">
        <w:rPr>
          <w:rFonts w:ascii="Garamond" w:hAnsi="Garamond"/>
        </w:rPr>
        <w:t xml:space="preserve"> for stopping the President:  </w:t>
      </w:r>
      <w:r w:rsidR="0062742A">
        <w:rPr>
          <w:rFonts w:ascii="Garamond" w:hAnsi="Garamond"/>
        </w:rPr>
        <w:t xml:space="preserve">the </w:t>
      </w:r>
      <w:r w:rsidR="007E33D7">
        <w:rPr>
          <w:rFonts w:ascii="Garamond" w:hAnsi="Garamond"/>
        </w:rPr>
        <w:t>impeachment</w:t>
      </w:r>
      <w:r w:rsidR="0062742A">
        <w:rPr>
          <w:rFonts w:ascii="Garamond" w:hAnsi="Garamond"/>
        </w:rPr>
        <w:t xml:space="preserve"> process</w:t>
      </w:r>
      <w:r w:rsidR="007E33D7">
        <w:rPr>
          <w:rFonts w:ascii="Garamond" w:hAnsi="Garamond"/>
        </w:rPr>
        <w:t xml:space="preserve">.  This </w:t>
      </w:r>
      <w:r w:rsidR="00493745">
        <w:rPr>
          <w:rFonts w:ascii="Garamond" w:hAnsi="Garamond"/>
        </w:rPr>
        <w:t xml:space="preserve">power, expressly given, </w:t>
      </w:r>
      <w:r w:rsidR="007E33D7">
        <w:rPr>
          <w:rFonts w:ascii="Garamond" w:hAnsi="Garamond"/>
        </w:rPr>
        <w:t xml:space="preserve">implied that the Congress could not </w:t>
      </w:r>
      <w:r w:rsidR="00493745">
        <w:rPr>
          <w:rFonts w:ascii="Garamond" w:hAnsi="Garamond"/>
        </w:rPr>
        <w:t xml:space="preserve">use other means to </w:t>
      </w:r>
      <w:r w:rsidR="007E33D7">
        <w:rPr>
          <w:rFonts w:ascii="Garamond" w:hAnsi="Garamond"/>
        </w:rPr>
        <w:t xml:space="preserve">invade the executive sphere. </w:t>
      </w:r>
      <w:r w:rsidR="000010B6">
        <w:rPr>
          <w:rFonts w:ascii="Garamond" w:hAnsi="Garamond"/>
        </w:rPr>
        <w:t xml:space="preserve"> </w:t>
      </w:r>
      <w:r w:rsidR="00493745">
        <w:rPr>
          <w:rFonts w:ascii="Garamond" w:hAnsi="Garamond"/>
        </w:rPr>
        <w:t>Jackson reasoned that a</w:t>
      </w:r>
      <w:r w:rsidR="00EF4581">
        <w:rPr>
          <w:rFonts w:ascii="Garamond" w:hAnsi="Garamond"/>
        </w:rPr>
        <w:t>s th</w:t>
      </w:r>
      <w:r w:rsidR="000010B6">
        <w:rPr>
          <w:rFonts w:ascii="Garamond" w:hAnsi="Garamond"/>
        </w:rPr>
        <w:t xml:space="preserve">e head of a branch with </w:t>
      </w:r>
      <w:r w:rsidR="00EF4581">
        <w:rPr>
          <w:rFonts w:ascii="Garamond" w:hAnsi="Garamond"/>
        </w:rPr>
        <w:t>legiti</w:t>
      </w:r>
      <w:r w:rsidR="000010B6">
        <w:rPr>
          <w:rFonts w:ascii="Garamond" w:hAnsi="Garamond"/>
        </w:rPr>
        <w:t>mate constitutional authority</w:t>
      </w:r>
      <w:r w:rsidR="00EF4581">
        <w:rPr>
          <w:rFonts w:ascii="Garamond" w:hAnsi="Garamond"/>
        </w:rPr>
        <w:t xml:space="preserve"> act</w:t>
      </w:r>
      <w:r w:rsidR="000010B6">
        <w:rPr>
          <w:rFonts w:ascii="Garamond" w:hAnsi="Garamond"/>
        </w:rPr>
        <w:t>ing</w:t>
      </w:r>
      <w:r w:rsidR="00493745">
        <w:rPr>
          <w:rFonts w:ascii="Garamond" w:hAnsi="Garamond"/>
        </w:rPr>
        <w:t xml:space="preserve"> in his</w:t>
      </w:r>
      <w:r w:rsidR="00EF4581">
        <w:rPr>
          <w:rFonts w:ascii="Garamond" w:hAnsi="Garamond"/>
        </w:rPr>
        <w:t xml:space="preserve"> own sphere</w:t>
      </w:r>
      <w:r w:rsidR="00493745">
        <w:rPr>
          <w:rFonts w:ascii="Garamond" w:hAnsi="Garamond"/>
        </w:rPr>
        <w:t xml:space="preserve"> (again, a controversial claim)</w:t>
      </w:r>
      <w:r w:rsidR="00EF4581">
        <w:rPr>
          <w:rFonts w:ascii="Garamond" w:hAnsi="Garamond"/>
        </w:rPr>
        <w:t xml:space="preserve">, his own actions should stand.  </w:t>
      </w:r>
      <w:r w:rsidR="00493745">
        <w:rPr>
          <w:rFonts w:ascii="Garamond" w:hAnsi="Garamond"/>
        </w:rPr>
        <w:t>T</w:t>
      </w:r>
      <w:r w:rsidR="00EF4581">
        <w:rPr>
          <w:rFonts w:ascii="Garamond" w:hAnsi="Garamond"/>
        </w:rPr>
        <w:t xml:space="preserve">he term coequality was </w:t>
      </w:r>
      <w:r w:rsidR="00493745">
        <w:rPr>
          <w:rFonts w:ascii="Garamond" w:hAnsi="Garamond"/>
        </w:rPr>
        <w:t xml:space="preserve">actually </w:t>
      </w:r>
      <w:r w:rsidR="0062742A">
        <w:rPr>
          <w:rFonts w:ascii="Garamond" w:hAnsi="Garamond"/>
        </w:rPr>
        <w:t>first used by a president</w:t>
      </w:r>
      <w:r w:rsidR="00EF4581">
        <w:rPr>
          <w:rFonts w:ascii="Garamond" w:hAnsi="Garamond"/>
        </w:rPr>
        <w:t xml:space="preserve"> to </w:t>
      </w:r>
      <w:r w:rsidR="000010B6">
        <w:rPr>
          <w:rFonts w:ascii="Garamond" w:hAnsi="Garamond"/>
        </w:rPr>
        <w:t xml:space="preserve">police the separation of functions understanding of the Constitution.  </w:t>
      </w:r>
      <w:r w:rsidR="00493745">
        <w:rPr>
          <w:rFonts w:ascii="Garamond" w:hAnsi="Garamond"/>
        </w:rPr>
        <w:t xml:space="preserve">It took 135 years </w:t>
      </w:r>
      <w:r w:rsidR="0062742A">
        <w:rPr>
          <w:rFonts w:ascii="Garamond" w:hAnsi="Garamond"/>
        </w:rPr>
        <w:t xml:space="preserve">more </w:t>
      </w:r>
      <w:r w:rsidR="00493745">
        <w:rPr>
          <w:rFonts w:ascii="Garamond" w:hAnsi="Garamond"/>
        </w:rPr>
        <w:t xml:space="preserve">before any president regularly asserted coequality and turned </w:t>
      </w:r>
      <w:r w:rsidR="0062742A">
        <w:rPr>
          <w:rFonts w:ascii="Garamond" w:hAnsi="Garamond"/>
        </w:rPr>
        <w:t>it</w:t>
      </w:r>
      <w:r w:rsidR="00493745">
        <w:rPr>
          <w:rFonts w:ascii="Garamond" w:hAnsi="Garamond"/>
        </w:rPr>
        <w:t xml:space="preserve"> into an assertion about the relative power of institutions.  President Nixon’s increasingly desperate attempts to stave off Congressional investigation relied heavily on a “Newtonian” presumption</w:t>
      </w:r>
      <w:r w:rsidR="0062742A">
        <w:rPr>
          <w:rFonts w:ascii="Garamond" w:hAnsi="Garamond"/>
        </w:rPr>
        <w:t xml:space="preserve"> about institutions:  the force of Congress sh</w:t>
      </w:r>
      <w:r w:rsidR="00493745">
        <w:rPr>
          <w:rFonts w:ascii="Garamond" w:hAnsi="Garamond"/>
        </w:rPr>
        <w:t xml:space="preserve">ould be </w:t>
      </w:r>
      <w:r w:rsidR="0062742A">
        <w:rPr>
          <w:rFonts w:ascii="Garamond" w:hAnsi="Garamond"/>
        </w:rPr>
        <w:t xml:space="preserve">able to be </w:t>
      </w:r>
      <w:r w:rsidR="00493745">
        <w:rPr>
          <w:rFonts w:ascii="Garamond" w:hAnsi="Garamond"/>
        </w:rPr>
        <w:t>rebuffed by the equal and opposite force of the president.</w:t>
      </w:r>
      <w:r w:rsidR="00493745">
        <w:rPr>
          <w:rStyle w:val="FootnoteReference"/>
          <w:rFonts w:ascii="Garamond" w:hAnsi="Garamond"/>
        </w:rPr>
        <w:footnoteReference w:id="4"/>
      </w:r>
      <w:r w:rsidR="00493745">
        <w:rPr>
          <w:rFonts w:ascii="Garamond" w:hAnsi="Garamond"/>
        </w:rPr>
        <w:t xml:space="preserve">  </w:t>
      </w:r>
      <w:r w:rsidR="006F394F">
        <w:rPr>
          <w:rFonts w:ascii="Garamond" w:hAnsi="Garamond"/>
        </w:rPr>
        <w:t xml:space="preserve">Despite </w:t>
      </w:r>
      <w:r w:rsidR="000010B6">
        <w:rPr>
          <w:rFonts w:ascii="Garamond" w:hAnsi="Garamond"/>
        </w:rPr>
        <w:t xml:space="preserve">Nixon’s </w:t>
      </w:r>
      <w:r w:rsidR="0062742A">
        <w:rPr>
          <w:rFonts w:ascii="Garamond" w:hAnsi="Garamond"/>
        </w:rPr>
        <w:t>failed attempt</w:t>
      </w:r>
      <w:r w:rsidR="000010B6">
        <w:rPr>
          <w:rFonts w:ascii="Garamond" w:hAnsi="Garamond"/>
        </w:rPr>
        <w:t xml:space="preserve"> to quash </w:t>
      </w:r>
      <w:r w:rsidR="0062742A">
        <w:rPr>
          <w:rFonts w:ascii="Garamond" w:hAnsi="Garamond"/>
        </w:rPr>
        <w:t>a subpoena</w:t>
      </w:r>
      <w:r w:rsidR="000010B6">
        <w:rPr>
          <w:rFonts w:ascii="Garamond" w:hAnsi="Garamond"/>
        </w:rPr>
        <w:t xml:space="preserve"> in </w:t>
      </w:r>
      <w:r w:rsidR="006F394F">
        <w:rPr>
          <w:rFonts w:ascii="Garamond" w:hAnsi="Garamond"/>
        </w:rPr>
        <w:t>the Watergate investigation</w:t>
      </w:r>
      <w:r w:rsidR="000010B6">
        <w:rPr>
          <w:rFonts w:ascii="Garamond" w:hAnsi="Garamond"/>
        </w:rPr>
        <w:t xml:space="preserve">, </w:t>
      </w:r>
      <w:r w:rsidR="006F394F">
        <w:rPr>
          <w:rFonts w:ascii="Garamond" w:hAnsi="Garamond"/>
        </w:rPr>
        <w:t>he seemed to</w:t>
      </w:r>
      <w:r w:rsidR="000010B6">
        <w:rPr>
          <w:rFonts w:ascii="Garamond" w:hAnsi="Garamond"/>
        </w:rPr>
        <w:t xml:space="preserve"> succeed in creating a “separation of powers” narrative about American institutions that has </w:t>
      </w:r>
      <w:r w:rsidR="006F394F">
        <w:rPr>
          <w:rFonts w:ascii="Garamond" w:hAnsi="Garamond"/>
        </w:rPr>
        <w:t>come to rival</w:t>
      </w:r>
      <w:r w:rsidR="000010B6">
        <w:rPr>
          <w:rFonts w:ascii="Garamond" w:hAnsi="Garamond"/>
        </w:rPr>
        <w:t xml:space="preserve"> or </w:t>
      </w:r>
      <w:r w:rsidR="006F394F">
        <w:rPr>
          <w:rFonts w:ascii="Garamond" w:hAnsi="Garamond"/>
        </w:rPr>
        <w:t>even e</w:t>
      </w:r>
      <w:r w:rsidR="000010B6">
        <w:rPr>
          <w:rFonts w:ascii="Garamond" w:hAnsi="Garamond"/>
        </w:rPr>
        <w:t>clipsed the “separation of functions” view.</w:t>
      </w:r>
    </w:p>
    <w:p w:rsidR="008A7294" w:rsidRDefault="008F0BFF" w:rsidP="0048749E">
      <w:pPr>
        <w:spacing w:line="480" w:lineRule="auto"/>
        <w:ind w:firstLine="720"/>
        <w:rPr>
          <w:rFonts w:ascii="Garamond" w:hAnsi="Garamond"/>
        </w:rPr>
      </w:pPr>
      <w:r>
        <w:rPr>
          <w:rFonts w:ascii="Garamond" w:hAnsi="Garamond"/>
        </w:rPr>
        <w:t xml:space="preserve">Explaining this </w:t>
      </w:r>
      <w:r w:rsidR="0062742A">
        <w:rPr>
          <w:rFonts w:ascii="Garamond" w:hAnsi="Garamond"/>
        </w:rPr>
        <w:t>embrace of coequality as a separation of powers perspective</w:t>
      </w:r>
      <w:r>
        <w:rPr>
          <w:rFonts w:ascii="Garamond" w:hAnsi="Garamond"/>
        </w:rPr>
        <w:t xml:space="preserve"> by recent presidents seems </w:t>
      </w:r>
      <w:r w:rsidR="006F394F">
        <w:rPr>
          <w:rFonts w:ascii="Garamond" w:hAnsi="Garamond"/>
        </w:rPr>
        <w:t>fairly straightforward.  In an environment where the president is expected to maximize his power</w:t>
      </w:r>
      <w:r w:rsidR="00FD1F26">
        <w:rPr>
          <w:rFonts w:ascii="Garamond" w:hAnsi="Garamond"/>
        </w:rPr>
        <w:t xml:space="preserve">, </w:t>
      </w:r>
      <w:r>
        <w:rPr>
          <w:rFonts w:ascii="Garamond" w:hAnsi="Garamond"/>
        </w:rPr>
        <w:t xml:space="preserve">recent </w:t>
      </w:r>
      <w:r w:rsidR="00FD1F26">
        <w:rPr>
          <w:rFonts w:ascii="Garamond" w:hAnsi="Garamond"/>
        </w:rPr>
        <w:t>presidents have</w:t>
      </w:r>
      <w:r>
        <w:rPr>
          <w:rFonts w:ascii="Garamond" w:hAnsi="Garamond"/>
        </w:rPr>
        <w:t xml:space="preserve"> had</w:t>
      </w:r>
      <w:r w:rsidR="00FD1F26">
        <w:rPr>
          <w:rFonts w:ascii="Garamond" w:hAnsi="Garamond"/>
        </w:rPr>
        <w:t xml:space="preserve"> an incentive</w:t>
      </w:r>
      <w:r>
        <w:rPr>
          <w:rFonts w:ascii="Garamond" w:hAnsi="Garamond"/>
        </w:rPr>
        <w:t xml:space="preserve"> to assert their coequality </w:t>
      </w:r>
      <w:r w:rsidR="00B92A61">
        <w:rPr>
          <w:rFonts w:ascii="Garamond" w:hAnsi="Garamond"/>
        </w:rPr>
        <w:t>vis a vis</w:t>
      </w:r>
      <w:r w:rsidR="00FD1F26">
        <w:rPr>
          <w:rFonts w:ascii="Garamond" w:hAnsi="Garamond"/>
        </w:rPr>
        <w:t xml:space="preserve"> Congress.</w:t>
      </w:r>
      <w:r>
        <w:rPr>
          <w:rFonts w:ascii="Garamond" w:hAnsi="Garamond"/>
        </w:rPr>
        <w:t xml:space="preserve">  </w:t>
      </w:r>
      <w:r w:rsidR="007F6101">
        <w:rPr>
          <w:rFonts w:ascii="Garamond" w:hAnsi="Garamond"/>
        </w:rPr>
        <w:t xml:space="preserve">Practice shows that they have, at the very least, gotten away with this rhetorical innovation and </w:t>
      </w:r>
      <w:r w:rsidR="006F394F">
        <w:rPr>
          <w:rFonts w:ascii="Garamond" w:hAnsi="Garamond"/>
        </w:rPr>
        <w:t>they seem to have</w:t>
      </w:r>
      <w:r w:rsidR="007F6101">
        <w:rPr>
          <w:rFonts w:ascii="Garamond" w:hAnsi="Garamond"/>
        </w:rPr>
        <w:t xml:space="preserve"> convinced many Americans in the process.  </w:t>
      </w:r>
      <w:r>
        <w:rPr>
          <w:rFonts w:ascii="Garamond" w:hAnsi="Garamond"/>
        </w:rPr>
        <w:t xml:space="preserve">Rational choice models of judicial action might also posit a power-maximizing approach for the justices.  </w:t>
      </w:r>
      <w:r w:rsidR="006F394F">
        <w:rPr>
          <w:rFonts w:ascii="Garamond" w:hAnsi="Garamond"/>
        </w:rPr>
        <w:t xml:space="preserve">Justices may be thought to have an incentive to borrow the idea of coequality for themselves.  </w:t>
      </w:r>
      <w:r>
        <w:rPr>
          <w:rFonts w:ascii="Garamond" w:hAnsi="Garamond"/>
        </w:rPr>
        <w:t>But if the Court really is the “least dangerous branch” because it is “the weakest of the three departmen</w:t>
      </w:r>
      <w:r w:rsidR="006F394F">
        <w:rPr>
          <w:rFonts w:ascii="Garamond" w:hAnsi="Garamond"/>
        </w:rPr>
        <w:t>ts of power,” the Court may also have</w:t>
      </w:r>
      <w:r>
        <w:rPr>
          <w:rFonts w:ascii="Garamond" w:hAnsi="Garamond"/>
        </w:rPr>
        <w:t xml:space="preserve"> less ability than the president to </w:t>
      </w:r>
      <w:r w:rsidR="006F394F">
        <w:rPr>
          <w:rFonts w:ascii="Garamond" w:hAnsi="Garamond"/>
        </w:rPr>
        <w:t>credibly</w:t>
      </w:r>
      <w:r>
        <w:rPr>
          <w:rFonts w:ascii="Garamond" w:hAnsi="Garamond"/>
        </w:rPr>
        <w:t xml:space="preserve"> assert its own </w:t>
      </w:r>
      <w:r w:rsidR="007F6101">
        <w:rPr>
          <w:rFonts w:ascii="Garamond" w:hAnsi="Garamond"/>
        </w:rPr>
        <w:t xml:space="preserve">coequality.  </w:t>
      </w:r>
      <w:r w:rsidR="00DC772F">
        <w:rPr>
          <w:rFonts w:ascii="Garamond" w:hAnsi="Garamond"/>
        </w:rPr>
        <w:t>Examining how the Court has approached coeqality is, therefore, partly an exercise in discerning the perceived limits of judicial power.  Additionally, t</w:t>
      </w:r>
      <w:r w:rsidR="007F6101">
        <w:rPr>
          <w:rFonts w:ascii="Garamond" w:hAnsi="Garamond"/>
        </w:rPr>
        <w:t xml:space="preserve">he very nature of its job, </w:t>
      </w:r>
      <w:r w:rsidR="006F394F">
        <w:rPr>
          <w:rFonts w:ascii="Garamond" w:hAnsi="Garamond"/>
        </w:rPr>
        <w:t>gives the Court</w:t>
      </w:r>
      <w:r w:rsidR="007F6101">
        <w:rPr>
          <w:rFonts w:ascii="Garamond" w:hAnsi="Garamond"/>
        </w:rPr>
        <w:t xml:space="preserve"> a role in policing constitutional boundaries</w:t>
      </w:r>
      <w:r w:rsidR="006F394F">
        <w:rPr>
          <w:rFonts w:ascii="Garamond" w:hAnsi="Garamond"/>
        </w:rPr>
        <w:t>,</w:t>
      </w:r>
      <w:r w:rsidR="007F6101">
        <w:rPr>
          <w:rFonts w:ascii="Garamond" w:hAnsi="Garamond"/>
        </w:rPr>
        <w:t xml:space="preserve"> and that means </w:t>
      </w:r>
      <w:r w:rsidR="006F394F">
        <w:rPr>
          <w:rFonts w:ascii="Garamond" w:hAnsi="Garamond"/>
        </w:rPr>
        <w:t>coequality has</w:t>
      </w:r>
      <w:r w:rsidR="007F6101">
        <w:rPr>
          <w:rFonts w:ascii="Garamond" w:hAnsi="Garamond"/>
        </w:rPr>
        <w:t xml:space="preserve"> </w:t>
      </w:r>
      <w:r w:rsidR="00DC772F">
        <w:rPr>
          <w:rFonts w:ascii="Garamond" w:hAnsi="Garamond"/>
        </w:rPr>
        <w:t xml:space="preserve">inevitably </w:t>
      </w:r>
      <w:r w:rsidR="007F6101">
        <w:rPr>
          <w:rFonts w:ascii="Garamond" w:hAnsi="Garamond"/>
        </w:rPr>
        <w:t xml:space="preserve">become an issue before the court.  Describing how the </w:t>
      </w:r>
      <w:r w:rsidR="006F394F">
        <w:rPr>
          <w:rFonts w:ascii="Garamond" w:hAnsi="Garamond"/>
        </w:rPr>
        <w:t xml:space="preserve">Court </w:t>
      </w:r>
      <w:r w:rsidR="007F6101">
        <w:rPr>
          <w:rFonts w:ascii="Garamond" w:hAnsi="Garamond"/>
        </w:rPr>
        <w:t xml:space="preserve">has approached coequality is what I turn to now. </w:t>
      </w:r>
    </w:p>
    <w:p w:rsidR="00DC772F" w:rsidRDefault="00DC772F" w:rsidP="00215AAF">
      <w:pPr>
        <w:ind w:firstLine="720"/>
        <w:rPr>
          <w:rFonts w:ascii="Garamond" w:hAnsi="Garamond"/>
        </w:rPr>
      </w:pPr>
    </w:p>
    <w:p w:rsidR="006F394F" w:rsidRPr="00DC772F" w:rsidRDefault="00DC772F" w:rsidP="00DC772F">
      <w:pPr>
        <w:jc w:val="center"/>
        <w:rPr>
          <w:rFonts w:ascii="Garamond" w:hAnsi="Garamond"/>
          <w:b/>
        </w:rPr>
      </w:pPr>
      <w:r>
        <w:rPr>
          <w:rFonts w:ascii="Garamond" w:hAnsi="Garamond"/>
          <w:b/>
        </w:rPr>
        <w:t>Method and Varieties of Explanation</w:t>
      </w:r>
    </w:p>
    <w:p w:rsidR="007F4225" w:rsidRDefault="007F4225" w:rsidP="00215AAF">
      <w:pPr>
        <w:ind w:firstLine="720"/>
        <w:rPr>
          <w:rFonts w:ascii="Garamond" w:hAnsi="Garamond"/>
        </w:rPr>
      </w:pPr>
    </w:p>
    <w:p w:rsidR="007F4225" w:rsidRDefault="007F4225" w:rsidP="00B506DF">
      <w:pPr>
        <w:spacing w:line="480" w:lineRule="auto"/>
        <w:ind w:firstLine="720"/>
        <w:rPr>
          <w:rFonts w:ascii="Garamond" w:hAnsi="Garamond"/>
        </w:rPr>
      </w:pPr>
      <w:r>
        <w:rPr>
          <w:rFonts w:ascii="Garamond" w:hAnsi="Garamond"/>
        </w:rPr>
        <w:t xml:space="preserve">To examine the issue of institutional coequality as it has been elucidated </w:t>
      </w:r>
      <w:r w:rsidR="00537010">
        <w:rPr>
          <w:rFonts w:ascii="Garamond" w:hAnsi="Garamond"/>
        </w:rPr>
        <w:t>by the US Supreme Court, I perf</w:t>
      </w:r>
      <w:r>
        <w:rPr>
          <w:rFonts w:ascii="Garamond" w:hAnsi="Garamond"/>
        </w:rPr>
        <w:t>o</w:t>
      </w:r>
      <w:r w:rsidR="00537010">
        <w:rPr>
          <w:rFonts w:ascii="Garamond" w:hAnsi="Garamond"/>
        </w:rPr>
        <w:t>r</w:t>
      </w:r>
      <w:r>
        <w:rPr>
          <w:rFonts w:ascii="Garamond" w:hAnsi="Garamond"/>
        </w:rPr>
        <w:t>med a key word search for the terms “coequal” and “coequality” in the Lexis/Nexis “US Legal” database, restricting cases to ones adjudicated in the US Supreme Court.  Per</w:t>
      </w:r>
      <w:r w:rsidR="009E0E5D">
        <w:rPr>
          <w:rFonts w:ascii="Garamond" w:hAnsi="Garamond"/>
        </w:rPr>
        <w:t>forming this search produced 121</w:t>
      </w:r>
      <w:r>
        <w:rPr>
          <w:rFonts w:ascii="Garamond" w:hAnsi="Garamond"/>
        </w:rPr>
        <w:t xml:space="preserve"> “hits”—cases in which the official transcript contained on</w:t>
      </w:r>
      <w:r w:rsidR="009E0E5D">
        <w:rPr>
          <w:rFonts w:ascii="Garamond" w:hAnsi="Garamond"/>
        </w:rPr>
        <w:t>e or both of the two key words.</w:t>
      </w:r>
      <w:r w:rsidR="009E0E5D">
        <w:rPr>
          <w:rStyle w:val="FootnoteReference"/>
          <w:rFonts w:ascii="Garamond" w:hAnsi="Garamond"/>
        </w:rPr>
        <w:footnoteReference w:id="5"/>
      </w:r>
      <w:r>
        <w:rPr>
          <w:rFonts w:ascii="Garamond" w:hAnsi="Garamond"/>
        </w:rPr>
        <w:t xml:space="preserve"> </w:t>
      </w:r>
    </w:p>
    <w:p w:rsidR="007F6101" w:rsidRDefault="009E0E5D" w:rsidP="00B506DF">
      <w:pPr>
        <w:spacing w:line="480" w:lineRule="auto"/>
        <w:ind w:firstLine="720"/>
        <w:rPr>
          <w:rFonts w:ascii="Garamond" w:hAnsi="Garamond"/>
        </w:rPr>
      </w:pPr>
      <w:r>
        <w:rPr>
          <w:rFonts w:ascii="Garamond" w:hAnsi="Garamond"/>
        </w:rPr>
        <w:t>Reading through these 119</w:t>
      </w:r>
      <w:r w:rsidR="00924084">
        <w:rPr>
          <w:rFonts w:ascii="Garamond" w:hAnsi="Garamond"/>
        </w:rPr>
        <w:t xml:space="preserve"> cases reveals</w:t>
      </w:r>
      <w:r w:rsidR="007F4225">
        <w:rPr>
          <w:rFonts w:ascii="Garamond" w:hAnsi="Garamond"/>
        </w:rPr>
        <w:t xml:space="preserve"> many items other than </w:t>
      </w:r>
      <w:r w:rsidR="00924084">
        <w:rPr>
          <w:rFonts w:ascii="Garamond" w:hAnsi="Garamond"/>
        </w:rPr>
        <w:t>national institutions which have been</w:t>
      </w:r>
      <w:r w:rsidR="006F394F">
        <w:rPr>
          <w:rFonts w:ascii="Garamond" w:hAnsi="Garamond"/>
        </w:rPr>
        <w:t xml:space="preserve"> asserted to be</w:t>
      </w:r>
      <w:r w:rsidR="007F4225">
        <w:rPr>
          <w:rFonts w:ascii="Garamond" w:hAnsi="Garamond"/>
        </w:rPr>
        <w:t xml:space="preserve"> coequal by justices (or </w:t>
      </w:r>
      <w:r w:rsidR="002A48D5">
        <w:rPr>
          <w:rFonts w:ascii="Garamond" w:hAnsi="Garamond"/>
        </w:rPr>
        <w:t xml:space="preserve">which </w:t>
      </w:r>
      <w:r w:rsidR="00924084">
        <w:rPr>
          <w:rFonts w:ascii="Garamond" w:hAnsi="Garamond"/>
        </w:rPr>
        <w:t xml:space="preserve">are </w:t>
      </w:r>
      <w:r w:rsidR="007F6101">
        <w:rPr>
          <w:rFonts w:ascii="Garamond" w:hAnsi="Garamond"/>
        </w:rPr>
        <w:t xml:space="preserve">disputed </w:t>
      </w:r>
      <w:r w:rsidR="002A48D5">
        <w:rPr>
          <w:rFonts w:ascii="Garamond" w:hAnsi="Garamond"/>
        </w:rPr>
        <w:t xml:space="preserve">as </w:t>
      </w:r>
      <w:r w:rsidR="007F6101">
        <w:rPr>
          <w:rFonts w:ascii="Garamond" w:hAnsi="Garamond"/>
        </w:rPr>
        <w:t>being coequal).  These include twelve</w:t>
      </w:r>
      <w:r w:rsidR="007F4225">
        <w:rPr>
          <w:rFonts w:ascii="Garamond" w:hAnsi="Garamond"/>
        </w:rPr>
        <w:t xml:space="preserve"> cases in which states were called coequal to each other, beginning with </w:t>
      </w:r>
      <w:r w:rsidR="007F4225" w:rsidRPr="002A48D5">
        <w:rPr>
          <w:rFonts w:ascii="Garamond" w:hAnsi="Garamond"/>
          <w:i/>
        </w:rPr>
        <w:t>Howard v. Ingersoll</w:t>
      </w:r>
      <w:r w:rsidR="007F4225">
        <w:rPr>
          <w:rFonts w:ascii="Garamond" w:hAnsi="Garamond"/>
        </w:rPr>
        <w:t xml:space="preserve"> in 1852 and stretc</w:t>
      </w:r>
      <w:r w:rsidR="002A48D5">
        <w:rPr>
          <w:rFonts w:ascii="Garamond" w:hAnsi="Garamond"/>
        </w:rPr>
        <w:t xml:space="preserve">hing to </w:t>
      </w:r>
      <w:r w:rsidR="002A48D5" w:rsidRPr="002A48D5">
        <w:rPr>
          <w:rFonts w:ascii="Garamond" w:hAnsi="Garamond"/>
          <w:i/>
        </w:rPr>
        <w:t>PPL Montana v. Montana</w:t>
      </w:r>
      <w:r w:rsidR="002A48D5">
        <w:rPr>
          <w:rFonts w:ascii="Garamond" w:hAnsi="Garamond"/>
        </w:rPr>
        <w:t xml:space="preserve"> in 2012</w:t>
      </w:r>
      <w:r w:rsidR="007F4225">
        <w:rPr>
          <w:rFonts w:ascii="Garamond" w:hAnsi="Garamond"/>
        </w:rPr>
        <w:t xml:space="preserve">.  </w:t>
      </w:r>
      <w:r w:rsidR="00B70D2E">
        <w:rPr>
          <w:rFonts w:ascii="Garamond" w:hAnsi="Garamond"/>
        </w:rPr>
        <w:t>There is a robust line of cases which have declared that states</w:t>
      </w:r>
      <w:r w:rsidR="007F4225">
        <w:rPr>
          <w:rFonts w:ascii="Garamond" w:hAnsi="Garamond"/>
        </w:rPr>
        <w:t xml:space="preserve"> have a coequal obl</w:t>
      </w:r>
      <w:r w:rsidR="00DC772F">
        <w:rPr>
          <w:rFonts w:ascii="Garamond" w:hAnsi="Garamond"/>
        </w:rPr>
        <w:t>igation to enforce the federal C</w:t>
      </w:r>
      <w:r w:rsidR="007F4225">
        <w:rPr>
          <w:rFonts w:ascii="Garamond" w:hAnsi="Garamond"/>
        </w:rPr>
        <w:t>onstitution and constitutional law—</w:t>
      </w:r>
      <w:r w:rsidR="00B70D2E">
        <w:rPr>
          <w:rFonts w:ascii="Garamond" w:hAnsi="Garamond"/>
        </w:rPr>
        <w:t>an</w:t>
      </w:r>
      <w:r w:rsidR="00CF0C71">
        <w:rPr>
          <w:rFonts w:ascii="Garamond" w:hAnsi="Garamond"/>
        </w:rPr>
        <w:t xml:space="preserve"> “equal responsibility” doctrine</w:t>
      </w:r>
      <w:r w:rsidR="00B70D2E">
        <w:rPr>
          <w:rFonts w:ascii="Garamond" w:hAnsi="Garamond"/>
        </w:rPr>
        <w:t xml:space="preserve"> first</w:t>
      </w:r>
      <w:r w:rsidR="00924084">
        <w:rPr>
          <w:rFonts w:ascii="Garamond" w:hAnsi="Garamond"/>
        </w:rPr>
        <w:t xml:space="preserve"> asserted in </w:t>
      </w:r>
      <w:r w:rsidR="00924084" w:rsidRPr="00DC772F">
        <w:rPr>
          <w:rFonts w:ascii="Garamond" w:hAnsi="Garamond"/>
          <w:i/>
        </w:rPr>
        <w:t>Townsend v. Sain</w:t>
      </w:r>
      <w:r w:rsidR="00924084">
        <w:rPr>
          <w:rFonts w:ascii="Garamond" w:hAnsi="Garamond"/>
        </w:rPr>
        <w:t xml:space="preserve"> (1963); stat</w:t>
      </w:r>
      <w:r w:rsidR="007F6101">
        <w:rPr>
          <w:rFonts w:ascii="Garamond" w:hAnsi="Garamond"/>
        </w:rPr>
        <w:t xml:space="preserve">es have occasionally been called </w:t>
      </w:r>
      <w:r w:rsidR="00924084">
        <w:rPr>
          <w:rFonts w:ascii="Garamond" w:hAnsi="Garamond"/>
        </w:rPr>
        <w:t>coeq</w:t>
      </w:r>
      <w:r w:rsidR="007F6101">
        <w:rPr>
          <w:rFonts w:ascii="Garamond" w:hAnsi="Garamond"/>
        </w:rPr>
        <w:t>ual sovereigns with</w:t>
      </w:r>
      <w:r w:rsidR="00924084">
        <w:rPr>
          <w:rFonts w:ascii="Garamond" w:hAnsi="Garamond"/>
        </w:rPr>
        <w:t xml:space="preserve"> the federal governm</w:t>
      </w:r>
      <w:r w:rsidR="002A48D5">
        <w:rPr>
          <w:rFonts w:ascii="Garamond" w:hAnsi="Garamond"/>
        </w:rPr>
        <w:t>ent, each with their</w:t>
      </w:r>
      <w:r w:rsidR="007F6101">
        <w:rPr>
          <w:rFonts w:ascii="Garamond" w:hAnsi="Garamond"/>
        </w:rPr>
        <w:t xml:space="preserve"> own final</w:t>
      </w:r>
      <w:r w:rsidR="002A48D5">
        <w:rPr>
          <w:rFonts w:ascii="Garamond" w:hAnsi="Garamond"/>
        </w:rPr>
        <w:t xml:space="preserve"> jurisdiction in which they are </w:t>
      </w:r>
      <w:r w:rsidR="00B70D2E">
        <w:rPr>
          <w:rFonts w:ascii="Garamond" w:hAnsi="Garamond"/>
        </w:rPr>
        <w:t>fully empowered to act</w:t>
      </w:r>
      <w:r w:rsidR="00924084">
        <w:rPr>
          <w:rFonts w:ascii="Garamond" w:hAnsi="Garamond"/>
        </w:rPr>
        <w:t xml:space="preserve">.  However, there has also been significant resistance to this view.  </w:t>
      </w:r>
      <w:r w:rsidR="00B70D2E">
        <w:rPr>
          <w:rFonts w:ascii="Garamond" w:hAnsi="Garamond"/>
        </w:rPr>
        <w:t xml:space="preserve">As common legal terms </w:t>
      </w:r>
      <w:r w:rsidR="005D7303">
        <w:rPr>
          <w:rFonts w:ascii="Garamond" w:hAnsi="Garamond"/>
        </w:rPr>
        <w:t>“</w:t>
      </w:r>
      <w:r w:rsidR="00B70D2E">
        <w:rPr>
          <w:rFonts w:ascii="Garamond" w:hAnsi="Garamond"/>
        </w:rPr>
        <w:t>coequal</w:t>
      </w:r>
      <w:r w:rsidR="005D7303">
        <w:rPr>
          <w:rFonts w:ascii="Garamond" w:hAnsi="Garamond"/>
        </w:rPr>
        <w:t>”</w:t>
      </w:r>
      <w:r w:rsidR="00B70D2E">
        <w:rPr>
          <w:rFonts w:ascii="Garamond" w:hAnsi="Garamond"/>
        </w:rPr>
        <w:t xml:space="preserve"> and </w:t>
      </w:r>
      <w:r w:rsidR="005D7303">
        <w:rPr>
          <w:rFonts w:ascii="Garamond" w:hAnsi="Garamond"/>
        </w:rPr>
        <w:t>“</w:t>
      </w:r>
      <w:r w:rsidR="00B70D2E">
        <w:rPr>
          <w:rFonts w:ascii="Garamond" w:hAnsi="Garamond"/>
        </w:rPr>
        <w:t>coequality</w:t>
      </w:r>
      <w:r w:rsidR="005D7303">
        <w:rPr>
          <w:rFonts w:ascii="Garamond" w:hAnsi="Garamond"/>
        </w:rPr>
        <w:t>”</w:t>
      </w:r>
      <w:r w:rsidR="00B70D2E">
        <w:rPr>
          <w:rFonts w:ascii="Garamond" w:hAnsi="Garamond"/>
        </w:rPr>
        <w:t xml:space="preserve"> have been used in other instances as well.</w:t>
      </w:r>
      <w:r w:rsidR="00B70D2E">
        <w:rPr>
          <w:rStyle w:val="FootnoteReference"/>
          <w:rFonts w:ascii="Garamond" w:hAnsi="Garamond"/>
        </w:rPr>
        <w:footnoteReference w:id="6"/>
      </w:r>
      <w:r w:rsidR="00B70D2E">
        <w:rPr>
          <w:rFonts w:ascii="Garamond" w:hAnsi="Garamond"/>
        </w:rPr>
        <w:t xml:space="preserve">  Just like Alexander Hamilton and James Madison, Supreme Court justices have </w:t>
      </w:r>
      <w:r w:rsidR="005D7303">
        <w:rPr>
          <w:rFonts w:ascii="Garamond" w:hAnsi="Garamond"/>
        </w:rPr>
        <w:t xml:space="preserve">long </w:t>
      </w:r>
      <w:r w:rsidR="007F6101">
        <w:rPr>
          <w:rFonts w:ascii="Garamond" w:hAnsi="Garamond"/>
        </w:rPr>
        <w:t>had the concept</w:t>
      </w:r>
      <w:r w:rsidR="00B70D2E">
        <w:rPr>
          <w:rFonts w:ascii="Garamond" w:hAnsi="Garamond"/>
        </w:rPr>
        <w:t xml:space="preserve"> of coe</w:t>
      </w:r>
      <w:r w:rsidR="007F6101">
        <w:rPr>
          <w:rFonts w:ascii="Garamond" w:hAnsi="Garamond"/>
        </w:rPr>
        <w:t xml:space="preserve">quality in their </w:t>
      </w:r>
      <w:r w:rsidR="002A48D5">
        <w:rPr>
          <w:rFonts w:ascii="Garamond" w:hAnsi="Garamond"/>
        </w:rPr>
        <w:t xml:space="preserve">legal </w:t>
      </w:r>
      <w:r w:rsidR="00537010">
        <w:rPr>
          <w:rFonts w:ascii="Garamond" w:hAnsi="Garamond"/>
        </w:rPr>
        <w:t>vocabulary</w:t>
      </w:r>
      <w:r w:rsidR="00B70D2E">
        <w:rPr>
          <w:rFonts w:ascii="Garamond" w:hAnsi="Garamond"/>
        </w:rPr>
        <w:t xml:space="preserve">.  </w:t>
      </w:r>
    </w:p>
    <w:p w:rsidR="0098273A" w:rsidRDefault="00DC772F" w:rsidP="00B506DF">
      <w:pPr>
        <w:spacing w:line="480" w:lineRule="auto"/>
        <w:ind w:firstLine="720"/>
        <w:rPr>
          <w:rFonts w:ascii="Garamond" w:hAnsi="Garamond"/>
        </w:rPr>
      </w:pPr>
      <w:r>
        <w:rPr>
          <w:rFonts w:ascii="Garamond" w:hAnsi="Garamond"/>
        </w:rPr>
        <w:t>In the 119</w:t>
      </w:r>
      <w:r w:rsidR="006D3CBB">
        <w:rPr>
          <w:rFonts w:ascii="Garamond" w:hAnsi="Garamond"/>
        </w:rPr>
        <w:t xml:space="preserve"> to</w:t>
      </w:r>
      <w:r w:rsidR="005D7303">
        <w:rPr>
          <w:rFonts w:ascii="Garamond" w:hAnsi="Garamond"/>
        </w:rPr>
        <w:t>tal cases found in this</w:t>
      </w:r>
      <w:r w:rsidR="006D3CBB">
        <w:rPr>
          <w:rFonts w:ascii="Garamond" w:hAnsi="Garamond"/>
        </w:rPr>
        <w:t xml:space="preserve"> search, clear patt</w:t>
      </w:r>
      <w:r w:rsidR="002A48D5">
        <w:rPr>
          <w:rFonts w:ascii="Garamond" w:hAnsi="Garamond"/>
        </w:rPr>
        <w:t>erns emerge.  The number of</w:t>
      </w:r>
      <w:r w:rsidR="006D3CBB">
        <w:rPr>
          <w:rFonts w:ascii="Garamond" w:hAnsi="Garamond"/>
        </w:rPr>
        <w:t xml:space="preserve"> cases rise drastically around 1970.  Nearly three-quarters of all </w:t>
      </w:r>
      <w:r w:rsidR="002A48D5">
        <w:rPr>
          <w:rFonts w:ascii="Garamond" w:hAnsi="Garamond"/>
        </w:rPr>
        <w:t xml:space="preserve">instances of </w:t>
      </w:r>
      <w:r w:rsidR="006D3CBB">
        <w:rPr>
          <w:rFonts w:ascii="Garamond" w:hAnsi="Garamond"/>
        </w:rPr>
        <w:t>cases using this lan</w:t>
      </w:r>
      <w:r w:rsidR="00AA7150">
        <w:rPr>
          <w:rFonts w:ascii="Garamond" w:hAnsi="Garamond"/>
        </w:rPr>
        <w:t>gu</w:t>
      </w:r>
      <w:r w:rsidR="000E4B25">
        <w:rPr>
          <w:rFonts w:ascii="Garamond" w:hAnsi="Garamond"/>
        </w:rPr>
        <w:t>age appear after 1970, with 88</w:t>
      </w:r>
      <w:r w:rsidR="006D3CBB">
        <w:rPr>
          <w:rFonts w:ascii="Garamond" w:hAnsi="Garamond"/>
        </w:rPr>
        <w:t xml:space="preserve"> cases </w:t>
      </w:r>
      <w:r w:rsidR="00AA7150">
        <w:rPr>
          <w:rFonts w:ascii="Garamond" w:hAnsi="Garamond"/>
        </w:rPr>
        <w:t xml:space="preserve">from 1970 or after and just 31 before.  </w:t>
      </w:r>
      <w:r w:rsidR="005D7303">
        <w:rPr>
          <w:rFonts w:ascii="Garamond" w:hAnsi="Garamond"/>
        </w:rPr>
        <w:t xml:space="preserve">With the much longer </w:t>
      </w:r>
      <w:r w:rsidR="00B92A61">
        <w:rPr>
          <w:rFonts w:ascii="Garamond" w:hAnsi="Garamond"/>
        </w:rPr>
        <w:t>time span</w:t>
      </w:r>
      <w:r w:rsidR="005D7303">
        <w:rPr>
          <w:rFonts w:ascii="Garamond" w:hAnsi="Garamond"/>
        </w:rPr>
        <w:t xml:space="preserve"> in the earlier era, the frequency with which coequality has been used by the court has skyrocketed (from an average of once every six years in the earlier era to more than two times per year in the later era).  Sheer numbers are of less interest than patterns in the type of case involved.  </w:t>
      </w:r>
      <w:r w:rsidR="006D3CBB">
        <w:rPr>
          <w:rFonts w:ascii="Garamond" w:hAnsi="Garamond"/>
        </w:rPr>
        <w:t>For the purposes of this analysis I have distinguished four kin</w:t>
      </w:r>
      <w:r w:rsidR="0098273A">
        <w:rPr>
          <w:rFonts w:ascii="Garamond" w:hAnsi="Garamond"/>
        </w:rPr>
        <w:t>ds of “coequal” case</w:t>
      </w:r>
      <w:r w:rsidR="00AA7150">
        <w:rPr>
          <w:rFonts w:ascii="Garamond" w:hAnsi="Garamond"/>
        </w:rPr>
        <w:t>, described by what is considered equal</w:t>
      </w:r>
      <w:r w:rsidR="0098273A">
        <w:rPr>
          <w:rFonts w:ascii="Garamond" w:hAnsi="Garamond"/>
        </w:rPr>
        <w:t>:   state</w:t>
      </w:r>
      <w:r w:rsidR="005D7303">
        <w:rPr>
          <w:rFonts w:ascii="Garamond" w:hAnsi="Garamond"/>
        </w:rPr>
        <w:t>s;</w:t>
      </w:r>
      <w:r w:rsidR="006D3CBB">
        <w:rPr>
          <w:rFonts w:ascii="Garamond" w:hAnsi="Garamond"/>
        </w:rPr>
        <w:t xml:space="preserve"> </w:t>
      </w:r>
      <w:r w:rsidR="005D7303">
        <w:rPr>
          <w:rFonts w:ascii="Garamond" w:hAnsi="Garamond"/>
        </w:rPr>
        <w:t xml:space="preserve">nation and state in the federal relationship; </w:t>
      </w:r>
      <w:r w:rsidR="0098273A">
        <w:rPr>
          <w:rFonts w:ascii="Garamond" w:hAnsi="Garamond"/>
        </w:rPr>
        <w:t>exec</w:t>
      </w:r>
      <w:r w:rsidR="005D7303">
        <w:rPr>
          <w:rFonts w:ascii="Garamond" w:hAnsi="Garamond"/>
        </w:rPr>
        <w:t xml:space="preserve">utive, legislative, and </w:t>
      </w:r>
      <w:r w:rsidR="0098273A">
        <w:rPr>
          <w:rFonts w:ascii="Garamond" w:hAnsi="Garamond"/>
        </w:rPr>
        <w:t>jud</w:t>
      </w:r>
      <w:r w:rsidR="005D7303">
        <w:rPr>
          <w:rFonts w:ascii="Garamond" w:hAnsi="Garamond"/>
        </w:rPr>
        <w:t>icial branches</w:t>
      </w:r>
      <w:r w:rsidR="000E4B25">
        <w:rPr>
          <w:rFonts w:ascii="Garamond" w:hAnsi="Garamond"/>
        </w:rPr>
        <w:t>;</w:t>
      </w:r>
      <w:r w:rsidR="00AA7150">
        <w:rPr>
          <w:rFonts w:ascii="Garamond" w:hAnsi="Garamond"/>
        </w:rPr>
        <w:t xml:space="preserve"> and miscellaneous</w:t>
      </w:r>
      <w:r w:rsidR="000E4B25">
        <w:rPr>
          <w:rFonts w:ascii="Garamond" w:hAnsi="Garamond"/>
        </w:rPr>
        <w:t xml:space="preserve"> examples</w:t>
      </w:r>
      <w:r w:rsidR="009E0E5D">
        <w:rPr>
          <w:rFonts w:ascii="Garamond" w:hAnsi="Garamond"/>
        </w:rPr>
        <w:t>,</w:t>
      </w:r>
      <w:r w:rsidR="006D3CBB">
        <w:rPr>
          <w:rFonts w:ascii="Garamond" w:hAnsi="Garamond"/>
        </w:rPr>
        <w:t xml:space="preserve"> a catch-all of </w:t>
      </w:r>
      <w:r w:rsidR="0098273A">
        <w:rPr>
          <w:rFonts w:ascii="Garamond" w:hAnsi="Garamond"/>
        </w:rPr>
        <w:t xml:space="preserve">all other </w:t>
      </w:r>
      <w:r w:rsidR="006D3CBB">
        <w:rPr>
          <w:rFonts w:ascii="Garamond" w:hAnsi="Garamond"/>
        </w:rPr>
        <w:t xml:space="preserve">instances </w:t>
      </w:r>
      <w:r w:rsidR="0098273A">
        <w:rPr>
          <w:rFonts w:ascii="Garamond" w:hAnsi="Garamond"/>
        </w:rPr>
        <w:t xml:space="preserve">in which one thing is </w:t>
      </w:r>
      <w:r w:rsidR="005D7303">
        <w:rPr>
          <w:rFonts w:ascii="Garamond" w:hAnsi="Garamond"/>
        </w:rPr>
        <w:t xml:space="preserve">called </w:t>
      </w:r>
      <w:r w:rsidR="0098273A">
        <w:rPr>
          <w:rFonts w:ascii="Garamond" w:hAnsi="Garamond"/>
        </w:rPr>
        <w:t>coequ</w:t>
      </w:r>
      <w:r w:rsidR="005D7303">
        <w:rPr>
          <w:rFonts w:ascii="Garamond" w:hAnsi="Garamond"/>
        </w:rPr>
        <w:t>al to another (or in which the word is used to dispute the equal relationship</w:t>
      </w:r>
      <w:r w:rsidR="0098273A">
        <w:rPr>
          <w:rFonts w:ascii="Garamond" w:hAnsi="Garamond"/>
        </w:rPr>
        <w:t xml:space="preserve">).  Table 1 shows the number of cases by type, with 1970 </w:t>
      </w:r>
      <w:r w:rsidR="005D7303">
        <w:rPr>
          <w:rFonts w:ascii="Garamond" w:hAnsi="Garamond"/>
        </w:rPr>
        <w:t>used as a</w:t>
      </w:r>
      <w:r w:rsidR="0098273A">
        <w:rPr>
          <w:rFonts w:ascii="Garamond" w:hAnsi="Garamond"/>
        </w:rPr>
        <w:t xml:space="preserve"> cutting point:</w:t>
      </w:r>
    </w:p>
    <w:p w:rsidR="0098273A" w:rsidRPr="000E4B25" w:rsidRDefault="000E4B25" w:rsidP="0098273A">
      <w:pPr>
        <w:rPr>
          <w:rFonts w:ascii="Garamond" w:hAnsi="Garamond"/>
          <w:b/>
        </w:rPr>
      </w:pPr>
      <w:r>
        <w:rPr>
          <w:rFonts w:ascii="Garamond" w:hAnsi="Garamond"/>
          <w:b/>
        </w:rPr>
        <w:t>Table 1:  Number of Supreme Court Cases with “Coequality” Language by Type</w:t>
      </w:r>
    </w:p>
    <w:tbl>
      <w:tblPr>
        <w:tblStyle w:val="TableGrid"/>
        <w:tblW w:w="0" w:type="auto"/>
        <w:tblLook w:val="00BF"/>
      </w:tblPr>
      <w:tblGrid>
        <w:gridCol w:w="3192"/>
        <w:gridCol w:w="3192"/>
        <w:gridCol w:w="3192"/>
      </w:tblGrid>
      <w:tr w:rsidR="0098273A">
        <w:tc>
          <w:tcPr>
            <w:tcW w:w="3192" w:type="dxa"/>
          </w:tcPr>
          <w:p w:rsidR="0098273A" w:rsidRDefault="0098273A" w:rsidP="0098273A">
            <w:pPr>
              <w:jc w:val="center"/>
              <w:rPr>
                <w:rFonts w:ascii="Garamond" w:hAnsi="Garamond"/>
              </w:rPr>
            </w:pPr>
          </w:p>
        </w:tc>
        <w:tc>
          <w:tcPr>
            <w:tcW w:w="3192" w:type="dxa"/>
          </w:tcPr>
          <w:p w:rsidR="0098273A" w:rsidRDefault="0098273A" w:rsidP="0098273A">
            <w:pPr>
              <w:jc w:val="center"/>
              <w:rPr>
                <w:rFonts w:ascii="Garamond" w:hAnsi="Garamond"/>
              </w:rPr>
            </w:pPr>
            <w:r>
              <w:rPr>
                <w:rFonts w:ascii="Garamond" w:hAnsi="Garamond"/>
              </w:rPr>
              <w:t>Before 1970</w:t>
            </w:r>
          </w:p>
        </w:tc>
        <w:tc>
          <w:tcPr>
            <w:tcW w:w="3192" w:type="dxa"/>
          </w:tcPr>
          <w:p w:rsidR="0098273A" w:rsidRDefault="0098273A" w:rsidP="0098273A">
            <w:pPr>
              <w:jc w:val="center"/>
              <w:rPr>
                <w:rFonts w:ascii="Garamond" w:hAnsi="Garamond"/>
              </w:rPr>
            </w:pPr>
            <w:r>
              <w:rPr>
                <w:rFonts w:ascii="Garamond" w:hAnsi="Garamond"/>
              </w:rPr>
              <w:t>1970 and After</w:t>
            </w:r>
          </w:p>
        </w:tc>
      </w:tr>
      <w:tr w:rsidR="0098273A">
        <w:tc>
          <w:tcPr>
            <w:tcW w:w="3192" w:type="dxa"/>
          </w:tcPr>
          <w:p w:rsidR="0098273A" w:rsidRDefault="0098273A" w:rsidP="0098273A">
            <w:pPr>
              <w:jc w:val="center"/>
              <w:rPr>
                <w:rFonts w:ascii="Garamond" w:hAnsi="Garamond"/>
              </w:rPr>
            </w:pPr>
            <w:r>
              <w:rPr>
                <w:rFonts w:ascii="Garamond" w:hAnsi="Garamond"/>
              </w:rPr>
              <w:t>State-State</w:t>
            </w:r>
          </w:p>
        </w:tc>
        <w:tc>
          <w:tcPr>
            <w:tcW w:w="3192" w:type="dxa"/>
          </w:tcPr>
          <w:p w:rsidR="0098273A" w:rsidRDefault="002600F3" w:rsidP="0098273A">
            <w:pPr>
              <w:jc w:val="center"/>
              <w:rPr>
                <w:rFonts w:ascii="Garamond" w:hAnsi="Garamond"/>
              </w:rPr>
            </w:pPr>
            <w:r>
              <w:rPr>
                <w:rFonts w:ascii="Garamond" w:hAnsi="Garamond"/>
              </w:rPr>
              <w:t>3</w:t>
            </w:r>
          </w:p>
        </w:tc>
        <w:tc>
          <w:tcPr>
            <w:tcW w:w="3192" w:type="dxa"/>
          </w:tcPr>
          <w:p w:rsidR="0098273A" w:rsidRDefault="002600F3" w:rsidP="0098273A">
            <w:pPr>
              <w:jc w:val="center"/>
              <w:rPr>
                <w:rFonts w:ascii="Garamond" w:hAnsi="Garamond"/>
              </w:rPr>
            </w:pPr>
            <w:r>
              <w:rPr>
                <w:rFonts w:ascii="Garamond" w:hAnsi="Garamond"/>
              </w:rPr>
              <w:t>9</w:t>
            </w:r>
          </w:p>
        </w:tc>
      </w:tr>
      <w:tr w:rsidR="0098273A">
        <w:tc>
          <w:tcPr>
            <w:tcW w:w="3192" w:type="dxa"/>
          </w:tcPr>
          <w:p w:rsidR="0098273A" w:rsidRDefault="002600F3" w:rsidP="0098273A">
            <w:pPr>
              <w:jc w:val="center"/>
              <w:rPr>
                <w:rFonts w:ascii="Garamond" w:hAnsi="Garamond"/>
              </w:rPr>
            </w:pPr>
            <w:r>
              <w:rPr>
                <w:rFonts w:ascii="Garamond" w:hAnsi="Garamond"/>
              </w:rPr>
              <w:t>Federal</w:t>
            </w:r>
            <w:r w:rsidR="005D7303">
              <w:rPr>
                <w:rFonts w:ascii="Garamond" w:hAnsi="Garamond"/>
              </w:rPr>
              <w:t>ist</w:t>
            </w:r>
          </w:p>
        </w:tc>
        <w:tc>
          <w:tcPr>
            <w:tcW w:w="3192" w:type="dxa"/>
          </w:tcPr>
          <w:p w:rsidR="0098273A" w:rsidRDefault="002600F3" w:rsidP="0098273A">
            <w:pPr>
              <w:jc w:val="center"/>
              <w:rPr>
                <w:rFonts w:ascii="Garamond" w:hAnsi="Garamond"/>
              </w:rPr>
            </w:pPr>
            <w:r>
              <w:rPr>
                <w:rFonts w:ascii="Garamond" w:hAnsi="Garamond"/>
              </w:rPr>
              <w:t>3</w:t>
            </w:r>
          </w:p>
        </w:tc>
        <w:tc>
          <w:tcPr>
            <w:tcW w:w="3192" w:type="dxa"/>
          </w:tcPr>
          <w:p w:rsidR="0098273A" w:rsidRDefault="002600F3" w:rsidP="0098273A">
            <w:pPr>
              <w:jc w:val="center"/>
              <w:rPr>
                <w:rFonts w:ascii="Garamond" w:hAnsi="Garamond"/>
              </w:rPr>
            </w:pPr>
            <w:r>
              <w:rPr>
                <w:rFonts w:ascii="Garamond" w:hAnsi="Garamond"/>
              </w:rPr>
              <w:t>1</w:t>
            </w:r>
            <w:r w:rsidR="00537010">
              <w:rPr>
                <w:rFonts w:ascii="Garamond" w:hAnsi="Garamond"/>
              </w:rPr>
              <w:t>9</w:t>
            </w:r>
          </w:p>
        </w:tc>
      </w:tr>
      <w:tr w:rsidR="0098273A">
        <w:tc>
          <w:tcPr>
            <w:tcW w:w="3192" w:type="dxa"/>
          </w:tcPr>
          <w:p w:rsidR="0098273A" w:rsidRDefault="0098273A" w:rsidP="0098273A">
            <w:pPr>
              <w:jc w:val="center"/>
              <w:rPr>
                <w:rFonts w:ascii="Garamond" w:hAnsi="Garamond"/>
              </w:rPr>
            </w:pPr>
            <w:r>
              <w:rPr>
                <w:rFonts w:ascii="Garamond" w:hAnsi="Garamond"/>
              </w:rPr>
              <w:t>Interbranch</w:t>
            </w:r>
          </w:p>
        </w:tc>
        <w:tc>
          <w:tcPr>
            <w:tcW w:w="3192" w:type="dxa"/>
          </w:tcPr>
          <w:p w:rsidR="0098273A" w:rsidRDefault="00537010" w:rsidP="0098273A">
            <w:pPr>
              <w:jc w:val="center"/>
              <w:rPr>
                <w:rFonts w:ascii="Garamond" w:hAnsi="Garamond"/>
              </w:rPr>
            </w:pPr>
            <w:r>
              <w:rPr>
                <w:rFonts w:ascii="Garamond" w:hAnsi="Garamond"/>
              </w:rPr>
              <w:t>8</w:t>
            </w:r>
          </w:p>
        </w:tc>
        <w:tc>
          <w:tcPr>
            <w:tcW w:w="3192" w:type="dxa"/>
          </w:tcPr>
          <w:p w:rsidR="0098273A" w:rsidRDefault="002600F3" w:rsidP="0098273A">
            <w:pPr>
              <w:jc w:val="center"/>
              <w:rPr>
                <w:rFonts w:ascii="Garamond" w:hAnsi="Garamond"/>
              </w:rPr>
            </w:pPr>
            <w:r>
              <w:rPr>
                <w:rFonts w:ascii="Garamond" w:hAnsi="Garamond"/>
              </w:rPr>
              <w:t>5</w:t>
            </w:r>
            <w:r w:rsidR="00F759E6">
              <w:rPr>
                <w:rFonts w:ascii="Garamond" w:hAnsi="Garamond"/>
              </w:rPr>
              <w:t>7</w:t>
            </w:r>
          </w:p>
        </w:tc>
      </w:tr>
      <w:tr w:rsidR="0098273A">
        <w:tc>
          <w:tcPr>
            <w:tcW w:w="3192" w:type="dxa"/>
          </w:tcPr>
          <w:p w:rsidR="0098273A" w:rsidRDefault="002600F3" w:rsidP="002600F3">
            <w:pPr>
              <w:jc w:val="center"/>
              <w:rPr>
                <w:rFonts w:ascii="Garamond" w:hAnsi="Garamond"/>
              </w:rPr>
            </w:pPr>
            <w:r>
              <w:rPr>
                <w:rFonts w:ascii="Garamond" w:hAnsi="Garamond"/>
              </w:rPr>
              <w:t>Miscellaneous</w:t>
            </w:r>
          </w:p>
        </w:tc>
        <w:tc>
          <w:tcPr>
            <w:tcW w:w="3192" w:type="dxa"/>
          </w:tcPr>
          <w:p w:rsidR="0098273A" w:rsidRDefault="002600F3" w:rsidP="002600F3">
            <w:pPr>
              <w:jc w:val="center"/>
              <w:rPr>
                <w:rFonts w:ascii="Garamond" w:hAnsi="Garamond"/>
              </w:rPr>
            </w:pPr>
            <w:r>
              <w:rPr>
                <w:rFonts w:ascii="Garamond" w:hAnsi="Garamond"/>
              </w:rPr>
              <w:t>17</w:t>
            </w:r>
          </w:p>
        </w:tc>
        <w:tc>
          <w:tcPr>
            <w:tcW w:w="3192" w:type="dxa"/>
          </w:tcPr>
          <w:p w:rsidR="0098273A" w:rsidRDefault="00537010" w:rsidP="002600F3">
            <w:pPr>
              <w:jc w:val="center"/>
              <w:rPr>
                <w:rFonts w:ascii="Garamond" w:hAnsi="Garamond"/>
              </w:rPr>
            </w:pPr>
            <w:r>
              <w:rPr>
                <w:rFonts w:ascii="Garamond" w:hAnsi="Garamond"/>
              </w:rPr>
              <w:t>6</w:t>
            </w:r>
          </w:p>
        </w:tc>
      </w:tr>
      <w:tr w:rsidR="0098273A">
        <w:tc>
          <w:tcPr>
            <w:tcW w:w="3192" w:type="dxa"/>
          </w:tcPr>
          <w:p w:rsidR="0098273A" w:rsidRDefault="002600F3" w:rsidP="002600F3">
            <w:pPr>
              <w:jc w:val="center"/>
              <w:rPr>
                <w:rFonts w:ascii="Garamond" w:hAnsi="Garamond"/>
              </w:rPr>
            </w:pPr>
            <w:r>
              <w:rPr>
                <w:rFonts w:ascii="Garamond" w:hAnsi="Garamond"/>
              </w:rPr>
              <w:t>Total</w:t>
            </w:r>
          </w:p>
        </w:tc>
        <w:tc>
          <w:tcPr>
            <w:tcW w:w="3192" w:type="dxa"/>
          </w:tcPr>
          <w:p w:rsidR="0098273A" w:rsidRDefault="002600F3" w:rsidP="002600F3">
            <w:pPr>
              <w:jc w:val="center"/>
              <w:rPr>
                <w:rFonts w:ascii="Garamond" w:hAnsi="Garamond"/>
              </w:rPr>
            </w:pPr>
            <w:r>
              <w:rPr>
                <w:rFonts w:ascii="Garamond" w:hAnsi="Garamond"/>
              </w:rPr>
              <w:t>3</w:t>
            </w:r>
            <w:r w:rsidR="00234DD5">
              <w:rPr>
                <w:rFonts w:ascii="Garamond" w:hAnsi="Garamond"/>
              </w:rPr>
              <w:t>1</w:t>
            </w:r>
          </w:p>
        </w:tc>
        <w:tc>
          <w:tcPr>
            <w:tcW w:w="3192" w:type="dxa"/>
          </w:tcPr>
          <w:p w:rsidR="0098273A" w:rsidRDefault="00F759E6" w:rsidP="002600F3">
            <w:pPr>
              <w:jc w:val="center"/>
              <w:rPr>
                <w:rFonts w:ascii="Garamond" w:hAnsi="Garamond"/>
              </w:rPr>
            </w:pPr>
            <w:r>
              <w:rPr>
                <w:rFonts w:ascii="Garamond" w:hAnsi="Garamond"/>
              </w:rPr>
              <w:t>91</w:t>
            </w:r>
          </w:p>
        </w:tc>
      </w:tr>
    </w:tbl>
    <w:p w:rsidR="009E0E5D" w:rsidRDefault="00537010" w:rsidP="0098273A">
      <w:pPr>
        <w:rPr>
          <w:rFonts w:ascii="Garamond" w:hAnsi="Garamond"/>
          <w:sz w:val="20"/>
        </w:rPr>
      </w:pPr>
      <w:r w:rsidRPr="00AA7150">
        <w:rPr>
          <w:rFonts w:ascii="Garamond" w:hAnsi="Garamond"/>
          <w:sz w:val="20"/>
        </w:rPr>
        <w:t>*Three</w:t>
      </w:r>
      <w:r w:rsidR="002600F3" w:rsidRPr="00AA7150">
        <w:rPr>
          <w:rFonts w:ascii="Garamond" w:hAnsi="Garamond"/>
          <w:sz w:val="20"/>
        </w:rPr>
        <w:t xml:space="preserve"> case</w:t>
      </w:r>
      <w:r w:rsidRPr="00AA7150">
        <w:rPr>
          <w:rFonts w:ascii="Garamond" w:hAnsi="Garamond"/>
          <w:sz w:val="20"/>
        </w:rPr>
        <w:t>s</w:t>
      </w:r>
      <w:r w:rsidR="002600F3" w:rsidRPr="00AA7150">
        <w:rPr>
          <w:rFonts w:ascii="Garamond" w:hAnsi="Garamond"/>
          <w:sz w:val="20"/>
        </w:rPr>
        <w:t xml:space="preserve">, </w:t>
      </w:r>
      <w:r w:rsidRPr="009E0E5D">
        <w:rPr>
          <w:rFonts w:ascii="Garamond" w:hAnsi="Garamond"/>
          <w:i/>
          <w:sz w:val="20"/>
        </w:rPr>
        <w:t>Rostker v. Goldberg</w:t>
      </w:r>
      <w:r w:rsidRPr="00AA7150">
        <w:rPr>
          <w:rFonts w:ascii="Garamond" w:hAnsi="Garamond"/>
          <w:sz w:val="20"/>
        </w:rPr>
        <w:t xml:space="preserve"> (1981), </w:t>
      </w:r>
      <w:r w:rsidR="002600F3" w:rsidRPr="009E0E5D">
        <w:rPr>
          <w:rFonts w:ascii="Garamond" w:hAnsi="Garamond"/>
          <w:i/>
          <w:sz w:val="20"/>
        </w:rPr>
        <w:t>S</w:t>
      </w:r>
      <w:r w:rsidRPr="009E0E5D">
        <w:rPr>
          <w:rFonts w:ascii="Garamond" w:hAnsi="Garamond"/>
          <w:i/>
          <w:sz w:val="20"/>
        </w:rPr>
        <w:t>eminole Tribe v. Florida</w:t>
      </w:r>
      <w:r w:rsidRPr="00AA7150">
        <w:rPr>
          <w:rFonts w:ascii="Garamond" w:hAnsi="Garamond"/>
          <w:sz w:val="20"/>
        </w:rPr>
        <w:t xml:space="preserve"> (1996) and </w:t>
      </w:r>
      <w:r w:rsidRPr="009E0E5D">
        <w:rPr>
          <w:rFonts w:ascii="Garamond" w:hAnsi="Garamond"/>
          <w:i/>
          <w:sz w:val="20"/>
        </w:rPr>
        <w:t>Williams v. Taylor</w:t>
      </w:r>
      <w:r w:rsidRPr="00AA7150">
        <w:rPr>
          <w:rFonts w:ascii="Garamond" w:hAnsi="Garamond"/>
          <w:sz w:val="20"/>
        </w:rPr>
        <w:t xml:space="preserve"> (2000) are</w:t>
      </w:r>
      <w:r w:rsidR="002600F3" w:rsidRPr="00AA7150">
        <w:rPr>
          <w:rFonts w:ascii="Garamond" w:hAnsi="Garamond"/>
          <w:sz w:val="20"/>
        </w:rPr>
        <w:t xml:space="preserve"> counted twice, as there are two different sense</w:t>
      </w:r>
      <w:r w:rsidRPr="00AA7150">
        <w:rPr>
          <w:rFonts w:ascii="Garamond" w:hAnsi="Garamond"/>
          <w:sz w:val="20"/>
        </w:rPr>
        <w:t>s</w:t>
      </w:r>
      <w:r w:rsidR="002600F3" w:rsidRPr="00AA7150">
        <w:rPr>
          <w:rFonts w:ascii="Garamond" w:hAnsi="Garamond"/>
          <w:sz w:val="20"/>
        </w:rPr>
        <w:t xml:space="preserve"> in which coequality is used in the written opinions.</w:t>
      </w:r>
      <w:r w:rsidRPr="00AA7150">
        <w:rPr>
          <w:rFonts w:ascii="Garamond" w:hAnsi="Garamond"/>
          <w:sz w:val="20"/>
        </w:rPr>
        <w:t xml:space="preserve"> </w:t>
      </w:r>
    </w:p>
    <w:p w:rsidR="002600F3" w:rsidRDefault="002600F3" w:rsidP="0098273A">
      <w:pPr>
        <w:rPr>
          <w:rFonts w:ascii="Garamond" w:hAnsi="Garamond"/>
        </w:rPr>
      </w:pPr>
    </w:p>
    <w:p w:rsidR="00904997" w:rsidRDefault="002A48D5" w:rsidP="00B506DF">
      <w:pPr>
        <w:spacing w:line="480" w:lineRule="auto"/>
        <w:ind w:firstLine="720"/>
        <w:rPr>
          <w:rFonts w:ascii="Garamond" w:hAnsi="Garamond"/>
        </w:rPr>
      </w:pPr>
      <w:r>
        <w:rPr>
          <w:rFonts w:ascii="Garamond" w:hAnsi="Garamond"/>
        </w:rPr>
        <w:t>T</w:t>
      </w:r>
      <w:r w:rsidR="002600F3">
        <w:rPr>
          <w:rFonts w:ascii="Garamond" w:hAnsi="Garamond"/>
        </w:rPr>
        <w:t>he use of coequal and coeq</w:t>
      </w:r>
      <w:r w:rsidR="002F1B4F">
        <w:rPr>
          <w:rFonts w:ascii="Garamond" w:hAnsi="Garamond"/>
        </w:rPr>
        <w:t>uality as a descriptor has gone</w:t>
      </w:r>
      <w:r w:rsidR="005D7303">
        <w:rPr>
          <w:rFonts w:ascii="Garamond" w:hAnsi="Garamond"/>
        </w:rPr>
        <w:t xml:space="preserve"> </w:t>
      </w:r>
      <w:r w:rsidR="002600F3">
        <w:rPr>
          <w:rFonts w:ascii="Garamond" w:hAnsi="Garamond"/>
        </w:rPr>
        <w:t>up</w:t>
      </w:r>
      <w:r w:rsidR="002F1B4F">
        <w:rPr>
          <w:rFonts w:ascii="Garamond" w:hAnsi="Garamond"/>
        </w:rPr>
        <w:t xml:space="preserve"> significantly</w:t>
      </w:r>
      <w:r>
        <w:rPr>
          <w:rFonts w:ascii="Garamond" w:hAnsi="Garamond"/>
        </w:rPr>
        <w:t xml:space="preserve"> in recent decades.  Yet</w:t>
      </w:r>
      <w:r w:rsidR="002600F3">
        <w:rPr>
          <w:rFonts w:ascii="Garamond" w:hAnsi="Garamond"/>
        </w:rPr>
        <w:t xml:space="preserve"> it has </w:t>
      </w:r>
      <w:r>
        <w:rPr>
          <w:rFonts w:ascii="Garamond" w:hAnsi="Garamond"/>
        </w:rPr>
        <w:t xml:space="preserve">not </w:t>
      </w:r>
      <w:r w:rsidR="002600F3">
        <w:rPr>
          <w:rFonts w:ascii="Garamond" w:hAnsi="Garamond"/>
        </w:rPr>
        <w:t xml:space="preserve">done so </w:t>
      </w:r>
      <w:r>
        <w:rPr>
          <w:rFonts w:ascii="Garamond" w:hAnsi="Garamond"/>
        </w:rPr>
        <w:t xml:space="preserve">uniformly.  While there is a rise in states being called coequal to other states, this is not anywhere near as great as the increase </w:t>
      </w:r>
      <w:r w:rsidR="002600F3">
        <w:rPr>
          <w:rFonts w:ascii="Garamond" w:hAnsi="Garamond"/>
        </w:rPr>
        <w:t xml:space="preserve">in </w:t>
      </w:r>
      <w:r>
        <w:rPr>
          <w:rFonts w:ascii="Garamond" w:hAnsi="Garamond"/>
        </w:rPr>
        <w:t>cases</w:t>
      </w:r>
      <w:r w:rsidR="002600F3">
        <w:rPr>
          <w:rFonts w:ascii="Garamond" w:hAnsi="Garamond"/>
        </w:rPr>
        <w:t xml:space="preserve"> which deal w</w:t>
      </w:r>
      <w:r w:rsidR="00AA7150">
        <w:rPr>
          <w:rFonts w:ascii="Garamond" w:hAnsi="Garamond"/>
        </w:rPr>
        <w:t>ith interbranch relations and those which</w:t>
      </w:r>
      <w:r w:rsidR="002600F3">
        <w:rPr>
          <w:rFonts w:ascii="Garamond" w:hAnsi="Garamond"/>
        </w:rPr>
        <w:t xml:space="preserve"> </w:t>
      </w:r>
      <w:r w:rsidR="00AA7150">
        <w:rPr>
          <w:rFonts w:ascii="Garamond" w:hAnsi="Garamond"/>
        </w:rPr>
        <w:t>discuss the federal relationship</w:t>
      </w:r>
      <w:r w:rsidR="002600F3">
        <w:rPr>
          <w:rFonts w:ascii="Garamond" w:hAnsi="Garamond"/>
        </w:rPr>
        <w:t xml:space="preserve">.  </w:t>
      </w:r>
      <w:r>
        <w:rPr>
          <w:rFonts w:ascii="Garamond" w:hAnsi="Garamond"/>
        </w:rPr>
        <w:t>The percentage of cases involving s</w:t>
      </w:r>
      <w:r w:rsidR="009E0E5D">
        <w:rPr>
          <w:rFonts w:ascii="Garamond" w:hAnsi="Garamond"/>
        </w:rPr>
        <w:t xml:space="preserve">tate-to-state coequality </w:t>
      </w:r>
      <w:r>
        <w:rPr>
          <w:rFonts w:ascii="Garamond" w:hAnsi="Garamond"/>
        </w:rPr>
        <w:t xml:space="preserve">has remained at 10% of the total number of cases.  Examples of federalism grew much more.  </w:t>
      </w:r>
      <w:r w:rsidR="002F1B4F">
        <w:rPr>
          <w:rFonts w:ascii="Garamond" w:hAnsi="Garamond"/>
        </w:rPr>
        <w:t>Modern</w:t>
      </w:r>
      <w:r w:rsidR="00AA7150">
        <w:rPr>
          <w:rFonts w:ascii="Garamond" w:hAnsi="Garamond"/>
        </w:rPr>
        <w:t xml:space="preserve"> </w:t>
      </w:r>
      <w:r w:rsidR="002F1B4F">
        <w:rPr>
          <w:rFonts w:ascii="Garamond" w:hAnsi="Garamond"/>
        </w:rPr>
        <w:t>assertions that</w:t>
      </w:r>
      <w:r w:rsidR="00AA7150">
        <w:rPr>
          <w:rFonts w:ascii="Garamond" w:hAnsi="Garamond"/>
        </w:rPr>
        <w:t xml:space="preserve"> state</w:t>
      </w:r>
      <w:r w:rsidR="002F1B4F">
        <w:rPr>
          <w:rFonts w:ascii="Garamond" w:hAnsi="Garamond"/>
        </w:rPr>
        <w:t xml:space="preserve">s are sovereign entities and </w:t>
      </w:r>
      <w:r w:rsidR="003E3557">
        <w:rPr>
          <w:rFonts w:ascii="Garamond" w:hAnsi="Garamond"/>
        </w:rPr>
        <w:t xml:space="preserve">due significant deference </w:t>
      </w:r>
      <w:r>
        <w:rPr>
          <w:rFonts w:ascii="Garamond" w:hAnsi="Garamond"/>
        </w:rPr>
        <w:t xml:space="preserve">by the federal government </w:t>
      </w:r>
      <w:r w:rsidR="002F1B4F">
        <w:rPr>
          <w:rFonts w:ascii="Garamond" w:hAnsi="Garamond"/>
        </w:rPr>
        <w:t xml:space="preserve">were </w:t>
      </w:r>
      <w:r w:rsidR="00AA7150">
        <w:rPr>
          <w:rFonts w:ascii="Garamond" w:hAnsi="Garamond"/>
        </w:rPr>
        <w:t>spearhe</w:t>
      </w:r>
      <w:r w:rsidR="005D7303">
        <w:rPr>
          <w:rFonts w:ascii="Garamond" w:hAnsi="Garamond"/>
        </w:rPr>
        <w:t>aded by Chief Justice Rehnquist</w:t>
      </w:r>
      <w:r w:rsidR="002F1B4F">
        <w:rPr>
          <w:rFonts w:ascii="Garamond" w:hAnsi="Garamond"/>
        </w:rPr>
        <w:t xml:space="preserve"> </w:t>
      </w:r>
      <w:r>
        <w:rPr>
          <w:rFonts w:ascii="Garamond" w:hAnsi="Garamond"/>
        </w:rPr>
        <w:t>and Justices Sandra Day O’Connor</w:t>
      </w:r>
      <w:r w:rsidR="002F1B4F">
        <w:rPr>
          <w:rFonts w:ascii="Garamond" w:hAnsi="Garamond"/>
        </w:rPr>
        <w:t xml:space="preserve"> and Anthony Kennedy.</w:t>
      </w:r>
      <w:r w:rsidR="002F1B4F">
        <w:rPr>
          <w:rStyle w:val="FootnoteReference"/>
          <w:rFonts w:ascii="Garamond" w:hAnsi="Garamond"/>
        </w:rPr>
        <w:footnoteReference w:id="7"/>
      </w:r>
      <w:r w:rsidR="005D7303">
        <w:rPr>
          <w:rFonts w:ascii="Garamond" w:hAnsi="Garamond"/>
        </w:rPr>
        <w:t xml:space="preserve"> </w:t>
      </w:r>
      <w:r w:rsidR="002F1B4F">
        <w:rPr>
          <w:rFonts w:ascii="Garamond" w:hAnsi="Garamond"/>
        </w:rPr>
        <w:t xml:space="preserve"> These claims were disputed</w:t>
      </w:r>
      <w:r w:rsidR="003E3557">
        <w:rPr>
          <w:rFonts w:ascii="Garamond" w:hAnsi="Garamond"/>
        </w:rPr>
        <w:t>,</w:t>
      </w:r>
      <w:r w:rsidR="002F1B4F">
        <w:rPr>
          <w:rFonts w:ascii="Garamond" w:hAnsi="Garamond"/>
        </w:rPr>
        <w:t xml:space="preserve"> most vigorously by </w:t>
      </w:r>
      <w:r>
        <w:rPr>
          <w:rFonts w:ascii="Garamond" w:hAnsi="Garamond"/>
        </w:rPr>
        <w:t xml:space="preserve">Justices </w:t>
      </w:r>
      <w:r w:rsidR="002F1B4F">
        <w:rPr>
          <w:rFonts w:ascii="Garamond" w:hAnsi="Garamond"/>
        </w:rPr>
        <w:t>Harry Blackmun, John Paul Stevens, and David Souter.</w:t>
      </w:r>
      <w:r w:rsidR="002F1B4F">
        <w:rPr>
          <w:rStyle w:val="FootnoteReference"/>
          <w:rFonts w:ascii="Garamond" w:hAnsi="Garamond"/>
        </w:rPr>
        <w:footnoteReference w:id="8"/>
      </w:r>
      <w:r w:rsidR="003E3557">
        <w:rPr>
          <w:rFonts w:ascii="Garamond" w:hAnsi="Garamond"/>
        </w:rPr>
        <w:t xml:space="preserve"> </w:t>
      </w:r>
      <w:r w:rsidR="00904997">
        <w:rPr>
          <w:rFonts w:ascii="Garamond" w:hAnsi="Garamond"/>
        </w:rPr>
        <w:t xml:space="preserve"> </w:t>
      </w:r>
      <w:r w:rsidR="003E3557">
        <w:rPr>
          <w:rFonts w:ascii="Garamond" w:hAnsi="Garamond"/>
        </w:rPr>
        <w:t xml:space="preserve">The irony is that a robust debate about the </w:t>
      </w:r>
      <w:r w:rsidR="00904997">
        <w:rPr>
          <w:rFonts w:ascii="Garamond" w:hAnsi="Garamond"/>
        </w:rPr>
        <w:t xml:space="preserve">true nature of the </w:t>
      </w:r>
      <w:r w:rsidR="003E3557">
        <w:rPr>
          <w:rFonts w:ascii="Garamond" w:hAnsi="Garamond"/>
        </w:rPr>
        <w:t>federal rela</w:t>
      </w:r>
      <w:r w:rsidR="00904997">
        <w:rPr>
          <w:rFonts w:ascii="Garamond" w:hAnsi="Garamond"/>
        </w:rPr>
        <w:t>tionship has been rekindled using terms that were never</w:t>
      </w:r>
      <w:r w:rsidR="003E3557">
        <w:rPr>
          <w:rFonts w:ascii="Garamond" w:hAnsi="Garamond"/>
        </w:rPr>
        <w:t xml:space="preserve"> used</w:t>
      </w:r>
      <w:r w:rsidR="00904997">
        <w:rPr>
          <w:rFonts w:ascii="Garamond" w:hAnsi="Garamond"/>
        </w:rPr>
        <w:t xml:space="preserve"> to describe it </w:t>
      </w:r>
      <w:r w:rsidR="000E4B25">
        <w:rPr>
          <w:rFonts w:ascii="Garamond" w:hAnsi="Garamond"/>
        </w:rPr>
        <w:t>in the first place</w:t>
      </w:r>
      <w:r w:rsidR="003E3557">
        <w:rPr>
          <w:rFonts w:ascii="Garamond" w:hAnsi="Garamond"/>
        </w:rPr>
        <w:t xml:space="preserve">, at least </w:t>
      </w:r>
      <w:r w:rsidR="000E4B25">
        <w:rPr>
          <w:rFonts w:ascii="Garamond" w:hAnsi="Garamond"/>
        </w:rPr>
        <w:t xml:space="preserve">not </w:t>
      </w:r>
      <w:r w:rsidR="003E3557">
        <w:rPr>
          <w:rFonts w:ascii="Garamond" w:hAnsi="Garamond"/>
        </w:rPr>
        <w:t>in Sup</w:t>
      </w:r>
      <w:r w:rsidR="00904997">
        <w:rPr>
          <w:rFonts w:ascii="Garamond" w:hAnsi="Garamond"/>
        </w:rPr>
        <w:t>reme Court decisions</w:t>
      </w:r>
      <w:r w:rsidR="003E3557">
        <w:rPr>
          <w:rFonts w:ascii="Garamond" w:hAnsi="Garamond"/>
        </w:rPr>
        <w:t>.</w:t>
      </w:r>
      <w:r w:rsidR="00904997">
        <w:rPr>
          <w:rFonts w:ascii="Garamond" w:hAnsi="Garamond"/>
        </w:rPr>
        <w:t xml:space="preserve">  </w:t>
      </w:r>
    </w:p>
    <w:p w:rsidR="00B506DF" w:rsidRDefault="00904997" w:rsidP="00B506DF">
      <w:pPr>
        <w:spacing w:line="480" w:lineRule="auto"/>
        <w:ind w:firstLine="720"/>
        <w:rPr>
          <w:rFonts w:ascii="Garamond" w:hAnsi="Garamond"/>
        </w:rPr>
      </w:pPr>
      <w:r>
        <w:rPr>
          <w:rFonts w:ascii="Garamond" w:hAnsi="Garamond"/>
        </w:rPr>
        <w:t xml:space="preserve">The number of coequal references to interbranch relations dwarfs the total from federalism.  More than 60% of all references in recent decades have been about interbranch relations, compared with just over 25% in the earlier era.  What was a relatively rare occurrence before 1970 is now one which is referenced in nearly every </w:t>
      </w:r>
      <w:r w:rsidR="0048749E">
        <w:rPr>
          <w:rFonts w:ascii="Garamond" w:hAnsi="Garamond"/>
        </w:rPr>
        <w:t>term of the Court</w:t>
      </w:r>
      <w:r w:rsidR="002A48D5">
        <w:rPr>
          <w:rFonts w:ascii="Garamond" w:hAnsi="Garamond"/>
        </w:rPr>
        <w:t>, and often more than once</w:t>
      </w:r>
      <w:r w:rsidR="0048749E">
        <w:rPr>
          <w:rFonts w:ascii="Garamond" w:hAnsi="Garamond"/>
        </w:rPr>
        <w:t>.</w:t>
      </w:r>
      <w:r>
        <w:rPr>
          <w:rFonts w:ascii="Garamond" w:hAnsi="Garamond"/>
        </w:rPr>
        <w:t xml:space="preserve">  </w:t>
      </w:r>
      <w:r w:rsidR="003D1D5E">
        <w:rPr>
          <w:rFonts w:ascii="Garamond" w:hAnsi="Garamond"/>
        </w:rPr>
        <w:t xml:space="preserve">A comprehensive listing of these cases, with the justice (or justices) using the term in question and the context of the case is included as Appendix I.  </w:t>
      </w:r>
      <w:r w:rsidR="00B506DF">
        <w:rPr>
          <w:rFonts w:ascii="Garamond" w:hAnsi="Garamond"/>
        </w:rPr>
        <w:t>U</w:t>
      </w:r>
      <w:r w:rsidR="0048749E">
        <w:rPr>
          <w:rFonts w:ascii="Garamond" w:hAnsi="Garamond"/>
        </w:rPr>
        <w:t xml:space="preserve">nlike the references regarding federalism, there is, seemingly, no controversy whatsoever about </w:t>
      </w:r>
      <w:r w:rsidR="00B92A61">
        <w:rPr>
          <w:rFonts w:ascii="Garamond" w:hAnsi="Garamond"/>
        </w:rPr>
        <w:t>referring</w:t>
      </w:r>
      <w:r w:rsidR="0048749E">
        <w:rPr>
          <w:rFonts w:ascii="Garamond" w:hAnsi="Garamond"/>
        </w:rPr>
        <w:t xml:space="preserve"> to </w:t>
      </w:r>
      <w:r w:rsidR="00B506DF">
        <w:rPr>
          <w:rFonts w:ascii="Garamond" w:hAnsi="Garamond"/>
        </w:rPr>
        <w:t xml:space="preserve">the </w:t>
      </w:r>
      <w:r w:rsidR="0048749E">
        <w:rPr>
          <w:rFonts w:ascii="Garamond" w:hAnsi="Garamond"/>
        </w:rPr>
        <w:t xml:space="preserve">branches of </w:t>
      </w:r>
      <w:r w:rsidR="00B506DF">
        <w:rPr>
          <w:rFonts w:ascii="Garamond" w:hAnsi="Garamond"/>
        </w:rPr>
        <w:t xml:space="preserve">the federal </w:t>
      </w:r>
      <w:r w:rsidR="0048749E">
        <w:rPr>
          <w:rFonts w:ascii="Garamond" w:hAnsi="Garamond"/>
        </w:rPr>
        <w:t>government as coequal.  Not</w:t>
      </w:r>
      <w:r w:rsidR="009E0E5D">
        <w:rPr>
          <w:rFonts w:ascii="Garamond" w:hAnsi="Garamond"/>
        </w:rPr>
        <w:t xml:space="preserve"> a single reference among the 65</w:t>
      </w:r>
      <w:r w:rsidR="0048749E">
        <w:rPr>
          <w:rFonts w:ascii="Garamond" w:hAnsi="Garamond"/>
        </w:rPr>
        <w:t xml:space="preserve"> cases at issue dispute</w:t>
      </w:r>
      <w:r w:rsidR="00B506DF">
        <w:rPr>
          <w:rFonts w:ascii="Garamond" w:hAnsi="Garamond"/>
        </w:rPr>
        <w:t>d the</w:t>
      </w:r>
      <w:r w:rsidR="0048749E">
        <w:rPr>
          <w:rFonts w:ascii="Garamond" w:hAnsi="Garamond"/>
        </w:rPr>
        <w:t xml:space="preserve"> truth</w:t>
      </w:r>
      <w:r w:rsidR="00B506DF" w:rsidRPr="00B506DF">
        <w:rPr>
          <w:rFonts w:ascii="Garamond" w:hAnsi="Garamond"/>
        </w:rPr>
        <w:t xml:space="preserve"> </w:t>
      </w:r>
      <w:r w:rsidR="00B506DF">
        <w:rPr>
          <w:rFonts w:ascii="Garamond" w:hAnsi="Garamond"/>
        </w:rPr>
        <w:t>of interbranch coequality</w:t>
      </w:r>
      <w:r w:rsidR="0048749E">
        <w:rPr>
          <w:rFonts w:ascii="Garamond" w:hAnsi="Garamond"/>
        </w:rPr>
        <w:t xml:space="preserve">.  From </w:t>
      </w:r>
      <w:r w:rsidR="0048749E" w:rsidRPr="0048749E">
        <w:rPr>
          <w:rFonts w:ascii="Garamond" w:hAnsi="Garamond"/>
          <w:i/>
        </w:rPr>
        <w:t>Field v. Clark</w:t>
      </w:r>
      <w:r w:rsidR="0048749E">
        <w:rPr>
          <w:rFonts w:ascii="Garamond" w:hAnsi="Garamond"/>
        </w:rPr>
        <w:t xml:space="preserve"> in 1892, to </w:t>
      </w:r>
      <w:r w:rsidR="0048749E" w:rsidRPr="0048749E">
        <w:rPr>
          <w:rFonts w:ascii="Garamond" w:hAnsi="Garamond"/>
          <w:i/>
        </w:rPr>
        <w:t>Zivotofsky v. Clinton</w:t>
      </w:r>
      <w:r w:rsidR="0048749E">
        <w:rPr>
          <w:rFonts w:ascii="Garamond" w:hAnsi="Garamond"/>
        </w:rPr>
        <w:t xml:space="preserve"> in 2012, every reference to </w:t>
      </w:r>
      <w:r w:rsidR="000E4B25">
        <w:rPr>
          <w:rFonts w:ascii="Garamond" w:hAnsi="Garamond"/>
        </w:rPr>
        <w:t>“</w:t>
      </w:r>
      <w:r w:rsidR="0048749E">
        <w:rPr>
          <w:rFonts w:ascii="Garamond" w:hAnsi="Garamond"/>
        </w:rPr>
        <w:t>coequal branches</w:t>
      </w:r>
      <w:r w:rsidR="000E4B25">
        <w:rPr>
          <w:rFonts w:ascii="Garamond" w:hAnsi="Garamond"/>
        </w:rPr>
        <w:t>” ho</w:t>
      </w:r>
      <w:r w:rsidR="0048749E">
        <w:rPr>
          <w:rFonts w:ascii="Garamond" w:hAnsi="Garamond"/>
        </w:rPr>
        <w:t>ld</w:t>
      </w:r>
      <w:r w:rsidR="000E4B25">
        <w:rPr>
          <w:rFonts w:ascii="Garamond" w:hAnsi="Garamond"/>
        </w:rPr>
        <w:t>s up</w:t>
      </w:r>
      <w:r w:rsidR="0048749E">
        <w:rPr>
          <w:rFonts w:ascii="Garamond" w:hAnsi="Garamond"/>
        </w:rPr>
        <w:t xml:space="preserve"> coequality </w:t>
      </w:r>
      <w:r w:rsidR="009E0E5D">
        <w:rPr>
          <w:rFonts w:ascii="Garamond" w:hAnsi="Garamond"/>
        </w:rPr>
        <w:t xml:space="preserve">between branches of government </w:t>
      </w:r>
      <w:r w:rsidR="0048749E">
        <w:rPr>
          <w:rFonts w:ascii="Garamond" w:hAnsi="Garamond"/>
        </w:rPr>
        <w:t xml:space="preserve">as an ideal.  </w:t>
      </w:r>
    </w:p>
    <w:p w:rsidR="0060032A" w:rsidRDefault="0048749E" w:rsidP="00B506DF">
      <w:pPr>
        <w:spacing w:line="480" w:lineRule="auto"/>
        <w:ind w:firstLine="720"/>
        <w:rPr>
          <w:rFonts w:ascii="Garamond" w:hAnsi="Garamond"/>
        </w:rPr>
      </w:pPr>
      <w:r>
        <w:rPr>
          <w:rFonts w:ascii="Garamond" w:hAnsi="Garamond"/>
        </w:rPr>
        <w:t xml:space="preserve">Since the first instance of coequality being applied to interbranch relations was in 1892, the Court’s first century came and went without </w:t>
      </w:r>
      <w:r w:rsidR="00B506DF">
        <w:rPr>
          <w:rFonts w:ascii="Garamond" w:hAnsi="Garamond"/>
        </w:rPr>
        <w:t xml:space="preserve">such </w:t>
      </w:r>
      <w:r>
        <w:rPr>
          <w:rFonts w:ascii="Garamond" w:hAnsi="Garamond"/>
        </w:rPr>
        <w:t>an opinion (</w:t>
      </w:r>
      <w:r w:rsidR="00B506DF">
        <w:rPr>
          <w:rFonts w:ascii="Garamond" w:hAnsi="Garamond"/>
        </w:rPr>
        <w:t xml:space="preserve">as </w:t>
      </w:r>
      <w:r>
        <w:rPr>
          <w:rFonts w:ascii="Garamond" w:hAnsi="Garamond"/>
        </w:rPr>
        <w:t>per curiam, majority, dissent, or concurrence)</w:t>
      </w:r>
      <w:r w:rsidR="00B506DF">
        <w:rPr>
          <w:rFonts w:ascii="Garamond" w:hAnsi="Garamond"/>
        </w:rPr>
        <w:t>.  While the</w:t>
      </w:r>
      <w:r>
        <w:rPr>
          <w:rFonts w:ascii="Garamond" w:hAnsi="Garamond"/>
        </w:rPr>
        <w:t xml:space="preserve"> analysis</w:t>
      </w:r>
      <w:r w:rsidR="00B506DF">
        <w:rPr>
          <w:rFonts w:ascii="Garamond" w:hAnsi="Garamond"/>
        </w:rPr>
        <w:t xml:space="preserve"> which follows does not include any</w:t>
      </w:r>
      <w:r>
        <w:rPr>
          <w:rFonts w:ascii="Garamond" w:hAnsi="Garamond"/>
        </w:rPr>
        <w:t xml:space="preserve"> textual analysis of cases before </w:t>
      </w:r>
      <w:r>
        <w:rPr>
          <w:rFonts w:ascii="Garamond" w:hAnsi="Garamond"/>
          <w:i/>
        </w:rPr>
        <w:t>Field v. Clark</w:t>
      </w:r>
      <w:r w:rsidR="00B506DF">
        <w:rPr>
          <w:rFonts w:ascii="Garamond" w:hAnsi="Garamond"/>
        </w:rPr>
        <w:t xml:space="preserve">, the absence of cases produced by the key word search before 1892 is telling in and </w:t>
      </w:r>
      <w:r w:rsidR="000E4B25">
        <w:rPr>
          <w:rFonts w:ascii="Garamond" w:hAnsi="Garamond"/>
        </w:rPr>
        <w:t>of itself.  If the Constitution</w:t>
      </w:r>
      <w:r w:rsidR="00B506DF">
        <w:rPr>
          <w:rFonts w:ascii="Garamond" w:hAnsi="Garamond"/>
        </w:rPr>
        <w:t xml:space="preserve"> as it was originally written, had posited the coequality of government institutions, surely someone would have noted it in a Supreme Court decision prior to 1892.  What follows is the story of how coequality was introduced into constitutional law</w:t>
      </w:r>
      <w:r w:rsidR="000E4B25">
        <w:rPr>
          <w:rFonts w:ascii="Garamond" w:hAnsi="Garamond"/>
        </w:rPr>
        <w:t xml:space="preserve"> as a descriptor of interbranch relations</w:t>
      </w:r>
      <w:r w:rsidR="00B506DF">
        <w:rPr>
          <w:rFonts w:ascii="Garamond" w:hAnsi="Garamond"/>
        </w:rPr>
        <w:t xml:space="preserve">, </w:t>
      </w:r>
      <w:r w:rsidR="009E0E5D">
        <w:rPr>
          <w:rFonts w:ascii="Garamond" w:hAnsi="Garamond"/>
        </w:rPr>
        <w:t xml:space="preserve">and a delineation of </w:t>
      </w:r>
      <w:r w:rsidR="00B506DF">
        <w:rPr>
          <w:rFonts w:ascii="Garamond" w:hAnsi="Garamond"/>
        </w:rPr>
        <w:t xml:space="preserve">its </w:t>
      </w:r>
      <w:r w:rsidR="009E0E5D">
        <w:rPr>
          <w:rFonts w:ascii="Garamond" w:hAnsi="Garamond"/>
        </w:rPr>
        <w:t>traditional usage and purpose</w:t>
      </w:r>
      <w:r w:rsidR="00B506DF">
        <w:rPr>
          <w:rFonts w:ascii="Garamond" w:hAnsi="Garamond"/>
        </w:rPr>
        <w:t>.</w:t>
      </w:r>
    </w:p>
    <w:p w:rsidR="00255EA5" w:rsidRDefault="00255EA5" w:rsidP="00255EA5">
      <w:pPr>
        <w:ind w:firstLine="720"/>
        <w:rPr>
          <w:rFonts w:ascii="Garamond" w:hAnsi="Garamond"/>
        </w:rPr>
      </w:pPr>
    </w:p>
    <w:p w:rsidR="00255EA5" w:rsidRPr="009E0E5D" w:rsidRDefault="00A52A2F" w:rsidP="00255EA5">
      <w:pPr>
        <w:jc w:val="center"/>
        <w:rPr>
          <w:rFonts w:ascii="Garamond" w:hAnsi="Garamond"/>
          <w:b/>
        </w:rPr>
      </w:pPr>
      <w:r>
        <w:rPr>
          <w:rFonts w:ascii="Garamond" w:hAnsi="Garamond"/>
          <w:b/>
        </w:rPr>
        <w:t xml:space="preserve">The Origins </w:t>
      </w:r>
      <w:r w:rsidR="00321047">
        <w:rPr>
          <w:rFonts w:ascii="Garamond" w:hAnsi="Garamond"/>
          <w:b/>
        </w:rPr>
        <w:t xml:space="preserve">and Early Development </w:t>
      </w:r>
      <w:r>
        <w:rPr>
          <w:rFonts w:ascii="Garamond" w:hAnsi="Garamond"/>
          <w:b/>
        </w:rPr>
        <w:t>of Coequality Jurisprudence</w:t>
      </w:r>
    </w:p>
    <w:p w:rsidR="00AC5EFA" w:rsidRDefault="00AC5EFA" w:rsidP="00255EA5">
      <w:pPr>
        <w:ind w:firstLine="720"/>
        <w:rPr>
          <w:rFonts w:ascii="Garamond" w:hAnsi="Garamond"/>
        </w:rPr>
      </w:pPr>
    </w:p>
    <w:p w:rsidR="00A92A2C" w:rsidRDefault="00A662C8" w:rsidP="00514F49">
      <w:pPr>
        <w:spacing w:line="480" w:lineRule="auto"/>
        <w:ind w:firstLine="720"/>
        <w:rPr>
          <w:rFonts w:ascii="Garamond" w:hAnsi="Garamond"/>
        </w:rPr>
      </w:pPr>
      <w:r>
        <w:rPr>
          <w:rFonts w:ascii="Garamond" w:hAnsi="Garamond"/>
        </w:rPr>
        <w:t xml:space="preserve"> </w:t>
      </w:r>
      <w:r w:rsidR="004A1C56">
        <w:rPr>
          <w:rFonts w:ascii="Garamond" w:hAnsi="Garamond"/>
        </w:rPr>
        <w:t xml:space="preserve">Two cases dominate interbranch coequality jurisprudence in the pre-1970 era:  </w:t>
      </w:r>
      <w:r w:rsidR="004A1C56">
        <w:rPr>
          <w:rFonts w:ascii="Garamond" w:hAnsi="Garamond"/>
          <w:i/>
        </w:rPr>
        <w:t>Field v. Clark</w:t>
      </w:r>
      <w:r w:rsidR="004A1C56">
        <w:rPr>
          <w:rFonts w:ascii="Garamond" w:hAnsi="Garamond"/>
        </w:rPr>
        <w:t xml:space="preserve"> (1892) and </w:t>
      </w:r>
      <w:r w:rsidR="004A1C56">
        <w:rPr>
          <w:rFonts w:ascii="Garamond" w:hAnsi="Garamond"/>
          <w:i/>
        </w:rPr>
        <w:t xml:space="preserve">Frothingham v. Mellon </w:t>
      </w:r>
      <w:r w:rsidR="00234DD5">
        <w:rPr>
          <w:rFonts w:ascii="Garamond" w:hAnsi="Garamond"/>
        </w:rPr>
        <w:t xml:space="preserve">(1923). </w:t>
      </w:r>
      <w:r w:rsidR="00A92A2C">
        <w:rPr>
          <w:rFonts w:ascii="Garamond" w:hAnsi="Garamond"/>
        </w:rPr>
        <w:t xml:space="preserve"> Their influence has extended into the latter era as well and both are not infrequently cited.  </w:t>
      </w:r>
      <w:r w:rsidR="0075309F">
        <w:rPr>
          <w:rFonts w:ascii="Garamond" w:hAnsi="Garamond"/>
        </w:rPr>
        <w:t>In the former case, importer Marshall Field challenged the constitutionality of</w:t>
      </w:r>
      <w:r w:rsidR="00334942">
        <w:rPr>
          <w:rFonts w:ascii="Garamond" w:hAnsi="Garamond"/>
        </w:rPr>
        <w:t xml:space="preserve"> the McKinley Tar</w:t>
      </w:r>
      <w:r w:rsidR="00F60DA9">
        <w:rPr>
          <w:rFonts w:ascii="Garamond" w:hAnsi="Garamond"/>
        </w:rPr>
        <w:t>iff Act</w:t>
      </w:r>
      <w:r w:rsidR="00A92A2C">
        <w:rPr>
          <w:rFonts w:ascii="Garamond" w:hAnsi="Garamond"/>
        </w:rPr>
        <w:t xml:space="preserve">.  The strongest argument against constitutionality was </w:t>
      </w:r>
      <w:r w:rsidR="00F60DA9">
        <w:rPr>
          <w:rFonts w:ascii="Garamond" w:hAnsi="Garamond"/>
        </w:rPr>
        <w:t>that the Act</w:t>
      </w:r>
      <w:r w:rsidR="0060032A">
        <w:rPr>
          <w:rFonts w:ascii="Garamond" w:hAnsi="Garamond"/>
        </w:rPr>
        <w:t xml:space="preserve"> </w:t>
      </w:r>
      <w:r w:rsidR="00850701">
        <w:rPr>
          <w:rFonts w:ascii="Garamond" w:hAnsi="Garamond"/>
        </w:rPr>
        <w:t>delegat</w:t>
      </w:r>
      <w:r w:rsidR="001C5D26">
        <w:rPr>
          <w:rFonts w:ascii="Garamond" w:hAnsi="Garamond"/>
        </w:rPr>
        <w:t>ed taxation power to</w:t>
      </w:r>
      <w:r w:rsidR="0075309F">
        <w:rPr>
          <w:rFonts w:ascii="Garamond" w:hAnsi="Garamond"/>
        </w:rPr>
        <w:t xml:space="preserve"> the president</w:t>
      </w:r>
      <w:r w:rsidR="001C5D26">
        <w:rPr>
          <w:rFonts w:ascii="Garamond" w:hAnsi="Garamond"/>
        </w:rPr>
        <w:t>, a power</w:t>
      </w:r>
      <w:r w:rsidR="00A92A2C">
        <w:rPr>
          <w:rFonts w:ascii="Garamond" w:hAnsi="Garamond"/>
        </w:rPr>
        <w:t xml:space="preserve"> vested in the lawmaking function by Article I, sec</w:t>
      </w:r>
      <w:r w:rsidR="00850701">
        <w:rPr>
          <w:rFonts w:ascii="Garamond" w:hAnsi="Garamond"/>
        </w:rPr>
        <w:t>tion 8.  The McKinley Act allowe</w:t>
      </w:r>
      <w:r w:rsidR="00A92A2C">
        <w:rPr>
          <w:rFonts w:ascii="Garamond" w:hAnsi="Garamond"/>
        </w:rPr>
        <w:t>d</w:t>
      </w:r>
      <w:r w:rsidR="001C5D26">
        <w:rPr>
          <w:rFonts w:ascii="Garamond" w:hAnsi="Garamond"/>
        </w:rPr>
        <w:t xml:space="preserve"> the president</w:t>
      </w:r>
      <w:r w:rsidR="0075309F">
        <w:rPr>
          <w:rFonts w:ascii="Garamond" w:hAnsi="Garamond"/>
        </w:rPr>
        <w:t xml:space="preserve"> </w:t>
      </w:r>
      <w:r w:rsidR="0060032A">
        <w:rPr>
          <w:rFonts w:ascii="Garamond" w:hAnsi="Garamond"/>
        </w:rPr>
        <w:t>to de</w:t>
      </w:r>
      <w:r w:rsidR="00850701">
        <w:rPr>
          <w:rFonts w:ascii="Garamond" w:hAnsi="Garamond"/>
        </w:rPr>
        <w:t>termine</w:t>
      </w:r>
      <w:r w:rsidR="0060032A">
        <w:rPr>
          <w:rFonts w:ascii="Garamond" w:hAnsi="Garamond"/>
        </w:rPr>
        <w:t xml:space="preserve"> which imports</w:t>
      </w:r>
      <w:r w:rsidR="0075309F">
        <w:rPr>
          <w:rFonts w:ascii="Garamond" w:hAnsi="Garamond"/>
        </w:rPr>
        <w:t xml:space="preserve"> would be taxed at a higher rate</w:t>
      </w:r>
      <w:r w:rsidR="00F60DA9">
        <w:rPr>
          <w:rFonts w:ascii="Garamond" w:hAnsi="Garamond"/>
        </w:rPr>
        <w:t xml:space="preserve"> </w:t>
      </w:r>
      <w:r w:rsidR="001C5D26">
        <w:rPr>
          <w:rFonts w:ascii="Garamond" w:hAnsi="Garamond"/>
        </w:rPr>
        <w:t>in retaliation for</w:t>
      </w:r>
      <w:r w:rsidR="00334942">
        <w:rPr>
          <w:rFonts w:ascii="Garamond" w:hAnsi="Garamond"/>
        </w:rPr>
        <w:t xml:space="preserve"> </w:t>
      </w:r>
      <w:r w:rsidR="00A92A2C">
        <w:rPr>
          <w:rFonts w:ascii="Garamond" w:hAnsi="Garamond"/>
        </w:rPr>
        <w:t xml:space="preserve">specific </w:t>
      </w:r>
      <w:r w:rsidR="00334942">
        <w:rPr>
          <w:rFonts w:ascii="Garamond" w:hAnsi="Garamond"/>
        </w:rPr>
        <w:t>country-of-</w:t>
      </w:r>
      <w:r w:rsidR="0060032A">
        <w:rPr>
          <w:rFonts w:ascii="Garamond" w:hAnsi="Garamond"/>
        </w:rPr>
        <w:t xml:space="preserve">origin protections. </w:t>
      </w:r>
      <w:r w:rsidR="001C5D26">
        <w:rPr>
          <w:rFonts w:ascii="Garamond" w:hAnsi="Garamond"/>
        </w:rPr>
        <w:t xml:space="preserve"> John Mars</w:t>
      </w:r>
      <w:r w:rsidR="0060032A">
        <w:rPr>
          <w:rFonts w:ascii="Garamond" w:hAnsi="Garamond"/>
        </w:rPr>
        <w:t>hall Harlan, writ</w:t>
      </w:r>
      <w:r w:rsidR="001C5D26">
        <w:rPr>
          <w:rFonts w:ascii="Garamond" w:hAnsi="Garamond"/>
        </w:rPr>
        <w:t>i</w:t>
      </w:r>
      <w:r w:rsidR="00334942">
        <w:rPr>
          <w:rFonts w:ascii="Garamond" w:hAnsi="Garamond"/>
        </w:rPr>
        <w:t>ng for the Court, dismissed the claim.  The president</w:t>
      </w:r>
      <w:r w:rsidR="0060032A">
        <w:rPr>
          <w:rFonts w:ascii="Garamond" w:hAnsi="Garamond"/>
        </w:rPr>
        <w:t xml:space="preserve"> was </w:t>
      </w:r>
      <w:r w:rsidR="00334942">
        <w:rPr>
          <w:rFonts w:ascii="Garamond" w:hAnsi="Garamond"/>
        </w:rPr>
        <w:t>executing</w:t>
      </w:r>
      <w:r w:rsidR="0060032A">
        <w:rPr>
          <w:rFonts w:ascii="Garamond" w:hAnsi="Garamond"/>
        </w:rPr>
        <w:t xml:space="preserve"> the will of Congress in responding to</w:t>
      </w:r>
      <w:r w:rsidR="001C5D26">
        <w:rPr>
          <w:rFonts w:ascii="Garamond" w:hAnsi="Garamond"/>
        </w:rPr>
        <w:t xml:space="preserve"> protectionist practices</w:t>
      </w:r>
      <w:r w:rsidR="00334942">
        <w:rPr>
          <w:rFonts w:ascii="Garamond" w:hAnsi="Garamond"/>
        </w:rPr>
        <w:t>, not creating a new tax on his own</w:t>
      </w:r>
      <w:r w:rsidR="0060032A">
        <w:rPr>
          <w:rFonts w:ascii="Garamond" w:hAnsi="Garamond"/>
        </w:rPr>
        <w:t>.</w:t>
      </w:r>
      <w:r w:rsidR="0075309F">
        <w:rPr>
          <w:rFonts w:ascii="Garamond" w:hAnsi="Garamond"/>
        </w:rPr>
        <w:t xml:space="preserve"> </w:t>
      </w:r>
      <w:r w:rsidR="00334942">
        <w:rPr>
          <w:rFonts w:ascii="Garamond" w:hAnsi="Garamond"/>
        </w:rPr>
        <w:t xml:space="preserve"> </w:t>
      </w:r>
    </w:p>
    <w:p w:rsidR="001C5D26" w:rsidRDefault="00334942" w:rsidP="00514F49">
      <w:pPr>
        <w:spacing w:line="480" w:lineRule="auto"/>
        <w:ind w:firstLine="720"/>
        <w:rPr>
          <w:rFonts w:ascii="Garamond" w:hAnsi="Garamond"/>
        </w:rPr>
      </w:pPr>
      <w:r>
        <w:rPr>
          <w:rFonts w:ascii="Garamond" w:hAnsi="Garamond"/>
        </w:rPr>
        <w:t xml:space="preserve">But </w:t>
      </w:r>
      <w:r w:rsidR="001C5D26">
        <w:rPr>
          <w:rFonts w:ascii="Garamond" w:hAnsi="Garamond"/>
        </w:rPr>
        <w:t>Field’s lawyers found an additional problem with the Act</w:t>
      </w:r>
      <w:r w:rsidR="00E625B0">
        <w:rPr>
          <w:rFonts w:ascii="Garamond" w:hAnsi="Garamond"/>
        </w:rPr>
        <w:t>, which</w:t>
      </w:r>
      <w:r w:rsidR="00850701">
        <w:rPr>
          <w:rFonts w:ascii="Garamond" w:hAnsi="Garamond"/>
        </w:rPr>
        <w:t xml:space="preserve"> </w:t>
      </w:r>
      <w:r w:rsidR="00492FCD">
        <w:rPr>
          <w:rFonts w:ascii="Garamond" w:hAnsi="Garamond"/>
        </w:rPr>
        <w:t>became a</w:t>
      </w:r>
      <w:r>
        <w:rPr>
          <w:rFonts w:ascii="Garamond" w:hAnsi="Garamond"/>
        </w:rPr>
        <w:t xml:space="preserve"> centerpiece of the case’s enduring fame:</w:t>
      </w:r>
      <w:r w:rsidR="0070728F">
        <w:rPr>
          <w:rFonts w:ascii="Garamond" w:hAnsi="Garamond"/>
        </w:rPr>
        <w:t xml:space="preserve">  i</w:t>
      </w:r>
      <w:r w:rsidR="001C5D26">
        <w:rPr>
          <w:rFonts w:ascii="Garamond" w:hAnsi="Garamond"/>
        </w:rPr>
        <w:t>t</w:t>
      </w:r>
      <w:r w:rsidR="0075309F">
        <w:rPr>
          <w:rFonts w:ascii="Garamond" w:hAnsi="Garamond"/>
        </w:rPr>
        <w:t xml:space="preserve"> </w:t>
      </w:r>
      <w:r w:rsidR="001C5D26">
        <w:rPr>
          <w:rFonts w:ascii="Garamond" w:hAnsi="Garamond"/>
        </w:rPr>
        <w:t>had not been properly passed</w:t>
      </w:r>
      <w:r w:rsidR="00255EA5">
        <w:rPr>
          <w:rFonts w:ascii="Garamond" w:hAnsi="Garamond"/>
        </w:rPr>
        <w:t xml:space="preserve"> into law</w:t>
      </w:r>
      <w:r w:rsidR="00A92A2C">
        <w:rPr>
          <w:rFonts w:ascii="Garamond" w:hAnsi="Garamond"/>
        </w:rPr>
        <w:t>,</w:t>
      </w:r>
      <w:r>
        <w:rPr>
          <w:rFonts w:ascii="Garamond" w:hAnsi="Garamond"/>
        </w:rPr>
        <w:t xml:space="preserve"> according to them.  One</w:t>
      </w:r>
      <w:r w:rsidR="0060032A">
        <w:rPr>
          <w:rFonts w:ascii="Garamond" w:hAnsi="Garamond"/>
        </w:rPr>
        <w:t xml:space="preserve"> section of the bi</w:t>
      </w:r>
      <w:r w:rsidR="00A92A2C">
        <w:rPr>
          <w:rFonts w:ascii="Garamond" w:hAnsi="Garamond"/>
        </w:rPr>
        <w:t>ll—Section 30, which offered a rebate on tobacco taxes—had been</w:t>
      </w:r>
      <w:r>
        <w:rPr>
          <w:rFonts w:ascii="Garamond" w:hAnsi="Garamond"/>
        </w:rPr>
        <w:t xml:space="preserve"> </w:t>
      </w:r>
      <w:r w:rsidR="001C5D26">
        <w:rPr>
          <w:rFonts w:ascii="Garamond" w:hAnsi="Garamond"/>
        </w:rPr>
        <w:t>pri</w:t>
      </w:r>
      <w:r w:rsidR="00E625B0">
        <w:rPr>
          <w:rFonts w:ascii="Garamond" w:hAnsi="Garamond"/>
        </w:rPr>
        <w:t xml:space="preserve">nted in both the Senate and the </w:t>
      </w:r>
      <w:r w:rsidR="001C5D26">
        <w:rPr>
          <w:rFonts w:ascii="Garamond" w:hAnsi="Garamond"/>
        </w:rPr>
        <w:t xml:space="preserve">House journals </w:t>
      </w:r>
      <w:r w:rsidR="00A92A2C">
        <w:rPr>
          <w:rFonts w:ascii="Garamond" w:hAnsi="Garamond"/>
        </w:rPr>
        <w:t xml:space="preserve">but </w:t>
      </w:r>
      <w:r w:rsidR="001C5D26">
        <w:rPr>
          <w:rFonts w:ascii="Garamond" w:hAnsi="Garamond"/>
        </w:rPr>
        <w:t xml:space="preserve">had somehow not been engrossed into the final bill.  </w:t>
      </w:r>
      <w:r w:rsidR="00A92A2C">
        <w:rPr>
          <w:rFonts w:ascii="Garamond" w:hAnsi="Garamond"/>
        </w:rPr>
        <w:t>Field’s lawyers argued that there had been no vote</w:t>
      </w:r>
      <w:r w:rsidR="00850701">
        <w:rPr>
          <w:rFonts w:ascii="Garamond" w:hAnsi="Garamond"/>
        </w:rPr>
        <w:t xml:space="preserve"> to eliminate this provision, a</w:t>
      </w:r>
      <w:r w:rsidR="00A92A2C">
        <w:rPr>
          <w:rFonts w:ascii="Garamond" w:hAnsi="Garamond"/>
        </w:rPr>
        <w:t xml:space="preserve">t least one was not shown in the </w:t>
      </w:r>
      <w:r w:rsidR="00850701">
        <w:rPr>
          <w:rFonts w:ascii="Garamond" w:hAnsi="Garamond"/>
        </w:rPr>
        <w:t>journals of either chamber.  S</w:t>
      </w:r>
      <w:r w:rsidR="00A92A2C">
        <w:rPr>
          <w:rFonts w:ascii="Garamond" w:hAnsi="Garamond"/>
        </w:rPr>
        <w:t xml:space="preserve">o the law itself did not correspond to what had passed both houses of Congress.  The constitutional violation asserted was against </w:t>
      </w:r>
      <w:r w:rsidR="001C5D26">
        <w:rPr>
          <w:rFonts w:ascii="Garamond" w:hAnsi="Garamond"/>
        </w:rPr>
        <w:t>Article I, Section 5</w:t>
      </w:r>
      <w:r w:rsidR="00A92A2C">
        <w:rPr>
          <w:rFonts w:ascii="Garamond" w:hAnsi="Garamond"/>
        </w:rPr>
        <w:t xml:space="preserve">, </w:t>
      </w:r>
      <w:r w:rsidR="0070728F">
        <w:rPr>
          <w:rFonts w:ascii="Garamond" w:hAnsi="Garamond"/>
        </w:rPr>
        <w:t xml:space="preserve">clause 3, </w:t>
      </w:r>
      <w:r w:rsidR="00A92A2C">
        <w:rPr>
          <w:rFonts w:ascii="Garamond" w:hAnsi="Garamond"/>
        </w:rPr>
        <w:t>which</w:t>
      </w:r>
      <w:r w:rsidR="001C5D26">
        <w:rPr>
          <w:rFonts w:ascii="Garamond" w:hAnsi="Garamond"/>
        </w:rPr>
        <w:t xml:space="preserve"> requires each chamber to keep a journal containing </w:t>
      </w:r>
      <w:r w:rsidR="00A92A2C">
        <w:rPr>
          <w:rFonts w:ascii="Garamond" w:hAnsi="Garamond"/>
        </w:rPr>
        <w:t xml:space="preserve">the </w:t>
      </w:r>
      <w:r w:rsidR="001C5D26">
        <w:rPr>
          <w:rFonts w:ascii="Garamond" w:hAnsi="Garamond"/>
        </w:rPr>
        <w:t xml:space="preserve">yeas and </w:t>
      </w:r>
      <w:r w:rsidR="00255EA5">
        <w:rPr>
          <w:rFonts w:ascii="Garamond" w:hAnsi="Garamond"/>
        </w:rPr>
        <w:t>nays on matters where a minimal number of representat</w:t>
      </w:r>
      <w:r w:rsidR="00C6613D">
        <w:rPr>
          <w:rFonts w:ascii="Garamond" w:hAnsi="Garamond"/>
        </w:rPr>
        <w:t>ives request a formal vote</w:t>
      </w:r>
      <w:r w:rsidR="00A92A2C">
        <w:rPr>
          <w:rFonts w:ascii="Garamond" w:hAnsi="Garamond"/>
        </w:rPr>
        <w:t>.  To them, t</w:t>
      </w:r>
      <w:r w:rsidR="001C5D26">
        <w:rPr>
          <w:rFonts w:ascii="Garamond" w:hAnsi="Garamond"/>
        </w:rPr>
        <w:t>he mistake meant that the law was improperly passed</w:t>
      </w:r>
      <w:r w:rsidR="00255EA5">
        <w:rPr>
          <w:rFonts w:ascii="Garamond" w:hAnsi="Garamond"/>
        </w:rPr>
        <w:t xml:space="preserve">.  It </w:t>
      </w:r>
      <w:r w:rsidR="00A92A2C">
        <w:rPr>
          <w:rFonts w:ascii="Garamond" w:hAnsi="Garamond"/>
        </w:rPr>
        <w:t>could not be trusted as law</w:t>
      </w:r>
      <w:r w:rsidR="001C5D26">
        <w:rPr>
          <w:rFonts w:ascii="Garamond" w:hAnsi="Garamond"/>
        </w:rPr>
        <w:t xml:space="preserve"> and</w:t>
      </w:r>
      <w:r w:rsidR="00A92A2C">
        <w:rPr>
          <w:rFonts w:ascii="Garamond" w:hAnsi="Garamond"/>
        </w:rPr>
        <w:t xml:space="preserve"> was therefore null and void.</w:t>
      </w:r>
    </w:p>
    <w:p w:rsidR="00184380" w:rsidRDefault="001C5D26" w:rsidP="00514F49">
      <w:pPr>
        <w:spacing w:line="480" w:lineRule="auto"/>
        <w:ind w:firstLine="720"/>
        <w:rPr>
          <w:rFonts w:ascii="Garamond" w:hAnsi="Garamond"/>
        </w:rPr>
      </w:pPr>
      <w:r>
        <w:rPr>
          <w:rFonts w:ascii="Garamond" w:hAnsi="Garamond"/>
        </w:rPr>
        <w:t xml:space="preserve">Harlan did not </w:t>
      </w:r>
      <w:r w:rsidR="0070728F">
        <w:rPr>
          <w:rFonts w:ascii="Garamond" w:hAnsi="Garamond"/>
        </w:rPr>
        <w:t>agree.  The McKinley Act</w:t>
      </w:r>
      <w:r w:rsidR="00A92A2C">
        <w:rPr>
          <w:rFonts w:ascii="Garamond" w:hAnsi="Garamond"/>
        </w:rPr>
        <w:t xml:space="preserve">, without its former Section 30, </w:t>
      </w:r>
      <w:r>
        <w:rPr>
          <w:rFonts w:ascii="Garamond" w:hAnsi="Garamond"/>
        </w:rPr>
        <w:t xml:space="preserve">had been certified </w:t>
      </w:r>
      <w:r w:rsidR="00E625B0">
        <w:rPr>
          <w:rFonts w:ascii="Garamond" w:hAnsi="Garamond"/>
        </w:rPr>
        <w:t>as law</w:t>
      </w:r>
      <w:r>
        <w:rPr>
          <w:rFonts w:ascii="Garamond" w:hAnsi="Garamond"/>
        </w:rPr>
        <w:t xml:space="preserve"> by the Speaker of the House, the President of the Senate, and the President of the United States.  Field felt that it would be too intrusive for the judiciary to </w:t>
      </w:r>
      <w:r w:rsidR="00A92A2C">
        <w:rPr>
          <w:rFonts w:ascii="Garamond" w:hAnsi="Garamond"/>
        </w:rPr>
        <w:t>pry</w:t>
      </w:r>
      <w:r>
        <w:rPr>
          <w:rFonts w:ascii="Garamond" w:hAnsi="Garamond"/>
        </w:rPr>
        <w:t xml:space="preserve"> into the legislative process in such a case</w:t>
      </w:r>
      <w:r w:rsidR="00184380">
        <w:rPr>
          <w:rFonts w:ascii="Garamond" w:hAnsi="Garamond"/>
        </w:rPr>
        <w:t>.  A certified act</w:t>
      </w:r>
      <w:r>
        <w:rPr>
          <w:rFonts w:ascii="Garamond" w:hAnsi="Garamond"/>
        </w:rPr>
        <w:t xml:space="preserve"> “carries, on its face, a solemn assurance by the legislative and executive departments of the government, charged, respectively, with the duty of enacting and executing the laws, that it was</w:t>
      </w:r>
      <w:r w:rsidR="00184380">
        <w:rPr>
          <w:rFonts w:ascii="Garamond" w:hAnsi="Garamond"/>
        </w:rPr>
        <w:t xml:space="preserve"> passed by Congress.”  The C</w:t>
      </w:r>
      <w:r w:rsidR="00E94754">
        <w:rPr>
          <w:rFonts w:ascii="Garamond" w:hAnsi="Garamond"/>
        </w:rPr>
        <w:t>ourt could</w:t>
      </w:r>
      <w:r>
        <w:rPr>
          <w:rFonts w:ascii="Garamond" w:hAnsi="Garamond"/>
        </w:rPr>
        <w:t xml:space="preserve"> </w:t>
      </w:r>
      <w:r w:rsidR="00184380">
        <w:rPr>
          <w:rFonts w:ascii="Garamond" w:hAnsi="Garamond"/>
        </w:rPr>
        <w:t xml:space="preserve">still </w:t>
      </w:r>
      <w:r>
        <w:rPr>
          <w:rFonts w:ascii="Garamond" w:hAnsi="Garamond"/>
        </w:rPr>
        <w:t>judge the bill’</w:t>
      </w:r>
      <w:r w:rsidR="00E94754">
        <w:rPr>
          <w:rFonts w:ascii="Garamond" w:hAnsi="Garamond"/>
        </w:rPr>
        <w:t xml:space="preserve">s constitutionality, but it should not </w:t>
      </w:r>
      <w:r w:rsidR="00184380">
        <w:rPr>
          <w:rFonts w:ascii="Garamond" w:hAnsi="Garamond"/>
        </w:rPr>
        <w:t xml:space="preserve">inquire </w:t>
      </w:r>
      <w:r w:rsidR="00E94754">
        <w:rPr>
          <w:rFonts w:ascii="Garamond" w:hAnsi="Garamond"/>
        </w:rPr>
        <w:t xml:space="preserve">into how </w:t>
      </w:r>
      <w:r w:rsidR="00184380">
        <w:rPr>
          <w:rFonts w:ascii="Garamond" w:hAnsi="Garamond"/>
        </w:rPr>
        <w:t>it</w:t>
      </w:r>
      <w:r w:rsidR="00E94754">
        <w:rPr>
          <w:rFonts w:ascii="Garamond" w:hAnsi="Garamond"/>
        </w:rPr>
        <w:t xml:space="preserve"> was passed.  </w:t>
      </w:r>
      <w:r w:rsidR="00B92A61">
        <w:rPr>
          <w:rFonts w:ascii="Garamond" w:hAnsi="Garamond"/>
        </w:rPr>
        <w:t xml:space="preserve">Harlan borrowed language from a recently decided case from Mississippi, </w:t>
      </w:r>
      <w:r w:rsidR="00B92A61" w:rsidRPr="00C6613D">
        <w:rPr>
          <w:rFonts w:ascii="Garamond" w:hAnsi="Garamond"/>
          <w:i/>
        </w:rPr>
        <w:t>Ex Parte Wren</w:t>
      </w:r>
      <w:r w:rsidR="00B92A61">
        <w:rPr>
          <w:rFonts w:ascii="Garamond" w:hAnsi="Garamond"/>
        </w:rPr>
        <w:t xml:space="preserve"> (1886), which held that “‘the respect due to coequal and independent departments requires the judicial department to act upon that assurance, and to accept, as having passed Congress, all bills authenticated’” in this manner.  </w:t>
      </w:r>
      <w:r w:rsidR="00184380">
        <w:rPr>
          <w:rFonts w:ascii="Garamond" w:hAnsi="Garamond"/>
        </w:rPr>
        <w:t xml:space="preserve">Thus a </w:t>
      </w:r>
      <w:r w:rsidR="0070728F">
        <w:rPr>
          <w:rFonts w:ascii="Garamond" w:hAnsi="Garamond"/>
        </w:rPr>
        <w:t xml:space="preserve">“judicial deference </w:t>
      </w:r>
      <w:r w:rsidR="00184380">
        <w:rPr>
          <w:rFonts w:ascii="Garamond" w:hAnsi="Garamond"/>
        </w:rPr>
        <w:t>doctrine</w:t>
      </w:r>
      <w:r w:rsidR="0070728F">
        <w:rPr>
          <w:rFonts w:ascii="Garamond" w:hAnsi="Garamond"/>
        </w:rPr>
        <w:t>”</w:t>
      </w:r>
      <w:r w:rsidR="00184380">
        <w:rPr>
          <w:rFonts w:ascii="Garamond" w:hAnsi="Garamond"/>
        </w:rPr>
        <w:t xml:space="preserve"> was </w:t>
      </w:r>
      <w:r w:rsidR="00627D10">
        <w:rPr>
          <w:rFonts w:ascii="Garamond" w:hAnsi="Garamond"/>
        </w:rPr>
        <w:t xml:space="preserve">articulated </w:t>
      </w:r>
      <w:r w:rsidR="0070728F">
        <w:rPr>
          <w:rFonts w:ascii="Garamond" w:hAnsi="Garamond"/>
        </w:rPr>
        <w:t xml:space="preserve">in </w:t>
      </w:r>
      <w:r w:rsidR="0070728F">
        <w:rPr>
          <w:rFonts w:ascii="Garamond" w:hAnsi="Garamond"/>
          <w:i/>
        </w:rPr>
        <w:t>Field</w:t>
      </w:r>
      <w:r w:rsidR="0070728F">
        <w:rPr>
          <w:rFonts w:ascii="Garamond" w:hAnsi="Garamond"/>
        </w:rPr>
        <w:t xml:space="preserve"> out of what was a</w:t>
      </w:r>
      <w:r w:rsidR="00184380">
        <w:rPr>
          <w:rFonts w:ascii="Garamond" w:hAnsi="Garamond"/>
        </w:rPr>
        <w:t xml:space="preserve"> typical </w:t>
      </w:r>
      <w:r w:rsidR="00627D10">
        <w:rPr>
          <w:rFonts w:ascii="Garamond" w:hAnsi="Garamond"/>
        </w:rPr>
        <w:t xml:space="preserve">practice </w:t>
      </w:r>
      <w:r w:rsidR="00E625B0">
        <w:rPr>
          <w:rFonts w:ascii="Garamond" w:hAnsi="Garamond"/>
        </w:rPr>
        <w:t>of the C</w:t>
      </w:r>
      <w:r w:rsidR="00184380">
        <w:rPr>
          <w:rFonts w:ascii="Garamond" w:hAnsi="Garamond"/>
        </w:rPr>
        <w:t xml:space="preserve">ourt:  </w:t>
      </w:r>
      <w:r w:rsidR="00E625B0">
        <w:rPr>
          <w:rFonts w:ascii="Garamond" w:hAnsi="Garamond"/>
        </w:rPr>
        <w:t>the Court</w:t>
      </w:r>
      <w:r w:rsidR="0070728F">
        <w:rPr>
          <w:rFonts w:ascii="Garamond" w:hAnsi="Garamond"/>
        </w:rPr>
        <w:t xml:space="preserve"> judge</w:t>
      </w:r>
      <w:r w:rsidR="00E625B0">
        <w:rPr>
          <w:rFonts w:ascii="Garamond" w:hAnsi="Garamond"/>
        </w:rPr>
        <w:t>d</w:t>
      </w:r>
      <w:r w:rsidR="000523EF">
        <w:rPr>
          <w:rFonts w:ascii="Garamond" w:hAnsi="Garamond"/>
        </w:rPr>
        <w:t xml:space="preserve"> the constitutionality of</w:t>
      </w:r>
      <w:r w:rsidR="00627D10">
        <w:rPr>
          <w:rFonts w:ascii="Garamond" w:hAnsi="Garamond"/>
        </w:rPr>
        <w:t xml:space="preserve"> </w:t>
      </w:r>
      <w:r w:rsidR="000523EF">
        <w:rPr>
          <w:rFonts w:ascii="Garamond" w:hAnsi="Garamond"/>
        </w:rPr>
        <w:t>content in</w:t>
      </w:r>
      <w:r w:rsidR="00E625B0">
        <w:rPr>
          <w:rFonts w:ascii="Garamond" w:hAnsi="Garamond"/>
        </w:rPr>
        <w:t xml:space="preserve"> the </w:t>
      </w:r>
      <w:r w:rsidR="00627D10">
        <w:rPr>
          <w:rFonts w:ascii="Garamond" w:hAnsi="Garamond"/>
        </w:rPr>
        <w:t xml:space="preserve">law as </w:t>
      </w:r>
      <w:r w:rsidR="0070728F">
        <w:rPr>
          <w:rFonts w:ascii="Garamond" w:hAnsi="Garamond"/>
        </w:rPr>
        <w:t xml:space="preserve">it was </w:t>
      </w:r>
      <w:r w:rsidR="00627D10">
        <w:rPr>
          <w:rFonts w:ascii="Garamond" w:hAnsi="Garamond"/>
        </w:rPr>
        <w:t>written</w:t>
      </w:r>
      <w:r w:rsidR="0070728F">
        <w:rPr>
          <w:rFonts w:ascii="Garamond" w:hAnsi="Garamond"/>
        </w:rPr>
        <w:t xml:space="preserve"> and applied, but not </w:t>
      </w:r>
      <w:r w:rsidR="00627D10">
        <w:rPr>
          <w:rFonts w:ascii="Garamond" w:hAnsi="Garamond"/>
        </w:rPr>
        <w:t>the legislat</w:t>
      </w:r>
      <w:r w:rsidR="000523EF">
        <w:rPr>
          <w:rFonts w:ascii="Garamond" w:hAnsi="Garamond"/>
        </w:rPr>
        <w:t>ive process by which it</w:t>
      </w:r>
      <w:r w:rsidR="00627D10">
        <w:rPr>
          <w:rFonts w:ascii="Garamond" w:hAnsi="Garamond"/>
        </w:rPr>
        <w:t xml:space="preserve"> passed</w:t>
      </w:r>
      <w:r w:rsidR="00184380">
        <w:rPr>
          <w:rFonts w:ascii="Garamond" w:hAnsi="Garamond"/>
        </w:rPr>
        <w:t xml:space="preserve">.  Harlan need not have used the term “coequal” to describe this </w:t>
      </w:r>
      <w:r w:rsidR="00627D10">
        <w:rPr>
          <w:rFonts w:ascii="Garamond" w:hAnsi="Garamond"/>
        </w:rPr>
        <w:t xml:space="preserve">doctrine of </w:t>
      </w:r>
      <w:r w:rsidR="00184380">
        <w:rPr>
          <w:rFonts w:ascii="Garamond" w:hAnsi="Garamond"/>
        </w:rPr>
        <w:t>deference, but he did.</w:t>
      </w:r>
    </w:p>
    <w:p w:rsidR="00E94754" w:rsidRDefault="000523EF" w:rsidP="00514F49">
      <w:pPr>
        <w:spacing w:line="480" w:lineRule="auto"/>
        <w:ind w:firstLine="720"/>
        <w:rPr>
          <w:rFonts w:ascii="Garamond" w:hAnsi="Garamond"/>
        </w:rPr>
      </w:pPr>
      <w:r>
        <w:rPr>
          <w:rFonts w:ascii="Garamond" w:hAnsi="Garamond"/>
        </w:rPr>
        <w:t xml:space="preserve">In </w:t>
      </w:r>
      <w:r w:rsidR="00627D10">
        <w:rPr>
          <w:rFonts w:ascii="Garamond" w:hAnsi="Garamond"/>
        </w:rPr>
        <w:t>two</w:t>
      </w:r>
      <w:r w:rsidR="00184380">
        <w:rPr>
          <w:rFonts w:ascii="Garamond" w:hAnsi="Garamond"/>
        </w:rPr>
        <w:t xml:space="preserve"> subseque</w:t>
      </w:r>
      <w:r w:rsidR="0070728F">
        <w:rPr>
          <w:rFonts w:ascii="Garamond" w:hAnsi="Garamond"/>
        </w:rPr>
        <w:t>nt cases Harlan applied his own</w:t>
      </w:r>
      <w:r w:rsidR="00627D10">
        <w:rPr>
          <w:rFonts w:ascii="Garamond" w:hAnsi="Garamond"/>
        </w:rPr>
        <w:t xml:space="preserve"> </w:t>
      </w:r>
      <w:r w:rsidR="00E625B0">
        <w:rPr>
          <w:rFonts w:ascii="Garamond" w:hAnsi="Garamond"/>
        </w:rPr>
        <w:t xml:space="preserve">deference </w:t>
      </w:r>
      <w:r w:rsidR="00627D10">
        <w:rPr>
          <w:rFonts w:ascii="Garamond" w:hAnsi="Garamond"/>
        </w:rPr>
        <w:t>doctrine</w:t>
      </w:r>
      <w:r w:rsidR="0070728F">
        <w:rPr>
          <w:rFonts w:ascii="Garamond" w:hAnsi="Garamond"/>
        </w:rPr>
        <w:t>,</w:t>
      </w:r>
      <w:r w:rsidR="00627D10">
        <w:rPr>
          <w:rFonts w:ascii="Garamond" w:hAnsi="Garamond"/>
        </w:rPr>
        <w:t xml:space="preserve"> quoting </w:t>
      </w:r>
      <w:r w:rsidR="003F7ED8">
        <w:rPr>
          <w:rFonts w:ascii="Garamond" w:hAnsi="Garamond"/>
        </w:rPr>
        <w:t>the</w:t>
      </w:r>
      <w:r w:rsidR="00627D10">
        <w:rPr>
          <w:rFonts w:ascii="Garamond" w:hAnsi="Garamond"/>
        </w:rPr>
        <w:t xml:space="preserve"> words from </w:t>
      </w:r>
      <w:r w:rsidR="00627D10">
        <w:rPr>
          <w:rFonts w:ascii="Garamond" w:hAnsi="Garamond"/>
          <w:i/>
        </w:rPr>
        <w:t>Field</w:t>
      </w:r>
      <w:r w:rsidR="00184380">
        <w:rPr>
          <w:rFonts w:ascii="Garamond" w:hAnsi="Garamond"/>
        </w:rPr>
        <w:t xml:space="preserve">.  In </w:t>
      </w:r>
      <w:r w:rsidR="00184380" w:rsidRPr="00627D10">
        <w:rPr>
          <w:rFonts w:ascii="Garamond" w:hAnsi="Garamond"/>
          <w:i/>
        </w:rPr>
        <w:t xml:space="preserve">Harwood v. Wentworth </w:t>
      </w:r>
      <w:r w:rsidR="00184380">
        <w:rPr>
          <w:rFonts w:ascii="Garamond" w:hAnsi="Garamond"/>
        </w:rPr>
        <w:t>(1896) he reasoned that a</w:t>
      </w:r>
      <w:r w:rsidR="00627D10">
        <w:rPr>
          <w:rFonts w:ascii="Garamond" w:hAnsi="Garamond"/>
        </w:rPr>
        <w:t>n Arizona territorial</w:t>
      </w:r>
      <w:r w:rsidR="00184380">
        <w:rPr>
          <w:rFonts w:ascii="Garamond" w:hAnsi="Garamond"/>
        </w:rPr>
        <w:t xml:space="preserve"> bill which </w:t>
      </w:r>
      <w:r w:rsidR="00627D10">
        <w:rPr>
          <w:rFonts w:ascii="Garamond" w:hAnsi="Garamond"/>
        </w:rPr>
        <w:t xml:space="preserve">was to go into effect on a particular date was not nullified by its being implemented </w:t>
      </w:r>
      <w:r w:rsidR="0070728F">
        <w:rPr>
          <w:rFonts w:ascii="Garamond" w:hAnsi="Garamond"/>
        </w:rPr>
        <w:t xml:space="preserve">months </w:t>
      </w:r>
      <w:r w:rsidR="00627D10">
        <w:rPr>
          <w:rFonts w:ascii="Garamond" w:hAnsi="Garamond"/>
        </w:rPr>
        <w:t>later</w:t>
      </w:r>
      <w:r w:rsidR="00184380">
        <w:rPr>
          <w:rFonts w:ascii="Garamond" w:hAnsi="Garamond"/>
        </w:rPr>
        <w:t xml:space="preserve">.  </w:t>
      </w:r>
      <w:r w:rsidR="00627D10">
        <w:rPr>
          <w:rFonts w:ascii="Garamond" w:hAnsi="Garamond"/>
        </w:rPr>
        <w:t>Such nitpicking would violate the “‘respect due to coequal and independent departments.’”</w:t>
      </w:r>
      <w:r w:rsidR="00E625B0">
        <w:rPr>
          <w:rStyle w:val="FootnoteReference"/>
          <w:rFonts w:ascii="Garamond" w:hAnsi="Garamond"/>
        </w:rPr>
        <w:footnoteReference w:id="9"/>
      </w:r>
      <w:r w:rsidR="00627D10">
        <w:rPr>
          <w:rFonts w:ascii="Garamond" w:hAnsi="Garamond"/>
        </w:rPr>
        <w:t xml:space="preserve">  </w:t>
      </w:r>
      <w:r w:rsidR="00184380">
        <w:rPr>
          <w:rFonts w:ascii="Garamond" w:hAnsi="Garamond"/>
        </w:rPr>
        <w:t xml:space="preserve">In </w:t>
      </w:r>
      <w:r w:rsidR="00184380" w:rsidRPr="00627D10">
        <w:rPr>
          <w:rFonts w:ascii="Garamond" w:hAnsi="Garamond"/>
          <w:i/>
        </w:rPr>
        <w:t>Twin City Bank v. Nebeker</w:t>
      </w:r>
      <w:r w:rsidR="00184380">
        <w:rPr>
          <w:rFonts w:ascii="Garamond" w:hAnsi="Garamond"/>
        </w:rPr>
        <w:t xml:space="preserve"> (1897)</w:t>
      </w:r>
      <w:r w:rsidR="00627D10">
        <w:rPr>
          <w:rFonts w:ascii="Garamond" w:hAnsi="Garamond"/>
        </w:rPr>
        <w:t xml:space="preserve"> a taxation clause that </w:t>
      </w:r>
      <w:r w:rsidR="0070728F">
        <w:rPr>
          <w:rFonts w:ascii="Garamond" w:hAnsi="Garamond"/>
        </w:rPr>
        <w:t xml:space="preserve">had </w:t>
      </w:r>
      <w:r w:rsidR="00627D10">
        <w:rPr>
          <w:rFonts w:ascii="Garamond" w:hAnsi="Garamond"/>
        </w:rPr>
        <w:t xml:space="preserve">originated in the Senate was </w:t>
      </w:r>
      <w:r w:rsidR="003F7ED8">
        <w:rPr>
          <w:rFonts w:ascii="Garamond" w:hAnsi="Garamond"/>
        </w:rPr>
        <w:t xml:space="preserve">similarly </w:t>
      </w:r>
      <w:r w:rsidR="00627D10">
        <w:rPr>
          <w:rFonts w:ascii="Garamond" w:hAnsi="Garamond"/>
        </w:rPr>
        <w:t>held not to invalidate a law</w:t>
      </w:r>
      <w:r w:rsidR="00E625B0">
        <w:rPr>
          <w:rFonts w:ascii="Garamond" w:hAnsi="Garamond"/>
        </w:rPr>
        <w:t>, as it had been certified</w:t>
      </w:r>
      <w:r w:rsidR="0070728F">
        <w:rPr>
          <w:rFonts w:ascii="Garamond" w:hAnsi="Garamond"/>
        </w:rPr>
        <w:t xml:space="preserve"> valid by the Speaker, the President</w:t>
      </w:r>
      <w:r w:rsidR="00E625B0">
        <w:rPr>
          <w:rFonts w:ascii="Garamond" w:hAnsi="Garamond"/>
        </w:rPr>
        <w:t xml:space="preserve"> of the Senate</w:t>
      </w:r>
      <w:r w:rsidR="0070728F">
        <w:rPr>
          <w:rFonts w:ascii="Garamond" w:hAnsi="Garamond"/>
        </w:rPr>
        <w:t>, and the President of the United States</w:t>
      </w:r>
      <w:r w:rsidR="00627D10">
        <w:rPr>
          <w:rFonts w:ascii="Garamond" w:hAnsi="Garamond"/>
        </w:rPr>
        <w:t xml:space="preserve">.  </w:t>
      </w:r>
      <w:r w:rsidR="00E625B0">
        <w:rPr>
          <w:rFonts w:ascii="Garamond" w:hAnsi="Garamond"/>
        </w:rPr>
        <w:t>To Harlan, it seems</w:t>
      </w:r>
      <w:r w:rsidR="00627D10">
        <w:rPr>
          <w:rFonts w:ascii="Garamond" w:hAnsi="Garamond"/>
        </w:rPr>
        <w:t>, any properly passed federal law was due def</w:t>
      </w:r>
      <w:r w:rsidR="00E625B0">
        <w:rPr>
          <w:rFonts w:ascii="Garamond" w:hAnsi="Garamond"/>
        </w:rPr>
        <w:t>erence by the Court unless it</w:t>
      </w:r>
      <w:r w:rsidR="00627D10">
        <w:rPr>
          <w:rFonts w:ascii="Garamond" w:hAnsi="Garamond"/>
        </w:rPr>
        <w:t>s</w:t>
      </w:r>
      <w:r w:rsidR="00E625B0">
        <w:rPr>
          <w:rFonts w:ascii="Garamond" w:hAnsi="Garamond"/>
        </w:rPr>
        <w:t xml:space="preserve"> content was</w:t>
      </w:r>
      <w:r w:rsidR="00627D10">
        <w:rPr>
          <w:rFonts w:ascii="Garamond" w:hAnsi="Garamond"/>
        </w:rPr>
        <w:t xml:space="preserve"> unconstitutional.  However, in </w:t>
      </w:r>
      <w:r w:rsidR="00627D10" w:rsidRPr="00492FCD">
        <w:rPr>
          <w:rFonts w:ascii="Garamond" w:hAnsi="Garamond"/>
          <w:i/>
        </w:rPr>
        <w:t>Wilkes County v. Coler</w:t>
      </w:r>
      <w:r w:rsidR="00492FCD">
        <w:rPr>
          <w:rFonts w:ascii="Garamond" w:hAnsi="Garamond"/>
        </w:rPr>
        <w:t xml:space="preserve"> (1901)</w:t>
      </w:r>
      <w:r w:rsidR="00627D10">
        <w:rPr>
          <w:rFonts w:ascii="Garamond" w:hAnsi="Garamond"/>
        </w:rPr>
        <w:t>, Harlan</w:t>
      </w:r>
      <w:r w:rsidR="0070728F">
        <w:rPr>
          <w:rFonts w:ascii="Garamond" w:hAnsi="Garamond"/>
        </w:rPr>
        <w:t xml:space="preserve"> himself</w:t>
      </w:r>
      <w:r w:rsidR="00627D10">
        <w:rPr>
          <w:rFonts w:ascii="Garamond" w:hAnsi="Garamond"/>
        </w:rPr>
        <w:t xml:space="preserve"> </w:t>
      </w:r>
      <w:r w:rsidR="00492FCD">
        <w:rPr>
          <w:rFonts w:ascii="Garamond" w:hAnsi="Garamond"/>
        </w:rPr>
        <w:t>int</w:t>
      </w:r>
      <w:r>
        <w:rPr>
          <w:rFonts w:ascii="Garamond" w:hAnsi="Garamond"/>
        </w:rPr>
        <w:t>roduced a limit or caveat on this</w:t>
      </w:r>
      <w:r w:rsidR="00492FCD">
        <w:rPr>
          <w:rFonts w:ascii="Garamond" w:hAnsi="Garamond"/>
        </w:rPr>
        <w:t xml:space="preserve"> judicial deference doctrine.  A North Carolina law had not been read three times before passage, a necessary procedure in that state (and many others).  Could the law be considered unconstitutional because of this</w:t>
      </w:r>
      <w:r w:rsidR="003F7ED8">
        <w:rPr>
          <w:rFonts w:ascii="Garamond" w:hAnsi="Garamond"/>
        </w:rPr>
        <w:t xml:space="preserve"> oversight</w:t>
      </w:r>
      <w:r w:rsidR="00492FCD">
        <w:rPr>
          <w:rFonts w:ascii="Garamond" w:hAnsi="Garamond"/>
        </w:rPr>
        <w:t xml:space="preserve">?  Harlan’s answer was neither yes </w:t>
      </w:r>
      <w:r w:rsidR="00E625B0">
        <w:rPr>
          <w:rFonts w:ascii="Garamond" w:hAnsi="Garamond"/>
        </w:rPr>
        <w:t>n</w:t>
      </w:r>
      <w:r w:rsidR="00492FCD">
        <w:rPr>
          <w:rFonts w:ascii="Garamond" w:hAnsi="Garamond"/>
        </w:rPr>
        <w:t>or no</w:t>
      </w:r>
      <w:r w:rsidR="0070728F">
        <w:rPr>
          <w:rFonts w:ascii="Garamond" w:hAnsi="Garamond"/>
        </w:rPr>
        <w:t>.  I</w:t>
      </w:r>
      <w:r w:rsidR="00492FCD">
        <w:rPr>
          <w:rFonts w:ascii="Garamond" w:hAnsi="Garamond"/>
        </w:rPr>
        <w:t xml:space="preserve">t was </w:t>
      </w:r>
      <w:r w:rsidR="0070728F">
        <w:rPr>
          <w:rFonts w:ascii="Garamond" w:hAnsi="Garamond"/>
        </w:rPr>
        <w:t>up to the state courts to determine</w:t>
      </w:r>
      <w:r w:rsidR="00492FCD">
        <w:rPr>
          <w:rFonts w:ascii="Garamond" w:hAnsi="Garamond"/>
        </w:rPr>
        <w:t xml:space="preserve"> the issue</w:t>
      </w:r>
      <w:r w:rsidR="0070728F">
        <w:rPr>
          <w:rFonts w:ascii="Garamond" w:hAnsi="Garamond"/>
        </w:rPr>
        <w:t>, as it was the state constitution which potentially had been violated</w:t>
      </w:r>
      <w:r w:rsidR="00492FCD">
        <w:rPr>
          <w:rFonts w:ascii="Garamond" w:hAnsi="Garamond"/>
        </w:rPr>
        <w:t xml:space="preserve">.  </w:t>
      </w:r>
    </w:p>
    <w:p w:rsidR="00206FB6" w:rsidRDefault="00E94754" w:rsidP="00514F49">
      <w:pPr>
        <w:spacing w:line="480" w:lineRule="auto"/>
        <w:ind w:firstLine="720"/>
        <w:rPr>
          <w:rFonts w:ascii="Garamond" w:hAnsi="Garamond"/>
        </w:rPr>
      </w:pPr>
      <w:r>
        <w:rPr>
          <w:rFonts w:ascii="Garamond" w:hAnsi="Garamond"/>
        </w:rPr>
        <w:t xml:space="preserve">What is left unclear in Harlan’s </w:t>
      </w:r>
      <w:r w:rsidR="0070728F">
        <w:rPr>
          <w:rFonts w:ascii="Garamond" w:hAnsi="Garamond"/>
        </w:rPr>
        <w:t>reasoning is whether</w:t>
      </w:r>
      <w:r w:rsidR="00492FCD">
        <w:rPr>
          <w:rFonts w:ascii="Garamond" w:hAnsi="Garamond"/>
        </w:rPr>
        <w:t xml:space="preserve"> th</w:t>
      </w:r>
      <w:r w:rsidR="0070728F">
        <w:rPr>
          <w:rFonts w:ascii="Garamond" w:hAnsi="Garamond"/>
        </w:rPr>
        <w:t>e</w:t>
      </w:r>
      <w:r w:rsidR="00492FCD">
        <w:rPr>
          <w:rFonts w:ascii="Garamond" w:hAnsi="Garamond"/>
        </w:rPr>
        <w:t xml:space="preserve"> judicial deference doctrine was</w:t>
      </w:r>
      <w:r>
        <w:rPr>
          <w:rFonts w:ascii="Garamond" w:hAnsi="Garamond"/>
        </w:rPr>
        <w:t xml:space="preserve"> </w:t>
      </w:r>
      <w:r w:rsidR="00492FCD">
        <w:rPr>
          <w:rFonts w:ascii="Garamond" w:hAnsi="Garamond"/>
        </w:rPr>
        <w:t>constitutionally derived</w:t>
      </w:r>
      <w:r>
        <w:rPr>
          <w:rFonts w:ascii="Garamond" w:hAnsi="Garamond"/>
        </w:rPr>
        <w:t xml:space="preserve">.  </w:t>
      </w:r>
      <w:r w:rsidR="0070728F">
        <w:rPr>
          <w:rFonts w:ascii="Garamond" w:hAnsi="Garamond"/>
        </w:rPr>
        <w:t>There is no specific constitu</w:t>
      </w:r>
      <w:r w:rsidR="003F7ED8">
        <w:rPr>
          <w:rFonts w:ascii="Garamond" w:hAnsi="Garamond"/>
        </w:rPr>
        <w:t>tional provision Harlan cites</w:t>
      </w:r>
      <w:r w:rsidR="0070728F">
        <w:rPr>
          <w:rFonts w:ascii="Garamond" w:hAnsi="Garamond"/>
        </w:rPr>
        <w:t xml:space="preserve"> </w:t>
      </w:r>
      <w:r w:rsidR="00E625B0">
        <w:rPr>
          <w:rFonts w:ascii="Garamond" w:hAnsi="Garamond"/>
        </w:rPr>
        <w:t xml:space="preserve">as </w:t>
      </w:r>
      <w:r w:rsidR="0070728F">
        <w:rPr>
          <w:rFonts w:ascii="Garamond" w:hAnsi="Garamond"/>
        </w:rPr>
        <w:t>requiring this d</w:t>
      </w:r>
      <w:r w:rsidR="00C6613D">
        <w:rPr>
          <w:rFonts w:ascii="Garamond" w:hAnsi="Garamond"/>
        </w:rPr>
        <w:t>eference.  Rather his position seem</w:t>
      </w:r>
      <w:r w:rsidR="0070728F">
        <w:rPr>
          <w:rFonts w:ascii="Garamond" w:hAnsi="Garamond"/>
        </w:rPr>
        <w:t xml:space="preserve">s </w:t>
      </w:r>
      <w:r w:rsidR="003F7ED8">
        <w:rPr>
          <w:rFonts w:ascii="Garamond" w:hAnsi="Garamond"/>
        </w:rPr>
        <w:t>rooted</w:t>
      </w:r>
      <w:r w:rsidR="0070728F">
        <w:rPr>
          <w:rFonts w:ascii="Garamond" w:hAnsi="Garamond"/>
        </w:rPr>
        <w:t xml:space="preserve"> i</w:t>
      </w:r>
      <w:r w:rsidR="00C6613D">
        <w:rPr>
          <w:rFonts w:ascii="Garamond" w:hAnsi="Garamond"/>
        </w:rPr>
        <w:t>n a more general view—</w:t>
      </w:r>
      <w:r w:rsidR="0070728F">
        <w:rPr>
          <w:rFonts w:ascii="Garamond" w:hAnsi="Garamond"/>
        </w:rPr>
        <w:t>the same one offered by President Jackson in 1834—</w:t>
      </w:r>
      <w:r w:rsidR="00F425A3">
        <w:rPr>
          <w:rFonts w:ascii="Garamond" w:hAnsi="Garamond"/>
        </w:rPr>
        <w:t xml:space="preserve">for one branch to operate outside </w:t>
      </w:r>
      <w:r w:rsidR="003F7ED8">
        <w:rPr>
          <w:rFonts w:ascii="Garamond" w:hAnsi="Garamond"/>
        </w:rPr>
        <w:t xml:space="preserve">of </w:t>
      </w:r>
      <w:r w:rsidR="00F425A3">
        <w:rPr>
          <w:rFonts w:ascii="Garamond" w:hAnsi="Garamond"/>
        </w:rPr>
        <w:t xml:space="preserve">its normal sphere, </w:t>
      </w:r>
      <w:r w:rsidR="003F7ED8">
        <w:rPr>
          <w:rFonts w:ascii="Garamond" w:hAnsi="Garamond"/>
        </w:rPr>
        <w:t xml:space="preserve">delving into the </w:t>
      </w:r>
      <w:r w:rsidR="00206FB6">
        <w:rPr>
          <w:rFonts w:ascii="Garamond" w:hAnsi="Garamond"/>
        </w:rPr>
        <w:t xml:space="preserve">actual </w:t>
      </w:r>
      <w:r w:rsidR="003F7ED8">
        <w:rPr>
          <w:rFonts w:ascii="Garamond" w:hAnsi="Garamond"/>
        </w:rPr>
        <w:t xml:space="preserve">business of another, </w:t>
      </w:r>
      <w:r w:rsidR="00E625B0">
        <w:rPr>
          <w:rFonts w:ascii="Garamond" w:hAnsi="Garamond"/>
        </w:rPr>
        <w:t>there would need to</w:t>
      </w:r>
      <w:r w:rsidR="00F425A3">
        <w:rPr>
          <w:rFonts w:ascii="Garamond" w:hAnsi="Garamond"/>
        </w:rPr>
        <w:t xml:space="preserve"> be specific</w:t>
      </w:r>
      <w:r w:rsidR="00E625B0">
        <w:rPr>
          <w:rFonts w:ascii="Garamond" w:hAnsi="Garamond"/>
        </w:rPr>
        <w:t xml:space="preserve"> constitutional</w:t>
      </w:r>
      <w:r w:rsidR="00F425A3">
        <w:rPr>
          <w:rFonts w:ascii="Garamond" w:hAnsi="Garamond"/>
        </w:rPr>
        <w:t xml:space="preserve"> authorization.  Why else would Harlan rely on the self-same claim of Jackson:  </w:t>
      </w:r>
      <w:r w:rsidR="00E625B0">
        <w:rPr>
          <w:rFonts w:ascii="Garamond" w:hAnsi="Garamond"/>
        </w:rPr>
        <w:t xml:space="preserve">the </w:t>
      </w:r>
      <w:r w:rsidR="000523EF">
        <w:rPr>
          <w:rFonts w:ascii="Garamond" w:hAnsi="Garamond"/>
        </w:rPr>
        <w:t>equal</w:t>
      </w:r>
      <w:r w:rsidR="00E625B0">
        <w:rPr>
          <w:rFonts w:ascii="Garamond" w:hAnsi="Garamond"/>
        </w:rPr>
        <w:t xml:space="preserve"> constitutional legitimacy of the branches</w:t>
      </w:r>
      <w:r w:rsidR="00F425A3">
        <w:rPr>
          <w:rFonts w:ascii="Garamond" w:hAnsi="Garamond"/>
        </w:rPr>
        <w:t xml:space="preserve">?  </w:t>
      </w:r>
      <w:r w:rsidR="00C6613D">
        <w:rPr>
          <w:rFonts w:ascii="Garamond" w:hAnsi="Garamond"/>
        </w:rPr>
        <w:t>Even with the Harlan</w:t>
      </w:r>
      <w:r w:rsidR="00E625B0">
        <w:rPr>
          <w:rFonts w:ascii="Garamond" w:hAnsi="Garamond"/>
        </w:rPr>
        <w:t xml:space="preserve"> doctrine, the Court might</w:t>
      </w:r>
      <w:r w:rsidR="00206FB6">
        <w:rPr>
          <w:rFonts w:ascii="Garamond" w:hAnsi="Garamond"/>
        </w:rPr>
        <w:t xml:space="preserve"> still</w:t>
      </w:r>
      <w:r w:rsidR="00E625B0">
        <w:rPr>
          <w:rFonts w:ascii="Garamond" w:hAnsi="Garamond"/>
        </w:rPr>
        <w:t xml:space="preserve"> be thought to</w:t>
      </w:r>
      <w:r w:rsidR="00206FB6">
        <w:rPr>
          <w:rFonts w:ascii="Garamond" w:hAnsi="Garamond"/>
        </w:rPr>
        <w:t xml:space="preserve"> have</w:t>
      </w:r>
      <w:r>
        <w:rPr>
          <w:rFonts w:ascii="Garamond" w:hAnsi="Garamond"/>
        </w:rPr>
        <w:t xml:space="preserve"> </w:t>
      </w:r>
      <w:r w:rsidR="00C6613D">
        <w:rPr>
          <w:rFonts w:ascii="Garamond" w:hAnsi="Garamond"/>
        </w:rPr>
        <w:t xml:space="preserve">the </w:t>
      </w:r>
      <w:r>
        <w:rPr>
          <w:rFonts w:ascii="Garamond" w:hAnsi="Garamond"/>
        </w:rPr>
        <w:t xml:space="preserve">discretion to determine if the legislative process </w:t>
      </w:r>
      <w:r w:rsidR="00492FCD">
        <w:rPr>
          <w:rFonts w:ascii="Garamond" w:hAnsi="Garamond"/>
        </w:rPr>
        <w:t xml:space="preserve">used by Congress </w:t>
      </w:r>
      <w:r w:rsidR="000523EF">
        <w:rPr>
          <w:rFonts w:ascii="Garamond" w:hAnsi="Garamond"/>
        </w:rPr>
        <w:t>was</w:t>
      </w:r>
      <w:r w:rsidR="00206FB6">
        <w:rPr>
          <w:rFonts w:ascii="Garamond" w:hAnsi="Garamond"/>
        </w:rPr>
        <w:t xml:space="preserve"> legitimate</w:t>
      </w:r>
      <w:r>
        <w:rPr>
          <w:rFonts w:ascii="Garamond" w:hAnsi="Garamond"/>
        </w:rPr>
        <w:t>.</w:t>
      </w:r>
      <w:r w:rsidR="003F7ED8">
        <w:rPr>
          <w:rFonts w:ascii="Garamond" w:hAnsi="Garamond"/>
        </w:rPr>
        <w:t xml:space="preserve">  One can easily imagine instances </w:t>
      </w:r>
      <w:r w:rsidR="00E625B0">
        <w:rPr>
          <w:rFonts w:ascii="Garamond" w:hAnsi="Garamond"/>
        </w:rPr>
        <w:t>where</w:t>
      </w:r>
      <w:r w:rsidR="003F7ED8">
        <w:rPr>
          <w:rFonts w:ascii="Garamond" w:hAnsi="Garamond"/>
        </w:rPr>
        <w:t xml:space="preserve"> the legislative process used to pass a bill is so egregiously unconstitutional that the Supreme Cou</w:t>
      </w:r>
      <w:r w:rsidR="00206FB6">
        <w:rPr>
          <w:rFonts w:ascii="Garamond" w:hAnsi="Garamond"/>
        </w:rPr>
        <w:t>rt would consider invalidation.  But the no</w:t>
      </w:r>
      <w:r w:rsidR="00E625B0">
        <w:rPr>
          <w:rFonts w:ascii="Garamond" w:hAnsi="Garamond"/>
        </w:rPr>
        <w:t xml:space="preserve">rm </w:t>
      </w:r>
      <w:r w:rsidR="00C6613D">
        <w:rPr>
          <w:rFonts w:ascii="Garamond" w:hAnsi="Garamond"/>
        </w:rPr>
        <w:t xml:space="preserve">outlined in </w:t>
      </w:r>
      <w:r w:rsidR="00C6613D">
        <w:rPr>
          <w:rFonts w:ascii="Garamond" w:hAnsi="Garamond"/>
          <w:i/>
        </w:rPr>
        <w:t xml:space="preserve">Field </w:t>
      </w:r>
      <w:r w:rsidR="00E625B0">
        <w:rPr>
          <w:rFonts w:ascii="Garamond" w:hAnsi="Garamond"/>
        </w:rPr>
        <w:t xml:space="preserve">is </w:t>
      </w:r>
      <w:r w:rsidR="00C6613D">
        <w:rPr>
          <w:rFonts w:ascii="Garamond" w:hAnsi="Garamond"/>
        </w:rPr>
        <w:t>deference—deference to a branch deserving respect when it acts in its own constitutionally defined space</w:t>
      </w:r>
      <w:r w:rsidR="00E625B0">
        <w:rPr>
          <w:rFonts w:ascii="Garamond" w:hAnsi="Garamond"/>
        </w:rPr>
        <w:t>.</w:t>
      </w:r>
    </w:p>
    <w:p w:rsidR="00BD0689" w:rsidRDefault="00206FB6" w:rsidP="00514F49">
      <w:pPr>
        <w:spacing w:line="480" w:lineRule="auto"/>
        <w:ind w:firstLine="720"/>
        <w:rPr>
          <w:rFonts w:ascii="Garamond" w:hAnsi="Garamond"/>
        </w:rPr>
      </w:pPr>
      <w:r>
        <w:rPr>
          <w:rFonts w:ascii="Garamond" w:hAnsi="Garamond"/>
        </w:rPr>
        <w:t xml:space="preserve">Like </w:t>
      </w:r>
      <w:r>
        <w:rPr>
          <w:rFonts w:ascii="Garamond" w:hAnsi="Garamond"/>
          <w:i/>
        </w:rPr>
        <w:t>Field v. Clark</w:t>
      </w:r>
      <w:r>
        <w:rPr>
          <w:rFonts w:ascii="Garamond" w:hAnsi="Garamond"/>
        </w:rPr>
        <w:t xml:space="preserve">, </w:t>
      </w:r>
      <w:r w:rsidR="00C01093">
        <w:rPr>
          <w:rFonts w:ascii="Garamond" w:hAnsi="Garamond"/>
        </w:rPr>
        <w:t xml:space="preserve">the decision in </w:t>
      </w:r>
      <w:r>
        <w:rPr>
          <w:rFonts w:ascii="Garamond" w:hAnsi="Garamond"/>
          <w:i/>
        </w:rPr>
        <w:t>Frothingham v. Mellon</w:t>
      </w:r>
      <w:r w:rsidR="00C01093">
        <w:rPr>
          <w:rFonts w:ascii="Garamond" w:hAnsi="Garamond"/>
        </w:rPr>
        <w:t xml:space="preserve"> (1923) </w:t>
      </w:r>
      <w:r w:rsidR="00BD0689">
        <w:rPr>
          <w:rFonts w:ascii="Garamond" w:hAnsi="Garamond"/>
        </w:rPr>
        <w:t>is about nonjusticiability</w:t>
      </w:r>
      <w:r>
        <w:rPr>
          <w:rFonts w:ascii="Garamond" w:hAnsi="Garamond"/>
        </w:rPr>
        <w:t xml:space="preserve">.  The Federal Maternity Act of 1921 promised states additional funds to protect the health and well being of pregnant mothers and infant children.  Acceptance of the money was voluntary but came with certain obligations </w:t>
      </w:r>
      <w:r w:rsidR="00E625B0">
        <w:rPr>
          <w:rFonts w:ascii="Garamond" w:hAnsi="Garamond"/>
        </w:rPr>
        <w:t>for the states</w:t>
      </w:r>
      <w:r w:rsidR="00C6613D">
        <w:rPr>
          <w:rFonts w:ascii="Garamond" w:hAnsi="Garamond"/>
        </w:rPr>
        <w:t>, which were</w:t>
      </w:r>
      <w:r w:rsidR="00E625B0">
        <w:rPr>
          <w:rFonts w:ascii="Garamond" w:hAnsi="Garamond"/>
        </w:rPr>
        <w:t xml:space="preserve"> </w:t>
      </w:r>
      <w:r>
        <w:rPr>
          <w:rFonts w:ascii="Garamond" w:hAnsi="Garamond"/>
        </w:rPr>
        <w:t>written into the law.  A taxpayer and</w:t>
      </w:r>
      <w:r w:rsidR="00C01093">
        <w:rPr>
          <w:rFonts w:ascii="Garamond" w:hAnsi="Garamond"/>
        </w:rPr>
        <w:t xml:space="preserve"> the state of</w:t>
      </w:r>
      <w:r>
        <w:rPr>
          <w:rFonts w:ascii="Garamond" w:hAnsi="Garamond"/>
        </w:rPr>
        <w:t xml:space="preserve"> Massachusetts sued the federal government for relief (</w:t>
      </w:r>
      <w:r w:rsidR="00BD0689">
        <w:rPr>
          <w:rFonts w:ascii="Garamond" w:hAnsi="Garamond"/>
        </w:rPr>
        <w:t>the companion ca</w:t>
      </w:r>
      <w:r w:rsidR="00E625B0">
        <w:rPr>
          <w:rFonts w:ascii="Garamond" w:hAnsi="Garamond"/>
        </w:rPr>
        <w:t>se is</w:t>
      </w:r>
      <w:r>
        <w:rPr>
          <w:rFonts w:ascii="Garamond" w:hAnsi="Garamond"/>
        </w:rPr>
        <w:t xml:space="preserve"> </w:t>
      </w:r>
      <w:r w:rsidRPr="00206FB6">
        <w:rPr>
          <w:rFonts w:ascii="Garamond" w:hAnsi="Garamond"/>
          <w:i/>
        </w:rPr>
        <w:t>Massachusetts v. Mellon</w:t>
      </w:r>
      <w:r>
        <w:rPr>
          <w:rFonts w:ascii="Garamond" w:hAnsi="Garamond"/>
        </w:rPr>
        <w:t>).</w:t>
      </w:r>
      <w:r w:rsidR="00C01093">
        <w:rPr>
          <w:rFonts w:ascii="Garamond" w:hAnsi="Garamond"/>
        </w:rPr>
        <w:t xml:space="preserve">  </w:t>
      </w:r>
      <w:r w:rsidR="008F1FCE">
        <w:rPr>
          <w:rFonts w:ascii="Garamond" w:hAnsi="Garamond"/>
        </w:rPr>
        <w:t xml:space="preserve">Justice </w:t>
      </w:r>
      <w:r w:rsidR="00C01093">
        <w:rPr>
          <w:rFonts w:ascii="Garamond" w:hAnsi="Garamond"/>
        </w:rPr>
        <w:t>George Sutherland concluded that the state did not have standing, as acceptance of the funds was voluntary; Massachusetts could not make a valid X</w:t>
      </w:r>
      <w:r w:rsidR="008F1FCE" w:rsidRPr="008F1FCE">
        <w:rPr>
          <w:rFonts w:ascii="Garamond" w:hAnsi="Garamond"/>
          <w:vertAlign w:val="superscript"/>
        </w:rPr>
        <w:t>th</w:t>
      </w:r>
      <w:r w:rsidR="00C01093">
        <w:rPr>
          <w:rFonts w:ascii="Garamond" w:hAnsi="Garamond"/>
        </w:rPr>
        <w:t xml:space="preserve"> Amendment claim against the federal government.  </w:t>
      </w:r>
      <w:r w:rsidR="00BD0689">
        <w:rPr>
          <w:rFonts w:ascii="Garamond" w:hAnsi="Garamond"/>
        </w:rPr>
        <w:t xml:space="preserve">The individual respondent, who claimed standing as a taxpayer, was </w:t>
      </w:r>
      <w:r w:rsidR="008F1FCE">
        <w:rPr>
          <w:rFonts w:ascii="Garamond" w:hAnsi="Garamond"/>
        </w:rPr>
        <w:t xml:space="preserve">also </w:t>
      </w:r>
      <w:r w:rsidR="00BD0689">
        <w:rPr>
          <w:rFonts w:ascii="Garamond" w:hAnsi="Garamond"/>
        </w:rPr>
        <w:t xml:space="preserve">not eligible to sue, as her interest in the case—her harm—was too remote.  </w:t>
      </w:r>
      <w:r w:rsidR="008F1FCE">
        <w:rPr>
          <w:rFonts w:ascii="Garamond" w:hAnsi="Garamond"/>
        </w:rPr>
        <w:t xml:space="preserve">The bill had not damaged any of her constitutional rights and it had not cost her more than a few pennies; she therefore had no </w:t>
      </w:r>
      <w:r w:rsidR="000523EF">
        <w:rPr>
          <w:rFonts w:ascii="Garamond" w:hAnsi="Garamond"/>
        </w:rPr>
        <w:t xml:space="preserve">valid </w:t>
      </w:r>
      <w:r w:rsidR="008F1FCE">
        <w:rPr>
          <w:rFonts w:ascii="Garamond" w:hAnsi="Garamond"/>
        </w:rPr>
        <w:t xml:space="preserve">grounds </w:t>
      </w:r>
      <w:r w:rsidR="000523EF">
        <w:rPr>
          <w:rFonts w:ascii="Garamond" w:hAnsi="Garamond"/>
        </w:rPr>
        <w:t xml:space="preserve">on which </w:t>
      </w:r>
      <w:r w:rsidR="008F1FCE">
        <w:rPr>
          <w:rFonts w:ascii="Garamond" w:hAnsi="Garamond"/>
        </w:rPr>
        <w:t>to sue.</w:t>
      </w:r>
    </w:p>
    <w:p w:rsidR="00BD0689" w:rsidRDefault="00BD0689" w:rsidP="008F1FCE">
      <w:pPr>
        <w:spacing w:line="480" w:lineRule="auto"/>
        <w:ind w:firstLine="720"/>
        <w:rPr>
          <w:rFonts w:ascii="Garamond" w:hAnsi="Garamond"/>
        </w:rPr>
      </w:pPr>
      <w:r>
        <w:rPr>
          <w:rFonts w:ascii="Garamond" w:hAnsi="Garamond"/>
        </w:rPr>
        <w:t xml:space="preserve">The second to last paragraph in Sutherland’s decision is the initial quote </w:t>
      </w:r>
      <w:r w:rsidR="008F1FCE">
        <w:rPr>
          <w:rFonts w:ascii="Garamond" w:hAnsi="Garamond"/>
        </w:rPr>
        <w:t>on the lead page of this paper</w:t>
      </w:r>
      <w:r>
        <w:rPr>
          <w:rFonts w:ascii="Garamond" w:hAnsi="Garamond"/>
        </w:rPr>
        <w:t>.  It lays out a highly orthodo</w:t>
      </w:r>
      <w:r w:rsidR="00F100F1">
        <w:rPr>
          <w:rFonts w:ascii="Garamond" w:hAnsi="Garamond"/>
        </w:rPr>
        <w:t>x</w:t>
      </w:r>
      <w:r>
        <w:rPr>
          <w:rFonts w:ascii="Garamond" w:hAnsi="Garamond"/>
        </w:rPr>
        <w:t xml:space="preserve"> view of the separation of functions:  the legislature makes the laws, the e</w:t>
      </w:r>
      <w:r w:rsidR="00F100F1">
        <w:rPr>
          <w:rFonts w:ascii="Garamond" w:hAnsi="Garamond"/>
        </w:rPr>
        <w:t>x</w:t>
      </w:r>
      <w:r>
        <w:rPr>
          <w:rFonts w:ascii="Garamond" w:hAnsi="Garamond"/>
        </w:rPr>
        <w:t>ecutive executes them, and the judiciar</w:t>
      </w:r>
      <w:r w:rsidR="00C6613D">
        <w:rPr>
          <w:rFonts w:ascii="Garamond" w:hAnsi="Garamond"/>
        </w:rPr>
        <w:t>y interprets and applies them “</w:t>
      </w:r>
      <w:r>
        <w:rPr>
          <w:rFonts w:ascii="Garamond" w:hAnsi="Garamond"/>
        </w:rPr>
        <w:t>in cases properly brought before the courts.”  That sentiment is followed by a final flourish which is worth quoting at length:</w:t>
      </w:r>
    </w:p>
    <w:p w:rsidR="004A1C56" w:rsidRPr="00206FB6" w:rsidRDefault="00BD0689" w:rsidP="00F100F1">
      <w:pPr>
        <w:ind w:left="720" w:right="720"/>
        <w:rPr>
          <w:rFonts w:ascii="Garamond" w:hAnsi="Garamond"/>
        </w:rPr>
      </w:pPr>
      <w:r>
        <w:rPr>
          <w:rFonts w:ascii="Garamond" w:hAnsi="Garamond"/>
        </w:rPr>
        <w:t>Looking…to the substance of their complaint, it is merely that officials of the executive department of the government are executing and will execute an act of Congress asserted to be unconstitutional</w:t>
      </w:r>
      <w:r w:rsidR="00F100F1">
        <w:rPr>
          <w:rFonts w:ascii="Garamond" w:hAnsi="Garamond"/>
        </w:rPr>
        <w:t>; and this we are asked to prevent.  To do so would be not to decide a judicial controversy, but to assume a position of authority over the governmental acts of another and coequal department, an authority which we plainly do not possess.</w:t>
      </w:r>
    </w:p>
    <w:p w:rsidR="004A1C56" w:rsidRDefault="004A1C56" w:rsidP="00215AAF">
      <w:pPr>
        <w:ind w:firstLine="720"/>
        <w:rPr>
          <w:rFonts w:ascii="Garamond" w:hAnsi="Garamond"/>
        </w:rPr>
      </w:pPr>
    </w:p>
    <w:p w:rsidR="00F100F1" w:rsidRDefault="00F100F1" w:rsidP="00514F49">
      <w:pPr>
        <w:spacing w:line="480" w:lineRule="auto"/>
        <w:rPr>
          <w:rFonts w:ascii="Garamond" w:hAnsi="Garamond"/>
        </w:rPr>
      </w:pPr>
      <w:r>
        <w:rPr>
          <w:rFonts w:ascii="Garamond" w:hAnsi="Garamond"/>
        </w:rPr>
        <w:t>The court, absent a compelling showing of unconstitutionality where individuals are substantially harmed, cannot force the executive not to execute</w:t>
      </w:r>
      <w:r w:rsidR="00C6613D">
        <w:rPr>
          <w:rFonts w:ascii="Garamond" w:hAnsi="Garamond"/>
        </w:rPr>
        <w:t xml:space="preserve"> a law</w:t>
      </w:r>
      <w:r>
        <w:rPr>
          <w:rFonts w:ascii="Garamond" w:hAnsi="Garamond"/>
        </w:rPr>
        <w:t xml:space="preserve">.  </w:t>
      </w:r>
    </w:p>
    <w:p w:rsidR="004668BB" w:rsidRDefault="008F1FCE" w:rsidP="00514F49">
      <w:pPr>
        <w:spacing w:line="480" w:lineRule="auto"/>
        <w:ind w:firstLine="720"/>
        <w:rPr>
          <w:rFonts w:ascii="Garamond" w:hAnsi="Garamond"/>
        </w:rPr>
      </w:pPr>
      <w:r>
        <w:rPr>
          <w:rFonts w:ascii="Garamond" w:hAnsi="Garamond"/>
        </w:rPr>
        <w:t>W</w:t>
      </w:r>
      <w:r w:rsidR="00F100F1">
        <w:rPr>
          <w:rFonts w:ascii="Garamond" w:hAnsi="Garamond"/>
        </w:rPr>
        <w:t>ith t</w:t>
      </w:r>
      <w:r>
        <w:rPr>
          <w:rFonts w:ascii="Garamond" w:hAnsi="Garamond"/>
        </w:rPr>
        <w:t xml:space="preserve">hese two paragraphs written </w:t>
      </w:r>
      <w:r w:rsidR="00F100F1">
        <w:rPr>
          <w:rFonts w:ascii="Garamond" w:hAnsi="Garamond"/>
        </w:rPr>
        <w:t>in</w:t>
      </w:r>
      <w:r>
        <w:rPr>
          <w:rFonts w:ascii="Garamond" w:hAnsi="Garamond"/>
        </w:rPr>
        <w:t>to</w:t>
      </w:r>
      <w:r w:rsidR="00F100F1">
        <w:rPr>
          <w:rFonts w:ascii="Garamond" w:hAnsi="Garamond"/>
        </w:rPr>
        <w:t xml:space="preserve"> the same decision</w:t>
      </w:r>
      <w:r>
        <w:rPr>
          <w:rFonts w:ascii="Garamond" w:hAnsi="Garamond"/>
        </w:rPr>
        <w:t xml:space="preserve"> and in such close proximity</w:t>
      </w:r>
      <w:r w:rsidR="00F100F1">
        <w:rPr>
          <w:rFonts w:ascii="Garamond" w:hAnsi="Garamond"/>
        </w:rPr>
        <w:t xml:space="preserve">, </w:t>
      </w:r>
      <w:r>
        <w:rPr>
          <w:rFonts w:ascii="Garamond" w:hAnsi="Garamond"/>
        </w:rPr>
        <w:t xml:space="preserve">it is clear that </w:t>
      </w:r>
      <w:r w:rsidR="00F100F1">
        <w:rPr>
          <w:rFonts w:ascii="Garamond" w:hAnsi="Garamond"/>
        </w:rPr>
        <w:t xml:space="preserve">Sutherland </w:t>
      </w:r>
      <w:r>
        <w:rPr>
          <w:rFonts w:ascii="Garamond" w:hAnsi="Garamond"/>
        </w:rPr>
        <w:t>felt there was no tension between a</w:t>
      </w:r>
      <w:r w:rsidR="00F100F1">
        <w:rPr>
          <w:rFonts w:ascii="Garamond" w:hAnsi="Garamond"/>
        </w:rPr>
        <w:t xml:space="preserve"> sepa</w:t>
      </w:r>
      <w:r>
        <w:rPr>
          <w:rFonts w:ascii="Garamond" w:hAnsi="Garamond"/>
        </w:rPr>
        <w:t xml:space="preserve">ration of functions view of interbranch relations </w:t>
      </w:r>
      <w:r w:rsidR="00F100F1">
        <w:rPr>
          <w:rFonts w:ascii="Garamond" w:hAnsi="Garamond"/>
        </w:rPr>
        <w:t xml:space="preserve">and </w:t>
      </w:r>
      <w:r w:rsidR="00A06C85">
        <w:rPr>
          <w:rFonts w:ascii="Garamond" w:hAnsi="Garamond"/>
        </w:rPr>
        <w:t>their</w:t>
      </w:r>
      <w:r w:rsidR="00F100F1">
        <w:rPr>
          <w:rFonts w:ascii="Garamond" w:hAnsi="Garamond"/>
        </w:rPr>
        <w:t xml:space="preserve"> coequality</w:t>
      </w:r>
      <w:r w:rsidR="000523EF">
        <w:rPr>
          <w:rFonts w:ascii="Garamond" w:hAnsi="Garamond"/>
        </w:rPr>
        <w:t xml:space="preserve">.   </w:t>
      </w:r>
      <w:r w:rsidR="00C6613D">
        <w:rPr>
          <w:rFonts w:ascii="Garamond" w:hAnsi="Garamond"/>
        </w:rPr>
        <w:t>This is the case because he is merely</w:t>
      </w:r>
      <w:r w:rsidR="00F100F1">
        <w:rPr>
          <w:rFonts w:ascii="Garamond" w:hAnsi="Garamond"/>
        </w:rPr>
        <w:t xml:space="preserve"> asserting an equal ability by each branch to operate within its own designated sphere</w:t>
      </w:r>
      <w:r w:rsidR="00A06C85">
        <w:rPr>
          <w:rFonts w:ascii="Garamond" w:hAnsi="Garamond"/>
        </w:rPr>
        <w:t>, free from unauthorized interference from the others.  T</w:t>
      </w:r>
      <w:r w:rsidR="00C6613D">
        <w:rPr>
          <w:rFonts w:ascii="Garamond" w:hAnsi="Garamond"/>
        </w:rPr>
        <w:t>he branches are equal in the</w:t>
      </w:r>
      <w:r w:rsidR="00F100F1">
        <w:rPr>
          <w:rFonts w:ascii="Garamond" w:hAnsi="Garamond"/>
        </w:rPr>
        <w:t xml:space="preserve"> legiti</w:t>
      </w:r>
      <w:r w:rsidR="00761451">
        <w:rPr>
          <w:rFonts w:ascii="Garamond" w:hAnsi="Garamond"/>
        </w:rPr>
        <w:t>macy</w:t>
      </w:r>
      <w:r w:rsidR="00C6613D">
        <w:rPr>
          <w:rFonts w:ascii="Garamond" w:hAnsi="Garamond"/>
        </w:rPr>
        <w:t xml:space="preserve"> the Constitution grants their own authorized acts</w:t>
      </w:r>
      <w:r w:rsidR="00A06C85">
        <w:rPr>
          <w:rFonts w:ascii="Garamond" w:hAnsi="Garamond"/>
        </w:rPr>
        <w:t>.  W</w:t>
      </w:r>
      <w:r w:rsidR="00761451">
        <w:rPr>
          <w:rFonts w:ascii="Garamond" w:hAnsi="Garamond"/>
        </w:rPr>
        <w:t xml:space="preserve">hen </w:t>
      </w:r>
      <w:r w:rsidR="00C6613D">
        <w:rPr>
          <w:rFonts w:ascii="Garamond" w:hAnsi="Garamond"/>
        </w:rPr>
        <w:t xml:space="preserve">the </w:t>
      </w:r>
      <w:r w:rsidR="00761451">
        <w:rPr>
          <w:rFonts w:ascii="Garamond" w:hAnsi="Garamond"/>
        </w:rPr>
        <w:t>legislature</w:t>
      </w:r>
      <w:r w:rsidR="00C6613D">
        <w:rPr>
          <w:rFonts w:ascii="Garamond" w:hAnsi="Garamond"/>
        </w:rPr>
        <w:t xml:space="preserve"> is</w:t>
      </w:r>
      <w:r w:rsidR="00761451">
        <w:rPr>
          <w:rFonts w:ascii="Garamond" w:hAnsi="Garamond"/>
        </w:rPr>
        <w:t xml:space="preserve"> legislating, </w:t>
      </w:r>
      <w:r w:rsidR="00C6613D">
        <w:rPr>
          <w:rFonts w:ascii="Garamond" w:hAnsi="Garamond"/>
        </w:rPr>
        <w:t>or the</w:t>
      </w:r>
      <w:r w:rsidR="004668BB">
        <w:rPr>
          <w:rFonts w:ascii="Garamond" w:hAnsi="Garamond"/>
        </w:rPr>
        <w:t xml:space="preserve"> </w:t>
      </w:r>
      <w:r w:rsidR="00761451">
        <w:rPr>
          <w:rFonts w:ascii="Garamond" w:hAnsi="Garamond"/>
        </w:rPr>
        <w:t xml:space="preserve">executive </w:t>
      </w:r>
      <w:r w:rsidR="00C6613D">
        <w:rPr>
          <w:rFonts w:ascii="Garamond" w:hAnsi="Garamond"/>
        </w:rPr>
        <w:t>is executing, or the</w:t>
      </w:r>
      <w:r w:rsidR="00761451">
        <w:rPr>
          <w:rFonts w:ascii="Garamond" w:hAnsi="Garamond"/>
        </w:rPr>
        <w:t xml:space="preserve"> judiciary</w:t>
      </w:r>
      <w:r w:rsidR="00F100F1">
        <w:rPr>
          <w:rFonts w:ascii="Garamond" w:hAnsi="Garamond"/>
        </w:rPr>
        <w:t xml:space="preserve"> </w:t>
      </w:r>
      <w:r w:rsidR="00C6613D">
        <w:rPr>
          <w:rFonts w:ascii="Garamond" w:hAnsi="Garamond"/>
        </w:rPr>
        <w:t xml:space="preserve">is </w:t>
      </w:r>
      <w:r w:rsidR="00F100F1">
        <w:rPr>
          <w:rFonts w:ascii="Garamond" w:hAnsi="Garamond"/>
        </w:rPr>
        <w:t>adjudicating</w:t>
      </w:r>
      <w:r w:rsidR="000523EF">
        <w:rPr>
          <w:rFonts w:ascii="Garamond" w:hAnsi="Garamond"/>
        </w:rPr>
        <w:t>—each is equally right-</w:t>
      </w:r>
      <w:r w:rsidR="00A06C85">
        <w:rPr>
          <w:rFonts w:ascii="Garamond" w:hAnsi="Garamond"/>
        </w:rPr>
        <w:t>acting</w:t>
      </w:r>
      <w:r w:rsidR="00F100F1">
        <w:rPr>
          <w:rFonts w:ascii="Garamond" w:hAnsi="Garamond"/>
        </w:rPr>
        <w:t>.</w:t>
      </w:r>
      <w:r w:rsidR="00F100F1">
        <w:rPr>
          <w:rStyle w:val="FootnoteReference"/>
          <w:rFonts w:ascii="Garamond" w:hAnsi="Garamond"/>
        </w:rPr>
        <w:footnoteReference w:id="10"/>
      </w:r>
      <w:r w:rsidR="004668BB">
        <w:rPr>
          <w:rFonts w:ascii="Garamond" w:hAnsi="Garamond"/>
        </w:rPr>
        <w:t xml:space="preserve">  </w:t>
      </w:r>
      <w:r w:rsidR="00761451">
        <w:rPr>
          <w:rFonts w:ascii="Garamond" w:hAnsi="Garamond"/>
        </w:rPr>
        <w:t xml:space="preserve"> This is very much the sentiment of President Jackson in his separation of functions manifesto.</w:t>
      </w:r>
    </w:p>
    <w:p w:rsidR="004668BB" w:rsidRPr="00761451" w:rsidRDefault="004668BB" w:rsidP="00514F49">
      <w:pPr>
        <w:spacing w:line="480" w:lineRule="auto"/>
        <w:ind w:firstLine="720"/>
        <w:rPr>
          <w:rFonts w:ascii="Garamond" w:hAnsi="Garamond"/>
        </w:rPr>
      </w:pPr>
      <w:r>
        <w:rPr>
          <w:rFonts w:ascii="Garamond" w:hAnsi="Garamond"/>
        </w:rPr>
        <w:t xml:space="preserve">Sutherland returned to this strong defense of separation of functions with a flourish of coequality in his dissent in </w:t>
      </w:r>
      <w:r>
        <w:rPr>
          <w:rFonts w:ascii="Garamond" w:hAnsi="Garamond"/>
          <w:i/>
        </w:rPr>
        <w:t>West Coast Hotel v. Parrish et al.</w:t>
      </w:r>
      <w:r>
        <w:rPr>
          <w:rFonts w:ascii="Garamond" w:hAnsi="Garamond"/>
        </w:rPr>
        <w:t xml:space="preserve"> (1937).  He was joined by the other three “Horsemen” </w:t>
      </w:r>
      <w:r w:rsidR="00761451">
        <w:rPr>
          <w:rFonts w:ascii="Garamond" w:hAnsi="Garamond"/>
        </w:rPr>
        <w:t>who consistently opposed</w:t>
      </w:r>
      <w:r>
        <w:rPr>
          <w:rFonts w:ascii="Garamond" w:hAnsi="Garamond"/>
        </w:rPr>
        <w:t xml:space="preserve"> </w:t>
      </w:r>
      <w:r w:rsidR="00A06C85">
        <w:rPr>
          <w:rFonts w:ascii="Garamond" w:hAnsi="Garamond"/>
        </w:rPr>
        <w:t xml:space="preserve">to </w:t>
      </w:r>
      <w:r w:rsidR="000523EF">
        <w:rPr>
          <w:rFonts w:ascii="Garamond" w:hAnsi="Garamond"/>
        </w:rPr>
        <w:t>New Deal</w:t>
      </w:r>
      <w:r w:rsidR="00761451">
        <w:rPr>
          <w:rFonts w:ascii="Garamond" w:hAnsi="Garamond"/>
        </w:rPr>
        <w:t xml:space="preserve"> programs</w:t>
      </w:r>
      <w:r>
        <w:rPr>
          <w:rFonts w:ascii="Garamond" w:hAnsi="Garamond"/>
        </w:rPr>
        <w:t>.  “The people by their Constitution created three separate, distinct, independent, and coequal departments of government….</w:t>
      </w:r>
      <w:r w:rsidR="00761451">
        <w:rPr>
          <w:rFonts w:ascii="Garamond" w:hAnsi="Garamond"/>
        </w:rPr>
        <w:t xml:space="preserve">[and] </w:t>
      </w:r>
      <w:r>
        <w:rPr>
          <w:rFonts w:ascii="Garamond" w:hAnsi="Garamond"/>
        </w:rPr>
        <w:t>the powers of these departments are different and are to be exercised independen</w:t>
      </w:r>
      <w:r w:rsidR="00761451">
        <w:rPr>
          <w:rFonts w:ascii="Garamond" w:hAnsi="Garamond"/>
        </w:rPr>
        <w:t>tly.”  While he concluded that “each [branch] is answerable to its creator for what it does, and not to another agent,” the deference that one branch owes the</w:t>
      </w:r>
      <w:r w:rsidR="00A06C85">
        <w:rPr>
          <w:rFonts w:ascii="Garamond" w:hAnsi="Garamond"/>
        </w:rPr>
        <w:t xml:space="preserve"> others “is not controlling.”  In the case of the judiciary, t</w:t>
      </w:r>
      <w:r w:rsidR="00761451">
        <w:rPr>
          <w:rFonts w:ascii="Garamond" w:hAnsi="Garamond"/>
        </w:rPr>
        <w:t xml:space="preserve">he Court should presume that laws are constitutional, but may find, in light of compelling evidence to the contrary, that a law is unconstitutional.  Sutherland thought he had this kind of case in </w:t>
      </w:r>
      <w:r w:rsidR="00761451">
        <w:rPr>
          <w:rFonts w:ascii="Garamond" w:hAnsi="Garamond"/>
          <w:i/>
        </w:rPr>
        <w:t>West Coast Hotel</w:t>
      </w:r>
      <w:r w:rsidR="00761451">
        <w:rPr>
          <w:rFonts w:ascii="Garamond" w:hAnsi="Garamond"/>
        </w:rPr>
        <w:t>.  He argued that Washington state’s minimum wage law should be st</w:t>
      </w:r>
      <w:r w:rsidR="00A06C85">
        <w:rPr>
          <w:rFonts w:ascii="Garamond" w:hAnsi="Garamond"/>
        </w:rPr>
        <w:t>ruck down as a</w:t>
      </w:r>
      <w:r w:rsidR="00761451">
        <w:rPr>
          <w:rFonts w:ascii="Garamond" w:hAnsi="Garamond"/>
        </w:rPr>
        <w:t xml:space="preserve"> violation of </w:t>
      </w:r>
      <w:r w:rsidR="00A06C85">
        <w:rPr>
          <w:rFonts w:ascii="Garamond" w:hAnsi="Garamond"/>
        </w:rPr>
        <w:t>the freedom of</w:t>
      </w:r>
      <w:r w:rsidR="00761451">
        <w:rPr>
          <w:rFonts w:ascii="Garamond" w:hAnsi="Garamond"/>
        </w:rPr>
        <w:t xml:space="preserve"> contract.</w:t>
      </w:r>
    </w:p>
    <w:p w:rsidR="00377EBE" w:rsidRDefault="00511E17" w:rsidP="00514F49">
      <w:pPr>
        <w:spacing w:line="480" w:lineRule="auto"/>
        <w:ind w:firstLine="720"/>
        <w:rPr>
          <w:rFonts w:ascii="Garamond" w:hAnsi="Garamond"/>
        </w:rPr>
      </w:pPr>
      <w:r>
        <w:rPr>
          <w:rFonts w:ascii="Garamond" w:hAnsi="Garamond"/>
        </w:rPr>
        <w:t>Most of the subsequent cases found in my sample</w:t>
      </w:r>
      <w:r w:rsidR="00A44E0C">
        <w:rPr>
          <w:rFonts w:ascii="Garamond" w:hAnsi="Garamond"/>
        </w:rPr>
        <w:t xml:space="preserve"> refer </w:t>
      </w:r>
      <w:r>
        <w:rPr>
          <w:rFonts w:ascii="Garamond" w:hAnsi="Garamond"/>
        </w:rPr>
        <w:t>either</w:t>
      </w:r>
      <w:r w:rsidR="00A44E0C">
        <w:rPr>
          <w:rFonts w:ascii="Garamond" w:hAnsi="Garamond"/>
        </w:rPr>
        <w:t xml:space="preserve"> to</w:t>
      </w:r>
      <w:r>
        <w:rPr>
          <w:rFonts w:ascii="Garamond" w:hAnsi="Garamond"/>
        </w:rPr>
        <w:t xml:space="preserve"> Sutherland in </w:t>
      </w:r>
      <w:r>
        <w:rPr>
          <w:rFonts w:ascii="Garamond" w:hAnsi="Garamond"/>
          <w:i/>
        </w:rPr>
        <w:t>Frothingham</w:t>
      </w:r>
      <w:r>
        <w:rPr>
          <w:rFonts w:ascii="Garamond" w:hAnsi="Garamond"/>
        </w:rPr>
        <w:t xml:space="preserve"> or </w:t>
      </w:r>
      <w:r w:rsidR="00A06C85">
        <w:rPr>
          <w:rFonts w:ascii="Garamond" w:hAnsi="Garamond"/>
        </w:rPr>
        <w:t xml:space="preserve">to </w:t>
      </w:r>
      <w:r>
        <w:rPr>
          <w:rFonts w:ascii="Garamond" w:hAnsi="Garamond"/>
        </w:rPr>
        <w:t xml:space="preserve">Harlan in </w:t>
      </w:r>
      <w:r w:rsidRPr="00377EBE">
        <w:rPr>
          <w:rFonts w:ascii="Garamond" w:hAnsi="Garamond"/>
          <w:i/>
        </w:rPr>
        <w:t>Field</w:t>
      </w:r>
      <w:r>
        <w:rPr>
          <w:rFonts w:ascii="Garamond" w:hAnsi="Garamond"/>
        </w:rPr>
        <w:t>.  Some reference their precedents favorably and are used to dismiss cases for lack of standi</w:t>
      </w:r>
      <w:r w:rsidR="00A06C85">
        <w:rPr>
          <w:rFonts w:ascii="Garamond" w:hAnsi="Garamond"/>
        </w:rPr>
        <w:t xml:space="preserve">ng; others distinguish the case at hand </w:t>
      </w:r>
      <w:r w:rsidR="00377EBE">
        <w:rPr>
          <w:rFonts w:ascii="Garamond" w:hAnsi="Garamond"/>
        </w:rPr>
        <w:t xml:space="preserve">from </w:t>
      </w:r>
      <w:r w:rsidR="00A06C85">
        <w:rPr>
          <w:rFonts w:ascii="Garamond" w:hAnsi="Garamond"/>
        </w:rPr>
        <w:t>one or the other of these two, suggesting that</w:t>
      </w:r>
      <w:r w:rsidR="00377EBE">
        <w:rPr>
          <w:rFonts w:ascii="Garamond" w:hAnsi="Garamond"/>
        </w:rPr>
        <w:t xml:space="preserve"> deference</w:t>
      </w:r>
      <w:r>
        <w:rPr>
          <w:rFonts w:ascii="Garamond" w:hAnsi="Garamond"/>
        </w:rPr>
        <w:t xml:space="preserve"> </w:t>
      </w:r>
      <w:r w:rsidR="00A06C85">
        <w:rPr>
          <w:rFonts w:ascii="Garamond" w:hAnsi="Garamond"/>
        </w:rPr>
        <w:t>is a norm but is</w:t>
      </w:r>
      <w:r>
        <w:rPr>
          <w:rFonts w:ascii="Garamond" w:hAnsi="Garamond"/>
        </w:rPr>
        <w:t xml:space="preserve"> not controlling</w:t>
      </w:r>
      <w:r w:rsidR="00A06C85">
        <w:rPr>
          <w:rFonts w:ascii="Garamond" w:hAnsi="Garamond"/>
        </w:rPr>
        <w:t>,</w:t>
      </w:r>
      <w:r>
        <w:rPr>
          <w:rFonts w:ascii="Garamond" w:hAnsi="Garamond"/>
        </w:rPr>
        <w:t xml:space="preserve"> </w:t>
      </w:r>
      <w:r w:rsidR="00377EBE">
        <w:rPr>
          <w:rFonts w:ascii="Garamond" w:hAnsi="Garamond"/>
        </w:rPr>
        <w:t>and</w:t>
      </w:r>
      <w:r>
        <w:rPr>
          <w:rFonts w:ascii="Garamond" w:hAnsi="Garamond"/>
        </w:rPr>
        <w:t xml:space="preserve"> </w:t>
      </w:r>
      <w:r w:rsidR="00A06C85">
        <w:rPr>
          <w:rFonts w:ascii="Garamond" w:hAnsi="Garamond"/>
        </w:rPr>
        <w:t xml:space="preserve">therefore </w:t>
      </w:r>
      <w:r>
        <w:rPr>
          <w:rFonts w:ascii="Garamond" w:hAnsi="Garamond"/>
        </w:rPr>
        <w:t xml:space="preserve">the </w:t>
      </w:r>
      <w:r w:rsidR="00A06C85">
        <w:rPr>
          <w:rFonts w:ascii="Garamond" w:hAnsi="Garamond"/>
        </w:rPr>
        <w:t>judiciary can pronounce judgment</w:t>
      </w:r>
      <w:r>
        <w:rPr>
          <w:rFonts w:ascii="Garamond" w:hAnsi="Garamond"/>
        </w:rPr>
        <w:t xml:space="preserve">.  The </w:t>
      </w:r>
      <w:r w:rsidR="00377EBE">
        <w:rPr>
          <w:rFonts w:ascii="Garamond" w:hAnsi="Garamond"/>
        </w:rPr>
        <w:t xml:space="preserve">two </w:t>
      </w:r>
      <w:r>
        <w:rPr>
          <w:rFonts w:ascii="Garamond" w:hAnsi="Garamond"/>
        </w:rPr>
        <w:t xml:space="preserve">remaining interbranch cases from the pre-1970 period are </w:t>
      </w:r>
      <w:r w:rsidR="00377EBE">
        <w:rPr>
          <w:rFonts w:ascii="Garamond" w:hAnsi="Garamond"/>
        </w:rPr>
        <w:t xml:space="preserve">good </w:t>
      </w:r>
      <w:r>
        <w:rPr>
          <w:rFonts w:ascii="Garamond" w:hAnsi="Garamond"/>
        </w:rPr>
        <w:t xml:space="preserve">examples of this latter phenomenon.  In </w:t>
      </w:r>
      <w:r>
        <w:rPr>
          <w:rFonts w:ascii="Garamond" w:hAnsi="Garamond"/>
          <w:i/>
        </w:rPr>
        <w:t>Baker v. Carr</w:t>
      </w:r>
      <w:r>
        <w:rPr>
          <w:rFonts w:ascii="Garamond" w:hAnsi="Garamond"/>
        </w:rPr>
        <w:t xml:space="preserve"> (1962), Justice William Brennan tipped his cap to Harlan</w:t>
      </w:r>
      <w:r w:rsidR="00377EBE">
        <w:rPr>
          <w:rFonts w:ascii="Garamond" w:hAnsi="Garamond"/>
        </w:rPr>
        <w:t xml:space="preserve">’s </w:t>
      </w:r>
      <w:r w:rsidR="00377EBE">
        <w:rPr>
          <w:rFonts w:ascii="Garamond" w:hAnsi="Garamond"/>
          <w:i/>
        </w:rPr>
        <w:t>Field</w:t>
      </w:r>
      <w:r w:rsidR="00377EBE">
        <w:rPr>
          <w:rFonts w:ascii="Garamond" w:hAnsi="Garamond"/>
        </w:rPr>
        <w:t xml:space="preserve"> decision, but then concluded that the</w:t>
      </w:r>
      <w:r>
        <w:rPr>
          <w:rFonts w:ascii="Garamond" w:hAnsi="Garamond"/>
        </w:rPr>
        <w:t xml:space="preserve"> federal judiciary could </w:t>
      </w:r>
      <w:r w:rsidR="00A06C85">
        <w:rPr>
          <w:rFonts w:ascii="Garamond" w:hAnsi="Garamond"/>
        </w:rPr>
        <w:t>rule on</w:t>
      </w:r>
      <w:r w:rsidR="00377EBE">
        <w:rPr>
          <w:rFonts w:ascii="Garamond" w:hAnsi="Garamond"/>
        </w:rPr>
        <w:t xml:space="preserve"> gerrymandering:  “</w:t>
      </w:r>
      <w:r>
        <w:rPr>
          <w:rFonts w:ascii="Garamond" w:hAnsi="Garamond"/>
        </w:rPr>
        <w:t>‘The respect due to coequal and independent departments,’ and the need for finality and certainty about the states of a statute contribute to judicial reluctance to inquire whether as passed, it complied with all requisite formalit</w:t>
      </w:r>
      <w:r w:rsidR="00377EBE">
        <w:rPr>
          <w:rFonts w:ascii="Garamond" w:hAnsi="Garamond"/>
        </w:rPr>
        <w:t xml:space="preserve">ies. </w:t>
      </w:r>
      <w:r>
        <w:rPr>
          <w:rFonts w:ascii="Garamond" w:hAnsi="Garamond"/>
        </w:rPr>
        <w:t xml:space="preserve"> But it is not true that a</w:t>
      </w:r>
      <w:r w:rsidR="00377EBE">
        <w:rPr>
          <w:rFonts w:ascii="Garamond" w:hAnsi="Garamond"/>
        </w:rPr>
        <w:t xml:space="preserve"> court will never delve into a legislature’s record.” </w:t>
      </w:r>
    </w:p>
    <w:p w:rsidR="00C02D02" w:rsidRDefault="00377EBE" w:rsidP="00514F49">
      <w:pPr>
        <w:spacing w:line="480" w:lineRule="auto"/>
        <w:ind w:firstLine="720"/>
        <w:rPr>
          <w:rFonts w:ascii="Garamond" w:hAnsi="Garamond"/>
        </w:rPr>
      </w:pPr>
      <w:r w:rsidRPr="004C144E">
        <w:rPr>
          <w:rFonts w:ascii="Garamond" w:hAnsi="Garamond"/>
          <w:i/>
        </w:rPr>
        <w:t>Flast v. Cohen</w:t>
      </w:r>
      <w:r>
        <w:rPr>
          <w:rFonts w:ascii="Garamond" w:hAnsi="Garamond"/>
        </w:rPr>
        <w:t xml:space="preserve"> (1968) </w:t>
      </w:r>
      <w:r w:rsidR="004C144E">
        <w:rPr>
          <w:rFonts w:ascii="Garamond" w:hAnsi="Garamond"/>
        </w:rPr>
        <w:t>revised</w:t>
      </w:r>
      <w:r w:rsidR="00A06C85">
        <w:rPr>
          <w:rFonts w:ascii="Garamond" w:hAnsi="Garamond"/>
        </w:rPr>
        <w:t xml:space="preserve"> the </w:t>
      </w:r>
      <w:r w:rsidR="00A44E0C">
        <w:rPr>
          <w:rFonts w:ascii="Garamond" w:hAnsi="Garamond"/>
        </w:rPr>
        <w:t>taxpayer nonstanding standard</w:t>
      </w:r>
      <w:r>
        <w:rPr>
          <w:rFonts w:ascii="Garamond" w:hAnsi="Garamond"/>
        </w:rPr>
        <w:t xml:space="preserve"> of </w:t>
      </w:r>
      <w:r w:rsidR="004C144E">
        <w:rPr>
          <w:rFonts w:ascii="Garamond" w:hAnsi="Garamond"/>
          <w:i/>
        </w:rPr>
        <w:t>Frothingham</w:t>
      </w:r>
      <w:r w:rsidR="00D46EEB">
        <w:rPr>
          <w:rFonts w:ascii="Garamond" w:hAnsi="Garamond"/>
        </w:rPr>
        <w:t xml:space="preserve">.   The </w:t>
      </w:r>
      <w:r w:rsidR="00A06C85">
        <w:rPr>
          <w:rFonts w:ascii="Garamond" w:hAnsi="Garamond"/>
        </w:rPr>
        <w:t xml:space="preserve">case </w:t>
      </w:r>
      <w:r w:rsidR="00D46EEB">
        <w:rPr>
          <w:rFonts w:ascii="Garamond" w:hAnsi="Garamond"/>
        </w:rPr>
        <w:t xml:space="preserve">was taken to challenge the use of federal funds to </w:t>
      </w:r>
      <w:r w:rsidR="004C144E">
        <w:rPr>
          <w:rFonts w:ascii="Garamond" w:hAnsi="Garamond"/>
        </w:rPr>
        <w:t xml:space="preserve">support parochial schools in the teaching of non-religious subjects.  Under the </w:t>
      </w:r>
      <w:r w:rsidR="004C144E">
        <w:rPr>
          <w:rFonts w:ascii="Garamond" w:hAnsi="Garamond"/>
          <w:i/>
        </w:rPr>
        <w:t>Flast</w:t>
      </w:r>
      <w:r w:rsidR="00A44E0C">
        <w:rPr>
          <w:rFonts w:ascii="Garamond" w:hAnsi="Garamond"/>
        </w:rPr>
        <w:t xml:space="preserve"> rule</w:t>
      </w:r>
      <w:r w:rsidR="004C144E">
        <w:rPr>
          <w:rFonts w:ascii="Garamond" w:hAnsi="Garamond"/>
        </w:rPr>
        <w:t xml:space="preserve">, a taxpayer would not have standing to challenge this practice.  The decision on appeal before the Court had used </w:t>
      </w:r>
      <w:r w:rsidR="004C144E">
        <w:rPr>
          <w:rFonts w:ascii="Garamond" w:hAnsi="Garamond"/>
          <w:i/>
        </w:rPr>
        <w:t xml:space="preserve">Flast </w:t>
      </w:r>
      <w:r w:rsidR="004C144E">
        <w:rPr>
          <w:rFonts w:ascii="Garamond" w:hAnsi="Garamond"/>
        </w:rPr>
        <w:t xml:space="preserve">to deny relief.  Chief Justice </w:t>
      </w:r>
      <w:r w:rsidR="00D46EEB">
        <w:rPr>
          <w:rFonts w:ascii="Garamond" w:hAnsi="Garamond"/>
        </w:rPr>
        <w:t xml:space="preserve">Earl </w:t>
      </w:r>
      <w:r w:rsidR="004C144E">
        <w:rPr>
          <w:rFonts w:ascii="Garamond" w:hAnsi="Garamond"/>
        </w:rPr>
        <w:t xml:space="preserve">Warren rejected the idea that </w:t>
      </w:r>
      <w:r w:rsidR="00D46EEB">
        <w:rPr>
          <w:rFonts w:ascii="Garamond" w:hAnsi="Garamond"/>
          <w:i/>
        </w:rPr>
        <w:t>Frothingham</w:t>
      </w:r>
      <w:r w:rsidR="004C144E">
        <w:rPr>
          <w:rFonts w:ascii="Garamond" w:hAnsi="Garamond"/>
        </w:rPr>
        <w:t xml:space="preserve"> had set up a </w:t>
      </w:r>
      <w:r w:rsidR="00D46EEB">
        <w:rPr>
          <w:rFonts w:ascii="Garamond" w:hAnsi="Garamond"/>
        </w:rPr>
        <w:t xml:space="preserve">true </w:t>
      </w:r>
      <w:r w:rsidR="004C144E">
        <w:rPr>
          <w:rFonts w:ascii="Garamond" w:hAnsi="Garamond"/>
        </w:rPr>
        <w:t>con</w:t>
      </w:r>
      <w:r w:rsidR="00D46EEB">
        <w:rPr>
          <w:rFonts w:ascii="Garamond" w:hAnsi="Garamond"/>
        </w:rPr>
        <w:t>stitutional standard.  T</w:t>
      </w:r>
      <w:r w:rsidR="004C144E">
        <w:rPr>
          <w:rFonts w:ascii="Garamond" w:hAnsi="Garamond"/>
        </w:rPr>
        <w:t>he</w:t>
      </w:r>
      <w:r w:rsidR="00D46EEB">
        <w:rPr>
          <w:rFonts w:ascii="Garamond" w:hAnsi="Garamond"/>
        </w:rPr>
        <w:t xml:space="preserve"> decision had been a pragmatic guideline</w:t>
      </w:r>
      <w:r w:rsidR="004C144E">
        <w:rPr>
          <w:rFonts w:ascii="Garamond" w:hAnsi="Garamond"/>
        </w:rPr>
        <w:t xml:space="preserve"> rather than a </w:t>
      </w:r>
      <w:r w:rsidR="00D46EEB">
        <w:rPr>
          <w:rFonts w:ascii="Garamond" w:hAnsi="Garamond"/>
        </w:rPr>
        <w:t xml:space="preserve">formal </w:t>
      </w:r>
      <w:r w:rsidR="004C144E">
        <w:rPr>
          <w:rFonts w:ascii="Garamond" w:hAnsi="Garamond"/>
        </w:rPr>
        <w:t xml:space="preserve">constitutional stricture.  This allowed him, in his own view, to offer a new standard for taxpayer standing without overturning </w:t>
      </w:r>
      <w:r w:rsidR="00D46EEB">
        <w:rPr>
          <w:rFonts w:ascii="Garamond" w:hAnsi="Garamond"/>
        </w:rPr>
        <w:t xml:space="preserve">any prior </w:t>
      </w:r>
      <w:r w:rsidR="004C144E">
        <w:rPr>
          <w:rFonts w:ascii="Garamond" w:hAnsi="Garamond"/>
        </w:rPr>
        <w:t xml:space="preserve">constitutional doctrine.  The new standard required a specific violation of a constitutional clause outside of </w:t>
      </w:r>
      <w:r w:rsidR="00A44E0C">
        <w:rPr>
          <w:rFonts w:ascii="Garamond" w:hAnsi="Garamond"/>
        </w:rPr>
        <w:t xml:space="preserve">the </w:t>
      </w:r>
      <w:r w:rsidR="004C144E">
        <w:rPr>
          <w:rFonts w:ascii="Garamond" w:hAnsi="Garamond"/>
        </w:rPr>
        <w:t>Article I, section 8</w:t>
      </w:r>
      <w:r w:rsidR="00A44E0C">
        <w:rPr>
          <w:rFonts w:ascii="Garamond" w:hAnsi="Garamond"/>
        </w:rPr>
        <w:t xml:space="preserve"> taxation power</w:t>
      </w:r>
      <w:r w:rsidR="004C144E">
        <w:rPr>
          <w:rFonts w:ascii="Garamond" w:hAnsi="Garamond"/>
        </w:rPr>
        <w:t xml:space="preserve">.  In </w:t>
      </w:r>
      <w:r w:rsidR="004C144E">
        <w:rPr>
          <w:rFonts w:ascii="Garamond" w:hAnsi="Garamond"/>
          <w:i/>
        </w:rPr>
        <w:t>Flast</w:t>
      </w:r>
      <w:r w:rsidR="00514F49">
        <w:rPr>
          <w:rFonts w:ascii="Garamond" w:hAnsi="Garamond"/>
        </w:rPr>
        <w:t xml:space="preserve">, the </w:t>
      </w:r>
      <w:r w:rsidR="00D46EEB">
        <w:rPr>
          <w:rFonts w:ascii="Garamond" w:hAnsi="Garamond"/>
        </w:rPr>
        <w:t>transfer of federal</w:t>
      </w:r>
      <w:r w:rsidR="004C144E">
        <w:rPr>
          <w:rFonts w:ascii="Garamond" w:hAnsi="Garamond"/>
        </w:rPr>
        <w:t xml:space="preserve"> </w:t>
      </w:r>
      <w:r w:rsidR="00D46EEB">
        <w:rPr>
          <w:rFonts w:ascii="Garamond" w:hAnsi="Garamond"/>
        </w:rPr>
        <w:t>revenue to a parochial school was voided because it violated both</w:t>
      </w:r>
      <w:r w:rsidR="004C144E">
        <w:rPr>
          <w:rFonts w:ascii="Garamond" w:hAnsi="Garamond"/>
        </w:rPr>
        <w:t xml:space="preserve"> </w:t>
      </w:r>
      <w:r w:rsidR="00514F49">
        <w:rPr>
          <w:rFonts w:ascii="Garamond" w:hAnsi="Garamond"/>
        </w:rPr>
        <w:t xml:space="preserve">the </w:t>
      </w:r>
      <w:r w:rsidR="004C144E">
        <w:rPr>
          <w:rFonts w:ascii="Garamond" w:hAnsi="Garamond"/>
        </w:rPr>
        <w:t>establishment clause and the free e</w:t>
      </w:r>
      <w:r w:rsidR="00514F49">
        <w:rPr>
          <w:rFonts w:ascii="Garamond" w:hAnsi="Garamond"/>
        </w:rPr>
        <w:t xml:space="preserve">xercise clause. </w:t>
      </w:r>
      <w:r w:rsidR="00D46EEB">
        <w:rPr>
          <w:rFonts w:ascii="Garamond" w:hAnsi="Garamond"/>
        </w:rPr>
        <w:t xml:space="preserve"> The majority opinions in both</w:t>
      </w:r>
      <w:r w:rsidR="00514F49">
        <w:rPr>
          <w:rFonts w:ascii="Garamond" w:hAnsi="Garamond"/>
        </w:rPr>
        <w:t xml:space="preserve"> </w:t>
      </w:r>
      <w:r w:rsidR="00514F49">
        <w:rPr>
          <w:rFonts w:ascii="Garamond" w:hAnsi="Garamond"/>
          <w:i/>
        </w:rPr>
        <w:t>Flast</w:t>
      </w:r>
      <w:r w:rsidR="00D46EEB">
        <w:rPr>
          <w:rFonts w:ascii="Garamond" w:hAnsi="Garamond"/>
        </w:rPr>
        <w:t xml:space="preserve"> and</w:t>
      </w:r>
      <w:r w:rsidR="00514F49">
        <w:rPr>
          <w:rFonts w:ascii="Garamond" w:hAnsi="Garamond"/>
        </w:rPr>
        <w:t xml:space="preserve"> </w:t>
      </w:r>
      <w:r w:rsidR="00514F49">
        <w:rPr>
          <w:rFonts w:ascii="Garamond" w:hAnsi="Garamond"/>
          <w:i/>
        </w:rPr>
        <w:t>Baker v. Carr</w:t>
      </w:r>
      <w:r w:rsidR="00514F49">
        <w:rPr>
          <w:rFonts w:ascii="Garamond" w:hAnsi="Garamond"/>
        </w:rPr>
        <w:t xml:space="preserve"> ac</w:t>
      </w:r>
      <w:r w:rsidR="00D46EEB">
        <w:rPr>
          <w:rFonts w:ascii="Garamond" w:hAnsi="Garamond"/>
        </w:rPr>
        <w:t xml:space="preserve">cepted nonstanding and </w:t>
      </w:r>
      <w:r w:rsidR="00514F49">
        <w:rPr>
          <w:rFonts w:ascii="Garamond" w:hAnsi="Garamond"/>
        </w:rPr>
        <w:t>nonjusticiability</w:t>
      </w:r>
      <w:r w:rsidR="00D46EEB">
        <w:rPr>
          <w:rFonts w:ascii="Garamond" w:hAnsi="Garamond"/>
        </w:rPr>
        <w:t>, respectively,</w:t>
      </w:r>
      <w:r w:rsidR="00514F49">
        <w:rPr>
          <w:rFonts w:ascii="Garamond" w:hAnsi="Garamond"/>
        </w:rPr>
        <w:t xml:space="preserve"> </w:t>
      </w:r>
      <w:r w:rsidR="00D46EEB">
        <w:rPr>
          <w:rFonts w:ascii="Garamond" w:hAnsi="Garamond"/>
        </w:rPr>
        <w:t xml:space="preserve">as norms.  </w:t>
      </w:r>
      <w:r w:rsidR="00514F49">
        <w:rPr>
          <w:rFonts w:ascii="Garamond" w:hAnsi="Garamond"/>
        </w:rPr>
        <w:t xml:space="preserve"> </w:t>
      </w:r>
      <w:r w:rsidR="00D46EEB">
        <w:rPr>
          <w:rFonts w:ascii="Garamond" w:hAnsi="Garamond"/>
        </w:rPr>
        <w:t>They</w:t>
      </w:r>
      <w:r w:rsidR="00EB6295">
        <w:rPr>
          <w:rFonts w:ascii="Garamond" w:hAnsi="Garamond"/>
        </w:rPr>
        <w:t xml:space="preserve"> were, therefore, not entire</w:t>
      </w:r>
      <w:r w:rsidR="00D46EEB">
        <w:rPr>
          <w:rFonts w:ascii="Garamond" w:hAnsi="Garamond"/>
        </w:rPr>
        <w:t xml:space="preserve">ly at odds with </w:t>
      </w:r>
      <w:r w:rsidR="00514F49">
        <w:rPr>
          <w:rFonts w:ascii="Garamond" w:hAnsi="Garamond"/>
          <w:i/>
        </w:rPr>
        <w:t>Frothingham</w:t>
      </w:r>
      <w:r w:rsidR="00514F49">
        <w:rPr>
          <w:rFonts w:ascii="Garamond" w:hAnsi="Garamond"/>
        </w:rPr>
        <w:t xml:space="preserve"> and </w:t>
      </w:r>
      <w:r w:rsidR="00514F49">
        <w:rPr>
          <w:rFonts w:ascii="Garamond" w:hAnsi="Garamond"/>
          <w:i/>
        </w:rPr>
        <w:t>Field</w:t>
      </w:r>
      <w:r w:rsidR="00D46EEB">
        <w:rPr>
          <w:rFonts w:ascii="Garamond" w:hAnsi="Garamond"/>
        </w:rPr>
        <w:t xml:space="preserve">.  </w:t>
      </w:r>
      <w:r w:rsidR="00C6613D">
        <w:rPr>
          <w:rFonts w:ascii="Garamond" w:hAnsi="Garamond"/>
        </w:rPr>
        <w:t>H</w:t>
      </w:r>
      <w:r w:rsidR="00EB6295">
        <w:rPr>
          <w:rFonts w:ascii="Garamond" w:hAnsi="Garamond"/>
        </w:rPr>
        <w:t xml:space="preserve">owever, </w:t>
      </w:r>
      <w:r w:rsidR="00C6613D">
        <w:rPr>
          <w:rFonts w:ascii="Garamond" w:hAnsi="Garamond"/>
        </w:rPr>
        <w:t>they mad</w:t>
      </w:r>
      <w:r w:rsidR="00EB6295">
        <w:rPr>
          <w:rFonts w:ascii="Garamond" w:hAnsi="Garamond"/>
        </w:rPr>
        <w:t xml:space="preserve">e clear that </w:t>
      </w:r>
      <w:r w:rsidR="00A44E0C">
        <w:rPr>
          <w:rFonts w:ascii="Garamond" w:hAnsi="Garamond"/>
        </w:rPr>
        <w:t xml:space="preserve">pledges of </w:t>
      </w:r>
      <w:r w:rsidR="00EB6295">
        <w:rPr>
          <w:rFonts w:ascii="Garamond" w:hAnsi="Garamond"/>
        </w:rPr>
        <w:t xml:space="preserve">coequal status did not make coming to conclusions any easier.  In fact, </w:t>
      </w:r>
      <w:r w:rsidR="00514F49">
        <w:rPr>
          <w:rFonts w:ascii="Garamond" w:hAnsi="Garamond"/>
        </w:rPr>
        <w:t xml:space="preserve">coequality </w:t>
      </w:r>
      <w:r w:rsidR="00EB6295">
        <w:rPr>
          <w:rFonts w:ascii="Garamond" w:hAnsi="Garamond"/>
        </w:rPr>
        <w:t xml:space="preserve">had </w:t>
      </w:r>
      <w:r w:rsidR="00694067">
        <w:rPr>
          <w:rFonts w:ascii="Garamond" w:hAnsi="Garamond"/>
        </w:rPr>
        <w:t xml:space="preserve">already become a sort of truism—used to indicate what was inevitable anyway—that </w:t>
      </w:r>
      <w:r w:rsidR="00C6613D">
        <w:rPr>
          <w:rFonts w:ascii="Garamond" w:hAnsi="Garamond"/>
        </w:rPr>
        <w:t xml:space="preserve">the </w:t>
      </w:r>
      <w:r w:rsidR="00694067">
        <w:rPr>
          <w:rFonts w:ascii="Garamond" w:hAnsi="Garamond"/>
        </w:rPr>
        <w:t xml:space="preserve">Court would normally defer to the determinations of the other branches.  Coequality provided no firm guidance about whether the Court could rule on a case or not.  A new dynamic was at hand:  frequent </w:t>
      </w:r>
      <w:r w:rsidR="00A44E0C">
        <w:rPr>
          <w:rFonts w:ascii="Garamond" w:hAnsi="Garamond"/>
        </w:rPr>
        <w:t>mention of</w:t>
      </w:r>
      <w:r w:rsidR="00694067">
        <w:rPr>
          <w:rFonts w:ascii="Garamond" w:hAnsi="Garamond"/>
        </w:rPr>
        <w:t xml:space="preserve"> the concept of interbranch coequality, without it </w:t>
      </w:r>
      <w:r w:rsidR="00A44E0C">
        <w:rPr>
          <w:rFonts w:ascii="Garamond" w:hAnsi="Garamond"/>
        </w:rPr>
        <w:t>having</w:t>
      </w:r>
      <w:r w:rsidR="00694067">
        <w:rPr>
          <w:rFonts w:ascii="Garamond" w:hAnsi="Garamond"/>
        </w:rPr>
        <w:t xml:space="preserve"> a defining role in whether a litig</w:t>
      </w:r>
      <w:r w:rsidR="00A44E0C">
        <w:rPr>
          <w:rFonts w:ascii="Garamond" w:hAnsi="Garamond"/>
        </w:rPr>
        <w:t>ant’s claim was to be dismissed</w:t>
      </w:r>
      <w:r w:rsidR="00694067">
        <w:rPr>
          <w:rFonts w:ascii="Garamond" w:hAnsi="Garamond"/>
        </w:rPr>
        <w:t xml:space="preserve"> or accepted.</w:t>
      </w:r>
    </w:p>
    <w:p w:rsidR="00321047" w:rsidRDefault="00321047" w:rsidP="00321047">
      <w:pPr>
        <w:ind w:firstLine="720"/>
        <w:rPr>
          <w:rFonts w:ascii="Garamond" w:hAnsi="Garamond"/>
        </w:rPr>
      </w:pPr>
    </w:p>
    <w:p w:rsidR="00321047" w:rsidRPr="00321047" w:rsidRDefault="00321047" w:rsidP="00321047">
      <w:pPr>
        <w:jc w:val="center"/>
        <w:rPr>
          <w:rFonts w:ascii="Garamond" w:hAnsi="Garamond"/>
          <w:b/>
        </w:rPr>
      </w:pPr>
      <w:r>
        <w:rPr>
          <w:rFonts w:ascii="Garamond" w:hAnsi="Garamond"/>
          <w:b/>
        </w:rPr>
        <w:t>Modern Coequality Jurisprudence</w:t>
      </w:r>
    </w:p>
    <w:p w:rsidR="00C02D02" w:rsidRDefault="00C02D02" w:rsidP="00321047">
      <w:pPr>
        <w:ind w:firstLine="720"/>
        <w:rPr>
          <w:rFonts w:ascii="Garamond" w:hAnsi="Garamond"/>
        </w:rPr>
      </w:pPr>
    </w:p>
    <w:p w:rsidR="00C02D02" w:rsidRDefault="00C02D02" w:rsidP="00BB446E">
      <w:pPr>
        <w:spacing w:line="480" w:lineRule="auto"/>
        <w:ind w:firstLine="720"/>
        <w:rPr>
          <w:rFonts w:ascii="Garamond" w:hAnsi="Garamond"/>
        </w:rPr>
      </w:pPr>
      <w:r>
        <w:rPr>
          <w:rFonts w:ascii="Garamond" w:hAnsi="Garamond"/>
        </w:rPr>
        <w:t xml:space="preserve">In the post-1970 era of </w:t>
      </w:r>
      <w:r w:rsidR="00412ECC">
        <w:rPr>
          <w:rFonts w:ascii="Garamond" w:hAnsi="Garamond"/>
        </w:rPr>
        <w:t>“</w:t>
      </w:r>
      <w:r>
        <w:rPr>
          <w:rFonts w:ascii="Garamond" w:hAnsi="Garamond"/>
        </w:rPr>
        <w:t>coequality jurisprudence,</w:t>
      </w:r>
      <w:r w:rsidR="00412ECC">
        <w:rPr>
          <w:rFonts w:ascii="Garamond" w:hAnsi="Garamond"/>
        </w:rPr>
        <w:t>”</w:t>
      </w:r>
      <w:r>
        <w:rPr>
          <w:rFonts w:ascii="Garamond" w:hAnsi="Garamond"/>
        </w:rPr>
        <w:t xml:space="preserve"> there h</w:t>
      </w:r>
      <w:r w:rsidR="00412ECC">
        <w:rPr>
          <w:rFonts w:ascii="Garamond" w:hAnsi="Garamond"/>
        </w:rPr>
        <w:t>ave been two major developments in addition to the great increase in cases which contain coequal language.</w:t>
      </w:r>
      <w:r>
        <w:rPr>
          <w:rFonts w:ascii="Garamond" w:hAnsi="Garamond"/>
        </w:rPr>
        <w:t xml:space="preserve">  The first is that it has become clear that assertions of coequality rarely provide clear direction about justiciability and standing.  Though coequality promises that deference is an interbranch norm, particularly for the judiciary toward the legislative branches, by itself it does not help determine whether the norm should be transgressed.  That is for other tests and standards to determine, as well as the facts of a case, and the judges’ outlooks.  This means that when coequality is written into a decision it is little more than a blithe truism.  At best, it does not change anything.  Second, in many instances, coequality is now frequently offered up without </w:t>
      </w:r>
      <w:r w:rsidR="00C6613D">
        <w:rPr>
          <w:rFonts w:ascii="Garamond" w:hAnsi="Garamond"/>
        </w:rPr>
        <w:t xml:space="preserve">much of </w:t>
      </w:r>
      <w:r>
        <w:rPr>
          <w:rFonts w:ascii="Garamond" w:hAnsi="Garamond"/>
        </w:rPr>
        <w:t>any connection to what brought it into the Supreme Court’s lexicon in the first place:  the s</w:t>
      </w:r>
      <w:r w:rsidR="00C6613D">
        <w:rPr>
          <w:rFonts w:ascii="Garamond" w:hAnsi="Garamond"/>
        </w:rPr>
        <w:t>eparation of functions ideal.  Recent a</w:t>
      </w:r>
      <w:r>
        <w:rPr>
          <w:rFonts w:ascii="Garamond" w:hAnsi="Garamond"/>
        </w:rPr>
        <w:t xml:space="preserve">ssertions of coequality </w:t>
      </w:r>
      <w:r w:rsidR="00C6613D">
        <w:rPr>
          <w:rFonts w:ascii="Garamond" w:hAnsi="Garamond"/>
        </w:rPr>
        <w:t>can</w:t>
      </w:r>
      <w:r>
        <w:rPr>
          <w:rFonts w:ascii="Garamond" w:hAnsi="Garamond"/>
        </w:rPr>
        <w:t xml:space="preserve"> float untethered, and that produces a misguided sense that it is a statement on the relative powers of the branches rather a statement about each playing their own </w:t>
      </w:r>
      <w:r w:rsidR="00412ECC">
        <w:rPr>
          <w:rFonts w:ascii="Garamond" w:hAnsi="Garamond"/>
        </w:rPr>
        <w:t xml:space="preserve">constitutionally defined </w:t>
      </w:r>
      <w:r>
        <w:rPr>
          <w:rFonts w:ascii="Garamond" w:hAnsi="Garamond"/>
        </w:rPr>
        <w:t>role without</w:t>
      </w:r>
      <w:r w:rsidR="00412ECC">
        <w:rPr>
          <w:rFonts w:ascii="Garamond" w:hAnsi="Garamond"/>
        </w:rPr>
        <w:t xml:space="preserve"> unauthorized</w:t>
      </w:r>
      <w:r>
        <w:rPr>
          <w:rFonts w:ascii="Garamond" w:hAnsi="Garamond"/>
        </w:rPr>
        <w:t xml:space="preserve"> interference</w:t>
      </w:r>
      <w:r w:rsidR="00412ECC">
        <w:rPr>
          <w:rFonts w:ascii="Garamond" w:hAnsi="Garamond"/>
        </w:rPr>
        <w:t xml:space="preserve"> from the other branches</w:t>
      </w:r>
      <w:r>
        <w:rPr>
          <w:rFonts w:ascii="Garamond" w:hAnsi="Garamond"/>
        </w:rPr>
        <w:t>.</w:t>
      </w:r>
    </w:p>
    <w:p w:rsidR="00846D09" w:rsidRDefault="00C02D02" w:rsidP="00BB446E">
      <w:pPr>
        <w:spacing w:line="480" w:lineRule="auto"/>
        <w:ind w:firstLine="720"/>
        <w:rPr>
          <w:rFonts w:ascii="Garamond" w:hAnsi="Garamond"/>
        </w:rPr>
      </w:pPr>
      <w:r>
        <w:rPr>
          <w:rFonts w:ascii="Garamond" w:hAnsi="Garamond"/>
        </w:rPr>
        <w:t>The very first case of the post-1970 era into which coequality was written is a case in p</w:t>
      </w:r>
      <w:r w:rsidR="00846D09">
        <w:rPr>
          <w:rFonts w:ascii="Garamond" w:hAnsi="Garamond"/>
        </w:rPr>
        <w:t>oint of how little direction this</w:t>
      </w:r>
      <w:r>
        <w:rPr>
          <w:rFonts w:ascii="Garamond" w:hAnsi="Garamond"/>
        </w:rPr>
        <w:t xml:space="preserve"> acknowledgment actually provides.  The decision in question is </w:t>
      </w:r>
      <w:r>
        <w:rPr>
          <w:rFonts w:ascii="Garamond" w:hAnsi="Garamond"/>
          <w:i/>
        </w:rPr>
        <w:t xml:space="preserve">New York Times v. US </w:t>
      </w:r>
      <w:r>
        <w:rPr>
          <w:rFonts w:ascii="Garamond" w:hAnsi="Garamond"/>
        </w:rPr>
        <w:t xml:space="preserve">(1971), the Pentagon Papers case.  The </w:t>
      </w:r>
      <w:r>
        <w:rPr>
          <w:rFonts w:ascii="Garamond" w:hAnsi="Garamond"/>
          <w:i/>
        </w:rPr>
        <w:t xml:space="preserve">Times </w:t>
      </w:r>
      <w:r>
        <w:rPr>
          <w:rFonts w:ascii="Garamond" w:hAnsi="Garamond"/>
        </w:rPr>
        <w:t xml:space="preserve"> had printed a classified report prepared for Defense Secretary Robert S. McNamara</w:t>
      </w:r>
      <w:r w:rsidR="00846D09">
        <w:rPr>
          <w:rFonts w:ascii="Garamond" w:hAnsi="Garamond"/>
        </w:rPr>
        <w:t xml:space="preserve">, containing embarrassing details about the American involvement in Vietnam.  The government sued but the </w:t>
      </w:r>
      <w:r w:rsidR="00846D09">
        <w:rPr>
          <w:rFonts w:ascii="Garamond" w:hAnsi="Garamond"/>
          <w:i/>
        </w:rPr>
        <w:t xml:space="preserve">Times </w:t>
      </w:r>
      <w:r w:rsidR="00846D09">
        <w:rPr>
          <w:rFonts w:ascii="Garamond" w:hAnsi="Garamond"/>
        </w:rPr>
        <w:t>asserted a First Amendment justification in releasing the repor</w:t>
      </w:r>
      <w:r w:rsidR="00C6613D">
        <w:rPr>
          <w:rFonts w:ascii="Garamond" w:hAnsi="Garamond"/>
        </w:rPr>
        <w:t>t.  Six justices agreed that</w:t>
      </w:r>
      <w:r w:rsidR="00846D09">
        <w:rPr>
          <w:rFonts w:ascii="Garamond" w:hAnsi="Garamond"/>
        </w:rPr>
        <w:t xml:space="preserve"> publication should not be </w:t>
      </w:r>
      <w:r w:rsidR="00C6613D">
        <w:rPr>
          <w:rFonts w:ascii="Garamond" w:hAnsi="Garamond"/>
        </w:rPr>
        <w:t xml:space="preserve">restrained </w:t>
      </w:r>
      <w:r w:rsidR="00B92A61">
        <w:rPr>
          <w:rFonts w:ascii="Garamond" w:hAnsi="Garamond"/>
        </w:rPr>
        <w:t>or</w:t>
      </w:r>
      <w:r w:rsidR="00C6613D">
        <w:rPr>
          <w:rFonts w:ascii="Garamond" w:hAnsi="Garamond"/>
        </w:rPr>
        <w:t xml:space="preserve"> </w:t>
      </w:r>
      <w:r w:rsidR="00846D09">
        <w:rPr>
          <w:rFonts w:ascii="Garamond" w:hAnsi="Garamond"/>
        </w:rPr>
        <w:t xml:space="preserve">prosecuted, though no one justice’s reasoning commanded a majority.  The </w:t>
      </w:r>
      <w:r w:rsidR="00C6613D">
        <w:rPr>
          <w:rFonts w:ascii="Garamond" w:hAnsi="Garamond"/>
        </w:rPr>
        <w:t>executive</w:t>
      </w:r>
      <w:r w:rsidR="00846D09">
        <w:rPr>
          <w:rFonts w:ascii="Garamond" w:hAnsi="Garamond"/>
        </w:rPr>
        <w:t xml:space="preserve"> had failed to demonstrate that the printing of the document would harm national security.  </w:t>
      </w:r>
    </w:p>
    <w:p w:rsidR="006A3892" w:rsidRDefault="00846D09" w:rsidP="00BB446E">
      <w:pPr>
        <w:spacing w:line="480" w:lineRule="auto"/>
        <w:ind w:firstLine="720"/>
        <w:rPr>
          <w:rFonts w:ascii="Garamond" w:hAnsi="Garamond"/>
        </w:rPr>
      </w:pPr>
      <w:r>
        <w:rPr>
          <w:rFonts w:ascii="Garamond" w:hAnsi="Garamond"/>
        </w:rPr>
        <w:t xml:space="preserve">Two justices, Thurgood Marshall and John M. Harlan II, used the language of coequality in their </w:t>
      </w:r>
      <w:r>
        <w:rPr>
          <w:rFonts w:ascii="Garamond" w:hAnsi="Garamond"/>
          <w:i/>
        </w:rPr>
        <w:t>New York Times v. US</w:t>
      </w:r>
      <w:r>
        <w:rPr>
          <w:rFonts w:ascii="Garamond" w:hAnsi="Garamond"/>
        </w:rPr>
        <w:t xml:space="preserve"> opinions.  </w:t>
      </w:r>
      <w:r w:rsidR="006A3892">
        <w:rPr>
          <w:rFonts w:ascii="Garamond" w:hAnsi="Garamond"/>
        </w:rPr>
        <w:t xml:space="preserve">Marshall’s concurrence referenced Hugo Black’s decision in </w:t>
      </w:r>
      <w:r w:rsidR="006A3892">
        <w:rPr>
          <w:rFonts w:ascii="Garamond" w:hAnsi="Garamond"/>
          <w:i/>
        </w:rPr>
        <w:t>Youngstown Sheet and Tube v. Sawyer</w:t>
      </w:r>
      <w:r w:rsidR="006A3892">
        <w:rPr>
          <w:rFonts w:ascii="Garamond" w:hAnsi="Garamond"/>
        </w:rPr>
        <w:t xml:space="preserve"> (1953) which emphasized </w:t>
      </w:r>
      <w:r w:rsidR="00412ECC">
        <w:rPr>
          <w:rFonts w:ascii="Garamond" w:hAnsi="Garamond"/>
        </w:rPr>
        <w:t>an orthodox view of</w:t>
      </w:r>
      <w:r w:rsidR="006A3892">
        <w:rPr>
          <w:rFonts w:ascii="Garamond" w:hAnsi="Garamond"/>
        </w:rPr>
        <w:t xml:space="preserve"> the separation of powers.  </w:t>
      </w:r>
      <w:r w:rsidR="00EE3A83">
        <w:rPr>
          <w:rFonts w:ascii="Garamond" w:hAnsi="Garamond"/>
        </w:rPr>
        <w:t>Under normal circumstances it is</w:t>
      </w:r>
      <w:r w:rsidR="00412ECC">
        <w:rPr>
          <w:rFonts w:ascii="Garamond" w:hAnsi="Garamond"/>
        </w:rPr>
        <w:t xml:space="preserve"> not the executive’s job to regul</w:t>
      </w:r>
      <w:r w:rsidR="00C6613D">
        <w:rPr>
          <w:rFonts w:ascii="Garamond" w:hAnsi="Garamond"/>
        </w:rPr>
        <w:t>ate the press</w:t>
      </w:r>
      <w:r w:rsidR="00412ECC">
        <w:rPr>
          <w:rFonts w:ascii="Garamond" w:hAnsi="Garamond"/>
        </w:rPr>
        <w:t xml:space="preserve">; if there would be needed regulation to prevent </w:t>
      </w:r>
      <w:r w:rsidR="00EE3A83">
        <w:rPr>
          <w:rFonts w:ascii="Garamond" w:hAnsi="Garamond"/>
        </w:rPr>
        <w:t>classified information</w:t>
      </w:r>
      <w:r w:rsidR="00C6613D">
        <w:rPr>
          <w:rFonts w:ascii="Garamond" w:hAnsi="Garamond"/>
        </w:rPr>
        <w:t xml:space="preserve"> from being printed</w:t>
      </w:r>
      <w:r w:rsidR="00412ECC">
        <w:rPr>
          <w:rFonts w:ascii="Garamond" w:hAnsi="Garamond"/>
        </w:rPr>
        <w:t>,</w:t>
      </w:r>
      <w:r w:rsidR="00C6613D">
        <w:rPr>
          <w:rFonts w:ascii="Garamond" w:hAnsi="Garamond"/>
        </w:rPr>
        <w:t xml:space="preserve"> then</w:t>
      </w:r>
      <w:r w:rsidR="00412ECC">
        <w:rPr>
          <w:rFonts w:ascii="Garamond" w:hAnsi="Garamond"/>
        </w:rPr>
        <w:t xml:space="preserve"> it should be written into statute law</w:t>
      </w:r>
      <w:r w:rsidR="00C6613D">
        <w:rPr>
          <w:rFonts w:ascii="Garamond" w:hAnsi="Garamond"/>
        </w:rPr>
        <w:t>, thus involving Congress</w:t>
      </w:r>
      <w:r w:rsidR="00412ECC">
        <w:rPr>
          <w:rFonts w:ascii="Garamond" w:hAnsi="Garamond"/>
        </w:rPr>
        <w:t xml:space="preserve">.  </w:t>
      </w:r>
      <w:r w:rsidR="00EE3A83">
        <w:rPr>
          <w:rFonts w:ascii="Garamond" w:hAnsi="Garamond"/>
        </w:rPr>
        <w:t>Marshall</w:t>
      </w:r>
      <w:r w:rsidR="006A3892">
        <w:rPr>
          <w:rFonts w:ascii="Garamond" w:hAnsi="Garamond"/>
        </w:rPr>
        <w:t xml:space="preserve"> went on to write that it would be “utterly inconsistent with the concept of separation of powers for this Court to use its power of contempt to prevent behavior that Congress has specifically decline</w:t>
      </w:r>
      <w:r w:rsidR="00412ECC">
        <w:rPr>
          <w:rFonts w:ascii="Garamond" w:hAnsi="Garamond"/>
        </w:rPr>
        <w:t>d to prohibit.  There would be a</w:t>
      </w:r>
      <w:r w:rsidR="006A3892">
        <w:rPr>
          <w:rFonts w:ascii="Garamond" w:hAnsi="Garamond"/>
        </w:rPr>
        <w:t xml:space="preserve"> similar damage to the basic concept of these co-equal branches of Government” if the Court stopped activity through its contempt power “when the Executive Branch has adequate authority granted by Congress to protect ‘national security’…”  Thus only if Congress’ non-action actually threatened national security would the Court be obligated to step in to enjoin publication. </w:t>
      </w:r>
      <w:r w:rsidR="00412ECC">
        <w:rPr>
          <w:rFonts w:ascii="Garamond" w:hAnsi="Garamond"/>
        </w:rPr>
        <w:t xml:space="preserve"> That</w:t>
      </w:r>
      <w:r w:rsidR="006A3892">
        <w:rPr>
          <w:rFonts w:ascii="Garamond" w:hAnsi="Garamond"/>
        </w:rPr>
        <w:t xml:space="preserve"> standard had not been reached.</w:t>
      </w:r>
    </w:p>
    <w:p w:rsidR="00EE3A83" w:rsidRDefault="006A3892" w:rsidP="00BB446E">
      <w:pPr>
        <w:spacing w:line="480" w:lineRule="auto"/>
        <w:ind w:firstLine="720"/>
        <w:rPr>
          <w:rFonts w:ascii="Garamond" w:hAnsi="Garamond"/>
        </w:rPr>
      </w:pPr>
      <w:r>
        <w:rPr>
          <w:rFonts w:ascii="Garamond" w:hAnsi="Garamond"/>
        </w:rPr>
        <w:t xml:space="preserve">Justice Harlan dissented, </w:t>
      </w:r>
      <w:r w:rsidR="006420BE">
        <w:rPr>
          <w:rFonts w:ascii="Garamond" w:hAnsi="Garamond"/>
        </w:rPr>
        <w:t xml:space="preserve">primarily because he felt that the federal courts were rushing to judgment.  The </w:t>
      </w:r>
      <w:r w:rsidR="006420BE">
        <w:rPr>
          <w:rFonts w:ascii="Garamond" w:hAnsi="Garamond"/>
          <w:i/>
        </w:rPr>
        <w:t>Times</w:t>
      </w:r>
      <w:r w:rsidR="006420BE">
        <w:rPr>
          <w:rFonts w:ascii="Garamond" w:hAnsi="Garamond"/>
        </w:rPr>
        <w:t xml:space="preserve"> had the report and was eager to print.  The Court had expedited </w:t>
      </w:r>
      <w:r w:rsidR="002B650C">
        <w:rPr>
          <w:rFonts w:ascii="Garamond" w:hAnsi="Garamond"/>
        </w:rPr>
        <w:t xml:space="preserve">a </w:t>
      </w:r>
      <w:r w:rsidR="006420BE">
        <w:rPr>
          <w:rFonts w:ascii="Garamond" w:hAnsi="Garamond"/>
        </w:rPr>
        <w:t>hearing to either allow publication or prevent it</w:t>
      </w:r>
      <w:r w:rsidR="00EE3A83">
        <w:rPr>
          <w:rFonts w:ascii="Garamond" w:hAnsi="Garamond"/>
        </w:rPr>
        <w:t>, a procedure Harlan objected to.  In a full, unrushed hearing process,</w:t>
      </w:r>
      <w:r w:rsidR="006420BE">
        <w:rPr>
          <w:rFonts w:ascii="Garamond" w:hAnsi="Garamond"/>
        </w:rPr>
        <w:t xml:space="preserve"> Harlan held open the possibility </w:t>
      </w:r>
      <w:r w:rsidR="002B650C">
        <w:rPr>
          <w:rFonts w:ascii="Garamond" w:hAnsi="Garamond"/>
        </w:rPr>
        <w:t>that h</w:t>
      </w:r>
      <w:r w:rsidR="006420BE">
        <w:rPr>
          <w:rFonts w:ascii="Garamond" w:hAnsi="Garamond"/>
        </w:rPr>
        <w:t xml:space="preserve">e </w:t>
      </w:r>
      <w:r>
        <w:rPr>
          <w:rFonts w:ascii="Garamond" w:hAnsi="Garamond"/>
        </w:rPr>
        <w:t xml:space="preserve">would have allowed prior restraint.  </w:t>
      </w:r>
      <w:r w:rsidR="00EE3A83">
        <w:rPr>
          <w:rFonts w:ascii="Garamond" w:hAnsi="Garamond"/>
        </w:rPr>
        <w:t>The Executive</w:t>
      </w:r>
      <w:r w:rsidR="002B650C">
        <w:rPr>
          <w:rFonts w:ascii="Garamond" w:hAnsi="Garamond"/>
        </w:rPr>
        <w:t xml:space="preserve"> had determined that the Vietnam</w:t>
      </w:r>
      <w:r w:rsidR="006420BE">
        <w:rPr>
          <w:rFonts w:ascii="Garamond" w:hAnsi="Garamond"/>
        </w:rPr>
        <w:t xml:space="preserve"> report was not for public consumption.  Harlan cited the “sole organ doctrine” articulated in </w:t>
      </w:r>
      <w:r w:rsidR="006420BE">
        <w:rPr>
          <w:rFonts w:ascii="Garamond" w:hAnsi="Garamond"/>
          <w:i/>
        </w:rPr>
        <w:t>Youngstown</w:t>
      </w:r>
      <w:r w:rsidR="00EE3A83">
        <w:rPr>
          <w:rFonts w:ascii="Garamond" w:hAnsi="Garamond"/>
        </w:rPr>
        <w:t>:  the president i</w:t>
      </w:r>
      <w:r w:rsidR="006420BE">
        <w:rPr>
          <w:rFonts w:ascii="Garamond" w:hAnsi="Garamond"/>
        </w:rPr>
        <w:t>s the nation’s sole authority in dealing wit</w:t>
      </w:r>
      <w:r w:rsidR="002B650C">
        <w:rPr>
          <w:rFonts w:ascii="Garamond" w:hAnsi="Garamond"/>
        </w:rPr>
        <w:t xml:space="preserve">h foreign nations.  With this </w:t>
      </w:r>
      <w:r w:rsidR="00EE3A83">
        <w:rPr>
          <w:rFonts w:ascii="Garamond" w:hAnsi="Garamond"/>
        </w:rPr>
        <w:t xml:space="preserve">(dubious) </w:t>
      </w:r>
      <w:r w:rsidR="002B650C">
        <w:rPr>
          <w:rFonts w:ascii="Garamond" w:hAnsi="Garamond"/>
        </w:rPr>
        <w:t>doctrine as</w:t>
      </w:r>
      <w:r w:rsidR="006420BE">
        <w:rPr>
          <w:rFonts w:ascii="Garamond" w:hAnsi="Garamond"/>
        </w:rPr>
        <w:t xml:space="preserve"> his </w:t>
      </w:r>
      <w:r w:rsidR="00552E07">
        <w:rPr>
          <w:rFonts w:ascii="Garamond" w:hAnsi="Garamond"/>
        </w:rPr>
        <w:t>grounding, Harlan</w:t>
      </w:r>
      <w:r w:rsidR="006420BE">
        <w:rPr>
          <w:rFonts w:ascii="Garamond" w:hAnsi="Garamond"/>
        </w:rPr>
        <w:t xml:space="preserve"> concluded that “I can see</w:t>
      </w:r>
      <w:r w:rsidR="002B650C">
        <w:rPr>
          <w:rFonts w:ascii="Garamond" w:hAnsi="Garamond"/>
        </w:rPr>
        <w:t xml:space="preserve"> no indication in the [lower court opinions] that the conclusions of the Executive were given even the deference owing to an administrative agency, much less that owing to a co-equal branch of the Government operating within the field of its constitutional prerogative.”  </w:t>
      </w:r>
      <w:r w:rsidR="00EE3A83">
        <w:rPr>
          <w:rFonts w:ascii="Garamond" w:hAnsi="Garamond"/>
        </w:rPr>
        <w:t xml:space="preserve">Because of the expedited nature of the proceeding, Harlan was uncomfortable in coming to a definitive conclusion on whether the president’s position should prevail.  However, that would have been the most likely result, given the tenor and reasoning of his opinion.  </w:t>
      </w:r>
    </w:p>
    <w:p w:rsidR="001E79E5" w:rsidRDefault="00EE3A83" w:rsidP="00BB446E">
      <w:pPr>
        <w:spacing w:line="480" w:lineRule="auto"/>
        <w:ind w:firstLine="720"/>
        <w:rPr>
          <w:rFonts w:ascii="Garamond" w:hAnsi="Garamond"/>
        </w:rPr>
      </w:pPr>
      <w:r>
        <w:rPr>
          <w:rFonts w:ascii="Garamond" w:hAnsi="Garamond"/>
        </w:rPr>
        <w:t>So</w:t>
      </w:r>
      <w:r w:rsidR="00795889">
        <w:rPr>
          <w:rFonts w:ascii="Garamond" w:hAnsi="Garamond"/>
        </w:rPr>
        <w:t xml:space="preserve"> the Pentagon Papers case</w:t>
      </w:r>
      <w:r>
        <w:rPr>
          <w:rFonts w:ascii="Garamond" w:hAnsi="Garamond"/>
        </w:rPr>
        <w:t xml:space="preserve"> indicates that coequality can be used in different ways.  In </w:t>
      </w:r>
      <w:r w:rsidRPr="00EE3A83">
        <w:rPr>
          <w:rFonts w:ascii="Garamond" w:hAnsi="Garamond"/>
          <w:i/>
        </w:rPr>
        <w:t>New York Times v. US</w:t>
      </w:r>
      <w:r>
        <w:rPr>
          <w:rFonts w:ascii="Garamond" w:hAnsi="Garamond"/>
        </w:rPr>
        <w:t>, assert</w:t>
      </w:r>
      <w:r w:rsidR="00C6613D">
        <w:rPr>
          <w:rFonts w:ascii="Garamond" w:hAnsi="Garamond"/>
        </w:rPr>
        <w:t>ions of coequality are used</w:t>
      </w:r>
      <w:r>
        <w:rPr>
          <w:rFonts w:ascii="Garamond" w:hAnsi="Garamond"/>
        </w:rPr>
        <w:t xml:space="preserve"> to defer both to Congress (Marshall) and to suggest that the court should defer to the Executive (Harlan), with polar opposite ou</w:t>
      </w:r>
      <w:r w:rsidR="00C6613D">
        <w:rPr>
          <w:rFonts w:ascii="Garamond" w:hAnsi="Garamond"/>
        </w:rPr>
        <w:t>tcomes likely</w:t>
      </w:r>
      <w:r w:rsidR="004E3D60">
        <w:rPr>
          <w:rFonts w:ascii="Garamond" w:hAnsi="Garamond"/>
        </w:rPr>
        <w:t xml:space="preserve">.  This does not </w:t>
      </w:r>
      <w:r>
        <w:rPr>
          <w:rFonts w:ascii="Garamond" w:hAnsi="Garamond"/>
        </w:rPr>
        <w:t>exhaust the possibilities of how c</w:t>
      </w:r>
      <w:r w:rsidR="004E3D60">
        <w:rPr>
          <w:rFonts w:ascii="Garamond" w:hAnsi="Garamond"/>
        </w:rPr>
        <w:t>oequality can be</w:t>
      </w:r>
      <w:r w:rsidR="00C6613D">
        <w:rPr>
          <w:rFonts w:ascii="Garamond" w:hAnsi="Garamond"/>
        </w:rPr>
        <w:t xml:space="preserve"> used.  It can be employ</w:t>
      </w:r>
      <w:r>
        <w:rPr>
          <w:rFonts w:ascii="Garamond" w:hAnsi="Garamond"/>
        </w:rPr>
        <w:t xml:space="preserve">ed by the judiciary to argue that it needs to take a case; </w:t>
      </w:r>
      <w:r w:rsidR="00C6613D">
        <w:rPr>
          <w:rFonts w:ascii="Garamond" w:hAnsi="Garamond"/>
        </w:rPr>
        <w:t xml:space="preserve">or </w:t>
      </w:r>
      <w:r>
        <w:rPr>
          <w:rFonts w:ascii="Garamond" w:hAnsi="Garamond"/>
        </w:rPr>
        <w:t xml:space="preserve">it can be used to argue that the case should not be taken; it can be used to argue that the Court needs to defer to Congressional pronouncements; it can be used to say that the Court should refer to the president’s interpretation and execution of the law. </w:t>
      </w:r>
      <w:r w:rsidR="001E79E5">
        <w:rPr>
          <w:rFonts w:ascii="Garamond" w:hAnsi="Garamond"/>
        </w:rPr>
        <w:t xml:space="preserve"> There are many different moves to be made </w:t>
      </w:r>
      <w:r w:rsidR="00C6613D">
        <w:rPr>
          <w:rFonts w:ascii="Garamond" w:hAnsi="Garamond"/>
        </w:rPr>
        <w:t>from within interbranch coequality</w:t>
      </w:r>
      <w:r w:rsidR="001E79E5">
        <w:rPr>
          <w:rFonts w:ascii="Garamond" w:hAnsi="Garamond"/>
        </w:rPr>
        <w:t xml:space="preserve">. </w:t>
      </w:r>
    </w:p>
    <w:p w:rsidR="00C66E65" w:rsidRDefault="001E79E5" w:rsidP="00BB446E">
      <w:pPr>
        <w:spacing w:line="480" w:lineRule="auto"/>
        <w:ind w:firstLine="720"/>
        <w:rPr>
          <w:rFonts w:ascii="Garamond" w:hAnsi="Garamond"/>
        </w:rPr>
      </w:pPr>
      <w:r>
        <w:rPr>
          <w:rFonts w:ascii="Garamond" w:hAnsi="Garamond"/>
        </w:rPr>
        <w:t>Accordingly, I analyzed the total population of opinions</w:t>
      </w:r>
      <w:r w:rsidR="0059649B">
        <w:rPr>
          <w:rFonts w:ascii="Garamond" w:hAnsi="Garamond"/>
        </w:rPr>
        <w:t xml:space="preserve"> where coequality is mentioned</w:t>
      </w:r>
      <w:r>
        <w:rPr>
          <w:rFonts w:ascii="Garamond" w:hAnsi="Garamond"/>
        </w:rPr>
        <w:t xml:space="preserve"> to determine what </w:t>
      </w:r>
      <w:r w:rsidR="0059649B">
        <w:rPr>
          <w:rFonts w:ascii="Garamond" w:hAnsi="Garamond"/>
        </w:rPr>
        <w:t>action the phrase is used in service of.  My primary guide in this is the outcome favored by the writer of the opinion with additional attention paid to the specific context of usage for the key word</w:t>
      </w:r>
      <w:r>
        <w:rPr>
          <w:rFonts w:ascii="Garamond" w:hAnsi="Garamond"/>
        </w:rPr>
        <w:t xml:space="preserve">.  There are </w:t>
      </w:r>
      <w:r w:rsidR="0059649B">
        <w:rPr>
          <w:rFonts w:ascii="Garamond" w:hAnsi="Garamond"/>
        </w:rPr>
        <w:t xml:space="preserve">five </w:t>
      </w:r>
      <w:r w:rsidR="00C6613D">
        <w:rPr>
          <w:rFonts w:ascii="Garamond" w:hAnsi="Garamond"/>
        </w:rPr>
        <w:t>categories of outcome:</w:t>
      </w:r>
      <w:r w:rsidR="0059649B">
        <w:rPr>
          <w:rFonts w:ascii="Garamond" w:hAnsi="Garamond"/>
        </w:rPr>
        <w:t xml:space="preserve">  </w:t>
      </w:r>
      <w:r>
        <w:rPr>
          <w:rFonts w:ascii="Garamond" w:hAnsi="Garamond"/>
        </w:rPr>
        <w:t xml:space="preserve">1.  </w:t>
      </w:r>
      <w:r w:rsidR="0059649B">
        <w:rPr>
          <w:rFonts w:ascii="Garamond" w:hAnsi="Garamond"/>
        </w:rPr>
        <w:t xml:space="preserve">defer to the political branches, usually eschewing a decision for lack of standing, mootness etc.  </w:t>
      </w:r>
      <w:r>
        <w:rPr>
          <w:rFonts w:ascii="Garamond" w:hAnsi="Garamond"/>
        </w:rPr>
        <w:t xml:space="preserve">2.  </w:t>
      </w:r>
      <w:r w:rsidR="0059649B">
        <w:rPr>
          <w:rFonts w:ascii="Garamond" w:hAnsi="Garamond"/>
        </w:rPr>
        <w:t xml:space="preserve">claim judicial jurisdiction and </w:t>
      </w:r>
      <w:r>
        <w:rPr>
          <w:rFonts w:ascii="Garamond" w:hAnsi="Garamond"/>
        </w:rPr>
        <w:t>take the case because of the judiciary’s coequal status</w:t>
      </w:r>
      <w:r w:rsidR="0059649B">
        <w:rPr>
          <w:rFonts w:ascii="Garamond" w:hAnsi="Garamond"/>
        </w:rPr>
        <w:t xml:space="preserve"> </w:t>
      </w:r>
      <w:r w:rsidR="00C6613D">
        <w:rPr>
          <w:rFonts w:ascii="Garamond" w:hAnsi="Garamond"/>
        </w:rPr>
        <w:t>(</w:t>
      </w:r>
      <w:r w:rsidR="0059649B">
        <w:rPr>
          <w:rFonts w:ascii="Garamond" w:hAnsi="Garamond"/>
        </w:rPr>
        <w:t>or state other branches need to respect the coequal judiciary</w:t>
      </w:r>
      <w:r w:rsidR="00C6613D">
        <w:rPr>
          <w:rFonts w:ascii="Garamond" w:hAnsi="Garamond"/>
        </w:rPr>
        <w:t>)</w:t>
      </w:r>
      <w:r>
        <w:rPr>
          <w:rFonts w:ascii="Garamond" w:hAnsi="Garamond"/>
        </w:rPr>
        <w:t xml:space="preserve">;  3. </w:t>
      </w:r>
      <w:r w:rsidR="00C66E65">
        <w:rPr>
          <w:rFonts w:ascii="Garamond" w:hAnsi="Garamond"/>
        </w:rPr>
        <w:t xml:space="preserve">decide (or make a non-decision) which </w:t>
      </w:r>
      <w:r w:rsidR="0059649B">
        <w:rPr>
          <w:rFonts w:ascii="Garamond" w:hAnsi="Garamond"/>
        </w:rPr>
        <w:t>defer</w:t>
      </w:r>
      <w:r w:rsidR="00C66E65">
        <w:rPr>
          <w:rFonts w:ascii="Garamond" w:hAnsi="Garamond"/>
        </w:rPr>
        <w:t>s</w:t>
      </w:r>
      <w:r>
        <w:rPr>
          <w:rFonts w:ascii="Garamond" w:hAnsi="Garamond"/>
        </w:rPr>
        <w:t xml:space="preserve"> to Congress </w:t>
      </w:r>
      <w:r w:rsidR="0059649B">
        <w:rPr>
          <w:rFonts w:ascii="Garamond" w:hAnsi="Garamond"/>
        </w:rPr>
        <w:t>in particular</w:t>
      </w:r>
      <w:r>
        <w:rPr>
          <w:rFonts w:ascii="Garamond" w:hAnsi="Garamond"/>
        </w:rPr>
        <w:t xml:space="preserve">;  4.  </w:t>
      </w:r>
      <w:r w:rsidR="00C6613D">
        <w:rPr>
          <w:rFonts w:ascii="Garamond" w:hAnsi="Garamond"/>
        </w:rPr>
        <w:t>d</w:t>
      </w:r>
      <w:r w:rsidR="00C66E65">
        <w:rPr>
          <w:rFonts w:ascii="Garamond" w:hAnsi="Garamond"/>
        </w:rPr>
        <w:t>ecide (or make a non-decision)</w:t>
      </w:r>
      <w:r>
        <w:rPr>
          <w:rFonts w:ascii="Garamond" w:hAnsi="Garamond"/>
        </w:rPr>
        <w:t xml:space="preserve"> w</w:t>
      </w:r>
      <w:r w:rsidR="00C66E65">
        <w:rPr>
          <w:rFonts w:ascii="Garamond" w:hAnsi="Garamond"/>
        </w:rPr>
        <w:t>hich defers to the president in particular;  5.  Coequality either does not apply here or as a norm it is trumped by the specific considerations of the case.</w:t>
      </w:r>
    </w:p>
    <w:p w:rsidR="00C66E65" w:rsidRDefault="00C66E65" w:rsidP="00BB446E">
      <w:pPr>
        <w:spacing w:line="480" w:lineRule="auto"/>
        <w:ind w:firstLine="720"/>
        <w:rPr>
          <w:rFonts w:ascii="Garamond" w:hAnsi="Garamond"/>
        </w:rPr>
      </w:pPr>
      <w:r>
        <w:rPr>
          <w:rFonts w:ascii="Garamond" w:hAnsi="Garamond"/>
        </w:rPr>
        <w:t>Not all the opinions expressed fit perfectly into one of</w:t>
      </w:r>
      <w:r w:rsidR="008F0589">
        <w:rPr>
          <w:rFonts w:ascii="Garamond" w:hAnsi="Garamond"/>
        </w:rPr>
        <w:t xml:space="preserve"> these five categories, but it is quite evident where</w:t>
      </w:r>
      <w:r>
        <w:rPr>
          <w:rFonts w:ascii="Garamond" w:hAnsi="Garamond"/>
        </w:rPr>
        <w:t xml:space="preserve"> most </w:t>
      </w:r>
      <w:r w:rsidR="008F0589">
        <w:rPr>
          <w:rFonts w:ascii="Garamond" w:hAnsi="Garamond"/>
        </w:rPr>
        <w:t>should be placed</w:t>
      </w:r>
      <w:r>
        <w:rPr>
          <w:rFonts w:ascii="Garamond" w:hAnsi="Garamond"/>
        </w:rPr>
        <w:t xml:space="preserve">.  Where an opinion </w:t>
      </w:r>
      <w:r w:rsidR="008F0589">
        <w:rPr>
          <w:rFonts w:ascii="Garamond" w:hAnsi="Garamond"/>
        </w:rPr>
        <w:t>might</w:t>
      </w:r>
      <w:r>
        <w:rPr>
          <w:rFonts w:ascii="Garamond" w:hAnsi="Garamond"/>
        </w:rPr>
        <w:t xml:space="preserve"> </w:t>
      </w:r>
      <w:r w:rsidR="008F0589">
        <w:rPr>
          <w:rFonts w:ascii="Garamond" w:hAnsi="Garamond"/>
        </w:rPr>
        <w:t>fall</w:t>
      </w:r>
      <w:r>
        <w:rPr>
          <w:rFonts w:ascii="Garamond" w:hAnsi="Garamond"/>
        </w:rPr>
        <w:t xml:space="preserve"> into more than one category, </w:t>
      </w:r>
      <w:r w:rsidR="008F0589">
        <w:rPr>
          <w:rFonts w:ascii="Garamond" w:hAnsi="Garamond"/>
        </w:rPr>
        <w:t>I chose the one most prevalent in the opinion</w:t>
      </w:r>
      <w:r>
        <w:rPr>
          <w:rFonts w:ascii="Garamond" w:hAnsi="Garamond"/>
        </w:rPr>
        <w:t>.  The res</w:t>
      </w:r>
      <w:r w:rsidR="00BB446E">
        <w:rPr>
          <w:rFonts w:ascii="Garamond" w:hAnsi="Garamond"/>
        </w:rPr>
        <w:t xml:space="preserve">ults of this analysis is set forth in Table 2, with </w:t>
      </w:r>
      <w:r w:rsidR="00B92A61">
        <w:rPr>
          <w:rFonts w:ascii="Garamond" w:hAnsi="Garamond"/>
        </w:rPr>
        <w:t>exemplars</w:t>
      </w:r>
      <w:r w:rsidR="00BB446E">
        <w:rPr>
          <w:rFonts w:ascii="Garamond" w:hAnsi="Garamond"/>
        </w:rPr>
        <w:t xml:space="preserve"> of each case </w:t>
      </w:r>
      <w:r w:rsidR="008F0589">
        <w:rPr>
          <w:rFonts w:ascii="Garamond" w:hAnsi="Garamond"/>
        </w:rPr>
        <w:t>dr</w:t>
      </w:r>
      <w:r w:rsidR="00BB446E">
        <w:rPr>
          <w:rFonts w:ascii="Garamond" w:hAnsi="Garamond"/>
        </w:rPr>
        <w:t>awn from prominent cases in which majority opinions contained a reference to coequality</w:t>
      </w:r>
      <w:r>
        <w:rPr>
          <w:rFonts w:ascii="Garamond" w:hAnsi="Garamond"/>
        </w:rPr>
        <w:t>:</w:t>
      </w:r>
    </w:p>
    <w:p w:rsidR="00BB446E" w:rsidRDefault="00BB446E" w:rsidP="003B3BA6">
      <w:pPr>
        <w:rPr>
          <w:rFonts w:ascii="Garamond" w:hAnsi="Garamond"/>
          <w:b/>
        </w:rPr>
      </w:pPr>
    </w:p>
    <w:p w:rsidR="003B3BA6" w:rsidRPr="00BB446E" w:rsidRDefault="00BB446E" w:rsidP="003B3BA6">
      <w:pPr>
        <w:rPr>
          <w:rFonts w:ascii="Garamond" w:hAnsi="Garamond"/>
          <w:b/>
        </w:rPr>
      </w:pPr>
      <w:r w:rsidRPr="00BB446E">
        <w:rPr>
          <w:rFonts w:ascii="Garamond" w:hAnsi="Garamond"/>
          <w:b/>
        </w:rPr>
        <w:t>Table 2:  Number of Coequality Cases by Type with Examples</w:t>
      </w:r>
    </w:p>
    <w:p w:rsidR="00C66E65" w:rsidRDefault="00C66E65" w:rsidP="00795889">
      <w:pPr>
        <w:ind w:firstLine="720"/>
        <w:rPr>
          <w:rFonts w:ascii="Garamond" w:hAnsi="Garamond"/>
        </w:rPr>
      </w:pPr>
    </w:p>
    <w:p w:rsidR="00C66E65" w:rsidRDefault="00C66E65" w:rsidP="00C66E65">
      <w:pPr>
        <w:rPr>
          <w:rFonts w:ascii="Garamond" w:hAnsi="Garamond"/>
          <w:u w:val="single"/>
        </w:rPr>
      </w:pPr>
      <w:r w:rsidRPr="00C66E65">
        <w:rPr>
          <w:rFonts w:ascii="Garamond" w:hAnsi="Garamond"/>
          <w:u w:val="single"/>
        </w:rPr>
        <w:t>Reason for Referenci</w:t>
      </w:r>
      <w:r w:rsidR="003B3BA6">
        <w:rPr>
          <w:rFonts w:ascii="Garamond" w:hAnsi="Garamond"/>
          <w:u w:val="single"/>
        </w:rPr>
        <w:t>ng Coequality</w:t>
      </w:r>
      <w:r w:rsidR="003B3BA6">
        <w:rPr>
          <w:rFonts w:ascii="Garamond" w:hAnsi="Garamond"/>
          <w:u w:val="single"/>
        </w:rPr>
        <w:tab/>
        <w:t xml:space="preserve">      # of Cases</w:t>
      </w:r>
      <w:r w:rsidR="003B3BA6">
        <w:rPr>
          <w:rFonts w:ascii="Garamond" w:hAnsi="Garamond"/>
          <w:u w:val="single"/>
        </w:rPr>
        <w:tab/>
      </w:r>
      <w:r w:rsidR="003B3BA6">
        <w:rPr>
          <w:rFonts w:ascii="Garamond" w:hAnsi="Garamond"/>
          <w:u w:val="single"/>
        </w:rPr>
        <w:tab/>
      </w:r>
      <w:r w:rsidRPr="00C66E65">
        <w:rPr>
          <w:rFonts w:ascii="Garamond" w:hAnsi="Garamond"/>
          <w:u w:val="single"/>
        </w:rPr>
        <w:t>Example of Case Type</w:t>
      </w:r>
    </w:p>
    <w:p w:rsidR="00C66E65" w:rsidRDefault="00C66E65" w:rsidP="00C66E65">
      <w:pPr>
        <w:rPr>
          <w:rFonts w:ascii="Garamond" w:hAnsi="Garamond"/>
        </w:rPr>
      </w:pPr>
    </w:p>
    <w:p w:rsidR="008F0589" w:rsidRDefault="00C66E65" w:rsidP="00C66E65">
      <w:pPr>
        <w:rPr>
          <w:rFonts w:ascii="Garamond" w:hAnsi="Garamond"/>
        </w:rPr>
      </w:pPr>
      <w:r>
        <w:rPr>
          <w:rFonts w:ascii="Garamond" w:hAnsi="Garamond"/>
        </w:rPr>
        <w:t>Defer t</w:t>
      </w:r>
      <w:r w:rsidR="003B3BA6">
        <w:rPr>
          <w:rFonts w:ascii="Garamond" w:hAnsi="Garamond"/>
        </w:rPr>
        <w:t>o Political Branches;</w:t>
      </w:r>
      <w:r w:rsidR="003B3BA6">
        <w:rPr>
          <w:rFonts w:ascii="Garamond" w:hAnsi="Garamond"/>
        </w:rPr>
        <w:tab/>
      </w:r>
      <w:r w:rsidR="003B3BA6">
        <w:rPr>
          <w:rFonts w:ascii="Garamond" w:hAnsi="Garamond"/>
        </w:rPr>
        <w:tab/>
      </w:r>
      <w:r w:rsidR="003B3BA6">
        <w:rPr>
          <w:rFonts w:ascii="Garamond" w:hAnsi="Garamond"/>
        </w:rPr>
        <w:tab/>
      </w:r>
      <w:r>
        <w:rPr>
          <w:rFonts w:ascii="Garamond" w:hAnsi="Garamond"/>
        </w:rPr>
        <w:t>15</w:t>
      </w:r>
      <w:r>
        <w:rPr>
          <w:rFonts w:ascii="Garamond" w:hAnsi="Garamond"/>
        </w:rPr>
        <w:tab/>
      </w:r>
      <w:r>
        <w:rPr>
          <w:rFonts w:ascii="Garamond" w:hAnsi="Garamond"/>
        </w:rPr>
        <w:tab/>
      </w:r>
      <w:r w:rsidR="008F0589">
        <w:rPr>
          <w:rFonts w:ascii="Garamond" w:hAnsi="Garamond"/>
          <w:i/>
        </w:rPr>
        <w:t xml:space="preserve">Field v. Clark </w:t>
      </w:r>
      <w:r w:rsidR="008F0589">
        <w:rPr>
          <w:rFonts w:ascii="Garamond" w:hAnsi="Garamond"/>
        </w:rPr>
        <w:t>(1892)</w:t>
      </w:r>
    </w:p>
    <w:p w:rsidR="008F0589" w:rsidRDefault="003B3BA6" w:rsidP="00C66E65">
      <w:pPr>
        <w:rPr>
          <w:rFonts w:ascii="Garamond" w:hAnsi="Garamond"/>
        </w:rPr>
      </w:pPr>
      <w:r>
        <w:rPr>
          <w:rFonts w:ascii="Garamond" w:hAnsi="Garamond"/>
        </w:rPr>
        <w:t>lack of s</w:t>
      </w:r>
      <w:r w:rsidR="008F0589">
        <w:rPr>
          <w:rFonts w:ascii="Garamond" w:hAnsi="Garamond"/>
        </w:rPr>
        <w:t>tanding, moot</w:t>
      </w:r>
      <w:r>
        <w:rPr>
          <w:rFonts w:ascii="Garamond" w:hAnsi="Garamond"/>
        </w:rPr>
        <w:t>ness, etc.</w:t>
      </w:r>
      <w:r>
        <w:rPr>
          <w:rFonts w:ascii="Garamond" w:hAnsi="Garamond"/>
        </w:rPr>
        <w:tab/>
      </w:r>
      <w:r>
        <w:rPr>
          <w:rFonts w:ascii="Garamond" w:hAnsi="Garamond"/>
        </w:rPr>
        <w:tab/>
      </w:r>
      <w:r>
        <w:rPr>
          <w:rFonts w:ascii="Garamond" w:hAnsi="Garamond"/>
        </w:rPr>
        <w:tab/>
      </w:r>
      <w:r w:rsidR="008F0589">
        <w:rPr>
          <w:rFonts w:ascii="Garamond" w:hAnsi="Garamond"/>
        </w:rPr>
        <w:tab/>
      </w:r>
      <w:r w:rsidR="008F0589">
        <w:rPr>
          <w:rFonts w:ascii="Garamond" w:hAnsi="Garamond"/>
          <w:i/>
        </w:rPr>
        <w:t>Frothingham v. Mellon</w:t>
      </w:r>
      <w:r w:rsidR="008F0589">
        <w:rPr>
          <w:rFonts w:ascii="Garamond" w:hAnsi="Garamond"/>
        </w:rPr>
        <w:t xml:space="preserve"> (1923)</w:t>
      </w:r>
    </w:p>
    <w:p w:rsidR="008F0589" w:rsidRDefault="008F0589" w:rsidP="00C66E65">
      <w:pPr>
        <w:rPr>
          <w:rFonts w:ascii="Garamond" w:hAnsi="Garamond"/>
        </w:rPr>
      </w:pPr>
    </w:p>
    <w:p w:rsidR="008F0589" w:rsidRPr="00EB5263" w:rsidRDefault="008F0589" w:rsidP="00C66E65">
      <w:pPr>
        <w:rPr>
          <w:rFonts w:ascii="Garamond" w:hAnsi="Garamond"/>
        </w:rPr>
      </w:pPr>
      <w:r>
        <w:rPr>
          <w:rFonts w:ascii="Garamond" w:hAnsi="Garamond"/>
        </w:rPr>
        <w:t>Claim judi</w:t>
      </w:r>
      <w:r w:rsidR="003B3BA6">
        <w:rPr>
          <w:rFonts w:ascii="Garamond" w:hAnsi="Garamond"/>
        </w:rPr>
        <w:t>cial jurisdiction or need</w:t>
      </w:r>
      <w:r w:rsidR="003B3BA6">
        <w:rPr>
          <w:rFonts w:ascii="Garamond" w:hAnsi="Garamond"/>
        </w:rPr>
        <w:tab/>
      </w:r>
      <w:r w:rsidR="003B3BA6">
        <w:rPr>
          <w:rFonts w:ascii="Garamond" w:hAnsi="Garamond"/>
        </w:rPr>
        <w:tab/>
      </w:r>
      <w:r>
        <w:rPr>
          <w:rFonts w:ascii="Garamond" w:hAnsi="Garamond"/>
        </w:rPr>
        <w:t>13</w:t>
      </w:r>
      <w:r>
        <w:rPr>
          <w:rFonts w:ascii="Garamond" w:hAnsi="Garamond"/>
        </w:rPr>
        <w:tab/>
      </w:r>
      <w:r>
        <w:rPr>
          <w:rFonts w:ascii="Garamond" w:hAnsi="Garamond"/>
        </w:rPr>
        <w:tab/>
      </w:r>
      <w:r w:rsidR="00EB5263">
        <w:rPr>
          <w:rFonts w:ascii="Garamond" w:hAnsi="Garamond"/>
          <w:i/>
        </w:rPr>
        <w:t>Flast v. Cohen</w:t>
      </w:r>
      <w:r w:rsidR="00EB5263">
        <w:rPr>
          <w:rFonts w:ascii="Garamond" w:hAnsi="Garamond"/>
        </w:rPr>
        <w:t xml:space="preserve"> (1968)</w:t>
      </w:r>
    </w:p>
    <w:p w:rsidR="008F0589" w:rsidRPr="008F0589" w:rsidRDefault="003B3BA6" w:rsidP="00C66E65">
      <w:pPr>
        <w:rPr>
          <w:rFonts w:ascii="Garamond" w:hAnsi="Garamond"/>
        </w:rPr>
      </w:pPr>
      <w:r>
        <w:rPr>
          <w:rFonts w:ascii="Garamond" w:hAnsi="Garamond"/>
        </w:rPr>
        <w:t>for deference to judicial branch</w:t>
      </w:r>
      <w:r>
        <w:rPr>
          <w:rFonts w:ascii="Garamond" w:hAnsi="Garamond"/>
        </w:rPr>
        <w:tab/>
      </w:r>
      <w:r>
        <w:rPr>
          <w:rFonts w:ascii="Garamond" w:hAnsi="Garamond"/>
        </w:rPr>
        <w:tab/>
      </w:r>
      <w:r w:rsidR="008F0589">
        <w:rPr>
          <w:rFonts w:ascii="Garamond" w:hAnsi="Garamond"/>
        </w:rPr>
        <w:tab/>
      </w:r>
      <w:r w:rsidR="008F0589">
        <w:rPr>
          <w:rFonts w:ascii="Garamond" w:hAnsi="Garamond"/>
        </w:rPr>
        <w:tab/>
      </w:r>
      <w:r w:rsidR="00EB5263">
        <w:rPr>
          <w:rFonts w:ascii="Garamond" w:hAnsi="Garamond"/>
          <w:i/>
        </w:rPr>
        <w:t>Clinton v. Jones</w:t>
      </w:r>
      <w:r w:rsidR="00EB5263">
        <w:rPr>
          <w:rFonts w:ascii="Garamond" w:hAnsi="Garamond"/>
        </w:rPr>
        <w:t xml:space="preserve"> (1997)</w:t>
      </w:r>
    </w:p>
    <w:p w:rsidR="008F0589" w:rsidRDefault="003B3BA6" w:rsidP="00C66E65">
      <w:pPr>
        <w:rPr>
          <w:rFonts w:ascii="Garamond" w:hAnsi="Garamond"/>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p>
    <w:p w:rsidR="008F0589" w:rsidRDefault="008F0589" w:rsidP="00C66E65">
      <w:pPr>
        <w:rPr>
          <w:rFonts w:ascii="Garamond" w:hAnsi="Garamond"/>
        </w:rPr>
      </w:pPr>
    </w:p>
    <w:p w:rsidR="008F0589" w:rsidRPr="00BB446E" w:rsidRDefault="003B3BA6" w:rsidP="00C66E65">
      <w:pPr>
        <w:rPr>
          <w:rFonts w:ascii="Garamond" w:hAnsi="Garamond"/>
        </w:rPr>
      </w:pPr>
      <w:r>
        <w:rPr>
          <w:rFonts w:ascii="Garamond" w:hAnsi="Garamond"/>
        </w:rPr>
        <w:t>Defer</w:t>
      </w:r>
      <w:r w:rsidR="00BB446E">
        <w:rPr>
          <w:rFonts w:ascii="Garamond" w:hAnsi="Garamond"/>
        </w:rPr>
        <w:t xml:space="preserve"> to Congress</w:t>
      </w:r>
      <w:r w:rsidR="00BB446E">
        <w:rPr>
          <w:rFonts w:ascii="Garamond" w:hAnsi="Garamond"/>
        </w:rPr>
        <w:tab/>
      </w:r>
      <w:r w:rsidR="00C6613D">
        <w:rPr>
          <w:rFonts w:ascii="Garamond" w:hAnsi="Garamond"/>
        </w:rPr>
        <w:tab/>
      </w:r>
      <w:r w:rsidR="00BB446E">
        <w:rPr>
          <w:rFonts w:ascii="Garamond" w:hAnsi="Garamond"/>
        </w:rPr>
        <w:tab/>
      </w:r>
      <w:r>
        <w:rPr>
          <w:rFonts w:ascii="Garamond" w:hAnsi="Garamond"/>
        </w:rPr>
        <w:tab/>
      </w:r>
      <w:r w:rsidR="008F0589">
        <w:rPr>
          <w:rFonts w:ascii="Garamond" w:hAnsi="Garamond"/>
        </w:rPr>
        <w:t>22</w:t>
      </w:r>
      <w:r w:rsidR="008F0589">
        <w:rPr>
          <w:rFonts w:ascii="Garamond" w:hAnsi="Garamond"/>
        </w:rPr>
        <w:tab/>
      </w:r>
      <w:r w:rsidR="00BB446E">
        <w:rPr>
          <w:rFonts w:ascii="Garamond" w:hAnsi="Garamond"/>
        </w:rPr>
        <w:tab/>
      </w:r>
      <w:r w:rsidR="00BB446E">
        <w:rPr>
          <w:rFonts w:ascii="Garamond" w:hAnsi="Garamond"/>
          <w:i/>
        </w:rPr>
        <w:t>Nixon v. Administrator of General</w:t>
      </w:r>
      <w:r w:rsidR="00BB446E">
        <w:rPr>
          <w:rFonts w:ascii="Garamond" w:hAnsi="Garamond"/>
        </w:rPr>
        <w:tab/>
      </w:r>
      <w:r w:rsidR="00BB446E">
        <w:rPr>
          <w:rFonts w:ascii="Garamond" w:hAnsi="Garamond"/>
        </w:rPr>
        <w:tab/>
      </w:r>
      <w:r w:rsidR="00BB446E">
        <w:rPr>
          <w:rFonts w:ascii="Garamond" w:hAnsi="Garamond"/>
        </w:rPr>
        <w:tab/>
      </w:r>
      <w:r w:rsidR="00BB446E">
        <w:rPr>
          <w:rFonts w:ascii="Garamond" w:hAnsi="Garamond"/>
        </w:rPr>
        <w:tab/>
      </w:r>
      <w:r w:rsidR="00BB446E">
        <w:rPr>
          <w:rFonts w:ascii="Garamond" w:hAnsi="Garamond"/>
        </w:rPr>
        <w:tab/>
      </w:r>
      <w:r w:rsidR="00BB446E">
        <w:rPr>
          <w:rFonts w:ascii="Garamond" w:hAnsi="Garamond"/>
        </w:rPr>
        <w:tab/>
      </w:r>
      <w:r w:rsidR="00BB446E">
        <w:rPr>
          <w:rFonts w:ascii="Garamond" w:hAnsi="Garamond"/>
        </w:rPr>
        <w:tab/>
      </w:r>
      <w:r w:rsidR="00BB446E">
        <w:rPr>
          <w:rFonts w:ascii="Garamond" w:hAnsi="Garamond"/>
        </w:rPr>
        <w:tab/>
      </w:r>
      <w:r w:rsidR="00BB446E">
        <w:rPr>
          <w:rFonts w:ascii="Garamond" w:hAnsi="Garamond"/>
        </w:rPr>
        <w:tab/>
      </w:r>
      <w:r w:rsidR="00BB446E">
        <w:rPr>
          <w:rFonts w:ascii="Garamond" w:hAnsi="Garamond"/>
        </w:rPr>
        <w:tab/>
      </w:r>
      <w:r w:rsidR="00BB446E">
        <w:rPr>
          <w:rFonts w:ascii="Garamond" w:hAnsi="Garamond"/>
        </w:rPr>
        <w:tab/>
      </w:r>
      <w:r w:rsidR="00BB446E">
        <w:rPr>
          <w:rFonts w:ascii="Garamond" w:hAnsi="Garamond"/>
        </w:rPr>
        <w:tab/>
      </w:r>
      <w:r w:rsidR="00BB446E">
        <w:rPr>
          <w:rFonts w:ascii="Garamond" w:hAnsi="Garamond"/>
          <w:i/>
        </w:rPr>
        <w:t>Services</w:t>
      </w:r>
      <w:r w:rsidR="00BB446E">
        <w:rPr>
          <w:rFonts w:ascii="Garamond" w:hAnsi="Garamond"/>
        </w:rPr>
        <w:t xml:space="preserve"> (1977)</w:t>
      </w:r>
    </w:p>
    <w:p w:rsidR="009354C6" w:rsidRDefault="009354C6" w:rsidP="009354C6">
      <w:pPr>
        <w:ind w:left="5040" w:firstLine="720"/>
        <w:rPr>
          <w:rFonts w:ascii="Garamond" w:hAnsi="Garamond"/>
        </w:rPr>
      </w:pPr>
      <w:r>
        <w:rPr>
          <w:rFonts w:ascii="Garamond" w:hAnsi="Garamond"/>
          <w:i/>
        </w:rPr>
        <w:t>Fullilove v. Klutznick</w:t>
      </w:r>
      <w:r>
        <w:rPr>
          <w:rFonts w:ascii="Garamond" w:hAnsi="Garamond"/>
        </w:rPr>
        <w:t xml:space="preserve"> (1980)</w:t>
      </w:r>
    </w:p>
    <w:p w:rsidR="008F0589" w:rsidRDefault="008F0589" w:rsidP="009354C6">
      <w:pPr>
        <w:ind w:left="5040" w:firstLine="720"/>
        <w:rPr>
          <w:rFonts w:ascii="Garamond" w:hAnsi="Garamond"/>
        </w:rPr>
      </w:pPr>
    </w:p>
    <w:p w:rsidR="003B3BA6" w:rsidRDefault="003B3BA6" w:rsidP="003B3BA6">
      <w:pPr>
        <w:rPr>
          <w:rFonts w:ascii="Garamond" w:hAnsi="Garamond"/>
        </w:rPr>
      </w:pPr>
      <w:r>
        <w:rPr>
          <w:rFonts w:ascii="Garamond" w:hAnsi="Garamond"/>
        </w:rPr>
        <w:t>Defer to President</w:t>
      </w:r>
      <w:r>
        <w:rPr>
          <w:rFonts w:ascii="Garamond" w:hAnsi="Garamond"/>
        </w:rPr>
        <w:tab/>
      </w:r>
      <w:r>
        <w:rPr>
          <w:rFonts w:ascii="Garamond" w:hAnsi="Garamond"/>
        </w:rPr>
        <w:tab/>
      </w:r>
      <w:r>
        <w:rPr>
          <w:rFonts w:ascii="Garamond" w:hAnsi="Garamond"/>
        </w:rPr>
        <w:tab/>
      </w:r>
      <w:r>
        <w:rPr>
          <w:rFonts w:ascii="Garamond" w:hAnsi="Garamond"/>
        </w:rPr>
        <w:tab/>
        <w:t xml:space="preserve">  </w:t>
      </w:r>
      <w:r w:rsidR="008F0589">
        <w:rPr>
          <w:rFonts w:ascii="Garamond" w:hAnsi="Garamond"/>
        </w:rPr>
        <w:t>7</w:t>
      </w:r>
      <w:r>
        <w:rPr>
          <w:rFonts w:ascii="Garamond" w:hAnsi="Garamond"/>
        </w:rPr>
        <w:tab/>
        <w:t xml:space="preserve">        </w:t>
      </w:r>
      <w:r>
        <w:rPr>
          <w:rFonts w:ascii="Garamond" w:hAnsi="Garamond"/>
        </w:rPr>
        <w:tab/>
      </w:r>
      <w:r>
        <w:rPr>
          <w:rFonts w:ascii="Garamond" w:hAnsi="Garamond"/>
          <w:i/>
        </w:rPr>
        <w:t>Lujan v. Defenders of Wildlife</w:t>
      </w:r>
      <w:r>
        <w:rPr>
          <w:rFonts w:ascii="Garamond" w:hAnsi="Garamond"/>
        </w:rPr>
        <w:t xml:space="preserve"> (1992)</w:t>
      </w:r>
    </w:p>
    <w:p w:rsidR="008F0589" w:rsidRPr="003B3BA6" w:rsidRDefault="003B3BA6" w:rsidP="003B3BA6">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Cheney v. US District Court</w:t>
      </w:r>
      <w:r>
        <w:rPr>
          <w:rFonts w:ascii="Garamond" w:hAnsi="Garamond"/>
        </w:rPr>
        <w:t xml:space="preserve"> (2004)</w:t>
      </w:r>
    </w:p>
    <w:p w:rsidR="008F0589" w:rsidRDefault="008F0589" w:rsidP="00C66E65">
      <w:pPr>
        <w:rPr>
          <w:rFonts w:ascii="Garamond" w:hAnsi="Garamond"/>
        </w:rPr>
      </w:pPr>
    </w:p>
    <w:p w:rsidR="008F0589" w:rsidRPr="008F0589" w:rsidRDefault="008F0589" w:rsidP="00C66E65">
      <w:pPr>
        <w:rPr>
          <w:rFonts w:ascii="Garamond" w:hAnsi="Garamond"/>
        </w:rPr>
      </w:pPr>
      <w:r>
        <w:rPr>
          <w:rFonts w:ascii="Garamond" w:hAnsi="Garamond"/>
        </w:rPr>
        <w:t>Coequalit</w:t>
      </w:r>
      <w:r w:rsidR="003B3BA6">
        <w:rPr>
          <w:rFonts w:ascii="Garamond" w:hAnsi="Garamond"/>
        </w:rPr>
        <w:t>y dismissed as not</w:t>
      </w:r>
      <w:r w:rsidR="003B3BA6">
        <w:rPr>
          <w:rFonts w:ascii="Garamond" w:hAnsi="Garamond"/>
        </w:rPr>
        <w:tab/>
      </w:r>
      <w:r w:rsidR="003B3BA6">
        <w:rPr>
          <w:rFonts w:ascii="Garamond" w:hAnsi="Garamond"/>
        </w:rPr>
        <w:tab/>
      </w:r>
      <w:r w:rsidR="003B3BA6">
        <w:rPr>
          <w:rFonts w:ascii="Garamond" w:hAnsi="Garamond"/>
        </w:rPr>
        <w:tab/>
      </w:r>
      <w:r>
        <w:rPr>
          <w:rFonts w:ascii="Garamond" w:hAnsi="Garamond"/>
        </w:rPr>
        <w:t>12</w:t>
      </w:r>
      <w:r>
        <w:rPr>
          <w:rFonts w:ascii="Garamond" w:hAnsi="Garamond"/>
        </w:rPr>
        <w:tab/>
      </w:r>
      <w:r>
        <w:rPr>
          <w:rFonts w:ascii="Garamond" w:hAnsi="Garamond"/>
        </w:rPr>
        <w:tab/>
      </w:r>
      <w:r>
        <w:rPr>
          <w:rFonts w:ascii="Garamond" w:hAnsi="Garamond"/>
          <w:i/>
        </w:rPr>
        <w:t>Baker v. Carr</w:t>
      </w:r>
      <w:r>
        <w:rPr>
          <w:rFonts w:ascii="Garamond" w:hAnsi="Garamond"/>
        </w:rPr>
        <w:t xml:space="preserve"> (1962)</w:t>
      </w:r>
    </w:p>
    <w:p w:rsidR="00694067" w:rsidRPr="008F0589" w:rsidRDefault="003B3BA6" w:rsidP="00C66E65">
      <w:pPr>
        <w:rPr>
          <w:rFonts w:ascii="Garamond" w:hAnsi="Garamond"/>
        </w:rPr>
      </w:pPr>
      <w:r>
        <w:rPr>
          <w:rFonts w:ascii="Garamond" w:hAnsi="Garamond"/>
        </w:rPr>
        <w:t xml:space="preserve">controlling or trumped by </w:t>
      </w:r>
      <w:r>
        <w:rPr>
          <w:rFonts w:ascii="Garamond" w:hAnsi="Garamond"/>
        </w:rPr>
        <w:tab/>
      </w:r>
      <w:r w:rsidR="008F0589">
        <w:rPr>
          <w:rFonts w:ascii="Garamond" w:hAnsi="Garamond"/>
        </w:rPr>
        <w:tab/>
      </w:r>
      <w:r w:rsidR="008F0589">
        <w:rPr>
          <w:rFonts w:ascii="Garamond" w:hAnsi="Garamond"/>
        </w:rPr>
        <w:tab/>
      </w:r>
      <w:r w:rsidR="008F0589">
        <w:rPr>
          <w:rFonts w:ascii="Garamond" w:hAnsi="Garamond"/>
        </w:rPr>
        <w:tab/>
      </w:r>
      <w:r w:rsidR="008F0589">
        <w:rPr>
          <w:rFonts w:ascii="Garamond" w:hAnsi="Garamond"/>
        </w:rPr>
        <w:tab/>
      </w:r>
      <w:r w:rsidR="008F0589">
        <w:rPr>
          <w:rFonts w:ascii="Garamond" w:hAnsi="Garamond"/>
          <w:i/>
        </w:rPr>
        <w:t xml:space="preserve">US v.Nixon </w:t>
      </w:r>
      <w:r w:rsidR="008F0589">
        <w:rPr>
          <w:rFonts w:ascii="Garamond" w:hAnsi="Garamond"/>
        </w:rPr>
        <w:t>(1974)</w:t>
      </w:r>
    </w:p>
    <w:p w:rsidR="00BB446E" w:rsidRDefault="003B3BA6" w:rsidP="003B3BA6">
      <w:pPr>
        <w:spacing w:line="480" w:lineRule="auto"/>
        <w:rPr>
          <w:rFonts w:ascii="Garamond" w:hAnsi="Garamond"/>
        </w:rPr>
      </w:pPr>
      <w:r>
        <w:rPr>
          <w:rFonts w:ascii="Garamond" w:hAnsi="Garamond"/>
        </w:rPr>
        <w:t>other considerations</w:t>
      </w:r>
    </w:p>
    <w:p w:rsidR="00EB5263" w:rsidRDefault="00BB446E" w:rsidP="00F80FC9">
      <w:pPr>
        <w:spacing w:line="480" w:lineRule="auto"/>
        <w:rPr>
          <w:rFonts w:ascii="Garamond" w:hAnsi="Garamond"/>
        </w:rPr>
      </w:pPr>
      <w:r>
        <w:rPr>
          <w:rFonts w:ascii="Garamond" w:hAnsi="Garamond"/>
          <w:i/>
        </w:rPr>
        <w:t xml:space="preserve">Field </w:t>
      </w:r>
      <w:r>
        <w:rPr>
          <w:rFonts w:ascii="Garamond" w:hAnsi="Garamond"/>
        </w:rPr>
        <w:t xml:space="preserve">and </w:t>
      </w:r>
      <w:r w:rsidR="00EB5263">
        <w:rPr>
          <w:rFonts w:ascii="Garamond" w:hAnsi="Garamond"/>
          <w:i/>
        </w:rPr>
        <w:t>Frothingham</w:t>
      </w:r>
      <w:r>
        <w:rPr>
          <w:rFonts w:ascii="Garamond" w:hAnsi="Garamond"/>
          <w:i/>
        </w:rPr>
        <w:t xml:space="preserve"> </w:t>
      </w:r>
      <w:r>
        <w:rPr>
          <w:rFonts w:ascii="Garamond" w:hAnsi="Garamond"/>
        </w:rPr>
        <w:t>have already received extensive attention here as ear</w:t>
      </w:r>
      <w:r w:rsidR="00686E10">
        <w:rPr>
          <w:rFonts w:ascii="Garamond" w:hAnsi="Garamond"/>
        </w:rPr>
        <w:t xml:space="preserve">ly cases in a </w:t>
      </w:r>
      <w:r>
        <w:rPr>
          <w:rFonts w:ascii="Garamond" w:hAnsi="Garamond"/>
        </w:rPr>
        <w:t>line of “non-ju</w:t>
      </w:r>
      <w:r w:rsidR="002A605C">
        <w:rPr>
          <w:rFonts w:ascii="Garamond" w:hAnsi="Garamond"/>
        </w:rPr>
        <w:t>sticiable</w:t>
      </w:r>
      <w:r>
        <w:rPr>
          <w:rFonts w:ascii="Garamond" w:hAnsi="Garamond"/>
        </w:rPr>
        <w:t xml:space="preserve">” decisions. </w:t>
      </w:r>
      <w:r w:rsidR="00EB5263">
        <w:rPr>
          <w:rFonts w:ascii="Garamond" w:hAnsi="Garamond"/>
        </w:rPr>
        <w:t xml:space="preserve"> In </w:t>
      </w:r>
      <w:r w:rsidR="00EB5263">
        <w:rPr>
          <w:rFonts w:ascii="Garamond" w:hAnsi="Garamond"/>
          <w:i/>
        </w:rPr>
        <w:t>Flast</w:t>
      </w:r>
      <w:r w:rsidR="00EB5263">
        <w:rPr>
          <w:rFonts w:ascii="Garamond" w:hAnsi="Garamond"/>
        </w:rPr>
        <w:t>, Chief Justice Earl Warren quoted the latter case but came to a v</w:t>
      </w:r>
      <w:r w:rsidR="009354C6">
        <w:rPr>
          <w:rFonts w:ascii="Garamond" w:hAnsi="Garamond"/>
        </w:rPr>
        <w:t xml:space="preserve">ery different conclusion:  </w:t>
      </w:r>
      <w:r w:rsidR="00EB5263">
        <w:rPr>
          <w:rFonts w:ascii="Garamond" w:hAnsi="Garamond"/>
        </w:rPr>
        <w:t xml:space="preserve">the Court had the power to rule.  Likewise, in </w:t>
      </w:r>
      <w:r w:rsidR="00EB5263">
        <w:rPr>
          <w:rFonts w:ascii="Garamond" w:hAnsi="Garamond"/>
          <w:i/>
        </w:rPr>
        <w:t>Clinton v. Jones</w:t>
      </w:r>
      <w:r w:rsidR="00EB5263">
        <w:rPr>
          <w:rFonts w:ascii="Garamond" w:hAnsi="Garamond"/>
        </w:rPr>
        <w:t>, Justice Stevens reasoned that coequality and the separation of powers doctrine does not require the stay of all private legal actions against the President of the United State</w:t>
      </w:r>
      <w:r w:rsidR="009354C6">
        <w:rPr>
          <w:rFonts w:ascii="Garamond" w:hAnsi="Garamond"/>
        </w:rPr>
        <w:t>s.  Just because one litigant i</w:t>
      </w:r>
      <w:r w:rsidR="00EB5263">
        <w:rPr>
          <w:rFonts w:ascii="Garamond" w:hAnsi="Garamond"/>
        </w:rPr>
        <w:t xml:space="preserve">s the president, the </w:t>
      </w:r>
      <w:r w:rsidR="009354C6">
        <w:rPr>
          <w:rFonts w:ascii="Garamond" w:hAnsi="Garamond"/>
        </w:rPr>
        <w:t xml:space="preserve">work of the </w:t>
      </w:r>
      <w:r w:rsidR="00EB5263">
        <w:rPr>
          <w:rFonts w:ascii="Garamond" w:hAnsi="Garamond"/>
        </w:rPr>
        <w:t xml:space="preserve">courts </w:t>
      </w:r>
      <w:r w:rsidR="002A605C">
        <w:rPr>
          <w:rFonts w:ascii="Garamond" w:hAnsi="Garamond"/>
        </w:rPr>
        <w:t xml:space="preserve">in administering justice </w:t>
      </w:r>
      <w:r w:rsidR="009354C6">
        <w:rPr>
          <w:rFonts w:ascii="Garamond" w:hAnsi="Garamond"/>
        </w:rPr>
        <w:t>does</w:t>
      </w:r>
      <w:r w:rsidR="00EB5263">
        <w:rPr>
          <w:rFonts w:ascii="Garamond" w:hAnsi="Garamond"/>
        </w:rPr>
        <w:t xml:space="preserve"> not stop.</w:t>
      </w:r>
      <w:r w:rsidR="002A605C">
        <w:rPr>
          <w:rFonts w:ascii="Garamond" w:hAnsi="Garamond"/>
        </w:rPr>
        <w:t xml:space="preserve">  In these two cases, the authors of majority opinions suggested that because the judiciary was a coequal branch, the judiciary should rule.</w:t>
      </w:r>
    </w:p>
    <w:p w:rsidR="00AA0907" w:rsidRDefault="00EB5263" w:rsidP="00F80FC9">
      <w:pPr>
        <w:spacing w:line="480" w:lineRule="auto"/>
        <w:rPr>
          <w:rFonts w:ascii="Garamond" w:hAnsi="Garamond"/>
        </w:rPr>
      </w:pPr>
      <w:r>
        <w:rPr>
          <w:rFonts w:ascii="Garamond" w:hAnsi="Garamond"/>
        </w:rPr>
        <w:tab/>
      </w:r>
      <w:r w:rsidR="009354C6">
        <w:rPr>
          <w:rFonts w:ascii="Garamond" w:hAnsi="Garamond"/>
        </w:rPr>
        <w:t xml:space="preserve">In </w:t>
      </w:r>
      <w:r w:rsidR="009354C6" w:rsidRPr="009354C6">
        <w:rPr>
          <w:rFonts w:ascii="Garamond" w:hAnsi="Garamond"/>
          <w:i/>
        </w:rPr>
        <w:t>Nixon v. Administrator of General Services</w:t>
      </w:r>
      <w:r w:rsidR="009354C6">
        <w:rPr>
          <w:rFonts w:ascii="Garamond" w:hAnsi="Garamond"/>
        </w:rPr>
        <w:t>, the former president sued the federal government for the recovery of papers he generated while president.  The Congress had passed the Presidential Records and Materials Preservations Act in the wake of the Watergate scandal, which made presidential records and materials the property of the US government and scheduled them for release 12 years a</w:t>
      </w:r>
      <w:r w:rsidR="002A605C">
        <w:rPr>
          <w:rFonts w:ascii="Garamond" w:hAnsi="Garamond"/>
        </w:rPr>
        <w:t xml:space="preserve">fter a presidency ended.  </w:t>
      </w:r>
      <w:r w:rsidR="009354C6">
        <w:rPr>
          <w:rFonts w:ascii="Garamond" w:hAnsi="Garamond"/>
        </w:rPr>
        <w:t>Chief Justice</w:t>
      </w:r>
      <w:r w:rsidR="00AA0907">
        <w:rPr>
          <w:rFonts w:ascii="Garamond" w:hAnsi="Garamond"/>
        </w:rPr>
        <w:t xml:space="preserve"> Warren</w:t>
      </w:r>
      <w:r w:rsidR="009354C6">
        <w:rPr>
          <w:rFonts w:ascii="Garamond" w:hAnsi="Garamond"/>
        </w:rPr>
        <w:t xml:space="preserve"> Burger vehemently disagree</w:t>
      </w:r>
      <w:r w:rsidR="002A605C">
        <w:rPr>
          <w:rFonts w:ascii="Garamond" w:hAnsi="Garamond"/>
        </w:rPr>
        <w:t xml:space="preserve">d in a dissent, </w:t>
      </w:r>
      <w:r w:rsidR="00AA0907">
        <w:rPr>
          <w:rFonts w:ascii="Garamond" w:hAnsi="Garamond"/>
        </w:rPr>
        <w:t>both William Brennan and</w:t>
      </w:r>
      <w:r w:rsidR="009354C6">
        <w:rPr>
          <w:rFonts w:ascii="Garamond" w:hAnsi="Garamond"/>
        </w:rPr>
        <w:t xml:space="preserve"> Lewis Powell felt that </w:t>
      </w:r>
      <w:r w:rsidR="002A605C">
        <w:rPr>
          <w:rFonts w:ascii="Garamond" w:hAnsi="Garamond"/>
        </w:rPr>
        <w:t>Congress’ determination tha</w:t>
      </w:r>
      <w:r w:rsidR="00AA0907">
        <w:rPr>
          <w:rFonts w:ascii="Garamond" w:hAnsi="Garamond"/>
        </w:rPr>
        <w:t xml:space="preserve">t the public </w:t>
      </w:r>
      <w:r w:rsidR="002A605C">
        <w:rPr>
          <w:rFonts w:ascii="Garamond" w:hAnsi="Garamond"/>
        </w:rPr>
        <w:t xml:space="preserve">had an interest and “owned” </w:t>
      </w:r>
      <w:r w:rsidR="00AA0907">
        <w:rPr>
          <w:rFonts w:ascii="Garamond" w:hAnsi="Garamond"/>
        </w:rPr>
        <w:t xml:space="preserve">presidential papers should be respected.  The </w:t>
      </w:r>
      <w:r w:rsidR="00AA0907">
        <w:rPr>
          <w:rFonts w:ascii="Garamond" w:hAnsi="Garamond"/>
          <w:i/>
        </w:rPr>
        <w:t>Fullilove</w:t>
      </w:r>
      <w:r w:rsidR="00AA0907">
        <w:rPr>
          <w:rFonts w:ascii="Garamond" w:hAnsi="Garamond"/>
        </w:rPr>
        <w:t xml:space="preserve"> case is about affirmative action.</w:t>
      </w:r>
      <w:r w:rsidR="009354C6">
        <w:rPr>
          <w:rFonts w:ascii="Garamond" w:hAnsi="Garamond"/>
        </w:rPr>
        <w:t xml:space="preserve">  </w:t>
      </w:r>
      <w:r w:rsidR="00B92A61">
        <w:rPr>
          <w:rFonts w:ascii="Garamond" w:hAnsi="Garamond"/>
        </w:rPr>
        <w:t xml:space="preserve">Burger’s majority opinion stated that “we are bound to approach our task with appropriate deference to Congress, a co-equal branch charged by the Constitution with the power to ‘provide for the…general Welfare of the United States’ and to enforce, by appropriate legislation, the equal protection guarantees of the Fourteenth Amendment.”  </w:t>
      </w:r>
      <w:r w:rsidR="00AA0907">
        <w:rPr>
          <w:rFonts w:ascii="Garamond" w:hAnsi="Garamond"/>
        </w:rPr>
        <w:t>A clearer example of deference to Congress would be hard to find.</w:t>
      </w:r>
    </w:p>
    <w:p w:rsidR="0010637D" w:rsidRDefault="00AA0907" w:rsidP="00F80FC9">
      <w:pPr>
        <w:spacing w:line="480" w:lineRule="auto"/>
        <w:rPr>
          <w:rFonts w:ascii="Garamond" w:hAnsi="Garamond"/>
        </w:rPr>
      </w:pPr>
      <w:r>
        <w:rPr>
          <w:rFonts w:ascii="Garamond" w:hAnsi="Garamond"/>
        </w:rPr>
        <w:tab/>
        <w:t>Deference to the president and the executive branch has been less common</w:t>
      </w:r>
      <w:r w:rsidR="002A605C">
        <w:rPr>
          <w:rFonts w:ascii="Garamond" w:hAnsi="Garamond"/>
        </w:rPr>
        <w:t xml:space="preserve"> than deference to Congress</w:t>
      </w:r>
      <w:r>
        <w:rPr>
          <w:rFonts w:ascii="Garamond" w:hAnsi="Garamond"/>
        </w:rPr>
        <w:t xml:space="preserve">.  There are, however, several well known cases.  </w:t>
      </w:r>
      <w:r>
        <w:rPr>
          <w:rFonts w:ascii="Garamond" w:hAnsi="Garamond"/>
          <w:i/>
        </w:rPr>
        <w:t>Lujan</w:t>
      </w:r>
      <w:r>
        <w:rPr>
          <w:rFonts w:ascii="Garamond" w:hAnsi="Garamond"/>
        </w:rPr>
        <w:t xml:space="preserve"> concerns whether citizens have standing in bringing suit against the administration for </w:t>
      </w:r>
      <w:r w:rsidR="002A5D47">
        <w:rPr>
          <w:rFonts w:ascii="Garamond" w:hAnsi="Garamond"/>
        </w:rPr>
        <w:t xml:space="preserve">loosening protections on endangered species.  Antonin Scalia’s opinion for the majority was that the average citizen did not suffer sufficient harm </w:t>
      </w:r>
      <w:r w:rsidR="002A605C">
        <w:rPr>
          <w:rFonts w:ascii="Garamond" w:hAnsi="Garamond"/>
        </w:rPr>
        <w:t>to bring suit.  Though this</w:t>
      </w:r>
      <w:r w:rsidR="002A5D47">
        <w:rPr>
          <w:rFonts w:ascii="Garamond" w:hAnsi="Garamond"/>
        </w:rPr>
        <w:t xml:space="preserve"> sound</w:t>
      </w:r>
      <w:r w:rsidR="002A605C">
        <w:rPr>
          <w:rFonts w:ascii="Garamond" w:hAnsi="Garamond"/>
        </w:rPr>
        <w:t>s</w:t>
      </w:r>
      <w:r w:rsidR="002A5D47">
        <w:rPr>
          <w:rFonts w:ascii="Garamond" w:hAnsi="Garamond"/>
        </w:rPr>
        <w:t xml:space="preserve"> like a case of the </w:t>
      </w:r>
      <w:r w:rsidR="002A5D47">
        <w:rPr>
          <w:rFonts w:ascii="Garamond" w:hAnsi="Garamond"/>
          <w:i/>
        </w:rPr>
        <w:t>Frothingham</w:t>
      </w:r>
      <w:r w:rsidR="002A5D47">
        <w:rPr>
          <w:rFonts w:ascii="Garamond" w:hAnsi="Garamond"/>
        </w:rPr>
        <w:t xml:space="preserve"> variety, and Scalia did quote from the decision, the way he put his words together suggest deference to the executive branch</w:t>
      </w:r>
      <w:r w:rsidR="002A605C">
        <w:rPr>
          <w:rFonts w:ascii="Garamond" w:hAnsi="Garamond"/>
        </w:rPr>
        <w:t xml:space="preserve"> (rather than </w:t>
      </w:r>
      <w:r w:rsidR="002A605C">
        <w:rPr>
          <w:rFonts w:ascii="Garamond" w:hAnsi="Garamond"/>
          <w:i/>
        </w:rPr>
        <w:t>Frothingham’s</w:t>
      </w:r>
      <w:r w:rsidR="002A605C">
        <w:rPr>
          <w:rFonts w:ascii="Garamond" w:hAnsi="Garamond"/>
        </w:rPr>
        <w:t xml:space="preserve"> more general deference to the result of the lawmaking process)</w:t>
      </w:r>
      <w:r w:rsidR="002A5D47">
        <w:rPr>
          <w:rFonts w:ascii="Garamond" w:hAnsi="Garamond"/>
        </w:rPr>
        <w:t xml:space="preserve">.  A ruling adverse to the Administration, “would enable the courts, with the permission of Congress, ‘to assume a position of authority over the governmental acts of another and co-equal department…and become ‘virtually continuing monitors of the wisdom and soundness of Executive action.’”  </w:t>
      </w:r>
      <w:r w:rsidR="002A605C">
        <w:rPr>
          <w:rFonts w:ascii="Garamond" w:hAnsi="Garamond"/>
        </w:rPr>
        <w:t xml:space="preserve">In short, the Executive Branch possessed the ability to interpret and reinterpret the implementation of the Endangered Species Act.  </w:t>
      </w:r>
      <w:r w:rsidR="002A5D47">
        <w:rPr>
          <w:rFonts w:ascii="Garamond" w:hAnsi="Garamond"/>
        </w:rPr>
        <w:t xml:space="preserve">In the </w:t>
      </w:r>
      <w:r w:rsidR="002A5D47">
        <w:rPr>
          <w:rFonts w:ascii="Garamond" w:hAnsi="Garamond"/>
          <w:i/>
        </w:rPr>
        <w:t>Cheney</w:t>
      </w:r>
      <w:r w:rsidR="002A5D47">
        <w:rPr>
          <w:rFonts w:ascii="Garamond" w:hAnsi="Garamond"/>
        </w:rPr>
        <w:t xml:space="preserve"> case, environmental groups had sued to </w:t>
      </w:r>
      <w:r w:rsidR="0010637D">
        <w:rPr>
          <w:rFonts w:ascii="Garamond" w:hAnsi="Garamond"/>
        </w:rPr>
        <w:t xml:space="preserve">learn of those with whom Vice President Cheney met with to formulate a new energy policy.  Justice Kennedy, on behalf of the Court, decided that Cheney’s claim of confidentiality </w:t>
      </w:r>
      <w:r w:rsidR="002A605C">
        <w:rPr>
          <w:rFonts w:ascii="Garamond" w:hAnsi="Garamond"/>
        </w:rPr>
        <w:t>was reasonable.  Cheney did not have to</w:t>
      </w:r>
      <w:r w:rsidR="0010637D">
        <w:rPr>
          <w:rFonts w:ascii="Garamond" w:hAnsi="Garamond"/>
        </w:rPr>
        <w:t xml:space="preserve"> rest </w:t>
      </w:r>
      <w:r w:rsidR="002A605C">
        <w:rPr>
          <w:rFonts w:ascii="Garamond" w:hAnsi="Garamond"/>
        </w:rPr>
        <w:t xml:space="preserve">his claim to </w:t>
      </w:r>
      <w:r w:rsidR="00B92A61">
        <w:rPr>
          <w:rFonts w:ascii="Garamond" w:hAnsi="Garamond"/>
        </w:rPr>
        <w:t>privacy</w:t>
      </w:r>
      <w:r w:rsidR="002A605C">
        <w:rPr>
          <w:rFonts w:ascii="Garamond" w:hAnsi="Garamond"/>
        </w:rPr>
        <w:t xml:space="preserve"> on executive privilege, and therefore the courts would not be drawn into the painful task of deciding whether the public’s right to know outweighed the Vice President’s interest in confidentiality.</w:t>
      </w:r>
      <w:r w:rsidR="0010637D">
        <w:rPr>
          <w:rFonts w:ascii="Garamond" w:hAnsi="Garamond"/>
        </w:rPr>
        <w:t xml:space="preserve"> </w:t>
      </w:r>
    </w:p>
    <w:p w:rsidR="00B12E0B" w:rsidRDefault="0010637D" w:rsidP="00F80FC9">
      <w:pPr>
        <w:spacing w:line="480" w:lineRule="auto"/>
        <w:rPr>
          <w:rFonts w:ascii="Garamond" w:hAnsi="Garamond"/>
        </w:rPr>
      </w:pPr>
      <w:r>
        <w:rPr>
          <w:rFonts w:ascii="Garamond" w:hAnsi="Garamond"/>
        </w:rPr>
        <w:tab/>
      </w:r>
      <w:r>
        <w:rPr>
          <w:rFonts w:ascii="Garamond" w:hAnsi="Garamond"/>
          <w:i/>
        </w:rPr>
        <w:t>Baker v. Carr</w:t>
      </w:r>
      <w:r>
        <w:rPr>
          <w:rFonts w:ascii="Garamond" w:hAnsi="Garamond"/>
        </w:rPr>
        <w:t xml:space="preserve"> was the groundbreaking case in which William Brennan declared that</w:t>
      </w:r>
      <w:r w:rsidR="00514E6A">
        <w:rPr>
          <w:rFonts w:ascii="Garamond" w:hAnsi="Garamond"/>
        </w:rPr>
        <w:t xml:space="preserve"> malapportioned legislative dis</w:t>
      </w:r>
      <w:r>
        <w:rPr>
          <w:rFonts w:ascii="Garamond" w:hAnsi="Garamond"/>
        </w:rPr>
        <w:t xml:space="preserve">tricts </w:t>
      </w:r>
      <w:r w:rsidR="008C096E">
        <w:rPr>
          <w:rFonts w:ascii="Garamond" w:hAnsi="Garamond"/>
        </w:rPr>
        <w:t>violated the equal protection</w:t>
      </w:r>
      <w:r w:rsidR="006375EF">
        <w:rPr>
          <w:rFonts w:ascii="Garamond" w:hAnsi="Garamond"/>
        </w:rPr>
        <w:t xml:space="preserve"> clause.  A</w:t>
      </w:r>
      <w:r w:rsidR="008C096E">
        <w:rPr>
          <w:rFonts w:ascii="Garamond" w:hAnsi="Garamond"/>
        </w:rPr>
        <w:t xml:space="preserve"> </w:t>
      </w:r>
      <w:r w:rsidR="006375EF">
        <w:rPr>
          <w:rFonts w:ascii="Garamond" w:hAnsi="Garamond"/>
        </w:rPr>
        <w:t>concern in Brennan’s mind was</w:t>
      </w:r>
      <w:r w:rsidR="008C096E">
        <w:rPr>
          <w:rFonts w:ascii="Garamond" w:hAnsi="Garamond"/>
        </w:rPr>
        <w:t xml:space="preserve"> combat</w:t>
      </w:r>
      <w:r w:rsidR="006375EF">
        <w:rPr>
          <w:rFonts w:ascii="Garamond" w:hAnsi="Garamond"/>
        </w:rPr>
        <w:t>ing</w:t>
      </w:r>
      <w:r w:rsidR="008C096E">
        <w:rPr>
          <w:rFonts w:ascii="Garamond" w:hAnsi="Garamond"/>
        </w:rPr>
        <w:t xml:space="preserve"> the claim of non-justiciability</w:t>
      </w:r>
      <w:r w:rsidR="002A605C">
        <w:rPr>
          <w:rFonts w:ascii="Garamond" w:hAnsi="Garamond"/>
        </w:rPr>
        <w:t xml:space="preserve"> because the Supreme Court had never taken on such a case</w:t>
      </w:r>
      <w:r w:rsidR="008C096E">
        <w:rPr>
          <w:rFonts w:ascii="Garamond" w:hAnsi="Garamond"/>
        </w:rPr>
        <w:t xml:space="preserve">.  One of Brennan’s references to coequality is a quote from </w:t>
      </w:r>
      <w:r w:rsidR="008C096E">
        <w:rPr>
          <w:rFonts w:ascii="Garamond" w:hAnsi="Garamond"/>
          <w:i/>
        </w:rPr>
        <w:t>Field v. Clark</w:t>
      </w:r>
      <w:r w:rsidR="008C096E">
        <w:rPr>
          <w:rFonts w:ascii="Garamond" w:hAnsi="Garamond"/>
        </w:rPr>
        <w:t>.  There is respect due t</w:t>
      </w:r>
      <w:r w:rsidR="006375EF">
        <w:rPr>
          <w:rFonts w:ascii="Garamond" w:hAnsi="Garamond"/>
        </w:rPr>
        <w:t>o the legislature, he acknowledged, but that did</w:t>
      </w:r>
      <w:r w:rsidR="008C096E">
        <w:rPr>
          <w:rFonts w:ascii="Garamond" w:hAnsi="Garamond"/>
        </w:rPr>
        <w:t xml:space="preserve"> not</w:t>
      </w:r>
      <w:r w:rsidR="006375EF">
        <w:rPr>
          <w:rFonts w:ascii="Garamond" w:hAnsi="Garamond"/>
        </w:rPr>
        <w:t xml:space="preserve"> mean </w:t>
      </w:r>
      <w:r w:rsidR="002A605C">
        <w:rPr>
          <w:rFonts w:ascii="Garamond" w:hAnsi="Garamond"/>
        </w:rPr>
        <w:t>the courts would</w:t>
      </w:r>
      <w:r w:rsidR="008C096E">
        <w:rPr>
          <w:rFonts w:ascii="Garamond" w:hAnsi="Garamond"/>
        </w:rPr>
        <w:t xml:space="preserve"> never delve into </w:t>
      </w:r>
      <w:r w:rsidR="006375EF">
        <w:rPr>
          <w:rFonts w:ascii="Garamond" w:hAnsi="Garamond"/>
        </w:rPr>
        <w:t xml:space="preserve">a legislative record to determine something like whether there was intent to violate equal protection.  In </w:t>
      </w:r>
      <w:r w:rsidR="006375EF" w:rsidRPr="002A605C">
        <w:rPr>
          <w:rFonts w:ascii="Garamond" w:hAnsi="Garamond"/>
          <w:i/>
        </w:rPr>
        <w:t>US v. Nixon</w:t>
      </w:r>
      <w:r w:rsidR="006375EF">
        <w:rPr>
          <w:rFonts w:ascii="Garamond" w:hAnsi="Garamond"/>
        </w:rPr>
        <w:t xml:space="preserve"> the Court already had a claim of coequality on the table:  Richard Nixon’s insistence that any adverse decision would disrespect the coequal status of the presidency.  </w:t>
      </w:r>
      <w:r w:rsidR="002A605C">
        <w:rPr>
          <w:rFonts w:ascii="Garamond" w:hAnsi="Garamond"/>
        </w:rPr>
        <w:t>Chief Justice</w:t>
      </w:r>
      <w:r w:rsidR="006375EF">
        <w:rPr>
          <w:rFonts w:ascii="Garamond" w:hAnsi="Garamond"/>
        </w:rPr>
        <w:t xml:space="preserve"> Burger rejected the idea that coequality granted an unqualified privilege and decided that the search for relevant evidence in a </w:t>
      </w:r>
      <w:r w:rsidR="00B12E0B">
        <w:rPr>
          <w:rFonts w:ascii="Garamond" w:hAnsi="Garamond"/>
        </w:rPr>
        <w:t>criminal probe took precedence over a more general protection offered by executive privilege.</w:t>
      </w:r>
      <w:r w:rsidR="002A605C">
        <w:rPr>
          <w:rFonts w:ascii="Garamond" w:hAnsi="Garamond"/>
        </w:rPr>
        <w:t xml:space="preserve">  In both of these cases coequality was acknowledged, only to be dismissed as not controlling.</w:t>
      </w:r>
    </w:p>
    <w:p w:rsidR="004A1C56" w:rsidRPr="00B12E0B" w:rsidRDefault="00B12E0B" w:rsidP="00F80FC9">
      <w:pPr>
        <w:spacing w:line="480" w:lineRule="auto"/>
        <w:rPr>
          <w:rFonts w:ascii="Garamond" w:hAnsi="Garamond"/>
        </w:rPr>
      </w:pPr>
      <w:r>
        <w:rPr>
          <w:rFonts w:ascii="Garamond" w:hAnsi="Garamond"/>
        </w:rPr>
        <w:tab/>
        <w:t xml:space="preserve">These cases indicate that there are prominent examples of many different kind of decision that employ coequality as part of the text of the opinion.  Coequality by itself is not dispositive; contextual matters and the disposition of the justices </w:t>
      </w:r>
      <w:r w:rsidR="00AB2BF4">
        <w:rPr>
          <w:rFonts w:ascii="Garamond" w:hAnsi="Garamond"/>
        </w:rPr>
        <w:t>involved are</w:t>
      </w:r>
      <w:r>
        <w:rPr>
          <w:rFonts w:ascii="Garamond" w:hAnsi="Garamond"/>
        </w:rPr>
        <w:t xml:space="preserve"> primary determiners in each case.  What is also clear </w:t>
      </w:r>
      <w:r w:rsidR="00AB2BF4">
        <w:rPr>
          <w:rFonts w:ascii="Garamond" w:hAnsi="Garamond"/>
        </w:rPr>
        <w:t xml:space="preserve">from this analysis is that the Court </w:t>
      </w:r>
      <w:r>
        <w:rPr>
          <w:rFonts w:ascii="Garamond" w:hAnsi="Garamond"/>
        </w:rPr>
        <w:t xml:space="preserve">has not </w:t>
      </w:r>
      <w:r w:rsidR="00AB2BF4">
        <w:rPr>
          <w:rFonts w:ascii="Garamond" w:hAnsi="Garamond"/>
        </w:rPr>
        <w:t>been</w:t>
      </w:r>
      <w:r>
        <w:rPr>
          <w:rFonts w:ascii="Garamond" w:hAnsi="Garamond"/>
        </w:rPr>
        <w:t xml:space="preserve"> primarily </w:t>
      </w:r>
      <w:r w:rsidR="00AB2BF4">
        <w:rPr>
          <w:rFonts w:ascii="Garamond" w:hAnsi="Garamond"/>
        </w:rPr>
        <w:t>interested in increasing</w:t>
      </w:r>
      <w:r>
        <w:rPr>
          <w:rFonts w:ascii="Garamond" w:hAnsi="Garamond"/>
        </w:rPr>
        <w:t xml:space="preserve"> its own power</w:t>
      </w:r>
      <w:r w:rsidR="00AB2BF4">
        <w:rPr>
          <w:rFonts w:ascii="Garamond" w:hAnsi="Garamond"/>
        </w:rPr>
        <w:t xml:space="preserve"> in using coequal language</w:t>
      </w:r>
      <w:r>
        <w:rPr>
          <w:rFonts w:ascii="Garamond" w:hAnsi="Garamond"/>
        </w:rPr>
        <w:t>.  In</w:t>
      </w:r>
      <w:r w:rsidR="00AB2BF4">
        <w:rPr>
          <w:rFonts w:ascii="Garamond" w:hAnsi="Garamond"/>
        </w:rPr>
        <w:t xml:space="preserve"> this it seems to differ</w:t>
      </w:r>
      <w:r>
        <w:rPr>
          <w:rFonts w:ascii="Garamond" w:hAnsi="Garamond"/>
        </w:rPr>
        <w:t xml:space="preserve"> from the presidency.  On the contrary, the judiciary has more typically used the claim of coequality to demonstrate that it should not rule, or should defer to the other branches (or both of them at the same time).  </w:t>
      </w:r>
      <w:r w:rsidR="00AB2BF4">
        <w:rPr>
          <w:rFonts w:ascii="Garamond" w:hAnsi="Garamond"/>
        </w:rPr>
        <w:t xml:space="preserve">This is likely not the whole story, however.  </w:t>
      </w:r>
      <w:r>
        <w:rPr>
          <w:rFonts w:ascii="Garamond" w:hAnsi="Garamond"/>
        </w:rPr>
        <w:t xml:space="preserve">This </w:t>
      </w:r>
      <w:r w:rsidR="00AB2BF4">
        <w:rPr>
          <w:rFonts w:ascii="Garamond" w:hAnsi="Garamond"/>
        </w:rPr>
        <w:t xml:space="preserve">tack </w:t>
      </w:r>
      <w:r>
        <w:rPr>
          <w:rFonts w:ascii="Garamond" w:hAnsi="Garamond"/>
        </w:rPr>
        <w:t>seems reminiscent of</w:t>
      </w:r>
      <w:r w:rsidR="00AB2BF4">
        <w:rPr>
          <w:rFonts w:ascii="Garamond" w:hAnsi="Garamond"/>
        </w:rPr>
        <w:t xml:space="preserve"> Chief Justice Marshall</w:t>
      </w:r>
      <w:r>
        <w:rPr>
          <w:rFonts w:ascii="Garamond" w:hAnsi="Garamond"/>
        </w:rPr>
        <w:t xml:space="preserve"> in </w:t>
      </w:r>
      <w:r>
        <w:rPr>
          <w:rFonts w:ascii="Garamond" w:hAnsi="Garamond"/>
          <w:i/>
        </w:rPr>
        <w:t>Marbury</w:t>
      </w:r>
      <w:r>
        <w:rPr>
          <w:rFonts w:ascii="Garamond" w:hAnsi="Garamond"/>
        </w:rPr>
        <w:t>:  enhance the Co</w:t>
      </w:r>
      <w:r w:rsidR="00AB2BF4">
        <w:rPr>
          <w:rFonts w:ascii="Garamond" w:hAnsi="Garamond"/>
        </w:rPr>
        <w:t>urt’s standing through</w:t>
      </w:r>
      <w:r w:rsidR="00F80FC9">
        <w:rPr>
          <w:rFonts w:ascii="Garamond" w:hAnsi="Garamond"/>
        </w:rPr>
        <w:t xml:space="preserve"> the renunciation of power.  </w:t>
      </w:r>
      <w:r w:rsidR="00AB2BF4">
        <w:rPr>
          <w:rFonts w:ascii="Garamond" w:hAnsi="Garamond"/>
        </w:rPr>
        <w:t xml:space="preserve">In ruling that the Court did not have jurisdiction in </w:t>
      </w:r>
      <w:r w:rsidR="00AB2BF4">
        <w:rPr>
          <w:rFonts w:ascii="Garamond" w:hAnsi="Garamond"/>
          <w:i/>
        </w:rPr>
        <w:t>Marbury</w:t>
      </w:r>
      <w:r w:rsidR="00AB2BF4">
        <w:rPr>
          <w:rFonts w:ascii="Garamond" w:hAnsi="Garamond"/>
        </w:rPr>
        <w:t xml:space="preserve">, Marshall struck down part of the Judiciary Act of 1789, thus beginning the practice of judicial review.  </w:t>
      </w:r>
      <w:r w:rsidR="00F80FC9">
        <w:rPr>
          <w:rFonts w:ascii="Garamond" w:hAnsi="Garamond"/>
        </w:rPr>
        <w:t xml:space="preserve">In cases of coequality, the court </w:t>
      </w:r>
      <w:r w:rsidR="00AB2BF4">
        <w:rPr>
          <w:rFonts w:ascii="Garamond" w:hAnsi="Garamond"/>
        </w:rPr>
        <w:t>reinforces</w:t>
      </w:r>
      <w:r w:rsidR="00F80FC9">
        <w:rPr>
          <w:rFonts w:ascii="Garamond" w:hAnsi="Garamond"/>
        </w:rPr>
        <w:t xml:space="preserve"> its own secure position among the federal branche</w:t>
      </w:r>
      <w:r w:rsidR="00AB2BF4">
        <w:rPr>
          <w:rFonts w:ascii="Garamond" w:hAnsi="Garamond"/>
        </w:rPr>
        <w:t>s by inference, even while usually</w:t>
      </w:r>
      <w:r w:rsidR="00F80FC9">
        <w:rPr>
          <w:rFonts w:ascii="Garamond" w:hAnsi="Garamond"/>
        </w:rPr>
        <w:t xml:space="preserve"> </w:t>
      </w:r>
      <w:r w:rsidR="00B92A61">
        <w:rPr>
          <w:rFonts w:ascii="Garamond" w:hAnsi="Garamond"/>
        </w:rPr>
        <w:t>deferring</w:t>
      </w:r>
      <w:r w:rsidR="00F80FC9">
        <w:rPr>
          <w:rFonts w:ascii="Garamond" w:hAnsi="Garamond"/>
        </w:rPr>
        <w:t xml:space="preserve"> to other federal institutions.  </w:t>
      </w:r>
    </w:p>
    <w:p w:rsidR="00AB2BF4" w:rsidRDefault="00AB2BF4" w:rsidP="00215AAF">
      <w:pPr>
        <w:ind w:firstLine="720"/>
        <w:rPr>
          <w:rFonts w:ascii="Garamond" w:hAnsi="Garamond"/>
        </w:rPr>
      </w:pPr>
    </w:p>
    <w:p w:rsidR="00AB2BF4" w:rsidRPr="00321047" w:rsidRDefault="00321047" w:rsidP="00AB2BF4">
      <w:pPr>
        <w:jc w:val="center"/>
        <w:rPr>
          <w:rFonts w:ascii="Garamond" w:hAnsi="Garamond"/>
          <w:b/>
        </w:rPr>
      </w:pPr>
      <w:r>
        <w:rPr>
          <w:rFonts w:ascii="Garamond" w:hAnsi="Garamond"/>
          <w:b/>
        </w:rPr>
        <w:t>“Apt Quotations from Respected Sources…”</w:t>
      </w:r>
    </w:p>
    <w:p w:rsidR="00AC5EFA" w:rsidRPr="004A1C56" w:rsidRDefault="00AC5EFA" w:rsidP="00215AAF">
      <w:pPr>
        <w:ind w:firstLine="720"/>
        <w:rPr>
          <w:rFonts w:ascii="Garamond" w:hAnsi="Garamond"/>
        </w:rPr>
      </w:pPr>
    </w:p>
    <w:p w:rsidR="007F776D" w:rsidRDefault="00F80FC9" w:rsidP="00382BA9">
      <w:pPr>
        <w:spacing w:line="480" w:lineRule="auto"/>
        <w:rPr>
          <w:rFonts w:ascii="Garamond" w:hAnsi="Garamond"/>
        </w:rPr>
      </w:pPr>
      <w:r>
        <w:rPr>
          <w:rFonts w:ascii="Garamond" w:hAnsi="Garamond"/>
        </w:rPr>
        <w:tab/>
        <w:t xml:space="preserve">What remains to be discussed is how </w:t>
      </w:r>
      <w:r w:rsidR="00050CF5">
        <w:rPr>
          <w:rFonts w:ascii="Garamond" w:hAnsi="Garamond"/>
        </w:rPr>
        <w:t xml:space="preserve">close or how </w:t>
      </w:r>
      <w:r>
        <w:rPr>
          <w:rFonts w:ascii="Garamond" w:hAnsi="Garamond"/>
        </w:rPr>
        <w:t>untethered from the separation of functions ideal the Court’s “coequality talk”</w:t>
      </w:r>
      <w:r w:rsidR="00767E7C">
        <w:rPr>
          <w:rFonts w:ascii="Garamond" w:hAnsi="Garamond"/>
        </w:rPr>
        <w:t xml:space="preserve"> </w:t>
      </w:r>
      <w:r>
        <w:rPr>
          <w:rFonts w:ascii="Garamond" w:hAnsi="Garamond"/>
        </w:rPr>
        <w:t xml:space="preserve"> has become.</w:t>
      </w:r>
      <w:r w:rsidR="00050CF5">
        <w:rPr>
          <w:rFonts w:ascii="Garamond" w:hAnsi="Garamond"/>
        </w:rPr>
        <w:t xml:space="preserve">  Are references to coequality rooted in </w:t>
      </w:r>
      <w:r w:rsidR="007F776D">
        <w:rPr>
          <w:rFonts w:ascii="Garamond" w:hAnsi="Garamond"/>
        </w:rPr>
        <w:t>the functional</w:t>
      </w:r>
      <w:r w:rsidR="00050CF5">
        <w:rPr>
          <w:rFonts w:ascii="Garamond" w:hAnsi="Garamond"/>
        </w:rPr>
        <w:t xml:space="preserve"> boundaries </w:t>
      </w:r>
      <w:r w:rsidR="007F776D">
        <w:rPr>
          <w:rFonts w:ascii="Garamond" w:hAnsi="Garamond"/>
        </w:rPr>
        <w:t xml:space="preserve">set up in the Constitution, </w:t>
      </w:r>
      <w:r w:rsidR="00050CF5">
        <w:rPr>
          <w:rFonts w:ascii="Garamond" w:hAnsi="Garamond"/>
        </w:rPr>
        <w:t xml:space="preserve">like the decisions in </w:t>
      </w:r>
      <w:r w:rsidR="00050CF5">
        <w:rPr>
          <w:rFonts w:ascii="Garamond" w:hAnsi="Garamond"/>
          <w:i/>
        </w:rPr>
        <w:t>Field</w:t>
      </w:r>
      <w:r w:rsidR="00050CF5">
        <w:rPr>
          <w:rFonts w:ascii="Garamond" w:hAnsi="Garamond"/>
        </w:rPr>
        <w:t xml:space="preserve"> and </w:t>
      </w:r>
      <w:r w:rsidR="00050CF5">
        <w:rPr>
          <w:rFonts w:ascii="Garamond" w:hAnsi="Garamond"/>
          <w:i/>
        </w:rPr>
        <w:t>Frothingham</w:t>
      </w:r>
      <w:r w:rsidR="00AB2BF4">
        <w:rPr>
          <w:rFonts w:ascii="Garamond" w:hAnsi="Garamond"/>
        </w:rPr>
        <w:t xml:space="preserve"> purported to be, </w:t>
      </w:r>
      <w:r w:rsidR="00050CF5">
        <w:rPr>
          <w:rFonts w:ascii="Garamond" w:hAnsi="Garamond"/>
        </w:rPr>
        <w:t xml:space="preserve">do they reflect an alternative “separation of powers” </w:t>
      </w:r>
      <w:r w:rsidR="007F776D">
        <w:rPr>
          <w:rFonts w:ascii="Garamond" w:hAnsi="Garamond"/>
        </w:rPr>
        <w:t>unders</w:t>
      </w:r>
      <w:r w:rsidR="00AB2BF4">
        <w:rPr>
          <w:rFonts w:ascii="Garamond" w:hAnsi="Garamond"/>
        </w:rPr>
        <w:t>t</w:t>
      </w:r>
      <w:r w:rsidR="007F776D">
        <w:rPr>
          <w:rFonts w:ascii="Garamond" w:hAnsi="Garamond"/>
        </w:rPr>
        <w:t>anding of</w:t>
      </w:r>
      <w:r w:rsidR="00AB2BF4">
        <w:rPr>
          <w:rFonts w:ascii="Garamond" w:hAnsi="Garamond"/>
        </w:rPr>
        <w:t xml:space="preserve"> American constitutionalism, or </w:t>
      </w:r>
      <w:r w:rsidR="007F776D">
        <w:rPr>
          <w:rFonts w:ascii="Garamond" w:hAnsi="Garamond"/>
        </w:rPr>
        <w:t xml:space="preserve">do these decisions collectively fall somewhere in between?  </w:t>
      </w:r>
    </w:p>
    <w:p w:rsidR="006E77E5" w:rsidRDefault="007F776D" w:rsidP="00382BA9">
      <w:pPr>
        <w:spacing w:line="480" w:lineRule="auto"/>
        <w:rPr>
          <w:rFonts w:ascii="Garamond" w:hAnsi="Garamond"/>
        </w:rPr>
      </w:pPr>
      <w:r>
        <w:rPr>
          <w:rFonts w:ascii="Garamond" w:hAnsi="Garamond"/>
        </w:rPr>
        <w:tab/>
        <w:t>A discussion of each c</w:t>
      </w:r>
      <w:r w:rsidR="00AB2BF4">
        <w:rPr>
          <w:rFonts w:ascii="Garamond" w:hAnsi="Garamond"/>
        </w:rPr>
        <w:t xml:space="preserve">ase from recent decades is </w:t>
      </w:r>
      <w:r>
        <w:rPr>
          <w:rFonts w:ascii="Garamond" w:hAnsi="Garamond"/>
        </w:rPr>
        <w:t>beyond the scope o</w:t>
      </w:r>
      <w:r w:rsidR="00AB2BF4">
        <w:rPr>
          <w:rFonts w:ascii="Garamond" w:hAnsi="Garamond"/>
        </w:rPr>
        <w:t>f this paper.  A small sample may be</w:t>
      </w:r>
      <w:r>
        <w:rPr>
          <w:rFonts w:ascii="Garamond" w:hAnsi="Garamond"/>
        </w:rPr>
        <w:t xml:space="preserve"> sufficient to gain the understanding that the sum of these cases is “somewhere in between</w:t>
      </w:r>
      <w:r w:rsidR="00A7377F">
        <w:rPr>
          <w:rFonts w:ascii="Garamond" w:hAnsi="Garamond"/>
        </w:rPr>
        <w:t>,</w:t>
      </w:r>
      <w:r>
        <w:rPr>
          <w:rFonts w:ascii="Garamond" w:hAnsi="Garamond"/>
        </w:rPr>
        <w:t xml:space="preserve">” rather than reflective of a pure separation of function or pure separation of powers approach.  </w:t>
      </w:r>
      <w:r w:rsidR="00A7377F">
        <w:rPr>
          <w:rFonts w:ascii="Garamond" w:hAnsi="Garamond"/>
        </w:rPr>
        <w:t>While there are cases that clearly suggest that “coequality jurisprudence” is proceeding from the separation of functions perspective, there are also opinions written in such a way that it seems equality of power is a primary consideration or where the separation of functions is</w:t>
      </w:r>
      <w:r w:rsidR="006E77E5">
        <w:rPr>
          <w:rFonts w:ascii="Garamond" w:hAnsi="Garamond"/>
        </w:rPr>
        <w:t xml:space="preserve"> not </w:t>
      </w:r>
      <w:r w:rsidR="00AB2BF4">
        <w:rPr>
          <w:rFonts w:ascii="Garamond" w:hAnsi="Garamond"/>
        </w:rPr>
        <w:t>readily</w:t>
      </w:r>
      <w:r w:rsidR="006E77E5">
        <w:rPr>
          <w:rFonts w:ascii="Garamond" w:hAnsi="Garamond"/>
        </w:rPr>
        <w:t xml:space="preserve"> found.  </w:t>
      </w:r>
    </w:p>
    <w:p w:rsidR="006E77E5" w:rsidRDefault="00AB2BF4" w:rsidP="00382BA9">
      <w:pPr>
        <w:spacing w:line="480" w:lineRule="auto"/>
        <w:ind w:firstLine="720"/>
        <w:rPr>
          <w:rFonts w:ascii="Garamond" w:hAnsi="Garamond"/>
        </w:rPr>
      </w:pPr>
      <w:r>
        <w:rPr>
          <w:rFonts w:ascii="Garamond" w:hAnsi="Garamond"/>
        </w:rPr>
        <w:t>The</w:t>
      </w:r>
      <w:r w:rsidR="006E77E5">
        <w:rPr>
          <w:rFonts w:ascii="Garamond" w:hAnsi="Garamond"/>
        </w:rPr>
        <w:t xml:space="preserve"> diversity of approaches </w:t>
      </w:r>
      <w:r>
        <w:rPr>
          <w:rFonts w:ascii="Garamond" w:hAnsi="Garamond"/>
        </w:rPr>
        <w:t>brings to mind the different</w:t>
      </w:r>
      <w:r w:rsidR="00A7377F">
        <w:rPr>
          <w:rFonts w:ascii="Garamond" w:hAnsi="Garamond"/>
        </w:rPr>
        <w:t xml:space="preserve"> approaches of Hugo Black and Robert Jackson in </w:t>
      </w:r>
      <w:r w:rsidR="00A7377F">
        <w:rPr>
          <w:rFonts w:ascii="Garamond" w:hAnsi="Garamond"/>
          <w:i/>
        </w:rPr>
        <w:t>Youngstown Sheet and Tube v. Sawyer</w:t>
      </w:r>
      <w:r w:rsidR="00A7377F">
        <w:rPr>
          <w:rFonts w:ascii="Garamond" w:hAnsi="Garamond"/>
        </w:rPr>
        <w:t xml:space="preserve"> (1952).  Black, writing for the Court laid out a very clean separation of functions case:  in the absence of a true national security emergency, President Truman could not nationalize produc</w:t>
      </w:r>
      <w:r>
        <w:rPr>
          <w:rFonts w:ascii="Garamond" w:hAnsi="Garamond"/>
        </w:rPr>
        <w:t>tion in steel mills.  T</w:t>
      </w:r>
      <w:r w:rsidR="00A7377F">
        <w:rPr>
          <w:rFonts w:ascii="Garamond" w:hAnsi="Garamond"/>
        </w:rPr>
        <w:t>his was a thing to be authorized by law.  Jackson, no doubt remembering his work in the Roosevelt Administration, suggested that “the actual art of governing under our Constitution does not, and cannot, conform to judicial definitions of the power of any of its branches based on isolated clauses</w:t>
      </w:r>
      <w:r w:rsidR="006E77E5">
        <w:rPr>
          <w:rFonts w:ascii="Garamond" w:hAnsi="Garamond"/>
        </w:rPr>
        <w:t xml:space="preserve"> or even single Articles torn from context.”  </w:t>
      </w:r>
      <w:r>
        <w:rPr>
          <w:rFonts w:ascii="Garamond" w:hAnsi="Garamond"/>
        </w:rPr>
        <w:t>This</w:t>
      </w:r>
      <w:r w:rsidR="006E77E5">
        <w:rPr>
          <w:rFonts w:ascii="Garamond" w:hAnsi="Garamond"/>
        </w:rPr>
        <w:t xml:space="preserve"> opinion </w:t>
      </w:r>
      <w:r>
        <w:rPr>
          <w:rFonts w:ascii="Garamond" w:hAnsi="Garamond"/>
        </w:rPr>
        <w:t>went on to emphasize</w:t>
      </w:r>
      <w:r w:rsidR="006E77E5">
        <w:rPr>
          <w:rFonts w:ascii="Garamond" w:hAnsi="Garamond"/>
        </w:rPr>
        <w:t xml:space="preserve"> the importance of power dynamics between Congress and the president, practical considerations, and the evolutionary natu</w:t>
      </w:r>
      <w:r>
        <w:rPr>
          <w:rFonts w:ascii="Garamond" w:hAnsi="Garamond"/>
        </w:rPr>
        <w:t>re of interbranch relations.  H</w:t>
      </w:r>
      <w:r w:rsidR="006E77E5">
        <w:rPr>
          <w:rFonts w:ascii="Garamond" w:hAnsi="Garamond"/>
        </w:rPr>
        <w:t xml:space="preserve">is was not a </w:t>
      </w:r>
      <w:r>
        <w:rPr>
          <w:rFonts w:ascii="Garamond" w:hAnsi="Garamond"/>
        </w:rPr>
        <w:t xml:space="preserve">defense of the </w:t>
      </w:r>
      <w:r w:rsidR="006E77E5">
        <w:rPr>
          <w:rFonts w:ascii="Garamond" w:hAnsi="Garamond"/>
        </w:rPr>
        <w:t>textbook version of separation of functions</w:t>
      </w:r>
      <w:r>
        <w:rPr>
          <w:rFonts w:ascii="Garamond" w:hAnsi="Garamond"/>
        </w:rPr>
        <w:t xml:space="preserve"> but a rejection of it as naïve.  The alternative was something significantly closer to </w:t>
      </w:r>
      <w:r w:rsidR="006E77E5">
        <w:rPr>
          <w:rFonts w:ascii="Garamond" w:hAnsi="Garamond"/>
        </w:rPr>
        <w:t>a separation of powers approach.</w:t>
      </w:r>
    </w:p>
    <w:p w:rsidR="00E745F7" w:rsidRDefault="00284C89" w:rsidP="00382BA9">
      <w:pPr>
        <w:spacing w:line="480" w:lineRule="auto"/>
        <w:ind w:firstLine="720"/>
        <w:rPr>
          <w:rFonts w:ascii="Garamond" w:hAnsi="Garamond"/>
        </w:rPr>
      </w:pPr>
      <w:r>
        <w:rPr>
          <w:rFonts w:ascii="Garamond" w:hAnsi="Garamond"/>
        </w:rPr>
        <w:t>In recent decades, some</w:t>
      </w:r>
      <w:r w:rsidR="006E77E5">
        <w:rPr>
          <w:rFonts w:ascii="Garamond" w:hAnsi="Garamond"/>
        </w:rPr>
        <w:t xml:space="preserve"> decisions using the l</w:t>
      </w:r>
      <w:r>
        <w:rPr>
          <w:rFonts w:ascii="Garamond" w:hAnsi="Garamond"/>
        </w:rPr>
        <w:t>anguage of coequality have hinted at the separation of functions</w:t>
      </w:r>
      <w:r w:rsidR="006E77E5">
        <w:rPr>
          <w:rFonts w:ascii="Garamond" w:hAnsi="Garamond"/>
        </w:rPr>
        <w:t xml:space="preserve">, while others bring </w:t>
      </w:r>
      <w:r>
        <w:rPr>
          <w:rFonts w:ascii="Garamond" w:hAnsi="Garamond"/>
        </w:rPr>
        <w:t xml:space="preserve">the power dynamics of </w:t>
      </w:r>
      <w:r w:rsidR="006E77E5">
        <w:rPr>
          <w:rFonts w:ascii="Garamond" w:hAnsi="Garamond"/>
        </w:rPr>
        <w:t>Jackson more quickly to mind.</w:t>
      </w:r>
      <w:r>
        <w:rPr>
          <w:rFonts w:ascii="Garamond" w:hAnsi="Garamond"/>
        </w:rPr>
        <w:t xml:space="preserve">  </w:t>
      </w:r>
      <w:r w:rsidR="00AB2BF4">
        <w:rPr>
          <w:rFonts w:ascii="Garamond" w:hAnsi="Garamond"/>
        </w:rPr>
        <w:t xml:space="preserve">Cases which explicitly link coequality with the separation of functions in an extended discussion (like </w:t>
      </w:r>
      <w:r w:rsidR="00AB2BF4">
        <w:rPr>
          <w:rFonts w:ascii="Garamond" w:hAnsi="Garamond"/>
          <w:i/>
        </w:rPr>
        <w:t>Frothingham</w:t>
      </w:r>
      <w:r w:rsidR="00AB2BF4">
        <w:rPr>
          <w:rFonts w:ascii="Garamond" w:hAnsi="Garamond"/>
        </w:rPr>
        <w:t xml:space="preserve"> did) are rare</w:t>
      </w:r>
      <w:r w:rsidR="007310AE">
        <w:rPr>
          <w:rFonts w:ascii="Garamond" w:hAnsi="Garamond"/>
        </w:rPr>
        <w:t xml:space="preserve">.  Among the separation of functions oriented cases is </w:t>
      </w:r>
      <w:r w:rsidR="007310AE" w:rsidRPr="007310AE">
        <w:rPr>
          <w:rFonts w:ascii="Garamond" w:hAnsi="Garamond"/>
          <w:i/>
        </w:rPr>
        <w:t>US v. Gillock</w:t>
      </w:r>
      <w:r w:rsidR="007310AE">
        <w:rPr>
          <w:rFonts w:ascii="Garamond" w:hAnsi="Garamond"/>
        </w:rPr>
        <w:t xml:space="preserve"> (1980).  In this case a </w:t>
      </w:r>
      <w:r w:rsidR="007B214A">
        <w:rPr>
          <w:rFonts w:ascii="Garamond" w:hAnsi="Garamond"/>
        </w:rPr>
        <w:t>state s</w:t>
      </w:r>
      <w:r w:rsidR="007310AE">
        <w:rPr>
          <w:rFonts w:ascii="Garamond" w:hAnsi="Garamond"/>
        </w:rPr>
        <w:t>enator sought relief from the di</w:t>
      </w:r>
      <w:r w:rsidR="007B214A">
        <w:rPr>
          <w:rFonts w:ascii="Garamond" w:hAnsi="Garamond"/>
        </w:rPr>
        <w:t>scovery of evidence that he aid</w:t>
      </w:r>
      <w:r w:rsidR="007310AE">
        <w:rPr>
          <w:rFonts w:ascii="Garamond" w:hAnsi="Garamond"/>
        </w:rPr>
        <w:t xml:space="preserve">ed those from whom he was taking bribes.  </w:t>
      </w:r>
      <w:r w:rsidR="00500B11">
        <w:rPr>
          <w:rFonts w:ascii="Garamond" w:hAnsi="Garamond"/>
        </w:rPr>
        <w:t xml:space="preserve">The </w:t>
      </w:r>
      <w:r w:rsidR="00B92A61">
        <w:rPr>
          <w:rFonts w:ascii="Garamond" w:hAnsi="Garamond"/>
        </w:rPr>
        <w:t>appellant</w:t>
      </w:r>
      <w:r w:rsidR="00500B11">
        <w:rPr>
          <w:rFonts w:ascii="Garamond" w:hAnsi="Garamond"/>
        </w:rPr>
        <w:t xml:space="preserve"> rested</w:t>
      </w:r>
      <w:r w:rsidR="007310AE">
        <w:rPr>
          <w:rFonts w:ascii="Garamond" w:hAnsi="Garamond"/>
        </w:rPr>
        <w:t xml:space="preserve"> his case on the immunity </w:t>
      </w:r>
      <w:r w:rsidR="007B214A">
        <w:rPr>
          <w:rFonts w:ascii="Garamond" w:hAnsi="Garamond"/>
        </w:rPr>
        <w:t xml:space="preserve">granted to members of Congress </w:t>
      </w:r>
      <w:r w:rsidR="00500B11">
        <w:rPr>
          <w:rFonts w:ascii="Garamond" w:hAnsi="Garamond"/>
        </w:rPr>
        <w:t xml:space="preserve">during their speeches </w:t>
      </w:r>
      <w:r w:rsidR="007B214A">
        <w:rPr>
          <w:rFonts w:ascii="Garamond" w:hAnsi="Garamond"/>
        </w:rPr>
        <w:t>in the Speech and Debate</w:t>
      </w:r>
      <w:r w:rsidR="00500B11">
        <w:rPr>
          <w:rFonts w:ascii="Garamond" w:hAnsi="Garamond"/>
        </w:rPr>
        <w:t xml:space="preserve"> clause of Article I, section 6.  This did not fly with the majority, </w:t>
      </w:r>
      <w:r w:rsidR="00E745F7">
        <w:rPr>
          <w:rFonts w:ascii="Garamond" w:hAnsi="Garamond"/>
        </w:rPr>
        <w:t>including Chief Justice Burger, who noted that the protection only extended to those in the federal legislature.  In denying relief, Burger noted that the Speech and Debate clause was animated by “the need to avoid intrusion by the Executive or Judiciary into the affairs of a coequal branch.”  A full separation of functions argument was not articulated by Burger, but there was no need for it.  On offhand comment that the Speech and Debate clause helped preserve the distinction of functions made his point.</w:t>
      </w:r>
    </w:p>
    <w:p w:rsidR="002713B6" w:rsidRDefault="00D770B1" w:rsidP="00382BA9">
      <w:pPr>
        <w:spacing w:line="480" w:lineRule="auto"/>
        <w:ind w:firstLine="720"/>
        <w:rPr>
          <w:rFonts w:ascii="Garamond" w:hAnsi="Garamond"/>
        </w:rPr>
      </w:pPr>
      <w:r>
        <w:rPr>
          <w:rFonts w:ascii="Garamond" w:hAnsi="Garamond"/>
        </w:rPr>
        <w:t>I</w:t>
      </w:r>
      <w:r w:rsidR="00F630E8">
        <w:rPr>
          <w:rFonts w:ascii="Garamond" w:hAnsi="Garamond"/>
        </w:rPr>
        <w:t xml:space="preserve">n </w:t>
      </w:r>
      <w:r w:rsidR="00F630E8">
        <w:rPr>
          <w:rFonts w:ascii="Garamond" w:hAnsi="Garamond"/>
          <w:i/>
        </w:rPr>
        <w:t>Mistretta v. US</w:t>
      </w:r>
      <w:r w:rsidR="00F630E8">
        <w:rPr>
          <w:rFonts w:ascii="Garamond" w:hAnsi="Garamond"/>
        </w:rPr>
        <w:t xml:space="preserve"> (1989) </w:t>
      </w:r>
      <w:r>
        <w:rPr>
          <w:rFonts w:ascii="Garamond" w:hAnsi="Garamond"/>
        </w:rPr>
        <w:t xml:space="preserve">Harry Blackmun </w:t>
      </w:r>
      <w:r w:rsidR="00F630E8">
        <w:rPr>
          <w:rFonts w:ascii="Garamond" w:hAnsi="Garamond"/>
        </w:rPr>
        <w:t xml:space="preserve">tied a very old idea with the language of coequality.  Sentencing guidelines for federal crimes were </w:t>
      </w:r>
      <w:r>
        <w:rPr>
          <w:rFonts w:ascii="Garamond" w:hAnsi="Garamond"/>
        </w:rPr>
        <w:t>challenged</w:t>
      </w:r>
      <w:r w:rsidR="00AB2BF4">
        <w:rPr>
          <w:rFonts w:ascii="Garamond" w:hAnsi="Garamond"/>
        </w:rPr>
        <w:t xml:space="preserve"> for</w:t>
      </w:r>
      <w:r w:rsidR="00F630E8">
        <w:rPr>
          <w:rFonts w:ascii="Garamond" w:hAnsi="Garamond"/>
        </w:rPr>
        <w:t xml:space="preserve"> allowing federal judges too much discretion.  </w:t>
      </w:r>
      <w:r>
        <w:rPr>
          <w:rFonts w:ascii="Garamond" w:hAnsi="Garamond"/>
        </w:rPr>
        <w:t>The question before the Court was whether such discretion was a violation of the separation of powers.  Blackmun acknowledged that James Madison</w:t>
      </w:r>
      <w:r w:rsidR="00F630E8">
        <w:rPr>
          <w:rFonts w:ascii="Garamond" w:hAnsi="Garamond"/>
        </w:rPr>
        <w:t xml:space="preserve"> stressed that each branch needed the means of its own protection.  And “in applying the principle of the separated powers in our jurisprudence, we have sought to give life to Madison’s view of the appropriate relationship among the three coequal Branches.”  This, however, did not mean that “the three Branches must be entirely separate and distinct.”</w:t>
      </w:r>
      <w:r>
        <w:rPr>
          <w:rFonts w:ascii="Garamond" w:hAnsi="Garamond"/>
        </w:rPr>
        <w:t xml:space="preserve">  </w:t>
      </w:r>
      <w:r w:rsidR="00AB2BF4">
        <w:rPr>
          <w:rFonts w:ascii="Garamond" w:hAnsi="Garamond"/>
        </w:rPr>
        <w:t xml:space="preserve">Madison had never used the word coequal to refer to the defense that each institution possessed, but Blackmun did it for him two centuries after the fact.  </w:t>
      </w:r>
      <w:r>
        <w:rPr>
          <w:rFonts w:ascii="Garamond" w:hAnsi="Garamond"/>
        </w:rPr>
        <w:t xml:space="preserve">They were designed to work in cooperation with each other under many circumstances and sentencing discretion was </w:t>
      </w:r>
      <w:r w:rsidR="00AB2BF4">
        <w:rPr>
          <w:rFonts w:ascii="Garamond" w:hAnsi="Garamond"/>
        </w:rPr>
        <w:t xml:space="preserve">such </w:t>
      </w:r>
      <w:r>
        <w:rPr>
          <w:rFonts w:ascii="Garamond" w:hAnsi="Garamond"/>
        </w:rPr>
        <w:t xml:space="preserve">an example.  Thus Blackmun provided a separation of functions gloss to a case in which he concluded that the </w:t>
      </w:r>
      <w:r w:rsidR="00AB2BF4">
        <w:rPr>
          <w:rFonts w:ascii="Garamond" w:hAnsi="Garamond"/>
        </w:rPr>
        <w:t>decision was not to be made</w:t>
      </w:r>
      <w:r>
        <w:rPr>
          <w:rFonts w:ascii="Garamond" w:hAnsi="Garamond"/>
        </w:rPr>
        <w:t xml:space="preserve"> through a strict separation of functions </w:t>
      </w:r>
      <w:r w:rsidR="002713B6">
        <w:rPr>
          <w:rFonts w:ascii="Garamond" w:hAnsi="Garamond"/>
        </w:rPr>
        <w:t>approach.</w:t>
      </w:r>
    </w:p>
    <w:p w:rsidR="0024364B" w:rsidRDefault="002713B6" w:rsidP="00382BA9">
      <w:pPr>
        <w:spacing w:line="480" w:lineRule="auto"/>
        <w:ind w:firstLine="720"/>
        <w:rPr>
          <w:rFonts w:ascii="Garamond" w:hAnsi="Garamond"/>
        </w:rPr>
      </w:pPr>
      <w:r>
        <w:rPr>
          <w:rFonts w:ascii="Garamond" w:hAnsi="Garamond"/>
        </w:rPr>
        <w:t xml:space="preserve">John Paul Stevens’ majority opinion in </w:t>
      </w:r>
      <w:r>
        <w:rPr>
          <w:rFonts w:ascii="Garamond" w:hAnsi="Garamond"/>
          <w:i/>
        </w:rPr>
        <w:t>Williams v. Taylor</w:t>
      </w:r>
      <w:r>
        <w:rPr>
          <w:rFonts w:ascii="Garamond" w:hAnsi="Garamond"/>
        </w:rPr>
        <w:t xml:space="preserve"> (2000) offers another example of a case that is closer to a separation of functions approach.  The question at hand was whether a convicted murderer’s right to effective counsel was violated.  A state court had concluded that this was not the case.  Stevens responded with an endorsement of the federal courts’ ability to definitively say whether the defendant’s right had been violated.  It is the duty of federal judges to “‘say what the law is’ [quoting Marshall in </w:t>
      </w:r>
      <w:r>
        <w:rPr>
          <w:rFonts w:ascii="Garamond" w:hAnsi="Garamond"/>
          <w:i/>
        </w:rPr>
        <w:t>Marbury</w:t>
      </w:r>
      <w:r>
        <w:rPr>
          <w:rFonts w:ascii="Garamond" w:hAnsi="Garamond"/>
        </w:rPr>
        <w:t xml:space="preserve">].”  “At the core of this power is the federal courts’ independent responsibility—independent from its coequal branches in the federal Government, and independent from the separate authority of the several States—to interpret </w:t>
      </w:r>
      <w:r w:rsidR="00AB2BF4">
        <w:rPr>
          <w:rFonts w:ascii="Garamond" w:hAnsi="Garamond"/>
        </w:rPr>
        <w:t>federal law.”  F</w:t>
      </w:r>
      <w:r>
        <w:rPr>
          <w:rFonts w:ascii="Garamond" w:hAnsi="Garamond"/>
        </w:rPr>
        <w:t xml:space="preserve">or many others </w:t>
      </w:r>
      <w:r w:rsidR="00AB2BF4">
        <w:rPr>
          <w:rFonts w:ascii="Garamond" w:hAnsi="Garamond"/>
        </w:rPr>
        <w:t xml:space="preserve">this case </w:t>
      </w:r>
      <w:r>
        <w:rPr>
          <w:rFonts w:ascii="Garamond" w:hAnsi="Garamond"/>
        </w:rPr>
        <w:t xml:space="preserve">hinged on whether the national government should defer to state interpretations and practices, Stevens emphasized </w:t>
      </w:r>
      <w:r w:rsidR="0024364B">
        <w:rPr>
          <w:rFonts w:ascii="Garamond" w:hAnsi="Garamond"/>
        </w:rPr>
        <w:t xml:space="preserve">that </w:t>
      </w:r>
      <w:r w:rsidR="00AB2BF4">
        <w:rPr>
          <w:rFonts w:ascii="Garamond" w:hAnsi="Garamond"/>
        </w:rPr>
        <w:t>proper attention to the</w:t>
      </w:r>
      <w:r w:rsidR="0024364B">
        <w:rPr>
          <w:rFonts w:ascii="Garamond" w:hAnsi="Garamond"/>
        </w:rPr>
        <w:t xml:space="preserve"> separation of functions </w:t>
      </w:r>
      <w:r w:rsidR="00AB2BF4">
        <w:rPr>
          <w:rFonts w:ascii="Garamond" w:hAnsi="Garamond"/>
        </w:rPr>
        <w:t>shows that</w:t>
      </w:r>
      <w:r w:rsidR="0024364B">
        <w:rPr>
          <w:rFonts w:ascii="Garamond" w:hAnsi="Garamond"/>
        </w:rPr>
        <w:t xml:space="preserve"> the Court </w:t>
      </w:r>
      <w:r w:rsidR="00AB2BF4">
        <w:rPr>
          <w:rFonts w:ascii="Garamond" w:hAnsi="Garamond"/>
        </w:rPr>
        <w:t xml:space="preserve">has </w:t>
      </w:r>
      <w:r w:rsidR="0024364B">
        <w:rPr>
          <w:rFonts w:ascii="Garamond" w:hAnsi="Garamond"/>
        </w:rPr>
        <w:t>jurisdiction to decide the case.</w:t>
      </w:r>
    </w:p>
    <w:p w:rsidR="00964311" w:rsidRDefault="00F6442D" w:rsidP="00382BA9">
      <w:pPr>
        <w:spacing w:line="480" w:lineRule="auto"/>
        <w:ind w:firstLine="720"/>
        <w:rPr>
          <w:rFonts w:ascii="Garamond" w:hAnsi="Garamond"/>
        </w:rPr>
      </w:pPr>
      <w:r>
        <w:rPr>
          <w:rFonts w:ascii="Garamond" w:hAnsi="Garamond"/>
        </w:rPr>
        <w:t>Coequality riffs are typically short these days, not couched in elabora</w:t>
      </w:r>
      <w:r w:rsidR="003A1600">
        <w:rPr>
          <w:rFonts w:ascii="Garamond" w:hAnsi="Garamond"/>
        </w:rPr>
        <w:t>te contextual explanation.  There</w:t>
      </w:r>
      <w:r>
        <w:rPr>
          <w:rFonts w:ascii="Garamond" w:hAnsi="Garamond"/>
        </w:rPr>
        <w:t xml:space="preserve"> are nods to the separation of functions </w:t>
      </w:r>
      <w:r w:rsidR="003A1600">
        <w:rPr>
          <w:rFonts w:ascii="Garamond" w:hAnsi="Garamond"/>
        </w:rPr>
        <w:t>instead of</w:t>
      </w:r>
      <w:r w:rsidR="00F95A19">
        <w:rPr>
          <w:rFonts w:ascii="Garamond" w:hAnsi="Garamond"/>
        </w:rPr>
        <w:t xml:space="preserve"> </w:t>
      </w:r>
      <w:r w:rsidR="003A1600">
        <w:rPr>
          <w:rFonts w:ascii="Garamond" w:hAnsi="Garamond"/>
        </w:rPr>
        <w:t>full</w:t>
      </w:r>
      <w:r>
        <w:rPr>
          <w:rFonts w:ascii="Garamond" w:hAnsi="Garamond"/>
        </w:rPr>
        <w:t xml:space="preserve"> </w:t>
      </w:r>
      <w:r w:rsidR="00F95A19">
        <w:rPr>
          <w:rFonts w:ascii="Garamond" w:hAnsi="Garamond"/>
        </w:rPr>
        <w:t>defenses of it</w:t>
      </w:r>
      <w:r>
        <w:rPr>
          <w:rFonts w:ascii="Garamond" w:hAnsi="Garamond"/>
        </w:rPr>
        <w:t xml:space="preserve">.  </w:t>
      </w:r>
      <w:r w:rsidR="00F95A19">
        <w:rPr>
          <w:rFonts w:ascii="Garamond" w:hAnsi="Garamond"/>
        </w:rPr>
        <w:t xml:space="preserve">Yet there are other opinions </w:t>
      </w:r>
      <w:r w:rsidR="003A1600">
        <w:rPr>
          <w:rFonts w:ascii="Garamond" w:hAnsi="Garamond"/>
        </w:rPr>
        <w:t>which use the word</w:t>
      </w:r>
      <w:r w:rsidR="00AB2BF4">
        <w:rPr>
          <w:rFonts w:ascii="Garamond" w:hAnsi="Garamond"/>
        </w:rPr>
        <w:t>s “coequal” or “coequality”</w:t>
      </w:r>
      <w:r w:rsidR="003A1600">
        <w:rPr>
          <w:rFonts w:ascii="Garamond" w:hAnsi="Garamond"/>
        </w:rPr>
        <w:t xml:space="preserve"> seem even less </w:t>
      </w:r>
      <w:r w:rsidR="00F95A19">
        <w:rPr>
          <w:rFonts w:ascii="Garamond" w:hAnsi="Garamond"/>
        </w:rPr>
        <w:t xml:space="preserve">connected to the separation of functions.  </w:t>
      </w:r>
      <w:r w:rsidR="00AB2BF4">
        <w:rPr>
          <w:rFonts w:ascii="Garamond" w:hAnsi="Garamond"/>
        </w:rPr>
        <w:t>These opinion</w:t>
      </w:r>
      <w:r w:rsidR="003A1600">
        <w:rPr>
          <w:rFonts w:ascii="Garamond" w:hAnsi="Garamond"/>
        </w:rPr>
        <w:t xml:space="preserve">s tend to talk of power </w:t>
      </w:r>
      <w:r w:rsidR="00AB2BF4">
        <w:rPr>
          <w:rFonts w:ascii="Garamond" w:hAnsi="Garamond"/>
        </w:rPr>
        <w:t>dynamics within the branches,</w:t>
      </w:r>
      <w:r w:rsidR="003A1600">
        <w:rPr>
          <w:rFonts w:ascii="Garamond" w:hAnsi="Garamond"/>
        </w:rPr>
        <w:t xml:space="preserve"> bring</w:t>
      </w:r>
      <w:r w:rsidR="00AB2BF4">
        <w:rPr>
          <w:rFonts w:ascii="Garamond" w:hAnsi="Garamond"/>
        </w:rPr>
        <w:t>ing</w:t>
      </w:r>
      <w:r w:rsidR="003A1600">
        <w:rPr>
          <w:rFonts w:ascii="Garamond" w:hAnsi="Garamond"/>
        </w:rPr>
        <w:t xml:space="preserve"> to mind the approach of Robert Jackson from </w:t>
      </w:r>
      <w:r w:rsidR="003A1600">
        <w:rPr>
          <w:rFonts w:ascii="Garamond" w:hAnsi="Garamond"/>
          <w:i/>
        </w:rPr>
        <w:t>Youngstown Sheet and Tube</w:t>
      </w:r>
      <w:r w:rsidR="00A970EA">
        <w:rPr>
          <w:rFonts w:ascii="Garamond" w:hAnsi="Garamond"/>
        </w:rPr>
        <w:t xml:space="preserve">.  I will discuss three </w:t>
      </w:r>
      <w:r w:rsidR="003A1600">
        <w:rPr>
          <w:rFonts w:ascii="Garamond" w:hAnsi="Garamond"/>
        </w:rPr>
        <w:t xml:space="preserve">examples here: </w:t>
      </w:r>
      <w:r w:rsidR="00A970EA">
        <w:rPr>
          <w:rFonts w:ascii="Garamond" w:hAnsi="Garamond"/>
        </w:rPr>
        <w:t xml:space="preserve"> </w:t>
      </w:r>
      <w:r w:rsidR="00AB2BF4">
        <w:rPr>
          <w:rFonts w:ascii="Garamond" w:hAnsi="Garamond"/>
        </w:rPr>
        <w:t xml:space="preserve">Warren </w:t>
      </w:r>
      <w:r w:rsidR="00F95A19">
        <w:rPr>
          <w:rFonts w:ascii="Garamond" w:hAnsi="Garamond"/>
        </w:rPr>
        <w:t xml:space="preserve">Burger’s concurrence in </w:t>
      </w:r>
      <w:r w:rsidR="00F95A19">
        <w:rPr>
          <w:rFonts w:ascii="Garamond" w:hAnsi="Garamond"/>
          <w:i/>
        </w:rPr>
        <w:t>Nixon v. Fitzgerald</w:t>
      </w:r>
      <w:r w:rsidR="00F95A19">
        <w:rPr>
          <w:rFonts w:ascii="Garamond" w:hAnsi="Garamond"/>
        </w:rPr>
        <w:t xml:space="preserve"> (1982)</w:t>
      </w:r>
      <w:r w:rsidR="003A1600">
        <w:rPr>
          <w:rFonts w:ascii="Garamond" w:hAnsi="Garamond"/>
        </w:rPr>
        <w:t xml:space="preserve">, </w:t>
      </w:r>
      <w:r w:rsidR="00AB2BF4">
        <w:rPr>
          <w:rFonts w:ascii="Garamond" w:hAnsi="Garamond"/>
        </w:rPr>
        <w:t xml:space="preserve">Anthony </w:t>
      </w:r>
      <w:r w:rsidR="003A1600">
        <w:rPr>
          <w:rFonts w:ascii="Garamond" w:hAnsi="Garamond"/>
        </w:rPr>
        <w:t xml:space="preserve">Kennedy’s majority opinion in </w:t>
      </w:r>
      <w:r w:rsidR="003A1600">
        <w:rPr>
          <w:rFonts w:ascii="Garamond" w:hAnsi="Garamond"/>
          <w:i/>
        </w:rPr>
        <w:t>Cheney v. US District Court</w:t>
      </w:r>
      <w:r w:rsidR="003A1600">
        <w:rPr>
          <w:rFonts w:ascii="Garamond" w:hAnsi="Garamond"/>
        </w:rPr>
        <w:t xml:space="preserve"> (2004) and </w:t>
      </w:r>
      <w:r w:rsidR="00AB2BF4">
        <w:rPr>
          <w:rFonts w:ascii="Garamond" w:hAnsi="Garamond"/>
        </w:rPr>
        <w:t xml:space="preserve">John Paul </w:t>
      </w:r>
      <w:r w:rsidR="003A1600">
        <w:rPr>
          <w:rFonts w:ascii="Garamond" w:hAnsi="Garamond"/>
        </w:rPr>
        <w:t xml:space="preserve">Stevens’ dissent in </w:t>
      </w:r>
      <w:r w:rsidR="003A1600">
        <w:rPr>
          <w:rFonts w:ascii="Garamond" w:hAnsi="Garamond"/>
          <w:i/>
        </w:rPr>
        <w:t>Citizens United v. FEC</w:t>
      </w:r>
      <w:r w:rsidR="003A1600">
        <w:rPr>
          <w:rFonts w:ascii="Garamond" w:hAnsi="Garamond"/>
        </w:rPr>
        <w:t xml:space="preserve"> (2010)</w:t>
      </w:r>
      <w:r w:rsidR="00F95A19">
        <w:rPr>
          <w:rFonts w:ascii="Garamond" w:hAnsi="Garamond"/>
        </w:rPr>
        <w:t xml:space="preserve">.  </w:t>
      </w:r>
      <w:r w:rsidR="00C36EE6">
        <w:rPr>
          <w:rFonts w:ascii="Garamond" w:hAnsi="Garamond"/>
        </w:rPr>
        <w:t>None of these is a</w:t>
      </w:r>
      <w:r w:rsidR="003A1600">
        <w:rPr>
          <w:rFonts w:ascii="Garamond" w:hAnsi="Garamond"/>
        </w:rPr>
        <w:t xml:space="preserve"> refutation of a separation of functions approach to interbranch relations </w:t>
      </w:r>
      <w:r w:rsidR="00C36EE6">
        <w:rPr>
          <w:rFonts w:ascii="Garamond" w:hAnsi="Garamond"/>
        </w:rPr>
        <w:t>per se and yet</w:t>
      </w:r>
      <w:r w:rsidR="00000265">
        <w:rPr>
          <w:rFonts w:ascii="Garamond" w:hAnsi="Garamond"/>
        </w:rPr>
        <w:t xml:space="preserve"> with references to coequality marshaled in the service of </w:t>
      </w:r>
      <w:r w:rsidR="00AB2BF4">
        <w:rPr>
          <w:rFonts w:ascii="Garamond" w:hAnsi="Garamond"/>
        </w:rPr>
        <w:t>fluid</w:t>
      </w:r>
      <w:r w:rsidR="00000265">
        <w:rPr>
          <w:rFonts w:ascii="Garamond" w:hAnsi="Garamond"/>
        </w:rPr>
        <w:t xml:space="preserve"> power dynamics</w:t>
      </w:r>
      <w:r w:rsidR="00AB2BF4">
        <w:rPr>
          <w:rFonts w:ascii="Garamond" w:hAnsi="Garamond"/>
        </w:rPr>
        <w:t>,</w:t>
      </w:r>
      <w:r w:rsidR="00000265">
        <w:rPr>
          <w:rFonts w:ascii="Garamond" w:hAnsi="Garamond"/>
        </w:rPr>
        <w:t xml:space="preserve"> it seems as if they are closer to the separation of powers viewpoint.</w:t>
      </w:r>
    </w:p>
    <w:p w:rsidR="009B6B17" w:rsidRDefault="00A970EA" w:rsidP="00382BA9">
      <w:pPr>
        <w:spacing w:line="480" w:lineRule="auto"/>
        <w:ind w:firstLine="720"/>
        <w:rPr>
          <w:rFonts w:ascii="Garamond" w:hAnsi="Garamond"/>
        </w:rPr>
      </w:pPr>
      <w:r>
        <w:rPr>
          <w:rFonts w:ascii="Garamond" w:hAnsi="Garamond"/>
        </w:rPr>
        <w:t xml:space="preserve">In </w:t>
      </w:r>
      <w:r>
        <w:rPr>
          <w:rFonts w:ascii="Garamond" w:hAnsi="Garamond"/>
          <w:i/>
        </w:rPr>
        <w:t>Nixon v. Fitzgerald</w:t>
      </w:r>
      <w:r>
        <w:rPr>
          <w:rFonts w:ascii="Garamond" w:hAnsi="Garamond"/>
        </w:rPr>
        <w:t xml:space="preserve">, an Administration appointee had sued in civil court for wrongful termination.  In Justice Burger’s concurrence there are two references to coequality, one of which offers a separation of functions ideal and the other which leans closer to the separation </w:t>
      </w:r>
      <w:r w:rsidR="00AB2BF4">
        <w:rPr>
          <w:rFonts w:ascii="Garamond" w:hAnsi="Garamond"/>
        </w:rPr>
        <w:t>of powers</w:t>
      </w:r>
      <w:r>
        <w:rPr>
          <w:rFonts w:ascii="Garamond" w:hAnsi="Garamond"/>
        </w:rPr>
        <w:t xml:space="preserve">.  The first </w:t>
      </w:r>
      <w:r w:rsidR="00DF3D72">
        <w:rPr>
          <w:rFonts w:ascii="Garamond" w:hAnsi="Garamond"/>
        </w:rPr>
        <w:t>describes</w:t>
      </w:r>
      <w:r>
        <w:rPr>
          <w:rFonts w:ascii="Garamond" w:hAnsi="Garamond"/>
        </w:rPr>
        <w:t xml:space="preserve"> the “essential purpose of the separation of powers</w:t>
      </w:r>
      <w:r w:rsidR="00DF3D72">
        <w:rPr>
          <w:rFonts w:ascii="Garamond" w:hAnsi="Garamond"/>
        </w:rPr>
        <w:t>” as</w:t>
      </w:r>
      <w:r>
        <w:rPr>
          <w:rFonts w:ascii="Garamond" w:hAnsi="Garamond"/>
        </w:rPr>
        <w:t xml:space="preserve"> </w:t>
      </w:r>
      <w:r w:rsidR="00DF3D72">
        <w:rPr>
          <w:rFonts w:ascii="Garamond" w:hAnsi="Garamond"/>
        </w:rPr>
        <w:t>allowing for the</w:t>
      </w:r>
      <w:r>
        <w:rPr>
          <w:rFonts w:ascii="Garamond" w:hAnsi="Garamond"/>
        </w:rPr>
        <w:t xml:space="preserve"> </w:t>
      </w:r>
      <w:r w:rsidR="00DF3D72">
        <w:rPr>
          <w:rFonts w:ascii="Garamond" w:hAnsi="Garamond"/>
        </w:rPr>
        <w:t>“</w:t>
      </w:r>
      <w:r>
        <w:rPr>
          <w:rFonts w:ascii="Garamond" w:hAnsi="Garamond"/>
        </w:rPr>
        <w:t>independent functioning of each coequal branch of government within its sphere of responsibility, free from control, interference, or intimidation by other branches.”  This means that decisions which intrude upon the president’s area</w:t>
      </w:r>
      <w:r w:rsidR="00DF3D72">
        <w:rPr>
          <w:rFonts w:ascii="Garamond" w:hAnsi="Garamond"/>
        </w:rPr>
        <w:t>s</w:t>
      </w:r>
      <w:r>
        <w:rPr>
          <w:rFonts w:ascii="Garamond" w:hAnsi="Garamond"/>
        </w:rPr>
        <w:t xml:space="preserve"> of decision-making should be rare, dictated only by constitutional necessity.  This sets up the decision that Burger favors:  presidential immunity for official acts undertaken</w:t>
      </w:r>
      <w:r w:rsidR="00DF3D72">
        <w:rPr>
          <w:rFonts w:ascii="Garamond" w:hAnsi="Garamond"/>
        </w:rPr>
        <w:t>, including terminating government employees.  Burger reasoned</w:t>
      </w:r>
      <w:r>
        <w:rPr>
          <w:rFonts w:ascii="Garamond" w:hAnsi="Garamond"/>
        </w:rPr>
        <w:t xml:space="preserve"> that </w:t>
      </w:r>
      <w:r w:rsidR="00DF3D72">
        <w:rPr>
          <w:rFonts w:ascii="Garamond" w:hAnsi="Garamond"/>
        </w:rPr>
        <w:t xml:space="preserve">other federal officials, like </w:t>
      </w:r>
      <w:r w:rsidR="00AB2BF4">
        <w:rPr>
          <w:rFonts w:ascii="Garamond" w:hAnsi="Garamond"/>
        </w:rPr>
        <w:t>judges and lawmakers, already possesse</w:t>
      </w:r>
      <w:r w:rsidR="00DF3D72">
        <w:rPr>
          <w:rFonts w:ascii="Garamond" w:hAnsi="Garamond"/>
        </w:rPr>
        <w:t xml:space="preserve">d immunity from liability in civil court, so it was only fair for the president to have this as well.  </w:t>
      </w:r>
    </w:p>
    <w:p w:rsidR="00DE5D10" w:rsidRDefault="009B6B17" w:rsidP="00382BA9">
      <w:pPr>
        <w:spacing w:line="480" w:lineRule="auto"/>
        <w:ind w:firstLine="720"/>
        <w:rPr>
          <w:rFonts w:ascii="Garamond" w:hAnsi="Garamond"/>
        </w:rPr>
      </w:pPr>
      <w:r>
        <w:rPr>
          <w:rFonts w:ascii="Garamond" w:hAnsi="Garamond"/>
        </w:rPr>
        <w:t xml:space="preserve">But the reasoning for civil immunity for presidential actions was not to be found directly in the constitution or </w:t>
      </w:r>
      <w:r w:rsidR="005D242C">
        <w:rPr>
          <w:rFonts w:ascii="Garamond" w:hAnsi="Garamond"/>
        </w:rPr>
        <w:t>in prior case law.  Burger chose to argue for civil immunity</w:t>
      </w:r>
      <w:r>
        <w:rPr>
          <w:rFonts w:ascii="Garamond" w:hAnsi="Garamond"/>
        </w:rPr>
        <w:t xml:space="preserve"> based on “coequality.”  He writes, that “t</w:t>
      </w:r>
      <w:r w:rsidR="00DF3D72">
        <w:rPr>
          <w:rFonts w:ascii="Garamond" w:hAnsi="Garamond"/>
        </w:rPr>
        <w:t xml:space="preserve">he constitutional concept of the separation of independent coequal powers dictates that a President be immune from civil damages for actions based on acts within the scope of Executive authority while in office.”  </w:t>
      </w:r>
      <w:r>
        <w:rPr>
          <w:rFonts w:ascii="Garamond" w:hAnsi="Garamond"/>
        </w:rPr>
        <w:t>This may be a functional conclusion, but it is also one that suggests a new standard for interbranch relations:  one of coequal powers.  If judges and legislators possessed civil immunity for their official</w:t>
      </w:r>
      <w:r w:rsidR="005D242C">
        <w:rPr>
          <w:rFonts w:ascii="Garamond" w:hAnsi="Garamond"/>
        </w:rPr>
        <w:t xml:space="preserve"> acts, so should the president—not because this result was dictated by the Constitution, but because if one branch was so endowed, then the others should be too.</w:t>
      </w:r>
    </w:p>
    <w:p w:rsidR="003E6B25" w:rsidRDefault="00DE5D10" w:rsidP="00382BA9">
      <w:pPr>
        <w:spacing w:line="480" w:lineRule="auto"/>
        <w:ind w:firstLine="720"/>
        <w:rPr>
          <w:rFonts w:ascii="Garamond" w:hAnsi="Garamond"/>
        </w:rPr>
      </w:pPr>
      <w:r>
        <w:rPr>
          <w:rFonts w:ascii="Garamond" w:hAnsi="Garamond"/>
          <w:i/>
        </w:rPr>
        <w:t>Cheney v. US District Court</w:t>
      </w:r>
      <w:r>
        <w:rPr>
          <w:rFonts w:ascii="Garamond" w:hAnsi="Garamond"/>
        </w:rPr>
        <w:t xml:space="preserve"> </w:t>
      </w:r>
      <w:r w:rsidR="003B249A">
        <w:rPr>
          <w:rFonts w:ascii="Garamond" w:hAnsi="Garamond"/>
        </w:rPr>
        <w:t>is the aforementioned case in which the Bush Administration aimed to keep confidential meeting</w:t>
      </w:r>
      <w:r w:rsidR="00055381">
        <w:rPr>
          <w:rFonts w:ascii="Garamond" w:hAnsi="Garamond"/>
        </w:rPr>
        <w:t>s of</w:t>
      </w:r>
      <w:r w:rsidR="003B249A">
        <w:rPr>
          <w:rFonts w:ascii="Garamond" w:hAnsi="Garamond"/>
        </w:rPr>
        <w:t xml:space="preserve"> Vice President Cheney</w:t>
      </w:r>
      <w:r w:rsidR="00055381">
        <w:rPr>
          <w:rFonts w:ascii="Garamond" w:hAnsi="Garamond"/>
        </w:rPr>
        <w:t>’s</w:t>
      </w:r>
      <w:r w:rsidR="003B249A">
        <w:rPr>
          <w:rFonts w:ascii="Garamond" w:hAnsi="Garamond"/>
        </w:rPr>
        <w:t xml:space="preserve"> energy policy</w:t>
      </w:r>
      <w:r w:rsidR="00055381">
        <w:rPr>
          <w:rFonts w:ascii="Garamond" w:hAnsi="Garamond"/>
        </w:rPr>
        <w:t xml:space="preserve"> task force</w:t>
      </w:r>
      <w:r w:rsidR="003B249A">
        <w:rPr>
          <w:rFonts w:ascii="Garamond" w:hAnsi="Garamond"/>
        </w:rPr>
        <w:t>.</w:t>
      </w:r>
      <w:r>
        <w:rPr>
          <w:rFonts w:ascii="Garamond" w:hAnsi="Garamond"/>
        </w:rPr>
        <w:t xml:space="preserve">  </w:t>
      </w:r>
      <w:r w:rsidR="003B249A">
        <w:rPr>
          <w:rFonts w:ascii="Garamond" w:hAnsi="Garamond"/>
        </w:rPr>
        <w:t xml:space="preserve">The </w:t>
      </w:r>
      <w:r w:rsidR="00055381">
        <w:rPr>
          <w:rFonts w:ascii="Garamond" w:hAnsi="Garamond"/>
        </w:rPr>
        <w:t>federal judge who</w:t>
      </w:r>
      <w:r w:rsidR="003B249A">
        <w:rPr>
          <w:rFonts w:ascii="Garamond" w:hAnsi="Garamond"/>
        </w:rPr>
        <w:t xml:space="preserve"> </w:t>
      </w:r>
      <w:r w:rsidR="00055381">
        <w:rPr>
          <w:rFonts w:ascii="Garamond" w:hAnsi="Garamond"/>
        </w:rPr>
        <w:t xml:space="preserve">initially </w:t>
      </w:r>
      <w:r w:rsidR="003B249A">
        <w:rPr>
          <w:rFonts w:ascii="Garamond" w:hAnsi="Garamond"/>
        </w:rPr>
        <w:t xml:space="preserve">heard the case suggested that the </w:t>
      </w:r>
      <w:r w:rsidR="00055381">
        <w:rPr>
          <w:rFonts w:ascii="Garamond" w:hAnsi="Garamond"/>
        </w:rPr>
        <w:t>Vice President would have to make public the contributions of private citizens</w:t>
      </w:r>
      <w:r w:rsidR="005D242C">
        <w:rPr>
          <w:rFonts w:ascii="Garamond" w:hAnsi="Garamond"/>
        </w:rPr>
        <w:t>,</w:t>
      </w:r>
      <w:r w:rsidR="00055381">
        <w:rPr>
          <w:rFonts w:ascii="Garamond" w:hAnsi="Garamond"/>
        </w:rPr>
        <w:t xml:space="preserve"> to determine if they were substantial</w:t>
      </w:r>
      <w:r w:rsidR="003B249A">
        <w:rPr>
          <w:rFonts w:ascii="Garamond" w:hAnsi="Garamond"/>
        </w:rPr>
        <w:t xml:space="preserve">.  </w:t>
      </w:r>
      <w:r w:rsidR="00055381">
        <w:rPr>
          <w:rFonts w:ascii="Garamond" w:hAnsi="Garamond"/>
        </w:rPr>
        <w:t xml:space="preserve">The DC Court of Appeals agreed with the judge.  </w:t>
      </w:r>
      <w:r>
        <w:rPr>
          <w:rFonts w:ascii="Garamond" w:hAnsi="Garamond"/>
        </w:rPr>
        <w:t xml:space="preserve">Justice Kennedy, writing for the Court, </w:t>
      </w:r>
      <w:r w:rsidR="00055381">
        <w:rPr>
          <w:rFonts w:ascii="Garamond" w:hAnsi="Garamond"/>
        </w:rPr>
        <w:t xml:space="preserve">disagreed.  </w:t>
      </w:r>
      <w:r w:rsidR="00B92A61">
        <w:rPr>
          <w:rFonts w:ascii="Garamond" w:hAnsi="Garamond"/>
        </w:rPr>
        <w:t xml:space="preserve">Citing the sensitivity of the judiciary sitting in judgment of the executive, Kennedy reasoned that such confrontations should generally be avoided.  </w:t>
      </w:r>
      <w:r w:rsidR="003E6B25">
        <w:rPr>
          <w:rFonts w:ascii="Garamond" w:hAnsi="Garamond"/>
        </w:rPr>
        <w:t xml:space="preserve">In warning against this occurrence, Kennedy stated that </w:t>
      </w:r>
    </w:p>
    <w:p w:rsidR="003E6B25" w:rsidRDefault="003E6B25" w:rsidP="003E6B25">
      <w:pPr>
        <w:rPr>
          <w:rFonts w:ascii="Garamond" w:hAnsi="Garamond"/>
        </w:rPr>
      </w:pPr>
    </w:p>
    <w:p w:rsidR="00D770B1" w:rsidRPr="00DE5D10" w:rsidRDefault="003E6B25" w:rsidP="003E6B25">
      <w:pPr>
        <w:ind w:left="720" w:right="720"/>
        <w:rPr>
          <w:rFonts w:ascii="Garamond" w:hAnsi="Garamond"/>
        </w:rPr>
      </w:pPr>
      <w:r>
        <w:rPr>
          <w:rFonts w:ascii="Garamond" w:hAnsi="Garamond"/>
        </w:rPr>
        <w:t>once executive privilege is asserted, coequal branches of the Government are put on a collision course.  The Judiciary is forced into the difficult task of balancing the need for information in a judicial proceeding and the Executive’s Article II prerogatives.  This inquiry places courts in the awkward position of evaluating the Executive’s claims of confidentiality and autonomy, and pushes to the fore difficult questions of the separation of powers and checks and balances.</w:t>
      </w:r>
    </w:p>
    <w:p w:rsidR="003E6B25" w:rsidRDefault="003E6B25" w:rsidP="003E6B25">
      <w:pPr>
        <w:rPr>
          <w:rFonts w:ascii="Garamond" w:hAnsi="Garamond"/>
        </w:rPr>
      </w:pPr>
    </w:p>
    <w:p w:rsidR="003E6B25" w:rsidRDefault="003E6B25" w:rsidP="00382BA9">
      <w:pPr>
        <w:spacing w:line="480" w:lineRule="auto"/>
        <w:rPr>
          <w:rFonts w:ascii="Garamond" w:hAnsi="Garamond"/>
        </w:rPr>
      </w:pPr>
      <w:r>
        <w:rPr>
          <w:rFonts w:ascii="Garamond" w:hAnsi="Garamond"/>
        </w:rPr>
        <w:t xml:space="preserve">The position is awkward, it seems, because </w:t>
      </w:r>
      <w:r w:rsidR="005D242C">
        <w:rPr>
          <w:rFonts w:ascii="Garamond" w:hAnsi="Garamond"/>
        </w:rPr>
        <w:t>of the potential of a</w:t>
      </w:r>
      <w:r>
        <w:rPr>
          <w:rFonts w:ascii="Garamond" w:hAnsi="Garamond"/>
        </w:rPr>
        <w:t xml:space="preserve"> constitutional </w:t>
      </w:r>
      <w:r w:rsidR="005D242C">
        <w:rPr>
          <w:rFonts w:ascii="Garamond" w:hAnsi="Garamond"/>
        </w:rPr>
        <w:t>confrontation</w:t>
      </w:r>
      <w:r>
        <w:rPr>
          <w:rFonts w:ascii="Garamond" w:hAnsi="Garamond"/>
        </w:rPr>
        <w:t xml:space="preserve">.  The President has “Article II prerogatives,” but they may be trumped by other considerations, as occurred in the Nixon case.  </w:t>
      </w:r>
      <w:r w:rsidR="005D242C">
        <w:rPr>
          <w:rFonts w:ascii="Garamond" w:hAnsi="Garamond"/>
        </w:rPr>
        <w:t>T</w:t>
      </w:r>
      <w:r>
        <w:rPr>
          <w:rFonts w:ascii="Garamond" w:hAnsi="Garamond"/>
        </w:rPr>
        <w:t xml:space="preserve">he separation of functions is </w:t>
      </w:r>
      <w:r w:rsidR="005D242C">
        <w:rPr>
          <w:rFonts w:ascii="Garamond" w:hAnsi="Garamond"/>
        </w:rPr>
        <w:t>in</w:t>
      </w:r>
      <w:r>
        <w:rPr>
          <w:rFonts w:ascii="Garamond" w:hAnsi="Garamond"/>
        </w:rPr>
        <w:t xml:space="preserve">sufficient </w:t>
      </w:r>
      <w:r w:rsidR="005D242C">
        <w:rPr>
          <w:rFonts w:ascii="Garamond" w:hAnsi="Garamond"/>
        </w:rPr>
        <w:t xml:space="preserve">to </w:t>
      </w:r>
      <w:r>
        <w:rPr>
          <w:rFonts w:ascii="Garamond" w:hAnsi="Garamond"/>
        </w:rPr>
        <w:t>answer to the question at hand</w:t>
      </w:r>
      <w:r w:rsidR="005D242C">
        <w:rPr>
          <w:rFonts w:ascii="Garamond" w:hAnsi="Garamond"/>
        </w:rPr>
        <w:t>.  Unofficial power dynamics are at work and this</w:t>
      </w:r>
      <w:r>
        <w:rPr>
          <w:rFonts w:ascii="Garamond" w:hAnsi="Garamond"/>
        </w:rPr>
        <w:t xml:space="preserve"> is an are</w:t>
      </w:r>
      <w:r w:rsidR="005D242C">
        <w:rPr>
          <w:rFonts w:ascii="Garamond" w:hAnsi="Garamond"/>
        </w:rPr>
        <w:t>n</w:t>
      </w:r>
      <w:r>
        <w:rPr>
          <w:rFonts w:ascii="Garamond" w:hAnsi="Garamond"/>
        </w:rPr>
        <w:t>a</w:t>
      </w:r>
      <w:r w:rsidR="005D242C">
        <w:rPr>
          <w:rFonts w:ascii="Garamond" w:hAnsi="Garamond"/>
        </w:rPr>
        <w:t xml:space="preserve"> in which, as</w:t>
      </w:r>
      <w:r>
        <w:rPr>
          <w:rFonts w:ascii="Garamond" w:hAnsi="Garamond"/>
        </w:rPr>
        <w:t xml:space="preserve"> Kennedy readily acknowledges</w:t>
      </w:r>
      <w:r w:rsidR="005D242C">
        <w:rPr>
          <w:rFonts w:ascii="Garamond" w:hAnsi="Garamond"/>
        </w:rPr>
        <w:t>,</w:t>
      </w:r>
      <w:r>
        <w:rPr>
          <w:rFonts w:ascii="Garamond" w:hAnsi="Garamond"/>
        </w:rPr>
        <w:t xml:space="preserve"> the Court does not </w:t>
      </w:r>
      <w:r w:rsidR="005D242C">
        <w:rPr>
          <w:rFonts w:ascii="Garamond" w:hAnsi="Garamond"/>
        </w:rPr>
        <w:t>typically do well</w:t>
      </w:r>
      <w:r>
        <w:rPr>
          <w:rFonts w:ascii="Garamond" w:hAnsi="Garamond"/>
        </w:rPr>
        <w:t>.</w:t>
      </w:r>
    </w:p>
    <w:p w:rsidR="006E77E5" w:rsidRPr="003E6B25" w:rsidRDefault="003E6B25" w:rsidP="00382BA9">
      <w:pPr>
        <w:spacing w:line="480" w:lineRule="auto"/>
        <w:rPr>
          <w:rFonts w:ascii="Garamond" w:hAnsi="Garamond"/>
        </w:rPr>
      </w:pPr>
      <w:r>
        <w:rPr>
          <w:rFonts w:ascii="Garamond" w:hAnsi="Garamond"/>
        </w:rPr>
        <w:tab/>
        <w:t xml:space="preserve">A final example of coequality edging away from a separation of functions ideal is Justice Stevens’ dissent in </w:t>
      </w:r>
      <w:r>
        <w:rPr>
          <w:rFonts w:ascii="Garamond" w:hAnsi="Garamond"/>
          <w:i/>
        </w:rPr>
        <w:t>Citizens United v. FEC</w:t>
      </w:r>
      <w:r>
        <w:rPr>
          <w:rFonts w:ascii="Garamond" w:hAnsi="Garamond"/>
        </w:rPr>
        <w:t xml:space="preserve"> (2010).  The Court’s recent history with campaign finance law has been checkered, at first seeming to uphold certain provisions of the Bipartisan Campaign Reform Act</w:t>
      </w:r>
      <w:r w:rsidR="0079130A">
        <w:rPr>
          <w:rFonts w:ascii="Garamond" w:hAnsi="Garamond"/>
        </w:rPr>
        <w:t xml:space="preserve"> (BCRA)</w:t>
      </w:r>
      <w:r>
        <w:rPr>
          <w:rFonts w:ascii="Garamond" w:hAnsi="Garamond"/>
        </w:rPr>
        <w:t xml:space="preserve">, and then declaring them unconstitutional in </w:t>
      </w:r>
      <w:r>
        <w:rPr>
          <w:rFonts w:ascii="Garamond" w:hAnsi="Garamond"/>
          <w:i/>
        </w:rPr>
        <w:t>Citizens United</w:t>
      </w:r>
      <w:r w:rsidR="0079130A">
        <w:rPr>
          <w:rFonts w:ascii="Garamond" w:hAnsi="Garamond"/>
        </w:rPr>
        <w:t xml:space="preserve">.  </w:t>
      </w:r>
      <w:r w:rsidR="00B92A61">
        <w:rPr>
          <w:rFonts w:ascii="Garamond" w:hAnsi="Garamond"/>
        </w:rPr>
        <w:t>Stevens’</w:t>
      </w:r>
      <w:r w:rsidR="0029437D">
        <w:rPr>
          <w:rFonts w:ascii="Garamond" w:hAnsi="Garamond"/>
        </w:rPr>
        <w:t xml:space="preserve"> exasperated dissent notes</w:t>
      </w:r>
      <w:r w:rsidR="0079130A">
        <w:rPr>
          <w:rFonts w:ascii="Garamond" w:hAnsi="Garamond"/>
        </w:rPr>
        <w:t xml:space="preserve"> that the BCRA was written specifically to conform to prior rulings </w:t>
      </w:r>
      <w:r w:rsidR="0029437D">
        <w:rPr>
          <w:rFonts w:ascii="Garamond" w:hAnsi="Garamond"/>
        </w:rPr>
        <w:t>of the Court itself</w:t>
      </w:r>
      <w:r w:rsidR="0079130A">
        <w:rPr>
          <w:rFonts w:ascii="Garamond" w:hAnsi="Garamond"/>
        </w:rPr>
        <w:t xml:space="preserve">. </w:t>
      </w:r>
      <w:r w:rsidR="0029437D">
        <w:rPr>
          <w:rFonts w:ascii="Garamond" w:hAnsi="Garamond"/>
        </w:rPr>
        <w:t xml:space="preserve"> These very attempts to satisfy the Court were rebuffed as unconstitutional.  Stevens describes</w:t>
      </w:r>
      <w:r w:rsidR="0079130A">
        <w:rPr>
          <w:rFonts w:ascii="Garamond" w:hAnsi="Garamond"/>
        </w:rPr>
        <w:t xml:space="preserve"> the court’s majority as “pulling out the rug [from] beneath Congress after affirming the constitutionality of [section] 203 six years ago,” and noted that this “shows great disrespect</w:t>
      </w:r>
      <w:r w:rsidR="0029437D">
        <w:rPr>
          <w:rFonts w:ascii="Garamond" w:hAnsi="Garamond"/>
        </w:rPr>
        <w:t xml:space="preserve"> for a coequal branch.”  He</w:t>
      </w:r>
      <w:r w:rsidR="0079130A">
        <w:rPr>
          <w:rFonts w:ascii="Garamond" w:hAnsi="Garamond"/>
        </w:rPr>
        <w:t xml:space="preserve"> does not employ </w:t>
      </w:r>
      <w:r w:rsidR="0029437D">
        <w:rPr>
          <w:rFonts w:ascii="Garamond" w:hAnsi="Garamond"/>
        </w:rPr>
        <w:t>further explain this assessment nor does he offer</w:t>
      </w:r>
      <w:r w:rsidR="0079130A">
        <w:rPr>
          <w:rFonts w:ascii="Garamond" w:hAnsi="Garamond"/>
        </w:rPr>
        <w:t xml:space="preserve"> a separation of functions argument.  Rather this is a loose, generalized expression of the respect due from one branch to another. </w:t>
      </w:r>
      <w:r w:rsidR="0029437D">
        <w:rPr>
          <w:rFonts w:ascii="Garamond" w:hAnsi="Garamond"/>
        </w:rPr>
        <w:t xml:space="preserve"> The Congress should know what to expect from the Court, Stevens suggests, in matters of constitutional interpretation.</w:t>
      </w:r>
    </w:p>
    <w:p w:rsidR="00585E7E" w:rsidRDefault="00A7377F" w:rsidP="00585E7E">
      <w:pPr>
        <w:spacing w:line="480" w:lineRule="auto"/>
        <w:ind w:firstLine="720"/>
        <w:rPr>
          <w:rFonts w:ascii="Garamond" w:hAnsi="Garamond"/>
        </w:rPr>
      </w:pPr>
      <w:r>
        <w:rPr>
          <w:rFonts w:ascii="Garamond" w:hAnsi="Garamond"/>
        </w:rPr>
        <w:t xml:space="preserve">In the words of Robert Jackson’s Youngstown concurrence, “a century and a half of partisan debate and scholarly speculation yields no net result, but only supplies more or less apt quotations from respected sources on each side of any question.”  While the decisions of the Court </w:t>
      </w:r>
      <w:r w:rsidR="00382BA9">
        <w:rPr>
          <w:rFonts w:ascii="Garamond" w:hAnsi="Garamond"/>
        </w:rPr>
        <w:t xml:space="preserve">in the above cases </w:t>
      </w:r>
      <w:r>
        <w:rPr>
          <w:rFonts w:ascii="Garamond" w:hAnsi="Garamond"/>
        </w:rPr>
        <w:t xml:space="preserve">are hardly negligible, </w:t>
      </w:r>
      <w:r w:rsidR="0029437D">
        <w:rPr>
          <w:rFonts w:ascii="Garamond" w:hAnsi="Garamond"/>
        </w:rPr>
        <w:t xml:space="preserve">to think the Court </w:t>
      </w:r>
      <w:r w:rsidR="00382BA9">
        <w:rPr>
          <w:rFonts w:ascii="Garamond" w:hAnsi="Garamond"/>
        </w:rPr>
        <w:t xml:space="preserve">has offered plenty of fodder that </w:t>
      </w:r>
      <w:r w:rsidR="0029437D">
        <w:rPr>
          <w:rFonts w:ascii="Garamond" w:hAnsi="Garamond"/>
        </w:rPr>
        <w:t>may serve</w:t>
      </w:r>
      <w:r w:rsidR="00382BA9">
        <w:rPr>
          <w:rFonts w:ascii="Garamond" w:hAnsi="Garamond"/>
        </w:rPr>
        <w:t xml:space="preserve"> to release the concept of “coequality” from its traditional mooring to a separation of functions approach.  </w:t>
      </w:r>
      <w:r w:rsidR="0029437D">
        <w:rPr>
          <w:rFonts w:ascii="Garamond" w:hAnsi="Garamond"/>
        </w:rPr>
        <w:t>A word that could quite easily be avoided by the Court as indeterminate and potentially misleading, is now used regularly, and</w:t>
      </w:r>
      <w:r w:rsidR="00382BA9">
        <w:rPr>
          <w:rFonts w:ascii="Garamond" w:hAnsi="Garamond"/>
        </w:rPr>
        <w:t xml:space="preserve"> any justice who wishes can make an argument that branches are coequal </w:t>
      </w:r>
      <w:r w:rsidR="0029437D">
        <w:rPr>
          <w:rFonts w:ascii="Garamond" w:hAnsi="Garamond"/>
        </w:rPr>
        <w:t>can do so</w:t>
      </w:r>
      <w:r w:rsidR="00382BA9">
        <w:rPr>
          <w:rFonts w:ascii="Garamond" w:hAnsi="Garamond"/>
        </w:rPr>
        <w:t xml:space="preserve"> as the purpose suits them.</w:t>
      </w:r>
      <w:r w:rsidR="0029437D">
        <w:rPr>
          <w:rFonts w:ascii="Garamond" w:hAnsi="Garamond"/>
        </w:rPr>
        <w:t xml:space="preserve">  This is true not just for the functional outcome of the case, but it also pertains to exactly what is coequal.  As often as not that is left sufficiently vague that a misleading separation of powers view is reinforced.</w:t>
      </w:r>
    </w:p>
    <w:p w:rsidR="007F776D" w:rsidRPr="00585E7E" w:rsidRDefault="00585E7E" w:rsidP="00585E7E">
      <w:pPr>
        <w:spacing w:line="480" w:lineRule="auto"/>
        <w:jc w:val="center"/>
        <w:rPr>
          <w:rFonts w:ascii="Garamond" w:hAnsi="Garamond"/>
          <w:b/>
        </w:rPr>
      </w:pPr>
      <w:r>
        <w:rPr>
          <w:rFonts w:ascii="Garamond" w:hAnsi="Garamond"/>
          <w:b/>
        </w:rPr>
        <w:t>Conclusion</w:t>
      </w:r>
    </w:p>
    <w:p w:rsidR="008B4F23" w:rsidRDefault="00382BA9" w:rsidP="00585E7E">
      <w:pPr>
        <w:spacing w:line="480" w:lineRule="auto"/>
        <w:rPr>
          <w:rFonts w:ascii="Garamond" w:hAnsi="Garamond"/>
        </w:rPr>
      </w:pPr>
      <w:r>
        <w:rPr>
          <w:rFonts w:ascii="Garamond" w:hAnsi="Garamond"/>
        </w:rPr>
        <w:tab/>
        <w:t>Members of the Supreme Court</w:t>
      </w:r>
      <w:r w:rsidR="00BF51E5">
        <w:rPr>
          <w:rFonts w:ascii="Garamond" w:hAnsi="Garamond"/>
        </w:rPr>
        <w:t xml:space="preserve">, according to their own </w:t>
      </w:r>
      <w:r w:rsidR="008B4F23">
        <w:rPr>
          <w:rFonts w:ascii="Garamond" w:hAnsi="Garamond"/>
        </w:rPr>
        <w:t>understanding of their work</w:t>
      </w:r>
      <w:r>
        <w:rPr>
          <w:rFonts w:ascii="Garamond" w:hAnsi="Garamond"/>
        </w:rPr>
        <w:t xml:space="preserve">, are to be the </w:t>
      </w:r>
      <w:r w:rsidR="008B4F23">
        <w:rPr>
          <w:rFonts w:ascii="Garamond" w:hAnsi="Garamond"/>
        </w:rPr>
        <w:t>most scrupulous guardians of the American polity’s</w:t>
      </w:r>
      <w:r>
        <w:rPr>
          <w:rFonts w:ascii="Garamond" w:hAnsi="Garamond"/>
        </w:rPr>
        <w:t xml:space="preserve"> constitutional heritage.  </w:t>
      </w:r>
      <w:r w:rsidR="008B4F23">
        <w:rPr>
          <w:rFonts w:ascii="Garamond" w:hAnsi="Garamond"/>
        </w:rPr>
        <w:t xml:space="preserve">Therefore it is of interest when new concepts, never before applied to the structure of government laid out in the Constitution, are introduced.  Such is the case with the use of the concept of interbranch coequality.  </w:t>
      </w:r>
      <w:r w:rsidR="00CB5F42">
        <w:rPr>
          <w:rFonts w:ascii="Garamond" w:hAnsi="Garamond"/>
        </w:rPr>
        <w:t xml:space="preserve">This idea was originally </w:t>
      </w:r>
      <w:r w:rsidR="00B92A61">
        <w:rPr>
          <w:rFonts w:ascii="Garamond" w:hAnsi="Garamond"/>
        </w:rPr>
        <w:t>marshaled</w:t>
      </w:r>
      <w:r w:rsidR="00CB5F42">
        <w:rPr>
          <w:rFonts w:ascii="Garamond" w:hAnsi="Garamond"/>
        </w:rPr>
        <w:t xml:space="preserve"> in favor of a traditionally accepted separation of functions view of the American government.  </w:t>
      </w:r>
      <w:r w:rsidR="00F41000">
        <w:rPr>
          <w:rFonts w:ascii="Garamond" w:hAnsi="Garamond"/>
        </w:rPr>
        <w:t>In recent decades, with the idea firmly established, t</w:t>
      </w:r>
      <w:r w:rsidR="008B4F23">
        <w:rPr>
          <w:rFonts w:ascii="Garamond" w:hAnsi="Garamond"/>
        </w:rPr>
        <w:t xml:space="preserve">he concept itself seems to have drifted away from its original usage. </w:t>
      </w:r>
      <w:r w:rsidR="00F41000">
        <w:rPr>
          <w:rFonts w:ascii="Garamond" w:hAnsi="Garamond"/>
        </w:rPr>
        <w:t xml:space="preserve"> It is frequently thrown into an opinion without any purpose other than to repeat a truism.  Particularly puzzling is that the concept does not seem to be a valuable aid in making decisions.  </w:t>
      </w:r>
      <w:r w:rsidR="008B4F23">
        <w:rPr>
          <w:rFonts w:ascii="Garamond" w:hAnsi="Garamond"/>
        </w:rPr>
        <w:t>While no one yet has disputed the use of coequality to describe the three branches of the US government, u</w:t>
      </w:r>
      <w:r w:rsidR="00F41000">
        <w:rPr>
          <w:rFonts w:ascii="Garamond" w:hAnsi="Garamond"/>
        </w:rPr>
        <w:t>se of this</w:t>
      </w:r>
      <w:r w:rsidR="00CB5F42">
        <w:rPr>
          <w:rFonts w:ascii="Garamond" w:hAnsi="Garamond"/>
        </w:rPr>
        <w:t xml:space="preserve"> concept is f</w:t>
      </w:r>
      <w:r w:rsidR="00F41000">
        <w:rPr>
          <w:rFonts w:ascii="Garamond" w:hAnsi="Garamond"/>
        </w:rPr>
        <w:t>labby.  References to interbranch coequality fail</w:t>
      </w:r>
      <w:r w:rsidR="00CB5F42">
        <w:rPr>
          <w:rFonts w:ascii="Garamond" w:hAnsi="Garamond"/>
        </w:rPr>
        <w:t xml:space="preserve"> to give opinions greater force.</w:t>
      </w:r>
    </w:p>
    <w:p w:rsidR="00F41000" w:rsidRDefault="008B4F23" w:rsidP="00585E7E">
      <w:pPr>
        <w:spacing w:line="480" w:lineRule="auto"/>
        <w:rPr>
          <w:rFonts w:ascii="Garamond" w:hAnsi="Garamond"/>
        </w:rPr>
      </w:pPr>
      <w:r>
        <w:rPr>
          <w:rFonts w:ascii="Garamond" w:hAnsi="Garamond"/>
        </w:rPr>
        <w:tab/>
        <w:t xml:space="preserve">The growth in coequality jurisprudence is suspiciously coincident with </w:t>
      </w:r>
      <w:r w:rsidR="00F41000">
        <w:rPr>
          <w:rFonts w:ascii="Garamond" w:hAnsi="Garamond"/>
        </w:rPr>
        <w:t xml:space="preserve">the beginning of </w:t>
      </w:r>
      <w:r>
        <w:rPr>
          <w:rFonts w:ascii="Garamond" w:hAnsi="Garamond"/>
        </w:rPr>
        <w:t xml:space="preserve">aggressive presidential use of the concept.  </w:t>
      </w:r>
      <w:r w:rsidR="00CB5F42">
        <w:rPr>
          <w:rFonts w:ascii="Garamond" w:hAnsi="Garamond"/>
        </w:rPr>
        <w:t>Presidents who wish to extend executive power have the opportunity to appoint preside</w:t>
      </w:r>
      <w:r w:rsidR="00F41000">
        <w:rPr>
          <w:rFonts w:ascii="Garamond" w:hAnsi="Garamond"/>
        </w:rPr>
        <w:t>ntialist judges to the Court.  As a “teacher in chief,” the president’s</w:t>
      </w:r>
      <w:r w:rsidR="00CB5F42">
        <w:rPr>
          <w:rFonts w:ascii="Garamond" w:hAnsi="Garamond"/>
        </w:rPr>
        <w:t xml:space="preserve"> rhetoric seems to have found its way to the Court, reinforcing the increase</w:t>
      </w:r>
      <w:r w:rsidR="00F41000">
        <w:rPr>
          <w:rFonts w:ascii="Garamond" w:hAnsi="Garamond"/>
        </w:rPr>
        <w:t>d power of the presidency.  N</w:t>
      </w:r>
      <w:r w:rsidR="00CB5F42">
        <w:rPr>
          <w:rFonts w:ascii="Garamond" w:hAnsi="Garamond"/>
        </w:rPr>
        <w:t xml:space="preserve">ot coincidentally, at least by implication, </w:t>
      </w:r>
      <w:r w:rsidR="00F41000">
        <w:rPr>
          <w:rFonts w:ascii="Garamond" w:hAnsi="Garamond"/>
        </w:rPr>
        <w:t>interbranch coequality shores</w:t>
      </w:r>
      <w:r w:rsidR="00CB5F42">
        <w:rPr>
          <w:rFonts w:ascii="Garamond" w:hAnsi="Garamond"/>
        </w:rPr>
        <w:t xml:space="preserve"> up the inherent weakness o</w:t>
      </w:r>
      <w:r w:rsidR="00F41000">
        <w:rPr>
          <w:rFonts w:ascii="Garamond" w:hAnsi="Garamond"/>
        </w:rPr>
        <w:t>f the “least powerful” branch, even though the Court defers to other coequal branches more often than not when using this phraseology.</w:t>
      </w:r>
    </w:p>
    <w:p w:rsidR="00BF51E5" w:rsidRDefault="00F41000" w:rsidP="00585E7E">
      <w:pPr>
        <w:spacing w:line="480" w:lineRule="auto"/>
        <w:rPr>
          <w:rFonts w:ascii="Garamond" w:hAnsi="Garamond"/>
        </w:rPr>
      </w:pPr>
      <w:r>
        <w:rPr>
          <w:rFonts w:ascii="Garamond" w:hAnsi="Garamond"/>
        </w:rPr>
        <w:tab/>
      </w:r>
      <w:r w:rsidR="00585E7E">
        <w:rPr>
          <w:rFonts w:ascii="Garamond" w:hAnsi="Garamond"/>
        </w:rPr>
        <w:t>Many of the opinions which incorporate the idea of coequality are still rooted in a separation of functions ideal.  Others are much more closely associated with a more dynamic power relationship, not defined in the Constitution itself.  Coequality is an odd word to use in such a case, because it suggests a static relationship, not an alterable one influenced as much by public opinion and differences in leadership and circumstances through time.  Indeed, of more concern than the use of this term to warp power in a direction not intended, is the possibility that it reinforces a Newtonian conception of institutions:  nothing was intended to happen unless all could agree.  Any action could produce an equal and opposite reaction that could end any attempt to move the polity from the status quo.  This is not a healthy presumption and it is one that the individuals who wrote the Constitution to create a better functioning government would find curious indeed.</w:t>
      </w:r>
    </w:p>
    <w:p w:rsidR="00585E7E" w:rsidRDefault="00585E7E" w:rsidP="00930D6A">
      <w:pPr>
        <w:rPr>
          <w:rFonts w:ascii="Garamond" w:hAnsi="Garamond"/>
        </w:rPr>
      </w:pPr>
    </w:p>
    <w:p w:rsidR="00585E7E" w:rsidRDefault="00585E7E" w:rsidP="00930D6A">
      <w:pPr>
        <w:rPr>
          <w:rFonts w:ascii="Garamond" w:hAnsi="Garamond"/>
        </w:rPr>
      </w:pPr>
    </w:p>
    <w:p w:rsidR="00BF51E5" w:rsidRPr="00BF51E5" w:rsidRDefault="00BF51E5" w:rsidP="00930D6A">
      <w:pPr>
        <w:rPr>
          <w:rFonts w:ascii="Garamond" w:hAnsi="Garamond"/>
        </w:rPr>
      </w:pPr>
    </w:p>
    <w:p w:rsidR="00BF51E5" w:rsidRPr="00BF51E5" w:rsidRDefault="00BF51E5" w:rsidP="00930D6A">
      <w:pPr>
        <w:rPr>
          <w:rFonts w:ascii="Garamond" w:hAnsi="Garamond"/>
        </w:rPr>
      </w:pPr>
    </w:p>
    <w:p w:rsidR="00BF51E5" w:rsidRPr="00BF51E5" w:rsidRDefault="00BF51E5" w:rsidP="00930D6A">
      <w:pPr>
        <w:rPr>
          <w:rFonts w:ascii="Garamond" w:hAnsi="Garamond"/>
        </w:rPr>
      </w:pPr>
    </w:p>
    <w:p w:rsidR="00930D6A" w:rsidRPr="00BF51E5" w:rsidRDefault="00BF51E5" w:rsidP="00930D6A">
      <w:pPr>
        <w:rPr>
          <w:rFonts w:ascii="Garamond" w:hAnsi="Garamond"/>
          <w:b/>
        </w:rPr>
      </w:pPr>
      <w:r>
        <w:rPr>
          <w:rFonts w:ascii="Garamond" w:hAnsi="Garamond"/>
          <w:b/>
        </w:rPr>
        <w:t>Appendix 1:  Cases where Branches of the Federal Government are Referred to as Coequal</w:t>
      </w:r>
    </w:p>
    <w:p w:rsidR="00930D6A" w:rsidRDefault="00930D6A" w:rsidP="00930D6A">
      <w:pPr>
        <w:rPr>
          <w:rFonts w:ascii="Garamond" w:hAnsi="Garamond"/>
        </w:rPr>
      </w:pPr>
    </w:p>
    <w:tbl>
      <w:tblPr>
        <w:tblStyle w:val="TableGrid"/>
        <w:tblW w:w="9828" w:type="dxa"/>
        <w:tblLayout w:type="fixed"/>
        <w:tblLook w:val="00BF"/>
      </w:tblPr>
      <w:tblGrid>
        <w:gridCol w:w="2718"/>
        <w:gridCol w:w="1350"/>
        <w:gridCol w:w="900"/>
        <w:gridCol w:w="1080"/>
        <w:gridCol w:w="3780"/>
      </w:tblGrid>
      <w:tr w:rsidR="00930D6A">
        <w:tc>
          <w:tcPr>
            <w:tcW w:w="2718" w:type="dxa"/>
          </w:tcPr>
          <w:p w:rsidR="00930D6A" w:rsidRDefault="005E5D01" w:rsidP="005E5D01">
            <w:pPr>
              <w:ind w:right="-461"/>
              <w:rPr>
                <w:rFonts w:ascii="Garamond" w:hAnsi="Garamond"/>
              </w:rPr>
            </w:pPr>
            <w:r>
              <w:rPr>
                <w:rFonts w:ascii="Garamond" w:hAnsi="Garamond"/>
              </w:rPr>
              <w:t>Case</w:t>
            </w:r>
          </w:p>
        </w:tc>
        <w:tc>
          <w:tcPr>
            <w:tcW w:w="1350" w:type="dxa"/>
          </w:tcPr>
          <w:p w:rsidR="00930D6A" w:rsidRDefault="005E5D01" w:rsidP="005E5D01">
            <w:pPr>
              <w:jc w:val="center"/>
              <w:rPr>
                <w:rFonts w:ascii="Garamond" w:hAnsi="Garamond"/>
              </w:rPr>
            </w:pPr>
            <w:r>
              <w:rPr>
                <w:rFonts w:ascii="Garamond" w:hAnsi="Garamond"/>
              </w:rPr>
              <w:t>Justice</w:t>
            </w:r>
          </w:p>
        </w:tc>
        <w:tc>
          <w:tcPr>
            <w:tcW w:w="900" w:type="dxa"/>
          </w:tcPr>
          <w:p w:rsidR="00A72E2B" w:rsidRDefault="005E5D01" w:rsidP="005E5D01">
            <w:pPr>
              <w:jc w:val="center"/>
              <w:rPr>
                <w:rFonts w:ascii="Garamond" w:hAnsi="Garamond"/>
              </w:rPr>
            </w:pPr>
            <w:r>
              <w:rPr>
                <w:rFonts w:ascii="Garamond" w:hAnsi="Garamond"/>
              </w:rPr>
              <w:t>Law</w:t>
            </w:r>
            <w:r w:rsidR="00A72E2B">
              <w:rPr>
                <w:rFonts w:ascii="Garamond" w:hAnsi="Garamond"/>
              </w:rPr>
              <w:t>/</w:t>
            </w:r>
          </w:p>
          <w:p w:rsidR="00930D6A" w:rsidRDefault="00A72E2B" w:rsidP="005E5D01">
            <w:pPr>
              <w:jc w:val="center"/>
              <w:rPr>
                <w:rFonts w:ascii="Garamond" w:hAnsi="Garamond"/>
              </w:rPr>
            </w:pPr>
            <w:r>
              <w:rPr>
                <w:rFonts w:ascii="Garamond" w:hAnsi="Garamond"/>
              </w:rPr>
              <w:t>Action</w:t>
            </w:r>
          </w:p>
        </w:tc>
        <w:tc>
          <w:tcPr>
            <w:tcW w:w="1080" w:type="dxa"/>
          </w:tcPr>
          <w:p w:rsidR="00930D6A" w:rsidRDefault="005E5D01" w:rsidP="005E5D01">
            <w:pPr>
              <w:jc w:val="center"/>
              <w:rPr>
                <w:rFonts w:ascii="Garamond" w:hAnsi="Garamond"/>
              </w:rPr>
            </w:pPr>
            <w:r>
              <w:rPr>
                <w:rFonts w:ascii="Garamond" w:hAnsi="Garamond"/>
              </w:rPr>
              <w:t xml:space="preserve">Opinion </w:t>
            </w:r>
            <w:r w:rsidR="00A72E2B">
              <w:rPr>
                <w:rFonts w:ascii="Garamond" w:hAnsi="Garamond"/>
              </w:rPr>
              <w:t xml:space="preserve"> Type</w:t>
            </w:r>
          </w:p>
        </w:tc>
        <w:tc>
          <w:tcPr>
            <w:tcW w:w="3780" w:type="dxa"/>
          </w:tcPr>
          <w:p w:rsidR="005E5D01" w:rsidRDefault="00A72E2B" w:rsidP="005E5D01">
            <w:pPr>
              <w:jc w:val="center"/>
              <w:rPr>
                <w:rFonts w:ascii="Garamond" w:hAnsi="Garamond"/>
              </w:rPr>
            </w:pPr>
            <w:r>
              <w:rPr>
                <w:rFonts w:ascii="Garamond" w:hAnsi="Garamond"/>
              </w:rPr>
              <w:t>Outcome</w:t>
            </w:r>
          </w:p>
          <w:p w:rsidR="00930D6A" w:rsidRDefault="00930D6A" w:rsidP="005E5D01">
            <w:pPr>
              <w:jc w:val="center"/>
              <w:rPr>
                <w:rFonts w:ascii="Garamond" w:hAnsi="Garamond"/>
              </w:rPr>
            </w:pPr>
          </w:p>
        </w:tc>
      </w:tr>
      <w:tr w:rsidR="00930D6A">
        <w:tc>
          <w:tcPr>
            <w:tcW w:w="2718" w:type="dxa"/>
          </w:tcPr>
          <w:p w:rsidR="00930D6A" w:rsidRDefault="005E5D01" w:rsidP="005E5D01">
            <w:pPr>
              <w:ind w:right="-461"/>
              <w:rPr>
                <w:rFonts w:ascii="Garamond" w:hAnsi="Garamond"/>
              </w:rPr>
            </w:pPr>
            <w:r>
              <w:rPr>
                <w:rFonts w:ascii="Garamond" w:hAnsi="Garamond"/>
              </w:rPr>
              <w:t>Field v. Clark (1892)</w:t>
            </w:r>
          </w:p>
        </w:tc>
        <w:tc>
          <w:tcPr>
            <w:tcW w:w="1350" w:type="dxa"/>
          </w:tcPr>
          <w:p w:rsidR="00930D6A" w:rsidRDefault="005E5D01" w:rsidP="005E5D01">
            <w:pPr>
              <w:jc w:val="center"/>
              <w:rPr>
                <w:rFonts w:ascii="Garamond" w:hAnsi="Garamond"/>
              </w:rPr>
            </w:pPr>
            <w:r>
              <w:rPr>
                <w:rFonts w:ascii="Garamond" w:hAnsi="Garamond"/>
              </w:rPr>
              <w:t>Harlan</w:t>
            </w:r>
          </w:p>
        </w:tc>
        <w:tc>
          <w:tcPr>
            <w:tcW w:w="900" w:type="dxa"/>
          </w:tcPr>
          <w:p w:rsidR="00930D6A" w:rsidRDefault="005E5D01" w:rsidP="005E5D01">
            <w:pPr>
              <w:jc w:val="center"/>
              <w:rPr>
                <w:rFonts w:ascii="Garamond" w:hAnsi="Garamond"/>
              </w:rPr>
            </w:pPr>
            <w:r>
              <w:rPr>
                <w:rFonts w:ascii="Garamond" w:hAnsi="Garamond"/>
              </w:rPr>
              <w:t>F</w:t>
            </w:r>
          </w:p>
        </w:tc>
        <w:tc>
          <w:tcPr>
            <w:tcW w:w="1080" w:type="dxa"/>
          </w:tcPr>
          <w:p w:rsidR="00930D6A" w:rsidRDefault="005E5D01" w:rsidP="005E5D01">
            <w:pPr>
              <w:jc w:val="center"/>
              <w:rPr>
                <w:rFonts w:ascii="Garamond" w:hAnsi="Garamond"/>
              </w:rPr>
            </w:pPr>
            <w:r>
              <w:rPr>
                <w:rFonts w:ascii="Garamond" w:hAnsi="Garamond"/>
              </w:rPr>
              <w:t>M</w:t>
            </w:r>
          </w:p>
        </w:tc>
        <w:tc>
          <w:tcPr>
            <w:tcW w:w="3780" w:type="dxa"/>
          </w:tcPr>
          <w:p w:rsidR="00930D6A" w:rsidRDefault="00AF58F9" w:rsidP="006D1CF1">
            <w:pPr>
              <w:rPr>
                <w:rFonts w:ascii="Garamond" w:hAnsi="Garamond"/>
              </w:rPr>
            </w:pPr>
            <w:r>
              <w:rPr>
                <w:rFonts w:ascii="Garamond" w:hAnsi="Garamond"/>
              </w:rPr>
              <w:t>d</w:t>
            </w:r>
            <w:r w:rsidR="006D1CF1">
              <w:rPr>
                <w:rFonts w:ascii="Garamond" w:hAnsi="Garamond"/>
              </w:rPr>
              <w:t>eference to lawmaking branches; assume enrolled act is valid</w:t>
            </w:r>
          </w:p>
        </w:tc>
      </w:tr>
      <w:tr w:rsidR="00930D6A">
        <w:tc>
          <w:tcPr>
            <w:tcW w:w="2718" w:type="dxa"/>
          </w:tcPr>
          <w:p w:rsidR="00AF58F9" w:rsidRDefault="005E5D01" w:rsidP="005E5D01">
            <w:pPr>
              <w:ind w:right="-461"/>
              <w:rPr>
                <w:rFonts w:ascii="Garamond" w:hAnsi="Garamond"/>
              </w:rPr>
            </w:pPr>
            <w:r>
              <w:rPr>
                <w:rFonts w:ascii="Garamond" w:hAnsi="Garamond"/>
              </w:rPr>
              <w:t xml:space="preserve">Harwood </w:t>
            </w:r>
            <w:r w:rsidR="006D1CF1">
              <w:rPr>
                <w:rFonts w:ascii="Garamond" w:hAnsi="Garamond"/>
              </w:rPr>
              <w:t xml:space="preserve">v. Wentworth </w:t>
            </w:r>
          </w:p>
          <w:p w:rsidR="00930D6A" w:rsidRDefault="006D1CF1" w:rsidP="005E5D01">
            <w:pPr>
              <w:ind w:right="-461"/>
              <w:rPr>
                <w:rFonts w:ascii="Garamond" w:hAnsi="Garamond"/>
              </w:rPr>
            </w:pPr>
            <w:r>
              <w:rPr>
                <w:rFonts w:ascii="Garamond" w:hAnsi="Garamond"/>
              </w:rPr>
              <w:t>(1896)</w:t>
            </w:r>
          </w:p>
        </w:tc>
        <w:tc>
          <w:tcPr>
            <w:tcW w:w="1350" w:type="dxa"/>
          </w:tcPr>
          <w:p w:rsidR="00930D6A" w:rsidRDefault="005E5D01" w:rsidP="005E5D01">
            <w:pPr>
              <w:jc w:val="center"/>
              <w:rPr>
                <w:rFonts w:ascii="Garamond" w:hAnsi="Garamond"/>
              </w:rPr>
            </w:pPr>
            <w:r>
              <w:rPr>
                <w:rFonts w:ascii="Garamond" w:hAnsi="Garamond"/>
              </w:rPr>
              <w:t>Harlan</w:t>
            </w:r>
          </w:p>
        </w:tc>
        <w:tc>
          <w:tcPr>
            <w:tcW w:w="900" w:type="dxa"/>
          </w:tcPr>
          <w:p w:rsidR="00930D6A" w:rsidRDefault="005E5D01" w:rsidP="005E5D01">
            <w:pPr>
              <w:jc w:val="center"/>
              <w:rPr>
                <w:rFonts w:ascii="Garamond" w:hAnsi="Garamond"/>
              </w:rPr>
            </w:pPr>
            <w:r>
              <w:rPr>
                <w:rFonts w:ascii="Garamond" w:hAnsi="Garamond"/>
              </w:rPr>
              <w:t>F</w:t>
            </w:r>
          </w:p>
        </w:tc>
        <w:tc>
          <w:tcPr>
            <w:tcW w:w="1080" w:type="dxa"/>
          </w:tcPr>
          <w:p w:rsidR="00930D6A" w:rsidRDefault="005E5D01" w:rsidP="005E5D01">
            <w:pPr>
              <w:jc w:val="center"/>
              <w:rPr>
                <w:rFonts w:ascii="Garamond" w:hAnsi="Garamond"/>
              </w:rPr>
            </w:pPr>
            <w:r>
              <w:rPr>
                <w:rFonts w:ascii="Garamond" w:hAnsi="Garamond"/>
              </w:rPr>
              <w:t>M</w:t>
            </w:r>
          </w:p>
        </w:tc>
        <w:tc>
          <w:tcPr>
            <w:tcW w:w="3780" w:type="dxa"/>
          </w:tcPr>
          <w:p w:rsidR="00930D6A" w:rsidRDefault="00AF58F9" w:rsidP="006D1CF1">
            <w:pPr>
              <w:rPr>
                <w:rFonts w:ascii="Garamond" w:hAnsi="Garamond"/>
              </w:rPr>
            </w:pPr>
            <w:r>
              <w:rPr>
                <w:rFonts w:ascii="Garamond" w:hAnsi="Garamond"/>
              </w:rPr>
              <w:t>d</w:t>
            </w:r>
            <w:r w:rsidR="006D1CF1">
              <w:rPr>
                <w:rFonts w:ascii="Garamond" w:hAnsi="Garamond"/>
              </w:rPr>
              <w:t>eference to lawmaking branches; law valid despite late implementation</w:t>
            </w:r>
            <w:r w:rsidR="0002491C">
              <w:rPr>
                <w:rFonts w:ascii="Garamond" w:hAnsi="Garamond"/>
              </w:rPr>
              <w:t>; quotes Field</w:t>
            </w:r>
          </w:p>
        </w:tc>
      </w:tr>
      <w:tr w:rsidR="00930D6A">
        <w:tc>
          <w:tcPr>
            <w:tcW w:w="2718" w:type="dxa"/>
          </w:tcPr>
          <w:p w:rsidR="00930D6A" w:rsidRDefault="005E5D01" w:rsidP="005E5D01">
            <w:pPr>
              <w:ind w:right="-461"/>
              <w:rPr>
                <w:rFonts w:ascii="Garamond" w:hAnsi="Garamond"/>
              </w:rPr>
            </w:pPr>
            <w:r>
              <w:rPr>
                <w:rFonts w:ascii="Garamond" w:hAnsi="Garamond"/>
              </w:rPr>
              <w:t>Twin City Bank</w:t>
            </w:r>
            <w:r w:rsidR="00AF58F9">
              <w:rPr>
                <w:rFonts w:ascii="Garamond" w:hAnsi="Garamond"/>
              </w:rPr>
              <w:t xml:space="preserve"> v. Nebeker (1897)</w:t>
            </w:r>
          </w:p>
        </w:tc>
        <w:tc>
          <w:tcPr>
            <w:tcW w:w="1350" w:type="dxa"/>
          </w:tcPr>
          <w:p w:rsidR="00930D6A" w:rsidRDefault="005E5D01" w:rsidP="005E5D01">
            <w:pPr>
              <w:jc w:val="center"/>
              <w:rPr>
                <w:rFonts w:ascii="Garamond" w:hAnsi="Garamond"/>
              </w:rPr>
            </w:pPr>
            <w:r>
              <w:rPr>
                <w:rFonts w:ascii="Garamond" w:hAnsi="Garamond"/>
              </w:rPr>
              <w:t>Harlan</w:t>
            </w:r>
          </w:p>
        </w:tc>
        <w:tc>
          <w:tcPr>
            <w:tcW w:w="900" w:type="dxa"/>
          </w:tcPr>
          <w:p w:rsidR="00930D6A" w:rsidRDefault="005E5D01" w:rsidP="005E5D01">
            <w:pPr>
              <w:jc w:val="center"/>
              <w:rPr>
                <w:rFonts w:ascii="Garamond" w:hAnsi="Garamond"/>
              </w:rPr>
            </w:pPr>
            <w:r>
              <w:rPr>
                <w:rFonts w:ascii="Garamond" w:hAnsi="Garamond"/>
              </w:rPr>
              <w:t>F</w:t>
            </w:r>
          </w:p>
        </w:tc>
        <w:tc>
          <w:tcPr>
            <w:tcW w:w="1080" w:type="dxa"/>
          </w:tcPr>
          <w:p w:rsidR="00930D6A" w:rsidRDefault="005E5D01" w:rsidP="005E5D01">
            <w:pPr>
              <w:jc w:val="center"/>
              <w:rPr>
                <w:rFonts w:ascii="Garamond" w:hAnsi="Garamond"/>
              </w:rPr>
            </w:pPr>
            <w:r>
              <w:rPr>
                <w:rFonts w:ascii="Garamond" w:hAnsi="Garamond"/>
              </w:rPr>
              <w:t>M</w:t>
            </w:r>
          </w:p>
        </w:tc>
        <w:tc>
          <w:tcPr>
            <w:tcW w:w="3780" w:type="dxa"/>
          </w:tcPr>
          <w:p w:rsidR="00930D6A" w:rsidRDefault="00AF58F9" w:rsidP="006D1CF1">
            <w:pPr>
              <w:rPr>
                <w:rFonts w:ascii="Garamond" w:hAnsi="Garamond"/>
              </w:rPr>
            </w:pPr>
            <w:r>
              <w:rPr>
                <w:rFonts w:ascii="Garamond" w:hAnsi="Garamond"/>
              </w:rPr>
              <w:t>deference to lawmaking branches; assume enrolled act is valid</w:t>
            </w:r>
            <w:r w:rsidR="0002491C">
              <w:rPr>
                <w:rFonts w:ascii="Garamond" w:hAnsi="Garamond"/>
              </w:rPr>
              <w:t>; quotes Field</w:t>
            </w:r>
          </w:p>
        </w:tc>
      </w:tr>
      <w:tr w:rsidR="00930D6A">
        <w:tc>
          <w:tcPr>
            <w:tcW w:w="2718" w:type="dxa"/>
          </w:tcPr>
          <w:p w:rsidR="00AF58F9" w:rsidRDefault="005E5D01" w:rsidP="005E5D01">
            <w:pPr>
              <w:ind w:right="-461"/>
              <w:rPr>
                <w:rFonts w:ascii="Garamond" w:hAnsi="Garamond"/>
              </w:rPr>
            </w:pPr>
            <w:r>
              <w:rPr>
                <w:rFonts w:ascii="Garamond" w:hAnsi="Garamond"/>
              </w:rPr>
              <w:t>Wilkes County</w:t>
            </w:r>
            <w:r w:rsidR="00AF58F9">
              <w:rPr>
                <w:rFonts w:ascii="Garamond" w:hAnsi="Garamond"/>
              </w:rPr>
              <w:t xml:space="preserve"> v. Coler </w:t>
            </w:r>
          </w:p>
          <w:p w:rsidR="00930D6A" w:rsidRDefault="00AF58F9" w:rsidP="005E5D01">
            <w:pPr>
              <w:ind w:right="-461"/>
              <w:rPr>
                <w:rFonts w:ascii="Garamond" w:hAnsi="Garamond"/>
              </w:rPr>
            </w:pPr>
            <w:r>
              <w:rPr>
                <w:rFonts w:ascii="Garamond" w:hAnsi="Garamond"/>
              </w:rPr>
              <w:t>(1901)</w:t>
            </w:r>
          </w:p>
        </w:tc>
        <w:tc>
          <w:tcPr>
            <w:tcW w:w="1350" w:type="dxa"/>
          </w:tcPr>
          <w:p w:rsidR="00930D6A" w:rsidRDefault="00AF58F9" w:rsidP="005E5D01">
            <w:pPr>
              <w:jc w:val="center"/>
              <w:rPr>
                <w:rFonts w:ascii="Garamond" w:hAnsi="Garamond"/>
              </w:rPr>
            </w:pPr>
            <w:r>
              <w:rPr>
                <w:rFonts w:ascii="Garamond" w:hAnsi="Garamond"/>
              </w:rPr>
              <w:t>Harlan</w:t>
            </w:r>
          </w:p>
        </w:tc>
        <w:tc>
          <w:tcPr>
            <w:tcW w:w="900" w:type="dxa"/>
          </w:tcPr>
          <w:p w:rsidR="00930D6A" w:rsidRDefault="005E5D01" w:rsidP="005E5D01">
            <w:pPr>
              <w:jc w:val="center"/>
              <w:rPr>
                <w:rFonts w:ascii="Garamond" w:hAnsi="Garamond"/>
              </w:rPr>
            </w:pPr>
            <w:r>
              <w:rPr>
                <w:rFonts w:ascii="Garamond" w:hAnsi="Garamond"/>
              </w:rPr>
              <w:t>S</w:t>
            </w:r>
          </w:p>
        </w:tc>
        <w:tc>
          <w:tcPr>
            <w:tcW w:w="1080" w:type="dxa"/>
          </w:tcPr>
          <w:p w:rsidR="00930D6A" w:rsidRDefault="005E5D01" w:rsidP="005E5D01">
            <w:pPr>
              <w:jc w:val="center"/>
              <w:rPr>
                <w:rFonts w:ascii="Garamond" w:hAnsi="Garamond"/>
              </w:rPr>
            </w:pPr>
            <w:r>
              <w:rPr>
                <w:rFonts w:ascii="Garamond" w:hAnsi="Garamond"/>
              </w:rPr>
              <w:t>M</w:t>
            </w:r>
          </w:p>
        </w:tc>
        <w:tc>
          <w:tcPr>
            <w:tcW w:w="3780" w:type="dxa"/>
          </w:tcPr>
          <w:p w:rsidR="00930D6A" w:rsidRDefault="00AF58F9" w:rsidP="006D1CF1">
            <w:pPr>
              <w:rPr>
                <w:rFonts w:ascii="Garamond" w:hAnsi="Garamond"/>
              </w:rPr>
            </w:pPr>
            <w:r>
              <w:rPr>
                <w:rFonts w:ascii="Garamond" w:hAnsi="Garamond"/>
              </w:rPr>
              <w:t>Field rule does not apply to states; up to state court to determine</w:t>
            </w:r>
          </w:p>
        </w:tc>
      </w:tr>
      <w:tr w:rsidR="00930D6A">
        <w:tc>
          <w:tcPr>
            <w:tcW w:w="2718" w:type="dxa"/>
          </w:tcPr>
          <w:p w:rsidR="00AF58F9" w:rsidRDefault="005E5D01" w:rsidP="005E5D01">
            <w:pPr>
              <w:ind w:right="-461"/>
              <w:rPr>
                <w:rFonts w:ascii="Garamond" w:hAnsi="Garamond"/>
              </w:rPr>
            </w:pPr>
            <w:r>
              <w:rPr>
                <w:rFonts w:ascii="Garamond" w:hAnsi="Garamond"/>
              </w:rPr>
              <w:t>Frothingham</w:t>
            </w:r>
            <w:r w:rsidR="00AF58F9">
              <w:rPr>
                <w:rFonts w:ascii="Garamond" w:hAnsi="Garamond"/>
              </w:rPr>
              <w:t xml:space="preserve"> v. Mellon </w:t>
            </w:r>
          </w:p>
          <w:p w:rsidR="00930D6A" w:rsidRDefault="00AF58F9" w:rsidP="005E5D01">
            <w:pPr>
              <w:ind w:right="-461"/>
              <w:rPr>
                <w:rFonts w:ascii="Garamond" w:hAnsi="Garamond"/>
              </w:rPr>
            </w:pPr>
            <w:r>
              <w:rPr>
                <w:rFonts w:ascii="Garamond" w:hAnsi="Garamond"/>
              </w:rPr>
              <w:t>(1923)</w:t>
            </w:r>
          </w:p>
        </w:tc>
        <w:tc>
          <w:tcPr>
            <w:tcW w:w="1350" w:type="dxa"/>
          </w:tcPr>
          <w:p w:rsidR="00930D6A" w:rsidRDefault="00AF58F9" w:rsidP="005E5D01">
            <w:pPr>
              <w:jc w:val="center"/>
              <w:rPr>
                <w:rFonts w:ascii="Garamond" w:hAnsi="Garamond"/>
              </w:rPr>
            </w:pPr>
            <w:r>
              <w:rPr>
                <w:rFonts w:ascii="Garamond" w:hAnsi="Garamond"/>
              </w:rPr>
              <w:t>Sutherland</w:t>
            </w:r>
          </w:p>
        </w:tc>
        <w:tc>
          <w:tcPr>
            <w:tcW w:w="900" w:type="dxa"/>
          </w:tcPr>
          <w:p w:rsidR="00930D6A" w:rsidRDefault="00A72E2B" w:rsidP="005E5D01">
            <w:pPr>
              <w:jc w:val="center"/>
              <w:rPr>
                <w:rFonts w:ascii="Garamond" w:hAnsi="Garamond"/>
              </w:rPr>
            </w:pPr>
            <w:r>
              <w:rPr>
                <w:rFonts w:ascii="Garamond" w:hAnsi="Garamond"/>
              </w:rPr>
              <w:t>F</w:t>
            </w:r>
          </w:p>
        </w:tc>
        <w:tc>
          <w:tcPr>
            <w:tcW w:w="1080" w:type="dxa"/>
          </w:tcPr>
          <w:p w:rsidR="00930D6A" w:rsidRDefault="00AF58F9" w:rsidP="005E5D01">
            <w:pPr>
              <w:jc w:val="center"/>
              <w:rPr>
                <w:rFonts w:ascii="Garamond" w:hAnsi="Garamond"/>
              </w:rPr>
            </w:pPr>
            <w:r>
              <w:rPr>
                <w:rFonts w:ascii="Garamond" w:hAnsi="Garamond"/>
              </w:rPr>
              <w:t>M</w:t>
            </w:r>
          </w:p>
        </w:tc>
        <w:tc>
          <w:tcPr>
            <w:tcW w:w="3780" w:type="dxa"/>
          </w:tcPr>
          <w:p w:rsidR="00930D6A" w:rsidRDefault="00AF58F9" w:rsidP="006D1CF1">
            <w:pPr>
              <w:rPr>
                <w:rFonts w:ascii="Garamond" w:hAnsi="Garamond"/>
              </w:rPr>
            </w:pPr>
            <w:r>
              <w:rPr>
                <w:rFonts w:ascii="Garamond" w:hAnsi="Garamond"/>
              </w:rPr>
              <w:t>deference to lawmaking branches in cases where there is lack of injury</w:t>
            </w:r>
          </w:p>
        </w:tc>
      </w:tr>
      <w:tr w:rsidR="00930D6A">
        <w:tc>
          <w:tcPr>
            <w:tcW w:w="2718" w:type="dxa"/>
          </w:tcPr>
          <w:p w:rsidR="00930D6A" w:rsidRDefault="005E5D01" w:rsidP="005E5D01">
            <w:pPr>
              <w:ind w:right="-461"/>
              <w:rPr>
                <w:rFonts w:ascii="Garamond" w:hAnsi="Garamond"/>
              </w:rPr>
            </w:pPr>
            <w:r>
              <w:rPr>
                <w:rFonts w:ascii="Garamond" w:hAnsi="Garamond"/>
              </w:rPr>
              <w:t>West Coast Hotel</w:t>
            </w:r>
            <w:r w:rsidR="00AF58F9">
              <w:rPr>
                <w:rFonts w:ascii="Garamond" w:hAnsi="Garamond"/>
              </w:rPr>
              <w:t xml:space="preserve"> Co. v. Parrish et al (1937)</w:t>
            </w:r>
          </w:p>
        </w:tc>
        <w:tc>
          <w:tcPr>
            <w:tcW w:w="1350" w:type="dxa"/>
          </w:tcPr>
          <w:p w:rsidR="00930D6A" w:rsidRDefault="00AF58F9" w:rsidP="005E5D01">
            <w:pPr>
              <w:jc w:val="center"/>
              <w:rPr>
                <w:rFonts w:ascii="Garamond" w:hAnsi="Garamond"/>
              </w:rPr>
            </w:pPr>
            <w:r>
              <w:rPr>
                <w:rFonts w:ascii="Garamond" w:hAnsi="Garamond"/>
              </w:rPr>
              <w:t>Sutherland</w:t>
            </w:r>
          </w:p>
        </w:tc>
        <w:tc>
          <w:tcPr>
            <w:tcW w:w="900" w:type="dxa"/>
          </w:tcPr>
          <w:p w:rsidR="00930D6A" w:rsidRDefault="00AF58F9" w:rsidP="005E5D01">
            <w:pPr>
              <w:jc w:val="center"/>
              <w:rPr>
                <w:rFonts w:ascii="Garamond" w:hAnsi="Garamond"/>
              </w:rPr>
            </w:pPr>
            <w:r>
              <w:rPr>
                <w:rFonts w:ascii="Garamond" w:hAnsi="Garamond"/>
              </w:rPr>
              <w:t>S</w:t>
            </w:r>
          </w:p>
        </w:tc>
        <w:tc>
          <w:tcPr>
            <w:tcW w:w="1080" w:type="dxa"/>
          </w:tcPr>
          <w:p w:rsidR="00930D6A" w:rsidRDefault="00A72E2B" w:rsidP="005E5D01">
            <w:pPr>
              <w:jc w:val="center"/>
              <w:rPr>
                <w:rFonts w:ascii="Garamond" w:hAnsi="Garamond"/>
              </w:rPr>
            </w:pPr>
            <w:r>
              <w:rPr>
                <w:rFonts w:ascii="Garamond" w:hAnsi="Garamond"/>
              </w:rPr>
              <w:t>D</w:t>
            </w:r>
          </w:p>
        </w:tc>
        <w:tc>
          <w:tcPr>
            <w:tcW w:w="3780" w:type="dxa"/>
          </w:tcPr>
          <w:p w:rsidR="00930D6A" w:rsidRDefault="00A72E2B" w:rsidP="00A72E2B">
            <w:pPr>
              <w:rPr>
                <w:rFonts w:ascii="Garamond" w:hAnsi="Garamond"/>
              </w:rPr>
            </w:pPr>
            <w:r>
              <w:rPr>
                <w:rFonts w:ascii="Garamond" w:hAnsi="Garamond"/>
              </w:rPr>
              <w:t>court should strike down minimum wage law</w:t>
            </w:r>
          </w:p>
        </w:tc>
      </w:tr>
      <w:tr w:rsidR="00930D6A">
        <w:tc>
          <w:tcPr>
            <w:tcW w:w="2718" w:type="dxa"/>
          </w:tcPr>
          <w:p w:rsidR="00930D6A" w:rsidRDefault="00A72E2B" w:rsidP="005E5D01">
            <w:pPr>
              <w:ind w:right="-461"/>
              <w:rPr>
                <w:rFonts w:ascii="Garamond" w:hAnsi="Garamond"/>
              </w:rPr>
            </w:pPr>
            <w:r>
              <w:rPr>
                <w:rFonts w:ascii="Garamond" w:hAnsi="Garamond"/>
              </w:rPr>
              <w:t>Baker v. Carr (1962)</w:t>
            </w:r>
          </w:p>
        </w:tc>
        <w:tc>
          <w:tcPr>
            <w:tcW w:w="1350" w:type="dxa"/>
          </w:tcPr>
          <w:p w:rsidR="00930D6A" w:rsidRDefault="00A72E2B" w:rsidP="005E5D01">
            <w:pPr>
              <w:jc w:val="center"/>
              <w:rPr>
                <w:rFonts w:ascii="Garamond" w:hAnsi="Garamond"/>
              </w:rPr>
            </w:pPr>
            <w:r>
              <w:rPr>
                <w:rFonts w:ascii="Garamond" w:hAnsi="Garamond"/>
              </w:rPr>
              <w:t>Brennan</w:t>
            </w:r>
          </w:p>
        </w:tc>
        <w:tc>
          <w:tcPr>
            <w:tcW w:w="900" w:type="dxa"/>
          </w:tcPr>
          <w:p w:rsidR="00930D6A" w:rsidRDefault="00A72E2B" w:rsidP="005E5D01">
            <w:pPr>
              <w:jc w:val="center"/>
              <w:rPr>
                <w:rFonts w:ascii="Garamond" w:hAnsi="Garamond"/>
              </w:rPr>
            </w:pPr>
            <w:r>
              <w:rPr>
                <w:rFonts w:ascii="Garamond" w:hAnsi="Garamond"/>
              </w:rPr>
              <w:t>S</w:t>
            </w:r>
          </w:p>
        </w:tc>
        <w:tc>
          <w:tcPr>
            <w:tcW w:w="1080" w:type="dxa"/>
          </w:tcPr>
          <w:p w:rsidR="00930D6A" w:rsidRDefault="00A72E2B" w:rsidP="005E5D01">
            <w:pPr>
              <w:jc w:val="center"/>
              <w:rPr>
                <w:rFonts w:ascii="Garamond" w:hAnsi="Garamond"/>
              </w:rPr>
            </w:pPr>
            <w:r>
              <w:rPr>
                <w:rFonts w:ascii="Garamond" w:hAnsi="Garamond"/>
              </w:rPr>
              <w:t>M</w:t>
            </w:r>
          </w:p>
        </w:tc>
        <w:tc>
          <w:tcPr>
            <w:tcW w:w="3780" w:type="dxa"/>
          </w:tcPr>
          <w:p w:rsidR="00930D6A" w:rsidRDefault="00A72E2B" w:rsidP="00A72E2B">
            <w:pPr>
              <w:rPr>
                <w:rFonts w:ascii="Garamond" w:hAnsi="Garamond"/>
              </w:rPr>
            </w:pPr>
            <w:r>
              <w:rPr>
                <w:rFonts w:ascii="Garamond" w:hAnsi="Garamond"/>
              </w:rPr>
              <w:t>Field deference has limits; Court can decide if electoral districts are valid</w:t>
            </w:r>
          </w:p>
        </w:tc>
      </w:tr>
      <w:tr w:rsidR="00930D6A">
        <w:tc>
          <w:tcPr>
            <w:tcW w:w="2718" w:type="dxa"/>
          </w:tcPr>
          <w:p w:rsidR="00930D6A" w:rsidRDefault="00A72E2B" w:rsidP="005E5D01">
            <w:pPr>
              <w:ind w:right="-461"/>
              <w:rPr>
                <w:rFonts w:ascii="Garamond" w:hAnsi="Garamond"/>
              </w:rPr>
            </w:pPr>
            <w:r>
              <w:rPr>
                <w:rFonts w:ascii="Garamond" w:hAnsi="Garamond"/>
              </w:rPr>
              <w:t>Flast v. Cohen (1968)</w:t>
            </w:r>
          </w:p>
        </w:tc>
        <w:tc>
          <w:tcPr>
            <w:tcW w:w="1350" w:type="dxa"/>
          </w:tcPr>
          <w:p w:rsidR="00930D6A" w:rsidRDefault="00A72E2B" w:rsidP="005E5D01">
            <w:pPr>
              <w:jc w:val="center"/>
              <w:rPr>
                <w:rFonts w:ascii="Garamond" w:hAnsi="Garamond"/>
              </w:rPr>
            </w:pPr>
            <w:r>
              <w:rPr>
                <w:rFonts w:ascii="Garamond" w:hAnsi="Garamond"/>
              </w:rPr>
              <w:t>Warren</w:t>
            </w:r>
          </w:p>
        </w:tc>
        <w:tc>
          <w:tcPr>
            <w:tcW w:w="900" w:type="dxa"/>
          </w:tcPr>
          <w:p w:rsidR="00930D6A" w:rsidRDefault="00A72E2B" w:rsidP="005E5D01">
            <w:pPr>
              <w:jc w:val="center"/>
              <w:rPr>
                <w:rFonts w:ascii="Garamond" w:hAnsi="Garamond"/>
              </w:rPr>
            </w:pPr>
            <w:r>
              <w:rPr>
                <w:rFonts w:ascii="Garamond" w:hAnsi="Garamond"/>
              </w:rPr>
              <w:t>F</w:t>
            </w:r>
          </w:p>
        </w:tc>
        <w:tc>
          <w:tcPr>
            <w:tcW w:w="1080" w:type="dxa"/>
          </w:tcPr>
          <w:p w:rsidR="00930D6A" w:rsidRDefault="00A72E2B" w:rsidP="005E5D01">
            <w:pPr>
              <w:jc w:val="center"/>
              <w:rPr>
                <w:rFonts w:ascii="Garamond" w:hAnsi="Garamond"/>
              </w:rPr>
            </w:pPr>
            <w:r>
              <w:rPr>
                <w:rFonts w:ascii="Garamond" w:hAnsi="Garamond"/>
              </w:rPr>
              <w:t>M</w:t>
            </w:r>
          </w:p>
        </w:tc>
        <w:tc>
          <w:tcPr>
            <w:tcW w:w="3780" w:type="dxa"/>
          </w:tcPr>
          <w:p w:rsidR="00930D6A" w:rsidRDefault="00A72E2B" w:rsidP="006D1CF1">
            <w:pPr>
              <w:rPr>
                <w:rFonts w:ascii="Garamond" w:hAnsi="Garamond"/>
              </w:rPr>
            </w:pPr>
            <w:r>
              <w:rPr>
                <w:rFonts w:ascii="Garamond" w:hAnsi="Garamond"/>
              </w:rPr>
              <w:t>Frothingham standard dismissed in favor of one that gives taxpayer standing; non-deferential</w:t>
            </w:r>
          </w:p>
        </w:tc>
      </w:tr>
      <w:tr w:rsidR="00930D6A">
        <w:tc>
          <w:tcPr>
            <w:tcW w:w="2718" w:type="dxa"/>
          </w:tcPr>
          <w:p w:rsidR="00A72E2B" w:rsidRDefault="00A72E2B" w:rsidP="005E5D01">
            <w:pPr>
              <w:ind w:right="-461"/>
              <w:rPr>
                <w:rFonts w:ascii="Garamond" w:hAnsi="Garamond"/>
              </w:rPr>
            </w:pPr>
            <w:r>
              <w:rPr>
                <w:rFonts w:ascii="Garamond" w:hAnsi="Garamond"/>
              </w:rPr>
              <w:t xml:space="preserve">New York Times v. US </w:t>
            </w:r>
          </w:p>
          <w:p w:rsidR="00930D6A" w:rsidRDefault="00A72E2B" w:rsidP="005E5D01">
            <w:pPr>
              <w:ind w:right="-461"/>
              <w:rPr>
                <w:rFonts w:ascii="Garamond" w:hAnsi="Garamond"/>
              </w:rPr>
            </w:pPr>
            <w:r>
              <w:rPr>
                <w:rFonts w:ascii="Garamond" w:hAnsi="Garamond"/>
              </w:rPr>
              <w:t>(1971)</w:t>
            </w:r>
          </w:p>
        </w:tc>
        <w:tc>
          <w:tcPr>
            <w:tcW w:w="1350" w:type="dxa"/>
          </w:tcPr>
          <w:p w:rsidR="00A72E2B" w:rsidRDefault="00A72E2B" w:rsidP="005E5D01">
            <w:pPr>
              <w:jc w:val="center"/>
              <w:rPr>
                <w:rFonts w:ascii="Garamond" w:hAnsi="Garamond"/>
              </w:rPr>
            </w:pPr>
            <w:r>
              <w:rPr>
                <w:rFonts w:ascii="Garamond" w:hAnsi="Garamond"/>
              </w:rPr>
              <w:t>Marshall</w:t>
            </w:r>
          </w:p>
          <w:p w:rsidR="00A72E2B" w:rsidRDefault="00A72E2B" w:rsidP="005E5D01">
            <w:pPr>
              <w:jc w:val="center"/>
              <w:rPr>
                <w:rFonts w:ascii="Garamond" w:hAnsi="Garamond"/>
              </w:rPr>
            </w:pPr>
          </w:p>
          <w:p w:rsidR="00A72E2B" w:rsidRDefault="00A72E2B" w:rsidP="005E5D01">
            <w:pPr>
              <w:jc w:val="center"/>
              <w:rPr>
                <w:rFonts w:ascii="Garamond" w:hAnsi="Garamond"/>
              </w:rPr>
            </w:pPr>
          </w:p>
          <w:p w:rsidR="00930D6A" w:rsidRDefault="00A72E2B" w:rsidP="005E5D01">
            <w:pPr>
              <w:jc w:val="center"/>
              <w:rPr>
                <w:rFonts w:ascii="Garamond" w:hAnsi="Garamond"/>
              </w:rPr>
            </w:pPr>
            <w:r>
              <w:rPr>
                <w:rFonts w:ascii="Garamond" w:hAnsi="Garamond"/>
              </w:rPr>
              <w:t>Harlan</w:t>
            </w:r>
          </w:p>
        </w:tc>
        <w:tc>
          <w:tcPr>
            <w:tcW w:w="900" w:type="dxa"/>
          </w:tcPr>
          <w:p w:rsidR="00930D6A" w:rsidRDefault="00A72E2B" w:rsidP="005E5D01">
            <w:pPr>
              <w:jc w:val="center"/>
              <w:rPr>
                <w:rFonts w:ascii="Garamond" w:hAnsi="Garamond"/>
              </w:rPr>
            </w:pPr>
            <w:r>
              <w:rPr>
                <w:rFonts w:ascii="Garamond" w:hAnsi="Garamond"/>
              </w:rPr>
              <w:t>F</w:t>
            </w:r>
          </w:p>
        </w:tc>
        <w:tc>
          <w:tcPr>
            <w:tcW w:w="1080" w:type="dxa"/>
          </w:tcPr>
          <w:p w:rsidR="00A72E2B" w:rsidRDefault="00A72E2B" w:rsidP="005E5D01">
            <w:pPr>
              <w:jc w:val="center"/>
              <w:rPr>
                <w:rFonts w:ascii="Garamond" w:hAnsi="Garamond"/>
              </w:rPr>
            </w:pPr>
            <w:r>
              <w:rPr>
                <w:rFonts w:ascii="Garamond" w:hAnsi="Garamond"/>
              </w:rPr>
              <w:t>C</w:t>
            </w:r>
          </w:p>
          <w:p w:rsidR="00A72E2B" w:rsidRDefault="00A72E2B" w:rsidP="005E5D01">
            <w:pPr>
              <w:jc w:val="center"/>
              <w:rPr>
                <w:rFonts w:ascii="Garamond" w:hAnsi="Garamond"/>
              </w:rPr>
            </w:pPr>
          </w:p>
          <w:p w:rsidR="00A72E2B" w:rsidRDefault="00A72E2B" w:rsidP="005E5D01">
            <w:pPr>
              <w:jc w:val="center"/>
              <w:rPr>
                <w:rFonts w:ascii="Garamond" w:hAnsi="Garamond"/>
              </w:rPr>
            </w:pPr>
          </w:p>
          <w:p w:rsidR="00930D6A" w:rsidRDefault="00A72E2B" w:rsidP="005E5D01">
            <w:pPr>
              <w:jc w:val="center"/>
              <w:rPr>
                <w:rFonts w:ascii="Garamond" w:hAnsi="Garamond"/>
              </w:rPr>
            </w:pPr>
            <w:r>
              <w:rPr>
                <w:rFonts w:ascii="Garamond" w:hAnsi="Garamond"/>
              </w:rPr>
              <w:t>D</w:t>
            </w:r>
          </w:p>
        </w:tc>
        <w:tc>
          <w:tcPr>
            <w:tcW w:w="3780" w:type="dxa"/>
          </w:tcPr>
          <w:p w:rsidR="00A72E2B" w:rsidRDefault="00A72E2B" w:rsidP="006D1CF1">
            <w:pPr>
              <w:rPr>
                <w:rFonts w:ascii="Garamond" w:hAnsi="Garamond"/>
              </w:rPr>
            </w:pPr>
            <w:r>
              <w:rPr>
                <w:rFonts w:ascii="Garamond" w:hAnsi="Garamond"/>
              </w:rPr>
              <w:t>defer to Congress’ decision not to make laws barring publications</w:t>
            </w:r>
          </w:p>
          <w:p w:rsidR="00A72E2B" w:rsidRDefault="00A72E2B" w:rsidP="006D1CF1">
            <w:pPr>
              <w:rPr>
                <w:rFonts w:ascii="Garamond" w:hAnsi="Garamond"/>
              </w:rPr>
            </w:pPr>
          </w:p>
          <w:p w:rsidR="00930D6A" w:rsidRDefault="0038351A" w:rsidP="0038351A">
            <w:pPr>
              <w:rPr>
                <w:rFonts w:ascii="Garamond" w:hAnsi="Garamond"/>
              </w:rPr>
            </w:pPr>
            <w:r>
              <w:rPr>
                <w:rFonts w:ascii="Garamond" w:hAnsi="Garamond"/>
              </w:rPr>
              <w:t>more deference due</w:t>
            </w:r>
            <w:r w:rsidR="00A72E2B">
              <w:rPr>
                <w:rFonts w:ascii="Garamond" w:hAnsi="Garamond"/>
              </w:rPr>
              <w:t xml:space="preserve"> president</w:t>
            </w:r>
            <w:r>
              <w:rPr>
                <w:rFonts w:ascii="Garamond" w:hAnsi="Garamond"/>
              </w:rPr>
              <w:t>ial determination of national security</w:t>
            </w:r>
          </w:p>
        </w:tc>
      </w:tr>
      <w:tr w:rsidR="00930D6A">
        <w:tc>
          <w:tcPr>
            <w:tcW w:w="2718" w:type="dxa"/>
          </w:tcPr>
          <w:p w:rsidR="00930D6A" w:rsidRDefault="00A72E2B" w:rsidP="005E5D01">
            <w:pPr>
              <w:ind w:right="-461"/>
              <w:rPr>
                <w:rFonts w:ascii="Garamond" w:hAnsi="Garamond"/>
              </w:rPr>
            </w:pPr>
            <w:r>
              <w:rPr>
                <w:rFonts w:ascii="Garamond" w:hAnsi="Garamond"/>
              </w:rPr>
              <w:t>Gravel v. US (1972)</w:t>
            </w:r>
          </w:p>
        </w:tc>
        <w:tc>
          <w:tcPr>
            <w:tcW w:w="1350" w:type="dxa"/>
          </w:tcPr>
          <w:p w:rsidR="00930D6A" w:rsidRDefault="00A72E2B" w:rsidP="005E5D01">
            <w:pPr>
              <w:jc w:val="center"/>
              <w:rPr>
                <w:rFonts w:ascii="Garamond" w:hAnsi="Garamond"/>
              </w:rPr>
            </w:pPr>
            <w:r>
              <w:rPr>
                <w:rFonts w:ascii="Garamond" w:hAnsi="Garamond"/>
              </w:rPr>
              <w:t>White</w:t>
            </w:r>
          </w:p>
        </w:tc>
        <w:tc>
          <w:tcPr>
            <w:tcW w:w="900" w:type="dxa"/>
          </w:tcPr>
          <w:p w:rsidR="00930D6A" w:rsidRDefault="00A72E2B" w:rsidP="005E5D01">
            <w:pPr>
              <w:jc w:val="center"/>
              <w:rPr>
                <w:rFonts w:ascii="Garamond" w:hAnsi="Garamond"/>
              </w:rPr>
            </w:pPr>
            <w:r>
              <w:rPr>
                <w:rFonts w:ascii="Garamond" w:hAnsi="Garamond"/>
              </w:rPr>
              <w:t>F</w:t>
            </w:r>
          </w:p>
        </w:tc>
        <w:tc>
          <w:tcPr>
            <w:tcW w:w="1080" w:type="dxa"/>
          </w:tcPr>
          <w:p w:rsidR="00930D6A" w:rsidRDefault="00A72E2B" w:rsidP="005E5D01">
            <w:pPr>
              <w:jc w:val="center"/>
              <w:rPr>
                <w:rFonts w:ascii="Garamond" w:hAnsi="Garamond"/>
              </w:rPr>
            </w:pPr>
            <w:r>
              <w:rPr>
                <w:rFonts w:ascii="Garamond" w:hAnsi="Garamond"/>
              </w:rPr>
              <w:t>M</w:t>
            </w:r>
          </w:p>
        </w:tc>
        <w:tc>
          <w:tcPr>
            <w:tcW w:w="3780" w:type="dxa"/>
          </w:tcPr>
          <w:p w:rsidR="00930D6A" w:rsidRDefault="0038351A" w:rsidP="00A72E2B">
            <w:pPr>
              <w:rPr>
                <w:rFonts w:ascii="Garamond" w:hAnsi="Garamond"/>
              </w:rPr>
            </w:pPr>
            <w:r>
              <w:rPr>
                <w:rFonts w:ascii="Garamond" w:hAnsi="Garamond"/>
              </w:rPr>
              <w:t>e</w:t>
            </w:r>
            <w:r w:rsidR="00A72E2B">
              <w:rPr>
                <w:rFonts w:ascii="Garamond" w:hAnsi="Garamond"/>
              </w:rPr>
              <w:t>xecutive branch should defer to legislative to allow free discussion</w:t>
            </w:r>
          </w:p>
        </w:tc>
      </w:tr>
    </w:tbl>
    <w:p w:rsidR="004E1775" w:rsidRDefault="004E1775"/>
    <w:p w:rsidR="004E1775" w:rsidRDefault="004E1775"/>
    <w:tbl>
      <w:tblPr>
        <w:tblStyle w:val="TableGrid"/>
        <w:tblW w:w="9828" w:type="dxa"/>
        <w:tblLayout w:type="fixed"/>
        <w:tblLook w:val="00BF"/>
      </w:tblPr>
      <w:tblGrid>
        <w:gridCol w:w="2718"/>
        <w:gridCol w:w="1350"/>
        <w:gridCol w:w="900"/>
        <w:gridCol w:w="1080"/>
        <w:gridCol w:w="3780"/>
      </w:tblGrid>
      <w:tr w:rsidR="00930D6A">
        <w:tc>
          <w:tcPr>
            <w:tcW w:w="2718" w:type="dxa"/>
          </w:tcPr>
          <w:p w:rsidR="00930D6A" w:rsidRDefault="00A72E2B" w:rsidP="005E5D01">
            <w:pPr>
              <w:ind w:right="-461"/>
              <w:rPr>
                <w:rFonts w:ascii="Garamond" w:hAnsi="Garamond"/>
              </w:rPr>
            </w:pPr>
            <w:r>
              <w:rPr>
                <w:rFonts w:ascii="Garamond" w:hAnsi="Garamond"/>
              </w:rPr>
              <w:t>US v. Brewster (</w:t>
            </w:r>
            <w:r w:rsidR="0038351A">
              <w:rPr>
                <w:rFonts w:ascii="Garamond" w:hAnsi="Garamond"/>
              </w:rPr>
              <w:t>1972)</w:t>
            </w:r>
          </w:p>
        </w:tc>
        <w:tc>
          <w:tcPr>
            <w:tcW w:w="1350" w:type="dxa"/>
          </w:tcPr>
          <w:p w:rsidR="00930D6A" w:rsidRDefault="0038351A" w:rsidP="005E5D01">
            <w:pPr>
              <w:jc w:val="center"/>
              <w:rPr>
                <w:rFonts w:ascii="Garamond" w:hAnsi="Garamond"/>
              </w:rPr>
            </w:pPr>
            <w:r>
              <w:rPr>
                <w:rFonts w:ascii="Garamond" w:hAnsi="Garamond"/>
              </w:rPr>
              <w:t>Burger</w:t>
            </w:r>
          </w:p>
        </w:tc>
        <w:tc>
          <w:tcPr>
            <w:tcW w:w="900" w:type="dxa"/>
          </w:tcPr>
          <w:p w:rsidR="00930D6A" w:rsidRDefault="0038351A" w:rsidP="005E5D01">
            <w:pPr>
              <w:jc w:val="center"/>
              <w:rPr>
                <w:rFonts w:ascii="Garamond" w:hAnsi="Garamond"/>
              </w:rPr>
            </w:pPr>
            <w:r>
              <w:rPr>
                <w:rFonts w:ascii="Garamond" w:hAnsi="Garamond"/>
              </w:rPr>
              <w:t>F</w:t>
            </w:r>
          </w:p>
        </w:tc>
        <w:tc>
          <w:tcPr>
            <w:tcW w:w="1080" w:type="dxa"/>
          </w:tcPr>
          <w:p w:rsidR="00930D6A" w:rsidRDefault="0038351A" w:rsidP="005E5D01">
            <w:pPr>
              <w:jc w:val="center"/>
              <w:rPr>
                <w:rFonts w:ascii="Garamond" w:hAnsi="Garamond"/>
              </w:rPr>
            </w:pPr>
            <w:r>
              <w:rPr>
                <w:rFonts w:ascii="Garamond" w:hAnsi="Garamond"/>
              </w:rPr>
              <w:t>M</w:t>
            </w:r>
          </w:p>
        </w:tc>
        <w:tc>
          <w:tcPr>
            <w:tcW w:w="3780" w:type="dxa"/>
          </w:tcPr>
          <w:p w:rsidR="00930D6A" w:rsidRDefault="0038351A" w:rsidP="006D1CF1">
            <w:pPr>
              <w:rPr>
                <w:rFonts w:ascii="Garamond" w:hAnsi="Garamond"/>
              </w:rPr>
            </w:pPr>
            <w:r>
              <w:rPr>
                <w:rFonts w:ascii="Garamond" w:hAnsi="Garamond"/>
              </w:rPr>
              <w:t>allow federal prosecution of official to move forward</w:t>
            </w:r>
          </w:p>
        </w:tc>
      </w:tr>
      <w:tr w:rsidR="00930D6A">
        <w:tc>
          <w:tcPr>
            <w:tcW w:w="2718" w:type="dxa"/>
          </w:tcPr>
          <w:p w:rsidR="0038351A" w:rsidRDefault="0038351A" w:rsidP="005E5D01">
            <w:pPr>
              <w:ind w:right="-461"/>
              <w:rPr>
                <w:rFonts w:ascii="Garamond" w:hAnsi="Garamond"/>
              </w:rPr>
            </w:pPr>
            <w:r>
              <w:rPr>
                <w:rFonts w:ascii="Garamond" w:hAnsi="Garamond"/>
              </w:rPr>
              <w:t xml:space="preserve">Frontiero v. Richardson </w:t>
            </w:r>
          </w:p>
          <w:p w:rsidR="00930D6A" w:rsidRDefault="0038351A" w:rsidP="005E5D01">
            <w:pPr>
              <w:ind w:right="-461"/>
              <w:rPr>
                <w:rFonts w:ascii="Garamond" w:hAnsi="Garamond"/>
              </w:rPr>
            </w:pPr>
            <w:r>
              <w:rPr>
                <w:rFonts w:ascii="Garamond" w:hAnsi="Garamond"/>
              </w:rPr>
              <w:t>(1973)</w:t>
            </w:r>
          </w:p>
        </w:tc>
        <w:tc>
          <w:tcPr>
            <w:tcW w:w="1350" w:type="dxa"/>
          </w:tcPr>
          <w:p w:rsidR="00930D6A" w:rsidRDefault="0038351A" w:rsidP="005E5D01">
            <w:pPr>
              <w:jc w:val="center"/>
              <w:rPr>
                <w:rFonts w:ascii="Garamond" w:hAnsi="Garamond"/>
              </w:rPr>
            </w:pPr>
            <w:r>
              <w:rPr>
                <w:rFonts w:ascii="Garamond" w:hAnsi="Garamond"/>
              </w:rPr>
              <w:t>Brennan</w:t>
            </w:r>
          </w:p>
        </w:tc>
        <w:tc>
          <w:tcPr>
            <w:tcW w:w="900" w:type="dxa"/>
          </w:tcPr>
          <w:p w:rsidR="00930D6A" w:rsidRDefault="0038351A" w:rsidP="005E5D01">
            <w:pPr>
              <w:jc w:val="center"/>
              <w:rPr>
                <w:rFonts w:ascii="Garamond" w:hAnsi="Garamond"/>
              </w:rPr>
            </w:pPr>
            <w:r>
              <w:rPr>
                <w:rFonts w:ascii="Garamond" w:hAnsi="Garamond"/>
              </w:rPr>
              <w:t>F</w:t>
            </w:r>
          </w:p>
        </w:tc>
        <w:tc>
          <w:tcPr>
            <w:tcW w:w="1080" w:type="dxa"/>
          </w:tcPr>
          <w:p w:rsidR="00930D6A" w:rsidRDefault="0038351A" w:rsidP="005E5D01">
            <w:pPr>
              <w:jc w:val="center"/>
              <w:rPr>
                <w:rFonts w:ascii="Garamond" w:hAnsi="Garamond"/>
              </w:rPr>
            </w:pPr>
            <w:r>
              <w:rPr>
                <w:rFonts w:ascii="Garamond" w:hAnsi="Garamond"/>
              </w:rPr>
              <w:t>M</w:t>
            </w:r>
          </w:p>
        </w:tc>
        <w:tc>
          <w:tcPr>
            <w:tcW w:w="3780" w:type="dxa"/>
          </w:tcPr>
          <w:p w:rsidR="00930D6A" w:rsidRDefault="0038351A" w:rsidP="006D1CF1">
            <w:pPr>
              <w:rPr>
                <w:rFonts w:ascii="Garamond" w:hAnsi="Garamond"/>
              </w:rPr>
            </w:pPr>
            <w:r>
              <w:rPr>
                <w:rFonts w:ascii="Garamond" w:hAnsi="Garamond"/>
              </w:rPr>
              <w:t>Congress’ view that sex based classifications are wrong is valued</w:t>
            </w:r>
          </w:p>
        </w:tc>
      </w:tr>
      <w:tr w:rsidR="00930D6A">
        <w:tc>
          <w:tcPr>
            <w:tcW w:w="2718" w:type="dxa"/>
          </w:tcPr>
          <w:p w:rsidR="0038351A" w:rsidRDefault="0038351A" w:rsidP="005E5D01">
            <w:pPr>
              <w:ind w:right="-461"/>
              <w:rPr>
                <w:rFonts w:ascii="Garamond" w:hAnsi="Garamond"/>
              </w:rPr>
            </w:pPr>
            <w:r>
              <w:rPr>
                <w:rFonts w:ascii="Garamond" w:hAnsi="Garamond"/>
              </w:rPr>
              <w:t xml:space="preserve">Doe et al v. McMillan </w:t>
            </w:r>
          </w:p>
          <w:p w:rsidR="00930D6A" w:rsidRDefault="0038351A" w:rsidP="005E5D01">
            <w:pPr>
              <w:ind w:right="-461"/>
              <w:rPr>
                <w:rFonts w:ascii="Garamond" w:hAnsi="Garamond"/>
              </w:rPr>
            </w:pPr>
            <w:r>
              <w:rPr>
                <w:rFonts w:ascii="Garamond" w:hAnsi="Garamond"/>
              </w:rPr>
              <w:t>(1973)</w:t>
            </w:r>
          </w:p>
        </w:tc>
        <w:tc>
          <w:tcPr>
            <w:tcW w:w="1350" w:type="dxa"/>
          </w:tcPr>
          <w:p w:rsidR="00930D6A" w:rsidRDefault="0038351A" w:rsidP="005E5D01">
            <w:pPr>
              <w:jc w:val="center"/>
              <w:rPr>
                <w:rFonts w:ascii="Garamond" w:hAnsi="Garamond"/>
              </w:rPr>
            </w:pPr>
            <w:r>
              <w:rPr>
                <w:rFonts w:ascii="Garamond" w:hAnsi="Garamond"/>
              </w:rPr>
              <w:t>White</w:t>
            </w:r>
          </w:p>
        </w:tc>
        <w:tc>
          <w:tcPr>
            <w:tcW w:w="900" w:type="dxa"/>
          </w:tcPr>
          <w:p w:rsidR="00930D6A" w:rsidRDefault="0038351A" w:rsidP="005E5D01">
            <w:pPr>
              <w:jc w:val="center"/>
              <w:rPr>
                <w:rFonts w:ascii="Garamond" w:hAnsi="Garamond"/>
              </w:rPr>
            </w:pPr>
            <w:r>
              <w:rPr>
                <w:rFonts w:ascii="Garamond" w:hAnsi="Garamond"/>
              </w:rPr>
              <w:t>F</w:t>
            </w:r>
          </w:p>
        </w:tc>
        <w:tc>
          <w:tcPr>
            <w:tcW w:w="1080" w:type="dxa"/>
          </w:tcPr>
          <w:p w:rsidR="00930D6A" w:rsidRDefault="0038351A" w:rsidP="005E5D01">
            <w:pPr>
              <w:jc w:val="center"/>
              <w:rPr>
                <w:rFonts w:ascii="Garamond" w:hAnsi="Garamond"/>
              </w:rPr>
            </w:pPr>
            <w:r>
              <w:rPr>
                <w:rFonts w:ascii="Garamond" w:hAnsi="Garamond"/>
              </w:rPr>
              <w:t>M</w:t>
            </w:r>
          </w:p>
        </w:tc>
        <w:tc>
          <w:tcPr>
            <w:tcW w:w="3780" w:type="dxa"/>
          </w:tcPr>
          <w:p w:rsidR="00930D6A" w:rsidRDefault="0038351A" w:rsidP="006D1CF1">
            <w:pPr>
              <w:rPr>
                <w:rFonts w:ascii="Garamond" w:hAnsi="Garamond"/>
              </w:rPr>
            </w:pPr>
            <w:r>
              <w:rPr>
                <w:rFonts w:ascii="Garamond" w:hAnsi="Garamond"/>
              </w:rPr>
              <w:t>Speech and debate clause grants members of Congress immunity</w:t>
            </w:r>
            <w:r w:rsidR="0002491C">
              <w:rPr>
                <w:rFonts w:ascii="Garamond" w:hAnsi="Garamond"/>
              </w:rPr>
              <w:t>; quotes Brewster</w:t>
            </w:r>
          </w:p>
        </w:tc>
      </w:tr>
      <w:tr w:rsidR="00930D6A">
        <w:tc>
          <w:tcPr>
            <w:tcW w:w="2718" w:type="dxa"/>
          </w:tcPr>
          <w:p w:rsidR="0038351A" w:rsidRDefault="0038351A" w:rsidP="005E5D01">
            <w:pPr>
              <w:ind w:right="-461"/>
              <w:rPr>
                <w:rFonts w:ascii="Garamond" w:hAnsi="Garamond"/>
              </w:rPr>
            </w:pPr>
            <w:r>
              <w:rPr>
                <w:rFonts w:ascii="Garamond" w:hAnsi="Garamond"/>
              </w:rPr>
              <w:t xml:space="preserve">Memorial Hospital v. </w:t>
            </w:r>
          </w:p>
          <w:p w:rsidR="00930D6A" w:rsidRDefault="0038351A" w:rsidP="005E5D01">
            <w:pPr>
              <w:ind w:right="-461"/>
              <w:rPr>
                <w:rFonts w:ascii="Garamond" w:hAnsi="Garamond"/>
              </w:rPr>
            </w:pPr>
            <w:r>
              <w:rPr>
                <w:rFonts w:ascii="Garamond" w:hAnsi="Garamond"/>
              </w:rPr>
              <w:t>Maricopa County (1974)</w:t>
            </w:r>
          </w:p>
        </w:tc>
        <w:tc>
          <w:tcPr>
            <w:tcW w:w="1350" w:type="dxa"/>
          </w:tcPr>
          <w:p w:rsidR="00930D6A" w:rsidRDefault="0038351A" w:rsidP="005E5D01">
            <w:pPr>
              <w:jc w:val="center"/>
              <w:rPr>
                <w:rFonts w:ascii="Garamond" w:hAnsi="Garamond"/>
              </w:rPr>
            </w:pPr>
            <w:r>
              <w:rPr>
                <w:rFonts w:ascii="Garamond" w:hAnsi="Garamond"/>
              </w:rPr>
              <w:t>Marshall</w:t>
            </w:r>
          </w:p>
        </w:tc>
        <w:tc>
          <w:tcPr>
            <w:tcW w:w="900" w:type="dxa"/>
          </w:tcPr>
          <w:p w:rsidR="00930D6A" w:rsidRDefault="0002491C" w:rsidP="005E5D01">
            <w:pPr>
              <w:jc w:val="center"/>
              <w:rPr>
                <w:rFonts w:ascii="Garamond" w:hAnsi="Garamond"/>
              </w:rPr>
            </w:pPr>
            <w:r>
              <w:rPr>
                <w:rFonts w:ascii="Garamond" w:hAnsi="Garamond"/>
              </w:rPr>
              <w:t>S</w:t>
            </w:r>
          </w:p>
        </w:tc>
        <w:tc>
          <w:tcPr>
            <w:tcW w:w="1080" w:type="dxa"/>
          </w:tcPr>
          <w:p w:rsidR="00930D6A" w:rsidRDefault="0002491C" w:rsidP="005E5D01">
            <w:pPr>
              <w:jc w:val="center"/>
              <w:rPr>
                <w:rFonts w:ascii="Garamond" w:hAnsi="Garamond"/>
              </w:rPr>
            </w:pPr>
            <w:r>
              <w:rPr>
                <w:rFonts w:ascii="Garamond" w:hAnsi="Garamond"/>
              </w:rPr>
              <w:t>M</w:t>
            </w:r>
          </w:p>
        </w:tc>
        <w:tc>
          <w:tcPr>
            <w:tcW w:w="3780" w:type="dxa"/>
          </w:tcPr>
          <w:p w:rsidR="00930D6A" w:rsidRDefault="0002491C" w:rsidP="006D1CF1">
            <w:pPr>
              <w:rPr>
                <w:rFonts w:ascii="Garamond" w:hAnsi="Garamond"/>
              </w:rPr>
            </w:pPr>
            <w:r>
              <w:rPr>
                <w:rFonts w:ascii="Garamond" w:hAnsi="Garamond"/>
              </w:rPr>
              <w:t>quotes Frontiero that Congressional pronouncements have value</w:t>
            </w:r>
          </w:p>
        </w:tc>
      </w:tr>
      <w:tr w:rsidR="00930D6A">
        <w:tc>
          <w:tcPr>
            <w:tcW w:w="2718" w:type="dxa"/>
          </w:tcPr>
          <w:p w:rsidR="00930D6A" w:rsidRDefault="0002491C" w:rsidP="005E5D01">
            <w:pPr>
              <w:ind w:right="-461"/>
              <w:rPr>
                <w:rFonts w:ascii="Garamond" w:hAnsi="Garamond"/>
              </w:rPr>
            </w:pPr>
            <w:r>
              <w:rPr>
                <w:rFonts w:ascii="Garamond" w:hAnsi="Garamond"/>
              </w:rPr>
              <w:t>US v. Richardson (1974)</w:t>
            </w:r>
          </w:p>
        </w:tc>
        <w:tc>
          <w:tcPr>
            <w:tcW w:w="1350" w:type="dxa"/>
          </w:tcPr>
          <w:p w:rsidR="00930D6A" w:rsidRDefault="0002491C" w:rsidP="005E5D01">
            <w:pPr>
              <w:jc w:val="center"/>
              <w:rPr>
                <w:rFonts w:ascii="Garamond" w:hAnsi="Garamond"/>
              </w:rPr>
            </w:pPr>
            <w:r>
              <w:rPr>
                <w:rFonts w:ascii="Garamond" w:hAnsi="Garamond"/>
              </w:rPr>
              <w:t>Powell</w:t>
            </w:r>
          </w:p>
        </w:tc>
        <w:tc>
          <w:tcPr>
            <w:tcW w:w="900" w:type="dxa"/>
          </w:tcPr>
          <w:p w:rsidR="00930D6A" w:rsidRDefault="0002491C" w:rsidP="005E5D01">
            <w:pPr>
              <w:jc w:val="center"/>
              <w:rPr>
                <w:rFonts w:ascii="Garamond" w:hAnsi="Garamond"/>
              </w:rPr>
            </w:pPr>
            <w:r>
              <w:rPr>
                <w:rFonts w:ascii="Garamond" w:hAnsi="Garamond"/>
              </w:rPr>
              <w:t>F</w:t>
            </w:r>
          </w:p>
        </w:tc>
        <w:tc>
          <w:tcPr>
            <w:tcW w:w="1080" w:type="dxa"/>
          </w:tcPr>
          <w:p w:rsidR="00930D6A" w:rsidRDefault="0002491C" w:rsidP="005E5D01">
            <w:pPr>
              <w:jc w:val="center"/>
              <w:rPr>
                <w:rFonts w:ascii="Garamond" w:hAnsi="Garamond"/>
              </w:rPr>
            </w:pPr>
            <w:r>
              <w:rPr>
                <w:rFonts w:ascii="Garamond" w:hAnsi="Garamond"/>
              </w:rPr>
              <w:t>C</w:t>
            </w:r>
          </w:p>
        </w:tc>
        <w:tc>
          <w:tcPr>
            <w:tcW w:w="3780" w:type="dxa"/>
          </w:tcPr>
          <w:p w:rsidR="00930D6A" w:rsidRDefault="0002491C" w:rsidP="006D1CF1">
            <w:pPr>
              <w:rPr>
                <w:rFonts w:ascii="Garamond" w:hAnsi="Garamond"/>
              </w:rPr>
            </w:pPr>
            <w:r>
              <w:rPr>
                <w:rFonts w:ascii="Garamond" w:hAnsi="Garamond"/>
              </w:rPr>
              <w:t>Simple reference to Frothingham rule (Powell dislikes Flast test)</w:t>
            </w:r>
          </w:p>
        </w:tc>
      </w:tr>
      <w:tr w:rsidR="00930D6A">
        <w:tc>
          <w:tcPr>
            <w:tcW w:w="2718" w:type="dxa"/>
          </w:tcPr>
          <w:p w:rsidR="0002491C" w:rsidRDefault="0002491C" w:rsidP="005E5D01">
            <w:pPr>
              <w:ind w:right="-461"/>
              <w:rPr>
                <w:rFonts w:ascii="Garamond" w:hAnsi="Garamond"/>
              </w:rPr>
            </w:pPr>
            <w:r>
              <w:rPr>
                <w:rFonts w:ascii="Garamond" w:hAnsi="Garamond"/>
              </w:rPr>
              <w:t>Schlesinger v. Reservists</w:t>
            </w:r>
          </w:p>
          <w:p w:rsidR="00930D6A" w:rsidRDefault="0002491C" w:rsidP="005E5D01">
            <w:pPr>
              <w:ind w:right="-461"/>
              <w:rPr>
                <w:rFonts w:ascii="Garamond" w:hAnsi="Garamond"/>
              </w:rPr>
            </w:pPr>
            <w:r>
              <w:rPr>
                <w:rFonts w:ascii="Garamond" w:hAnsi="Garamond"/>
              </w:rPr>
              <w:t>(1974)</w:t>
            </w:r>
          </w:p>
        </w:tc>
        <w:tc>
          <w:tcPr>
            <w:tcW w:w="1350" w:type="dxa"/>
          </w:tcPr>
          <w:p w:rsidR="00930D6A" w:rsidRDefault="0002491C" w:rsidP="005E5D01">
            <w:pPr>
              <w:jc w:val="center"/>
              <w:rPr>
                <w:rFonts w:ascii="Garamond" w:hAnsi="Garamond"/>
              </w:rPr>
            </w:pPr>
            <w:r>
              <w:rPr>
                <w:rFonts w:ascii="Garamond" w:hAnsi="Garamond"/>
              </w:rPr>
              <w:t>Douglas</w:t>
            </w:r>
          </w:p>
        </w:tc>
        <w:tc>
          <w:tcPr>
            <w:tcW w:w="900" w:type="dxa"/>
          </w:tcPr>
          <w:p w:rsidR="00930D6A" w:rsidRDefault="0002491C" w:rsidP="005E5D01">
            <w:pPr>
              <w:jc w:val="center"/>
              <w:rPr>
                <w:rFonts w:ascii="Garamond" w:hAnsi="Garamond"/>
              </w:rPr>
            </w:pPr>
            <w:r>
              <w:rPr>
                <w:rFonts w:ascii="Garamond" w:hAnsi="Garamond"/>
              </w:rPr>
              <w:t>F</w:t>
            </w:r>
          </w:p>
        </w:tc>
        <w:tc>
          <w:tcPr>
            <w:tcW w:w="1080" w:type="dxa"/>
          </w:tcPr>
          <w:p w:rsidR="00930D6A" w:rsidRDefault="0002491C" w:rsidP="005E5D01">
            <w:pPr>
              <w:jc w:val="center"/>
              <w:rPr>
                <w:rFonts w:ascii="Garamond" w:hAnsi="Garamond"/>
              </w:rPr>
            </w:pPr>
            <w:r>
              <w:rPr>
                <w:rFonts w:ascii="Garamond" w:hAnsi="Garamond"/>
              </w:rPr>
              <w:t>D</w:t>
            </w:r>
          </w:p>
        </w:tc>
        <w:tc>
          <w:tcPr>
            <w:tcW w:w="3780" w:type="dxa"/>
          </w:tcPr>
          <w:p w:rsidR="00930D6A" w:rsidRDefault="007E0D56" w:rsidP="007E0D56">
            <w:pPr>
              <w:rPr>
                <w:rFonts w:ascii="Garamond" w:hAnsi="Garamond"/>
              </w:rPr>
            </w:pPr>
            <w:r>
              <w:rPr>
                <w:rFonts w:ascii="Garamond" w:hAnsi="Garamond"/>
              </w:rPr>
              <w:t>quotes Frothingham but only to dismiss it as controlling</w:t>
            </w:r>
          </w:p>
        </w:tc>
      </w:tr>
      <w:tr w:rsidR="00930D6A">
        <w:tc>
          <w:tcPr>
            <w:tcW w:w="2718" w:type="dxa"/>
          </w:tcPr>
          <w:p w:rsidR="00930D6A" w:rsidRDefault="007E0D56" w:rsidP="005E5D01">
            <w:pPr>
              <w:ind w:right="-461"/>
              <w:rPr>
                <w:rFonts w:ascii="Garamond" w:hAnsi="Garamond"/>
              </w:rPr>
            </w:pPr>
            <w:r>
              <w:rPr>
                <w:rFonts w:ascii="Garamond" w:hAnsi="Garamond"/>
              </w:rPr>
              <w:t>US v. Nixon (1974)</w:t>
            </w:r>
          </w:p>
        </w:tc>
        <w:tc>
          <w:tcPr>
            <w:tcW w:w="1350" w:type="dxa"/>
          </w:tcPr>
          <w:p w:rsidR="00930D6A" w:rsidRDefault="007E0D56" w:rsidP="005E5D01">
            <w:pPr>
              <w:jc w:val="center"/>
              <w:rPr>
                <w:rFonts w:ascii="Garamond" w:hAnsi="Garamond"/>
              </w:rPr>
            </w:pPr>
            <w:r>
              <w:rPr>
                <w:rFonts w:ascii="Garamond" w:hAnsi="Garamond"/>
              </w:rPr>
              <w:t>Burger</w:t>
            </w:r>
          </w:p>
        </w:tc>
        <w:tc>
          <w:tcPr>
            <w:tcW w:w="900" w:type="dxa"/>
          </w:tcPr>
          <w:p w:rsidR="00930D6A" w:rsidRDefault="007E0D56" w:rsidP="005E5D01">
            <w:pPr>
              <w:jc w:val="center"/>
              <w:rPr>
                <w:rFonts w:ascii="Garamond" w:hAnsi="Garamond"/>
              </w:rPr>
            </w:pPr>
            <w:r>
              <w:rPr>
                <w:rFonts w:ascii="Garamond" w:hAnsi="Garamond"/>
              </w:rPr>
              <w:t>F</w:t>
            </w:r>
          </w:p>
        </w:tc>
        <w:tc>
          <w:tcPr>
            <w:tcW w:w="1080" w:type="dxa"/>
          </w:tcPr>
          <w:p w:rsidR="00930D6A" w:rsidRDefault="007E0D56" w:rsidP="005E5D01">
            <w:pPr>
              <w:jc w:val="center"/>
              <w:rPr>
                <w:rFonts w:ascii="Garamond" w:hAnsi="Garamond"/>
              </w:rPr>
            </w:pPr>
            <w:r>
              <w:rPr>
                <w:rFonts w:ascii="Garamond" w:hAnsi="Garamond"/>
              </w:rPr>
              <w:t>M</w:t>
            </w:r>
          </w:p>
        </w:tc>
        <w:tc>
          <w:tcPr>
            <w:tcW w:w="3780" w:type="dxa"/>
          </w:tcPr>
          <w:p w:rsidR="00930D6A" w:rsidRDefault="007E0D56" w:rsidP="006D1CF1">
            <w:pPr>
              <w:rPr>
                <w:rFonts w:ascii="Garamond" w:hAnsi="Garamond"/>
              </w:rPr>
            </w:pPr>
            <w:r>
              <w:rPr>
                <w:rFonts w:ascii="Garamond" w:hAnsi="Garamond"/>
              </w:rPr>
              <w:t>dismisses executive privilege claim in this instance</w:t>
            </w:r>
          </w:p>
        </w:tc>
      </w:tr>
      <w:tr w:rsidR="00930D6A">
        <w:tc>
          <w:tcPr>
            <w:tcW w:w="2718" w:type="dxa"/>
          </w:tcPr>
          <w:p w:rsidR="00930D6A" w:rsidRDefault="007E0D56" w:rsidP="005E5D01">
            <w:pPr>
              <w:ind w:right="-461"/>
              <w:rPr>
                <w:rFonts w:ascii="Garamond" w:hAnsi="Garamond"/>
              </w:rPr>
            </w:pPr>
            <w:r>
              <w:rPr>
                <w:rFonts w:ascii="Garamond" w:hAnsi="Garamond"/>
              </w:rPr>
              <w:t>Buckley v. Valeo (1976)</w:t>
            </w:r>
          </w:p>
        </w:tc>
        <w:tc>
          <w:tcPr>
            <w:tcW w:w="1350" w:type="dxa"/>
          </w:tcPr>
          <w:p w:rsidR="00930D6A" w:rsidRDefault="004F1994" w:rsidP="005E5D01">
            <w:pPr>
              <w:jc w:val="center"/>
              <w:rPr>
                <w:rFonts w:ascii="Garamond" w:hAnsi="Garamond"/>
              </w:rPr>
            </w:pPr>
            <w:r>
              <w:rPr>
                <w:rFonts w:ascii="Garamond" w:hAnsi="Garamond"/>
              </w:rPr>
              <w:t>Per curiam</w:t>
            </w:r>
          </w:p>
        </w:tc>
        <w:tc>
          <w:tcPr>
            <w:tcW w:w="900" w:type="dxa"/>
          </w:tcPr>
          <w:p w:rsidR="00930D6A" w:rsidRDefault="004F1994" w:rsidP="005E5D01">
            <w:pPr>
              <w:jc w:val="center"/>
              <w:rPr>
                <w:rFonts w:ascii="Garamond" w:hAnsi="Garamond"/>
              </w:rPr>
            </w:pPr>
            <w:r>
              <w:rPr>
                <w:rFonts w:ascii="Garamond" w:hAnsi="Garamond"/>
              </w:rPr>
              <w:t>F</w:t>
            </w:r>
          </w:p>
        </w:tc>
        <w:tc>
          <w:tcPr>
            <w:tcW w:w="1080" w:type="dxa"/>
          </w:tcPr>
          <w:p w:rsidR="00930D6A" w:rsidRDefault="004F1994" w:rsidP="005E5D01">
            <w:pPr>
              <w:jc w:val="center"/>
              <w:rPr>
                <w:rFonts w:ascii="Garamond" w:hAnsi="Garamond"/>
              </w:rPr>
            </w:pPr>
            <w:r>
              <w:rPr>
                <w:rFonts w:ascii="Garamond" w:hAnsi="Garamond"/>
              </w:rPr>
              <w:t>M</w:t>
            </w:r>
          </w:p>
        </w:tc>
        <w:tc>
          <w:tcPr>
            <w:tcW w:w="3780" w:type="dxa"/>
          </w:tcPr>
          <w:p w:rsidR="00930D6A" w:rsidRDefault="004F1994" w:rsidP="006D1CF1">
            <w:pPr>
              <w:rPr>
                <w:rFonts w:ascii="Garamond" w:hAnsi="Garamond"/>
              </w:rPr>
            </w:pPr>
            <w:r>
              <w:rPr>
                <w:rFonts w:ascii="Garamond" w:hAnsi="Garamond"/>
              </w:rPr>
              <w:t>Quote amici, dismissing their claim about Congress and appointments</w:t>
            </w:r>
          </w:p>
        </w:tc>
      </w:tr>
      <w:tr w:rsidR="00930D6A">
        <w:tc>
          <w:tcPr>
            <w:tcW w:w="2718" w:type="dxa"/>
          </w:tcPr>
          <w:p w:rsidR="00930D6A" w:rsidRDefault="004F1994" w:rsidP="005E5D01">
            <w:pPr>
              <w:ind w:right="-461"/>
              <w:rPr>
                <w:rFonts w:ascii="Garamond" w:hAnsi="Garamond"/>
              </w:rPr>
            </w:pPr>
            <w:r>
              <w:rPr>
                <w:rFonts w:ascii="Garamond" w:hAnsi="Garamond"/>
              </w:rPr>
              <w:t>US v. Donavan (1977)</w:t>
            </w:r>
          </w:p>
        </w:tc>
        <w:tc>
          <w:tcPr>
            <w:tcW w:w="1350" w:type="dxa"/>
          </w:tcPr>
          <w:p w:rsidR="00930D6A" w:rsidRDefault="004F1994" w:rsidP="005E5D01">
            <w:pPr>
              <w:jc w:val="center"/>
              <w:rPr>
                <w:rFonts w:ascii="Garamond" w:hAnsi="Garamond"/>
              </w:rPr>
            </w:pPr>
            <w:r>
              <w:rPr>
                <w:rFonts w:ascii="Garamond" w:hAnsi="Garamond"/>
              </w:rPr>
              <w:t>Burger</w:t>
            </w:r>
          </w:p>
        </w:tc>
        <w:tc>
          <w:tcPr>
            <w:tcW w:w="900" w:type="dxa"/>
          </w:tcPr>
          <w:p w:rsidR="00930D6A" w:rsidRDefault="005C5FC4" w:rsidP="005E5D01">
            <w:pPr>
              <w:jc w:val="center"/>
              <w:rPr>
                <w:rFonts w:ascii="Garamond" w:hAnsi="Garamond"/>
              </w:rPr>
            </w:pPr>
            <w:r>
              <w:rPr>
                <w:rFonts w:ascii="Garamond" w:hAnsi="Garamond"/>
              </w:rPr>
              <w:t>F</w:t>
            </w:r>
          </w:p>
        </w:tc>
        <w:tc>
          <w:tcPr>
            <w:tcW w:w="1080" w:type="dxa"/>
          </w:tcPr>
          <w:p w:rsidR="00930D6A" w:rsidRDefault="005C5FC4" w:rsidP="005E5D01">
            <w:pPr>
              <w:jc w:val="center"/>
              <w:rPr>
                <w:rFonts w:ascii="Garamond" w:hAnsi="Garamond"/>
              </w:rPr>
            </w:pPr>
            <w:r>
              <w:rPr>
                <w:rFonts w:ascii="Garamond" w:hAnsi="Garamond"/>
              </w:rPr>
              <w:t>C</w:t>
            </w:r>
          </w:p>
        </w:tc>
        <w:tc>
          <w:tcPr>
            <w:tcW w:w="3780" w:type="dxa"/>
          </w:tcPr>
          <w:p w:rsidR="00930D6A" w:rsidRDefault="005C5FC4" w:rsidP="006D1CF1">
            <w:pPr>
              <w:rPr>
                <w:rFonts w:ascii="Garamond" w:hAnsi="Garamond"/>
              </w:rPr>
            </w:pPr>
            <w:r>
              <w:rPr>
                <w:rFonts w:ascii="Garamond" w:hAnsi="Garamond"/>
              </w:rPr>
              <w:t>deference to Congress, as it is not violating the 4</w:t>
            </w:r>
            <w:r w:rsidRPr="005C5FC4">
              <w:rPr>
                <w:rFonts w:ascii="Garamond" w:hAnsi="Garamond"/>
                <w:vertAlign w:val="superscript"/>
              </w:rPr>
              <w:t>th</w:t>
            </w:r>
            <w:r>
              <w:rPr>
                <w:rFonts w:ascii="Garamond" w:hAnsi="Garamond"/>
              </w:rPr>
              <w:t xml:space="preserve"> Amendment</w:t>
            </w:r>
          </w:p>
        </w:tc>
      </w:tr>
      <w:tr w:rsidR="00930D6A">
        <w:tc>
          <w:tcPr>
            <w:tcW w:w="2718" w:type="dxa"/>
          </w:tcPr>
          <w:p w:rsidR="005C5FC4" w:rsidRDefault="005C5FC4" w:rsidP="005E5D01">
            <w:pPr>
              <w:ind w:right="-461"/>
              <w:rPr>
                <w:rFonts w:ascii="Garamond" w:hAnsi="Garamond"/>
              </w:rPr>
            </w:pPr>
            <w:r>
              <w:rPr>
                <w:rFonts w:ascii="Garamond" w:hAnsi="Garamond"/>
              </w:rPr>
              <w:t>Nixon v. Administrator of</w:t>
            </w:r>
          </w:p>
          <w:p w:rsidR="00930D6A" w:rsidRDefault="005C5FC4" w:rsidP="005E5D01">
            <w:pPr>
              <w:ind w:right="-461"/>
              <w:rPr>
                <w:rFonts w:ascii="Garamond" w:hAnsi="Garamond"/>
              </w:rPr>
            </w:pPr>
            <w:r>
              <w:rPr>
                <w:rFonts w:ascii="Garamond" w:hAnsi="Garamond"/>
              </w:rPr>
              <w:t>General Services (1977)</w:t>
            </w:r>
          </w:p>
        </w:tc>
        <w:tc>
          <w:tcPr>
            <w:tcW w:w="1350" w:type="dxa"/>
          </w:tcPr>
          <w:p w:rsidR="005C5FC4" w:rsidRDefault="005C5FC4" w:rsidP="005E5D01">
            <w:pPr>
              <w:jc w:val="center"/>
              <w:rPr>
                <w:rFonts w:ascii="Garamond" w:hAnsi="Garamond"/>
              </w:rPr>
            </w:pPr>
            <w:r>
              <w:rPr>
                <w:rFonts w:ascii="Garamond" w:hAnsi="Garamond"/>
              </w:rPr>
              <w:t>Brennan</w:t>
            </w:r>
          </w:p>
          <w:p w:rsidR="005C5FC4" w:rsidRDefault="005C5FC4" w:rsidP="005E5D01">
            <w:pPr>
              <w:jc w:val="center"/>
              <w:rPr>
                <w:rFonts w:ascii="Garamond" w:hAnsi="Garamond"/>
              </w:rPr>
            </w:pPr>
          </w:p>
          <w:p w:rsidR="005C5FC4" w:rsidRDefault="005C5FC4" w:rsidP="005E5D01">
            <w:pPr>
              <w:jc w:val="center"/>
              <w:rPr>
                <w:rFonts w:ascii="Garamond" w:hAnsi="Garamond"/>
              </w:rPr>
            </w:pPr>
          </w:p>
          <w:p w:rsidR="005C5FC4" w:rsidRDefault="005C5FC4" w:rsidP="005E5D01">
            <w:pPr>
              <w:jc w:val="center"/>
              <w:rPr>
                <w:rFonts w:ascii="Garamond" w:hAnsi="Garamond"/>
              </w:rPr>
            </w:pPr>
            <w:r>
              <w:rPr>
                <w:rFonts w:ascii="Garamond" w:hAnsi="Garamond"/>
              </w:rPr>
              <w:t>Powell</w:t>
            </w:r>
          </w:p>
          <w:p w:rsidR="005C5FC4" w:rsidRDefault="005C5FC4" w:rsidP="005E5D01">
            <w:pPr>
              <w:jc w:val="center"/>
              <w:rPr>
                <w:rFonts w:ascii="Garamond" w:hAnsi="Garamond"/>
              </w:rPr>
            </w:pPr>
          </w:p>
          <w:p w:rsidR="005C5FC4" w:rsidRDefault="005C5FC4" w:rsidP="005E5D01">
            <w:pPr>
              <w:jc w:val="center"/>
              <w:rPr>
                <w:rFonts w:ascii="Garamond" w:hAnsi="Garamond"/>
              </w:rPr>
            </w:pPr>
          </w:p>
          <w:p w:rsidR="00930D6A" w:rsidRDefault="005C5FC4" w:rsidP="005E5D01">
            <w:pPr>
              <w:jc w:val="center"/>
              <w:rPr>
                <w:rFonts w:ascii="Garamond" w:hAnsi="Garamond"/>
              </w:rPr>
            </w:pPr>
            <w:r>
              <w:rPr>
                <w:rFonts w:ascii="Garamond" w:hAnsi="Garamond"/>
              </w:rPr>
              <w:t>Burger</w:t>
            </w:r>
          </w:p>
        </w:tc>
        <w:tc>
          <w:tcPr>
            <w:tcW w:w="900" w:type="dxa"/>
          </w:tcPr>
          <w:p w:rsidR="00930D6A" w:rsidRDefault="005C5FC4" w:rsidP="005E5D01">
            <w:pPr>
              <w:jc w:val="center"/>
              <w:rPr>
                <w:rFonts w:ascii="Garamond" w:hAnsi="Garamond"/>
              </w:rPr>
            </w:pPr>
            <w:r>
              <w:rPr>
                <w:rFonts w:ascii="Garamond" w:hAnsi="Garamond"/>
              </w:rPr>
              <w:t>F</w:t>
            </w:r>
          </w:p>
        </w:tc>
        <w:tc>
          <w:tcPr>
            <w:tcW w:w="1080" w:type="dxa"/>
          </w:tcPr>
          <w:p w:rsidR="005C5FC4" w:rsidRDefault="005C5FC4" w:rsidP="005E5D01">
            <w:pPr>
              <w:jc w:val="center"/>
              <w:rPr>
                <w:rFonts w:ascii="Garamond" w:hAnsi="Garamond"/>
              </w:rPr>
            </w:pPr>
            <w:r>
              <w:rPr>
                <w:rFonts w:ascii="Garamond" w:hAnsi="Garamond"/>
              </w:rPr>
              <w:t>M</w:t>
            </w:r>
          </w:p>
          <w:p w:rsidR="005C5FC4" w:rsidRDefault="005C5FC4" w:rsidP="005E5D01">
            <w:pPr>
              <w:jc w:val="center"/>
              <w:rPr>
                <w:rFonts w:ascii="Garamond" w:hAnsi="Garamond"/>
              </w:rPr>
            </w:pPr>
          </w:p>
          <w:p w:rsidR="005C5FC4" w:rsidRDefault="005C5FC4" w:rsidP="005E5D01">
            <w:pPr>
              <w:jc w:val="center"/>
              <w:rPr>
                <w:rFonts w:ascii="Garamond" w:hAnsi="Garamond"/>
              </w:rPr>
            </w:pPr>
          </w:p>
          <w:p w:rsidR="005C5FC4" w:rsidRDefault="005C5FC4" w:rsidP="005E5D01">
            <w:pPr>
              <w:jc w:val="center"/>
              <w:rPr>
                <w:rFonts w:ascii="Garamond" w:hAnsi="Garamond"/>
              </w:rPr>
            </w:pPr>
            <w:r>
              <w:rPr>
                <w:rFonts w:ascii="Garamond" w:hAnsi="Garamond"/>
              </w:rPr>
              <w:t>C</w:t>
            </w:r>
          </w:p>
          <w:p w:rsidR="005C5FC4" w:rsidRDefault="005C5FC4" w:rsidP="005E5D01">
            <w:pPr>
              <w:jc w:val="center"/>
              <w:rPr>
                <w:rFonts w:ascii="Garamond" w:hAnsi="Garamond"/>
              </w:rPr>
            </w:pPr>
          </w:p>
          <w:p w:rsidR="005C5FC4" w:rsidRDefault="005C5FC4" w:rsidP="005E5D01">
            <w:pPr>
              <w:jc w:val="center"/>
              <w:rPr>
                <w:rFonts w:ascii="Garamond" w:hAnsi="Garamond"/>
              </w:rPr>
            </w:pPr>
          </w:p>
          <w:p w:rsidR="00930D6A" w:rsidRDefault="005C5FC4" w:rsidP="005E5D01">
            <w:pPr>
              <w:jc w:val="center"/>
              <w:rPr>
                <w:rFonts w:ascii="Garamond" w:hAnsi="Garamond"/>
              </w:rPr>
            </w:pPr>
            <w:r>
              <w:rPr>
                <w:rFonts w:ascii="Garamond" w:hAnsi="Garamond"/>
              </w:rPr>
              <w:t>D</w:t>
            </w:r>
          </w:p>
        </w:tc>
        <w:tc>
          <w:tcPr>
            <w:tcW w:w="3780" w:type="dxa"/>
          </w:tcPr>
          <w:p w:rsidR="005C5FC4" w:rsidRDefault="005C5FC4" w:rsidP="006D1CF1">
            <w:pPr>
              <w:rPr>
                <w:rFonts w:ascii="Garamond" w:hAnsi="Garamond"/>
              </w:rPr>
            </w:pPr>
            <w:r>
              <w:rPr>
                <w:rFonts w:ascii="Garamond" w:hAnsi="Garamond"/>
              </w:rPr>
              <w:t>Quotes Jackson concurrence in Youngstown; branches share powers</w:t>
            </w:r>
          </w:p>
          <w:p w:rsidR="005C5FC4" w:rsidRDefault="005C5FC4" w:rsidP="006D1CF1">
            <w:pPr>
              <w:rPr>
                <w:rFonts w:ascii="Garamond" w:hAnsi="Garamond"/>
              </w:rPr>
            </w:pPr>
          </w:p>
          <w:p w:rsidR="005C5FC4" w:rsidRDefault="005C5FC4" w:rsidP="006D1CF1">
            <w:pPr>
              <w:rPr>
                <w:rFonts w:ascii="Garamond" w:hAnsi="Garamond"/>
              </w:rPr>
            </w:pPr>
            <w:r>
              <w:rPr>
                <w:rFonts w:ascii="Garamond" w:hAnsi="Garamond"/>
              </w:rPr>
              <w:t xml:space="preserve">Dismissive of claim that statute should fall b/c presidency is coequal </w:t>
            </w:r>
          </w:p>
          <w:p w:rsidR="005C5FC4" w:rsidRDefault="005C5FC4" w:rsidP="006D1CF1">
            <w:pPr>
              <w:rPr>
                <w:rFonts w:ascii="Garamond" w:hAnsi="Garamond"/>
              </w:rPr>
            </w:pPr>
          </w:p>
          <w:p w:rsidR="00930D6A" w:rsidRDefault="005C5FC4" w:rsidP="006D1CF1">
            <w:pPr>
              <w:rPr>
                <w:rFonts w:ascii="Garamond" w:hAnsi="Garamond"/>
              </w:rPr>
            </w:pPr>
            <w:r>
              <w:rPr>
                <w:rFonts w:ascii="Garamond" w:hAnsi="Garamond"/>
              </w:rPr>
              <w:t>three references to coequal; Congress and courts not treating pres. as</w:t>
            </w:r>
          </w:p>
        </w:tc>
      </w:tr>
    </w:tbl>
    <w:p w:rsidR="004E1775" w:rsidRDefault="004E1775"/>
    <w:p w:rsidR="00585E7E" w:rsidRDefault="00585E7E"/>
    <w:p w:rsidR="004E1775" w:rsidRDefault="004E1775"/>
    <w:tbl>
      <w:tblPr>
        <w:tblStyle w:val="TableGrid"/>
        <w:tblW w:w="9828" w:type="dxa"/>
        <w:tblLayout w:type="fixed"/>
        <w:tblLook w:val="00BF"/>
      </w:tblPr>
      <w:tblGrid>
        <w:gridCol w:w="2718"/>
        <w:gridCol w:w="1350"/>
        <w:gridCol w:w="900"/>
        <w:gridCol w:w="1080"/>
        <w:gridCol w:w="3780"/>
      </w:tblGrid>
      <w:tr w:rsidR="00930D6A">
        <w:tc>
          <w:tcPr>
            <w:tcW w:w="2718" w:type="dxa"/>
          </w:tcPr>
          <w:p w:rsidR="00930D6A" w:rsidRDefault="00A439C4" w:rsidP="005E5D01">
            <w:pPr>
              <w:ind w:right="-461"/>
              <w:rPr>
                <w:rFonts w:ascii="Garamond" w:hAnsi="Garamond"/>
              </w:rPr>
            </w:pPr>
            <w:r>
              <w:rPr>
                <w:rFonts w:ascii="Garamond" w:hAnsi="Garamond"/>
              </w:rPr>
              <w:t>Davis v. Passman (1979)</w:t>
            </w:r>
          </w:p>
        </w:tc>
        <w:tc>
          <w:tcPr>
            <w:tcW w:w="1350" w:type="dxa"/>
          </w:tcPr>
          <w:p w:rsidR="00930D6A" w:rsidRDefault="00A439C4" w:rsidP="005E5D01">
            <w:pPr>
              <w:jc w:val="center"/>
              <w:rPr>
                <w:rFonts w:ascii="Garamond" w:hAnsi="Garamond"/>
              </w:rPr>
            </w:pPr>
            <w:r>
              <w:rPr>
                <w:rFonts w:ascii="Garamond" w:hAnsi="Garamond"/>
              </w:rPr>
              <w:t>Burger</w:t>
            </w:r>
          </w:p>
        </w:tc>
        <w:tc>
          <w:tcPr>
            <w:tcW w:w="900" w:type="dxa"/>
          </w:tcPr>
          <w:p w:rsidR="00930D6A" w:rsidRDefault="00A439C4" w:rsidP="005E5D01">
            <w:pPr>
              <w:jc w:val="center"/>
              <w:rPr>
                <w:rFonts w:ascii="Garamond" w:hAnsi="Garamond"/>
              </w:rPr>
            </w:pPr>
            <w:r>
              <w:rPr>
                <w:rFonts w:ascii="Garamond" w:hAnsi="Garamond"/>
              </w:rPr>
              <w:t>F</w:t>
            </w:r>
          </w:p>
        </w:tc>
        <w:tc>
          <w:tcPr>
            <w:tcW w:w="1080" w:type="dxa"/>
          </w:tcPr>
          <w:p w:rsidR="00930D6A" w:rsidRDefault="00A439C4" w:rsidP="005E5D01">
            <w:pPr>
              <w:jc w:val="center"/>
              <w:rPr>
                <w:rFonts w:ascii="Garamond" w:hAnsi="Garamond"/>
              </w:rPr>
            </w:pPr>
            <w:r>
              <w:rPr>
                <w:rFonts w:ascii="Garamond" w:hAnsi="Garamond"/>
              </w:rPr>
              <w:t>D</w:t>
            </w:r>
          </w:p>
        </w:tc>
        <w:tc>
          <w:tcPr>
            <w:tcW w:w="3780" w:type="dxa"/>
          </w:tcPr>
          <w:p w:rsidR="00930D6A" w:rsidRDefault="00A439C4" w:rsidP="006D1CF1">
            <w:pPr>
              <w:rPr>
                <w:rFonts w:ascii="Garamond" w:hAnsi="Garamond"/>
              </w:rPr>
            </w:pPr>
            <w:r>
              <w:rPr>
                <w:rFonts w:ascii="Garamond" w:hAnsi="Garamond"/>
              </w:rPr>
              <w:t>courts can’t force a member of coequal branch to employ someone</w:t>
            </w:r>
          </w:p>
        </w:tc>
      </w:tr>
      <w:tr w:rsidR="00930D6A">
        <w:tc>
          <w:tcPr>
            <w:tcW w:w="2718" w:type="dxa"/>
          </w:tcPr>
          <w:p w:rsidR="00930D6A" w:rsidRDefault="00A439C4" w:rsidP="005E5D01">
            <w:pPr>
              <w:ind w:right="-461"/>
              <w:rPr>
                <w:rFonts w:ascii="Garamond" w:hAnsi="Garamond"/>
              </w:rPr>
            </w:pPr>
            <w:r>
              <w:rPr>
                <w:rFonts w:ascii="Garamond" w:hAnsi="Garamond"/>
              </w:rPr>
              <w:t>US v. Helstoski (1979)</w:t>
            </w:r>
          </w:p>
        </w:tc>
        <w:tc>
          <w:tcPr>
            <w:tcW w:w="1350" w:type="dxa"/>
          </w:tcPr>
          <w:p w:rsidR="00930D6A" w:rsidRDefault="00A439C4" w:rsidP="005E5D01">
            <w:pPr>
              <w:jc w:val="center"/>
              <w:rPr>
                <w:rFonts w:ascii="Garamond" w:hAnsi="Garamond"/>
              </w:rPr>
            </w:pPr>
            <w:r>
              <w:rPr>
                <w:rFonts w:ascii="Garamond" w:hAnsi="Garamond"/>
              </w:rPr>
              <w:t>Burger</w:t>
            </w:r>
          </w:p>
        </w:tc>
        <w:tc>
          <w:tcPr>
            <w:tcW w:w="900" w:type="dxa"/>
          </w:tcPr>
          <w:p w:rsidR="00930D6A" w:rsidRDefault="00A439C4" w:rsidP="005E5D01">
            <w:pPr>
              <w:jc w:val="center"/>
              <w:rPr>
                <w:rFonts w:ascii="Garamond" w:hAnsi="Garamond"/>
              </w:rPr>
            </w:pPr>
            <w:r>
              <w:rPr>
                <w:rFonts w:ascii="Garamond" w:hAnsi="Garamond"/>
              </w:rPr>
              <w:t>F</w:t>
            </w:r>
          </w:p>
        </w:tc>
        <w:tc>
          <w:tcPr>
            <w:tcW w:w="1080" w:type="dxa"/>
          </w:tcPr>
          <w:p w:rsidR="00930D6A" w:rsidRDefault="00A439C4" w:rsidP="005E5D01">
            <w:pPr>
              <w:jc w:val="center"/>
              <w:rPr>
                <w:rFonts w:ascii="Garamond" w:hAnsi="Garamond"/>
              </w:rPr>
            </w:pPr>
            <w:r>
              <w:rPr>
                <w:rFonts w:ascii="Garamond" w:hAnsi="Garamond"/>
              </w:rPr>
              <w:t>M</w:t>
            </w:r>
          </w:p>
        </w:tc>
        <w:tc>
          <w:tcPr>
            <w:tcW w:w="3780" w:type="dxa"/>
          </w:tcPr>
          <w:p w:rsidR="00930D6A" w:rsidRDefault="00A439C4" w:rsidP="006D1CF1">
            <w:pPr>
              <w:rPr>
                <w:rFonts w:ascii="Garamond" w:hAnsi="Garamond"/>
              </w:rPr>
            </w:pPr>
            <w:r>
              <w:rPr>
                <w:rFonts w:ascii="Garamond" w:hAnsi="Garamond"/>
              </w:rPr>
              <w:t>speech/debate clause designed to preserve coequality</w:t>
            </w:r>
          </w:p>
        </w:tc>
      </w:tr>
      <w:tr w:rsidR="00930D6A">
        <w:tc>
          <w:tcPr>
            <w:tcW w:w="2718" w:type="dxa"/>
          </w:tcPr>
          <w:p w:rsidR="00930D6A" w:rsidRDefault="00A439C4" w:rsidP="005E5D01">
            <w:pPr>
              <w:ind w:right="-461"/>
              <w:rPr>
                <w:rFonts w:ascii="Garamond" w:hAnsi="Garamond"/>
              </w:rPr>
            </w:pPr>
            <w:r>
              <w:rPr>
                <w:rFonts w:ascii="Garamond" w:hAnsi="Garamond"/>
              </w:rPr>
              <w:t>Goldwater v. Carter (1979)</w:t>
            </w:r>
          </w:p>
        </w:tc>
        <w:tc>
          <w:tcPr>
            <w:tcW w:w="1350" w:type="dxa"/>
          </w:tcPr>
          <w:p w:rsidR="00930D6A" w:rsidRDefault="00A439C4" w:rsidP="005E5D01">
            <w:pPr>
              <w:jc w:val="center"/>
              <w:rPr>
                <w:rFonts w:ascii="Garamond" w:hAnsi="Garamond"/>
              </w:rPr>
            </w:pPr>
            <w:r>
              <w:rPr>
                <w:rFonts w:ascii="Garamond" w:hAnsi="Garamond"/>
              </w:rPr>
              <w:t>Rehnquist</w:t>
            </w:r>
          </w:p>
        </w:tc>
        <w:tc>
          <w:tcPr>
            <w:tcW w:w="900" w:type="dxa"/>
          </w:tcPr>
          <w:p w:rsidR="00930D6A" w:rsidRDefault="00A439C4" w:rsidP="005E5D01">
            <w:pPr>
              <w:jc w:val="center"/>
              <w:rPr>
                <w:rFonts w:ascii="Garamond" w:hAnsi="Garamond"/>
              </w:rPr>
            </w:pPr>
            <w:r>
              <w:rPr>
                <w:rFonts w:ascii="Garamond" w:hAnsi="Garamond"/>
              </w:rPr>
              <w:t>F</w:t>
            </w:r>
          </w:p>
        </w:tc>
        <w:tc>
          <w:tcPr>
            <w:tcW w:w="1080" w:type="dxa"/>
          </w:tcPr>
          <w:p w:rsidR="00930D6A" w:rsidRDefault="00A439C4" w:rsidP="005E5D01">
            <w:pPr>
              <w:jc w:val="center"/>
              <w:rPr>
                <w:rFonts w:ascii="Garamond" w:hAnsi="Garamond"/>
              </w:rPr>
            </w:pPr>
            <w:r>
              <w:rPr>
                <w:rFonts w:ascii="Garamond" w:hAnsi="Garamond"/>
              </w:rPr>
              <w:t>C</w:t>
            </w:r>
          </w:p>
        </w:tc>
        <w:tc>
          <w:tcPr>
            <w:tcW w:w="3780" w:type="dxa"/>
          </w:tcPr>
          <w:p w:rsidR="00930D6A" w:rsidRDefault="00A439C4" w:rsidP="006D1CF1">
            <w:pPr>
              <w:rPr>
                <w:rFonts w:ascii="Garamond" w:hAnsi="Garamond"/>
              </w:rPr>
            </w:pPr>
            <w:r>
              <w:rPr>
                <w:rFonts w:ascii="Garamond" w:hAnsi="Garamond"/>
              </w:rPr>
              <w:t>deciding the issue is moot is better than using political questions b/c it disrupts coequality less</w:t>
            </w:r>
          </w:p>
        </w:tc>
      </w:tr>
      <w:tr w:rsidR="00930D6A">
        <w:tc>
          <w:tcPr>
            <w:tcW w:w="2718" w:type="dxa"/>
          </w:tcPr>
          <w:p w:rsidR="00930D6A" w:rsidRDefault="00EB4175" w:rsidP="005E5D01">
            <w:pPr>
              <w:ind w:right="-461"/>
              <w:rPr>
                <w:rFonts w:ascii="Garamond" w:hAnsi="Garamond"/>
              </w:rPr>
            </w:pPr>
            <w:r>
              <w:rPr>
                <w:rFonts w:ascii="Garamond" w:hAnsi="Garamond"/>
              </w:rPr>
              <w:t>US v. Gillock (1980)</w:t>
            </w:r>
          </w:p>
        </w:tc>
        <w:tc>
          <w:tcPr>
            <w:tcW w:w="1350" w:type="dxa"/>
          </w:tcPr>
          <w:p w:rsidR="00930D6A" w:rsidRDefault="00EB4175" w:rsidP="005E5D01">
            <w:pPr>
              <w:jc w:val="center"/>
              <w:rPr>
                <w:rFonts w:ascii="Garamond" w:hAnsi="Garamond"/>
              </w:rPr>
            </w:pPr>
            <w:r>
              <w:rPr>
                <w:rFonts w:ascii="Garamond" w:hAnsi="Garamond"/>
              </w:rPr>
              <w:t>Burger</w:t>
            </w:r>
          </w:p>
        </w:tc>
        <w:tc>
          <w:tcPr>
            <w:tcW w:w="900" w:type="dxa"/>
          </w:tcPr>
          <w:p w:rsidR="00930D6A" w:rsidRDefault="00EB4175" w:rsidP="005E5D01">
            <w:pPr>
              <w:jc w:val="center"/>
              <w:rPr>
                <w:rFonts w:ascii="Garamond" w:hAnsi="Garamond"/>
              </w:rPr>
            </w:pPr>
            <w:r>
              <w:rPr>
                <w:rFonts w:ascii="Garamond" w:hAnsi="Garamond"/>
              </w:rPr>
              <w:t>S</w:t>
            </w:r>
          </w:p>
        </w:tc>
        <w:tc>
          <w:tcPr>
            <w:tcW w:w="1080" w:type="dxa"/>
          </w:tcPr>
          <w:p w:rsidR="00930D6A" w:rsidRDefault="00EB4175" w:rsidP="005E5D01">
            <w:pPr>
              <w:jc w:val="center"/>
              <w:rPr>
                <w:rFonts w:ascii="Garamond" w:hAnsi="Garamond"/>
              </w:rPr>
            </w:pPr>
            <w:r>
              <w:rPr>
                <w:rFonts w:ascii="Garamond" w:hAnsi="Garamond"/>
              </w:rPr>
              <w:t>M</w:t>
            </w:r>
          </w:p>
        </w:tc>
        <w:tc>
          <w:tcPr>
            <w:tcW w:w="3780" w:type="dxa"/>
          </w:tcPr>
          <w:p w:rsidR="00930D6A" w:rsidRDefault="00EB4175" w:rsidP="006D1CF1">
            <w:pPr>
              <w:rPr>
                <w:rFonts w:ascii="Garamond" w:hAnsi="Garamond"/>
              </w:rPr>
            </w:pPr>
            <w:r>
              <w:rPr>
                <w:rFonts w:ascii="Garamond" w:hAnsi="Garamond"/>
              </w:rPr>
              <w:t>Speech/debate clause does not protect state leg. officials</w:t>
            </w:r>
          </w:p>
        </w:tc>
      </w:tr>
      <w:tr w:rsidR="00930D6A">
        <w:tc>
          <w:tcPr>
            <w:tcW w:w="2718" w:type="dxa"/>
          </w:tcPr>
          <w:p w:rsidR="00EB4175" w:rsidRDefault="00EB4175" w:rsidP="005E5D01">
            <w:pPr>
              <w:ind w:right="-461"/>
              <w:rPr>
                <w:rFonts w:ascii="Garamond" w:hAnsi="Garamond"/>
              </w:rPr>
            </w:pPr>
            <w:r>
              <w:rPr>
                <w:rFonts w:ascii="Garamond" w:hAnsi="Garamond"/>
              </w:rPr>
              <w:t xml:space="preserve">Owen v. City of </w:t>
            </w:r>
          </w:p>
          <w:p w:rsidR="00930D6A" w:rsidRDefault="00EB4175" w:rsidP="005E5D01">
            <w:pPr>
              <w:ind w:right="-461"/>
              <w:rPr>
                <w:rFonts w:ascii="Garamond" w:hAnsi="Garamond"/>
              </w:rPr>
            </w:pPr>
            <w:r>
              <w:rPr>
                <w:rFonts w:ascii="Garamond" w:hAnsi="Garamond"/>
              </w:rPr>
              <w:t>Independence (1980)</w:t>
            </w:r>
          </w:p>
        </w:tc>
        <w:tc>
          <w:tcPr>
            <w:tcW w:w="1350" w:type="dxa"/>
          </w:tcPr>
          <w:p w:rsidR="00930D6A" w:rsidRDefault="00EB4175" w:rsidP="005E5D01">
            <w:pPr>
              <w:jc w:val="center"/>
              <w:rPr>
                <w:rFonts w:ascii="Garamond" w:hAnsi="Garamond"/>
              </w:rPr>
            </w:pPr>
            <w:r>
              <w:rPr>
                <w:rFonts w:ascii="Garamond" w:hAnsi="Garamond"/>
              </w:rPr>
              <w:t>Brennan</w:t>
            </w:r>
          </w:p>
        </w:tc>
        <w:tc>
          <w:tcPr>
            <w:tcW w:w="900" w:type="dxa"/>
          </w:tcPr>
          <w:p w:rsidR="00930D6A" w:rsidRDefault="005D418D" w:rsidP="005E5D01">
            <w:pPr>
              <w:jc w:val="center"/>
              <w:rPr>
                <w:rFonts w:ascii="Garamond" w:hAnsi="Garamond"/>
              </w:rPr>
            </w:pPr>
            <w:r>
              <w:rPr>
                <w:rFonts w:ascii="Garamond" w:hAnsi="Garamond"/>
              </w:rPr>
              <w:t>S</w:t>
            </w:r>
          </w:p>
        </w:tc>
        <w:tc>
          <w:tcPr>
            <w:tcW w:w="1080" w:type="dxa"/>
          </w:tcPr>
          <w:p w:rsidR="00930D6A" w:rsidRDefault="005D418D" w:rsidP="005E5D01">
            <w:pPr>
              <w:jc w:val="center"/>
              <w:rPr>
                <w:rFonts w:ascii="Garamond" w:hAnsi="Garamond"/>
              </w:rPr>
            </w:pPr>
            <w:r>
              <w:rPr>
                <w:rFonts w:ascii="Garamond" w:hAnsi="Garamond"/>
              </w:rPr>
              <w:t>M</w:t>
            </w:r>
          </w:p>
        </w:tc>
        <w:tc>
          <w:tcPr>
            <w:tcW w:w="3780" w:type="dxa"/>
          </w:tcPr>
          <w:p w:rsidR="00930D6A" w:rsidRDefault="00985CE4" w:rsidP="006D1CF1">
            <w:pPr>
              <w:rPr>
                <w:rFonts w:ascii="Garamond" w:hAnsi="Garamond"/>
              </w:rPr>
            </w:pPr>
            <w:r>
              <w:rPr>
                <w:rFonts w:ascii="Garamond" w:hAnsi="Garamond"/>
              </w:rPr>
              <w:t>w</w:t>
            </w:r>
            <w:r w:rsidR="005D418D">
              <w:rPr>
                <w:rFonts w:ascii="Garamond" w:hAnsi="Garamond"/>
              </w:rPr>
              <w:t>rongful termination suit can proceed; deference to Congress’ judgment that city has no immunity</w:t>
            </w:r>
          </w:p>
        </w:tc>
      </w:tr>
      <w:tr w:rsidR="00930D6A">
        <w:tc>
          <w:tcPr>
            <w:tcW w:w="2718" w:type="dxa"/>
          </w:tcPr>
          <w:p w:rsidR="00930D6A" w:rsidRDefault="005D418D" w:rsidP="005E5D01">
            <w:pPr>
              <w:ind w:right="-461"/>
              <w:rPr>
                <w:rFonts w:ascii="Garamond" w:hAnsi="Garamond"/>
              </w:rPr>
            </w:pPr>
            <w:r>
              <w:rPr>
                <w:rFonts w:ascii="Garamond" w:hAnsi="Garamond"/>
              </w:rPr>
              <w:t>Fullilove v. Klutznick (1980)</w:t>
            </w:r>
          </w:p>
        </w:tc>
        <w:tc>
          <w:tcPr>
            <w:tcW w:w="1350" w:type="dxa"/>
          </w:tcPr>
          <w:p w:rsidR="00930D6A" w:rsidRDefault="005D418D" w:rsidP="005E5D01">
            <w:pPr>
              <w:jc w:val="center"/>
              <w:rPr>
                <w:rFonts w:ascii="Garamond" w:hAnsi="Garamond"/>
              </w:rPr>
            </w:pPr>
            <w:r>
              <w:rPr>
                <w:rFonts w:ascii="Garamond" w:hAnsi="Garamond"/>
              </w:rPr>
              <w:t>Burger</w:t>
            </w:r>
          </w:p>
        </w:tc>
        <w:tc>
          <w:tcPr>
            <w:tcW w:w="900" w:type="dxa"/>
          </w:tcPr>
          <w:p w:rsidR="00930D6A" w:rsidRDefault="005D418D" w:rsidP="005E5D01">
            <w:pPr>
              <w:jc w:val="center"/>
              <w:rPr>
                <w:rFonts w:ascii="Garamond" w:hAnsi="Garamond"/>
              </w:rPr>
            </w:pPr>
            <w:r>
              <w:rPr>
                <w:rFonts w:ascii="Garamond" w:hAnsi="Garamond"/>
              </w:rPr>
              <w:t>F</w:t>
            </w:r>
          </w:p>
        </w:tc>
        <w:tc>
          <w:tcPr>
            <w:tcW w:w="1080" w:type="dxa"/>
          </w:tcPr>
          <w:p w:rsidR="00930D6A" w:rsidRDefault="005D418D" w:rsidP="005E5D01">
            <w:pPr>
              <w:jc w:val="center"/>
              <w:rPr>
                <w:rFonts w:ascii="Garamond" w:hAnsi="Garamond"/>
              </w:rPr>
            </w:pPr>
            <w:r>
              <w:rPr>
                <w:rFonts w:ascii="Garamond" w:hAnsi="Garamond"/>
              </w:rPr>
              <w:t>M</w:t>
            </w:r>
          </w:p>
        </w:tc>
        <w:tc>
          <w:tcPr>
            <w:tcW w:w="3780" w:type="dxa"/>
          </w:tcPr>
          <w:p w:rsidR="00930D6A" w:rsidRDefault="005D418D" w:rsidP="006D1CF1">
            <w:pPr>
              <w:rPr>
                <w:rFonts w:ascii="Garamond" w:hAnsi="Garamond"/>
              </w:rPr>
            </w:pPr>
            <w:r>
              <w:rPr>
                <w:rFonts w:ascii="Garamond" w:hAnsi="Garamond"/>
              </w:rPr>
              <w:t>deference to Congress’ determination that minorities require remedy to promote the general welfare</w:t>
            </w:r>
          </w:p>
        </w:tc>
      </w:tr>
      <w:tr w:rsidR="00930D6A">
        <w:tc>
          <w:tcPr>
            <w:tcW w:w="2718" w:type="dxa"/>
          </w:tcPr>
          <w:p w:rsidR="00930D6A" w:rsidRDefault="005D418D" w:rsidP="005E5D01">
            <w:pPr>
              <w:ind w:right="-461"/>
              <w:rPr>
                <w:rFonts w:ascii="Garamond" w:hAnsi="Garamond"/>
              </w:rPr>
            </w:pPr>
            <w:r>
              <w:rPr>
                <w:rFonts w:ascii="Garamond" w:hAnsi="Garamond"/>
              </w:rPr>
              <w:t>US v. Will (1980)</w:t>
            </w:r>
          </w:p>
        </w:tc>
        <w:tc>
          <w:tcPr>
            <w:tcW w:w="1350" w:type="dxa"/>
          </w:tcPr>
          <w:p w:rsidR="00930D6A" w:rsidRDefault="005D418D" w:rsidP="005E5D01">
            <w:pPr>
              <w:jc w:val="center"/>
              <w:rPr>
                <w:rFonts w:ascii="Garamond" w:hAnsi="Garamond"/>
              </w:rPr>
            </w:pPr>
            <w:r>
              <w:rPr>
                <w:rFonts w:ascii="Garamond" w:hAnsi="Garamond"/>
              </w:rPr>
              <w:t>Burger</w:t>
            </w:r>
          </w:p>
        </w:tc>
        <w:tc>
          <w:tcPr>
            <w:tcW w:w="900" w:type="dxa"/>
          </w:tcPr>
          <w:p w:rsidR="00930D6A" w:rsidRDefault="005D418D" w:rsidP="005E5D01">
            <w:pPr>
              <w:jc w:val="center"/>
              <w:rPr>
                <w:rFonts w:ascii="Garamond" w:hAnsi="Garamond"/>
              </w:rPr>
            </w:pPr>
            <w:r>
              <w:rPr>
                <w:rFonts w:ascii="Garamond" w:hAnsi="Garamond"/>
              </w:rPr>
              <w:t>F</w:t>
            </w:r>
          </w:p>
        </w:tc>
        <w:tc>
          <w:tcPr>
            <w:tcW w:w="1080" w:type="dxa"/>
          </w:tcPr>
          <w:p w:rsidR="00930D6A" w:rsidRDefault="005D418D" w:rsidP="005E5D01">
            <w:pPr>
              <w:jc w:val="center"/>
              <w:rPr>
                <w:rFonts w:ascii="Garamond" w:hAnsi="Garamond"/>
              </w:rPr>
            </w:pPr>
            <w:r>
              <w:rPr>
                <w:rFonts w:ascii="Garamond" w:hAnsi="Garamond"/>
              </w:rPr>
              <w:t>M</w:t>
            </w:r>
          </w:p>
        </w:tc>
        <w:tc>
          <w:tcPr>
            <w:tcW w:w="3780" w:type="dxa"/>
          </w:tcPr>
          <w:p w:rsidR="00930D6A" w:rsidRDefault="005D418D" w:rsidP="006D1CF1">
            <w:pPr>
              <w:rPr>
                <w:rFonts w:ascii="Garamond" w:hAnsi="Garamond"/>
              </w:rPr>
            </w:pPr>
            <w:r>
              <w:rPr>
                <w:rFonts w:ascii="Garamond" w:hAnsi="Garamond"/>
              </w:rPr>
              <w:t>Congress may cancel pay raises scheduled to take effect</w:t>
            </w:r>
          </w:p>
        </w:tc>
      </w:tr>
      <w:tr w:rsidR="00930D6A">
        <w:tc>
          <w:tcPr>
            <w:tcW w:w="2718" w:type="dxa"/>
          </w:tcPr>
          <w:p w:rsidR="00930D6A" w:rsidRDefault="00985CE4" w:rsidP="005E5D01">
            <w:pPr>
              <w:ind w:right="-461"/>
              <w:rPr>
                <w:rFonts w:ascii="Garamond" w:hAnsi="Garamond"/>
              </w:rPr>
            </w:pPr>
            <w:r>
              <w:rPr>
                <w:rFonts w:ascii="Garamond" w:hAnsi="Garamond"/>
              </w:rPr>
              <w:t>Rostker v. Goldberg (1981)</w:t>
            </w:r>
          </w:p>
        </w:tc>
        <w:tc>
          <w:tcPr>
            <w:tcW w:w="1350" w:type="dxa"/>
          </w:tcPr>
          <w:p w:rsidR="00985CE4" w:rsidRDefault="00985CE4" w:rsidP="005E5D01">
            <w:pPr>
              <w:jc w:val="center"/>
              <w:rPr>
                <w:rFonts w:ascii="Garamond" w:hAnsi="Garamond"/>
              </w:rPr>
            </w:pPr>
            <w:r>
              <w:rPr>
                <w:rFonts w:ascii="Garamond" w:hAnsi="Garamond"/>
              </w:rPr>
              <w:t>Rehnquist</w:t>
            </w:r>
          </w:p>
          <w:p w:rsidR="00985CE4" w:rsidRDefault="00985CE4" w:rsidP="005E5D01">
            <w:pPr>
              <w:jc w:val="center"/>
              <w:rPr>
                <w:rFonts w:ascii="Garamond" w:hAnsi="Garamond"/>
              </w:rPr>
            </w:pPr>
          </w:p>
          <w:p w:rsidR="00985CE4" w:rsidRDefault="00985CE4" w:rsidP="005E5D01">
            <w:pPr>
              <w:jc w:val="center"/>
              <w:rPr>
                <w:rFonts w:ascii="Garamond" w:hAnsi="Garamond"/>
              </w:rPr>
            </w:pPr>
          </w:p>
          <w:p w:rsidR="00930D6A" w:rsidRDefault="00985CE4" w:rsidP="005E5D01">
            <w:pPr>
              <w:jc w:val="center"/>
              <w:rPr>
                <w:rFonts w:ascii="Garamond" w:hAnsi="Garamond"/>
              </w:rPr>
            </w:pPr>
            <w:r>
              <w:rPr>
                <w:rFonts w:ascii="Garamond" w:hAnsi="Garamond"/>
              </w:rPr>
              <w:t>(Marshall)</w:t>
            </w:r>
          </w:p>
        </w:tc>
        <w:tc>
          <w:tcPr>
            <w:tcW w:w="900" w:type="dxa"/>
          </w:tcPr>
          <w:p w:rsidR="00930D6A" w:rsidRDefault="00985CE4" w:rsidP="005E5D01">
            <w:pPr>
              <w:jc w:val="center"/>
              <w:rPr>
                <w:rFonts w:ascii="Garamond" w:hAnsi="Garamond"/>
              </w:rPr>
            </w:pPr>
            <w:r>
              <w:rPr>
                <w:rFonts w:ascii="Garamond" w:hAnsi="Garamond"/>
              </w:rPr>
              <w:t>F</w:t>
            </w:r>
          </w:p>
        </w:tc>
        <w:tc>
          <w:tcPr>
            <w:tcW w:w="1080" w:type="dxa"/>
          </w:tcPr>
          <w:p w:rsidR="00985CE4" w:rsidRDefault="00985CE4" w:rsidP="005E5D01">
            <w:pPr>
              <w:jc w:val="center"/>
              <w:rPr>
                <w:rFonts w:ascii="Garamond" w:hAnsi="Garamond"/>
              </w:rPr>
            </w:pPr>
            <w:r>
              <w:rPr>
                <w:rFonts w:ascii="Garamond" w:hAnsi="Garamond"/>
              </w:rPr>
              <w:t>M</w:t>
            </w:r>
          </w:p>
          <w:p w:rsidR="00985CE4" w:rsidRDefault="00985CE4" w:rsidP="005E5D01">
            <w:pPr>
              <w:jc w:val="center"/>
              <w:rPr>
                <w:rFonts w:ascii="Garamond" w:hAnsi="Garamond"/>
              </w:rPr>
            </w:pPr>
          </w:p>
          <w:p w:rsidR="00985CE4" w:rsidRDefault="00985CE4" w:rsidP="005E5D01">
            <w:pPr>
              <w:jc w:val="center"/>
              <w:rPr>
                <w:rFonts w:ascii="Garamond" w:hAnsi="Garamond"/>
              </w:rPr>
            </w:pPr>
          </w:p>
          <w:p w:rsidR="00930D6A" w:rsidRDefault="00985CE4" w:rsidP="005E5D01">
            <w:pPr>
              <w:jc w:val="center"/>
              <w:rPr>
                <w:rFonts w:ascii="Garamond" w:hAnsi="Garamond"/>
              </w:rPr>
            </w:pPr>
            <w:r>
              <w:rPr>
                <w:rFonts w:ascii="Garamond" w:hAnsi="Garamond"/>
              </w:rPr>
              <w:t>(D)</w:t>
            </w:r>
          </w:p>
        </w:tc>
        <w:tc>
          <w:tcPr>
            <w:tcW w:w="3780" w:type="dxa"/>
          </w:tcPr>
          <w:p w:rsidR="00985CE4" w:rsidRDefault="00985CE4" w:rsidP="006D1CF1">
            <w:pPr>
              <w:rPr>
                <w:rFonts w:ascii="Garamond" w:hAnsi="Garamond"/>
              </w:rPr>
            </w:pPr>
            <w:r>
              <w:rPr>
                <w:rFonts w:ascii="Garamond" w:hAnsi="Garamond"/>
              </w:rPr>
              <w:t>deference to Congressional determination on national defense</w:t>
            </w:r>
          </w:p>
          <w:p w:rsidR="00985CE4" w:rsidRDefault="00985CE4" w:rsidP="006D1CF1">
            <w:pPr>
              <w:rPr>
                <w:rFonts w:ascii="Garamond" w:hAnsi="Garamond"/>
              </w:rPr>
            </w:pPr>
          </w:p>
          <w:p w:rsidR="00930D6A" w:rsidRDefault="00985CE4" w:rsidP="00985CE4">
            <w:pPr>
              <w:rPr>
                <w:rFonts w:ascii="Garamond" w:hAnsi="Garamond"/>
              </w:rPr>
            </w:pPr>
            <w:r>
              <w:rPr>
                <w:rFonts w:ascii="Garamond" w:hAnsi="Garamond"/>
              </w:rPr>
              <w:t>(quotes Sen. Warner, on coequality of genders in law)</w:t>
            </w:r>
          </w:p>
        </w:tc>
      </w:tr>
      <w:tr w:rsidR="00930D6A">
        <w:tc>
          <w:tcPr>
            <w:tcW w:w="2718" w:type="dxa"/>
          </w:tcPr>
          <w:p w:rsidR="00930D6A" w:rsidRDefault="00B7286E" w:rsidP="005E5D01">
            <w:pPr>
              <w:ind w:right="-461"/>
              <w:rPr>
                <w:rFonts w:ascii="Garamond" w:hAnsi="Garamond"/>
              </w:rPr>
            </w:pPr>
            <w:r>
              <w:rPr>
                <w:rFonts w:ascii="Garamond" w:hAnsi="Garamond"/>
              </w:rPr>
              <w:t xml:space="preserve">Valley Forge Christian College v. Americans United for </w:t>
            </w:r>
            <w:r w:rsidR="00B92A61">
              <w:rPr>
                <w:rFonts w:ascii="Garamond" w:hAnsi="Garamond"/>
              </w:rPr>
              <w:t>Separation</w:t>
            </w:r>
            <w:r>
              <w:rPr>
                <w:rFonts w:ascii="Garamond" w:hAnsi="Garamond"/>
              </w:rPr>
              <w:t xml:space="preserve"> of Church and State (1982)</w:t>
            </w:r>
          </w:p>
        </w:tc>
        <w:tc>
          <w:tcPr>
            <w:tcW w:w="1350" w:type="dxa"/>
          </w:tcPr>
          <w:p w:rsidR="009619B0" w:rsidRDefault="009619B0" w:rsidP="005E5D01">
            <w:pPr>
              <w:jc w:val="center"/>
              <w:rPr>
                <w:rFonts w:ascii="Garamond" w:hAnsi="Garamond"/>
              </w:rPr>
            </w:pPr>
            <w:r>
              <w:rPr>
                <w:rFonts w:ascii="Garamond" w:hAnsi="Garamond"/>
              </w:rPr>
              <w:t>Rehnquist</w:t>
            </w:r>
          </w:p>
          <w:p w:rsidR="009619B0" w:rsidRDefault="009619B0" w:rsidP="005E5D01">
            <w:pPr>
              <w:jc w:val="center"/>
              <w:rPr>
                <w:rFonts w:ascii="Garamond" w:hAnsi="Garamond"/>
              </w:rPr>
            </w:pPr>
          </w:p>
          <w:p w:rsidR="009619B0" w:rsidRDefault="009619B0" w:rsidP="005E5D01">
            <w:pPr>
              <w:jc w:val="center"/>
              <w:rPr>
                <w:rFonts w:ascii="Garamond" w:hAnsi="Garamond"/>
              </w:rPr>
            </w:pPr>
          </w:p>
          <w:p w:rsidR="00930D6A" w:rsidRDefault="009619B0" w:rsidP="005E5D01">
            <w:pPr>
              <w:jc w:val="center"/>
              <w:rPr>
                <w:rFonts w:ascii="Garamond" w:hAnsi="Garamond"/>
              </w:rPr>
            </w:pPr>
            <w:r>
              <w:rPr>
                <w:rFonts w:ascii="Garamond" w:hAnsi="Garamond"/>
              </w:rPr>
              <w:t>Brennan</w:t>
            </w:r>
          </w:p>
        </w:tc>
        <w:tc>
          <w:tcPr>
            <w:tcW w:w="900" w:type="dxa"/>
          </w:tcPr>
          <w:p w:rsidR="009619B0" w:rsidRDefault="009619B0" w:rsidP="005E5D01">
            <w:pPr>
              <w:jc w:val="center"/>
              <w:rPr>
                <w:rFonts w:ascii="Garamond" w:hAnsi="Garamond"/>
              </w:rPr>
            </w:pPr>
            <w:r>
              <w:rPr>
                <w:rFonts w:ascii="Garamond" w:hAnsi="Garamond"/>
              </w:rPr>
              <w:t>F</w:t>
            </w:r>
          </w:p>
          <w:p w:rsidR="009619B0" w:rsidRDefault="009619B0" w:rsidP="005E5D01">
            <w:pPr>
              <w:jc w:val="center"/>
              <w:rPr>
                <w:rFonts w:ascii="Garamond" w:hAnsi="Garamond"/>
              </w:rPr>
            </w:pPr>
          </w:p>
          <w:p w:rsidR="009619B0" w:rsidRDefault="009619B0" w:rsidP="005E5D01">
            <w:pPr>
              <w:jc w:val="center"/>
              <w:rPr>
                <w:rFonts w:ascii="Garamond" w:hAnsi="Garamond"/>
              </w:rPr>
            </w:pPr>
          </w:p>
          <w:p w:rsidR="00930D6A" w:rsidRDefault="00930D6A" w:rsidP="005E5D01">
            <w:pPr>
              <w:jc w:val="center"/>
              <w:rPr>
                <w:rFonts w:ascii="Garamond" w:hAnsi="Garamond"/>
              </w:rPr>
            </w:pPr>
          </w:p>
        </w:tc>
        <w:tc>
          <w:tcPr>
            <w:tcW w:w="1080" w:type="dxa"/>
          </w:tcPr>
          <w:p w:rsidR="009619B0" w:rsidRDefault="009619B0" w:rsidP="005E5D01">
            <w:pPr>
              <w:jc w:val="center"/>
              <w:rPr>
                <w:rFonts w:ascii="Garamond" w:hAnsi="Garamond"/>
              </w:rPr>
            </w:pPr>
            <w:r>
              <w:rPr>
                <w:rFonts w:ascii="Garamond" w:hAnsi="Garamond"/>
              </w:rPr>
              <w:t>M</w:t>
            </w:r>
          </w:p>
          <w:p w:rsidR="009619B0" w:rsidRDefault="009619B0" w:rsidP="005E5D01">
            <w:pPr>
              <w:jc w:val="center"/>
              <w:rPr>
                <w:rFonts w:ascii="Garamond" w:hAnsi="Garamond"/>
              </w:rPr>
            </w:pPr>
          </w:p>
          <w:p w:rsidR="009619B0" w:rsidRDefault="009619B0" w:rsidP="005E5D01">
            <w:pPr>
              <w:jc w:val="center"/>
              <w:rPr>
                <w:rFonts w:ascii="Garamond" w:hAnsi="Garamond"/>
              </w:rPr>
            </w:pPr>
          </w:p>
          <w:p w:rsidR="00930D6A" w:rsidRDefault="009619B0" w:rsidP="005E5D01">
            <w:pPr>
              <w:jc w:val="center"/>
              <w:rPr>
                <w:rFonts w:ascii="Garamond" w:hAnsi="Garamond"/>
              </w:rPr>
            </w:pPr>
            <w:r>
              <w:rPr>
                <w:rFonts w:ascii="Garamond" w:hAnsi="Garamond"/>
              </w:rPr>
              <w:t>D</w:t>
            </w:r>
          </w:p>
        </w:tc>
        <w:tc>
          <w:tcPr>
            <w:tcW w:w="3780" w:type="dxa"/>
          </w:tcPr>
          <w:p w:rsidR="009619B0" w:rsidRDefault="009619B0" w:rsidP="006D1CF1">
            <w:pPr>
              <w:rPr>
                <w:rFonts w:ascii="Garamond" w:hAnsi="Garamond"/>
              </w:rPr>
            </w:pPr>
            <w:r>
              <w:rPr>
                <w:rFonts w:ascii="Garamond" w:hAnsi="Garamond"/>
              </w:rPr>
              <w:t>Judicial pronouncements alter relation between coequal branches (2)</w:t>
            </w:r>
          </w:p>
          <w:p w:rsidR="009619B0" w:rsidRDefault="009619B0" w:rsidP="006D1CF1">
            <w:pPr>
              <w:rPr>
                <w:rFonts w:ascii="Garamond" w:hAnsi="Garamond"/>
              </w:rPr>
            </w:pPr>
          </w:p>
          <w:p w:rsidR="00930D6A" w:rsidRDefault="009619B0" w:rsidP="006D1CF1">
            <w:pPr>
              <w:rPr>
                <w:rFonts w:ascii="Garamond" w:hAnsi="Garamond"/>
              </w:rPr>
            </w:pPr>
            <w:r>
              <w:rPr>
                <w:rFonts w:ascii="Garamond" w:hAnsi="Garamond"/>
              </w:rPr>
              <w:t>Frothingham was sound; Flast standard applies in this case</w:t>
            </w:r>
          </w:p>
        </w:tc>
      </w:tr>
      <w:tr w:rsidR="00F759E6">
        <w:tc>
          <w:tcPr>
            <w:tcW w:w="2718" w:type="dxa"/>
          </w:tcPr>
          <w:p w:rsidR="00F759E6" w:rsidRDefault="00F759E6" w:rsidP="005E5D01">
            <w:pPr>
              <w:ind w:right="-461"/>
              <w:rPr>
                <w:rFonts w:ascii="Garamond" w:hAnsi="Garamond"/>
              </w:rPr>
            </w:pPr>
            <w:r>
              <w:rPr>
                <w:rFonts w:ascii="Garamond" w:hAnsi="Garamond"/>
              </w:rPr>
              <w:t>Nixon v. Fitzgerald (1982)</w:t>
            </w:r>
          </w:p>
        </w:tc>
        <w:tc>
          <w:tcPr>
            <w:tcW w:w="1350" w:type="dxa"/>
          </w:tcPr>
          <w:p w:rsidR="00F759E6" w:rsidRDefault="00F759E6" w:rsidP="005E5D01">
            <w:pPr>
              <w:jc w:val="center"/>
              <w:rPr>
                <w:rFonts w:ascii="Garamond" w:hAnsi="Garamond"/>
              </w:rPr>
            </w:pPr>
            <w:r>
              <w:rPr>
                <w:rFonts w:ascii="Garamond" w:hAnsi="Garamond"/>
              </w:rPr>
              <w:t>Burger</w:t>
            </w:r>
          </w:p>
        </w:tc>
        <w:tc>
          <w:tcPr>
            <w:tcW w:w="900" w:type="dxa"/>
          </w:tcPr>
          <w:p w:rsidR="00F759E6" w:rsidRDefault="00F759E6" w:rsidP="005E5D01">
            <w:pPr>
              <w:jc w:val="center"/>
              <w:rPr>
                <w:rFonts w:ascii="Garamond" w:hAnsi="Garamond"/>
              </w:rPr>
            </w:pPr>
            <w:r>
              <w:rPr>
                <w:rFonts w:ascii="Garamond" w:hAnsi="Garamond"/>
              </w:rPr>
              <w:t>F</w:t>
            </w:r>
          </w:p>
        </w:tc>
        <w:tc>
          <w:tcPr>
            <w:tcW w:w="1080" w:type="dxa"/>
          </w:tcPr>
          <w:p w:rsidR="00F759E6" w:rsidRDefault="00F759E6" w:rsidP="005E5D01">
            <w:pPr>
              <w:jc w:val="center"/>
              <w:rPr>
                <w:rFonts w:ascii="Garamond" w:hAnsi="Garamond"/>
              </w:rPr>
            </w:pPr>
            <w:r>
              <w:rPr>
                <w:rFonts w:ascii="Garamond" w:hAnsi="Garamond"/>
              </w:rPr>
              <w:t>C</w:t>
            </w:r>
          </w:p>
        </w:tc>
        <w:tc>
          <w:tcPr>
            <w:tcW w:w="3780" w:type="dxa"/>
          </w:tcPr>
          <w:p w:rsidR="00F759E6" w:rsidRDefault="00F759E6" w:rsidP="006D1CF1">
            <w:pPr>
              <w:rPr>
                <w:rFonts w:ascii="Garamond" w:hAnsi="Garamond"/>
              </w:rPr>
            </w:pPr>
            <w:r>
              <w:rPr>
                <w:rFonts w:ascii="Garamond" w:hAnsi="Garamond"/>
              </w:rPr>
              <w:t>President has immunity from civil liability for terminations (2)</w:t>
            </w:r>
          </w:p>
        </w:tc>
      </w:tr>
    </w:tbl>
    <w:p w:rsidR="004E1775" w:rsidRDefault="004E1775"/>
    <w:p w:rsidR="004E1775" w:rsidRDefault="004E1775"/>
    <w:tbl>
      <w:tblPr>
        <w:tblStyle w:val="TableGrid"/>
        <w:tblW w:w="9828" w:type="dxa"/>
        <w:tblLayout w:type="fixed"/>
        <w:tblLook w:val="00BF"/>
      </w:tblPr>
      <w:tblGrid>
        <w:gridCol w:w="2718"/>
        <w:gridCol w:w="1350"/>
        <w:gridCol w:w="900"/>
        <w:gridCol w:w="1080"/>
        <w:gridCol w:w="3780"/>
      </w:tblGrid>
      <w:tr w:rsidR="00930D6A">
        <w:tc>
          <w:tcPr>
            <w:tcW w:w="2718" w:type="dxa"/>
          </w:tcPr>
          <w:p w:rsidR="00930D6A" w:rsidRDefault="009619B0" w:rsidP="005E5D01">
            <w:pPr>
              <w:ind w:right="-461"/>
              <w:rPr>
                <w:rFonts w:ascii="Garamond" w:hAnsi="Garamond"/>
              </w:rPr>
            </w:pPr>
            <w:r>
              <w:rPr>
                <w:rFonts w:ascii="Garamond" w:hAnsi="Garamond"/>
              </w:rPr>
              <w:t>Heckler v. Edwards (1984)</w:t>
            </w:r>
          </w:p>
        </w:tc>
        <w:tc>
          <w:tcPr>
            <w:tcW w:w="1350" w:type="dxa"/>
          </w:tcPr>
          <w:p w:rsidR="00930D6A" w:rsidRDefault="009619B0" w:rsidP="005E5D01">
            <w:pPr>
              <w:jc w:val="center"/>
              <w:rPr>
                <w:rFonts w:ascii="Garamond" w:hAnsi="Garamond"/>
              </w:rPr>
            </w:pPr>
            <w:r>
              <w:rPr>
                <w:rFonts w:ascii="Garamond" w:hAnsi="Garamond"/>
              </w:rPr>
              <w:t>Marshall</w:t>
            </w:r>
          </w:p>
        </w:tc>
        <w:tc>
          <w:tcPr>
            <w:tcW w:w="900" w:type="dxa"/>
          </w:tcPr>
          <w:p w:rsidR="00930D6A" w:rsidRDefault="009619B0" w:rsidP="005E5D01">
            <w:pPr>
              <w:jc w:val="center"/>
              <w:rPr>
                <w:rFonts w:ascii="Garamond" w:hAnsi="Garamond"/>
              </w:rPr>
            </w:pPr>
            <w:r>
              <w:rPr>
                <w:rFonts w:ascii="Garamond" w:hAnsi="Garamond"/>
              </w:rPr>
              <w:t>F</w:t>
            </w:r>
          </w:p>
        </w:tc>
        <w:tc>
          <w:tcPr>
            <w:tcW w:w="1080" w:type="dxa"/>
          </w:tcPr>
          <w:p w:rsidR="00930D6A" w:rsidRDefault="00915D78" w:rsidP="005E5D01">
            <w:pPr>
              <w:jc w:val="center"/>
              <w:rPr>
                <w:rFonts w:ascii="Garamond" w:hAnsi="Garamond"/>
              </w:rPr>
            </w:pPr>
            <w:r>
              <w:rPr>
                <w:rFonts w:ascii="Garamond" w:hAnsi="Garamond"/>
              </w:rPr>
              <w:t>M</w:t>
            </w:r>
          </w:p>
        </w:tc>
        <w:tc>
          <w:tcPr>
            <w:tcW w:w="3780" w:type="dxa"/>
          </w:tcPr>
          <w:p w:rsidR="00930D6A" w:rsidRDefault="00915D78" w:rsidP="006D1CF1">
            <w:pPr>
              <w:rPr>
                <w:rFonts w:ascii="Garamond" w:hAnsi="Garamond"/>
              </w:rPr>
            </w:pPr>
            <w:r>
              <w:rPr>
                <w:rFonts w:ascii="Garamond" w:hAnsi="Garamond"/>
              </w:rPr>
              <w:t>When courts strike down law, it affects sep. of power of coequal branch</w:t>
            </w:r>
          </w:p>
        </w:tc>
      </w:tr>
      <w:tr w:rsidR="00930D6A">
        <w:tc>
          <w:tcPr>
            <w:tcW w:w="2718" w:type="dxa"/>
          </w:tcPr>
          <w:p w:rsidR="00930D6A" w:rsidRDefault="00915D78" w:rsidP="005E5D01">
            <w:pPr>
              <w:ind w:right="-461"/>
              <w:rPr>
                <w:rFonts w:ascii="Garamond" w:hAnsi="Garamond"/>
              </w:rPr>
            </w:pPr>
            <w:r>
              <w:rPr>
                <w:rFonts w:ascii="Garamond" w:hAnsi="Garamond"/>
              </w:rPr>
              <w:t>Walters v. National Association of Radiation Survivors (1985)</w:t>
            </w:r>
          </w:p>
        </w:tc>
        <w:tc>
          <w:tcPr>
            <w:tcW w:w="1350" w:type="dxa"/>
          </w:tcPr>
          <w:p w:rsidR="00930D6A" w:rsidRDefault="00915D78" w:rsidP="005E5D01">
            <w:pPr>
              <w:jc w:val="center"/>
              <w:rPr>
                <w:rFonts w:ascii="Garamond" w:hAnsi="Garamond"/>
              </w:rPr>
            </w:pPr>
            <w:r>
              <w:rPr>
                <w:rFonts w:ascii="Garamond" w:hAnsi="Garamond"/>
              </w:rPr>
              <w:t>Rehnquist</w:t>
            </w:r>
          </w:p>
        </w:tc>
        <w:tc>
          <w:tcPr>
            <w:tcW w:w="900" w:type="dxa"/>
          </w:tcPr>
          <w:p w:rsidR="00930D6A" w:rsidRDefault="00915D78" w:rsidP="005E5D01">
            <w:pPr>
              <w:jc w:val="center"/>
              <w:rPr>
                <w:rFonts w:ascii="Garamond" w:hAnsi="Garamond"/>
              </w:rPr>
            </w:pPr>
            <w:r>
              <w:rPr>
                <w:rFonts w:ascii="Garamond" w:hAnsi="Garamond"/>
              </w:rPr>
              <w:t>F</w:t>
            </w:r>
          </w:p>
        </w:tc>
        <w:tc>
          <w:tcPr>
            <w:tcW w:w="1080" w:type="dxa"/>
          </w:tcPr>
          <w:p w:rsidR="00930D6A" w:rsidRDefault="00915D78" w:rsidP="005E5D01">
            <w:pPr>
              <w:jc w:val="center"/>
              <w:rPr>
                <w:rFonts w:ascii="Garamond" w:hAnsi="Garamond"/>
              </w:rPr>
            </w:pPr>
            <w:r>
              <w:rPr>
                <w:rFonts w:ascii="Garamond" w:hAnsi="Garamond"/>
              </w:rPr>
              <w:t>M</w:t>
            </w:r>
          </w:p>
        </w:tc>
        <w:tc>
          <w:tcPr>
            <w:tcW w:w="3780" w:type="dxa"/>
          </w:tcPr>
          <w:p w:rsidR="00930D6A" w:rsidRDefault="00915D78" w:rsidP="006D1CF1">
            <w:pPr>
              <w:rPr>
                <w:rFonts w:ascii="Garamond" w:hAnsi="Garamond"/>
              </w:rPr>
            </w:pPr>
            <w:r>
              <w:rPr>
                <w:rFonts w:ascii="Garamond" w:hAnsi="Garamond"/>
              </w:rPr>
              <w:t>Insufficient deference given to act of Congress by a lower court</w:t>
            </w:r>
          </w:p>
        </w:tc>
      </w:tr>
      <w:tr w:rsidR="001A3FE6">
        <w:trPr>
          <w:trHeight w:val="593"/>
        </w:trPr>
        <w:tc>
          <w:tcPr>
            <w:tcW w:w="2718" w:type="dxa"/>
          </w:tcPr>
          <w:p w:rsidR="001A3FE6" w:rsidRDefault="001A3FE6" w:rsidP="00930D6A">
            <w:pPr>
              <w:rPr>
                <w:rFonts w:ascii="Garamond" w:hAnsi="Garamond"/>
              </w:rPr>
            </w:pPr>
            <w:r>
              <w:rPr>
                <w:rFonts w:ascii="Garamond" w:hAnsi="Garamond"/>
              </w:rPr>
              <w:t>Cleburne, TX v. Cleburne Living Center (1985)</w:t>
            </w:r>
          </w:p>
        </w:tc>
        <w:tc>
          <w:tcPr>
            <w:tcW w:w="1350" w:type="dxa"/>
          </w:tcPr>
          <w:p w:rsidR="001A3FE6" w:rsidRDefault="001A3FE6" w:rsidP="00915D78">
            <w:pPr>
              <w:jc w:val="center"/>
              <w:rPr>
                <w:rFonts w:ascii="Garamond" w:hAnsi="Garamond"/>
              </w:rPr>
            </w:pPr>
            <w:r>
              <w:rPr>
                <w:rFonts w:ascii="Garamond" w:hAnsi="Garamond"/>
              </w:rPr>
              <w:t>Marshall</w:t>
            </w:r>
          </w:p>
        </w:tc>
        <w:tc>
          <w:tcPr>
            <w:tcW w:w="900" w:type="dxa"/>
          </w:tcPr>
          <w:p w:rsidR="001A3FE6" w:rsidRDefault="001A3FE6" w:rsidP="00915D78">
            <w:pPr>
              <w:jc w:val="center"/>
              <w:rPr>
                <w:rFonts w:ascii="Garamond" w:hAnsi="Garamond"/>
              </w:rPr>
            </w:pPr>
            <w:r>
              <w:rPr>
                <w:rFonts w:ascii="Garamond" w:hAnsi="Garamond"/>
              </w:rPr>
              <w:t>L</w:t>
            </w:r>
          </w:p>
        </w:tc>
        <w:tc>
          <w:tcPr>
            <w:tcW w:w="1080" w:type="dxa"/>
          </w:tcPr>
          <w:p w:rsidR="001A3FE6" w:rsidRDefault="001A3FE6" w:rsidP="00915D78">
            <w:pPr>
              <w:jc w:val="center"/>
              <w:rPr>
                <w:rFonts w:ascii="Garamond" w:hAnsi="Garamond"/>
              </w:rPr>
            </w:pPr>
            <w:r>
              <w:rPr>
                <w:rFonts w:ascii="Garamond" w:hAnsi="Garamond"/>
              </w:rPr>
              <w:t>D</w:t>
            </w:r>
          </w:p>
        </w:tc>
        <w:tc>
          <w:tcPr>
            <w:tcW w:w="3780" w:type="dxa"/>
          </w:tcPr>
          <w:p w:rsidR="001A3FE6" w:rsidRDefault="001A3FE6" w:rsidP="00E60E70">
            <w:pPr>
              <w:rPr>
                <w:rFonts w:ascii="Garamond" w:hAnsi="Garamond"/>
              </w:rPr>
            </w:pPr>
            <w:r>
              <w:rPr>
                <w:rFonts w:ascii="Garamond" w:hAnsi="Garamond"/>
              </w:rPr>
              <w:t>quotes Frontiero: Congress reflects evolving standard of equal protection</w:t>
            </w:r>
          </w:p>
        </w:tc>
      </w:tr>
      <w:tr w:rsidR="001A3FE6">
        <w:tc>
          <w:tcPr>
            <w:tcW w:w="2718" w:type="dxa"/>
          </w:tcPr>
          <w:p w:rsidR="001A3FE6" w:rsidRDefault="001A3FE6" w:rsidP="00930D6A">
            <w:pPr>
              <w:rPr>
                <w:rFonts w:ascii="Garamond" w:hAnsi="Garamond"/>
              </w:rPr>
            </w:pPr>
            <w:r>
              <w:rPr>
                <w:rFonts w:ascii="Garamond" w:hAnsi="Garamond"/>
              </w:rPr>
              <w:t>Davis v. Bandemer (1986)</w:t>
            </w:r>
          </w:p>
        </w:tc>
        <w:tc>
          <w:tcPr>
            <w:tcW w:w="1350" w:type="dxa"/>
          </w:tcPr>
          <w:p w:rsidR="001A3FE6" w:rsidRDefault="001A3FE6" w:rsidP="00915D78">
            <w:pPr>
              <w:jc w:val="center"/>
              <w:rPr>
                <w:rFonts w:ascii="Garamond" w:hAnsi="Garamond"/>
              </w:rPr>
            </w:pPr>
            <w:r>
              <w:rPr>
                <w:rFonts w:ascii="Garamond" w:hAnsi="Garamond"/>
              </w:rPr>
              <w:t>White</w:t>
            </w:r>
          </w:p>
        </w:tc>
        <w:tc>
          <w:tcPr>
            <w:tcW w:w="900" w:type="dxa"/>
          </w:tcPr>
          <w:p w:rsidR="001A3FE6" w:rsidRDefault="001A3FE6" w:rsidP="00915D78">
            <w:pPr>
              <w:jc w:val="center"/>
              <w:rPr>
                <w:rFonts w:ascii="Garamond" w:hAnsi="Garamond"/>
              </w:rPr>
            </w:pPr>
            <w:r>
              <w:rPr>
                <w:rFonts w:ascii="Garamond" w:hAnsi="Garamond"/>
              </w:rPr>
              <w:t>S</w:t>
            </w:r>
          </w:p>
        </w:tc>
        <w:tc>
          <w:tcPr>
            <w:tcW w:w="1080" w:type="dxa"/>
          </w:tcPr>
          <w:p w:rsidR="001A3FE6" w:rsidRDefault="001A3FE6" w:rsidP="00915D78">
            <w:pPr>
              <w:jc w:val="center"/>
              <w:rPr>
                <w:rFonts w:ascii="Garamond" w:hAnsi="Garamond"/>
              </w:rPr>
            </w:pPr>
            <w:r>
              <w:rPr>
                <w:rFonts w:ascii="Garamond" w:hAnsi="Garamond"/>
              </w:rPr>
              <w:t>M</w:t>
            </w:r>
          </w:p>
        </w:tc>
        <w:tc>
          <w:tcPr>
            <w:tcW w:w="3780" w:type="dxa"/>
          </w:tcPr>
          <w:p w:rsidR="001A3FE6" w:rsidRDefault="001A3FE6" w:rsidP="00930D6A">
            <w:pPr>
              <w:rPr>
                <w:rFonts w:ascii="Garamond" w:hAnsi="Garamond"/>
              </w:rPr>
            </w:pPr>
            <w:r>
              <w:rPr>
                <w:rFonts w:ascii="Garamond" w:hAnsi="Garamond"/>
              </w:rPr>
              <w:t>Quotes Baker v. Carr, gerrymander cases are justiciable (2)</w:t>
            </w:r>
          </w:p>
        </w:tc>
      </w:tr>
      <w:tr w:rsidR="001A3FE6">
        <w:tc>
          <w:tcPr>
            <w:tcW w:w="2718" w:type="dxa"/>
          </w:tcPr>
          <w:p w:rsidR="001A3FE6" w:rsidRDefault="001A3FE6" w:rsidP="00585E7E">
            <w:pPr>
              <w:rPr>
                <w:rFonts w:ascii="Garamond" w:hAnsi="Garamond"/>
              </w:rPr>
            </w:pPr>
            <w:r>
              <w:rPr>
                <w:rFonts w:ascii="Garamond" w:hAnsi="Garamond"/>
              </w:rPr>
              <w:t>Commodity Futures v.  Schor (1986)</w:t>
            </w:r>
          </w:p>
        </w:tc>
        <w:tc>
          <w:tcPr>
            <w:tcW w:w="1350" w:type="dxa"/>
          </w:tcPr>
          <w:p w:rsidR="001A3FE6" w:rsidRDefault="001A3FE6" w:rsidP="00915D78">
            <w:pPr>
              <w:jc w:val="center"/>
              <w:rPr>
                <w:rFonts w:ascii="Garamond" w:hAnsi="Garamond"/>
              </w:rPr>
            </w:pPr>
            <w:r>
              <w:rPr>
                <w:rFonts w:ascii="Garamond" w:hAnsi="Garamond"/>
              </w:rPr>
              <w:t>Brennan</w:t>
            </w:r>
          </w:p>
        </w:tc>
        <w:tc>
          <w:tcPr>
            <w:tcW w:w="900" w:type="dxa"/>
          </w:tcPr>
          <w:p w:rsidR="001A3FE6" w:rsidRDefault="001A3FE6" w:rsidP="00915D78">
            <w:pPr>
              <w:jc w:val="center"/>
              <w:rPr>
                <w:rFonts w:ascii="Garamond" w:hAnsi="Garamond"/>
              </w:rPr>
            </w:pPr>
            <w:r>
              <w:rPr>
                <w:rFonts w:ascii="Garamond" w:hAnsi="Garamond"/>
              </w:rPr>
              <w:t>S/F</w:t>
            </w:r>
          </w:p>
        </w:tc>
        <w:tc>
          <w:tcPr>
            <w:tcW w:w="1080" w:type="dxa"/>
          </w:tcPr>
          <w:p w:rsidR="001A3FE6" w:rsidRDefault="001A3FE6" w:rsidP="00915D78">
            <w:pPr>
              <w:jc w:val="center"/>
              <w:rPr>
                <w:rFonts w:ascii="Garamond" w:hAnsi="Garamond"/>
              </w:rPr>
            </w:pPr>
            <w:r>
              <w:rPr>
                <w:rFonts w:ascii="Garamond" w:hAnsi="Garamond"/>
              </w:rPr>
              <w:t>D</w:t>
            </w:r>
          </w:p>
        </w:tc>
        <w:tc>
          <w:tcPr>
            <w:tcW w:w="3780" w:type="dxa"/>
          </w:tcPr>
          <w:p w:rsidR="001A3FE6" w:rsidRDefault="001A3FE6" w:rsidP="00930D6A">
            <w:pPr>
              <w:rPr>
                <w:rFonts w:ascii="Garamond" w:hAnsi="Garamond"/>
              </w:rPr>
            </w:pPr>
            <w:r>
              <w:rPr>
                <w:rFonts w:ascii="Garamond" w:hAnsi="Garamond"/>
              </w:rPr>
              <w:t>A body other than a federal court cannot make judicial pronouncements</w:t>
            </w:r>
          </w:p>
        </w:tc>
      </w:tr>
      <w:tr w:rsidR="001A3FE6">
        <w:tc>
          <w:tcPr>
            <w:tcW w:w="2718" w:type="dxa"/>
          </w:tcPr>
          <w:p w:rsidR="001A3FE6" w:rsidRDefault="001A3FE6" w:rsidP="00930D6A">
            <w:pPr>
              <w:rPr>
                <w:rFonts w:ascii="Garamond" w:hAnsi="Garamond"/>
              </w:rPr>
            </w:pPr>
            <w:r>
              <w:rPr>
                <w:rFonts w:ascii="Garamond" w:hAnsi="Garamond"/>
              </w:rPr>
              <w:t>US v. Providence Journal (1987)</w:t>
            </w:r>
          </w:p>
        </w:tc>
        <w:tc>
          <w:tcPr>
            <w:tcW w:w="1350" w:type="dxa"/>
          </w:tcPr>
          <w:p w:rsidR="001A3FE6" w:rsidRDefault="001A3FE6" w:rsidP="00915D78">
            <w:pPr>
              <w:jc w:val="center"/>
              <w:rPr>
                <w:rFonts w:ascii="Garamond" w:hAnsi="Garamond"/>
              </w:rPr>
            </w:pPr>
            <w:r>
              <w:rPr>
                <w:rFonts w:ascii="Garamond" w:hAnsi="Garamond"/>
              </w:rPr>
              <w:t>Stevens</w:t>
            </w:r>
          </w:p>
        </w:tc>
        <w:tc>
          <w:tcPr>
            <w:tcW w:w="900" w:type="dxa"/>
          </w:tcPr>
          <w:p w:rsidR="001A3FE6" w:rsidRDefault="001A3FE6" w:rsidP="00915D78">
            <w:pPr>
              <w:jc w:val="center"/>
              <w:rPr>
                <w:rFonts w:ascii="Garamond" w:hAnsi="Garamond"/>
              </w:rPr>
            </w:pPr>
            <w:r>
              <w:rPr>
                <w:rFonts w:ascii="Garamond" w:hAnsi="Garamond"/>
              </w:rPr>
              <w:t>F</w:t>
            </w:r>
          </w:p>
        </w:tc>
        <w:tc>
          <w:tcPr>
            <w:tcW w:w="1080" w:type="dxa"/>
          </w:tcPr>
          <w:p w:rsidR="001A3FE6" w:rsidRDefault="001A3FE6" w:rsidP="00915D78">
            <w:pPr>
              <w:jc w:val="center"/>
              <w:rPr>
                <w:rFonts w:ascii="Garamond" w:hAnsi="Garamond"/>
              </w:rPr>
            </w:pPr>
            <w:r>
              <w:rPr>
                <w:rFonts w:ascii="Garamond" w:hAnsi="Garamond"/>
              </w:rPr>
              <w:t>D</w:t>
            </w:r>
          </w:p>
        </w:tc>
        <w:tc>
          <w:tcPr>
            <w:tcW w:w="3780" w:type="dxa"/>
          </w:tcPr>
          <w:p w:rsidR="001A3FE6" w:rsidRDefault="001A3FE6" w:rsidP="00F615A8">
            <w:pPr>
              <w:rPr>
                <w:rFonts w:ascii="Garamond" w:hAnsi="Garamond"/>
              </w:rPr>
            </w:pPr>
            <w:r>
              <w:rPr>
                <w:rFonts w:ascii="Garamond" w:hAnsi="Garamond"/>
              </w:rPr>
              <w:t>Allowing special prosecutor to bring suit does not violate sep. of powers</w:t>
            </w:r>
          </w:p>
        </w:tc>
      </w:tr>
      <w:tr w:rsidR="00CC03D5">
        <w:tc>
          <w:tcPr>
            <w:tcW w:w="2718" w:type="dxa"/>
          </w:tcPr>
          <w:p w:rsidR="00CC03D5" w:rsidRDefault="00CC03D5" w:rsidP="00930D6A">
            <w:pPr>
              <w:rPr>
                <w:rFonts w:ascii="Garamond" w:hAnsi="Garamond"/>
              </w:rPr>
            </w:pPr>
            <w:r>
              <w:rPr>
                <w:rFonts w:ascii="Garamond" w:hAnsi="Garamond"/>
              </w:rPr>
              <w:t>Mistretta v. US (1989)</w:t>
            </w:r>
          </w:p>
        </w:tc>
        <w:tc>
          <w:tcPr>
            <w:tcW w:w="1350" w:type="dxa"/>
          </w:tcPr>
          <w:p w:rsidR="00CC03D5" w:rsidRDefault="00CC03D5" w:rsidP="00915D78">
            <w:pPr>
              <w:jc w:val="center"/>
              <w:rPr>
                <w:rFonts w:ascii="Garamond" w:hAnsi="Garamond"/>
              </w:rPr>
            </w:pPr>
            <w:r>
              <w:rPr>
                <w:rFonts w:ascii="Garamond" w:hAnsi="Garamond"/>
              </w:rPr>
              <w:t>Blackmun</w:t>
            </w:r>
          </w:p>
        </w:tc>
        <w:tc>
          <w:tcPr>
            <w:tcW w:w="900" w:type="dxa"/>
          </w:tcPr>
          <w:p w:rsidR="00CC03D5" w:rsidRDefault="00CC03D5" w:rsidP="00915D78">
            <w:pPr>
              <w:jc w:val="center"/>
              <w:rPr>
                <w:rFonts w:ascii="Garamond" w:hAnsi="Garamond"/>
              </w:rPr>
            </w:pPr>
            <w:r>
              <w:rPr>
                <w:rFonts w:ascii="Garamond" w:hAnsi="Garamond"/>
              </w:rPr>
              <w:t>F</w:t>
            </w:r>
          </w:p>
        </w:tc>
        <w:tc>
          <w:tcPr>
            <w:tcW w:w="1080" w:type="dxa"/>
          </w:tcPr>
          <w:p w:rsidR="00CC03D5" w:rsidRDefault="00CC03D5" w:rsidP="00915D78">
            <w:pPr>
              <w:jc w:val="center"/>
              <w:rPr>
                <w:rFonts w:ascii="Garamond" w:hAnsi="Garamond"/>
              </w:rPr>
            </w:pPr>
            <w:r>
              <w:rPr>
                <w:rFonts w:ascii="Garamond" w:hAnsi="Garamond"/>
              </w:rPr>
              <w:t>M</w:t>
            </w:r>
          </w:p>
        </w:tc>
        <w:tc>
          <w:tcPr>
            <w:tcW w:w="3780" w:type="dxa"/>
          </w:tcPr>
          <w:p w:rsidR="00CC03D5" w:rsidRDefault="00CC03D5" w:rsidP="00930D6A">
            <w:pPr>
              <w:rPr>
                <w:rFonts w:ascii="Garamond" w:hAnsi="Garamond"/>
              </w:rPr>
            </w:pPr>
            <w:r>
              <w:rPr>
                <w:rFonts w:ascii="Garamond" w:hAnsi="Garamond"/>
              </w:rPr>
              <w:t>Judicial discretion in sentencing does not violate Constitution; suggests Madison favored coequality</w:t>
            </w:r>
          </w:p>
        </w:tc>
      </w:tr>
      <w:tr w:rsidR="00CC03D5">
        <w:tc>
          <w:tcPr>
            <w:tcW w:w="2718" w:type="dxa"/>
          </w:tcPr>
          <w:p w:rsidR="00CC03D5" w:rsidRDefault="00CC03D5" w:rsidP="00930D6A">
            <w:pPr>
              <w:rPr>
                <w:rFonts w:ascii="Garamond" w:hAnsi="Garamond"/>
              </w:rPr>
            </w:pPr>
            <w:r>
              <w:rPr>
                <w:rFonts w:ascii="Garamond" w:hAnsi="Garamond"/>
              </w:rPr>
              <w:t>Richmond v. Croson (1989)</w:t>
            </w:r>
          </w:p>
        </w:tc>
        <w:tc>
          <w:tcPr>
            <w:tcW w:w="1350" w:type="dxa"/>
          </w:tcPr>
          <w:p w:rsidR="00CC03D5" w:rsidRDefault="00CC03D5" w:rsidP="00915D78">
            <w:pPr>
              <w:jc w:val="center"/>
              <w:rPr>
                <w:rFonts w:ascii="Garamond" w:hAnsi="Garamond"/>
              </w:rPr>
            </w:pPr>
            <w:r>
              <w:rPr>
                <w:rFonts w:ascii="Garamond" w:hAnsi="Garamond"/>
              </w:rPr>
              <w:t>O’Connor</w:t>
            </w:r>
          </w:p>
        </w:tc>
        <w:tc>
          <w:tcPr>
            <w:tcW w:w="900" w:type="dxa"/>
          </w:tcPr>
          <w:p w:rsidR="00CC03D5" w:rsidRDefault="00CC03D5" w:rsidP="00915D78">
            <w:pPr>
              <w:jc w:val="center"/>
              <w:rPr>
                <w:rFonts w:ascii="Garamond" w:hAnsi="Garamond"/>
              </w:rPr>
            </w:pPr>
            <w:r>
              <w:rPr>
                <w:rFonts w:ascii="Garamond" w:hAnsi="Garamond"/>
              </w:rPr>
              <w:t>L</w:t>
            </w:r>
          </w:p>
        </w:tc>
        <w:tc>
          <w:tcPr>
            <w:tcW w:w="1080" w:type="dxa"/>
          </w:tcPr>
          <w:p w:rsidR="00CC03D5" w:rsidRDefault="00CC03D5" w:rsidP="00915D78">
            <w:pPr>
              <w:jc w:val="center"/>
              <w:rPr>
                <w:rFonts w:ascii="Garamond" w:hAnsi="Garamond"/>
              </w:rPr>
            </w:pPr>
            <w:r>
              <w:rPr>
                <w:rFonts w:ascii="Garamond" w:hAnsi="Garamond"/>
              </w:rPr>
              <w:t>M</w:t>
            </w:r>
          </w:p>
        </w:tc>
        <w:tc>
          <w:tcPr>
            <w:tcW w:w="3780" w:type="dxa"/>
          </w:tcPr>
          <w:p w:rsidR="00CC03D5" w:rsidRDefault="00CC03D5" w:rsidP="00930D6A">
            <w:pPr>
              <w:rPr>
                <w:rFonts w:ascii="Garamond" w:hAnsi="Garamond"/>
              </w:rPr>
            </w:pPr>
            <w:r>
              <w:rPr>
                <w:rFonts w:ascii="Garamond" w:hAnsi="Garamond"/>
              </w:rPr>
              <w:t>Discusses Burger opinion in Fullilove; that view is not controlling here</w:t>
            </w:r>
          </w:p>
        </w:tc>
      </w:tr>
      <w:tr w:rsidR="00CC03D5">
        <w:tc>
          <w:tcPr>
            <w:tcW w:w="2718" w:type="dxa"/>
          </w:tcPr>
          <w:p w:rsidR="00CC03D5" w:rsidRDefault="00CC03D5" w:rsidP="00930D6A">
            <w:pPr>
              <w:rPr>
                <w:rFonts w:ascii="Garamond" w:hAnsi="Garamond"/>
              </w:rPr>
            </w:pPr>
            <w:r>
              <w:rPr>
                <w:rFonts w:ascii="Garamond" w:hAnsi="Garamond"/>
              </w:rPr>
              <w:t>Public Citizen v. US Dept. of Justice</w:t>
            </w:r>
          </w:p>
        </w:tc>
        <w:tc>
          <w:tcPr>
            <w:tcW w:w="1350" w:type="dxa"/>
          </w:tcPr>
          <w:p w:rsidR="00CC03D5" w:rsidRDefault="00CC03D5" w:rsidP="00915D78">
            <w:pPr>
              <w:jc w:val="center"/>
              <w:rPr>
                <w:rFonts w:ascii="Garamond" w:hAnsi="Garamond"/>
              </w:rPr>
            </w:pPr>
            <w:r>
              <w:rPr>
                <w:rFonts w:ascii="Garamond" w:hAnsi="Garamond"/>
              </w:rPr>
              <w:t>Kennedy</w:t>
            </w:r>
          </w:p>
        </w:tc>
        <w:tc>
          <w:tcPr>
            <w:tcW w:w="900" w:type="dxa"/>
          </w:tcPr>
          <w:p w:rsidR="00CC03D5" w:rsidRDefault="00CC03D5" w:rsidP="00915D78">
            <w:pPr>
              <w:jc w:val="center"/>
              <w:rPr>
                <w:rFonts w:ascii="Garamond" w:hAnsi="Garamond"/>
              </w:rPr>
            </w:pPr>
            <w:r>
              <w:rPr>
                <w:rFonts w:ascii="Garamond" w:hAnsi="Garamond"/>
              </w:rPr>
              <w:t>F</w:t>
            </w:r>
          </w:p>
        </w:tc>
        <w:tc>
          <w:tcPr>
            <w:tcW w:w="1080" w:type="dxa"/>
          </w:tcPr>
          <w:p w:rsidR="00CC03D5" w:rsidRDefault="00CC03D5" w:rsidP="00915D78">
            <w:pPr>
              <w:jc w:val="center"/>
              <w:rPr>
                <w:rFonts w:ascii="Garamond" w:hAnsi="Garamond"/>
              </w:rPr>
            </w:pPr>
            <w:r>
              <w:rPr>
                <w:rFonts w:ascii="Garamond" w:hAnsi="Garamond"/>
              </w:rPr>
              <w:t>C</w:t>
            </w:r>
          </w:p>
        </w:tc>
        <w:tc>
          <w:tcPr>
            <w:tcW w:w="3780" w:type="dxa"/>
          </w:tcPr>
          <w:p w:rsidR="00CC03D5" w:rsidRDefault="00CC03D5" w:rsidP="00930D6A">
            <w:pPr>
              <w:rPr>
                <w:rFonts w:ascii="Garamond" w:hAnsi="Garamond"/>
              </w:rPr>
            </w:pPr>
            <w:r>
              <w:rPr>
                <w:rFonts w:ascii="Garamond" w:hAnsi="Garamond"/>
              </w:rPr>
              <w:t>a non-ruling is desirable here as it gives greater respect to Congress</w:t>
            </w:r>
          </w:p>
        </w:tc>
      </w:tr>
      <w:tr w:rsidR="00F759E6">
        <w:tc>
          <w:tcPr>
            <w:tcW w:w="2718" w:type="dxa"/>
          </w:tcPr>
          <w:p w:rsidR="00F759E6" w:rsidRDefault="00F759E6" w:rsidP="00930D6A">
            <w:pPr>
              <w:rPr>
                <w:rFonts w:ascii="Garamond" w:hAnsi="Garamond"/>
              </w:rPr>
            </w:pPr>
            <w:r>
              <w:rPr>
                <w:rFonts w:ascii="Garamond" w:hAnsi="Garamond"/>
              </w:rPr>
              <w:t>US Dept. of Labor v. Triplett (1990)</w:t>
            </w:r>
          </w:p>
        </w:tc>
        <w:tc>
          <w:tcPr>
            <w:tcW w:w="1350" w:type="dxa"/>
          </w:tcPr>
          <w:p w:rsidR="00F759E6" w:rsidRDefault="00F759E6" w:rsidP="00915D78">
            <w:pPr>
              <w:jc w:val="center"/>
              <w:rPr>
                <w:rFonts w:ascii="Garamond" w:hAnsi="Garamond"/>
              </w:rPr>
            </w:pPr>
            <w:r>
              <w:rPr>
                <w:rFonts w:ascii="Garamond" w:hAnsi="Garamond"/>
              </w:rPr>
              <w:t>Scalia</w:t>
            </w:r>
          </w:p>
          <w:p w:rsidR="00F759E6" w:rsidRDefault="00F759E6" w:rsidP="00915D78">
            <w:pPr>
              <w:jc w:val="center"/>
              <w:rPr>
                <w:rFonts w:ascii="Garamond" w:hAnsi="Garamond"/>
              </w:rPr>
            </w:pPr>
          </w:p>
          <w:p w:rsidR="00F759E6" w:rsidRDefault="00F759E6" w:rsidP="00915D78">
            <w:pPr>
              <w:jc w:val="center"/>
              <w:rPr>
                <w:rFonts w:ascii="Garamond" w:hAnsi="Garamond"/>
              </w:rPr>
            </w:pPr>
          </w:p>
          <w:p w:rsidR="00F759E6" w:rsidRDefault="00F759E6" w:rsidP="00915D78">
            <w:pPr>
              <w:jc w:val="center"/>
              <w:rPr>
                <w:rFonts w:ascii="Garamond" w:hAnsi="Garamond"/>
              </w:rPr>
            </w:pPr>
          </w:p>
          <w:p w:rsidR="00F759E6" w:rsidRDefault="00F759E6" w:rsidP="00915D78">
            <w:pPr>
              <w:jc w:val="center"/>
              <w:rPr>
                <w:rFonts w:ascii="Garamond" w:hAnsi="Garamond"/>
              </w:rPr>
            </w:pPr>
            <w:r>
              <w:rPr>
                <w:rFonts w:ascii="Garamond" w:hAnsi="Garamond"/>
              </w:rPr>
              <w:t>Marshall</w:t>
            </w:r>
          </w:p>
        </w:tc>
        <w:tc>
          <w:tcPr>
            <w:tcW w:w="900" w:type="dxa"/>
          </w:tcPr>
          <w:p w:rsidR="00F759E6" w:rsidRDefault="00F759E6" w:rsidP="00915D78">
            <w:pPr>
              <w:jc w:val="center"/>
              <w:rPr>
                <w:rFonts w:ascii="Garamond" w:hAnsi="Garamond"/>
              </w:rPr>
            </w:pPr>
            <w:r>
              <w:rPr>
                <w:rFonts w:ascii="Garamond" w:hAnsi="Garamond"/>
              </w:rPr>
              <w:t>F</w:t>
            </w:r>
          </w:p>
        </w:tc>
        <w:tc>
          <w:tcPr>
            <w:tcW w:w="1080" w:type="dxa"/>
          </w:tcPr>
          <w:p w:rsidR="00F759E6" w:rsidRDefault="00F759E6" w:rsidP="00915D78">
            <w:pPr>
              <w:jc w:val="center"/>
              <w:rPr>
                <w:rFonts w:ascii="Garamond" w:hAnsi="Garamond"/>
              </w:rPr>
            </w:pPr>
            <w:r>
              <w:rPr>
                <w:rFonts w:ascii="Garamond" w:hAnsi="Garamond"/>
              </w:rPr>
              <w:t>M</w:t>
            </w:r>
          </w:p>
          <w:p w:rsidR="00F759E6" w:rsidRDefault="00F759E6" w:rsidP="00915D78">
            <w:pPr>
              <w:jc w:val="center"/>
              <w:rPr>
                <w:rFonts w:ascii="Garamond" w:hAnsi="Garamond"/>
              </w:rPr>
            </w:pPr>
          </w:p>
          <w:p w:rsidR="00F759E6" w:rsidRDefault="00F759E6" w:rsidP="00915D78">
            <w:pPr>
              <w:jc w:val="center"/>
              <w:rPr>
                <w:rFonts w:ascii="Garamond" w:hAnsi="Garamond"/>
              </w:rPr>
            </w:pPr>
          </w:p>
          <w:p w:rsidR="00F759E6" w:rsidRDefault="00F759E6" w:rsidP="00915D78">
            <w:pPr>
              <w:jc w:val="center"/>
              <w:rPr>
                <w:rFonts w:ascii="Garamond" w:hAnsi="Garamond"/>
              </w:rPr>
            </w:pPr>
          </w:p>
          <w:p w:rsidR="00F759E6" w:rsidRDefault="00F759E6" w:rsidP="00915D78">
            <w:pPr>
              <w:jc w:val="center"/>
              <w:rPr>
                <w:rFonts w:ascii="Garamond" w:hAnsi="Garamond"/>
              </w:rPr>
            </w:pPr>
            <w:r>
              <w:rPr>
                <w:rFonts w:ascii="Garamond" w:hAnsi="Garamond"/>
              </w:rPr>
              <w:t>C</w:t>
            </w:r>
          </w:p>
        </w:tc>
        <w:tc>
          <w:tcPr>
            <w:tcW w:w="3780" w:type="dxa"/>
          </w:tcPr>
          <w:p w:rsidR="00F759E6" w:rsidRDefault="00F759E6" w:rsidP="00930D6A">
            <w:pPr>
              <w:rPr>
                <w:rFonts w:ascii="Garamond" w:hAnsi="Garamond"/>
              </w:rPr>
            </w:pPr>
            <w:r>
              <w:rPr>
                <w:rFonts w:ascii="Garamond" w:hAnsi="Garamond"/>
              </w:rPr>
              <w:t>quotes Walters, Congress is entitled to high deference-statute regulating pay of attorneys is constitutional</w:t>
            </w:r>
          </w:p>
          <w:p w:rsidR="00F759E6" w:rsidRDefault="00F759E6" w:rsidP="00930D6A">
            <w:pPr>
              <w:rPr>
                <w:rFonts w:ascii="Garamond" w:hAnsi="Garamond"/>
              </w:rPr>
            </w:pPr>
          </w:p>
          <w:p w:rsidR="00F759E6" w:rsidRDefault="00F759E6" w:rsidP="00930D6A">
            <w:pPr>
              <w:rPr>
                <w:rFonts w:ascii="Garamond" w:hAnsi="Garamond"/>
              </w:rPr>
            </w:pPr>
            <w:r>
              <w:rPr>
                <w:rFonts w:ascii="Garamond" w:hAnsi="Garamond"/>
              </w:rPr>
              <w:t>mere concerns are not enough to overturn a coequal branch’s law</w:t>
            </w:r>
          </w:p>
        </w:tc>
      </w:tr>
    </w:tbl>
    <w:p w:rsidR="004E1775" w:rsidRDefault="004E1775"/>
    <w:p w:rsidR="004E1775" w:rsidRDefault="004E1775"/>
    <w:tbl>
      <w:tblPr>
        <w:tblStyle w:val="TableGrid"/>
        <w:tblW w:w="9828" w:type="dxa"/>
        <w:tblLook w:val="00BF"/>
      </w:tblPr>
      <w:tblGrid>
        <w:gridCol w:w="2718"/>
        <w:gridCol w:w="1350"/>
        <w:gridCol w:w="900"/>
        <w:gridCol w:w="1080"/>
        <w:gridCol w:w="3780"/>
      </w:tblGrid>
      <w:tr w:rsidR="00915D78">
        <w:tc>
          <w:tcPr>
            <w:tcW w:w="2718" w:type="dxa"/>
          </w:tcPr>
          <w:p w:rsidR="00915D78" w:rsidRDefault="00007950" w:rsidP="00930D6A">
            <w:pPr>
              <w:rPr>
                <w:rFonts w:ascii="Garamond" w:hAnsi="Garamond"/>
              </w:rPr>
            </w:pPr>
            <w:r>
              <w:rPr>
                <w:rFonts w:ascii="Garamond" w:hAnsi="Garamond"/>
              </w:rPr>
              <w:t>US v Munoz-Flores (1990)</w:t>
            </w:r>
          </w:p>
        </w:tc>
        <w:tc>
          <w:tcPr>
            <w:tcW w:w="1350" w:type="dxa"/>
          </w:tcPr>
          <w:p w:rsidR="00A578F7" w:rsidRDefault="00007950" w:rsidP="00915D78">
            <w:pPr>
              <w:jc w:val="center"/>
              <w:rPr>
                <w:rFonts w:ascii="Garamond" w:hAnsi="Garamond"/>
              </w:rPr>
            </w:pPr>
            <w:r>
              <w:rPr>
                <w:rFonts w:ascii="Garamond" w:hAnsi="Garamond"/>
              </w:rPr>
              <w:t>Scalia</w:t>
            </w:r>
          </w:p>
          <w:p w:rsidR="00A578F7" w:rsidRDefault="00A578F7" w:rsidP="00915D78">
            <w:pPr>
              <w:jc w:val="center"/>
              <w:rPr>
                <w:rFonts w:ascii="Garamond" w:hAnsi="Garamond"/>
              </w:rPr>
            </w:pPr>
          </w:p>
          <w:p w:rsidR="00A578F7" w:rsidRDefault="00A578F7" w:rsidP="00915D78">
            <w:pPr>
              <w:jc w:val="center"/>
              <w:rPr>
                <w:rFonts w:ascii="Garamond" w:hAnsi="Garamond"/>
              </w:rPr>
            </w:pPr>
          </w:p>
          <w:p w:rsidR="00915D78" w:rsidRDefault="00A578F7" w:rsidP="00915D78">
            <w:pPr>
              <w:jc w:val="center"/>
              <w:rPr>
                <w:rFonts w:ascii="Garamond" w:hAnsi="Garamond"/>
              </w:rPr>
            </w:pPr>
            <w:r>
              <w:rPr>
                <w:rFonts w:ascii="Garamond" w:hAnsi="Garamond"/>
              </w:rPr>
              <w:t>Marshall</w:t>
            </w:r>
          </w:p>
        </w:tc>
        <w:tc>
          <w:tcPr>
            <w:tcW w:w="900" w:type="dxa"/>
          </w:tcPr>
          <w:p w:rsidR="00915D78" w:rsidRDefault="00007950" w:rsidP="00915D78">
            <w:pPr>
              <w:jc w:val="center"/>
              <w:rPr>
                <w:rFonts w:ascii="Garamond" w:hAnsi="Garamond"/>
              </w:rPr>
            </w:pPr>
            <w:r>
              <w:rPr>
                <w:rFonts w:ascii="Garamond" w:hAnsi="Garamond"/>
              </w:rPr>
              <w:t>F</w:t>
            </w:r>
          </w:p>
        </w:tc>
        <w:tc>
          <w:tcPr>
            <w:tcW w:w="1080" w:type="dxa"/>
          </w:tcPr>
          <w:p w:rsidR="00A578F7" w:rsidRDefault="00007950" w:rsidP="00915D78">
            <w:pPr>
              <w:jc w:val="center"/>
              <w:rPr>
                <w:rFonts w:ascii="Garamond" w:hAnsi="Garamond"/>
              </w:rPr>
            </w:pPr>
            <w:r>
              <w:rPr>
                <w:rFonts w:ascii="Garamond" w:hAnsi="Garamond"/>
              </w:rPr>
              <w:t>C</w:t>
            </w:r>
          </w:p>
          <w:p w:rsidR="00A578F7" w:rsidRDefault="00A578F7" w:rsidP="00915D78">
            <w:pPr>
              <w:jc w:val="center"/>
              <w:rPr>
                <w:rFonts w:ascii="Garamond" w:hAnsi="Garamond"/>
              </w:rPr>
            </w:pPr>
          </w:p>
          <w:p w:rsidR="00A578F7" w:rsidRDefault="00A578F7" w:rsidP="00915D78">
            <w:pPr>
              <w:jc w:val="center"/>
              <w:rPr>
                <w:rFonts w:ascii="Garamond" w:hAnsi="Garamond"/>
              </w:rPr>
            </w:pPr>
          </w:p>
          <w:p w:rsidR="00915D78" w:rsidRDefault="00A578F7" w:rsidP="00915D78">
            <w:pPr>
              <w:jc w:val="center"/>
              <w:rPr>
                <w:rFonts w:ascii="Garamond" w:hAnsi="Garamond"/>
              </w:rPr>
            </w:pPr>
            <w:r>
              <w:rPr>
                <w:rFonts w:ascii="Garamond" w:hAnsi="Garamond"/>
              </w:rPr>
              <w:t>M</w:t>
            </w:r>
          </w:p>
        </w:tc>
        <w:tc>
          <w:tcPr>
            <w:tcW w:w="3780" w:type="dxa"/>
          </w:tcPr>
          <w:p w:rsidR="00A578F7" w:rsidRDefault="00007950" w:rsidP="00930D6A">
            <w:pPr>
              <w:rPr>
                <w:rFonts w:ascii="Garamond" w:hAnsi="Garamond"/>
              </w:rPr>
            </w:pPr>
            <w:r>
              <w:rPr>
                <w:rFonts w:ascii="Garamond" w:hAnsi="Garamond"/>
              </w:rPr>
              <w:t xml:space="preserve">procedural question not </w:t>
            </w:r>
            <w:r w:rsidR="00A578F7">
              <w:rPr>
                <w:rFonts w:ascii="Garamond" w:hAnsi="Garamond"/>
              </w:rPr>
              <w:t>enough to overturn enrolled act; quotes Field</w:t>
            </w:r>
          </w:p>
          <w:p w:rsidR="00A578F7" w:rsidRDefault="00A578F7" w:rsidP="00930D6A">
            <w:pPr>
              <w:rPr>
                <w:rFonts w:ascii="Garamond" w:hAnsi="Garamond"/>
              </w:rPr>
            </w:pPr>
          </w:p>
          <w:p w:rsidR="00915D78" w:rsidRDefault="00A578F7" w:rsidP="00930D6A">
            <w:pPr>
              <w:rPr>
                <w:rFonts w:ascii="Garamond" w:hAnsi="Garamond"/>
              </w:rPr>
            </w:pPr>
            <w:r>
              <w:rPr>
                <w:rFonts w:ascii="Garamond" w:hAnsi="Garamond"/>
              </w:rPr>
              <w:t>disputes Scalia determination that Field applies to this case</w:t>
            </w:r>
          </w:p>
        </w:tc>
      </w:tr>
      <w:tr w:rsidR="00915D78">
        <w:tc>
          <w:tcPr>
            <w:tcW w:w="2718" w:type="dxa"/>
          </w:tcPr>
          <w:p w:rsidR="00915D78" w:rsidRDefault="0036050A" w:rsidP="00930D6A">
            <w:pPr>
              <w:rPr>
                <w:rFonts w:ascii="Garamond" w:hAnsi="Garamond"/>
              </w:rPr>
            </w:pPr>
            <w:r>
              <w:rPr>
                <w:rFonts w:ascii="Garamond" w:hAnsi="Garamond"/>
              </w:rPr>
              <w:t>Westside Community Schools v. Mergens (1990)</w:t>
            </w:r>
          </w:p>
        </w:tc>
        <w:tc>
          <w:tcPr>
            <w:tcW w:w="1350" w:type="dxa"/>
          </w:tcPr>
          <w:p w:rsidR="00915D78" w:rsidRDefault="00FD1D65" w:rsidP="00915D78">
            <w:pPr>
              <w:jc w:val="center"/>
              <w:rPr>
                <w:rFonts w:ascii="Garamond" w:hAnsi="Garamond"/>
              </w:rPr>
            </w:pPr>
            <w:r>
              <w:rPr>
                <w:rFonts w:ascii="Garamond" w:hAnsi="Garamond"/>
              </w:rPr>
              <w:t>O’Connor</w:t>
            </w:r>
          </w:p>
        </w:tc>
        <w:tc>
          <w:tcPr>
            <w:tcW w:w="900" w:type="dxa"/>
          </w:tcPr>
          <w:p w:rsidR="00915D78" w:rsidRDefault="00FD1D65" w:rsidP="00915D78">
            <w:pPr>
              <w:jc w:val="center"/>
              <w:rPr>
                <w:rFonts w:ascii="Garamond" w:hAnsi="Garamond"/>
              </w:rPr>
            </w:pPr>
            <w:r>
              <w:rPr>
                <w:rFonts w:ascii="Garamond" w:hAnsi="Garamond"/>
              </w:rPr>
              <w:t>L</w:t>
            </w:r>
          </w:p>
        </w:tc>
        <w:tc>
          <w:tcPr>
            <w:tcW w:w="1080" w:type="dxa"/>
          </w:tcPr>
          <w:p w:rsidR="00915D78" w:rsidRDefault="00FD1D65" w:rsidP="00915D78">
            <w:pPr>
              <w:jc w:val="center"/>
              <w:rPr>
                <w:rFonts w:ascii="Garamond" w:hAnsi="Garamond"/>
              </w:rPr>
            </w:pPr>
            <w:r>
              <w:rPr>
                <w:rFonts w:ascii="Garamond" w:hAnsi="Garamond"/>
              </w:rPr>
              <w:t>M</w:t>
            </w:r>
          </w:p>
        </w:tc>
        <w:tc>
          <w:tcPr>
            <w:tcW w:w="3780" w:type="dxa"/>
          </w:tcPr>
          <w:p w:rsidR="00915D78" w:rsidRDefault="00FD1D65" w:rsidP="00930D6A">
            <w:pPr>
              <w:rPr>
                <w:rFonts w:ascii="Garamond" w:hAnsi="Garamond"/>
              </w:rPr>
            </w:pPr>
            <w:r>
              <w:rPr>
                <w:rFonts w:ascii="Garamond" w:hAnsi="Garamond"/>
              </w:rPr>
              <w:t>quotes Walters, Congressional determination on student reactions deserves deference</w:t>
            </w:r>
          </w:p>
        </w:tc>
      </w:tr>
      <w:tr w:rsidR="00915D78">
        <w:tc>
          <w:tcPr>
            <w:tcW w:w="2718" w:type="dxa"/>
          </w:tcPr>
          <w:p w:rsidR="00915D78" w:rsidRDefault="00FD1D65" w:rsidP="00930D6A">
            <w:pPr>
              <w:rPr>
                <w:rFonts w:ascii="Garamond" w:hAnsi="Garamond"/>
              </w:rPr>
            </w:pPr>
            <w:r>
              <w:rPr>
                <w:rFonts w:ascii="Garamond" w:hAnsi="Garamond"/>
              </w:rPr>
              <w:t>Metro Broadcasting v. FCC (1990)</w:t>
            </w:r>
          </w:p>
        </w:tc>
        <w:tc>
          <w:tcPr>
            <w:tcW w:w="1350" w:type="dxa"/>
          </w:tcPr>
          <w:p w:rsidR="00915D78" w:rsidRDefault="00FD1D65" w:rsidP="00915D78">
            <w:pPr>
              <w:jc w:val="center"/>
              <w:rPr>
                <w:rFonts w:ascii="Garamond" w:hAnsi="Garamond"/>
              </w:rPr>
            </w:pPr>
            <w:r>
              <w:rPr>
                <w:rFonts w:ascii="Garamond" w:hAnsi="Garamond"/>
              </w:rPr>
              <w:t>Brennan</w:t>
            </w:r>
          </w:p>
        </w:tc>
        <w:tc>
          <w:tcPr>
            <w:tcW w:w="900" w:type="dxa"/>
          </w:tcPr>
          <w:p w:rsidR="00915D78" w:rsidRDefault="00FD1D65" w:rsidP="00915D78">
            <w:pPr>
              <w:jc w:val="center"/>
              <w:rPr>
                <w:rFonts w:ascii="Garamond" w:hAnsi="Garamond"/>
              </w:rPr>
            </w:pPr>
            <w:r>
              <w:rPr>
                <w:rFonts w:ascii="Garamond" w:hAnsi="Garamond"/>
              </w:rPr>
              <w:t>F</w:t>
            </w:r>
          </w:p>
        </w:tc>
        <w:tc>
          <w:tcPr>
            <w:tcW w:w="1080" w:type="dxa"/>
          </w:tcPr>
          <w:p w:rsidR="00915D78" w:rsidRDefault="00FD1D65" w:rsidP="00915D78">
            <w:pPr>
              <w:jc w:val="center"/>
              <w:rPr>
                <w:rFonts w:ascii="Garamond" w:hAnsi="Garamond"/>
              </w:rPr>
            </w:pPr>
            <w:r>
              <w:rPr>
                <w:rFonts w:ascii="Garamond" w:hAnsi="Garamond"/>
              </w:rPr>
              <w:t>M</w:t>
            </w:r>
          </w:p>
        </w:tc>
        <w:tc>
          <w:tcPr>
            <w:tcW w:w="3780" w:type="dxa"/>
          </w:tcPr>
          <w:p w:rsidR="00915D78" w:rsidRDefault="00FD1D65" w:rsidP="00930D6A">
            <w:pPr>
              <w:rPr>
                <w:rFonts w:ascii="Garamond" w:hAnsi="Garamond"/>
              </w:rPr>
            </w:pPr>
            <w:r>
              <w:rPr>
                <w:rFonts w:ascii="Garamond" w:hAnsi="Garamond"/>
              </w:rPr>
              <w:t>Quotes Fullilove-deference to Congress in cases of benign racial discrimination generally warranted</w:t>
            </w:r>
          </w:p>
        </w:tc>
      </w:tr>
      <w:tr w:rsidR="00915D78">
        <w:tc>
          <w:tcPr>
            <w:tcW w:w="2718" w:type="dxa"/>
          </w:tcPr>
          <w:p w:rsidR="00915D78" w:rsidRDefault="00FD1D65" w:rsidP="00930D6A">
            <w:pPr>
              <w:rPr>
                <w:rFonts w:ascii="Garamond" w:hAnsi="Garamond"/>
              </w:rPr>
            </w:pPr>
            <w:r>
              <w:rPr>
                <w:rFonts w:ascii="Garamond" w:hAnsi="Garamond"/>
              </w:rPr>
              <w:t>Touby v. US (1991)</w:t>
            </w:r>
          </w:p>
        </w:tc>
        <w:tc>
          <w:tcPr>
            <w:tcW w:w="1350" w:type="dxa"/>
          </w:tcPr>
          <w:p w:rsidR="00915D78" w:rsidRDefault="00FD1D65" w:rsidP="00915D78">
            <w:pPr>
              <w:jc w:val="center"/>
              <w:rPr>
                <w:rFonts w:ascii="Garamond" w:hAnsi="Garamond"/>
              </w:rPr>
            </w:pPr>
            <w:r>
              <w:rPr>
                <w:rFonts w:ascii="Garamond" w:hAnsi="Garamond"/>
              </w:rPr>
              <w:t>O’Connor</w:t>
            </w:r>
          </w:p>
        </w:tc>
        <w:tc>
          <w:tcPr>
            <w:tcW w:w="900" w:type="dxa"/>
          </w:tcPr>
          <w:p w:rsidR="00915D78" w:rsidRDefault="00FD1D65" w:rsidP="00915D78">
            <w:pPr>
              <w:jc w:val="center"/>
              <w:rPr>
                <w:rFonts w:ascii="Garamond" w:hAnsi="Garamond"/>
              </w:rPr>
            </w:pPr>
            <w:r>
              <w:rPr>
                <w:rFonts w:ascii="Garamond" w:hAnsi="Garamond"/>
              </w:rPr>
              <w:t>F</w:t>
            </w:r>
          </w:p>
        </w:tc>
        <w:tc>
          <w:tcPr>
            <w:tcW w:w="1080" w:type="dxa"/>
          </w:tcPr>
          <w:p w:rsidR="00915D78" w:rsidRDefault="00FD1D65" w:rsidP="00915D78">
            <w:pPr>
              <w:jc w:val="center"/>
              <w:rPr>
                <w:rFonts w:ascii="Garamond" w:hAnsi="Garamond"/>
              </w:rPr>
            </w:pPr>
            <w:r>
              <w:rPr>
                <w:rFonts w:ascii="Garamond" w:hAnsi="Garamond"/>
              </w:rPr>
              <w:t>M</w:t>
            </w:r>
          </w:p>
        </w:tc>
        <w:tc>
          <w:tcPr>
            <w:tcW w:w="3780" w:type="dxa"/>
          </w:tcPr>
          <w:p w:rsidR="00915D78" w:rsidRDefault="00FD1D65" w:rsidP="00930D6A">
            <w:pPr>
              <w:rPr>
                <w:rFonts w:ascii="Garamond" w:hAnsi="Garamond"/>
              </w:rPr>
            </w:pPr>
            <w:r>
              <w:rPr>
                <w:rFonts w:ascii="Garamond" w:hAnsi="Garamond"/>
              </w:rPr>
              <w:t>Separation of powers cases occur across 3 coequal branches, not within</w:t>
            </w:r>
            <w:r w:rsidR="00ED3938">
              <w:rPr>
                <w:rFonts w:ascii="Garamond" w:hAnsi="Garamond"/>
              </w:rPr>
              <w:t>; cites Mistretta</w:t>
            </w:r>
          </w:p>
        </w:tc>
      </w:tr>
      <w:tr w:rsidR="00915D78">
        <w:tc>
          <w:tcPr>
            <w:tcW w:w="2718" w:type="dxa"/>
          </w:tcPr>
          <w:p w:rsidR="00915D78" w:rsidRDefault="00ED3938" w:rsidP="00930D6A">
            <w:pPr>
              <w:rPr>
                <w:rFonts w:ascii="Garamond" w:hAnsi="Garamond"/>
              </w:rPr>
            </w:pPr>
            <w:r>
              <w:rPr>
                <w:rFonts w:ascii="Garamond" w:hAnsi="Garamond"/>
              </w:rPr>
              <w:t>Chambers v. Nasco (1991)</w:t>
            </w:r>
          </w:p>
        </w:tc>
        <w:tc>
          <w:tcPr>
            <w:tcW w:w="1350" w:type="dxa"/>
          </w:tcPr>
          <w:p w:rsidR="00915D78" w:rsidRDefault="00ED3938" w:rsidP="00915D78">
            <w:pPr>
              <w:jc w:val="center"/>
              <w:rPr>
                <w:rFonts w:ascii="Garamond" w:hAnsi="Garamond"/>
              </w:rPr>
            </w:pPr>
            <w:r>
              <w:rPr>
                <w:rFonts w:ascii="Garamond" w:hAnsi="Garamond"/>
              </w:rPr>
              <w:t>Scalia</w:t>
            </w:r>
          </w:p>
        </w:tc>
        <w:tc>
          <w:tcPr>
            <w:tcW w:w="900" w:type="dxa"/>
          </w:tcPr>
          <w:p w:rsidR="00915D78" w:rsidRDefault="00ED3938" w:rsidP="00915D78">
            <w:pPr>
              <w:jc w:val="center"/>
              <w:rPr>
                <w:rFonts w:ascii="Garamond" w:hAnsi="Garamond"/>
              </w:rPr>
            </w:pPr>
            <w:r>
              <w:rPr>
                <w:rFonts w:ascii="Garamond" w:hAnsi="Garamond"/>
              </w:rPr>
              <w:t>F</w:t>
            </w:r>
          </w:p>
        </w:tc>
        <w:tc>
          <w:tcPr>
            <w:tcW w:w="1080" w:type="dxa"/>
          </w:tcPr>
          <w:p w:rsidR="00915D78" w:rsidRDefault="00ED3938" w:rsidP="00915D78">
            <w:pPr>
              <w:jc w:val="center"/>
              <w:rPr>
                <w:rFonts w:ascii="Garamond" w:hAnsi="Garamond"/>
              </w:rPr>
            </w:pPr>
            <w:r>
              <w:rPr>
                <w:rFonts w:ascii="Garamond" w:hAnsi="Garamond"/>
              </w:rPr>
              <w:t>D</w:t>
            </w:r>
          </w:p>
        </w:tc>
        <w:tc>
          <w:tcPr>
            <w:tcW w:w="3780" w:type="dxa"/>
          </w:tcPr>
          <w:p w:rsidR="00915D78" w:rsidRDefault="00ED3938" w:rsidP="00930D6A">
            <w:pPr>
              <w:rPr>
                <w:rFonts w:ascii="Garamond" w:hAnsi="Garamond"/>
              </w:rPr>
            </w:pPr>
            <w:r>
              <w:rPr>
                <w:rFonts w:ascii="Garamond" w:hAnsi="Garamond"/>
              </w:rPr>
              <w:t xml:space="preserve">Court </w:t>
            </w:r>
            <w:r w:rsidR="00B92A61">
              <w:rPr>
                <w:rFonts w:ascii="Garamond" w:hAnsi="Garamond"/>
              </w:rPr>
              <w:t>oversteps</w:t>
            </w:r>
            <w:r>
              <w:rPr>
                <w:rFonts w:ascii="Garamond" w:hAnsi="Garamond"/>
              </w:rPr>
              <w:t xml:space="preserve"> its bounds in levying attorneys fees for breach of contract</w:t>
            </w:r>
          </w:p>
        </w:tc>
      </w:tr>
      <w:tr w:rsidR="00915D78">
        <w:tc>
          <w:tcPr>
            <w:tcW w:w="2718" w:type="dxa"/>
          </w:tcPr>
          <w:p w:rsidR="00915D78" w:rsidRDefault="00ED3938" w:rsidP="00930D6A">
            <w:pPr>
              <w:rPr>
                <w:rFonts w:ascii="Garamond" w:hAnsi="Garamond"/>
              </w:rPr>
            </w:pPr>
            <w:r>
              <w:rPr>
                <w:rFonts w:ascii="Garamond" w:hAnsi="Garamond"/>
              </w:rPr>
              <w:t>Metropolitan Washington Airports Authority v. Citizens for the Abatement of Aircraft Noise (1991)</w:t>
            </w:r>
          </w:p>
        </w:tc>
        <w:tc>
          <w:tcPr>
            <w:tcW w:w="1350" w:type="dxa"/>
          </w:tcPr>
          <w:p w:rsidR="00915D78" w:rsidRDefault="007B2882" w:rsidP="00915D78">
            <w:pPr>
              <w:jc w:val="center"/>
              <w:rPr>
                <w:rFonts w:ascii="Garamond" w:hAnsi="Garamond"/>
              </w:rPr>
            </w:pPr>
            <w:r>
              <w:rPr>
                <w:rFonts w:ascii="Garamond" w:hAnsi="Garamond"/>
              </w:rPr>
              <w:t>White</w:t>
            </w:r>
          </w:p>
        </w:tc>
        <w:tc>
          <w:tcPr>
            <w:tcW w:w="900" w:type="dxa"/>
          </w:tcPr>
          <w:p w:rsidR="00915D78" w:rsidRDefault="007B2882" w:rsidP="00915D78">
            <w:pPr>
              <w:jc w:val="center"/>
              <w:rPr>
                <w:rFonts w:ascii="Garamond" w:hAnsi="Garamond"/>
              </w:rPr>
            </w:pPr>
            <w:r>
              <w:rPr>
                <w:rFonts w:ascii="Garamond" w:hAnsi="Garamond"/>
              </w:rPr>
              <w:t>F</w:t>
            </w:r>
          </w:p>
        </w:tc>
        <w:tc>
          <w:tcPr>
            <w:tcW w:w="1080" w:type="dxa"/>
          </w:tcPr>
          <w:p w:rsidR="00915D78" w:rsidRDefault="007B2882" w:rsidP="00915D78">
            <w:pPr>
              <w:jc w:val="center"/>
              <w:rPr>
                <w:rFonts w:ascii="Garamond" w:hAnsi="Garamond"/>
              </w:rPr>
            </w:pPr>
            <w:r>
              <w:rPr>
                <w:rFonts w:ascii="Garamond" w:hAnsi="Garamond"/>
              </w:rPr>
              <w:t>D</w:t>
            </w:r>
          </w:p>
        </w:tc>
        <w:tc>
          <w:tcPr>
            <w:tcW w:w="3780" w:type="dxa"/>
          </w:tcPr>
          <w:p w:rsidR="00915D78" w:rsidRDefault="007B2882" w:rsidP="00930D6A">
            <w:pPr>
              <w:rPr>
                <w:rFonts w:ascii="Garamond" w:hAnsi="Garamond"/>
              </w:rPr>
            </w:pPr>
            <w:r>
              <w:rPr>
                <w:rFonts w:ascii="Garamond" w:hAnsi="Garamond"/>
              </w:rPr>
              <w:t>Congress not usurping the po</w:t>
            </w:r>
            <w:r w:rsidR="005501C0">
              <w:rPr>
                <w:rFonts w:ascii="Garamond" w:hAnsi="Garamond"/>
              </w:rPr>
              <w:t xml:space="preserve">wer of a coequal branch to </w:t>
            </w:r>
            <w:r>
              <w:rPr>
                <w:rFonts w:ascii="Garamond" w:hAnsi="Garamond"/>
              </w:rPr>
              <w:t>a</w:t>
            </w:r>
            <w:r w:rsidR="005501C0">
              <w:rPr>
                <w:rFonts w:ascii="Garamond" w:hAnsi="Garamond"/>
              </w:rPr>
              <w:t>ppoint more like Mistretta than</w:t>
            </w:r>
            <w:r>
              <w:rPr>
                <w:rFonts w:ascii="Garamond" w:hAnsi="Garamond"/>
              </w:rPr>
              <w:t xml:space="preserve"> </w:t>
            </w:r>
            <w:r w:rsidR="005501C0">
              <w:rPr>
                <w:rFonts w:ascii="Garamond" w:hAnsi="Garamond"/>
              </w:rPr>
              <w:t>Buckley</w:t>
            </w:r>
          </w:p>
        </w:tc>
      </w:tr>
      <w:tr w:rsidR="00915D78">
        <w:tc>
          <w:tcPr>
            <w:tcW w:w="2718" w:type="dxa"/>
          </w:tcPr>
          <w:p w:rsidR="00915D78" w:rsidRDefault="005501C0" w:rsidP="00930D6A">
            <w:pPr>
              <w:rPr>
                <w:rFonts w:ascii="Garamond" w:hAnsi="Garamond"/>
              </w:rPr>
            </w:pPr>
            <w:r>
              <w:rPr>
                <w:rFonts w:ascii="Garamond" w:hAnsi="Garamond"/>
              </w:rPr>
              <w:t>Gregory and Nugent v. Ashcroft (1991)</w:t>
            </w:r>
          </w:p>
        </w:tc>
        <w:tc>
          <w:tcPr>
            <w:tcW w:w="1350" w:type="dxa"/>
          </w:tcPr>
          <w:p w:rsidR="00915D78" w:rsidRDefault="005501C0" w:rsidP="00915D78">
            <w:pPr>
              <w:jc w:val="center"/>
              <w:rPr>
                <w:rFonts w:ascii="Garamond" w:hAnsi="Garamond"/>
              </w:rPr>
            </w:pPr>
            <w:r>
              <w:rPr>
                <w:rFonts w:ascii="Garamond" w:hAnsi="Garamond"/>
              </w:rPr>
              <w:t>White</w:t>
            </w:r>
          </w:p>
        </w:tc>
        <w:tc>
          <w:tcPr>
            <w:tcW w:w="900" w:type="dxa"/>
          </w:tcPr>
          <w:p w:rsidR="00915D78" w:rsidRDefault="005501C0" w:rsidP="00915D78">
            <w:pPr>
              <w:jc w:val="center"/>
              <w:rPr>
                <w:rFonts w:ascii="Garamond" w:hAnsi="Garamond"/>
              </w:rPr>
            </w:pPr>
            <w:r>
              <w:rPr>
                <w:rFonts w:ascii="Garamond" w:hAnsi="Garamond"/>
              </w:rPr>
              <w:t>F/S</w:t>
            </w:r>
          </w:p>
        </w:tc>
        <w:tc>
          <w:tcPr>
            <w:tcW w:w="1080" w:type="dxa"/>
          </w:tcPr>
          <w:p w:rsidR="00915D78" w:rsidRDefault="005501C0" w:rsidP="00915D78">
            <w:pPr>
              <w:jc w:val="center"/>
              <w:rPr>
                <w:rFonts w:ascii="Garamond" w:hAnsi="Garamond"/>
              </w:rPr>
            </w:pPr>
            <w:r>
              <w:rPr>
                <w:rFonts w:ascii="Garamond" w:hAnsi="Garamond"/>
              </w:rPr>
              <w:t>D</w:t>
            </w:r>
          </w:p>
        </w:tc>
        <w:tc>
          <w:tcPr>
            <w:tcW w:w="3780" w:type="dxa"/>
          </w:tcPr>
          <w:p w:rsidR="00915D78" w:rsidRDefault="005501C0" w:rsidP="00930D6A">
            <w:pPr>
              <w:rPr>
                <w:rFonts w:ascii="Garamond" w:hAnsi="Garamond"/>
              </w:rPr>
            </w:pPr>
            <w:r>
              <w:rPr>
                <w:rFonts w:ascii="Garamond" w:hAnsi="Garamond"/>
              </w:rPr>
              <w:t>Limiting scope of federal age discrimination intrudes on coequal branch Congress</w:t>
            </w:r>
          </w:p>
        </w:tc>
      </w:tr>
      <w:tr w:rsidR="00915D78">
        <w:tc>
          <w:tcPr>
            <w:tcW w:w="2718" w:type="dxa"/>
          </w:tcPr>
          <w:p w:rsidR="00915D78" w:rsidRDefault="005501C0" w:rsidP="00930D6A">
            <w:pPr>
              <w:rPr>
                <w:rFonts w:ascii="Garamond" w:hAnsi="Garamond"/>
              </w:rPr>
            </w:pPr>
            <w:r>
              <w:rPr>
                <w:rFonts w:ascii="Garamond" w:hAnsi="Garamond"/>
              </w:rPr>
              <w:t>Freytag v. Commissioner of Internal Revenue (1991)</w:t>
            </w:r>
          </w:p>
        </w:tc>
        <w:tc>
          <w:tcPr>
            <w:tcW w:w="1350" w:type="dxa"/>
          </w:tcPr>
          <w:p w:rsidR="00915D78" w:rsidRDefault="005501C0" w:rsidP="00915D78">
            <w:pPr>
              <w:jc w:val="center"/>
              <w:rPr>
                <w:rFonts w:ascii="Garamond" w:hAnsi="Garamond"/>
              </w:rPr>
            </w:pPr>
            <w:r>
              <w:rPr>
                <w:rFonts w:ascii="Garamond" w:hAnsi="Garamond"/>
              </w:rPr>
              <w:t>Scalia</w:t>
            </w:r>
          </w:p>
        </w:tc>
        <w:tc>
          <w:tcPr>
            <w:tcW w:w="900" w:type="dxa"/>
          </w:tcPr>
          <w:p w:rsidR="00915D78" w:rsidRDefault="005501C0" w:rsidP="00915D78">
            <w:pPr>
              <w:jc w:val="center"/>
              <w:rPr>
                <w:rFonts w:ascii="Garamond" w:hAnsi="Garamond"/>
              </w:rPr>
            </w:pPr>
            <w:r>
              <w:rPr>
                <w:rFonts w:ascii="Garamond" w:hAnsi="Garamond"/>
              </w:rPr>
              <w:t>F</w:t>
            </w:r>
          </w:p>
        </w:tc>
        <w:tc>
          <w:tcPr>
            <w:tcW w:w="1080" w:type="dxa"/>
          </w:tcPr>
          <w:p w:rsidR="00915D78" w:rsidRDefault="005501C0" w:rsidP="00915D78">
            <w:pPr>
              <w:jc w:val="center"/>
              <w:rPr>
                <w:rFonts w:ascii="Garamond" w:hAnsi="Garamond"/>
              </w:rPr>
            </w:pPr>
            <w:r>
              <w:rPr>
                <w:rFonts w:ascii="Garamond" w:hAnsi="Garamond"/>
              </w:rPr>
              <w:t>C</w:t>
            </w:r>
          </w:p>
        </w:tc>
        <w:tc>
          <w:tcPr>
            <w:tcW w:w="3780" w:type="dxa"/>
          </w:tcPr>
          <w:p w:rsidR="00915D78" w:rsidRDefault="005501C0" w:rsidP="005501C0">
            <w:pPr>
              <w:rPr>
                <w:rFonts w:ascii="Garamond" w:hAnsi="Garamond"/>
              </w:rPr>
            </w:pPr>
            <w:r>
              <w:rPr>
                <w:rFonts w:ascii="Garamond" w:hAnsi="Garamond"/>
              </w:rPr>
              <w:t>Scalia chides the court for violating judicial coequality by calling tax courts courts of law</w:t>
            </w:r>
          </w:p>
        </w:tc>
      </w:tr>
      <w:tr w:rsidR="00915D78">
        <w:tc>
          <w:tcPr>
            <w:tcW w:w="2718" w:type="dxa"/>
          </w:tcPr>
          <w:p w:rsidR="00915D78" w:rsidRDefault="00821027" w:rsidP="00930D6A">
            <w:pPr>
              <w:rPr>
                <w:rFonts w:ascii="Garamond" w:hAnsi="Garamond"/>
              </w:rPr>
            </w:pPr>
            <w:r>
              <w:rPr>
                <w:rFonts w:ascii="Garamond" w:hAnsi="Garamond"/>
              </w:rPr>
              <w:t>Lujan v. Defenders of Wildlife (1992)</w:t>
            </w:r>
          </w:p>
        </w:tc>
        <w:tc>
          <w:tcPr>
            <w:tcW w:w="1350" w:type="dxa"/>
          </w:tcPr>
          <w:p w:rsidR="00915D78" w:rsidRDefault="00821027" w:rsidP="00915D78">
            <w:pPr>
              <w:jc w:val="center"/>
              <w:rPr>
                <w:rFonts w:ascii="Garamond" w:hAnsi="Garamond"/>
              </w:rPr>
            </w:pPr>
            <w:r>
              <w:rPr>
                <w:rFonts w:ascii="Garamond" w:hAnsi="Garamond"/>
              </w:rPr>
              <w:t>Scalia</w:t>
            </w:r>
          </w:p>
        </w:tc>
        <w:tc>
          <w:tcPr>
            <w:tcW w:w="900" w:type="dxa"/>
          </w:tcPr>
          <w:p w:rsidR="00915D78" w:rsidRDefault="00821027" w:rsidP="00915D78">
            <w:pPr>
              <w:jc w:val="center"/>
              <w:rPr>
                <w:rFonts w:ascii="Garamond" w:hAnsi="Garamond"/>
              </w:rPr>
            </w:pPr>
            <w:r>
              <w:rPr>
                <w:rFonts w:ascii="Garamond" w:hAnsi="Garamond"/>
              </w:rPr>
              <w:t>F</w:t>
            </w:r>
          </w:p>
        </w:tc>
        <w:tc>
          <w:tcPr>
            <w:tcW w:w="1080" w:type="dxa"/>
          </w:tcPr>
          <w:p w:rsidR="00915D78" w:rsidRDefault="00821027" w:rsidP="00915D78">
            <w:pPr>
              <w:jc w:val="center"/>
              <w:rPr>
                <w:rFonts w:ascii="Garamond" w:hAnsi="Garamond"/>
              </w:rPr>
            </w:pPr>
            <w:r>
              <w:rPr>
                <w:rFonts w:ascii="Garamond" w:hAnsi="Garamond"/>
              </w:rPr>
              <w:t>M</w:t>
            </w:r>
          </w:p>
        </w:tc>
        <w:tc>
          <w:tcPr>
            <w:tcW w:w="3780" w:type="dxa"/>
          </w:tcPr>
          <w:p w:rsidR="00915D78" w:rsidRDefault="00821027" w:rsidP="00821027">
            <w:pPr>
              <w:rPr>
                <w:rFonts w:ascii="Garamond" w:hAnsi="Garamond"/>
              </w:rPr>
            </w:pPr>
            <w:r>
              <w:rPr>
                <w:rFonts w:ascii="Garamond" w:hAnsi="Garamond"/>
              </w:rPr>
              <w:t>quotes Mellon; petitioners do not have standing; lack of harm; defer</w:t>
            </w:r>
          </w:p>
        </w:tc>
      </w:tr>
      <w:tr w:rsidR="00F759E6">
        <w:tc>
          <w:tcPr>
            <w:tcW w:w="2718" w:type="dxa"/>
          </w:tcPr>
          <w:p w:rsidR="00F759E6" w:rsidRDefault="00F759E6" w:rsidP="00930D6A">
            <w:pPr>
              <w:rPr>
                <w:rFonts w:ascii="Garamond" w:hAnsi="Garamond"/>
              </w:rPr>
            </w:pPr>
            <w:r>
              <w:rPr>
                <w:rFonts w:ascii="Garamond" w:hAnsi="Garamond"/>
              </w:rPr>
              <w:t>Plaut v. Spendthrift Farm (1995)</w:t>
            </w:r>
          </w:p>
        </w:tc>
        <w:tc>
          <w:tcPr>
            <w:tcW w:w="1350" w:type="dxa"/>
          </w:tcPr>
          <w:p w:rsidR="00F759E6" w:rsidRDefault="00F759E6" w:rsidP="00915D78">
            <w:pPr>
              <w:jc w:val="center"/>
              <w:rPr>
                <w:rFonts w:ascii="Garamond" w:hAnsi="Garamond"/>
              </w:rPr>
            </w:pPr>
            <w:r>
              <w:rPr>
                <w:rFonts w:ascii="Garamond" w:hAnsi="Garamond"/>
              </w:rPr>
              <w:t>Stevens</w:t>
            </w:r>
          </w:p>
        </w:tc>
        <w:tc>
          <w:tcPr>
            <w:tcW w:w="900" w:type="dxa"/>
          </w:tcPr>
          <w:p w:rsidR="00F759E6" w:rsidRDefault="00F759E6" w:rsidP="00915D78">
            <w:pPr>
              <w:jc w:val="center"/>
              <w:rPr>
                <w:rFonts w:ascii="Garamond" w:hAnsi="Garamond"/>
              </w:rPr>
            </w:pPr>
            <w:r>
              <w:rPr>
                <w:rFonts w:ascii="Garamond" w:hAnsi="Garamond"/>
              </w:rPr>
              <w:t>F</w:t>
            </w:r>
          </w:p>
        </w:tc>
        <w:tc>
          <w:tcPr>
            <w:tcW w:w="1080" w:type="dxa"/>
          </w:tcPr>
          <w:p w:rsidR="00F759E6" w:rsidRDefault="00F759E6" w:rsidP="00915D78">
            <w:pPr>
              <w:jc w:val="center"/>
              <w:rPr>
                <w:rFonts w:ascii="Garamond" w:hAnsi="Garamond"/>
              </w:rPr>
            </w:pPr>
            <w:r>
              <w:rPr>
                <w:rFonts w:ascii="Garamond" w:hAnsi="Garamond"/>
              </w:rPr>
              <w:t>D</w:t>
            </w:r>
          </w:p>
        </w:tc>
        <w:tc>
          <w:tcPr>
            <w:tcW w:w="3780" w:type="dxa"/>
          </w:tcPr>
          <w:p w:rsidR="00F759E6" w:rsidRDefault="00F759E6" w:rsidP="00821027">
            <w:pPr>
              <w:rPr>
                <w:rFonts w:ascii="Garamond" w:hAnsi="Garamond"/>
              </w:rPr>
            </w:pPr>
            <w:r>
              <w:rPr>
                <w:rFonts w:ascii="Garamond" w:hAnsi="Garamond"/>
              </w:rPr>
              <w:t>Securities and Exchange Act allows alternative to judicial rulings; not a usurpation</w:t>
            </w:r>
          </w:p>
        </w:tc>
      </w:tr>
    </w:tbl>
    <w:p w:rsidR="00F759E6" w:rsidRDefault="00F759E6"/>
    <w:p w:rsidR="00F759E6" w:rsidRDefault="00F759E6"/>
    <w:p w:rsidR="004E1775" w:rsidRDefault="004E1775"/>
    <w:tbl>
      <w:tblPr>
        <w:tblStyle w:val="TableGrid"/>
        <w:tblW w:w="9828" w:type="dxa"/>
        <w:tblLook w:val="00BF"/>
      </w:tblPr>
      <w:tblGrid>
        <w:gridCol w:w="2718"/>
        <w:gridCol w:w="1350"/>
        <w:gridCol w:w="900"/>
        <w:gridCol w:w="1080"/>
        <w:gridCol w:w="3780"/>
      </w:tblGrid>
      <w:tr w:rsidR="00915D78">
        <w:tc>
          <w:tcPr>
            <w:tcW w:w="2718" w:type="dxa"/>
          </w:tcPr>
          <w:p w:rsidR="00915D78" w:rsidRDefault="00821027" w:rsidP="00930D6A">
            <w:pPr>
              <w:rPr>
                <w:rFonts w:ascii="Garamond" w:hAnsi="Garamond"/>
              </w:rPr>
            </w:pPr>
            <w:r>
              <w:rPr>
                <w:rFonts w:ascii="Garamond" w:hAnsi="Garamond"/>
              </w:rPr>
              <w:t>Adarand v. Pena (1995)</w:t>
            </w:r>
          </w:p>
        </w:tc>
        <w:tc>
          <w:tcPr>
            <w:tcW w:w="1350" w:type="dxa"/>
          </w:tcPr>
          <w:p w:rsidR="00821027" w:rsidRDefault="00821027" w:rsidP="00915D78">
            <w:pPr>
              <w:jc w:val="center"/>
              <w:rPr>
                <w:rFonts w:ascii="Garamond" w:hAnsi="Garamond"/>
              </w:rPr>
            </w:pPr>
            <w:r>
              <w:rPr>
                <w:rFonts w:ascii="Garamond" w:hAnsi="Garamond"/>
              </w:rPr>
              <w:t>O’Connor</w:t>
            </w:r>
          </w:p>
          <w:p w:rsidR="00821027" w:rsidRDefault="00821027" w:rsidP="00915D78">
            <w:pPr>
              <w:jc w:val="center"/>
              <w:rPr>
                <w:rFonts w:ascii="Garamond" w:hAnsi="Garamond"/>
              </w:rPr>
            </w:pPr>
          </w:p>
          <w:p w:rsidR="00625627" w:rsidRDefault="00625627" w:rsidP="00915D78">
            <w:pPr>
              <w:jc w:val="center"/>
              <w:rPr>
                <w:rFonts w:ascii="Garamond" w:hAnsi="Garamond"/>
              </w:rPr>
            </w:pPr>
          </w:p>
          <w:p w:rsidR="00625627" w:rsidRDefault="00625627" w:rsidP="00915D78">
            <w:pPr>
              <w:jc w:val="center"/>
              <w:rPr>
                <w:rFonts w:ascii="Garamond" w:hAnsi="Garamond"/>
              </w:rPr>
            </w:pPr>
          </w:p>
          <w:p w:rsidR="00915D78" w:rsidRDefault="00821027" w:rsidP="00915D78">
            <w:pPr>
              <w:jc w:val="center"/>
              <w:rPr>
                <w:rFonts w:ascii="Garamond" w:hAnsi="Garamond"/>
              </w:rPr>
            </w:pPr>
            <w:r>
              <w:rPr>
                <w:rFonts w:ascii="Garamond" w:hAnsi="Garamond"/>
              </w:rPr>
              <w:t>Stevens</w:t>
            </w:r>
          </w:p>
        </w:tc>
        <w:tc>
          <w:tcPr>
            <w:tcW w:w="900" w:type="dxa"/>
          </w:tcPr>
          <w:p w:rsidR="00915D78" w:rsidRDefault="00821027" w:rsidP="00915D78">
            <w:pPr>
              <w:jc w:val="center"/>
              <w:rPr>
                <w:rFonts w:ascii="Garamond" w:hAnsi="Garamond"/>
              </w:rPr>
            </w:pPr>
            <w:r>
              <w:rPr>
                <w:rFonts w:ascii="Garamond" w:hAnsi="Garamond"/>
              </w:rPr>
              <w:t>F</w:t>
            </w:r>
          </w:p>
        </w:tc>
        <w:tc>
          <w:tcPr>
            <w:tcW w:w="1080" w:type="dxa"/>
          </w:tcPr>
          <w:p w:rsidR="00821027" w:rsidRDefault="00821027" w:rsidP="00915D78">
            <w:pPr>
              <w:jc w:val="center"/>
              <w:rPr>
                <w:rFonts w:ascii="Garamond" w:hAnsi="Garamond"/>
              </w:rPr>
            </w:pPr>
            <w:r>
              <w:rPr>
                <w:rFonts w:ascii="Garamond" w:hAnsi="Garamond"/>
              </w:rPr>
              <w:t>M</w:t>
            </w:r>
          </w:p>
          <w:p w:rsidR="00821027" w:rsidRDefault="00821027" w:rsidP="00915D78">
            <w:pPr>
              <w:jc w:val="center"/>
              <w:rPr>
                <w:rFonts w:ascii="Garamond" w:hAnsi="Garamond"/>
              </w:rPr>
            </w:pPr>
          </w:p>
          <w:p w:rsidR="00625627" w:rsidRDefault="00625627" w:rsidP="00915D78">
            <w:pPr>
              <w:jc w:val="center"/>
              <w:rPr>
                <w:rFonts w:ascii="Garamond" w:hAnsi="Garamond"/>
              </w:rPr>
            </w:pPr>
          </w:p>
          <w:p w:rsidR="00625627" w:rsidRDefault="00625627" w:rsidP="00915D78">
            <w:pPr>
              <w:jc w:val="center"/>
              <w:rPr>
                <w:rFonts w:ascii="Garamond" w:hAnsi="Garamond"/>
              </w:rPr>
            </w:pPr>
          </w:p>
          <w:p w:rsidR="00915D78" w:rsidRDefault="00821027" w:rsidP="00915D78">
            <w:pPr>
              <w:jc w:val="center"/>
              <w:rPr>
                <w:rFonts w:ascii="Garamond" w:hAnsi="Garamond"/>
              </w:rPr>
            </w:pPr>
            <w:r>
              <w:rPr>
                <w:rFonts w:ascii="Garamond" w:hAnsi="Garamond"/>
              </w:rPr>
              <w:t>D</w:t>
            </w:r>
          </w:p>
        </w:tc>
        <w:tc>
          <w:tcPr>
            <w:tcW w:w="3780" w:type="dxa"/>
          </w:tcPr>
          <w:p w:rsidR="00821027" w:rsidRDefault="0001599E" w:rsidP="00930D6A">
            <w:pPr>
              <w:rPr>
                <w:rFonts w:ascii="Garamond" w:hAnsi="Garamond"/>
              </w:rPr>
            </w:pPr>
            <w:r>
              <w:rPr>
                <w:rFonts w:ascii="Garamond" w:hAnsi="Garamond"/>
              </w:rPr>
              <w:t>i</w:t>
            </w:r>
            <w:r w:rsidR="00821027">
              <w:rPr>
                <w:rFonts w:ascii="Garamond" w:hAnsi="Garamond"/>
              </w:rPr>
              <w:t>mposing strict scrutiny in racial determinations</w:t>
            </w:r>
            <w:r w:rsidR="00625627">
              <w:rPr>
                <w:rFonts w:ascii="Garamond" w:hAnsi="Garamond"/>
              </w:rPr>
              <w:t xml:space="preserve"> does not cut into deference due a coequal branch</w:t>
            </w:r>
          </w:p>
          <w:p w:rsidR="00821027" w:rsidRDefault="00821027" w:rsidP="00930D6A">
            <w:pPr>
              <w:rPr>
                <w:rFonts w:ascii="Garamond" w:hAnsi="Garamond"/>
              </w:rPr>
            </w:pPr>
          </w:p>
          <w:p w:rsidR="00915D78" w:rsidRDefault="00625627" w:rsidP="00930D6A">
            <w:pPr>
              <w:rPr>
                <w:rFonts w:ascii="Garamond" w:hAnsi="Garamond"/>
              </w:rPr>
            </w:pPr>
            <w:r>
              <w:rPr>
                <w:rFonts w:ascii="Garamond" w:hAnsi="Garamond"/>
              </w:rPr>
              <w:t>quotes Fullilove; Congressional enactments deserve greater deference</w:t>
            </w:r>
          </w:p>
        </w:tc>
      </w:tr>
      <w:tr w:rsidR="00915D78">
        <w:tc>
          <w:tcPr>
            <w:tcW w:w="2718" w:type="dxa"/>
          </w:tcPr>
          <w:p w:rsidR="00915D78" w:rsidRDefault="00625627" w:rsidP="00930D6A">
            <w:pPr>
              <w:rPr>
                <w:rFonts w:ascii="Garamond" w:hAnsi="Garamond"/>
              </w:rPr>
            </w:pPr>
            <w:r>
              <w:rPr>
                <w:rFonts w:ascii="Garamond" w:hAnsi="Garamond"/>
              </w:rPr>
              <w:t>Seminole Tribe v. Florida</w:t>
            </w:r>
          </w:p>
        </w:tc>
        <w:tc>
          <w:tcPr>
            <w:tcW w:w="1350" w:type="dxa"/>
          </w:tcPr>
          <w:p w:rsidR="00625627" w:rsidRDefault="00625627" w:rsidP="00915D78">
            <w:pPr>
              <w:jc w:val="center"/>
              <w:rPr>
                <w:rFonts w:ascii="Garamond" w:hAnsi="Garamond"/>
              </w:rPr>
            </w:pPr>
            <w:r>
              <w:rPr>
                <w:rFonts w:ascii="Garamond" w:hAnsi="Garamond"/>
              </w:rPr>
              <w:t>Stevens</w:t>
            </w:r>
          </w:p>
          <w:p w:rsidR="00625627" w:rsidRDefault="00625627" w:rsidP="00915D78">
            <w:pPr>
              <w:jc w:val="center"/>
              <w:rPr>
                <w:rFonts w:ascii="Garamond" w:hAnsi="Garamond"/>
              </w:rPr>
            </w:pPr>
          </w:p>
          <w:p w:rsidR="00625627" w:rsidRDefault="00625627" w:rsidP="00915D78">
            <w:pPr>
              <w:jc w:val="center"/>
              <w:rPr>
                <w:rFonts w:ascii="Garamond" w:hAnsi="Garamond"/>
              </w:rPr>
            </w:pPr>
          </w:p>
          <w:p w:rsidR="00625627" w:rsidRDefault="00625627" w:rsidP="00915D78">
            <w:pPr>
              <w:jc w:val="center"/>
              <w:rPr>
                <w:rFonts w:ascii="Garamond" w:hAnsi="Garamond"/>
              </w:rPr>
            </w:pPr>
          </w:p>
          <w:p w:rsidR="00915D78" w:rsidRDefault="00625627" w:rsidP="00915D78">
            <w:pPr>
              <w:jc w:val="center"/>
              <w:rPr>
                <w:rFonts w:ascii="Garamond" w:hAnsi="Garamond"/>
              </w:rPr>
            </w:pPr>
            <w:r>
              <w:rPr>
                <w:rFonts w:ascii="Garamond" w:hAnsi="Garamond"/>
              </w:rPr>
              <w:t>(Souter)</w:t>
            </w:r>
          </w:p>
        </w:tc>
        <w:tc>
          <w:tcPr>
            <w:tcW w:w="900" w:type="dxa"/>
          </w:tcPr>
          <w:p w:rsidR="00915D78" w:rsidRDefault="00625627" w:rsidP="00915D78">
            <w:pPr>
              <w:jc w:val="center"/>
              <w:rPr>
                <w:rFonts w:ascii="Garamond" w:hAnsi="Garamond"/>
              </w:rPr>
            </w:pPr>
            <w:r>
              <w:rPr>
                <w:rFonts w:ascii="Garamond" w:hAnsi="Garamond"/>
              </w:rPr>
              <w:t>S/F</w:t>
            </w:r>
          </w:p>
        </w:tc>
        <w:tc>
          <w:tcPr>
            <w:tcW w:w="1080" w:type="dxa"/>
          </w:tcPr>
          <w:p w:rsidR="00625627" w:rsidRDefault="00625627" w:rsidP="00915D78">
            <w:pPr>
              <w:jc w:val="center"/>
              <w:rPr>
                <w:rFonts w:ascii="Garamond" w:hAnsi="Garamond"/>
              </w:rPr>
            </w:pPr>
            <w:r>
              <w:rPr>
                <w:rFonts w:ascii="Garamond" w:hAnsi="Garamond"/>
              </w:rPr>
              <w:t>D</w:t>
            </w:r>
          </w:p>
          <w:p w:rsidR="00625627" w:rsidRDefault="00625627" w:rsidP="00915D78">
            <w:pPr>
              <w:jc w:val="center"/>
              <w:rPr>
                <w:rFonts w:ascii="Garamond" w:hAnsi="Garamond"/>
              </w:rPr>
            </w:pPr>
          </w:p>
          <w:p w:rsidR="00625627" w:rsidRDefault="00625627" w:rsidP="00915D78">
            <w:pPr>
              <w:jc w:val="center"/>
              <w:rPr>
                <w:rFonts w:ascii="Garamond" w:hAnsi="Garamond"/>
              </w:rPr>
            </w:pPr>
          </w:p>
          <w:p w:rsidR="00625627" w:rsidRDefault="00625627" w:rsidP="00915D78">
            <w:pPr>
              <w:jc w:val="center"/>
              <w:rPr>
                <w:rFonts w:ascii="Garamond" w:hAnsi="Garamond"/>
              </w:rPr>
            </w:pPr>
          </w:p>
          <w:p w:rsidR="00915D78" w:rsidRDefault="00625627" w:rsidP="00915D78">
            <w:pPr>
              <w:jc w:val="center"/>
              <w:rPr>
                <w:rFonts w:ascii="Garamond" w:hAnsi="Garamond"/>
              </w:rPr>
            </w:pPr>
            <w:r>
              <w:rPr>
                <w:rFonts w:ascii="Garamond" w:hAnsi="Garamond"/>
              </w:rPr>
              <w:t>(D)</w:t>
            </w:r>
          </w:p>
        </w:tc>
        <w:tc>
          <w:tcPr>
            <w:tcW w:w="3780" w:type="dxa"/>
          </w:tcPr>
          <w:p w:rsidR="00625627" w:rsidRDefault="00B92A61" w:rsidP="00930D6A">
            <w:pPr>
              <w:rPr>
                <w:rFonts w:ascii="Garamond" w:hAnsi="Garamond"/>
              </w:rPr>
            </w:pPr>
            <w:r>
              <w:rPr>
                <w:rFonts w:ascii="Garamond" w:hAnsi="Garamond"/>
              </w:rPr>
              <w:t>proclamation</w:t>
            </w:r>
            <w:r w:rsidR="00625627">
              <w:rPr>
                <w:rFonts w:ascii="Garamond" w:hAnsi="Garamond"/>
              </w:rPr>
              <w:t xml:space="preserve"> of sovereign immunity by state is a shocking affront to coequal branch (Congress)</w:t>
            </w:r>
          </w:p>
          <w:p w:rsidR="00625627" w:rsidRDefault="00625627" w:rsidP="00930D6A">
            <w:pPr>
              <w:rPr>
                <w:rFonts w:ascii="Garamond" w:hAnsi="Garamond"/>
              </w:rPr>
            </w:pPr>
          </w:p>
          <w:p w:rsidR="00915D78" w:rsidRDefault="00625627" w:rsidP="00930D6A">
            <w:pPr>
              <w:rPr>
                <w:rFonts w:ascii="Garamond" w:hAnsi="Garamond"/>
              </w:rPr>
            </w:pPr>
            <w:r>
              <w:rPr>
                <w:rFonts w:ascii="Garamond" w:hAnsi="Garamond"/>
              </w:rPr>
              <w:t>(Sovereignty resides in the people, not in “coequal sovereignties”)</w:t>
            </w:r>
          </w:p>
        </w:tc>
      </w:tr>
      <w:tr w:rsidR="00915D78">
        <w:tc>
          <w:tcPr>
            <w:tcW w:w="2718" w:type="dxa"/>
          </w:tcPr>
          <w:p w:rsidR="00915D78" w:rsidRDefault="004A30BE" w:rsidP="00930D6A">
            <w:pPr>
              <w:rPr>
                <w:rFonts w:ascii="Garamond" w:hAnsi="Garamond"/>
              </w:rPr>
            </w:pPr>
            <w:r>
              <w:rPr>
                <w:rFonts w:ascii="Garamond" w:hAnsi="Garamond"/>
              </w:rPr>
              <w:t>Clinton v. Jones (1997)</w:t>
            </w:r>
          </w:p>
        </w:tc>
        <w:tc>
          <w:tcPr>
            <w:tcW w:w="1350" w:type="dxa"/>
          </w:tcPr>
          <w:p w:rsidR="00915D78" w:rsidRDefault="004A30BE" w:rsidP="00915D78">
            <w:pPr>
              <w:jc w:val="center"/>
              <w:rPr>
                <w:rFonts w:ascii="Garamond" w:hAnsi="Garamond"/>
              </w:rPr>
            </w:pPr>
            <w:r>
              <w:rPr>
                <w:rFonts w:ascii="Garamond" w:hAnsi="Garamond"/>
              </w:rPr>
              <w:t>Stevens</w:t>
            </w:r>
          </w:p>
        </w:tc>
        <w:tc>
          <w:tcPr>
            <w:tcW w:w="900" w:type="dxa"/>
          </w:tcPr>
          <w:p w:rsidR="00915D78" w:rsidRDefault="004A30BE" w:rsidP="00915D78">
            <w:pPr>
              <w:jc w:val="center"/>
              <w:rPr>
                <w:rFonts w:ascii="Garamond" w:hAnsi="Garamond"/>
              </w:rPr>
            </w:pPr>
            <w:r>
              <w:rPr>
                <w:rFonts w:ascii="Garamond" w:hAnsi="Garamond"/>
              </w:rPr>
              <w:t>S</w:t>
            </w:r>
          </w:p>
        </w:tc>
        <w:tc>
          <w:tcPr>
            <w:tcW w:w="1080" w:type="dxa"/>
          </w:tcPr>
          <w:p w:rsidR="00915D78" w:rsidRDefault="004A30BE" w:rsidP="00915D78">
            <w:pPr>
              <w:jc w:val="center"/>
              <w:rPr>
                <w:rFonts w:ascii="Garamond" w:hAnsi="Garamond"/>
              </w:rPr>
            </w:pPr>
            <w:r>
              <w:rPr>
                <w:rFonts w:ascii="Garamond" w:hAnsi="Garamond"/>
              </w:rPr>
              <w:t>M</w:t>
            </w:r>
          </w:p>
        </w:tc>
        <w:tc>
          <w:tcPr>
            <w:tcW w:w="3780" w:type="dxa"/>
          </w:tcPr>
          <w:p w:rsidR="00915D78" w:rsidRDefault="0001599E" w:rsidP="00930D6A">
            <w:pPr>
              <w:rPr>
                <w:rFonts w:ascii="Garamond" w:hAnsi="Garamond"/>
              </w:rPr>
            </w:pPr>
            <w:r>
              <w:rPr>
                <w:rFonts w:ascii="Garamond" w:hAnsi="Garamond"/>
              </w:rPr>
              <w:t>t</w:t>
            </w:r>
            <w:r w:rsidR="004A30BE">
              <w:rPr>
                <w:rFonts w:ascii="Garamond" w:hAnsi="Garamond"/>
              </w:rPr>
              <w:t>here are safeguards against encroachments on coequality</w:t>
            </w:r>
          </w:p>
        </w:tc>
      </w:tr>
      <w:tr w:rsidR="00915D78">
        <w:tc>
          <w:tcPr>
            <w:tcW w:w="2718" w:type="dxa"/>
          </w:tcPr>
          <w:p w:rsidR="00915D78" w:rsidRDefault="0001599E" w:rsidP="00930D6A">
            <w:pPr>
              <w:rPr>
                <w:rFonts w:ascii="Garamond" w:hAnsi="Garamond"/>
              </w:rPr>
            </w:pPr>
            <w:r>
              <w:rPr>
                <w:rFonts w:ascii="Garamond" w:hAnsi="Garamond"/>
              </w:rPr>
              <w:t>Raines v. Byrd (2000)</w:t>
            </w:r>
          </w:p>
        </w:tc>
        <w:tc>
          <w:tcPr>
            <w:tcW w:w="1350" w:type="dxa"/>
          </w:tcPr>
          <w:p w:rsidR="00915D78" w:rsidRDefault="0001599E" w:rsidP="00915D78">
            <w:pPr>
              <w:jc w:val="center"/>
              <w:rPr>
                <w:rFonts w:ascii="Garamond" w:hAnsi="Garamond"/>
              </w:rPr>
            </w:pPr>
            <w:r>
              <w:rPr>
                <w:rFonts w:ascii="Garamond" w:hAnsi="Garamond"/>
              </w:rPr>
              <w:t>Souter</w:t>
            </w:r>
          </w:p>
        </w:tc>
        <w:tc>
          <w:tcPr>
            <w:tcW w:w="900" w:type="dxa"/>
          </w:tcPr>
          <w:p w:rsidR="00915D78" w:rsidRDefault="0001599E" w:rsidP="00915D78">
            <w:pPr>
              <w:jc w:val="center"/>
              <w:rPr>
                <w:rFonts w:ascii="Garamond" w:hAnsi="Garamond"/>
              </w:rPr>
            </w:pPr>
            <w:r>
              <w:rPr>
                <w:rFonts w:ascii="Garamond" w:hAnsi="Garamond"/>
              </w:rPr>
              <w:t>F</w:t>
            </w:r>
          </w:p>
        </w:tc>
        <w:tc>
          <w:tcPr>
            <w:tcW w:w="1080" w:type="dxa"/>
          </w:tcPr>
          <w:p w:rsidR="00915D78" w:rsidRDefault="0001599E" w:rsidP="00915D78">
            <w:pPr>
              <w:jc w:val="center"/>
              <w:rPr>
                <w:rFonts w:ascii="Garamond" w:hAnsi="Garamond"/>
              </w:rPr>
            </w:pPr>
            <w:r>
              <w:rPr>
                <w:rFonts w:ascii="Garamond" w:hAnsi="Garamond"/>
              </w:rPr>
              <w:t>C</w:t>
            </w:r>
          </w:p>
        </w:tc>
        <w:tc>
          <w:tcPr>
            <w:tcW w:w="3780" w:type="dxa"/>
          </w:tcPr>
          <w:p w:rsidR="00915D78" w:rsidRDefault="00440291" w:rsidP="00930D6A">
            <w:pPr>
              <w:rPr>
                <w:rFonts w:ascii="Garamond" w:hAnsi="Garamond"/>
              </w:rPr>
            </w:pPr>
            <w:r>
              <w:rPr>
                <w:rFonts w:ascii="Garamond" w:hAnsi="Garamond"/>
              </w:rPr>
              <w:t>suggests</w:t>
            </w:r>
            <w:r w:rsidR="0001599E">
              <w:rPr>
                <w:rFonts w:ascii="Garamond" w:hAnsi="Garamond"/>
              </w:rPr>
              <w:t xml:space="preserve"> deciding on </w:t>
            </w:r>
            <w:r>
              <w:rPr>
                <w:rFonts w:ascii="Garamond" w:hAnsi="Garamond"/>
              </w:rPr>
              <w:t xml:space="preserve">general </w:t>
            </w:r>
            <w:r w:rsidR="0001599E">
              <w:rPr>
                <w:rFonts w:ascii="Garamond" w:hAnsi="Garamond"/>
              </w:rPr>
              <w:t>separation of power grounds, quotes Valley Forge</w:t>
            </w:r>
          </w:p>
        </w:tc>
      </w:tr>
      <w:tr w:rsidR="00915D78">
        <w:tc>
          <w:tcPr>
            <w:tcW w:w="2718" w:type="dxa"/>
          </w:tcPr>
          <w:p w:rsidR="00915D78" w:rsidRDefault="00440291" w:rsidP="00930D6A">
            <w:pPr>
              <w:rPr>
                <w:rFonts w:ascii="Garamond" w:hAnsi="Garamond"/>
              </w:rPr>
            </w:pPr>
            <w:r>
              <w:rPr>
                <w:rFonts w:ascii="Garamond" w:hAnsi="Garamond"/>
              </w:rPr>
              <w:t>Williams v. Taylor (2000)</w:t>
            </w:r>
          </w:p>
        </w:tc>
        <w:tc>
          <w:tcPr>
            <w:tcW w:w="1350" w:type="dxa"/>
          </w:tcPr>
          <w:p w:rsidR="00440291" w:rsidRDefault="00440291" w:rsidP="00915D78">
            <w:pPr>
              <w:jc w:val="center"/>
              <w:rPr>
                <w:rFonts w:ascii="Garamond" w:hAnsi="Garamond"/>
              </w:rPr>
            </w:pPr>
            <w:r>
              <w:rPr>
                <w:rFonts w:ascii="Garamond" w:hAnsi="Garamond"/>
              </w:rPr>
              <w:t>Stevens</w:t>
            </w:r>
          </w:p>
          <w:p w:rsidR="00440291" w:rsidRDefault="00440291" w:rsidP="00915D78">
            <w:pPr>
              <w:jc w:val="center"/>
              <w:rPr>
                <w:rFonts w:ascii="Garamond" w:hAnsi="Garamond"/>
              </w:rPr>
            </w:pPr>
          </w:p>
          <w:p w:rsidR="00440291" w:rsidRDefault="00440291" w:rsidP="00915D78">
            <w:pPr>
              <w:jc w:val="center"/>
              <w:rPr>
                <w:rFonts w:ascii="Garamond" w:hAnsi="Garamond"/>
              </w:rPr>
            </w:pPr>
          </w:p>
          <w:p w:rsidR="00915D78" w:rsidRDefault="00D2225B" w:rsidP="00915D78">
            <w:pPr>
              <w:jc w:val="center"/>
              <w:rPr>
                <w:rFonts w:ascii="Garamond" w:hAnsi="Garamond"/>
              </w:rPr>
            </w:pPr>
            <w:r>
              <w:rPr>
                <w:rFonts w:ascii="Garamond" w:hAnsi="Garamond"/>
              </w:rPr>
              <w:t>(</w:t>
            </w:r>
            <w:r w:rsidR="00440291">
              <w:rPr>
                <w:rFonts w:ascii="Garamond" w:hAnsi="Garamond"/>
              </w:rPr>
              <w:t>O’Connor</w:t>
            </w:r>
            <w:r>
              <w:rPr>
                <w:rFonts w:ascii="Garamond" w:hAnsi="Garamond"/>
              </w:rPr>
              <w:t>)</w:t>
            </w:r>
          </w:p>
        </w:tc>
        <w:tc>
          <w:tcPr>
            <w:tcW w:w="900" w:type="dxa"/>
          </w:tcPr>
          <w:p w:rsidR="00915D78" w:rsidRDefault="00440291" w:rsidP="00915D78">
            <w:pPr>
              <w:jc w:val="center"/>
              <w:rPr>
                <w:rFonts w:ascii="Garamond" w:hAnsi="Garamond"/>
              </w:rPr>
            </w:pPr>
            <w:r>
              <w:rPr>
                <w:rFonts w:ascii="Garamond" w:hAnsi="Garamond"/>
              </w:rPr>
              <w:t>F</w:t>
            </w:r>
          </w:p>
        </w:tc>
        <w:tc>
          <w:tcPr>
            <w:tcW w:w="1080" w:type="dxa"/>
          </w:tcPr>
          <w:p w:rsidR="00440291" w:rsidRDefault="00440291" w:rsidP="00915D78">
            <w:pPr>
              <w:jc w:val="center"/>
              <w:rPr>
                <w:rFonts w:ascii="Garamond" w:hAnsi="Garamond"/>
              </w:rPr>
            </w:pPr>
            <w:r>
              <w:rPr>
                <w:rFonts w:ascii="Garamond" w:hAnsi="Garamond"/>
              </w:rPr>
              <w:t>M</w:t>
            </w:r>
          </w:p>
          <w:p w:rsidR="00440291" w:rsidRDefault="00440291" w:rsidP="00915D78">
            <w:pPr>
              <w:jc w:val="center"/>
              <w:rPr>
                <w:rFonts w:ascii="Garamond" w:hAnsi="Garamond"/>
              </w:rPr>
            </w:pPr>
          </w:p>
          <w:p w:rsidR="00440291" w:rsidRDefault="00440291" w:rsidP="00915D78">
            <w:pPr>
              <w:jc w:val="center"/>
              <w:rPr>
                <w:rFonts w:ascii="Garamond" w:hAnsi="Garamond"/>
              </w:rPr>
            </w:pPr>
          </w:p>
          <w:p w:rsidR="00915D78" w:rsidRDefault="00D2225B" w:rsidP="00915D78">
            <w:pPr>
              <w:jc w:val="center"/>
              <w:rPr>
                <w:rFonts w:ascii="Garamond" w:hAnsi="Garamond"/>
              </w:rPr>
            </w:pPr>
            <w:r>
              <w:rPr>
                <w:rFonts w:ascii="Garamond" w:hAnsi="Garamond"/>
              </w:rPr>
              <w:t>(C)</w:t>
            </w:r>
          </w:p>
        </w:tc>
        <w:tc>
          <w:tcPr>
            <w:tcW w:w="3780" w:type="dxa"/>
          </w:tcPr>
          <w:p w:rsidR="00440291" w:rsidRDefault="00440291" w:rsidP="00930D6A">
            <w:pPr>
              <w:rPr>
                <w:rFonts w:ascii="Garamond" w:hAnsi="Garamond"/>
              </w:rPr>
            </w:pPr>
            <w:r>
              <w:rPr>
                <w:rFonts w:ascii="Garamond" w:hAnsi="Garamond"/>
              </w:rPr>
              <w:t>the judiciary’s coequal power is to interpret federal law (2)</w:t>
            </w:r>
          </w:p>
          <w:p w:rsidR="00440291" w:rsidRDefault="00440291" w:rsidP="00930D6A">
            <w:pPr>
              <w:rPr>
                <w:rFonts w:ascii="Garamond" w:hAnsi="Garamond"/>
              </w:rPr>
            </w:pPr>
          </w:p>
          <w:p w:rsidR="00915D78" w:rsidRDefault="00D2225B" w:rsidP="00930D6A">
            <w:pPr>
              <w:rPr>
                <w:rFonts w:ascii="Garamond" w:hAnsi="Garamond"/>
              </w:rPr>
            </w:pPr>
            <w:r>
              <w:rPr>
                <w:rFonts w:ascii="Garamond" w:hAnsi="Garamond"/>
              </w:rPr>
              <w:t>coequality doesn’t mean full deference to states, contra Thomas (2)</w:t>
            </w:r>
          </w:p>
        </w:tc>
      </w:tr>
      <w:tr w:rsidR="00915D78">
        <w:tc>
          <w:tcPr>
            <w:tcW w:w="2718" w:type="dxa"/>
          </w:tcPr>
          <w:p w:rsidR="001D48EF" w:rsidRDefault="00440291" w:rsidP="00930D6A">
            <w:pPr>
              <w:rPr>
                <w:rFonts w:ascii="Garamond" w:hAnsi="Garamond"/>
              </w:rPr>
            </w:pPr>
            <w:r>
              <w:rPr>
                <w:rFonts w:ascii="Garamond" w:hAnsi="Garamond"/>
              </w:rPr>
              <w:t>Miller v. French (2000)</w:t>
            </w:r>
          </w:p>
          <w:p w:rsidR="00915D78" w:rsidRDefault="001D48EF" w:rsidP="00930D6A">
            <w:pPr>
              <w:rPr>
                <w:rFonts w:ascii="Garamond" w:hAnsi="Garamond"/>
              </w:rPr>
            </w:pPr>
            <w:r>
              <w:rPr>
                <w:rFonts w:ascii="Garamond" w:hAnsi="Garamond"/>
              </w:rPr>
              <w:t xml:space="preserve"> w/ US v. French</w:t>
            </w:r>
          </w:p>
        </w:tc>
        <w:tc>
          <w:tcPr>
            <w:tcW w:w="1350" w:type="dxa"/>
          </w:tcPr>
          <w:p w:rsidR="00915D78" w:rsidRDefault="00683843" w:rsidP="00915D78">
            <w:pPr>
              <w:jc w:val="center"/>
              <w:rPr>
                <w:rFonts w:ascii="Garamond" w:hAnsi="Garamond"/>
              </w:rPr>
            </w:pPr>
            <w:r>
              <w:rPr>
                <w:rFonts w:ascii="Garamond" w:hAnsi="Garamond"/>
              </w:rPr>
              <w:t>O’Connor</w:t>
            </w:r>
          </w:p>
        </w:tc>
        <w:tc>
          <w:tcPr>
            <w:tcW w:w="900" w:type="dxa"/>
          </w:tcPr>
          <w:p w:rsidR="00915D78" w:rsidRDefault="00683843" w:rsidP="00915D78">
            <w:pPr>
              <w:jc w:val="center"/>
              <w:rPr>
                <w:rFonts w:ascii="Garamond" w:hAnsi="Garamond"/>
              </w:rPr>
            </w:pPr>
            <w:r>
              <w:rPr>
                <w:rFonts w:ascii="Garamond" w:hAnsi="Garamond"/>
              </w:rPr>
              <w:t>S/F</w:t>
            </w:r>
          </w:p>
        </w:tc>
        <w:tc>
          <w:tcPr>
            <w:tcW w:w="1080" w:type="dxa"/>
          </w:tcPr>
          <w:p w:rsidR="00915D78" w:rsidRDefault="00683843" w:rsidP="00915D78">
            <w:pPr>
              <w:jc w:val="center"/>
              <w:rPr>
                <w:rFonts w:ascii="Garamond" w:hAnsi="Garamond"/>
              </w:rPr>
            </w:pPr>
            <w:r>
              <w:rPr>
                <w:rFonts w:ascii="Garamond" w:hAnsi="Garamond"/>
              </w:rPr>
              <w:t>M</w:t>
            </w:r>
          </w:p>
        </w:tc>
        <w:tc>
          <w:tcPr>
            <w:tcW w:w="3780" w:type="dxa"/>
          </w:tcPr>
          <w:p w:rsidR="00915D78" w:rsidRDefault="00683843" w:rsidP="00930D6A">
            <w:pPr>
              <w:rPr>
                <w:rFonts w:ascii="Garamond" w:hAnsi="Garamond"/>
              </w:rPr>
            </w:pPr>
            <w:r>
              <w:rPr>
                <w:rFonts w:ascii="Garamond" w:hAnsi="Garamond"/>
              </w:rPr>
              <w:t>if Congress were to annul a final judgment of coequal federal judiciary it would be unconst., but that’s not the case here</w:t>
            </w:r>
          </w:p>
        </w:tc>
      </w:tr>
      <w:tr w:rsidR="00915D78">
        <w:tc>
          <w:tcPr>
            <w:tcW w:w="2718" w:type="dxa"/>
          </w:tcPr>
          <w:p w:rsidR="00915D78" w:rsidRDefault="00683843" w:rsidP="00930D6A">
            <w:pPr>
              <w:rPr>
                <w:rFonts w:ascii="Garamond" w:hAnsi="Garamond"/>
              </w:rPr>
            </w:pPr>
            <w:r>
              <w:rPr>
                <w:rFonts w:ascii="Garamond" w:hAnsi="Garamond"/>
              </w:rPr>
              <w:t>Vieth et al. v. Jubelirer (2004)</w:t>
            </w:r>
          </w:p>
        </w:tc>
        <w:tc>
          <w:tcPr>
            <w:tcW w:w="1350" w:type="dxa"/>
          </w:tcPr>
          <w:p w:rsidR="00915D78" w:rsidRDefault="00683843" w:rsidP="00915D78">
            <w:pPr>
              <w:jc w:val="center"/>
              <w:rPr>
                <w:rFonts w:ascii="Garamond" w:hAnsi="Garamond"/>
              </w:rPr>
            </w:pPr>
            <w:r>
              <w:rPr>
                <w:rFonts w:ascii="Garamond" w:hAnsi="Garamond"/>
              </w:rPr>
              <w:t>Stevens</w:t>
            </w:r>
          </w:p>
        </w:tc>
        <w:tc>
          <w:tcPr>
            <w:tcW w:w="900" w:type="dxa"/>
          </w:tcPr>
          <w:p w:rsidR="00915D78" w:rsidRDefault="00683843" w:rsidP="00915D78">
            <w:pPr>
              <w:jc w:val="center"/>
              <w:rPr>
                <w:rFonts w:ascii="Garamond" w:hAnsi="Garamond"/>
              </w:rPr>
            </w:pPr>
            <w:r>
              <w:rPr>
                <w:rFonts w:ascii="Garamond" w:hAnsi="Garamond"/>
              </w:rPr>
              <w:t>S</w:t>
            </w:r>
          </w:p>
        </w:tc>
        <w:tc>
          <w:tcPr>
            <w:tcW w:w="1080" w:type="dxa"/>
          </w:tcPr>
          <w:p w:rsidR="00915D78" w:rsidRDefault="00683843" w:rsidP="00915D78">
            <w:pPr>
              <w:jc w:val="center"/>
              <w:rPr>
                <w:rFonts w:ascii="Garamond" w:hAnsi="Garamond"/>
              </w:rPr>
            </w:pPr>
            <w:r>
              <w:rPr>
                <w:rFonts w:ascii="Garamond" w:hAnsi="Garamond"/>
              </w:rPr>
              <w:t>D</w:t>
            </w:r>
          </w:p>
        </w:tc>
        <w:tc>
          <w:tcPr>
            <w:tcW w:w="3780" w:type="dxa"/>
          </w:tcPr>
          <w:p w:rsidR="00915D78" w:rsidRDefault="00683843" w:rsidP="00930D6A">
            <w:pPr>
              <w:rPr>
                <w:rFonts w:ascii="Garamond" w:hAnsi="Garamond"/>
              </w:rPr>
            </w:pPr>
            <w:r>
              <w:rPr>
                <w:rFonts w:ascii="Garamond" w:hAnsi="Garamond"/>
              </w:rPr>
              <w:t>Stevens objects to Scalia opinion that gerrymandering cases are non-justiciable political questions; quotes Baker v. Carr</w:t>
            </w:r>
          </w:p>
        </w:tc>
      </w:tr>
      <w:tr w:rsidR="00915D78">
        <w:tc>
          <w:tcPr>
            <w:tcW w:w="2718" w:type="dxa"/>
          </w:tcPr>
          <w:p w:rsidR="00915D78" w:rsidRDefault="00683843" w:rsidP="00930D6A">
            <w:pPr>
              <w:rPr>
                <w:rFonts w:ascii="Garamond" w:hAnsi="Garamond"/>
              </w:rPr>
            </w:pPr>
            <w:r>
              <w:rPr>
                <w:rFonts w:ascii="Garamond" w:hAnsi="Garamond"/>
              </w:rPr>
              <w:t>Tennessee v. Lane (2004)</w:t>
            </w:r>
          </w:p>
        </w:tc>
        <w:tc>
          <w:tcPr>
            <w:tcW w:w="1350" w:type="dxa"/>
          </w:tcPr>
          <w:p w:rsidR="00915D78" w:rsidRDefault="00683843" w:rsidP="00915D78">
            <w:pPr>
              <w:jc w:val="center"/>
              <w:rPr>
                <w:rFonts w:ascii="Garamond" w:hAnsi="Garamond"/>
              </w:rPr>
            </w:pPr>
            <w:r>
              <w:rPr>
                <w:rFonts w:ascii="Garamond" w:hAnsi="Garamond"/>
              </w:rPr>
              <w:t>Scalia</w:t>
            </w:r>
          </w:p>
        </w:tc>
        <w:tc>
          <w:tcPr>
            <w:tcW w:w="900" w:type="dxa"/>
          </w:tcPr>
          <w:p w:rsidR="00915D78" w:rsidRDefault="00683843" w:rsidP="00915D78">
            <w:pPr>
              <w:jc w:val="center"/>
              <w:rPr>
                <w:rFonts w:ascii="Garamond" w:hAnsi="Garamond"/>
              </w:rPr>
            </w:pPr>
            <w:r>
              <w:rPr>
                <w:rFonts w:ascii="Garamond" w:hAnsi="Garamond"/>
              </w:rPr>
              <w:t>F</w:t>
            </w:r>
          </w:p>
        </w:tc>
        <w:tc>
          <w:tcPr>
            <w:tcW w:w="1080" w:type="dxa"/>
          </w:tcPr>
          <w:p w:rsidR="00915D78" w:rsidRDefault="00683843" w:rsidP="00915D78">
            <w:pPr>
              <w:jc w:val="center"/>
              <w:rPr>
                <w:rFonts w:ascii="Garamond" w:hAnsi="Garamond"/>
              </w:rPr>
            </w:pPr>
            <w:r>
              <w:rPr>
                <w:rFonts w:ascii="Garamond" w:hAnsi="Garamond"/>
              </w:rPr>
              <w:t>D</w:t>
            </w:r>
          </w:p>
        </w:tc>
        <w:tc>
          <w:tcPr>
            <w:tcW w:w="3780" w:type="dxa"/>
          </w:tcPr>
          <w:p w:rsidR="00915D78" w:rsidRDefault="00683843" w:rsidP="00930D6A">
            <w:pPr>
              <w:rPr>
                <w:rFonts w:ascii="Garamond" w:hAnsi="Garamond"/>
              </w:rPr>
            </w:pPr>
            <w:r>
              <w:rPr>
                <w:rFonts w:ascii="Garamond" w:hAnsi="Garamond"/>
              </w:rPr>
              <w:t>Scalia says the “congruence and proportionality” test will bring the court into constant conflict w/ coequal branch</w:t>
            </w:r>
          </w:p>
        </w:tc>
      </w:tr>
      <w:tr w:rsidR="00915D78">
        <w:tc>
          <w:tcPr>
            <w:tcW w:w="2718" w:type="dxa"/>
          </w:tcPr>
          <w:p w:rsidR="00915D78" w:rsidRDefault="00683843" w:rsidP="00930D6A">
            <w:pPr>
              <w:rPr>
                <w:rFonts w:ascii="Garamond" w:hAnsi="Garamond"/>
              </w:rPr>
            </w:pPr>
            <w:r>
              <w:rPr>
                <w:rFonts w:ascii="Garamond" w:hAnsi="Garamond"/>
              </w:rPr>
              <w:t>Cheney v. US District Court (2004)</w:t>
            </w:r>
          </w:p>
        </w:tc>
        <w:tc>
          <w:tcPr>
            <w:tcW w:w="1350" w:type="dxa"/>
          </w:tcPr>
          <w:p w:rsidR="00915D78" w:rsidRDefault="001D48EF" w:rsidP="00915D78">
            <w:pPr>
              <w:jc w:val="center"/>
              <w:rPr>
                <w:rFonts w:ascii="Garamond" w:hAnsi="Garamond"/>
              </w:rPr>
            </w:pPr>
            <w:r>
              <w:rPr>
                <w:rFonts w:ascii="Garamond" w:hAnsi="Garamond"/>
              </w:rPr>
              <w:t>Kennedy</w:t>
            </w:r>
          </w:p>
        </w:tc>
        <w:tc>
          <w:tcPr>
            <w:tcW w:w="900" w:type="dxa"/>
          </w:tcPr>
          <w:p w:rsidR="00915D78" w:rsidRDefault="001D48EF" w:rsidP="00915D78">
            <w:pPr>
              <w:jc w:val="center"/>
              <w:rPr>
                <w:rFonts w:ascii="Garamond" w:hAnsi="Garamond"/>
              </w:rPr>
            </w:pPr>
            <w:r>
              <w:rPr>
                <w:rFonts w:ascii="Garamond" w:hAnsi="Garamond"/>
              </w:rPr>
              <w:t>F</w:t>
            </w:r>
          </w:p>
        </w:tc>
        <w:tc>
          <w:tcPr>
            <w:tcW w:w="1080" w:type="dxa"/>
          </w:tcPr>
          <w:p w:rsidR="00915D78" w:rsidRDefault="001D48EF" w:rsidP="00915D78">
            <w:pPr>
              <w:jc w:val="center"/>
              <w:rPr>
                <w:rFonts w:ascii="Garamond" w:hAnsi="Garamond"/>
              </w:rPr>
            </w:pPr>
            <w:r>
              <w:rPr>
                <w:rFonts w:ascii="Garamond" w:hAnsi="Garamond"/>
              </w:rPr>
              <w:t>M</w:t>
            </w:r>
          </w:p>
        </w:tc>
        <w:tc>
          <w:tcPr>
            <w:tcW w:w="3780" w:type="dxa"/>
          </w:tcPr>
          <w:p w:rsidR="00915D78" w:rsidRDefault="001D48EF" w:rsidP="00930D6A">
            <w:pPr>
              <w:rPr>
                <w:rFonts w:ascii="Garamond" w:hAnsi="Garamond"/>
              </w:rPr>
            </w:pPr>
            <w:r>
              <w:rPr>
                <w:rFonts w:ascii="Garamond" w:hAnsi="Garamond"/>
              </w:rPr>
              <w:t>Court must normally defer to coequal president’s confidentiality; need not be an exec. privilege claim (3)</w:t>
            </w:r>
          </w:p>
        </w:tc>
      </w:tr>
      <w:tr w:rsidR="00F759E6">
        <w:tc>
          <w:tcPr>
            <w:tcW w:w="2718" w:type="dxa"/>
          </w:tcPr>
          <w:p w:rsidR="00F759E6" w:rsidRDefault="00F759E6" w:rsidP="00930D6A">
            <w:pPr>
              <w:rPr>
                <w:rFonts w:ascii="Garamond" w:hAnsi="Garamond"/>
              </w:rPr>
            </w:pPr>
            <w:r>
              <w:rPr>
                <w:rFonts w:ascii="Garamond" w:hAnsi="Garamond"/>
              </w:rPr>
              <w:t>Sanchez-Llamas v. Oregon (2006) w/ Bustillo v. Johnson</w:t>
            </w:r>
          </w:p>
        </w:tc>
        <w:tc>
          <w:tcPr>
            <w:tcW w:w="1350" w:type="dxa"/>
          </w:tcPr>
          <w:p w:rsidR="00F759E6" w:rsidRDefault="00F759E6" w:rsidP="00915D78">
            <w:pPr>
              <w:jc w:val="center"/>
              <w:rPr>
                <w:rFonts w:ascii="Garamond" w:hAnsi="Garamond"/>
              </w:rPr>
            </w:pPr>
            <w:r>
              <w:rPr>
                <w:rFonts w:ascii="Garamond" w:hAnsi="Garamond"/>
              </w:rPr>
              <w:t>Roberts</w:t>
            </w:r>
          </w:p>
        </w:tc>
        <w:tc>
          <w:tcPr>
            <w:tcW w:w="900" w:type="dxa"/>
          </w:tcPr>
          <w:p w:rsidR="00F759E6" w:rsidRDefault="00F759E6" w:rsidP="00915D78">
            <w:pPr>
              <w:jc w:val="center"/>
              <w:rPr>
                <w:rFonts w:ascii="Garamond" w:hAnsi="Garamond"/>
              </w:rPr>
            </w:pPr>
            <w:r>
              <w:rPr>
                <w:rFonts w:ascii="Garamond" w:hAnsi="Garamond"/>
              </w:rPr>
              <w:t>F</w:t>
            </w:r>
          </w:p>
        </w:tc>
        <w:tc>
          <w:tcPr>
            <w:tcW w:w="1080" w:type="dxa"/>
          </w:tcPr>
          <w:p w:rsidR="00F759E6" w:rsidRDefault="00F759E6" w:rsidP="00915D78">
            <w:pPr>
              <w:jc w:val="center"/>
              <w:rPr>
                <w:rFonts w:ascii="Garamond" w:hAnsi="Garamond"/>
              </w:rPr>
            </w:pPr>
            <w:r>
              <w:rPr>
                <w:rFonts w:ascii="Garamond" w:hAnsi="Garamond"/>
              </w:rPr>
              <w:t>M</w:t>
            </w:r>
          </w:p>
        </w:tc>
        <w:tc>
          <w:tcPr>
            <w:tcW w:w="3780" w:type="dxa"/>
          </w:tcPr>
          <w:p w:rsidR="00F759E6" w:rsidRDefault="00F759E6" w:rsidP="00930D6A">
            <w:pPr>
              <w:rPr>
                <w:rFonts w:ascii="Garamond" w:hAnsi="Garamond"/>
              </w:rPr>
            </w:pPr>
            <w:r>
              <w:rPr>
                <w:rFonts w:ascii="Garamond" w:hAnsi="Garamond"/>
              </w:rPr>
              <w:t>courts get to say what the law is and what treaties mean independent of the other coequal branches</w:t>
            </w:r>
          </w:p>
        </w:tc>
      </w:tr>
    </w:tbl>
    <w:p w:rsidR="004E1775" w:rsidRDefault="004E1775"/>
    <w:p w:rsidR="004E1775" w:rsidRDefault="004E1775"/>
    <w:tbl>
      <w:tblPr>
        <w:tblStyle w:val="TableGrid"/>
        <w:tblW w:w="9828" w:type="dxa"/>
        <w:tblLook w:val="00BF"/>
      </w:tblPr>
      <w:tblGrid>
        <w:gridCol w:w="2718"/>
        <w:gridCol w:w="1350"/>
        <w:gridCol w:w="900"/>
        <w:gridCol w:w="1080"/>
        <w:gridCol w:w="3780"/>
      </w:tblGrid>
      <w:tr w:rsidR="00915D78">
        <w:tc>
          <w:tcPr>
            <w:tcW w:w="2718" w:type="dxa"/>
          </w:tcPr>
          <w:p w:rsidR="00915D78" w:rsidRDefault="001D48EF" w:rsidP="00930D6A">
            <w:pPr>
              <w:rPr>
                <w:rFonts w:ascii="Garamond" w:hAnsi="Garamond"/>
              </w:rPr>
            </w:pPr>
            <w:r>
              <w:rPr>
                <w:rFonts w:ascii="Garamond" w:hAnsi="Garamond"/>
              </w:rPr>
              <w:t>Hein v. Freedom from Religion Foundation (2007)</w:t>
            </w:r>
          </w:p>
        </w:tc>
        <w:tc>
          <w:tcPr>
            <w:tcW w:w="1350" w:type="dxa"/>
          </w:tcPr>
          <w:p w:rsidR="00915D78" w:rsidRDefault="001D48EF" w:rsidP="00915D78">
            <w:pPr>
              <w:jc w:val="center"/>
              <w:rPr>
                <w:rFonts w:ascii="Garamond" w:hAnsi="Garamond"/>
              </w:rPr>
            </w:pPr>
            <w:r>
              <w:rPr>
                <w:rFonts w:ascii="Garamond" w:hAnsi="Garamond"/>
              </w:rPr>
              <w:t>Alito</w:t>
            </w:r>
          </w:p>
        </w:tc>
        <w:tc>
          <w:tcPr>
            <w:tcW w:w="900" w:type="dxa"/>
          </w:tcPr>
          <w:p w:rsidR="00915D78" w:rsidRDefault="001D48EF" w:rsidP="00915D78">
            <w:pPr>
              <w:jc w:val="center"/>
              <w:rPr>
                <w:rFonts w:ascii="Garamond" w:hAnsi="Garamond"/>
              </w:rPr>
            </w:pPr>
            <w:r>
              <w:rPr>
                <w:rFonts w:ascii="Garamond" w:hAnsi="Garamond"/>
              </w:rPr>
              <w:t>F</w:t>
            </w:r>
          </w:p>
        </w:tc>
        <w:tc>
          <w:tcPr>
            <w:tcW w:w="1080" w:type="dxa"/>
          </w:tcPr>
          <w:p w:rsidR="00915D78" w:rsidRDefault="001D48EF" w:rsidP="00915D78">
            <w:pPr>
              <w:jc w:val="center"/>
              <w:rPr>
                <w:rFonts w:ascii="Garamond" w:hAnsi="Garamond"/>
              </w:rPr>
            </w:pPr>
            <w:r>
              <w:rPr>
                <w:rFonts w:ascii="Garamond" w:hAnsi="Garamond"/>
              </w:rPr>
              <w:t>M</w:t>
            </w:r>
          </w:p>
        </w:tc>
        <w:tc>
          <w:tcPr>
            <w:tcW w:w="3780" w:type="dxa"/>
          </w:tcPr>
          <w:p w:rsidR="00915D78" w:rsidRDefault="001D48EF" w:rsidP="00930D6A">
            <w:pPr>
              <w:rPr>
                <w:rFonts w:ascii="Garamond" w:hAnsi="Garamond"/>
              </w:rPr>
            </w:pPr>
            <w:r>
              <w:rPr>
                <w:rFonts w:ascii="Garamond" w:hAnsi="Garamond"/>
              </w:rPr>
              <w:t xml:space="preserve">Quotes Frothingham to dismiss a claim of taxpayer standing against Office of Faith </w:t>
            </w:r>
            <w:r w:rsidR="00B92A61">
              <w:rPr>
                <w:rFonts w:ascii="Garamond" w:hAnsi="Garamond"/>
              </w:rPr>
              <w:t>Based</w:t>
            </w:r>
            <w:r>
              <w:rPr>
                <w:rFonts w:ascii="Garamond" w:hAnsi="Garamond"/>
              </w:rPr>
              <w:t xml:space="preserve"> Initiatives</w:t>
            </w:r>
          </w:p>
        </w:tc>
      </w:tr>
      <w:tr w:rsidR="00915D78">
        <w:tc>
          <w:tcPr>
            <w:tcW w:w="2718" w:type="dxa"/>
          </w:tcPr>
          <w:p w:rsidR="00915D78" w:rsidRDefault="004E1775" w:rsidP="00930D6A">
            <w:pPr>
              <w:rPr>
                <w:rFonts w:ascii="Garamond" w:hAnsi="Garamond"/>
              </w:rPr>
            </w:pPr>
            <w:r>
              <w:rPr>
                <w:rFonts w:ascii="Garamond" w:hAnsi="Garamond"/>
              </w:rPr>
              <w:t>Boumedienne v. Bush (2008)  w/ Odah v. Bush</w:t>
            </w:r>
          </w:p>
        </w:tc>
        <w:tc>
          <w:tcPr>
            <w:tcW w:w="1350" w:type="dxa"/>
          </w:tcPr>
          <w:p w:rsidR="00915D78" w:rsidRDefault="004E1775" w:rsidP="00915D78">
            <w:pPr>
              <w:jc w:val="center"/>
              <w:rPr>
                <w:rFonts w:ascii="Garamond" w:hAnsi="Garamond"/>
              </w:rPr>
            </w:pPr>
            <w:r>
              <w:rPr>
                <w:rFonts w:ascii="Garamond" w:hAnsi="Garamond"/>
              </w:rPr>
              <w:t>Scalia</w:t>
            </w:r>
          </w:p>
        </w:tc>
        <w:tc>
          <w:tcPr>
            <w:tcW w:w="900" w:type="dxa"/>
          </w:tcPr>
          <w:p w:rsidR="00915D78" w:rsidRDefault="004E1775" w:rsidP="00915D78">
            <w:pPr>
              <w:jc w:val="center"/>
              <w:rPr>
                <w:rFonts w:ascii="Garamond" w:hAnsi="Garamond"/>
              </w:rPr>
            </w:pPr>
            <w:r>
              <w:rPr>
                <w:rFonts w:ascii="Garamond" w:hAnsi="Garamond"/>
              </w:rPr>
              <w:t>F</w:t>
            </w:r>
          </w:p>
        </w:tc>
        <w:tc>
          <w:tcPr>
            <w:tcW w:w="1080" w:type="dxa"/>
          </w:tcPr>
          <w:p w:rsidR="00915D78" w:rsidRDefault="004E1775" w:rsidP="004E1775">
            <w:pPr>
              <w:jc w:val="center"/>
              <w:rPr>
                <w:rFonts w:ascii="Garamond" w:hAnsi="Garamond"/>
              </w:rPr>
            </w:pPr>
            <w:r>
              <w:rPr>
                <w:rFonts w:ascii="Garamond" w:hAnsi="Garamond"/>
              </w:rPr>
              <w:t>D</w:t>
            </w:r>
          </w:p>
        </w:tc>
        <w:tc>
          <w:tcPr>
            <w:tcW w:w="3780" w:type="dxa"/>
          </w:tcPr>
          <w:p w:rsidR="00915D78" w:rsidRDefault="004E1775" w:rsidP="00930D6A">
            <w:pPr>
              <w:rPr>
                <w:rFonts w:ascii="Garamond" w:hAnsi="Garamond"/>
              </w:rPr>
            </w:pPr>
            <w:r>
              <w:rPr>
                <w:rFonts w:ascii="Garamond" w:hAnsi="Garamond"/>
              </w:rPr>
              <w:t>Court has no business invalidating law of coequals not on non-sovereign territory and invent habeas right there</w:t>
            </w:r>
          </w:p>
        </w:tc>
      </w:tr>
      <w:tr w:rsidR="004E1775">
        <w:tc>
          <w:tcPr>
            <w:tcW w:w="2718" w:type="dxa"/>
          </w:tcPr>
          <w:p w:rsidR="004E1775" w:rsidRDefault="004E1775" w:rsidP="00930D6A">
            <w:pPr>
              <w:rPr>
                <w:rFonts w:ascii="Garamond" w:hAnsi="Garamond"/>
              </w:rPr>
            </w:pPr>
            <w:r>
              <w:rPr>
                <w:rFonts w:ascii="Garamond" w:hAnsi="Garamond"/>
              </w:rPr>
              <w:t>NW Austin Utility District v. Holder (2009)</w:t>
            </w:r>
          </w:p>
        </w:tc>
        <w:tc>
          <w:tcPr>
            <w:tcW w:w="1350" w:type="dxa"/>
          </w:tcPr>
          <w:p w:rsidR="004E1775" w:rsidRDefault="004E1775" w:rsidP="00915D78">
            <w:pPr>
              <w:jc w:val="center"/>
              <w:rPr>
                <w:rFonts w:ascii="Garamond" w:hAnsi="Garamond"/>
              </w:rPr>
            </w:pPr>
            <w:r>
              <w:rPr>
                <w:rFonts w:ascii="Garamond" w:hAnsi="Garamond"/>
              </w:rPr>
              <w:t>Roberts</w:t>
            </w:r>
          </w:p>
        </w:tc>
        <w:tc>
          <w:tcPr>
            <w:tcW w:w="900" w:type="dxa"/>
          </w:tcPr>
          <w:p w:rsidR="004E1775" w:rsidRDefault="004E1775" w:rsidP="00915D78">
            <w:pPr>
              <w:jc w:val="center"/>
              <w:rPr>
                <w:rFonts w:ascii="Garamond" w:hAnsi="Garamond"/>
              </w:rPr>
            </w:pPr>
            <w:r>
              <w:rPr>
                <w:rFonts w:ascii="Garamond" w:hAnsi="Garamond"/>
              </w:rPr>
              <w:t>L/S</w:t>
            </w:r>
          </w:p>
        </w:tc>
        <w:tc>
          <w:tcPr>
            <w:tcW w:w="1080" w:type="dxa"/>
          </w:tcPr>
          <w:p w:rsidR="004E1775" w:rsidRDefault="004E1775" w:rsidP="004E1775">
            <w:pPr>
              <w:jc w:val="center"/>
              <w:rPr>
                <w:rFonts w:ascii="Garamond" w:hAnsi="Garamond"/>
              </w:rPr>
            </w:pPr>
            <w:r>
              <w:rPr>
                <w:rFonts w:ascii="Garamond" w:hAnsi="Garamond"/>
              </w:rPr>
              <w:t>M</w:t>
            </w:r>
          </w:p>
        </w:tc>
        <w:tc>
          <w:tcPr>
            <w:tcW w:w="3780" w:type="dxa"/>
          </w:tcPr>
          <w:p w:rsidR="004E1775" w:rsidRDefault="001A3FE6" w:rsidP="00930D6A">
            <w:pPr>
              <w:rPr>
                <w:rFonts w:ascii="Garamond" w:hAnsi="Garamond"/>
              </w:rPr>
            </w:pPr>
            <w:r>
              <w:rPr>
                <w:rFonts w:ascii="Garamond" w:hAnsi="Garamond"/>
              </w:rPr>
              <w:t>quotes from Rostker as deference flourish before dismissing claim</w:t>
            </w:r>
          </w:p>
        </w:tc>
      </w:tr>
      <w:tr w:rsidR="004E1775">
        <w:tc>
          <w:tcPr>
            <w:tcW w:w="2718" w:type="dxa"/>
          </w:tcPr>
          <w:p w:rsidR="004E1775" w:rsidRDefault="004E1775" w:rsidP="00930D6A">
            <w:pPr>
              <w:rPr>
                <w:rFonts w:ascii="Garamond" w:hAnsi="Garamond"/>
              </w:rPr>
            </w:pPr>
            <w:r>
              <w:rPr>
                <w:rFonts w:ascii="Garamond" w:hAnsi="Garamond"/>
              </w:rPr>
              <w:t>Citizens United v. FEC (2010)</w:t>
            </w:r>
          </w:p>
        </w:tc>
        <w:tc>
          <w:tcPr>
            <w:tcW w:w="1350" w:type="dxa"/>
          </w:tcPr>
          <w:p w:rsidR="004E1775" w:rsidRDefault="001A3FE6" w:rsidP="00915D78">
            <w:pPr>
              <w:jc w:val="center"/>
              <w:rPr>
                <w:rFonts w:ascii="Garamond" w:hAnsi="Garamond"/>
              </w:rPr>
            </w:pPr>
            <w:r>
              <w:rPr>
                <w:rFonts w:ascii="Garamond" w:hAnsi="Garamond"/>
              </w:rPr>
              <w:t>Stevens</w:t>
            </w:r>
          </w:p>
        </w:tc>
        <w:tc>
          <w:tcPr>
            <w:tcW w:w="900" w:type="dxa"/>
          </w:tcPr>
          <w:p w:rsidR="004E1775" w:rsidRDefault="001A3FE6" w:rsidP="00915D78">
            <w:pPr>
              <w:jc w:val="center"/>
              <w:rPr>
                <w:rFonts w:ascii="Garamond" w:hAnsi="Garamond"/>
              </w:rPr>
            </w:pPr>
            <w:r>
              <w:rPr>
                <w:rFonts w:ascii="Garamond" w:hAnsi="Garamond"/>
              </w:rPr>
              <w:t>F</w:t>
            </w:r>
          </w:p>
        </w:tc>
        <w:tc>
          <w:tcPr>
            <w:tcW w:w="1080" w:type="dxa"/>
          </w:tcPr>
          <w:p w:rsidR="004E1775" w:rsidRDefault="001A3FE6" w:rsidP="004E1775">
            <w:pPr>
              <w:jc w:val="center"/>
              <w:rPr>
                <w:rFonts w:ascii="Garamond" w:hAnsi="Garamond"/>
              </w:rPr>
            </w:pPr>
            <w:r>
              <w:rPr>
                <w:rFonts w:ascii="Garamond" w:hAnsi="Garamond"/>
              </w:rPr>
              <w:t>D</w:t>
            </w:r>
          </w:p>
        </w:tc>
        <w:tc>
          <w:tcPr>
            <w:tcW w:w="3780" w:type="dxa"/>
          </w:tcPr>
          <w:p w:rsidR="004E1775" w:rsidRDefault="001A3FE6" w:rsidP="00930D6A">
            <w:pPr>
              <w:rPr>
                <w:rFonts w:ascii="Garamond" w:hAnsi="Garamond"/>
              </w:rPr>
            </w:pPr>
            <w:r>
              <w:rPr>
                <w:rFonts w:ascii="Garamond" w:hAnsi="Garamond"/>
              </w:rPr>
              <w:t>accuses Court of moving standards on Congress in campaign finance law; disrespect for coequal branch</w:t>
            </w:r>
          </w:p>
        </w:tc>
      </w:tr>
      <w:tr w:rsidR="004E1775">
        <w:tc>
          <w:tcPr>
            <w:tcW w:w="2718" w:type="dxa"/>
          </w:tcPr>
          <w:p w:rsidR="004E1775" w:rsidRDefault="004E1775" w:rsidP="00930D6A">
            <w:pPr>
              <w:rPr>
                <w:rFonts w:ascii="Garamond" w:hAnsi="Garamond"/>
              </w:rPr>
            </w:pPr>
            <w:r>
              <w:rPr>
                <w:rFonts w:ascii="Garamond" w:hAnsi="Garamond"/>
              </w:rPr>
              <w:t>Zivotofsky v. Clinton (2012)</w:t>
            </w:r>
          </w:p>
        </w:tc>
        <w:tc>
          <w:tcPr>
            <w:tcW w:w="1350" w:type="dxa"/>
          </w:tcPr>
          <w:p w:rsidR="004E1775" w:rsidRDefault="001A3FE6" w:rsidP="00915D78">
            <w:pPr>
              <w:jc w:val="center"/>
              <w:rPr>
                <w:rFonts w:ascii="Garamond" w:hAnsi="Garamond"/>
              </w:rPr>
            </w:pPr>
            <w:r>
              <w:rPr>
                <w:rFonts w:ascii="Garamond" w:hAnsi="Garamond"/>
              </w:rPr>
              <w:t>Sotomayor</w:t>
            </w:r>
          </w:p>
        </w:tc>
        <w:tc>
          <w:tcPr>
            <w:tcW w:w="900" w:type="dxa"/>
          </w:tcPr>
          <w:p w:rsidR="004E1775" w:rsidRDefault="001A3FE6" w:rsidP="00915D78">
            <w:pPr>
              <w:jc w:val="center"/>
              <w:rPr>
                <w:rFonts w:ascii="Garamond" w:hAnsi="Garamond"/>
              </w:rPr>
            </w:pPr>
            <w:r>
              <w:rPr>
                <w:rFonts w:ascii="Garamond" w:hAnsi="Garamond"/>
              </w:rPr>
              <w:t>F</w:t>
            </w:r>
          </w:p>
        </w:tc>
        <w:tc>
          <w:tcPr>
            <w:tcW w:w="1080" w:type="dxa"/>
          </w:tcPr>
          <w:p w:rsidR="004E1775" w:rsidRDefault="001A3FE6" w:rsidP="004E1775">
            <w:pPr>
              <w:jc w:val="center"/>
              <w:rPr>
                <w:rFonts w:ascii="Garamond" w:hAnsi="Garamond"/>
              </w:rPr>
            </w:pPr>
            <w:r>
              <w:rPr>
                <w:rFonts w:ascii="Garamond" w:hAnsi="Garamond"/>
              </w:rPr>
              <w:t>C</w:t>
            </w:r>
          </w:p>
        </w:tc>
        <w:tc>
          <w:tcPr>
            <w:tcW w:w="3780" w:type="dxa"/>
          </w:tcPr>
          <w:p w:rsidR="004E1775" w:rsidRDefault="001A3FE6" w:rsidP="00930D6A">
            <w:pPr>
              <w:rPr>
                <w:rFonts w:ascii="Garamond" w:hAnsi="Garamond"/>
              </w:rPr>
            </w:pPr>
            <w:r>
              <w:rPr>
                <w:rFonts w:ascii="Garamond" w:hAnsi="Garamond"/>
              </w:rPr>
              <w:t>cites good faith presumption outlined in Field v. Clark</w:t>
            </w:r>
          </w:p>
        </w:tc>
      </w:tr>
    </w:tbl>
    <w:p w:rsidR="00CA006A" w:rsidRPr="00082AE7" w:rsidRDefault="00CA006A" w:rsidP="00930D6A">
      <w:pPr>
        <w:rPr>
          <w:rFonts w:ascii="Garamond" w:hAnsi="Garamond"/>
        </w:rPr>
      </w:pPr>
    </w:p>
    <w:sectPr w:rsidR="00CA006A" w:rsidRPr="00082AE7" w:rsidSect="00514F49">
      <w:headerReference w:type="even" r:id="rId5"/>
      <w:headerReference w:type="default" r:id="rId6"/>
      <w:pgSz w:w="12240" w:h="15840"/>
      <w:pgMar w:top="1440" w:right="1440" w:bottom="1440" w:left="1440" w:gutter="0"/>
      <w:pgNumType w:start="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A52A2F" w:rsidRPr="00643D0B" w:rsidRDefault="00A52A2F">
      <w:pPr>
        <w:pStyle w:val="FootnoteText"/>
        <w:rPr>
          <w:rFonts w:ascii="Garamond" w:hAnsi="Garamond"/>
          <w:sz w:val="20"/>
        </w:rPr>
      </w:pPr>
      <w:r w:rsidRPr="00643D0B">
        <w:rPr>
          <w:rStyle w:val="FootnoteReference"/>
          <w:rFonts w:ascii="Garamond" w:hAnsi="Garamond"/>
          <w:sz w:val="20"/>
        </w:rPr>
        <w:footnoteRef/>
      </w:r>
      <w:r w:rsidRPr="00643D0B">
        <w:rPr>
          <w:rFonts w:ascii="Garamond" w:hAnsi="Garamond"/>
          <w:sz w:val="20"/>
        </w:rPr>
        <w:t xml:space="preserve"> There was, of course, a robust </w:t>
      </w:r>
      <w:r w:rsidR="00B92A61" w:rsidRPr="00643D0B">
        <w:rPr>
          <w:rFonts w:ascii="Garamond" w:hAnsi="Garamond"/>
          <w:sz w:val="20"/>
        </w:rPr>
        <w:t>counter</w:t>
      </w:r>
      <w:r w:rsidR="00B92A61">
        <w:rPr>
          <w:rFonts w:ascii="Garamond" w:hAnsi="Garamond"/>
          <w:sz w:val="20"/>
        </w:rPr>
        <w:t>-</w:t>
      </w:r>
      <w:r w:rsidR="00B92A61" w:rsidRPr="00643D0B">
        <w:rPr>
          <w:rFonts w:ascii="Garamond" w:hAnsi="Garamond"/>
          <w:sz w:val="20"/>
        </w:rPr>
        <w:t>narrative</w:t>
      </w:r>
      <w:r w:rsidRPr="00643D0B">
        <w:rPr>
          <w:rFonts w:ascii="Garamond" w:hAnsi="Garamond"/>
          <w:sz w:val="20"/>
        </w:rPr>
        <w:t xml:space="preserve">, offering the view that executives tended to aggrandize power.   Drawing inspiration from the English Whigs like Cato (John Trenchard and Thomas Gordon), this strand emphasized that power tended to consolidate in the executive.  Most who believed in this view became Antifederalists. </w:t>
      </w:r>
    </w:p>
  </w:footnote>
  <w:footnote w:id="1">
    <w:p w:rsidR="00A52A2F" w:rsidRPr="00643D0B" w:rsidRDefault="00A52A2F">
      <w:pPr>
        <w:pStyle w:val="FootnoteText"/>
        <w:rPr>
          <w:rFonts w:ascii="Garamond" w:hAnsi="Garamond"/>
          <w:sz w:val="20"/>
        </w:rPr>
      </w:pPr>
      <w:r w:rsidRPr="00643D0B">
        <w:rPr>
          <w:rStyle w:val="FootnoteReference"/>
          <w:rFonts w:ascii="Garamond" w:hAnsi="Garamond"/>
          <w:sz w:val="20"/>
        </w:rPr>
        <w:footnoteRef/>
      </w:r>
      <w:r>
        <w:rPr>
          <w:rFonts w:ascii="Garamond" w:hAnsi="Garamond"/>
          <w:sz w:val="20"/>
        </w:rPr>
        <w:t xml:space="preserve"> </w:t>
      </w:r>
      <w:r w:rsidRPr="00643D0B">
        <w:rPr>
          <w:rFonts w:ascii="Garamond" w:hAnsi="Garamond"/>
          <w:sz w:val="20"/>
        </w:rPr>
        <w:t>Cooke, ed., pp. 347-353.</w:t>
      </w:r>
    </w:p>
  </w:footnote>
  <w:footnote w:id="2">
    <w:p w:rsidR="00A52A2F" w:rsidRPr="00643D0B" w:rsidRDefault="00A52A2F">
      <w:pPr>
        <w:pStyle w:val="FootnoteText"/>
        <w:rPr>
          <w:rFonts w:ascii="Garamond" w:hAnsi="Garamond"/>
          <w:sz w:val="20"/>
        </w:rPr>
      </w:pPr>
      <w:r w:rsidRPr="00643D0B">
        <w:rPr>
          <w:rStyle w:val="FootnoteReference"/>
          <w:rFonts w:ascii="Garamond" w:hAnsi="Garamond"/>
          <w:sz w:val="20"/>
        </w:rPr>
        <w:footnoteRef/>
      </w:r>
      <w:r w:rsidRPr="00643D0B">
        <w:rPr>
          <w:rFonts w:ascii="Garamond" w:hAnsi="Garamond"/>
          <w:sz w:val="20"/>
        </w:rPr>
        <w:t xml:space="preserve"> This was, perhaps, not even true at the time that the founders were writing, as the monarch’s veto had essentially gone into disuse.  Queen Anne had been the last British monarch to veto legislation in 1708.  Certainly from the perspective of hindsight, no one could argue that the British institutions relative power vis-à-vis each other has been stable and coequal over the last 235 years.  Nor had English history prior to the 1780s been static.  Nevertheless, there were many who admired the relatively stability of the English government and believed that some sort of institutional coequality was the key factor which induced stability.  </w:t>
      </w:r>
    </w:p>
  </w:footnote>
  <w:footnote w:id="3">
    <w:p w:rsidR="00A52A2F" w:rsidRPr="0062742A" w:rsidRDefault="00A52A2F">
      <w:pPr>
        <w:pStyle w:val="FootnoteText"/>
        <w:rPr>
          <w:rFonts w:ascii="Garamond" w:hAnsi="Garamond"/>
          <w:sz w:val="20"/>
        </w:rPr>
      </w:pPr>
      <w:r w:rsidRPr="0062742A">
        <w:rPr>
          <w:rStyle w:val="FootnoteReference"/>
          <w:rFonts w:ascii="Garamond" w:hAnsi="Garamond"/>
          <w:sz w:val="20"/>
        </w:rPr>
        <w:footnoteRef/>
      </w:r>
      <w:r w:rsidRPr="0062742A">
        <w:rPr>
          <w:rFonts w:ascii="Garamond" w:hAnsi="Garamond"/>
          <w:sz w:val="20"/>
        </w:rPr>
        <w:t xml:space="preserve"> Using the database of presidential documents in the American Presidency Project, Beach and I found 31 instances of the use of coequality in presidential speeches or statements from Nixon forward.  Every president but Jimmy Carter used this term to describe the relationship between the branches of government.  The one possible earlier exception is Dwight Eisenhower’s statement in a news conference of July 29, 1959, but Eisenhower’s reference to coequal institutions is too brief and cryptic for him to have made an intelligible case for institutions coequal in power.</w:t>
      </w:r>
    </w:p>
  </w:footnote>
  <w:footnote w:id="4">
    <w:p w:rsidR="00A52A2F" w:rsidRPr="0062742A" w:rsidRDefault="00A52A2F">
      <w:pPr>
        <w:pStyle w:val="FootnoteText"/>
        <w:rPr>
          <w:rFonts w:ascii="Garamond" w:hAnsi="Garamond"/>
          <w:sz w:val="20"/>
        </w:rPr>
      </w:pPr>
      <w:r w:rsidRPr="0062742A">
        <w:rPr>
          <w:rStyle w:val="FootnoteReference"/>
          <w:rFonts w:ascii="Garamond" w:hAnsi="Garamond"/>
          <w:sz w:val="20"/>
        </w:rPr>
        <w:footnoteRef/>
      </w:r>
      <w:r w:rsidRPr="0062742A">
        <w:rPr>
          <w:rFonts w:ascii="Garamond" w:hAnsi="Garamond"/>
          <w:sz w:val="20"/>
        </w:rPr>
        <w:t xml:space="preserve"> Siemers and Beach, “Presidential Coequality:  The Evolution of a Concept,” </w:t>
      </w:r>
      <w:r w:rsidRPr="0062742A">
        <w:rPr>
          <w:rFonts w:ascii="Garamond" w:hAnsi="Garamond"/>
          <w:i/>
          <w:sz w:val="20"/>
        </w:rPr>
        <w:t>Congress &amp; the Presidency</w:t>
      </w:r>
      <w:r w:rsidRPr="0062742A">
        <w:rPr>
          <w:rFonts w:ascii="Garamond" w:hAnsi="Garamond"/>
          <w:sz w:val="20"/>
        </w:rPr>
        <w:t xml:space="preserve">, </w:t>
      </w:r>
      <w:r>
        <w:rPr>
          <w:rFonts w:ascii="Garamond" w:hAnsi="Garamond"/>
          <w:sz w:val="20"/>
        </w:rPr>
        <w:t>September 2012, pp. 316-339.</w:t>
      </w:r>
    </w:p>
  </w:footnote>
  <w:footnote w:id="5">
    <w:p w:rsidR="00A52A2F" w:rsidRPr="009E0E5D" w:rsidRDefault="00A52A2F" w:rsidP="009E0E5D">
      <w:pPr>
        <w:rPr>
          <w:rFonts w:ascii="Garamond" w:hAnsi="Garamond"/>
          <w:sz w:val="20"/>
        </w:rPr>
      </w:pPr>
      <w:r w:rsidRPr="009E0E5D">
        <w:rPr>
          <w:rStyle w:val="FootnoteReference"/>
          <w:rFonts w:ascii="Garamond" w:hAnsi="Garamond"/>
          <w:sz w:val="20"/>
        </w:rPr>
        <w:footnoteRef/>
      </w:r>
      <w:r w:rsidRPr="009E0E5D">
        <w:rPr>
          <w:rFonts w:ascii="Garamond" w:hAnsi="Garamond"/>
          <w:sz w:val="20"/>
        </w:rPr>
        <w:t xml:space="preserve"> </w:t>
      </w:r>
      <w:r w:rsidRPr="00AA7150">
        <w:rPr>
          <w:rFonts w:ascii="Garamond" w:hAnsi="Garamond"/>
          <w:sz w:val="20"/>
        </w:rPr>
        <w:t xml:space="preserve">Two cases which counted as “hits” are eliminated from the analysis; both are very early court decisions, </w:t>
      </w:r>
      <w:r w:rsidRPr="009E0E5D">
        <w:rPr>
          <w:rFonts w:ascii="Garamond" w:hAnsi="Garamond"/>
          <w:i/>
          <w:sz w:val="20"/>
        </w:rPr>
        <w:t>McCulloch v. Maryland</w:t>
      </w:r>
      <w:r w:rsidRPr="00AA7150">
        <w:rPr>
          <w:rFonts w:ascii="Garamond" w:hAnsi="Garamond"/>
          <w:sz w:val="20"/>
        </w:rPr>
        <w:t xml:space="preserve"> (1819) and </w:t>
      </w:r>
      <w:r w:rsidRPr="009E0E5D">
        <w:rPr>
          <w:rFonts w:ascii="Garamond" w:hAnsi="Garamond"/>
          <w:i/>
          <w:sz w:val="20"/>
        </w:rPr>
        <w:t>Santissima Trinidaad and the St. An De</w:t>
      </w:r>
      <w:r w:rsidRPr="00AA7150">
        <w:rPr>
          <w:rFonts w:ascii="Garamond" w:hAnsi="Garamond"/>
          <w:sz w:val="20"/>
        </w:rPr>
        <w:t xml:space="preserve"> (1822), because Lexis/Nexis did not distinguish between the lawyers’ arguments (which made a coequality claim) and the opinion of the Court.</w:t>
      </w:r>
    </w:p>
  </w:footnote>
  <w:footnote w:id="6">
    <w:p w:rsidR="00A52A2F" w:rsidRPr="009E0E5D" w:rsidRDefault="00B92A61">
      <w:pPr>
        <w:pStyle w:val="FootnoteText"/>
        <w:rPr>
          <w:sz w:val="20"/>
        </w:rPr>
      </w:pPr>
      <w:r w:rsidRPr="009E0E5D">
        <w:rPr>
          <w:rStyle w:val="FootnoteReference"/>
          <w:rFonts w:ascii="Garamond" w:hAnsi="Garamond"/>
          <w:sz w:val="20"/>
        </w:rPr>
        <w:footnoteRef/>
      </w:r>
      <w:r w:rsidRPr="009E0E5D">
        <w:rPr>
          <w:rFonts w:ascii="Garamond" w:hAnsi="Garamond"/>
          <w:sz w:val="20"/>
        </w:rPr>
        <w:t xml:space="preserve"> Some of the additional uses of coequal and coequality in Supreme Court decisions include the assertion that every provision in a constitution are considered to have equal status and weight (</w:t>
      </w:r>
      <w:r w:rsidRPr="009E0E5D">
        <w:rPr>
          <w:rFonts w:ascii="Garamond" w:hAnsi="Garamond"/>
          <w:i/>
          <w:sz w:val="20"/>
        </w:rPr>
        <w:t>Springfield v. Quirk</w:t>
      </w:r>
      <w:r w:rsidRPr="009E0E5D">
        <w:rPr>
          <w:rFonts w:ascii="Garamond" w:hAnsi="Garamond"/>
          <w:sz w:val="20"/>
        </w:rPr>
        <w:t>, 1859); codefendants in a criminal case are considered coequal before the law (</w:t>
      </w:r>
      <w:r w:rsidRPr="009E0E5D">
        <w:rPr>
          <w:rFonts w:ascii="Garamond" w:hAnsi="Garamond"/>
          <w:i/>
          <w:sz w:val="20"/>
        </w:rPr>
        <w:t>Wheat v. US</w:t>
      </w:r>
      <w:r w:rsidRPr="009E0E5D">
        <w:rPr>
          <w:rFonts w:ascii="Garamond" w:hAnsi="Garamond"/>
          <w:sz w:val="20"/>
        </w:rPr>
        <w:t xml:space="preserve">, 1988); the right to extract subterranean resources is a coequal right of property holders (e.g. </w:t>
      </w:r>
      <w:r w:rsidRPr="009E0E5D">
        <w:rPr>
          <w:rFonts w:ascii="Garamond" w:hAnsi="Garamond"/>
          <w:i/>
          <w:sz w:val="20"/>
        </w:rPr>
        <w:t>Ohio Oil Co. v. Indiana</w:t>
      </w:r>
      <w:r w:rsidRPr="009E0E5D">
        <w:rPr>
          <w:rFonts w:ascii="Garamond" w:hAnsi="Garamond"/>
          <w:sz w:val="20"/>
        </w:rPr>
        <w:t>, 1900)</w:t>
      </w:r>
      <w:r>
        <w:rPr>
          <w:rFonts w:ascii="Garamond" w:hAnsi="Garamond"/>
          <w:sz w:val="20"/>
        </w:rPr>
        <w:t>; labor and management’s prerog</w:t>
      </w:r>
      <w:r w:rsidRPr="009E0E5D">
        <w:rPr>
          <w:rFonts w:ascii="Garamond" w:hAnsi="Garamond"/>
          <w:sz w:val="20"/>
        </w:rPr>
        <w:t xml:space="preserve">atives in negotiations have been called coequal as well (e.g. </w:t>
      </w:r>
      <w:r w:rsidRPr="009E0E5D">
        <w:rPr>
          <w:rFonts w:ascii="Garamond" w:hAnsi="Garamond"/>
          <w:i/>
          <w:sz w:val="20"/>
        </w:rPr>
        <w:t>National Labor Relations Board v. Fansteel Metallurgical</w:t>
      </w:r>
      <w:r w:rsidRPr="009E0E5D">
        <w:rPr>
          <w:rFonts w:ascii="Garamond" w:hAnsi="Garamond"/>
          <w:sz w:val="20"/>
        </w:rPr>
        <w:t>, 1939).</w:t>
      </w:r>
    </w:p>
  </w:footnote>
  <w:footnote w:id="7">
    <w:p w:rsidR="00A52A2F" w:rsidRPr="009E0E5D" w:rsidRDefault="00A52A2F">
      <w:pPr>
        <w:pStyle w:val="FootnoteText"/>
        <w:rPr>
          <w:rFonts w:ascii="Garamond" w:hAnsi="Garamond"/>
          <w:sz w:val="20"/>
        </w:rPr>
      </w:pPr>
      <w:r w:rsidRPr="009E0E5D">
        <w:rPr>
          <w:rStyle w:val="FootnoteReference"/>
          <w:rFonts w:ascii="Garamond" w:hAnsi="Garamond"/>
          <w:sz w:val="20"/>
        </w:rPr>
        <w:footnoteRef/>
      </w:r>
      <w:r w:rsidRPr="009E0E5D">
        <w:rPr>
          <w:rFonts w:ascii="Garamond" w:hAnsi="Garamond"/>
          <w:sz w:val="20"/>
        </w:rPr>
        <w:t xml:space="preserve"> An example is Justice Kennedy’s dissent in </w:t>
      </w:r>
      <w:r w:rsidRPr="009E0E5D">
        <w:rPr>
          <w:rFonts w:ascii="Garamond" w:hAnsi="Garamond"/>
          <w:i/>
          <w:sz w:val="20"/>
        </w:rPr>
        <w:t>Alaska Dept. of Environmental Conservation v. EPA</w:t>
      </w:r>
      <w:r w:rsidRPr="009E0E5D">
        <w:rPr>
          <w:rFonts w:ascii="Garamond" w:hAnsi="Garamond"/>
          <w:sz w:val="20"/>
        </w:rPr>
        <w:t xml:space="preserve"> (2004).  There Kennedy noted that federal environmental intrusion w</w:t>
      </w:r>
      <w:r>
        <w:rPr>
          <w:rFonts w:ascii="Garamond" w:hAnsi="Garamond"/>
          <w:sz w:val="20"/>
        </w:rPr>
        <w:t>ould “relegat[e] states to the r</w:t>
      </w:r>
      <w:r w:rsidRPr="009E0E5D">
        <w:rPr>
          <w:rFonts w:ascii="Garamond" w:hAnsi="Garamond"/>
          <w:sz w:val="20"/>
        </w:rPr>
        <w:t xml:space="preserve">ole of mere provinces or political corporations, instead of coequal sovereigns entitled to the same dignity and respect.”   But Chief Justice Rehnquist never used the terms “coequal” or “coequality” to refer to state and federal sovereignty in a decision.  O’Connor, focused mainly on a corollary to the doctrine in </w:t>
      </w:r>
      <w:r w:rsidRPr="009E0E5D">
        <w:rPr>
          <w:rFonts w:ascii="Garamond" w:hAnsi="Garamond"/>
          <w:i/>
          <w:sz w:val="20"/>
        </w:rPr>
        <w:t>Townshend v. Sain</w:t>
      </w:r>
      <w:r w:rsidRPr="009E0E5D">
        <w:rPr>
          <w:rFonts w:ascii="Garamond" w:hAnsi="Garamond"/>
          <w:sz w:val="20"/>
        </w:rPr>
        <w:t xml:space="preserve"> (1963) that state courts were obligated to enforce federal law.  In </w:t>
      </w:r>
      <w:r w:rsidRPr="009E0E5D">
        <w:rPr>
          <w:rFonts w:ascii="Garamond" w:hAnsi="Garamond"/>
          <w:i/>
          <w:sz w:val="20"/>
        </w:rPr>
        <w:t>Miller v. Fenton</w:t>
      </w:r>
      <w:r w:rsidRPr="009E0E5D">
        <w:rPr>
          <w:rFonts w:ascii="Garamond" w:hAnsi="Garamond"/>
          <w:sz w:val="20"/>
        </w:rPr>
        <w:t xml:space="preserve"> (1985), O’Connor posited that federal courts owe deference to “coequal” state courts. </w:t>
      </w:r>
    </w:p>
  </w:footnote>
  <w:footnote w:id="8">
    <w:p w:rsidR="00A52A2F" w:rsidRPr="009E0E5D" w:rsidRDefault="00A52A2F">
      <w:pPr>
        <w:pStyle w:val="FootnoteText"/>
        <w:rPr>
          <w:rFonts w:ascii="Garamond" w:hAnsi="Garamond"/>
          <w:sz w:val="20"/>
        </w:rPr>
      </w:pPr>
      <w:r w:rsidRPr="009E0E5D">
        <w:rPr>
          <w:rStyle w:val="FootnoteReference"/>
          <w:rFonts w:ascii="Garamond" w:hAnsi="Garamond"/>
          <w:sz w:val="20"/>
        </w:rPr>
        <w:footnoteRef/>
      </w:r>
      <w:r w:rsidRPr="009E0E5D">
        <w:rPr>
          <w:rFonts w:ascii="Garamond" w:hAnsi="Garamond"/>
          <w:sz w:val="20"/>
        </w:rPr>
        <w:t xml:space="preserve"> e.g. Blackmun, in </w:t>
      </w:r>
      <w:r w:rsidRPr="009E0E5D">
        <w:rPr>
          <w:rFonts w:ascii="Garamond" w:hAnsi="Garamond"/>
          <w:i/>
          <w:sz w:val="20"/>
        </w:rPr>
        <w:t>Federal Regulatory Commission v. Mississippi</w:t>
      </w:r>
      <w:r w:rsidRPr="009E0E5D">
        <w:rPr>
          <w:rFonts w:ascii="Garamond" w:hAnsi="Garamond"/>
          <w:sz w:val="20"/>
        </w:rPr>
        <w:t xml:space="preserve"> (1982), noted that it might have been appropriate to consider states and the federal government as coequal sovereignties before the Civil War, but that “this rigid and isolated statement from </w:t>
      </w:r>
      <w:r w:rsidRPr="009E0E5D">
        <w:rPr>
          <w:rFonts w:ascii="Garamond" w:hAnsi="Garamond"/>
          <w:i/>
          <w:sz w:val="20"/>
        </w:rPr>
        <w:t>Kentucky v. Dennison</w:t>
      </w:r>
      <w:r w:rsidRPr="009E0E5D">
        <w:rPr>
          <w:rFonts w:ascii="Garamond" w:hAnsi="Garamond"/>
          <w:sz w:val="20"/>
        </w:rPr>
        <w:t xml:space="preserve"> (1861) – which suggest that the States and the Federal Government in all circumstances must be viewed as coequal sovereigns—is not representative of the law today.”  In </w:t>
      </w:r>
      <w:r w:rsidRPr="009E0E5D">
        <w:rPr>
          <w:rFonts w:ascii="Garamond" w:hAnsi="Garamond"/>
          <w:i/>
          <w:sz w:val="20"/>
        </w:rPr>
        <w:t>Seminole Tribe v. Florida</w:t>
      </w:r>
      <w:r w:rsidRPr="009E0E5D">
        <w:rPr>
          <w:rFonts w:ascii="Garamond" w:hAnsi="Garamond"/>
          <w:sz w:val="20"/>
        </w:rPr>
        <w:t xml:space="preserve"> (1996) Souter objected by quoting McMaster and Stone, who were, in turn, quoting James Wilson:   “none of these arguments about ‘joint jurisdictions’ and ‘coequal sovereignties’ convincingly refuted the Antifederalist doctrine of a supreme and indivisible sovereignty, [so] the Federalists could only succeed by emphasizing that the supreme power ‘resides in the PEOPLE, as the fountain of government.’”</w:t>
      </w:r>
    </w:p>
  </w:footnote>
  <w:footnote w:id="9">
    <w:p w:rsidR="00A52A2F" w:rsidRPr="00C6613D" w:rsidRDefault="00A52A2F">
      <w:pPr>
        <w:pStyle w:val="FootnoteText"/>
        <w:rPr>
          <w:rFonts w:ascii="Garamond" w:hAnsi="Garamond"/>
          <w:sz w:val="20"/>
        </w:rPr>
      </w:pPr>
      <w:r w:rsidRPr="00C6613D">
        <w:rPr>
          <w:rStyle w:val="FootnoteReference"/>
          <w:rFonts w:ascii="Garamond" w:hAnsi="Garamond"/>
          <w:sz w:val="20"/>
        </w:rPr>
        <w:footnoteRef/>
      </w:r>
      <w:r w:rsidRPr="00C6613D">
        <w:rPr>
          <w:rFonts w:ascii="Garamond" w:hAnsi="Garamond"/>
          <w:sz w:val="20"/>
        </w:rPr>
        <w:t xml:space="preserve"> In s</w:t>
      </w:r>
      <w:r>
        <w:rPr>
          <w:rFonts w:ascii="Garamond" w:hAnsi="Garamond"/>
          <w:sz w:val="20"/>
        </w:rPr>
        <w:t>tandard English notation I have</w:t>
      </w:r>
      <w:r w:rsidRPr="00C6613D">
        <w:rPr>
          <w:rFonts w:ascii="Garamond" w:hAnsi="Garamond"/>
          <w:sz w:val="20"/>
        </w:rPr>
        <w:t xml:space="preserve"> run o</w:t>
      </w:r>
      <w:r>
        <w:rPr>
          <w:rFonts w:ascii="Garamond" w:hAnsi="Garamond"/>
          <w:sz w:val="20"/>
        </w:rPr>
        <w:t>ut of ways to designate what is happening</w:t>
      </w:r>
      <w:r w:rsidRPr="00C6613D">
        <w:rPr>
          <w:rFonts w:ascii="Garamond" w:hAnsi="Garamond"/>
          <w:sz w:val="20"/>
        </w:rPr>
        <w:t xml:space="preserve"> here.  Harlan is quoting himself in </w:t>
      </w:r>
      <w:r w:rsidRPr="00C6613D">
        <w:rPr>
          <w:rFonts w:ascii="Garamond" w:hAnsi="Garamond"/>
          <w:i/>
          <w:sz w:val="20"/>
        </w:rPr>
        <w:t>Field</w:t>
      </w:r>
      <w:r w:rsidRPr="00C6613D">
        <w:rPr>
          <w:rFonts w:ascii="Garamond" w:hAnsi="Garamond"/>
          <w:sz w:val="20"/>
        </w:rPr>
        <w:t xml:space="preserve"> quoting </w:t>
      </w:r>
      <w:r w:rsidRPr="00C6613D">
        <w:rPr>
          <w:rFonts w:ascii="Garamond" w:hAnsi="Garamond"/>
          <w:i/>
          <w:sz w:val="20"/>
        </w:rPr>
        <w:t>Ex Parte Wren</w:t>
      </w:r>
      <w:r w:rsidRPr="00C6613D">
        <w:rPr>
          <w:rFonts w:ascii="Garamond" w:hAnsi="Garamond"/>
          <w:sz w:val="20"/>
        </w:rPr>
        <w:t xml:space="preserve">. </w:t>
      </w:r>
    </w:p>
  </w:footnote>
  <w:footnote w:id="10">
    <w:p w:rsidR="00A52A2F" w:rsidRPr="00C6613D" w:rsidRDefault="00A52A2F">
      <w:pPr>
        <w:pStyle w:val="FootnoteText"/>
        <w:rPr>
          <w:rFonts w:ascii="Garamond" w:hAnsi="Garamond"/>
          <w:sz w:val="20"/>
        </w:rPr>
      </w:pPr>
      <w:r w:rsidRPr="00C6613D">
        <w:rPr>
          <w:rStyle w:val="FootnoteReference"/>
          <w:rFonts w:ascii="Garamond" w:hAnsi="Garamond"/>
          <w:sz w:val="20"/>
        </w:rPr>
        <w:footnoteRef/>
      </w:r>
      <w:r w:rsidRPr="00C6613D">
        <w:rPr>
          <w:rFonts w:ascii="Garamond" w:hAnsi="Garamond"/>
          <w:sz w:val="20"/>
        </w:rPr>
        <w:t xml:space="preserve"> As alluded to above, the shared powers doled out in the Constitution open this formulation to question, as does the federal judiciary’s presumption of constitutional supremacy, nowhere mentioned in the Constitution.</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52A2F" w:rsidRDefault="00A52A2F" w:rsidP="00E625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2A2F" w:rsidRDefault="00A52A2F" w:rsidP="00514F49">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52A2F" w:rsidRDefault="00A52A2F" w:rsidP="00E625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2A61">
      <w:rPr>
        <w:rStyle w:val="PageNumber"/>
        <w:noProof/>
      </w:rPr>
      <w:t>11</w:t>
    </w:r>
    <w:r>
      <w:rPr>
        <w:rStyle w:val="PageNumber"/>
      </w:rPr>
      <w:fldChar w:fldCharType="end"/>
    </w:r>
  </w:p>
  <w:p w:rsidR="00A52A2F" w:rsidRDefault="00A52A2F" w:rsidP="00514F4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en-US" w:vendorID="64" w:dllVersion="131078" w:nlCheck="1" w:checkStyle="1"/>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82AE7"/>
    <w:rsid w:val="00000265"/>
    <w:rsid w:val="00000667"/>
    <w:rsid w:val="000010B6"/>
    <w:rsid w:val="00007950"/>
    <w:rsid w:val="00007CE4"/>
    <w:rsid w:val="0001599E"/>
    <w:rsid w:val="0002491C"/>
    <w:rsid w:val="00044567"/>
    <w:rsid w:val="00044BEF"/>
    <w:rsid w:val="00045AA6"/>
    <w:rsid w:val="00050CF5"/>
    <w:rsid w:val="000523EF"/>
    <w:rsid w:val="00055381"/>
    <w:rsid w:val="00056B45"/>
    <w:rsid w:val="00082AE7"/>
    <w:rsid w:val="000B50CE"/>
    <w:rsid w:val="000E4B25"/>
    <w:rsid w:val="000F1ADB"/>
    <w:rsid w:val="0010637D"/>
    <w:rsid w:val="00117825"/>
    <w:rsid w:val="00135B78"/>
    <w:rsid w:val="0014000E"/>
    <w:rsid w:val="00184380"/>
    <w:rsid w:val="001A35DE"/>
    <w:rsid w:val="001A3FE6"/>
    <w:rsid w:val="001C5D26"/>
    <w:rsid w:val="001D48EF"/>
    <w:rsid w:val="001E79E5"/>
    <w:rsid w:val="00203DCC"/>
    <w:rsid w:val="00206FB6"/>
    <w:rsid w:val="0021491A"/>
    <w:rsid w:val="00215AAF"/>
    <w:rsid w:val="0023315B"/>
    <w:rsid w:val="00234DD5"/>
    <w:rsid w:val="0024364B"/>
    <w:rsid w:val="00255EA5"/>
    <w:rsid w:val="002600F3"/>
    <w:rsid w:val="002713B6"/>
    <w:rsid w:val="00284C89"/>
    <w:rsid w:val="002908AA"/>
    <w:rsid w:val="0029437D"/>
    <w:rsid w:val="002A48D5"/>
    <w:rsid w:val="002A5D47"/>
    <w:rsid w:val="002A605C"/>
    <w:rsid w:val="002B650C"/>
    <w:rsid w:val="002F1B4F"/>
    <w:rsid w:val="00321047"/>
    <w:rsid w:val="003275D2"/>
    <w:rsid w:val="00334942"/>
    <w:rsid w:val="00357565"/>
    <w:rsid w:val="0036050A"/>
    <w:rsid w:val="00377EBE"/>
    <w:rsid w:val="00382BA9"/>
    <w:rsid w:val="0038351A"/>
    <w:rsid w:val="003A1600"/>
    <w:rsid w:val="003B249A"/>
    <w:rsid w:val="003B3BA6"/>
    <w:rsid w:val="003D1D5E"/>
    <w:rsid w:val="003E3557"/>
    <w:rsid w:val="003E6B25"/>
    <w:rsid w:val="003F7ED8"/>
    <w:rsid w:val="00412ECC"/>
    <w:rsid w:val="00440291"/>
    <w:rsid w:val="004668BB"/>
    <w:rsid w:val="0047050A"/>
    <w:rsid w:val="0048749E"/>
    <w:rsid w:val="00492FCD"/>
    <w:rsid w:val="00493745"/>
    <w:rsid w:val="004A1C56"/>
    <w:rsid w:val="004A30BE"/>
    <w:rsid w:val="004C144E"/>
    <w:rsid w:val="004C1A66"/>
    <w:rsid w:val="004E1775"/>
    <w:rsid w:val="004E3B7F"/>
    <w:rsid w:val="004E3D60"/>
    <w:rsid w:val="004F1994"/>
    <w:rsid w:val="00500B11"/>
    <w:rsid w:val="00511E17"/>
    <w:rsid w:val="00514E6A"/>
    <w:rsid w:val="00514F49"/>
    <w:rsid w:val="00523128"/>
    <w:rsid w:val="00537010"/>
    <w:rsid w:val="00544DA0"/>
    <w:rsid w:val="00546ABA"/>
    <w:rsid w:val="005501C0"/>
    <w:rsid w:val="00552E07"/>
    <w:rsid w:val="005835F7"/>
    <w:rsid w:val="00585E7E"/>
    <w:rsid w:val="0059649B"/>
    <w:rsid w:val="005C5FC4"/>
    <w:rsid w:val="005D242C"/>
    <w:rsid w:val="005D418D"/>
    <w:rsid w:val="005D4C30"/>
    <w:rsid w:val="005D7303"/>
    <w:rsid w:val="005E5D01"/>
    <w:rsid w:val="0060032A"/>
    <w:rsid w:val="00625627"/>
    <w:rsid w:val="0062742A"/>
    <w:rsid w:val="00627D10"/>
    <w:rsid w:val="006375EF"/>
    <w:rsid w:val="006420BE"/>
    <w:rsid w:val="00643D0B"/>
    <w:rsid w:val="00683843"/>
    <w:rsid w:val="00686E10"/>
    <w:rsid w:val="00690CF1"/>
    <w:rsid w:val="00694067"/>
    <w:rsid w:val="006A3892"/>
    <w:rsid w:val="006C1E22"/>
    <w:rsid w:val="006D1CF1"/>
    <w:rsid w:val="006D3CBB"/>
    <w:rsid w:val="006E77E5"/>
    <w:rsid w:val="006F394F"/>
    <w:rsid w:val="006F4025"/>
    <w:rsid w:val="006F56A4"/>
    <w:rsid w:val="0070728F"/>
    <w:rsid w:val="007310AE"/>
    <w:rsid w:val="0075309F"/>
    <w:rsid w:val="00761451"/>
    <w:rsid w:val="00767E7C"/>
    <w:rsid w:val="0079130A"/>
    <w:rsid w:val="00795889"/>
    <w:rsid w:val="007B214A"/>
    <w:rsid w:val="007B2882"/>
    <w:rsid w:val="007B75AC"/>
    <w:rsid w:val="007E0D56"/>
    <w:rsid w:val="007E2A90"/>
    <w:rsid w:val="007E33D7"/>
    <w:rsid w:val="007F1781"/>
    <w:rsid w:val="007F4225"/>
    <w:rsid w:val="007F50E5"/>
    <w:rsid w:val="007F6101"/>
    <w:rsid w:val="007F776D"/>
    <w:rsid w:val="00821027"/>
    <w:rsid w:val="00846D09"/>
    <w:rsid w:val="00850701"/>
    <w:rsid w:val="00881378"/>
    <w:rsid w:val="008A7294"/>
    <w:rsid w:val="008B4F23"/>
    <w:rsid w:val="008C096E"/>
    <w:rsid w:val="008C4294"/>
    <w:rsid w:val="008F0589"/>
    <w:rsid w:val="008F0BFF"/>
    <w:rsid w:val="008F1FCE"/>
    <w:rsid w:val="008F3EC5"/>
    <w:rsid w:val="00904997"/>
    <w:rsid w:val="00915D78"/>
    <w:rsid w:val="00924084"/>
    <w:rsid w:val="00930D6A"/>
    <w:rsid w:val="009354C6"/>
    <w:rsid w:val="00950296"/>
    <w:rsid w:val="009619B0"/>
    <w:rsid w:val="00964311"/>
    <w:rsid w:val="009701B0"/>
    <w:rsid w:val="0098273A"/>
    <w:rsid w:val="00985CE4"/>
    <w:rsid w:val="009B6B17"/>
    <w:rsid w:val="009D2915"/>
    <w:rsid w:val="009E0E5D"/>
    <w:rsid w:val="00A06C85"/>
    <w:rsid w:val="00A15500"/>
    <w:rsid w:val="00A30F87"/>
    <w:rsid w:val="00A439C4"/>
    <w:rsid w:val="00A44E0C"/>
    <w:rsid w:val="00A52A2F"/>
    <w:rsid w:val="00A578F7"/>
    <w:rsid w:val="00A662C8"/>
    <w:rsid w:val="00A72E2B"/>
    <w:rsid w:val="00A7377F"/>
    <w:rsid w:val="00A92A2C"/>
    <w:rsid w:val="00A970EA"/>
    <w:rsid w:val="00AA0907"/>
    <w:rsid w:val="00AA7150"/>
    <w:rsid w:val="00AB2BF4"/>
    <w:rsid w:val="00AC5EFA"/>
    <w:rsid w:val="00AF58F9"/>
    <w:rsid w:val="00B01CCF"/>
    <w:rsid w:val="00B12E0B"/>
    <w:rsid w:val="00B506DF"/>
    <w:rsid w:val="00B70D2E"/>
    <w:rsid w:val="00B7209D"/>
    <w:rsid w:val="00B7286E"/>
    <w:rsid w:val="00B74827"/>
    <w:rsid w:val="00B92A61"/>
    <w:rsid w:val="00BB446E"/>
    <w:rsid w:val="00BC008A"/>
    <w:rsid w:val="00BD0689"/>
    <w:rsid w:val="00BF51E5"/>
    <w:rsid w:val="00BF6D18"/>
    <w:rsid w:val="00C01093"/>
    <w:rsid w:val="00C02D02"/>
    <w:rsid w:val="00C25455"/>
    <w:rsid w:val="00C36EE6"/>
    <w:rsid w:val="00C446C8"/>
    <w:rsid w:val="00C51C71"/>
    <w:rsid w:val="00C620B6"/>
    <w:rsid w:val="00C6613D"/>
    <w:rsid w:val="00C66E65"/>
    <w:rsid w:val="00CA006A"/>
    <w:rsid w:val="00CA74AF"/>
    <w:rsid w:val="00CB5F42"/>
    <w:rsid w:val="00CC03D5"/>
    <w:rsid w:val="00CF0C71"/>
    <w:rsid w:val="00CF1A7B"/>
    <w:rsid w:val="00D2225B"/>
    <w:rsid w:val="00D3664E"/>
    <w:rsid w:val="00D44E02"/>
    <w:rsid w:val="00D46EEB"/>
    <w:rsid w:val="00D74CF3"/>
    <w:rsid w:val="00D770B1"/>
    <w:rsid w:val="00DB51F3"/>
    <w:rsid w:val="00DC772F"/>
    <w:rsid w:val="00DE5D10"/>
    <w:rsid w:val="00DF1F45"/>
    <w:rsid w:val="00DF3D72"/>
    <w:rsid w:val="00E60E70"/>
    <w:rsid w:val="00E625B0"/>
    <w:rsid w:val="00E745F7"/>
    <w:rsid w:val="00E94754"/>
    <w:rsid w:val="00EB4175"/>
    <w:rsid w:val="00EB5263"/>
    <w:rsid w:val="00EB6295"/>
    <w:rsid w:val="00ED3938"/>
    <w:rsid w:val="00EE3A83"/>
    <w:rsid w:val="00EF2869"/>
    <w:rsid w:val="00EF4581"/>
    <w:rsid w:val="00F100F1"/>
    <w:rsid w:val="00F41000"/>
    <w:rsid w:val="00F425A3"/>
    <w:rsid w:val="00F60DA9"/>
    <w:rsid w:val="00F615A8"/>
    <w:rsid w:val="00F630E8"/>
    <w:rsid w:val="00F6442D"/>
    <w:rsid w:val="00F759E6"/>
    <w:rsid w:val="00F80FC9"/>
    <w:rsid w:val="00F82192"/>
    <w:rsid w:val="00F940C0"/>
    <w:rsid w:val="00F95A19"/>
    <w:rsid w:val="00F95BA6"/>
    <w:rsid w:val="00F95D29"/>
    <w:rsid w:val="00FA3B14"/>
    <w:rsid w:val="00FA552E"/>
    <w:rsid w:val="00FA5BB7"/>
    <w:rsid w:val="00FD1D65"/>
    <w:rsid w:val="00FD1F26"/>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B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7E2A90"/>
  </w:style>
  <w:style w:type="character" w:customStyle="1" w:styleId="FootnoteTextChar">
    <w:name w:val="Footnote Text Char"/>
    <w:basedOn w:val="DefaultParagraphFont"/>
    <w:link w:val="FootnoteText"/>
    <w:uiPriority w:val="99"/>
    <w:semiHidden/>
    <w:rsid w:val="007E2A90"/>
  </w:style>
  <w:style w:type="character" w:styleId="FootnoteReference">
    <w:name w:val="footnote reference"/>
    <w:basedOn w:val="DefaultParagraphFont"/>
    <w:uiPriority w:val="99"/>
    <w:semiHidden/>
    <w:unhideWhenUsed/>
    <w:rsid w:val="007E2A90"/>
    <w:rPr>
      <w:vertAlign w:val="superscript"/>
    </w:rPr>
  </w:style>
  <w:style w:type="table" w:styleId="TableGrid">
    <w:name w:val="Table Grid"/>
    <w:basedOn w:val="TableNormal"/>
    <w:uiPriority w:val="59"/>
    <w:rsid w:val="009827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537010"/>
    <w:rPr>
      <w:b/>
      <w:bCs/>
    </w:rPr>
  </w:style>
  <w:style w:type="paragraph" w:styleId="Header">
    <w:name w:val="header"/>
    <w:basedOn w:val="Normal"/>
    <w:link w:val="HeaderChar"/>
    <w:uiPriority w:val="99"/>
    <w:semiHidden/>
    <w:unhideWhenUsed/>
    <w:rsid w:val="00514F49"/>
    <w:pPr>
      <w:tabs>
        <w:tab w:val="center" w:pos="4320"/>
        <w:tab w:val="right" w:pos="8640"/>
      </w:tabs>
    </w:pPr>
  </w:style>
  <w:style w:type="character" w:customStyle="1" w:styleId="HeaderChar">
    <w:name w:val="Header Char"/>
    <w:basedOn w:val="DefaultParagraphFont"/>
    <w:link w:val="Header"/>
    <w:uiPriority w:val="99"/>
    <w:semiHidden/>
    <w:rsid w:val="00514F49"/>
  </w:style>
  <w:style w:type="character" w:styleId="PageNumber">
    <w:name w:val="page number"/>
    <w:basedOn w:val="DefaultParagraphFont"/>
    <w:uiPriority w:val="99"/>
    <w:semiHidden/>
    <w:unhideWhenUsed/>
    <w:rsid w:val="00514F4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footnotes" Target="footnote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2091</TotalTime>
  <Pages>35</Pages>
  <Words>10158</Words>
  <Characters>57901</Characters>
  <Application>Microsoft Word 12.1.1</Application>
  <DocSecurity>0</DocSecurity>
  <Lines>482</Lines>
  <Paragraphs>115</Paragraphs>
  <ScaleCrop>false</ScaleCrop>
  <Company>UW Oshkosh</Company>
  <LinksUpToDate>false</LinksUpToDate>
  <CharactersWithSpaces>71106</CharactersWithSpaces>
  <SharedDoc>false</SharedDoc>
  <HyperlinksChanged>false</HyperlinksChanged>
  <AppVersion>12.0257</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Siemers</dc:creator>
  <cp:keywords/>
  <cp:lastModifiedBy>David Siemers</cp:lastModifiedBy>
  <cp:revision>31</cp:revision>
  <cp:lastPrinted>2013-03-15T20:45:00Z</cp:lastPrinted>
  <dcterms:created xsi:type="dcterms:W3CDTF">2013-02-23T15:47:00Z</dcterms:created>
  <dcterms:modified xsi:type="dcterms:W3CDTF">2013-03-19T19:41:00Z</dcterms:modified>
</cp:coreProperties>
</file>