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4D93" w14:textId="77777777" w:rsidR="00676DAF" w:rsidRPr="00902E61" w:rsidRDefault="00676DAF">
      <w:pPr>
        <w:rPr>
          <w:rFonts w:asciiTheme="minorHAnsi" w:hAnsiTheme="minorHAnsi"/>
          <w:sz w:val="28"/>
          <w:szCs w:val="28"/>
        </w:rPr>
      </w:pPr>
    </w:p>
    <w:p w14:paraId="03E13E2B" w14:textId="009B6A41" w:rsidR="00E968E4" w:rsidRPr="00902E61" w:rsidRDefault="00E968E4" w:rsidP="007F5AE7">
      <w:pPr>
        <w:jc w:val="center"/>
        <w:rPr>
          <w:rFonts w:asciiTheme="minorHAnsi" w:hAnsiTheme="minorHAnsi"/>
          <w:b/>
          <w:bCs/>
          <w:sz w:val="28"/>
          <w:szCs w:val="28"/>
          <w:lang w:val="en-US"/>
        </w:rPr>
      </w:pPr>
      <w:r w:rsidRPr="00902E61">
        <w:rPr>
          <w:rFonts w:asciiTheme="minorHAnsi" w:hAnsiTheme="minorHAnsi"/>
          <w:b/>
          <w:bCs/>
          <w:sz w:val="28"/>
          <w:szCs w:val="28"/>
          <w:lang w:val="en-US"/>
        </w:rPr>
        <w:t>Beyond Equal Treatment: Gendered Employment Norms and the Devaluation of Feminized Labour in Ontario’s Healthcare Industry</w:t>
      </w:r>
    </w:p>
    <w:p w14:paraId="15D74A6D" w14:textId="77777777" w:rsidR="007F5AE7" w:rsidRPr="00902E61" w:rsidRDefault="007F5AE7" w:rsidP="007F5AE7">
      <w:pPr>
        <w:rPr>
          <w:rFonts w:asciiTheme="minorHAnsi" w:hAnsiTheme="minorHAnsi"/>
          <w:b/>
          <w:bCs/>
          <w:lang w:val="en-US"/>
        </w:rPr>
      </w:pPr>
    </w:p>
    <w:p w14:paraId="4A408BCC" w14:textId="752C7D1C" w:rsidR="007F5AE7" w:rsidRPr="00902E61" w:rsidRDefault="007F5AE7" w:rsidP="007F5AE7">
      <w:pPr>
        <w:jc w:val="center"/>
        <w:rPr>
          <w:rFonts w:asciiTheme="minorHAnsi" w:hAnsiTheme="minorHAnsi"/>
          <w:b/>
          <w:bCs/>
          <w:lang w:val="en-US"/>
        </w:rPr>
      </w:pPr>
      <w:r w:rsidRPr="00902E61">
        <w:rPr>
          <w:rFonts w:asciiTheme="minorHAnsi" w:hAnsiTheme="minorHAnsi"/>
          <w:b/>
          <w:bCs/>
          <w:lang w:val="en-US"/>
        </w:rPr>
        <w:t xml:space="preserve">Cynthia Spring, MA, York University  </w:t>
      </w:r>
    </w:p>
    <w:p w14:paraId="3196F961" w14:textId="77777777" w:rsidR="00E968E4" w:rsidRDefault="00E968E4" w:rsidP="00695E06">
      <w:pPr>
        <w:rPr>
          <w:rFonts w:asciiTheme="minorHAnsi" w:hAnsiTheme="minorHAnsi"/>
        </w:rPr>
      </w:pPr>
    </w:p>
    <w:p w14:paraId="0B0843AB" w14:textId="77777777" w:rsidR="001D5A56" w:rsidRDefault="001D5A56" w:rsidP="00695E06">
      <w:pPr>
        <w:rPr>
          <w:rFonts w:asciiTheme="minorHAnsi" w:hAnsiTheme="minorHAnsi"/>
          <w:lang w:val="en-US"/>
        </w:rPr>
      </w:pPr>
    </w:p>
    <w:p w14:paraId="5718B35D" w14:textId="0034D4B5" w:rsidR="001D5A56" w:rsidRPr="001D5A56" w:rsidRDefault="001D5A56" w:rsidP="001D5A56">
      <w:pPr>
        <w:jc w:val="center"/>
        <w:rPr>
          <w:rFonts w:asciiTheme="minorHAnsi" w:hAnsiTheme="minorHAnsi"/>
          <w:i/>
          <w:iCs/>
          <w:lang w:val="en-US"/>
        </w:rPr>
      </w:pPr>
      <w:r w:rsidRPr="001D5A56">
        <w:rPr>
          <w:rFonts w:asciiTheme="minorHAnsi" w:hAnsiTheme="minorHAnsi"/>
          <w:i/>
          <w:iCs/>
          <w:lang w:val="en-US"/>
        </w:rPr>
        <w:t xml:space="preserve">Abstract </w:t>
      </w:r>
    </w:p>
    <w:p w14:paraId="05D0D343" w14:textId="71A7A035" w:rsidR="001D5A56" w:rsidRDefault="001D5A56" w:rsidP="001D5A56">
      <w:pPr>
        <w:jc w:val="both"/>
        <w:rPr>
          <w:rFonts w:asciiTheme="minorHAnsi" w:hAnsiTheme="minorHAnsi"/>
        </w:rPr>
      </w:pPr>
      <w:r>
        <w:rPr>
          <w:rFonts w:asciiTheme="minorHAnsi" w:hAnsiTheme="minorHAnsi"/>
        </w:rPr>
        <w:t>In 2016, the Association of</w:t>
      </w:r>
      <w:r w:rsidRPr="00902E61">
        <w:rPr>
          <w:rFonts w:asciiTheme="minorHAnsi" w:hAnsiTheme="minorHAnsi"/>
        </w:rPr>
        <w:t xml:space="preserve"> Ontario Midwives (AOM</w:t>
      </w:r>
      <w:r>
        <w:rPr>
          <w:rFonts w:asciiTheme="minorHAnsi" w:hAnsiTheme="minorHAnsi"/>
        </w:rPr>
        <w:t xml:space="preserve">) </w:t>
      </w:r>
      <w:r w:rsidRPr="00902E61">
        <w:rPr>
          <w:rFonts w:asciiTheme="minorHAnsi" w:hAnsiTheme="minorHAnsi"/>
        </w:rPr>
        <w:t>brought the province’s Ministry of Health and Long-Term Care to the Ontario Human Rights Tribunal of Ontario (HRTO), calling for a significant pay raise after more than twenty years of gender-based discrimination. Independent reports prepared for the AOM show that comparing midwives and Community Health Care (CHC) physicians</w:t>
      </w:r>
      <w:r>
        <w:rPr>
          <w:rFonts w:asciiTheme="minorHAnsi" w:hAnsiTheme="minorHAnsi"/>
        </w:rPr>
        <w:t xml:space="preserve"> </w:t>
      </w:r>
      <w:r w:rsidRPr="00902E61">
        <w:rPr>
          <w:rFonts w:asciiTheme="minorHAnsi" w:hAnsiTheme="minorHAnsi"/>
        </w:rPr>
        <w:t>reveals a 48% pay gap (Durber 2013; Mackenzie 2013). In addition to this differential in pay, the AOM’s ongoing legal action speaks to how midwifery, a profession emblematic of gendered employment norms in healthcare, is devalued, and elucidates the contradictory role of the state when positioned as both employer and legislator</w:t>
      </w:r>
      <w:r>
        <w:rPr>
          <w:rFonts w:asciiTheme="minorHAnsi" w:hAnsiTheme="minorHAnsi"/>
        </w:rPr>
        <w:t>. Moreover,</w:t>
      </w:r>
      <w:r w:rsidRPr="00902E61">
        <w:rPr>
          <w:rFonts w:asciiTheme="minorHAnsi" w:hAnsiTheme="minorHAnsi"/>
        </w:rPr>
        <w:t xml:space="preserve"> this legal case illustrates the possibilities and limitations of </w:t>
      </w:r>
      <w:r>
        <w:rPr>
          <w:rFonts w:asciiTheme="minorHAnsi" w:hAnsiTheme="minorHAnsi"/>
        </w:rPr>
        <w:t xml:space="preserve">Ontario’s existing </w:t>
      </w:r>
      <w:r w:rsidRPr="00CA687A">
        <w:rPr>
          <w:rFonts w:asciiTheme="minorHAnsi" w:hAnsiTheme="minorHAnsi"/>
          <w:i/>
          <w:iCs/>
        </w:rPr>
        <w:t>Pay Equity Act</w:t>
      </w:r>
      <w:r>
        <w:rPr>
          <w:rFonts w:asciiTheme="minorHAnsi" w:hAnsiTheme="minorHAnsi"/>
        </w:rPr>
        <w:t>—</w:t>
      </w:r>
      <w:r w:rsidRPr="00902E61">
        <w:rPr>
          <w:rFonts w:asciiTheme="minorHAnsi" w:hAnsiTheme="minorHAnsi"/>
        </w:rPr>
        <w:t xml:space="preserve">a </w:t>
      </w:r>
      <w:r>
        <w:rPr>
          <w:rFonts w:asciiTheme="minorHAnsi" w:hAnsiTheme="minorHAnsi"/>
        </w:rPr>
        <w:t xml:space="preserve">comparator-oriented approach—when </w:t>
      </w:r>
      <w:r w:rsidRPr="00902E61">
        <w:rPr>
          <w:rFonts w:asciiTheme="minorHAnsi" w:hAnsiTheme="minorHAnsi"/>
        </w:rPr>
        <w:t>addressing gendered-based discrepancies in compensation within and across occupations and sectors</w:t>
      </w:r>
      <w:r>
        <w:rPr>
          <w:rFonts w:asciiTheme="minorHAnsi" w:hAnsiTheme="minorHAnsi"/>
        </w:rPr>
        <w:t>. This paper first investigates how, i</w:t>
      </w:r>
      <w:r w:rsidRPr="00902E61">
        <w:rPr>
          <w:rFonts w:asciiTheme="minorHAnsi" w:hAnsiTheme="minorHAnsi"/>
        </w:rPr>
        <w:t>n a province where pay equity is protected as a fundamental human right, and where</w:t>
      </w:r>
      <w:r w:rsidRPr="00902E61">
        <w:rPr>
          <w:rFonts w:asciiTheme="minorHAnsi" w:hAnsiTheme="minorHAnsi"/>
          <w:i/>
          <w:iCs/>
        </w:rPr>
        <w:t xml:space="preserve"> </w:t>
      </w:r>
      <w:r w:rsidRPr="00902E61">
        <w:rPr>
          <w:rFonts w:asciiTheme="minorHAnsi" w:hAnsiTheme="minorHAnsi"/>
        </w:rPr>
        <w:t xml:space="preserve">employers, including the government itself, have pro-active obligations, legislated under the </w:t>
      </w:r>
      <w:r>
        <w:rPr>
          <w:rFonts w:asciiTheme="minorHAnsi" w:hAnsiTheme="minorHAnsi"/>
          <w:i/>
          <w:iCs/>
        </w:rPr>
        <w:t>PEA</w:t>
      </w:r>
      <w:r w:rsidRPr="00902E61">
        <w:rPr>
          <w:rFonts w:asciiTheme="minorHAnsi" w:hAnsiTheme="minorHAnsi"/>
        </w:rPr>
        <w:t xml:space="preserve">, to redress systemic discrimination in compensation, a branch of its own ministry has been able to evade these very obligations. </w:t>
      </w:r>
      <w:r>
        <w:rPr>
          <w:rFonts w:asciiTheme="minorHAnsi" w:hAnsiTheme="minorHAnsi"/>
        </w:rPr>
        <w:t xml:space="preserve">It then examines the </w:t>
      </w:r>
      <w:r w:rsidRPr="0087054C">
        <w:rPr>
          <w:rFonts w:asciiTheme="minorHAnsi" w:hAnsiTheme="minorHAnsi"/>
          <w:i/>
          <w:iCs/>
        </w:rPr>
        <w:t>PEA</w:t>
      </w:r>
      <w:r w:rsidRPr="008E12BE">
        <w:rPr>
          <w:rFonts w:asciiTheme="minorHAnsi" w:hAnsiTheme="minorHAnsi"/>
        </w:rPr>
        <w:t>'s main mechanism of measuring value, job evaluation,</w:t>
      </w:r>
      <w:r>
        <w:rPr>
          <w:rFonts w:asciiTheme="minorHAnsi" w:hAnsiTheme="minorHAnsi"/>
        </w:rPr>
        <w:t xml:space="preserve"> and argues that this process, which </w:t>
      </w:r>
      <w:r w:rsidRPr="00902E61">
        <w:rPr>
          <w:rFonts w:asciiTheme="minorHAnsi" w:hAnsiTheme="minorHAnsi"/>
        </w:rPr>
        <w:t>necessitates</w:t>
      </w:r>
      <w:r>
        <w:rPr>
          <w:rFonts w:asciiTheme="minorHAnsi" w:hAnsiTheme="minorHAnsi"/>
        </w:rPr>
        <w:t xml:space="preserve"> the</w:t>
      </w:r>
      <w:r w:rsidRPr="00902E61">
        <w:rPr>
          <w:rFonts w:asciiTheme="minorHAnsi" w:hAnsiTheme="minorHAnsi"/>
        </w:rPr>
        <w:t xml:space="preserve"> identification of</w:t>
      </w:r>
      <w:r>
        <w:rPr>
          <w:rFonts w:asciiTheme="minorHAnsi" w:hAnsiTheme="minorHAnsi"/>
        </w:rPr>
        <w:t xml:space="preserve"> a</w:t>
      </w:r>
      <w:r w:rsidRPr="00902E61">
        <w:rPr>
          <w:rFonts w:asciiTheme="minorHAnsi" w:hAnsiTheme="minorHAnsi"/>
        </w:rPr>
        <w:t xml:space="preserve"> </w:t>
      </w:r>
      <w:r>
        <w:rPr>
          <w:rFonts w:asciiTheme="minorHAnsi" w:hAnsiTheme="minorHAnsi"/>
        </w:rPr>
        <w:t xml:space="preserve">comparator, </w:t>
      </w:r>
      <w:r w:rsidRPr="00902E61">
        <w:rPr>
          <w:rFonts w:asciiTheme="minorHAnsi" w:hAnsiTheme="minorHAnsi"/>
        </w:rPr>
        <w:t xml:space="preserve">can </w:t>
      </w:r>
      <w:r>
        <w:rPr>
          <w:rFonts w:asciiTheme="minorHAnsi" w:hAnsiTheme="minorHAnsi"/>
        </w:rPr>
        <w:t xml:space="preserve">inadvertently </w:t>
      </w:r>
      <w:r w:rsidRPr="00902E61">
        <w:rPr>
          <w:rFonts w:asciiTheme="minorHAnsi" w:hAnsiTheme="minorHAnsi"/>
        </w:rPr>
        <w:t>reproduce and intensify gendered disparities</w:t>
      </w:r>
      <w:r>
        <w:rPr>
          <w:rFonts w:asciiTheme="minorHAnsi" w:hAnsiTheme="minorHAnsi"/>
        </w:rPr>
        <w:t>. Co</w:t>
      </w:r>
      <w:bookmarkStart w:id="0" w:name="_GoBack"/>
      <w:bookmarkEnd w:id="0"/>
      <w:r>
        <w:rPr>
          <w:rFonts w:asciiTheme="minorHAnsi" w:hAnsiTheme="minorHAnsi"/>
        </w:rPr>
        <w:t>n</w:t>
      </w:r>
      <w:r w:rsidR="009815AB">
        <w:rPr>
          <w:rFonts w:asciiTheme="minorHAnsi" w:hAnsiTheme="minorHAnsi"/>
        </w:rPr>
        <w:t>tending that</w:t>
      </w:r>
      <w:r>
        <w:rPr>
          <w:rFonts w:asciiTheme="minorHAnsi" w:hAnsiTheme="minorHAnsi"/>
        </w:rPr>
        <w:t xml:space="preserve"> a more</w:t>
      </w:r>
      <w:r w:rsidRPr="00902E61">
        <w:rPr>
          <w:rFonts w:asciiTheme="minorHAnsi" w:hAnsiTheme="minorHAnsi" w:cstheme="majorBidi"/>
          <w:color w:val="000000"/>
          <w:lang w:val="en-US"/>
        </w:rPr>
        <w:t xml:space="preserve"> effective job evaluation process would challenge the social valuation of skills that set wages within and across sectors</w:t>
      </w:r>
      <w:r>
        <w:rPr>
          <w:rFonts w:asciiTheme="minorHAnsi" w:hAnsiTheme="minorHAnsi" w:cstheme="majorBidi"/>
          <w:color w:val="000000"/>
          <w:lang w:val="en-US"/>
        </w:rPr>
        <w:t xml:space="preserve">, this paper call for more transformative approaches to gendered pay inequity. </w:t>
      </w:r>
    </w:p>
    <w:p w14:paraId="273D92C8" w14:textId="5EAD5B02" w:rsidR="001D5A56" w:rsidRDefault="001D5A56" w:rsidP="001D5A56">
      <w:pPr>
        <w:jc w:val="center"/>
        <w:rPr>
          <w:rFonts w:asciiTheme="minorHAnsi" w:hAnsiTheme="minorHAnsi"/>
          <w:lang w:val="en-US"/>
        </w:rPr>
      </w:pPr>
      <w:r>
        <w:rPr>
          <w:rFonts w:asciiTheme="minorHAnsi" w:hAnsiTheme="minorHAnsi"/>
          <w:noProof/>
          <w:lang w:val="en-US"/>
        </w:rPr>
        <mc:AlternateContent>
          <mc:Choice Requires="wps">
            <w:drawing>
              <wp:anchor distT="0" distB="0" distL="114300" distR="114300" simplePos="0" relativeHeight="251659264" behindDoc="0" locked="0" layoutInCell="1" allowOverlap="1" wp14:anchorId="3B894CCB" wp14:editId="241C0D3E">
                <wp:simplePos x="0" y="0"/>
                <wp:positionH relativeFrom="column">
                  <wp:posOffset>-1</wp:posOffset>
                </wp:positionH>
                <wp:positionV relativeFrom="paragraph">
                  <wp:posOffset>164259</wp:posOffset>
                </wp:positionV>
                <wp:extent cx="5939481"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5939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EAA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5pt" to="467.7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" strokecolor="black [3200]" strokeweight=".5pt">
                <v:stroke joinstyle="miter"/>
              </v:line>
            </w:pict>
          </mc:Fallback>
        </mc:AlternateContent>
      </w:r>
    </w:p>
    <w:p w14:paraId="5693168C" w14:textId="77777777" w:rsidR="001D5A56" w:rsidRPr="001D5A56" w:rsidRDefault="001D5A56" w:rsidP="001D5A56">
      <w:pPr>
        <w:jc w:val="center"/>
        <w:rPr>
          <w:rFonts w:asciiTheme="minorHAnsi" w:hAnsiTheme="minorHAnsi"/>
          <w:lang w:val="en-US"/>
        </w:rPr>
      </w:pPr>
    </w:p>
    <w:p w14:paraId="6334C349" w14:textId="77777777" w:rsidR="001D5A56" w:rsidRDefault="001D5A56" w:rsidP="007F5AE7">
      <w:pPr>
        <w:spacing w:line="480" w:lineRule="auto"/>
        <w:rPr>
          <w:rFonts w:asciiTheme="minorHAnsi" w:hAnsiTheme="minorHAnsi"/>
          <w:lang w:val="en-US"/>
        </w:rPr>
      </w:pPr>
    </w:p>
    <w:p w14:paraId="6B922F4F" w14:textId="661B52F5" w:rsidR="00EF52AE" w:rsidRPr="00902E61" w:rsidRDefault="00676DAF" w:rsidP="001D5A56">
      <w:pPr>
        <w:spacing w:line="480" w:lineRule="auto"/>
        <w:rPr>
          <w:rFonts w:asciiTheme="minorHAnsi" w:hAnsiTheme="minorHAnsi"/>
        </w:rPr>
      </w:pPr>
      <w:r w:rsidRPr="00902E61">
        <w:rPr>
          <w:rFonts w:asciiTheme="minorHAnsi" w:hAnsiTheme="minorHAnsi"/>
        </w:rPr>
        <w:t xml:space="preserve">In </w:t>
      </w:r>
      <w:r w:rsidR="00EF52AE" w:rsidRPr="00902E61">
        <w:rPr>
          <w:rFonts w:asciiTheme="minorHAnsi" w:hAnsiTheme="minorHAnsi"/>
        </w:rPr>
        <w:t xml:space="preserve">Ontario, Canada, </w:t>
      </w:r>
      <w:r w:rsidRPr="00902E61">
        <w:rPr>
          <w:rFonts w:asciiTheme="minorHAnsi" w:hAnsiTheme="minorHAnsi"/>
        </w:rPr>
        <w:t>those expecting to give birth</w:t>
      </w:r>
      <w:r w:rsidR="00942A7E" w:rsidRPr="00902E61">
        <w:rPr>
          <w:rFonts w:asciiTheme="minorHAnsi" w:hAnsiTheme="minorHAnsi"/>
        </w:rPr>
        <w:t xml:space="preserve"> withou</w:t>
      </w:r>
      <w:r w:rsidR="00DC1012" w:rsidRPr="00902E61">
        <w:rPr>
          <w:rFonts w:asciiTheme="minorHAnsi" w:hAnsiTheme="minorHAnsi"/>
        </w:rPr>
        <w:t>t any anticipated complications</w:t>
      </w:r>
      <w:r w:rsidRPr="00902E61">
        <w:rPr>
          <w:rFonts w:asciiTheme="minorHAnsi" w:hAnsiTheme="minorHAnsi"/>
        </w:rPr>
        <w:t xml:space="preserve"> have</w:t>
      </w:r>
      <w:r w:rsidR="00EF52AE" w:rsidRPr="00902E61">
        <w:rPr>
          <w:rFonts w:asciiTheme="minorHAnsi" w:hAnsiTheme="minorHAnsi"/>
        </w:rPr>
        <w:t xml:space="preserve"> </w:t>
      </w:r>
      <w:r w:rsidR="00AF2A5A" w:rsidRPr="00902E61">
        <w:rPr>
          <w:rFonts w:asciiTheme="minorHAnsi" w:hAnsiTheme="minorHAnsi"/>
        </w:rPr>
        <w:t xml:space="preserve">the </w:t>
      </w:r>
      <w:r w:rsidR="00EF52AE" w:rsidRPr="00902E61">
        <w:rPr>
          <w:rFonts w:asciiTheme="minorHAnsi" w:hAnsiTheme="minorHAnsi"/>
        </w:rPr>
        <w:t>option of choosing a</w:t>
      </w:r>
      <w:r w:rsidRPr="00902E61">
        <w:rPr>
          <w:rFonts w:asciiTheme="minorHAnsi" w:hAnsiTheme="minorHAnsi"/>
        </w:rPr>
        <w:t xml:space="preserve"> physician</w:t>
      </w:r>
      <w:r w:rsidR="00EF52AE" w:rsidRPr="00902E61">
        <w:rPr>
          <w:rFonts w:asciiTheme="minorHAnsi" w:hAnsiTheme="minorHAnsi"/>
        </w:rPr>
        <w:t xml:space="preserve"> or a midwife to provide primary care </w:t>
      </w:r>
      <w:r w:rsidR="00DC1012" w:rsidRPr="00902E61">
        <w:rPr>
          <w:rFonts w:asciiTheme="minorHAnsi" w:hAnsiTheme="minorHAnsi"/>
        </w:rPr>
        <w:t xml:space="preserve">during </w:t>
      </w:r>
      <w:r w:rsidRPr="00902E61">
        <w:rPr>
          <w:rFonts w:asciiTheme="minorHAnsi" w:hAnsiTheme="minorHAnsi"/>
        </w:rPr>
        <w:t>and after pregnanc</w:t>
      </w:r>
      <w:r w:rsidR="00942A7E" w:rsidRPr="00902E61">
        <w:rPr>
          <w:rFonts w:asciiTheme="minorHAnsi" w:hAnsiTheme="minorHAnsi"/>
        </w:rPr>
        <w:t>y. Costs associated with b</w:t>
      </w:r>
      <w:r w:rsidR="00A55232" w:rsidRPr="00902E61">
        <w:rPr>
          <w:rFonts w:asciiTheme="minorHAnsi" w:hAnsiTheme="minorHAnsi"/>
        </w:rPr>
        <w:t>oth</w:t>
      </w:r>
      <w:r w:rsidRPr="00902E61">
        <w:rPr>
          <w:rFonts w:asciiTheme="minorHAnsi" w:hAnsiTheme="minorHAnsi"/>
        </w:rPr>
        <w:t xml:space="preserve"> of these</w:t>
      </w:r>
      <w:r w:rsidR="00A55232" w:rsidRPr="00902E61">
        <w:rPr>
          <w:rFonts w:asciiTheme="minorHAnsi" w:hAnsiTheme="minorHAnsi"/>
        </w:rPr>
        <w:t xml:space="preserve"> services are cover</w:t>
      </w:r>
      <w:r w:rsidR="000D2CD1" w:rsidRPr="00902E61">
        <w:rPr>
          <w:rFonts w:asciiTheme="minorHAnsi" w:hAnsiTheme="minorHAnsi"/>
        </w:rPr>
        <w:t>ed by the province’s medicare program</w:t>
      </w:r>
      <w:r w:rsidRPr="00902E61">
        <w:rPr>
          <w:rFonts w:asciiTheme="minorHAnsi" w:hAnsiTheme="minorHAnsi"/>
        </w:rPr>
        <w:t xml:space="preserve">. Since </w:t>
      </w:r>
      <w:r w:rsidR="009137AA" w:rsidRPr="00902E61">
        <w:rPr>
          <w:rFonts w:asciiTheme="minorHAnsi" w:hAnsiTheme="minorHAnsi"/>
        </w:rPr>
        <w:t>the occupation was regulated in Ontario in 1994</w:t>
      </w:r>
      <w:r w:rsidRPr="00902E61">
        <w:rPr>
          <w:rFonts w:asciiTheme="minorHAnsi" w:hAnsiTheme="minorHAnsi"/>
        </w:rPr>
        <w:t>, midwives have offered an increasingly popular public</w:t>
      </w:r>
      <w:r w:rsidR="00695E06" w:rsidRPr="00902E61">
        <w:rPr>
          <w:rFonts w:asciiTheme="minorHAnsi" w:hAnsiTheme="minorHAnsi"/>
        </w:rPr>
        <w:t xml:space="preserve">ly-funded maternity care </w:t>
      </w:r>
      <w:r w:rsidRPr="00902E61">
        <w:rPr>
          <w:rFonts w:asciiTheme="minorHAnsi" w:hAnsiTheme="minorHAnsi"/>
        </w:rPr>
        <w:t>alternative</w:t>
      </w:r>
      <w:r w:rsidR="00DC1012" w:rsidRPr="00902E61">
        <w:rPr>
          <w:rFonts w:asciiTheme="minorHAnsi" w:hAnsiTheme="minorHAnsi"/>
        </w:rPr>
        <w:t>.</w:t>
      </w:r>
      <w:r w:rsidR="00695E06" w:rsidRPr="00902E61">
        <w:rPr>
          <w:rFonts w:asciiTheme="minorHAnsi" w:hAnsiTheme="minorHAnsi"/>
        </w:rPr>
        <w:t xml:space="preserve"> </w:t>
      </w:r>
      <w:r w:rsidR="00DC1012" w:rsidRPr="00902E61">
        <w:rPr>
          <w:rFonts w:asciiTheme="minorHAnsi" w:hAnsiTheme="minorHAnsi"/>
        </w:rPr>
        <w:t>Despite</w:t>
      </w:r>
      <w:r w:rsidR="00695E06" w:rsidRPr="00902E61">
        <w:rPr>
          <w:rFonts w:asciiTheme="minorHAnsi" w:hAnsiTheme="minorHAnsi"/>
        </w:rPr>
        <w:t xml:space="preserve"> a chronic shortage of midwives available in the province, </w:t>
      </w:r>
      <w:r w:rsidR="00DC1012" w:rsidRPr="00902E61">
        <w:rPr>
          <w:rFonts w:asciiTheme="minorHAnsi" w:hAnsiTheme="minorHAnsi"/>
        </w:rPr>
        <w:t>they</w:t>
      </w:r>
      <w:r w:rsidRPr="00902E61">
        <w:rPr>
          <w:rFonts w:asciiTheme="minorHAnsi" w:hAnsiTheme="minorHAnsi"/>
        </w:rPr>
        <w:t xml:space="preserve"> </w:t>
      </w:r>
      <w:r w:rsidR="00695E06" w:rsidRPr="00902E61">
        <w:rPr>
          <w:rFonts w:asciiTheme="minorHAnsi" w:hAnsiTheme="minorHAnsi"/>
        </w:rPr>
        <w:t xml:space="preserve">help alleviate a larger </w:t>
      </w:r>
      <w:r w:rsidRPr="00902E61">
        <w:rPr>
          <w:rFonts w:asciiTheme="minorHAnsi" w:hAnsiTheme="minorHAnsi"/>
        </w:rPr>
        <w:t xml:space="preserve">shortage of family physicians </w:t>
      </w:r>
      <w:r w:rsidRPr="00902E61">
        <w:rPr>
          <w:rFonts w:asciiTheme="minorHAnsi" w:hAnsiTheme="minorHAnsi"/>
        </w:rPr>
        <w:lastRenderedPageBreak/>
        <w:t>willing to provide</w:t>
      </w:r>
      <w:r w:rsidR="00695E06" w:rsidRPr="00902E61">
        <w:rPr>
          <w:rFonts w:asciiTheme="minorHAnsi" w:hAnsiTheme="minorHAnsi"/>
        </w:rPr>
        <w:t xml:space="preserve"> maternity and intrapartum care, and are integral to the Ministry of Health and Long-Term Care’s human resource plan to mitigate the un</w:t>
      </w:r>
      <w:r w:rsidR="000E4618" w:rsidRPr="00902E61">
        <w:rPr>
          <w:rFonts w:asciiTheme="minorHAnsi" w:hAnsiTheme="minorHAnsi"/>
        </w:rPr>
        <w:t>n</w:t>
      </w:r>
      <w:r w:rsidR="00695E06" w:rsidRPr="00902E61">
        <w:rPr>
          <w:rFonts w:asciiTheme="minorHAnsi" w:hAnsiTheme="minorHAnsi"/>
        </w:rPr>
        <w:t>ecessary costs of having high risk specialists, like obstetricians, provide low risk maternity care (AOM 2016</w:t>
      </w:r>
      <w:r w:rsidR="000D2CD1" w:rsidRPr="00902E61">
        <w:rPr>
          <w:rFonts w:asciiTheme="minorHAnsi" w:hAnsiTheme="minorHAnsi"/>
        </w:rPr>
        <w:t>a</w:t>
      </w:r>
      <w:r w:rsidR="00695E06" w:rsidRPr="00902E61">
        <w:rPr>
          <w:rFonts w:asciiTheme="minorHAnsi" w:hAnsiTheme="minorHAnsi"/>
        </w:rPr>
        <w:t xml:space="preserve">). </w:t>
      </w:r>
      <w:r w:rsidRPr="00902E61">
        <w:rPr>
          <w:rFonts w:asciiTheme="minorHAnsi" w:hAnsiTheme="minorHAnsi"/>
        </w:rPr>
        <w:t xml:space="preserve"> </w:t>
      </w:r>
      <w:r w:rsidR="00695E06" w:rsidRPr="00902E61">
        <w:rPr>
          <w:rFonts w:asciiTheme="minorHAnsi" w:hAnsiTheme="minorHAnsi"/>
        </w:rPr>
        <w:t xml:space="preserve"> </w:t>
      </w:r>
    </w:p>
    <w:p w14:paraId="550FEB8C" w14:textId="0A5BBB71" w:rsidR="00F76CD4" w:rsidRPr="00902E61" w:rsidRDefault="00E968E4" w:rsidP="007F5AE7">
      <w:pPr>
        <w:spacing w:line="480" w:lineRule="auto"/>
        <w:ind w:firstLine="720"/>
        <w:rPr>
          <w:rFonts w:asciiTheme="minorHAnsi" w:hAnsiTheme="minorHAnsi"/>
        </w:rPr>
      </w:pPr>
      <w:r w:rsidRPr="00902E61">
        <w:rPr>
          <w:rFonts w:asciiTheme="minorHAnsi" w:hAnsiTheme="minorHAnsi"/>
        </w:rPr>
        <w:t xml:space="preserve">Though midwives play </w:t>
      </w:r>
      <w:r w:rsidR="0052219F" w:rsidRPr="00902E61">
        <w:rPr>
          <w:rFonts w:asciiTheme="minorHAnsi" w:hAnsiTheme="minorHAnsi"/>
        </w:rPr>
        <w:t>a key part in Ontario’s</w:t>
      </w:r>
      <w:r w:rsidR="00621405" w:rsidRPr="00902E61">
        <w:rPr>
          <w:rFonts w:asciiTheme="minorHAnsi" w:hAnsiTheme="minorHAnsi"/>
        </w:rPr>
        <w:t xml:space="preserve"> </w:t>
      </w:r>
      <w:r w:rsidR="006D1129" w:rsidRPr="00902E61">
        <w:rPr>
          <w:rFonts w:asciiTheme="minorHAnsi" w:hAnsiTheme="minorHAnsi"/>
        </w:rPr>
        <w:t xml:space="preserve">health care system, </w:t>
      </w:r>
      <w:r w:rsidRPr="00902E61">
        <w:rPr>
          <w:rFonts w:asciiTheme="minorHAnsi" w:hAnsiTheme="minorHAnsi"/>
        </w:rPr>
        <w:t xml:space="preserve">their </w:t>
      </w:r>
      <w:r w:rsidR="006D1129" w:rsidRPr="00902E61">
        <w:rPr>
          <w:rFonts w:asciiTheme="minorHAnsi" w:hAnsiTheme="minorHAnsi"/>
        </w:rPr>
        <w:t>employment as primary care providers</w:t>
      </w:r>
      <w:r w:rsidR="0052219F" w:rsidRPr="00902E61">
        <w:rPr>
          <w:rFonts w:asciiTheme="minorHAnsi" w:hAnsiTheme="minorHAnsi"/>
        </w:rPr>
        <w:t>, in a profession dominated historically and to the present by women,</w:t>
      </w:r>
      <w:r w:rsidR="000A2E6A" w:rsidRPr="00902E61">
        <w:rPr>
          <w:rStyle w:val="FootnoteReference"/>
          <w:rFonts w:asciiTheme="minorHAnsi" w:hAnsiTheme="minorHAnsi"/>
        </w:rPr>
        <w:footnoteReference w:id="1"/>
      </w:r>
      <w:r w:rsidR="0052219F" w:rsidRPr="00902E61">
        <w:rPr>
          <w:rFonts w:asciiTheme="minorHAnsi" w:hAnsiTheme="minorHAnsi"/>
        </w:rPr>
        <w:t xml:space="preserve"> is devalued. </w:t>
      </w:r>
      <w:r w:rsidR="00DD0B8B" w:rsidRPr="00902E61">
        <w:rPr>
          <w:rFonts w:asciiTheme="minorHAnsi" w:hAnsiTheme="minorHAnsi"/>
        </w:rPr>
        <w:t>In</w:t>
      </w:r>
      <w:r w:rsidR="0052219F" w:rsidRPr="00902E61">
        <w:rPr>
          <w:rFonts w:asciiTheme="minorHAnsi" w:hAnsiTheme="minorHAnsi"/>
        </w:rPr>
        <w:t>deed, in</w:t>
      </w:r>
      <w:r w:rsidR="00DD0B8B" w:rsidRPr="00902E61">
        <w:rPr>
          <w:rFonts w:asciiTheme="minorHAnsi" w:hAnsiTheme="minorHAnsi"/>
        </w:rPr>
        <w:t xml:space="preserve"> June 2016, the Association of Ontario Midwives (AOM) brought the province’s Ministry of Health</w:t>
      </w:r>
      <w:r w:rsidR="005823C2" w:rsidRPr="00902E61">
        <w:rPr>
          <w:rFonts w:asciiTheme="minorHAnsi" w:hAnsiTheme="minorHAnsi"/>
        </w:rPr>
        <w:t xml:space="preserve"> and Long-Term Care</w:t>
      </w:r>
      <w:r w:rsidR="00DD0B8B" w:rsidRPr="00902E61">
        <w:rPr>
          <w:rFonts w:asciiTheme="minorHAnsi" w:hAnsiTheme="minorHAnsi"/>
        </w:rPr>
        <w:t xml:space="preserve"> to the Human Rights Tribunal</w:t>
      </w:r>
      <w:r w:rsidR="00764364" w:rsidRPr="00902E61">
        <w:rPr>
          <w:rFonts w:asciiTheme="minorHAnsi" w:hAnsiTheme="minorHAnsi"/>
        </w:rPr>
        <w:t xml:space="preserve"> of Ontario</w:t>
      </w:r>
      <w:r w:rsidR="000860C7" w:rsidRPr="00902E61">
        <w:rPr>
          <w:rFonts w:asciiTheme="minorHAnsi" w:hAnsiTheme="minorHAnsi"/>
        </w:rPr>
        <w:t xml:space="preserve"> (HRTO)</w:t>
      </w:r>
      <w:r w:rsidR="00DD0B8B" w:rsidRPr="00902E61">
        <w:rPr>
          <w:rFonts w:asciiTheme="minorHAnsi" w:hAnsiTheme="minorHAnsi"/>
        </w:rPr>
        <w:t>, calling for a significant pay raise after more than twenty years of gender-based discrimination.</w:t>
      </w:r>
      <w:r w:rsidR="005823C2" w:rsidRPr="00902E61">
        <w:rPr>
          <w:rFonts w:asciiTheme="minorHAnsi" w:hAnsiTheme="minorHAnsi"/>
        </w:rPr>
        <w:t xml:space="preserve"> </w:t>
      </w:r>
      <w:r w:rsidR="00FA16DE" w:rsidRPr="00902E61">
        <w:rPr>
          <w:rFonts w:asciiTheme="minorHAnsi" w:hAnsiTheme="minorHAnsi"/>
        </w:rPr>
        <w:t>Independent reports prepared for the AOM and presented as evidence in the HRT</w:t>
      </w:r>
      <w:r w:rsidR="00764364" w:rsidRPr="00902E61">
        <w:rPr>
          <w:rFonts w:asciiTheme="minorHAnsi" w:hAnsiTheme="minorHAnsi"/>
        </w:rPr>
        <w:t>O</w:t>
      </w:r>
      <w:r w:rsidR="00FA16DE" w:rsidRPr="00902E61">
        <w:rPr>
          <w:rFonts w:asciiTheme="minorHAnsi" w:hAnsiTheme="minorHAnsi"/>
        </w:rPr>
        <w:t xml:space="preserve"> hearings show that comparing midwives and Community Health Care</w:t>
      </w:r>
      <w:r w:rsidR="000A2E6A" w:rsidRPr="00902E61">
        <w:rPr>
          <w:rFonts w:asciiTheme="minorHAnsi" w:hAnsiTheme="minorHAnsi"/>
        </w:rPr>
        <w:t xml:space="preserve"> (CHC)</w:t>
      </w:r>
      <w:r w:rsidR="00FA16DE" w:rsidRPr="00902E61">
        <w:rPr>
          <w:rFonts w:asciiTheme="minorHAnsi" w:hAnsiTheme="minorHAnsi"/>
        </w:rPr>
        <w:t xml:space="preserve"> physicians</w:t>
      </w:r>
      <w:r w:rsidR="00764364" w:rsidRPr="00902E61">
        <w:rPr>
          <w:rFonts w:asciiTheme="minorHAnsi" w:hAnsiTheme="minorHAnsi"/>
        </w:rPr>
        <w:t>, and accounting for differences in required skills, education, and knowledge,</w:t>
      </w:r>
      <w:r w:rsidR="00FA16DE" w:rsidRPr="00902E61">
        <w:rPr>
          <w:rFonts w:asciiTheme="minorHAnsi" w:hAnsiTheme="minorHAnsi"/>
        </w:rPr>
        <w:t xml:space="preserve"> reveals a 48% pay gap (Durber 2013; Mackenzie 2013). In addition to this differential in pay, the</w:t>
      </w:r>
      <w:r w:rsidR="007F5AE7" w:rsidRPr="00902E61">
        <w:rPr>
          <w:rFonts w:asciiTheme="minorHAnsi" w:hAnsiTheme="minorHAnsi"/>
        </w:rPr>
        <w:t xml:space="preserve"> AOM’s ongoing legal action</w:t>
      </w:r>
      <w:r w:rsidR="00FA16DE" w:rsidRPr="00902E61">
        <w:rPr>
          <w:rFonts w:asciiTheme="minorHAnsi" w:hAnsiTheme="minorHAnsi"/>
        </w:rPr>
        <w:t xml:space="preserve"> </w:t>
      </w:r>
      <w:r w:rsidR="00DC1012" w:rsidRPr="00902E61">
        <w:rPr>
          <w:rFonts w:asciiTheme="minorHAnsi" w:hAnsiTheme="minorHAnsi"/>
        </w:rPr>
        <w:t>speaks to how</w:t>
      </w:r>
      <w:r w:rsidR="00745D81" w:rsidRPr="00902E61">
        <w:rPr>
          <w:rFonts w:asciiTheme="minorHAnsi" w:hAnsiTheme="minorHAnsi"/>
        </w:rPr>
        <w:t xml:space="preserve"> midwifery, a profession emblematic of gendered employment norms in healthcare, is devalued</w:t>
      </w:r>
      <w:r w:rsidR="00B02C41" w:rsidRPr="00902E61">
        <w:rPr>
          <w:rFonts w:asciiTheme="minorHAnsi" w:hAnsiTheme="minorHAnsi"/>
        </w:rPr>
        <w:t>,</w:t>
      </w:r>
      <w:r w:rsidR="00745D81" w:rsidRPr="00902E61">
        <w:rPr>
          <w:rFonts w:asciiTheme="minorHAnsi" w:hAnsiTheme="minorHAnsi"/>
        </w:rPr>
        <w:t xml:space="preserve"> </w:t>
      </w:r>
      <w:r w:rsidR="00DC1012" w:rsidRPr="00902E61">
        <w:rPr>
          <w:rFonts w:asciiTheme="minorHAnsi" w:hAnsiTheme="minorHAnsi"/>
        </w:rPr>
        <w:t xml:space="preserve">and </w:t>
      </w:r>
      <w:r w:rsidR="00745D81" w:rsidRPr="00902E61">
        <w:rPr>
          <w:rFonts w:asciiTheme="minorHAnsi" w:hAnsiTheme="minorHAnsi"/>
        </w:rPr>
        <w:t>elucidates the contradictory role of the state when positioned as both employer and legislator</w:t>
      </w:r>
      <w:r w:rsidR="00DC1012" w:rsidRPr="00902E61">
        <w:rPr>
          <w:rFonts w:asciiTheme="minorHAnsi" w:hAnsiTheme="minorHAnsi"/>
        </w:rPr>
        <w:t>. Moreover, as this paper will show, this legal case</w:t>
      </w:r>
      <w:r w:rsidR="00745D81" w:rsidRPr="00902E61">
        <w:rPr>
          <w:rFonts w:asciiTheme="minorHAnsi" w:hAnsiTheme="minorHAnsi"/>
        </w:rPr>
        <w:t xml:space="preserve"> illustrates the possibilities and limitations of a comparator-oriented approach to addressing gendered-based discrepancies in </w:t>
      </w:r>
      <w:r w:rsidR="000A2E6A" w:rsidRPr="00902E61">
        <w:rPr>
          <w:rFonts w:asciiTheme="minorHAnsi" w:hAnsiTheme="minorHAnsi"/>
        </w:rPr>
        <w:t xml:space="preserve">compensation </w:t>
      </w:r>
      <w:r w:rsidR="00745D81" w:rsidRPr="00902E61">
        <w:rPr>
          <w:rFonts w:asciiTheme="minorHAnsi" w:hAnsiTheme="minorHAnsi"/>
        </w:rPr>
        <w:t xml:space="preserve">within and across occupations and sectors. </w:t>
      </w:r>
    </w:p>
    <w:p w14:paraId="20D78E41" w14:textId="204050DB" w:rsidR="00A503A3" w:rsidRPr="00902E61" w:rsidRDefault="007954D8" w:rsidP="007F5AE7">
      <w:pPr>
        <w:spacing w:line="480" w:lineRule="auto"/>
        <w:ind w:firstLine="720"/>
        <w:rPr>
          <w:rFonts w:asciiTheme="minorHAnsi" w:hAnsiTheme="minorHAnsi"/>
        </w:rPr>
      </w:pPr>
      <w:r w:rsidRPr="00902E61">
        <w:rPr>
          <w:rFonts w:asciiTheme="minorHAnsi" w:hAnsiTheme="minorHAnsi"/>
        </w:rPr>
        <w:t xml:space="preserve">This conference paper </w:t>
      </w:r>
      <w:r w:rsidR="00885441" w:rsidRPr="00902E61">
        <w:rPr>
          <w:rFonts w:asciiTheme="minorHAnsi" w:hAnsiTheme="minorHAnsi"/>
        </w:rPr>
        <w:t>explores</w:t>
      </w:r>
      <w:r w:rsidRPr="00902E61">
        <w:rPr>
          <w:rFonts w:asciiTheme="minorHAnsi" w:hAnsiTheme="minorHAnsi"/>
        </w:rPr>
        <w:t xml:space="preserve"> how, and in what ways, midwives’ feminized health care work is devalued</w:t>
      </w:r>
      <w:r w:rsidR="00F8762C" w:rsidRPr="00902E61">
        <w:rPr>
          <w:rFonts w:asciiTheme="minorHAnsi" w:hAnsiTheme="minorHAnsi"/>
        </w:rPr>
        <w:t xml:space="preserve">, </w:t>
      </w:r>
      <w:r w:rsidR="00470A4B" w:rsidRPr="00902E61">
        <w:rPr>
          <w:rFonts w:asciiTheme="minorHAnsi" w:hAnsiTheme="minorHAnsi"/>
        </w:rPr>
        <w:t>with the broader goal of identifying</w:t>
      </w:r>
      <w:r w:rsidR="00F8762C" w:rsidRPr="00902E61">
        <w:rPr>
          <w:rFonts w:asciiTheme="minorHAnsi" w:hAnsiTheme="minorHAnsi"/>
        </w:rPr>
        <w:t xml:space="preserve"> </w:t>
      </w:r>
      <w:r w:rsidR="00DC1012" w:rsidRPr="00902E61">
        <w:rPr>
          <w:rFonts w:asciiTheme="minorHAnsi" w:hAnsiTheme="minorHAnsi"/>
        </w:rPr>
        <w:t xml:space="preserve">the </w:t>
      </w:r>
      <w:r w:rsidR="00F8762C" w:rsidRPr="00902E61">
        <w:rPr>
          <w:rFonts w:asciiTheme="minorHAnsi" w:hAnsiTheme="minorHAnsi"/>
        </w:rPr>
        <w:t xml:space="preserve">limitations of existing policy </w:t>
      </w:r>
      <w:r w:rsidR="00F8762C" w:rsidRPr="00902E61">
        <w:rPr>
          <w:rFonts w:asciiTheme="minorHAnsi" w:hAnsiTheme="minorHAnsi"/>
        </w:rPr>
        <w:lastRenderedPageBreak/>
        <w:t>responses to prevailing inequalities</w:t>
      </w:r>
      <w:r w:rsidR="00884251" w:rsidRPr="00902E61">
        <w:rPr>
          <w:rFonts w:asciiTheme="minorHAnsi" w:hAnsiTheme="minorHAnsi"/>
        </w:rPr>
        <w:t>. P</w:t>
      </w:r>
      <w:r w:rsidR="00942A7E" w:rsidRPr="00902E61">
        <w:rPr>
          <w:rFonts w:asciiTheme="minorHAnsi" w:hAnsiTheme="minorHAnsi"/>
        </w:rPr>
        <w:t>arti</w:t>
      </w:r>
      <w:r w:rsidR="0081220A" w:rsidRPr="00902E61">
        <w:rPr>
          <w:rFonts w:asciiTheme="minorHAnsi" w:hAnsiTheme="minorHAnsi"/>
        </w:rPr>
        <w:t>c</w:t>
      </w:r>
      <w:r w:rsidR="00942A7E" w:rsidRPr="00902E61">
        <w:rPr>
          <w:rFonts w:asciiTheme="minorHAnsi" w:hAnsiTheme="minorHAnsi"/>
        </w:rPr>
        <w:t>u</w:t>
      </w:r>
      <w:r w:rsidR="0081220A" w:rsidRPr="00902E61">
        <w:rPr>
          <w:rFonts w:asciiTheme="minorHAnsi" w:hAnsiTheme="minorHAnsi"/>
        </w:rPr>
        <w:t>lar</w:t>
      </w:r>
      <w:r w:rsidR="00884251" w:rsidRPr="00902E61">
        <w:rPr>
          <w:rFonts w:asciiTheme="minorHAnsi" w:hAnsiTheme="minorHAnsi"/>
        </w:rPr>
        <w:t>ly, I</w:t>
      </w:r>
      <w:r w:rsidR="0081220A" w:rsidRPr="00902E61">
        <w:rPr>
          <w:rFonts w:asciiTheme="minorHAnsi" w:hAnsiTheme="minorHAnsi"/>
        </w:rPr>
        <w:t xml:space="preserve"> focus on Ontario’s </w:t>
      </w:r>
      <w:r w:rsidR="00942A7E" w:rsidRPr="00902E61">
        <w:rPr>
          <w:rFonts w:asciiTheme="minorHAnsi" w:hAnsiTheme="minorHAnsi"/>
          <w:i/>
          <w:iCs/>
        </w:rPr>
        <w:t>Pay Equity Act</w:t>
      </w:r>
      <w:r w:rsidR="00745D81" w:rsidRPr="00902E61">
        <w:rPr>
          <w:rFonts w:asciiTheme="minorHAnsi" w:hAnsiTheme="minorHAnsi"/>
        </w:rPr>
        <w:t xml:space="preserve"> </w:t>
      </w:r>
      <w:r w:rsidR="00DC1012" w:rsidRPr="00902E61">
        <w:rPr>
          <w:rFonts w:asciiTheme="minorHAnsi" w:hAnsiTheme="minorHAnsi"/>
        </w:rPr>
        <w:t xml:space="preserve">(PEA) </w:t>
      </w:r>
      <w:r w:rsidR="00745D81" w:rsidRPr="00902E61">
        <w:rPr>
          <w:rFonts w:asciiTheme="minorHAnsi" w:hAnsiTheme="minorHAnsi"/>
        </w:rPr>
        <w:t>and how it measures value across occupations.</w:t>
      </w:r>
      <w:r w:rsidR="00885441" w:rsidRPr="00902E61">
        <w:rPr>
          <w:rStyle w:val="FootnoteReference"/>
          <w:rFonts w:asciiTheme="minorHAnsi" w:hAnsiTheme="minorHAnsi"/>
        </w:rPr>
        <w:footnoteReference w:id="2"/>
      </w:r>
      <w:r w:rsidR="00885441" w:rsidRPr="00902E61">
        <w:rPr>
          <w:rFonts w:asciiTheme="minorHAnsi" w:hAnsiTheme="minorHAnsi"/>
        </w:rPr>
        <w:t xml:space="preserve"> </w:t>
      </w:r>
      <w:r w:rsidR="002A3C26" w:rsidRPr="00902E61">
        <w:rPr>
          <w:rFonts w:asciiTheme="minorHAnsi" w:hAnsiTheme="minorHAnsi"/>
        </w:rPr>
        <w:t>Section one</w:t>
      </w:r>
      <w:r w:rsidR="00745D81" w:rsidRPr="00902E61">
        <w:rPr>
          <w:rFonts w:asciiTheme="minorHAnsi" w:hAnsiTheme="minorHAnsi"/>
        </w:rPr>
        <w:t xml:space="preserve"> introduce</w:t>
      </w:r>
      <w:r w:rsidR="002A3C26" w:rsidRPr="00902E61">
        <w:rPr>
          <w:rFonts w:asciiTheme="minorHAnsi" w:hAnsiTheme="minorHAnsi"/>
        </w:rPr>
        <w:t>s</w:t>
      </w:r>
      <w:r w:rsidR="00745D81" w:rsidRPr="00902E61">
        <w:rPr>
          <w:rFonts w:asciiTheme="minorHAnsi" w:hAnsiTheme="minorHAnsi"/>
        </w:rPr>
        <w:t xml:space="preserve"> the theoretical framework and analytical approach to the devaluation of feminized work</w:t>
      </w:r>
      <w:r w:rsidR="00156918" w:rsidRPr="00902E61">
        <w:rPr>
          <w:rFonts w:asciiTheme="minorHAnsi" w:hAnsiTheme="minorHAnsi"/>
        </w:rPr>
        <w:t xml:space="preserve"> that this paper </w:t>
      </w:r>
      <w:r w:rsidR="00DB6AAF" w:rsidRPr="00902E61">
        <w:rPr>
          <w:rFonts w:asciiTheme="minorHAnsi" w:hAnsiTheme="minorHAnsi"/>
        </w:rPr>
        <w:t>adopts, building upon pre-existing scholarship</w:t>
      </w:r>
      <w:r w:rsidR="004E27C4" w:rsidRPr="00902E61">
        <w:rPr>
          <w:rFonts w:asciiTheme="minorHAnsi" w:hAnsiTheme="minorHAnsi"/>
        </w:rPr>
        <w:t>.</w:t>
      </w:r>
      <w:r w:rsidR="006838FB" w:rsidRPr="00902E61">
        <w:rPr>
          <w:rFonts w:asciiTheme="minorHAnsi" w:hAnsiTheme="minorHAnsi"/>
        </w:rPr>
        <w:t xml:space="preserve"> </w:t>
      </w:r>
      <w:r w:rsidR="00745D81" w:rsidRPr="00902E61">
        <w:rPr>
          <w:rFonts w:asciiTheme="minorHAnsi" w:hAnsiTheme="minorHAnsi"/>
        </w:rPr>
        <w:t xml:space="preserve">Section two </w:t>
      </w:r>
      <w:r w:rsidR="00884251" w:rsidRPr="00902E61">
        <w:rPr>
          <w:rFonts w:asciiTheme="minorHAnsi" w:hAnsiTheme="minorHAnsi"/>
        </w:rPr>
        <w:t xml:space="preserve">then </w:t>
      </w:r>
      <w:r w:rsidR="00885441" w:rsidRPr="00902E61">
        <w:rPr>
          <w:rFonts w:asciiTheme="minorHAnsi" w:hAnsiTheme="minorHAnsi"/>
        </w:rPr>
        <w:t>interrogate</w:t>
      </w:r>
      <w:r w:rsidR="00884251" w:rsidRPr="00902E61">
        <w:rPr>
          <w:rFonts w:asciiTheme="minorHAnsi" w:hAnsiTheme="minorHAnsi"/>
        </w:rPr>
        <w:t>s</w:t>
      </w:r>
      <w:r w:rsidR="00885441" w:rsidRPr="00902E61">
        <w:rPr>
          <w:rFonts w:asciiTheme="minorHAnsi" w:hAnsiTheme="minorHAnsi"/>
        </w:rPr>
        <w:t xml:space="preserve"> the relationship between midwives</w:t>
      </w:r>
      <w:r w:rsidR="000A2E6A" w:rsidRPr="00902E61">
        <w:rPr>
          <w:rFonts w:asciiTheme="minorHAnsi" w:hAnsiTheme="minorHAnsi"/>
        </w:rPr>
        <w:t>’</w:t>
      </w:r>
      <w:r w:rsidR="00885441" w:rsidRPr="00902E61">
        <w:rPr>
          <w:rFonts w:asciiTheme="minorHAnsi" w:hAnsiTheme="minorHAnsi"/>
        </w:rPr>
        <w:t xml:space="preserve"> status, constructed by the MOHTLC</w:t>
      </w:r>
      <w:r w:rsidR="00745D81" w:rsidRPr="00902E61">
        <w:rPr>
          <w:rFonts w:asciiTheme="minorHAnsi" w:hAnsiTheme="minorHAnsi"/>
        </w:rPr>
        <w:t xml:space="preserve"> (their </w:t>
      </w:r>
      <w:r w:rsidR="00DB6AAF" w:rsidRPr="00902E61">
        <w:rPr>
          <w:rFonts w:asciiTheme="minorHAnsi" w:hAnsiTheme="minorHAnsi"/>
        </w:rPr>
        <w:t xml:space="preserve">ostensible </w:t>
      </w:r>
      <w:r w:rsidR="00745D81" w:rsidRPr="00902E61">
        <w:rPr>
          <w:rFonts w:asciiTheme="minorHAnsi" w:hAnsiTheme="minorHAnsi"/>
        </w:rPr>
        <w:t xml:space="preserve">employer), </w:t>
      </w:r>
      <w:r w:rsidR="00885441" w:rsidRPr="00902E61">
        <w:rPr>
          <w:rFonts w:asciiTheme="minorHAnsi" w:hAnsiTheme="minorHAnsi"/>
        </w:rPr>
        <w:t xml:space="preserve">as independent contractors and their </w:t>
      </w:r>
      <w:r w:rsidR="00DB6AAF" w:rsidRPr="00902E61">
        <w:rPr>
          <w:rFonts w:asciiTheme="minorHAnsi" w:hAnsiTheme="minorHAnsi"/>
        </w:rPr>
        <w:t xml:space="preserve">resultant </w:t>
      </w:r>
      <w:r w:rsidR="00885441" w:rsidRPr="00902E61">
        <w:rPr>
          <w:rFonts w:asciiTheme="minorHAnsi" w:hAnsiTheme="minorHAnsi"/>
        </w:rPr>
        <w:t>exclusion from protective labour and employment policy measures</w:t>
      </w:r>
      <w:r w:rsidR="00745D81" w:rsidRPr="00902E61">
        <w:rPr>
          <w:rFonts w:asciiTheme="minorHAnsi" w:hAnsiTheme="minorHAnsi"/>
        </w:rPr>
        <w:t xml:space="preserve"> as well as the </w:t>
      </w:r>
      <w:r w:rsidR="00745D81" w:rsidRPr="00902E61">
        <w:rPr>
          <w:rFonts w:asciiTheme="minorHAnsi" w:hAnsiTheme="minorHAnsi"/>
          <w:i/>
          <w:iCs/>
        </w:rPr>
        <w:t>PEA</w:t>
      </w:r>
      <w:r w:rsidR="00885441" w:rsidRPr="00902E61">
        <w:rPr>
          <w:rFonts w:asciiTheme="minorHAnsi" w:hAnsiTheme="minorHAnsi"/>
        </w:rPr>
        <w:t xml:space="preserve">. </w:t>
      </w:r>
      <w:r w:rsidR="00156918" w:rsidRPr="00902E61">
        <w:rPr>
          <w:rFonts w:asciiTheme="minorHAnsi" w:hAnsiTheme="minorHAnsi"/>
        </w:rPr>
        <w:t xml:space="preserve">In a province </w:t>
      </w:r>
      <w:r w:rsidR="00DB6AAF" w:rsidRPr="00902E61">
        <w:rPr>
          <w:rFonts w:asciiTheme="minorHAnsi" w:hAnsiTheme="minorHAnsi"/>
        </w:rPr>
        <w:t xml:space="preserve">in which </w:t>
      </w:r>
      <w:r w:rsidR="00156918" w:rsidRPr="00902E61">
        <w:rPr>
          <w:rFonts w:asciiTheme="minorHAnsi" w:hAnsiTheme="minorHAnsi"/>
        </w:rPr>
        <w:t xml:space="preserve">all employers are </w:t>
      </w:r>
      <w:r w:rsidR="00884251" w:rsidRPr="00902E61">
        <w:rPr>
          <w:rFonts w:asciiTheme="minorHAnsi" w:hAnsiTheme="minorHAnsi"/>
        </w:rPr>
        <w:t>mandated, by existing pay equity legislation, to</w:t>
      </w:r>
      <w:r w:rsidR="00156918" w:rsidRPr="00902E61">
        <w:rPr>
          <w:rFonts w:asciiTheme="minorHAnsi" w:hAnsiTheme="minorHAnsi"/>
        </w:rPr>
        <w:t xml:space="preserve"> engage in a </w:t>
      </w:r>
      <w:r w:rsidR="00156918" w:rsidRPr="00902E61">
        <w:rPr>
          <w:rFonts w:asciiTheme="minorHAnsi" w:hAnsiTheme="minorHAnsi"/>
          <w:i/>
          <w:iCs/>
        </w:rPr>
        <w:t xml:space="preserve">proactive </w:t>
      </w:r>
      <w:r w:rsidR="00156918" w:rsidRPr="00902E61">
        <w:rPr>
          <w:rFonts w:asciiTheme="minorHAnsi" w:hAnsiTheme="minorHAnsi"/>
        </w:rPr>
        <w:t>approach to pay (in)equit</w:t>
      </w:r>
      <w:r w:rsidR="000A2E6A" w:rsidRPr="00902E61">
        <w:rPr>
          <w:rFonts w:asciiTheme="minorHAnsi" w:hAnsiTheme="minorHAnsi"/>
        </w:rPr>
        <w:t>y</w:t>
      </w:r>
      <w:r w:rsidR="00156918" w:rsidRPr="00902E61">
        <w:rPr>
          <w:rFonts w:asciiTheme="minorHAnsi" w:hAnsiTheme="minorHAnsi"/>
        </w:rPr>
        <w:t xml:space="preserve">, </w:t>
      </w:r>
      <w:r w:rsidR="00450ECA" w:rsidRPr="00902E61">
        <w:rPr>
          <w:rFonts w:asciiTheme="minorHAnsi" w:hAnsiTheme="minorHAnsi"/>
        </w:rPr>
        <w:t>this section</w:t>
      </w:r>
      <w:r w:rsidR="00DB6AAF" w:rsidRPr="00902E61">
        <w:rPr>
          <w:rFonts w:asciiTheme="minorHAnsi" w:hAnsiTheme="minorHAnsi"/>
        </w:rPr>
        <w:t xml:space="preserve"> illustrates how </w:t>
      </w:r>
      <w:r w:rsidR="00156918" w:rsidRPr="00902E61">
        <w:rPr>
          <w:rFonts w:asciiTheme="minorHAnsi" w:hAnsiTheme="minorHAnsi"/>
        </w:rPr>
        <w:t>a branch of government has been able to evade its pay equity responsibilities</w:t>
      </w:r>
      <w:r w:rsidR="00DB6AAF" w:rsidRPr="00902E61">
        <w:rPr>
          <w:rFonts w:asciiTheme="minorHAnsi" w:hAnsiTheme="minorHAnsi"/>
        </w:rPr>
        <w:t xml:space="preserve"> by distancing itse</w:t>
      </w:r>
      <w:r w:rsidR="007F5AE7" w:rsidRPr="00902E61">
        <w:rPr>
          <w:rFonts w:asciiTheme="minorHAnsi" w:hAnsiTheme="minorHAnsi"/>
        </w:rPr>
        <w:t>lf from its employment-related obligations.</w:t>
      </w:r>
      <w:r w:rsidR="007C5871" w:rsidRPr="00902E61">
        <w:rPr>
          <w:rFonts w:asciiTheme="minorHAnsi" w:hAnsiTheme="minorHAnsi"/>
        </w:rPr>
        <w:t xml:space="preserve"> Considering what pay equity might look like if </w:t>
      </w:r>
      <w:r w:rsidR="00075C7F" w:rsidRPr="00902E61">
        <w:rPr>
          <w:rFonts w:asciiTheme="minorHAnsi" w:hAnsiTheme="minorHAnsi"/>
        </w:rPr>
        <w:t xml:space="preserve">the scope of the </w:t>
      </w:r>
      <w:r w:rsidR="007C5871" w:rsidRPr="00902E61">
        <w:rPr>
          <w:rFonts w:asciiTheme="minorHAnsi" w:hAnsiTheme="minorHAnsi"/>
          <w:i/>
          <w:iCs/>
        </w:rPr>
        <w:t>PEA</w:t>
      </w:r>
      <w:r w:rsidR="00075C7F" w:rsidRPr="00902E61">
        <w:rPr>
          <w:rFonts w:asciiTheme="minorHAnsi" w:hAnsiTheme="minorHAnsi"/>
        </w:rPr>
        <w:t xml:space="preserve"> were broadened to include independent contractors, and thereby midwives,</w:t>
      </w:r>
      <w:r w:rsidR="007C5871" w:rsidRPr="00902E61">
        <w:rPr>
          <w:rFonts w:asciiTheme="minorHAnsi" w:hAnsiTheme="minorHAnsi"/>
        </w:rPr>
        <w:t xml:space="preserve"> </w:t>
      </w:r>
      <w:r w:rsidR="00617FFC" w:rsidRPr="00902E61">
        <w:rPr>
          <w:rFonts w:asciiTheme="minorHAnsi" w:hAnsiTheme="minorHAnsi"/>
        </w:rPr>
        <w:t xml:space="preserve">section </w:t>
      </w:r>
      <w:r w:rsidR="00745D81" w:rsidRPr="00902E61">
        <w:rPr>
          <w:rFonts w:asciiTheme="minorHAnsi" w:hAnsiTheme="minorHAnsi"/>
        </w:rPr>
        <w:t xml:space="preserve">three </w:t>
      </w:r>
      <w:r w:rsidR="00DB6AAF" w:rsidRPr="00902E61">
        <w:rPr>
          <w:rFonts w:asciiTheme="minorHAnsi" w:hAnsiTheme="minorHAnsi"/>
        </w:rPr>
        <w:t xml:space="preserve">explores </w:t>
      </w:r>
      <w:r w:rsidR="00745D81" w:rsidRPr="00902E61">
        <w:rPr>
          <w:rFonts w:asciiTheme="minorHAnsi" w:hAnsiTheme="minorHAnsi"/>
        </w:rPr>
        <w:t>the possibilities and limitations of the comparator-oriented jo</w:t>
      </w:r>
      <w:r w:rsidR="00156918" w:rsidRPr="00902E61">
        <w:rPr>
          <w:rFonts w:asciiTheme="minorHAnsi" w:hAnsiTheme="minorHAnsi"/>
        </w:rPr>
        <w:t>b evaluation method</w:t>
      </w:r>
      <w:r w:rsidR="00B02C41" w:rsidRPr="00902E61">
        <w:rPr>
          <w:rFonts w:asciiTheme="minorHAnsi" w:hAnsiTheme="minorHAnsi"/>
        </w:rPr>
        <w:t>.</w:t>
      </w:r>
      <w:r w:rsidR="00155FA2" w:rsidRPr="00902E61">
        <w:rPr>
          <w:rFonts w:asciiTheme="minorHAnsi" w:hAnsiTheme="minorHAnsi"/>
        </w:rPr>
        <w:t xml:space="preserve"> Telling the story of how midwives, upon regulation in the early 90s, received a rough pay equity adjustment,</w:t>
      </w:r>
      <w:r w:rsidR="007F5AE7" w:rsidRPr="00902E61">
        <w:rPr>
          <w:rFonts w:asciiTheme="minorHAnsi" w:hAnsiTheme="minorHAnsi"/>
        </w:rPr>
        <w:t xml:space="preserve"> this section first delineates</w:t>
      </w:r>
      <w:r w:rsidR="00450ECA" w:rsidRPr="00902E61">
        <w:rPr>
          <w:rFonts w:asciiTheme="minorHAnsi" w:hAnsiTheme="minorHAnsi"/>
        </w:rPr>
        <w:t xml:space="preserve"> how the MOHLTC </w:t>
      </w:r>
      <w:r w:rsidR="007F5AE7" w:rsidRPr="00902E61">
        <w:rPr>
          <w:rFonts w:asciiTheme="minorHAnsi" w:hAnsiTheme="minorHAnsi"/>
        </w:rPr>
        <w:t xml:space="preserve">was </w:t>
      </w:r>
      <w:r w:rsidR="00450ECA" w:rsidRPr="00902E61">
        <w:rPr>
          <w:rFonts w:asciiTheme="minorHAnsi" w:hAnsiTheme="minorHAnsi"/>
        </w:rPr>
        <w:t xml:space="preserve">able to dismiss any subsequent pay equity responsibilities on account of midwives’ independent contractor status; this section then shows how, even if midwives were, hypothetically, covered by the </w:t>
      </w:r>
      <w:r w:rsidR="00450ECA" w:rsidRPr="00902E61">
        <w:rPr>
          <w:rFonts w:asciiTheme="minorHAnsi" w:hAnsiTheme="minorHAnsi"/>
          <w:i/>
          <w:iCs/>
        </w:rPr>
        <w:t>PEA</w:t>
      </w:r>
      <w:r w:rsidR="007F5AE7" w:rsidRPr="00902E61">
        <w:rPr>
          <w:rFonts w:asciiTheme="minorHAnsi" w:hAnsiTheme="minorHAnsi"/>
        </w:rPr>
        <w:t>, this legislation’s</w:t>
      </w:r>
      <w:r w:rsidR="00450ECA" w:rsidRPr="00902E61">
        <w:rPr>
          <w:rFonts w:asciiTheme="minorHAnsi" w:hAnsiTheme="minorHAnsi"/>
        </w:rPr>
        <w:t xml:space="preserve"> reliance on </w:t>
      </w:r>
      <w:r w:rsidR="00885441" w:rsidRPr="00902E61">
        <w:rPr>
          <w:rFonts w:asciiTheme="minorHAnsi" w:hAnsiTheme="minorHAnsi"/>
        </w:rPr>
        <w:t xml:space="preserve">the application of a job evaluation model </w:t>
      </w:r>
      <w:r w:rsidR="00450ECA" w:rsidRPr="00902E61">
        <w:rPr>
          <w:rFonts w:asciiTheme="minorHAnsi" w:hAnsiTheme="minorHAnsi"/>
        </w:rPr>
        <w:t xml:space="preserve">that necessitates </w:t>
      </w:r>
      <w:r w:rsidR="00885441" w:rsidRPr="00902E61">
        <w:rPr>
          <w:rFonts w:asciiTheme="minorHAnsi" w:hAnsiTheme="minorHAnsi"/>
        </w:rPr>
        <w:t>identification of comparators</w:t>
      </w:r>
      <w:r w:rsidR="00450ECA" w:rsidRPr="00902E61">
        <w:rPr>
          <w:rFonts w:asciiTheme="minorHAnsi" w:hAnsiTheme="minorHAnsi"/>
        </w:rPr>
        <w:t xml:space="preserve"> can in fact </w:t>
      </w:r>
      <w:r w:rsidR="00885441" w:rsidRPr="00902E61">
        <w:rPr>
          <w:rFonts w:asciiTheme="minorHAnsi" w:hAnsiTheme="minorHAnsi"/>
        </w:rPr>
        <w:t>reproduce</w:t>
      </w:r>
      <w:r w:rsidR="00156918" w:rsidRPr="00902E61">
        <w:rPr>
          <w:rFonts w:asciiTheme="minorHAnsi" w:hAnsiTheme="minorHAnsi"/>
        </w:rPr>
        <w:t xml:space="preserve"> and intensif</w:t>
      </w:r>
      <w:r w:rsidR="00B02C41" w:rsidRPr="00902E61">
        <w:rPr>
          <w:rFonts w:asciiTheme="minorHAnsi" w:hAnsiTheme="minorHAnsi"/>
        </w:rPr>
        <w:t>y</w:t>
      </w:r>
      <w:r w:rsidR="00885441" w:rsidRPr="00902E61">
        <w:rPr>
          <w:rFonts w:asciiTheme="minorHAnsi" w:hAnsiTheme="minorHAnsi"/>
        </w:rPr>
        <w:t xml:space="preserve"> gendered disparities.</w:t>
      </w:r>
      <w:r w:rsidR="00156918" w:rsidRPr="00902E61">
        <w:rPr>
          <w:rFonts w:asciiTheme="minorHAnsi" w:hAnsiTheme="minorHAnsi"/>
        </w:rPr>
        <w:t xml:space="preserve"> </w:t>
      </w:r>
      <w:r w:rsidR="00DC1012" w:rsidRPr="00902E61">
        <w:rPr>
          <w:rFonts w:asciiTheme="minorHAnsi" w:hAnsiTheme="minorHAnsi"/>
        </w:rPr>
        <w:t>By way of conclusion, I</w:t>
      </w:r>
      <w:r w:rsidR="000739BC" w:rsidRPr="00902E61">
        <w:rPr>
          <w:rFonts w:asciiTheme="minorHAnsi" w:hAnsiTheme="minorHAnsi"/>
        </w:rPr>
        <w:t xml:space="preserve"> </w:t>
      </w:r>
      <w:r w:rsidR="00816CD9" w:rsidRPr="00902E61">
        <w:rPr>
          <w:rFonts w:asciiTheme="minorHAnsi" w:hAnsiTheme="minorHAnsi"/>
        </w:rPr>
        <w:t xml:space="preserve">briefly </w:t>
      </w:r>
      <w:r w:rsidR="000739BC" w:rsidRPr="00902E61">
        <w:rPr>
          <w:rFonts w:asciiTheme="minorHAnsi" w:hAnsiTheme="minorHAnsi"/>
        </w:rPr>
        <w:t>consider how</w:t>
      </w:r>
      <w:r w:rsidR="00816CD9" w:rsidRPr="00902E61">
        <w:rPr>
          <w:rFonts w:asciiTheme="minorHAnsi" w:hAnsiTheme="minorHAnsi"/>
        </w:rPr>
        <w:t xml:space="preserve"> alternative approaches to gendered economic injustice in the labour market, such as</w:t>
      </w:r>
      <w:r w:rsidR="000739BC" w:rsidRPr="00902E61">
        <w:rPr>
          <w:rFonts w:asciiTheme="minorHAnsi" w:hAnsiTheme="minorHAnsi"/>
        </w:rPr>
        <w:t xml:space="preserve"> raising the floor of minimum standards </w:t>
      </w:r>
      <w:r w:rsidR="00816CD9" w:rsidRPr="00902E61">
        <w:rPr>
          <w:rFonts w:asciiTheme="minorHAnsi" w:hAnsiTheme="minorHAnsi"/>
        </w:rPr>
        <w:t xml:space="preserve">for all </w:t>
      </w:r>
      <w:r w:rsidR="00816CD9" w:rsidRPr="00902E61">
        <w:rPr>
          <w:rFonts w:asciiTheme="minorHAnsi" w:hAnsiTheme="minorHAnsi"/>
        </w:rPr>
        <w:lastRenderedPageBreak/>
        <w:t xml:space="preserve">workers engaged in work for remuneration, regardless of occupation, industry, or the existence of a suitable comparator, could help bolster the effects of pay equity </w:t>
      </w:r>
      <w:r w:rsidR="001D5A56">
        <w:rPr>
          <w:rFonts w:asciiTheme="minorHAnsi" w:hAnsiTheme="minorHAnsi"/>
        </w:rPr>
        <w:t xml:space="preserve">legislation </w:t>
      </w:r>
      <w:r w:rsidR="00816CD9" w:rsidRPr="00902E61">
        <w:rPr>
          <w:rFonts w:asciiTheme="minorHAnsi" w:hAnsiTheme="minorHAnsi"/>
        </w:rPr>
        <w:t xml:space="preserve">and </w:t>
      </w:r>
      <w:r w:rsidR="00816CD9" w:rsidRPr="00902E61">
        <w:rPr>
          <w:rFonts w:asciiTheme="minorHAnsi" w:hAnsiTheme="minorHAnsi"/>
          <w:lang w:val="en-US"/>
        </w:rPr>
        <w:t>ensure more just forms of distribution ac</w:t>
      </w:r>
      <w:r w:rsidR="00E11548">
        <w:rPr>
          <w:rFonts w:asciiTheme="minorHAnsi" w:hAnsiTheme="minorHAnsi"/>
          <w:lang w:val="en-US"/>
        </w:rPr>
        <w:t>ross occupations</w:t>
      </w:r>
      <w:r w:rsidR="00816CD9" w:rsidRPr="00902E61">
        <w:rPr>
          <w:rFonts w:asciiTheme="minorHAnsi" w:hAnsiTheme="minorHAnsi"/>
          <w:lang w:val="en-US"/>
        </w:rPr>
        <w:t xml:space="preserve"> </w:t>
      </w:r>
      <w:r w:rsidR="00DC1012" w:rsidRPr="00902E61">
        <w:rPr>
          <w:rFonts w:asciiTheme="minorHAnsi" w:hAnsiTheme="minorHAnsi"/>
          <w:lang w:val="en-US"/>
        </w:rPr>
        <w:t>and</w:t>
      </w:r>
      <w:r w:rsidR="00816CD9" w:rsidRPr="00902E61">
        <w:rPr>
          <w:rFonts w:asciiTheme="minorHAnsi" w:hAnsiTheme="minorHAnsi"/>
          <w:lang w:val="en-US"/>
        </w:rPr>
        <w:t xml:space="preserve"> sectors. </w:t>
      </w:r>
    </w:p>
    <w:p w14:paraId="5AE7F5BC" w14:textId="77777777" w:rsidR="001D73AD" w:rsidRPr="00902E61" w:rsidRDefault="001D73AD" w:rsidP="007F5AE7">
      <w:pPr>
        <w:spacing w:line="480" w:lineRule="auto"/>
        <w:rPr>
          <w:rFonts w:asciiTheme="minorHAnsi" w:hAnsiTheme="minorHAnsi"/>
          <w:b/>
          <w:bCs/>
        </w:rPr>
      </w:pPr>
    </w:p>
    <w:p w14:paraId="76C139FC" w14:textId="14299AAF" w:rsidR="00F85D29" w:rsidRPr="00902E61" w:rsidRDefault="00104340" w:rsidP="004700E9">
      <w:pPr>
        <w:spacing w:line="480" w:lineRule="auto"/>
        <w:outlineLvl w:val="0"/>
        <w:rPr>
          <w:rFonts w:asciiTheme="minorHAnsi" w:hAnsiTheme="minorHAnsi"/>
          <w:b/>
          <w:bCs/>
        </w:rPr>
      </w:pPr>
      <w:r w:rsidRPr="00902E61">
        <w:rPr>
          <w:rFonts w:asciiTheme="minorHAnsi" w:hAnsiTheme="minorHAnsi"/>
          <w:b/>
          <w:bCs/>
        </w:rPr>
        <w:t>Section One</w:t>
      </w:r>
      <w:r w:rsidR="000C0A8B" w:rsidRPr="00902E61">
        <w:rPr>
          <w:rFonts w:asciiTheme="minorHAnsi" w:hAnsiTheme="minorHAnsi"/>
          <w:b/>
          <w:bCs/>
        </w:rPr>
        <w:t xml:space="preserve">: </w:t>
      </w:r>
      <w:r w:rsidR="00056A15" w:rsidRPr="00902E61">
        <w:rPr>
          <w:rFonts w:asciiTheme="minorHAnsi" w:hAnsiTheme="minorHAnsi"/>
          <w:b/>
          <w:bCs/>
        </w:rPr>
        <w:t>F</w:t>
      </w:r>
      <w:r w:rsidR="00617FFC" w:rsidRPr="00902E61">
        <w:rPr>
          <w:rFonts w:asciiTheme="minorHAnsi" w:hAnsiTheme="minorHAnsi"/>
          <w:b/>
          <w:bCs/>
        </w:rPr>
        <w:t>eminist Analyses of Devaluation of Social R</w:t>
      </w:r>
      <w:r w:rsidR="000E4618" w:rsidRPr="00902E61">
        <w:rPr>
          <w:rFonts w:asciiTheme="minorHAnsi" w:hAnsiTheme="minorHAnsi"/>
          <w:b/>
          <w:bCs/>
        </w:rPr>
        <w:t>eproduction</w:t>
      </w:r>
      <w:r w:rsidR="00B5365F" w:rsidRPr="00902E61">
        <w:rPr>
          <w:rFonts w:asciiTheme="minorHAnsi" w:hAnsiTheme="minorHAnsi"/>
          <w:b/>
          <w:bCs/>
        </w:rPr>
        <w:t xml:space="preserve"> </w:t>
      </w:r>
      <w:r w:rsidR="00617FFC" w:rsidRPr="00902E61">
        <w:rPr>
          <w:rFonts w:asciiTheme="minorHAnsi" w:hAnsiTheme="minorHAnsi"/>
          <w:b/>
          <w:bCs/>
        </w:rPr>
        <w:t xml:space="preserve">and the Centring of </w:t>
      </w:r>
      <w:r w:rsidR="006838FB" w:rsidRPr="00902E61">
        <w:rPr>
          <w:rFonts w:asciiTheme="minorHAnsi" w:hAnsiTheme="minorHAnsi"/>
          <w:b/>
          <w:bCs/>
        </w:rPr>
        <w:t>Gendered</w:t>
      </w:r>
      <w:r w:rsidR="00650DAE" w:rsidRPr="00902E61">
        <w:rPr>
          <w:rFonts w:asciiTheme="minorHAnsi" w:hAnsiTheme="minorHAnsi"/>
          <w:b/>
          <w:bCs/>
        </w:rPr>
        <w:t xml:space="preserve"> </w:t>
      </w:r>
      <w:r w:rsidR="00617FFC" w:rsidRPr="00902E61">
        <w:rPr>
          <w:rFonts w:asciiTheme="minorHAnsi" w:hAnsiTheme="minorHAnsi"/>
          <w:b/>
          <w:bCs/>
        </w:rPr>
        <w:t>Employment Norms</w:t>
      </w:r>
    </w:p>
    <w:p w14:paraId="547E9088" w14:textId="42A1A906" w:rsidR="00DB4548" w:rsidRPr="00902E61" w:rsidRDefault="002E6168" w:rsidP="007F5AE7">
      <w:pPr>
        <w:spacing w:line="480" w:lineRule="auto"/>
        <w:rPr>
          <w:rFonts w:asciiTheme="minorHAnsi" w:hAnsiTheme="minorHAnsi"/>
        </w:rPr>
      </w:pPr>
      <w:r w:rsidRPr="00902E61">
        <w:rPr>
          <w:rFonts w:asciiTheme="minorHAnsi" w:hAnsiTheme="minorHAnsi"/>
        </w:rPr>
        <w:t xml:space="preserve">Midwifery is a </w:t>
      </w:r>
      <w:r w:rsidR="007C2C4D" w:rsidRPr="00902E61">
        <w:rPr>
          <w:rFonts w:asciiTheme="minorHAnsi" w:hAnsiTheme="minorHAnsi"/>
        </w:rPr>
        <w:t>woman-dominated occupation</w:t>
      </w:r>
      <w:r w:rsidR="0087143A" w:rsidRPr="00902E61">
        <w:rPr>
          <w:rFonts w:asciiTheme="minorHAnsi" w:hAnsiTheme="minorHAnsi"/>
        </w:rPr>
        <w:t xml:space="preserve"> in health care</w:t>
      </w:r>
      <w:r w:rsidR="0059229E" w:rsidRPr="00902E61">
        <w:rPr>
          <w:rFonts w:asciiTheme="minorHAnsi" w:hAnsiTheme="minorHAnsi"/>
        </w:rPr>
        <w:t xml:space="preserve">, </w:t>
      </w:r>
      <w:r w:rsidR="0087143A" w:rsidRPr="00902E61">
        <w:rPr>
          <w:rFonts w:asciiTheme="minorHAnsi" w:hAnsiTheme="minorHAnsi"/>
        </w:rPr>
        <w:t>an industry where gendered occupational segmentation has been</w:t>
      </w:r>
      <w:r w:rsidR="007C2C4D" w:rsidRPr="00902E61">
        <w:rPr>
          <w:rFonts w:asciiTheme="minorHAnsi" w:hAnsiTheme="minorHAnsi"/>
        </w:rPr>
        <w:t>,</w:t>
      </w:r>
      <w:r w:rsidR="0087143A" w:rsidRPr="00902E61">
        <w:rPr>
          <w:rFonts w:asciiTheme="minorHAnsi" w:hAnsiTheme="minorHAnsi"/>
        </w:rPr>
        <w:t xml:space="preserve"> historically and to the present, institutionalized and r</w:t>
      </w:r>
      <w:r w:rsidR="0059229E" w:rsidRPr="00902E61">
        <w:rPr>
          <w:rFonts w:asciiTheme="minorHAnsi" w:hAnsiTheme="minorHAnsi"/>
        </w:rPr>
        <w:t>einforced through public policy</w:t>
      </w:r>
      <w:r w:rsidR="00652FED" w:rsidRPr="00902E61">
        <w:rPr>
          <w:rFonts w:asciiTheme="minorHAnsi" w:hAnsiTheme="minorHAnsi"/>
        </w:rPr>
        <w:t>. Wh</w:t>
      </w:r>
      <w:r w:rsidRPr="00902E61">
        <w:rPr>
          <w:rFonts w:asciiTheme="minorHAnsi" w:hAnsiTheme="minorHAnsi"/>
        </w:rPr>
        <w:t xml:space="preserve">ile </w:t>
      </w:r>
      <w:r w:rsidR="0087646A" w:rsidRPr="00902E61">
        <w:rPr>
          <w:rFonts w:asciiTheme="minorHAnsi" w:hAnsiTheme="minorHAnsi"/>
        </w:rPr>
        <w:t xml:space="preserve">midwives are technically not covered by Ontario’s </w:t>
      </w:r>
      <w:r w:rsidR="0087646A" w:rsidRPr="00902E61">
        <w:rPr>
          <w:rFonts w:asciiTheme="minorHAnsi" w:hAnsiTheme="minorHAnsi"/>
          <w:i/>
          <w:iCs/>
        </w:rPr>
        <w:t>P</w:t>
      </w:r>
      <w:r w:rsidR="004700E9" w:rsidRPr="00902E61">
        <w:rPr>
          <w:rFonts w:asciiTheme="minorHAnsi" w:hAnsiTheme="minorHAnsi"/>
          <w:i/>
          <w:iCs/>
        </w:rPr>
        <w:t>EA</w:t>
      </w:r>
      <w:r w:rsidR="00191FAC" w:rsidRPr="00902E61">
        <w:rPr>
          <w:rFonts w:asciiTheme="minorHAnsi" w:hAnsiTheme="minorHAnsi"/>
        </w:rPr>
        <w:t xml:space="preserve">, </w:t>
      </w:r>
      <w:r w:rsidR="0087646A" w:rsidRPr="00902E61">
        <w:rPr>
          <w:rFonts w:asciiTheme="minorHAnsi" w:hAnsiTheme="minorHAnsi"/>
        </w:rPr>
        <w:t xml:space="preserve">the AOM’s call for back pay as a result of a persistent </w:t>
      </w:r>
      <w:r w:rsidR="00B04162" w:rsidRPr="00902E61">
        <w:rPr>
          <w:rFonts w:asciiTheme="minorHAnsi" w:hAnsiTheme="minorHAnsi"/>
        </w:rPr>
        <w:t>gap in compensation</w:t>
      </w:r>
      <w:r w:rsidR="0087646A" w:rsidRPr="00902E61">
        <w:rPr>
          <w:rFonts w:asciiTheme="minorHAnsi" w:hAnsiTheme="minorHAnsi"/>
        </w:rPr>
        <w:t xml:space="preserve"> relies on the assumption, put forward by pay equity as both a political strategy and legislative initiative,</w:t>
      </w:r>
      <w:r w:rsidR="005008FD" w:rsidRPr="00902E61">
        <w:rPr>
          <w:rFonts w:asciiTheme="minorHAnsi" w:hAnsiTheme="minorHAnsi"/>
        </w:rPr>
        <w:t xml:space="preserve"> that wage-based discrepancies between men and women can exist both within organizations and across industries and sectors. For many decades now, pay equity has assumed that this systemic issue is linked</w:t>
      </w:r>
      <w:r w:rsidR="009831FC">
        <w:rPr>
          <w:rFonts w:asciiTheme="minorHAnsi" w:hAnsiTheme="minorHAnsi"/>
        </w:rPr>
        <w:t xml:space="preserve"> to the</w:t>
      </w:r>
      <w:r w:rsidR="005008FD" w:rsidRPr="00902E61">
        <w:rPr>
          <w:rFonts w:asciiTheme="minorHAnsi" w:hAnsiTheme="minorHAnsi"/>
        </w:rPr>
        <w:t xml:space="preserve"> historical undervaluation of </w:t>
      </w:r>
      <w:r w:rsidR="00DB4548" w:rsidRPr="00902E61">
        <w:rPr>
          <w:rFonts w:asciiTheme="minorHAnsi" w:hAnsiTheme="minorHAnsi"/>
        </w:rPr>
        <w:t>“</w:t>
      </w:r>
      <w:r w:rsidR="005008FD" w:rsidRPr="00902E61">
        <w:rPr>
          <w:rFonts w:asciiTheme="minorHAnsi" w:hAnsiTheme="minorHAnsi"/>
        </w:rPr>
        <w:t>women’s work</w:t>
      </w:r>
      <w:r w:rsidR="00DB4548" w:rsidRPr="00902E61">
        <w:rPr>
          <w:rFonts w:asciiTheme="minorHAnsi" w:hAnsiTheme="minorHAnsi"/>
        </w:rPr>
        <w:t xml:space="preserve">,” </w:t>
      </w:r>
      <w:r w:rsidR="00DB6AAF" w:rsidRPr="00902E61">
        <w:rPr>
          <w:rFonts w:asciiTheme="minorHAnsi" w:hAnsiTheme="minorHAnsi"/>
        </w:rPr>
        <w:t xml:space="preserve">specifically </w:t>
      </w:r>
      <w:r w:rsidR="005E5A40" w:rsidRPr="00902E61">
        <w:rPr>
          <w:rFonts w:asciiTheme="minorHAnsi" w:hAnsiTheme="minorHAnsi"/>
        </w:rPr>
        <w:t>the work of</w:t>
      </w:r>
      <w:r w:rsidR="00C401AF" w:rsidRPr="00902E61">
        <w:rPr>
          <w:rFonts w:asciiTheme="minorHAnsi" w:hAnsiTheme="minorHAnsi"/>
        </w:rPr>
        <w:t xml:space="preserve"> social reproduction. </w:t>
      </w:r>
    </w:p>
    <w:p w14:paraId="43A6EC57" w14:textId="3DC9BF11" w:rsidR="008A5F5A" w:rsidRPr="00902E61" w:rsidRDefault="00C401AF" w:rsidP="007F5AE7">
      <w:pPr>
        <w:spacing w:line="480" w:lineRule="auto"/>
        <w:ind w:firstLine="720"/>
        <w:rPr>
          <w:rFonts w:asciiTheme="minorHAnsi" w:hAnsiTheme="minorHAnsi"/>
        </w:rPr>
      </w:pPr>
      <w:r w:rsidRPr="00902E61">
        <w:rPr>
          <w:rFonts w:asciiTheme="minorHAnsi" w:hAnsiTheme="minorHAnsi"/>
        </w:rPr>
        <w:t xml:space="preserve">Drawing on feminist political economy, I understand social reproduction </w:t>
      </w:r>
      <w:r w:rsidR="00D02BC3" w:rsidRPr="00902E61">
        <w:rPr>
          <w:rFonts w:asciiTheme="minorHAnsi" w:hAnsiTheme="minorHAnsi"/>
        </w:rPr>
        <w:t xml:space="preserve">to </w:t>
      </w:r>
      <w:r w:rsidRPr="00902E61">
        <w:rPr>
          <w:rFonts w:asciiTheme="minorHAnsi" w:hAnsiTheme="minorHAnsi"/>
        </w:rPr>
        <w:t>involve both the provision of daily needs (e.g. food, shelter, care, etc.), as well work that ensures intergenerational reproduction (e.g. developing and sustaining socially accepted standards o</w:t>
      </w:r>
      <w:r w:rsidR="00B64ED9">
        <w:rPr>
          <w:rFonts w:asciiTheme="minorHAnsi" w:hAnsiTheme="minorHAnsi"/>
        </w:rPr>
        <w:t>f living, education, and health</w:t>
      </w:r>
      <w:r w:rsidR="005D3A97">
        <w:rPr>
          <w:rFonts w:asciiTheme="minorHAnsi" w:hAnsiTheme="minorHAnsi"/>
        </w:rPr>
        <w:t>)</w:t>
      </w:r>
      <w:r w:rsidRPr="00902E61">
        <w:rPr>
          <w:rFonts w:asciiTheme="minorHAnsi" w:hAnsiTheme="minorHAnsi"/>
        </w:rPr>
        <w:t xml:space="preserve"> </w:t>
      </w:r>
      <w:r w:rsidR="00A253E6" w:rsidRPr="00902E61">
        <w:rPr>
          <w:rFonts w:asciiTheme="minorHAnsi" w:hAnsiTheme="minorHAnsi"/>
        </w:rPr>
        <w:t>(Luxton and Bezanson 2006,</w:t>
      </w:r>
      <w:r w:rsidRPr="00902E61">
        <w:rPr>
          <w:rFonts w:asciiTheme="minorHAnsi" w:hAnsiTheme="minorHAnsi"/>
        </w:rPr>
        <w:t xml:space="preserve"> </w:t>
      </w:r>
      <w:r w:rsidR="002162CA" w:rsidRPr="00902E61">
        <w:rPr>
          <w:rFonts w:asciiTheme="minorHAnsi" w:hAnsiTheme="minorHAnsi"/>
        </w:rPr>
        <w:t xml:space="preserve">p. </w:t>
      </w:r>
      <w:r w:rsidRPr="00902E61">
        <w:rPr>
          <w:rFonts w:asciiTheme="minorHAnsi" w:hAnsiTheme="minorHAnsi"/>
        </w:rPr>
        <w:t xml:space="preserve">3-4). </w:t>
      </w:r>
      <w:r w:rsidR="00BE65DF" w:rsidRPr="00902E61">
        <w:rPr>
          <w:rFonts w:asciiTheme="minorHAnsi" w:hAnsiTheme="minorHAnsi"/>
        </w:rPr>
        <w:t xml:space="preserve">Attention to social reproduction, through the lens of </w:t>
      </w:r>
      <w:r w:rsidR="0056560C" w:rsidRPr="00902E61">
        <w:rPr>
          <w:rFonts w:asciiTheme="minorHAnsi" w:hAnsiTheme="minorHAnsi"/>
        </w:rPr>
        <w:t>feminist political economy</w:t>
      </w:r>
      <w:r w:rsidR="00BE65DF" w:rsidRPr="00902E61">
        <w:rPr>
          <w:rFonts w:asciiTheme="minorHAnsi" w:hAnsiTheme="minorHAnsi"/>
        </w:rPr>
        <w:t>, is central to my theoretical framework</w:t>
      </w:r>
      <w:r w:rsidR="0056560C" w:rsidRPr="00902E61">
        <w:rPr>
          <w:rFonts w:asciiTheme="minorHAnsi" w:hAnsiTheme="minorHAnsi"/>
        </w:rPr>
        <w:t xml:space="preserve"> for </w:t>
      </w:r>
      <w:r w:rsidR="00652FED" w:rsidRPr="00902E61">
        <w:rPr>
          <w:rFonts w:asciiTheme="minorHAnsi" w:hAnsiTheme="minorHAnsi"/>
        </w:rPr>
        <w:t>three</w:t>
      </w:r>
      <w:r w:rsidR="00DC1012" w:rsidRPr="00902E61">
        <w:rPr>
          <w:rFonts w:asciiTheme="minorHAnsi" w:hAnsiTheme="minorHAnsi"/>
        </w:rPr>
        <w:t xml:space="preserve"> main</w:t>
      </w:r>
      <w:r w:rsidR="00652FED" w:rsidRPr="00902E61">
        <w:rPr>
          <w:rFonts w:asciiTheme="minorHAnsi" w:hAnsiTheme="minorHAnsi"/>
        </w:rPr>
        <w:t xml:space="preserve"> </w:t>
      </w:r>
      <w:r w:rsidR="0056560C" w:rsidRPr="00902E61">
        <w:rPr>
          <w:rFonts w:asciiTheme="minorHAnsi" w:hAnsiTheme="minorHAnsi"/>
        </w:rPr>
        <w:t>reasons. First, it reveals</w:t>
      </w:r>
      <w:r w:rsidR="00B77420" w:rsidRPr="00902E61">
        <w:rPr>
          <w:rFonts w:asciiTheme="minorHAnsi" w:hAnsiTheme="minorHAnsi"/>
        </w:rPr>
        <w:t xml:space="preserve"> the link, often strategically hidden from view, between </w:t>
      </w:r>
      <w:r w:rsidR="00DC1012" w:rsidRPr="00902E61">
        <w:rPr>
          <w:rFonts w:asciiTheme="minorHAnsi" w:hAnsiTheme="minorHAnsi"/>
        </w:rPr>
        <w:t xml:space="preserve">the </w:t>
      </w:r>
      <w:r w:rsidR="00B77420" w:rsidRPr="00902E61">
        <w:rPr>
          <w:rFonts w:asciiTheme="minorHAnsi" w:hAnsiTheme="minorHAnsi"/>
        </w:rPr>
        <w:t>production of goods and services</w:t>
      </w:r>
      <w:r w:rsidR="00DC1012" w:rsidRPr="00902E61">
        <w:rPr>
          <w:rFonts w:asciiTheme="minorHAnsi" w:hAnsiTheme="minorHAnsi"/>
        </w:rPr>
        <w:t>,</w:t>
      </w:r>
      <w:r w:rsidR="00B77420" w:rsidRPr="00902E61">
        <w:rPr>
          <w:rFonts w:asciiTheme="minorHAnsi" w:hAnsiTheme="minorHAnsi"/>
        </w:rPr>
        <w:t xml:space="preserve"> and </w:t>
      </w:r>
      <w:r w:rsidR="00CD36DB" w:rsidRPr="00902E61">
        <w:rPr>
          <w:rFonts w:asciiTheme="minorHAnsi" w:hAnsiTheme="minorHAnsi"/>
        </w:rPr>
        <w:t xml:space="preserve">the </w:t>
      </w:r>
      <w:r w:rsidR="00B77420" w:rsidRPr="00902E61">
        <w:rPr>
          <w:rFonts w:asciiTheme="minorHAnsi" w:hAnsiTheme="minorHAnsi"/>
        </w:rPr>
        <w:t>reproduction and sustenance</w:t>
      </w:r>
      <w:r w:rsidR="00CD36DB" w:rsidRPr="00902E61">
        <w:rPr>
          <w:rFonts w:asciiTheme="minorHAnsi" w:hAnsiTheme="minorHAnsi"/>
        </w:rPr>
        <w:t xml:space="preserve"> of </w:t>
      </w:r>
      <w:r w:rsidR="0056560C" w:rsidRPr="00902E61">
        <w:rPr>
          <w:rFonts w:asciiTheme="minorHAnsi" w:hAnsiTheme="minorHAnsi"/>
        </w:rPr>
        <w:lastRenderedPageBreak/>
        <w:t>life</w:t>
      </w:r>
      <w:r w:rsidR="00B02C41" w:rsidRPr="00902E61">
        <w:rPr>
          <w:rFonts w:asciiTheme="minorHAnsi" w:hAnsiTheme="minorHAnsi"/>
        </w:rPr>
        <w:t xml:space="preserve">. This link </w:t>
      </w:r>
      <w:r w:rsidR="0056560C" w:rsidRPr="00902E61">
        <w:rPr>
          <w:rFonts w:asciiTheme="minorHAnsi" w:hAnsiTheme="minorHAnsi"/>
        </w:rPr>
        <w:t>is particularly relevant to the case of the midwives</w:t>
      </w:r>
      <w:r w:rsidR="00B02C41" w:rsidRPr="00902E61">
        <w:rPr>
          <w:rFonts w:asciiTheme="minorHAnsi" w:hAnsiTheme="minorHAnsi"/>
        </w:rPr>
        <w:t>, given their primary</w:t>
      </w:r>
      <w:r w:rsidR="00DC1012" w:rsidRPr="00902E61">
        <w:rPr>
          <w:rFonts w:asciiTheme="minorHAnsi" w:hAnsiTheme="minorHAnsi"/>
        </w:rPr>
        <w:t xml:space="preserve"> involve</w:t>
      </w:r>
      <w:r w:rsidR="00B02C41" w:rsidRPr="00902E61">
        <w:rPr>
          <w:rFonts w:asciiTheme="minorHAnsi" w:hAnsiTheme="minorHAnsi"/>
        </w:rPr>
        <w:t>ment</w:t>
      </w:r>
      <w:r w:rsidR="00DC1012" w:rsidRPr="00902E61">
        <w:rPr>
          <w:rFonts w:asciiTheme="minorHAnsi" w:hAnsiTheme="minorHAnsi"/>
        </w:rPr>
        <w:t xml:space="preserve"> in</w:t>
      </w:r>
      <w:r w:rsidR="0056560C" w:rsidRPr="00902E61">
        <w:rPr>
          <w:rFonts w:asciiTheme="minorHAnsi" w:hAnsiTheme="minorHAnsi"/>
        </w:rPr>
        <w:t xml:space="preserve"> maternal and reproductive health</w:t>
      </w:r>
      <w:r w:rsidR="00307524" w:rsidRPr="00902E61">
        <w:rPr>
          <w:rFonts w:asciiTheme="minorHAnsi" w:hAnsiTheme="minorHAnsi"/>
        </w:rPr>
        <w:t xml:space="preserve"> and the overrepresentation of women, </w:t>
      </w:r>
      <w:r w:rsidR="007B4E00" w:rsidRPr="00902E61">
        <w:rPr>
          <w:rFonts w:asciiTheme="minorHAnsi" w:hAnsiTheme="minorHAnsi"/>
        </w:rPr>
        <w:t xml:space="preserve">many of whom are </w:t>
      </w:r>
      <w:r w:rsidR="00307524" w:rsidRPr="00902E61">
        <w:rPr>
          <w:rFonts w:asciiTheme="minorHAnsi" w:hAnsiTheme="minorHAnsi"/>
        </w:rPr>
        <w:t>presumed to have their own social reproductive responsibilities outside of work, in the profession</w:t>
      </w:r>
      <w:r w:rsidR="0056560C" w:rsidRPr="00902E61">
        <w:rPr>
          <w:rFonts w:asciiTheme="minorHAnsi" w:hAnsiTheme="minorHAnsi"/>
        </w:rPr>
        <w:t xml:space="preserve">. </w:t>
      </w:r>
      <w:r w:rsidR="00652FED" w:rsidRPr="00902E61">
        <w:rPr>
          <w:rFonts w:asciiTheme="minorHAnsi" w:hAnsiTheme="minorHAnsi"/>
        </w:rPr>
        <w:t>Second, the hierarchical structure in health care is deeply rooted and linked to the devaluation of social reproductive work in the home</w:t>
      </w:r>
      <w:r w:rsidR="00B05BEE" w:rsidRPr="00902E61">
        <w:rPr>
          <w:rFonts w:asciiTheme="minorHAnsi" w:hAnsiTheme="minorHAnsi"/>
        </w:rPr>
        <w:t>; t</w:t>
      </w:r>
      <w:r w:rsidR="00652FED" w:rsidRPr="00902E61">
        <w:rPr>
          <w:rFonts w:asciiTheme="minorHAnsi" w:hAnsiTheme="minorHAnsi"/>
        </w:rPr>
        <w:t>he model of practice</w:t>
      </w:r>
      <w:r w:rsidR="00B05BEE" w:rsidRPr="00902E61">
        <w:rPr>
          <w:rFonts w:asciiTheme="minorHAnsi" w:hAnsiTheme="minorHAnsi"/>
        </w:rPr>
        <w:t xml:space="preserve"> </w:t>
      </w:r>
      <w:r w:rsidR="00652FED" w:rsidRPr="00902E61">
        <w:rPr>
          <w:rFonts w:asciiTheme="minorHAnsi" w:hAnsiTheme="minorHAnsi"/>
        </w:rPr>
        <w:t>instituted in hospitals</w:t>
      </w:r>
      <w:r w:rsidR="00B05BEE" w:rsidRPr="00902E61">
        <w:rPr>
          <w:rFonts w:asciiTheme="minorHAnsi" w:hAnsiTheme="minorHAnsi"/>
        </w:rPr>
        <w:t xml:space="preserve"> </w:t>
      </w:r>
      <w:r w:rsidR="00652FED" w:rsidRPr="00902E61">
        <w:rPr>
          <w:rFonts w:asciiTheme="minorHAnsi" w:hAnsiTheme="minorHAnsi"/>
        </w:rPr>
        <w:t>stres</w:t>
      </w:r>
      <w:r w:rsidR="00B05BEE" w:rsidRPr="00902E61">
        <w:rPr>
          <w:rFonts w:asciiTheme="minorHAnsi" w:hAnsiTheme="minorHAnsi"/>
        </w:rPr>
        <w:t>s</w:t>
      </w:r>
      <w:r w:rsidR="00DC1012" w:rsidRPr="00902E61">
        <w:rPr>
          <w:rFonts w:asciiTheme="minorHAnsi" w:hAnsiTheme="minorHAnsi"/>
        </w:rPr>
        <w:t>es</w:t>
      </w:r>
      <w:r w:rsidR="00652FED" w:rsidRPr="00902E61">
        <w:rPr>
          <w:rFonts w:asciiTheme="minorHAnsi" w:hAnsiTheme="minorHAnsi"/>
        </w:rPr>
        <w:t xml:space="preserve"> intervention through surgery and drugs</w:t>
      </w:r>
      <w:r w:rsidR="00B05BEE" w:rsidRPr="00902E61">
        <w:rPr>
          <w:rFonts w:asciiTheme="minorHAnsi" w:hAnsiTheme="minorHAnsi"/>
        </w:rPr>
        <w:t>, or allopathic care provided by medical and surgical specialists</w:t>
      </w:r>
      <w:r w:rsidR="00617FFC" w:rsidRPr="00902E61">
        <w:rPr>
          <w:rFonts w:asciiTheme="minorHAnsi" w:hAnsiTheme="minorHAnsi"/>
        </w:rPr>
        <w:t xml:space="preserve">. </w:t>
      </w:r>
      <w:r w:rsidR="002162CA" w:rsidRPr="00902E61">
        <w:rPr>
          <w:rFonts w:asciiTheme="minorHAnsi" w:hAnsiTheme="minorHAnsi"/>
        </w:rPr>
        <w:t>At the same time, the</w:t>
      </w:r>
      <w:r w:rsidR="00DC1012" w:rsidRPr="00902E61">
        <w:rPr>
          <w:rFonts w:asciiTheme="minorHAnsi" w:hAnsiTheme="minorHAnsi"/>
        </w:rPr>
        <w:t xml:space="preserve"> model</w:t>
      </w:r>
      <w:r w:rsidR="00617FFC" w:rsidRPr="00902E61">
        <w:rPr>
          <w:rFonts w:asciiTheme="minorHAnsi" w:hAnsiTheme="minorHAnsi"/>
        </w:rPr>
        <w:t xml:space="preserve"> </w:t>
      </w:r>
      <w:r w:rsidR="00DC1012" w:rsidRPr="00902E61">
        <w:rPr>
          <w:rFonts w:asciiTheme="minorHAnsi" w:hAnsiTheme="minorHAnsi"/>
        </w:rPr>
        <w:t xml:space="preserve">of healthcare that dominates </w:t>
      </w:r>
      <w:r w:rsidR="002162CA" w:rsidRPr="00902E61">
        <w:rPr>
          <w:rFonts w:asciiTheme="minorHAnsi" w:hAnsiTheme="minorHAnsi"/>
        </w:rPr>
        <w:t>Canadian provinces’ public medicare</w:t>
      </w:r>
      <w:r w:rsidR="00DC1012" w:rsidRPr="00902E61">
        <w:rPr>
          <w:rFonts w:asciiTheme="minorHAnsi" w:hAnsiTheme="minorHAnsi"/>
        </w:rPr>
        <w:t xml:space="preserve"> system</w:t>
      </w:r>
      <w:r w:rsidR="002162CA" w:rsidRPr="00902E61">
        <w:rPr>
          <w:rFonts w:asciiTheme="minorHAnsi" w:hAnsiTheme="minorHAnsi"/>
        </w:rPr>
        <w:t>s</w:t>
      </w:r>
      <w:r w:rsidR="00DC1012" w:rsidRPr="00902E61">
        <w:rPr>
          <w:rFonts w:asciiTheme="minorHAnsi" w:hAnsiTheme="minorHAnsi"/>
        </w:rPr>
        <w:t xml:space="preserve"> </w:t>
      </w:r>
      <w:r w:rsidR="00A35D09" w:rsidRPr="00902E61">
        <w:rPr>
          <w:rFonts w:asciiTheme="minorHAnsi" w:hAnsiTheme="minorHAnsi"/>
        </w:rPr>
        <w:t>simultaneously</w:t>
      </w:r>
      <w:r w:rsidR="00B05BEE" w:rsidRPr="00902E61">
        <w:rPr>
          <w:rFonts w:asciiTheme="minorHAnsi" w:hAnsiTheme="minorHAnsi"/>
        </w:rPr>
        <w:t xml:space="preserve"> devalue</w:t>
      </w:r>
      <w:r w:rsidR="00617FFC" w:rsidRPr="00902E61">
        <w:rPr>
          <w:rFonts w:asciiTheme="minorHAnsi" w:hAnsiTheme="minorHAnsi"/>
        </w:rPr>
        <w:t>s</w:t>
      </w:r>
      <w:r w:rsidR="00B05BEE" w:rsidRPr="00902E61">
        <w:rPr>
          <w:rFonts w:asciiTheme="minorHAnsi" w:hAnsiTheme="minorHAnsi"/>
        </w:rPr>
        <w:t xml:space="preserve"> </w:t>
      </w:r>
      <w:r w:rsidR="00500F40" w:rsidRPr="00902E61">
        <w:rPr>
          <w:rFonts w:asciiTheme="minorHAnsi" w:hAnsiTheme="minorHAnsi"/>
        </w:rPr>
        <w:t xml:space="preserve">daily, </w:t>
      </w:r>
      <w:r w:rsidR="006D104C" w:rsidRPr="00902E61">
        <w:rPr>
          <w:rFonts w:asciiTheme="minorHAnsi" w:hAnsiTheme="minorHAnsi"/>
        </w:rPr>
        <w:t>preventative</w:t>
      </w:r>
      <w:r w:rsidR="00500F40" w:rsidRPr="00902E61">
        <w:rPr>
          <w:rFonts w:asciiTheme="minorHAnsi" w:hAnsiTheme="minorHAnsi"/>
        </w:rPr>
        <w:t xml:space="preserve">, and non-allopathic </w:t>
      </w:r>
      <w:r w:rsidR="00DC1012" w:rsidRPr="00902E61">
        <w:rPr>
          <w:rFonts w:asciiTheme="minorHAnsi" w:hAnsiTheme="minorHAnsi"/>
        </w:rPr>
        <w:t xml:space="preserve">forms of </w:t>
      </w:r>
      <w:r w:rsidR="00B05BEE" w:rsidRPr="00902E61">
        <w:rPr>
          <w:rFonts w:asciiTheme="minorHAnsi" w:hAnsiTheme="minorHAnsi"/>
        </w:rPr>
        <w:t xml:space="preserve">health </w:t>
      </w:r>
      <w:r w:rsidR="00500F40" w:rsidRPr="00902E61">
        <w:rPr>
          <w:rFonts w:asciiTheme="minorHAnsi" w:hAnsiTheme="minorHAnsi"/>
        </w:rPr>
        <w:t xml:space="preserve">care </w:t>
      </w:r>
      <w:r w:rsidR="00652FED" w:rsidRPr="00902E61">
        <w:rPr>
          <w:rFonts w:asciiTheme="minorHAnsi" w:hAnsiTheme="minorHAnsi"/>
        </w:rPr>
        <w:t xml:space="preserve">(Armstrong, Laxer, and Armstrong 2007). </w:t>
      </w:r>
      <w:r w:rsidR="00DB6AAF" w:rsidRPr="00902E61">
        <w:rPr>
          <w:rFonts w:asciiTheme="minorHAnsi" w:hAnsiTheme="minorHAnsi"/>
        </w:rPr>
        <w:t>Thirdly</w:t>
      </w:r>
      <w:r w:rsidR="0056560C" w:rsidRPr="00902E61">
        <w:rPr>
          <w:rFonts w:asciiTheme="minorHAnsi" w:hAnsiTheme="minorHAnsi"/>
        </w:rPr>
        <w:t xml:space="preserve">, the costs of </w:t>
      </w:r>
      <w:r w:rsidR="00B77420" w:rsidRPr="00902E61">
        <w:rPr>
          <w:rFonts w:asciiTheme="minorHAnsi" w:hAnsiTheme="minorHAnsi"/>
        </w:rPr>
        <w:t>social reproduction</w:t>
      </w:r>
      <w:r w:rsidR="00CD36DB" w:rsidRPr="00902E61">
        <w:rPr>
          <w:rFonts w:asciiTheme="minorHAnsi" w:hAnsiTheme="minorHAnsi"/>
        </w:rPr>
        <w:t xml:space="preserve"> informs the</w:t>
      </w:r>
      <w:r w:rsidR="00B77420" w:rsidRPr="00902E61">
        <w:rPr>
          <w:rFonts w:asciiTheme="minorHAnsi" w:hAnsiTheme="minorHAnsi"/>
        </w:rPr>
        <w:t xml:space="preserve"> </w:t>
      </w:r>
      <w:r w:rsidRPr="00902E61">
        <w:rPr>
          <w:rFonts w:asciiTheme="minorHAnsi" w:hAnsiTheme="minorHAnsi"/>
        </w:rPr>
        <w:t xml:space="preserve">basis for standards of living, which in turn informs </w:t>
      </w:r>
      <w:r w:rsidR="00CD36DB" w:rsidRPr="00902E61">
        <w:rPr>
          <w:rFonts w:asciiTheme="minorHAnsi" w:hAnsiTheme="minorHAnsi"/>
        </w:rPr>
        <w:t xml:space="preserve">socially </w:t>
      </w:r>
      <w:r w:rsidR="00B61DEE" w:rsidRPr="00902E61">
        <w:rPr>
          <w:rFonts w:asciiTheme="minorHAnsi" w:hAnsiTheme="minorHAnsi"/>
        </w:rPr>
        <w:t>acceptable wage level</w:t>
      </w:r>
      <w:r w:rsidR="00CD36DB" w:rsidRPr="00902E61">
        <w:rPr>
          <w:rFonts w:asciiTheme="minorHAnsi" w:hAnsiTheme="minorHAnsi"/>
        </w:rPr>
        <w:t>s</w:t>
      </w:r>
      <w:r w:rsidR="0056560C" w:rsidRPr="00902E61">
        <w:rPr>
          <w:rFonts w:asciiTheme="minorHAnsi" w:hAnsiTheme="minorHAnsi"/>
        </w:rPr>
        <w:t xml:space="preserve">, and wage gaps, in the labour market </w:t>
      </w:r>
      <w:r w:rsidR="00B61DEE" w:rsidRPr="00902E61">
        <w:rPr>
          <w:rFonts w:asciiTheme="minorHAnsi" w:hAnsiTheme="minorHAnsi"/>
        </w:rPr>
        <w:t xml:space="preserve">(Picchio </w:t>
      </w:r>
      <w:r w:rsidR="0056560C" w:rsidRPr="00902E61">
        <w:rPr>
          <w:rFonts w:asciiTheme="minorHAnsi" w:hAnsiTheme="minorHAnsi"/>
        </w:rPr>
        <w:t xml:space="preserve">1992). </w:t>
      </w:r>
    </w:p>
    <w:p w14:paraId="3CAFC843" w14:textId="1253FEDC" w:rsidR="00673C8F" w:rsidRPr="00902E61" w:rsidRDefault="002D3971" w:rsidP="007F5AE7">
      <w:pPr>
        <w:spacing w:line="480" w:lineRule="auto"/>
        <w:ind w:firstLine="720"/>
        <w:rPr>
          <w:rFonts w:asciiTheme="minorHAnsi" w:hAnsiTheme="minorHAnsi"/>
        </w:rPr>
      </w:pPr>
      <w:r w:rsidRPr="00902E61">
        <w:rPr>
          <w:rFonts w:asciiTheme="minorHAnsi" w:hAnsiTheme="minorHAnsi"/>
        </w:rPr>
        <w:t>Rejecting the ideological assumptio</w:t>
      </w:r>
      <w:r w:rsidR="0089740D" w:rsidRPr="00902E61">
        <w:rPr>
          <w:rFonts w:asciiTheme="minorHAnsi" w:hAnsiTheme="minorHAnsi"/>
        </w:rPr>
        <w:t xml:space="preserve">n that wages are determined by </w:t>
      </w:r>
      <w:r w:rsidRPr="00902E61">
        <w:rPr>
          <w:rFonts w:asciiTheme="minorHAnsi" w:hAnsiTheme="minorHAnsi"/>
        </w:rPr>
        <w:t>gender-blind and “objective”</w:t>
      </w:r>
      <w:r w:rsidR="00D95FF5" w:rsidRPr="00902E61">
        <w:rPr>
          <w:rFonts w:asciiTheme="minorHAnsi" w:hAnsiTheme="minorHAnsi"/>
        </w:rPr>
        <w:t xml:space="preserve"> market forces,</w:t>
      </w:r>
      <w:r w:rsidR="00BE65DF" w:rsidRPr="00902E61">
        <w:rPr>
          <w:rFonts w:asciiTheme="minorHAnsi" w:hAnsiTheme="minorHAnsi"/>
        </w:rPr>
        <w:t xml:space="preserve"> </w:t>
      </w:r>
      <w:r w:rsidR="00D02BC3" w:rsidRPr="00902E61">
        <w:rPr>
          <w:rFonts w:asciiTheme="minorHAnsi" w:hAnsiTheme="minorHAnsi"/>
        </w:rPr>
        <w:t xml:space="preserve">this </w:t>
      </w:r>
      <w:r w:rsidR="00626521" w:rsidRPr="00902E61">
        <w:rPr>
          <w:rFonts w:asciiTheme="minorHAnsi" w:hAnsiTheme="minorHAnsi"/>
        </w:rPr>
        <w:t>paper posits that wages are shaped by the social relations</w:t>
      </w:r>
      <w:r w:rsidR="00650DAE" w:rsidRPr="00902E61">
        <w:rPr>
          <w:rFonts w:asciiTheme="minorHAnsi" w:hAnsiTheme="minorHAnsi"/>
        </w:rPr>
        <w:t xml:space="preserve"> of gender, class, and race</w:t>
      </w:r>
      <w:r w:rsidR="00626521" w:rsidRPr="00902E61">
        <w:rPr>
          <w:rFonts w:asciiTheme="minorHAnsi" w:hAnsiTheme="minorHAnsi"/>
        </w:rPr>
        <w:t xml:space="preserve"> embedded in </w:t>
      </w:r>
      <w:r w:rsidR="00650DAE" w:rsidRPr="00902E61">
        <w:rPr>
          <w:rFonts w:asciiTheme="minorHAnsi" w:hAnsiTheme="minorHAnsi"/>
        </w:rPr>
        <w:t xml:space="preserve">production processes and </w:t>
      </w:r>
      <w:r w:rsidR="00626521" w:rsidRPr="00902E61">
        <w:rPr>
          <w:rFonts w:asciiTheme="minorHAnsi" w:hAnsiTheme="minorHAnsi"/>
        </w:rPr>
        <w:t>mechanisms of distribution</w:t>
      </w:r>
      <w:r w:rsidRPr="00902E61">
        <w:rPr>
          <w:rFonts w:asciiTheme="minorHAnsi" w:hAnsiTheme="minorHAnsi"/>
        </w:rPr>
        <w:t>. F</w:t>
      </w:r>
      <w:r w:rsidR="00503AAF" w:rsidRPr="00902E61">
        <w:rPr>
          <w:rFonts w:asciiTheme="minorHAnsi" w:hAnsiTheme="minorHAnsi"/>
        </w:rPr>
        <w:t xml:space="preserve">ollowing </w:t>
      </w:r>
      <w:r w:rsidR="008A5F5A" w:rsidRPr="00902E61">
        <w:rPr>
          <w:rFonts w:asciiTheme="minorHAnsi" w:hAnsiTheme="minorHAnsi"/>
        </w:rPr>
        <w:t>pay equity analysts</w:t>
      </w:r>
      <w:r w:rsidR="003E4158" w:rsidRPr="00902E61">
        <w:rPr>
          <w:rFonts w:asciiTheme="minorHAnsi" w:hAnsiTheme="minorHAnsi"/>
        </w:rPr>
        <w:t xml:space="preserve"> </w:t>
      </w:r>
      <w:r w:rsidRPr="00902E61">
        <w:rPr>
          <w:rFonts w:asciiTheme="minorHAnsi" w:hAnsiTheme="minorHAnsi"/>
        </w:rPr>
        <w:t xml:space="preserve">who </w:t>
      </w:r>
      <w:r w:rsidR="00B05BEE" w:rsidRPr="00902E61">
        <w:rPr>
          <w:rFonts w:asciiTheme="minorHAnsi" w:hAnsiTheme="minorHAnsi"/>
        </w:rPr>
        <w:t>highlight how</w:t>
      </w:r>
      <w:r w:rsidRPr="00902E61">
        <w:rPr>
          <w:rFonts w:asciiTheme="minorHAnsi" w:hAnsiTheme="minorHAnsi"/>
        </w:rPr>
        <w:t xml:space="preserve"> gender intersects with class throughout all levels of society, including within the supposedly neutral capitalist market</w:t>
      </w:r>
      <w:r w:rsidR="00D1551B" w:rsidRPr="00902E61">
        <w:rPr>
          <w:rFonts w:asciiTheme="minorHAnsi" w:hAnsiTheme="minorHAnsi"/>
        </w:rPr>
        <w:t xml:space="preserve">, I </w:t>
      </w:r>
      <w:r w:rsidR="00DB6AAF" w:rsidRPr="00902E61">
        <w:rPr>
          <w:rFonts w:asciiTheme="minorHAnsi" w:hAnsiTheme="minorHAnsi"/>
        </w:rPr>
        <w:t xml:space="preserve">contend </w:t>
      </w:r>
      <w:r w:rsidR="00D1551B" w:rsidRPr="00902E61">
        <w:rPr>
          <w:rFonts w:asciiTheme="minorHAnsi" w:hAnsiTheme="minorHAnsi"/>
        </w:rPr>
        <w:t>that the</w:t>
      </w:r>
      <w:r w:rsidRPr="00902E61">
        <w:rPr>
          <w:rFonts w:asciiTheme="minorHAnsi" w:hAnsiTheme="minorHAnsi"/>
        </w:rPr>
        <w:t xml:space="preserve"> devaluation of feminized work serves to reinforce</w:t>
      </w:r>
      <w:r w:rsidR="00D25853" w:rsidRPr="00902E61">
        <w:rPr>
          <w:rFonts w:asciiTheme="minorHAnsi" w:hAnsiTheme="minorHAnsi"/>
        </w:rPr>
        <w:t xml:space="preserve"> dominant</w:t>
      </w:r>
      <w:r w:rsidR="002162CA" w:rsidRPr="00902E61">
        <w:rPr>
          <w:rFonts w:asciiTheme="minorHAnsi" w:hAnsiTheme="minorHAnsi"/>
        </w:rPr>
        <w:t xml:space="preserve"> employment </w:t>
      </w:r>
      <w:r w:rsidR="00D25853" w:rsidRPr="00902E61">
        <w:rPr>
          <w:rFonts w:asciiTheme="minorHAnsi" w:hAnsiTheme="minorHAnsi"/>
        </w:rPr>
        <w:t xml:space="preserve">norms </w:t>
      </w:r>
      <w:r w:rsidR="002162CA" w:rsidRPr="00902E61">
        <w:rPr>
          <w:rFonts w:asciiTheme="minorHAnsi" w:hAnsiTheme="minorHAnsi"/>
        </w:rPr>
        <w:t xml:space="preserve"> and </w:t>
      </w:r>
      <w:r w:rsidR="003B43D0" w:rsidRPr="00902E61">
        <w:rPr>
          <w:rFonts w:asciiTheme="minorHAnsi" w:hAnsiTheme="minorHAnsi"/>
        </w:rPr>
        <w:t>socio</w:t>
      </w:r>
      <w:r w:rsidR="00D25853" w:rsidRPr="00902E61">
        <w:rPr>
          <w:rFonts w:asciiTheme="minorHAnsi" w:hAnsiTheme="minorHAnsi"/>
        </w:rPr>
        <w:t>economic</w:t>
      </w:r>
      <w:r w:rsidR="00593704" w:rsidRPr="00902E61">
        <w:rPr>
          <w:rFonts w:asciiTheme="minorHAnsi" w:hAnsiTheme="minorHAnsi"/>
        </w:rPr>
        <w:t xml:space="preserve"> interests</w:t>
      </w:r>
      <w:r w:rsidR="003E4158" w:rsidRPr="00902E61">
        <w:rPr>
          <w:rFonts w:asciiTheme="minorHAnsi" w:hAnsiTheme="minorHAnsi"/>
        </w:rPr>
        <w:t xml:space="preserve"> (Acker </w:t>
      </w:r>
      <w:r w:rsidR="000C4045" w:rsidRPr="00902E61">
        <w:rPr>
          <w:rFonts w:asciiTheme="minorHAnsi" w:hAnsiTheme="minorHAnsi"/>
        </w:rPr>
        <w:t>1989, Steinburg</w:t>
      </w:r>
      <w:r w:rsidR="0017211A" w:rsidRPr="00902E61">
        <w:rPr>
          <w:rFonts w:asciiTheme="minorHAnsi" w:hAnsiTheme="minorHAnsi"/>
        </w:rPr>
        <w:t xml:space="preserve"> 1991, Fudge and McDermott 1991, Kainer 2002</w:t>
      </w:r>
      <w:r w:rsidR="000C4045" w:rsidRPr="00902E61">
        <w:rPr>
          <w:rFonts w:asciiTheme="minorHAnsi" w:hAnsiTheme="minorHAnsi"/>
        </w:rPr>
        <w:t>)</w:t>
      </w:r>
      <w:r w:rsidRPr="00902E61">
        <w:rPr>
          <w:rFonts w:asciiTheme="minorHAnsi" w:hAnsiTheme="minorHAnsi"/>
        </w:rPr>
        <w:t xml:space="preserve">. </w:t>
      </w:r>
      <w:r w:rsidR="00B05BEE" w:rsidRPr="00902E61">
        <w:rPr>
          <w:rFonts w:asciiTheme="minorHAnsi" w:hAnsiTheme="minorHAnsi"/>
        </w:rPr>
        <w:t>In Canada, a</w:t>
      </w:r>
      <w:r w:rsidR="00295F95" w:rsidRPr="00902E61">
        <w:rPr>
          <w:rFonts w:asciiTheme="minorHAnsi" w:hAnsiTheme="minorHAnsi"/>
        </w:rPr>
        <w:t xml:space="preserve">s </w:t>
      </w:r>
      <w:r w:rsidR="006B78BC" w:rsidRPr="00902E61">
        <w:rPr>
          <w:rFonts w:asciiTheme="minorHAnsi" w:hAnsiTheme="minorHAnsi"/>
        </w:rPr>
        <w:t>women’s labour force participation rate trends upwards</w:t>
      </w:r>
      <w:r w:rsidR="003270DA" w:rsidRPr="00902E61">
        <w:rPr>
          <w:rFonts w:asciiTheme="minorHAnsi" w:hAnsiTheme="minorHAnsi"/>
        </w:rPr>
        <w:t>,</w:t>
      </w:r>
      <w:r w:rsidR="003270DA" w:rsidRPr="00902E61">
        <w:rPr>
          <w:rStyle w:val="FootnoteReference"/>
          <w:rFonts w:asciiTheme="minorHAnsi" w:hAnsiTheme="minorHAnsi"/>
        </w:rPr>
        <w:footnoteReference w:id="3"/>
      </w:r>
      <w:r w:rsidR="006B78BC" w:rsidRPr="00902E61">
        <w:rPr>
          <w:rFonts w:asciiTheme="minorHAnsi" w:hAnsiTheme="minorHAnsi"/>
        </w:rPr>
        <w:t xml:space="preserve"> recent annual data show that, comparing year-round full-time employment earnings, women earn 74.2 cents for every dollar earned by men</w:t>
      </w:r>
      <w:r w:rsidR="00617FFC" w:rsidRPr="00902E61">
        <w:rPr>
          <w:rFonts w:asciiTheme="minorHAnsi" w:hAnsiTheme="minorHAnsi"/>
        </w:rPr>
        <w:t xml:space="preserve"> (Moyser 2017)</w:t>
      </w:r>
      <w:r w:rsidR="00EB2C6A" w:rsidRPr="00902E61">
        <w:rPr>
          <w:rFonts w:asciiTheme="minorHAnsi" w:hAnsiTheme="minorHAnsi"/>
        </w:rPr>
        <w:t>. Additionally,</w:t>
      </w:r>
      <w:r w:rsidR="006B78BC" w:rsidRPr="00902E61">
        <w:rPr>
          <w:rFonts w:asciiTheme="minorHAnsi" w:hAnsiTheme="minorHAnsi"/>
        </w:rPr>
        <w:t xml:space="preserve"> in that same category,</w:t>
      </w:r>
      <w:r w:rsidR="003270DA" w:rsidRPr="00902E61">
        <w:rPr>
          <w:rFonts w:asciiTheme="minorHAnsi" w:hAnsiTheme="minorHAnsi"/>
        </w:rPr>
        <w:t xml:space="preserve"> women are </w:t>
      </w:r>
      <w:r w:rsidR="003270DA" w:rsidRPr="00902E61">
        <w:rPr>
          <w:rFonts w:asciiTheme="minorHAnsi" w:hAnsiTheme="minorHAnsi"/>
        </w:rPr>
        <w:lastRenderedPageBreak/>
        <w:t xml:space="preserve">more likely to </w:t>
      </w:r>
      <w:r w:rsidR="002162CA" w:rsidRPr="00902E61">
        <w:rPr>
          <w:rFonts w:asciiTheme="minorHAnsi" w:hAnsiTheme="minorHAnsi"/>
        </w:rPr>
        <w:t>be employed in a</w:t>
      </w:r>
      <w:r w:rsidR="003270DA" w:rsidRPr="00902E61">
        <w:rPr>
          <w:rFonts w:asciiTheme="minorHAnsi" w:hAnsiTheme="minorHAnsi"/>
        </w:rPr>
        <w:t xml:space="preserve"> low-waged </w:t>
      </w:r>
      <w:r w:rsidR="002162CA" w:rsidRPr="00902E61">
        <w:rPr>
          <w:rFonts w:asciiTheme="minorHAnsi" w:hAnsiTheme="minorHAnsi"/>
        </w:rPr>
        <w:t xml:space="preserve">occupation </w:t>
      </w:r>
      <w:r w:rsidR="003270DA" w:rsidRPr="00902E61">
        <w:rPr>
          <w:rFonts w:asciiTheme="minorHAnsi" w:hAnsiTheme="minorHAnsi"/>
        </w:rPr>
        <w:t xml:space="preserve">than a high-waged </w:t>
      </w:r>
      <w:r w:rsidR="002162CA" w:rsidRPr="00902E61">
        <w:rPr>
          <w:rFonts w:asciiTheme="minorHAnsi" w:hAnsiTheme="minorHAnsi"/>
        </w:rPr>
        <w:t>occupation</w:t>
      </w:r>
      <w:r w:rsidR="003270DA" w:rsidRPr="00902E61">
        <w:rPr>
          <w:rFonts w:asciiTheme="minorHAnsi" w:hAnsiTheme="minorHAnsi"/>
        </w:rPr>
        <w:t>, while the opposite is true for</w:t>
      </w:r>
      <w:r w:rsidR="009E5D66" w:rsidRPr="00902E61">
        <w:rPr>
          <w:rFonts w:asciiTheme="minorHAnsi" w:hAnsiTheme="minorHAnsi"/>
        </w:rPr>
        <w:t xml:space="preserve"> their ma</w:t>
      </w:r>
      <w:r w:rsidR="00617FFC" w:rsidRPr="00902E61">
        <w:rPr>
          <w:rFonts w:asciiTheme="minorHAnsi" w:hAnsiTheme="minorHAnsi"/>
        </w:rPr>
        <w:t>l</w:t>
      </w:r>
      <w:r w:rsidR="009E5D66" w:rsidRPr="00902E61">
        <w:rPr>
          <w:rFonts w:asciiTheme="minorHAnsi" w:hAnsiTheme="minorHAnsi"/>
        </w:rPr>
        <w:t>e</w:t>
      </w:r>
      <w:r w:rsidR="00617FFC" w:rsidRPr="00902E61">
        <w:rPr>
          <w:rFonts w:asciiTheme="minorHAnsi" w:hAnsiTheme="minorHAnsi"/>
        </w:rPr>
        <w:t xml:space="preserve"> comparators </w:t>
      </w:r>
      <w:r w:rsidR="006B78BC" w:rsidRPr="00902E61">
        <w:rPr>
          <w:rFonts w:asciiTheme="minorHAnsi" w:hAnsiTheme="minorHAnsi"/>
        </w:rPr>
        <w:t>(Moyser 2017).</w:t>
      </w:r>
      <w:r w:rsidR="00EB2C6A" w:rsidRPr="00902E61">
        <w:rPr>
          <w:rFonts w:asciiTheme="minorHAnsi" w:hAnsiTheme="minorHAnsi"/>
        </w:rPr>
        <w:t xml:space="preserve"> </w:t>
      </w:r>
      <w:r w:rsidR="00DE6417" w:rsidRPr="00902E61">
        <w:rPr>
          <w:rFonts w:asciiTheme="minorHAnsi" w:hAnsiTheme="minorHAnsi"/>
        </w:rPr>
        <w:t xml:space="preserve"> </w:t>
      </w:r>
      <w:r w:rsidR="00655441" w:rsidRPr="00902E61">
        <w:rPr>
          <w:rFonts w:asciiTheme="minorHAnsi" w:hAnsiTheme="minorHAnsi"/>
        </w:rPr>
        <w:t>B</w:t>
      </w:r>
      <w:r w:rsidR="00EE5B19" w:rsidRPr="00902E61">
        <w:rPr>
          <w:rFonts w:asciiTheme="minorHAnsi" w:hAnsiTheme="minorHAnsi"/>
        </w:rPr>
        <w:t>ecause wages are a cost of production, the</w:t>
      </w:r>
      <w:r w:rsidR="00B95249" w:rsidRPr="00902E61">
        <w:rPr>
          <w:rFonts w:asciiTheme="minorHAnsi" w:hAnsiTheme="minorHAnsi"/>
        </w:rPr>
        <w:t xml:space="preserve"> </w:t>
      </w:r>
      <w:r w:rsidR="002D74E2" w:rsidRPr="00902E61">
        <w:rPr>
          <w:rFonts w:asciiTheme="minorHAnsi" w:hAnsiTheme="minorHAnsi"/>
        </w:rPr>
        <w:t xml:space="preserve">simultaneous </w:t>
      </w:r>
      <w:r w:rsidR="00EE5B19" w:rsidRPr="00902E61">
        <w:rPr>
          <w:rFonts w:asciiTheme="minorHAnsi" w:hAnsiTheme="minorHAnsi"/>
        </w:rPr>
        <w:t xml:space="preserve">devaluation </w:t>
      </w:r>
      <w:r w:rsidR="00250511" w:rsidRPr="00902E61">
        <w:rPr>
          <w:rFonts w:asciiTheme="minorHAnsi" w:hAnsiTheme="minorHAnsi"/>
        </w:rPr>
        <w:t xml:space="preserve">of, </w:t>
      </w:r>
      <w:r w:rsidR="00B95249" w:rsidRPr="00902E61">
        <w:rPr>
          <w:rFonts w:asciiTheme="minorHAnsi" w:hAnsiTheme="minorHAnsi"/>
        </w:rPr>
        <w:t xml:space="preserve">and increased </w:t>
      </w:r>
      <w:r w:rsidR="00655441" w:rsidRPr="00902E61">
        <w:rPr>
          <w:rFonts w:asciiTheme="minorHAnsi" w:hAnsiTheme="minorHAnsi"/>
        </w:rPr>
        <w:t>demand for</w:t>
      </w:r>
      <w:r w:rsidR="00250511" w:rsidRPr="00902E61">
        <w:rPr>
          <w:rFonts w:asciiTheme="minorHAnsi" w:hAnsiTheme="minorHAnsi"/>
        </w:rPr>
        <w:t>,</w:t>
      </w:r>
      <w:r w:rsidR="00655441" w:rsidRPr="00902E61">
        <w:rPr>
          <w:rFonts w:asciiTheme="minorHAnsi" w:hAnsiTheme="minorHAnsi"/>
        </w:rPr>
        <w:t xml:space="preserve"> </w:t>
      </w:r>
      <w:r w:rsidR="00EE5B19" w:rsidRPr="00902E61">
        <w:rPr>
          <w:rFonts w:asciiTheme="minorHAnsi" w:hAnsiTheme="minorHAnsi"/>
        </w:rPr>
        <w:t>women’</w:t>
      </w:r>
      <w:r w:rsidR="00B95249" w:rsidRPr="00902E61">
        <w:rPr>
          <w:rFonts w:asciiTheme="minorHAnsi" w:hAnsiTheme="minorHAnsi"/>
        </w:rPr>
        <w:t xml:space="preserve">s </w:t>
      </w:r>
      <w:r w:rsidR="002D74E2" w:rsidRPr="00902E61">
        <w:rPr>
          <w:rFonts w:asciiTheme="minorHAnsi" w:hAnsiTheme="minorHAnsi"/>
        </w:rPr>
        <w:t>waged labour</w:t>
      </w:r>
      <w:r w:rsidR="00B95249" w:rsidRPr="00902E61">
        <w:rPr>
          <w:rFonts w:asciiTheme="minorHAnsi" w:hAnsiTheme="minorHAnsi"/>
        </w:rPr>
        <w:t xml:space="preserve"> </w:t>
      </w:r>
      <w:r w:rsidR="00250511" w:rsidRPr="00902E61">
        <w:rPr>
          <w:rFonts w:asciiTheme="minorHAnsi" w:hAnsiTheme="minorHAnsi"/>
        </w:rPr>
        <w:t>can be</w:t>
      </w:r>
      <w:r w:rsidR="00655441" w:rsidRPr="00902E61">
        <w:rPr>
          <w:rFonts w:asciiTheme="minorHAnsi" w:hAnsiTheme="minorHAnsi"/>
        </w:rPr>
        <w:t xml:space="preserve"> linked to </w:t>
      </w:r>
      <w:r w:rsidR="00250511" w:rsidRPr="00902E61">
        <w:rPr>
          <w:rFonts w:asciiTheme="minorHAnsi" w:hAnsiTheme="minorHAnsi"/>
        </w:rPr>
        <w:t xml:space="preserve">an </w:t>
      </w:r>
      <w:r w:rsidR="00655441" w:rsidRPr="00902E61">
        <w:rPr>
          <w:rFonts w:asciiTheme="minorHAnsi" w:hAnsiTheme="minorHAnsi"/>
        </w:rPr>
        <w:t>employers</w:t>
      </w:r>
      <w:r w:rsidR="005A2BA5" w:rsidRPr="00902E61">
        <w:rPr>
          <w:rFonts w:asciiTheme="minorHAnsi" w:hAnsiTheme="minorHAnsi"/>
        </w:rPr>
        <w:t>’</w:t>
      </w:r>
      <w:r w:rsidR="00655441" w:rsidRPr="00902E61">
        <w:rPr>
          <w:rFonts w:asciiTheme="minorHAnsi" w:hAnsiTheme="minorHAnsi"/>
        </w:rPr>
        <w:t xml:space="preserve"> desire</w:t>
      </w:r>
      <w:r w:rsidR="00EE5B19" w:rsidRPr="00902E61">
        <w:rPr>
          <w:rFonts w:asciiTheme="minorHAnsi" w:hAnsiTheme="minorHAnsi"/>
        </w:rPr>
        <w:t xml:space="preserve"> to increase surplus value </w:t>
      </w:r>
      <w:r w:rsidR="00B95249" w:rsidRPr="00902E61">
        <w:rPr>
          <w:rFonts w:asciiTheme="minorHAnsi" w:hAnsiTheme="minorHAnsi"/>
        </w:rPr>
        <w:t>gained through the production of goods and/or services</w:t>
      </w:r>
      <w:r w:rsidR="000C4045" w:rsidRPr="00902E61">
        <w:rPr>
          <w:rFonts w:asciiTheme="minorHAnsi" w:hAnsiTheme="minorHAnsi"/>
        </w:rPr>
        <w:t xml:space="preserve"> (Kainer </w:t>
      </w:r>
      <w:r w:rsidR="0017211A" w:rsidRPr="00902E61">
        <w:rPr>
          <w:rFonts w:asciiTheme="minorHAnsi" w:hAnsiTheme="minorHAnsi"/>
        </w:rPr>
        <w:t>2002</w:t>
      </w:r>
      <w:r w:rsidR="000C4045" w:rsidRPr="00902E61">
        <w:rPr>
          <w:rFonts w:asciiTheme="minorHAnsi" w:hAnsiTheme="minorHAnsi"/>
        </w:rPr>
        <w:t>)</w:t>
      </w:r>
      <w:r w:rsidR="005A2BA5" w:rsidRPr="00902E61">
        <w:rPr>
          <w:rFonts w:asciiTheme="minorHAnsi" w:hAnsiTheme="minorHAnsi"/>
        </w:rPr>
        <w:t xml:space="preserve">; alternatively, this trend is also beneficial to certain employers, like branches of the state, which </w:t>
      </w:r>
      <w:r w:rsidR="002162CA" w:rsidRPr="00902E61">
        <w:rPr>
          <w:rFonts w:asciiTheme="minorHAnsi" w:hAnsiTheme="minorHAnsi"/>
        </w:rPr>
        <w:t>may be less</w:t>
      </w:r>
      <w:r w:rsidR="005A2BA5" w:rsidRPr="00902E61">
        <w:rPr>
          <w:rFonts w:asciiTheme="minorHAnsi" w:hAnsiTheme="minorHAnsi"/>
        </w:rPr>
        <w:t xml:space="preserve"> concerned (ostensibly) w</w:t>
      </w:r>
      <w:r w:rsidR="002162CA" w:rsidRPr="00902E61">
        <w:rPr>
          <w:rFonts w:asciiTheme="minorHAnsi" w:hAnsiTheme="minorHAnsi"/>
        </w:rPr>
        <w:t>ith surplus value but still</w:t>
      </w:r>
      <w:r w:rsidR="005A2BA5" w:rsidRPr="00902E61">
        <w:rPr>
          <w:rFonts w:asciiTheme="minorHAnsi" w:hAnsiTheme="minorHAnsi"/>
        </w:rPr>
        <w:t xml:space="preserve"> seek to limit public sector costs through the employment of devalued women workers (Bakker 2003; Armstrong and Laxer 2007). </w:t>
      </w:r>
      <w:r w:rsidR="00B95249" w:rsidRPr="00902E61">
        <w:rPr>
          <w:rFonts w:asciiTheme="minorHAnsi" w:hAnsiTheme="minorHAnsi"/>
        </w:rPr>
        <w:t>Moreover, t</w:t>
      </w:r>
      <w:r w:rsidR="00CC6114" w:rsidRPr="00902E61">
        <w:rPr>
          <w:rFonts w:asciiTheme="minorHAnsi" w:hAnsiTheme="minorHAnsi"/>
        </w:rPr>
        <w:t>he devaluation of skills associated with social reproduction, and women’s</w:t>
      </w:r>
      <w:r w:rsidR="00B5365F" w:rsidRPr="00902E61">
        <w:rPr>
          <w:rFonts w:asciiTheme="minorHAnsi" w:hAnsiTheme="minorHAnsi"/>
        </w:rPr>
        <w:t xml:space="preserve"> and particularly racialized women’s</w:t>
      </w:r>
      <w:r w:rsidR="00CC6114" w:rsidRPr="00902E61">
        <w:rPr>
          <w:rFonts w:asciiTheme="minorHAnsi" w:hAnsiTheme="minorHAnsi"/>
        </w:rPr>
        <w:t xml:space="preserve"> resulting disadvantaged position within and outside of the labour market, is beneficial to </w:t>
      </w:r>
      <w:r w:rsidR="00B5365F" w:rsidRPr="00902E61">
        <w:rPr>
          <w:rFonts w:asciiTheme="minorHAnsi" w:hAnsiTheme="minorHAnsi"/>
        </w:rPr>
        <w:t xml:space="preserve">employers and also some workers who </w:t>
      </w:r>
      <w:r w:rsidR="00CC6114" w:rsidRPr="00902E61">
        <w:rPr>
          <w:rFonts w:asciiTheme="minorHAnsi" w:hAnsiTheme="minorHAnsi"/>
        </w:rPr>
        <w:t>have a stake in maintaining organizational and social arrangements that advantage their gender</w:t>
      </w:r>
      <w:r w:rsidR="00B5365F" w:rsidRPr="00902E61">
        <w:rPr>
          <w:rFonts w:asciiTheme="minorHAnsi" w:hAnsiTheme="minorHAnsi"/>
        </w:rPr>
        <w:t>, racial, and</w:t>
      </w:r>
      <w:r w:rsidR="00CC6114" w:rsidRPr="00902E61">
        <w:rPr>
          <w:rFonts w:asciiTheme="minorHAnsi" w:hAnsiTheme="minorHAnsi"/>
        </w:rPr>
        <w:t xml:space="preserve"> class interests</w:t>
      </w:r>
      <w:r w:rsidR="0017211A" w:rsidRPr="00902E61">
        <w:rPr>
          <w:rFonts w:asciiTheme="minorHAnsi" w:hAnsiTheme="minorHAnsi"/>
        </w:rPr>
        <w:t xml:space="preserve"> (Kainer 2002</w:t>
      </w:r>
      <w:r w:rsidR="00B5365F" w:rsidRPr="00902E61">
        <w:rPr>
          <w:rFonts w:asciiTheme="minorHAnsi" w:hAnsiTheme="minorHAnsi"/>
        </w:rPr>
        <w:t>).</w:t>
      </w:r>
      <w:r w:rsidR="00B5365F" w:rsidRPr="00902E61">
        <w:rPr>
          <w:rStyle w:val="FootnoteReference"/>
          <w:rFonts w:asciiTheme="minorHAnsi" w:hAnsiTheme="minorHAnsi"/>
        </w:rPr>
        <w:footnoteReference w:id="4"/>
      </w:r>
      <w:r w:rsidR="007B4E00" w:rsidRPr="00902E61">
        <w:rPr>
          <w:rFonts w:asciiTheme="minorHAnsi" w:hAnsiTheme="minorHAnsi"/>
        </w:rPr>
        <w:t xml:space="preserve"> </w:t>
      </w:r>
      <w:r w:rsidR="00500F40" w:rsidRPr="00902E61">
        <w:rPr>
          <w:rFonts w:asciiTheme="minorHAnsi" w:hAnsiTheme="minorHAnsi"/>
        </w:rPr>
        <w:t>In the context of the health care industry</w:t>
      </w:r>
      <w:r w:rsidR="006D104C" w:rsidRPr="00902E61">
        <w:rPr>
          <w:rFonts w:asciiTheme="minorHAnsi" w:hAnsiTheme="minorHAnsi"/>
        </w:rPr>
        <w:t>, the authority of physicians, specialists, and surgeons, occupations</w:t>
      </w:r>
      <w:r w:rsidR="00500F40" w:rsidRPr="00902E61">
        <w:rPr>
          <w:rFonts w:asciiTheme="minorHAnsi" w:hAnsiTheme="minorHAnsi"/>
        </w:rPr>
        <w:t xml:space="preserve"> </w:t>
      </w:r>
      <w:r w:rsidR="006D104C" w:rsidRPr="00902E61">
        <w:rPr>
          <w:rFonts w:asciiTheme="minorHAnsi" w:hAnsiTheme="minorHAnsi"/>
        </w:rPr>
        <w:t>where men form an above average proportion of workers in a secto</w:t>
      </w:r>
      <w:r w:rsidR="00500F40" w:rsidRPr="00902E61">
        <w:rPr>
          <w:rFonts w:asciiTheme="minorHAnsi" w:hAnsiTheme="minorHAnsi"/>
        </w:rPr>
        <w:t xml:space="preserve">r largely dominated by women, is understood to be both “justified and required </w:t>
      </w:r>
      <w:r w:rsidR="006D104C" w:rsidRPr="00902E61">
        <w:rPr>
          <w:rFonts w:asciiTheme="minorHAnsi" w:hAnsiTheme="minorHAnsi"/>
        </w:rPr>
        <w:t>in order to ensure effective diagnosis, treatment and cure</w:t>
      </w:r>
      <w:r w:rsidR="001309DB" w:rsidRPr="00902E61">
        <w:rPr>
          <w:rFonts w:asciiTheme="minorHAnsi" w:hAnsiTheme="minorHAnsi"/>
        </w:rPr>
        <w:t>” (Armstrong, Laxer, and Armstrong 2007).</w:t>
      </w:r>
      <w:r w:rsidR="001309DB" w:rsidRPr="00902E61">
        <w:rPr>
          <w:rStyle w:val="FootnoteReference"/>
          <w:rFonts w:asciiTheme="minorHAnsi" w:hAnsiTheme="minorHAnsi"/>
        </w:rPr>
        <w:footnoteReference w:id="5"/>
      </w:r>
      <w:r w:rsidR="001309DB" w:rsidRPr="00902E61">
        <w:rPr>
          <w:rFonts w:asciiTheme="minorHAnsi" w:hAnsiTheme="minorHAnsi"/>
        </w:rPr>
        <w:t xml:space="preserve"> This hierarchy, however, and its associated </w:t>
      </w:r>
      <w:r w:rsidR="001309DB" w:rsidRPr="00902E61">
        <w:rPr>
          <w:rFonts w:asciiTheme="minorHAnsi" w:hAnsiTheme="minorHAnsi"/>
        </w:rPr>
        <w:lastRenderedPageBreak/>
        <w:t>gaps in compensation</w:t>
      </w:r>
      <w:r w:rsidR="00B05BEE" w:rsidRPr="00902E61">
        <w:rPr>
          <w:rFonts w:asciiTheme="minorHAnsi" w:hAnsiTheme="minorHAnsi"/>
        </w:rPr>
        <w:t>,</w:t>
      </w:r>
      <w:r w:rsidR="00617FFC" w:rsidRPr="00902E61">
        <w:rPr>
          <w:rFonts w:asciiTheme="minorHAnsi" w:hAnsiTheme="minorHAnsi"/>
        </w:rPr>
        <w:t xml:space="preserve"> </w:t>
      </w:r>
      <w:r w:rsidR="009E5D66" w:rsidRPr="00902E61">
        <w:rPr>
          <w:rFonts w:asciiTheme="minorHAnsi" w:hAnsiTheme="minorHAnsi"/>
        </w:rPr>
        <w:t>provides</w:t>
      </w:r>
      <w:r w:rsidR="00617FFC" w:rsidRPr="00902E61">
        <w:rPr>
          <w:rFonts w:asciiTheme="minorHAnsi" w:hAnsiTheme="minorHAnsi"/>
        </w:rPr>
        <w:t xml:space="preserve"> </w:t>
      </w:r>
      <w:r w:rsidR="009E5D66" w:rsidRPr="00902E61">
        <w:rPr>
          <w:rFonts w:asciiTheme="minorHAnsi" w:hAnsiTheme="minorHAnsi"/>
        </w:rPr>
        <w:t xml:space="preserve">certain </w:t>
      </w:r>
      <w:r w:rsidR="006838FB" w:rsidRPr="00902E61">
        <w:rPr>
          <w:rFonts w:asciiTheme="minorHAnsi" w:hAnsiTheme="minorHAnsi"/>
        </w:rPr>
        <w:t xml:space="preserve">and disproportionate </w:t>
      </w:r>
      <w:r w:rsidR="009E5D66" w:rsidRPr="00902E61">
        <w:rPr>
          <w:rFonts w:asciiTheme="minorHAnsi" w:hAnsiTheme="minorHAnsi"/>
        </w:rPr>
        <w:t xml:space="preserve">economic </w:t>
      </w:r>
      <w:r w:rsidR="00B05BEE" w:rsidRPr="00902E61">
        <w:rPr>
          <w:rFonts w:asciiTheme="minorHAnsi" w:hAnsiTheme="minorHAnsi"/>
        </w:rPr>
        <w:t>benefit</w:t>
      </w:r>
      <w:r w:rsidR="00617FFC" w:rsidRPr="00902E61">
        <w:rPr>
          <w:rFonts w:asciiTheme="minorHAnsi" w:hAnsiTheme="minorHAnsi"/>
        </w:rPr>
        <w:t>s</w:t>
      </w:r>
      <w:r w:rsidR="009E5D66" w:rsidRPr="00902E61">
        <w:rPr>
          <w:rFonts w:asciiTheme="minorHAnsi" w:hAnsiTheme="minorHAnsi"/>
        </w:rPr>
        <w:t xml:space="preserve"> to</w:t>
      </w:r>
      <w:r w:rsidR="001309DB" w:rsidRPr="00902E61">
        <w:rPr>
          <w:rFonts w:asciiTheme="minorHAnsi" w:hAnsiTheme="minorHAnsi"/>
        </w:rPr>
        <w:t xml:space="preserve"> physicians</w:t>
      </w:r>
      <w:r w:rsidR="00F46AF3">
        <w:rPr>
          <w:rFonts w:asciiTheme="minorHAnsi" w:hAnsiTheme="minorHAnsi"/>
        </w:rPr>
        <w:t xml:space="preserve">, surgeons, and specialists, </w:t>
      </w:r>
      <w:r w:rsidR="009E5D66" w:rsidRPr="00902E61">
        <w:rPr>
          <w:rFonts w:asciiTheme="minorHAnsi" w:hAnsiTheme="minorHAnsi"/>
        </w:rPr>
        <w:t>and c</w:t>
      </w:r>
      <w:r w:rsidR="00F46AF3">
        <w:rPr>
          <w:rFonts w:asciiTheme="minorHAnsi" w:hAnsiTheme="minorHAnsi"/>
        </w:rPr>
        <w:t>annot be disassociated from these workers’</w:t>
      </w:r>
      <w:r w:rsidR="009E5D66" w:rsidRPr="00902E61">
        <w:rPr>
          <w:rFonts w:asciiTheme="minorHAnsi" w:hAnsiTheme="minorHAnsi"/>
        </w:rPr>
        <w:t xml:space="preserve"> material interests</w:t>
      </w:r>
      <w:r w:rsidR="00B05BEE" w:rsidRPr="00902E61">
        <w:rPr>
          <w:rFonts w:asciiTheme="minorHAnsi" w:hAnsiTheme="minorHAnsi"/>
        </w:rPr>
        <w:t>.</w:t>
      </w:r>
      <w:r w:rsidR="006D104C" w:rsidRPr="00902E61">
        <w:rPr>
          <w:rFonts w:asciiTheme="minorHAnsi" w:hAnsiTheme="minorHAnsi"/>
        </w:rPr>
        <w:t xml:space="preserve"> </w:t>
      </w:r>
      <w:r w:rsidR="009E5D66" w:rsidRPr="00902E61">
        <w:rPr>
          <w:rFonts w:asciiTheme="minorHAnsi" w:hAnsiTheme="minorHAnsi"/>
        </w:rPr>
        <w:t xml:space="preserve">Drawing on these </w:t>
      </w:r>
      <w:r w:rsidR="00655441" w:rsidRPr="00902E61">
        <w:rPr>
          <w:rFonts w:asciiTheme="minorHAnsi" w:hAnsiTheme="minorHAnsi"/>
        </w:rPr>
        <w:t>theoretical i</w:t>
      </w:r>
      <w:r w:rsidR="006B239A" w:rsidRPr="00902E61">
        <w:rPr>
          <w:rFonts w:asciiTheme="minorHAnsi" w:hAnsiTheme="minorHAnsi"/>
        </w:rPr>
        <w:t>nsights</w:t>
      </w:r>
      <w:r w:rsidR="009E5D66" w:rsidRPr="00902E61">
        <w:rPr>
          <w:rFonts w:asciiTheme="minorHAnsi" w:hAnsiTheme="minorHAnsi"/>
        </w:rPr>
        <w:t xml:space="preserve">, </w:t>
      </w:r>
      <w:r w:rsidR="002162CA" w:rsidRPr="00902E61">
        <w:rPr>
          <w:rFonts w:asciiTheme="minorHAnsi" w:hAnsiTheme="minorHAnsi"/>
        </w:rPr>
        <w:t>and with attention to this hierarchy that characterizes Ontario’s health care industry, this</w:t>
      </w:r>
      <w:r w:rsidR="009E5D66" w:rsidRPr="00902E61">
        <w:rPr>
          <w:rFonts w:asciiTheme="minorHAnsi" w:hAnsiTheme="minorHAnsi"/>
        </w:rPr>
        <w:t xml:space="preserve"> paper </w:t>
      </w:r>
      <w:r w:rsidR="006B239A" w:rsidRPr="00902E61">
        <w:rPr>
          <w:rFonts w:asciiTheme="minorHAnsi" w:hAnsiTheme="minorHAnsi"/>
        </w:rPr>
        <w:t>interrogate</w:t>
      </w:r>
      <w:r w:rsidR="00250511" w:rsidRPr="00902E61">
        <w:rPr>
          <w:rFonts w:asciiTheme="minorHAnsi" w:hAnsiTheme="minorHAnsi"/>
        </w:rPr>
        <w:t>s</w:t>
      </w:r>
      <w:r w:rsidR="006B239A" w:rsidRPr="00902E61">
        <w:rPr>
          <w:rFonts w:asciiTheme="minorHAnsi" w:hAnsiTheme="minorHAnsi"/>
        </w:rPr>
        <w:t xml:space="preserve"> </w:t>
      </w:r>
      <w:r w:rsidR="00250511" w:rsidRPr="00902E61">
        <w:rPr>
          <w:rFonts w:asciiTheme="minorHAnsi" w:hAnsiTheme="minorHAnsi"/>
        </w:rPr>
        <w:t xml:space="preserve">the </w:t>
      </w:r>
      <w:r w:rsidR="006B239A" w:rsidRPr="00902E61">
        <w:rPr>
          <w:rFonts w:asciiTheme="minorHAnsi" w:hAnsiTheme="minorHAnsi"/>
        </w:rPr>
        <w:t xml:space="preserve">fraught relationship </w:t>
      </w:r>
      <w:r w:rsidR="00250511" w:rsidRPr="00902E61">
        <w:rPr>
          <w:rFonts w:asciiTheme="minorHAnsi" w:hAnsiTheme="minorHAnsi"/>
        </w:rPr>
        <w:t>between midwives and</w:t>
      </w:r>
      <w:r w:rsidR="006B239A" w:rsidRPr="00902E61">
        <w:rPr>
          <w:rFonts w:asciiTheme="minorHAnsi" w:hAnsiTheme="minorHAnsi"/>
        </w:rPr>
        <w:t xml:space="preserve"> t</w:t>
      </w:r>
      <w:r w:rsidR="002162CA" w:rsidRPr="00902E61">
        <w:rPr>
          <w:rFonts w:asciiTheme="minorHAnsi" w:hAnsiTheme="minorHAnsi"/>
        </w:rPr>
        <w:t xml:space="preserve">heir single employer, the MOHLTC. </w:t>
      </w:r>
      <w:r w:rsidR="006B239A" w:rsidRPr="00902E61">
        <w:rPr>
          <w:rFonts w:asciiTheme="minorHAnsi" w:hAnsiTheme="minorHAnsi"/>
        </w:rPr>
        <w:t xml:space="preserve"> </w:t>
      </w:r>
    </w:p>
    <w:p w14:paraId="7D55D8D2" w14:textId="45A61792" w:rsidR="003E4158" w:rsidRPr="00902E61" w:rsidRDefault="00173057" w:rsidP="007F5AE7">
      <w:pPr>
        <w:spacing w:line="480" w:lineRule="auto"/>
        <w:ind w:firstLine="720"/>
        <w:rPr>
          <w:rFonts w:asciiTheme="minorHAnsi" w:hAnsiTheme="minorHAnsi"/>
        </w:rPr>
      </w:pPr>
      <w:r w:rsidRPr="00902E61">
        <w:rPr>
          <w:rFonts w:asciiTheme="minorHAnsi" w:hAnsiTheme="minorHAnsi"/>
        </w:rPr>
        <w:t>As a</w:t>
      </w:r>
      <w:r w:rsidR="004B517A" w:rsidRPr="00902E61">
        <w:rPr>
          <w:rFonts w:asciiTheme="minorHAnsi" w:hAnsiTheme="minorHAnsi"/>
        </w:rPr>
        <w:t xml:space="preserve"> leg</w:t>
      </w:r>
      <w:r w:rsidR="00002120" w:rsidRPr="00902E61">
        <w:rPr>
          <w:rFonts w:asciiTheme="minorHAnsi" w:hAnsiTheme="minorHAnsi"/>
        </w:rPr>
        <w:t>is</w:t>
      </w:r>
      <w:r w:rsidR="004B517A" w:rsidRPr="00902E61">
        <w:rPr>
          <w:rFonts w:asciiTheme="minorHAnsi" w:hAnsiTheme="minorHAnsi"/>
        </w:rPr>
        <w:t xml:space="preserve">lative </w:t>
      </w:r>
      <w:r w:rsidR="00446681" w:rsidRPr="00902E61">
        <w:rPr>
          <w:rFonts w:asciiTheme="minorHAnsi" w:hAnsiTheme="minorHAnsi"/>
        </w:rPr>
        <w:t>in</w:t>
      </w:r>
      <w:r w:rsidR="00002120" w:rsidRPr="00902E61">
        <w:rPr>
          <w:rFonts w:asciiTheme="minorHAnsi" w:hAnsiTheme="minorHAnsi"/>
        </w:rPr>
        <w:t>it</w:t>
      </w:r>
      <w:r w:rsidR="00446681" w:rsidRPr="00902E61">
        <w:rPr>
          <w:rFonts w:asciiTheme="minorHAnsi" w:hAnsiTheme="minorHAnsi"/>
        </w:rPr>
        <w:t>i</w:t>
      </w:r>
      <w:r w:rsidR="00002120" w:rsidRPr="00902E61">
        <w:rPr>
          <w:rFonts w:asciiTheme="minorHAnsi" w:hAnsiTheme="minorHAnsi"/>
        </w:rPr>
        <w:t>ative</w:t>
      </w:r>
      <w:r w:rsidRPr="00902E61">
        <w:rPr>
          <w:rFonts w:asciiTheme="minorHAnsi" w:hAnsiTheme="minorHAnsi"/>
        </w:rPr>
        <w:t>, pay equity aims</w:t>
      </w:r>
      <w:r w:rsidR="004B517A" w:rsidRPr="00902E61">
        <w:rPr>
          <w:rFonts w:asciiTheme="minorHAnsi" w:hAnsiTheme="minorHAnsi"/>
        </w:rPr>
        <w:t xml:space="preserve"> </w:t>
      </w:r>
      <w:r w:rsidRPr="00902E61">
        <w:rPr>
          <w:rFonts w:asciiTheme="minorHAnsi" w:hAnsiTheme="minorHAnsi"/>
        </w:rPr>
        <w:t>to</w:t>
      </w:r>
      <w:r w:rsidR="003B43D0" w:rsidRPr="00902E61">
        <w:rPr>
          <w:rFonts w:asciiTheme="minorHAnsi" w:hAnsiTheme="minorHAnsi"/>
        </w:rPr>
        <w:t xml:space="preserve"> challenge </w:t>
      </w:r>
      <w:r w:rsidR="002D74E2" w:rsidRPr="00902E61">
        <w:rPr>
          <w:rFonts w:asciiTheme="minorHAnsi" w:hAnsiTheme="minorHAnsi"/>
        </w:rPr>
        <w:t xml:space="preserve">the </w:t>
      </w:r>
      <w:r w:rsidR="00257DEB" w:rsidRPr="00902E61">
        <w:rPr>
          <w:rFonts w:asciiTheme="minorHAnsi" w:hAnsiTheme="minorHAnsi"/>
        </w:rPr>
        <w:t>contemporary ideal of the abstract worker, a supposedly gender neutral and unencumbered individual without “o</w:t>
      </w:r>
      <w:r w:rsidR="00F93496" w:rsidRPr="00902E61">
        <w:rPr>
          <w:rFonts w:asciiTheme="minorHAnsi" w:hAnsiTheme="minorHAnsi"/>
        </w:rPr>
        <w:t>bligations outside the workplace” (Acker 2012, p. 218</w:t>
      </w:r>
      <w:r w:rsidR="003E4158" w:rsidRPr="00902E61">
        <w:rPr>
          <w:rFonts w:asciiTheme="minorHAnsi" w:hAnsiTheme="minorHAnsi"/>
        </w:rPr>
        <w:t>).</w:t>
      </w:r>
      <w:r w:rsidR="00F93496" w:rsidRPr="00902E61">
        <w:rPr>
          <w:rFonts w:asciiTheme="minorHAnsi" w:hAnsiTheme="minorHAnsi"/>
        </w:rPr>
        <w:t xml:space="preserve"> </w:t>
      </w:r>
      <w:r w:rsidR="003E4158" w:rsidRPr="00902E61">
        <w:rPr>
          <w:rFonts w:asciiTheme="minorHAnsi" w:hAnsiTheme="minorHAnsi"/>
        </w:rPr>
        <w:t>Despite the erosion of the male breadwinner/female</w:t>
      </w:r>
      <w:r w:rsidR="002D74E2" w:rsidRPr="00902E61">
        <w:rPr>
          <w:rFonts w:asciiTheme="minorHAnsi" w:hAnsiTheme="minorHAnsi"/>
        </w:rPr>
        <w:t xml:space="preserve"> caregiver gender contract</w:t>
      </w:r>
      <w:r w:rsidRPr="00902E61">
        <w:rPr>
          <w:rFonts w:asciiTheme="minorHAnsi" w:hAnsiTheme="minorHAnsi"/>
        </w:rPr>
        <w:t xml:space="preserve">, which </w:t>
      </w:r>
      <w:r w:rsidR="006838FB" w:rsidRPr="00902E61">
        <w:rPr>
          <w:rFonts w:asciiTheme="minorHAnsi" w:hAnsiTheme="minorHAnsi"/>
        </w:rPr>
        <w:t>prevailed as</w:t>
      </w:r>
      <w:r w:rsidR="00446681" w:rsidRPr="00902E61">
        <w:rPr>
          <w:rFonts w:asciiTheme="minorHAnsi" w:hAnsiTheme="minorHAnsi"/>
        </w:rPr>
        <w:t xml:space="preserve"> part of a class compromise during the height of the welfare state </w:t>
      </w:r>
      <w:r w:rsidR="0004420C" w:rsidRPr="00902E61">
        <w:rPr>
          <w:rFonts w:asciiTheme="minorHAnsi" w:hAnsiTheme="minorHAnsi"/>
        </w:rPr>
        <w:t>in</w:t>
      </w:r>
      <w:r w:rsidR="00446681" w:rsidRPr="00902E61">
        <w:rPr>
          <w:rFonts w:asciiTheme="minorHAnsi" w:hAnsiTheme="minorHAnsi"/>
        </w:rPr>
        <w:t xml:space="preserve"> post-WWII-era industrial capitalist countries</w:t>
      </w:r>
      <w:r w:rsidR="006838FB" w:rsidRPr="00902E61">
        <w:rPr>
          <w:rFonts w:asciiTheme="minorHAnsi" w:hAnsiTheme="minorHAnsi"/>
        </w:rPr>
        <w:t xml:space="preserve"> (</w:t>
      </w:r>
      <w:r w:rsidR="001714C0" w:rsidRPr="00902E61">
        <w:rPr>
          <w:rFonts w:asciiTheme="minorHAnsi" w:hAnsiTheme="minorHAnsi"/>
        </w:rPr>
        <w:t>Acker 1988</w:t>
      </w:r>
      <w:r w:rsidR="006838FB" w:rsidRPr="00902E61">
        <w:rPr>
          <w:rFonts w:asciiTheme="minorHAnsi" w:hAnsiTheme="minorHAnsi"/>
        </w:rPr>
        <w:t xml:space="preserve">), and which primarily benefitted white </w:t>
      </w:r>
      <w:r w:rsidR="005F224C" w:rsidRPr="00902E61">
        <w:rPr>
          <w:rFonts w:asciiTheme="minorHAnsi" w:hAnsiTheme="minorHAnsi"/>
        </w:rPr>
        <w:t xml:space="preserve">blue-collar and male workers </w:t>
      </w:r>
      <w:r w:rsidR="006838FB" w:rsidRPr="00902E61">
        <w:rPr>
          <w:rFonts w:asciiTheme="minorHAnsi" w:hAnsiTheme="minorHAnsi"/>
        </w:rPr>
        <w:t>(Quadagno</w:t>
      </w:r>
      <w:r w:rsidR="001714C0" w:rsidRPr="00902E61">
        <w:rPr>
          <w:rFonts w:asciiTheme="minorHAnsi" w:hAnsiTheme="minorHAnsi"/>
        </w:rPr>
        <w:t xml:space="preserve"> 1994)</w:t>
      </w:r>
      <w:r w:rsidR="005F224C" w:rsidRPr="00902E61">
        <w:rPr>
          <w:rFonts w:asciiTheme="minorHAnsi" w:hAnsiTheme="minorHAnsi"/>
        </w:rPr>
        <w:t>,</w:t>
      </w:r>
      <w:r w:rsidR="006838FB" w:rsidRPr="00902E61">
        <w:rPr>
          <w:rFonts w:asciiTheme="minorHAnsi" w:hAnsiTheme="minorHAnsi"/>
        </w:rPr>
        <w:t xml:space="preserve"> </w:t>
      </w:r>
      <w:r w:rsidR="00F93496" w:rsidRPr="00902E61">
        <w:rPr>
          <w:rFonts w:asciiTheme="minorHAnsi" w:hAnsiTheme="minorHAnsi"/>
        </w:rPr>
        <w:t xml:space="preserve">labour and employment policies </w:t>
      </w:r>
      <w:r w:rsidR="002B53E3" w:rsidRPr="00902E61">
        <w:rPr>
          <w:rFonts w:asciiTheme="minorHAnsi" w:hAnsiTheme="minorHAnsi"/>
        </w:rPr>
        <w:t>often still</w:t>
      </w:r>
      <w:r w:rsidR="003E4158" w:rsidRPr="00902E61">
        <w:rPr>
          <w:rFonts w:asciiTheme="minorHAnsi" w:hAnsiTheme="minorHAnsi"/>
        </w:rPr>
        <w:t xml:space="preserve"> </w:t>
      </w:r>
      <w:r w:rsidR="00F93496" w:rsidRPr="00902E61">
        <w:rPr>
          <w:rFonts w:asciiTheme="minorHAnsi" w:hAnsiTheme="minorHAnsi"/>
        </w:rPr>
        <w:t xml:space="preserve">assume </w:t>
      </w:r>
      <w:r w:rsidR="00002120" w:rsidRPr="00902E61">
        <w:rPr>
          <w:rFonts w:asciiTheme="minorHAnsi" w:hAnsiTheme="minorHAnsi"/>
        </w:rPr>
        <w:t xml:space="preserve">an unburdened </w:t>
      </w:r>
      <w:r w:rsidR="003E4158" w:rsidRPr="00902E61">
        <w:rPr>
          <w:rFonts w:asciiTheme="minorHAnsi" w:hAnsiTheme="minorHAnsi"/>
        </w:rPr>
        <w:t>full-time, permanent worker with</w:t>
      </w:r>
      <w:r w:rsidR="00DE6417" w:rsidRPr="00902E61">
        <w:rPr>
          <w:rFonts w:asciiTheme="minorHAnsi" w:hAnsiTheme="minorHAnsi"/>
        </w:rPr>
        <w:t xml:space="preserve"> a single employer and</w:t>
      </w:r>
      <w:r w:rsidR="003E4158" w:rsidRPr="00902E61">
        <w:rPr>
          <w:rFonts w:asciiTheme="minorHAnsi" w:hAnsiTheme="minorHAnsi"/>
        </w:rPr>
        <w:t xml:space="preserve"> regular working hours </w:t>
      </w:r>
      <w:r w:rsidR="00F93496" w:rsidRPr="00902E61">
        <w:rPr>
          <w:rFonts w:asciiTheme="minorHAnsi" w:hAnsiTheme="minorHAnsi"/>
        </w:rPr>
        <w:t>(</w:t>
      </w:r>
      <w:r w:rsidR="00DE6417" w:rsidRPr="00902E61">
        <w:rPr>
          <w:rFonts w:asciiTheme="minorHAnsi" w:hAnsiTheme="minorHAnsi"/>
        </w:rPr>
        <w:t xml:space="preserve">also known as the standard employment relationship (SER); see </w:t>
      </w:r>
      <w:r w:rsidR="00F93496" w:rsidRPr="00902E61">
        <w:rPr>
          <w:rFonts w:asciiTheme="minorHAnsi" w:hAnsiTheme="minorHAnsi"/>
        </w:rPr>
        <w:t xml:space="preserve">Vosko 2010). </w:t>
      </w:r>
      <w:r w:rsidR="00FD7199" w:rsidRPr="00902E61">
        <w:rPr>
          <w:rFonts w:asciiTheme="minorHAnsi" w:hAnsiTheme="minorHAnsi"/>
        </w:rPr>
        <w:t xml:space="preserve">This tendency </w:t>
      </w:r>
      <w:r w:rsidRPr="00902E61">
        <w:rPr>
          <w:rFonts w:asciiTheme="minorHAnsi" w:hAnsiTheme="minorHAnsi"/>
        </w:rPr>
        <w:t xml:space="preserve">upholds </w:t>
      </w:r>
      <w:r w:rsidR="003E4158" w:rsidRPr="00902E61">
        <w:rPr>
          <w:rFonts w:asciiTheme="minorHAnsi" w:hAnsiTheme="minorHAnsi"/>
        </w:rPr>
        <w:t xml:space="preserve">the long-standing structural </w:t>
      </w:r>
      <w:r w:rsidR="006E1945" w:rsidRPr="00902E61">
        <w:rPr>
          <w:rFonts w:asciiTheme="minorHAnsi" w:hAnsiTheme="minorHAnsi"/>
        </w:rPr>
        <w:t xml:space="preserve">and gendered </w:t>
      </w:r>
      <w:r w:rsidR="003E4158" w:rsidRPr="00902E61">
        <w:rPr>
          <w:rFonts w:asciiTheme="minorHAnsi" w:hAnsiTheme="minorHAnsi"/>
        </w:rPr>
        <w:t>separation of the workplace and the domestic space</w:t>
      </w:r>
      <w:r w:rsidR="00FD7199" w:rsidRPr="00902E61">
        <w:rPr>
          <w:rFonts w:asciiTheme="minorHAnsi" w:hAnsiTheme="minorHAnsi"/>
        </w:rPr>
        <w:t>,</w:t>
      </w:r>
      <w:r w:rsidRPr="00902E61">
        <w:rPr>
          <w:rFonts w:asciiTheme="minorHAnsi" w:hAnsiTheme="minorHAnsi"/>
        </w:rPr>
        <w:t xml:space="preserve"> </w:t>
      </w:r>
      <w:r w:rsidR="00FD7199" w:rsidRPr="00902E61">
        <w:rPr>
          <w:rFonts w:asciiTheme="minorHAnsi" w:hAnsiTheme="minorHAnsi"/>
        </w:rPr>
        <w:t xml:space="preserve">casting </w:t>
      </w:r>
      <w:r w:rsidR="003E4158" w:rsidRPr="00902E61">
        <w:rPr>
          <w:rFonts w:asciiTheme="minorHAnsi" w:hAnsiTheme="minorHAnsi"/>
        </w:rPr>
        <w:t>activities integral to social reproduction as marginal to the paid labour market</w:t>
      </w:r>
      <w:r w:rsidR="00002120" w:rsidRPr="00902E61">
        <w:rPr>
          <w:rFonts w:asciiTheme="minorHAnsi" w:hAnsiTheme="minorHAnsi"/>
        </w:rPr>
        <w:t xml:space="preserve"> (Acker 2012)</w:t>
      </w:r>
      <w:r w:rsidR="00802CD1" w:rsidRPr="00902E61">
        <w:rPr>
          <w:rFonts w:asciiTheme="minorHAnsi" w:hAnsiTheme="minorHAnsi"/>
        </w:rPr>
        <w:t xml:space="preserve">; </w:t>
      </w:r>
      <w:r w:rsidR="00FD7199" w:rsidRPr="00902E61">
        <w:rPr>
          <w:rFonts w:asciiTheme="minorHAnsi" w:hAnsiTheme="minorHAnsi"/>
        </w:rPr>
        <w:t xml:space="preserve">it also </w:t>
      </w:r>
      <w:r w:rsidR="00802CD1" w:rsidRPr="00902E61">
        <w:rPr>
          <w:rFonts w:asciiTheme="minorHAnsi" w:hAnsiTheme="minorHAnsi"/>
        </w:rPr>
        <w:t>legitimizes the vulnerability of many workers engaged in employment that falls outside of this model (Fudge &amp; Vosko 2001)</w:t>
      </w:r>
      <w:r w:rsidR="003E4158" w:rsidRPr="00902E61">
        <w:rPr>
          <w:rFonts w:asciiTheme="minorHAnsi" w:hAnsiTheme="minorHAnsi"/>
        </w:rPr>
        <w:t xml:space="preserve">. </w:t>
      </w:r>
      <w:r w:rsidR="007C7506" w:rsidRPr="00902E61">
        <w:rPr>
          <w:rFonts w:asciiTheme="minorHAnsi" w:hAnsiTheme="minorHAnsi"/>
        </w:rPr>
        <w:t>Acknowledg</w:t>
      </w:r>
      <w:r w:rsidR="00002120" w:rsidRPr="00902E61">
        <w:rPr>
          <w:rFonts w:asciiTheme="minorHAnsi" w:hAnsiTheme="minorHAnsi"/>
        </w:rPr>
        <w:t xml:space="preserve">ing the value of </w:t>
      </w:r>
      <w:r w:rsidR="003E4158" w:rsidRPr="00902E61">
        <w:rPr>
          <w:rFonts w:asciiTheme="minorHAnsi" w:hAnsiTheme="minorHAnsi"/>
        </w:rPr>
        <w:t xml:space="preserve">the work that women do within and outside of the paid labour market, and decentring </w:t>
      </w:r>
      <w:r w:rsidR="006E1945" w:rsidRPr="00902E61">
        <w:rPr>
          <w:rFonts w:asciiTheme="minorHAnsi" w:hAnsiTheme="minorHAnsi"/>
        </w:rPr>
        <w:t xml:space="preserve">the </w:t>
      </w:r>
      <w:r w:rsidR="006838FB" w:rsidRPr="00902E61">
        <w:rPr>
          <w:rFonts w:asciiTheme="minorHAnsi" w:hAnsiTheme="minorHAnsi"/>
        </w:rPr>
        <w:t xml:space="preserve">norms that disproportionately benefit the interests of already dominant workers, managers, and employers </w:t>
      </w:r>
      <w:r w:rsidR="006E1945" w:rsidRPr="00902E61">
        <w:rPr>
          <w:rFonts w:asciiTheme="minorHAnsi" w:hAnsiTheme="minorHAnsi"/>
        </w:rPr>
        <w:t>when</w:t>
      </w:r>
      <w:r w:rsidR="003E4158" w:rsidRPr="00902E61">
        <w:rPr>
          <w:rFonts w:asciiTheme="minorHAnsi" w:hAnsiTheme="minorHAnsi"/>
        </w:rPr>
        <w:t xml:space="preserve"> measuring </w:t>
      </w:r>
      <w:r w:rsidR="007C7506" w:rsidRPr="00902E61">
        <w:rPr>
          <w:rFonts w:asciiTheme="minorHAnsi" w:hAnsiTheme="minorHAnsi"/>
        </w:rPr>
        <w:t xml:space="preserve">this </w:t>
      </w:r>
      <w:r w:rsidR="003E4158" w:rsidRPr="00902E61">
        <w:rPr>
          <w:rFonts w:asciiTheme="minorHAnsi" w:hAnsiTheme="minorHAnsi"/>
        </w:rPr>
        <w:t>value,</w:t>
      </w:r>
      <w:r w:rsidR="007C7506" w:rsidRPr="00902E61">
        <w:rPr>
          <w:rFonts w:asciiTheme="minorHAnsi" w:hAnsiTheme="minorHAnsi"/>
        </w:rPr>
        <w:t xml:space="preserve"> </w:t>
      </w:r>
      <w:r w:rsidRPr="00902E61">
        <w:rPr>
          <w:rFonts w:asciiTheme="minorHAnsi" w:hAnsiTheme="minorHAnsi"/>
        </w:rPr>
        <w:t xml:space="preserve">is </w:t>
      </w:r>
      <w:r w:rsidR="006838FB" w:rsidRPr="00902E61">
        <w:rPr>
          <w:rFonts w:asciiTheme="minorHAnsi" w:hAnsiTheme="minorHAnsi"/>
        </w:rPr>
        <w:t xml:space="preserve">thus </w:t>
      </w:r>
      <w:r w:rsidR="007C7506" w:rsidRPr="00902E61">
        <w:rPr>
          <w:rFonts w:asciiTheme="minorHAnsi" w:hAnsiTheme="minorHAnsi"/>
        </w:rPr>
        <w:t>integral to</w:t>
      </w:r>
      <w:r w:rsidR="003E4158" w:rsidRPr="00902E61">
        <w:rPr>
          <w:rFonts w:asciiTheme="minorHAnsi" w:hAnsiTheme="minorHAnsi"/>
        </w:rPr>
        <w:t xml:space="preserve"> rectifying wage-based differentials</w:t>
      </w:r>
      <w:r w:rsidRPr="00902E61">
        <w:rPr>
          <w:rFonts w:asciiTheme="minorHAnsi" w:hAnsiTheme="minorHAnsi"/>
        </w:rPr>
        <w:t xml:space="preserve"> from a pay equity standpoint</w:t>
      </w:r>
      <w:r w:rsidR="003E4158" w:rsidRPr="00902E61">
        <w:rPr>
          <w:rFonts w:asciiTheme="minorHAnsi" w:hAnsiTheme="minorHAnsi"/>
        </w:rPr>
        <w:t xml:space="preserve">. </w:t>
      </w:r>
    </w:p>
    <w:p w14:paraId="54F72151" w14:textId="301BCEA3" w:rsidR="0061555B" w:rsidRPr="00902E61" w:rsidRDefault="006838FB" w:rsidP="00104340">
      <w:pPr>
        <w:spacing w:line="480" w:lineRule="auto"/>
        <w:ind w:firstLine="720"/>
        <w:rPr>
          <w:rFonts w:asciiTheme="minorHAnsi" w:hAnsiTheme="minorHAnsi"/>
        </w:rPr>
      </w:pPr>
      <w:r w:rsidRPr="00902E61">
        <w:rPr>
          <w:rFonts w:asciiTheme="minorHAnsi" w:hAnsiTheme="minorHAnsi"/>
        </w:rPr>
        <w:lastRenderedPageBreak/>
        <w:t xml:space="preserve">But deference to these </w:t>
      </w:r>
      <w:r w:rsidR="00104340" w:rsidRPr="00902E61">
        <w:rPr>
          <w:rFonts w:asciiTheme="minorHAnsi" w:hAnsiTheme="minorHAnsi"/>
        </w:rPr>
        <w:t xml:space="preserve">employment </w:t>
      </w:r>
      <w:r w:rsidRPr="00902E61">
        <w:rPr>
          <w:rFonts w:asciiTheme="minorHAnsi" w:hAnsiTheme="minorHAnsi"/>
        </w:rPr>
        <w:t>norms</w:t>
      </w:r>
      <w:r w:rsidR="00DE6417" w:rsidRPr="00902E61">
        <w:rPr>
          <w:rFonts w:asciiTheme="minorHAnsi" w:hAnsiTheme="minorHAnsi"/>
        </w:rPr>
        <w:t xml:space="preserve"> is not always explicit or obvious. Even policies like pay equity, which attempt to better protect workers who deviate from</w:t>
      </w:r>
      <w:r w:rsidR="00104340" w:rsidRPr="00902E61">
        <w:rPr>
          <w:rFonts w:asciiTheme="minorHAnsi" w:hAnsiTheme="minorHAnsi"/>
        </w:rPr>
        <w:t xml:space="preserve"> a “male</w:t>
      </w:r>
      <w:r w:rsidR="00DE6417" w:rsidRPr="00902E61">
        <w:rPr>
          <w:rFonts w:asciiTheme="minorHAnsi" w:hAnsiTheme="minorHAnsi"/>
        </w:rPr>
        <w:t xml:space="preserve"> </w:t>
      </w:r>
      <w:r w:rsidR="00104340" w:rsidRPr="00902E61">
        <w:rPr>
          <w:rFonts w:asciiTheme="minorHAnsi" w:hAnsiTheme="minorHAnsi"/>
        </w:rPr>
        <w:t xml:space="preserve">standard” </w:t>
      </w:r>
      <w:r w:rsidR="00DE6417" w:rsidRPr="00902E61">
        <w:rPr>
          <w:rFonts w:asciiTheme="minorHAnsi" w:hAnsiTheme="minorHAnsi"/>
        </w:rPr>
        <w:t xml:space="preserve">can inadvertently reinforce </w:t>
      </w:r>
      <w:r w:rsidR="00104340" w:rsidRPr="00902E61">
        <w:rPr>
          <w:rFonts w:asciiTheme="minorHAnsi" w:hAnsiTheme="minorHAnsi"/>
        </w:rPr>
        <w:t>it as</w:t>
      </w:r>
      <w:r w:rsidR="00DE6417" w:rsidRPr="00902E61">
        <w:rPr>
          <w:rFonts w:asciiTheme="minorHAnsi" w:hAnsiTheme="minorHAnsi"/>
        </w:rPr>
        <w:t xml:space="preserve"> the norm. As section three will show, the </w:t>
      </w:r>
      <w:r w:rsidR="00DE6417" w:rsidRPr="00902E61">
        <w:rPr>
          <w:rFonts w:asciiTheme="minorHAnsi" w:hAnsiTheme="minorHAnsi"/>
          <w:i/>
          <w:iCs/>
        </w:rPr>
        <w:t>PEA</w:t>
      </w:r>
      <w:r w:rsidR="00DE6417" w:rsidRPr="00902E61">
        <w:rPr>
          <w:rFonts w:asciiTheme="minorHAnsi" w:hAnsiTheme="minorHAnsi"/>
        </w:rPr>
        <w:t>’s reliance on a comparator-oriented method to measure value</w:t>
      </w:r>
      <w:r w:rsidR="009E5D66" w:rsidRPr="00902E61">
        <w:rPr>
          <w:rFonts w:asciiTheme="minorHAnsi" w:hAnsiTheme="minorHAnsi"/>
        </w:rPr>
        <w:t>—</w:t>
      </w:r>
      <w:r w:rsidR="00DE6417" w:rsidRPr="00902E61">
        <w:rPr>
          <w:rFonts w:asciiTheme="minorHAnsi" w:hAnsiTheme="minorHAnsi"/>
        </w:rPr>
        <w:t>job evaluation</w:t>
      </w:r>
      <w:r w:rsidR="009E5D66" w:rsidRPr="00902E61">
        <w:rPr>
          <w:rFonts w:asciiTheme="minorHAnsi" w:hAnsiTheme="minorHAnsi"/>
        </w:rPr>
        <w:t>—</w:t>
      </w:r>
      <w:r w:rsidR="00DE6417" w:rsidRPr="00902E61">
        <w:rPr>
          <w:rFonts w:asciiTheme="minorHAnsi" w:hAnsiTheme="minorHAnsi"/>
        </w:rPr>
        <w:t xml:space="preserve">not only reproduces existing occupational hierarchies, but can also intensify differences in compensation and other conditions of employment. </w:t>
      </w:r>
    </w:p>
    <w:p w14:paraId="0CFC3219" w14:textId="77777777" w:rsidR="00104340" w:rsidRPr="00902E61" w:rsidRDefault="00104340" w:rsidP="007F5AE7">
      <w:pPr>
        <w:spacing w:line="480" w:lineRule="auto"/>
        <w:outlineLvl w:val="0"/>
        <w:rPr>
          <w:rFonts w:asciiTheme="minorHAnsi" w:hAnsiTheme="minorHAnsi"/>
        </w:rPr>
      </w:pPr>
    </w:p>
    <w:p w14:paraId="0ECD8FD3" w14:textId="7B9676D1" w:rsidR="00073FAB" w:rsidRPr="00902E61" w:rsidRDefault="00104340" w:rsidP="00104340">
      <w:pPr>
        <w:spacing w:line="480" w:lineRule="auto"/>
        <w:outlineLvl w:val="0"/>
        <w:rPr>
          <w:rFonts w:asciiTheme="minorHAnsi" w:hAnsiTheme="minorHAnsi"/>
          <w:b/>
          <w:bCs/>
        </w:rPr>
      </w:pPr>
      <w:r w:rsidRPr="00902E61">
        <w:rPr>
          <w:rFonts w:asciiTheme="minorHAnsi" w:hAnsiTheme="minorHAnsi"/>
          <w:b/>
          <w:bCs/>
        </w:rPr>
        <w:t xml:space="preserve">Section Two: </w:t>
      </w:r>
      <w:r w:rsidR="002B53E3" w:rsidRPr="00902E61">
        <w:rPr>
          <w:rFonts w:asciiTheme="minorHAnsi" w:hAnsiTheme="minorHAnsi"/>
          <w:b/>
          <w:bCs/>
        </w:rPr>
        <w:t xml:space="preserve">Midwives Tenuous Relationship </w:t>
      </w:r>
      <w:r w:rsidR="007C5871" w:rsidRPr="00902E61">
        <w:rPr>
          <w:rFonts w:asciiTheme="minorHAnsi" w:hAnsiTheme="minorHAnsi"/>
          <w:b/>
          <w:bCs/>
        </w:rPr>
        <w:t xml:space="preserve">with </w:t>
      </w:r>
      <w:r w:rsidR="002B53E3" w:rsidRPr="00902E61">
        <w:rPr>
          <w:rFonts w:asciiTheme="minorHAnsi" w:hAnsiTheme="minorHAnsi"/>
          <w:b/>
          <w:bCs/>
        </w:rPr>
        <w:t xml:space="preserve">their Employer, the MOHLTC: Why Midwives are excluded from Ontario’s Proactive Pay Equity Model </w:t>
      </w:r>
    </w:p>
    <w:p w14:paraId="488DDCF2" w14:textId="0306CC14" w:rsidR="00215731" w:rsidRPr="00902E61" w:rsidRDefault="002523E4" w:rsidP="007F5AE7">
      <w:pPr>
        <w:spacing w:line="480" w:lineRule="auto"/>
        <w:rPr>
          <w:rFonts w:asciiTheme="minorHAnsi" w:hAnsiTheme="minorHAnsi"/>
        </w:rPr>
      </w:pPr>
      <w:r w:rsidRPr="00902E61">
        <w:rPr>
          <w:rFonts w:asciiTheme="minorHAnsi" w:hAnsiTheme="minorHAnsi"/>
        </w:rPr>
        <w:t xml:space="preserve">Ontario’s </w:t>
      </w:r>
      <w:r w:rsidR="00215731" w:rsidRPr="00902E61">
        <w:rPr>
          <w:rFonts w:asciiTheme="minorHAnsi" w:hAnsiTheme="minorHAnsi"/>
        </w:rPr>
        <w:t>1987 Pay Equity Act</w:t>
      </w:r>
      <w:r w:rsidRPr="00902E61">
        <w:rPr>
          <w:rFonts w:asciiTheme="minorHAnsi" w:hAnsiTheme="minorHAnsi"/>
        </w:rPr>
        <w:t xml:space="preserve"> is proactive,</w:t>
      </w:r>
      <w:r w:rsidR="009A54C6" w:rsidRPr="00902E61">
        <w:rPr>
          <w:rFonts w:asciiTheme="minorHAnsi" w:hAnsiTheme="minorHAnsi"/>
        </w:rPr>
        <w:t xml:space="preserve"> which means that</w:t>
      </w:r>
      <w:r w:rsidR="00550860" w:rsidRPr="00902E61">
        <w:rPr>
          <w:rFonts w:asciiTheme="minorHAnsi" w:hAnsiTheme="minorHAnsi"/>
        </w:rPr>
        <w:t xml:space="preserve"> rather than putting the onus on workers to identify and complain about particular instances of wage discrimination, it asks employers to collaborate with workers to identify and resist the mechanisms of gender discrimination that exist within a given organization and span the labour market.</w:t>
      </w:r>
      <w:r w:rsidR="00550860" w:rsidRPr="00902E61">
        <w:rPr>
          <w:rFonts w:asciiTheme="minorHAnsi" w:hAnsiTheme="minorHAnsi" w:cstheme="majorBidi"/>
          <w:color w:val="000000"/>
          <w:sz w:val="28"/>
          <w:szCs w:val="28"/>
        </w:rPr>
        <w:t xml:space="preserve"> </w:t>
      </w:r>
      <w:r w:rsidR="00550860" w:rsidRPr="00902E61">
        <w:rPr>
          <w:rFonts w:asciiTheme="minorHAnsi" w:hAnsiTheme="minorHAnsi"/>
        </w:rPr>
        <w:t xml:space="preserve">In addition, unlike equal pay for equal work provisions that limit comparisons to employees who do the same work (and at the same organization), </w:t>
      </w:r>
      <w:r w:rsidR="00215731" w:rsidRPr="00902E61">
        <w:rPr>
          <w:rFonts w:asciiTheme="minorHAnsi" w:hAnsiTheme="minorHAnsi"/>
        </w:rPr>
        <w:t xml:space="preserve">the </w:t>
      </w:r>
      <w:r w:rsidR="00215731" w:rsidRPr="00902E61">
        <w:rPr>
          <w:rFonts w:asciiTheme="minorHAnsi" w:hAnsiTheme="minorHAnsi"/>
          <w:i/>
          <w:iCs/>
        </w:rPr>
        <w:t>PEA</w:t>
      </w:r>
      <w:r w:rsidR="00550860" w:rsidRPr="00902E61">
        <w:rPr>
          <w:rFonts w:asciiTheme="minorHAnsi" w:hAnsiTheme="minorHAnsi"/>
        </w:rPr>
        <w:t xml:space="preserve"> allow</w:t>
      </w:r>
      <w:r w:rsidR="005B3A7E" w:rsidRPr="00902E61">
        <w:rPr>
          <w:rFonts w:asciiTheme="minorHAnsi" w:hAnsiTheme="minorHAnsi"/>
        </w:rPr>
        <w:t>s</w:t>
      </w:r>
      <w:r w:rsidR="00550860" w:rsidRPr="00902E61">
        <w:rPr>
          <w:rFonts w:asciiTheme="minorHAnsi" w:hAnsiTheme="minorHAnsi"/>
        </w:rPr>
        <w:t xml:space="preserve"> for comparisons across occupations and sectors</w:t>
      </w:r>
      <w:r w:rsidR="009A54C6" w:rsidRPr="00902E61">
        <w:rPr>
          <w:rFonts w:asciiTheme="minorHAnsi" w:hAnsiTheme="minorHAnsi"/>
        </w:rPr>
        <w:t xml:space="preserve"> and between workers who may </w:t>
      </w:r>
      <w:r w:rsidR="009A54C6" w:rsidRPr="00902E61">
        <w:rPr>
          <w:rFonts w:asciiTheme="minorHAnsi" w:hAnsiTheme="minorHAnsi" w:cstheme="majorBidi"/>
        </w:rPr>
        <w:t xml:space="preserve">not be engaged in exactly the </w:t>
      </w:r>
      <w:r w:rsidR="009A54C6" w:rsidRPr="00902E61">
        <w:rPr>
          <w:rFonts w:asciiTheme="minorHAnsi" w:hAnsiTheme="minorHAnsi" w:cstheme="majorBidi"/>
          <w:i/>
          <w:iCs/>
        </w:rPr>
        <w:t>same</w:t>
      </w:r>
      <w:r w:rsidR="009A54C6" w:rsidRPr="00902E61">
        <w:rPr>
          <w:rFonts w:asciiTheme="minorHAnsi" w:hAnsiTheme="minorHAnsi" w:cstheme="majorBidi"/>
        </w:rPr>
        <w:t xml:space="preserve"> work but whose skills, efforts, responsibilities, and working conditions are </w:t>
      </w:r>
      <w:r w:rsidR="009A54C6" w:rsidRPr="00902E61">
        <w:rPr>
          <w:rFonts w:asciiTheme="minorHAnsi" w:hAnsiTheme="minorHAnsi" w:cstheme="majorBidi"/>
          <w:i/>
          <w:iCs/>
        </w:rPr>
        <w:t>comparable</w:t>
      </w:r>
      <w:r w:rsidR="009A54C6" w:rsidRPr="00902E61">
        <w:rPr>
          <w:rFonts w:asciiTheme="minorHAnsi" w:hAnsiTheme="minorHAnsi" w:cstheme="majorBidi"/>
        </w:rPr>
        <w:t>.</w:t>
      </w:r>
      <w:r w:rsidR="00215731" w:rsidRPr="00902E61">
        <w:rPr>
          <w:rFonts w:asciiTheme="minorHAnsi" w:hAnsiTheme="minorHAnsi"/>
        </w:rPr>
        <w:t xml:space="preserve"> </w:t>
      </w:r>
    </w:p>
    <w:p w14:paraId="1A3B6C17" w14:textId="34023F32" w:rsidR="00D111BD" w:rsidRPr="00902E61" w:rsidRDefault="00215731" w:rsidP="007F5AE7">
      <w:pPr>
        <w:spacing w:line="480" w:lineRule="auto"/>
        <w:ind w:firstLine="360"/>
        <w:rPr>
          <w:rFonts w:asciiTheme="minorHAnsi" w:hAnsiTheme="minorHAnsi"/>
        </w:rPr>
      </w:pPr>
      <w:r w:rsidRPr="00902E61">
        <w:rPr>
          <w:rFonts w:asciiTheme="minorHAnsi" w:hAnsiTheme="minorHAnsi"/>
        </w:rPr>
        <w:t>A proactive pay equity model that allow</w:t>
      </w:r>
      <w:r w:rsidR="005B3A7E" w:rsidRPr="00902E61">
        <w:rPr>
          <w:rFonts w:asciiTheme="minorHAnsi" w:hAnsiTheme="minorHAnsi"/>
        </w:rPr>
        <w:t>s for comparisons across indust</w:t>
      </w:r>
      <w:r w:rsidRPr="00902E61">
        <w:rPr>
          <w:rFonts w:asciiTheme="minorHAnsi" w:hAnsiTheme="minorHAnsi"/>
        </w:rPr>
        <w:t>r</w:t>
      </w:r>
      <w:r w:rsidR="005B3A7E" w:rsidRPr="00902E61">
        <w:rPr>
          <w:rFonts w:asciiTheme="minorHAnsi" w:hAnsiTheme="minorHAnsi"/>
        </w:rPr>
        <w:t>i</w:t>
      </w:r>
      <w:r w:rsidRPr="00902E61">
        <w:rPr>
          <w:rFonts w:asciiTheme="minorHAnsi" w:hAnsiTheme="minorHAnsi"/>
        </w:rPr>
        <w:t xml:space="preserve">es and sectors would be highly valuable for a group of workers like midwives; as a woman-dominated occupation </w:t>
      </w:r>
      <w:r w:rsidR="005B3A7E" w:rsidRPr="00902E61">
        <w:rPr>
          <w:rFonts w:asciiTheme="minorHAnsi" w:hAnsiTheme="minorHAnsi"/>
        </w:rPr>
        <w:t>providing</w:t>
      </w:r>
      <w:r w:rsidR="001E3FA9" w:rsidRPr="00902E61">
        <w:rPr>
          <w:rFonts w:asciiTheme="minorHAnsi" w:hAnsiTheme="minorHAnsi"/>
        </w:rPr>
        <w:t xml:space="preserve"> patient-led</w:t>
      </w:r>
      <w:r w:rsidR="005B3A7E" w:rsidRPr="00902E61">
        <w:rPr>
          <w:rFonts w:asciiTheme="minorHAnsi" w:hAnsiTheme="minorHAnsi"/>
        </w:rPr>
        <w:t xml:space="preserve"> </w:t>
      </w:r>
      <w:r w:rsidR="001E3FA9" w:rsidRPr="00902E61">
        <w:rPr>
          <w:rFonts w:asciiTheme="minorHAnsi" w:hAnsiTheme="minorHAnsi"/>
        </w:rPr>
        <w:t>maternal and reproductive health care</w:t>
      </w:r>
      <w:r w:rsidR="00D64768" w:rsidRPr="00902E61">
        <w:rPr>
          <w:rFonts w:asciiTheme="minorHAnsi" w:hAnsiTheme="minorHAnsi"/>
        </w:rPr>
        <w:t xml:space="preserve">, midwives </w:t>
      </w:r>
      <w:r w:rsidR="005B3A7E" w:rsidRPr="00902E61">
        <w:rPr>
          <w:rFonts w:asciiTheme="minorHAnsi" w:hAnsiTheme="minorHAnsi"/>
        </w:rPr>
        <w:t xml:space="preserve">1) </w:t>
      </w:r>
      <w:r w:rsidR="001E3FA9" w:rsidRPr="00902E61">
        <w:rPr>
          <w:rFonts w:asciiTheme="minorHAnsi" w:hAnsiTheme="minorHAnsi"/>
        </w:rPr>
        <w:t xml:space="preserve">are </w:t>
      </w:r>
      <w:r w:rsidR="005B3A7E" w:rsidRPr="00902E61">
        <w:rPr>
          <w:rFonts w:asciiTheme="minorHAnsi" w:hAnsiTheme="minorHAnsi"/>
        </w:rPr>
        <w:t xml:space="preserve">already vulnerable and </w:t>
      </w:r>
      <w:r w:rsidR="001E3FA9" w:rsidRPr="00902E61">
        <w:rPr>
          <w:rFonts w:asciiTheme="minorHAnsi" w:hAnsiTheme="minorHAnsi"/>
        </w:rPr>
        <w:t xml:space="preserve">would </w:t>
      </w:r>
      <w:r w:rsidRPr="00902E61">
        <w:rPr>
          <w:rFonts w:asciiTheme="minorHAnsi" w:hAnsiTheme="minorHAnsi"/>
        </w:rPr>
        <w:t>benefit from the burden of responsibility being</w:t>
      </w:r>
      <w:r w:rsidR="005B3A7E" w:rsidRPr="00902E61">
        <w:rPr>
          <w:rFonts w:asciiTheme="minorHAnsi" w:hAnsiTheme="minorHAnsi"/>
        </w:rPr>
        <w:t xml:space="preserve"> placed on</w:t>
      </w:r>
      <w:r w:rsidR="001E3FA9" w:rsidRPr="00902E61">
        <w:rPr>
          <w:rFonts w:asciiTheme="minorHAnsi" w:hAnsiTheme="minorHAnsi"/>
        </w:rPr>
        <w:t xml:space="preserve"> their</w:t>
      </w:r>
      <w:r w:rsidR="005B3A7E" w:rsidRPr="00902E61">
        <w:rPr>
          <w:rFonts w:asciiTheme="minorHAnsi" w:hAnsiTheme="minorHAnsi"/>
        </w:rPr>
        <w:t xml:space="preserve"> employer,</w:t>
      </w:r>
      <w:r w:rsidR="001E3FA9" w:rsidRPr="00902E61">
        <w:rPr>
          <w:rFonts w:asciiTheme="minorHAnsi" w:hAnsiTheme="minorHAnsi"/>
        </w:rPr>
        <w:t xml:space="preserve"> </w:t>
      </w:r>
      <w:r w:rsidR="00EB3FC3" w:rsidRPr="00902E61">
        <w:rPr>
          <w:rFonts w:asciiTheme="minorHAnsi" w:hAnsiTheme="minorHAnsi"/>
        </w:rPr>
        <w:t>t</w:t>
      </w:r>
      <w:r w:rsidR="00D64768" w:rsidRPr="00902E61">
        <w:rPr>
          <w:rFonts w:asciiTheme="minorHAnsi" w:hAnsiTheme="minorHAnsi"/>
        </w:rPr>
        <w:t>he M</w:t>
      </w:r>
      <w:r w:rsidR="00902E61">
        <w:rPr>
          <w:rFonts w:asciiTheme="minorHAnsi" w:hAnsiTheme="minorHAnsi"/>
        </w:rPr>
        <w:t>O</w:t>
      </w:r>
      <w:r w:rsidR="00EB3FC3" w:rsidRPr="00902E61">
        <w:rPr>
          <w:rFonts w:asciiTheme="minorHAnsi" w:hAnsiTheme="minorHAnsi"/>
        </w:rPr>
        <w:t>HLTC</w:t>
      </w:r>
      <w:r w:rsidR="00250511" w:rsidRPr="00902E61">
        <w:rPr>
          <w:rFonts w:asciiTheme="minorHAnsi" w:hAnsiTheme="minorHAnsi"/>
        </w:rPr>
        <w:t>;</w:t>
      </w:r>
      <w:r w:rsidR="005B3A7E" w:rsidRPr="00902E61">
        <w:rPr>
          <w:rFonts w:asciiTheme="minorHAnsi" w:hAnsiTheme="minorHAnsi"/>
        </w:rPr>
        <w:t xml:space="preserve"> and 2) </w:t>
      </w:r>
      <w:r w:rsidR="008958A9" w:rsidRPr="00902E61">
        <w:rPr>
          <w:rFonts w:asciiTheme="minorHAnsi" w:hAnsiTheme="minorHAnsi"/>
        </w:rPr>
        <w:t xml:space="preserve">are </w:t>
      </w:r>
      <w:r w:rsidRPr="00902E61">
        <w:rPr>
          <w:rFonts w:asciiTheme="minorHAnsi" w:hAnsiTheme="minorHAnsi"/>
        </w:rPr>
        <w:t>without male comparators</w:t>
      </w:r>
      <w:r w:rsidR="00D64768" w:rsidRPr="00902E61">
        <w:rPr>
          <w:rFonts w:asciiTheme="minorHAnsi" w:hAnsiTheme="minorHAnsi"/>
        </w:rPr>
        <w:t xml:space="preserve"> in their occupation</w:t>
      </w:r>
      <w:r w:rsidR="009A76A0" w:rsidRPr="00902E61">
        <w:rPr>
          <w:rFonts w:asciiTheme="minorHAnsi" w:hAnsiTheme="minorHAnsi"/>
        </w:rPr>
        <w:t xml:space="preserve">. However, </w:t>
      </w:r>
      <w:r w:rsidR="00D111BD" w:rsidRPr="00902E61">
        <w:rPr>
          <w:rFonts w:asciiTheme="minorHAnsi" w:hAnsiTheme="minorHAnsi"/>
        </w:rPr>
        <w:lastRenderedPageBreak/>
        <w:t xml:space="preserve">because they are independent contractors, midwives are excluded from the </w:t>
      </w:r>
      <w:r w:rsidR="00D111BD" w:rsidRPr="00902E61">
        <w:rPr>
          <w:rFonts w:asciiTheme="minorHAnsi" w:hAnsiTheme="minorHAnsi"/>
          <w:i/>
          <w:iCs/>
        </w:rPr>
        <w:t>PEA,</w:t>
      </w:r>
      <w:r w:rsidR="00D111BD" w:rsidRPr="00902E61">
        <w:rPr>
          <w:rFonts w:asciiTheme="minorHAnsi" w:hAnsiTheme="minorHAnsi"/>
        </w:rPr>
        <w:t xml:space="preserve"> enabling the Ministry to skirt its pay equity responsibilities</w:t>
      </w:r>
      <w:r w:rsidR="00DA007E" w:rsidRPr="00902E61">
        <w:rPr>
          <w:rFonts w:asciiTheme="minorHAnsi" w:hAnsiTheme="minorHAnsi"/>
        </w:rPr>
        <w:t xml:space="preserve">, as well as its </w:t>
      </w:r>
      <w:r w:rsidR="001110AB" w:rsidRPr="00902E61">
        <w:rPr>
          <w:rFonts w:asciiTheme="minorHAnsi" w:hAnsiTheme="minorHAnsi"/>
        </w:rPr>
        <w:t xml:space="preserve">employer obligations under the </w:t>
      </w:r>
      <w:r w:rsidR="001110AB" w:rsidRPr="00902E61">
        <w:rPr>
          <w:rFonts w:asciiTheme="minorHAnsi" w:hAnsiTheme="minorHAnsi"/>
          <w:i/>
          <w:iCs/>
        </w:rPr>
        <w:t xml:space="preserve">Employment Standards Act </w:t>
      </w:r>
      <w:r w:rsidR="001110AB" w:rsidRPr="00902E61">
        <w:rPr>
          <w:rFonts w:asciiTheme="minorHAnsi" w:hAnsiTheme="minorHAnsi"/>
        </w:rPr>
        <w:t xml:space="preserve">and the </w:t>
      </w:r>
      <w:r w:rsidR="00DA007E" w:rsidRPr="00902E61">
        <w:rPr>
          <w:rFonts w:asciiTheme="minorHAnsi" w:hAnsiTheme="minorHAnsi"/>
          <w:i/>
          <w:iCs/>
        </w:rPr>
        <w:t>Labour Relations Act</w:t>
      </w:r>
      <w:r w:rsidR="00D111BD" w:rsidRPr="00902E61">
        <w:rPr>
          <w:rFonts w:asciiTheme="minorHAnsi" w:hAnsiTheme="minorHAnsi"/>
        </w:rPr>
        <w:t xml:space="preserve"> (AOM 2016</w:t>
      </w:r>
      <w:r w:rsidR="002B53E3" w:rsidRPr="00902E61">
        <w:rPr>
          <w:rFonts w:asciiTheme="minorHAnsi" w:hAnsiTheme="minorHAnsi"/>
        </w:rPr>
        <w:t>a</w:t>
      </w:r>
      <w:r w:rsidR="00D111BD" w:rsidRPr="00902E61">
        <w:rPr>
          <w:rFonts w:asciiTheme="minorHAnsi" w:hAnsiTheme="minorHAnsi"/>
        </w:rPr>
        <w:t>).</w:t>
      </w:r>
      <w:r w:rsidR="003A3198" w:rsidRPr="00902E61">
        <w:rPr>
          <w:rFonts w:asciiTheme="minorHAnsi" w:hAnsiTheme="minorHAnsi"/>
        </w:rPr>
        <w:t xml:space="preserve"> </w:t>
      </w:r>
    </w:p>
    <w:p w14:paraId="3E2D434F" w14:textId="553F3E39" w:rsidR="009A76A0" w:rsidRPr="00902E61" w:rsidRDefault="00D64768" w:rsidP="007F5AE7">
      <w:pPr>
        <w:spacing w:line="480" w:lineRule="auto"/>
        <w:ind w:firstLine="360"/>
        <w:rPr>
          <w:rFonts w:asciiTheme="minorHAnsi" w:hAnsiTheme="minorHAnsi"/>
        </w:rPr>
      </w:pPr>
      <w:r w:rsidRPr="00902E61">
        <w:rPr>
          <w:rFonts w:asciiTheme="minorHAnsi" w:hAnsiTheme="minorHAnsi"/>
        </w:rPr>
        <w:t xml:space="preserve">Midwives’ fraught relationship to their employer reveals how the state, when serving as the employer and legislator, can deploy certain measures to limit public sector costs and, in the process, constrain workers’ compensation and collective rights (Panitch &amp; Swartz 2003). </w:t>
      </w:r>
      <w:r w:rsidR="005C7BAA" w:rsidRPr="00902E61">
        <w:rPr>
          <w:rFonts w:asciiTheme="minorHAnsi" w:hAnsiTheme="minorHAnsi"/>
        </w:rPr>
        <w:t xml:space="preserve">Arguably, as the AOM’s case shows, the state’s ability to evade obligations as an employer, and their associated costs, is linked </w:t>
      </w:r>
      <w:r w:rsidR="007B5F88" w:rsidRPr="00902E61">
        <w:rPr>
          <w:rFonts w:asciiTheme="minorHAnsi" w:hAnsiTheme="minorHAnsi"/>
        </w:rPr>
        <w:t xml:space="preserve">to </w:t>
      </w:r>
      <w:r w:rsidR="00624D62" w:rsidRPr="00902E61">
        <w:rPr>
          <w:rFonts w:asciiTheme="minorHAnsi" w:hAnsiTheme="minorHAnsi"/>
        </w:rPr>
        <w:t>existing legislation</w:t>
      </w:r>
      <w:r w:rsidR="007B5F88" w:rsidRPr="00902E61">
        <w:rPr>
          <w:rFonts w:asciiTheme="minorHAnsi" w:hAnsiTheme="minorHAnsi"/>
        </w:rPr>
        <w:t xml:space="preserve"> that can be</w:t>
      </w:r>
      <w:r w:rsidR="00624D62" w:rsidRPr="00902E61">
        <w:rPr>
          <w:rFonts w:asciiTheme="minorHAnsi" w:hAnsiTheme="minorHAnsi"/>
        </w:rPr>
        <w:t xml:space="preserve"> wielded to serve the interests of employers. </w:t>
      </w:r>
      <w:r w:rsidRPr="00902E61">
        <w:rPr>
          <w:rFonts w:asciiTheme="minorHAnsi" w:hAnsiTheme="minorHAnsi"/>
        </w:rPr>
        <w:t xml:space="preserve">When Ontario midwives first entered into a contract with the Ministry in 1994, they did so as dependent contractors—self-directed in their “business operations” but dependent on one source of remuneration their services—and therefore eligible for rights protected by the </w:t>
      </w:r>
      <w:r w:rsidRPr="00902E61">
        <w:rPr>
          <w:rFonts w:asciiTheme="minorHAnsi" w:hAnsiTheme="minorHAnsi"/>
          <w:i/>
          <w:iCs/>
        </w:rPr>
        <w:t>Labour Relations Act</w:t>
      </w:r>
      <w:r w:rsidRPr="00902E61">
        <w:rPr>
          <w:rFonts w:asciiTheme="minorHAnsi" w:hAnsiTheme="minorHAnsi"/>
          <w:iCs/>
        </w:rPr>
        <w:t xml:space="preserve"> (</w:t>
      </w:r>
      <w:r w:rsidRPr="00902E61">
        <w:rPr>
          <w:rFonts w:asciiTheme="minorHAnsi" w:hAnsiTheme="minorHAnsi"/>
          <w:i/>
          <w:iCs/>
        </w:rPr>
        <w:t>LRA</w:t>
      </w:r>
      <w:r w:rsidRPr="00902E61">
        <w:rPr>
          <w:rFonts w:asciiTheme="minorHAnsi" w:hAnsiTheme="minorHAnsi"/>
        </w:rPr>
        <w:t>) (AOM 2016a). Then, in</w:t>
      </w:r>
      <w:r w:rsidR="00C86A8C" w:rsidRPr="00902E61">
        <w:rPr>
          <w:rFonts w:asciiTheme="minorHAnsi" w:hAnsiTheme="minorHAnsi"/>
        </w:rPr>
        <w:t xml:space="preserve"> 2000</w:t>
      </w:r>
      <w:r w:rsidRPr="00902E61">
        <w:rPr>
          <w:rFonts w:asciiTheme="minorHAnsi" w:hAnsiTheme="minorHAnsi"/>
        </w:rPr>
        <w:t>, the province modified its contract with Ontario midwives, casting them as independent contractors. No longer perceived as dependent contractors, or quasi employees, and cast rather as self-employed entrepreneurs, midwives’ independent contractor status strips them of their</w:t>
      </w:r>
      <w:r w:rsidRPr="00902E61">
        <w:rPr>
          <w:rFonts w:asciiTheme="minorHAnsi" w:hAnsiTheme="minorHAnsi"/>
          <w:iCs/>
        </w:rPr>
        <w:t xml:space="preserve"> constitutional right to collective bargaining</w:t>
      </w:r>
      <w:r w:rsidRPr="00902E61">
        <w:rPr>
          <w:rFonts w:asciiTheme="minorHAnsi" w:hAnsiTheme="minorHAnsi"/>
        </w:rPr>
        <w:t xml:space="preserve"> under the </w:t>
      </w:r>
      <w:r w:rsidRPr="00902E61">
        <w:rPr>
          <w:rFonts w:asciiTheme="minorHAnsi" w:hAnsiTheme="minorHAnsi"/>
          <w:i/>
          <w:iCs/>
        </w:rPr>
        <w:t>LRA</w:t>
      </w:r>
      <w:r w:rsidRPr="00902E61">
        <w:rPr>
          <w:rFonts w:asciiTheme="minorHAnsi" w:hAnsiTheme="minorHAnsi"/>
        </w:rPr>
        <w:t>. Midwives’ ability to demand fairer wages and better working conditions might be less constrained if their dependence on their single employer—the M</w:t>
      </w:r>
      <w:r w:rsidR="00902E61">
        <w:rPr>
          <w:rFonts w:asciiTheme="minorHAnsi" w:hAnsiTheme="minorHAnsi"/>
        </w:rPr>
        <w:t>O</w:t>
      </w:r>
      <w:r w:rsidRPr="00902E61">
        <w:rPr>
          <w:rFonts w:asciiTheme="minorHAnsi" w:hAnsiTheme="minorHAnsi"/>
        </w:rPr>
        <w:t xml:space="preserve">HLTC—was recognized. Yet their work arrangements as contractors—whether dependent or independent—also currently allow the Ministry to evade employer obligations governed by the </w:t>
      </w:r>
      <w:r w:rsidRPr="00902E61">
        <w:rPr>
          <w:rFonts w:asciiTheme="minorHAnsi" w:hAnsiTheme="minorHAnsi"/>
          <w:i/>
          <w:iCs/>
        </w:rPr>
        <w:t>Employment Standards Act</w:t>
      </w:r>
      <w:r w:rsidRPr="00902E61">
        <w:rPr>
          <w:rFonts w:asciiTheme="minorHAnsi" w:hAnsiTheme="minorHAnsi"/>
        </w:rPr>
        <w:t xml:space="preserve"> (</w:t>
      </w:r>
      <w:r w:rsidRPr="00902E61">
        <w:rPr>
          <w:rFonts w:asciiTheme="minorHAnsi" w:hAnsiTheme="minorHAnsi"/>
          <w:i/>
          <w:iCs/>
        </w:rPr>
        <w:t>ESA</w:t>
      </w:r>
      <w:r w:rsidRPr="00902E61">
        <w:rPr>
          <w:rFonts w:asciiTheme="minorHAnsi" w:hAnsiTheme="minorHAnsi"/>
        </w:rPr>
        <w:t>),</w:t>
      </w:r>
      <w:r w:rsidR="00E8397F" w:rsidRPr="00902E61">
        <w:rPr>
          <w:rFonts w:asciiTheme="minorHAnsi" w:hAnsiTheme="minorHAnsi"/>
        </w:rPr>
        <w:t xml:space="preserve"> which sets out minimum conditions of employment in areas such as wages, working time, and vacations and leave.</w:t>
      </w:r>
      <w:r w:rsidR="002B53E3" w:rsidRPr="00902E61">
        <w:rPr>
          <w:rFonts w:asciiTheme="minorHAnsi" w:hAnsiTheme="minorHAnsi"/>
        </w:rPr>
        <w:t xml:space="preserve"> </w:t>
      </w:r>
    </w:p>
    <w:p w14:paraId="61A60EE6" w14:textId="2C7C4AA4" w:rsidR="00F9598C" w:rsidRPr="00902E61" w:rsidRDefault="003A3198" w:rsidP="007F5AE7">
      <w:pPr>
        <w:spacing w:line="480" w:lineRule="auto"/>
        <w:ind w:firstLine="360"/>
        <w:rPr>
          <w:rFonts w:asciiTheme="minorHAnsi" w:hAnsiTheme="minorHAnsi"/>
        </w:rPr>
      </w:pPr>
      <w:r w:rsidRPr="00902E61">
        <w:rPr>
          <w:rFonts w:asciiTheme="minorHAnsi" w:hAnsiTheme="minorHAnsi"/>
        </w:rPr>
        <w:lastRenderedPageBreak/>
        <w:t xml:space="preserve">Independent contractors’ exclusion from the </w:t>
      </w:r>
      <w:r w:rsidRPr="00902E61">
        <w:rPr>
          <w:rFonts w:asciiTheme="minorHAnsi" w:hAnsiTheme="minorHAnsi"/>
          <w:i/>
          <w:iCs/>
        </w:rPr>
        <w:t xml:space="preserve">PEA, </w:t>
      </w:r>
      <w:r w:rsidRPr="00902E61">
        <w:rPr>
          <w:rFonts w:asciiTheme="minorHAnsi" w:hAnsiTheme="minorHAnsi"/>
        </w:rPr>
        <w:t xml:space="preserve">the </w:t>
      </w:r>
      <w:r w:rsidRPr="00902E61">
        <w:rPr>
          <w:rFonts w:asciiTheme="minorHAnsi" w:hAnsiTheme="minorHAnsi"/>
          <w:i/>
          <w:iCs/>
        </w:rPr>
        <w:t>LRA</w:t>
      </w:r>
      <w:r w:rsidRPr="00902E61">
        <w:rPr>
          <w:rFonts w:asciiTheme="minorHAnsi" w:hAnsiTheme="minorHAnsi"/>
        </w:rPr>
        <w:t xml:space="preserve">, and the </w:t>
      </w:r>
      <w:r w:rsidRPr="00902E61">
        <w:rPr>
          <w:rFonts w:asciiTheme="minorHAnsi" w:hAnsiTheme="minorHAnsi"/>
          <w:i/>
          <w:iCs/>
        </w:rPr>
        <w:t>ESA</w:t>
      </w:r>
      <w:r w:rsidRPr="00902E61">
        <w:rPr>
          <w:rFonts w:asciiTheme="minorHAnsi" w:hAnsiTheme="minorHAnsi"/>
        </w:rPr>
        <w:t>, is indicative of   n</w:t>
      </w:r>
      <w:r w:rsidR="002B53E3" w:rsidRPr="00902E61">
        <w:rPr>
          <w:rFonts w:asciiTheme="minorHAnsi" w:hAnsiTheme="minorHAnsi"/>
        </w:rPr>
        <w:t>arrow</w:t>
      </w:r>
      <w:r w:rsidRPr="00902E61">
        <w:rPr>
          <w:rFonts w:asciiTheme="minorHAnsi" w:hAnsiTheme="minorHAnsi"/>
        </w:rPr>
        <w:t xml:space="preserve"> </w:t>
      </w:r>
      <w:r w:rsidR="002B53E3" w:rsidRPr="00902E61">
        <w:rPr>
          <w:rFonts w:asciiTheme="minorHAnsi" w:hAnsiTheme="minorHAnsi"/>
        </w:rPr>
        <w:t>associations of self-employment with entrepreneurial motivations in labour and employment law and policy (Vosko and Zukewich 2006</w:t>
      </w:r>
      <w:r w:rsidRPr="00902E61">
        <w:rPr>
          <w:rFonts w:asciiTheme="minorHAnsi" w:hAnsiTheme="minorHAnsi"/>
        </w:rPr>
        <w:t>). In the healthcare industr</w:t>
      </w:r>
      <w:r w:rsidR="009A6339" w:rsidRPr="00902E61">
        <w:rPr>
          <w:rFonts w:asciiTheme="minorHAnsi" w:hAnsiTheme="minorHAnsi"/>
        </w:rPr>
        <w:t xml:space="preserve">y, these associations run deep: </w:t>
      </w:r>
      <w:r w:rsidRPr="00902E61">
        <w:rPr>
          <w:rFonts w:asciiTheme="minorHAnsi" w:hAnsiTheme="minorHAnsi"/>
        </w:rPr>
        <w:t>when Canadian provinces first implemented compulsory, state-run medicare schemes in the 1960s, physicians</w:t>
      </w:r>
      <w:r w:rsidR="009E5D66" w:rsidRPr="00902E61">
        <w:rPr>
          <w:rFonts w:asciiTheme="minorHAnsi" w:hAnsiTheme="minorHAnsi"/>
        </w:rPr>
        <w:t xml:space="preserve">, motivated to maintain </w:t>
      </w:r>
      <w:r w:rsidR="00AB17E1" w:rsidRPr="00902E61">
        <w:rPr>
          <w:rFonts w:asciiTheme="minorHAnsi" w:hAnsiTheme="minorHAnsi"/>
        </w:rPr>
        <w:t>the</w:t>
      </w:r>
      <w:r w:rsidR="001717A0" w:rsidRPr="00902E61">
        <w:rPr>
          <w:rFonts w:asciiTheme="minorHAnsi" w:hAnsiTheme="minorHAnsi"/>
        </w:rPr>
        <w:t xml:space="preserve"> more lucrative</w:t>
      </w:r>
      <w:r w:rsidR="00AB17E1" w:rsidRPr="00902E61">
        <w:rPr>
          <w:rFonts w:asciiTheme="minorHAnsi" w:hAnsiTheme="minorHAnsi"/>
        </w:rPr>
        <w:t xml:space="preserve"> fee-for-service compensation structure</w:t>
      </w:r>
      <w:r w:rsidR="009E5D66" w:rsidRPr="00902E61">
        <w:rPr>
          <w:rFonts w:asciiTheme="minorHAnsi" w:hAnsiTheme="minorHAnsi"/>
        </w:rPr>
        <w:t>, opted to be cast as independent contractors</w:t>
      </w:r>
      <w:r w:rsidR="00AB17E1" w:rsidRPr="00902E61">
        <w:rPr>
          <w:rFonts w:asciiTheme="minorHAnsi" w:hAnsiTheme="minorHAnsi"/>
        </w:rPr>
        <w:t xml:space="preserve"> (Finkel 2011)</w:t>
      </w:r>
      <w:r w:rsidRPr="00902E61">
        <w:rPr>
          <w:rFonts w:asciiTheme="minorHAnsi" w:hAnsiTheme="minorHAnsi"/>
        </w:rPr>
        <w:t xml:space="preserve">. </w:t>
      </w:r>
      <w:r w:rsidR="00CA6DB0" w:rsidRPr="00902E61">
        <w:rPr>
          <w:rFonts w:asciiTheme="minorHAnsi" w:hAnsiTheme="minorHAnsi"/>
        </w:rPr>
        <w:t xml:space="preserve"> As explained in the AOM’s application to the HRTO, fee-for-service compensation structures</w:t>
      </w:r>
      <w:r w:rsidR="00AB4227" w:rsidRPr="00902E61">
        <w:rPr>
          <w:rFonts w:asciiTheme="minorHAnsi" w:hAnsiTheme="minorHAnsi"/>
        </w:rPr>
        <w:t xml:space="preserve"> continue to benefit physicians; </w:t>
      </w:r>
      <w:r w:rsidR="00CA6DB0" w:rsidRPr="00902E61">
        <w:rPr>
          <w:rFonts w:asciiTheme="minorHAnsi" w:hAnsiTheme="minorHAnsi"/>
        </w:rPr>
        <w:t>unlike midwives</w:t>
      </w:r>
      <w:r w:rsidR="00AB4227" w:rsidRPr="00902E61">
        <w:rPr>
          <w:rFonts w:asciiTheme="minorHAnsi" w:hAnsiTheme="minorHAnsi"/>
        </w:rPr>
        <w:t>,</w:t>
      </w:r>
      <w:r w:rsidR="00D337B8" w:rsidRPr="00902E61">
        <w:rPr>
          <w:rFonts w:asciiTheme="minorHAnsi" w:hAnsiTheme="minorHAnsi"/>
        </w:rPr>
        <w:t xml:space="preserve"> whose caseloads, </w:t>
      </w:r>
      <w:r w:rsidR="00AB4227" w:rsidRPr="00902E61">
        <w:rPr>
          <w:rFonts w:asciiTheme="minorHAnsi" w:hAnsiTheme="minorHAnsi"/>
        </w:rPr>
        <w:t xml:space="preserve">partly as a consequence of the intensive nature of each individual case, </w:t>
      </w:r>
      <w:r w:rsidR="00D337B8" w:rsidRPr="00902E61">
        <w:rPr>
          <w:rFonts w:asciiTheme="minorHAnsi" w:hAnsiTheme="minorHAnsi"/>
        </w:rPr>
        <w:t xml:space="preserve">are constrained </w:t>
      </w:r>
      <w:r w:rsidR="00CA6DB0" w:rsidRPr="00902E61">
        <w:rPr>
          <w:rFonts w:asciiTheme="minorHAnsi" w:hAnsiTheme="minorHAnsi"/>
        </w:rPr>
        <w:t xml:space="preserve">and </w:t>
      </w:r>
      <w:r w:rsidR="00D337B8" w:rsidRPr="00902E61">
        <w:rPr>
          <w:rFonts w:asciiTheme="minorHAnsi" w:hAnsiTheme="minorHAnsi"/>
        </w:rPr>
        <w:t xml:space="preserve">also </w:t>
      </w:r>
      <w:r w:rsidR="00CA6DB0" w:rsidRPr="00902E61">
        <w:rPr>
          <w:rFonts w:asciiTheme="minorHAnsi" w:hAnsiTheme="minorHAnsi"/>
        </w:rPr>
        <w:t>pre-approved</w:t>
      </w:r>
      <w:r w:rsidR="00AB4227" w:rsidRPr="00902E61">
        <w:rPr>
          <w:rFonts w:asciiTheme="minorHAnsi" w:hAnsiTheme="minorHAnsi"/>
        </w:rPr>
        <w:t xml:space="preserve"> by the MOHLTC</w:t>
      </w:r>
      <w:r w:rsidR="00CA6DB0" w:rsidRPr="00902E61">
        <w:rPr>
          <w:rFonts w:asciiTheme="minorHAnsi" w:hAnsiTheme="minorHAnsi"/>
        </w:rPr>
        <w:t>, phy</w:t>
      </w:r>
      <w:r w:rsidR="007B5F88" w:rsidRPr="00902E61">
        <w:rPr>
          <w:rFonts w:asciiTheme="minorHAnsi" w:hAnsiTheme="minorHAnsi"/>
        </w:rPr>
        <w:t>sicians are</w:t>
      </w:r>
      <w:r w:rsidR="00CA6DB0" w:rsidRPr="00902E61">
        <w:rPr>
          <w:rFonts w:asciiTheme="minorHAnsi" w:hAnsiTheme="minorHAnsi"/>
        </w:rPr>
        <w:t xml:space="preserve"> “not constrained in the number of patients they can take on nor the kin</w:t>
      </w:r>
      <w:r w:rsidR="007B5F88" w:rsidRPr="00902E61">
        <w:rPr>
          <w:rFonts w:asciiTheme="minorHAnsi" w:hAnsiTheme="minorHAnsi"/>
        </w:rPr>
        <w:t>ds of service they can bill for</w:t>
      </w:r>
      <w:r w:rsidR="00CA6DB0" w:rsidRPr="00902E61">
        <w:rPr>
          <w:rFonts w:asciiTheme="minorHAnsi" w:hAnsiTheme="minorHAnsi"/>
        </w:rPr>
        <w:t>” (AOM 2014, p. 45).</w:t>
      </w:r>
      <w:r w:rsidR="009A6339" w:rsidRPr="00902E61">
        <w:rPr>
          <w:rFonts w:asciiTheme="minorHAnsi" w:hAnsiTheme="minorHAnsi"/>
        </w:rPr>
        <w:t xml:space="preserve"> </w:t>
      </w:r>
      <w:r w:rsidR="009C6CBB" w:rsidRPr="00902E61">
        <w:rPr>
          <w:rFonts w:asciiTheme="minorHAnsi" w:hAnsiTheme="minorHAnsi"/>
        </w:rPr>
        <w:t xml:space="preserve">Despite these </w:t>
      </w:r>
      <w:r w:rsidR="00AB4227" w:rsidRPr="00902E61">
        <w:rPr>
          <w:rFonts w:asciiTheme="minorHAnsi" w:hAnsiTheme="minorHAnsi"/>
        </w:rPr>
        <w:t xml:space="preserve">financial </w:t>
      </w:r>
      <w:r w:rsidR="009C6CBB" w:rsidRPr="00902E61">
        <w:rPr>
          <w:rFonts w:asciiTheme="minorHAnsi" w:hAnsiTheme="minorHAnsi"/>
        </w:rPr>
        <w:t xml:space="preserve">constraints, </w:t>
      </w:r>
      <w:r w:rsidR="00D737CB" w:rsidRPr="00902E61">
        <w:rPr>
          <w:rFonts w:asciiTheme="minorHAnsi" w:hAnsiTheme="minorHAnsi"/>
        </w:rPr>
        <w:t xml:space="preserve">the Government of Ontario </w:t>
      </w:r>
      <w:r w:rsidR="009C6CBB" w:rsidRPr="00902E61">
        <w:rPr>
          <w:rFonts w:asciiTheme="minorHAnsi" w:hAnsiTheme="minorHAnsi"/>
        </w:rPr>
        <w:t>can</w:t>
      </w:r>
      <w:r w:rsidR="00652FED" w:rsidRPr="00902E61">
        <w:rPr>
          <w:rFonts w:asciiTheme="minorHAnsi" w:hAnsiTheme="minorHAnsi"/>
        </w:rPr>
        <w:t xml:space="preserve"> </w:t>
      </w:r>
      <w:r w:rsidR="00D737CB" w:rsidRPr="00902E61">
        <w:rPr>
          <w:rFonts w:asciiTheme="minorHAnsi" w:hAnsiTheme="minorHAnsi"/>
        </w:rPr>
        <w:t>defend its characterization of midwives as contractors partly because of their on-call scheduling and irregular hours, arrangements that are, paradoxically, sanctioned and encouraged by the M</w:t>
      </w:r>
      <w:r w:rsidR="002B53E3" w:rsidRPr="00902E61">
        <w:rPr>
          <w:rFonts w:asciiTheme="minorHAnsi" w:hAnsiTheme="minorHAnsi"/>
        </w:rPr>
        <w:t>O</w:t>
      </w:r>
      <w:r w:rsidR="00D737CB" w:rsidRPr="00902E61">
        <w:rPr>
          <w:rFonts w:asciiTheme="minorHAnsi" w:hAnsiTheme="minorHAnsi"/>
        </w:rPr>
        <w:t xml:space="preserve">HLTC (AOM 2016a). </w:t>
      </w:r>
      <w:r w:rsidR="00F9598C" w:rsidRPr="00902E61">
        <w:rPr>
          <w:rFonts w:asciiTheme="minorHAnsi" w:hAnsiTheme="minorHAnsi"/>
        </w:rPr>
        <w:t>Indeed, such work arrangements are central to midwives’ ability to provide patients with continuity of care outside institutionalized healthcare; they also enable them to serve individuals and communities whose reproductive experiences have, historically and to the present, been marginalized or highly regulated by government-funded institutions (National Aboriginal Council of Midwives 2016).</w:t>
      </w:r>
      <w:r w:rsidR="00AB17E1" w:rsidRPr="00902E61">
        <w:rPr>
          <w:rFonts w:asciiTheme="minorHAnsi" w:hAnsiTheme="minorHAnsi"/>
        </w:rPr>
        <w:t xml:space="preserve"> </w:t>
      </w:r>
      <w:r w:rsidR="00F9598C" w:rsidRPr="00902E61">
        <w:rPr>
          <w:rFonts w:asciiTheme="minorHAnsi" w:hAnsiTheme="minorHAnsi"/>
        </w:rPr>
        <w:t>Midwives’ independence, on-call scheduling, and irregular hours are th</w:t>
      </w:r>
      <w:r w:rsidR="00930B27" w:rsidRPr="00902E61">
        <w:rPr>
          <w:rFonts w:asciiTheme="minorHAnsi" w:hAnsiTheme="minorHAnsi"/>
        </w:rPr>
        <w:t>us essential to their practice. B</w:t>
      </w:r>
      <w:r w:rsidR="00F9598C" w:rsidRPr="00902E61">
        <w:rPr>
          <w:rFonts w:asciiTheme="minorHAnsi" w:hAnsiTheme="minorHAnsi"/>
        </w:rPr>
        <w:t>ut that does not necessarily mean these workers are willing to exchange security</w:t>
      </w:r>
      <w:r w:rsidR="004C5B31" w:rsidRPr="00902E61">
        <w:rPr>
          <w:rFonts w:asciiTheme="minorHAnsi" w:hAnsiTheme="minorHAnsi"/>
        </w:rPr>
        <w:t xml:space="preserve"> for </w:t>
      </w:r>
      <w:r w:rsidR="00AB17E1" w:rsidRPr="00902E61">
        <w:rPr>
          <w:rFonts w:asciiTheme="minorHAnsi" w:hAnsiTheme="minorHAnsi"/>
        </w:rPr>
        <w:t xml:space="preserve">flexibility. </w:t>
      </w:r>
      <w:r w:rsidR="000C4045" w:rsidRPr="00902E61">
        <w:rPr>
          <w:rFonts w:asciiTheme="minorHAnsi" w:hAnsiTheme="minorHAnsi"/>
        </w:rPr>
        <w:t>As</w:t>
      </w:r>
      <w:r w:rsidR="00F9598C" w:rsidRPr="00902E61">
        <w:rPr>
          <w:rFonts w:asciiTheme="minorHAnsi" w:hAnsiTheme="minorHAnsi"/>
        </w:rPr>
        <w:t xml:space="preserve"> delineated in the AOM’s arguments during the HRTO proceedings, </w:t>
      </w:r>
      <w:r w:rsidR="00843E50" w:rsidRPr="00902E61">
        <w:rPr>
          <w:rFonts w:asciiTheme="minorHAnsi" w:hAnsiTheme="minorHAnsi"/>
        </w:rPr>
        <w:t xml:space="preserve">as well as in their submission to the province’s Gender Wage Gap Steering Committee (Ontario Midwives on Closing the </w:t>
      </w:r>
      <w:r w:rsidR="00843E50" w:rsidRPr="00902E61">
        <w:rPr>
          <w:rFonts w:asciiTheme="minorHAnsi" w:hAnsiTheme="minorHAnsi"/>
        </w:rPr>
        <w:lastRenderedPageBreak/>
        <w:t xml:space="preserve">Gender Pay Gap 2016), </w:t>
      </w:r>
      <w:r w:rsidR="002B0098" w:rsidRPr="00902E61">
        <w:rPr>
          <w:rFonts w:asciiTheme="minorHAnsi" w:hAnsiTheme="minorHAnsi"/>
        </w:rPr>
        <w:t>midwives</w:t>
      </w:r>
      <w:r w:rsidR="00843E50" w:rsidRPr="00902E61">
        <w:rPr>
          <w:rFonts w:asciiTheme="minorHAnsi" w:hAnsiTheme="minorHAnsi"/>
        </w:rPr>
        <w:t>’</w:t>
      </w:r>
      <w:r w:rsidR="002B0098" w:rsidRPr="00902E61">
        <w:rPr>
          <w:rFonts w:asciiTheme="minorHAnsi" w:hAnsiTheme="minorHAnsi"/>
        </w:rPr>
        <w:t xml:space="preserve"> ongoing complaints about pay inequity </w:t>
      </w:r>
      <w:r w:rsidR="0004420C" w:rsidRPr="00902E61">
        <w:rPr>
          <w:rFonts w:asciiTheme="minorHAnsi" w:hAnsiTheme="minorHAnsi"/>
        </w:rPr>
        <w:t xml:space="preserve">also involve a repeated request for </w:t>
      </w:r>
      <w:r w:rsidR="000C4045" w:rsidRPr="00902E61">
        <w:rPr>
          <w:rFonts w:asciiTheme="minorHAnsi" w:hAnsiTheme="minorHAnsi"/>
        </w:rPr>
        <w:t xml:space="preserve">adequate regulatory protection despite their classification as independent contractors. </w:t>
      </w:r>
      <w:r w:rsidR="002B0098" w:rsidRPr="00902E61">
        <w:rPr>
          <w:rFonts w:asciiTheme="minorHAnsi" w:hAnsiTheme="minorHAnsi"/>
        </w:rPr>
        <w:t xml:space="preserve"> </w:t>
      </w:r>
    </w:p>
    <w:p w14:paraId="6E31CB26" w14:textId="1B97937A" w:rsidR="00D241F2" w:rsidRPr="00902E61" w:rsidRDefault="00F9598C" w:rsidP="007F5AE7">
      <w:pPr>
        <w:spacing w:line="480" w:lineRule="auto"/>
        <w:ind w:firstLine="360"/>
        <w:rPr>
          <w:rFonts w:asciiTheme="minorHAnsi" w:hAnsiTheme="minorHAnsi"/>
        </w:rPr>
      </w:pPr>
      <w:r w:rsidRPr="00902E61">
        <w:rPr>
          <w:rFonts w:asciiTheme="minorHAnsi" w:hAnsiTheme="minorHAnsi"/>
        </w:rPr>
        <w:t>A</w:t>
      </w:r>
      <w:r w:rsidR="000B73E2" w:rsidRPr="00902E61">
        <w:rPr>
          <w:rFonts w:asciiTheme="minorHAnsi" w:hAnsiTheme="minorHAnsi"/>
        </w:rPr>
        <w:t>fter being</w:t>
      </w:r>
      <w:r w:rsidR="00FA3883" w:rsidRPr="00902E61">
        <w:rPr>
          <w:rFonts w:asciiTheme="minorHAnsi" w:hAnsiTheme="minorHAnsi"/>
        </w:rPr>
        <w:t xml:space="preserve"> cast as independent contractors in a 2000 devolution agreement</w:t>
      </w:r>
      <w:r w:rsidR="00A50DB9" w:rsidRPr="00902E61">
        <w:rPr>
          <w:rFonts w:asciiTheme="minorHAnsi" w:hAnsiTheme="minorHAnsi"/>
        </w:rPr>
        <w:t xml:space="preserve">, the AOM made its first request </w:t>
      </w:r>
      <w:r w:rsidR="00D84039" w:rsidRPr="00902E61">
        <w:rPr>
          <w:rFonts w:asciiTheme="minorHAnsi" w:hAnsiTheme="minorHAnsi"/>
        </w:rPr>
        <w:t xml:space="preserve">with the Community Health and </w:t>
      </w:r>
      <w:r w:rsidR="006B239A" w:rsidRPr="00902E61">
        <w:rPr>
          <w:rFonts w:asciiTheme="minorHAnsi" w:hAnsiTheme="minorHAnsi"/>
        </w:rPr>
        <w:t xml:space="preserve">Promotion Branch of the MOHLTC </w:t>
      </w:r>
      <w:r w:rsidR="00A50DB9" w:rsidRPr="00902E61">
        <w:rPr>
          <w:rFonts w:asciiTheme="minorHAnsi" w:hAnsiTheme="minorHAnsi"/>
        </w:rPr>
        <w:t xml:space="preserve">for </w:t>
      </w:r>
      <w:r w:rsidR="00D241F2" w:rsidRPr="00902E61">
        <w:rPr>
          <w:rFonts w:asciiTheme="minorHAnsi" w:hAnsiTheme="minorHAnsi"/>
        </w:rPr>
        <w:t xml:space="preserve">an equitable compensation increase and </w:t>
      </w:r>
      <w:r w:rsidR="00A50DB9" w:rsidRPr="00902E61">
        <w:rPr>
          <w:rFonts w:asciiTheme="minorHAnsi" w:hAnsiTheme="minorHAnsi"/>
        </w:rPr>
        <w:t xml:space="preserve">back pay as a result </w:t>
      </w:r>
      <w:r w:rsidR="001F1618" w:rsidRPr="00902E61">
        <w:rPr>
          <w:rFonts w:asciiTheme="minorHAnsi" w:hAnsiTheme="minorHAnsi"/>
        </w:rPr>
        <w:t xml:space="preserve">of </w:t>
      </w:r>
      <w:r w:rsidR="00D241F2" w:rsidRPr="00902E61">
        <w:rPr>
          <w:rFonts w:asciiTheme="minorHAnsi" w:hAnsiTheme="minorHAnsi"/>
        </w:rPr>
        <w:t xml:space="preserve">the government’s </w:t>
      </w:r>
      <w:r w:rsidR="00A50DB9" w:rsidRPr="00902E61">
        <w:rPr>
          <w:rFonts w:asciiTheme="minorHAnsi" w:hAnsiTheme="minorHAnsi"/>
        </w:rPr>
        <w:t>failure to make cost-of-living adjustments or adjust their pay in relation to comparable primary health practitioners, such as Community Health Care physicians</w:t>
      </w:r>
      <w:r w:rsidR="006B239A" w:rsidRPr="00902E61">
        <w:rPr>
          <w:rFonts w:asciiTheme="minorHAnsi" w:hAnsiTheme="minorHAnsi"/>
        </w:rPr>
        <w:t xml:space="preserve"> (AOM 2016a)</w:t>
      </w:r>
      <w:r w:rsidR="00A50DB9" w:rsidRPr="00902E61">
        <w:rPr>
          <w:rFonts w:asciiTheme="minorHAnsi" w:hAnsiTheme="minorHAnsi"/>
        </w:rPr>
        <w:t xml:space="preserve">. </w:t>
      </w:r>
      <w:r w:rsidR="0046014B" w:rsidRPr="00902E61">
        <w:rPr>
          <w:rFonts w:asciiTheme="minorHAnsi" w:hAnsiTheme="minorHAnsi"/>
        </w:rPr>
        <w:t xml:space="preserve">Then, after commissioning and submitting an independent compensation review </w:t>
      </w:r>
      <w:r w:rsidR="0004420C" w:rsidRPr="00902E61">
        <w:rPr>
          <w:rFonts w:asciiTheme="minorHAnsi" w:hAnsiTheme="minorHAnsi"/>
        </w:rPr>
        <w:t xml:space="preserve">revealing a significant pay gap between midwives and similar health care occupations where men (at the time) were overrepresented, </w:t>
      </w:r>
      <w:r w:rsidR="0046014B" w:rsidRPr="00902E61">
        <w:rPr>
          <w:rFonts w:asciiTheme="minorHAnsi" w:hAnsiTheme="minorHAnsi"/>
        </w:rPr>
        <w:t>and leading a successful public awareness campaign, the AOM was granted small compensatio</w:t>
      </w:r>
      <w:r w:rsidR="00D241F2" w:rsidRPr="00902E61">
        <w:rPr>
          <w:rFonts w:asciiTheme="minorHAnsi" w:hAnsiTheme="minorHAnsi"/>
        </w:rPr>
        <w:t>n adjustment in 2005</w:t>
      </w:r>
      <w:r w:rsidR="0004420C" w:rsidRPr="00902E61">
        <w:rPr>
          <w:rFonts w:asciiTheme="minorHAnsi" w:hAnsiTheme="minorHAnsi"/>
        </w:rPr>
        <w:t xml:space="preserve"> (AOM 2016a)</w:t>
      </w:r>
      <w:r w:rsidR="00D241F2" w:rsidRPr="00902E61">
        <w:rPr>
          <w:rFonts w:asciiTheme="minorHAnsi" w:hAnsiTheme="minorHAnsi"/>
        </w:rPr>
        <w:t xml:space="preserve">. This was the first </w:t>
      </w:r>
      <w:r w:rsidR="0004420C" w:rsidRPr="00902E61">
        <w:rPr>
          <w:rFonts w:asciiTheme="minorHAnsi" w:hAnsiTheme="minorHAnsi"/>
        </w:rPr>
        <w:t>pay</w:t>
      </w:r>
      <w:r w:rsidR="00D241F2" w:rsidRPr="00902E61">
        <w:rPr>
          <w:rFonts w:asciiTheme="minorHAnsi" w:hAnsiTheme="minorHAnsi"/>
        </w:rPr>
        <w:t xml:space="preserve"> increase midwives received since their compensation rate was set in 1994, a process that involved a rough pay equity anal</w:t>
      </w:r>
      <w:r w:rsidR="00955EF9" w:rsidRPr="00902E61">
        <w:rPr>
          <w:rFonts w:asciiTheme="minorHAnsi" w:hAnsiTheme="minorHAnsi"/>
        </w:rPr>
        <w:t>ysis that will be described in S</w:t>
      </w:r>
      <w:r w:rsidR="00D241F2" w:rsidRPr="00902E61">
        <w:rPr>
          <w:rFonts w:asciiTheme="minorHAnsi" w:hAnsiTheme="minorHAnsi"/>
        </w:rPr>
        <w:t>ection 3</w:t>
      </w:r>
      <w:r w:rsidR="002B53E3" w:rsidRPr="00902E61">
        <w:rPr>
          <w:rFonts w:asciiTheme="minorHAnsi" w:hAnsiTheme="minorHAnsi"/>
        </w:rPr>
        <w:t xml:space="preserve"> (Durber 2013; AOM 2014; AOM 2016a)</w:t>
      </w:r>
      <w:r w:rsidR="00D241F2" w:rsidRPr="00902E61">
        <w:rPr>
          <w:rFonts w:asciiTheme="minorHAnsi" w:hAnsiTheme="minorHAnsi"/>
        </w:rPr>
        <w:t>. Consistent and adequate increases in compensation to address</w:t>
      </w:r>
      <w:r w:rsidR="00446681" w:rsidRPr="00902E61">
        <w:rPr>
          <w:rFonts w:asciiTheme="minorHAnsi" w:hAnsiTheme="minorHAnsi"/>
        </w:rPr>
        <w:t xml:space="preserve"> midwives’ equity concerns</w:t>
      </w:r>
      <w:r w:rsidR="00D241F2" w:rsidRPr="00902E61">
        <w:rPr>
          <w:rFonts w:asciiTheme="minorHAnsi" w:hAnsiTheme="minorHAnsi"/>
        </w:rPr>
        <w:t xml:space="preserve"> were delayed and denied, however, on the grounds </w:t>
      </w:r>
      <w:r w:rsidR="00446681" w:rsidRPr="00902E61">
        <w:rPr>
          <w:rFonts w:asciiTheme="minorHAnsi" w:hAnsiTheme="minorHAnsi"/>
        </w:rPr>
        <w:t>of limited government resources</w:t>
      </w:r>
      <w:r w:rsidR="002B53E3" w:rsidRPr="00902E61">
        <w:rPr>
          <w:rFonts w:asciiTheme="minorHAnsi" w:hAnsiTheme="minorHAnsi"/>
        </w:rPr>
        <w:t xml:space="preserve"> (AOM 2014; AOM 2016a)</w:t>
      </w:r>
      <w:r w:rsidR="00D241F2" w:rsidRPr="00902E61">
        <w:rPr>
          <w:rFonts w:asciiTheme="minorHAnsi" w:hAnsiTheme="minorHAnsi"/>
        </w:rPr>
        <w:t xml:space="preserve">. </w:t>
      </w:r>
      <w:r w:rsidR="00446681" w:rsidRPr="00902E61">
        <w:rPr>
          <w:rFonts w:asciiTheme="minorHAnsi" w:hAnsiTheme="minorHAnsi"/>
        </w:rPr>
        <w:t>A notable instance of this was</w:t>
      </w:r>
      <w:r w:rsidR="00EE3FFE" w:rsidRPr="00902E61">
        <w:rPr>
          <w:rFonts w:asciiTheme="minorHAnsi" w:hAnsiTheme="minorHAnsi"/>
        </w:rPr>
        <w:t xml:space="preserve"> in 2010, </w:t>
      </w:r>
      <w:r w:rsidR="00955EF9" w:rsidRPr="00902E61">
        <w:rPr>
          <w:rFonts w:asciiTheme="minorHAnsi" w:hAnsiTheme="minorHAnsi"/>
        </w:rPr>
        <w:t xml:space="preserve">when </w:t>
      </w:r>
      <w:r w:rsidR="00EE3FFE" w:rsidRPr="00902E61">
        <w:rPr>
          <w:rFonts w:asciiTheme="minorHAnsi" w:hAnsiTheme="minorHAnsi"/>
        </w:rPr>
        <w:t xml:space="preserve">the MOHLTC decided to apply compensation restraints covering only “employees” under the Liberal provincial government’s new </w:t>
      </w:r>
      <w:r w:rsidR="00EE3FFE" w:rsidRPr="00902E61">
        <w:rPr>
          <w:rFonts w:asciiTheme="minorHAnsi" w:hAnsiTheme="minorHAnsi"/>
          <w:i/>
          <w:iCs/>
        </w:rPr>
        <w:t xml:space="preserve">Public Sector Compensation Restraints Act </w:t>
      </w:r>
      <w:r w:rsidR="00EE3FFE" w:rsidRPr="00902E61">
        <w:rPr>
          <w:rFonts w:asciiTheme="minorHAnsi" w:hAnsiTheme="minorHAnsi"/>
        </w:rPr>
        <w:t>to freeze the midwives’ pay</w:t>
      </w:r>
      <w:r w:rsidR="00446681" w:rsidRPr="00902E61">
        <w:rPr>
          <w:rFonts w:asciiTheme="minorHAnsi" w:hAnsiTheme="minorHAnsi"/>
        </w:rPr>
        <w:t xml:space="preserve"> (AOM 2016a).</w:t>
      </w:r>
      <w:r w:rsidR="00EE3FFE" w:rsidRPr="00902E61">
        <w:rPr>
          <w:rFonts w:asciiTheme="minorHAnsi" w:hAnsiTheme="minorHAnsi"/>
        </w:rPr>
        <w:t xml:space="preserve"> Illustrating state’s </w:t>
      </w:r>
      <w:r w:rsidR="000C4045" w:rsidRPr="00902E61">
        <w:rPr>
          <w:rFonts w:asciiTheme="minorHAnsi" w:hAnsiTheme="minorHAnsi"/>
        </w:rPr>
        <w:t>willingness</w:t>
      </w:r>
      <w:r w:rsidR="00EE3FFE" w:rsidRPr="00902E61">
        <w:rPr>
          <w:rFonts w:asciiTheme="minorHAnsi" w:hAnsiTheme="minorHAnsi"/>
        </w:rPr>
        <w:t xml:space="preserve"> </w:t>
      </w:r>
      <w:r w:rsidR="00446681" w:rsidRPr="00902E61">
        <w:rPr>
          <w:rFonts w:asciiTheme="minorHAnsi" w:hAnsiTheme="minorHAnsi"/>
        </w:rPr>
        <w:t xml:space="preserve">to </w:t>
      </w:r>
      <w:r w:rsidR="00EE3FFE" w:rsidRPr="00902E61">
        <w:rPr>
          <w:rFonts w:asciiTheme="minorHAnsi" w:hAnsiTheme="minorHAnsi"/>
        </w:rPr>
        <w:t xml:space="preserve">openly </w:t>
      </w:r>
      <w:r w:rsidR="00446681" w:rsidRPr="00902E61">
        <w:rPr>
          <w:rFonts w:asciiTheme="minorHAnsi" w:hAnsiTheme="minorHAnsi"/>
        </w:rPr>
        <w:t>view</w:t>
      </w:r>
      <w:r w:rsidR="00EE3FFE" w:rsidRPr="00902E61">
        <w:rPr>
          <w:rFonts w:asciiTheme="minorHAnsi" w:hAnsiTheme="minorHAnsi"/>
        </w:rPr>
        <w:t xml:space="preserve"> </w:t>
      </w:r>
      <w:r w:rsidR="00D241F2" w:rsidRPr="00902E61">
        <w:rPr>
          <w:rFonts w:asciiTheme="minorHAnsi" w:hAnsiTheme="minorHAnsi"/>
        </w:rPr>
        <w:t>midwives</w:t>
      </w:r>
      <w:r w:rsidR="000C4045" w:rsidRPr="00902E61">
        <w:rPr>
          <w:rFonts w:asciiTheme="minorHAnsi" w:hAnsiTheme="minorHAnsi"/>
        </w:rPr>
        <w:t xml:space="preserve"> as comparable to</w:t>
      </w:r>
      <w:r w:rsidR="00D241F2" w:rsidRPr="00902E61">
        <w:rPr>
          <w:rFonts w:asciiTheme="minorHAnsi" w:hAnsiTheme="minorHAnsi"/>
        </w:rPr>
        <w:t xml:space="preserve"> employees</w:t>
      </w:r>
      <w:r w:rsidRPr="00902E61">
        <w:rPr>
          <w:rFonts w:asciiTheme="minorHAnsi" w:hAnsiTheme="minorHAnsi"/>
        </w:rPr>
        <w:t xml:space="preserve"> in</w:t>
      </w:r>
      <w:r w:rsidR="00EE3FFE" w:rsidRPr="00902E61">
        <w:rPr>
          <w:rFonts w:asciiTheme="minorHAnsi" w:hAnsiTheme="minorHAnsi"/>
        </w:rPr>
        <w:t xml:space="preserve"> circumstances where such treatment will lower public sector costs, </w:t>
      </w:r>
      <w:r w:rsidRPr="00902E61">
        <w:rPr>
          <w:rFonts w:asciiTheme="minorHAnsi" w:hAnsiTheme="minorHAnsi"/>
        </w:rPr>
        <w:t>the MOHLTC subjected</w:t>
      </w:r>
      <w:r w:rsidR="00EE3FFE" w:rsidRPr="00902E61">
        <w:rPr>
          <w:rFonts w:asciiTheme="minorHAnsi" w:hAnsiTheme="minorHAnsi"/>
        </w:rPr>
        <w:t xml:space="preserve"> midwives to</w:t>
      </w:r>
      <w:r w:rsidRPr="00902E61">
        <w:rPr>
          <w:rFonts w:asciiTheme="minorHAnsi" w:hAnsiTheme="minorHAnsi"/>
        </w:rPr>
        <w:t xml:space="preserve"> </w:t>
      </w:r>
      <w:r w:rsidR="00EE3FFE" w:rsidRPr="00902E61">
        <w:rPr>
          <w:rFonts w:asciiTheme="minorHAnsi" w:hAnsiTheme="minorHAnsi"/>
        </w:rPr>
        <w:t>this restraint legislation</w:t>
      </w:r>
      <w:r w:rsidR="00597698" w:rsidRPr="00902E61">
        <w:rPr>
          <w:rFonts w:asciiTheme="minorHAnsi" w:hAnsiTheme="minorHAnsi"/>
        </w:rPr>
        <w:t xml:space="preserve"> (AOM 2016a). S</w:t>
      </w:r>
      <w:r w:rsidRPr="00902E61">
        <w:rPr>
          <w:rFonts w:asciiTheme="minorHAnsi" w:hAnsiTheme="minorHAnsi"/>
        </w:rPr>
        <w:t>imultaneously</w:t>
      </w:r>
      <w:r w:rsidR="00597698" w:rsidRPr="00902E61">
        <w:rPr>
          <w:rFonts w:asciiTheme="minorHAnsi" w:hAnsiTheme="minorHAnsi"/>
        </w:rPr>
        <w:t>, the employer</w:t>
      </w:r>
      <w:r w:rsidRPr="00902E61">
        <w:rPr>
          <w:rFonts w:asciiTheme="minorHAnsi" w:hAnsiTheme="minorHAnsi"/>
        </w:rPr>
        <w:t xml:space="preserve"> refus</w:t>
      </w:r>
      <w:r w:rsidR="00597698" w:rsidRPr="00902E61">
        <w:rPr>
          <w:rFonts w:asciiTheme="minorHAnsi" w:hAnsiTheme="minorHAnsi"/>
        </w:rPr>
        <w:t>ed</w:t>
      </w:r>
      <w:r w:rsidR="00EE3FFE" w:rsidRPr="00902E61">
        <w:rPr>
          <w:rFonts w:asciiTheme="minorHAnsi" w:hAnsiTheme="minorHAnsi"/>
        </w:rPr>
        <w:t xml:space="preserve"> to </w:t>
      </w:r>
      <w:r w:rsidR="00EE3FFE" w:rsidRPr="00902E61">
        <w:rPr>
          <w:rFonts w:asciiTheme="minorHAnsi" w:hAnsiTheme="minorHAnsi"/>
        </w:rPr>
        <w:lastRenderedPageBreak/>
        <w:t>make an exception for the AOM’s request for pay equity adjustments, an exception that the legislation permitted, on the grounds that pay equity legislation does not apply to midwives</w:t>
      </w:r>
      <w:r w:rsidRPr="00902E61">
        <w:rPr>
          <w:rFonts w:asciiTheme="minorHAnsi" w:hAnsiTheme="minorHAnsi"/>
        </w:rPr>
        <w:t xml:space="preserve"> as independent contractors</w:t>
      </w:r>
      <w:r w:rsidR="000C4045" w:rsidRPr="00902E61">
        <w:rPr>
          <w:rFonts w:asciiTheme="minorHAnsi" w:hAnsiTheme="minorHAnsi"/>
        </w:rPr>
        <w:t xml:space="preserve"> (AOM 2016</w:t>
      </w:r>
      <w:r w:rsidR="00230110" w:rsidRPr="00902E61">
        <w:rPr>
          <w:rFonts w:asciiTheme="minorHAnsi" w:hAnsiTheme="minorHAnsi"/>
        </w:rPr>
        <w:t>a</w:t>
      </w:r>
      <w:r w:rsidR="000C4045" w:rsidRPr="00902E61">
        <w:rPr>
          <w:rFonts w:asciiTheme="minorHAnsi" w:hAnsiTheme="minorHAnsi"/>
        </w:rPr>
        <w:t>)</w:t>
      </w:r>
      <w:r w:rsidR="00446681" w:rsidRPr="00902E61">
        <w:rPr>
          <w:rFonts w:asciiTheme="minorHAnsi" w:hAnsiTheme="minorHAnsi"/>
        </w:rPr>
        <w:t xml:space="preserve">. </w:t>
      </w:r>
    </w:p>
    <w:p w14:paraId="77422F0E" w14:textId="6F4681DB" w:rsidR="002A3A9D" w:rsidRPr="00902E61" w:rsidRDefault="004C3CD7" w:rsidP="007F5AE7">
      <w:pPr>
        <w:spacing w:line="480" w:lineRule="auto"/>
        <w:ind w:firstLine="360"/>
        <w:rPr>
          <w:rFonts w:asciiTheme="minorHAnsi" w:hAnsiTheme="minorHAnsi"/>
        </w:rPr>
      </w:pPr>
      <w:r w:rsidRPr="00902E61">
        <w:rPr>
          <w:rFonts w:asciiTheme="minorHAnsi" w:hAnsiTheme="minorHAnsi"/>
        </w:rPr>
        <w:t>Repeated yet</w:t>
      </w:r>
      <w:r w:rsidR="00230110" w:rsidRPr="00902E61">
        <w:rPr>
          <w:rFonts w:asciiTheme="minorHAnsi" w:hAnsiTheme="minorHAnsi"/>
        </w:rPr>
        <w:t xml:space="preserve"> unproductive </w:t>
      </w:r>
      <w:r w:rsidR="0094067F" w:rsidRPr="00902E61">
        <w:rPr>
          <w:rFonts w:asciiTheme="minorHAnsi" w:hAnsiTheme="minorHAnsi"/>
        </w:rPr>
        <w:t>attempts to encourage the MOHLTC to change its compensation practices</w:t>
      </w:r>
      <w:r w:rsidR="00597698" w:rsidRPr="00902E61">
        <w:rPr>
          <w:rFonts w:asciiTheme="minorHAnsi" w:hAnsiTheme="minorHAnsi"/>
        </w:rPr>
        <w:t xml:space="preserve"> led the</w:t>
      </w:r>
      <w:r w:rsidR="00230110" w:rsidRPr="00902E61">
        <w:rPr>
          <w:rFonts w:asciiTheme="minorHAnsi" w:hAnsiTheme="minorHAnsi"/>
        </w:rPr>
        <w:t xml:space="preserve"> AOM</w:t>
      </w:r>
      <w:r w:rsidR="0094067F" w:rsidRPr="00902E61">
        <w:rPr>
          <w:rFonts w:asciiTheme="minorHAnsi" w:hAnsiTheme="minorHAnsi"/>
        </w:rPr>
        <w:t xml:space="preserve"> </w:t>
      </w:r>
      <w:r w:rsidR="00230110" w:rsidRPr="00902E61">
        <w:rPr>
          <w:rFonts w:asciiTheme="minorHAnsi" w:hAnsiTheme="minorHAnsi"/>
        </w:rPr>
        <w:t>put increasing pressure on the</w:t>
      </w:r>
      <w:r w:rsidR="0094067F" w:rsidRPr="00902E61">
        <w:rPr>
          <w:rFonts w:asciiTheme="minorHAnsi" w:hAnsiTheme="minorHAnsi"/>
        </w:rPr>
        <w:t xml:space="preserve"> MOHLTC’s </w:t>
      </w:r>
      <w:r w:rsidR="00230110" w:rsidRPr="00902E61">
        <w:rPr>
          <w:rFonts w:asciiTheme="minorHAnsi" w:hAnsiTheme="minorHAnsi"/>
        </w:rPr>
        <w:t xml:space="preserve">through its </w:t>
      </w:r>
      <w:r w:rsidR="0094067F" w:rsidRPr="00902E61">
        <w:rPr>
          <w:rFonts w:asciiTheme="minorHAnsi" w:hAnsiTheme="minorHAnsi"/>
        </w:rPr>
        <w:t xml:space="preserve">designated </w:t>
      </w:r>
      <w:r w:rsidR="00736B67" w:rsidRPr="00902E61">
        <w:rPr>
          <w:rFonts w:asciiTheme="minorHAnsi" w:hAnsiTheme="minorHAnsi"/>
        </w:rPr>
        <w:t>internal</w:t>
      </w:r>
      <w:r w:rsidR="0094067F" w:rsidRPr="00902E61">
        <w:rPr>
          <w:rFonts w:asciiTheme="minorHAnsi" w:hAnsiTheme="minorHAnsi"/>
        </w:rPr>
        <w:t xml:space="preserve"> avenues for </w:t>
      </w:r>
      <w:r w:rsidR="00736B67" w:rsidRPr="00902E61">
        <w:rPr>
          <w:rFonts w:asciiTheme="minorHAnsi" w:hAnsiTheme="minorHAnsi"/>
        </w:rPr>
        <w:t>negotiations</w:t>
      </w:r>
      <w:r w:rsidR="00597698" w:rsidRPr="00902E61">
        <w:rPr>
          <w:rFonts w:asciiTheme="minorHAnsi" w:hAnsiTheme="minorHAnsi"/>
        </w:rPr>
        <w:t xml:space="preserve">. This same process </w:t>
      </w:r>
      <w:r w:rsidR="0094067F" w:rsidRPr="00902E61">
        <w:rPr>
          <w:rFonts w:asciiTheme="minorHAnsi" w:hAnsiTheme="minorHAnsi"/>
        </w:rPr>
        <w:t>had</w:t>
      </w:r>
      <w:r w:rsidR="00400FCB" w:rsidRPr="00902E61">
        <w:rPr>
          <w:rFonts w:asciiTheme="minorHAnsi" w:hAnsiTheme="minorHAnsi"/>
        </w:rPr>
        <w:t xml:space="preserve"> resulted in significant increases in compensation for </w:t>
      </w:r>
      <w:r w:rsidR="0094067F" w:rsidRPr="00902E61">
        <w:rPr>
          <w:rFonts w:asciiTheme="minorHAnsi" w:hAnsiTheme="minorHAnsi"/>
        </w:rPr>
        <w:t xml:space="preserve">CHC physicians, </w:t>
      </w:r>
      <w:r w:rsidR="00230110" w:rsidRPr="00902E61">
        <w:rPr>
          <w:rFonts w:asciiTheme="minorHAnsi" w:hAnsiTheme="minorHAnsi"/>
        </w:rPr>
        <w:t xml:space="preserve">whose compensation is also set by the Community Health and Promotion Branch </w:t>
      </w:r>
      <w:r w:rsidR="00B1423B" w:rsidRPr="00902E61">
        <w:rPr>
          <w:rFonts w:asciiTheme="minorHAnsi" w:hAnsiTheme="minorHAnsi"/>
        </w:rPr>
        <w:t>but are</w:t>
      </w:r>
      <w:r w:rsidR="000860C7" w:rsidRPr="00902E61">
        <w:rPr>
          <w:rFonts w:asciiTheme="minorHAnsi" w:hAnsiTheme="minorHAnsi"/>
        </w:rPr>
        <w:t xml:space="preserve"> represented by the </w:t>
      </w:r>
      <w:r w:rsidR="00B1423B" w:rsidRPr="00902E61">
        <w:rPr>
          <w:rFonts w:asciiTheme="minorHAnsi" w:hAnsiTheme="minorHAnsi"/>
        </w:rPr>
        <w:t xml:space="preserve">physician and male </w:t>
      </w:r>
      <w:r w:rsidR="00230110" w:rsidRPr="00902E61">
        <w:rPr>
          <w:rFonts w:asciiTheme="minorHAnsi" w:hAnsiTheme="minorHAnsi"/>
        </w:rPr>
        <w:t>dominated Ontario Medical Association (OMA) in their bargaining processes (AOM 2014; AOM 2016a).</w:t>
      </w:r>
      <w:r w:rsidR="00400FCB" w:rsidRPr="00902E61">
        <w:rPr>
          <w:rFonts w:asciiTheme="minorHAnsi" w:hAnsiTheme="minorHAnsi"/>
        </w:rPr>
        <w:t xml:space="preserve"> For midwives</w:t>
      </w:r>
      <w:r w:rsidR="000860C7" w:rsidRPr="00902E61">
        <w:rPr>
          <w:rFonts w:asciiTheme="minorHAnsi" w:hAnsiTheme="minorHAnsi"/>
        </w:rPr>
        <w:t xml:space="preserve">, </w:t>
      </w:r>
      <w:r w:rsidR="00400FCB" w:rsidRPr="00902E61">
        <w:rPr>
          <w:rFonts w:asciiTheme="minorHAnsi" w:hAnsiTheme="minorHAnsi"/>
        </w:rPr>
        <w:t>however, t</w:t>
      </w:r>
      <w:r w:rsidR="00230110" w:rsidRPr="00902E61">
        <w:rPr>
          <w:rFonts w:asciiTheme="minorHAnsi" w:hAnsiTheme="minorHAnsi"/>
        </w:rPr>
        <w:t>his drawn-out barg</w:t>
      </w:r>
      <w:r w:rsidR="00400FCB" w:rsidRPr="00902E61">
        <w:rPr>
          <w:rFonts w:asciiTheme="minorHAnsi" w:hAnsiTheme="minorHAnsi"/>
        </w:rPr>
        <w:t xml:space="preserve">aining process was ineffectual </w:t>
      </w:r>
      <w:r w:rsidR="00230110" w:rsidRPr="00902E61">
        <w:rPr>
          <w:rFonts w:asciiTheme="minorHAnsi" w:hAnsiTheme="minorHAnsi"/>
        </w:rPr>
        <w:t>and</w:t>
      </w:r>
      <w:r w:rsidR="00400FCB" w:rsidRPr="00902E61">
        <w:rPr>
          <w:rFonts w:asciiTheme="minorHAnsi" w:hAnsiTheme="minorHAnsi"/>
        </w:rPr>
        <w:t>,</w:t>
      </w:r>
      <w:r w:rsidR="00230110" w:rsidRPr="00902E61">
        <w:rPr>
          <w:rFonts w:asciiTheme="minorHAnsi" w:hAnsiTheme="minorHAnsi"/>
        </w:rPr>
        <w:t xml:space="preserve"> eventually</w:t>
      </w:r>
      <w:r w:rsidR="00400FCB" w:rsidRPr="00902E61">
        <w:rPr>
          <w:rFonts w:asciiTheme="minorHAnsi" w:hAnsiTheme="minorHAnsi"/>
        </w:rPr>
        <w:t xml:space="preserve"> in 2013,</w:t>
      </w:r>
      <w:r w:rsidR="00230110" w:rsidRPr="00902E61">
        <w:rPr>
          <w:rFonts w:asciiTheme="minorHAnsi" w:hAnsiTheme="minorHAnsi"/>
        </w:rPr>
        <w:t xml:space="preserve"> t</w:t>
      </w:r>
      <w:r w:rsidR="00955EF9" w:rsidRPr="00902E61">
        <w:rPr>
          <w:rFonts w:asciiTheme="minorHAnsi" w:hAnsiTheme="minorHAnsi"/>
        </w:rPr>
        <w:t xml:space="preserve">he </w:t>
      </w:r>
      <w:r w:rsidR="00597698" w:rsidRPr="00902E61">
        <w:rPr>
          <w:rFonts w:asciiTheme="minorHAnsi" w:hAnsiTheme="minorHAnsi"/>
        </w:rPr>
        <w:t>MOHLTC</w:t>
      </w:r>
      <w:r w:rsidR="00736B67" w:rsidRPr="00902E61">
        <w:rPr>
          <w:rFonts w:asciiTheme="minorHAnsi" w:hAnsiTheme="minorHAnsi"/>
        </w:rPr>
        <w:t xml:space="preserve"> informed the AOM </w:t>
      </w:r>
      <w:r w:rsidR="00955EF9" w:rsidRPr="00902E61">
        <w:rPr>
          <w:rFonts w:asciiTheme="minorHAnsi" w:hAnsiTheme="minorHAnsi"/>
        </w:rPr>
        <w:t xml:space="preserve"> </w:t>
      </w:r>
      <w:r w:rsidR="00736B67" w:rsidRPr="00902E61">
        <w:rPr>
          <w:rFonts w:asciiTheme="minorHAnsi" w:hAnsiTheme="minorHAnsi"/>
        </w:rPr>
        <w:t>that it would no longer negotiate the midwifery contract</w:t>
      </w:r>
      <w:r w:rsidR="00BF6503" w:rsidRPr="00902E61">
        <w:rPr>
          <w:rFonts w:asciiTheme="minorHAnsi" w:hAnsiTheme="minorHAnsi"/>
        </w:rPr>
        <w:t xml:space="preserve"> (AOM 2016a)</w:t>
      </w:r>
      <w:r w:rsidR="00736B67" w:rsidRPr="00902E61">
        <w:rPr>
          <w:rFonts w:asciiTheme="minorHAnsi" w:hAnsiTheme="minorHAnsi"/>
        </w:rPr>
        <w:t xml:space="preserve">. </w:t>
      </w:r>
      <w:r w:rsidR="0090517E" w:rsidRPr="00902E61">
        <w:rPr>
          <w:rFonts w:asciiTheme="minorHAnsi" w:hAnsiTheme="minorHAnsi"/>
        </w:rPr>
        <w:t>I</w:t>
      </w:r>
      <w:r w:rsidR="00846E16" w:rsidRPr="00902E61">
        <w:rPr>
          <w:rFonts w:asciiTheme="minorHAnsi" w:hAnsiTheme="minorHAnsi"/>
        </w:rPr>
        <w:t>n a province where pay equity is protected as a fundamental human right, and where</w:t>
      </w:r>
      <w:r w:rsidR="004B6A2B" w:rsidRPr="00902E61">
        <w:rPr>
          <w:rFonts w:asciiTheme="minorHAnsi" w:hAnsiTheme="minorHAnsi"/>
          <w:i/>
          <w:iCs/>
        </w:rPr>
        <w:t xml:space="preserve"> </w:t>
      </w:r>
      <w:r w:rsidR="00846E16" w:rsidRPr="00902E61">
        <w:rPr>
          <w:rFonts w:asciiTheme="minorHAnsi" w:hAnsiTheme="minorHAnsi"/>
        </w:rPr>
        <w:t>employers, including the government itself, have pro-active obligations</w:t>
      </w:r>
      <w:r w:rsidR="004B6A2B" w:rsidRPr="00902E61">
        <w:rPr>
          <w:rFonts w:asciiTheme="minorHAnsi" w:hAnsiTheme="minorHAnsi"/>
        </w:rPr>
        <w:t xml:space="preserve">, legislated under the </w:t>
      </w:r>
      <w:r w:rsidR="004B6A2B" w:rsidRPr="00902E61">
        <w:rPr>
          <w:rFonts w:asciiTheme="minorHAnsi" w:hAnsiTheme="minorHAnsi"/>
          <w:i/>
          <w:iCs/>
        </w:rPr>
        <w:t>Pay Equity Act</w:t>
      </w:r>
      <w:r w:rsidR="004B6A2B" w:rsidRPr="00902E61">
        <w:rPr>
          <w:rFonts w:asciiTheme="minorHAnsi" w:hAnsiTheme="minorHAnsi"/>
        </w:rPr>
        <w:t>,</w:t>
      </w:r>
      <w:r w:rsidR="00846E16" w:rsidRPr="00902E61">
        <w:rPr>
          <w:rFonts w:asciiTheme="minorHAnsi" w:hAnsiTheme="minorHAnsi"/>
        </w:rPr>
        <w:t xml:space="preserve"> to redress systemic discrimination </w:t>
      </w:r>
      <w:r w:rsidR="004B6A2B" w:rsidRPr="00902E61">
        <w:rPr>
          <w:rFonts w:asciiTheme="minorHAnsi" w:hAnsiTheme="minorHAnsi"/>
        </w:rPr>
        <w:t>in compensation, a branch of its</w:t>
      </w:r>
      <w:r w:rsidR="00846E16" w:rsidRPr="00902E61">
        <w:rPr>
          <w:rFonts w:asciiTheme="minorHAnsi" w:hAnsiTheme="minorHAnsi"/>
        </w:rPr>
        <w:t xml:space="preserve"> own ministry has been able to evade these very obligations. </w:t>
      </w:r>
      <w:r w:rsidR="00BF6503" w:rsidRPr="00902E61">
        <w:rPr>
          <w:rFonts w:asciiTheme="minorHAnsi" w:hAnsiTheme="minorHAnsi"/>
        </w:rPr>
        <w:t>And yet, w</w:t>
      </w:r>
      <w:r w:rsidR="0090517E" w:rsidRPr="00902E61">
        <w:rPr>
          <w:rFonts w:asciiTheme="minorHAnsi" w:hAnsiTheme="minorHAnsi"/>
        </w:rPr>
        <w:t xml:space="preserve">ell-aware of the </w:t>
      </w:r>
      <w:r w:rsidR="00736B67" w:rsidRPr="00902E61">
        <w:rPr>
          <w:rFonts w:asciiTheme="minorHAnsi" w:hAnsiTheme="minorHAnsi"/>
        </w:rPr>
        <w:t>systemic discrimination</w:t>
      </w:r>
      <w:r w:rsidR="00573167" w:rsidRPr="00902E61">
        <w:rPr>
          <w:rFonts w:asciiTheme="minorHAnsi" w:hAnsiTheme="minorHAnsi"/>
        </w:rPr>
        <w:t xml:space="preserve"> still</w:t>
      </w:r>
      <w:r w:rsidR="00846E16" w:rsidRPr="00902E61">
        <w:rPr>
          <w:rFonts w:asciiTheme="minorHAnsi" w:hAnsiTheme="minorHAnsi"/>
        </w:rPr>
        <w:t xml:space="preserve"> </w:t>
      </w:r>
      <w:r w:rsidR="0090517E" w:rsidRPr="00902E61">
        <w:rPr>
          <w:rFonts w:asciiTheme="minorHAnsi" w:hAnsiTheme="minorHAnsi"/>
        </w:rPr>
        <w:t>informing</w:t>
      </w:r>
      <w:r w:rsidR="003E3931" w:rsidRPr="00902E61">
        <w:rPr>
          <w:rFonts w:asciiTheme="minorHAnsi" w:hAnsiTheme="minorHAnsi"/>
        </w:rPr>
        <w:t xml:space="preserve"> their compensation</w:t>
      </w:r>
      <w:r w:rsidR="00846E16" w:rsidRPr="00902E61">
        <w:rPr>
          <w:rFonts w:asciiTheme="minorHAnsi" w:hAnsiTheme="minorHAnsi"/>
        </w:rPr>
        <w:t xml:space="preserve"> rates</w:t>
      </w:r>
      <w:r w:rsidR="003E3931" w:rsidRPr="00902E61">
        <w:rPr>
          <w:rFonts w:asciiTheme="minorHAnsi" w:hAnsiTheme="minorHAnsi"/>
        </w:rPr>
        <w:t xml:space="preserve">, </w:t>
      </w:r>
      <w:r w:rsidR="00736B67" w:rsidRPr="00902E61">
        <w:rPr>
          <w:rFonts w:asciiTheme="minorHAnsi" w:hAnsiTheme="minorHAnsi"/>
        </w:rPr>
        <w:t xml:space="preserve">Ontario </w:t>
      </w:r>
      <w:r w:rsidR="00846E16" w:rsidRPr="00902E61">
        <w:rPr>
          <w:rFonts w:asciiTheme="minorHAnsi" w:hAnsiTheme="minorHAnsi"/>
        </w:rPr>
        <w:t>midwives</w:t>
      </w:r>
      <w:r w:rsidR="00955EF9" w:rsidRPr="00902E61">
        <w:rPr>
          <w:rFonts w:asciiTheme="minorHAnsi" w:hAnsiTheme="minorHAnsi"/>
        </w:rPr>
        <w:t xml:space="preserve"> </w:t>
      </w:r>
      <w:r w:rsidR="00230110" w:rsidRPr="00902E61">
        <w:rPr>
          <w:rFonts w:asciiTheme="minorHAnsi" w:hAnsiTheme="minorHAnsi"/>
        </w:rPr>
        <w:t>instructed</w:t>
      </w:r>
      <w:r w:rsidR="00736B67" w:rsidRPr="00902E61">
        <w:rPr>
          <w:rFonts w:asciiTheme="minorHAnsi" w:hAnsiTheme="minorHAnsi"/>
        </w:rPr>
        <w:t xml:space="preserve"> the AOM to</w:t>
      </w:r>
      <w:r w:rsidR="00846E16" w:rsidRPr="00902E61">
        <w:rPr>
          <w:rFonts w:asciiTheme="minorHAnsi" w:hAnsiTheme="minorHAnsi"/>
        </w:rPr>
        <w:t xml:space="preserve"> </w:t>
      </w:r>
      <w:r w:rsidR="004B6A2B" w:rsidRPr="00902E61">
        <w:rPr>
          <w:rFonts w:asciiTheme="minorHAnsi" w:hAnsiTheme="minorHAnsi"/>
        </w:rPr>
        <w:t>try a new approach:</w:t>
      </w:r>
      <w:r w:rsidR="00846E16" w:rsidRPr="00902E61">
        <w:rPr>
          <w:rFonts w:asciiTheme="minorHAnsi" w:hAnsiTheme="minorHAnsi"/>
        </w:rPr>
        <w:t xml:space="preserve"> filing</w:t>
      </w:r>
      <w:r w:rsidR="00736B67" w:rsidRPr="00902E61">
        <w:rPr>
          <w:rFonts w:asciiTheme="minorHAnsi" w:hAnsiTheme="minorHAnsi"/>
        </w:rPr>
        <w:t xml:space="preserve"> an application with the </w:t>
      </w:r>
      <w:r w:rsidR="00597698" w:rsidRPr="00902E61">
        <w:rPr>
          <w:rFonts w:asciiTheme="minorHAnsi" w:hAnsiTheme="minorHAnsi"/>
        </w:rPr>
        <w:t>HRTO</w:t>
      </w:r>
      <w:r w:rsidR="0090517E" w:rsidRPr="00902E61">
        <w:rPr>
          <w:rFonts w:asciiTheme="minorHAnsi" w:hAnsiTheme="minorHAnsi"/>
        </w:rPr>
        <w:t xml:space="preserve"> alleging that</w:t>
      </w:r>
      <w:r w:rsidR="004B01F5" w:rsidRPr="00902E61">
        <w:rPr>
          <w:rFonts w:asciiTheme="minorHAnsi" w:hAnsiTheme="minorHAnsi"/>
        </w:rPr>
        <w:t xml:space="preserve">, in contravention of the </w:t>
      </w:r>
      <w:r w:rsidR="004B01F5" w:rsidRPr="00902E61">
        <w:rPr>
          <w:rFonts w:asciiTheme="minorHAnsi" w:hAnsiTheme="minorHAnsi"/>
          <w:i/>
          <w:iCs/>
        </w:rPr>
        <w:t>Human Rights Code</w:t>
      </w:r>
      <w:r w:rsidR="000860C7" w:rsidRPr="00902E61">
        <w:rPr>
          <w:rFonts w:asciiTheme="minorHAnsi" w:hAnsiTheme="minorHAnsi"/>
          <w:i/>
          <w:iCs/>
        </w:rPr>
        <w:t xml:space="preserve"> </w:t>
      </w:r>
      <w:r w:rsidR="000860C7" w:rsidRPr="00902E61">
        <w:rPr>
          <w:rFonts w:asciiTheme="minorHAnsi" w:hAnsiTheme="minorHAnsi"/>
        </w:rPr>
        <w:t>(</w:t>
      </w:r>
      <w:r w:rsidR="000860C7" w:rsidRPr="00902E61">
        <w:rPr>
          <w:rFonts w:asciiTheme="minorHAnsi" w:hAnsiTheme="minorHAnsi"/>
          <w:i/>
          <w:iCs/>
        </w:rPr>
        <w:t>HRC</w:t>
      </w:r>
      <w:r w:rsidR="000860C7" w:rsidRPr="00902E61">
        <w:rPr>
          <w:rFonts w:asciiTheme="minorHAnsi" w:hAnsiTheme="minorHAnsi"/>
        </w:rPr>
        <w:t>)</w:t>
      </w:r>
      <w:r w:rsidR="004B01F5" w:rsidRPr="00902E61">
        <w:rPr>
          <w:rFonts w:asciiTheme="minorHAnsi" w:hAnsiTheme="minorHAnsi"/>
        </w:rPr>
        <w:t>,</w:t>
      </w:r>
      <w:r w:rsidR="0090517E" w:rsidRPr="00902E61">
        <w:rPr>
          <w:rFonts w:asciiTheme="minorHAnsi" w:hAnsiTheme="minorHAnsi"/>
        </w:rPr>
        <w:t xml:space="preserve"> the MOHLTC continually and systematically set a discriminatory compensation structure for midwives</w:t>
      </w:r>
      <w:r w:rsidR="00230110" w:rsidRPr="00902E61">
        <w:rPr>
          <w:rFonts w:asciiTheme="minorHAnsi" w:hAnsiTheme="minorHAnsi"/>
        </w:rPr>
        <w:t xml:space="preserve"> (AOM 2014)</w:t>
      </w:r>
      <w:r w:rsidR="00736B67" w:rsidRPr="00902E61">
        <w:rPr>
          <w:rFonts w:asciiTheme="minorHAnsi" w:hAnsiTheme="minorHAnsi"/>
        </w:rPr>
        <w:t xml:space="preserve">. </w:t>
      </w:r>
      <w:r w:rsidR="003E3931" w:rsidRPr="00902E61">
        <w:rPr>
          <w:rFonts w:asciiTheme="minorHAnsi" w:hAnsiTheme="minorHAnsi"/>
        </w:rPr>
        <w:t xml:space="preserve">Unlike the </w:t>
      </w:r>
      <w:r w:rsidR="003E3931" w:rsidRPr="00902E61">
        <w:rPr>
          <w:rFonts w:asciiTheme="minorHAnsi" w:hAnsiTheme="minorHAnsi"/>
          <w:i/>
          <w:iCs/>
        </w:rPr>
        <w:t>PEA,</w:t>
      </w:r>
      <w:r w:rsidR="003E3931" w:rsidRPr="00902E61">
        <w:rPr>
          <w:rFonts w:asciiTheme="minorHAnsi" w:hAnsiTheme="minorHAnsi"/>
        </w:rPr>
        <w:t xml:space="preserve"> which excludes midwives as independent contractors, the </w:t>
      </w:r>
      <w:r w:rsidR="003E3931" w:rsidRPr="00902E61">
        <w:rPr>
          <w:rFonts w:asciiTheme="minorHAnsi" w:hAnsiTheme="minorHAnsi"/>
          <w:i/>
          <w:iCs/>
        </w:rPr>
        <w:t>HRC</w:t>
      </w:r>
      <w:r w:rsidR="003E3931" w:rsidRPr="00902E61">
        <w:rPr>
          <w:rFonts w:asciiTheme="minorHAnsi" w:hAnsiTheme="minorHAnsi"/>
        </w:rPr>
        <w:t xml:space="preserve"> defines employment more broadly and extend</w:t>
      </w:r>
      <w:r w:rsidR="00BF6503" w:rsidRPr="00902E61">
        <w:rPr>
          <w:rFonts w:asciiTheme="minorHAnsi" w:hAnsiTheme="minorHAnsi"/>
        </w:rPr>
        <w:t>s</w:t>
      </w:r>
      <w:r w:rsidR="003E3931" w:rsidRPr="00902E61">
        <w:rPr>
          <w:rFonts w:asciiTheme="minorHAnsi" w:hAnsiTheme="minorHAnsi"/>
        </w:rPr>
        <w:t xml:space="preserve"> protections </w:t>
      </w:r>
      <w:r w:rsidR="0090517E" w:rsidRPr="00902E61">
        <w:rPr>
          <w:rFonts w:asciiTheme="minorHAnsi" w:hAnsiTheme="minorHAnsi"/>
        </w:rPr>
        <w:t>against</w:t>
      </w:r>
      <w:r w:rsidR="003E3931" w:rsidRPr="00902E61">
        <w:rPr>
          <w:rFonts w:asciiTheme="minorHAnsi" w:hAnsiTheme="minorHAnsi"/>
        </w:rPr>
        <w:t xml:space="preserve"> unequal treatment on the basis of sex to independent</w:t>
      </w:r>
      <w:r w:rsidR="0090517E" w:rsidRPr="00902E61">
        <w:rPr>
          <w:rFonts w:asciiTheme="minorHAnsi" w:hAnsiTheme="minorHAnsi"/>
        </w:rPr>
        <w:t xml:space="preserve"> contractors and subcontractors</w:t>
      </w:r>
      <w:r w:rsidR="00BF6503" w:rsidRPr="00902E61">
        <w:rPr>
          <w:rFonts w:asciiTheme="minorHAnsi" w:hAnsiTheme="minorHAnsi"/>
        </w:rPr>
        <w:t>, employees</w:t>
      </w:r>
      <w:r w:rsidR="0090517E" w:rsidRPr="00902E61">
        <w:rPr>
          <w:rFonts w:asciiTheme="minorHAnsi" w:hAnsiTheme="minorHAnsi"/>
        </w:rPr>
        <w:t xml:space="preserve"> who may not have a “direct employer,”</w:t>
      </w:r>
      <w:r w:rsidR="00BF6503" w:rsidRPr="00902E61">
        <w:rPr>
          <w:rFonts w:asciiTheme="minorHAnsi" w:hAnsiTheme="minorHAnsi"/>
        </w:rPr>
        <w:t xml:space="preserve"> in the traditional sense.</w:t>
      </w:r>
      <w:r w:rsidR="00400FCB" w:rsidRPr="00902E61">
        <w:rPr>
          <w:rFonts w:asciiTheme="minorHAnsi" w:hAnsiTheme="minorHAnsi"/>
        </w:rPr>
        <w:t xml:space="preserve"> </w:t>
      </w:r>
      <w:r w:rsidR="00573167" w:rsidRPr="00902E61">
        <w:rPr>
          <w:rFonts w:asciiTheme="minorHAnsi" w:hAnsiTheme="minorHAnsi"/>
        </w:rPr>
        <w:t xml:space="preserve">The </w:t>
      </w:r>
      <w:r w:rsidR="00573167" w:rsidRPr="00902E61">
        <w:rPr>
          <w:rFonts w:asciiTheme="minorHAnsi" w:hAnsiTheme="minorHAnsi"/>
          <w:i/>
          <w:iCs/>
        </w:rPr>
        <w:t>PEA</w:t>
      </w:r>
      <w:r w:rsidR="00573167" w:rsidRPr="00902E61">
        <w:rPr>
          <w:rFonts w:asciiTheme="minorHAnsi" w:hAnsiTheme="minorHAnsi"/>
        </w:rPr>
        <w:t xml:space="preserve">, and </w:t>
      </w:r>
      <w:r w:rsidR="00573167" w:rsidRPr="00902E61">
        <w:rPr>
          <w:rFonts w:asciiTheme="minorHAnsi" w:hAnsiTheme="minorHAnsi"/>
        </w:rPr>
        <w:lastRenderedPageBreak/>
        <w:t>specifically its</w:t>
      </w:r>
      <w:r w:rsidR="00230110" w:rsidRPr="00902E61">
        <w:rPr>
          <w:rFonts w:asciiTheme="minorHAnsi" w:hAnsiTheme="minorHAnsi"/>
        </w:rPr>
        <w:t xml:space="preserve"> reliance on</w:t>
      </w:r>
      <w:r w:rsidR="00573167" w:rsidRPr="00902E61">
        <w:rPr>
          <w:rFonts w:asciiTheme="minorHAnsi" w:hAnsiTheme="minorHAnsi"/>
        </w:rPr>
        <w:t xml:space="preserve"> job evaluation</w:t>
      </w:r>
      <w:r w:rsidR="00230110" w:rsidRPr="00902E61">
        <w:rPr>
          <w:rFonts w:asciiTheme="minorHAnsi" w:hAnsiTheme="minorHAnsi"/>
        </w:rPr>
        <w:t xml:space="preserve"> processes</w:t>
      </w:r>
      <w:r w:rsidR="00573167" w:rsidRPr="00902E61">
        <w:rPr>
          <w:rFonts w:asciiTheme="minorHAnsi" w:hAnsiTheme="minorHAnsi"/>
        </w:rPr>
        <w:t xml:space="preserve">, is still central to this case however, which </w:t>
      </w:r>
      <w:r w:rsidR="002A3A9D" w:rsidRPr="00902E61">
        <w:rPr>
          <w:rFonts w:asciiTheme="minorHAnsi" w:hAnsiTheme="minorHAnsi"/>
        </w:rPr>
        <w:t xml:space="preserve">relies heavily </w:t>
      </w:r>
      <w:r w:rsidR="00573167" w:rsidRPr="00902E61">
        <w:rPr>
          <w:rFonts w:asciiTheme="minorHAnsi" w:hAnsiTheme="minorHAnsi"/>
        </w:rPr>
        <w:t>on the existence of a comparator—namely</w:t>
      </w:r>
      <w:r w:rsidR="00230110" w:rsidRPr="00902E61">
        <w:rPr>
          <w:rFonts w:asciiTheme="minorHAnsi" w:hAnsiTheme="minorHAnsi"/>
        </w:rPr>
        <w:t>,</w:t>
      </w:r>
      <w:r w:rsidR="00573167" w:rsidRPr="00902E61">
        <w:rPr>
          <w:rFonts w:asciiTheme="minorHAnsi" w:hAnsiTheme="minorHAnsi"/>
        </w:rPr>
        <w:t xml:space="preserve"> CHC physicians</w:t>
      </w:r>
      <w:r w:rsidR="002A3A9D" w:rsidRPr="00902E61">
        <w:rPr>
          <w:rFonts w:asciiTheme="minorHAnsi" w:hAnsiTheme="minorHAnsi"/>
        </w:rPr>
        <w:t xml:space="preserve">—to identify </w:t>
      </w:r>
      <w:r w:rsidR="00230110" w:rsidRPr="00902E61">
        <w:rPr>
          <w:rFonts w:asciiTheme="minorHAnsi" w:hAnsiTheme="minorHAnsi"/>
        </w:rPr>
        <w:t>and rectify a persistent and significant</w:t>
      </w:r>
      <w:r w:rsidR="002A3A9D" w:rsidRPr="00902E61">
        <w:rPr>
          <w:rFonts w:asciiTheme="minorHAnsi" w:hAnsiTheme="minorHAnsi"/>
        </w:rPr>
        <w:t xml:space="preserve"> gap in pay</w:t>
      </w:r>
      <w:r w:rsidR="00573167" w:rsidRPr="00902E61">
        <w:rPr>
          <w:rFonts w:asciiTheme="minorHAnsi" w:hAnsiTheme="minorHAnsi"/>
        </w:rPr>
        <w:t>. The next section will explore the possibilit</w:t>
      </w:r>
      <w:r w:rsidR="007507C3" w:rsidRPr="00902E61">
        <w:rPr>
          <w:rFonts w:asciiTheme="minorHAnsi" w:hAnsiTheme="minorHAnsi"/>
        </w:rPr>
        <w:t xml:space="preserve">ies and limitations of </w:t>
      </w:r>
      <w:r w:rsidR="002A3A9D" w:rsidRPr="00902E61">
        <w:rPr>
          <w:rFonts w:asciiTheme="minorHAnsi" w:hAnsiTheme="minorHAnsi"/>
        </w:rPr>
        <w:t xml:space="preserve">job evaluation in this context. </w:t>
      </w:r>
    </w:p>
    <w:p w14:paraId="39EED2EE" w14:textId="5169A726" w:rsidR="002A3A9D" w:rsidRPr="00902E61" w:rsidRDefault="002A3A9D" w:rsidP="007F5AE7">
      <w:pPr>
        <w:spacing w:line="480" w:lineRule="auto"/>
        <w:ind w:firstLine="360"/>
        <w:rPr>
          <w:rFonts w:asciiTheme="minorHAnsi" w:hAnsiTheme="minorHAnsi"/>
        </w:rPr>
      </w:pPr>
    </w:p>
    <w:p w14:paraId="69E77FA7" w14:textId="7EF09A4D" w:rsidR="00C91307" w:rsidRPr="00902E61" w:rsidRDefault="004E4642" w:rsidP="000860C7">
      <w:pPr>
        <w:spacing w:line="480" w:lineRule="auto"/>
        <w:rPr>
          <w:rFonts w:asciiTheme="minorHAnsi" w:hAnsiTheme="minorHAnsi"/>
          <w:b/>
          <w:bCs/>
        </w:rPr>
      </w:pPr>
      <w:r w:rsidRPr="00902E61">
        <w:rPr>
          <w:rFonts w:asciiTheme="minorHAnsi" w:hAnsiTheme="minorHAnsi"/>
          <w:b/>
          <w:bCs/>
        </w:rPr>
        <w:t>Section</w:t>
      </w:r>
      <w:r w:rsidR="00400FCB" w:rsidRPr="00902E61">
        <w:rPr>
          <w:rFonts w:asciiTheme="minorHAnsi" w:hAnsiTheme="minorHAnsi"/>
          <w:b/>
          <w:bCs/>
        </w:rPr>
        <w:t xml:space="preserve"> 3: </w:t>
      </w:r>
      <w:r w:rsidR="00400FCB" w:rsidRPr="00902E61">
        <w:rPr>
          <w:rFonts w:asciiTheme="minorHAnsi" w:hAnsiTheme="minorHAnsi"/>
          <w:b/>
          <w:bCs/>
          <w:i/>
          <w:iCs/>
        </w:rPr>
        <w:t>What if</w:t>
      </w:r>
      <w:r w:rsidR="00400FCB" w:rsidRPr="00902E61">
        <w:rPr>
          <w:rFonts w:asciiTheme="minorHAnsi" w:hAnsiTheme="minorHAnsi"/>
          <w:b/>
          <w:bCs/>
        </w:rPr>
        <w:t xml:space="preserve"> Midwives were Covered by the PEA? The possibilities and Limitations of a Comparator-Oriented Policy Approach to Pay Equity </w:t>
      </w:r>
    </w:p>
    <w:p w14:paraId="0C2DE00E" w14:textId="1FA5CDCE" w:rsidR="004C3CD7" w:rsidRPr="00902E61" w:rsidRDefault="004C3CD7" w:rsidP="007F5AE7">
      <w:pPr>
        <w:spacing w:line="480" w:lineRule="auto"/>
        <w:rPr>
          <w:rFonts w:asciiTheme="minorHAnsi" w:hAnsiTheme="minorHAnsi"/>
        </w:rPr>
      </w:pPr>
      <w:r w:rsidRPr="00902E61">
        <w:rPr>
          <w:rFonts w:asciiTheme="minorHAnsi" w:hAnsiTheme="minorHAnsi"/>
        </w:rPr>
        <w:t xml:space="preserve">In a pay equity policy framework, job evaluation is central to measuring value and identifying gendered pay inequities. Originally developed in the early twentieth century to allow managers and employers to legitimize occupational hierarchies and pay scales, and to uphold the distinction between managerial and non-managerial jobs (Evans and Nelson 1991), in historic and contemporary mainstream use, job evaluation is </w:t>
      </w:r>
      <w:r w:rsidR="0035135A" w:rsidRPr="00902E61">
        <w:rPr>
          <w:rFonts w:asciiTheme="minorHAnsi" w:hAnsiTheme="minorHAnsi"/>
        </w:rPr>
        <w:t xml:space="preserve">a </w:t>
      </w:r>
      <w:r w:rsidRPr="00902E61">
        <w:rPr>
          <w:rFonts w:asciiTheme="minorHAnsi" w:hAnsiTheme="minorHAnsi"/>
        </w:rPr>
        <w:t xml:space="preserve">highly politicized mechanism (Steinberg 1991). Pay equity policy has appropriated this process in a dual effort to reveal </w:t>
      </w:r>
      <w:r w:rsidR="0035135A" w:rsidRPr="00902E61">
        <w:rPr>
          <w:rFonts w:asciiTheme="minorHAnsi" w:hAnsiTheme="minorHAnsi"/>
        </w:rPr>
        <w:t>how</w:t>
      </w:r>
      <w:r w:rsidRPr="00902E61">
        <w:rPr>
          <w:rFonts w:asciiTheme="minorHAnsi" w:hAnsiTheme="minorHAnsi"/>
        </w:rPr>
        <w:t xml:space="preserve"> accepted evaluation systems, while apparently technical, abstract, and without bias, </w:t>
      </w:r>
      <w:r w:rsidR="0035135A" w:rsidRPr="00902E61">
        <w:rPr>
          <w:rFonts w:asciiTheme="minorHAnsi" w:hAnsiTheme="minorHAnsi"/>
        </w:rPr>
        <w:t>actually</w:t>
      </w:r>
      <w:r w:rsidRPr="00902E61">
        <w:rPr>
          <w:rFonts w:asciiTheme="minorHAnsi" w:hAnsiTheme="minorHAnsi"/>
        </w:rPr>
        <w:t xml:space="preserve"> centre</w:t>
      </w:r>
      <w:r w:rsidR="006F2A76" w:rsidRPr="00902E61">
        <w:rPr>
          <w:rFonts w:asciiTheme="minorHAnsi" w:hAnsiTheme="minorHAnsi"/>
        </w:rPr>
        <w:t xml:space="preserve"> dominant employment norms when measuring</w:t>
      </w:r>
      <w:r w:rsidRPr="00902E61">
        <w:rPr>
          <w:rFonts w:asciiTheme="minorHAnsi" w:hAnsiTheme="minorHAnsi"/>
        </w:rPr>
        <w:t xml:space="preserve"> “sameness” or “difference,” while simultaneously challenging gendered occupational segregation (Kainer 1996). It is not always possible, however, to exercise feminist oversight of the job evaluation process to ensure gender, class, and race hierarchies that inform the wage setting process are identified and dismantled; even in cases where the collaborative job evaluation process is guided by effected workers, unions, and employers</w:t>
      </w:r>
      <w:r w:rsidR="0035135A" w:rsidRPr="00902E61">
        <w:rPr>
          <w:rFonts w:asciiTheme="minorHAnsi" w:hAnsiTheme="minorHAnsi"/>
        </w:rPr>
        <w:t>,</w:t>
      </w:r>
      <w:r w:rsidRPr="00902E61">
        <w:rPr>
          <w:rFonts w:asciiTheme="minorHAnsi" w:hAnsiTheme="minorHAnsi"/>
        </w:rPr>
        <w:t xml:space="preserve"> implementation and subsequent wage adjustments</w:t>
      </w:r>
      <w:r w:rsidR="0035135A" w:rsidRPr="00902E61">
        <w:rPr>
          <w:rFonts w:asciiTheme="minorHAnsi" w:hAnsiTheme="minorHAnsi"/>
        </w:rPr>
        <w:t xml:space="preserve"> often </w:t>
      </w:r>
      <w:r w:rsidRPr="00902E61">
        <w:rPr>
          <w:rFonts w:asciiTheme="minorHAnsi" w:hAnsiTheme="minorHAnsi"/>
        </w:rPr>
        <w:t>depend</w:t>
      </w:r>
      <w:r w:rsidR="0035135A" w:rsidRPr="00902E61">
        <w:rPr>
          <w:rFonts w:asciiTheme="minorHAnsi" w:hAnsiTheme="minorHAnsi"/>
        </w:rPr>
        <w:t>s</w:t>
      </w:r>
      <w:r w:rsidRPr="00902E61">
        <w:rPr>
          <w:rFonts w:asciiTheme="minorHAnsi" w:hAnsiTheme="minorHAnsi"/>
        </w:rPr>
        <w:t xml:space="preserve"> on the balance </w:t>
      </w:r>
      <w:r w:rsidR="0035135A" w:rsidRPr="00902E61">
        <w:rPr>
          <w:rFonts w:asciiTheme="minorHAnsi" w:hAnsiTheme="minorHAnsi"/>
        </w:rPr>
        <w:t xml:space="preserve">of </w:t>
      </w:r>
      <w:r w:rsidRPr="00902E61">
        <w:rPr>
          <w:rFonts w:asciiTheme="minorHAnsi" w:hAnsiTheme="minorHAnsi"/>
        </w:rPr>
        <w:t>power between</w:t>
      </w:r>
      <w:r w:rsidR="001D7959">
        <w:rPr>
          <w:rFonts w:asciiTheme="minorHAnsi" w:hAnsiTheme="minorHAnsi"/>
        </w:rPr>
        <w:t xml:space="preserve"> and among</w:t>
      </w:r>
      <w:r w:rsidRPr="00902E61">
        <w:rPr>
          <w:rFonts w:asciiTheme="minorHAnsi" w:hAnsiTheme="minorHAnsi"/>
        </w:rPr>
        <w:t xml:space="preserve"> workers, unions, and employers </w:t>
      </w:r>
      <w:r w:rsidRPr="00902E61">
        <w:rPr>
          <w:rFonts w:asciiTheme="minorHAnsi" w:hAnsiTheme="minorHAnsi"/>
        </w:rPr>
        <w:lastRenderedPageBreak/>
        <w:t>(Steinberg 1991).</w:t>
      </w:r>
      <w:r w:rsidRPr="00902E61">
        <w:rPr>
          <w:rStyle w:val="FootnoteReference"/>
          <w:rFonts w:asciiTheme="minorHAnsi" w:hAnsiTheme="minorHAnsi"/>
        </w:rPr>
        <w:footnoteReference w:id="6"/>
      </w:r>
      <w:r w:rsidRPr="00902E61">
        <w:rPr>
          <w:rFonts w:asciiTheme="minorHAnsi" w:hAnsiTheme="minorHAnsi"/>
        </w:rPr>
        <w:t xml:space="preserve"> Additionally, the need for a comparable worker can serve to counteractively centre male workers and </w:t>
      </w:r>
      <w:r w:rsidR="00155FA2" w:rsidRPr="00902E61">
        <w:rPr>
          <w:rFonts w:asciiTheme="minorHAnsi" w:hAnsiTheme="minorHAnsi"/>
        </w:rPr>
        <w:t xml:space="preserve">skills and work arrangements traditionally associated with men </w:t>
      </w:r>
      <w:r w:rsidRPr="00902E61">
        <w:rPr>
          <w:rFonts w:asciiTheme="minorHAnsi" w:hAnsiTheme="minorHAnsi"/>
        </w:rPr>
        <w:t>via implementation. For instance, for those occupations in close proximity to highly valued jobs, the pursuit and identification of a comparator can assist in securing better wages. Yet, for those workers who cannot locate a comparator, or for whom the comparator is similarly devalued, equal treatment reproduces the status quo (Acker 1989; Steinberg 1991; Vosko 2010). This sect</w:t>
      </w:r>
      <w:r w:rsidR="00A62B1F" w:rsidRPr="00902E61">
        <w:rPr>
          <w:rFonts w:asciiTheme="minorHAnsi" w:hAnsiTheme="minorHAnsi"/>
        </w:rPr>
        <w:t>ion first outlines how</w:t>
      </w:r>
      <w:r w:rsidR="005B1A8F" w:rsidRPr="00902E61">
        <w:rPr>
          <w:rFonts w:asciiTheme="minorHAnsi" w:hAnsiTheme="minorHAnsi"/>
        </w:rPr>
        <w:t>, upon regulation in 1994,</w:t>
      </w:r>
      <w:r w:rsidR="00A62B1F" w:rsidRPr="00902E61">
        <w:rPr>
          <w:rFonts w:asciiTheme="minorHAnsi" w:hAnsiTheme="minorHAnsi"/>
        </w:rPr>
        <w:t xml:space="preserve"> midwives received a</w:t>
      </w:r>
      <w:r w:rsidR="005B1A8F" w:rsidRPr="00902E61">
        <w:rPr>
          <w:rFonts w:asciiTheme="minorHAnsi" w:hAnsiTheme="minorHAnsi"/>
        </w:rPr>
        <w:t xml:space="preserve"> one-time </w:t>
      </w:r>
      <w:r w:rsidR="00A62B1F" w:rsidRPr="00902E61">
        <w:rPr>
          <w:rFonts w:asciiTheme="minorHAnsi" w:hAnsiTheme="minorHAnsi"/>
        </w:rPr>
        <w:t>pay equity adjustment</w:t>
      </w:r>
      <w:r w:rsidR="00DB3150" w:rsidRPr="00902E61">
        <w:rPr>
          <w:rFonts w:asciiTheme="minorHAnsi" w:hAnsiTheme="minorHAnsi"/>
        </w:rPr>
        <w:t>, after which the MOHLTC</w:t>
      </w:r>
      <w:r w:rsidR="00202892" w:rsidRPr="00902E61">
        <w:rPr>
          <w:rFonts w:asciiTheme="minorHAnsi" w:hAnsiTheme="minorHAnsi"/>
        </w:rPr>
        <w:t xml:space="preserve"> defended its continuous and intentional disregard for the AOM’s pay equity concerns as</w:t>
      </w:r>
      <w:r w:rsidR="00400FCB" w:rsidRPr="00902E61">
        <w:rPr>
          <w:rFonts w:asciiTheme="minorHAnsi" w:hAnsiTheme="minorHAnsi"/>
        </w:rPr>
        <w:t xml:space="preserve"> the </w:t>
      </w:r>
      <w:r w:rsidR="00202892" w:rsidRPr="00902E61">
        <w:rPr>
          <w:rFonts w:asciiTheme="minorHAnsi" w:hAnsiTheme="minorHAnsi"/>
        </w:rPr>
        <w:t xml:space="preserve">result of midwives’ </w:t>
      </w:r>
      <w:r w:rsidR="004E4289" w:rsidRPr="00902E61">
        <w:rPr>
          <w:rFonts w:asciiTheme="minorHAnsi" w:hAnsiTheme="minorHAnsi"/>
        </w:rPr>
        <w:t xml:space="preserve">independent contractor </w:t>
      </w:r>
      <w:r w:rsidR="00202892" w:rsidRPr="00902E61">
        <w:rPr>
          <w:rFonts w:asciiTheme="minorHAnsi" w:hAnsiTheme="minorHAnsi"/>
        </w:rPr>
        <w:t xml:space="preserve">status. Then, putting the independent contractor exclusion aside, hypothetically, I ask: if the </w:t>
      </w:r>
      <w:r w:rsidR="00202892" w:rsidRPr="00902E61">
        <w:rPr>
          <w:rFonts w:asciiTheme="minorHAnsi" w:hAnsiTheme="minorHAnsi"/>
          <w:i/>
          <w:iCs/>
        </w:rPr>
        <w:t xml:space="preserve">PEA </w:t>
      </w:r>
      <w:r w:rsidR="00202892" w:rsidRPr="00902E61">
        <w:rPr>
          <w:rFonts w:asciiTheme="minorHAnsi" w:hAnsiTheme="minorHAnsi"/>
        </w:rPr>
        <w:t>were</w:t>
      </w:r>
      <w:r w:rsidR="00202892" w:rsidRPr="00902E61">
        <w:rPr>
          <w:rFonts w:asciiTheme="minorHAnsi" w:hAnsiTheme="minorHAnsi"/>
          <w:i/>
          <w:iCs/>
        </w:rPr>
        <w:t xml:space="preserve"> </w:t>
      </w:r>
      <w:r w:rsidR="00202892" w:rsidRPr="00902E61">
        <w:rPr>
          <w:rFonts w:asciiTheme="minorHAnsi" w:hAnsiTheme="minorHAnsi"/>
        </w:rPr>
        <w:t xml:space="preserve">to apply to this female-dominated occupation, what would the possibilities and limitations of the comparator-oriented job evaluation method be? </w:t>
      </w:r>
      <w:r w:rsidR="004E4289" w:rsidRPr="00902E61">
        <w:rPr>
          <w:rFonts w:asciiTheme="minorHAnsi" w:hAnsiTheme="minorHAnsi"/>
        </w:rPr>
        <w:t xml:space="preserve">And does the comparator-oriented </w:t>
      </w:r>
      <w:r w:rsidR="004E4289" w:rsidRPr="00902E61">
        <w:rPr>
          <w:rFonts w:asciiTheme="minorHAnsi" w:hAnsiTheme="minorHAnsi"/>
          <w:i/>
          <w:iCs/>
        </w:rPr>
        <w:t>PEA</w:t>
      </w:r>
      <w:r w:rsidR="004E4289" w:rsidRPr="00902E61">
        <w:rPr>
          <w:rFonts w:asciiTheme="minorHAnsi" w:hAnsiTheme="minorHAnsi"/>
        </w:rPr>
        <w:t xml:space="preserve"> address and challenge or reproduce and intensify gendered disparities in compensation? </w:t>
      </w:r>
      <w:r w:rsidR="00202892" w:rsidRPr="00902E61">
        <w:rPr>
          <w:rFonts w:asciiTheme="minorHAnsi" w:hAnsiTheme="minorHAnsi"/>
        </w:rPr>
        <w:t xml:space="preserve"> </w:t>
      </w:r>
    </w:p>
    <w:p w14:paraId="2D22892F" w14:textId="0BB5CE03" w:rsidR="004C3CD7" w:rsidRPr="00902E61" w:rsidRDefault="00202892" w:rsidP="007F5AE7">
      <w:pPr>
        <w:spacing w:line="480" w:lineRule="auto"/>
        <w:rPr>
          <w:rFonts w:asciiTheme="minorHAnsi" w:hAnsiTheme="minorHAnsi"/>
        </w:rPr>
      </w:pPr>
      <w:r w:rsidRPr="00902E61">
        <w:rPr>
          <w:rFonts w:asciiTheme="minorHAnsi" w:hAnsiTheme="minorHAnsi"/>
        </w:rPr>
        <w:tab/>
      </w:r>
      <w:r w:rsidR="00A62B1F" w:rsidRPr="00902E61">
        <w:rPr>
          <w:rFonts w:asciiTheme="minorHAnsi" w:hAnsiTheme="minorHAnsi"/>
        </w:rPr>
        <w:t xml:space="preserve">In Ontario, all private and public sector employers with more than 10 employees are required, by the </w:t>
      </w:r>
      <w:r w:rsidR="00A62B1F" w:rsidRPr="00902E61">
        <w:rPr>
          <w:rFonts w:asciiTheme="minorHAnsi" w:hAnsiTheme="minorHAnsi"/>
          <w:i/>
          <w:iCs/>
        </w:rPr>
        <w:t>PEA</w:t>
      </w:r>
      <w:r w:rsidR="00A62B1F" w:rsidRPr="00902E61">
        <w:rPr>
          <w:rFonts w:asciiTheme="minorHAnsi" w:hAnsiTheme="minorHAnsi"/>
        </w:rPr>
        <w:t>, to develop and implement a pay equity plan. The first step in this process is determining job classes and their gender predominance</w:t>
      </w:r>
      <w:r w:rsidR="00A62B1F" w:rsidRPr="00902E61">
        <w:rPr>
          <w:rStyle w:val="FootnoteReference"/>
          <w:rFonts w:asciiTheme="minorHAnsi" w:hAnsiTheme="minorHAnsi"/>
        </w:rPr>
        <w:footnoteReference w:id="7"/>
      </w:r>
      <w:r w:rsidR="00A62B1F" w:rsidRPr="00902E61">
        <w:rPr>
          <w:rFonts w:asciiTheme="minorHAnsi" w:hAnsiTheme="minorHAnsi"/>
        </w:rPr>
        <w:t xml:space="preserve">;  then, the value of a “female-job class,”  is established by using a “gender-neutral comparison system based on skill, effort, </w:t>
      </w:r>
      <w:r w:rsidR="00A62B1F" w:rsidRPr="00902E61">
        <w:rPr>
          <w:rFonts w:asciiTheme="minorHAnsi" w:hAnsiTheme="minorHAnsi"/>
        </w:rPr>
        <w:lastRenderedPageBreak/>
        <w:t>responsibility, and working conditions” (Handman and Jensen 1999, p. 82).</w:t>
      </w:r>
      <w:r w:rsidR="00A62B1F" w:rsidRPr="00902E61">
        <w:rPr>
          <w:rStyle w:val="FootnoteReference"/>
          <w:rFonts w:asciiTheme="minorHAnsi" w:hAnsiTheme="minorHAnsi"/>
        </w:rPr>
        <w:footnoteReference w:id="8"/>
      </w:r>
      <w:r w:rsidR="00A62B1F" w:rsidRPr="00902E61">
        <w:rPr>
          <w:rFonts w:asciiTheme="minorHAnsi" w:hAnsiTheme="minorHAnsi"/>
        </w:rPr>
        <w:t xml:space="preserve"> Once the female job class is evaluated, it is compared to a male job class of “equal or comparable value” (Handman and Jensen 1999 p. 82). If this comparison process reveals a gap in pay that cannot be accounted for by factors such as “seniority, merit, or a shortage of qualified recruits,” the employer is required to adjust compensation rates so that the women workers in question are paid the same amount as their male comparators (Handman and Jensen 1999, p. 82, 84). </w:t>
      </w:r>
    </w:p>
    <w:p w14:paraId="37987D8C" w14:textId="22457FBF" w:rsidR="006236F5" w:rsidRPr="00902E61" w:rsidRDefault="006236F5" w:rsidP="007F5AE7">
      <w:pPr>
        <w:spacing w:line="480" w:lineRule="auto"/>
        <w:ind w:firstLine="720"/>
        <w:rPr>
          <w:rFonts w:asciiTheme="minorHAnsi" w:hAnsiTheme="minorHAnsi"/>
        </w:rPr>
      </w:pPr>
      <w:r w:rsidRPr="00902E61">
        <w:rPr>
          <w:rFonts w:asciiTheme="minorHAnsi" w:hAnsiTheme="minorHAnsi"/>
        </w:rPr>
        <w:t xml:space="preserve">Because job </w:t>
      </w:r>
      <w:r w:rsidR="00A62B1F" w:rsidRPr="00902E61">
        <w:rPr>
          <w:rFonts w:asciiTheme="minorHAnsi" w:hAnsiTheme="minorHAnsi"/>
        </w:rPr>
        <w:t>e</w:t>
      </w:r>
      <w:r w:rsidRPr="00902E61">
        <w:rPr>
          <w:rFonts w:asciiTheme="minorHAnsi" w:hAnsiTheme="minorHAnsi"/>
        </w:rPr>
        <w:t>valuation is traditionally based on a job-to-job wage comparison</w:t>
      </w:r>
      <w:r w:rsidR="00C91307" w:rsidRPr="00902E61">
        <w:rPr>
          <w:rFonts w:asciiTheme="minorHAnsi" w:hAnsiTheme="minorHAnsi"/>
        </w:rPr>
        <w:t>,</w:t>
      </w:r>
      <w:r w:rsidRPr="00902E61">
        <w:rPr>
          <w:rFonts w:asciiTheme="minorHAnsi" w:hAnsiTheme="minorHAnsi"/>
        </w:rPr>
        <w:t xml:space="preserve"> it can be highly restri</w:t>
      </w:r>
      <w:r w:rsidR="009A2825" w:rsidRPr="00902E61">
        <w:rPr>
          <w:rFonts w:asciiTheme="minorHAnsi" w:hAnsiTheme="minorHAnsi"/>
        </w:rPr>
        <w:t>ctive in female-predominant occupations, such as professions in health care like nursing and midwifery,</w:t>
      </w:r>
      <w:r w:rsidRPr="00902E61">
        <w:rPr>
          <w:rFonts w:asciiTheme="minorHAnsi" w:hAnsiTheme="minorHAnsi"/>
        </w:rPr>
        <w:t xml:space="preserve"> where it is difficult to identify male comparators in the same organization. In light of this limitation, Ontario made two amendments to the </w:t>
      </w:r>
      <w:r w:rsidRPr="00902E61">
        <w:rPr>
          <w:rFonts w:asciiTheme="minorHAnsi" w:hAnsiTheme="minorHAnsi"/>
          <w:i/>
          <w:iCs/>
        </w:rPr>
        <w:t>PEA</w:t>
      </w:r>
      <w:r w:rsidRPr="00902E61">
        <w:rPr>
          <w:rFonts w:asciiTheme="minorHAnsi" w:hAnsiTheme="minorHAnsi"/>
        </w:rPr>
        <w:t xml:space="preserve"> in 1993: one introducing the proportional value comparison method (which allows female and male job classes within the same organization to be compared even though the jobs are not perfectly matched), and the other introducing the proxy-comparison method, allowing for an organization, in a sector where women predominate and no male comparators exists, to find male comparators in an external organization (Pay Equity Task Force 2004). </w:t>
      </w:r>
    </w:p>
    <w:p w14:paraId="61E184AD" w14:textId="743A1889" w:rsidR="00B82B14" w:rsidRPr="00902E61" w:rsidRDefault="00B90461" w:rsidP="007F5AE7">
      <w:pPr>
        <w:spacing w:line="480" w:lineRule="auto"/>
        <w:ind w:firstLine="720"/>
        <w:rPr>
          <w:rFonts w:asciiTheme="minorHAnsi" w:hAnsiTheme="minorHAnsi"/>
        </w:rPr>
      </w:pPr>
      <w:r w:rsidRPr="00902E61">
        <w:rPr>
          <w:rFonts w:asciiTheme="minorHAnsi" w:hAnsiTheme="minorHAnsi"/>
        </w:rPr>
        <w:t xml:space="preserve">These </w:t>
      </w:r>
      <w:r w:rsidR="00B82B14" w:rsidRPr="00902E61">
        <w:rPr>
          <w:rFonts w:asciiTheme="minorHAnsi" w:hAnsiTheme="minorHAnsi"/>
        </w:rPr>
        <w:t>amendments</w:t>
      </w:r>
      <w:r w:rsidRPr="00902E61">
        <w:rPr>
          <w:rFonts w:asciiTheme="minorHAnsi" w:hAnsiTheme="minorHAnsi"/>
        </w:rPr>
        <w:t xml:space="preserve"> we</w:t>
      </w:r>
      <w:r w:rsidR="000E5355" w:rsidRPr="00902E61">
        <w:rPr>
          <w:rFonts w:asciiTheme="minorHAnsi" w:hAnsiTheme="minorHAnsi"/>
        </w:rPr>
        <w:t>re</w:t>
      </w:r>
      <w:r w:rsidRPr="00902E61">
        <w:rPr>
          <w:rFonts w:asciiTheme="minorHAnsi" w:hAnsiTheme="minorHAnsi"/>
        </w:rPr>
        <w:t xml:space="preserve"> introduced around the same</w:t>
      </w:r>
      <w:r w:rsidR="003E36ED" w:rsidRPr="00902E61">
        <w:rPr>
          <w:rFonts w:asciiTheme="minorHAnsi" w:hAnsiTheme="minorHAnsi"/>
        </w:rPr>
        <w:t xml:space="preserve"> time that midwifery</w:t>
      </w:r>
      <w:r w:rsidRPr="00902E61">
        <w:rPr>
          <w:rFonts w:asciiTheme="minorHAnsi" w:hAnsiTheme="minorHAnsi"/>
        </w:rPr>
        <w:t xml:space="preserve"> was being incorporated into Ontario’s public healthcare system. </w:t>
      </w:r>
      <w:r w:rsidR="00B82B14" w:rsidRPr="00902E61">
        <w:rPr>
          <w:rFonts w:asciiTheme="minorHAnsi" w:hAnsiTheme="minorHAnsi"/>
        </w:rPr>
        <w:t xml:space="preserve">Before midwives’ employment structure was determined, and when the AOM and the MOHLTC were still considering community health centres (CHCs), birth centres, and hospitals as possible employers for midwives, </w:t>
      </w:r>
      <w:r w:rsidRPr="00902E61">
        <w:rPr>
          <w:rFonts w:asciiTheme="minorHAnsi" w:hAnsiTheme="minorHAnsi"/>
        </w:rPr>
        <w:t>a joint committee process involving the MOHLTC and the AOM</w:t>
      </w:r>
      <w:r w:rsidR="00A078CF" w:rsidRPr="00902E61">
        <w:rPr>
          <w:rFonts w:asciiTheme="minorHAnsi" w:hAnsiTheme="minorHAnsi"/>
        </w:rPr>
        <w:t xml:space="preserve"> determined </w:t>
      </w:r>
      <w:r w:rsidRPr="00902E61">
        <w:rPr>
          <w:rFonts w:asciiTheme="minorHAnsi" w:hAnsiTheme="minorHAnsi"/>
        </w:rPr>
        <w:t xml:space="preserve">midwives’ funding and </w:t>
      </w:r>
      <w:r w:rsidRPr="00902E61">
        <w:rPr>
          <w:rFonts w:asciiTheme="minorHAnsi" w:hAnsiTheme="minorHAnsi"/>
        </w:rPr>
        <w:lastRenderedPageBreak/>
        <w:t>compensation rates</w:t>
      </w:r>
      <w:r w:rsidR="00A078CF" w:rsidRPr="00902E61">
        <w:rPr>
          <w:rFonts w:asciiTheme="minorHAnsi" w:hAnsiTheme="minorHAnsi"/>
        </w:rPr>
        <w:t>.</w:t>
      </w:r>
      <w:r w:rsidRPr="00902E61">
        <w:rPr>
          <w:rFonts w:asciiTheme="minorHAnsi" w:hAnsiTheme="minorHAnsi"/>
        </w:rPr>
        <w:t xml:space="preserve"> </w:t>
      </w:r>
      <w:r w:rsidR="00A078CF" w:rsidRPr="00902E61">
        <w:rPr>
          <w:rFonts w:asciiTheme="minorHAnsi" w:hAnsiTheme="minorHAnsi"/>
        </w:rPr>
        <w:t xml:space="preserve">Notably, midwives’ compensation rates were set </w:t>
      </w:r>
      <w:r w:rsidR="00824339" w:rsidRPr="00902E61">
        <w:rPr>
          <w:rFonts w:asciiTheme="minorHAnsi" w:hAnsiTheme="minorHAnsi"/>
        </w:rPr>
        <w:t xml:space="preserve">through a blended approach that combines proportional value comparison and </w:t>
      </w:r>
      <w:r w:rsidRPr="00902E61">
        <w:rPr>
          <w:rFonts w:asciiTheme="minorHAnsi" w:hAnsiTheme="minorHAnsi"/>
        </w:rPr>
        <w:t>proxy</w:t>
      </w:r>
      <w:r w:rsidR="00A078CF" w:rsidRPr="00902E61">
        <w:rPr>
          <w:rFonts w:asciiTheme="minorHAnsi" w:hAnsiTheme="minorHAnsi"/>
        </w:rPr>
        <w:t>-</w:t>
      </w:r>
      <w:r w:rsidRPr="00902E61">
        <w:rPr>
          <w:rFonts w:asciiTheme="minorHAnsi" w:hAnsiTheme="minorHAnsi"/>
        </w:rPr>
        <w:t xml:space="preserve">comparison </w:t>
      </w:r>
      <w:r w:rsidR="00824339" w:rsidRPr="00902E61">
        <w:rPr>
          <w:rFonts w:asciiTheme="minorHAnsi" w:hAnsiTheme="minorHAnsi"/>
        </w:rPr>
        <w:t xml:space="preserve">to evaluate </w:t>
      </w:r>
      <w:r w:rsidRPr="00902E61">
        <w:rPr>
          <w:rFonts w:asciiTheme="minorHAnsi" w:hAnsiTheme="minorHAnsi"/>
        </w:rPr>
        <w:t>midwives</w:t>
      </w:r>
      <w:r w:rsidR="001E2CC5" w:rsidRPr="00902E61">
        <w:rPr>
          <w:rFonts w:asciiTheme="minorHAnsi" w:hAnsiTheme="minorHAnsi"/>
        </w:rPr>
        <w:t xml:space="preserve">’ </w:t>
      </w:r>
      <w:r w:rsidR="00824339" w:rsidRPr="00902E61">
        <w:rPr>
          <w:rFonts w:asciiTheme="minorHAnsi" w:hAnsiTheme="minorHAnsi"/>
        </w:rPr>
        <w:t xml:space="preserve">and </w:t>
      </w:r>
      <w:r w:rsidRPr="00902E61">
        <w:rPr>
          <w:rFonts w:asciiTheme="minorHAnsi" w:hAnsiTheme="minorHAnsi"/>
        </w:rPr>
        <w:t>CHC physicians</w:t>
      </w:r>
      <w:r w:rsidR="001E2CC5" w:rsidRPr="00902E61">
        <w:rPr>
          <w:rFonts w:asciiTheme="minorHAnsi" w:hAnsiTheme="minorHAnsi"/>
        </w:rPr>
        <w:t>’ skills, efforts, responsibilities, and working conditions (AOM 2016a)</w:t>
      </w:r>
      <w:r w:rsidRPr="00902E61">
        <w:rPr>
          <w:rFonts w:asciiTheme="minorHAnsi" w:hAnsiTheme="minorHAnsi"/>
        </w:rPr>
        <w:t xml:space="preserve">. </w:t>
      </w:r>
      <w:r w:rsidR="00396F00" w:rsidRPr="00902E61">
        <w:rPr>
          <w:rFonts w:asciiTheme="minorHAnsi" w:hAnsiTheme="minorHAnsi"/>
        </w:rPr>
        <w:t>At this time, 100% of midwives were women,</w:t>
      </w:r>
      <w:r w:rsidR="00400FCB" w:rsidRPr="00902E61">
        <w:rPr>
          <w:rFonts w:asciiTheme="minorHAnsi" w:hAnsiTheme="minorHAnsi"/>
        </w:rPr>
        <w:t xml:space="preserve"> while 75% of family physicians—a category that includes CHC physicians—</w:t>
      </w:r>
      <w:r w:rsidR="00396F00" w:rsidRPr="00902E61">
        <w:rPr>
          <w:rFonts w:asciiTheme="minorHAnsi" w:hAnsiTheme="minorHAnsi"/>
        </w:rPr>
        <w:t>were</w:t>
      </w:r>
      <w:r w:rsidR="00400FCB" w:rsidRPr="00902E61">
        <w:rPr>
          <w:rFonts w:asciiTheme="minorHAnsi" w:hAnsiTheme="minorHAnsi"/>
        </w:rPr>
        <w:t xml:space="preserve"> </w:t>
      </w:r>
      <w:r w:rsidR="00396F00" w:rsidRPr="00902E61">
        <w:rPr>
          <w:rFonts w:asciiTheme="minorHAnsi" w:hAnsiTheme="minorHAnsi"/>
        </w:rPr>
        <w:t>m</w:t>
      </w:r>
      <w:r w:rsidR="00400FCB" w:rsidRPr="00902E61">
        <w:rPr>
          <w:rFonts w:asciiTheme="minorHAnsi" w:hAnsiTheme="minorHAnsi"/>
        </w:rPr>
        <w:t>en</w:t>
      </w:r>
      <w:r w:rsidR="00396F00" w:rsidRPr="00902E61">
        <w:rPr>
          <w:rFonts w:asciiTheme="minorHAnsi" w:hAnsiTheme="minorHAnsi"/>
        </w:rPr>
        <w:t xml:space="preserve"> (AOM 2014). </w:t>
      </w:r>
      <w:r w:rsidR="00166FE1" w:rsidRPr="00902E61">
        <w:rPr>
          <w:rFonts w:asciiTheme="minorHAnsi" w:hAnsiTheme="minorHAnsi"/>
        </w:rPr>
        <w:t>Taking into account midwives entry-level competencies, t</w:t>
      </w:r>
      <w:r w:rsidRPr="00902E61">
        <w:rPr>
          <w:rFonts w:asciiTheme="minorHAnsi" w:hAnsiTheme="minorHAnsi"/>
        </w:rPr>
        <w:t>his rough pay equity analysis set midwives</w:t>
      </w:r>
      <w:r w:rsidR="00400FCB" w:rsidRPr="00902E61">
        <w:rPr>
          <w:rFonts w:asciiTheme="minorHAnsi" w:hAnsiTheme="minorHAnsi"/>
        </w:rPr>
        <w:t xml:space="preserve"> compensation range</w:t>
      </w:r>
      <w:r w:rsidR="00166FE1" w:rsidRPr="00902E61">
        <w:rPr>
          <w:rFonts w:asciiTheme="minorHAnsi" w:hAnsiTheme="minorHAnsi"/>
        </w:rPr>
        <w:t xml:space="preserve"> slightly below t</w:t>
      </w:r>
      <w:r w:rsidR="003108FB" w:rsidRPr="00902E61">
        <w:rPr>
          <w:rFonts w:asciiTheme="minorHAnsi" w:hAnsiTheme="minorHAnsi"/>
        </w:rPr>
        <w:t>heir, at the time, male comparators</w:t>
      </w:r>
      <w:r w:rsidR="00400FCB" w:rsidRPr="00902E61">
        <w:rPr>
          <w:rFonts w:asciiTheme="minorHAnsi" w:hAnsiTheme="minorHAnsi"/>
        </w:rPr>
        <w:t>’ starting rate of compensation</w:t>
      </w:r>
      <w:r w:rsidR="007542F1" w:rsidRPr="00902E61">
        <w:rPr>
          <w:rFonts w:asciiTheme="minorHAnsi" w:hAnsiTheme="minorHAnsi"/>
        </w:rPr>
        <w:t xml:space="preserve">, determining that </w:t>
      </w:r>
      <w:r w:rsidR="003108FB" w:rsidRPr="00902E61">
        <w:rPr>
          <w:rFonts w:asciiTheme="minorHAnsi" w:hAnsiTheme="minorHAnsi"/>
        </w:rPr>
        <w:t xml:space="preserve">midwives </w:t>
      </w:r>
      <w:r w:rsidR="007542F1" w:rsidRPr="00902E61">
        <w:rPr>
          <w:rFonts w:asciiTheme="minorHAnsi" w:hAnsiTheme="minorHAnsi"/>
        </w:rPr>
        <w:t>should</w:t>
      </w:r>
      <w:r w:rsidR="003108FB" w:rsidRPr="00902E61">
        <w:rPr>
          <w:rFonts w:asciiTheme="minorHAnsi" w:hAnsiTheme="minorHAnsi"/>
        </w:rPr>
        <w:t xml:space="preserve"> receive </w:t>
      </w:r>
      <w:r w:rsidR="00166FE1" w:rsidRPr="00902E61">
        <w:rPr>
          <w:rFonts w:asciiTheme="minorHAnsi" w:hAnsiTheme="minorHAnsi"/>
        </w:rPr>
        <w:t>approximately 90% of CHC physicians’ starting rate of compensation</w:t>
      </w:r>
      <w:r w:rsidR="007542F1" w:rsidRPr="00902E61">
        <w:rPr>
          <w:rFonts w:asciiTheme="minorHAnsi" w:hAnsiTheme="minorHAnsi"/>
        </w:rPr>
        <w:t xml:space="preserve"> (AOM 2016a)</w:t>
      </w:r>
      <w:r w:rsidR="00166FE1" w:rsidRPr="00902E61">
        <w:rPr>
          <w:rFonts w:asciiTheme="minorHAnsi" w:hAnsiTheme="minorHAnsi"/>
        </w:rPr>
        <w:t>.</w:t>
      </w:r>
    </w:p>
    <w:p w14:paraId="45125268" w14:textId="1907ECBB" w:rsidR="00B82B14" w:rsidRPr="00902E61" w:rsidRDefault="00A078CF" w:rsidP="007F5AE7">
      <w:pPr>
        <w:spacing w:line="480" w:lineRule="auto"/>
        <w:ind w:firstLine="720"/>
        <w:rPr>
          <w:rFonts w:asciiTheme="minorHAnsi" w:hAnsiTheme="minorHAnsi"/>
        </w:rPr>
      </w:pPr>
      <w:r w:rsidRPr="00902E61">
        <w:rPr>
          <w:rFonts w:asciiTheme="minorHAnsi" w:hAnsiTheme="minorHAnsi"/>
        </w:rPr>
        <w:t xml:space="preserve">This collaborative </w:t>
      </w:r>
      <w:r w:rsidR="007542F1" w:rsidRPr="00902E61">
        <w:rPr>
          <w:rFonts w:asciiTheme="minorHAnsi" w:hAnsiTheme="minorHAnsi"/>
        </w:rPr>
        <w:t>determination</w:t>
      </w:r>
      <w:r w:rsidR="002C1F3C" w:rsidRPr="00902E61">
        <w:rPr>
          <w:rFonts w:asciiTheme="minorHAnsi" w:hAnsiTheme="minorHAnsi"/>
        </w:rPr>
        <w:t xml:space="preserve"> of compensation</w:t>
      </w:r>
      <w:r w:rsidR="007542F1" w:rsidRPr="00902E61">
        <w:rPr>
          <w:rFonts w:asciiTheme="minorHAnsi" w:hAnsiTheme="minorHAnsi"/>
        </w:rPr>
        <w:t>, along with the agreement to provide annual cost of living increases, was incorporated into the Onta</w:t>
      </w:r>
      <w:r w:rsidR="0071304C" w:rsidRPr="00902E61">
        <w:rPr>
          <w:rFonts w:asciiTheme="minorHAnsi" w:hAnsiTheme="minorHAnsi"/>
        </w:rPr>
        <w:t>rio Midwifery Program Framework</w:t>
      </w:r>
      <w:r w:rsidRPr="00902E61">
        <w:rPr>
          <w:rFonts w:asciiTheme="minorHAnsi" w:hAnsiTheme="minorHAnsi"/>
        </w:rPr>
        <w:t>, a document that both the AOM and the MOHLTC have referred to during the HRTO legal proceedings</w:t>
      </w:r>
      <w:r w:rsidR="0071304C" w:rsidRPr="00902E61">
        <w:rPr>
          <w:rFonts w:asciiTheme="minorHAnsi" w:hAnsiTheme="minorHAnsi"/>
        </w:rPr>
        <w:t xml:space="preserve"> </w:t>
      </w:r>
      <w:r w:rsidR="007542F1" w:rsidRPr="00902E61">
        <w:rPr>
          <w:rFonts w:asciiTheme="minorHAnsi" w:hAnsiTheme="minorHAnsi"/>
        </w:rPr>
        <w:t xml:space="preserve">(See Overview Summary of AOM Witness Evidence, Appendix 2.) </w:t>
      </w:r>
      <w:r w:rsidR="00307B21" w:rsidRPr="00902E61">
        <w:rPr>
          <w:rFonts w:asciiTheme="minorHAnsi" w:hAnsiTheme="minorHAnsi"/>
        </w:rPr>
        <w:t xml:space="preserve">Additionally, expert reports by Durber </w:t>
      </w:r>
      <w:r w:rsidR="007D5A8A" w:rsidRPr="00902E61">
        <w:rPr>
          <w:rFonts w:asciiTheme="minorHAnsi" w:hAnsiTheme="minorHAnsi"/>
        </w:rPr>
        <w:t xml:space="preserve">(2013) </w:t>
      </w:r>
      <w:r w:rsidR="00307B21" w:rsidRPr="00902E61">
        <w:rPr>
          <w:rFonts w:asciiTheme="minorHAnsi" w:hAnsiTheme="minorHAnsi"/>
        </w:rPr>
        <w:t xml:space="preserve">and Mackenzie </w:t>
      </w:r>
      <w:r w:rsidR="007D5A8A" w:rsidRPr="00902E61">
        <w:rPr>
          <w:rFonts w:asciiTheme="minorHAnsi" w:hAnsiTheme="minorHAnsi"/>
        </w:rPr>
        <w:t xml:space="preserve">(2013) </w:t>
      </w:r>
      <w:r w:rsidR="00307B21" w:rsidRPr="00902E61">
        <w:rPr>
          <w:rFonts w:asciiTheme="minorHAnsi" w:hAnsiTheme="minorHAnsi"/>
        </w:rPr>
        <w:t>show that the findings of this 1994 rough pay equity analysis still stand: through a detailed pay equity analysis, which once again blends the proxy-comparison and proportional value comparison methods, Durber compared midwives’ required skills, efforts, responsibilities, and working conditions to CHC physicians in 2013, and found that midwives should earn 91% of CHC physicians’ pay</w:t>
      </w:r>
      <w:r w:rsidR="007D5A8A" w:rsidRPr="00902E61">
        <w:rPr>
          <w:rFonts w:asciiTheme="minorHAnsi" w:hAnsiTheme="minorHAnsi"/>
        </w:rPr>
        <w:t xml:space="preserve"> (Durber 2013)</w:t>
      </w:r>
      <w:r w:rsidR="00307B21" w:rsidRPr="00902E61">
        <w:rPr>
          <w:rFonts w:asciiTheme="minorHAnsi" w:hAnsiTheme="minorHAnsi"/>
        </w:rPr>
        <w:t xml:space="preserve">. </w:t>
      </w:r>
      <w:r w:rsidR="0071304C" w:rsidRPr="00902E61">
        <w:rPr>
          <w:rFonts w:asciiTheme="minorHAnsi" w:hAnsiTheme="minorHAnsi"/>
        </w:rPr>
        <w:t>And yet,</w:t>
      </w:r>
      <w:r w:rsidR="001E2CC5" w:rsidRPr="00902E61">
        <w:rPr>
          <w:rFonts w:asciiTheme="minorHAnsi" w:hAnsiTheme="minorHAnsi"/>
        </w:rPr>
        <w:t xml:space="preserve"> although the skills, efforts, responsibilities, and working conditions associated with midwifery have increased</w:t>
      </w:r>
      <w:r w:rsidR="002C1F3C" w:rsidRPr="00902E61">
        <w:rPr>
          <w:rFonts w:asciiTheme="minorHAnsi" w:hAnsiTheme="minorHAnsi"/>
        </w:rPr>
        <w:t xml:space="preserve"> considerably</w:t>
      </w:r>
      <w:r w:rsidR="001E2CC5" w:rsidRPr="00902E61">
        <w:rPr>
          <w:rFonts w:asciiTheme="minorHAnsi" w:hAnsiTheme="minorHAnsi"/>
        </w:rPr>
        <w:t xml:space="preserve"> since 1</w:t>
      </w:r>
      <w:r w:rsidR="0071304C" w:rsidRPr="00902E61">
        <w:rPr>
          <w:rFonts w:asciiTheme="minorHAnsi" w:hAnsiTheme="minorHAnsi"/>
        </w:rPr>
        <w:t xml:space="preserve">994, and midwives’ comparators, </w:t>
      </w:r>
      <w:r w:rsidR="001E2CC5" w:rsidRPr="00902E61">
        <w:rPr>
          <w:rFonts w:asciiTheme="minorHAnsi" w:hAnsiTheme="minorHAnsi"/>
        </w:rPr>
        <w:t>CHC physicians have received substantial and continuous pay increases, midwives’ pay was frozen from 1993</w:t>
      </w:r>
      <w:r w:rsidRPr="00902E61">
        <w:rPr>
          <w:rFonts w:asciiTheme="minorHAnsi" w:hAnsiTheme="minorHAnsi"/>
        </w:rPr>
        <w:t xml:space="preserve"> to </w:t>
      </w:r>
      <w:r w:rsidR="001E2CC5" w:rsidRPr="00902E61">
        <w:rPr>
          <w:rFonts w:asciiTheme="minorHAnsi" w:hAnsiTheme="minorHAnsi"/>
        </w:rPr>
        <w:lastRenderedPageBreak/>
        <w:t>2005, after which inadequate and irregular increases were provided that were incommensurate to the compensation provided to their comparators</w:t>
      </w:r>
      <w:r w:rsidR="002334A8" w:rsidRPr="00902E61">
        <w:rPr>
          <w:rFonts w:asciiTheme="minorHAnsi" w:hAnsiTheme="minorHAnsi"/>
        </w:rPr>
        <w:t xml:space="preserve"> (</w:t>
      </w:r>
      <w:r w:rsidR="002C1F3C" w:rsidRPr="00902E61">
        <w:rPr>
          <w:rFonts w:asciiTheme="minorHAnsi" w:hAnsiTheme="minorHAnsi"/>
        </w:rPr>
        <w:t>Durber 2013</w:t>
      </w:r>
      <w:r w:rsidR="005C7BAA" w:rsidRPr="00902E61">
        <w:rPr>
          <w:rFonts w:asciiTheme="minorHAnsi" w:hAnsiTheme="minorHAnsi"/>
        </w:rPr>
        <w:t>; Mackenzie 2013</w:t>
      </w:r>
      <w:r w:rsidR="002334A8" w:rsidRPr="00902E61">
        <w:rPr>
          <w:rFonts w:asciiTheme="minorHAnsi" w:hAnsiTheme="minorHAnsi"/>
        </w:rPr>
        <w:t>)</w:t>
      </w:r>
      <w:r w:rsidR="001E2CC5" w:rsidRPr="00902E61">
        <w:rPr>
          <w:rFonts w:asciiTheme="minorHAnsi" w:hAnsiTheme="minorHAnsi"/>
        </w:rPr>
        <w:t>.</w:t>
      </w:r>
    </w:p>
    <w:p w14:paraId="032ACCC5" w14:textId="09C4002F" w:rsidR="00EA5123" w:rsidRPr="00902E61" w:rsidRDefault="00D66A33" w:rsidP="007F5AE7">
      <w:pPr>
        <w:spacing w:line="480" w:lineRule="auto"/>
        <w:rPr>
          <w:rFonts w:asciiTheme="minorHAnsi" w:hAnsiTheme="minorHAnsi"/>
        </w:rPr>
      </w:pPr>
      <w:r w:rsidRPr="00902E61">
        <w:rPr>
          <w:rFonts w:asciiTheme="minorHAnsi" w:hAnsiTheme="minorHAnsi"/>
        </w:rPr>
        <w:tab/>
        <w:t xml:space="preserve">As explained in section 2, once the MOHLTC </w:t>
      </w:r>
      <w:r w:rsidR="002334A8" w:rsidRPr="00902E61">
        <w:rPr>
          <w:rFonts w:asciiTheme="minorHAnsi" w:hAnsiTheme="minorHAnsi"/>
        </w:rPr>
        <w:t>restructured</w:t>
      </w:r>
      <w:r w:rsidRPr="00902E61">
        <w:rPr>
          <w:rFonts w:asciiTheme="minorHAnsi" w:hAnsiTheme="minorHAnsi"/>
        </w:rPr>
        <w:t xml:space="preserve"> </w:t>
      </w:r>
      <w:r w:rsidR="002334A8" w:rsidRPr="00902E61">
        <w:rPr>
          <w:rFonts w:asciiTheme="minorHAnsi" w:hAnsiTheme="minorHAnsi"/>
        </w:rPr>
        <w:t xml:space="preserve">midwives’ employment from salaried dependent contractors to independent contractors, </w:t>
      </w:r>
      <w:r w:rsidR="00A078CF" w:rsidRPr="00902E61">
        <w:rPr>
          <w:rFonts w:asciiTheme="minorHAnsi" w:hAnsiTheme="minorHAnsi"/>
        </w:rPr>
        <w:t xml:space="preserve">a classification that </w:t>
      </w:r>
      <w:r w:rsidR="002334A8" w:rsidRPr="00902E61">
        <w:rPr>
          <w:rFonts w:asciiTheme="minorHAnsi" w:hAnsiTheme="minorHAnsi"/>
        </w:rPr>
        <w:t>provid</w:t>
      </w:r>
      <w:r w:rsidR="00A078CF" w:rsidRPr="00902E61">
        <w:rPr>
          <w:rFonts w:asciiTheme="minorHAnsi" w:hAnsiTheme="minorHAnsi"/>
        </w:rPr>
        <w:t xml:space="preserve">es </w:t>
      </w:r>
      <w:r w:rsidR="002334A8" w:rsidRPr="00902E61">
        <w:rPr>
          <w:rFonts w:asciiTheme="minorHAnsi" w:hAnsiTheme="minorHAnsi"/>
        </w:rPr>
        <w:t>for billable courses of care, caseload variables, disbursements, and grants, the government was able to justify its exclusion of midwives from pay equity entitlements</w:t>
      </w:r>
      <w:r w:rsidR="00D70FDD" w:rsidRPr="00902E61">
        <w:rPr>
          <w:rFonts w:asciiTheme="minorHAnsi" w:hAnsiTheme="minorHAnsi"/>
        </w:rPr>
        <w:t xml:space="preserve"> insofar as independent contractors are excluded from </w:t>
      </w:r>
      <w:r w:rsidR="00D70FDD" w:rsidRPr="00902E61">
        <w:rPr>
          <w:rFonts w:asciiTheme="minorHAnsi" w:hAnsiTheme="minorHAnsi"/>
          <w:i/>
          <w:iCs/>
        </w:rPr>
        <w:t>PEA</w:t>
      </w:r>
      <w:r w:rsidR="002334A8" w:rsidRPr="00902E61">
        <w:rPr>
          <w:rFonts w:asciiTheme="minorHAnsi" w:hAnsiTheme="minorHAnsi"/>
        </w:rPr>
        <w:t xml:space="preserve"> </w:t>
      </w:r>
      <w:r w:rsidR="00A078CF" w:rsidRPr="00902E61">
        <w:rPr>
          <w:rFonts w:asciiTheme="minorHAnsi" w:hAnsiTheme="minorHAnsi"/>
        </w:rPr>
        <w:t xml:space="preserve">entitlements </w:t>
      </w:r>
      <w:r w:rsidR="002334A8" w:rsidRPr="00902E61">
        <w:rPr>
          <w:rFonts w:asciiTheme="minorHAnsi" w:hAnsiTheme="minorHAnsi"/>
        </w:rPr>
        <w:t>(AOM 2016a</w:t>
      </w:r>
      <w:r w:rsidR="002C1F3C" w:rsidRPr="00902E61">
        <w:rPr>
          <w:rFonts w:asciiTheme="minorHAnsi" w:hAnsiTheme="minorHAnsi"/>
        </w:rPr>
        <w:t xml:space="preserve">). </w:t>
      </w:r>
      <w:r w:rsidR="004E4289" w:rsidRPr="00902E61">
        <w:rPr>
          <w:rFonts w:asciiTheme="minorHAnsi" w:hAnsiTheme="minorHAnsi"/>
        </w:rPr>
        <w:t>Moreover,</w:t>
      </w:r>
      <w:r w:rsidR="00EA1BA4" w:rsidRPr="00902E61">
        <w:rPr>
          <w:rFonts w:asciiTheme="minorHAnsi" w:hAnsiTheme="minorHAnsi"/>
        </w:rPr>
        <w:t xml:space="preserve"> during negotiations </w:t>
      </w:r>
      <w:r w:rsidR="007A1D53" w:rsidRPr="00902E61">
        <w:rPr>
          <w:rFonts w:asciiTheme="minorHAnsi" w:hAnsiTheme="minorHAnsi"/>
        </w:rPr>
        <w:t xml:space="preserve">with the AOM </w:t>
      </w:r>
      <w:r w:rsidR="00EA1BA4" w:rsidRPr="00902E61">
        <w:rPr>
          <w:rFonts w:asciiTheme="minorHAnsi" w:hAnsiTheme="minorHAnsi"/>
        </w:rPr>
        <w:t xml:space="preserve">prior to 2013 and in its response to the AOM’s application to the HRTO, the MOHLTC </w:t>
      </w:r>
      <w:r w:rsidR="00D70FDD" w:rsidRPr="00902E61">
        <w:rPr>
          <w:rFonts w:asciiTheme="minorHAnsi" w:hAnsiTheme="minorHAnsi"/>
        </w:rPr>
        <w:t>has argued that it is inappropriate to compare and align midwives’ compensation arrangements with CHC physicians because midwives are contractors and physicians are salaried (</w:t>
      </w:r>
      <w:r w:rsidR="005E7930" w:rsidRPr="00902E61">
        <w:rPr>
          <w:rFonts w:asciiTheme="minorHAnsi" w:hAnsiTheme="minorHAnsi"/>
        </w:rPr>
        <w:t>AOM 2016a</w:t>
      </w:r>
      <w:r w:rsidR="00A078CF" w:rsidRPr="00902E61">
        <w:rPr>
          <w:rFonts w:asciiTheme="minorHAnsi" w:hAnsiTheme="minorHAnsi"/>
        </w:rPr>
        <w:t>;</w:t>
      </w:r>
      <w:r w:rsidR="002C1F3C" w:rsidRPr="00902E61">
        <w:rPr>
          <w:rFonts w:asciiTheme="minorHAnsi" w:hAnsiTheme="minorHAnsi"/>
        </w:rPr>
        <w:t xml:space="preserve"> Appendix 5</w:t>
      </w:r>
      <w:r w:rsidR="00D70FDD" w:rsidRPr="00902E61">
        <w:rPr>
          <w:rFonts w:asciiTheme="minorHAnsi" w:hAnsiTheme="minorHAnsi"/>
        </w:rPr>
        <w:t xml:space="preserve">). </w:t>
      </w:r>
      <w:r w:rsidR="00EA5123" w:rsidRPr="00902E61">
        <w:rPr>
          <w:rFonts w:asciiTheme="minorHAnsi" w:hAnsiTheme="minorHAnsi"/>
        </w:rPr>
        <w:t xml:space="preserve">In other words, the comparative level of compensation as determined by the initial job evaluation process does not, from the MOHLTC’s perspective, </w:t>
      </w:r>
      <w:r w:rsidR="00400FCB" w:rsidRPr="00902E61">
        <w:rPr>
          <w:rFonts w:asciiTheme="minorHAnsi" w:hAnsiTheme="minorHAnsi"/>
        </w:rPr>
        <w:t xml:space="preserve">still </w:t>
      </w:r>
      <w:r w:rsidR="00EA5123" w:rsidRPr="00902E61">
        <w:rPr>
          <w:rFonts w:asciiTheme="minorHAnsi" w:hAnsiTheme="minorHAnsi"/>
        </w:rPr>
        <w:t>stand due to certain technicalities</w:t>
      </w:r>
      <w:r w:rsidR="00400FCB" w:rsidRPr="00902E61">
        <w:rPr>
          <w:rFonts w:asciiTheme="minorHAnsi" w:hAnsiTheme="minorHAnsi"/>
        </w:rPr>
        <w:t xml:space="preserve"> introduced by midwives’ independent contractor status</w:t>
      </w:r>
      <w:r w:rsidR="00EA5123" w:rsidRPr="00902E61">
        <w:rPr>
          <w:rFonts w:asciiTheme="minorHAnsi" w:hAnsiTheme="minorHAnsi"/>
        </w:rPr>
        <w:t xml:space="preserve">. </w:t>
      </w:r>
      <w:r w:rsidR="00A078CF" w:rsidRPr="00902E61">
        <w:rPr>
          <w:rFonts w:asciiTheme="minorHAnsi" w:hAnsiTheme="minorHAnsi"/>
        </w:rPr>
        <w:t>This t</w:t>
      </w:r>
      <w:r w:rsidR="009D658F" w:rsidRPr="00902E61">
        <w:rPr>
          <w:rFonts w:asciiTheme="minorHAnsi" w:hAnsiTheme="minorHAnsi"/>
        </w:rPr>
        <w:t>reat</w:t>
      </w:r>
      <w:r w:rsidR="00A078CF" w:rsidRPr="00902E61">
        <w:rPr>
          <w:rFonts w:asciiTheme="minorHAnsi" w:hAnsiTheme="minorHAnsi"/>
        </w:rPr>
        <w:t>ment of</w:t>
      </w:r>
      <w:r w:rsidR="009D658F" w:rsidRPr="00902E61">
        <w:rPr>
          <w:rFonts w:asciiTheme="minorHAnsi" w:hAnsiTheme="minorHAnsi"/>
        </w:rPr>
        <w:t xml:space="preserve"> job evaluation as a </w:t>
      </w:r>
      <w:r w:rsidR="00EA5123" w:rsidRPr="00902E61">
        <w:rPr>
          <w:rFonts w:asciiTheme="minorHAnsi" w:hAnsiTheme="minorHAnsi"/>
        </w:rPr>
        <w:t>technical rather than political process</w:t>
      </w:r>
      <w:r w:rsidR="00A078CF" w:rsidRPr="00902E61">
        <w:rPr>
          <w:rFonts w:asciiTheme="minorHAnsi" w:hAnsiTheme="minorHAnsi"/>
        </w:rPr>
        <w:t xml:space="preserve"> </w:t>
      </w:r>
      <w:r w:rsidR="00847749" w:rsidRPr="00902E61">
        <w:rPr>
          <w:rFonts w:asciiTheme="minorHAnsi" w:hAnsiTheme="minorHAnsi"/>
        </w:rPr>
        <w:t>conceals</w:t>
      </w:r>
      <w:r w:rsidR="00EA5123" w:rsidRPr="00902E61">
        <w:rPr>
          <w:rFonts w:asciiTheme="minorHAnsi" w:hAnsiTheme="minorHAnsi"/>
        </w:rPr>
        <w:t xml:space="preserve"> </w:t>
      </w:r>
      <w:r w:rsidR="00B9666A" w:rsidRPr="00902E61">
        <w:rPr>
          <w:rFonts w:asciiTheme="minorHAnsi" w:hAnsiTheme="minorHAnsi"/>
        </w:rPr>
        <w:t xml:space="preserve">how </w:t>
      </w:r>
      <w:r w:rsidR="009D658F" w:rsidRPr="00902E61">
        <w:rPr>
          <w:rFonts w:asciiTheme="minorHAnsi" w:hAnsiTheme="minorHAnsi"/>
        </w:rPr>
        <w:t>government’s decisions around compensation</w:t>
      </w:r>
      <w:r w:rsidR="0054705A" w:rsidRPr="00902E61">
        <w:rPr>
          <w:rFonts w:asciiTheme="minorHAnsi" w:hAnsiTheme="minorHAnsi"/>
        </w:rPr>
        <w:t xml:space="preserve"> are not neutral but motivated to serve dominant interests</w:t>
      </w:r>
      <w:r w:rsidR="009D658F" w:rsidRPr="00902E61">
        <w:rPr>
          <w:rFonts w:asciiTheme="minorHAnsi" w:hAnsiTheme="minorHAnsi"/>
        </w:rPr>
        <w:t xml:space="preserve">. </w:t>
      </w:r>
      <w:r w:rsidR="00EA5123" w:rsidRPr="00902E61">
        <w:rPr>
          <w:rFonts w:asciiTheme="minorHAnsi" w:hAnsiTheme="minorHAnsi"/>
        </w:rPr>
        <w:tab/>
      </w:r>
    </w:p>
    <w:p w14:paraId="098B43DE" w14:textId="614418A8" w:rsidR="00930E12" w:rsidRPr="00902E61" w:rsidRDefault="00C360F0" w:rsidP="007F5AE7">
      <w:pPr>
        <w:spacing w:line="480" w:lineRule="auto"/>
        <w:ind w:firstLine="720"/>
        <w:rPr>
          <w:rFonts w:asciiTheme="minorHAnsi" w:hAnsiTheme="minorHAnsi"/>
        </w:rPr>
      </w:pPr>
      <w:r w:rsidRPr="00902E61">
        <w:rPr>
          <w:rFonts w:asciiTheme="minorHAnsi" w:hAnsiTheme="minorHAnsi"/>
        </w:rPr>
        <w:t xml:space="preserve">The MOHLTC’s argument the midwives are not comparable to CHC physicians because of their different employment arrangements relies on the notion of the similarly situated. </w:t>
      </w:r>
      <w:r w:rsidR="00D43B5A" w:rsidRPr="00902E61">
        <w:rPr>
          <w:rFonts w:asciiTheme="minorHAnsi" w:hAnsiTheme="minorHAnsi"/>
        </w:rPr>
        <w:t xml:space="preserve">Fay Faraday and Jan Borowy’s </w:t>
      </w:r>
      <w:r w:rsidR="00400FCB" w:rsidRPr="00902E61">
        <w:rPr>
          <w:rFonts w:asciiTheme="minorHAnsi" w:hAnsiTheme="minorHAnsi"/>
        </w:rPr>
        <w:t xml:space="preserve">(2071) </w:t>
      </w:r>
      <w:r w:rsidRPr="00902E61">
        <w:rPr>
          <w:rFonts w:asciiTheme="minorHAnsi" w:hAnsiTheme="minorHAnsi"/>
        </w:rPr>
        <w:t xml:space="preserve">critique of recently proposed changes to the </w:t>
      </w:r>
      <w:r w:rsidRPr="00902E61">
        <w:rPr>
          <w:rFonts w:asciiTheme="minorHAnsi" w:hAnsiTheme="minorHAnsi"/>
          <w:i/>
          <w:iCs/>
        </w:rPr>
        <w:t>ESA</w:t>
      </w:r>
      <w:r w:rsidRPr="00902E61">
        <w:rPr>
          <w:rFonts w:asciiTheme="minorHAnsi" w:hAnsiTheme="minorHAnsi"/>
        </w:rPr>
        <w:t>’s provisions guaranteeing equal pay for equal work</w:t>
      </w:r>
      <w:r w:rsidR="00EA1BA4" w:rsidRPr="00902E61">
        <w:rPr>
          <w:rFonts w:asciiTheme="minorHAnsi" w:hAnsiTheme="minorHAnsi"/>
        </w:rPr>
        <w:t xml:space="preserve"> shows</w:t>
      </w:r>
      <w:r w:rsidR="005E7930" w:rsidRPr="00902E61">
        <w:rPr>
          <w:rFonts w:asciiTheme="minorHAnsi" w:hAnsiTheme="minorHAnsi"/>
        </w:rPr>
        <w:t xml:space="preserve"> how this notion</w:t>
      </w:r>
      <w:r w:rsidR="00D43B5A" w:rsidRPr="00902E61">
        <w:rPr>
          <w:rFonts w:asciiTheme="minorHAnsi" w:hAnsiTheme="minorHAnsi"/>
        </w:rPr>
        <w:t xml:space="preserve"> can </w:t>
      </w:r>
      <w:r w:rsidR="00B9666A" w:rsidRPr="00902E61">
        <w:rPr>
          <w:rFonts w:asciiTheme="minorHAnsi" w:hAnsiTheme="minorHAnsi"/>
        </w:rPr>
        <w:t xml:space="preserve">significantly </w:t>
      </w:r>
      <w:r w:rsidR="00D43B5A" w:rsidRPr="00902E61">
        <w:rPr>
          <w:rFonts w:asciiTheme="minorHAnsi" w:hAnsiTheme="minorHAnsi"/>
        </w:rPr>
        <w:t>limit equal pay protection.</w:t>
      </w:r>
      <w:r w:rsidR="00BF3FEA" w:rsidRPr="00902E61">
        <w:rPr>
          <w:rFonts w:asciiTheme="minorHAnsi" w:hAnsiTheme="minorHAnsi"/>
        </w:rPr>
        <w:t xml:space="preserve"> </w:t>
      </w:r>
      <w:r w:rsidR="00D43B5A" w:rsidRPr="00902E61">
        <w:rPr>
          <w:rFonts w:asciiTheme="minorHAnsi" w:hAnsiTheme="minorHAnsi"/>
        </w:rPr>
        <w:t xml:space="preserve"> For Faraday and Borowy, the </w:t>
      </w:r>
      <w:r w:rsidR="00D43B5A" w:rsidRPr="00902E61">
        <w:rPr>
          <w:rFonts w:asciiTheme="minorHAnsi" w:hAnsiTheme="minorHAnsi"/>
          <w:i/>
          <w:iCs/>
        </w:rPr>
        <w:t>ESA</w:t>
      </w:r>
      <w:r w:rsidR="00D43B5A" w:rsidRPr="00902E61">
        <w:rPr>
          <w:rFonts w:asciiTheme="minorHAnsi" w:hAnsiTheme="minorHAnsi"/>
        </w:rPr>
        <w:t xml:space="preserve">’s </w:t>
      </w:r>
      <w:r w:rsidR="004544C5" w:rsidRPr="00902E61">
        <w:rPr>
          <w:rFonts w:asciiTheme="minorHAnsi" w:hAnsiTheme="minorHAnsi"/>
        </w:rPr>
        <w:t xml:space="preserve">requirement that two workers being compared </w:t>
      </w:r>
      <w:r w:rsidR="008E34C0" w:rsidRPr="00902E61">
        <w:rPr>
          <w:rFonts w:asciiTheme="minorHAnsi" w:hAnsiTheme="minorHAnsi"/>
        </w:rPr>
        <w:t xml:space="preserve">must perform “substantially the same kind of work” and that “their performance requires </w:t>
      </w:r>
      <w:r w:rsidR="008E34C0" w:rsidRPr="00902E61">
        <w:rPr>
          <w:rFonts w:asciiTheme="minorHAnsi" w:hAnsiTheme="minorHAnsi"/>
        </w:rPr>
        <w:lastRenderedPageBreak/>
        <w:t>substantially the same skill, effort, and responsibility,” (</w:t>
      </w:r>
      <w:r w:rsidR="008E34C0" w:rsidRPr="00902E61">
        <w:rPr>
          <w:rFonts w:asciiTheme="minorHAnsi" w:hAnsiTheme="minorHAnsi"/>
          <w:i/>
          <w:iCs/>
        </w:rPr>
        <w:t>ESA</w:t>
      </w:r>
      <w:r w:rsidR="008E34C0" w:rsidRPr="00902E61">
        <w:rPr>
          <w:rFonts w:asciiTheme="minorHAnsi" w:hAnsiTheme="minorHAnsi"/>
        </w:rPr>
        <w:t xml:space="preserve"> 2000) “enables or encourages employers to manipulate minor job duties or responsibilities to maintain unequal pay” (Faraday and Borowy 2017, p. 5). </w:t>
      </w:r>
      <w:r w:rsidR="00BF3FEA" w:rsidRPr="00902E61">
        <w:rPr>
          <w:rFonts w:asciiTheme="minorHAnsi" w:hAnsiTheme="minorHAnsi"/>
        </w:rPr>
        <w:t>In the case of the midwives</w:t>
      </w:r>
      <w:r w:rsidR="008B4290" w:rsidRPr="00902E61">
        <w:rPr>
          <w:rFonts w:asciiTheme="minorHAnsi" w:hAnsiTheme="minorHAnsi"/>
        </w:rPr>
        <w:t xml:space="preserve"> represented by the AOM</w:t>
      </w:r>
      <w:r w:rsidR="00BF3FEA" w:rsidRPr="00902E61">
        <w:rPr>
          <w:rFonts w:asciiTheme="minorHAnsi" w:hAnsiTheme="minorHAnsi"/>
        </w:rPr>
        <w:t xml:space="preserve">, if the MOHLTC presumes that employment arrangements must be “substantially the same” in order to compare workers, </w:t>
      </w:r>
      <w:r w:rsidR="00EA1BA4" w:rsidRPr="00902E61">
        <w:rPr>
          <w:rFonts w:asciiTheme="minorHAnsi" w:hAnsiTheme="minorHAnsi"/>
        </w:rPr>
        <w:t xml:space="preserve">and it has cast one group of employees as independent contractors, </w:t>
      </w:r>
      <w:r w:rsidR="00847749" w:rsidRPr="00902E61">
        <w:rPr>
          <w:rFonts w:asciiTheme="minorHAnsi" w:hAnsiTheme="minorHAnsi"/>
        </w:rPr>
        <w:t xml:space="preserve">it will not </w:t>
      </w:r>
      <w:r w:rsidR="0033497B" w:rsidRPr="00902E61">
        <w:rPr>
          <w:rFonts w:asciiTheme="minorHAnsi" w:hAnsiTheme="minorHAnsi"/>
        </w:rPr>
        <w:t xml:space="preserve">be </w:t>
      </w:r>
      <w:r w:rsidR="00847749" w:rsidRPr="00902E61">
        <w:rPr>
          <w:rFonts w:asciiTheme="minorHAnsi" w:hAnsiTheme="minorHAnsi"/>
        </w:rPr>
        <w:t>accountable for discrepancies in pay.</w:t>
      </w:r>
      <w:r w:rsidR="00EA1BA4" w:rsidRPr="00902E61">
        <w:rPr>
          <w:rFonts w:asciiTheme="minorHAnsi" w:hAnsiTheme="minorHAnsi"/>
        </w:rPr>
        <w:t xml:space="preserve"> </w:t>
      </w:r>
      <w:r w:rsidR="00847749" w:rsidRPr="00902E61">
        <w:rPr>
          <w:rFonts w:asciiTheme="minorHAnsi" w:hAnsiTheme="minorHAnsi"/>
        </w:rPr>
        <w:t>However, as the AOM has pointed out, the not</w:t>
      </w:r>
      <w:r w:rsidR="0033497B" w:rsidRPr="00902E61">
        <w:rPr>
          <w:rFonts w:asciiTheme="minorHAnsi" w:hAnsiTheme="minorHAnsi"/>
        </w:rPr>
        <w:t>io</w:t>
      </w:r>
      <w:r w:rsidR="00356F17" w:rsidRPr="00902E61">
        <w:rPr>
          <w:rFonts w:asciiTheme="minorHAnsi" w:hAnsiTheme="minorHAnsi"/>
        </w:rPr>
        <w:t xml:space="preserve">n of the similarly situated has not held the same weight for </w:t>
      </w:r>
      <w:r w:rsidR="0033497B" w:rsidRPr="00902E61">
        <w:rPr>
          <w:rFonts w:asciiTheme="minorHAnsi" w:hAnsiTheme="minorHAnsi"/>
        </w:rPr>
        <w:t>CHC physicians</w:t>
      </w:r>
      <w:r w:rsidR="002E16EC" w:rsidRPr="00902E61">
        <w:rPr>
          <w:rFonts w:asciiTheme="minorHAnsi" w:hAnsiTheme="minorHAnsi"/>
        </w:rPr>
        <w:t xml:space="preserve">. </w:t>
      </w:r>
      <w:r w:rsidR="007A1D53" w:rsidRPr="00902E61">
        <w:rPr>
          <w:rFonts w:asciiTheme="minorHAnsi" w:hAnsiTheme="minorHAnsi"/>
        </w:rPr>
        <w:t xml:space="preserve">Since 2004, </w:t>
      </w:r>
      <w:r w:rsidR="002E16EC" w:rsidRPr="00902E61">
        <w:rPr>
          <w:rFonts w:asciiTheme="minorHAnsi" w:hAnsiTheme="minorHAnsi"/>
        </w:rPr>
        <w:t xml:space="preserve">CHC physicians </w:t>
      </w:r>
      <w:r w:rsidR="007A1D53" w:rsidRPr="00902E61">
        <w:rPr>
          <w:rFonts w:asciiTheme="minorHAnsi" w:hAnsiTheme="minorHAnsi"/>
        </w:rPr>
        <w:t>have been recipients of</w:t>
      </w:r>
      <w:r w:rsidR="002E16EC" w:rsidRPr="00902E61">
        <w:rPr>
          <w:rFonts w:asciiTheme="minorHAnsi" w:hAnsiTheme="minorHAnsi"/>
        </w:rPr>
        <w:t xml:space="preserve"> “equitable compensation</w:t>
      </w:r>
      <w:r w:rsidR="007A1D53" w:rsidRPr="00902E61">
        <w:rPr>
          <w:rFonts w:asciiTheme="minorHAnsi" w:hAnsiTheme="minorHAnsi"/>
        </w:rPr>
        <w:t>,</w:t>
      </w:r>
      <w:r w:rsidR="002E16EC" w:rsidRPr="00902E61">
        <w:rPr>
          <w:rFonts w:asciiTheme="minorHAnsi" w:hAnsiTheme="minorHAnsi"/>
        </w:rPr>
        <w:t>”</w:t>
      </w:r>
      <w:r w:rsidR="007A1D53" w:rsidRPr="00902E61">
        <w:rPr>
          <w:rFonts w:asciiTheme="minorHAnsi" w:hAnsiTheme="minorHAnsi"/>
        </w:rPr>
        <w:t xml:space="preserve"> determined</w:t>
      </w:r>
      <w:r w:rsidR="002E16EC" w:rsidRPr="00902E61">
        <w:rPr>
          <w:rFonts w:asciiTheme="minorHAnsi" w:hAnsiTheme="minorHAnsi"/>
        </w:rPr>
        <w:t xml:space="preserve"> </w:t>
      </w:r>
      <w:r w:rsidR="00CA69C5" w:rsidRPr="00902E61">
        <w:rPr>
          <w:rFonts w:asciiTheme="minorHAnsi" w:hAnsiTheme="minorHAnsi"/>
        </w:rPr>
        <w:t xml:space="preserve">through the comparison </w:t>
      </w:r>
      <w:r w:rsidR="002E16EC" w:rsidRPr="00902E61">
        <w:rPr>
          <w:rFonts w:asciiTheme="minorHAnsi" w:hAnsiTheme="minorHAnsi"/>
        </w:rPr>
        <w:t>and align</w:t>
      </w:r>
      <w:r w:rsidR="00CA69C5" w:rsidRPr="00902E61">
        <w:rPr>
          <w:rFonts w:asciiTheme="minorHAnsi" w:hAnsiTheme="minorHAnsi"/>
        </w:rPr>
        <w:t xml:space="preserve">ment of </w:t>
      </w:r>
      <w:r w:rsidR="002E16EC" w:rsidRPr="00902E61">
        <w:rPr>
          <w:rFonts w:asciiTheme="minorHAnsi" w:hAnsiTheme="minorHAnsi"/>
        </w:rPr>
        <w:t>these salaried physicians with comparable but fee-for-service (i.e., independent contractor) primary health care physicians (</w:t>
      </w:r>
      <w:r w:rsidR="005E7930" w:rsidRPr="00902E61">
        <w:rPr>
          <w:rFonts w:asciiTheme="minorHAnsi" w:hAnsiTheme="minorHAnsi"/>
        </w:rPr>
        <w:t xml:space="preserve">AOM 2016a, </w:t>
      </w:r>
      <w:r w:rsidR="002E16EC" w:rsidRPr="00902E61">
        <w:rPr>
          <w:rFonts w:asciiTheme="minorHAnsi" w:hAnsiTheme="minorHAnsi"/>
        </w:rPr>
        <w:t>Appendix 5</w:t>
      </w:r>
      <w:r w:rsidR="007A1D53" w:rsidRPr="00902E61">
        <w:rPr>
          <w:rFonts w:asciiTheme="minorHAnsi" w:hAnsiTheme="minorHAnsi"/>
        </w:rPr>
        <w:t xml:space="preserve">). </w:t>
      </w:r>
    </w:p>
    <w:p w14:paraId="336F65BA" w14:textId="56F228ED" w:rsidR="00C064A9" w:rsidRPr="00902E61" w:rsidRDefault="007A1D53" w:rsidP="007F5AE7">
      <w:pPr>
        <w:spacing w:line="480" w:lineRule="auto"/>
        <w:ind w:firstLine="720"/>
        <w:rPr>
          <w:rFonts w:asciiTheme="minorHAnsi" w:hAnsiTheme="minorHAnsi"/>
        </w:rPr>
      </w:pPr>
      <w:r w:rsidRPr="00902E61">
        <w:rPr>
          <w:rFonts w:asciiTheme="minorHAnsi" w:hAnsiTheme="minorHAnsi"/>
        </w:rPr>
        <w:t>Evidently, there is some other measure of similarity that is informing MOHLTC’s</w:t>
      </w:r>
      <w:r w:rsidR="00CA69C5" w:rsidRPr="00902E61">
        <w:rPr>
          <w:rFonts w:asciiTheme="minorHAnsi" w:hAnsiTheme="minorHAnsi"/>
        </w:rPr>
        <w:t xml:space="preserve"> decisions around compensation. A</w:t>
      </w:r>
      <w:r w:rsidRPr="00902E61">
        <w:rPr>
          <w:rFonts w:asciiTheme="minorHAnsi" w:hAnsiTheme="minorHAnsi"/>
        </w:rPr>
        <w:t>ccording to the AOM, th</w:t>
      </w:r>
      <w:r w:rsidR="00CA69C5" w:rsidRPr="00902E61">
        <w:rPr>
          <w:rFonts w:asciiTheme="minorHAnsi" w:hAnsiTheme="minorHAnsi"/>
        </w:rPr>
        <w:t xml:space="preserve">e MOHLTC is </w:t>
      </w:r>
      <w:r w:rsidR="005E7930" w:rsidRPr="00902E61">
        <w:rPr>
          <w:rFonts w:asciiTheme="minorHAnsi" w:hAnsiTheme="minorHAnsi"/>
        </w:rPr>
        <w:t xml:space="preserve">more </w:t>
      </w:r>
      <w:r w:rsidR="00CA69C5" w:rsidRPr="00902E61">
        <w:rPr>
          <w:rFonts w:asciiTheme="minorHAnsi" w:hAnsiTheme="minorHAnsi"/>
        </w:rPr>
        <w:t xml:space="preserve">willing to compare the CHC physicians to fee-for-service </w:t>
      </w:r>
      <w:r w:rsidR="00AF29AD" w:rsidRPr="00902E61">
        <w:rPr>
          <w:rFonts w:asciiTheme="minorHAnsi" w:hAnsiTheme="minorHAnsi"/>
        </w:rPr>
        <w:t xml:space="preserve">physician </w:t>
      </w:r>
      <w:r w:rsidR="00CA69C5" w:rsidRPr="00902E61">
        <w:rPr>
          <w:rFonts w:asciiTheme="minorHAnsi" w:hAnsiTheme="minorHAnsi"/>
        </w:rPr>
        <w:t>because</w:t>
      </w:r>
      <w:r w:rsidR="00AF29AD" w:rsidRPr="00902E61">
        <w:rPr>
          <w:rFonts w:asciiTheme="minorHAnsi" w:hAnsiTheme="minorHAnsi"/>
        </w:rPr>
        <w:t>, in a sector largely dominated by women,</w:t>
      </w:r>
      <w:r w:rsidR="00CA69C5" w:rsidRPr="00902E61">
        <w:rPr>
          <w:rFonts w:asciiTheme="minorHAnsi" w:hAnsiTheme="minorHAnsi"/>
        </w:rPr>
        <w:t xml:space="preserve"> men </w:t>
      </w:r>
      <w:r w:rsidR="005E7930" w:rsidRPr="00902E61">
        <w:rPr>
          <w:rFonts w:asciiTheme="minorHAnsi" w:hAnsiTheme="minorHAnsi"/>
        </w:rPr>
        <w:t xml:space="preserve">have historically </w:t>
      </w:r>
      <w:r w:rsidR="00CA69C5" w:rsidRPr="00902E61">
        <w:rPr>
          <w:rFonts w:asciiTheme="minorHAnsi" w:hAnsiTheme="minorHAnsi"/>
        </w:rPr>
        <w:t>form</w:t>
      </w:r>
      <w:r w:rsidR="005E7930" w:rsidRPr="00902E61">
        <w:rPr>
          <w:rFonts w:asciiTheme="minorHAnsi" w:hAnsiTheme="minorHAnsi"/>
        </w:rPr>
        <w:t>ed</w:t>
      </w:r>
      <w:r w:rsidR="00CA69C5" w:rsidRPr="00902E61">
        <w:rPr>
          <w:rFonts w:asciiTheme="minorHAnsi" w:hAnsiTheme="minorHAnsi"/>
        </w:rPr>
        <w:t xml:space="preserve"> an above a</w:t>
      </w:r>
      <w:r w:rsidR="00785586" w:rsidRPr="00902E61">
        <w:rPr>
          <w:rFonts w:asciiTheme="minorHAnsi" w:hAnsiTheme="minorHAnsi"/>
        </w:rPr>
        <w:t>verage proportion in both occupations</w:t>
      </w:r>
      <w:r w:rsidR="00936D33" w:rsidRPr="00902E61">
        <w:rPr>
          <w:rFonts w:asciiTheme="minorHAnsi" w:hAnsiTheme="minorHAnsi"/>
        </w:rPr>
        <w:t xml:space="preserve"> (AOM 2014; AOM 2016a). A</w:t>
      </w:r>
      <w:r w:rsidR="005E7930" w:rsidRPr="00902E61">
        <w:rPr>
          <w:rFonts w:asciiTheme="minorHAnsi" w:hAnsiTheme="minorHAnsi"/>
        </w:rPr>
        <w:t>dditionally,</w:t>
      </w:r>
      <w:r w:rsidR="00E83011" w:rsidRPr="00902E61">
        <w:rPr>
          <w:rFonts w:asciiTheme="minorHAnsi" w:hAnsiTheme="minorHAnsi"/>
        </w:rPr>
        <w:t xml:space="preserve"> although women’s representation in family medical practice is growing (as of 2016, approximately 45% of family physicians in Ontario are women (CIHI 2017), </w:t>
      </w:r>
      <w:r w:rsidR="00FC6EF4" w:rsidRPr="00902E61">
        <w:rPr>
          <w:rFonts w:asciiTheme="minorHAnsi" w:hAnsiTheme="minorHAnsi"/>
        </w:rPr>
        <w:t>both CHC physicians and fee-for-service physicians</w:t>
      </w:r>
      <w:r w:rsidR="005E7930" w:rsidRPr="00902E61">
        <w:rPr>
          <w:rFonts w:asciiTheme="minorHAnsi" w:hAnsiTheme="minorHAnsi"/>
        </w:rPr>
        <w:t xml:space="preserve"> continue to be</w:t>
      </w:r>
      <w:r w:rsidR="00CA69C5" w:rsidRPr="00902E61">
        <w:rPr>
          <w:rFonts w:asciiTheme="minorHAnsi" w:hAnsiTheme="minorHAnsi"/>
        </w:rPr>
        <w:t xml:space="preserve"> centred in Ontario’s health care system where medicalized or “scientific” </w:t>
      </w:r>
      <w:r w:rsidR="004E4289" w:rsidRPr="00902E61">
        <w:rPr>
          <w:rFonts w:asciiTheme="minorHAnsi" w:hAnsiTheme="minorHAnsi"/>
        </w:rPr>
        <w:t xml:space="preserve">and allopathic </w:t>
      </w:r>
      <w:r w:rsidR="00CA69C5" w:rsidRPr="00902E61">
        <w:rPr>
          <w:rFonts w:asciiTheme="minorHAnsi" w:hAnsiTheme="minorHAnsi"/>
        </w:rPr>
        <w:t xml:space="preserve">interveners, such as </w:t>
      </w:r>
      <w:r w:rsidRPr="00902E61">
        <w:rPr>
          <w:rFonts w:asciiTheme="minorHAnsi" w:hAnsiTheme="minorHAnsi"/>
        </w:rPr>
        <w:t>physicians</w:t>
      </w:r>
      <w:r w:rsidR="00CA69C5" w:rsidRPr="00902E61">
        <w:rPr>
          <w:rFonts w:asciiTheme="minorHAnsi" w:hAnsiTheme="minorHAnsi"/>
        </w:rPr>
        <w:t>,</w:t>
      </w:r>
      <w:r w:rsidRPr="00902E61">
        <w:rPr>
          <w:rFonts w:asciiTheme="minorHAnsi" w:hAnsiTheme="minorHAnsi"/>
        </w:rPr>
        <w:t xml:space="preserve"> </w:t>
      </w:r>
      <w:r w:rsidR="00242E11" w:rsidRPr="00902E61">
        <w:rPr>
          <w:rFonts w:asciiTheme="minorHAnsi" w:hAnsiTheme="minorHAnsi"/>
        </w:rPr>
        <w:t>have  historic</w:t>
      </w:r>
      <w:r w:rsidR="00CA69C5" w:rsidRPr="00902E61">
        <w:rPr>
          <w:rFonts w:asciiTheme="minorHAnsi" w:hAnsiTheme="minorHAnsi"/>
        </w:rPr>
        <w:t>ally and to the present been awarded dominance (</w:t>
      </w:r>
      <w:r w:rsidR="005E7930" w:rsidRPr="00902E61">
        <w:rPr>
          <w:rFonts w:asciiTheme="minorHAnsi" w:hAnsiTheme="minorHAnsi"/>
        </w:rPr>
        <w:t xml:space="preserve">AOM 2014, </w:t>
      </w:r>
      <w:r w:rsidR="00CA69C5" w:rsidRPr="00902E61">
        <w:rPr>
          <w:rFonts w:asciiTheme="minorHAnsi" w:hAnsiTheme="minorHAnsi"/>
        </w:rPr>
        <w:t>AOM 2016a</w:t>
      </w:r>
      <w:r w:rsidR="008D6DDE" w:rsidRPr="00902E61">
        <w:rPr>
          <w:rFonts w:asciiTheme="minorHAnsi" w:hAnsiTheme="minorHAnsi"/>
        </w:rPr>
        <w:t xml:space="preserve">; </w:t>
      </w:r>
      <w:r w:rsidR="00CA69C5" w:rsidRPr="00902E61">
        <w:rPr>
          <w:rFonts w:asciiTheme="minorHAnsi" w:hAnsiTheme="minorHAnsi"/>
        </w:rPr>
        <w:t>see also Armstrong, Laxer, and Armstrong 2007</w:t>
      </w:r>
      <w:r w:rsidR="00544F0C" w:rsidRPr="00902E61">
        <w:rPr>
          <w:rFonts w:asciiTheme="minorHAnsi" w:hAnsiTheme="minorHAnsi"/>
        </w:rPr>
        <w:t>). As a</w:t>
      </w:r>
      <w:r w:rsidR="00FC6EF4" w:rsidRPr="00902E61">
        <w:rPr>
          <w:rFonts w:asciiTheme="minorHAnsi" w:hAnsiTheme="minorHAnsi"/>
        </w:rPr>
        <w:t xml:space="preserve"> system </w:t>
      </w:r>
      <w:r w:rsidR="00544F0C" w:rsidRPr="00902E61">
        <w:rPr>
          <w:rFonts w:asciiTheme="minorHAnsi" w:hAnsiTheme="minorHAnsi"/>
        </w:rPr>
        <w:t>developed by medical men, the Canadian</w:t>
      </w:r>
      <w:r w:rsidR="008D6DDE" w:rsidRPr="00902E61">
        <w:rPr>
          <w:rFonts w:asciiTheme="minorHAnsi" w:hAnsiTheme="minorHAnsi"/>
        </w:rPr>
        <w:t xml:space="preserve"> public</w:t>
      </w:r>
      <w:r w:rsidR="00544F0C" w:rsidRPr="00902E61">
        <w:rPr>
          <w:rFonts w:asciiTheme="minorHAnsi" w:hAnsiTheme="minorHAnsi"/>
        </w:rPr>
        <w:t xml:space="preserve"> health care system </w:t>
      </w:r>
      <w:r w:rsidR="00FC6EF4" w:rsidRPr="00902E61">
        <w:rPr>
          <w:rFonts w:asciiTheme="minorHAnsi" w:hAnsiTheme="minorHAnsi"/>
        </w:rPr>
        <w:t>has a lon</w:t>
      </w:r>
      <w:r w:rsidR="00544F0C" w:rsidRPr="00902E61">
        <w:rPr>
          <w:rFonts w:asciiTheme="minorHAnsi" w:hAnsiTheme="minorHAnsi"/>
        </w:rPr>
        <w:t>g history of equating physician’s allopathic model of practice (which stresses use of surgery and drugs)</w:t>
      </w:r>
      <w:r w:rsidR="00FC6EF4" w:rsidRPr="00902E61">
        <w:rPr>
          <w:rFonts w:asciiTheme="minorHAnsi" w:hAnsiTheme="minorHAnsi"/>
        </w:rPr>
        <w:t xml:space="preserve"> with </w:t>
      </w:r>
      <w:r w:rsidR="00544F0C" w:rsidRPr="00902E61">
        <w:rPr>
          <w:rFonts w:asciiTheme="minorHAnsi" w:hAnsiTheme="minorHAnsi"/>
        </w:rPr>
        <w:t>healing</w:t>
      </w:r>
      <w:r w:rsidR="00FC6EF4" w:rsidRPr="00902E61">
        <w:rPr>
          <w:rFonts w:asciiTheme="minorHAnsi" w:hAnsiTheme="minorHAnsi"/>
        </w:rPr>
        <w:t xml:space="preserve"> and </w:t>
      </w:r>
      <w:r w:rsidR="00544F0C" w:rsidRPr="00902E61">
        <w:rPr>
          <w:rFonts w:asciiTheme="minorHAnsi" w:hAnsiTheme="minorHAnsi"/>
        </w:rPr>
        <w:lastRenderedPageBreak/>
        <w:t xml:space="preserve">devaluing </w:t>
      </w:r>
      <w:r w:rsidR="00FC6EF4" w:rsidRPr="00902E61">
        <w:rPr>
          <w:rFonts w:asciiTheme="minorHAnsi" w:hAnsiTheme="minorHAnsi"/>
        </w:rPr>
        <w:t>the daily</w:t>
      </w:r>
      <w:r w:rsidR="008D6DDE" w:rsidRPr="00902E61">
        <w:rPr>
          <w:rFonts w:asciiTheme="minorHAnsi" w:hAnsiTheme="minorHAnsi"/>
        </w:rPr>
        <w:t xml:space="preserve">, preventative, and primary health care </w:t>
      </w:r>
      <w:r w:rsidR="00FC6EF4" w:rsidRPr="00902E61">
        <w:rPr>
          <w:rFonts w:asciiTheme="minorHAnsi" w:hAnsiTheme="minorHAnsi"/>
        </w:rPr>
        <w:t xml:space="preserve">work that </w:t>
      </w:r>
      <w:r w:rsidR="008D6DDE" w:rsidRPr="00902E61">
        <w:rPr>
          <w:rFonts w:asciiTheme="minorHAnsi" w:hAnsiTheme="minorHAnsi"/>
        </w:rPr>
        <w:t xml:space="preserve">other, often </w:t>
      </w:r>
      <w:r w:rsidR="00544F0C" w:rsidRPr="00902E61">
        <w:rPr>
          <w:rFonts w:asciiTheme="minorHAnsi" w:hAnsiTheme="minorHAnsi"/>
        </w:rPr>
        <w:t>women-domina</w:t>
      </w:r>
      <w:r w:rsidR="008D6DDE" w:rsidRPr="00902E61">
        <w:rPr>
          <w:rFonts w:asciiTheme="minorHAnsi" w:hAnsiTheme="minorHAnsi"/>
        </w:rPr>
        <w:t>ted</w:t>
      </w:r>
      <w:r w:rsidR="00FC6EF4" w:rsidRPr="00902E61">
        <w:rPr>
          <w:rFonts w:asciiTheme="minorHAnsi" w:hAnsiTheme="minorHAnsi"/>
        </w:rPr>
        <w:t xml:space="preserve"> health care </w:t>
      </w:r>
      <w:r w:rsidR="00544F0C" w:rsidRPr="00902E61">
        <w:rPr>
          <w:rFonts w:asciiTheme="minorHAnsi" w:hAnsiTheme="minorHAnsi"/>
        </w:rPr>
        <w:t>professions,</w:t>
      </w:r>
      <w:r w:rsidR="00FC6EF4" w:rsidRPr="00902E61">
        <w:rPr>
          <w:rFonts w:asciiTheme="minorHAnsi" w:hAnsiTheme="minorHAnsi"/>
        </w:rPr>
        <w:t xml:space="preserve"> such</w:t>
      </w:r>
      <w:r w:rsidR="00544F0C" w:rsidRPr="00902E61">
        <w:rPr>
          <w:rFonts w:asciiTheme="minorHAnsi" w:hAnsiTheme="minorHAnsi"/>
        </w:rPr>
        <w:t xml:space="preserve"> as nursing </w:t>
      </w:r>
      <w:r w:rsidR="00FC6EF4" w:rsidRPr="00902E61">
        <w:rPr>
          <w:rFonts w:asciiTheme="minorHAnsi" w:hAnsiTheme="minorHAnsi"/>
        </w:rPr>
        <w:t xml:space="preserve">and </w:t>
      </w:r>
      <w:r w:rsidR="00544F0C" w:rsidRPr="00902E61">
        <w:rPr>
          <w:rFonts w:asciiTheme="minorHAnsi" w:hAnsiTheme="minorHAnsi"/>
        </w:rPr>
        <w:t>midwifery</w:t>
      </w:r>
      <w:r w:rsidR="008D6DDE" w:rsidRPr="00902E61">
        <w:rPr>
          <w:rFonts w:asciiTheme="minorHAnsi" w:hAnsiTheme="minorHAnsi"/>
        </w:rPr>
        <w:t>, provide</w:t>
      </w:r>
      <w:r w:rsidR="00544F0C" w:rsidRPr="00902E61">
        <w:rPr>
          <w:rFonts w:asciiTheme="minorHAnsi" w:hAnsiTheme="minorHAnsi"/>
        </w:rPr>
        <w:t xml:space="preserve"> (Armstrong, Laxer, and Armstrong 2007).</w:t>
      </w:r>
      <w:r w:rsidR="008A1528" w:rsidRPr="00902E61">
        <w:rPr>
          <w:rFonts w:asciiTheme="minorHAnsi" w:hAnsiTheme="minorHAnsi"/>
        </w:rPr>
        <w:t xml:space="preserve"> </w:t>
      </w:r>
      <w:r w:rsidR="00E83011" w:rsidRPr="00902E61">
        <w:rPr>
          <w:rFonts w:asciiTheme="minorHAnsi" w:hAnsiTheme="minorHAnsi"/>
        </w:rPr>
        <w:t xml:space="preserve">The occupational hierarchy in healthcare is, as a result, gendered, insofar as it aims to </w:t>
      </w:r>
      <w:r w:rsidR="00DB057A" w:rsidRPr="00902E61">
        <w:rPr>
          <w:rFonts w:asciiTheme="minorHAnsi" w:hAnsiTheme="minorHAnsi"/>
        </w:rPr>
        <w:t xml:space="preserve">centre and </w:t>
      </w:r>
      <w:r w:rsidR="00E83011" w:rsidRPr="00902E61">
        <w:rPr>
          <w:rFonts w:asciiTheme="minorHAnsi" w:hAnsiTheme="minorHAnsi"/>
        </w:rPr>
        <w:t>protect those occupations where men have historically dominated; this hierarchy is also linked</w:t>
      </w:r>
      <w:r w:rsidR="00DB057A" w:rsidRPr="00902E61">
        <w:rPr>
          <w:rFonts w:asciiTheme="minorHAnsi" w:hAnsiTheme="minorHAnsi"/>
        </w:rPr>
        <w:t xml:space="preserve"> </w:t>
      </w:r>
      <w:r w:rsidR="00E83011" w:rsidRPr="00902E61">
        <w:rPr>
          <w:rFonts w:asciiTheme="minorHAnsi" w:hAnsiTheme="minorHAnsi"/>
        </w:rPr>
        <w:t xml:space="preserve">to the material/economic interests of physicians to prioritize </w:t>
      </w:r>
      <w:r w:rsidR="004E4289" w:rsidRPr="00902E61">
        <w:rPr>
          <w:rFonts w:asciiTheme="minorHAnsi" w:hAnsiTheme="minorHAnsi"/>
        </w:rPr>
        <w:t>diagnosis and treatment</w:t>
      </w:r>
      <w:r w:rsidR="00376942" w:rsidRPr="00902E61">
        <w:rPr>
          <w:rFonts w:asciiTheme="minorHAnsi" w:hAnsiTheme="minorHAnsi"/>
        </w:rPr>
        <w:t>, areas where physicians typically dominate and specialize in,</w:t>
      </w:r>
      <w:r w:rsidR="00E83011" w:rsidRPr="00902E61">
        <w:rPr>
          <w:rFonts w:asciiTheme="minorHAnsi" w:hAnsiTheme="minorHAnsi"/>
        </w:rPr>
        <w:t xml:space="preserve"> over prevent</w:t>
      </w:r>
      <w:r w:rsidR="004E4289" w:rsidRPr="00902E61">
        <w:rPr>
          <w:rFonts w:asciiTheme="minorHAnsi" w:hAnsiTheme="minorHAnsi"/>
        </w:rPr>
        <w:t xml:space="preserve">ative, allopathic, and daily care </w:t>
      </w:r>
      <w:r w:rsidR="00E83011" w:rsidRPr="00902E61">
        <w:rPr>
          <w:rFonts w:asciiTheme="minorHAnsi" w:hAnsiTheme="minorHAnsi"/>
        </w:rPr>
        <w:t>(Armstrong, Laxer, and Armstrong 2007</w:t>
      </w:r>
      <w:r w:rsidR="00DB057A" w:rsidRPr="00902E61">
        <w:rPr>
          <w:rFonts w:asciiTheme="minorHAnsi" w:hAnsiTheme="minorHAnsi"/>
        </w:rPr>
        <w:t>; Finkel 2011</w:t>
      </w:r>
      <w:r w:rsidR="00E83011" w:rsidRPr="00902E61">
        <w:rPr>
          <w:rFonts w:asciiTheme="minorHAnsi" w:hAnsiTheme="minorHAnsi"/>
        </w:rPr>
        <w:t xml:space="preserve">). </w:t>
      </w:r>
      <w:r w:rsidR="00544F0C" w:rsidRPr="00902E61">
        <w:rPr>
          <w:rFonts w:asciiTheme="minorHAnsi" w:hAnsiTheme="minorHAnsi"/>
        </w:rPr>
        <w:t xml:space="preserve">In their application to the </w:t>
      </w:r>
      <w:r w:rsidR="003F055E" w:rsidRPr="00902E61">
        <w:rPr>
          <w:rFonts w:asciiTheme="minorHAnsi" w:hAnsiTheme="minorHAnsi"/>
        </w:rPr>
        <w:t>HRTO, the AOM notes</w:t>
      </w:r>
      <w:r w:rsidR="00544F0C" w:rsidRPr="00902E61">
        <w:rPr>
          <w:rFonts w:asciiTheme="minorHAnsi" w:hAnsiTheme="minorHAnsi"/>
        </w:rPr>
        <w:t xml:space="preserve"> that this system is, in part, reproduced by the overrepresentation of physicians in the MOHLTC</w:t>
      </w:r>
      <w:r w:rsidR="003F055E" w:rsidRPr="00902E61">
        <w:rPr>
          <w:rFonts w:asciiTheme="minorHAnsi" w:hAnsiTheme="minorHAnsi"/>
        </w:rPr>
        <w:t>, and</w:t>
      </w:r>
      <w:r w:rsidR="008E5144" w:rsidRPr="00902E61">
        <w:rPr>
          <w:rFonts w:asciiTheme="minorHAnsi" w:hAnsiTheme="minorHAnsi"/>
        </w:rPr>
        <w:t>, as a result,</w:t>
      </w:r>
      <w:r w:rsidR="003F055E" w:rsidRPr="00902E61">
        <w:rPr>
          <w:rFonts w:asciiTheme="minorHAnsi" w:hAnsiTheme="minorHAnsi"/>
        </w:rPr>
        <w:t xml:space="preserve"> compensation rates in health care are heavily informed by gendered assumptions about what constitutes skills and responsible work (</w:t>
      </w:r>
      <w:r w:rsidR="008D6DDE" w:rsidRPr="00902E61">
        <w:rPr>
          <w:rFonts w:asciiTheme="minorHAnsi" w:hAnsiTheme="minorHAnsi"/>
        </w:rPr>
        <w:t xml:space="preserve">AOM </w:t>
      </w:r>
      <w:r w:rsidR="003F055E" w:rsidRPr="00902E61">
        <w:rPr>
          <w:rFonts w:asciiTheme="minorHAnsi" w:hAnsiTheme="minorHAnsi"/>
        </w:rPr>
        <w:t>2014</w:t>
      </w:r>
      <w:r w:rsidR="008D6DDE" w:rsidRPr="00902E61">
        <w:rPr>
          <w:rFonts w:asciiTheme="minorHAnsi" w:hAnsiTheme="minorHAnsi"/>
        </w:rPr>
        <w:t>,</w:t>
      </w:r>
      <w:r w:rsidR="003F055E" w:rsidRPr="00902E61">
        <w:rPr>
          <w:rFonts w:asciiTheme="minorHAnsi" w:hAnsiTheme="minorHAnsi"/>
        </w:rPr>
        <w:t xml:space="preserve"> p. 2</w:t>
      </w:r>
      <w:r w:rsidR="008E5144" w:rsidRPr="00902E61">
        <w:rPr>
          <w:rFonts w:asciiTheme="minorHAnsi" w:hAnsiTheme="minorHAnsi"/>
        </w:rPr>
        <w:t>2). Such gendered norms are starkly illustrated by the MOHLTC’s different approaches to the expansion of the Ontario Midwifery Program and the expansion of the CHC Centres: as the AOM</w:t>
      </w:r>
      <w:r w:rsidR="005E7930" w:rsidRPr="00902E61">
        <w:rPr>
          <w:rFonts w:asciiTheme="minorHAnsi" w:hAnsiTheme="minorHAnsi"/>
        </w:rPr>
        <w:t xml:space="preserve"> has argued</w:t>
      </w:r>
      <w:r w:rsidR="008E5144" w:rsidRPr="00902E61">
        <w:rPr>
          <w:rFonts w:asciiTheme="minorHAnsi" w:hAnsiTheme="minorHAnsi"/>
        </w:rPr>
        <w:t>, the underpayment of midwifery work was deemed</w:t>
      </w:r>
      <w:r w:rsidR="002C1F3C" w:rsidRPr="00902E61">
        <w:rPr>
          <w:rFonts w:asciiTheme="minorHAnsi" w:hAnsiTheme="minorHAnsi"/>
        </w:rPr>
        <w:t xml:space="preserve"> a</w:t>
      </w:r>
      <w:r w:rsidR="008E5144" w:rsidRPr="00902E61">
        <w:rPr>
          <w:rFonts w:asciiTheme="minorHAnsi" w:hAnsiTheme="minorHAnsi"/>
        </w:rPr>
        <w:t xml:space="preserve"> necessary step </w:t>
      </w:r>
      <w:r w:rsidR="002C1F3C" w:rsidRPr="00902E61">
        <w:rPr>
          <w:rFonts w:asciiTheme="minorHAnsi" w:hAnsiTheme="minorHAnsi"/>
        </w:rPr>
        <w:t xml:space="preserve">by the Ministry </w:t>
      </w:r>
      <w:r w:rsidR="008E5144" w:rsidRPr="00902E61">
        <w:rPr>
          <w:rFonts w:asciiTheme="minorHAnsi" w:hAnsiTheme="minorHAnsi"/>
        </w:rPr>
        <w:t>to finan</w:t>
      </w:r>
      <w:r w:rsidR="002C1F3C" w:rsidRPr="00902E61">
        <w:rPr>
          <w:rFonts w:asciiTheme="minorHAnsi" w:hAnsiTheme="minorHAnsi"/>
        </w:rPr>
        <w:t>ce</w:t>
      </w:r>
      <w:r w:rsidR="008E5144" w:rsidRPr="00902E61">
        <w:rPr>
          <w:rFonts w:asciiTheme="minorHAnsi" w:hAnsiTheme="minorHAnsi"/>
        </w:rPr>
        <w:t xml:space="preserve"> the expansion of the </w:t>
      </w:r>
      <w:r w:rsidR="005E7930" w:rsidRPr="00902E61">
        <w:rPr>
          <w:rFonts w:asciiTheme="minorHAnsi" w:hAnsiTheme="minorHAnsi"/>
        </w:rPr>
        <w:t>service to meet growing demand</w:t>
      </w:r>
      <w:r w:rsidR="005C7BAA" w:rsidRPr="00902E61">
        <w:rPr>
          <w:rFonts w:asciiTheme="minorHAnsi" w:hAnsiTheme="minorHAnsi"/>
        </w:rPr>
        <w:t xml:space="preserve"> for low-risk maternity care</w:t>
      </w:r>
      <w:r w:rsidR="008E5144" w:rsidRPr="00902E61">
        <w:rPr>
          <w:rFonts w:asciiTheme="minorHAnsi" w:hAnsiTheme="minorHAnsi"/>
        </w:rPr>
        <w:t>, while “CHC physicians were not expected to similarly finance the expansion of the CHC Centres” (AOM 2016a, p</w:t>
      </w:r>
      <w:r w:rsidR="008D6DDE" w:rsidRPr="00902E61">
        <w:rPr>
          <w:rFonts w:asciiTheme="minorHAnsi" w:hAnsiTheme="minorHAnsi"/>
        </w:rPr>
        <w:t>.</w:t>
      </w:r>
      <w:r w:rsidR="008E5144" w:rsidRPr="00902E61">
        <w:rPr>
          <w:rFonts w:asciiTheme="minorHAnsi" w:hAnsiTheme="minorHAnsi"/>
        </w:rPr>
        <w:t xml:space="preserve"> 75).</w:t>
      </w:r>
      <w:r w:rsidR="002C1F3C" w:rsidRPr="00902E61">
        <w:rPr>
          <w:rFonts w:asciiTheme="minorHAnsi" w:hAnsiTheme="minorHAnsi"/>
        </w:rPr>
        <w:t xml:space="preserve"> </w:t>
      </w:r>
      <w:r w:rsidR="002063E5" w:rsidRPr="00902E61">
        <w:rPr>
          <w:rFonts w:asciiTheme="minorHAnsi" w:hAnsiTheme="minorHAnsi"/>
        </w:rPr>
        <w:t>In this instance, the Ministry’s “fiscal responsibility,”</w:t>
      </w:r>
      <w:r w:rsidR="002C1F3C" w:rsidRPr="00902E61">
        <w:rPr>
          <w:rFonts w:asciiTheme="minorHAnsi" w:hAnsiTheme="minorHAnsi"/>
        </w:rPr>
        <w:t xml:space="preserve"> a supposedly ge</w:t>
      </w:r>
      <w:r w:rsidR="005E7930" w:rsidRPr="00902E61">
        <w:rPr>
          <w:rFonts w:asciiTheme="minorHAnsi" w:hAnsiTheme="minorHAnsi"/>
        </w:rPr>
        <w:t>nder-neutral practice, has had</w:t>
      </w:r>
      <w:r w:rsidR="002C1F3C" w:rsidRPr="00902E61">
        <w:rPr>
          <w:rFonts w:asciiTheme="minorHAnsi" w:hAnsiTheme="minorHAnsi"/>
        </w:rPr>
        <w:t xml:space="preserve"> significantly different consequences </w:t>
      </w:r>
      <w:r w:rsidR="005E7930" w:rsidRPr="00902E61">
        <w:rPr>
          <w:rFonts w:asciiTheme="minorHAnsi" w:hAnsiTheme="minorHAnsi"/>
        </w:rPr>
        <w:t>for midwifery, as a</w:t>
      </w:r>
      <w:r w:rsidR="002C1F3C" w:rsidRPr="00902E61">
        <w:rPr>
          <w:rFonts w:asciiTheme="minorHAnsi" w:hAnsiTheme="minorHAnsi"/>
        </w:rPr>
        <w:t xml:space="preserve"> “</w:t>
      </w:r>
      <w:r w:rsidR="005E7930" w:rsidRPr="00902E61">
        <w:rPr>
          <w:rFonts w:asciiTheme="minorHAnsi" w:hAnsiTheme="minorHAnsi"/>
        </w:rPr>
        <w:t>female-</w:t>
      </w:r>
      <w:r w:rsidR="002C1F3C" w:rsidRPr="00902E61">
        <w:rPr>
          <w:rFonts w:asciiTheme="minorHAnsi" w:hAnsiTheme="minorHAnsi"/>
        </w:rPr>
        <w:t>job class</w:t>
      </w:r>
      <w:r w:rsidR="00DB057A" w:rsidRPr="00902E61">
        <w:rPr>
          <w:rFonts w:asciiTheme="minorHAnsi" w:hAnsiTheme="minorHAnsi"/>
        </w:rPr>
        <w:t>,</w:t>
      </w:r>
      <w:r w:rsidR="002C1F3C" w:rsidRPr="00902E61">
        <w:rPr>
          <w:rFonts w:asciiTheme="minorHAnsi" w:hAnsiTheme="minorHAnsi"/>
        </w:rPr>
        <w:t xml:space="preserve">” in </w:t>
      </w:r>
      <w:r w:rsidR="005E7930" w:rsidRPr="00902E61">
        <w:rPr>
          <w:rFonts w:asciiTheme="minorHAnsi" w:hAnsiTheme="minorHAnsi"/>
        </w:rPr>
        <w:t xml:space="preserve">comparison to CHC </w:t>
      </w:r>
      <w:r w:rsidR="002063E5" w:rsidRPr="00902E61">
        <w:rPr>
          <w:rFonts w:asciiTheme="minorHAnsi" w:hAnsiTheme="minorHAnsi"/>
        </w:rPr>
        <w:t>physicians</w:t>
      </w:r>
      <w:r w:rsidR="005E7930" w:rsidRPr="00902E61">
        <w:rPr>
          <w:rFonts w:asciiTheme="minorHAnsi" w:hAnsiTheme="minorHAnsi"/>
        </w:rPr>
        <w:t xml:space="preserve">. </w:t>
      </w:r>
    </w:p>
    <w:p w14:paraId="5FEE98D1" w14:textId="1D547E1E" w:rsidR="00906C4B" w:rsidRPr="00902E61" w:rsidRDefault="002063E5" w:rsidP="007F5AE7">
      <w:pPr>
        <w:spacing w:line="480" w:lineRule="auto"/>
        <w:ind w:firstLine="720"/>
        <w:rPr>
          <w:rFonts w:asciiTheme="minorHAnsi" w:hAnsiTheme="minorHAnsi"/>
        </w:rPr>
      </w:pPr>
      <w:r w:rsidRPr="00902E61">
        <w:rPr>
          <w:rFonts w:asciiTheme="minorHAnsi" w:hAnsiTheme="minorHAnsi"/>
        </w:rPr>
        <w:t xml:space="preserve">The MOHLTC’s deference to the notion of the similarly situated, then, has allowed the Ministry to reinforce and uphold existing hierarchies in the health care industry. </w:t>
      </w:r>
      <w:r w:rsidR="008E5144" w:rsidRPr="00902E61">
        <w:rPr>
          <w:rFonts w:asciiTheme="minorHAnsi" w:hAnsiTheme="minorHAnsi"/>
        </w:rPr>
        <w:t>Farad</w:t>
      </w:r>
      <w:r w:rsidRPr="00902E61">
        <w:rPr>
          <w:rFonts w:asciiTheme="minorHAnsi" w:hAnsiTheme="minorHAnsi"/>
        </w:rPr>
        <w:t xml:space="preserve">ay and Borowy </w:t>
      </w:r>
      <w:r w:rsidR="00F11645" w:rsidRPr="00902E61">
        <w:rPr>
          <w:rFonts w:asciiTheme="minorHAnsi" w:hAnsiTheme="minorHAnsi"/>
        </w:rPr>
        <w:t xml:space="preserve">(2017) </w:t>
      </w:r>
      <w:r w:rsidR="001A29F7" w:rsidRPr="00902E61">
        <w:rPr>
          <w:rFonts w:asciiTheme="minorHAnsi" w:hAnsiTheme="minorHAnsi"/>
        </w:rPr>
        <w:t xml:space="preserve">argue that </w:t>
      </w:r>
      <w:r w:rsidR="00385C5A" w:rsidRPr="00902E61">
        <w:rPr>
          <w:rFonts w:asciiTheme="minorHAnsi" w:hAnsiTheme="minorHAnsi"/>
        </w:rPr>
        <w:t>correcting such systemic discrimination in compensation for female job classes requ</w:t>
      </w:r>
      <w:r w:rsidR="00906C4B" w:rsidRPr="00902E61">
        <w:rPr>
          <w:rFonts w:asciiTheme="minorHAnsi" w:hAnsiTheme="minorHAnsi"/>
        </w:rPr>
        <w:t>ires a proa</w:t>
      </w:r>
      <w:r w:rsidR="00F11645" w:rsidRPr="00902E61">
        <w:rPr>
          <w:rFonts w:asciiTheme="minorHAnsi" w:hAnsiTheme="minorHAnsi"/>
        </w:rPr>
        <w:t>ctive approach</w:t>
      </w:r>
      <w:r w:rsidR="003C14AB" w:rsidRPr="00902E61">
        <w:rPr>
          <w:rFonts w:asciiTheme="minorHAnsi" w:hAnsiTheme="minorHAnsi"/>
        </w:rPr>
        <w:t xml:space="preserve">, as delineated in the </w:t>
      </w:r>
      <w:r w:rsidR="003C14AB" w:rsidRPr="00902E61">
        <w:rPr>
          <w:rFonts w:asciiTheme="minorHAnsi" w:hAnsiTheme="minorHAnsi"/>
          <w:i/>
          <w:iCs/>
        </w:rPr>
        <w:t>PEA,</w:t>
      </w:r>
      <w:r w:rsidR="003C14AB" w:rsidRPr="00902E61">
        <w:rPr>
          <w:rFonts w:asciiTheme="minorHAnsi" w:hAnsiTheme="minorHAnsi"/>
        </w:rPr>
        <w:t xml:space="preserve"> </w:t>
      </w:r>
      <w:r w:rsidR="008D6DDE" w:rsidRPr="00902E61">
        <w:rPr>
          <w:rFonts w:asciiTheme="minorHAnsi" w:hAnsiTheme="minorHAnsi"/>
        </w:rPr>
        <w:t>requiring</w:t>
      </w:r>
      <w:r w:rsidR="003C14AB" w:rsidRPr="00902E61">
        <w:rPr>
          <w:rFonts w:asciiTheme="minorHAnsi" w:hAnsiTheme="minorHAnsi"/>
        </w:rPr>
        <w:t xml:space="preserve"> an employer show </w:t>
      </w:r>
      <w:r w:rsidR="003C14AB" w:rsidRPr="00902E61">
        <w:rPr>
          <w:rFonts w:asciiTheme="minorHAnsi" w:hAnsiTheme="minorHAnsi"/>
        </w:rPr>
        <w:lastRenderedPageBreak/>
        <w:t xml:space="preserve">that a difference in compensation does not discriminate on the basis of sex. </w:t>
      </w:r>
      <w:r w:rsidR="00F11645" w:rsidRPr="00902E61">
        <w:rPr>
          <w:rFonts w:asciiTheme="minorHAnsi" w:hAnsiTheme="minorHAnsi"/>
        </w:rPr>
        <w:t>In</w:t>
      </w:r>
      <w:r w:rsidR="0029246F" w:rsidRPr="00902E61">
        <w:rPr>
          <w:rFonts w:asciiTheme="minorHAnsi" w:hAnsiTheme="minorHAnsi"/>
        </w:rPr>
        <w:t xml:space="preserve"> their submission to the </w:t>
      </w:r>
      <w:r w:rsidR="00F11645" w:rsidRPr="00902E61">
        <w:rPr>
          <w:rFonts w:asciiTheme="minorHAnsi" w:hAnsiTheme="minorHAnsi"/>
        </w:rPr>
        <w:t xml:space="preserve">government of Ontario’s Gender Wage Gap Strategy Steering Committee, the </w:t>
      </w:r>
      <w:r w:rsidRPr="00902E61">
        <w:rPr>
          <w:rFonts w:asciiTheme="minorHAnsi" w:hAnsiTheme="minorHAnsi"/>
        </w:rPr>
        <w:t xml:space="preserve">AOM </w:t>
      </w:r>
      <w:r w:rsidR="0029246F" w:rsidRPr="00902E61">
        <w:rPr>
          <w:rFonts w:asciiTheme="minorHAnsi" w:hAnsiTheme="minorHAnsi"/>
        </w:rPr>
        <w:t>has suggested that broadening the scope of</w:t>
      </w:r>
      <w:r w:rsidRPr="00902E61">
        <w:rPr>
          <w:rFonts w:asciiTheme="minorHAnsi" w:hAnsiTheme="minorHAnsi"/>
        </w:rPr>
        <w:t xml:space="preserve"> </w:t>
      </w:r>
      <w:r w:rsidR="00FE7171" w:rsidRPr="00902E61">
        <w:rPr>
          <w:rFonts w:asciiTheme="minorHAnsi" w:hAnsiTheme="minorHAnsi"/>
        </w:rPr>
        <w:t xml:space="preserve">coverage under </w:t>
      </w:r>
      <w:r w:rsidRPr="00902E61">
        <w:rPr>
          <w:rFonts w:asciiTheme="minorHAnsi" w:hAnsiTheme="minorHAnsi"/>
        </w:rPr>
        <w:t xml:space="preserve">the </w:t>
      </w:r>
      <w:r w:rsidRPr="00902E61">
        <w:rPr>
          <w:rFonts w:asciiTheme="minorHAnsi" w:hAnsiTheme="minorHAnsi"/>
          <w:i/>
          <w:iCs/>
        </w:rPr>
        <w:t>PEA</w:t>
      </w:r>
      <w:r w:rsidRPr="00902E61">
        <w:rPr>
          <w:rFonts w:asciiTheme="minorHAnsi" w:hAnsiTheme="minorHAnsi"/>
        </w:rPr>
        <w:t xml:space="preserve"> to include independent contractors would better protect </w:t>
      </w:r>
      <w:r w:rsidR="00FF2198" w:rsidRPr="00902E61">
        <w:rPr>
          <w:rFonts w:asciiTheme="minorHAnsi" w:hAnsiTheme="minorHAnsi"/>
        </w:rPr>
        <w:t xml:space="preserve">feminized health care workers, such as midwives (AOM 2016c). </w:t>
      </w:r>
      <w:r w:rsidR="00F11645" w:rsidRPr="00902E61">
        <w:rPr>
          <w:rFonts w:asciiTheme="minorHAnsi" w:hAnsiTheme="minorHAnsi"/>
        </w:rPr>
        <w:t xml:space="preserve">However, would this amendment to the </w:t>
      </w:r>
      <w:r w:rsidR="00F11645" w:rsidRPr="00902E61">
        <w:rPr>
          <w:rFonts w:asciiTheme="minorHAnsi" w:hAnsiTheme="minorHAnsi"/>
          <w:i/>
          <w:iCs/>
        </w:rPr>
        <w:t>PEA</w:t>
      </w:r>
      <w:r w:rsidR="00F11645" w:rsidRPr="00902E61">
        <w:rPr>
          <w:rFonts w:asciiTheme="minorHAnsi" w:hAnsiTheme="minorHAnsi"/>
        </w:rPr>
        <w:t xml:space="preserve"> adequately address the devaluation of feminized labour in healthcare? </w:t>
      </w:r>
      <w:r w:rsidR="009A2CAF" w:rsidRPr="00902E61">
        <w:rPr>
          <w:rFonts w:asciiTheme="minorHAnsi" w:hAnsiTheme="minorHAnsi"/>
        </w:rPr>
        <w:t>Does this legislation, and particularly its reliance on comparator-oriented methods of job evaluation</w:t>
      </w:r>
      <w:r w:rsidR="00906C4B" w:rsidRPr="00902E61">
        <w:rPr>
          <w:rFonts w:asciiTheme="minorHAnsi" w:hAnsiTheme="minorHAnsi"/>
        </w:rPr>
        <w:t xml:space="preserve">, </w:t>
      </w:r>
      <w:r w:rsidR="0029246F" w:rsidRPr="00902E61">
        <w:rPr>
          <w:rFonts w:asciiTheme="minorHAnsi" w:hAnsiTheme="minorHAnsi"/>
        </w:rPr>
        <w:t xml:space="preserve">sufficiently question the objectivity of wage determination models and effectively </w:t>
      </w:r>
      <w:r w:rsidR="00906C4B" w:rsidRPr="00902E61">
        <w:rPr>
          <w:rFonts w:asciiTheme="minorHAnsi" w:hAnsiTheme="minorHAnsi"/>
        </w:rPr>
        <w:t>transcend the limitations of the “similarly situated</w:t>
      </w:r>
      <w:r w:rsidR="0029246F" w:rsidRPr="00902E61">
        <w:rPr>
          <w:rFonts w:asciiTheme="minorHAnsi" w:hAnsiTheme="minorHAnsi"/>
        </w:rPr>
        <w:t>”</w:t>
      </w:r>
      <w:r w:rsidR="00906C4B" w:rsidRPr="00902E61">
        <w:rPr>
          <w:rFonts w:asciiTheme="minorHAnsi" w:hAnsiTheme="minorHAnsi"/>
        </w:rPr>
        <w:t xml:space="preserve">? </w:t>
      </w:r>
    </w:p>
    <w:p w14:paraId="2853E640" w14:textId="3F47BA81" w:rsidR="00DB3B06" w:rsidRPr="00902E61" w:rsidRDefault="00E8136B" w:rsidP="007F5AE7">
      <w:pPr>
        <w:spacing w:line="480" w:lineRule="auto"/>
        <w:ind w:firstLine="720"/>
        <w:rPr>
          <w:rFonts w:asciiTheme="minorHAnsi" w:hAnsiTheme="minorHAnsi" w:cstheme="majorBidi"/>
        </w:rPr>
      </w:pPr>
      <w:r w:rsidRPr="00902E61">
        <w:rPr>
          <w:rFonts w:asciiTheme="minorHAnsi" w:hAnsiTheme="minorHAnsi"/>
        </w:rPr>
        <w:t xml:space="preserve">The case of midwifery demonstrates that, under certain circumstances, job evaluation </w:t>
      </w:r>
      <w:r w:rsidR="00C244EE" w:rsidRPr="00902E61">
        <w:rPr>
          <w:rFonts w:asciiTheme="minorHAnsi" w:hAnsiTheme="minorHAnsi"/>
        </w:rPr>
        <w:t xml:space="preserve">can effectively improve wages workers seeking pay equity. </w:t>
      </w:r>
      <w:r w:rsidR="00A02865" w:rsidRPr="00902E61">
        <w:rPr>
          <w:rFonts w:asciiTheme="minorHAnsi" w:hAnsiTheme="minorHAnsi"/>
        </w:rPr>
        <w:t>Indeed,</w:t>
      </w:r>
      <w:r w:rsidR="00C244EE" w:rsidRPr="00902E61">
        <w:rPr>
          <w:rFonts w:asciiTheme="minorHAnsi" w:hAnsiTheme="minorHAnsi"/>
        </w:rPr>
        <w:t xml:space="preserve"> when midwifery was first regulated</w:t>
      </w:r>
      <w:r w:rsidR="00A02865" w:rsidRPr="00902E61">
        <w:rPr>
          <w:rFonts w:asciiTheme="minorHAnsi" w:hAnsiTheme="minorHAnsi"/>
        </w:rPr>
        <w:t xml:space="preserve"> and incorporated into Ontario’s medicare program</w:t>
      </w:r>
      <w:r w:rsidR="00C244EE" w:rsidRPr="00902E61">
        <w:rPr>
          <w:rFonts w:asciiTheme="minorHAnsi" w:hAnsiTheme="minorHAnsi"/>
        </w:rPr>
        <w:t xml:space="preserve"> in 1994, </w:t>
      </w:r>
      <w:r w:rsidR="006F765D" w:rsidRPr="00902E61">
        <w:rPr>
          <w:rFonts w:asciiTheme="minorHAnsi" w:hAnsiTheme="minorHAnsi"/>
        </w:rPr>
        <w:t xml:space="preserve">the </w:t>
      </w:r>
      <w:r w:rsidR="00877D0A" w:rsidRPr="00902E61">
        <w:rPr>
          <w:rFonts w:asciiTheme="minorHAnsi" w:hAnsiTheme="minorHAnsi"/>
        </w:rPr>
        <w:t>rough pay equity analysis</w:t>
      </w:r>
      <w:r w:rsidR="00DB057A" w:rsidRPr="00902E61">
        <w:rPr>
          <w:rFonts w:asciiTheme="minorHAnsi" w:hAnsiTheme="minorHAnsi"/>
        </w:rPr>
        <w:t xml:space="preserve"> discussed above </w:t>
      </w:r>
      <w:r w:rsidR="00C244EE" w:rsidRPr="00902E61">
        <w:rPr>
          <w:rFonts w:asciiTheme="minorHAnsi" w:hAnsiTheme="minorHAnsi"/>
        </w:rPr>
        <w:t>improved midwives’ wages significantly</w:t>
      </w:r>
      <w:r w:rsidR="00DB3B06" w:rsidRPr="00902E61">
        <w:rPr>
          <w:rFonts w:asciiTheme="minorHAnsi" w:hAnsiTheme="minorHAnsi"/>
        </w:rPr>
        <w:t xml:space="preserve"> (AOM 2014)</w:t>
      </w:r>
      <w:r w:rsidR="00C244EE" w:rsidRPr="00902E61">
        <w:rPr>
          <w:rFonts w:asciiTheme="minorHAnsi" w:hAnsiTheme="minorHAnsi"/>
        </w:rPr>
        <w:t>.</w:t>
      </w:r>
      <w:r w:rsidR="00DB3B06" w:rsidRPr="00902E61">
        <w:rPr>
          <w:rFonts w:asciiTheme="minorHAnsi" w:hAnsiTheme="minorHAnsi"/>
        </w:rPr>
        <w:t xml:space="preserve"> Prior to regulation, midwives practicing</w:t>
      </w:r>
      <w:r w:rsidR="00877D0A" w:rsidRPr="00902E61">
        <w:rPr>
          <w:rFonts w:asciiTheme="minorHAnsi" w:hAnsiTheme="minorHAnsi"/>
        </w:rPr>
        <w:t xml:space="preserve"> in the private sector and</w:t>
      </w:r>
      <w:r w:rsidR="00DB3B06" w:rsidRPr="00902E61">
        <w:rPr>
          <w:rFonts w:asciiTheme="minorHAnsi" w:hAnsiTheme="minorHAnsi"/>
        </w:rPr>
        <w:t xml:space="preserve"> in an urban setting earned approximately $20,000 annually; after this </w:t>
      </w:r>
      <w:r w:rsidR="00DD68F0" w:rsidRPr="00902E61">
        <w:rPr>
          <w:rFonts w:asciiTheme="minorHAnsi" w:hAnsiTheme="minorHAnsi"/>
        </w:rPr>
        <w:t>collaborative</w:t>
      </w:r>
      <w:r w:rsidR="00DB3B06" w:rsidRPr="00902E61">
        <w:rPr>
          <w:rFonts w:asciiTheme="minorHAnsi" w:hAnsiTheme="minorHAnsi"/>
        </w:rPr>
        <w:t xml:space="preserve"> pay equity analysis, which, looked to CHC physicians as comparators, midwives’ compensation rate was set at $55,000 to $77,000 per annum</w:t>
      </w:r>
      <w:r w:rsidR="00877D0A" w:rsidRPr="00902E61">
        <w:rPr>
          <w:rFonts w:asciiTheme="minorHAnsi" w:hAnsiTheme="minorHAnsi"/>
        </w:rPr>
        <w:t>, approximately 90% of their comparators starting income in a fully serviced area</w:t>
      </w:r>
      <w:r w:rsidR="00DD68F0" w:rsidRPr="00902E61">
        <w:rPr>
          <w:rFonts w:asciiTheme="minorHAnsi" w:hAnsiTheme="minorHAnsi"/>
        </w:rPr>
        <w:t xml:space="preserve"> (AOM 2014</w:t>
      </w:r>
      <w:r w:rsidR="00877D0A" w:rsidRPr="00902E61">
        <w:rPr>
          <w:rFonts w:asciiTheme="minorHAnsi" w:hAnsiTheme="minorHAnsi"/>
        </w:rPr>
        <w:t>; AOM 2016a</w:t>
      </w:r>
      <w:r w:rsidR="00DD68F0" w:rsidRPr="00902E61">
        <w:rPr>
          <w:rFonts w:asciiTheme="minorHAnsi" w:hAnsiTheme="minorHAnsi"/>
        </w:rPr>
        <w:t>)</w:t>
      </w:r>
      <w:r w:rsidR="00DB3B06" w:rsidRPr="00902E61">
        <w:rPr>
          <w:rFonts w:asciiTheme="minorHAnsi" w:hAnsiTheme="minorHAnsi"/>
        </w:rPr>
        <w:t>.</w:t>
      </w:r>
      <w:r w:rsidR="00DD68F0" w:rsidRPr="00902E61">
        <w:rPr>
          <w:rFonts w:asciiTheme="minorHAnsi" w:hAnsiTheme="minorHAnsi"/>
        </w:rPr>
        <w:t xml:space="preserve"> </w:t>
      </w:r>
      <w:r w:rsidR="005C406B" w:rsidRPr="00902E61">
        <w:rPr>
          <w:rFonts w:asciiTheme="minorHAnsi" w:hAnsiTheme="minorHAnsi"/>
        </w:rPr>
        <w:t>Given the widening gap between midwives and CHC physicians compensation rates, which as of 2013 was about $94,800 (Mackenzie 2013), i</w:t>
      </w:r>
      <w:r w:rsidR="00877D0A" w:rsidRPr="00902E61">
        <w:rPr>
          <w:rFonts w:asciiTheme="minorHAnsi" w:hAnsiTheme="minorHAnsi"/>
        </w:rPr>
        <w:t xml:space="preserve">t is arguable that, if independent contractors were covered by the </w:t>
      </w:r>
      <w:r w:rsidR="00877D0A" w:rsidRPr="00902E61">
        <w:rPr>
          <w:rFonts w:asciiTheme="minorHAnsi" w:hAnsiTheme="minorHAnsi"/>
          <w:i/>
          <w:iCs/>
        </w:rPr>
        <w:t>PEA</w:t>
      </w:r>
      <w:r w:rsidR="00877D0A" w:rsidRPr="00902E61">
        <w:rPr>
          <w:rFonts w:asciiTheme="minorHAnsi" w:hAnsiTheme="minorHAnsi"/>
        </w:rPr>
        <w:t xml:space="preserve"> and the MOHLTC was thereby required by legislation to maintain equitable pay</w:t>
      </w:r>
      <w:r w:rsidR="005C406B" w:rsidRPr="00902E61">
        <w:rPr>
          <w:rFonts w:asciiTheme="minorHAnsi" w:hAnsiTheme="minorHAnsi"/>
        </w:rPr>
        <w:t xml:space="preserve">, midwives’ earnings would be substantially higher. </w:t>
      </w:r>
      <w:r w:rsidR="000B3082" w:rsidRPr="00902E61">
        <w:rPr>
          <w:rFonts w:asciiTheme="minorHAnsi" w:hAnsiTheme="minorHAnsi"/>
        </w:rPr>
        <w:t xml:space="preserve">But it is also true that this ongoing comparative process would require relying on, and not necessarily </w:t>
      </w:r>
      <w:r w:rsidR="000B3082" w:rsidRPr="00902E61">
        <w:rPr>
          <w:rFonts w:asciiTheme="minorHAnsi" w:hAnsiTheme="minorHAnsi"/>
        </w:rPr>
        <w:lastRenderedPageBreak/>
        <w:t>challenging</w:t>
      </w:r>
      <w:r w:rsidR="0054705A" w:rsidRPr="00902E61">
        <w:rPr>
          <w:rFonts w:asciiTheme="minorHAnsi" w:hAnsiTheme="minorHAnsi"/>
        </w:rPr>
        <w:t xml:space="preserve"> or transforming</w:t>
      </w:r>
      <w:r w:rsidR="002F05E4" w:rsidRPr="00902E61">
        <w:rPr>
          <w:rFonts w:asciiTheme="minorHAnsi" w:hAnsiTheme="minorHAnsi"/>
        </w:rPr>
        <w:t>,</w:t>
      </w:r>
      <w:r w:rsidR="000B3082" w:rsidRPr="00902E61">
        <w:rPr>
          <w:rFonts w:asciiTheme="minorHAnsi" w:hAnsiTheme="minorHAnsi" w:cstheme="majorBidi"/>
          <w:sz w:val="28"/>
          <w:szCs w:val="28"/>
        </w:rPr>
        <w:t xml:space="preserve"> </w:t>
      </w:r>
      <w:r w:rsidR="000B3082" w:rsidRPr="00902E61">
        <w:rPr>
          <w:rFonts w:asciiTheme="minorHAnsi" w:hAnsiTheme="minorHAnsi" w:cstheme="majorBidi"/>
        </w:rPr>
        <w:t xml:space="preserve">the norms and value systems that have differently situated these workers in the first place. </w:t>
      </w:r>
    </w:p>
    <w:p w14:paraId="76B82664" w14:textId="17903168" w:rsidR="000B3082" w:rsidRPr="00902E61" w:rsidRDefault="000B3082" w:rsidP="007F5AE7">
      <w:pPr>
        <w:spacing w:line="480" w:lineRule="auto"/>
        <w:ind w:firstLine="720"/>
        <w:rPr>
          <w:rFonts w:asciiTheme="minorHAnsi" w:hAnsiTheme="minorHAnsi"/>
          <w:lang w:val="en-US"/>
        </w:rPr>
      </w:pPr>
      <w:r w:rsidRPr="00902E61">
        <w:rPr>
          <w:rFonts w:asciiTheme="minorHAnsi" w:hAnsiTheme="minorHAnsi"/>
        </w:rPr>
        <w:t>Feminist political economist Leah F. Vosko’s analysis of how dominant interests are centred in regulatory responses to the precariousness experienced by part-time and temporary workers helps to illuminate some of the possible limitations of job evaluation and its use of the comparator.</w:t>
      </w:r>
      <w:r w:rsidR="00843398" w:rsidRPr="00902E61">
        <w:rPr>
          <w:rFonts w:asciiTheme="minorHAnsi" w:hAnsiTheme="minorHAnsi"/>
        </w:rPr>
        <w:t xml:space="preserve"> </w:t>
      </w:r>
      <w:r w:rsidR="00C67B01" w:rsidRPr="00902E61">
        <w:rPr>
          <w:rFonts w:asciiTheme="minorHAnsi" w:hAnsiTheme="minorHAnsi"/>
        </w:rPr>
        <w:t>Vosko</w:t>
      </w:r>
      <w:r w:rsidR="00843398" w:rsidRPr="00902E61">
        <w:rPr>
          <w:rFonts w:asciiTheme="minorHAnsi" w:hAnsiTheme="minorHAnsi"/>
        </w:rPr>
        <w:t xml:space="preserve"> shows how policies that</w:t>
      </w:r>
      <w:r w:rsidR="001254B4" w:rsidRPr="00902E61">
        <w:rPr>
          <w:rFonts w:asciiTheme="minorHAnsi" w:hAnsiTheme="minorHAnsi"/>
          <w:lang w:val="en-US"/>
        </w:rPr>
        <w:t xml:space="preserve"> attempt to better protect workers whose employment arrangements deviate from the standard employment relationship</w:t>
      </w:r>
      <w:r w:rsidR="00376942" w:rsidRPr="00902E61">
        <w:rPr>
          <w:rFonts w:asciiTheme="minorHAnsi" w:hAnsiTheme="minorHAnsi"/>
          <w:lang w:val="en-US"/>
        </w:rPr>
        <w:t xml:space="preserve"> (SER)</w:t>
      </w:r>
      <w:r w:rsidR="00985DB9" w:rsidRPr="00902E61">
        <w:rPr>
          <w:rFonts w:asciiTheme="minorHAnsi" w:hAnsiTheme="minorHAnsi"/>
          <w:lang w:val="en-US"/>
        </w:rPr>
        <w:t xml:space="preserve">—i.e. a </w:t>
      </w:r>
      <w:r w:rsidR="00985DB9" w:rsidRPr="00902E61">
        <w:rPr>
          <w:rFonts w:asciiTheme="minorHAnsi" w:hAnsiTheme="minorHAnsi" w:cstheme="majorBidi"/>
          <w:color w:val="000000"/>
        </w:rPr>
        <w:t>full-time, permanent worker with regular working hours</w:t>
      </w:r>
      <w:r w:rsidR="001254B4" w:rsidRPr="00902E61">
        <w:rPr>
          <w:rFonts w:asciiTheme="minorHAnsi" w:hAnsiTheme="minorHAnsi"/>
          <w:lang w:val="en-US"/>
        </w:rPr>
        <w:t xml:space="preserve"> </w:t>
      </w:r>
      <w:r w:rsidR="00985DB9" w:rsidRPr="00902E61">
        <w:rPr>
          <w:rFonts w:asciiTheme="minorHAnsi" w:hAnsiTheme="minorHAnsi"/>
          <w:lang w:val="en-US"/>
        </w:rPr>
        <w:t>and a single employer</w:t>
      </w:r>
      <w:r w:rsidR="00376942" w:rsidRPr="00902E61">
        <w:rPr>
          <w:rFonts w:asciiTheme="minorHAnsi" w:hAnsiTheme="minorHAnsi"/>
          <w:lang w:val="en-US"/>
        </w:rPr>
        <w:t>—</w:t>
      </w:r>
      <w:r w:rsidR="001254B4" w:rsidRPr="00902E61">
        <w:rPr>
          <w:rFonts w:asciiTheme="minorHAnsi" w:hAnsiTheme="minorHAnsi"/>
          <w:lang w:val="en-US"/>
        </w:rPr>
        <w:t xml:space="preserve">can in fact reinforce this employment relationship as the norm. </w:t>
      </w:r>
      <w:r w:rsidR="00985DB9" w:rsidRPr="00902E61">
        <w:rPr>
          <w:rFonts w:asciiTheme="minorHAnsi" w:hAnsiTheme="minorHAnsi"/>
          <w:lang w:val="en-US"/>
        </w:rPr>
        <w:t>Policies that subscribe to equal treatment on the basis of form of employment</w:t>
      </w:r>
      <w:r w:rsidR="00843398" w:rsidRPr="00902E61">
        <w:rPr>
          <w:rFonts w:asciiTheme="minorHAnsi" w:hAnsiTheme="minorHAnsi"/>
          <w:lang w:val="en-US"/>
        </w:rPr>
        <w:t xml:space="preserve">, and </w:t>
      </w:r>
      <w:r w:rsidR="00985DB9" w:rsidRPr="00902E61">
        <w:rPr>
          <w:rFonts w:asciiTheme="minorHAnsi" w:hAnsiTheme="minorHAnsi"/>
          <w:lang w:val="en-US"/>
        </w:rPr>
        <w:t>promote equivalency through the notion of the comparator</w:t>
      </w:r>
      <w:r w:rsidR="00E4614B" w:rsidRPr="00902E61">
        <w:rPr>
          <w:rFonts w:asciiTheme="minorHAnsi" w:hAnsiTheme="minorHAnsi"/>
          <w:lang w:val="en-US"/>
        </w:rPr>
        <w:t xml:space="preserve"> not only</w:t>
      </w:r>
      <w:r w:rsidR="00985DB9" w:rsidRPr="00902E61">
        <w:rPr>
          <w:rFonts w:asciiTheme="minorHAnsi" w:hAnsiTheme="minorHAnsi"/>
          <w:lang w:val="en-US"/>
        </w:rPr>
        <w:t xml:space="preserve"> </w:t>
      </w:r>
      <w:r w:rsidR="00E4614B" w:rsidRPr="00902E61">
        <w:rPr>
          <w:rFonts w:asciiTheme="minorHAnsi" w:hAnsiTheme="minorHAnsi"/>
          <w:lang w:val="en-US"/>
        </w:rPr>
        <w:t>require that a comparator exists, but are also</w:t>
      </w:r>
      <w:r w:rsidR="00A011CC" w:rsidRPr="00902E61">
        <w:rPr>
          <w:rFonts w:asciiTheme="minorHAnsi" w:hAnsiTheme="minorHAnsi"/>
          <w:lang w:val="en-US"/>
        </w:rPr>
        <w:t xml:space="preserve"> often limited in their scope of coverage</w:t>
      </w:r>
      <w:r w:rsidR="00E4614B" w:rsidRPr="00902E61">
        <w:rPr>
          <w:rFonts w:asciiTheme="minorHAnsi" w:hAnsiTheme="minorHAnsi"/>
          <w:lang w:val="en-US"/>
        </w:rPr>
        <w:t xml:space="preserve">. As a result, </w:t>
      </w:r>
      <w:r w:rsidR="00843398" w:rsidRPr="00902E61">
        <w:rPr>
          <w:rFonts w:asciiTheme="minorHAnsi" w:hAnsiTheme="minorHAnsi"/>
          <w:lang w:val="en-US"/>
        </w:rPr>
        <w:t xml:space="preserve">only those workers in employment relationships closely </w:t>
      </w:r>
      <w:r w:rsidR="00E4614B" w:rsidRPr="00902E61">
        <w:rPr>
          <w:rFonts w:asciiTheme="minorHAnsi" w:hAnsiTheme="minorHAnsi"/>
          <w:lang w:val="en-US"/>
        </w:rPr>
        <w:t>“</w:t>
      </w:r>
      <w:r w:rsidR="00843398" w:rsidRPr="00902E61">
        <w:rPr>
          <w:rFonts w:asciiTheme="minorHAnsi" w:hAnsiTheme="minorHAnsi"/>
          <w:lang w:val="en-US"/>
        </w:rPr>
        <w:t>resembling the SER are assured of protections,” while those whose employment relationships that deviate from the SER are pushed further to the margins. (p. 101).</w:t>
      </w:r>
      <w:r w:rsidR="00C67B01" w:rsidRPr="00902E61">
        <w:rPr>
          <w:rFonts w:asciiTheme="minorHAnsi" w:hAnsiTheme="minorHAnsi"/>
          <w:lang w:val="en-US"/>
        </w:rPr>
        <w:t xml:space="preserve"> </w:t>
      </w:r>
      <w:r w:rsidR="00A011CC" w:rsidRPr="00902E61">
        <w:rPr>
          <w:rFonts w:asciiTheme="minorHAnsi" w:hAnsiTheme="minorHAnsi"/>
          <w:lang w:val="en-US"/>
        </w:rPr>
        <w:t xml:space="preserve">In addition to instituting </w:t>
      </w:r>
      <w:r w:rsidR="00C67B01" w:rsidRPr="00902E61">
        <w:rPr>
          <w:rFonts w:asciiTheme="minorHAnsi" w:hAnsiTheme="minorHAnsi"/>
          <w:lang w:val="en-US"/>
        </w:rPr>
        <w:t>fewer and more limited protections for those forms of employment that deviate most obviously from the SER,</w:t>
      </w:r>
      <w:r w:rsidR="00E4614B" w:rsidRPr="00902E61">
        <w:rPr>
          <w:rFonts w:asciiTheme="minorHAnsi" w:hAnsiTheme="minorHAnsi"/>
          <w:lang w:val="en-US"/>
        </w:rPr>
        <w:t xml:space="preserve"> </w:t>
      </w:r>
      <w:r w:rsidR="00C67B01" w:rsidRPr="00902E61">
        <w:rPr>
          <w:rFonts w:asciiTheme="minorHAnsi" w:hAnsiTheme="minorHAnsi"/>
          <w:lang w:val="en-US"/>
        </w:rPr>
        <w:t xml:space="preserve">such comparator-oriented policies could also counteractively motivate employers, who might want to evade their responsibility to ensure equal treatment on the basis of form of employment, to rely more heavily on these unprotected workers (Vosko 2010). </w:t>
      </w:r>
      <w:r w:rsidR="00E4614B" w:rsidRPr="00902E61">
        <w:rPr>
          <w:rFonts w:asciiTheme="minorHAnsi" w:hAnsiTheme="minorHAnsi"/>
          <w:lang w:val="en-US"/>
        </w:rPr>
        <w:t>Thus deference to the SER as fulcrum, even when comparisons aim to ensure non-discrimination, can inadvertently “reinforce a labour force structured in tiers based on form of employment, shaped by social relations of inequality” (Vosko 2010 p. 157).</w:t>
      </w:r>
    </w:p>
    <w:p w14:paraId="717FD25F" w14:textId="0DD443CD" w:rsidR="00D25F07" w:rsidRPr="00902E61" w:rsidRDefault="00A011CC" w:rsidP="0016043D">
      <w:pPr>
        <w:spacing w:line="480" w:lineRule="auto"/>
        <w:ind w:firstLine="720"/>
        <w:rPr>
          <w:rFonts w:asciiTheme="minorHAnsi" w:hAnsiTheme="minorHAnsi" w:cstheme="majorBidi"/>
          <w:color w:val="000000"/>
        </w:rPr>
      </w:pPr>
      <w:r w:rsidRPr="00902E61">
        <w:rPr>
          <w:rFonts w:asciiTheme="minorHAnsi" w:hAnsiTheme="minorHAnsi"/>
          <w:lang w:val="en-US"/>
        </w:rPr>
        <w:lastRenderedPageBreak/>
        <w:t>While Vosko’s primary focus here is on form of employment, the critique of the comparator</w:t>
      </w:r>
      <w:r w:rsidR="00E4614B" w:rsidRPr="00902E61">
        <w:rPr>
          <w:rFonts w:asciiTheme="minorHAnsi" w:hAnsiTheme="minorHAnsi"/>
          <w:lang w:val="en-US"/>
        </w:rPr>
        <w:t xml:space="preserve"> points to </w:t>
      </w:r>
      <w:r w:rsidRPr="00902E61">
        <w:rPr>
          <w:rFonts w:asciiTheme="minorHAnsi" w:hAnsiTheme="minorHAnsi"/>
          <w:lang w:val="en-US"/>
        </w:rPr>
        <w:t>some of the possible limitations of job evaluation</w:t>
      </w:r>
      <w:r w:rsidR="00D25F07" w:rsidRPr="00902E61">
        <w:rPr>
          <w:rFonts w:asciiTheme="minorHAnsi" w:hAnsiTheme="minorHAnsi"/>
          <w:lang w:val="en-US"/>
        </w:rPr>
        <w:t xml:space="preserve"> as a solution to gendered discrepancies in compensation</w:t>
      </w:r>
      <w:r w:rsidR="00DA09C3" w:rsidRPr="00902E61">
        <w:rPr>
          <w:rFonts w:asciiTheme="minorHAnsi" w:hAnsiTheme="minorHAnsi"/>
          <w:lang w:val="en-US"/>
        </w:rPr>
        <w:t xml:space="preserve"> across occupations and industries</w:t>
      </w:r>
      <w:r w:rsidR="00D25F07" w:rsidRPr="00902E61">
        <w:rPr>
          <w:rFonts w:asciiTheme="minorHAnsi" w:hAnsiTheme="minorHAnsi"/>
          <w:lang w:val="en-US"/>
        </w:rPr>
        <w:t>. If job evaluation views compensation rates to be an extension of the value systems upheld by capitalist society, this mechanism for measuring value can potentially draw attention to the worth of women’s wo</w:t>
      </w:r>
      <w:r w:rsidR="00051B5B" w:rsidRPr="00902E61">
        <w:rPr>
          <w:rFonts w:asciiTheme="minorHAnsi" w:hAnsiTheme="minorHAnsi"/>
          <w:lang w:val="en-US"/>
        </w:rPr>
        <w:t xml:space="preserve">rk and challenge the gendered, </w:t>
      </w:r>
      <w:r w:rsidR="00D25F07" w:rsidRPr="00902E61">
        <w:rPr>
          <w:rFonts w:asciiTheme="minorHAnsi" w:hAnsiTheme="minorHAnsi"/>
          <w:lang w:val="en-US"/>
        </w:rPr>
        <w:t>class</w:t>
      </w:r>
      <w:r w:rsidR="00051B5B" w:rsidRPr="00902E61">
        <w:rPr>
          <w:rFonts w:asciiTheme="minorHAnsi" w:hAnsiTheme="minorHAnsi"/>
          <w:lang w:val="en-US"/>
        </w:rPr>
        <w:t>ed, and racialized</w:t>
      </w:r>
      <w:r w:rsidR="00D25F07" w:rsidRPr="00902E61">
        <w:rPr>
          <w:rFonts w:asciiTheme="minorHAnsi" w:hAnsiTheme="minorHAnsi"/>
          <w:lang w:val="en-US"/>
        </w:rPr>
        <w:t xml:space="preserve"> hierarchies that determine the compensation setting process</w:t>
      </w:r>
      <w:r w:rsidR="00EF2741" w:rsidRPr="00902E61">
        <w:rPr>
          <w:rFonts w:asciiTheme="minorHAnsi" w:hAnsiTheme="minorHAnsi"/>
          <w:lang w:val="en-US"/>
        </w:rPr>
        <w:t xml:space="preserve"> under the guise of supposedly neutral measurements of merit and/or skill</w:t>
      </w:r>
      <w:r w:rsidR="00D25F07" w:rsidRPr="00902E61">
        <w:rPr>
          <w:rFonts w:asciiTheme="minorHAnsi" w:hAnsiTheme="minorHAnsi"/>
          <w:lang w:val="en-US"/>
        </w:rPr>
        <w:t>. If, however, job evaluation does not dismantle but utilizes</w:t>
      </w:r>
      <w:r w:rsidR="00F30116" w:rsidRPr="00902E61">
        <w:rPr>
          <w:rFonts w:asciiTheme="minorHAnsi" w:hAnsiTheme="minorHAnsi"/>
          <w:lang w:val="en-US"/>
        </w:rPr>
        <w:t>,</w:t>
      </w:r>
      <w:r w:rsidR="00D25F07" w:rsidRPr="00902E61">
        <w:rPr>
          <w:rFonts w:asciiTheme="minorHAnsi" w:hAnsiTheme="minorHAnsi"/>
          <w:lang w:val="en-US"/>
        </w:rPr>
        <w:t xml:space="preserve"> and </w:t>
      </w:r>
      <w:r w:rsidR="00F30116" w:rsidRPr="00902E61">
        <w:rPr>
          <w:rFonts w:asciiTheme="minorHAnsi" w:hAnsiTheme="minorHAnsi"/>
          <w:lang w:val="en-US"/>
        </w:rPr>
        <w:t xml:space="preserve">in so doing </w:t>
      </w:r>
      <w:r w:rsidR="00D25F07" w:rsidRPr="00902E61">
        <w:rPr>
          <w:rFonts w:asciiTheme="minorHAnsi" w:hAnsiTheme="minorHAnsi"/>
          <w:lang w:val="en-US"/>
        </w:rPr>
        <w:t>normalizes</w:t>
      </w:r>
      <w:r w:rsidR="00F30116" w:rsidRPr="00902E61">
        <w:rPr>
          <w:rFonts w:asciiTheme="minorHAnsi" w:hAnsiTheme="minorHAnsi"/>
          <w:lang w:val="en-US"/>
        </w:rPr>
        <w:t>,</w:t>
      </w:r>
      <w:r w:rsidR="00D25F07" w:rsidRPr="00902E61">
        <w:rPr>
          <w:rFonts w:asciiTheme="minorHAnsi" w:hAnsiTheme="minorHAnsi"/>
          <w:lang w:val="en-US"/>
        </w:rPr>
        <w:t xml:space="preserve"> the </w:t>
      </w:r>
      <w:r w:rsidR="006F2A76" w:rsidRPr="00902E61">
        <w:rPr>
          <w:rFonts w:asciiTheme="minorHAnsi" w:hAnsiTheme="minorHAnsi"/>
          <w:lang w:val="en-US"/>
        </w:rPr>
        <w:t xml:space="preserve">dominant employment norms </w:t>
      </w:r>
      <w:r w:rsidR="007F5AE7" w:rsidRPr="00902E61">
        <w:rPr>
          <w:rFonts w:asciiTheme="minorHAnsi" w:hAnsiTheme="minorHAnsi"/>
          <w:lang w:val="en-US"/>
        </w:rPr>
        <w:t xml:space="preserve">as modes of </w:t>
      </w:r>
      <w:r w:rsidR="00D25F07" w:rsidRPr="00902E61">
        <w:rPr>
          <w:rFonts w:asciiTheme="minorHAnsi" w:hAnsiTheme="minorHAnsi"/>
          <w:lang w:val="en-US"/>
        </w:rPr>
        <w:t xml:space="preserve">comparison, that mechanism will only serve to conceal </w:t>
      </w:r>
      <w:r w:rsidR="00F30116" w:rsidRPr="00902E61">
        <w:rPr>
          <w:rFonts w:asciiTheme="minorHAnsi" w:hAnsiTheme="minorHAnsi"/>
          <w:lang w:val="en-US"/>
        </w:rPr>
        <w:t xml:space="preserve">the </w:t>
      </w:r>
      <w:r w:rsidR="00D25F07" w:rsidRPr="00902E61">
        <w:rPr>
          <w:rFonts w:asciiTheme="minorHAnsi" w:hAnsiTheme="minorHAnsi"/>
          <w:lang w:val="en-US"/>
        </w:rPr>
        <w:t xml:space="preserve">structural relations of power inherent to compensation rates, </w:t>
      </w:r>
      <w:r w:rsidR="00F30116" w:rsidRPr="00902E61">
        <w:rPr>
          <w:rFonts w:asciiTheme="minorHAnsi" w:hAnsiTheme="minorHAnsi"/>
          <w:lang w:val="en-US"/>
        </w:rPr>
        <w:t xml:space="preserve">and the </w:t>
      </w:r>
      <w:r w:rsidR="00D25F07" w:rsidRPr="00902E61">
        <w:rPr>
          <w:rFonts w:asciiTheme="minorHAnsi" w:hAnsiTheme="minorHAnsi"/>
          <w:lang w:val="en-US"/>
        </w:rPr>
        <w:t xml:space="preserve">hierarchies that are often veiled by </w:t>
      </w:r>
      <w:r w:rsidR="00F30116" w:rsidRPr="00902E61">
        <w:rPr>
          <w:rFonts w:asciiTheme="minorHAnsi" w:hAnsiTheme="minorHAnsi"/>
          <w:lang w:val="en-US"/>
        </w:rPr>
        <w:t>the fallacy that</w:t>
      </w:r>
      <w:r w:rsidR="00051B5B" w:rsidRPr="00902E61">
        <w:rPr>
          <w:rFonts w:asciiTheme="minorHAnsi" w:hAnsiTheme="minorHAnsi"/>
          <w:lang w:val="en-US"/>
        </w:rPr>
        <w:t xml:space="preserve"> wages are set by unbiased and </w:t>
      </w:r>
      <w:r w:rsidR="00D25F07" w:rsidRPr="00902E61">
        <w:rPr>
          <w:rFonts w:asciiTheme="minorHAnsi" w:hAnsiTheme="minorHAnsi"/>
          <w:lang w:val="en-US"/>
        </w:rPr>
        <w:t>neutral forces of supply and demand. In this latter case, job evaluation will serve</w:t>
      </w:r>
      <w:r w:rsidR="00EF2741" w:rsidRPr="00902E61">
        <w:rPr>
          <w:rFonts w:asciiTheme="minorHAnsi" w:hAnsiTheme="minorHAnsi"/>
          <w:lang w:val="en-US"/>
        </w:rPr>
        <w:t xml:space="preserve"> to</w:t>
      </w:r>
      <w:r w:rsidR="00D25F07" w:rsidRPr="00902E61">
        <w:rPr>
          <w:rFonts w:asciiTheme="minorHAnsi" w:hAnsiTheme="minorHAnsi"/>
          <w:lang w:val="en-US"/>
        </w:rPr>
        <w:t xml:space="preserve"> ensure </w:t>
      </w:r>
      <w:r w:rsidR="00623F25" w:rsidRPr="00902E61">
        <w:rPr>
          <w:rFonts w:asciiTheme="minorHAnsi" w:hAnsiTheme="minorHAnsi"/>
          <w:lang w:val="en-US"/>
        </w:rPr>
        <w:t xml:space="preserve">improvements for </w:t>
      </w:r>
      <w:r w:rsidR="00D25F07" w:rsidRPr="00902E61">
        <w:rPr>
          <w:rFonts w:asciiTheme="minorHAnsi" w:hAnsiTheme="minorHAnsi"/>
          <w:lang w:val="en-US"/>
        </w:rPr>
        <w:t>those who are w</w:t>
      </w:r>
      <w:r w:rsidR="00623F25" w:rsidRPr="00902E61">
        <w:rPr>
          <w:rFonts w:asciiTheme="minorHAnsi" w:hAnsiTheme="minorHAnsi"/>
          <w:lang w:val="en-US"/>
        </w:rPr>
        <w:t xml:space="preserve">ithin closer proximity to the </w:t>
      </w:r>
      <w:r w:rsidR="007F5AE7" w:rsidRPr="00902E61">
        <w:rPr>
          <w:rFonts w:asciiTheme="minorHAnsi" w:hAnsiTheme="minorHAnsi"/>
          <w:lang w:val="en-US"/>
        </w:rPr>
        <w:t xml:space="preserve">dominant, </w:t>
      </w:r>
      <w:r w:rsidR="00623F25" w:rsidRPr="00902E61">
        <w:rPr>
          <w:rFonts w:asciiTheme="minorHAnsi" w:hAnsiTheme="minorHAnsi"/>
          <w:lang w:val="en-US"/>
        </w:rPr>
        <w:t>while</w:t>
      </w:r>
      <w:r w:rsidR="00D25F07" w:rsidRPr="00902E61">
        <w:rPr>
          <w:rFonts w:asciiTheme="minorHAnsi" w:hAnsiTheme="minorHAnsi"/>
          <w:lang w:val="en-US"/>
        </w:rPr>
        <w:t xml:space="preserve"> </w:t>
      </w:r>
      <w:r w:rsidR="00623F25" w:rsidRPr="00902E61">
        <w:rPr>
          <w:rFonts w:asciiTheme="minorHAnsi" w:hAnsiTheme="minorHAnsi"/>
          <w:lang w:val="en-US"/>
        </w:rPr>
        <w:t>those who deviate m</w:t>
      </w:r>
      <w:r w:rsidR="007F5AE7" w:rsidRPr="00902E61">
        <w:rPr>
          <w:rFonts w:asciiTheme="minorHAnsi" w:hAnsiTheme="minorHAnsi"/>
          <w:lang w:val="en-US"/>
        </w:rPr>
        <w:t>ore obviously from this norm</w:t>
      </w:r>
      <w:r w:rsidR="00623F25" w:rsidRPr="00902E61">
        <w:rPr>
          <w:rFonts w:asciiTheme="minorHAnsi" w:hAnsiTheme="minorHAnsi"/>
          <w:lang w:val="en-US"/>
        </w:rPr>
        <w:t xml:space="preserve">, and are already </w:t>
      </w:r>
      <w:r w:rsidR="00D25F07" w:rsidRPr="00902E61">
        <w:rPr>
          <w:rFonts w:asciiTheme="minorHAnsi" w:hAnsiTheme="minorHAnsi"/>
          <w:lang w:val="en-US"/>
        </w:rPr>
        <w:t>undercompensated for their work</w:t>
      </w:r>
      <w:r w:rsidR="00623F25" w:rsidRPr="00902E61">
        <w:rPr>
          <w:rFonts w:asciiTheme="minorHAnsi" w:hAnsiTheme="minorHAnsi"/>
          <w:lang w:val="en-US"/>
        </w:rPr>
        <w:t>, will</w:t>
      </w:r>
      <w:r w:rsidR="00D25F07" w:rsidRPr="00902E61">
        <w:rPr>
          <w:rFonts w:asciiTheme="minorHAnsi" w:hAnsiTheme="minorHAnsi"/>
          <w:lang w:val="en-US"/>
        </w:rPr>
        <w:t xml:space="preserve"> continue to earn the same or less wages</w:t>
      </w:r>
      <w:r w:rsidR="00623F25" w:rsidRPr="00902E61">
        <w:rPr>
          <w:rFonts w:asciiTheme="minorHAnsi" w:hAnsiTheme="minorHAnsi"/>
          <w:lang w:val="en-US"/>
        </w:rPr>
        <w:t>. This reproduces and reinforces existing</w:t>
      </w:r>
      <w:r w:rsidR="007F5AE7" w:rsidRPr="00902E61">
        <w:rPr>
          <w:rFonts w:asciiTheme="minorHAnsi" w:hAnsiTheme="minorHAnsi"/>
          <w:lang w:val="en-US"/>
        </w:rPr>
        <w:t xml:space="preserve"> gender, race, and class</w:t>
      </w:r>
      <w:r w:rsidR="00623F25" w:rsidRPr="00902E61">
        <w:rPr>
          <w:rFonts w:asciiTheme="minorHAnsi" w:hAnsiTheme="minorHAnsi"/>
          <w:lang w:val="en-US"/>
        </w:rPr>
        <w:t xml:space="preserve"> hierarchies within and across industries, such as health care, where </w:t>
      </w:r>
      <w:r w:rsidR="00D25F07" w:rsidRPr="00902E61">
        <w:rPr>
          <w:rFonts w:asciiTheme="minorHAnsi" w:hAnsiTheme="minorHAnsi" w:cstheme="majorBidi"/>
          <w:color w:val="000000"/>
        </w:rPr>
        <w:t>proximity to “science-based” professional health occupations in hospitals (i.e, “direct”</w:t>
      </w:r>
      <w:r w:rsidR="009815AB">
        <w:rPr>
          <w:rFonts w:asciiTheme="minorHAnsi" w:hAnsiTheme="minorHAnsi" w:cstheme="majorBidi"/>
          <w:color w:val="000000"/>
        </w:rPr>
        <w:t xml:space="preserve"> health</w:t>
      </w:r>
      <w:r w:rsidR="00D25F07" w:rsidRPr="00902E61">
        <w:rPr>
          <w:rFonts w:asciiTheme="minorHAnsi" w:hAnsiTheme="minorHAnsi" w:cstheme="majorBidi"/>
          <w:color w:val="000000"/>
        </w:rPr>
        <w:t xml:space="preserve"> occupations where men make up a higher than average proportion of workers</w:t>
      </w:r>
      <w:r w:rsidR="007C140E">
        <w:rPr>
          <w:rFonts w:asciiTheme="minorHAnsi" w:hAnsiTheme="minorHAnsi" w:cstheme="majorBidi"/>
          <w:color w:val="000000"/>
        </w:rPr>
        <w:t>) means better wages for women. Meanwhile, a</w:t>
      </w:r>
      <w:r w:rsidR="009815AB">
        <w:rPr>
          <w:rFonts w:asciiTheme="minorHAnsi" w:hAnsiTheme="minorHAnsi" w:cstheme="majorBidi"/>
          <w:color w:val="000000"/>
        </w:rPr>
        <w:t xml:space="preserve">ssociations with “women’s work,” (i.e., supportive and non-allopathic </w:t>
      </w:r>
      <w:r w:rsidR="009815AB">
        <w:rPr>
          <w:rFonts w:asciiTheme="minorHAnsi" w:hAnsiTheme="minorHAnsi" w:cstheme="majorBidi"/>
          <w:color w:val="000000"/>
        </w:rPr>
        <w:lastRenderedPageBreak/>
        <w:t>health care occupations, where women, and especially racialized women are overrepresented) puts w</w:t>
      </w:r>
      <w:r w:rsidR="00D25F07" w:rsidRPr="00902E61">
        <w:rPr>
          <w:rFonts w:asciiTheme="minorHAnsi" w:hAnsiTheme="minorHAnsi" w:cstheme="majorBidi"/>
          <w:color w:val="000000"/>
        </w:rPr>
        <w:t>orkers at greater risk of low wages and poverty.</w:t>
      </w:r>
      <w:r w:rsidR="00623F25" w:rsidRPr="00902E61">
        <w:rPr>
          <w:rStyle w:val="FootnoteReference"/>
          <w:rFonts w:asciiTheme="minorHAnsi" w:hAnsiTheme="minorHAnsi" w:cstheme="majorBidi"/>
          <w:color w:val="000000"/>
        </w:rPr>
        <w:footnoteReference w:id="9"/>
      </w:r>
      <w:r w:rsidR="002F05E4" w:rsidRPr="00902E61">
        <w:rPr>
          <w:rFonts w:asciiTheme="minorHAnsi" w:hAnsiTheme="minorHAnsi" w:cstheme="majorBidi"/>
          <w:color w:val="000000"/>
        </w:rPr>
        <w:t xml:space="preserve"> </w:t>
      </w:r>
    </w:p>
    <w:p w14:paraId="22870AAE" w14:textId="77777777" w:rsidR="009815AB" w:rsidRDefault="002F05E4" w:rsidP="007F5AE7">
      <w:pPr>
        <w:spacing w:line="480" w:lineRule="auto"/>
        <w:rPr>
          <w:rFonts w:asciiTheme="minorHAnsi" w:hAnsiTheme="minorHAnsi" w:cstheme="majorBidi"/>
          <w:color w:val="000000"/>
        </w:rPr>
      </w:pPr>
      <w:r w:rsidRPr="00902E61">
        <w:rPr>
          <w:rFonts w:asciiTheme="minorHAnsi" w:hAnsiTheme="minorHAnsi" w:cstheme="majorBidi"/>
          <w:color w:val="000000"/>
        </w:rPr>
        <w:tab/>
        <w:t xml:space="preserve">In addition to </w:t>
      </w:r>
      <w:r w:rsidR="00DA09C3" w:rsidRPr="00902E61">
        <w:rPr>
          <w:rFonts w:asciiTheme="minorHAnsi" w:hAnsiTheme="minorHAnsi" w:cstheme="majorBidi"/>
          <w:color w:val="000000"/>
        </w:rPr>
        <w:t>reinforcing the</w:t>
      </w:r>
      <w:r w:rsidRPr="00902E61">
        <w:rPr>
          <w:rFonts w:asciiTheme="minorHAnsi" w:hAnsiTheme="minorHAnsi" w:cstheme="majorBidi"/>
          <w:color w:val="000000"/>
        </w:rPr>
        <w:t xml:space="preserve"> gender, class, and racial </w:t>
      </w:r>
      <w:r w:rsidR="00DA09C3" w:rsidRPr="00902E61">
        <w:rPr>
          <w:rFonts w:asciiTheme="minorHAnsi" w:hAnsiTheme="minorHAnsi" w:cstheme="majorBidi"/>
          <w:color w:val="000000"/>
        </w:rPr>
        <w:t>relations that inform</w:t>
      </w:r>
      <w:r w:rsidR="00F30116" w:rsidRPr="00902E61">
        <w:rPr>
          <w:rFonts w:asciiTheme="minorHAnsi" w:hAnsiTheme="minorHAnsi" w:cstheme="majorBidi"/>
          <w:color w:val="000000"/>
        </w:rPr>
        <w:t xml:space="preserve"> the</w:t>
      </w:r>
      <w:r w:rsidR="00DA09C3" w:rsidRPr="00902E61">
        <w:rPr>
          <w:rFonts w:asciiTheme="minorHAnsi" w:hAnsiTheme="minorHAnsi" w:cstheme="majorBidi"/>
          <w:color w:val="000000"/>
        </w:rPr>
        <w:t xml:space="preserve"> hierarchies of </w:t>
      </w:r>
      <w:r w:rsidR="00F30116" w:rsidRPr="00902E61">
        <w:rPr>
          <w:rFonts w:asciiTheme="minorHAnsi" w:hAnsiTheme="minorHAnsi" w:cstheme="majorBidi"/>
          <w:color w:val="000000"/>
        </w:rPr>
        <w:t>remuneration</w:t>
      </w:r>
      <w:r w:rsidR="00DA09C3" w:rsidRPr="00902E61">
        <w:rPr>
          <w:rFonts w:asciiTheme="minorHAnsi" w:hAnsiTheme="minorHAnsi" w:cstheme="majorBidi"/>
          <w:color w:val="000000"/>
        </w:rPr>
        <w:t>, job evaluation can also intensify occupational segmentation an</w:t>
      </w:r>
      <w:r w:rsidR="00B26107" w:rsidRPr="00902E61">
        <w:rPr>
          <w:rFonts w:asciiTheme="minorHAnsi" w:hAnsiTheme="minorHAnsi" w:cstheme="majorBidi"/>
          <w:color w:val="000000"/>
        </w:rPr>
        <w:t>d its</w:t>
      </w:r>
      <w:r w:rsidR="00DA09C3" w:rsidRPr="00902E61">
        <w:rPr>
          <w:rFonts w:asciiTheme="minorHAnsi" w:hAnsiTheme="minorHAnsi" w:cstheme="majorBidi"/>
          <w:color w:val="000000"/>
        </w:rPr>
        <w:t xml:space="preserve"> associated wage gaps. </w:t>
      </w:r>
      <w:r w:rsidR="00EC0D88" w:rsidRPr="00902E61">
        <w:rPr>
          <w:rFonts w:asciiTheme="minorHAnsi" w:hAnsiTheme="minorHAnsi" w:cstheme="majorBidi"/>
          <w:color w:val="000000"/>
        </w:rPr>
        <w:t xml:space="preserve">If job evaluation </w:t>
      </w:r>
      <w:r w:rsidR="00B26107" w:rsidRPr="00902E61">
        <w:rPr>
          <w:rFonts w:asciiTheme="minorHAnsi" w:hAnsiTheme="minorHAnsi" w:cstheme="majorBidi"/>
          <w:color w:val="000000"/>
        </w:rPr>
        <w:t xml:space="preserve">brings some workers, </w:t>
      </w:r>
      <w:r w:rsidR="00EC0D88" w:rsidRPr="00902E61">
        <w:rPr>
          <w:rFonts w:asciiTheme="minorHAnsi" w:hAnsiTheme="minorHAnsi" w:cstheme="majorBidi"/>
          <w:color w:val="000000"/>
        </w:rPr>
        <w:t>such as</w:t>
      </w:r>
      <w:r w:rsidR="00B26107" w:rsidRPr="00902E61">
        <w:rPr>
          <w:rFonts w:asciiTheme="minorHAnsi" w:hAnsiTheme="minorHAnsi" w:cstheme="majorBidi"/>
          <w:color w:val="000000"/>
        </w:rPr>
        <w:t xml:space="preserve"> CHC physicians, closer to those already centred</w:t>
      </w:r>
      <w:r w:rsidR="00EC2DE6" w:rsidRPr="00902E61">
        <w:rPr>
          <w:rFonts w:asciiTheme="minorHAnsi" w:hAnsiTheme="minorHAnsi" w:cstheme="majorBidi"/>
          <w:color w:val="000000"/>
        </w:rPr>
        <w:t xml:space="preserve"> and valued</w:t>
      </w:r>
      <w:r w:rsidR="00B676CB" w:rsidRPr="00902E61">
        <w:rPr>
          <w:rFonts w:asciiTheme="minorHAnsi" w:hAnsiTheme="minorHAnsi" w:cstheme="majorBidi"/>
          <w:color w:val="000000"/>
        </w:rPr>
        <w:t xml:space="preserve"> in an occupation or industry, but not others, such as midwives but also CHC nurse practitioners, e</w:t>
      </w:r>
      <w:r w:rsidR="00EC2DE6" w:rsidRPr="00902E61">
        <w:rPr>
          <w:rFonts w:asciiTheme="minorHAnsi" w:hAnsiTheme="minorHAnsi" w:cstheme="majorBidi"/>
          <w:color w:val="000000"/>
        </w:rPr>
        <w:t>mployers may</w:t>
      </w:r>
      <w:r w:rsidR="00B26107" w:rsidRPr="00902E61">
        <w:rPr>
          <w:rFonts w:asciiTheme="minorHAnsi" w:hAnsiTheme="minorHAnsi" w:cstheme="majorBidi"/>
          <w:color w:val="000000"/>
        </w:rPr>
        <w:t xml:space="preserve"> be more motivated to rely on those </w:t>
      </w:r>
      <w:r w:rsidR="00EC2DE6" w:rsidRPr="00902E61">
        <w:rPr>
          <w:rFonts w:asciiTheme="minorHAnsi" w:hAnsiTheme="minorHAnsi" w:cstheme="majorBidi"/>
          <w:color w:val="000000"/>
        </w:rPr>
        <w:t>devalued workers</w:t>
      </w:r>
      <w:r w:rsidR="008121CC" w:rsidRPr="00902E61">
        <w:rPr>
          <w:rFonts w:asciiTheme="minorHAnsi" w:hAnsiTheme="minorHAnsi" w:cstheme="majorBidi"/>
          <w:color w:val="000000"/>
        </w:rPr>
        <w:t xml:space="preserve"> a</w:t>
      </w:r>
      <w:r w:rsidR="008E2ADA" w:rsidRPr="00902E61">
        <w:rPr>
          <w:rFonts w:asciiTheme="minorHAnsi" w:hAnsiTheme="minorHAnsi" w:cstheme="majorBidi"/>
          <w:color w:val="000000"/>
        </w:rPr>
        <w:t>nd to freeze compensation rates. According</w:t>
      </w:r>
      <w:r w:rsidR="00051B5B" w:rsidRPr="00902E61">
        <w:rPr>
          <w:rFonts w:asciiTheme="minorHAnsi" w:hAnsiTheme="minorHAnsi" w:cstheme="majorBidi"/>
          <w:color w:val="000000"/>
        </w:rPr>
        <w:t xml:space="preserve"> to the AOM, the MOHLTC has been</w:t>
      </w:r>
      <w:r w:rsidR="008E2ADA" w:rsidRPr="00902E61">
        <w:rPr>
          <w:rFonts w:asciiTheme="minorHAnsi" w:hAnsiTheme="minorHAnsi" w:cstheme="majorBidi"/>
          <w:color w:val="000000"/>
        </w:rPr>
        <w:t xml:space="preserve"> motivated to keep midwives’ compensation rates down in order to fulfill growing demand for low-risk maternal care </w:t>
      </w:r>
      <w:r w:rsidR="00B71157" w:rsidRPr="00902E61">
        <w:rPr>
          <w:rFonts w:asciiTheme="minorHAnsi" w:hAnsiTheme="minorHAnsi" w:cstheme="majorBidi"/>
          <w:color w:val="000000"/>
        </w:rPr>
        <w:t xml:space="preserve">without increasing public sector spending </w:t>
      </w:r>
      <w:r w:rsidR="008E2ADA" w:rsidRPr="00902E61">
        <w:rPr>
          <w:rFonts w:asciiTheme="minorHAnsi" w:hAnsiTheme="minorHAnsi" w:cstheme="majorBidi"/>
          <w:color w:val="000000"/>
        </w:rPr>
        <w:t xml:space="preserve">(AOM 2014, AOM 2016a). </w:t>
      </w:r>
    </w:p>
    <w:p w14:paraId="4E886018" w14:textId="31B17893" w:rsidR="002C2179" w:rsidRPr="00902E61" w:rsidRDefault="008E2ADA" w:rsidP="009815AB">
      <w:pPr>
        <w:spacing w:line="480" w:lineRule="auto"/>
        <w:ind w:firstLine="720"/>
        <w:rPr>
          <w:rFonts w:asciiTheme="minorHAnsi" w:hAnsiTheme="minorHAnsi" w:cstheme="majorBidi"/>
          <w:color w:val="000000"/>
          <w:lang w:val="en-US"/>
        </w:rPr>
      </w:pPr>
      <w:r w:rsidRPr="00902E61">
        <w:rPr>
          <w:rFonts w:asciiTheme="minorHAnsi" w:hAnsiTheme="minorHAnsi" w:cstheme="majorBidi"/>
          <w:color w:val="000000"/>
        </w:rPr>
        <w:t>Following this logic</w:t>
      </w:r>
      <w:r w:rsidR="00D2308D" w:rsidRPr="00902E61">
        <w:rPr>
          <w:rFonts w:asciiTheme="minorHAnsi" w:hAnsiTheme="minorHAnsi" w:cstheme="majorBidi"/>
          <w:color w:val="000000"/>
        </w:rPr>
        <w:t xml:space="preserve">, if </w:t>
      </w:r>
      <w:r w:rsidR="00CB1CD2" w:rsidRPr="00902E61">
        <w:rPr>
          <w:rFonts w:asciiTheme="minorHAnsi" w:hAnsiTheme="minorHAnsi" w:cstheme="majorBidi"/>
          <w:i/>
          <w:iCs/>
          <w:color w:val="000000"/>
        </w:rPr>
        <w:t>PEA</w:t>
      </w:r>
      <w:r w:rsidR="00B26107" w:rsidRPr="00902E61">
        <w:rPr>
          <w:rFonts w:asciiTheme="minorHAnsi" w:hAnsiTheme="minorHAnsi" w:cstheme="majorBidi"/>
          <w:color w:val="000000"/>
        </w:rPr>
        <w:t xml:space="preserve"> </w:t>
      </w:r>
      <w:r w:rsidR="00CB1CD2" w:rsidRPr="00902E61">
        <w:rPr>
          <w:rFonts w:asciiTheme="minorHAnsi" w:hAnsiTheme="minorHAnsi" w:cstheme="majorBidi"/>
          <w:color w:val="000000"/>
        </w:rPr>
        <w:t xml:space="preserve">coverage is extended to midwives as independent contractors, it </w:t>
      </w:r>
      <w:r w:rsidR="00D2308D" w:rsidRPr="00902E61">
        <w:rPr>
          <w:rFonts w:asciiTheme="minorHAnsi" w:hAnsiTheme="minorHAnsi" w:cstheme="majorBidi"/>
          <w:color w:val="000000"/>
        </w:rPr>
        <w:t>could be beneficial to this profession</w:t>
      </w:r>
      <w:r w:rsidR="00CB1CD2" w:rsidRPr="00902E61">
        <w:rPr>
          <w:rFonts w:asciiTheme="minorHAnsi" w:hAnsiTheme="minorHAnsi" w:cstheme="majorBidi"/>
          <w:color w:val="000000"/>
        </w:rPr>
        <w:t xml:space="preserve"> insofar as they can rely on a proxy-comparison</w:t>
      </w:r>
      <w:r w:rsidR="00D2308D" w:rsidRPr="00902E61">
        <w:rPr>
          <w:rFonts w:asciiTheme="minorHAnsi" w:hAnsiTheme="minorHAnsi" w:cstheme="majorBidi"/>
          <w:color w:val="000000"/>
        </w:rPr>
        <w:t xml:space="preserve"> job evaluation</w:t>
      </w:r>
      <w:r w:rsidRPr="00902E61">
        <w:rPr>
          <w:rFonts w:asciiTheme="minorHAnsi" w:hAnsiTheme="minorHAnsi" w:cstheme="majorBidi"/>
          <w:color w:val="000000"/>
        </w:rPr>
        <w:t xml:space="preserve"> with CHC physicians. </w:t>
      </w:r>
      <w:r w:rsidR="00CB1CD2" w:rsidRPr="00902E61">
        <w:rPr>
          <w:rFonts w:asciiTheme="minorHAnsi" w:hAnsiTheme="minorHAnsi" w:cstheme="majorBidi"/>
          <w:color w:val="000000"/>
        </w:rPr>
        <w:t xml:space="preserve"> </w:t>
      </w:r>
      <w:r w:rsidRPr="00902E61">
        <w:rPr>
          <w:rFonts w:asciiTheme="minorHAnsi" w:hAnsiTheme="minorHAnsi" w:cstheme="majorBidi"/>
          <w:color w:val="000000"/>
        </w:rPr>
        <w:t>And yet,</w:t>
      </w:r>
      <w:r w:rsidR="00D2308D" w:rsidRPr="00902E61">
        <w:rPr>
          <w:rFonts w:asciiTheme="minorHAnsi" w:hAnsiTheme="minorHAnsi" w:cstheme="majorBidi"/>
          <w:color w:val="000000"/>
        </w:rPr>
        <w:t xml:space="preserve"> this policy’s</w:t>
      </w:r>
      <w:r w:rsidR="00D2308D" w:rsidRPr="00902E61">
        <w:rPr>
          <w:rFonts w:asciiTheme="minorHAnsi" w:hAnsiTheme="minorHAnsi" w:cstheme="majorBidi"/>
          <w:color w:val="000000"/>
          <w:lang w:val="en-US"/>
        </w:rPr>
        <w:t xml:space="preserve"> reliance on the </w:t>
      </w:r>
      <w:r w:rsidR="00D2308D" w:rsidRPr="00902E61">
        <w:rPr>
          <w:rFonts w:asciiTheme="minorHAnsi" w:hAnsiTheme="minorHAnsi" w:cstheme="majorBidi"/>
          <w:color w:val="000000"/>
          <w:lang w:val="en-US"/>
        </w:rPr>
        <w:lastRenderedPageBreak/>
        <w:t xml:space="preserve">comparator </w:t>
      </w:r>
      <w:r w:rsidRPr="00902E61">
        <w:rPr>
          <w:rFonts w:asciiTheme="minorHAnsi" w:hAnsiTheme="minorHAnsi" w:cstheme="majorBidi"/>
          <w:color w:val="000000"/>
          <w:lang w:val="en-US"/>
        </w:rPr>
        <w:t xml:space="preserve">could serve to </w:t>
      </w:r>
      <w:r w:rsidR="00D2308D" w:rsidRPr="00902E61">
        <w:rPr>
          <w:rFonts w:asciiTheme="minorHAnsi" w:hAnsiTheme="minorHAnsi" w:cstheme="majorBidi"/>
          <w:color w:val="000000"/>
          <w:lang w:val="en-US"/>
        </w:rPr>
        <w:t>further institutionalize low wages for those occupations that most clearly deviate</w:t>
      </w:r>
      <w:r w:rsidR="008770C5" w:rsidRPr="00902E61">
        <w:rPr>
          <w:rFonts w:asciiTheme="minorHAnsi" w:hAnsiTheme="minorHAnsi" w:cstheme="majorBidi"/>
          <w:color w:val="000000"/>
          <w:lang w:val="en-US"/>
        </w:rPr>
        <w:t>, in terms of required skills and content, from those jobs located at the top of the occupational hierarchy.</w:t>
      </w:r>
      <w:r w:rsidR="00EC4CCC" w:rsidRPr="00902E61">
        <w:rPr>
          <w:rFonts w:asciiTheme="minorHAnsi" w:hAnsiTheme="minorHAnsi" w:cstheme="majorBidi"/>
          <w:color w:val="000000"/>
          <w:lang w:val="en-US"/>
        </w:rPr>
        <w:t xml:space="preserve"> For instance, ancillary</w:t>
      </w:r>
      <w:r w:rsidR="00787D3B" w:rsidRPr="00902E61">
        <w:rPr>
          <w:rFonts w:asciiTheme="minorHAnsi" w:hAnsiTheme="minorHAnsi" w:cstheme="majorBidi"/>
          <w:color w:val="000000"/>
          <w:lang w:val="en-US"/>
        </w:rPr>
        <w:t xml:space="preserve"> workers </w:t>
      </w:r>
      <w:r w:rsidR="00EC4CCC" w:rsidRPr="00902E61">
        <w:rPr>
          <w:rFonts w:asciiTheme="minorHAnsi" w:hAnsiTheme="minorHAnsi" w:cstheme="majorBidi"/>
          <w:color w:val="000000"/>
          <w:lang w:val="en-US"/>
        </w:rPr>
        <w:t xml:space="preserve">who provide “services” like laundry, food service, cleaning, clerical work, child-care, and home-support, </w:t>
      </w:r>
      <w:r w:rsidR="00787D3B" w:rsidRPr="00902E61">
        <w:rPr>
          <w:rFonts w:asciiTheme="minorHAnsi" w:hAnsiTheme="minorHAnsi" w:cstheme="majorBidi"/>
          <w:color w:val="000000"/>
          <w:lang w:val="en-US"/>
        </w:rPr>
        <w:t xml:space="preserve">many of whom were </w:t>
      </w:r>
      <w:r w:rsidR="00EC4CCC" w:rsidRPr="00902E61">
        <w:rPr>
          <w:rFonts w:asciiTheme="minorHAnsi" w:hAnsiTheme="minorHAnsi" w:cstheme="majorBidi"/>
          <w:color w:val="000000"/>
          <w:lang w:val="en-US"/>
        </w:rPr>
        <w:t>formerly em</w:t>
      </w:r>
      <w:r w:rsidR="00787D3B" w:rsidRPr="00902E61">
        <w:rPr>
          <w:rFonts w:asciiTheme="minorHAnsi" w:hAnsiTheme="minorHAnsi" w:cstheme="majorBidi"/>
          <w:color w:val="000000"/>
          <w:lang w:val="en-US"/>
        </w:rPr>
        <w:t xml:space="preserve">ployed </w:t>
      </w:r>
      <w:r w:rsidR="00EC4CCC" w:rsidRPr="00902E61">
        <w:rPr>
          <w:rFonts w:asciiTheme="minorHAnsi" w:hAnsiTheme="minorHAnsi" w:cstheme="majorBidi"/>
          <w:color w:val="000000"/>
          <w:lang w:val="en-US"/>
        </w:rPr>
        <w:t>directly by hospitals</w:t>
      </w:r>
      <w:r w:rsidR="009815AB">
        <w:rPr>
          <w:rFonts w:asciiTheme="minorHAnsi" w:hAnsiTheme="minorHAnsi" w:cstheme="majorBidi"/>
          <w:color w:val="000000"/>
          <w:lang w:val="en-US"/>
        </w:rPr>
        <w:t>,</w:t>
      </w:r>
      <w:r w:rsidR="00EC4CCC" w:rsidRPr="00902E61">
        <w:rPr>
          <w:rFonts w:asciiTheme="minorHAnsi" w:hAnsiTheme="minorHAnsi" w:cstheme="majorBidi"/>
          <w:color w:val="000000"/>
          <w:lang w:val="en-US"/>
        </w:rPr>
        <w:t xml:space="preserve"> are increasingly cast as independent and dependent con</w:t>
      </w:r>
      <w:r w:rsidR="00787D3B" w:rsidRPr="00902E61">
        <w:rPr>
          <w:rFonts w:asciiTheme="minorHAnsi" w:hAnsiTheme="minorHAnsi" w:cstheme="majorBidi"/>
          <w:color w:val="000000"/>
          <w:lang w:val="en-US"/>
        </w:rPr>
        <w:t xml:space="preserve">tractors </w:t>
      </w:r>
      <w:r w:rsidR="00931914" w:rsidRPr="00902E61">
        <w:rPr>
          <w:rFonts w:asciiTheme="minorHAnsi" w:hAnsiTheme="minorHAnsi" w:cstheme="majorBidi"/>
          <w:color w:val="000000"/>
          <w:lang w:val="en-US"/>
        </w:rPr>
        <w:t>for cost-saving purposes (Arm</w:t>
      </w:r>
      <w:r w:rsidR="00787D3B" w:rsidRPr="00902E61">
        <w:rPr>
          <w:rFonts w:asciiTheme="minorHAnsi" w:hAnsiTheme="minorHAnsi" w:cstheme="majorBidi"/>
          <w:color w:val="000000"/>
          <w:lang w:val="en-US"/>
        </w:rPr>
        <w:t>strong and Laxer 2006); considering that comparators in these types of roles across industries also receive low wages, a comparat</w:t>
      </w:r>
      <w:r w:rsidR="00EC4CCC" w:rsidRPr="00902E61">
        <w:rPr>
          <w:rFonts w:asciiTheme="minorHAnsi" w:hAnsiTheme="minorHAnsi" w:cstheme="majorBidi"/>
          <w:color w:val="000000"/>
          <w:lang w:val="en-US"/>
        </w:rPr>
        <w:t xml:space="preserve">or-oriented approach to equity for these workers would, hypothetically, </w:t>
      </w:r>
      <w:r w:rsidR="00787D3B" w:rsidRPr="00902E61">
        <w:rPr>
          <w:rFonts w:asciiTheme="minorHAnsi" w:hAnsiTheme="minorHAnsi" w:cstheme="majorBidi"/>
          <w:color w:val="000000"/>
          <w:lang w:val="en-US"/>
        </w:rPr>
        <w:t xml:space="preserve">not result in significant or adequate gains.  </w:t>
      </w:r>
    </w:p>
    <w:p w14:paraId="715272CF" w14:textId="32095FE2" w:rsidR="002C2179" w:rsidRPr="00902E61" w:rsidRDefault="008E2ADA" w:rsidP="007F5AE7">
      <w:pPr>
        <w:spacing w:line="480" w:lineRule="auto"/>
        <w:ind w:firstLine="720"/>
        <w:rPr>
          <w:rFonts w:asciiTheme="minorHAnsi" w:hAnsiTheme="minorHAnsi" w:cstheme="majorBidi"/>
          <w:color w:val="000000"/>
          <w:lang w:val="en-US"/>
        </w:rPr>
      </w:pPr>
      <w:r w:rsidRPr="00902E61">
        <w:rPr>
          <w:rFonts w:asciiTheme="minorHAnsi" w:hAnsiTheme="minorHAnsi" w:cstheme="majorBidi"/>
          <w:color w:val="000000"/>
          <w:lang w:val="en-US"/>
        </w:rPr>
        <w:t>Though</w:t>
      </w:r>
      <w:r w:rsidR="00E5585E" w:rsidRPr="00902E61">
        <w:rPr>
          <w:rFonts w:asciiTheme="minorHAnsi" w:hAnsiTheme="minorHAnsi" w:cstheme="majorBidi"/>
          <w:color w:val="000000"/>
          <w:lang w:val="en-US"/>
        </w:rPr>
        <w:t xml:space="preserve"> midwives in Ontario are still awaiting a ruling from the HRTO, the materials emerging from their case illustrates how b</w:t>
      </w:r>
      <w:r w:rsidR="002C2179" w:rsidRPr="00902E61">
        <w:rPr>
          <w:rFonts w:asciiTheme="minorHAnsi" w:hAnsiTheme="minorHAnsi" w:cstheme="majorBidi"/>
          <w:color w:val="000000"/>
          <w:lang w:val="en-US"/>
        </w:rPr>
        <w:t xml:space="preserve">roadening the scope of coverage under </w:t>
      </w:r>
      <w:r w:rsidR="002C2179" w:rsidRPr="00902E61">
        <w:rPr>
          <w:rFonts w:asciiTheme="minorHAnsi" w:hAnsiTheme="minorHAnsi" w:cstheme="majorBidi"/>
          <w:i/>
          <w:iCs/>
          <w:color w:val="000000"/>
          <w:lang w:val="en-US"/>
        </w:rPr>
        <w:t>PEA</w:t>
      </w:r>
      <w:r w:rsidR="002C2179" w:rsidRPr="00902E61">
        <w:rPr>
          <w:rFonts w:asciiTheme="minorHAnsi" w:hAnsiTheme="minorHAnsi" w:cstheme="majorBidi"/>
          <w:color w:val="000000"/>
          <w:lang w:val="en-US"/>
        </w:rPr>
        <w:t xml:space="preserve"> would undoubtedly offer significant improvements for feminized health care workers, strategically cast as independent contractors. But</w:t>
      </w:r>
      <w:r w:rsidR="009815AB">
        <w:rPr>
          <w:rFonts w:asciiTheme="minorHAnsi" w:hAnsiTheme="minorHAnsi" w:cstheme="majorBidi"/>
          <w:color w:val="000000"/>
          <w:lang w:val="en-US"/>
        </w:rPr>
        <w:t xml:space="preserve"> it also shows </w:t>
      </w:r>
      <w:r w:rsidR="00E5585E" w:rsidRPr="00902E61">
        <w:rPr>
          <w:rFonts w:asciiTheme="minorHAnsi" w:hAnsiTheme="minorHAnsi" w:cstheme="majorBidi"/>
          <w:color w:val="000000"/>
          <w:lang w:val="en-US"/>
        </w:rPr>
        <w:t>how</w:t>
      </w:r>
      <w:r w:rsidR="002C2179" w:rsidRPr="00902E61">
        <w:rPr>
          <w:rFonts w:asciiTheme="minorHAnsi" w:hAnsiTheme="minorHAnsi" w:cstheme="majorBidi"/>
          <w:color w:val="000000"/>
          <w:lang w:val="en-US"/>
        </w:rPr>
        <w:t xml:space="preserve"> a</w:t>
      </w:r>
      <w:r w:rsidR="008770C5" w:rsidRPr="00902E61">
        <w:rPr>
          <w:rFonts w:asciiTheme="minorHAnsi" w:hAnsiTheme="minorHAnsi" w:cstheme="majorBidi"/>
          <w:color w:val="000000"/>
          <w:lang w:val="en-US"/>
        </w:rPr>
        <w:t xml:space="preserve"> more effective job evaluation process would challenge the social valuation of skills that set wages within and across sectors. Proceeding as a politicized process, it would aim to transform, rather than accept, these existing valuation systems as well as the gendered character of economic restructuring where federal and provincial states, under the façade of fiscal responsibility, disinvest from public services and goods through wage freezes and privatization</w:t>
      </w:r>
      <w:r w:rsidR="002C2179" w:rsidRPr="00902E61">
        <w:rPr>
          <w:rFonts w:asciiTheme="minorHAnsi" w:hAnsiTheme="minorHAnsi" w:cstheme="majorBidi"/>
          <w:color w:val="000000"/>
          <w:lang w:val="en-US"/>
        </w:rPr>
        <w:t xml:space="preserve"> (see Bakker 2003; Armstrong and Laxer 2006; Armstrong, Laxer, and Armstrong 2009)</w:t>
      </w:r>
      <w:r w:rsidR="008770C5" w:rsidRPr="00902E61">
        <w:rPr>
          <w:rFonts w:asciiTheme="minorHAnsi" w:hAnsiTheme="minorHAnsi" w:cstheme="majorBidi"/>
          <w:color w:val="000000"/>
          <w:lang w:val="en-US"/>
        </w:rPr>
        <w:t xml:space="preserve">. </w:t>
      </w:r>
    </w:p>
    <w:p w14:paraId="7206392D" w14:textId="00D326A2" w:rsidR="00E5585E" w:rsidRPr="00902E61" w:rsidRDefault="00E5585E" w:rsidP="007F5AE7">
      <w:pPr>
        <w:spacing w:line="480" w:lineRule="auto"/>
        <w:ind w:firstLine="720"/>
        <w:rPr>
          <w:rFonts w:asciiTheme="minorHAnsi" w:hAnsiTheme="minorHAnsi" w:cstheme="majorBidi"/>
          <w:color w:val="000000"/>
          <w:lang w:val="en-US"/>
        </w:rPr>
      </w:pPr>
      <w:r w:rsidRPr="00902E61">
        <w:rPr>
          <w:rFonts w:asciiTheme="minorHAnsi" w:hAnsiTheme="minorHAnsi" w:cstheme="majorBidi"/>
          <w:color w:val="000000"/>
          <w:lang w:val="en-US"/>
        </w:rPr>
        <w:tab/>
      </w:r>
    </w:p>
    <w:p w14:paraId="237C5EC5" w14:textId="06C363DB" w:rsidR="00E5585E" w:rsidRPr="00902E61" w:rsidRDefault="00787D3B" w:rsidP="007F5AE7">
      <w:pPr>
        <w:spacing w:line="480" w:lineRule="auto"/>
        <w:rPr>
          <w:rFonts w:asciiTheme="minorHAnsi" w:hAnsiTheme="minorHAnsi" w:cstheme="majorBidi"/>
          <w:b/>
          <w:bCs/>
          <w:color w:val="000000"/>
          <w:lang w:val="en-US"/>
        </w:rPr>
      </w:pPr>
      <w:r w:rsidRPr="00902E61">
        <w:rPr>
          <w:rFonts w:asciiTheme="minorHAnsi" w:hAnsiTheme="minorHAnsi" w:cstheme="majorBidi"/>
          <w:b/>
          <w:bCs/>
          <w:color w:val="000000"/>
          <w:lang w:val="en-US"/>
        </w:rPr>
        <w:t xml:space="preserve">Conclusion </w:t>
      </w:r>
    </w:p>
    <w:p w14:paraId="63E47A86" w14:textId="5B0CE06E" w:rsidR="00787D3B" w:rsidRPr="00902E61" w:rsidRDefault="00F30116" w:rsidP="00434AEB">
      <w:pPr>
        <w:spacing w:line="480" w:lineRule="auto"/>
        <w:rPr>
          <w:rFonts w:asciiTheme="minorHAnsi" w:hAnsiTheme="minorHAnsi" w:cstheme="majorBidi"/>
          <w:color w:val="000000"/>
          <w:lang w:val="en-US"/>
        </w:rPr>
      </w:pPr>
      <w:r w:rsidRPr="00902E61">
        <w:rPr>
          <w:rFonts w:asciiTheme="minorHAnsi" w:hAnsiTheme="minorHAnsi" w:cstheme="majorBidi"/>
          <w:color w:val="000000"/>
          <w:lang w:val="en-US"/>
        </w:rPr>
        <w:lastRenderedPageBreak/>
        <w:t>This</w:t>
      </w:r>
      <w:r w:rsidR="002C2179" w:rsidRPr="00902E61">
        <w:rPr>
          <w:rFonts w:asciiTheme="minorHAnsi" w:hAnsiTheme="minorHAnsi" w:cstheme="majorBidi"/>
          <w:color w:val="000000"/>
          <w:lang w:val="en-US"/>
        </w:rPr>
        <w:t xml:space="preserve"> paper </w:t>
      </w:r>
      <w:r w:rsidRPr="00902E61">
        <w:rPr>
          <w:rFonts w:asciiTheme="minorHAnsi" w:hAnsiTheme="minorHAnsi" w:cstheme="majorBidi"/>
          <w:color w:val="000000"/>
          <w:lang w:val="en-US"/>
        </w:rPr>
        <w:t xml:space="preserve">has argued that </w:t>
      </w:r>
      <w:r w:rsidR="00DF104A" w:rsidRPr="00902E61">
        <w:rPr>
          <w:rFonts w:asciiTheme="minorHAnsi" w:hAnsiTheme="minorHAnsi" w:cstheme="majorBidi"/>
          <w:color w:val="000000"/>
          <w:lang w:val="en-US"/>
        </w:rPr>
        <w:t>t</w:t>
      </w:r>
      <w:r w:rsidR="000739BC" w:rsidRPr="00902E61">
        <w:rPr>
          <w:rFonts w:asciiTheme="minorHAnsi" w:hAnsiTheme="minorHAnsi" w:cstheme="majorBidi"/>
          <w:color w:val="000000"/>
          <w:lang w:val="en-US"/>
        </w:rPr>
        <w:t xml:space="preserve">he </w:t>
      </w:r>
      <w:r w:rsidR="000739BC" w:rsidRPr="00902E61">
        <w:rPr>
          <w:rFonts w:asciiTheme="minorHAnsi" w:hAnsiTheme="minorHAnsi" w:cstheme="majorBidi"/>
          <w:i/>
          <w:iCs/>
          <w:color w:val="000000"/>
          <w:lang w:val="en-US"/>
        </w:rPr>
        <w:t>PEA</w:t>
      </w:r>
      <w:r w:rsidR="000739BC" w:rsidRPr="00902E61">
        <w:rPr>
          <w:rFonts w:asciiTheme="minorHAnsi" w:hAnsiTheme="minorHAnsi" w:cstheme="majorBidi"/>
          <w:color w:val="000000"/>
          <w:lang w:val="en-US"/>
        </w:rPr>
        <w:t>’</w:t>
      </w:r>
      <w:r w:rsidR="00DF104A" w:rsidRPr="00902E61">
        <w:rPr>
          <w:rFonts w:asciiTheme="minorHAnsi" w:hAnsiTheme="minorHAnsi" w:cstheme="majorBidi"/>
          <w:color w:val="000000"/>
          <w:lang w:val="en-US"/>
        </w:rPr>
        <w:t>s exclusion of independent contractors can allow employers, including the state, to skirt pay equity responsibilities</w:t>
      </w:r>
      <w:r w:rsidR="00B71157" w:rsidRPr="00902E61">
        <w:rPr>
          <w:rFonts w:asciiTheme="minorHAnsi" w:hAnsiTheme="minorHAnsi" w:cstheme="majorBidi"/>
          <w:color w:val="000000"/>
          <w:lang w:val="en-US"/>
        </w:rPr>
        <w:t xml:space="preserve"> in order to save on labour costs</w:t>
      </w:r>
      <w:r w:rsidRPr="00902E61">
        <w:rPr>
          <w:rFonts w:asciiTheme="minorHAnsi" w:hAnsiTheme="minorHAnsi" w:cstheme="majorBidi"/>
          <w:color w:val="000000"/>
          <w:lang w:val="en-US"/>
        </w:rPr>
        <w:t>. Moreover,</w:t>
      </w:r>
      <w:r w:rsidR="00DF104A" w:rsidRPr="00902E61">
        <w:rPr>
          <w:rFonts w:asciiTheme="minorHAnsi" w:hAnsiTheme="minorHAnsi" w:cstheme="majorBidi"/>
          <w:color w:val="000000"/>
          <w:lang w:val="en-US"/>
        </w:rPr>
        <w:t xml:space="preserve"> </w:t>
      </w:r>
      <w:r w:rsidRPr="00902E61">
        <w:rPr>
          <w:rFonts w:asciiTheme="minorHAnsi" w:hAnsiTheme="minorHAnsi" w:cstheme="majorBidi"/>
          <w:color w:val="000000"/>
          <w:lang w:val="en-US"/>
        </w:rPr>
        <w:t xml:space="preserve">the </w:t>
      </w:r>
      <w:r w:rsidR="000739BC" w:rsidRPr="00902E61">
        <w:rPr>
          <w:rFonts w:asciiTheme="minorHAnsi" w:hAnsiTheme="minorHAnsi" w:cstheme="majorBidi"/>
          <w:color w:val="000000"/>
          <w:lang w:val="en-US"/>
        </w:rPr>
        <w:t>reliance on the comparator to measure value and address gaps in compensation can benefit some workers</w:t>
      </w:r>
      <w:r w:rsidRPr="00902E61">
        <w:rPr>
          <w:rFonts w:asciiTheme="minorHAnsi" w:hAnsiTheme="minorHAnsi" w:cstheme="majorBidi"/>
          <w:color w:val="000000"/>
          <w:lang w:val="en-US"/>
        </w:rPr>
        <w:t>,</w:t>
      </w:r>
      <w:r w:rsidR="000739BC" w:rsidRPr="00902E61">
        <w:rPr>
          <w:rFonts w:asciiTheme="minorHAnsi" w:hAnsiTheme="minorHAnsi" w:cstheme="majorBidi"/>
          <w:color w:val="000000"/>
          <w:lang w:val="en-US"/>
        </w:rPr>
        <w:t xml:space="preserve"> but reinforce low wages and precarious working conditions for others. </w:t>
      </w:r>
      <w:r w:rsidR="00DF104A" w:rsidRPr="00902E61">
        <w:rPr>
          <w:rFonts w:asciiTheme="minorHAnsi" w:hAnsiTheme="minorHAnsi" w:cstheme="majorBidi"/>
          <w:color w:val="000000"/>
          <w:lang w:val="en-US"/>
        </w:rPr>
        <w:t xml:space="preserve">If job evaluation, in a pay equity context, defers to the norms that </w:t>
      </w:r>
      <w:r w:rsidR="0054705A" w:rsidRPr="00902E61">
        <w:rPr>
          <w:rFonts w:asciiTheme="minorHAnsi" w:hAnsiTheme="minorHAnsi" w:cstheme="majorBidi"/>
          <w:color w:val="000000"/>
          <w:lang w:val="en-US"/>
        </w:rPr>
        <w:t>evaluate</w:t>
      </w:r>
      <w:r w:rsidR="00DF104A" w:rsidRPr="00902E61">
        <w:rPr>
          <w:rFonts w:asciiTheme="minorHAnsi" w:hAnsiTheme="minorHAnsi" w:cstheme="majorBidi"/>
          <w:color w:val="000000"/>
          <w:lang w:val="en-US"/>
        </w:rPr>
        <w:t xml:space="preserve"> skills and responsibilities according to the dominant interests of employers and </w:t>
      </w:r>
      <w:r w:rsidR="0054705A" w:rsidRPr="00902E61">
        <w:rPr>
          <w:rFonts w:asciiTheme="minorHAnsi" w:hAnsiTheme="minorHAnsi" w:cstheme="majorBidi"/>
          <w:color w:val="000000"/>
          <w:lang w:val="en-US"/>
        </w:rPr>
        <w:t xml:space="preserve">certain </w:t>
      </w:r>
      <w:r w:rsidR="00DF104A" w:rsidRPr="00902E61">
        <w:rPr>
          <w:rFonts w:asciiTheme="minorHAnsi" w:hAnsiTheme="minorHAnsi" w:cstheme="majorBidi"/>
          <w:color w:val="000000"/>
          <w:lang w:val="en-US"/>
        </w:rPr>
        <w:t>workers, then the outcomes will only serve to reinforce the</w:t>
      </w:r>
      <w:r w:rsidR="00B71157" w:rsidRPr="00902E61">
        <w:rPr>
          <w:rFonts w:asciiTheme="minorHAnsi" w:hAnsiTheme="minorHAnsi" w:cstheme="majorBidi"/>
          <w:color w:val="000000"/>
          <w:lang w:val="en-US"/>
        </w:rPr>
        <w:t xml:space="preserve"> gendered occupation segmentation and its associat</w:t>
      </w:r>
      <w:r w:rsidR="0054705A" w:rsidRPr="00902E61">
        <w:rPr>
          <w:rFonts w:asciiTheme="minorHAnsi" w:hAnsiTheme="minorHAnsi" w:cstheme="majorBidi"/>
          <w:color w:val="000000"/>
          <w:lang w:val="en-US"/>
        </w:rPr>
        <w:t>ed gaps in compensation</w:t>
      </w:r>
      <w:r w:rsidR="00DF104A" w:rsidRPr="00902E61">
        <w:rPr>
          <w:rFonts w:asciiTheme="minorHAnsi" w:hAnsiTheme="minorHAnsi" w:cstheme="majorBidi"/>
          <w:color w:val="000000"/>
          <w:lang w:val="en-US"/>
        </w:rPr>
        <w:t xml:space="preserve">. More money for workers whose occupations do not deviate significantly from those located at the top of the organizational or industrial hierarchy will not bring about broader social change. </w:t>
      </w:r>
      <w:r w:rsidR="002C2179" w:rsidRPr="00902E61">
        <w:rPr>
          <w:rFonts w:asciiTheme="minorHAnsi" w:hAnsiTheme="minorHAnsi" w:cstheme="majorBidi"/>
          <w:color w:val="000000"/>
          <w:lang w:val="en-US"/>
        </w:rPr>
        <w:t xml:space="preserve">Where pay equity can be successful, however, is in its ability to illustrate the ways in which certain skills and work are systematically devalued across sectors in the labour market and within the private domestic sphere. </w:t>
      </w:r>
      <w:r w:rsidR="00787D3B" w:rsidRPr="00902E61">
        <w:rPr>
          <w:rFonts w:asciiTheme="minorHAnsi" w:hAnsiTheme="minorHAnsi" w:cstheme="majorBidi"/>
          <w:color w:val="000000"/>
          <w:lang w:val="en-US"/>
        </w:rPr>
        <w:t xml:space="preserve">As the case of the midwives </w:t>
      </w:r>
      <w:r w:rsidR="00662190" w:rsidRPr="00902E61">
        <w:rPr>
          <w:rFonts w:asciiTheme="minorHAnsi" w:hAnsiTheme="minorHAnsi" w:cstheme="majorBidi"/>
          <w:color w:val="000000"/>
          <w:lang w:val="en-US"/>
        </w:rPr>
        <w:t xml:space="preserve">helps to illustrate, </w:t>
      </w:r>
      <w:r w:rsidR="00787D3B" w:rsidRPr="00902E61">
        <w:rPr>
          <w:rFonts w:asciiTheme="minorHAnsi" w:hAnsiTheme="minorHAnsi" w:cstheme="majorBidi"/>
          <w:color w:val="000000"/>
          <w:lang w:val="en-US"/>
        </w:rPr>
        <w:t>resistance to pay inequity and gendered economic injustice</w:t>
      </w:r>
      <w:r w:rsidR="002C2179" w:rsidRPr="00902E61">
        <w:rPr>
          <w:rFonts w:asciiTheme="minorHAnsi" w:hAnsiTheme="minorHAnsi" w:cstheme="majorBidi"/>
          <w:color w:val="000000"/>
          <w:lang w:val="en-US"/>
        </w:rPr>
        <w:t xml:space="preserve"> can </w:t>
      </w:r>
      <w:r w:rsidR="00662190" w:rsidRPr="00902E61">
        <w:rPr>
          <w:rFonts w:asciiTheme="minorHAnsi" w:hAnsiTheme="minorHAnsi" w:cstheme="majorBidi"/>
          <w:color w:val="000000"/>
          <w:lang w:val="en-US"/>
        </w:rPr>
        <w:t>shed light on injustices currently accepted as status quo</w:t>
      </w:r>
      <w:r w:rsidR="000739BC" w:rsidRPr="00902E61">
        <w:rPr>
          <w:rFonts w:asciiTheme="minorHAnsi" w:hAnsiTheme="minorHAnsi" w:cstheme="majorBidi"/>
          <w:color w:val="000000"/>
          <w:lang w:val="en-US"/>
        </w:rPr>
        <w:t>. What is also needed is</w:t>
      </w:r>
      <w:r w:rsidR="002C2179" w:rsidRPr="00902E61">
        <w:rPr>
          <w:rFonts w:asciiTheme="minorHAnsi" w:hAnsiTheme="minorHAnsi" w:cstheme="majorBidi"/>
          <w:color w:val="000000"/>
          <w:lang w:val="en-US"/>
        </w:rPr>
        <w:t xml:space="preserve"> collective action towards feminist redistribution strategies that first challenge the tiered hi</w:t>
      </w:r>
      <w:r w:rsidR="009815AB">
        <w:rPr>
          <w:rFonts w:asciiTheme="minorHAnsi" w:hAnsiTheme="minorHAnsi" w:cstheme="majorBidi"/>
          <w:color w:val="000000"/>
          <w:lang w:val="en-US"/>
        </w:rPr>
        <w:t xml:space="preserve">erarchies of wage determination, </w:t>
      </w:r>
      <w:r w:rsidR="002C2179" w:rsidRPr="00902E61">
        <w:rPr>
          <w:rFonts w:asciiTheme="minorHAnsi" w:hAnsiTheme="minorHAnsi" w:cstheme="majorBidi"/>
          <w:color w:val="000000"/>
          <w:lang w:val="en-US"/>
        </w:rPr>
        <w:t>and then work to develop a comprehensive strategy to raise compensation rates for all workers regardless of their proximity to employment and occupational norms that are centred and highly valued.</w:t>
      </w:r>
      <w:r w:rsidR="00B03D95">
        <w:rPr>
          <w:rFonts w:asciiTheme="minorHAnsi" w:hAnsiTheme="minorHAnsi" w:cstheme="majorBidi"/>
          <w:color w:val="000000"/>
          <w:lang w:val="en-US"/>
        </w:rPr>
        <w:t xml:space="preserve"> </w:t>
      </w:r>
    </w:p>
    <w:p w14:paraId="6E97B3D2" w14:textId="0F6DF802" w:rsidR="008770C5" w:rsidRPr="00902E61" w:rsidRDefault="008770C5" w:rsidP="007F5AE7">
      <w:pPr>
        <w:spacing w:line="480" w:lineRule="auto"/>
        <w:ind w:firstLine="720"/>
        <w:rPr>
          <w:rFonts w:asciiTheme="minorHAnsi" w:hAnsiTheme="minorHAnsi" w:cstheme="majorBidi"/>
          <w:color w:val="000000"/>
          <w:lang w:val="en-US"/>
        </w:rPr>
      </w:pPr>
      <w:r w:rsidRPr="00902E61">
        <w:rPr>
          <w:rFonts w:asciiTheme="minorHAnsi" w:hAnsiTheme="minorHAnsi" w:cstheme="majorBidi"/>
          <w:color w:val="000000"/>
          <w:lang w:val="en-US"/>
        </w:rPr>
        <w:t>Proactive pay equity and its job evaluation process</w:t>
      </w:r>
      <w:r w:rsidR="008F7119" w:rsidRPr="00902E61">
        <w:rPr>
          <w:rFonts w:asciiTheme="minorHAnsi" w:hAnsiTheme="minorHAnsi" w:cstheme="majorBidi"/>
          <w:color w:val="000000"/>
          <w:lang w:val="en-US"/>
        </w:rPr>
        <w:t xml:space="preserve"> </w:t>
      </w:r>
      <w:r w:rsidRPr="00902E61">
        <w:rPr>
          <w:rFonts w:asciiTheme="minorHAnsi" w:hAnsiTheme="minorHAnsi" w:cstheme="majorBidi"/>
          <w:color w:val="000000"/>
          <w:lang w:val="en-US"/>
        </w:rPr>
        <w:t>is</w:t>
      </w:r>
      <w:r w:rsidR="008F7119" w:rsidRPr="00902E61">
        <w:rPr>
          <w:rFonts w:asciiTheme="minorHAnsi" w:hAnsiTheme="minorHAnsi" w:cstheme="majorBidi"/>
          <w:color w:val="000000"/>
          <w:lang w:val="en-US"/>
        </w:rPr>
        <w:t>, of course,</w:t>
      </w:r>
      <w:r w:rsidRPr="00902E61">
        <w:rPr>
          <w:rFonts w:asciiTheme="minorHAnsi" w:hAnsiTheme="minorHAnsi" w:cstheme="majorBidi"/>
          <w:color w:val="000000"/>
          <w:lang w:val="en-US"/>
        </w:rPr>
        <w:t xml:space="preserve"> not a stand-alone policy solution. Economic ine</w:t>
      </w:r>
      <w:r w:rsidR="00EE0485" w:rsidRPr="00902E61">
        <w:rPr>
          <w:rFonts w:asciiTheme="minorHAnsi" w:hAnsiTheme="minorHAnsi" w:cstheme="majorBidi"/>
          <w:color w:val="000000"/>
          <w:lang w:val="en-US"/>
        </w:rPr>
        <w:t>q</w:t>
      </w:r>
      <w:r w:rsidRPr="00902E61">
        <w:rPr>
          <w:rFonts w:asciiTheme="minorHAnsi" w:hAnsiTheme="minorHAnsi" w:cstheme="majorBidi"/>
          <w:color w:val="000000"/>
          <w:lang w:val="en-US"/>
        </w:rPr>
        <w:t xml:space="preserve">uality is a broader structural issue, and a more comprehensive approach is needed to effectively address wage discrimination experienced by workers in all sectors, not just a select few at the expense of the many. As some contemporary anti-poverty, </w:t>
      </w:r>
      <w:r w:rsidRPr="00902E61">
        <w:rPr>
          <w:rFonts w:asciiTheme="minorHAnsi" w:hAnsiTheme="minorHAnsi" w:cstheme="majorBidi"/>
          <w:color w:val="000000"/>
          <w:lang w:val="en-US"/>
        </w:rPr>
        <w:lastRenderedPageBreak/>
        <w:t xml:space="preserve">feminist, and labour activists argue, raising the floor of minimum standards for all workers, regardless of occupation, industry, or the existence of a suitable comparator, is necessary in light of the detrimental effects of labour market restructuring. Amendments </w:t>
      </w:r>
      <w:r w:rsidR="0054705A" w:rsidRPr="00902E61">
        <w:rPr>
          <w:rFonts w:asciiTheme="minorHAnsi" w:hAnsiTheme="minorHAnsi" w:cstheme="majorBidi"/>
          <w:color w:val="000000"/>
          <w:lang w:val="en-US"/>
        </w:rPr>
        <w:t xml:space="preserve">could include </w:t>
      </w:r>
      <w:r w:rsidR="00B71157" w:rsidRPr="00902E61">
        <w:rPr>
          <w:rFonts w:asciiTheme="minorHAnsi" w:hAnsiTheme="minorHAnsi" w:cstheme="majorBidi"/>
          <w:color w:val="000000"/>
          <w:lang w:val="en-US"/>
        </w:rPr>
        <w:t>mandating paid emergency leave and sick days for all workers, regardless of their employment relationships, and a</w:t>
      </w:r>
      <w:r w:rsidRPr="00902E61">
        <w:rPr>
          <w:rFonts w:asciiTheme="minorHAnsi" w:hAnsiTheme="minorHAnsi" w:cstheme="majorBidi"/>
          <w:color w:val="000000"/>
          <w:lang w:val="en-US"/>
        </w:rPr>
        <w:t xml:space="preserve"> higher minimum wage </w:t>
      </w:r>
      <w:r w:rsidR="00B71157" w:rsidRPr="00902E61">
        <w:rPr>
          <w:rFonts w:asciiTheme="minorHAnsi" w:hAnsiTheme="minorHAnsi" w:cstheme="majorBidi"/>
          <w:color w:val="000000"/>
          <w:lang w:val="en-US"/>
        </w:rPr>
        <w:t>(</w:t>
      </w:r>
      <w:r w:rsidRPr="00902E61">
        <w:rPr>
          <w:rFonts w:asciiTheme="minorHAnsi" w:hAnsiTheme="minorHAnsi" w:cstheme="majorBidi"/>
          <w:color w:val="000000"/>
          <w:lang w:val="en-US"/>
        </w:rPr>
        <w:t>which</w:t>
      </w:r>
      <w:r w:rsidR="00EC0D88" w:rsidRPr="00902E61">
        <w:rPr>
          <w:rFonts w:asciiTheme="minorHAnsi" w:hAnsiTheme="minorHAnsi" w:cstheme="majorBidi"/>
          <w:color w:val="000000"/>
          <w:lang w:val="en-US"/>
        </w:rPr>
        <w:t>,</w:t>
      </w:r>
      <w:r w:rsidRPr="00902E61">
        <w:rPr>
          <w:rFonts w:asciiTheme="minorHAnsi" w:hAnsiTheme="minorHAnsi" w:cstheme="majorBidi"/>
          <w:color w:val="000000"/>
          <w:lang w:val="en-US"/>
        </w:rPr>
        <w:t xml:space="preserve"> after years of campaigning</w:t>
      </w:r>
      <w:r w:rsidR="00EC0D88" w:rsidRPr="00902E61">
        <w:rPr>
          <w:rFonts w:asciiTheme="minorHAnsi" w:hAnsiTheme="minorHAnsi" w:cstheme="majorBidi"/>
          <w:color w:val="000000"/>
          <w:lang w:val="en-US"/>
        </w:rPr>
        <w:t xml:space="preserve"> led by community-organizing groups, </w:t>
      </w:r>
      <w:r w:rsidRPr="00902E61">
        <w:rPr>
          <w:rFonts w:asciiTheme="minorHAnsi" w:hAnsiTheme="minorHAnsi" w:cstheme="majorBidi"/>
          <w:color w:val="000000"/>
          <w:lang w:val="en-US"/>
        </w:rPr>
        <w:t>is now being implemented</w:t>
      </w:r>
      <w:r w:rsidR="000739BC" w:rsidRPr="00902E61">
        <w:rPr>
          <w:rFonts w:asciiTheme="minorHAnsi" w:hAnsiTheme="minorHAnsi" w:cstheme="majorBidi"/>
          <w:color w:val="000000"/>
          <w:lang w:val="en-US"/>
        </w:rPr>
        <w:t xml:space="preserve"> by the G</w:t>
      </w:r>
      <w:r w:rsidR="0054705A" w:rsidRPr="00902E61">
        <w:rPr>
          <w:rFonts w:asciiTheme="minorHAnsi" w:hAnsiTheme="minorHAnsi" w:cstheme="majorBidi"/>
          <w:color w:val="000000"/>
          <w:lang w:val="en-US"/>
        </w:rPr>
        <w:t>overnment of Ontario). These and other changes</w:t>
      </w:r>
      <w:r w:rsidRPr="00902E61">
        <w:rPr>
          <w:rFonts w:asciiTheme="minorHAnsi" w:hAnsiTheme="minorHAnsi" w:cstheme="majorBidi"/>
          <w:color w:val="000000"/>
          <w:lang w:val="en-US"/>
        </w:rPr>
        <w:t xml:space="preserve"> could institute fairer compensation rates</w:t>
      </w:r>
      <w:r w:rsidR="00B71157" w:rsidRPr="00902E61">
        <w:rPr>
          <w:rFonts w:asciiTheme="minorHAnsi" w:hAnsiTheme="minorHAnsi" w:cstheme="majorBidi"/>
          <w:color w:val="000000"/>
          <w:lang w:val="en-US"/>
        </w:rPr>
        <w:t xml:space="preserve"> and working conditions</w:t>
      </w:r>
      <w:r w:rsidR="0054705A" w:rsidRPr="00902E61">
        <w:rPr>
          <w:rFonts w:asciiTheme="minorHAnsi" w:hAnsiTheme="minorHAnsi" w:cstheme="majorBidi"/>
          <w:color w:val="000000"/>
          <w:lang w:val="en-US"/>
        </w:rPr>
        <w:t xml:space="preserve"> in low-wage occupations, </w:t>
      </w:r>
      <w:r w:rsidRPr="00902E61">
        <w:rPr>
          <w:rFonts w:asciiTheme="minorHAnsi" w:hAnsiTheme="minorHAnsi" w:cstheme="majorBidi"/>
          <w:color w:val="000000"/>
          <w:lang w:val="en-US"/>
        </w:rPr>
        <w:t xml:space="preserve">where women and immigrants are overrepresented (Macdonald 2017), and where strategies like pay equity have been less effective (see Kainer (2002) on supermarket restructuring and gender equality, for example). A higher floor could provide a solid foundation for an expanded pay equity model that aims to institute a broader conception of value, expose the gender-biased assumptions about skill and work that determine wages and give shape to occupational hierarchies, and protect vulnerable workers from being pushed further to the peripheries of the labour market and its employment regulations.  </w:t>
      </w:r>
    </w:p>
    <w:p w14:paraId="69BEDB94" w14:textId="77777777" w:rsidR="00902E61" w:rsidRPr="00902E61" w:rsidRDefault="00902E61" w:rsidP="00902E61">
      <w:pPr>
        <w:rPr>
          <w:rFonts w:asciiTheme="minorHAnsi" w:hAnsiTheme="minorHAnsi"/>
        </w:rPr>
      </w:pPr>
    </w:p>
    <w:p w14:paraId="59FAAB0F" w14:textId="77777777" w:rsidR="00902E61" w:rsidRDefault="00902E61" w:rsidP="00902E61">
      <w:pPr>
        <w:rPr>
          <w:rFonts w:asciiTheme="minorHAnsi" w:hAnsiTheme="minorHAnsi"/>
        </w:rPr>
      </w:pPr>
    </w:p>
    <w:p w14:paraId="409F62F1" w14:textId="77777777" w:rsidR="00902E61" w:rsidRDefault="00902E61" w:rsidP="00902E61">
      <w:pPr>
        <w:rPr>
          <w:rFonts w:asciiTheme="minorHAnsi" w:hAnsiTheme="minorHAnsi"/>
        </w:rPr>
      </w:pPr>
    </w:p>
    <w:p w14:paraId="3DA38DB8" w14:textId="77777777" w:rsidR="00902E61" w:rsidRDefault="00902E61" w:rsidP="00902E61">
      <w:pPr>
        <w:rPr>
          <w:rFonts w:asciiTheme="minorHAnsi" w:hAnsiTheme="minorHAnsi"/>
        </w:rPr>
      </w:pPr>
    </w:p>
    <w:p w14:paraId="4680A156" w14:textId="77777777" w:rsidR="00902E61" w:rsidRDefault="00902E61" w:rsidP="00902E61">
      <w:pPr>
        <w:rPr>
          <w:rFonts w:asciiTheme="minorHAnsi" w:hAnsiTheme="minorHAnsi"/>
        </w:rPr>
      </w:pPr>
    </w:p>
    <w:p w14:paraId="4FBA43BF" w14:textId="77777777" w:rsidR="00902E61" w:rsidRDefault="00902E61" w:rsidP="00902E61">
      <w:pPr>
        <w:rPr>
          <w:rFonts w:asciiTheme="minorHAnsi" w:hAnsiTheme="minorHAnsi"/>
        </w:rPr>
      </w:pPr>
    </w:p>
    <w:p w14:paraId="37C5D89E" w14:textId="77777777" w:rsidR="00902E61" w:rsidRDefault="00902E61" w:rsidP="00902E61">
      <w:pPr>
        <w:rPr>
          <w:rFonts w:asciiTheme="minorHAnsi" w:hAnsiTheme="minorHAnsi"/>
        </w:rPr>
      </w:pPr>
    </w:p>
    <w:p w14:paraId="3C140442" w14:textId="77777777" w:rsidR="00902E61" w:rsidRDefault="00902E61" w:rsidP="00902E61">
      <w:pPr>
        <w:rPr>
          <w:rFonts w:asciiTheme="minorHAnsi" w:hAnsiTheme="minorHAnsi"/>
        </w:rPr>
      </w:pPr>
    </w:p>
    <w:p w14:paraId="66F4302A" w14:textId="77777777" w:rsidR="00902E61" w:rsidRDefault="00902E61" w:rsidP="00902E61">
      <w:pPr>
        <w:rPr>
          <w:rFonts w:asciiTheme="minorHAnsi" w:hAnsiTheme="minorHAnsi"/>
        </w:rPr>
      </w:pPr>
    </w:p>
    <w:p w14:paraId="40E8B371" w14:textId="77777777" w:rsidR="00902E61" w:rsidRDefault="00902E61" w:rsidP="00902E61">
      <w:pPr>
        <w:rPr>
          <w:rFonts w:asciiTheme="minorHAnsi" w:hAnsiTheme="minorHAnsi"/>
        </w:rPr>
      </w:pPr>
    </w:p>
    <w:p w14:paraId="3A38DD61" w14:textId="77777777" w:rsidR="00902E61" w:rsidRDefault="00902E61" w:rsidP="00902E61">
      <w:pPr>
        <w:rPr>
          <w:rFonts w:asciiTheme="minorHAnsi" w:hAnsiTheme="minorHAnsi"/>
        </w:rPr>
      </w:pPr>
    </w:p>
    <w:p w14:paraId="32919839" w14:textId="77777777" w:rsidR="00902E61" w:rsidRDefault="00902E61" w:rsidP="00902E61">
      <w:pPr>
        <w:rPr>
          <w:rFonts w:asciiTheme="minorHAnsi" w:hAnsiTheme="minorHAnsi"/>
        </w:rPr>
      </w:pPr>
    </w:p>
    <w:p w14:paraId="16898F36" w14:textId="77777777" w:rsidR="00902E61" w:rsidRDefault="00902E61" w:rsidP="00902E61">
      <w:pPr>
        <w:rPr>
          <w:rFonts w:asciiTheme="minorHAnsi" w:hAnsiTheme="minorHAnsi"/>
        </w:rPr>
      </w:pPr>
    </w:p>
    <w:p w14:paraId="3647CF8D" w14:textId="77777777" w:rsidR="00902E61" w:rsidRDefault="00902E61" w:rsidP="00902E61">
      <w:pPr>
        <w:rPr>
          <w:rFonts w:asciiTheme="minorHAnsi" w:hAnsiTheme="minorHAnsi"/>
        </w:rPr>
      </w:pPr>
    </w:p>
    <w:p w14:paraId="7BF23241" w14:textId="77777777" w:rsidR="00902E61" w:rsidRDefault="00902E61" w:rsidP="00902E61">
      <w:pPr>
        <w:rPr>
          <w:rFonts w:asciiTheme="minorHAnsi" w:hAnsiTheme="minorHAnsi"/>
        </w:rPr>
      </w:pPr>
    </w:p>
    <w:p w14:paraId="157EE63F" w14:textId="77777777" w:rsidR="00902E61" w:rsidRDefault="00902E61" w:rsidP="00902E61">
      <w:pPr>
        <w:rPr>
          <w:rFonts w:asciiTheme="minorHAnsi" w:hAnsiTheme="minorHAnsi"/>
        </w:rPr>
      </w:pPr>
    </w:p>
    <w:p w14:paraId="4053B177" w14:textId="77777777" w:rsidR="00902E61" w:rsidRDefault="00902E61" w:rsidP="00902E61">
      <w:pPr>
        <w:rPr>
          <w:rFonts w:asciiTheme="minorHAnsi" w:hAnsiTheme="minorHAnsi"/>
        </w:rPr>
      </w:pPr>
    </w:p>
    <w:p w14:paraId="65CBED02" w14:textId="77777777" w:rsidR="00902E61" w:rsidRDefault="00902E61" w:rsidP="00902E61">
      <w:pPr>
        <w:rPr>
          <w:rFonts w:asciiTheme="minorHAnsi" w:hAnsiTheme="minorHAnsi"/>
        </w:rPr>
      </w:pPr>
    </w:p>
    <w:p w14:paraId="5B504A34" w14:textId="77777777" w:rsidR="00902E61" w:rsidRDefault="00902E61" w:rsidP="00902E61">
      <w:pPr>
        <w:rPr>
          <w:rFonts w:asciiTheme="minorHAnsi" w:hAnsiTheme="minorHAnsi"/>
        </w:rPr>
      </w:pPr>
    </w:p>
    <w:p w14:paraId="323B9CFC" w14:textId="77777777" w:rsidR="00902E61" w:rsidRPr="00902E61" w:rsidRDefault="00902E61" w:rsidP="00902E61">
      <w:pPr>
        <w:rPr>
          <w:rFonts w:asciiTheme="minorHAnsi" w:hAnsiTheme="minorHAnsi"/>
        </w:rPr>
      </w:pPr>
    </w:p>
    <w:p w14:paraId="008146AE" w14:textId="77777777" w:rsidR="00902E61" w:rsidRPr="00902E61" w:rsidRDefault="00902E61" w:rsidP="00902E61">
      <w:pPr>
        <w:rPr>
          <w:rFonts w:asciiTheme="minorHAnsi" w:hAnsiTheme="minorHAnsi"/>
        </w:rPr>
      </w:pPr>
      <w:r w:rsidRPr="00902E61">
        <w:rPr>
          <w:rFonts w:asciiTheme="minorHAnsi" w:hAnsiTheme="minorHAnsi"/>
        </w:rPr>
        <w:t xml:space="preserve">Bibliography </w:t>
      </w:r>
    </w:p>
    <w:p w14:paraId="7A8127B9" w14:textId="77777777" w:rsidR="00902E61" w:rsidRPr="00902E61" w:rsidRDefault="00902E61" w:rsidP="00902E61">
      <w:pPr>
        <w:rPr>
          <w:rFonts w:asciiTheme="minorHAnsi" w:hAnsiTheme="minorHAnsi"/>
        </w:rPr>
      </w:pPr>
    </w:p>
    <w:p w14:paraId="47DDCBFC" w14:textId="77777777" w:rsidR="00902E61" w:rsidRPr="00902E61" w:rsidRDefault="00902E61" w:rsidP="00902E61">
      <w:pPr>
        <w:rPr>
          <w:rFonts w:asciiTheme="minorHAnsi" w:hAnsiTheme="minorHAnsi"/>
        </w:rPr>
      </w:pPr>
      <w:r w:rsidRPr="00902E61">
        <w:rPr>
          <w:rFonts w:asciiTheme="minorHAnsi" w:hAnsiTheme="minorHAnsi"/>
        </w:rPr>
        <w:t xml:space="preserve">Acker, J. (1988). Class, gender, and the relations of distribution. </w:t>
      </w:r>
      <w:r w:rsidRPr="00902E61">
        <w:rPr>
          <w:rFonts w:asciiTheme="minorHAnsi" w:hAnsiTheme="minorHAnsi"/>
          <w:i/>
          <w:iCs/>
        </w:rPr>
        <w:t>Signs,</w:t>
      </w:r>
      <w:r w:rsidRPr="00902E61">
        <w:rPr>
          <w:rFonts w:asciiTheme="minorHAnsi" w:hAnsiTheme="minorHAnsi"/>
        </w:rPr>
        <w:t xml:space="preserve"> </w:t>
      </w:r>
      <w:r w:rsidRPr="00902E61">
        <w:rPr>
          <w:rFonts w:asciiTheme="minorHAnsi" w:hAnsiTheme="minorHAnsi"/>
          <w:i/>
          <w:iCs/>
        </w:rPr>
        <w:t>13</w:t>
      </w:r>
      <w:r w:rsidRPr="00902E61">
        <w:rPr>
          <w:rFonts w:asciiTheme="minorHAnsi" w:hAnsiTheme="minorHAnsi"/>
        </w:rPr>
        <w:t>(2), 473-497.</w:t>
      </w:r>
    </w:p>
    <w:p w14:paraId="22E75798"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Acker, J. (1989). </w:t>
      </w:r>
      <w:r w:rsidRPr="00902E61">
        <w:rPr>
          <w:rFonts w:asciiTheme="minorHAnsi" w:hAnsiTheme="minorHAnsi" w:cs="Times New Roman"/>
          <w:i/>
          <w:iCs/>
          <w:sz w:val="24"/>
          <w:szCs w:val="24"/>
        </w:rPr>
        <w:t>Doing Comparable Worth: Gender, Class, and Pay Equity</w:t>
      </w:r>
      <w:r w:rsidRPr="00902E61">
        <w:rPr>
          <w:rFonts w:asciiTheme="minorHAnsi" w:hAnsiTheme="minorHAnsi" w:cs="Times New Roman"/>
          <w:sz w:val="24"/>
          <w:szCs w:val="24"/>
        </w:rPr>
        <w:t xml:space="preserve">. Philadelphia: Temple University Press. </w:t>
      </w:r>
    </w:p>
    <w:p w14:paraId="20181BEA"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Acker, J. (2012). Gendered organizations and intersectionality: problems and possibilities. </w:t>
      </w:r>
      <w:r w:rsidRPr="00902E61">
        <w:rPr>
          <w:rFonts w:asciiTheme="minorHAnsi" w:hAnsiTheme="minorHAnsi" w:cs="Times New Roman"/>
          <w:i/>
          <w:iCs/>
          <w:sz w:val="24"/>
          <w:szCs w:val="24"/>
        </w:rPr>
        <w:t>Equality, Diversity and Inclusion: An International Journal</w:t>
      </w:r>
      <w:r w:rsidRPr="00902E61">
        <w:rPr>
          <w:rFonts w:asciiTheme="minorHAnsi" w:hAnsiTheme="minorHAnsi" w:cs="Times New Roman"/>
          <w:sz w:val="24"/>
          <w:szCs w:val="24"/>
        </w:rPr>
        <w:t>,</w:t>
      </w:r>
      <w:r w:rsidRPr="00902E61">
        <w:rPr>
          <w:rFonts w:asciiTheme="minorHAnsi" w:hAnsiTheme="minorHAnsi" w:cs="Times New Roman"/>
          <w:i/>
          <w:iCs/>
          <w:sz w:val="24"/>
          <w:szCs w:val="24"/>
        </w:rPr>
        <w:t xml:space="preserve"> 31</w:t>
      </w:r>
      <w:r w:rsidRPr="00902E61">
        <w:rPr>
          <w:rFonts w:asciiTheme="minorHAnsi" w:hAnsiTheme="minorHAnsi" w:cs="Times New Roman"/>
          <w:sz w:val="24"/>
          <w:szCs w:val="24"/>
        </w:rPr>
        <w:t>(3), 214-224.</w:t>
      </w:r>
    </w:p>
    <w:p w14:paraId="57F3B49A"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Association of Ontario Midwives [AOM]. (2014). Application under Section 34 of the Human Rights Code to the Human Rights Tribunal of Ontario: Schedule “A.” Toronto: Association of Ontario Midwives Retrieved from https://www.ontariomidwives.ca/sites/default/files/Schedule_A_Statement_of_Material_Facts_and_Remedial_RequestsSec.pdf</w:t>
      </w:r>
    </w:p>
    <w:p w14:paraId="3B64548F"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———(2016a). Opening statement of the Association of Ontario midwives. Toronto: Association of Ontario midwives. Retrieved from </w:t>
      </w:r>
      <w:hyperlink r:id="rId7" w:history="1">
        <w:r w:rsidRPr="00902E61">
          <w:rPr>
            <w:rStyle w:val="Hyperlink"/>
            <w:rFonts w:asciiTheme="minorHAnsi" w:hAnsiTheme="minorHAnsi" w:cs="Times New Roman"/>
            <w:sz w:val="24"/>
            <w:szCs w:val="24"/>
          </w:rPr>
          <w:t>http://www.ontariomidwives.ca/images/uploads/documents/AOM_v._MOHLTC-_AOM_Opening_Statement_June_1_2016_(C1622481xA0E3A).pdf</w:t>
        </w:r>
      </w:hyperlink>
    </w:p>
    <w:p w14:paraId="130CB8E9"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———(2016b). Ontario midwives on closing the gender pay gap: Submission to the Gender Wage Gap Strategy Steering Committee. Toronto: Association of Ontario Midwives. Retrieved from http://www.ontariomidwives.ca/images/uploads/documents/AOM_-_Closing_the_Gender_Wage_Gap_Submission.pdf</w:t>
      </w:r>
    </w:p>
    <w:p w14:paraId="6A1E76A4"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Bakker, I. (2003) Neoliberal governance and the reprivatization of social reproduction: Social provisioning and shifting gender orders. In I. Bakker and S. Gill (Eds.), </w:t>
      </w:r>
      <w:r w:rsidRPr="00902E61">
        <w:rPr>
          <w:rFonts w:asciiTheme="minorHAnsi" w:hAnsiTheme="minorHAnsi" w:cs="Times New Roman"/>
          <w:i/>
          <w:iCs/>
          <w:sz w:val="24"/>
          <w:szCs w:val="24"/>
        </w:rPr>
        <w:t>Power, Production and Social Reproduction</w:t>
      </w:r>
      <w:r w:rsidRPr="00902E61">
        <w:rPr>
          <w:rFonts w:asciiTheme="minorHAnsi" w:hAnsiTheme="minorHAnsi" w:cs="Times New Roman"/>
          <w:iCs/>
          <w:sz w:val="24"/>
          <w:szCs w:val="24"/>
        </w:rPr>
        <w:t xml:space="preserve"> (pp. 66-82)</w:t>
      </w:r>
      <w:r w:rsidRPr="00902E61">
        <w:rPr>
          <w:rFonts w:asciiTheme="minorHAnsi" w:hAnsiTheme="minorHAnsi" w:cs="Times New Roman"/>
          <w:sz w:val="24"/>
          <w:szCs w:val="24"/>
        </w:rPr>
        <w:t xml:space="preserve">. Basingstoke: Palgrave Macmillan. </w:t>
      </w:r>
    </w:p>
    <w:p w14:paraId="2DBA7408" w14:textId="77777777" w:rsidR="00902E61" w:rsidRPr="00902E61" w:rsidRDefault="00902E61" w:rsidP="00902E61">
      <w:pPr>
        <w:pStyle w:val="Body"/>
        <w:ind w:left="720" w:hanging="720"/>
        <w:rPr>
          <w:rFonts w:asciiTheme="minorHAnsi" w:hAnsiTheme="minorHAnsi" w:cs="Times New Roman"/>
          <w:sz w:val="24"/>
          <w:szCs w:val="24"/>
          <w:lang w:val="en-CA"/>
        </w:rPr>
      </w:pPr>
      <w:r w:rsidRPr="00902E61">
        <w:rPr>
          <w:rFonts w:asciiTheme="minorHAnsi" w:hAnsiTheme="minorHAnsi" w:cs="Times New Roman"/>
          <w:sz w:val="24"/>
          <w:szCs w:val="24"/>
        </w:rPr>
        <w:t xml:space="preserve">CIHI (2017). </w:t>
      </w:r>
      <w:r w:rsidRPr="00902E61">
        <w:rPr>
          <w:rFonts w:asciiTheme="minorHAnsi" w:hAnsiTheme="minorHAnsi" w:cs="Times New Roman"/>
          <w:sz w:val="24"/>
          <w:szCs w:val="24"/>
          <w:lang w:val="en-CA"/>
        </w:rPr>
        <w:t xml:space="preserve"> A profile of physicians in Canada in 2016. Canadian Institute for Health Information. Retrieved from: </w:t>
      </w:r>
      <w:r w:rsidRPr="00902E61">
        <w:rPr>
          <w:rFonts w:asciiTheme="minorHAnsi" w:hAnsiTheme="minorHAnsi" w:cs="Times New Roman"/>
          <w:sz w:val="24"/>
          <w:szCs w:val="24"/>
        </w:rPr>
        <w:t>https://www.cihi.ca/en/infographic-a-profile-of-physicians-in-canada-in-2016</w:t>
      </w:r>
    </w:p>
    <w:p w14:paraId="65021372" w14:textId="77777777" w:rsidR="00902E61" w:rsidRPr="00902E61" w:rsidRDefault="00902E61" w:rsidP="00902E61">
      <w:pPr>
        <w:pStyle w:val="BodyA"/>
        <w:rPr>
          <w:rFonts w:asciiTheme="minorHAnsi" w:hAnsiTheme="minorHAnsi" w:cs="Times New Roman"/>
          <w:sz w:val="24"/>
          <w:szCs w:val="24"/>
        </w:rPr>
      </w:pPr>
      <w:r w:rsidRPr="00902E61">
        <w:rPr>
          <w:rFonts w:asciiTheme="minorHAnsi" w:hAnsiTheme="minorHAnsi" w:cs="Times New Roman"/>
          <w:sz w:val="24"/>
          <w:szCs w:val="24"/>
        </w:rPr>
        <w:t xml:space="preserve">Durber, P. (2013). Examining the issue of equitable compensation for Ontario’s midwives. Toronto: Association of Ontario Midwives. </w:t>
      </w:r>
    </w:p>
    <w:p w14:paraId="1BB0F3A1" w14:textId="77777777" w:rsidR="00902E61" w:rsidRPr="00902E61" w:rsidRDefault="00902E61" w:rsidP="00902E61">
      <w:pPr>
        <w:pStyle w:val="BodyA"/>
        <w:ind w:left="720" w:hanging="720"/>
        <w:rPr>
          <w:rFonts w:asciiTheme="minorHAnsi" w:hAnsiTheme="minorHAnsi" w:cs="Times New Roman"/>
          <w:sz w:val="24"/>
          <w:szCs w:val="24"/>
        </w:rPr>
      </w:pPr>
      <w:r w:rsidRPr="00902E61">
        <w:rPr>
          <w:rFonts w:asciiTheme="minorHAnsi" w:hAnsiTheme="minorHAnsi" w:cs="Times New Roman"/>
          <w:i/>
          <w:iCs/>
          <w:sz w:val="24"/>
          <w:szCs w:val="24"/>
        </w:rPr>
        <w:t>Employment Standards Act</w:t>
      </w:r>
      <w:r w:rsidRPr="00902E61">
        <w:rPr>
          <w:rFonts w:asciiTheme="minorHAnsi" w:hAnsiTheme="minorHAnsi" w:cs="Times New Roman"/>
          <w:sz w:val="24"/>
          <w:szCs w:val="24"/>
        </w:rPr>
        <w:t xml:space="preserve"> (</w:t>
      </w:r>
      <w:r w:rsidRPr="00902E61">
        <w:rPr>
          <w:rFonts w:asciiTheme="minorHAnsi" w:hAnsiTheme="minorHAnsi" w:cs="Times New Roman"/>
          <w:i/>
          <w:iCs/>
          <w:sz w:val="24"/>
          <w:szCs w:val="24"/>
        </w:rPr>
        <w:t>ESA</w:t>
      </w:r>
      <w:r w:rsidRPr="00902E61">
        <w:rPr>
          <w:rFonts w:asciiTheme="minorHAnsi" w:hAnsiTheme="minorHAnsi" w:cs="Times New Roman"/>
          <w:sz w:val="24"/>
          <w:szCs w:val="24"/>
        </w:rPr>
        <w:t xml:space="preserve">). (2000). S.O. 2000, c. 42. Government of Ontario. Retrieved from </w:t>
      </w:r>
      <w:hyperlink r:id="rId8" w:history="1">
        <w:r w:rsidRPr="00902E61">
          <w:rPr>
            <w:rStyle w:val="Hyperlink"/>
            <w:rFonts w:asciiTheme="minorHAnsi" w:hAnsiTheme="minorHAnsi" w:cs="Times New Roman"/>
            <w:sz w:val="24"/>
            <w:szCs w:val="24"/>
          </w:rPr>
          <w:t>https://www.ontario.ca/laws/statute/00e4</w:t>
        </w:r>
      </w:hyperlink>
    </w:p>
    <w:p w14:paraId="6E7F1A96" w14:textId="77777777" w:rsidR="00902E61" w:rsidRPr="00902E61" w:rsidRDefault="00902E61" w:rsidP="00902E61">
      <w:pPr>
        <w:pStyle w:val="BodyA"/>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Evans, S. M. and B. J. Nelson (1991). Translating wage gains into social change: International lessons from implementing pay equity in Minnesota. In J. Fudge, and P. McDermott (Eds.), </w:t>
      </w:r>
      <w:r w:rsidRPr="00902E61">
        <w:rPr>
          <w:rFonts w:asciiTheme="minorHAnsi" w:hAnsiTheme="minorHAnsi" w:cs="Times New Roman"/>
          <w:i/>
          <w:iCs/>
          <w:sz w:val="24"/>
          <w:szCs w:val="24"/>
        </w:rPr>
        <w:t>Just Wages: A feminist assessment of pay equity</w:t>
      </w:r>
      <w:r w:rsidRPr="00902E61">
        <w:rPr>
          <w:rFonts w:asciiTheme="minorHAnsi" w:hAnsiTheme="minorHAnsi" w:cs="Times New Roman"/>
          <w:sz w:val="24"/>
          <w:szCs w:val="24"/>
        </w:rPr>
        <w:t xml:space="preserve">. Toronto: University of Toronto Press. </w:t>
      </w:r>
    </w:p>
    <w:p w14:paraId="1D2BE80D"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Faraday, F. and J. Borowy (2017). Building Employment standards and labour relations protection to close the gender pay gap: Equal pay coalition submissions to </w:t>
      </w:r>
      <w:r w:rsidRPr="00902E61">
        <w:rPr>
          <w:rFonts w:asciiTheme="minorHAnsi" w:hAnsiTheme="minorHAnsi" w:cs="Times New Roman"/>
          <w:i/>
          <w:iCs/>
          <w:sz w:val="24"/>
          <w:szCs w:val="24"/>
        </w:rPr>
        <w:t>The Standing Committee on Finance and Economic Affairs</w:t>
      </w:r>
      <w:r w:rsidRPr="00902E61">
        <w:rPr>
          <w:rFonts w:asciiTheme="minorHAnsi" w:hAnsiTheme="minorHAnsi" w:cs="Times New Roman"/>
          <w:sz w:val="24"/>
          <w:szCs w:val="24"/>
        </w:rPr>
        <w:t xml:space="preserve">, Bill 148, Fair Workplaces, Better Jobs Act, 2017. Retrieved from </w:t>
      </w:r>
      <w:hyperlink r:id="rId9" w:history="1">
        <w:r w:rsidRPr="00902E61">
          <w:rPr>
            <w:rStyle w:val="Hyperlink"/>
            <w:rFonts w:asciiTheme="minorHAnsi" w:hAnsiTheme="minorHAnsi" w:cs="Times New Roman"/>
            <w:sz w:val="24"/>
            <w:szCs w:val="24"/>
          </w:rPr>
          <w:t>http://equalpaycoalition.org/wp-content/uploads/2017/07/EPC-Bill-148-submissions-FINAL-CORRECTED.pdf</w:t>
        </w:r>
      </w:hyperlink>
    </w:p>
    <w:p w14:paraId="3872026E" w14:textId="77777777" w:rsidR="00902E61" w:rsidRPr="00902E61" w:rsidRDefault="00902E61" w:rsidP="00902E61">
      <w:pPr>
        <w:pStyle w:val="Body"/>
        <w:ind w:left="720" w:hanging="720"/>
        <w:rPr>
          <w:rStyle w:val="Hyperlink"/>
          <w:rFonts w:asciiTheme="minorHAnsi" w:hAnsiTheme="minorHAnsi" w:cs="Times New Roman"/>
          <w:color w:val="000000"/>
          <w:sz w:val="24"/>
          <w:szCs w:val="24"/>
          <w:lang w:val="en-CA"/>
        </w:rPr>
      </w:pPr>
      <w:r w:rsidRPr="00902E61">
        <w:rPr>
          <w:rFonts w:asciiTheme="minorHAnsi" w:hAnsiTheme="minorHAnsi" w:cs="Times New Roman"/>
          <w:sz w:val="24"/>
          <w:szCs w:val="24"/>
        </w:rPr>
        <w:lastRenderedPageBreak/>
        <w:t>Finkel, A. (2011).</w:t>
      </w:r>
      <w:r w:rsidRPr="00902E61">
        <w:rPr>
          <w:rFonts w:asciiTheme="minorHAnsi" w:hAnsiTheme="minorHAnsi"/>
          <w:sz w:val="24"/>
          <w:szCs w:val="24"/>
        </w:rPr>
        <w:t xml:space="preserve"> </w:t>
      </w:r>
      <w:r w:rsidRPr="00902E61">
        <w:rPr>
          <w:rFonts w:asciiTheme="minorHAnsi" w:hAnsiTheme="minorHAnsi" w:cs="Times New Roman"/>
          <w:i/>
          <w:iCs/>
          <w:sz w:val="24"/>
          <w:szCs w:val="24"/>
        </w:rPr>
        <w:t xml:space="preserve">Social Policy and Practice in Canada: A History. </w:t>
      </w:r>
      <w:r w:rsidRPr="00902E61">
        <w:rPr>
          <w:rFonts w:asciiTheme="minorHAnsi" w:hAnsiTheme="minorHAnsi" w:cs="Times New Roman"/>
          <w:sz w:val="24"/>
          <w:szCs w:val="24"/>
        </w:rPr>
        <w:t xml:space="preserve">Waterloo: </w:t>
      </w:r>
      <w:r w:rsidRPr="00902E61">
        <w:rPr>
          <w:rFonts w:asciiTheme="minorHAnsi" w:hAnsiTheme="minorHAnsi" w:cs="Times New Roman"/>
          <w:sz w:val="24"/>
          <w:szCs w:val="24"/>
          <w:lang w:val="en-CA"/>
        </w:rPr>
        <w:t>Wilfrid Laurier University Press</w:t>
      </w:r>
    </w:p>
    <w:p w14:paraId="08D40949"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Fudge, J. and Vosko, L. F. (2001). Gender, segmentation and the standard employment relationship in Canadian labour law, legislation and policy. </w:t>
      </w:r>
      <w:r w:rsidRPr="00902E61">
        <w:rPr>
          <w:rFonts w:asciiTheme="minorHAnsi" w:hAnsiTheme="minorHAnsi" w:cs="Times New Roman"/>
          <w:i/>
          <w:iCs/>
          <w:sz w:val="24"/>
          <w:szCs w:val="24"/>
        </w:rPr>
        <w:t>Economic and Industrial Democracy,</w:t>
      </w:r>
      <w:r w:rsidRPr="00902E61">
        <w:rPr>
          <w:rFonts w:asciiTheme="minorHAnsi" w:hAnsiTheme="minorHAnsi" w:cs="Times New Roman"/>
          <w:sz w:val="24"/>
          <w:szCs w:val="24"/>
        </w:rPr>
        <w:t xml:space="preserve"> </w:t>
      </w:r>
      <w:r w:rsidRPr="00902E61">
        <w:rPr>
          <w:rFonts w:asciiTheme="minorHAnsi" w:hAnsiTheme="minorHAnsi" w:cs="Times New Roman"/>
          <w:i/>
          <w:iCs/>
          <w:sz w:val="24"/>
          <w:szCs w:val="24"/>
        </w:rPr>
        <w:t>22</w:t>
      </w:r>
      <w:r w:rsidRPr="00902E61">
        <w:rPr>
          <w:rFonts w:asciiTheme="minorHAnsi" w:hAnsiTheme="minorHAnsi" w:cs="Times New Roman"/>
          <w:sz w:val="24"/>
          <w:szCs w:val="24"/>
        </w:rPr>
        <w:t xml:space="preserve">, 271-310. </w:t>
      </w:r>
    </w:p>
    <w:p w14:paraId="4974E865"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lang w:val="en-CA"/>
        </w:rPr>
        <w:t xml:space="preserve">Handman, S. and K. Jensen (1999). </w:t>
      </w:r>
      <w:r w:rsidRPr="00902E61">
        <w:rPr>
          <w:rFonts w:asciiTheme="minorHAnsi" w:hAnsiTheme="minorHAnsi" w:cs="Times New Roman"/>
          <w:sz w:val="24"/>
          <w:szCs w:val="24"/>
        </w:rPr>
        <w:t xml:space="preserve">Pay equity in Canada: An overview.” </w:t>
      </w:r>
      <w:r w:rsidRPr="00902E61">
        <w:rPr>
          <w:rFonts w:asciiTheme="minorHAnsi" w:hAnsiTheme="minorHAnsi" w:cs="Times New Roman"/>
          <w:i/>
          <w:iCs/>
          <w:sz w:val="24"/>
          <w:szCs w:val="24"/>
        </w:rPr>
        <w:t>Canadian Labour and Employment Law Journal</w:t>
      </w:r>
      <w:r w:rsidRPr="00902E61">
        <w:rPr>
          <w:rFonts w:asciiTheme="minorHAnsi" w:hAnsiTheme="minorHAnsi" w:cs="Times New Roman"/>
          <w:sz w:val="24"/>
          <w:szCs w:val="24"/>
        </w:rPr>
        <w:t xml:space="preserve">, </w:t>
      </w:r>
      <w:r w:rsidRPr="00902E61">
        <w:rPr>
          <w:rFonts w:asciiTheme="minorHAnsi" w:hAnsiTheme="minorHAnsi" w:cs="Times New Roman"/>
          <w:i/>
          <w:iCs/>
          <w:sz w:val="24"/>
          <w:szCs w:val="24"/>
        </w:rPr>
        <w:t>7</w:t>
      </w:r>
      <w:r w:rsidRPr="00902E61">
        <w:rPr>
          <w:rFonts w:asciiTheme="minorHAnsi" w:hAnsiTheme="minorHAnsi" w:cs="Times New Roman"/>
          <w:sz w:val="24"/>
          <w:szCs w:val="24"/>
        </w:rPr>
        <w:t>, 65-89.</w:t>
      </w:r>
    </w:p>
    <w:p w14:paraId="25045158"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i/>
          <w:iCs/>
          <w:sz w:val="24"/>
          <w:szCs w:val="24"/>
        </w:rPr>
        <w:t>Health industry and occupation by sector 2009, employment form and hourly wage 1993-2009 (HC SLID B-3)</w:t>
      </w:r>
      <w:r w:rsidRPr="00902E61">
        <w:rPr>
          <w:rFonts w:asciiTheme="minorHAnsi" w:hAnsiTheme="minorHAnsi" w:cs="Times New Roman"/>
          <w:sz w:val="24"/>
          <w:szCs w:val="24"/>
        </w:rPr>
        <w:t xml:space="preserve">. Gender and Work Database, York University. http://www.genderwork.ca/gwd. Accessed June 20, 2017. Data from Statistics Canada’s Survey of Labour and Income Dynamics, 2009. </w:t>
      </w:r>
    </w:p>
    <w:p w14:paraId="31B170F7" w14:textId="77777777" w:rsidR="00902E61" w:rsidRPr="00902E61" w:rsidRDefault="00902E61" w:rsidP="00902E61">
      <w:pPr>
        <w:pStyle w:val="Body"/>
        <w:ind w:left="720" w:hanging="720"/>
        <w:rPr>
          <w:rStyle w:val="Hyperlink"/>
          <w:rFonts w:asciiTheme="minorHAnsi" w:hAnsiTheme="minorHAnsi" w:cs="Times New Roman"/>
          <w:color w:val="000000"/>
          <w:sz w:val="24"/>
          <w:szCs w:val="24"/>
        </w:rPr>
      </w:pPr>
      <w:r w:rsidRPr="00902E61">
        <w:rPr>
          <w:rFonts w:asciiTheme="minorHAnsi" w:hAnsiTheme="minorHAnsi" w:cs="Times New Roman"/>
          <w:i/>
          <w:iCs/>
          <w:sz w:val="24"/>
          <w:szCs w:val="24"/>
        </w:rPr>
        <w:t>Health industry and occupation by visible minority status, immigrant status and form of employment 1993-2009</w:t>
      </w:r>
      <w:r w:rsidRPr="00902E61">
        <w:rPr>
          <w:rFonts w:asciiTheme="minorHAnsi" w:hAnsiTheme="minorHAnsi" w:cs="Times New Roman"/>
          <w:sz w:val="24"/>
          <w:szCs w:val="24"/>
        </w:rPr>
        <w:t xml:space="preserve"> (</w:t>
      </w:r>
      <w:r w:rsidRPr="00902E61">
        <w:rPr>
          <w:rFonts w:asciiTheme="minorHAnsi" w:hAnsiTheme="minorHAnsi" w:cs="Times New Roman"/>
          <w:i/>
          <w:iCs/>
          <w:sz w:val="24"/>
          <w:szCs w:val="24"/>
        </w:rPr>
        <w:t>HC SLID A-2</w:t>
      </w:r>
      <w:r w:rsidRPr="00902E61">
        <w:rPr>
          <w:rFonts w:asciiTheme="minorHAnsi" w:hAnsiTheme="minorHAnsi" w:cs="Times New Roman"/>
          <w:sz w:val="24"/>
          <w:szCs w:val="24"/>
        </w:rPr>
        <w:t xml:space="preserve">). Gender and Work Database, York University. http://www.genderwork.ca/gwd. Accessed June 20, 2017. Data from Statistics Canada’s Survey of Labour and Income Dynamics, 2009. </w:t>
      </w:r>
    </w:p>
    <w:p w14:paraId="7F477EF4"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lang w:val="en-CA"/>
        </w:rPr>
        <w:t xml:space="preserve">Kainer, J. (1995). </w:t>
      </w:r>
      <w:r w:rsidRPr="00902E61">
        <w:rPr>
          <w:rFonts w:asciiTheme="minorHAnsi" w:hAnsiTheme="minorHAnsi" w:cs="Times New Roman"/>
          <w:sz w:val="24"/>
          <w:szCs w:val="24"/>
        </w:rPr>
        <w:t xml:space="preserve">Pay equity strategy and feminist legal theory: Challenging the bounds of liberalism. </w:t>
      </w:r>
      <w:r w:rsidRPr="00902E61">
        <w:rPr>
          <w:rFonts w:asciiTheme="minorHAnsi" w:hAnsiTheme="minorHAnsi" w:cs="Times New Roman"/>
          <w:i/>
          <w:iCs/>
          <w:sz w:val="24"/>
          <w:szCs w:val="24"/>
        </w:rPr>
        <w:t>Canadian Journal of Women and Law, 8</w:t>
      </w:r>
      <w:r w:rsidRPr="00902E61">
        <w:rPr>
          <w:rFonts w:asciiTheme="minorHAnsi" w:hAnsiTheme="minorHAnsi" w:cs="Times New Roman"/>
          <w:sz w:val="24"/>
          <w:szCs w:val="24"/>
        </w:rPr>
        <w:t>, 440-469</w:t>
      </w:r>
    </w:p>
    <w:p w14:paraId="74DE64ED"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Kainer, J. (2002). </w:t>
      </w:r>
      <w:r w:rsidRPr="00902E61">
        <w:rPr>
          <w:rFonts w:asciiTheme="minorHAnsi" w:hAnsiTheme="minorHAnsi" w:cs="Times New Roman"/>
          <w:i/>
          <w:iCs/>
          <w:sz w:val="24"/>
          <w:szCs w:val="24"/>
        </w:rPr>
        <w:t xml:space="preserve">Cashing in on pay equity? Supermarket restructuring and gender equality. </w:t>
      </w:r>
      <w:r w:rsidRPr="00902E61">
        <w:rPr>
          <w:rFonts w:asciiTheme="minorHAnsi" w:hAnsiTheme="minorHAnsi" w:cs="Times New Roman"/>
          <w:sz w:val="24"/>
          <w:szCs w:val="24"/>
        </w:rPr>
        <w:t xml:space="preserve">Toronto: Sumach Press. </w:t>
      </w:r>
    </w:p>
    <w:p w14:paraId="12D2D5E8" w14:textId="77777777" w:rsidR="00902E61" w:rsidRPr="00902E61" w:rsidRDefault="00902E61" w:rsidP="00902E61">
      <w:pPr>
        <w:pStyle w:val="Body"/>
        <w:ind w:left="720" w:hanging="720"/>
        <w:rPr>
          <w:rFonts w:asciiTheme="minorHAnsi" w:hAnsiTheme="minorHAnsi" w:cs="Times New Roman"/>
          <w:i/>
          <w:iCs/>
          <w:sz w:val="24"/>
          <w:szCs w:val="24"/>
        </w:rPr>
      </w:pPr>
      <w:r w:rsidRPr="00902E61">
        <w:rPr>
          <w:rFonts w:asciiTheme="minorHAnsi" w:hAnsiTheme="minorHAnsi" w:cs="Times New Roman"/>
          <w:sz w:val="24"/>
          <w:szCs w:val="24"/>
        </w:rPr>
        <w:t xml:space="preserve">Luxton, M. and K. Bezanson, eds. (2010). </w:t>
      </w:r>
      <w:r w:rsidRPr="00902E61">
        <w:rPr>
          <w:rFonts w:asciiTheme="minorHAnsi" w:hAnsiTheme="minorHAnsi" w:cs="Times New Roman"/>
          <w:i/>
          <w:iCs/>
          <w:sz w:val="24"/>
          <w:szCs w:val="24"/>
        </w:rPr>
        <w:t xml:space="preserve">Social Reproduction: Feminist Political Economy Challenges. </w:t>
      </w:r>
      <w:r w:rsidRPr="00902E61">
        <w:rPr>
          <w:rFonts w:asciiTheme="minorHAnsi" w:hAnsiTheme="minorHAnsi" w:cs="Times New Roman"/>
          <w:sz w:val="24"/>
          <w:szCs w:val="24"/>
        </w:rPr>
        <w:t>Neo-liberalism. Montreal-Kingston: McGill-Queens University Press.</w:t>
      </w:r>
    </w:p>
    <w:p w14:paraId="3D64D7DC"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Laxer, K. and P. Armstrong. (2006). Precarious work, privatization, and the health-care industry: The case of ancillary workers. In L.F. Vosko (Ed.), </w:t>
      </w:r>
      <w:r w:rsidRPr="00902E61">
        <w:rPr>
          <w:rFonts w:asciiTheme="minorHAnsi" w:hAnsiTheme="minorHAnsi" w:cs="Times New Roman"/>
          <w:i/>
          <w:iCs/>
          <w:sz w:val="24"/>
          <w:szCs w:val="24"/>
        </w:rPr>
        <w:t xml:space="preserve">Precarious Employment: Understanding Labour Market Insecurity in Canada </w:t>
      </w:r>
      <w:r w:rsidRPr="00902E61">
        <w:rPr>
          <w:rFonts w:asciiTheme="minorHAnsi" w:hAnsiTheme="minorHAnsi" w:cs="Times New Roman"/>
          <w:sz w:val="24"/>
          <w:szCs w:val="24"/>
        </w:rPr>
        <w:t xml:space="preserve">(pp. 115-138). Montreal: McGill-Queens University Press. </w:t>
      </w:r>
    </w:p>
    <w:p w14:paraId="60B9DDB3"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i/>
          <w:iCs/>
          <w:sz w:val="24"/>
          <w:szCs w:val="24"/>
        </w:rPr>
        <w:t>Labour Relations Act</w:t>
      </w:r>
      <w:r w:rsidRPr="00902E61">
        <w:rPr>
          <w:rFonts w:asciiTheme="minorHAnsi" w:hAnsiTheme="minorHAnsi" w:cs="Times New Roman"/>
          <w:sz w:val="24"/>
          <w:szCs w:val="24"/>
        </w:rPr>
        <w:t xml:space="preserve"> (</w:t>
      </w:r>
      <w:r w:rsidRPr="00902E61">
        <w:rPr>
          <w:rFonts w:asciiTheme="minorHAnsi" w:hAnsiTheme="minorHAnsi" w:cs="Times New Roman"/>
          <w:i/>
          <w:iCs/>
          <w:sz w:val="24"/>
          <w:szCs w:val="24"/>
        </w:rPr>
        <w:t>LRA</w:t>
      </w:r>
      <w:r w:rsidRPr="00902E61">
        <w:rPr>
          <w:rFonts w:asciiTheme="minorHAnsi" w:hAnsiTheme="minorHAnsi" w:cs="Times New Roman"/>
          <w:sz w:val="24"/>
          <w:szCs w:val="24"/>
        </w:rPr>
        <w:t xml:space="preserve">). (1995). S.O. 1995, c.1. Government of Ontario. Retrieved from </w:t>
      </w:r>
      <w:hyperlink r:id="rId10" w:history="1">
        <w:r w:rsidRPr="00902E61">
          <w:rPr>
            <w:rStyle w:val="Hyperlink"/>
            <w:rFonts w:asciiTheme="minorHAnsi" w:hAnsiTheme="minorHAnsi" w:cs="Times New Roman"/>
            <w:sz w:val="24"/>
            <w:szCs w:val="24"/>
          </w:rPr>
          <w:t>https://www.ontario.ca/laws/statute/95l01/v19</w:t>
        </w:r>
      </w:hyperlink>
    </w:p>
    <w:p w14:paraId="557B0081"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Mackenzie, H. (2013). An analysis of midwives’ compensation in Ontario, 1994-2013. Toronto: Association of Ontario Midwives. </w:t>
      </w:r>
    </w:p>
    <w:p w14:paraId="6ACF44F4"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McDermott, P. and J. Fudge. (1991).</w:t>
      </w:r>
      <w:r w:rsidRPr="00902E61">
        <w:rPr>
          <w:rFonts w:asciiTheme="minorHAnsi" w:hAnsiTheme="minorHAnsi" w:cs="Times New Roman"/>
          <w:i/>
          <w:iCs/>
          <w:sz w:val="24"/>
          <w:szCs w:val="24"/>
        </w:rPr>
        <w:t xml:space="preserve"> Just Wages: A Feminist Assessment of Pay Equity. </w:t>
      </w:r>
      <w:r w:rsidRPr="00902E61">
        <w:rPr>
          <w:rFonts w:asciiTheme="minorHAnsi" w:hAnsiTheme="minorHAnsi" w:cs="Times New Roman"/>
          <w:sz w:val="24"/>
          <w:szCs w:val="24"/>
        </w:rPr>
        <w:t>Toronto: University of Toronto Press.</w:t>
      </w:r>
    </w:p>
    <w:p w14:paraId="2C953AA7"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Moyser, M. (2017). Women and paid work. Statistics Canada. Retrieved from </w:t>
      </w:r>
      <w:hyperlink r:id="rId11" w:history="1">
        <w:r w:rsidRPr="00902E61">
          <w:rPr>
            <w:rStyle w:val="Hyperlink"/>
            <w:rFonts w:asciiTheme="minorHAnsi" w:hAnsiTheme="minorHAnsi" w:cs="Times New Roman"/>
            <w:sz w:val="24"/>
            <w:szCs w:val="24"/>
          </w:rPr>
          <w:t>http://www.statcan.gc.ca/pub/89-503-x/2015001/article/14694-eng.htm</w:t>
        </w:r>
      </w:hyperlink>
    </w:p>
    <w:p w14:paraId="73F7F5CD"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National Aboriginal Council of Aboriginal Midwives (2017). Aboriginal midwifery in Canada. Retrieved from </w:t>
      </w:r>
      <w:hyperlink r:id="rId12" w:history="1">
        <w:r w:rsidRPr="00902E61">
          <w:rPr>
            <w:rStyle w:val="Hyperlink"/>
            <w:rFonts w:asciiTheme="minorHAnsi" w:hAnsiTheme="minorHAnsi" w:cs="Times New Roman"/>
            <w:sz w:val="24"/>
            <w:szCs w:val="24"/>
          </w:rPr>
          <w:t>http://aboriginalmidwives.ca/aboriginal-midwifery-in-canada</w:t>
        </w:r>
      </w:hyperlink>
    </w:p>
    <w:p w14:paraId="0A9DB136" w14:textId="77777777" w:rsidR="00902E61" w:rsidRPr="00902E61" w:rsidRDefault="00902E61" w:rsidP="00902E61">
      <w:pPr>
        <w:pStyle w:val="BodyA"/>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Quadagno, J. (1994). Unfinished democracy. </w:t>
      </w:r>
      <w:r w:rsidRPr="00902E61">
        <w:rPr>
          <w:rFonts w:asciiTheme="minorHAnsi" w:hAnsiTheme="minorHAnsi" w:cs="Times New Roman"/>
          <w:i/>
          <w:sz w:val="24"/>
          <w:szCs w:val="24"/>
        </w:rPr>
        <w:t xml:space="preserve">The colour of welfare: How racism undermined the war on poverty. </w:t>
      </w:r>
      <w:r w:rsidRPr="00902E61">
        <w:rPr>
          <w:rFonts w:asciiTheme="minorHAnsi" w:hAnsiTheme="minorHAnsi" w:cs="Times New Roman"/>
          <w:sz w:val="24"/>
          <w:szCs w:val="24"/>
        </w:rPr>
        <w:t xml:space="preserve">Oxford: Oxford University Press, 17-31. </w:t>
      </w:r>
    </w:p>
    <w:p w14:paraId="5EA42248"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Panitch, L. and D. Swartz. (2003). </w:t>
      </w:r>
      <w:r w:rsidRPr="00902E61">
        <w:rPr>
          <w:rFonts w:asciiTheme="minorHAnsi" w:hAnsiTheme="minorHAnsi" w:cs="Times New Roman"/>
          <w:i/>
          <w:iCs/>
          <w:sz w:val="24"/>
          <w:szCs w:val="24"/>
        </w:rPr>
        <w:t>From Consent to Coercion: The Assault on Trade Union Freedoms</w:t>
      </w:r>
      <w:r w:rsidRPr="00902E61">
        <w:rPr>
          <w:rFonts w:asciiTheme="minorHAnsi" w:hAnsiTheme="minorHAnsi" w:cs="Times New Roman"/>
          <w:sz w:val="24"/>
          <w:szCs w:val="24"/>
        </w:rPr>
        <w:t xml:space="preserve">, Third Edition. Toronto: University of Toronto Press. </w:t>
      </w:r>
    </w:p>
    <w:p w14:paraId="59C410CD"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i/>
          <w:iCs/>
          <w:sz w:val="24"/>
          <w:szCs w:val="24"/>
        </w:rPr>
        <w:t xml:space="preserve">Pay Equity Act </w:t>
      </w:r>
      <w:r w:rsidRPr="00902E61">
        <w:rPr>
          <w:rFonts w:asciiTheme="minorHAnsi" w:hAnsiTheme="minorHAnsi" w:cs="Times New Roman"/>
          <w:sz w:val="24"/>
          <w:szCs w:val="24"/>
        </w:rPr>
        <w:t>(</w:t>
      </w:r>
      <w:r w:rsidRPr="00902E61">
        <w:rPr>
          <w:rFonts w:asciiTheme="minorHAnsi" w:hAnsiTheme="minorHAnsi" w:cs="Times New Roman"/>
          <w:i/>
          <w:iCs/>
          <w:sz w:val="24"/>
          <w:szCs w:val="24"/>
        </w:rPr>
        <w:t>PEA</w:t>
      </w:r>
      <w:r w:rsidRPr="00902E61">
        <w:rPr>
          <w:rFonts w:asciiTheme="minorHAnsi" w:hAnsiTheme="minorHAnsi" w:cs="Times New Roman"/>
          <w:sz w:val="24"/>
          <w:szCs w:val="24"/>
        </w:rPr>
        <w:t>).</w:t>
      </w:r>
      <w:r w:rsidRPr="00902E61">
        <w:rPr>
          <w:rFonts w:asciiTheme="minorHAnsi" w:hAnsiTheme="minorHAnsi" w:cs="Times New Roman"/>
          <w:i/>
          <w:iCs/>
          <w:sz w:val="24"/>
          <w:szCs w:val="24"/>
        </w:rPr>
        <w:t xml:space="preserve"> </w:t>
      </w:r>
      <w:r w:rsidRPr="00902E61">
        <w:rPr>
          <w:rFonts w:asciiTheme="minorHAnsi" w:hAnsiTheme="minorHAnsi" w:cs="Times New Roman"/>
          <w:sz w:val="24"/>
          <w:szCs w:val="24"/>
        </w:rPr>
        <w:t>(1987). R.S.O. 1990, c.</w:t>
      </w:r>
      <w:r w:rsidRPr="00902E61">
        <w:rPr>
          <w:rFonts w:asciiTheme="minorHAnsi" w:hAnsiTheme="minorHAnsi" w:cs="Times New Roman"/>
          <w:i/>
          <w:iCs/>
          <w:sz w:val="24"/>
          <w:szCs w:val="24"/>
        </w:rPr>
        <w:t xml:space="preserve"> </w:t>
      </w:r>
      <w:r w:rsidRPr="00902E61">
        <w:rPr>
          <w:rFonts w:asciiTheme="minorHAnsi" w:hAnsiTheme="minorHAnsi" w:cs="Times New Roman"/>
          <w:sz w:val="24"/>
          <w:szCs w:val="24"/>
        </w:rPr>
        <w:t xml:space="preserve">P.7. Government of Ontario. Retrieved from </w:t>
      </w:r>
      <w:hyperlink r:id="rId13" w:history="1">
        <w:r w:rsidRPr="00902E61">
          <w:rPr>
            <w:rStyle w:val="Hyperlink"/>
            <w:rFonts w:asciiTheme="minorHAnsi" w:hAnsiTheme="minorHAnsi" w:cs="Times New Roman"/>
            <w:sz w:val="24"/>
            <w:szCs w:val="24"/>
          </w:rPr>
          <w:t>https://www.ontario.ca/laws/statute/90p07</w:t>
        </w:r>
      </w:hyperlink>
    </w:p>
    <w:p w14:paraId="51C570D9" w14:textId="77777777" w:rsidR="00902E61" w:rsidRPr="00902E61" w:rsidRDefault="00902E61" w:rsidP="00902E61">
      <w:pPr>
        <w:pStyle w:val="BodyA"/>
        <w:ind w:left="720" w:hanging="720"/>
        <w:rPr>
          <w:rFonts w:asciiTheme="minorHAnsi" w:hAnsiTheme="minorHAnsi" w:cs="Times New Roman"/>
          <w:sz w:val="24"/>
          <w:szCs w:val="24"/>
        </w:rPr>
      </w:pPr>
      <w:r w:rsidRPr="00902E61">
        <w:rPr>
          <w:rFonts w:asciiTheme="minorHAnsi" w:hAnsiTheme="minorHAnsi" w:cs="Times New Roman"/>
          <w:sz w:val="24"/>
          <w:szCs w:val="24"/>
        </w:rPr>
        <w:t>Pay Equity Task Force. (2004). Pay equity: A new approach to a fundamental right. Ottawa: Department of Justice.</w:t>
      </w:r>
    </w:p>
    <w:p w14:paraId="1E870FA6" w14:textId="77777777" w:rsidR="00902E61" w:rsidRPr="00902E61" w:rsidRDefault="00902E61" w:rsidP="00902E61">
      <w:pPr>
        <w:pStyle w:val="BodyA"/>
        <w:ind w:left="720" w:hanging="720"/>
        <w:rPr>
          <w:rFonts w:asciiTheme="minorHAnsi" w:hAnsiTheme="minorHAnsi" w:cs="Times New Roman"/>
          <w:sz w:val="24"/>
          <w:szCs w:val="24"/>
        </w:rPr>
      </w:pPr>
      <w:r w:rsidRPr="00902E61">
        <w:rPr>
          <w:rFonts w:asciiTheme="minorHAnsi" w:hAnsiTheme="minorHAnsi" w:cs="Times New Roman"/>
          <w:sz w:val="24"/>
          <w:szCs w:val="24"/>
        </w:rPr>
        <w:lastRenderedPageBreak/>
        <w:t xml:space="preserve">Picchio, A. (1992) </w:t>
      </w:r>
      <w:r w:rsidRPr="00902E61">
        <w:rPr>
          <w:rFonts w:asciiTheme="minorHAnsi" w:hAnsiTheme="minorHAnsi" w:cs="Times New Roman"/>
          <w:i/>
          <w:sz w:val="24"/>
          <w:szCs w:val="24"/>
        </w:rPr>
        <w:t>Social reproduction: The political economy of the labour market</w:t>
      </w:r>
      <w:r w:rsidRPr="00902E61">
        <w:rPr>
          <w:rFonts w:asciiTheme="minorHAnsi" w:hAnsiTheme="minorHAnsi" w:cs="Times New Roman"/>
          <w:sz w:val="24"/>
          <w:szCs w:val="24"/>
        </w:rPr>
        <w:t xml:space="preserve">. </w:t>
      </w:r>
      <w:r w:rsidRPr="00902E61">
        <w:rPr>
          <w:rFonts w:asciiTheme="minorHAnsi" w:hAnsiTheme="minorHAnsi" w:cs="Times New Roman"/>
          <w:sz w:val="24"/>
          <w:szCs w:val="24"/>
        </w:rPr>
        <w:br/>
        <w:t xml:space="preserve">Cambridge: Cambridge University Press. </w:t>
      </w:r>
    </w:p>
    <w:p w14:paraId="3E700C7A"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Steinberg, R. (1991). Job evaluation and managerial control: The politics of technique and the technique of politics In J. Fudge and P. McDermott (Eds.), </w:t>
      </w:r>
      <w:r w:rsidRPr="00902E61">
        <w:rPr>
          <w:rFonts w:asciiTheme="minorHAnsi" w:hAnsiTheme="minorHAnsi" w:cs="Times New Roman"/>
          <w:i/>
          <w:iCs/>
          <w:sz w:val="24"/>
          <w:szCs w:val="24"/>
        </w:rPr>
        <w:t>Just wages: A feminist assessment of pay equity</w:t>
      </w:r>
      <w:r w:rsidRPr="00902E61">
        <w:rPr>
          <w:rFonts w:asciiTheme="minorHAnsi" w:hAnsiTheme="minorHAnsi" w:cs="Times New Roman"/>
          <w:sz w:val="24"/>
          <w:szCs w:val="24"/>
        </w:rPr>
        <w:t>. Toronto: University of Toronto Press.</w:t>
      </w:r>
    </w:p>
    <w:p w14:paraId="6B9B6E7F"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Vosko, Leah F. (2006). </w:t>
      </w:r>
      <w:r w:rsidRPr="00902E61">
        <w:rPr>
          <w:rFonts w:asciiTheme="minorHAnsi" w:hAnsiTheme="minorHAnsi" w:cs="Times New Roman"/>
          <w:i/>
          <w:iCs/>
          <w:sz w:val="24"/>
          <w:szCs w:val="24"/>
        </w:rPr>
        <w:t xml:space="preserve">Precarious Employment: Understanding Labour Market Insecurity in Canada. </w:t>
      </w:r>
      <w:r w:rsidRPr="00902E61">
        <w:rPr>
          <w:rFonts w:asciiTheme="minorHAnsi" w:hAnsiTheme="minorHAnsi" w:cs="Times New Roman"/>
          <w:sz w:val="24"/>
          <w:szCs w:val="24"/>
        </w:rPr>
        <w:t>Montreal and Kingston: McGill-Queen’s University Press.</w:t>
      </w:r>
    </w:p>
    <w:p w14:paraId="44EAF798"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rPr>
        <w:t xml:space="preserve">Vosko, Leah F. (2010). </w:t>
      </w:r>
      <w:r w:rsidRPr="00902E61">
        <w:rPr>
          <w:rFonts w:asciiTheme="minorHAnsi" w:hAnsiTheme="minorHAnsi" w:cs="Times New Roman"/>
          <w:i/>
          <w:iCs/>
          <w:sz w:val="24"/>
          <w:szCs w:val="24"/>
        </w:rPr>
        <w:t xml:space="preserve">Managing the Margins: Gender, Citizenship, and the International Regulation of Precarious Employment.  </w:t>
      </w:r>
      <w:r w:rsidRPr="00902E61">
        <w:rPr>
          <w:rFonts w:asciiTheme="minorHAnsi" w:hAnsiTheme="minorHAnsi" w:cs="Times New Roman"/>
          <w:sz w:val="24"/>
          <w:szCs w:val="24"/>
        </w:rPr>
        <w:t xml:space="preserve">Toronto: Oxford University Press. </w:t>
      </w:r>
    </w:p>
    <w:p w14:paraId="05296CFF" w14:textId="77777777" w:rsidR="00902E61" w:rsidRPr="00902E61" w:rsidRDefault="00902E61" w:rsidP="00902E61">
      <w:pPr>
        <w:pStyle w:val="Body"/>
        <w:ind w:left="720" w:hanging="720"/>
        <w:rPr>
          <w:rFonts w:asciiTheme="minorHAnsi" w:hAnsiTheme="minorHAnsi" w:cs="Times New Roman"/>
          <w:sz w:val="24"/>
          <w:szCs w:val="24"/>
        </w:rPr>
      </w:pPr>
      <w:r w:rsidRPr="00902E61">
        <w:rPr>
          <w:rFonts w:asciiTheme="minorHAnsi" w:hAnsiTheme="minorHAnsi" w:cs="Times New Roman"/>
          <w:sz w:val="24"/>
          <w:szCs w:val="24"/>
          <w:lang w:val="en-CA"/>
        </w:rPr>
        <w:t xml:space="preserve">Vosko, L. F. and N. Zukewich. </w:t>
      </w:r>
      <w:r w:rsidRPr="00902E61">
        <w:rPr>
          <w:rFonts w:asciiTheme="minorHAnsi" w:hAnsiTheme="minorHAnsi" w:cs="Times New Roman"/>
          <w:sz w:val="24"/>
          <w:szCs w:val="24"/>
        </w:rPr>
        <w:t xml:space="preserve">(2006). Precarious by Choice? Gender and Self-employment. In L.F Vosko, (Ed.), </w:t>
      </w:r>
      <w:r w:rsidRPr="00902E61">
        <w:rPr>
          <w:rFonts w:asciiTheme="minorHAnsi" w:hAnsiTheme="minorHAnsi" w:cs="Times New Roman"/>
          <w:i/>
          <w:iCs/>
          <w:sz w:val="24"/>
          <w:szCs w:val="24"/>
        </w:rPr>
        <w:t xml:space="preserve">Precarious Employment: Understanding Labour Market Insecurity in Canada </w:t>
      </w:r>
      <w:r w:rsidRPr="00902E61">
        <w:rPr>
          <w:rFonts w:asciiTheme="minorHAnsi" w:hAnsiTheme="minorHAnsi" w:cs="Times New Roman"/>
          <w:sz w:val="24"/>
          <w:szCs w:val="24"/>
        </w:rPr>
        <w:t>(pp. 67-89). Montreal and Kingston: McGill-Queen’s University Press.</w:t>
      </w:r>
    </w:p>
    <w:p w14:paraId="21471FE5" w14:textId="77777777" w:rsidR="00902E61" w:rsidRPr="00902E61" w:rsidRDefault="00902E61" w:rsidP="00902E61">
      <w:pPr>
        <w:rPr>
          <w:rFonts w:asciiTheme="minorHAnsi" w:hAnsiTheme="minorHAnsi"/>
        </w:rPr>
      </w:pPr>
    </w:p>
    <w:p w14:paraId="0F398335" w14:textId="77777777" w:rsidR="008770C5" w:rsidRPr="00902E61" w:rsidRDefault="008770C5" w:rsidP="007F5AE7">
      <w:pPr>
        <w:spacing w:line="480" w:lineRule="auto"/>
        <w:rPr>
          <w:rFonts w:asciiTheme="minorHAnsi" w:hAnsiTheme="minorHAnsi" w:cstheme="majorBidi"/>
          <w:color w:val="000000"/>
        </w:rPr>
      </w:pPr>
    </w:p>
    <w:p w14:paraId="0A909C49" w14:textId="77777777" w:rsidR="00EC0D88" w:rsidRPr="00902E61" w:rsidRDefault="00EC0D88" w:rsidP="00BB57CE">
      <w:pPr>
        <w:rPr>
          <w:rFonts w:asciiTheme="minorHAnsi" w:hAnsiTheme="minorHAnsi" w:cstheme="majorBidi"/>
          <w:sz w:val="28"/>
          <w:szCs w:val="28"/>
        </w:rPr>
      </w:pPr>
    </w:p>
    <w:p w14:paraId="68C842CE" w14:textId="77777777" w:rsidR="00EC0D88" w:rsidRPr="00902E61" w:rsidRDefault="00EC0D88" w:rsidP="00BB57CE">
      <w:pPr>
        <w:rPr>
          <w:rFonts w:asciiTheme="minorHAnsi" w:hAnsiTheme="minorHAnsi" w:cstheme="majorBidi"/>
          <w:sz w:val="28"/>
          <w:szCs w:val="28"/>
        </w:rPr>
      </w:pPr>
    </w:p>
    <w:p w14:paraId="65B7D211" w14:textId="77777777" w:rsidR="00EC0D88" w:rsidRPr="00902E61" w:rsidRDefault="00EC0D88" w:rsidP="00BB57CE">
      <w:pPr>
        <w:rPr>
          <w:rFonts w:asciiTheme="minorHAnsi" w:hAnsiTheme="minorHAnsi" w:cstheme="majorBidi"/>
          <w:sz w:val="28"/>
          <w:szCs w:val="28"/>
        </w:rPr>
      </w:pPr>
    </w:p>
    <w:p w14:paraId="5802D255" w14:textId="77777777" w:rsidR="00EC0D88" w:rsidRPr="00902E61" w:rsidRDefault="00EC0D88" w:rsidP="00BB57CE">
      <w:pPr>
        <w:rPr>
          <w:rFonts w:asciiTheme="minorHAnsi" w:hAnsiTheme="minorHAnsi" w:cstheme="majorBidi"/>
          <w:sz w:val="28"/>
          <w:szCs w:val="28"/>
        </w:rPr>
      </w:pPr>
    </w:p>
    <w:p w14:paraId="7F4BDFE4" w14:textId="77777777" w:rsidR="00EC0D88" w:rsidRPr="00902E61" w:rsidRDefault="00EC0D88" w:rsidP="00BB57CE">
      <w:pPr>
        <w:rPr>
          <w:rFonts w:asciiTheme="minorHAnsi" w:hAnsiTheme="minorHAnsi" w:cstheme="majorBidi"/>
          <w:sz w:val="28"/>
          <w:szCs w:val="28"/>
        </w:rPr>
      </w:pPr>
    </w:p>
    <w:p w14:paraId="1CD925F1" w14:textId="77777777" w:rsidR="00EC0D88" w:rsidRPr="00902E61" w:rsidRDefault="00EC0D88" w:rsidP="00BB57CE">
      <w:pPr>
        <w:rPr>
          <w:rFonts w:asciiTheme="minorHAnsi" w:hAnsiTheme="minorHAnsi" w:cstheme="majorBidi"/>
          <w:sz w:val="28"/>
          <w:szCs w:val="28"/>
        </w:rPr>
      </w:pPr>
    </w:p>
    <w:p w14:paraId="5191489F" w14:textId="77777777" w:rsidR="00EC0D88" w:rsidRPr="00902E61" w:rsidRDefault="00EC0D88" w:rsidP="00BB57CE">
      <w:pPr>
        <w:rPr>
          <w:rFonts w:asciiTheme="minorHAnsi" w:hAnsiTheme="minorHAnsi" w:cstheme="majorBidi"/>
          <w:sz w:val="28"/>
          <w:szCs w:val="28"/>
        </w:rPr>
      </w:pPr>
    </w:p>
    <w:p w14:paraId="4D9BCCD5" w14:textId="77777777" w:rsidR="00EC0D88" w:rsidRPr="00902E61" w:rsidRDefault="00EC0D88" w:rsidP="00BB57CE">
      <w:pPr>
        <w:rPr>
          <w:rFonts w:asciiTheme="minorHAnsi" w:hAnsiTheme="minorHAnsi" w:cstheme="majorBidi"/>
          <w:sz w:val="28"/>
          <w:szCs w:val="28"/>
        </w:rPr>
      </w:pPr>
    </w:p>
    <w:p w14:paraId="6D0DF5BF" w14:textId="77777777" w:rsidR="00EC0D88" w:rsidRPr="00902E61" w:rsidRDefault="00EC0D88" w:rsidP="00BB57CE">
      <w:pPr>
        <w:rPr>
          <w:rFonts w:asciiTheme="minorHAnsi" w:hAnsiTheme="minorHAnsi" w:cstheme="majorBidi"/>
          <w:sz w:val="28"/>
          <w:szCs w:val="28"/>
        </w:rPr>
      </w:pPr>
    </w:p>
    <w:p w14:paraId="4B998F94" w14:textId="77777777" w:rsidR="00EC0D88" w:rsidRPr="00902E61" w:rsidRDefault="00EC0D88" w:rsidP="00BB57CE">
      <w:pPr>
        <w:rPr>
          <w:rFonts w:asciiTheme="minorHAnsi" w:hAnsiTheme="minorHAnsi" w:cstheme="majorBidi"/>
          <w:sz w:val="28"/>
          <w:szCs w:val="28"/>
        </w:rPr>
      </w:pPr>
    </w:p>
    <w:p w14:paraId="5D260FE2" w14:textId="77777777" w:rsidR="00EC0D88" w:rsidRPr="00902E61" w:rsidRDefault="00EC0D88" w:rsidP="00BB57CE">
      <w:pPr>
        <w:rPr>
          <w:rFonts w:asciiTheme="minorHAnsi" w:hAnsiTheme="minorHAnsi" w:cstheme="majorBidi"/>
          <w:sz w:val="28"/>
          <w:szCs w:val="28"/>
        </w:rPr>
      </w:pPr>
    </w:p>
    <w:p w14:paraId="183C3941" w14:textId="77777777" w:rsidR="00EC0D88" w:rsidRPr="00902E61" w:rsidRDefault="00EC0D88" w:rsidP="00BB57CE">
      <w:pPr>
        <w:rPr>
          <w:rFonts w:asciiTheme="minorHAnsi" w:hAnsiTheme="minorHAnsi"/>
        </w:rPr>
      </w:pPr>
    </w:p>
    <w:p w14:paraId="3C08657B" w14:textId="77777777" w:rsidR="00E8136B" w:rsidRPr="00902E61" w:rsidRDefault="00E8136B" w:rsidP="00BB57CE">
      <w:pPr>
        <w:rPr>
          <w:rFonts w:asciiTheme="minorHAnsi" w:hAnsiTheme="minorHAnsi"/>
        </w:rPr>
      </w:pPr>
    </w:p>
    <w:p w14:paraId="292A06DD" w14:textId="77777777" w:rsidR="00E8136B" w:rsidRPr="00902E61" w:rsidRDefault="00E8136B" w:rsidP="00BB57CE">
      <w:pPr>
        <w:rPr>
          <w:rFonts w:asciiTheme="minorHAnsi" w:hAnsiTheme="minorHAnsi"/>
        </w:rPr>
      </w:pPr>
    </w:p>
    <w:p w14:paraId="4C560455" w14:textId="77777777" w:rsidR="00E8136B" w:rsidRPr="00902E61" w:rsidRDefault="00E8136B" w:rsidP="00BB57CE">
      <w:pPr>
        <w:rPr>
          <w:rFonts w:asciiTheme="minorHAnsi" w:hAnsiTheme="minorHAnsi"/>
        </w:rPr>
      </w:pPr>
    </w:p>
    <w:p w14:paraId="1AF105A0" w14:textId="77777777" w:rsidR="00E8136B" w:rsidRPr="00902E61" w:rsidRDefault="00E8136B" w:rsidP="00BB57CE">
      <w:pPr>
        <w:rPr>
          <w:rFonts w:asciiTheme="minorHAnsi" w:hAnsiTheme="minorHAnsi"/>
        </w:rPr>
      </w:pPr>
    </w:p>
    <w:p w14:paraId="2B718F50" w14:textId="77777777" w:rsidR="00E8136B" w:rsidRPr="00902E61" w:rsidRDefault="00E8136B" w:rsidP="00BB57CE">
      <w:pPr>
        <w:rPr>
          <w:rFonts w:asciiTheme="minorHAnsi" w:hAnsiTheme="minorHAnsi"/>
        </w:rPr>
      </w:pPr>
    </w:p>
    <w:p w14:paraId="7BF5261E" w14:textId="77777777" w:rsidR="00BB57CE" w:rsidRPr="00902E61" w:rsidRDefault="00BB57CE" w:rsidP="00BB57CE">
      <w:pPr>
        <w:rPr>
          <w:rFonts w:asciiTheme="minorHAnsi" w:hAnsiTheme="minorHAnsi"/>
        </w:rPr>
      </w:pPr>
    </w:p>
    <w:p w14:paraId="3DC51046" w14:textId="77777777" w:rsidR="000E1817" w:rsidRPr="00902E61" w:rsidRDefault="000E1817" w:rsidP="00DD0B8B">
      <w:pPr>
        <w:rPr>
          <w:rFonts w:asciiTheme="minorHAnsi" w:hAnsiTheme="minorHAnsi"/>
        </w:rPr>
      </w:pPr>
    </w:p>
    <w:sectPr w:rsidR="000E1817" w:rsidRPr="00902E61" w:rsidSect="00902E61">
      <w:headerReference w:type="even" r:id="rId14"/>
      <w:headerReference w:type="default" r:id="rId15"/>
      <w:pgSz w:w="12240" w:h="15840"/>
      <w:pgMar w:top="1440" w:right="1440" w:bottom="1440" w:left="1440"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6B4E" w14:textId="77777777" w:rsidR="004B3B60" w:rsidRDefault="004B3B60" w:rsidP="003E44E3">
      <w:r>
        <w:separator/>
      </w:r>
    </w:p>
  </w:endnote>
  <w:endnote w:type="continuationSeparator" w:id="0">
    <w:p w14:paraId="5B2A94E4" w14:textId="77777777" w:rsidR="004B3B60" w:rsidRDefault="004B3B60" w:rsidP="003E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C0639" w14:textId="77777777" w:rsidR="004B3B60" w:rsidRDefault="004B3B60" w:rsidP="003E44E3">
      <w:r>
        <w:separator/>
      </w:r>
    </w:p>
  </w:footnote>
  <w:footnote w:type="continuationSeparator" w:id="0">
    <w:p w14:paraId="7DE0CD1B" w14:textId="77777777" w:rsidR="004B3B60" w:rsidRDefault="004B3B60" w:rsidP="003E44E3">
      <w:r>
        <w:continuationSeparator/>
      </w:r>
    </w:p>
  </w:footnote>
  <w:footnote w:id="1">
    <w:p w14:paraId="3947CE4E" w14:textId="1E7BF15E" w:rsidR="00437E4D" w:rsidRPr="00902E61" w:rsidRDefault="00437E4D">
      <w:pPr>
        <w:pStyle w:val="FootnoteText"/>
        <w:rPr>
          <w:rFonts w:asciiTheme="minorHAnsi" w:hAnsiTheme="minorHAnsi"/>
          <w:lang w:val="en-US"/>
        </w:rPr>
      </w:pPr>
      <w:r w:rsidRPr="00902E61">
        <w:rPr>
          <w:rStyle w:val="FootnoteReference"/>
          <w:rFonts w:asciiTheme="minorHAnsi" w:hAnsiTheme="minorHAnsi"/>
        </w:rPr>
        <w:footnoteRef/>
      </w:r>
      <w:r w:rsidRPr="00902E61">
        <w:rPr>
          <w:rFonts w:asciiTheme="minorHAnsi" w:hAnsiTheme="minorHAnsi"/>
        </w:rPr>
        <w:t xml:space="preserve"> According to the AOM, as of 2016, all but one midwife practicing in Ontario identified as women (AOM 2016a). It is important to note that I understand women to include cis and trans women. </w:t>
      </w:r>
      <w:r w:rsidR="002911EC">
        <w:rPr>
          <w:rFonts w:asciiTheme="minorHAnsi" w:hAnsiTheme="minorHAnsi"/>
        </w:rPr>
        <w:t xml:space="preserve">However, </w:t>
      </w:r>
      <w:r w:rsidRPr="00902E61">
        <w:rPr>
          <w:rFonts w:asciiTheme="minorHAnsi" w:hAnsiTheme="minorHAnsi"/>
        </w:rPr>
        <w:t xml:space="preserve">this paper draws heavily on secondary sources, policies, and data that do not always indicate who is included in or excluded from this category. </w:t>
      </w:r>
    </w:p>
  </w:footnote>
  <w:footnote w:id="2">
    <w:p w14:paraId="779E0C9F" w14:textId="7DFA3DF1" w:rsidR="00437E4D" w:rsidRPr="00902E61" w:rsidRDefault="00437E4D" w:rsidP="00056A15">
      <w:pPr>
        <w:pStyle w:val="FootnoteText"/>
        <w:rPr>
          <w:rFonts w:asciiTheme="minorHAnsi" w:hAnsiTheme="minorHAnsi"/>
        </w:rPr>
      </w:pPr>
      <w:r w:rsidRPr="00902E61">
        <w:rPr>
          <w:rStyle w:val="FootnoteReference"/>
          <w:rFonts w:asciiTheme="minorHAnsi" w:hAnsiTheme="minorHAnsi"/>
        </w:rPr>
        <w:footnoteRef/>
      </w:r>
      <w:r w:rsidRPr="00902E61">
        <w:rPr>
          <w:rFonts w:asciiTheme="minorHAnsi" w:hAnsiTheme="minorHAnsi"/>
        </w:rPr>
        <w:t xml:space="preserve"> This paper builds on the major research project I completed for my MA, which interrogated the relationship between the Ontario’s Pay Equity Act and economic restructuring contributing to the privatization of public health care jobs with high concentrations of women. </w:t>
      </w:r>
    </w:p>
  </w:footnote>
  <w:footnote w:id="3">
    <w:p w14:paraId="3471DD01" w14:textId="772A1862" w:rsidR="00437E4D" w:rsidRPr="002162CA" w:rsidRDefault="00437E4D">
      <w:pPr>
        <w:pStyle w:val="FootnoteText"/>
        <w:rPr>
          <w:rFonts w:asciiTheme="minorHAnsi" w:hAnsiTheme="minorHAnsi"/>
        </w:rPr>
      </w:pPr>
      <w:r w:rsidRPr="002162CA">
        <w:rPr>
          <w:rStyle w:val="FootnoteReference"/>
          <w:rFonts w:asciiTheme="minorHAnsi" w:hAnsiTheme="minorHAnsi"/>
        </w:rPr>
        <w:footnoteRef/>
      </w:r>
      <w:r w:rsidRPr="002162CA">
        <w:rPr>
          <w:rFonts w:asciiTheme="minorHAnsi" w:hAnsiTheme="minorHAnsi"/>
        </w:rPr>
        <w:t xml:space="preserve"> In 2015, 82% of women aged 25-54 participated in the labour market (Moyser 2017, no page number). </w:t>
      </w:r>
    </w:p>
  </w:footnote>
  <w:footnote w:id="4">
    <w:p w14:paraId="601418FF" w14:textId="201FC656" w:rsidR="00437E4D" w:rsidRPr="00902E61" w:rsidRDefault="00437E4D" w:rsidP="007C5871">
      <w:pPr>
        <w:pStyle w:val="FootnoteText"/>
        <w:rPr>
          <w:rFonts w:asciiTheme="minorHAnsi" w:hAnsiTheme="minorHAnsi"/>
        </w:rPr>
      </w:pPr>
      <w:r w:rsidRPr="00902E61">
        <w:rPr>
          <w:rStyle w:val="FootnoteReference"/>
          <w:rFonts w:asciiTheme="minorHAnsi" w:hAnsiTheme="minorHAnsi"/>
        </w:rPr>
        <w:footnoteRef/>
      </w:r>
      <w:r w:rsidRPr="00902E61">
        <w:rPr>
          <w:rFonts w:asciiTheme="minorHAnsi" w:hAnsiTheme="minorHAnsi"/>
        </w:rPr>
        <w:t xml:space="preserve"> It must be noted that, in general, pay equity literature and the associated feminist advocacy for state interventions into systemic gendered inequality in the labour market has called for the erasure of difference among women for the sake of achieving tangible gains. This political strategy, however, is insufficient insofar as race also significantly influences waged-based inequities in the labour market (Cornish 2016),</w:t>
      </w:r>
      <w:r w:rsidRPr="00902E61">
        <w:rPr>
          <w:rFonts w:asciiTheme="minorHAnsi" w:hAnsiTheme="minorHAnsi"/>
          <w:vertAlign w:val="superscript"/>
        </w:rPr>
        <w:t xml:space="preserve"> </w:t>
      </w:r>
      <w:r w:rsidRPr="00902E61">
        <w:rPr>
          <w:rFonts w:asciiTheme="minorHAnsi" w:hAnsiTheme="minorHAnsi"/>
        </w:rPr>
        <w:t xml:space="preserve">and that colonial and white-supremacist frameworks continue to differentiate between the value of women’s social reproductive labour along race lines (see Dua 1999, Bakare-Yusuf 1999, and Hill-Collins 2000). A strategy that acknowledges and challenges the fact that work done by white women is more highly valued that work done by racialized and immigrant women is absolutely necessary when addressing economic inequality. </w:t>
      </w:r>
    </w:p>
  </w:footnote>
  <w:footnote w:id="5">
    <w:p w14:paraId="77623CBD" w14:textId="77777777" w:rsidR="00437E4D" w:rsidRPr="00810D0D" w:rsidRDefault="00437E4D" w:rsidP="001309DB">
      <w:pPr>
        <w:pStyle w:val="FootnoteText"/>
        <w:rPr>
          <w:lang w:val="en-US"/>
        </w:rPr>
      </w:pPr>
      <w:r w:rsidRPr="00902E61">
        <w:rPr>
          <w:rStyle w:val="FootnoteReference"/>
          <w:rFonts w:asciiTheme="minorHAnsi" w:hAnsiTheme="minorHAnsi"/>
        </w:rPr>
        <w:footnoteRef/>
      </w:r>
      <w:r w:rsidRPr="00902E61">
        <w:rPr>
          <w:rFonts w:asciiTheme="minorHAnsi" w:hAnsiTheme="minorHAnsi"/>
        </w:rPr>
        <w:t xml:space="preserve"> The resulting inequality in power has been further instituted by the </w:t>
      </w:r>
      <w:r w:rsidRPr="00902E61">
        <w:rPr>
          <w:rFonts w:asciiTheme="minorHAnsi" w:hAnsiTheme="minorHAnsi"/>
          <w:i/>
          <w:iCs/>
        </w:rPr>
        <w:t xml:space="preserve">Canada Health Act </w:t>
      </w:r>
      <w:r w:rsidRPr="00902E61">
        <w:rPr>
          <w:rFonts w:asciiTheme="minorHAnsi" w:hAnsiTheme="minorHAnsi"/>
        </w:rPr>
        <w:t>(</w:t>
      </w:r>
      <w:r w:rsidRPr="00902E61">
        <w:rPr>
          <w:rFonts w:asciiTheme="minorHAnsi" w:hAnsiTheme="minorHAnsi"/>
          <w:i/>
          <w:iCs/>
        </w:rPr>
        <w:t>CHA</w:t>
      </w:r>
      <w:r w:rsidRPr="00902E61">
        <w:rPr>
          <w:rFonts w:asciiTheme="minorHAnsi" w:hAnsiTheme="minorHAnsi"/>
        </w:rPr>
        <w:t xml:space="preserve">), which has allowed for the private oversight of public health care provisioning and given doctors more power to determine what constitutes medically necessary, and therefore publicly funded, services. The </w:t>
      </w:r>
      <w:r w:rsidRPr="00902E61">
        <w:rPr>
          <w:rFonts w:asciiTheme="minorHAnsi" w:hAnsiTheme="minorHAnsi"/>
          <w:i/>
          <w:iCs/>
        </w:rPr>
        <w:t xml:space="preserve">Act </w:t>
      </w:r>
      <w:r w:rsidRPr="00902E61">
        <w:rPr>
          <w:rFonts w:asciiTheme="minorHAnsi" w:hAnsiTheme="minorHAnsi"/>
        </w:rPr>
        <w:t>has thereby served to justify and reinforce distinctions made in hospitals but also in subsequent health policy between those defined as “direct” health care worker and those seen as supportive or ancillary workers in health care (see Romanow 2002).</w:t>
      </w:r>
    </w:p>
  </w:footnote>
  <w:footnote w:id="6">
    <w:p w14:paraId="0992CF83" w14:textId="40104A86" w:rsidR="00437E4D" w:rsidRPr="00902E61" w:rsidRDefault="00437E4D" w:rsidP="00A62B1F">
      <w:pPr>
        <w:pStyle w:val="FootnoteText"/>
        <w:rPr>
          <w:rFonts w:asciiTheme="minorHAnsi" w:hAnsiTheme="minorHAnsi"/>
        </w:rPr>
      </w:pPr>
      <w:r w:rsidRPr="00902E61">
        <w:rPr>
          <w:rStyle w:val="FootnoteReference"/>
          <w:rFonts w:asciiTheme="minorHAnsi" w:hAnsiTheme="minorHAnsi"/>
        </w:rPr>
        <w:footnoteRef/>
      </w:r>
      <w:r w:rsidRPr="00902E61">
        <w:rPr>
          <w:rFonts w:asciiTheme="minorHAnsi" w:hAnsiTheme="minorHAnsi"/>
        </w:rPr>
        <w:t xml:space="preserve"> For instance, in Ontario, because existing legislation does not prevent an employer from conflating or replacing annual pay increases with annual pay equity adjustments, accessing the benefits offered by the legislation can require legal action led by a powerful union that can afford, “both politically and economically, to litigate (Handman and Jensen 1999 p. 86). </w:t>
      </w:r>
    </w:p>
  </w:footnote>
  <w:footnote w:id="7">
    <w:p w14:paraId="62E26CA5" w14:textId="6D2F0644" w:rsidR="00437E4D" w:rsidRPr="00902E61" w:rsidRDefault="00437E4D">
      <w:pPr>
        <w:pStyle w:val="FootnoteText"/>
        <w:rPr>
          <w:rFonts w:asciiTheme="minorHAnsi" w:hAnsiTheme="minorHAnsi"/>
        </w:rPr>
      </w:pPr>
      <w:r>
        <w:rPr>
          <w:rStyle w:val="FootnoteReference"/>
        </w:rPr>
        <w:footnoteRef/>
      </w:r>
      <w:r>
        <w:t xml:space="preserve"> </w:t>
      </w:r>
      <w:r w:rsidRPr="00902E61">
        <w:rPr>
          <w:rFonts w:asciiTheme="minorHAnsi" w:hAnsiTheme="minorHAnsi"/>
        </w:rPr>
        <w:t xml:space="preserve">The legislation accounts for different measurements of gender predominance, and allows for gender stereotypes and historical incumbency to be taken into consideration in addition to a statistical threshold when determining “female-job classes” (p.  117-118; </w:t>
      </w:r>
      <w:r w:rsidRPr="00902E61">
        <w:rPr>
          <w:rFonts w:asciiTheme="minorHAnsi" w:hAnsiTheme="minorHAnsi"/>
          <w:i/>
          <w:iCs/>
        </w:rPr>
        <w:t>PEA</w:t>
      </w:r>
      <w:r w:rsidRPr="00902E61">
        <w:rPr>
          <w:rFonts w:asciiTheme="minorHAnsi" w:hAnsiTheme="minorHAnsi"/>
        </w:rPr>
        <w:t xml:space="preserve"> 1988).</w:t>
      </w:r>
    </w:p>
  </w:footnote>
  <w:footnote w:id="8">
    <w:p w14:paraId="667ED3CC" w14:textId="5F15FAFA" w:rsidR="00437E4D" w:rsidRPr="00902E61" w:rsidRDefault="00437E4D">
      <w:pPr>
        <w:pStyle w:val="FootnoteText"/>
        <w:rPr>
          <w:rFonts w:asciiTheme="minorHAnsi" w:hAnsiTheme="minorHAnsi"/>
        </w:rPr>
      </w:pPr>
      <w:r w:rsidRPr="00902E61">
        <w:rPr>
          <w:rStyle w:val="FootnoteReference"/>
          <w:rFonts w:asciiTheme="minorHAnsi" w:hAnsiTheme="minorHAnsi"/>
        </w:rPr>
        <w:footnoteRef/>
      </w:r>
      <w:r w:rsidRPr="00902E61">
        <w:rPr>
          <w:rFonts w:asciiTheme="minorHAnsi" w:hAnsiTheme="minorHAnsi"/>
        </w:rPr>
        <w:t xml:space="preserve"> Further guidelines for this evaluation process are not provided; the development and implementation of job evaluation is overseen by each employer and, where a union exists, the employees’ union (Handman and Jensen 1999, p. 82).</w:t>
      </w:r>
    </w:p>
  </w:footnote>
  <w:footnote w:id="9">
    <w:p w14:paraId="4EACF922" w14:textId="570A36BC" w:rsidR="00437E4D" w:rsidRPr="00902E61" w:rsidRDefault="00437E4D" w:rsidP="00623F25">
      <w:pPr>
        <w:pStyle w:val="FootnoteText"/>
        <w:rPr>
          <w:rFonts w:asciiTheme="minorHAnsi" w:hAnsiTheme="minorHAnsi"/>
          <w:lang w:val="en-US"/>
        </w:rPr>
      </w:pPr>
      <w:r w:rsidRPr="00902E61">
        <w:rPr>
          <w:rStyle w:val="FootnoteReference"/>
          <w:rFonts w:asciiTheme="minorHAnsi" w:hAnsiTheme="minorHAnsi"/>
        </w:rPr>
        <w:footnoteRef/>
      </w:r>
      <w:r w:rsidRPr="00902E61">
        <w:rPr>
          <w:rFonts w:asciiTheme="minorHAnsi" w:hAnsiTheme="minorHAnsi"/>
        </w:rPr>
        <w:t xml:space="preserve"> </w:t>
      </w:r>
      <w:r w:rsidRPr="00902E61">
        <w:rPr>
          <w:rFonts w:asciiTheme="minorHAnsi" w:hAnsiTheme="minorHAnsi"/>
          <w:lang w:val="en-US"/>
        </w:rPr>
        <w:t>According to the 2009 Statistics Canada Survey of Labour and Income Dynamics (SLID), comparing workers employed in hospitals nationally, women working in professional occupations in health (i.e., physicians, dentists, surgeons, and other direct health professionals, excluding nurses) earned an average of $33.35 per hour, while women working in assisting occupation in support of health services (i.e., dental assistants, care aides, orderlies, and personal assistants) earned an average of  $20.46 per hour (</w:t>
      </w:r>
      <w:r w:rsidRPr="00902E61">
        <w:rPr>
          <w:rFonts w:asciiTheme="minorHAnsi" w:hAnsiTheme="minorHAnsi"/>
          <w:i/>
          <w:iCs/>
          <w:lang w:val="en-US"/>
        </w:rPr>
        <w:t>Health industry and occupation by sector</w:t>
      </w:r>
      <w:r w:rsidRPr="00902E61">
        <w:rPr>
          <w:rFonts w:asciiTheme="minorHAnsi" w:hAnsiTheme="minorHAnsi"/>
          <w:lang w:val="en-US"/>
        </w:rPr>
        <w:t xml:space="preserve"> 2009; Armstrong, Laxer, and Armstrong 2007). Meanwhile, women working in “all other occupations” in hospitals—that is, a category that is not classified as a health occupation but includes those who work in ancillary occupations like cooking, cleaning, laundry, clerical work, child care, and home support—earned an average of $24.65 per hour (</w:t>
      </w:r>
      <w:r w:rsidRPr="00902E61">
        <w:rPr>
          <w:rFonts w:asciiTheme="minorHAnsi" w:hAnsiTheme="minorHAnsi"/>
          <w:i/>
          <w:iCs/>
          <w:lang w:val="en-US"/>
        </w:rPr>
        <w:t>Health industry and occupation by sector</w:t>
      </w:r>
      <w:r w:rsidRPr="00902E61">
        <w:rPr>
          <w:rFonts w:asciiTheme="minorHAnsi" w:hAnsiTheme="minorHAnsi"/>
          <w:lang w:val="en-US"/>
        </w:rPr>
        <w:t xml:space="preserve"> 2009). Racialized women are overrepresented in this third grouping: 35 percent of visible minority women working in hospitals are located in “all other occupations” (i.e., ancillary), while only 10 percent of women working in hospitals who are not identified as a visible minority are in that same grouping (</w:t>
      </w:r>
      <w:r w:rsidRPr="00902E61">
        <w:rPr>
          <w:rFonts w:asciiTheme="minorHAnsi" w:hAnsiTheme="minorHAnsi"/>
          <w:i/>
          <w:iCs/>
          <w:lang w:val="en-US"/>
        </w:rPr>
        <w:t>Health industry and occupation by visible minority status</w:t>
      </w:r>
      <w:r w:rsidRPr="00902E61">
        <w:rPr>
          <w:rFonts w:asciiTheme="minorHAnsi" w:hAnsiTheme="minorHAnsi"/>
          <w:lang w:val="en-US"/>
        </w:rPr>
        <w:t xml:space="preserve"> 2009). Similar wage discrepancies exist between men working in these same categories,</w:t>
      </w:r>
      <w:r w:rsidRPr="00902E61">
        <w:rPr>
          <w:rFonts w:asciiTheme="minorHAnsi" w:hAnsiTheme="minorHAnsi"/>
          <w:vertAlign w:val="superscript"/>
          <w:lang w:val="en-US"/>
        </w:rPr>
        <w:footnoteRef/>
      </w:r>
      <w:r w:rsidRPr="00902E61">
        <w:rPr>
          <w:rFonts w:asciiTheme="minorHAnsi" w:hAnsiTheme="minorHAnsi"/>
          <w:lang w:val="en-US"/>
        </w:rPr>
        <w:t xml:space="preserve"> but men make up a higher than average percentage of those working in professional health occupations: 29 percent of male health care and social assistant workers employed in hospitals in 2009 held professional health occupations, while only 10 percent of all women health care and social assistant workers were represented in the same category (</w:t>
      </w:r>
      <w:r w:rsidRPr="00902E61">
        <w:rPr>
          <w:rFonts w:asciiTheme="minorHAnsi" w:hAnsiTheme="minorHAnsi"/>
          <w:i/>
          <w:iCs/>
          <w:lang w:val="en-US"/>
        </w:rPr>
        <w:t>Health industry and occupation by sector</w:t>
      </w:r>
      <w:r w:rsidRPr="00902E61">
        <w:rPr>
          <w:rFonts w:asciiTheme="minorHAnsi" w:hAnsiTheme="minorHAnsi"/>
          <w:lang w:val="en-US"/>
        </w:rPr>
        <w:t xml:space="preserve"> 2009). Visible minority women are significantly underrepresented in professional health occupations and make up less than 1 percent of all visible minority women who work in hospitals (</w:t>
      </w:r>
      <w:r w:rsidRPr="00902E61">
        <w:rPr>
          <w:rFonts w:asciiTheme="minorHAnsi" w:hAnsiTheme="minorHAnsi"/>
          <w:i/>
          <w:iCs/>
          <w:lang w:val="en-US"/>
        </w:rPr>
        <w:t>Health industry and occupation by visible minority status</w:t>
      </w:r>
      <w:r w:rsidRPr="00902E61">
        <w:rPr>
          <w:rFonts w:asciiTheme="minorHAnsi" w:hAnsiTheme="minorHAnsi"/>
          <w:lang w:val="en-US"/>
        </w:rPr>
        <w:t xml:space="preserv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164066"/>
      <w:docPartObj>
        <w:docPartGallery w:val="Page Numbers (Top of Page)"/>
        <w:docPartUnique/>
      </w:docPartObj>
    </w:sdtPr>
    <w:sdtEndPr>
      <w:rPr>
        <w:rStyle w:val="PageNumber"/>
      </w:rPr>
    </w:sdtEndPr>
    <w:sdtContent>
      <w:p w14:paraId="34E64AFE" w14:textId="4C3A632D" w:rsidR="00902E61" w:rsidRDefault="00902E61" w:rsidP="009E58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C66F6" w14:textId="77777777" w:rsidR="00902E61" w:rsidRDefault="00902E61" w:rsidP="00902E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rPr>
      <w:id w:val="617571982"/>
      <w:docPartObj>
        <w:docPartGallery w:val="Page Numbers (Top of Page)"/>
        <w:docPartUnique/>
      </w:docPartObj>
    </w:sdtPr>
    <w:sdtEndPr>
      <w:rPr>
        <w:rStyle w:val="PageNumber"/>
      </w:rPr>
    </w:sdtEndPr>
    <w:sdtContent>
      <w:p w14:paraId="0D95DD68" w14:textId="24E9520C" w:rsidR="00902E61" w:rsidRPr="00902E61" w:rsidRDefault="00902E61" w:rsidP="009E5830">
        <w:pPr>
          <w:pStyle w:val="Header"/>
          <w:framePr w:wrap="none" w:vAnchor="text" w:hAnchor="margin" w:xAlign="right" w:y="1"/>
          <w:rPr>
            <w:rStyle w:val="PageNumber"/>
            <w:rFonts w:asciiTheme="minorHAnsi" w:hAnsiTheme="minorHAnsi"/>
          </w:rPr>
        </w:pPr>
        <w:r w:rsidRPr="00902E61">
          <w:rPr>
            <w:rStyle w:val="PageNumber"/>
            <w:rFonts w:asciiTheme="minorHAnsi" w:hAnsiTheme="minorHAnsi"/>
          </w:rPr>
          <w:fldChar w:fldCharType="begin"/>
        </w:r>
        <w:r w:rsidRPr="00902E61">
          <w:rPr>
            <w:rStyle w:val="PageNumber"/>
            <w:rFonts w:asciiTheme="minorHAnsi" w:hAnsiTheme="minorHAnsi"/>
          </w:rPr>
          <w:instrText xml:space="preserve"> PAGE </w:instrText>
        </w:r>
        <w:r w:rsidRPr="00902E61">
          <w:rPr>
            <w:rStyle w:val="PageNumber"/>
            <w:rFonts w:asciiTheme="minorHAnsi" w:hAnsiTheme="minorHAnsi"/>
          </w:rPr>
          <w:fldChar w:fldCharType="separate"/>
        </w:r>
        <w:r w:rsidRPr="00902E61">
          <w:rPr>
            <w:rStyle w:val="PageNumber"/>
            <w:rFonts w:asciiTheme="minorHAnsi" w:hAnsiTheme="minorHAnsi"/>
            <w:noProof/>
          </w:rPr>
          <w:t>1</w:t>
        </w:r>
        <w:r w:rsidRPr="00902E61">
          <w:rPr>
            <w:rStyle w:val="PageNumber"/>
            <w:rFonts w:asciiTheme="minorHAnsi" w:hAnsiTheme="minorHAnsi"/>
          </w:rPr>
          <w:fldChar w:fldCharType="end"/>
        </w:r>
      </w:p>
    </w:sdtContent>
  </w:sdt>
  <w:p w14:paraId="3F550E62" w14:textId="77777777" w:rsidR="00902E61" w:rsidRDefault="00902E61" w:rsidP="00902E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82678"/>
    <w:multiLevelType w:val="hybridMultilevel"/>
    <w:tmpl w:val="E3ACCB48"/>
    <w:lvl w:ilvl="0" w:tplc="73F87AFE">
      <w:start w:val="3"/>
      <w:numFmt w:val="bullet"/>
      <w:lvlText w:val="-"/>
      <w:lvlJc w:val="left"/>
      <w:pPr>
        <w:ind w:left="1080" w:hanging="360"/>
      </w:pPr>
      <w:rPr>
        <w:rFonts w:ascii="Calibri" w:eastAsiaTheme="minorEastAsia"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0146FB2"/>
    <w:multiLevelType w:val="hybridMultilevel"/>
    <w:tmpl w:val="9F9827CE"/>
    <w:lvl w:ilvl="0" w:tplc="83340AFC">
      <w:start w:val="2"/>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D846A9"/>
    <w:multiLevelType w:val="hybridMultilevel"/>
    <w:tmpl w:val="3348BB9A"/>
    <w:lvl w:ilvl="0" w:tplc="C38E9896">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1E2A40"/>
    <w:multiLevelType w:val="hybridMultilevel"/>
    <w:tmpl w:val="E4A64996"/>
    <w:lvl w:ilvl="0" w:tplc="950A2F9C">
      <w:start w:val="3"/>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0B7C52"/>
    <w:multiLevelType w:val="hybridMultilevel"/>
    <w:tmpl w:val="417EDF72"/>
    <w:lvl w:ilvl="0" w:tplc="5D82CBA0">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636A90"/>
    <w:multiLevelType w:val="hybridMultilevel"/>
    <w:tmpl w:val="A2807E60"/>
    <w:lvl w:ilvl="0" w:tplc="E12AA3E8">
      <w:start w:val="3"/>
      <w:numFmt w:val="bullet"/>
      <w:lvlText w:val="-"/>
      <w:lvlJc w:val="left"/>
      <w:pPr>
        <w:ind w:left="1080" w:hanging="360"/>
      </w:pPr>
      <w:rPr>
        <w:rFonts w:ascii="Calibri" w:eastAsiaTheme="minorEastAsia"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0E24D3A"/>
    <w:multiLevelType w:val="hybridMultilevel"/>
    <w:tmpl w:val="FACE471E"/>
    <w:lvl w:ilvl="0" w:tplc="298AF470">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AF2CA6"/>
    <w:multiLevelType w:val="hybridMultilevel"/>
    <w:tmpl w:val="6EA2DE8C"/>
    <w:lvl w:ilvl="0" w:tplc="A974642C">
      <w:start w:val="5"/>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B72028"/>
    <w:multiLevelType w:val="hybridMultilevel"/>
    <w:tmpl w:val="AC5E338A"/>
    <w:lvl w:ilvl="0" w:tplc="D98201F0">
      <w:start w:val="3"/>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68602C"/>
    <w:multiLevelType w:val="hybridMultilevel"/>
    <w:tmpl w:val="873ECCA0"/>
    <w:lvl w:ilvl="0" w:tplc="905CC74E">
      <w:start w:val="2"/>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9B6B9D"/>
    <w:multiLevelType w:val="hybridMultilevel"/>
    <w:tmpl w:val="BEBE216A"/>
    <w:lvl w:ilvl="0" w:tplc="4692D7C2">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CA581D"/>
    <w:multiLevelType w:val="hybridMultilevel"/>
    <w:tmpl w:val="438A6188"/>
    <w:lvl w:ilvl="0" w:tplc="583C7650">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B762DE"/>
    <w:multiLevelType w:val="hybridMultilevel"/>
    <w:tmpl w:val="B8E248CC"/>
    <w:lvl w:ilvl="0" w:tplc="4C6657F4">
      <w:start w:val="3"/>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523049"/>
    <w:multiLevelType w:val="hybridMultilevel"/>
    <w:tmpl w:val="79A66E90"/>
    <w:lvl w:ilvl="0" w:tplc="DA6C1226">
      <w:start w:val="9"/>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7"/>
  </w:num>
  <w:num w:numId="5">
    <w:abstractNumId w:val="8"/>
  </w:num>
  <w:num w:numId="6">
    <w:abstractNumId w:val="12"/>
  </w:num>
  <w:num w:numId="7">
    <w:abstractNumId w:val="14"/>
  </w:num>
  <w:num w:numId="8">
    <w:abstractNumId w:val="0"/>
  </w:num>
  <w:num w:numId="9">
    <w:abstractNumId w:val="2"/>
  </w:num>
  <w:num w:numId="10">
    <w:abstractNumId w:val="10"/>
  </w:num>
  <w:num w:numId="11">
    <w:abstractNumId w:val="9"/>
  </w:num>
  <w:num w:numId="12">
    <w:abstractNumId w:val="6"/>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8B"/>
    <w:rsid w:val="00002120"/>
    <w:rsid w:val="00027116"/>
    <w:rsid w:val="00033296"/>
    <w:rsid w:val="0004420C"/>
    <w:rsid w:val="00051B5B"/>
    <w:rsid w:val="00056A15"/>
    <w:rsid w:val="000739BC"/>
    <w:rsid w:val="00073FAB"/>
    <w:rsid w:val="00075C7F"/>
    <w:rsid w:val="00080225"/>
    <w:rsid w:val="000860C7"/>
    <w:rsid w:val="0009113A"/>
    <w:rsid w:val="00093612"/>
    <w:rsid w:val="00093EED"/>
    <w:rsid w:val="000957FF"/>
    <w:rsid w:val="000A2283"/>
    <w:rsid w:val="000A2E6A"/>
    <w:rsid w:val="000A6FDE"/>
    <w:rsid w:val="000B1225"/>
    <w:rsid w:val="000B2B86"/>
    <w:rsid w:val="000B3082"/>
    <w:rsid w:val="000B73E2"/>
    <w:rsid w:val="000C0A8B"/>
    <w:rsid w:val="000C4045"/>
    <w:rsid w:val="000D0AD7"/>
    <w:rsid w:val="000D2CD1"/>
    <w:rsid w:val="000D6C56"/>
    <w:rsid w:val="000E001E"/>
    <w:rsid w:val="000E1817"/>
    <w:rsid w:val="000E4143"/>
    <w:rsid w:val="000E4618"/>
    <w:rsid w:val="000E5355"/>
    <w:rsid w:val="00104340"/>
    <w:rsid w:val="001110AB"/>
    <w:rsid w:val="00112626"/>
    <w:rsid w:val="0011697E"/>
    <w:rsid w:val="001254B4"/>
    <w:rsid w:val="00126671"/>
    <w:rsid w:val="001309DB"/>
    <w:rsid w:val="0014172F"/>
    <w:rsid w:val="0014244C"/>
    <w:rsid w:val="00155FA2"/>
    <w:rsid w:val="00156334"/>
    <w:rsid w:val="00156918"/>
    <w:rsid w:val="0016043D"/>
    <w:rsid w:val="00166FE1"/>
    <w:rsid w:val="001714C0"/>
    <w:rsid w:val="001717A0"/>
    <w:rsid w:val="0017211A"/>
    <w:rsid w:val="00173057"/>
    <w:rsid w:val="00191FAC"/>
    <w:rsid w:val="001A29F7"/>
    <w:rsid w:val="001B048A"/>
    <w:rsid w:val="001B2A63"/>
    <w:rsid w:val="001B4A6C"/>
    <w:rsid w:val="001B68D4"/>
    <w:rsid w:val="001C5B26"/>
    <w:rsid w:val="001D11F5"/>
    <w:rsid w:val="001D1881"/>
    <w:rsid w:val="001D5A56"/>
    <w:rsid w:val="001D635C"/>
    <w:rsid w:val="001D73AD"/>
    <w:rsid w:val="001D7959"/>
    <w:rsid w:val="001E2CC5"/>
    <w:rsid w:val="001E3FA9"/>
    <w:rsid w:val="001E63FE"/>
    <w:rsid w:val="001F1080"/>
    <w:rsid w:val="001F1618"/>
    <w:rsid w:val="001F6412"/>
    <w:rsid w:val="0020221D"/>
    <w:rsid w:val="00202892"/>
    <w:rsid w:val="002063E5"/>
    <w:rsid w:val="00214EA8"/>
    <w:rsid w:val="00215731"/>
    <w:rsid w:val="002162CA"/>
    <w:rsid w:val="00230110"/>
    <w:rsid w:val="002334A8"/>
    <w:rsid w:val="00242E11"/>
    <w:rsid w:val="00250511"/>
    <w:rsid w:val="002523E4"/>
    <w:rsid w:val="00257DEB"/>
    <w:rsid w:val="0026006C"/>
    <w:rsid w:val="0027265C"/>
    <w:rsid w:val="0028324B"/>
    <w:rsid w:val="002911EC"/>
    <w:rsid w:val="0029246F"/>
    <w:rsid w:val="00295F95"/>
    <w:rsid w:val="002A0C0C"/>
    <w:rsid w:val="002A3A9D"/>
    <w:rsid w:val="002A3C26"/>
    <w:rsid w:val="002B0098"/>
    <w:rsid w:val="002B53E3"/>
    <w:rsid w:val="002C1F3C"/>
    <w:rsid w:val="002C2179"/>
    <w:rsid w:val="002C2759"/>
    <w:rsid w:val="002C6160"/>
    <w:rsid w:val="002C7AFC"/>
    <w:rsid w:val="002D3971"/>
    <w:rsid w:val="002D74E2"/>
    <w:rsid w:val="002E16EC"/>
    <w:rsid w:val="002E4FE3"/>
    <w:rsid w:val="002E6168"/>
    <w:rsid w:val="002F05E4"/>
    <w:rsid w:val="002F5208"/>
    <w:rsid w:val="00307524"/>
    <w:rsid w:val="00307B21"/>
    <w:rsid w:val="003108FB"/>
    <w:rsid w:val="0032576A"/>
    <w:rsid w:val="003270DA"/>
    <w:rsid w:val="003313E4"/>
    <w:rsid w:val="0033497B"/>
    <w:rsid w:val="00335450"/>
    <w:rsid w:val="00344A40"/>
    <w:rsid w:val="0035135A"/>
    <w:rsid w:val="00353071"/>
    <w:rsid w:val="00356F17"/>
    <w:rsid w:val="0035794D"/>
    <w:rsid w:val="00362AED"/>
    <w:rsid w:val="00376942"/>
    <w:rsid w:val="00385C5A"/>
    <w:rsid w:val="00396F00"/>
    <w:rsid w:val="003A158A"/>
    <w:rsid w:val="003A1C3C"/>
    <w:rsid w:val="003A3198"/>
    <w:rsid w:val="003A7E43"/>
    <w:rsid w:val="003B43D0"/>
    <w:rsid w:val="003C14AB"/>
    <w:rsid w:val="003D3AFA"/>
    <w:rsid w:val="003E36ED"/>
    <w:rsid w:val="003E3931"/>
    <w:rsid w:val="003E4158"/>
    <w:rsid w:val="003E44E3"/>
    <w:rsid w:val="003E5A07"/>
    <w:rsid w:val="003E6566"/>
    <w:rsid w:val="003F055E"/>
    <w:rsid w:val="00400FCB"/>
    <w:rsid w:val="00434AEB"/>
    <w:rsid w:val="00437E4D"/>
    <w:rsid w:val="00446681"/>
    <w:rsid w:val="00450ECA"/>
    <w:rsid w:val="004544C5"/>
    <w:rsid w:val="00455228"/>
    <w:rsid w:val="0046014B"/>
    <w:rsid w:val="0046312E"/>
    <w:rsid w:val="00467A8C"/>
    <w:rsid w:val="004700E9"/>
    <w:rsid w:val="00470A4B"/>
    <w:rsid w:val="00473A5D"/>
    <w:rsid w:val="00490509"/>
    <w:rsid w:val="004914B0"/>
    <w:rsid w:val="00492AFF"/>
    <w:rsid w:val="00493342"/>
    <w:rsid w:val="004A7BDD"/>
    <w:rsid w:val="004B01F5"/>
    <w:rsid w:val="004B18C6"/>
    <w:rsid w:val="004B3B60"/>
    <w:rsid w:val="004B517A"/>
    <w:rsid w:val="004B6A2B"/>
    <w:rsid w:val="004C0F8F"/>
    <w:rsid w:val="004C2045"/>
    <w:rsid w:val="004C3CD7"/>
    <w:rsid w:val="004C5B31"/>
    <w:rsid w:val="004D1722"/>
    <w:rsid w:val="004E27C4"/>
    <w:rsid w:val="004E2F53"/>
    <w:rsid w:val="004E3FB8"/>
    <w:rsid w:val="004E4289"/>
    <w:rsid w:val="004E4642"/>
    <w:rsid w:val="004E792B"/>
    <w:rsid w:val="005008FD"/>
    <w:rsid w:val="00500F40"/>
    <w:rsid w:val="00503AAF"/>
    <w:rsid w:val="0052219F"/>
    <w:rsid w:val="00543893"/>
    <w:rsid w:val="00544F0C"/>
    <w:rsid w:val="0054705A"/>
    <w:rsid w:val="00550860"/>
    <w:rsid w:val="00563F06"/>
    <w:rsid w:val="00564410"/>
    <w:rsid w:val="0056560C"/>
    <w:rsid w:val="00573167"/>
    <w:rsid w:val="005823C2"/>
    <w:rsid w:val="0059229E"/>
    <w:rsid w:val="00593704"/>
    <w:rsid w:val="00597698"/>
    <w:rsid w:val="005A2BA5"/>
    <w:rsid w:val="005B1A8F"/>
    <w:rsid w:val="005B3A7E"/>
    <w:rsid w:val="005C406B"/>
    <w:rsid w:val="005C7BAA"/>
    <w:rsid w:val="005D3A97"/>
    <w:rsid w:val="005D6BB2"/>
    <w:rsid w:val="005E5A40"/>
    <w:rsid w:val="005E7930"/>
    <w:rsid w:val="005F224C"/>
    <w:rsid w:val="00602592"/>
    <w:rsid w:val="0061555B"/>
    <w:rsid w:val="00617FFC"/>
    <w:rsid w:val="00621405"/>
    <w:rsid w:val="006220E9"/>
    <w:rsid w:val="006236F5"/>
    <w:rsid w:val="00623F1D"/>
    <w:rsid w:val="00623F25"/>
    <w:rsid w:val="00624D62"/>
    <w:rsid w:val="006251C3"/>
    <w:rsid w:val="006257B2"/>
    <w:rsid w:val="00626521"/>
    <w:rsid w:val="006341B2"/>
    <w:rsid w:val="00641793"/>
    <w:rsid w:val="00650DAE"/>
    <w:rsid w:val="00652FED"/>
    <w:rsid w:val="00655441"/>
    <w:rsid w:val="00662190"/>
    <w:rsid w:val="00673C8F"/>
    <w:rsid w:val="00676673"/>
    <w:rsid w:val="00676DAF"/>
    <w:rsid w:val="006838FB"/>
    <w:rsid w:val="006939C2"/>
    <w:rsid w:val="00695E06"/>
    <w:rsid w:val="006A2E25"/>
    <w:rsid w:val="006B239A"/>
    <w:rsid w:val="006B78BC"/>
    <w:rsid w:val="006C624F"/>
    <w:rsid w:val="006D104C"/>
    <w:rsid w:val="006D1129"/>
    <w:rsid w:val="006D1637"/>
    <w:rsid w:val="006D5B0D"/>
    <w:rsid w:val="006E1945"/>
    <w:rsid w:val="006E5C2F"/>
    <w:rsid w:val="006F2A76"/>
    <w:rsid w:val="006F403F"/>
    <w:rsid w:val="006F765D"/>
    <w:rsid w:val="00705225"/>
    <w:rsid w:val="0071304C"/>
    <w:rsid w:val="00722A74"/>
    <w:rsid w:val="00736B67"/>
    <w:rsid w:val="00745BE2"/>
    <w:rsid w:val="00745D81"/>
    <w:rsid w:val="00747658"/>
    <w:rsid w:val="00750173"/>
    <w:rsid w:val="007507C3"/>
    <w:rsid w:val="00751010"/>
    <w:rsid w:val="007542F1"/>
    <w:rsid w:val="00763753"/>
    <w:rsid w:val="00764364"/>
    <w:rsid w:val="007777C8"/>
    <w:rsid w:val="00785586"/>
    <w:rsid w:val="00787D3B"/>
    <w:rsid w:val="007954D8"/>
    <w:rsid w:val="00797086"/>
    <w:rsid w:val="007A1D53"/>
    <w:rsid w:val="007B4E00"/>
    <w:rsid w:val="007B5F88"/>
    <w:rsid w:val="007C140E"/>
    <w:rsid w:val="007C2C4D"/>
    <w:rsid w:val="007C5871"/>
    <w:rsid w:val="007C58DD"/>
    <w:rsid w:val="007C7506"/>
    <w:rsid w:val="007D23A8"/>
    <w:rsid w:val="007D5A8A"/>
    <w:rsid w:val="007F5AE7"/>
    <w:rsid w:val="00802CD1"/>
    <w:rsid w:val="008121CC"/>
    <w:rsid w:val="0081220A"/>
    <w:rsid w:val="00814CBE"/>
    <w:rsid w:val="00816CD9"/>
    <w:rsid w:val="00824339"/>
    <w:rsid w:val="00843398"/>
    <w:rsid w:val="00843E50"/>
    <w:rsid w:val="00846E16"/>
    <w:rsid w:val="00847749"/>
    <w:rsid w:val="0087143A"/>
    <w:rsid w:val="0087646A"/>
    <w:rsid w:val="008770C5"/>
    <w:rsid w:val="00877D0A"/>
    <w:rsid w:val="00884251"/>
    <w:rsid w:val="00885441"/>
    <w:rsid w:val="008867A3"/>
    <w:rsid w:val="008916B7"/>
    <w:rsid w:val="008958A9"/>
    <w:rsid w:val="0089740D"/>
    <w:rsid w:val="008A1528"/>
    <w:rsid w:val="008A3300"/>
    <w:rsid w:val="008A5F5A"/>
    <w:rsid w:val="008B00F1"/>
    <w:rsid w:val="008B4290"/>
    <w:rsid w:val="008D6DDE"/>
    <w:rsid w:val="008E2ADA"/>
    <w:rsid w:val="008E34C0"/>
    <w:rsid w:val="008E5144"/>
    <w:rsid w:val="008F7119"/>
    <w:rsid w:val="00902E61"/>
    <w:rsid w:val="0090517E"/>
    <w:rsid w:val="00906C4B"/>
    <w:rsid w:val="009137AA"/>
    <w:rsid w:val="00927B5E"/>
    <w:rsid w:val="00930B27"/>
    <w:rsid w:val="00930E12"/>
    <w:rsid w:val="00931914"/>
    <w:rsid w:val="00936D33"/>
    <w:rsid w:val="0094067F"/>
    <w:rsid w:val="00942A7E"/>
    <w:rsid w:val="0094300B"/>
    <w:rsid w:val="00955239"/>
    <w:rsid w:val="00955EF9"/>
    <w:rsid w:val="009815AB"/>
    <w:rsid w:val="009831FC"/>
    <w:rsid w:val="00985DB9"/>
    <w:rsid w:val="009A2825"/>
    <w:rsid w:val="009A2CAF"/>
    <w:rsid w:val="009A54C6"/>
    <w:rsid w:val="009A6339"/>
    <w:rsid w:val="009A76A0"/>
    <w:rsid w:val="009C5873"/>
    <w:rsid w:val="009C6CBB"/>
    <w:rsid w:val="009D12BF"/>
    <w:rsid w:val="009D658F"/>
    <w:rsid w:val="009E5D66"/>
    <w:rsid w:val="00A011CC"/>
    <w:rsid w:val="00A0157C"/>
    <w:rsid w:val="00A02865"/>
    <w:rsid w:val="00A078CF"/>
    <w:rsid w:val="00A253E6"/>
    <w:rsid w:val="00A35B62"/>
    <w:rsid w:val="00A35D09"/>
    <w:rsid w:val="00A35D18"/>
    <w:rsid w:val="00A36674"/>
    <w:rsid w:val="00A4016E"/>
    <w:rsid w:val="00A503A3"/>
    <w:rsid w:val="00A50DB9"/>
    <w:rsid w:val="00A52B2C"/>
    <w:rsid w:val="00A55232"/>
    <w:rsid w:val="00A558B1"/>
    <w:rsid w:val="00A60121"/>
    <w:rsid w:val="00A62B1F"/>
    <w:rsid w:val="00A6556E"/>
    <w:rsid w:val="00A71097"/>
    <w:rsid w:val="00A736A3"/>
    <w:rsid w:val="00A87044"/>
    <w:rsid w:val="00A87BEC"/>
    <w:rsid w:val="00AA43CF"/>
    <w:rsid w:val="00AB17E1"/>
    <w:rsid w:val="00AB4227"/>
    <w:rsid w:val="00AB61F7"/>
    <w:rsid w:val="00AC38E0"/>
    <w:rsid w:val="00AC4EF2"/>
    <w:rsid w:val="00AD58FC"/>
    <w:rsid w:val="00AF29AD"/>
    <w:rsid w:val="00AF2A5A"/>
    <w:rsid w:val="00B02C41"/>
    <w:rsid w:val="00B02D2F"/>
    <w:rsid w:val="00B03D95"/>
    <w:rsid w:val="00B04162"/>
    <w:rsid w:val="00B05BEE"/>
    <w:rsid w:val="00B1423B"/>
    <w:rsid w:val="00B26107"/>
    <w:rsid w:val="00B325FE"/>
    <w:rsid w:val="00B410F6"/>
    <w:rsid w:val="00B41773"/>
    <w:rsid w:val="00B5365F"/>
    <w:rsid w:val="00B61DEE"/>
    <w:rsid w:val="00B64ED9"/>
    <w:rsid w:val="00B676CB"/>
    <w:rsid w:val="00B71157"/>
    <w:rsid w:val="00B72E53"/>
    <w:rsid w:val="00B75613"/>
    <w:rsid w:val="00B77420"/>
    <w:rsid w:val="00B82B14"/>
    <w:rsid w:val="00B855F5"/>
    <w:rsid w:val="00B90461"/>
    <w:rsid w:val="00B95249"/>
    <w:rsid w:val="00B9640A"/>
    <w:rsid w:val="00B9666A"/>
    <w:rsid w:val="00BB1590"/>
    <w:rsid w:val="00BB1A6A"/>
    <w:rsid w:val="00BB5563"/>
    <w:rsid w:val="00BB57CE"/>
    <w:rsid w:val="00BC407C"/>
    <w:rsid w:val="00BC42DF"/>
    <w:rsid w:val="00BD2F5F"/>
    <w:rsid w:val="00BD600D"/>
    <w:rsid w:val="00BE65DF"/>
    <w:rsid w:val="00BF3FEA"/>
    <w:rsid w:val="00BF6503"/>
    <w:rsid w:val="00C03E9D"/>
    <w:rsid w:val="00C064A9"/>
    <w:rsid w:val="00C244EE"/>
    <w:rsid w:val="00C360F0"/>
    <w:rsid w:val="00C401AF"/>
    <w:rsid w:val="00C44F0F"/>
    <w:rsid w:val="00C514E0"/>
    <w:rsid w:val="00C61FF1"/>
    <w:rsid w:val="00C67B01"/>
    <w:rsid w:val="00C86A8C"/>
    <w:rsid w:val="00C91307"/>
    <w:rsid w:val="00C95F63"/>
    <w:rsid w:val="00CA37A8"/>
    <w:rsid w:val="00CA69C5"/>
    <w:rsid w:val="00CA6DB0"/>
    <w:rsid w:val="00CB1CD2"/>
    <w:rsid w:val="00CC4114"/>
    <w:rsid w:val="00CC4AF1"/>
    <w:rsid w:val="00CC6114"/>
    <w:rsid w:val="00CD13C0"/>
    <w:rsid w:val="00CD1989"/>
    <w:rsid w:val="00CD36DB"/>
    <w:rsid w:val="00CE0455"/>
    <w:rsid w:val="00D02BC3"/>
    <w:rsid w:val="00D04A81"/>
    <w:rsid w:val="00D07067"/>
    <w:rsid w:val="00D111BD"/>
    <w:rsid w:val="00D130DB"/>
    <w:rsid w:val="00D1551B"/>
    <w:rsid w:val="00D2268E"/>
    <w:rsid w:val="00D2308D"/>
    <w:rsid w:val="00D241F2"/>
    <w:rsid w:val="00D25853"/>
    <w:rsid w:val="00D25F07"/>
    <w:rsid w:val="00D337B8"/>
    <w:rsid w:val="00D43B5A"/>
    <w:rsid w:val="00D562DE"/>
    <w:rsid w:val="00D64768"/>
    <w:rsid w:val="00D66A33"/>
    <w:rsid w:val="00D70FDD"/>
    <w:rsid w:val="00D737CB"/>
    <w:rsid w:val="00D7549D"/>
    <w:rsid w:val="00D84039"/>
    <w:rsid w:val="00D95FF5"/>
    <w:rsid w:val="00DA007E"/>
    <w:rsid w:val="00DA09C3"/>
    <w:rsid w:val="00DB057A"/>
    <w:rsid w:val="00DB3150"/>
    <w:rsid w:val="00DB3B06"/>
    <w:rsid w:val="00DB4548"/>
    <w:rsid w:val="00DB4D32"/>
    <w:rsid w:val="00DB6AAF"/>
    <w:rsid w:val="00DC093E"/>
    <w:rsid w:val="00DC1012"/>
    <w:rsid w:val="00DD0B8B"/>
    <w:rsid w:val="00DD139D"/>
    <w:rsid w:val="00DD68F0"/>
    <w:rsid w:val="00DD7824"/>
    <w:rsid w:val="00DE6417"/>
    <w:rsid w:val="00DF104A"/>
    <w:rsid w:val="00E11548"/>
    <w:rsid w:val="00E16B9E"/>
    <w:rsid w:val="00E23AA9"/>
    <w:rsid w:val="00E26EEB"/>
    <w:rsid w:val="00E4614B"/>
    <w:rsid w:val="00E5585E"/>
    <w:rsid w:val="00E55A3F"/>
    <w:rsid w:val="00E71CFA"/>
    <w:rsid w:val="00E8136B"/>
    <w:rsid w:val="00E83011"/>
    <w:rsid w:val="00E8397F"/>
    <w:rsid w:val="00E9463F"/>
    <w:rsid w:val="00E968E4"/>
    <w:rsid w:val="00E97CDF"/>
    <w:rsid w:val="00EA1BA4"/>
    <w:rsid w:val="00EA2721"/>
    <w:rsid w:val="00EA3A56"/>
    <w:rsid w:val="00EA5123"/>
    <w:rsid w:val="00EA6B77"/>
    <w:rsid w:val="00EA7116"/>
    <w:rsid w:val="00EB2C6A"/>
    <w:rsid w:val="00EB3FC3"/>
    <w:rsid w:val="00EC0D88"/>
    <w:rsid w:val="00EC2DE6"/>
    <w:rsid w:val="00EC4CCC"/>
    <w:rsid w:val="00EC4F70"/>
    <w:rsid w:val="00EC667C"/>
    <w:rsid w:val="00EC68B2"/>
    <w:rsid w:val="00EC6E79"/>
    <w:rsid w:val="00ED2539"/>
    <w:rsid w:val="00EE0485"/>
    <w:rsid w:val="00EE3FFE"/>
    <w:rsid w:val="00EE5B19"/>
    <w:rsid w:val="00EE5BEC"/>
    <w:rsid w:val="00EF04DB"/>
    <w:rsid w:val="00EF2741"/>
    <w:rsid w:val="00EF52AE"/>
    <w:rsid w:val="00F103AF"/>
    <w:rsid w:val="00F1058E"/>
    <w:rsid w:val="00F10FDE"/>
    <w:rsid w:val="00F11645"/>
    <w:rsid w:val="00F167B1"/>
    <w:rsid w:val="00F26619"/>
    <w:rsid w:val="00F30116"/>
    <w:rsid w:val="00F3456C"/>
    <w:rsid w:val="00F46AF3"/>
    <w:rsid w:val="00F51219"/>
    <w:rsid w:val="00F57DDC"/>
    <w:rsid w:val="00F65A5F"/>
    <w:rsid w:val="00F76CD4"/>
    <w:rsid w:val="00F85D29"/>
    <w:rsid w:val="00F8762C"/>
    <w:rsid w:val="00F91DD6"/>
    <w:rsid w:val="00F9254B"/>
    <w:rsid w:val="00F93496"/>
    <w:rsid w:val="00F9598C"/>
    <w:rsid w:val="00FA16DE"/>
    <w:rsid w:val="00FA3883"/>
    <w:rsid w:val="00FB1C62"/>
    <w:rsid w:val="00FC1920"/>
    <w:rsid w:val="00FC6EF4"/>
    <w:rsid w:val="00FD7199"/>
    <w:rsid w:val="00FE7171"/>
    <w:rsid w:val="00FF1C2D"/>
    <w:rsid w:val="00FF2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876CD"/>
  <w14:defaultImageDpi w14:val="32767"/>
  <w15:docId w15:val="{BA384D15-6EC3-5C45-9118-46176BD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06B"/>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B8B"/>
    <w:pPr>
      <w:ind w:left="720"/>
      <w:contextualSpacing/>
    </w:pPr>
  </w:style>
  <w:style w:type="paragraph" w:styleId="CommentText">
    <w:name w:val="annotation text"/>
    <w:basedOn w:val="Normal"/>
    <w:link w:val="CommentTextChar"/>
    <w:uiPriority w:val="99"/>
    <w:semiHidden/>
    <w:unhideWhenUsed/>
    <w:rsid w:val="00C401AF"/>
    <w:rPr>
      <w:sz w:val="20"/>
      <w:szCs w:val="20"/>
    </w:rPr>
  </w:style>
  <w:style w:type="character" w:customStyle="1" w:styleId="CommentTextChar">
    <w:name w:val="Comment Text Char"/>
    <w:basedOn w:val="DefaultParagraphFont"/>
    <w:link w:val="CommentText"/>
    <w:uiPriority w:val="99"/>
    <w:semiHidden/>
    <w:rsid w:val="00C401AF"/>
    <w:rPr>
      <w:sz w:val="20"/>
      <w:szCs w:val="20"/>
    </w:rPr>
  </w:style>
  <w:style w:type="character" w:styleId="CommentReference">
    <w:name w:val="annotation reference"/>
    <w:basedOn w:val="DefaultParagraphFont"/>
    <w:uiPriority w:val="99"/>
    <w:semiHidden/>
    <w:unhideWhenUsed/>
    <w:rsid w:val="00C401AF"/>
    <w:rPr>
      <w:sz w:val="18"/>
      <w:szCs w:val="18"/>
    </w:rPr>
  </w:style>
  <w:style w:type="paragraph" w:styleId="BalloonText">
    <w:name w:val="Balloon Text"/>
    <w:basedOn w:val="Normal"/>
    <w:link w:val="BalloonTextChar"/>
    <w:uiPriority w:val="99"/>
    <w:semiHidden/>
    <w:unhideWhenUsed/>
    <w:rsid w:val="00C401AF"/>
    <w:rPr>
      <w:sz w:val="18"/>
      <w:szCs w:val="18"/>
    </w:rPr>
  </w:style>
  <w:style w:type="character" w:customStyle="1" w:styleId="BalloonTextChar">
    <w:name w:val="Balloon Text Char"/>
    <w:basedOn w:val="DefaultParagraphFont"/>
    <w:link w:val="BalloonText"/>
    <w:uiPriority w:val="99"/>
    <w:semiHidden/>
    <w:rsid w:val="00C401AF"/>
    <w:rPr>
      <w:rFonts w:ascii="Times New Roman" w:hAnsi="Times New Roman" w:cs="Times New Roman"/>
      <w:sz w:val="18"/>
      <w:szCs w:val="18"/>
    </w:rPr>
  </w:style>
  <w:style w:type="paragraph" w:styleId="FootnoteText">
    <w:name w:val="footnote text"/>
    <w:basedOn w:val="Normal"/>
    <w:link w:val="FootnoteTextChar"/>
    <w:uiPriority w:val="99"/>
    <w:unhideWhenUsed/>
    <w:rsid w:val="003E44E3"/>
    <w:rPr>
      <w:sz w:val="20"/>
      <w:szCs w:val="20"/>
    </w:rPr>
  </w:style>
  <w:style w:type="character" w:customStyle="1" w:styleId="FootnoteTextChar">
    <w:name w:val="Footnote Text Char"/>
    <w:basedOn w:val="DefaultParagraphFont"/>
    <w:link w:val="FootnoteText"/>
    <w:uiPriority w:val="99"/>
    <w:rsid w:val="003E44E3"/>
    <w:rPr>
      <w:sz w:val="20"/>
      <w:szCs w:val="20"/>
    </w:rPr>
  </w:style>
  <w:style w:type="character" w:styleId="FootnoteReference">
    <w:name w:val="footnote reference"/>
    <w:basedOn w:val="DefaultParagraphFont"/>
    <w:uiPriority w:val="99"/>
    <w:unhideWhenUsed/>
    <w:rsid w:val="003E44E3"/>
    <w:rPr>
      <w:vertAlign w:val="superscript"/>
    </w:rPr>
  </w:style>
  <w:style w:type="paragraph" w:styleId="CommentSubject">
    <w:name w:val="annotation subject"/>
    <w:basedOn w:val="CommentText"/>
    <w:next w:val="CommentText"/>
    <w:link w:val="CommentSubjectChar"/>
    <w:uiPriority w:val="99"/>
    <w:semiHidden/>
    <w:unhideWhenUsed/>
    <w:rsid w:val="005823C2"/>
    <w:rPr>
      <w:b/>
      <w:bCs/>
    </w:rPr>
  </w:style>
  <w:style w:type="character" w:customStyle="1" w:styleId="CommentSubjectChar">
    <w:name w:val="Comment Subject Char"/>
    <w:basedOn w:val="CommentTextChar"/>
    <w:link w:val="CommentSubject"/>
    <w:uiPriority w:val="99"/>
    <w:semiHidden/>
    <w:rsid w:val="005823C2"/>
    <w:rPr>
      <w:b/>
      <w:bCs/>
      <w:sz w:val="20"/>
      <w:szCs w:val="20"/>
    </w:rPr>
  </w:style>
  <w:style w:type="paragraph" w:styleId="Header">
    <w:name w:val="header"/>
    <w:basedOn w:val="Normal"/>
    <w:link w:val="HeaderChar"/>
    <w:uiPriority w:val="99"/>
    <w:unhideWhenUsed/>
    <w:rsid w:val="00885441"/>
    <w:pPr>
      <w:tabs>
        <w:tab w:val="center" w:pos="4680"/>
        <w:tab w:val="right" w:pos="9360"/>
      </w:tabs>
    </w:pPr>
  </w:style>
  <w:style w:type="character" w:customStyle="1" w:styleId="HeaderChar">
    <w:name w:val="Header Char"/>
    <w:basedOn w:val="DefaultParagraphFont"/>
    <w:link w:val="Header"/>
    <w:uiPriority w:val="99"/>
    <w:rsid w:val="00885441"/>
  </w:style>
  <w:style w:type="paragraph" w:styleId="Footer">
    <w:name w:val="footer"/>
    <w:basedOn w:val="Normal"/>
    <w:link w:val="FooterChar"/>
    <w:uiPriority w:val="99"/>
    <w:unhideWhenUsed/>
    <w:rsid w:val="00885441"/>
    <w:pPr>
      <w:tabs>
        <w:tab w:val="center" w:pos="4680"/>
        <w:tab w:val="right" w:pos="9360"/>
      </w:tabs>
    </w:pPr>
  </w:style>
  <w:style w:type="character" w:customStyle="1" w:styleId="FooterChar">
    <w:name w:val="Footer Char"/>
    <w:basedOn w:val="DefaultParagraphFont"/>
    <w:link w:val="Footer"/>
    <w:uiPriority w:val="99"/>
    <w:rsid w:val="00885441"/>
  </w:style>
  <w:style w:type="paragraph" w:styleId="Revision">
    <w:name w:val="Revision"/>
    <w:hidden/>
    <w:uiPriority w:val="99"/>
    <w:semiHidden/>
    <w:rsid w:val="00D25853"/>
  </w:style>
  <w:style w:type="paragraph" w:customStyle="1" w:styleId="Body">
    <w:name w:val="Body"/>
    <w:rsid w:val="00902E6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BodyA">
    <w:name w:val="Body A"/>
    <w:rsid w:val="00902E6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Hyperlink">
    <w:name w:val="Hyperlink"/>
    <w:basedOn w:val="DefaultParagraphFont"/>
    <w:uiPriority w:val="99"/>
    <w:unhideWhenUsed/>
    <w:rsid w:val="00902E61"/>
    <w:rPr>
      <w:color w:val="0563C1" w:themeColor="hyperlink"/>
      <w:u w:val="single"/>
    </w:rPr>
  </w:style>
  <w:style w:type="character" w:styleId="FollowedHyperlink">
    <w:name w:val="FollowedHyperlink"/>
    <w:basedOn w:val="DefaultParagraphFont"/>
    <w:uiPriority w:val="99"/>
    <w:semiHidden/>
    <w:unhideWhenUsed/>
    <w:rsid w:val="00902E61"/>
    <w:rPr>
      <w:color w:val="954F72" w:themeColor="followedHyperlink"/>
      <w:u w:val="single"/>
    </w:rPr>
  </w:style>
  <w:style w:type="character" w:styleId="PageNumber">
    <w:name w:val="page number"/>
    <w:basedOn w:val="DefaultParagraphFont"/>
    <w:uiPriority w:val="99"/>
    <w:semiHidden/>
    <w:unhideWhenUsed/>
    <w:rsid w:val="0090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48007">
      <w:bodyDiv w:val="1"/>
      <w:marLeft w:val="0"/>
      <w:marRight w:val="0"/>
      <w:marTop w:val="0"/>
      <w:marBottom w:val="0"/>
      <w:divBdr>
        <w:top w:val="none" w:sz="0" w:space="0" w:color="auto"/>
        <w:left w:val="none" w:sz="0" w:space="0" w:color="auto"/>
        <w:bottom w:val="none" w:sz="0" w:space="0" w:color="auto"/>
        <w:right w:val="none" w:sz="0" w:space="0" w:color="auto"/>
      </w:divBdr>
    </w:div>
    <w:div w:id="451440927">
      <w:bodyDiv w:val="1"/>
      <w:marLeft w:val="0"/>
      <w:marRight w:val="0"/>
      <w:marTop w:val="0"/>
      <w:marBottom w:val="0"/>
      <w:divBdr>
        <w:top w:val="none" w:sz="0" w:space="0" w:color="auto"/>
        <w:left w:val="none" w:sz="0" w:space="0" w:color="auto"/>
        <w:bottom w:val="none" w:sz="0" w:space="0" w:color="auto"/>
        <w:right w:val="none" w:sz="0" w:space="0" w:color="auto"/>
      </w:divBdr>
    </w:div>
    <w:div w:id="679743618">
      <w:bodyDiv w:val="1"/>
      <w:marLeft w:val="0"/>
      <w:marRight w:val="0"/>
      <w:marTop w:val="0"/>
      <w:marBottom w:val="0"/>
      <w:divBdr>
        <w:top w:val="none" w:sz="0" w:space="0" w:color="auto"/>
        <w:left w:val="none" w:sz="0" w:space="0" w:color="auto"/>
        <w:bottom w:val="none" w:sz="0" w:space="0" w:color="auto"/>
        <w:right w:val="none" w:sz="0" w:space="0" w:color="auto"/>
      </w:divBdr>
    </w:div>
    <w:div w:id="889923973">
      <w:bodyDiv w:val="1"/>
      <w:marLeft w:val="0"/>
      <w:marRight w:val="0"/>
      <w:marTop w:val="0"/>
      <w:marBottom w:val="0"/>
      <w:divBdr>
        <w:top w:val="none" w:sz="0" w:space="0" w:color="auto"/>
        <w:left w:val="none" w:sz="0" w:space="0" w:color="auto"/>
        <w:bottom w:val="none" w:sz="0" w:space="0" w:color="auto"/>
        <w:right w:val="none" w:sz="0" w:space="0" w:color="auto"/>
      </w:divBdr>
    </w:div>
    <w:div w:id="1344821759">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678578092">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9566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00e4" TargetMode="External"/><Relationship Id="rId13" Type="http://schemas.openxmlformats.org/officeDocument/2006/relationships/hyperlink" Target="https://www.ontario.ca/laws/statute/90p07" TargetMode="External"/><Relationship Id="rId3" Type="http://schemas.openxmlformats.org/officeDocument/2006/relationships/settings" Target="settings.xml"/><Relationship Id="rId7" Type="http://schemas.openxmlformats.org/officeDocument/2006/relationships/hyperlink" Target="http://www.ontariomidwives.ca/images/uploads/documents/AOM_v._MOHLTC-_AOM_Opening_Statement_June_1_2016_(C1622481xA0E3A).pdf" TargetMode="External"/><Relationship Id="rId12" Type="http://schemas.openxmlformats.org/officeDocument/2006/relationships/hyperlink" Target="http://aboriginalmidwives.ca/aboriginal-midwifery-in-can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can.gc.ca/pub/89-503-x/2015001/article/14694-eng.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ontario.ca/laws/statute/95l01/v19" TargetMode="External"/><Relationship Id="rId4" Type="http://schemas.openxmlformats.org/officeDocument/2006/relationships/webSettings" Target="webSettings.xml"/><Relationship Id="rId9" Type="http://schemas.openxmlformats.org/officeDocument/2006/relationships/hyperlink" Target="http://equalpaycoalition.org/wp-content/uploads/2017/07/EPC-Bill-148-submissions-FINAL-CORRECTE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29</Pages>
  <Words>8038</Words>
  <Characters>45817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Spring</dc:creator>
  <cp:lastModifiedBy>Cynthia Spring</cp:lastModifiedBy>
  <cp:revision>7</cp:revision>
  <dcterms:created xsi:type="dcterms:W3CDTF">2018-03-22T16:58:00Z</dcterms:created>
  <dcterms:modified xsi:type="dcterms:W3CDTF">2018-03-28T18:24:00Z</dcterms:modified>
</cp:coreProperties>
</file>