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39168" w14:textId="77777777" w:rsidR="00D4452C" w:rsidRDefault="00D4452C">
      <w:pPr>
        <w:pStyle w:val="Title"/>
        <w:jc w:val="left"/>
        <w:rPr>
          <w:rFonts w:ascii="Times New Roman" w:eastAsia="Times New Roman" w:hAnsi="Times New Roman" w:cs="Times New Roman"/>
          <w:color w:val="212529"/>
          <w:sz w:val="24"/>
          <w:szCs w:val="24"/>
          <w:highlight w:val="white"/>
        </w:rPr>
      </w:pPr>
      <w:bookmarkStart w:id="0" w:name="_heading=h.r93bw7p7yn11" w:colFirst="0" w:colLast="0"/>
      <w:bookmarkEnd w:id="0"/>
    </w:p>
    <w:p w14:paraId="72EE0205" w14:textId="77777777" w:rsidR="00D4452C" w:rsidRDefault="001A61B1">
      <w:pPr>
        <w:pStyle w:val="Title"/>
        <w:jc w:val="left"/>
        <w:rPr>
          <w:rFonts w:ascii="Times New Roman" w:eastAsia="Times New Roman" w:hAnsi="Times New Roman" w:cs="Times New Roman"/>
          <w:color w:val="212529"/>
          <w:sz w:val="30"/>
          <w:szCs w:val="30"/>
          <w:highlight w:val="white"/>
        </w:rPr>
      </w:pPr>
      <w:bookmarkStart w:id="1" w:name="_heading=h.1fob9te" w:colFirst="0" w:colLast="0"/>
      <w:bookmarkEnd w:id="1"/>
      <w:r>
        <w:rPr>
          <w:rFonts w:ascii="Times New Roman" w:eastAsia="Times New Roman" w:hAnsi="Times New Roman" w:cs="Times New Roman"/>
          <w:color w:val="212529"/>
          <w:sz w:val="30"/>
          <w:szCs w:val="30"/>
          <w:highlight w:val="white"/>
        </w:rPr>
        <w:t xml:space="preserve">Mapping Solidarity Cities and </w:t>
      </w:r>
      <w:proofErr w:type="spellStart"/>
      <w:r>
        <w:rPr>
          <w:rFonts w:ascii="Times New Roman" w:eastAsia="Times New Roman" w:hAnsi="Times New Roman" w:cs="Times New Roman"/>
          <w:color w:val="212529"/>
          <w:sz w:val="30"/>
          <w:szCs w:val="30"/>
          <w:highlight w:val="white"/>
        </w:rPr>
        <w:t>and</w:t>
      </w:r>
      <w:proofErr w:type="spellEnd"/>
      <w:r>
        <w:rPr>
          <w:rFonts w:ascii="Times New Roman" w:eastAsia="Times New Roman" w:hAnsi="Times New Roman" w:cs="Times New Roman"/>
          <w:color w:val="212529"/>
          <w:sz w:val="30"/>
          <w:szCs w:val="30"/>
          <w:highlight w:val="white"/>
        </w:rPr>
        <w:t xml:space="preserve"> the legacies of Racial Capitalism</w:t>
      </w:r>
    </w:p>
    <w:p w14:paraId="2FD07659" w14:textId="77777777" w:rsidR="00D4452C" w:rsidRDefault="00D4452C">
      <w:pPr>
        <w:pStyle w:val="Title"/>
        <w:rPr>
          <w:rFonts w:ascii="Times New Roman" w:eastAsia="Times New Roman" w:hAnsi="Times New Roman" w:cs="Times New Roman"/>
          <w:color w:val="212529"/>
          <w:sz w:val="24"/>
          <w:szCs w:val="24"/>
          <w:highlight w:val="white"/>
        </w:rPr>
      </w:pPr>
      <w:bookmarkStart w:id="2" w:name="_heading=h.cfsnbminn1az" w:colFirst="0" w:colLast="0"/>
      <w:bookmarkEnd w:id="2"/>
    </w:p>
    <w:p w14:paraId="6B5909F9" w14:textId="77777777" w:rsidR="00D4452C" w:rsidRDefault="00D4452C">
      <w:pPr>
        <w:rPr>
          <w:rFonts w:ascii="Times New Roman" w:eastAsia="Times New Roman" w:hAnsi="Times New Roman" w:cs="Times New Roman"/>
        </w:rPr>
      </w:pPr>
    </w:p>
    <w:p w14:paraId="51E086E6" w14:textId="77777777" w:rsidR="00D4452C" w:rsidRDefault="00D4452C">
      <w:pPr>
        <w:rPr>
          <w:rFonts w:ascii="Times New Roman" w:eastAsia="Times New Roman" w:hAnsi="Times New Roman" w:cs="Times New Roman"/>
        </w:rPr>
      </w:pPr>
    </w:p>
    <w:p w14:paraId="2DA3FFB2" w14:textId="77777777" w:rsidR="00D4452C" w:rsidRDefault="00D4452C">
      <w:pPr>
        <w:pStyle w:val="Title"/>
        <w:jc w:val="left"/>
        <w:rPr>
          <w:rFonts w:ascii="Times New Roman" w:eastAsia="Times New Roman" w:hAnsi="Times New Roman" w:cs="Times New Roman"/>
          <w:color w:val="212529"/>
          <w:sz w:val="24"/>
          <w:szCs w:val="24"/>
          <w:highlight w:val="white"/>
        </w:rPr>
      </w:pPr>
      <w:bookmarkStart w:id="3" w:name="_heading=h.2snnrseolsuj" w:colFirst="0" w:colLast="0"/>
      <w:bookmarkEnd w:id="3"/>
    </w:p>
    <w:p w14:paraId="079516DA" w14:textId="77777777" w:rsidR="00D4452C" w:rsidRDefault="001A61B1">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Craig </w:t>
      </w:r>
      <w:proofErr w:type="spellStart"/>
      <w:r>
        <w:rPr>
          <w:rFonts w:ascii="Times New Roman" w:eastAsia="Times New Roman" w:hAnsi="Times New Roman" w:cs="Times New Roman"/>
          <w:b/>
          <w:sz w:val="26"/>
          <w:szCs w:val="26"/>
        </w:rPr>
        <w:t>Borowiak</w:t>
      </w:r>
      <w:proofErr w:type="spellEnd"/>
      <w:r>
        <w:rPr>
          <w:rFonts w:ascii="Times New Roman" w:eastAsia="Times New Roman" w:hAnsi="Times New Roman" w:cs="Times New Roman"/>
          <w:sz w:val="26"/>
          <w:szCs w:val="26"/>
        </w:rPr>
        <w:t xml:space="preserve">, Haverford College, cborowia@haverford.edu, </w:t>
      </w:r>
    </w:p>
    <w:p w14:paraId="7D9A4BBC" w14:textId="77777777" w:rsidR="00D4452C" w:rsidRDefault="001A61B1">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Maliha </w:t>
      </w:r>
      <w:proofErr w:type="spellStart"/>
      <w:r>
        <w:rPr>
          <w:rFonts w:ascii="Times New Roman" w:eastAsia="Times New Roman" w:hAnsi="Times New Roman" w:cs="Times New Roman"/>
          <w:b/>
          <w:sz w:val="26"/>
          <w:szCs w:val="26"/>
        </w:rPr>
        <w:t>Safri</w:t>
      </w:r>
      <w:proofErr w:type="spellEnd"/>
      <w:r>
        <w:rPr>
          <w:rFonts w:ascii="Times New Roman" w:eastAsia="Times New Roman" w:hAnsi="Times New Roman" w:cs="Times New Roman"/>
          <w:sz w:val="26"/>
          <w:szCs w:val="26"/>
        </w:rPr>
        <w:t>, Drew University</w:t>
      </w:r>
    </w:p>
    <w:p w14:paraId="23586163" w14:textId="77777777" w:rsidR="00D4452C" w:rsidRDefault="001A61B1">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Marianna </w:t>
      </w:r>
      <w:proofErr w:type="spellStart"/>
      <w:r>
        <w:rPr>
          <w:rFonts w:ascii="Times New Roman" w:eastAsia="Times New Roman" w:hAnsi="Times New Roman" w:cs="Times New Roman"/>
          <w:b/>
          <w:sz w:val="26"/>
          <w:szCs w:val="26"/>
        </w:rPr>
        <w:t>Pavlovskaya</w:t>
      </w:r>
      <w:proofErr w:type="spellEnd"/>
      <w:r>
        <w:rPr>
          <w:rFonts w:ascii="Times New Roman" w:eastAsia="Times New Roman" w:hAnsi="Times New Roman" w:cs="Times New Roman"/>
          <w:sz w:val="26"/>
          <w:szCs w:val="26"/>
        </w:rPr>
        <w:t>, CUNY-Hunter College</w:t>
      </w:r>
    </w:p>
    <w:p w14:paraId="109CD0A2" w14:textId="77777777" w:rsidR="00D4452C" w:rsidRDefault="001A61B1">
      <w:pPr>
        <w:rPr>
          <w:rFonts w:ascii="Times New Roman" w:eastAsia="Times New Roman" w:hAnsi="Times New Roman" w:cs="Times New Roman"/>
          <w:sz w:val="26"/>
          <w:szCs w:val="26"/>
        </w:rPr>
      </w:pPr>
      <w:r>
        <w:rPr>
          <w:rFonts w:ascii="Times New Roman" w:eastAsia="Times New Roman" w:hAnsi="Times New Roman" w:cs="Times New Roman"/>
          <w:b/>
          <w:sz w:val="26"/>
          <w:szCs w:val="26"/>
        </w:rPr>
        <w:t>Stephen Healy</w:t>
      </w:r>
      <w:r>
        <w:rPr>
          <w:rFonts w:ascii="Times New Roman" w:eastAsia="Times New Roman" w:hAnsi="Times New Roman" w:cs="Times New Roman"/>
          <w:sz w:val="26"/>
          <w:szCs w:val="26"/>
        </w:rPr>
        <w:t>, Western Sydney University</w:t>
      </w:r>
    </w:p>
    <w:p w14:paraId="6AFC9D22" w14:textId="77777777" w:rsidR="00D4452C" w:rsidRDefault="00D4452C">
      <w:pPr>
        <w:rPr>
          <w:rFonts w:ascii="Times New Roman" w:eastAsia="Times New Roman" w:hAnsi="Times New Roman" w:cs="Times New Roman"/>
        </w:rPr>
      </w:pPr>
    </w:p>
    <w:p w14:paraId="782509B9" w14:textId="77777777" w:rsidR="00D4452C" w:rsidRDefault="00D4452C">
      <w:pPr>
        <w:rPr>
          <w:rFonts w:ascii="Times New Roman" w:eastAsia="Times New Roman" w:hAnsi="Times New Roman" w:cs="Times New Roman"/>
        </w:rPr>
      </w:pPr>
    </w:p>
    <w:p w14:paraId="3FF2FF75" w14:textId="77777777" w:rsidR="00D4452C" w:rsidRDefault="00D4452C">
      <w:pPr>
        <w:rPr>
          <w:rFonts w:ascii="Times New Roman" w:eastAsia="Times New Roman" w:hAnsi="Times New Roman" w:cs="Times New Roman"/>
        </w:rPr>
      </w:pPr>
    </w:p>
    <w:p w14:paraId="683F1214" w14:textId="77777777" w:rsidR="00D4452C" w:rsidRDefault="00D4452C">
      <w:pPr>
        <w:rPr>
          <w:rFonts w:ascii="Times New Roman" w:eastAsia="Times New Roman" w:hAnsi="Times New Roman" w:cs="Times New Roman"/>
        </w:rPr>
      </w:pPr>
    </w:p>
    <w:p w14:paraId="56A57CA7" w14:textId="77777777" w:rsidR="00D4452C" w:rsidRDefault="00D4452C">
      <w:pPr>
        <w:rPr>
          <w:rFonts w:ascii="Times New Roman" w:eastAsia="Times New Roman" w:hAnsi="Times New Roman" w:cs="Times New Roman"/>
        </w:rPr>
      </w:pPr>
    </w:p>
    <w:p w14:paraId="25AC0862" w14:textId="77777777" w:rsidR="00D4452C" w:rsidRDefault="00D4452C">
      <w:pPr>
        <w:rPr>
          <w:rFonts w:ascii="Times New Roman" w:eastAsia="Times New Roman" w:hAnsi="Times New Roman" w:cs="Times New Roman"/>
        </w:rPr>
      </w:pPr>
    </w:p>
    <w:p w14:paraId="53CA58CA" w14:textId="77777777" w:rsidR="00D4452C" w:rsidRDefault="001A61B1">
      <w:pPr>
        <w:rPr>
          <w:rFonts w:ascii="Times New Roman" w:eastAsia="Times New Roman" w:hAnsi="Times New Roman" w:cs="Times New Roman"/>
        </w:rPr>
      </w:pPr>
      <w:r>
        <w:rPr>
          <w:rFonts w:ascii="Times New Roman" w:eastAsia="Times New Roman" w:hAnsi="Times New Roman" w:cs="Times New Roman"/>
        </w:rPr>
        <w:t xml:space="preserve">This paper is adapted from our forthcoming book: </w:t>
      </w:r>
      <w:r>
        <w:rPr>
          <w:rFonts w:ascii="Times New Roman" w:eastAsia="Times New Roman" w:hAnsi="Times New Roman" w:cs="Times New Roman"/>
          <w:i/>
        </w:rPr>
        <w:t>Solidarity Cities: Confronting Racial Capitalism, Mapping Transformation</w:t>
      </w:r>
      <w:r>
        <w:rPr>
          <w:rFonts w:ascii="Times New Roman" w:eastAsia="Times New Roman" w:hAnsi="Times New Roman" w:cs="Times New Roman"/>
        </w:rPr>
        <w:t xml:space="preserve"> (University of Minnesota Press, fall 2024). It has been prepared for the Annual Meeting of the Weste</w:t>
      </w:r>
      <w:r>
        <w:rPr>
          <w:rFonts w:ascii="Times New Roman" w:eastAsia="Times New Roman" w:hAnsi="Times New Roman" w:cs="Times New Roman"/>
        </w:rPr>
        <w:t xml:space="preserve">rn Political Science Association. Vancouver BC, March 28-30, 2024.  </w:t>
      </w:r>
      <w:r>
        <w:br w:type="page"/>
      </w:r>
    </w:p>
    <w:p w14:paraId="14BD1846" w14:textId="77777777" w:rsidR="00D4452C" w:rsidRDefault="001A61B1">
      <w:pPr>
        <w:pStyle w:val="Heading1"/>
      </w:pPr>
      <w:bookmarkStart w:id="4" w:name="_heading=h.ixe0abpxzegz" w:colFirst="0" w:colLast="0"/>
      <w:bookmarkEnd w:id="4"/>
      <w:r>
        <w:lastRenderedPageBreak/>
        <w:t>Introduction</w:t>
      </w:r>
    </w:p>
    <w:p w14:paraId="3558F592" w14:textId="77777777" w:rsidR="00D4452C" w:rsidRDefault="001A61B1">
      <w:pPr>
        <w:rPr>
          <w:rFonts w:ascii="Times New Roman" w:eastAsia="Times New Roman" w:hAnsi="Times New Roman" w:cs="Times New Roman"/>
        </w:rPr>
      </w:pPr>
      <w:r>
        <w:rPr>
          <w:rFonts w:ascii="Times New Roman" w:eastAsia="Times New Roman" w:hAnsi="Times New Roman" w:cs="Times New Roman"/>
        </w:rPr>
        <w:t xml:space="preserve">The cascade of crises sweeping the globe over the past decade has generated new geographies of economic precarity, both exacerbating existing forms of poverty, hardship and </w:t>
      </w:r>
      <w:r>
        <w:rPr>
          <w:rFonts w:ascii="Times New Roman" w:eastAsia="Times New Roman" w:hAnsi="Times New Roman" w:cs="Times New Roman"/>
        </w:rPr>
        <w:t>social dislocation and creating new ones. Crisis, however, also has a way of opening horizons. Heightened economic insecurity has been accompanied by more cautious and critical perspectives on conventional capitalist modes of development and by new forms o</w:t>
      </w:r>
      <w:r>
        <w:rPr>
          <w:rFonts w:ascii="Times New Roman" w:eastAsia="Times New Roman" w:hAnsi="Times New Roman" w:cs="Times New Roman"/>
        </w:rPr>
        <w:t xml:space="preserve">f economic ingenuity as people seek out alternative ways to meet their needs and counteract the socially </w:t>
      </w:r>
      <w:proofErr w:type="spellStart"/>
      <w:r>
        <w:rPr>
          <w:rFonts w:ascii="Times New Roman" w:eastAsia="Times New Roman" w:hAnsi="Times New Roman" w:cs="Times New Roman"/>
        </w:rPr>
        <w:t>disembedding</w:t>
      </w:r>
      <w:proofErr w:type="spellEnd"/>
      <w:r>
        <w:rPr>
          <w:rFonts w:ascii="Times New Roman" w:eastAsia="Times New Roman" w:hAnsi="Times New Roman" w:cs="Times New Roman"/>
        </w:rPr>
        <w:t xml:space="preserve"> consequences of market logics and neoliberal modes of governance. Interest in socialism has certainly risen. And experiments with communit</w:t>
      </w:r>
      <w:r>
        <w:rPr>
          <w:rFonts w:ascii="Times New Roman" w:eastAsia="Times New Roman" w:hAnsi="Times New Roman" w:cs="Times New Roman"/>
        </w:rPr>
        <w:t>y gardens, cooperatives, collectives, community supported agriculture (CSAs), community currencies, community land trusts, and other forms of collective, solidarity-based practices have proliferated in recent years in the U.S. and internationally. These di</w:t>
      </w:r>
      <w:r>
        <w:rPr>
          <w:rFonts w:ascii="Times New Roman" w:eastAsia="Times New Roman" w:hAnsi="Times New Roman" w:cs="Times New Roman"/>
        </w:rPr>
        <w:t>verse forms of economic experimentation share a prioritization of ethical considerations over profit maximization, reorienting themselves towards equity, sustainability, cooperation, inclusive democratic processes, and community-based development. Although</w:t>
      </w:r>
      <w:r>
        <w:rPr>
          <w:rFonts w:ascii="Times New Roman" w:eastAsia="Times New Roman" w:hAnsi="Times New Roman" w:cs="Times New Roman"/>
        </w:rPr>
        <w:t xml:space="preserve"> such initiatives are altering local economic landscapes, they nevertheless frequently fall out of mainstream studies of the economy, which instead focus on state budgets, for-profit capitalist enterprises, and the capitalist market economy. To the extent </w:t>
      </w:r>
      <w:r>
        <w:rPr>
          <w:rFonts w:ascii="Times New Roman" w:eastAsia="Times New Roman" w:hAnsi="Times New Roman" w:cs="Times New Roman"/>
        </w:rPr>
        <w:t xml:space="preserve">that these alternative economic forms are studied, they tend to be treated in isolation from one other. </w:t>
      </w:r>
      <w:proofErr w:type="gramStart"/>
      <w:r>
        <w:rPr>
          <w:rFonts w:ascii="Times New Roman" w:eastAsia="Times New Roman" w:hAnsi="Times New Roman" w:cs="Times New Roman"/>
        </w:rPr>
        <w:t>Thus</w:t>
      </w:r>
      <w:proofErr w:type="gramEnd"/>
      <w:r>
        <w:rPr>
          <w:rFonts w:ascii="Times New Roman" w:eastAsia="Times New Roman" w:hAnsi="Times New Roman" w:cs="Times New Roman"/>
        </w:rPr>
        <w:t xml:space="preserve"> worker cooperatives are studied independently from consumer cooperatives, which are studied independently from CSAs, credit unions and so forth. Th</w:t>
      </w:r>
      <w:r>
        <w:rPr>
          <w:rFonts w:ascii="Times New Roman" w:eastAsia="Times New Roman" w:hAnsi="Times New Roman" w:cs="Times New Roman"/>
        </w:rPr>
        <w:t>is piecemeal approach contributes further to their underrepresentation in empirical and theoretical research and to the perception that they occupy at best small niches in the economy.</w:t>
      </w:r>
    </w:p>
    <w:p w14:paraId="407ED8EA" w14:textId="77777777" w:rsidR="006F02B9" w:rsidRDefault="006F02B9">
      <w:pPr>
        <w:ind w:firstLine="720"/>
        <w:rPr>
          <w:rFonts w:ascii="Times New Roman" w:eastAsia="Times New Roman" w:hAnsi="Times New Roman" w:cs="Times New Roman"/>
        </w:rPr>
      </w:pPr>
      <w:r w:rsidRPr="006F02B9">
        <w:rPr>
          <w:rFonts w:ascii="Times New Roman" w:eastAsia="Times New Roman" w:hAnsi="Times New Roman" w:cs="Times New Roman"/>
        </w:rPr>
        <w:lastRenderedPageBreak/>
        <w:t>Against this, we contribute to a growing scholarship that regards such diverse initiatives as constitutive of a larger “solidarity economy.”  This literature has done much to draw awareness to the existence of alternative visions and to many examples of successful initiatives. Within this literature, however, we observe two patterns. First, much of the existing literature focuses on individual cases for empirical evidence while neglecting the solidarity economy’s aggregate footprints. There are few macro-level empirical attempts to assess the size of the solidarity economy.  Second, little attention has been paid to the divisions within the solidarity economy and how they might reflect underlying racial and class divides. Too often, solidarity economy proponents have ignored the solidarity economy’s racial and class dimensions. Responding to this, critical voices have begun expressing concern that solidarity economy initiatives can actually reproduce and exacerbate entrenched racial and class divisions (Hudson 2020; Hossein et al. 2023; GEO 2015).</w:t>
      </w:r>
      <w:r w:rsidRPr="006F02B9">
        <w:rPr>
          <w:rFonts w:ascii="Times New Roman" w:eastAsia="Times New Roman" w:hAnsi="Times New Roman" w:cs="Times New Roman"/>
        </w:rPr>
        <w:t xml:space="preserve"> </w:t>
      </w:r>
    </w:p>
    <w:p w14:paraId="762A9A8D" w14:textId="26024787" w:rsidR="00D4452C" w:rsidRDefault="001A61B1">
      <w:pPr>
        <w:ind w:firstLine="720"/>
        <w:rPr>
          <w:rFonts w:ascii="Times New Roman" w:eastAsia="Times New Roman" w:hAnsi="Times New Roman" w:cs="Times New Roman"/>
        </w:rPr>
      </w:pPr>
      <w:r>
        <w:rPr>
          <w:rFonts w:ascii="Times New Roman" w:eastAsia="Times New Roman" w:hAnsi="Times New Roman" w:cs="Times New Roman"/>
        </w:rPr>
        <w:t>In the US, as elsewhere, social conditions are heavily seeded with racial and class divides, whic</w:t>
      </w:r>
      <w:r>
        <w:rPr>
          <w:rFonts w:ascii="Times New Roman" w:eastAsia="Times New Roman" w:hAnsi="Times New Roman" w:cs="Times New Roman"/>
        </w:rPr>
        <w:t xml:space="preserve">h themselves stem from generations of entanglement with racial capitalism. Here, we use the expression “racial capitalism” not to suggest that there is a racial form of capitalism that is distinct from other forms of capitalism but rather to indicate that </w:t>
      </w:r>
      <w:r>
        <w:rPr>
          <w:rFonts w:ascii="Times New Roman" w:eastAsia="Times New Roman" w:hAnsi="Times New Roman" w:cs="Times New Roman"/>
        </w:rPr>
        <w:t>capitalism and racism are co-constitutive (Kelley et al. 2019; Robinson 1983). Capitalism developed and operates in a racialized order, the legacies of which are imprinted on contemporary political discourse, on patterns of social interaction, on the shape</w:t>
      </w:r>
      <w:r>
        <w:rPr>
          <w:rFonts w:ascii="Times New Roman" w:eastAsia="Times New Roman" w:hAnsi="Times New Roman" w:cs="Times New Roman"/>
        </w:rPr>
        <w:t>s of economic inequality and opportunity, and on the segregated character of urban geographies. Inevitably, racialized and classed dynamics also shape the practices and social imaginaries of activists seeking to forge solidarity-based economic alternatives</w:t>
      </w:r>
      <w:r>
        <w:rPr>
          <w:rFonts w:ascii="Times New Roman" w:eastAsia="Times New Roman" w:hAnsi="Times New Roman" w:cs="Times New Roman"/>
        </w:rPr>
        <w:t xml:space="preserve">. </w:t>
      </w:r>
    </w:p>
    <w:p w14:paraId="5B77FA66" w14:textId="77777777" w:rsidR="00D4452C" w:rsidRDefault="001A61B1">
      <w:pPr>
        <w:ind w:firstLine="720"/>
        <w:rPr>
          <w:rFonts w:ascii="Times New Roman" w:eastAsia="Times New Roman" w:hAnsi="Times New Roman" w:cs="Times New Roman"/>
        </w:rPr>
      </w:pPr>
      <w:r>
        <w:rPr>
          <w:rFonts w:ascii="Times New Roman" w:eastAsia="Times New Roman" w:hAnsi="Times New Roman" w:cs="Times New Roman"/>
        </w:rPr>
        <w:lastRenderedPageBreak/>
        <w:t xml:space="preserve">Our research contributes geographic perspective to such concerns. In our forthcoming book, </w:t>
      </w:r>
      <w:r>
        <w:rPr>
          <w:rFonts w:ascii="Times New Roman" w:eastAsia="Times New Roman" w:hAnsi="Times New Roman" w:cs="Times New Roman"/>
          <w:i/>
        </w:rPr>
        <w:t xml:space="preserve">Solidarity Cities: Confronting Racial Capitalism, Mapping Transformation </w:t>
      </w:r>
      <w:r>
        <w:rPr>
          <w:rFonts w:ascii="Times New Roman" w:eastAsia="Times New Roman" w:hAnsi="Times New Roman" w:cs="Times New Roman"/>
        </w:rPr>
        <w:t>(University of Minnesota Press), we address these issues directly with a variety of mappi</w:t>
      </w:r>
      <w:r>
        <w:rPr>
          <w:rFonts w:ascii="Times New Roman" w:eastAsia="Times New Roman" w:hAnsi="Times New Roman" w:cs="Times New Roman"/>
        </w:rPr>
        <w:t xml:space="preserve">ng and counter-mapping techniques. This paper is an adaptation of material from that book. </w:t>
      </w:r>
    </w:p>
    <w:p w14:paraId="24CDF98B" w14:textId="77777777" w:rsidR="00D4452C" w:rsidRDefault="001A61B1">
      <w:pPr>
        <w:ind w:firstLine="720"/>
        <w:rPr>
          <w:rFonts w:ascii="Times New Roman" w:eastAsia="Times New Roman" w:hAnsi="Times New Roman" w:cs="Times New Roman"/>
        </w:rPr>
      </w:pPr>
      <w:r>
        <w:rPr>
          <w:rFonts w:ascii="Times New Roman" w:eastAsia="Times New Roman" w:hAnsi="Times New Roman" w:cs="Times New Roman"/>
        </w:rPr>
        <w:t xml:space="preserve">Mapping is a powerful epistemological process that does more than simply display a pre-constituted reality. It also constitutes the social landscapes that it makes </w:t>
      </w:r>
      <w:r>
        <w:rPr>
          <w:rFonts w:ascii="Times New Roman" w:eastAsia="Times New Roman" w:hAnsi="Times New Roman" w:cs="Times New Roman"/>
        </w:rPr>
        <w:t>visible on the map. It is in this respect ontologically potent (</w:t>
      </w:r>
      <w:proofErr w:type="spellStart"/>
      <w:r>
        <w:rPr>
          <w:rFonts w:ascii="Times New Roman" w:eastAsia="Times New Roman" w:hAnsi="Times New Roman" w:cs="Times New Roman"/>
        </w:rPr>
        <w:t>Pavlovskaya</w:t>
      </w:r>
      <w:proofErr w:type="spellEnd"/>
      <w:r>
        <w:rPr>
          <w:rFonts w:ascii="Times New Roman" w:eastAsia="Times New Roman" w:hAnsi="Times New Roman" w:cs="Times New Roman"/>
        </w:rPr>
        <w:t xml:space="preserve"> 2018). </w:t>
      </w:r>
      <w:r>
        <w:rPr>
          <w:rFonts w:ascii="Times New Roman" w:eastAsia="Times New Roman" w:hAnsi="Times New Roman" w:cs="Times New Roman"/>
          <w:highlight w:val="white"/>
        </w:rPr>
        <w:t xml:space="preserve">Adapting Cindi Katz's words, we might say that maps, like other forms of knowledge production, “ooze with power” (Katz 1992). One might think, for example, of colonial maps </w:t>
      </w:r>
      <w:r>
        <w:rPr>
          <w:rFonts w:ascii="Times New Roman" w:eastAsia="Times New Roman" w:hAnsi="Times New Roman" w:cs="Times New Roman"/>
          <w:highlight w:val="white"/>
        </w:rPr>
        <w:t xml:space="preserve">used for exploration, conquest, and extraction, or of 20th-century red-lining maps that segregated cities into racialized zones defined by their presumed (un)suitability for investment (we’ll have more to say on redlining later). </w:t>
      </w:r>
      <w:r>
        <w:rPr>
          <w:rFonts w:ascii="Times New Roman" w:eastAsia="Times New Roman" w:hAnsi="Times New Roman" w:cs="Times New Roman"/>
        </w:rPr>
        <w:t>The very qualities of maps</w:t>
      </w:r>
      <w:r>
        <w:rPr>
          <w:rFonts w:ascii="Times New Roman" w:eastAsia="Times New Roman" w:hAnsi="Times New Roman" w:cs="Times New Roman"/>
        </w:rPr>
        <w:t xml:space="preserve"> that make them tools of hegemony can also, however, be deployed in counter-hegemonic agendas. Mapping and counter-mapping techniques can redraw social formations, bring new solidarities into being, and reconfigure hegemonic perceptions of lack into counte</w:t>
      </w:r>
      <w:r>
        <w:rPr>
          <w:rFonts w:ascii="Times New Roman" w:eastAsia="Times New Roman" w:hAnsi="Times New Roman" w:cs="Times New Roman"/>
        </w:rPr>
        <w:t xml:space="preserve">rhegemonic perceptions of abundance and empowerment. It is in this spirit that we have undertaken to use mapping techniques to examine how solidarity economies are carved by racial and class divisions both within and across cities. </w:t>
      </w:r>
    </w:p>
    <w:p w14:paraId="0CEAFED9" w14:textId="77777777" w:rsidR="00D4452C" w:rsidRDefault="001A61B1">
      <w:pPr>
        <w:ind w:firstLine="720"/>
        <w:rPr>
          <w:rFonts w:ascii="Times New Roman" w:eastAsia="Times New Roman" w:hAnsi="Times New Roman" w:cs="Times New Roman"/>
        </w:rPr>
      </w:pPr>
      <w:r>
        <w:rPr>
          <w:rFonts w:ascii="Times New Roman" w:eastAsia="Times New Roman" w:hAnsi="Times New Roman" w:cs="Times New Roman"/>
        </w:rPr>
        <w:t>We use geographic infor</w:t>
      </w:r>
      <w:r>
        <w:rPr>
          <w:rFonts w:ascii="Times New Roman" w:eastAsia="Times New Roman" w:hAnsi="Times New Roman" w:cs="Times New Roman"/>
        </w:rPr>
        <w:t xml:space="preserve">mation systems (GIS) to map and analyze the solidarity economy in three east coast US cities: </w:t>
      </w:r>
      <w:r>
        <w:rPr>
          <w:rFonts w:ascii="Times New Roman" w:eastAsia="Times New Roman" w:hAnsi="Times New Roman" w:cs="Times New Roman"/>
          <w:b/>
        </w:rPr>
        <w:t>Philadelphia</w:t>
      </w:r>
      <w:r>
        <w:rPr>
          <w:rFonts w:ascii="Times New Roman" w:eastAsia="Times New Roman" w:hAnsi="Times New Roman" w:cs="Times New Roman"/>
        </w:rPr>
        <w:t xml:space="preserve">, </w:t>
      </w:r>
      <w:r>
        <w:rPr>
          <w:rFonts w:ascii="Times New Roman" w:eastAsia="Times New Roman" w:hAnsi="Times New Roman" w:cs="Times New Roman"/>
          <w:b/>
        </w:rPr>
        <w:t>New York City</w:t>
      </w:r>
      <w:r>
        <w:rPr>
          <w:rFonts w:ascii="Times New Roman" w:eastAsia="Times New Roman" w:hAnsi="Times New Roman" w:cs="Times New Roman"/>
        </w:rPr>
        <w:t xml:space="preserve">, and </w:t>
      </w:r>
      <w:r>
        <w:rPr>
          <w:rFonts w:ascii="Times New Roman" w:eastAsia="Times New Roman" w:hAnsi="Times New Roman" w:cs="Times New Roman"/>
          <w:b/>
        </w:rPr>
        <w:t>Worcester</w:t>
      </w:r>
      <w:r>
        <w:rPr>
          <w:rFonts w:ascii="Times New Roman" w:eastAsia="Times New Roman" w:hAnsi="Times New Roman" w:cs="Times New Roman"/>
        </w:rPr>
        <w:t xml:space="preserve"> Massachusetts.  Elsewhere, we examine detailed </w:t>
      </w:r>
      <w:r>
        <w:rPr>
          <w:rFonts w:ascii="Times New Roman" w:eastAsia="Times New Roman" w:hAnsi="Times New Roman" w:cs="Times New Roman"/>
          <w:i/>
        </w:rPr>
        <w:t>sectoral</w:t>
      </w:r>
      <w:r>
        <w:rPr>
          <w:rFonts w:ascii="Times New Roman" w:eastAsia="Times New Roman" w:hAnsi="Times New Roman" w:cs="Times New Roman"/>
        </w:rPr>
        <w:t xml:space="preserve"> patterns in the three cities. In this paper, we focus on the so</w:t>
      </w:r>
      <w:r>
        <w:rPr>
          <w:rFonts w:ascii="Times New Roman" w:eastAsia="Times New Roman" w:hAnsi="Times New Roman" w:cs="Times New Roman"/>
        </w:rPr>
        <w:t>lidarity economy as a whole: we paint its presence in New York, Philadelphia, and Worcester throughout time a</w:t>
      </w:r>
      <w:r>
        <w:rPr>
          <w:rFonts w:ascii="Times New Roman" w:eastAsia="Times New Roman" w:hAnsi="Times New Roman" w:cs="Times New Roman"/>
          <w:color w:val="231F20"/>
        </w:rPr>
        <w:t>nd with bold brush strokes. We start by revealing the broad spatial contours of the solidarity economy. In the process, we identify the areas withi</w:t>
      </w:r>
      <w:r>
        <w:rPr>
          <w:rFonts w:ascii="Times New Roman" w:eastAsia="Times New Roman" w:hAnsi="Times New Roman" w:cs="Times New Roman"/>
          <w:color w:val="231F20"/>
        </w:rPr>
        <w:t xml:space="preserve">n each city where </w:t>
      </w:r>
      <w:r>
        <w:rPr>
          <w:rFonts w:ascii="Times New Roman" w:eastAsia="Times New Roman" w:hAnsi="Times New Roman" w:cs="Times New Roman"/>
          <w:color w:val="231F20"/>
        </w:rPr>
        <w:lastRenderedPageBreak/>
        <w:t>solidarity economies cluster and have the highest densities. We refer to these as solidarity economy hotspots. In each city, we find that these hotspot patterns often overlap in urban space with low-income neighborhoods of color. There is</w:t>
      </w:r>
      <w:r>
        <w:rPr>
          <w:rFonts w:ascii="Times New Roman" w:eastAsia="Times New Roman" w:hAnsi="Times New Roman" w:cs="Times New Roman"/>
          <w:color w:val="231F20"/>
        </w:rPr>
        <w:t xml:space="preserve"> also a consistent overlap between hotspots and areas that were subject to racist practices enabled through what is commonly known as redlining. </w:t>
      </w:r>
      <w:r>
        <w:rPr>
          <w:rFonts w:ascii="Times New Roman" w:eastAsia="Times New Roman" w:hAnsi="Times New Roman" w:cs="Times New Roman"/>
        </w:rPr>
        <w:t>This is where our argument about the present connects to the past, and where counter-mapping becomes a way to r</w:t>
      </w:r>
      <w:r>
        <w:rPr>
          <w:rFonts w:ascii="Times New Roman" w:eastAsia="Times New Roman" w:hAnsi="Times New Roman" w:cs="Times New Roman"/>
        </w:rPr>
        <w:t xml:space="preserve">e-narrate the spatial geography and history of marginalization and solidarity. </w:t>
      </w:r>
    </w:p>
    <w:p w14:paraId="2E3F8AE6" w14:textId="77777777" w:rsidR="00D4452C" w:rsidRDefault="001A61B1">
      <w:pPr>
        <w:ind w:firstLine="720"/>
        <w:rPr>
          <w:rFonts w:ascii="Times New Roman" w:eastAsia="Times New Roman" w:hAnsi="Times New Roman" w:cs="Times New Roman"/>
        </w:rPr>
      </w:pPr>
      <w:r>
        <w:rPr>
          <w:rFonts w:ascii="Times New Roman" w:eastAsia="Times New Roman" w:hAnsi="Times New Roman" w:cs="Times New Roman"/>
        </w:rPr>
        <w:t>Racial capitalist forces shape cities in accordance with profit-driven logics, resulting in polarized urban spaces marked by racialized poverty and wealth. But that is only par</w:t>
      </w:r>
      <w:r>
        <w:rPr>
          <w:rFonts w:ascii="Times New Roman" w:eastAsia="Times New Roman" w:hAnsi="Times New Roman" w:cs="Times New Roman"/>
        </w:rPr>
        <w:t>t of the story. Urban communities also resist these dynamics, using “defend and build” strategies (</w:t>
      </w:r>
      <w:proofErr w:type="spellStart"/>
      <w:r>
        <w:rPr>
          <w:rFonts w:ascii="Times New Roman" w:eastAsia="Times New Roman" w:hAnsi="Times New Roman" w:cs="Times New Roman"/>
        </w:rPr>
        <w:t>Akuno</w:t>
      </w:r>
      <w:proofErr w:type="spellEnd"/>
      <w:r>
        <w:rPr>
          <w:rFonts w:ascii="Times New Roman" w:eastAsia="Times New Roman" w:hAnsi="Times New Roman" w:cs="Times New Roman"/>
        </w:rPr>
        <w:t xml:space="preserve"> 2017). Cities continuously renew themselves through solidarity and cooperation, despite capitalism's destructive influence.</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In the course of everyday</w:t>
      </w:r>
      <w:r>
        <w:rPr>
          <w:rFonts w:ascii="Times New Roman" w:eastAsia="Times New Roman" w:hAnsi="Times New Roman" w:cs="Times New Roman"/>
        </w:rPr>
        <w:t xml:space="preserve"> life, solidarity economies continually create livelihoods and community support structures, rooted in diverse traditions, that make it clear the solidarity city has as long a history as the “capitalist city.” Extending this insight, we can understand that</w:t>
      </w:r>
      <w:r>
        <w:rPr>
          <w:rFonts w:ascii="Times New Roman" w:eastAsia="Times New Roman" w:hAnsi="Times New Roman" w:cs="Times New Roman"/>
        </w:rPr>
        <w:t xml:space="preserve"> the solidarity economies we see in the present can be traced to past forms of human solidarity that sometimes traveled under different names, and came from different communities. People have long been involved in resisting destructive racial capitalist fo</w:t>
      </w:r>
      <w:r>
        <w:rPr>
          <w:rFonts w:ascii="Times New Roman" w:eastAsia="Times New Roman" w:hAnsi="Times New Roman" w:cs="Times New Roman"/>
        </w:rPr>
        <w:t>rces, and in doing so, they are also engaged in a world-making process that has vitality and principles of its own. While a full recounting of this history across all three cities and across the full variety of communities is beyond our scope, we simply wi</w:t>
      </w:r>
      <w:r>
        <w:rPr>
          <w:rFonts w:ascii="Times New Roman" w:eastAsia="Times New Roman" w:hAnsi="Times New Roman" w:cs="Times New Roman"/>
        </w:rPr>
        <w:t xml:space="preserve">sh to point towards the fact that </w:t>
      </w:r>
      <w:r>
        <w:rPr>
          <w:rFonts w:ascii="Times New Roman" w:eastAsia="Times New Roman" w:hAnsi="Times New Roman" w:cs="Times New Roman"/>
        </w:rPr>
        <w:lastRenderedPageBreak/>
        <w:t xml:space="preserve">solidarity cities exist in our present, are part of our collective past, and point towards a different future. </w:t>
      </w:r>
    </w:p>
    <w:p w14:paraId="56C058A5" w14:textId="77777777" w:rsidR="00D4452C" w:rsidRDefault="001A61B1">
      <w:pPr>
        <w:pStyle w:val="Heading1"/>
      </w:pPr>
      <w:bookmarkStart w:id="5" w:name="_heading=h.k2s7ud1uzr7" w:colFirst="0" w:colLast="0"/>
      <w:bookmarkEnd w:id="5"/>
      <w:r>
        <w:rPr>
          <w:rFonts w:ascii="Times New Roman" w:eastAsia="Times New Roman" w:hAnsi="Times New Roman" w:cs="Times New Roman"/>
        </w:rPr>
        <w:t>Spatial distribution of solidarity economies: clustering and density</w:t>
      </w:r>
    </w:p>
    <w:p w14:paraId="2C158989" w14:textId="77777777" w:rsidR="00D4452C" w:rsidRDefault="001A61B1">
      <w:pPr>
        <w:widowControl w:val="0"/>
        <w:rPr>
          <w:rFonts w:ascii="Times New Roman" w:eastAsia="Times New Roman" w:hAnsi="Times New Roman" w:cs="Times New Roman"/>
          <w:highlight w:val="white"/>
        </w:rPr>
      </w:pPr>
      <w:r>
        <w:rPr>
          <w:rFonts w:ascii="Times New Roman" w:eastAsia="Times New Roman" w:hAnsi="Times New Roman" w:cs="Times New Roman"/>
          <w:highlight w:val="white"/>
        </w:rPr>
        <w:t>At the center of our research is a typology of the solidarity economy. It determines what we inventory, map and analyze. In developing this typology, we began with the national-level cate</w:t>
      </w:r>
      <w:r>
        <w:rPr>
          <w:rFonts w:ascii="Times New Roman" w:eastAsia="Times New Roman" w:hAnsi="Times New Roman" w:cs="Times New Roman"/>
          <w:highlight w:val="white"/>
        </w:rPr>
        <w:t>gorizations generated by the US Solidarity Economy Network. We then adapted these after numerous discussions with local movement leaders and theoretical deliberations about definitions, categories, inclusions, and exclusions. Figure 1 displays this modifie</w:t>
      </w:r>
      <w:r>
        <w:rPr>
          <w:rFonts w:ascii="Times New Roman" w:eastAsia="Times New Roman" w:hAnsi="Times New Roman" w:cs="Times New Roman"/>
          <w:highlight w:val="white"/>
        </w:rPr>
        <w:t>d typology.</w:t>
      </w:r>
    </w:p>
    <w:p w14:paraId="514A0D35" w14:textId="77777777" w:rsidR="00D4452C" w:rsidRDefault="001A61B1">
      <w:pPr>
        <w:pStyle w:val="Heading4"/>
        <w:spacing w:before="400" w:after="120"/>
        <w:rPr>
          <w:rFonts w:ascii="Times New Roman" w:eastAsia="Times New Roman" w:hAnsi="Times New Roman" w:cs="Times New Roman"/>
          <w:color w:val="000000"/>
          <w:highlight w:val="white"/>
          <w:vertAlign w:val="superscript"/>
        </w:rPr>
      </w:pPr>
      <w:r>
        <w:rPr>
          <w:rFonts w:ascii="Times New Roman" w:eastAsia="Times New Roman" w:hAnsi="Times New Roman" w:cs="Times New Roman"/>
          <w:b/>
          <w:color w:val="000000"/>
          <w:highlight w:val="white"/>
        </w:rPr>
        <w:t xml:space="preserve">Figure 1: Solidarity Economy </w:t>
      </w:r>
      <w:proofErr w:type="spellStart"/>
      <w:r>
        <w:rPr>
          <w:rFonts w:ascii="Times New Roman" w:eastAsia="Times New Roman" w:hAnsi="Times New Roman" w:cs="Times New Roman"/>
          <w:b/>
          <w:color w:val="000000"/>
          <w:highlight w:val="white"/>
        </w:rPr>
        <w:t>Typology</w:t>
      </w:r>
      <w:r>
        <w:rPr>
          <w:rFonts w:ascii="Times New Roman" w:eastAsia="Times New Roman" w:hAnsi="Times New Roman" w:cs="Times New Roman"/>
          <w:color w:val="000000"/>
          <w:highlight w:val="white"/>
          <w:vertAlign w:val="superscript"/>
        </w:rPr>
        <w:t>Ɨ</w:t>
      </w:r>
      <w:proofErr w:type="spellEnd"/>
    </w:p>
    <w:tbl>
      <w:tblPr>
        <w:tblStyle w:val="a"/>
        <w:tblW w:w="10020" w:type="dxa"/>
        <w:tblInd w:w="-210" w:type="dxa"/>
        <w:tblBorders>
          <w:top w:val="nil"/>
          <w:left w:val="nil"/>
          <w:bottom w:val="nil"/>
          <w:right w:val="nil"/>
          <w:insideH w:val="nil"/>
          <w:insideV w:val="nil"/>
        </w:tblBorders>
        <w:tblLayout w:type="fixed"/>
        <w:tblLook w:val="0600" w:firstRow="0" w:lastRow="0" w:firstColumn="0" w:lastColumn="0" w:noHBand="1" w:noVBand="1"/>
      </w:tblPr>
      <w:tblGrid>
        <w:gridCol w:w="2010"/>
        <w:gridCol w:w="2340"/>
        <w:gridCol w:w="1905"/>
        <w:gridCol w:w="1800"/>
        <w:gridCol w:w="1965"/>
      </w:tblGrid>
      <w:tr w:rsidR="00D4452C" w14:paraId="3E01191F" w14:textId="77777777">
        <w:trPr>
          <w:trHeight w:val="552"/>
        </w:trPr>
        <w:tc>
          <w:tcPr>
            <w:tcW w:w="2010"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20E98C30" w14:textId="77777777" w:rsidR="00D4452C" w:rsidRDefault="001A61B1">
            <w:pPr>
              <w:widowControl w:val="0"/>
              <w:rPr>
                <w:rFonts w:ascii="Times New Roman" w:eastAsia="Times New Roman" w:hAnsi="Times New Roman" w:cs="Times New Roman"/>
                <w:b/>
                <w:sz w:val="16"/>
                <w:szCs w:val="16"/>
                <w:highlight w:val="white"/>
              </w:rPr>
            </w:pPr>
            <w:r>
              <w:rPr>
                <w:rFonts w:ascii="Times New Roman" w:eastAsia="Times New Roman" w:hAnsi="Times New Roman" w:cs="Times New Roman"/>
                <w:b/>
                <w:sz w:val="16"/>
                <w:szCs w:val="16"/>
                <w:highlight w:val="white"/>
              </w:rPr>
              <w:t>Consumption</w:t>
            </w:r>
          </w:p>
        </w:tc>
        <w:tc>
          <w:tcPr>
            <w:tcW w:w="2340"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3AB3D06D" w14:textId="77777777" w:rsidR="00D4452C" w:rsidRDefault="001A61B1">
            <w:pPr>
              <w:widowControl w:val="0"/>
              <w:spacing w:before="57"/>
              <w:ind w:right="-192"/>
              <w:jc w:val="both"/>
              <w:rPr>
                <w:rFonts w:ascii="Times New Roman" w:eastAsia="Times New Roman" w:hAnsi="Times New Roman" w:cs="Times New Roman"/>
                <w:b/>
                <w:sz w:val="16"/>
                <w:szCs w:val="16"/>
                <w:highlight w:val="white"/>
              </w:rPr>
            </w:pPr>
            <w:r>
              <w:rPr>
                <w:rFonts w:ascii="Times New Roman" w:eastAsia="Times New Roman" w:hAnsi="Times New Roman" w:cs="Times New Roman"/>
                <w:b/>
                <w:sz w:val="16"/>
                <w:szCs w:val="16"/>
                <w:highlight w:val="white"/>
              </w:rPr>
              <w:t>Production</w:t>
            </w:r>
          </w:p>
        </w:tc>
        <w:tc>
          <w:tcPr>
            <w:tcW w:w="1905"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1F4FA7E9" w14:textId="77777777" w:rsidR="00D4452C" w:rsidRDefault="001A61B1">
            <w:pPr>
              <w:widowControl w:val="0"/>
              <w:spacing w:before="57"/>
              <w:ind w:right="-192"/>
              <w:jc w:val="both"/>
              <w:rPr>
                <w:rFonts w:ascii="Times New Roman" w:eastAsia="Times New Roman" w:hAnsi="Times New Roman" w:cs="Times New Roman"/>
                <w:b/>
                <w:sz w:val="16"/>
                <w:szCs w:val="16"/>
                <w:highlight w:val="white"/>
              </w:rPr>
            </w:pPr>
            <w:r>
              <w:rPr>
                <w:rFonts w:ascii="Times New Roman" w:eastAsia="Times New Roman" w:hAnsi="Times New Roman" w:cs="Times New Roman"/>
                <w:b/>
                <w:sz w:val="16"/>
                <w:szCs w:val="16"/>
                <w:highlight w:val="white"/>
              </w:rPr>
              <w:t>Finance</w:t>
            </w:r>
          </w:p>
        </w:tc>
        <w:tc>
          <w:tcPr>
            <w:tcW w:w="1800"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4DE965F8" w14:textId="77777777" w:rsidR="00D4452C" w:rsidRDefault="001A61B1">
            <w:pPr>
              <w:widowControl w:val="0"/>
              <w:spacing w:before="57"/>
              <w:ind w:right="-192"/>
              <w:jc w:val="both"/>
              <w:rPr>
                <w:rFonts w:ascii="Times New Roman" w:eastAsia="Times New Roman" w:hAnsi="Times New Roman" w:cs="Times New Roman"/>
                <w:b/>
                <w:sz w:val="16"/>
                <w:szCs w:val="16"/>
                <w:highlight w:val="white"/>
              </w:rPr>
            </w:pPr>
            <w:r>
              <w:rPr>
                <w:rFonts w:ascii="Times New Roman" w:eastAsia="Times New Roman" w:hAnsi="Times New Roman" w:cs="Times New Roman"/>
                <w:b/>
                <w:sz w:val="16"/>
                <w:szCs w:val="16"/>
                <w:highlight w:val="white"/>
              </w:rPr>
              <w:t>Exchange</w:t>
            </w:r>
          </w:p>
        </w:tc>
        <w:tc>
          <w:tcPr>
            <w:tcW w:w="196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DF9AA25" w14:textId="77777777" w:rsidR="00D4452C" w:rsidRDefault="001A61B1">
            <w:pPr>
              <w:widowControl w:val="0"/>
              <w:spacing w:before="57"/>
              <w:ind w:right="-192"/>
              <w:jc w:val="both"/>
              <w:rPr>
                <w:rFonts w:ascii="Times New Roman" w:eastAsia="Times New Roman" w:hAnsi="Times New Roman" w:cs="Times New Roman"/>
                <w:b/>
                <w:sz w:val="16"/>
                <w:szCs w:val="16"/>
                <w:highlight w:val="white"/>
              </w:rPr>
            </w:pPr>
            <w:r>
              <w:rPr>
                <w:rFonts w:ascii="Times New Roman" w:eastAsia="Times New Roman" w:hAnsi="Times New Roman" w:cs="Times New Roman"/>
                <w:b/>
                <w:sz w:val="16"/>
                <w:szCs w:val="16"/>
                <w:highlight w:val="white"/>
              </w:rPr>
              <w:t>Governance</w:t>
            </w:r>
          </w:p>
        </w:tc>
      </w:tr>
      <w:tr w:rsidR="00D4452C" w14:paraId="12365B93" w14:textId="77777777">
        <w:trPr>
          <w:trHeight w:val="3000"/>
        </w:trPr>
        <w:tc>
          <w:tcPr>
            <w:tcW w:w="2010" w:type="dxa"/>
            <w:tcBorders>
              <w:top w:val="nil"/>
              <w:left w:val="single" w:sz="8" w:space="0" w:color="000000"/>
              <w:bottom w:val="single" w:sz="8" w:space="0" w:color="000000"/>
              <w:right w:val="nil"/>
            </w:tcBorders>
            <w:tcMar>
              <w:top w:w="60" w:type="dxa"/>
              <w:left w:w="60" w:type="dxa"/>
              <w:bottom w:w="60" w:type="dxa"/>
              <w:right w:w="60" w:type="dxa"/>
            </w:tcMar>
          </w:tcPr>
          <w:p w14:paraId="4B2D7F45" w14:textId="77777777" w:rsidR="00D4452C" w:rsidRDefault="001A61B1">
            <w:pPr>
              <w:widowControl w:val="0"/>
              <w:spacing w:before="57"/>
              <w:ind w:right="-192"/>
              <w:rPr>
                <w:rFonts w:ascii="Times New Roman" w:eastAsia="Times New Roman" w:hAnsi="Times New Roman" w:cs="Times New Roman"/>
                <w:sz w:val="16"/>
                <w:szCs w:val="16"/>
                <w:highlight w:val="white"/>
                <w:vertAlign w:val="superscript"/>
              </w:rPr>
            </w:pPr>
            <w:r>
              <w:rPr>
                <w:rFonts w:ascii="Times New Roman" w:eastAsia="Times New Roman" w:hAnsi="Times New Roman" w:cs="Times New Roman"/>
                <w:sz w:val="16"/>
                <w:szCs w:val="16"/>
                <w:highlight w:val="white"/>
              </w:rPr>
              <w:t xml:space="preserve">Consumer </w:t>
            </w:r>
            <w:proofErr w:type="spellStart"/>
            <w:r>
              <w:rPr>
                <w:rFonts w:ascii="Times New Roman" w:eastAsia="Times New Roman" w:hAnsi="Times New Roman" w:cs="Times New Roman"/>
                <w:sz w:val="16"/>
                <w:szCs w:val="16"/>
                <w:highlight w:val="white"/>
              </w:rPr>
              <w:t>cooperatives</w:t>
            </w:r>
            <w:r>
              <w:rPr>
                <w:rFonts w:ascii="Times New Roman" w:eastAsia="Times New Roman" w:hAnsi="Times New Roman" w:cs="Times New Roman"/>
                <w:sz w:val="16"/>
                <w:szCs w:val="16"/>
                <w:highlight w:val="white"/>
                <w:vertAlign w:val="superscript"/>
              </w:rPr>
              <w:t>a</w:t>
            </w:r>
            <w:proofErr w:type="spellEnd"/>
          </w:p>
          <w:p w14:paraId="2B785F12" w14:textId="77777777" w:rsidR="00D4452C" w:rsidRDefault="001A61B1">
            <w:pPr>
              <w:widowControl w:val="0"/>
              <w:spacing w:before="57" w:line="240" w:lineRule="auto"/>
              <w:ind w:right="-192"/>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Co-housing/</w:t>
            </w:r>
          </w:p>
          <w:p w14:paraId="43E409AF" w14:textId="77777777" w:rsidR="00D4452C" w:rsidRDefault="001A61B1">
            <w:pPr>
              <w:widowControl w:val="0"/>
              <w:spacing w:before="57" w:line="240" w:lineRule="auto"/>
              <w:ind w:right="-192"/>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Intentional </w:t>
            </w:r>
            <w:proofErr w:type="spellStart"/>
            <w:r>
              <w:rPr>
                <w:rFonts w:ascii="Times New Roman" w:eastAsia="Times New Roman" w:hAnsi="Times New Roman" w:cs="Times New Roman"/>
                <w:sz w:val="16"/>
                <w:szCs w:val="16"/>
                <w:highlight w:val="white"/>
              </w:rPr>
              <w:t>communities</w:t>
            </w:r>
            <w:r>
              <w:rPr>
                <w:rFonts w:ascii="Times New Roman" w:eastAsia="Times New Roman" w:hAnsi="Times New Roman" w:cs="Times New Roman"/>
                <w:sz w:val="16"/>
                <w:szCs w:val="16"/>
                <w:highlight w:val="white"/>
                <w:vertAlign w:val="superscript"/>
              </w:rPr>
              <w:t>a</w:t>
            </w:r>
            <w:proofErr w:type="spellEnd"/>
            <w:r>
              <w:rPr>
                <w:rFonts w:ascii="Times New Roman" w:eastAsia="Times New Roman" w:hAnsi="Times New Roman" w:cs="Times New Roman"/>
                <w:sz w:val="16"/>
                <w:szCs w:val="16"/>
                <w:highlight w:val="white"/>
              </w:rPr>
              <w:br/>
            </w:r>
          </w:p>
          <w:p w14:paraId="1E5457BE" w14:textId="77777777" w:rsidR="00D4452C" w:rsidRDefault="001A61B1">
            <w:pPr>
              <w:widowControl w:val="0"/>
              <w:spacing w:before="57"/>
              <w:ind w:right="-192"/>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Housing </w:t>
            </w:r>
            <w:proofErr w:type="spellStart"/>
            <w:r>
              <w:rPr>
                <w:rFonts w:ascii="Times New Roman" w:eastAsia="Times New Roman" w:hAnsi="Times New Roman" w:cs="Times New Roman"/>
                <w:sz w:val="16"/>
                <w:szCs w:val="16"/>
                <w:highlight w:val="white"/>
              </w:rPr>
              <w:t>cooperatives</w:t>
            </w:r>
            <w:r>
              <w:rPr>
                <w:rFonts w:ascii="Times New Roman" w:eastAsia="Times New Roman" w:hAnsi="Times New Roman" w:cs="Times New Roman"/>
                <w:sz w:val="16"/>
                <w:szCs w:val="16"/>
                <w:highlight w:val="white"/>
                <w:vertAlign w:val="superscript"/>
              </w:rPr>
              <w:t>a</w:t>
            </w:r>
            <w:proofErr w:type="spellEnd"/>
          </w:p>
          <w:p w14:paraId="24B6CD58" w14:textId="77777777" w:rsidR="00D4452C" w:rsidRDefault="001A61B1">
            <w:pPr>
              <w:widowControl w:val="0"/>
              <w:spacing w:before="57"/>
              <w:ind w:right="-192"/>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Community land </w:t>
            </w:r>
            <w:proofErr w:type="spellStart"/>
            <w:r>
              <w:rPr>
                <w:rFonts w:ascii="Times New Roman" w:eastAsia="Times New Roman" w:hAnsi="Times New Roman" w:cs="Times New Roman"/>
                <w:sz w:val="16"/>
                <w:szCs w:val="16"/>
                <w:highlight w:val="white"/>
              </w:rPr>
              <w:t>trusts</w:t>
            </w:r>
            <w:r>
              <w:rPr>
                <w:rFonts w:ascii="Times New Roman" w:eastAsia="Times New Roman" w:hAnsi="Times New Roman" w:cs="Times New Roman"/>
                <w:sz w:val="16"/>
                <w:szCs w:val="16"/>
                <w:highlight w:val="white"/>
                <w:vertAlign w:val="superscript"/>
              </w:rPr>
              <w:t>a</w:t>
            </w:r>
            <w:proofErr w:type="spellEnd"/>
          </w:p>
          <w:p w14:paraId="13F08116" w14:textId="77777777" w:rsidR="00D4452C" w:rsidRDefault="00D4452C">
            <w:pPr>
              <w:widowControl w:val="0"/>
              <w:spacing w:before="57"/>
              <w:ind w:right="-192"/>
              <w:rPr>
                <w:rFonts w:ascii="Times New Roman" w:eastAsia="Times New Roman" w:hAnsi="Times New Roman" w:cs="Times New Roman"/>
                <w:sz w:val="16"/>
                <w:szCs w:val="16"/>
                <w:highlight w:val="white"/>
              </w:rPr>
            </w:pPr>
          </w:p>
        </w:tc>
        <w:tc>
          <w:tcPr>
            <w:tcW w:w="2340" w:type="dxa"/>
            <w:tcBorders>
              <w:top w:val="nil"/>
              <w:left w:val="single" w:sz="8" w:space="0" w:color="000000"/>
              <w:bottom w:val="single" w:sz="8" w:space="0" w:color="000000"/>
              <w:right w:val="nil"/>
            </w:tcBorders>
            <w:tcMar>
              <w:top w:w="60" w:type="dxa"/>
              <w:left w:w="60" w:type="dxa"/>
              <w:bottom w:w="60" w:type="dxa"/>
              <w:right w:w="60" w:type="dxa"/>
            </w:tcMar>
          </w:tcPr>
          <w:p w14:paraId="0C94F3D9" w14:textId="77777777" w:rsidR="00D4452C" w:rsidRDefault="001A61B1">
            <w:pPr>
              <w:widowControl w:val="0"/>
              <w:spacing w:before="57"/>
              <w:ind w:right="-192"/>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Worker </w:t>
            </w:r>
            <w:proofErr w:type="spellStart"/>
            <w:r>
              <w:rPr>
                <w:rFonts w:ascii="Times New Roman" w:eastAsia="Times New Roman" w:hAnsi="Times New Roman" w:cs="Times New Roman"/>
                <w:sz w:val="16"/>
                <w:szCs w:val="16"/>
                <w:highlight w:val="white"/>
              </w:rPr>
              <w:t>Cooperatives</w:t>
            </w:r>
            <w:r>
              <w:rPr>
                <w:rFonts w:ascii="Times New Roman" w:eastAsia="Times New Roman" w:hAnsi="Times New Roman" w:cs="Times New Roman"/>
                <w:sz w:val="16"/>
                <w:szCs w:val="16"/>
                <w:highlight w:val="white"/>
                <w:vertAlign w:val="superscript"/>
              </w:rPr>
              <w:t>a</w:t>
            </w:r>
            <w:proofErr w:type="spellEnd"/>
          </w:p>
          <w:p w14:paraId="495B90EA" w14:textId="77777777" w:rsidR="00D4452C" w:rsidRDefault="001A61B1">
            <w:pPr>
              <w:widowControl w:val="0"/>
              <w:spacing w:before="57"/>
              <w:ind w:right="-192"/>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Producer cooperatives</w:t>
            </w:r>
          </w:p>
          <w:p w14:paraId="58D34CFA" w14:textId="77777777" w:rsidR="00D4452C" w:rsidRDefault="001A61B1">
            <w:pPr>
              <w:widowControl w:val="0"/>
              <w:spacing w:before="57"/>
              <w:ind w:right="-192"/>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Volunteer collectives</w:t>
            </w:r>
          </w:p>
          <w:p w14:paraId="3D3D0935" w14:textId="77777777" w:rsidR="00D4452C" w:rsidRDefault="001A61B1">
            <w:pPr>
              <w:widowControl w:val="0"/>
              <w:spacing w:before="57"/>
              <w:ind w:right="-192"/>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Community </w:t>
            </w:r>
            <w:proofErr w:type="spellStart"/>
            <w:r>
              <w:rPr>
                <w:rFonts w:ascii="Times New Roman" w:eastAsia="Times New Roman" w:hAnsi="Times New Roman" w:cs="Times New Roman"/>
                <w:sz w:val="16"/>
                <w:szCs w:val="16"/>
                <w:highlight w:val="white"/>
              </w:rPr>
              <w:t>gardens</w:t>
            </w:r>
            <w:r>
              <w:rPr>
                <w:rFonts w:ascii="Times New Roman" w:eastAsia="Times New Roman" w:hAnsi="Times New Roman" w:cs="Times New Roman"/>
                <w:sz w:val="16"/>
                <w:szCs w:val="16"/>
                <w:highlight w:val="white"/>
                <w:vertAlign w:val="superscript"/>
              </w:rPr>
              <w:t>a</w:t>
            </w:r>
            <w:proofErr w:type="spellEnd"/>
          </w:p>
          <w:p w14:paraId="69970FCA" w14:textId="77777777" w:rsidR="00D4452C" w:rsidRDefault="001A61B1">
            <w:pPr>
              <w:widowControl w:val="0"/>
              <w:spacing w:before="57"/>
              <w:ind w:right="-192"/>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Unpaid household labor</w:t>
            </w:r>
          </w:p>
          <w:p w14:paraId="6345BAE8" w14:textId="77777777" w:rsidR="00D4452C" w:rsidRDefault="001A61B1">
            <w:pPr>
              <w:widowControl w:val="0"/>
              <w:spacing w:before="57"/>
              <w:ind w:right="-192"/>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Collectives of self-</w:t>
            </w:r>
            <w:proofErr w:type="spellStart"/>
            <w:r>
              <w:rPr>
                <w:rFonts w:ascii="Times New Roman" w:eastAsia="Times New Roman" w:hAnsi="Times New Roman" w:cs="Times New Roman"/>
                <w:sz w:val="16"/>
                <w:szCs w:val="16"/>
                <w:highlight w:val="white"/>
              </w:rPr>
              <w:t>employed</w:t>
            </w:r>
            <w:r>
              <w:rPr>
                <w:rFonts w:ascii="Times New Roman" w:eastAsia="Times New Roman" w:hAnsi="Times New Roman" w:cs="Times New Roman"/>
                <w:sz w:val="16"/>
                <w:szCs w:val="16"/>
                <w:highlight w:val="white"/>
                <w:vertAlign w:val="superscript"/>
              </w:rPr>
              <w:t>a</w:t>
            </w:r>
            <w:proofErr w:type="spellEnd"/>
          </w:p>
          <w:p w14:paraId="05204029" w14:textId="77777777" w:rsidR="00D4452C" w:rsidRDefault="001A61B1">
            <w:pPr>
              <w:widowControl w:val="0"/>
              <w:spacing w:before="57"/>
              <w:ind w:right="-192"/>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Mutual Aid Networks </w:t>
            </w:r>
          </w:p>
        </w:tc>
        <w:tc>
          <w:tcPr>
            <w:tcW w:w="1905" w:type="dxa"/>
            <w:tcBorders>
              <w:top w:val="nil"/>
              <w:left w:val="single" w:sz="8" w:space="0" w:color="000000"/>
              <w:bottom w:val="single" w:sz="8" w:space="0" w:color="000000"/>
              <w:right w:val="nil"/>
            </w:tcBorders>
            <w:tcMar>
              <w:top w:w="60" w:type="dxa"/>
              <w:left w:w="60" w:type="dxa"/>
              <w:bottom w:w="60" w:type="dxa"/>
              <w:right w:w="60" w:type="dxa"/>
            </w:tcMar>
          </w:tcPr>
          <w:p w14:paraId="414A0B42" w14:textId="77777777" w:rsidR="00D4452C" w:rsidRDefault="001A61B1">
            <w:pPr>
              <w:widowControl w:val="0"/>
              <w:spacing w:before="57"/>
              <w:ind w:right="-192"/>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Credit </w:t>
            </w:r>
            <w:proofErr w:type="spellStart"/>
            <w:r>
              <w:rPr>
                <w:rFonts w:ascii="Times New Roman" w:eastAsia="Times New Roman" w:hAnsi="Times New Roman" w:cs="Times New Roman"/>
                <w:sz w:val="16"/>
                <w:szCs w:val="16"/>
                <w:highlight w:val="white"/>
              </w:rPr>
              <w:t>Unions</w:t>
            </w:r>
            <w:r>
              <w:rPr>
                <w:rFonts w:ascii="Times New Roman" w:eastAsia="Times New Roman" w:hAnsi="Times New Roman" w:cs="Times New Roman"/>
                <w:sz w:val="16"/>
                <w:szCs w:val="16"/>
                <w:highlight w:val="white"/>
                <w:vertAlign w:val="superscript"/>
              </w:rPr>
              <w:t>a</w:t>
            </w:r>
            <w:proofErr w:type="spellEnd"/>
          </w:p>
          <w:p w14:paraId="509EBCD1" w14:textId="77777777" w:rsidR="00D4452C" w:rsidRDefault="001A61B1">
            <w:pPr>
              <w:widowControl w:val="0"/>
              <w:spacing w:before="57" w:line="240" w:lineRule="auto"/>
              <w:ind w:right="-192"/>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Community development credit </w:t>
            </w:r>
            <w:proofErr w:type="spellStart"/>
            <w:r>
              <w:rPr>
                <w:rFonts w:ascii="Times New Roman" w:eastAsia="Times New Roman" w:hAnsi="Times New Roman" w:cs="Times New Roman"/>
                <w:sz w:val="16"/>
                <w:szCs w:val="16"/>
                <w:highlight w:val="white"/>
              </w:rPr>
              <w:t>unions</w:t>
            </w:r>
            <w:r>
              <w:rPr>
                <w:rFonts w:ascii="Times New Roman" w:eastAsia="Times New Roman" w:hAnsi="Times New Roman" w:cs="Times New Roman"/>
                <w:sz w:val="16"/>
                <w:szCs w:val="16"/>
                <w:highlight w:val="white"/>
                <w:vertAlign w:val="superscript"/>
              </w:rPr>
              <w:t>a</w:t>
            </w:r>
            <w:proofErr w:type="spellEnd"/>
            <w:r>
              <w:rPr>
                <w:rFonts w:ascii="Times New Roman" w:eastAsia="Times New Roman" w:hAnsi="Times New Roman" w:cs="Times New Roman"/>
                <w:sz w:val="16"/>
                <w:szCs w:val="16"/>
                <w:highlight w:val="white"/>
              </w:rPr>
              <w:br/>
            </w:r>
          </w:p>
          <w:p w14:paraId="74BE6F98" w14:textId="77777777" w:rsidR="00D4452C" w:rsidRDefault="001A61B1">
            <w:pPr>
              <w:widowControl w:val="0"/>
              <w:spacing w:before="57" w:line="240" w:lineRule="auto"/>
              <w:ind w:right="-192"/>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Rotating Savings and Credit Associations (ROSCAs)</w:t>
            </w:r>
          </w:p>
          <w:p w14:paraId="48CC19F9" w14:textId="77777777" w:rsidR="00D4452C" w:rsidRDefault="00D4452C">
            <w:pPr>
              <w:widowControl w:val="0"/>
              <w:spacing w:before="57"/>
              <w:ind w:right="-192"/>
              <w:rPr>
                <w:rFonts w:ascii="Times New Roman" w:eastAsia="Times New Roman" w:hAnsi="Times New Roman" w:cs="Times New Roman"/>
                <w:sz w:val="16"/>
                <w:szCs w:val="16"/>
                <w:highlight w:val="white"/>
              </w:rPr>
            </w:pPr>
          </w:p>
        </w:tc>
        <w:tc>
          <w:tcPr>
            <w:tcW w:w="1800" w:type="dxa"/>
            <w:tcBorders>
              <w:top w:val="nil"/>
              <w:left w:val="single" w:sz="8" w:space="0" w:color="000000"/>
              <w:bottom w:val="single" w:sz="8" w:space="0" w:color="000000"/>
              <w:right w:val="nil"/>
            </w:tcBorders>
            <w:tcMar>
              <w:top w:w="60" w:type="dxa"/>
              <w:left w:w="60" w:type="dxa"/>
              <w:bottom w:w="60" w:type="dxa"/>
              <w:right w:w="60" w:type="dxa"/>
            </w:tcMar>
          </w:tcPr>
          <w:p w14:paraId="590D33C2" w14:textId="77777777" w:rsidR="00D4452C" w:rsidRDefault="001A61B1">
            <w:pPr>
              <w:widowControl w:val="0"/>
              <w:spacing w:before="57"/>
              <w:ind w:right="-192"/>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Fair trade networks</w:t>
            </w:r>
          </w:p>
          <w:p w14:paraId="6A876C32" w14:textId="77777777" w:rsidR="00D4452C" w:rsidRDefault="001A61B1">
            <w:pPr>
              <w:widowControl w:val="0"/>
              <w:spacing w:before="57" w:line="240" w:lineRule="auto"/>
              <w:ind w:right="-192"/>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Community supported agriculture and </w:t>
            </w:r>
            <w:proofErr w:type="spellStart"/>
            <w:r>
              <w:rPr>
                <w:rFonts w:ascii="Times New Roman" w:eastAsia="Times New Roman" w:hAnsi="Times New Roman" w:cs="Times New Roman"/>
                <w:sz w:val="16"/>
                <w:szCs w:val="16"/>
                <w:highlight w:val="white"/>
              </w:rPr>
              <w:t>fisheries</w:t>
            </w:r>
            <w:r>
              <w:rPr>
                <w:rFonts w:ascii="Times New Roman" w:eastAsia="Times New Roman" w:hAnsi="Times New Roman" w:cs="Times New Roman"/>
                <w:sz w:val="16"/>
                <w:szCs w:val="16"/>
                <w:highlight w:val="white"/>
                <w:vertAlign w:val="superscript"/>
              </w:rPr>
              <w:t>a</w:t>
            </w:r>
            <w:proofErr w:type="spellEnd"/>
          </w:p>
          <w:p w14:paraId="684EA862" w14:textId="77777777" w:rsidR="00D4452C" w:rsidRDefault="001A61B1">
            <w:pPr>
              <w:widowControl w:val="0"/>
              <w:spacing w:before="57" w:line="240" w:lineRule="auto"/>
              <w:ind w:right="-192"/>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 </w:t>
            </w:r>
          </w:p>
          <w:p w14:paraId="2C9E98DC" w14:textId="77777777" w:rsidR="00D4452C" w:rsidRDefault="001A61B1">
            <w:pPr>
              <w:widowControl w:val="0"/>
              <w:spacing w:before="57"/>
              <w:ind w:right="-192"/>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Complementary currencies*</w:t>
            </w:r>
          </w:p>
          <w:p w14:paraId="5B5B00EB" w14:textId="77777777" w:rsidR="00D4452C" w:rsidRDefault="001A61B1">
            <w:pPr>
              <w:widowControl w:val="0"/>
              <w:spacing w:before="57"/>
              <w:ind w:right="-192"/>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Barter networks</w:t>
            </w:r>
          </w:p>
          <w:p w14:paraId="4D3F1EC6" w14:textId="77777777" w:rsidR="00D4452C" w:rsidRDefault="001A61B1">
            <w:pPr>
              <w:widowControl w:val="0"/>
              <w:spacing w:before="57"/>
              <w:ind w:right="-192"/>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Free-cycle </w:t>
            </w:r>
            <w:proofErr w:type="spellStart"/>
            <w:r>
              <w:rPr>
                <w:rFonts w:ascii="Times New Roman" w:eastAsia="Times New Roman" w:hAnsi="Times New Roman" w:cs="Times New Roman"/>
                <w:sz w:val="16"/>
                <w:szCs w:val="16"/>
                <w:highlight w:val="white"/>
              </w:rPr>
              <w:t>networks</w:t>
            </w:r>
            <w:r>
              <w:rPr>
                <w:rFonts w:ascii="Times New Roman" w:eastAsia="Times New Roman" w:hAnsi="Times New Roman" w:cs="Times New Roman"/>
                <w:sz w:val="16"/>
                <w:szCs w:val="16"/>
                <w:highlight w:val="white"/>
                <w:vertAlign w:val="superscript"/>
              </w:rPr>
              <w:t>a</w:t>
            </w:r>
            <w:proofErr w:type="spellEnd"/>
          </w:p>
          <w:p w14:paraId="098C5EE2" w14:textId="77777777" w:rsidR="00D4452C" w:rsidRDefault="001A61B1">
            <w:pPr>
              <w:widowControl w:val="0"/>
              <w:spacing w:before="57"/>
              <w:ind w:right="-192"/>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Time </w:t>
            </w:r>
            <w:proofErr w:type="spellStart"/>
            <w:r>
              <w:rPr>
                <w:rFonts w:ascii="Times New Roman" w:eastAsia="Times New Roman" w:hAnsi="Times New Roman" w:cs="Times New Roman"/>
                <w:sz w:val="16"/>
                <w:szCs w:val="16"/>
                <w:highlight w:val="white"/>
              </w:rPr>
              <w:t>banks</w:t>
            </w:r>
            <w:r>
              <w:rPr>
                <w:rFonts w:ascii="Times New Roman" w:eastAsia="Times New Roman" w:hAnsi="Times New Roman" w:cs="Times New Roman"/>
                <w:sz w:val="16"/>
                <w:szCs w:val="16"/>
                <w:highlight w:val="white"/>
                <w:vertAlign w:val="superscript"/>
              </w:rPr>
              <w:t>a</w:t>
            </w:r>
            <w:proofErr w:type="spellEnd"/>
          </w:p>
        </w:tc>
        <w:tc>
          <w:tcPr>
            <w:tcW w:w="1965"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6920CC7B" w14:textId="77777777" w:rsidR="00D4452C" w:rsidRDefault="001A61B1">
            <w:pPr>
              <w:widowControl w:val="0"/>
              <w:spacing w:before="57"/>
              <w:ind w:right="-192"/>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 xml:space="preserve">Participatory </w:t>
            </w:r>
            <w:proofErr w:type="spellStart"/>
            <w:r>
              <w:rPr>
                <w:rFonts w:ascii="Times New Roman" w:eastAsia="Times New Roman" w:hAnsi="Times New Roman" w:cs="Times New Roman"/>
                <w:sz w:val="16"/>
                <w:szCs w:val="16"/>
                <w:highlight w:val="white"/>
              </w:rPr>
              <w:t>budgeting</w:t>
            </w:r>
            <w:r>
              <w:rPr>
                <w:rFonts w:ascii="Times New Roman" w:eastAsia="Times New Roman" w:hAnsi="Times New Roman" w:cs="Times New Roman"/>
                <w:sz w:val="16"/>
                <w:szCs w:val="16"/>
                <w:highlight w:val="white"/>
                <w:vertAlign w:val="superscript"/>
              </w:rPr>
              <w:t>a</w:t>
            </w:r>
            <w:proofErr w:type="spellEnd"/>
          </w:p>
          <w:p w14:paraId="2A51765B" w14:textId="77777777" w:rsidR="00D4452C" w:rsidRDefault="001A61B1">
            <w:pPr>
              <w:widowControl w:val="0"/>
              <w:spacing w:before="57" w:line="240" w:lineRule="auto"/>
              <w:ind w:right="-192"/>
              <w:rPr>
                <w:rFonts w:ascii="Times New Roman" w:eastAsia="Times New Roman" w:hAnsi="Times New Roman" w:cs="Times New Roman"/>
                <w:sz w:val="16"/>
                <w:szCs w:val="16"/>
                <w:highlight w:val="white"/>
              </w:rPr>
            </w:pPr>
            <w:r>
              <w:rPr>
                <w:rFonts w:ascii="Times New Roman" w:eastAsia="Times New Roman" w:hAnsi="Times New Roman" w:cs="Times New Roman"/>
                <w:sz w:val="16"/>
                <w:szCs w:val="16"/>
                <w:highlight w:val="white"/>
              </w:rPr>
              <w:t>Collective community management of resources</w:t>
            </w:r>
          </w:p>
        </w:tc>
      </w:tr>
    </w:tbl>
    <w:p w14:paraId="4A63DA10" w14:textId="77777777" w:rsidR="00D4452C" w:rsidRDefault="001A61B1">
      <w:pPr>
        <w:widowControl w:val="0"/>
        <w:spacing w:line="360" w:lineRule="auto"/>
        <w:rPr>
          <w:rFonts w:ascii="Times New Roman" w:eastAsia="Times New Roman" w:hAnsi="Times New Roman" w:cs="Times New Roman"/>
          <w:sz w:val="20"/>
          <w:szCs w:val="20"/>
          <w:highlight w:val="white"/>
        </w:rPr>
      </w:pPr>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vertAlign w:val="superscript"/>
        </w:rPr>
        <w:t>Ɨ</w:t>
      </w:r>
      <w:r>
        <w:rPr>
          <w:rFonts w:ascii="Times New Roman" w:eastAsia="Times New Roman" w:hAnsi="Times New Roman" w:cs="Times New Roman"/>
          <w:sz w:val="20"/>
          <w:szCs w:val="20"/>
          <w:highlight w:val="white"/>
        </w:rPr>
        <w:t>All</w:t>
      </w:r>
      <w:proofErr w:type="spellEnd"/>
      <w:r>
        <w:rPr>
          <w:rFonts w:ascii="Times New Roman" w:eastAsia="Times New Roman" w:hAnsi="Times New Roman" w:cs="Times New Roman"/>
          <w:sz w:val="20"/>
          <w:szCs w:val="20"/>
          <w:highlight w:val="white"/>
        </w:rPr>
        <w:t xml:space="preserve"> those marked with superscript</w:t>
      </w:r>
      <w:r>
        <w:rPr>
          <w:rFonts w:ascii="Times New Roman" w:eastAsia="Times New Roman" w:hAnsi="Times New Roman" w:cs="Times New Roman"/>
          <w:sz w:val="20"/>
          <w:szCs w:val="20"/>
          <w:highlight w:val="white"/>
          <w:vertAlign w:val="superscript"/>
        </w:rPr>
        <w:t xml:space="preserve"> a</w:t>
      </w:r>
      <w:r>
        <w:rPr>
          <w:rFonts w:ascii="Times New Roman" w:eastAsia="Times New Roman" w:hAnsi="Times New Roman" w:cs="Times New Roman"/>
          <w:sz w:val="20"/>
          <w:szCs w:val="20"/>
          <w:highlight w:val="white"/>
        </w:rPr>
        <w:t xml:space="preserve"> are represented in our detailed urban inventories.</w:t>
      </w:r>
    </w:p>
    <w:p w14:paraId="73B17279" w14:textId="77777777" w:rsidR="00D4452C" w:rsidRDefault="00D4452C">
      <w:pPr>
        <w:rPr>
          <w:rFonts w:ascii="Times New Roman" w:eastAsia="Times New Roman" w:hAnsi="Times New Roman" w:cs="Times New Roman"/>
        </w:rPr>
      </w:pPr>
    </w:p>
    <w:p w14:paraId="798183EA" w14:textId="77777777" w:rsidR="00D4452C" w:rsidRDefault="001A61B1">
      <w:pPr>
        <w:rPr>
          <w:rFonts w:ascii="Times New Roman" w:eastAsia="Times New Roman" w:hAnsi="Times New Roman" w:cs="Times New Roman"/>
        </w:rPr>
      </w:pPr>
      <w:r>
        <w:rPr>
          <w:rFonts w:ascii="Times New Roman" w:eastAsia="Times New Roman" w:hAnsi="Times New Roman" w:cs="Times New Roman"/>
        </w:rPr>
        <w:t>The table divides the solidarity economy into five principal domains of activity, reflecting major economic spheres: con</w:t>
      </w:r>
      <w:r>
        <w:rPr>
          <w:rFonts w:ascii="Times New Roman" w:eastAsia="Times New Roman" w:hAnsi="Times New Roman" w:cs="Times New Roman"/>
        </w:rPr>
        <w:t>sumption, production, finance, exchange and governance. Under these domains, the typology encompasses a diversity of forms. Some, like consumer cooperatives and credit unions, are formal organizations with a paid staff and legal incorporation status. Other</w:t>
      </w:r>
      <w:r>
        <w:rPr>
          <w:rFonts w:ascii="Times New Roman" w:eastAsia="Times New Roman" w:hAnsi="Times New Roman" w:cs="Times New Roman"/>
        </w:rPr>
        <w:t xml:space="preserve">s, </w:t>
      </w:r>
      <w:r>
        <w:rPr>
          <w:rFonts w:ascii="Times New Roman" w:eastAsia="Times New Roman" w:hAnsi="Times New Roman" w:cs="Times New Roman"/>
        </w:rPr>
        <w:lastRenderedPageBreak/>
        <w:t>such as ROSCAs, are more informal. Some, like unpaid household labor, are practices rather than formal organizations. Still others, such as fair trade and barter networks, are diffuse networks without a distinct location. Overall, the typology gathers a</w:t>
      </w:r>
      <w:r>
        <w:rPr>
          <w:rFonts w:ascii="Times New Roman" w:eastAsia="Times New Roman" w:hAnsi="Times New Roman" w:cs="Times New Roman"/>
        </w:rPr>
        <w:t xml:space="preserve"> rich heterogeneity of initiatives cast in opposition to capitalist organization of these spheres of the economy. The variety broadens and deepens a counter-hegemonic framing of the economy.</w:t>
      </w:r>
    </w:p>
    <w:p w14:paraId="78AEA0DD" w14:textId="77777777" w:rsidR="00D4452C" w:rsidRDefault="001A61B1">
      <w:pPr>
        <w:ind w:firstLine="720"/>
        <w:rPr>
          <w:rFonts w:ascii="Times New Roman" w:eastAsia="Times New Roman" w:hAnsi="Times New Roman" w:cs="Times New Roman"/>
        </w:rPr>
      </w:pPr>
      <w:r>
        <w:rPr>
          <w:rFonts w:ascii="Times New Roman" w:eastAsia="Times New Roman" w:hAnsi="Times New Roman" w:cs="Times New Roman"/>
        </w:rPr>
        <w:t>Using this typology, we compiled inventories of the different ini</w:t>
      </w:r>
      <w:r>
        <w:rPr>
          <w:rFonts w:ascii="Times New Roman" w:eastAsia="Times New Roman" w:hAnsi="Times New Roman" w:cs="Times New Roman"/>
        </w:rPr>
        <w:t>tiative types in our three cities. To the extent possible, we then geocoded the different initiatives (including branch locations, if relevant) to produce a novel series of maps. We begin this work with Map 1, where we provide an overarching view of the so</w:t>
      </w:r>
      <w:r>
        <w:rPr>
          <w:rFonts w:ascii="Times New Roman" w:eastAsia="Times New Roman" w:hAnsi="Times New Roman" w:cs="Times New Roman"/>
        </w:rPr>
        <w:t xml:space="preserve">lidarity economy’s sectoral distributions. </w:t>
      </w:r>
    </w:p>
    <w:p w14:paraId="5E5E3E09" w14:textId="77777777" w:rsidR="00D4452C" w:rsidRDefault="00D4452C">
      <w:pPr>
        <w:ind w:firstLine="720"/>
        <w:rPr>
          <w:rFonts w:ascii="Times New Roman" w:eastAsia="Times New Roman" w:hAnsi="Times New Roman" w:cs="Times New Roman"/>
        </w:rPr>
      </w:pPr>
    </w:p>
    <w:p w14:paraId="607ED3EE" w14:textId="77777777" w:rsidR="00D4452C" w:rsidRDefault="001A61B1">
      <w:pPr>
        <w:rPr>
          <w:rFonts w:ascii="Times New Roman" w:eastAsia="Times New Roman" w:hAnsi="Times New Roman" w:cs="Times New Roman"/>
        </w:rPr>
      </w:pPr>
      <w:r>
        <w:rPr>
          <w:rFonts w:ascii="Times New Roman" w:eastAsia="Times New Roman" w:hAnsi="Times New Roman" w:cs="Times New Roman"/>
          <w:b/>
        </w:rPr>
        <w:lastRenderedPageBreak/>
        <w:t>Map 1. Spatial footprint of the Solidarity Economy in Philadelphia, Worcester, and New York City</w:t>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7B3C3E51" wp14:editId="512F940C">
            <wp:extent cx="5943600" cy="40767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943600" cy="4076700"/>
                    </a:xfrm>
                    <a:prstGeom prst="rect">
                      <a:avLst/>
                    </a:prstGeom>
                    <a:ln/>
                  </pic:spPr>
                </pic:pic>
              </a:graphicData>
            </a:graphic>
          </wp:inline>
        </w:drawing>
      </w:r>
    </w:p>
    <w:p w14:paraId="7C954A8B" w14:textId="77777777" w:rsidR="00D4452C" w:rsidRDefault="001A61B1">
      <w:pPr>
        <w:rPr>
          <w:rFonts w:ascii="Times New Roman" w:eastAsia="Times New Roman" w:hAnsi="Times New Roman" w:cs="Times New Roman"/>
          <w:highlight w:val="white"/>
        </w:rPr>
      </w:pPr>
      <w:r>
        <w:rPr>
          <w:rFonts w:ascii="Times New Roman" w:eastAsia="Times New Roman" w:hAnsi="Times New Roman" w:cs="Times New Roman"/>
          <w:highlight w:val="white"/>
        </w:rPr>
        <w:t>The map contains what we call the spatial footprints of the three solidarity cities. On these maps, solidarity economy locations within city borders are depicted with variously colored dots. Each dot represents one initiative while the color corresponds to</w:t>
      </w:r>
      <w:r>
        <w:rPr>
          <w:rFonts w:ascii="Times New Roman" w:eastAsia="Times New Roman" w:hAnsi="Times New Roman" w:cs="Times New Roman"/>
          <w:highlight w:val="white"/>
        </w:rPr>
        <w:t xml:space="preserve"> its organization type (see Figure 1). The map legend includes details of the categories used. What emerges on those maps is that Philadelphia, Worcester, and New York all contain a large and highly diverse set of solidarity economy initiatives. We can thi</w:t>
      </w:r>
      <w:r>
        <w:rPr>
          <w:rFonts w:ascii="Times New Roman" w:eastAsia="Times New Roman" w:hAnsi="Times New Roman" w:cs="Times New Roman"/>
          <w:highlight w:val="white"/>
        </w:rPr>
        <w:t xml:space="preserve">nk of those colored dots as representing thousands of flowers of human solidarity already in bloom within the streets of our cities. </w:t>
      </w:r>
    </w:p>
    <w:p w14:paraId="0659A4B8" w14:textId="77777777" w:rsidR="00D4452C" w:rsidRDefault="001A61B1">
      <w:pPr>
        <w:ind w:firstLine="720"/>
        <w:rPr>
          <w:rFonts w:ascii="Times New Roman" w:eastAsia="Times New Roman" w:hAnsi="Times New Roman" w:cs="Times New Roman"/>
        </w:rPr>
      </w:pPr>
      <w:r>
        <w:rPr>
          <w:rFonts w:ascii="Times New Roman" w:eastAsia="Times New Roman" w:hAnsi="Times New Roman" w:cs="Times New Roman"/>
          <w:highlight w:val="white"/>
        </w:rPr>
        <w:t xml:space="preserve">This simple mapping exercise transforms the common understanding of US cities as entirely shaped by capitalism and its profit- and competition- centered logics. The maps show </w:t>
      </w:r>
      <w:r>
        <w:rPr>
          <w:rFonts w:ascii="Times New Roman" w:eastAsia="Times New Roman" w:hAnsi="Times New Roman" w:cs="Times New Roman"/>
          <w:highlight w:val="white"/>
        </w:rPr>
        <w:lastRenderedPageBreak/>
        <w:t>that the same cities contain a large array of non-capitalist practices that follo</w:t>
      </w:r>
      <w:r>
        <w:rPr>
          <w:rFonts w:ascii="Times New Roman" w:eastAsia="Times New Roman" w:hAnsi="Times New Roman" w:cs="Times New Roman"/>
          <w:highlight w:val="white"/>
        </w:rPr>
        <w:t xml:space="preserve">w the ethics of solidarity and cooperation. We see hundreds of community gardens, many cooperative enterprises, scores of credit unions, and dozens of </w:t>
      </w:r>
      <w:proofErr w:type="gramStart"/>
      <w:r>
        <w:rPr>
          <w:rFonts w:ascii="Times New Roman" w:eastAsia="Times New Roman" w:hAnsi="Times New Roman" w:cs="Times New Roman"/>
          <w:highlight w:val="white"/>
        </w:rPr>
        <w:t>community</w:t>
      </w:r>
      <w:proofErr w:type="gramEnd"/>
      <w:r>
        <w:rPr>
          <w:rFonts w:ascii="Times New Roman" w:eastAsia="Times New Roman" w:hAnsi="Times New Roman" w:cs="Times New Roman"/>
          <w:highlight w:val="white"/>
        </w:rPr>
        <w:t xml:space="preserve"> supported agriculture (CSA) programs, among many other initiatives. The maps provide a glimpse </w:t>
      </w:r>
      <w:r>
        <w:rPr>
          <w:rFonts w:ascii="Times New Roman" w:eastAsia="Times New Roman" w:hAnsi="Times New Roman" w:cs="Times New Roman"/>
          <w:highlight w:val="white"/>
        </w:rPr>
        <w:t>into the extent to which solidarity is woven into urban economies. They invite us to consider more fully what role solidarity economy initiatives play in our cities, and what they can offer to urban residents especially in disinvested neighborhoods where c</w:t>
      </w:r>
      <w:r>
        <w:rPr>
          <w:rFonts w:ascii="Times New Roman" w:eastAsia="Times New Roman" w:hAnsi="Times New Roman" w:cs="Times New Roman"/>
          <w:highlight w:val="white"/>
        </w:rPr>
        <w:t xml:space="preserve">apitalism often falls short to support life needs. </w:t>
      </w:r>
    </w:p>
    <w:p w14:paraId="3810E1D0" w14:textId="5D545ECD" w:rsidR="00D4452C" w:rsidRDefault="001A61B1">
      <w:pPr>
        <w:ind w:firstLine="720"/>
        <w:rPr>
          <w:rFonts w:ascii="Times New Roman" w:eastAsia="Times New Roman" w:hAnsi="Times New Roman" w:cs="Times New Roman"/>
        </w:rPr>
      </w:pPr>
      <w:r>
        <w:rPr>
          <w:rFonts w:ascii="Times New Roman" w:eastAsia="Times New Roman" w:hAnsi="Times New Roman" w:cs="Times New Roman"/>
        </w:rPr>
        <w:t>The aggregate spatial distribution of the solidarity economy is shown to be both large and uneven. Some parts of the cities (e.g</w:t>
      </w:r>
      <w:r w:rsidR="006F02B9">
        <w:rPr>
          <w:rFonts w:ascii="Times New Roman" w:eastAsia="Times New Roman" w:hAnsi="Times New Roman" w:cs="Times New Roman"/>
        </w:rPr>
        <w:t>.</w:t>
      </w:r>
      <w:r>
        <w:rPr>
          <w:rFonts w:ascii="Times New Roman" w:eastAsia="Times New Roman" w:hAnsi="Times New Roman" w:cs="Times New Roman"/>
        </w:rPr>
        <w:t xml:space="preserve">, downtown areas) have many solidarity economy organizations whereas others </w:t>
      </w:r>
      <w:r>
        <w:rPr>
          <w:rFonts w:ascii="Times New Roman" w:eastAsia="Times New Roman" w:hAnsi="Times New Roman" w:cs="Times New Roman"/>
        </w:rPr>
        <w:t xml:space="preserve">have only a few. All of this </w:t>
      </w:r>
      <w:proofErr w:type="gramStart"/>
      <w:r>
        <w:rPr>
          <w:rFonts w:ascii="Times New Roman" w:eastAsia="Times New Roman" w:hAnsi="Times New Roman" w:cs="Times New Roman"/>
        </w:rPr>
        <w:t>invites</w:t>
      </w:r>
      <w:proofErr w:type="gramEnd"/>
      <w:r>
        <w:rPr>
          <w:rFonts w:ascii="Times New Roman" w:eastAsia="Times New Roman" w:hAnsi="Times New Roman" w:cs="Times New Roman"/>
        </w:rPr>
        <w:t xml:space="preserve"> questions about the clustering of solidarity economy initiatives, about where they tend to concentrate and settle, and most importantly, for what reasons. </w:t>
      </w:r>
    </w:p>
    <w:p w14:paraId="7AB3C086" w14:textId="77777777" w:rsidR="00D4452C" w:rsidRDefault="001A61B1">
      <w:pPr>
        <w:ind w:firstLine="720"/>
        <w:rPr>
          <w:rFonts w:ascii="Times New Roman" w:eastAsia="Times New Roman" w:hAnsi="Times New Roman" w:cs="Times New Roman"/>
        </w:rPr>
      </w:pPr>
      <w:r>
        <w:rPr>
          <w:rFonts w:ascii="Times New Roman" w:eastAsia="Times New Roman" w:hAnsi="Times New Roman" w:cs="Times New Roman"/>
        </w:rPr>
        <w:t>While Map 1 provides an overarching view of the solidarity econ</w:t>
      </w:r>
      <w:r>
        <w:rPr>
          <w:rFonts w:ascii="Times New Roman" w:eastAsia="Times New Roman" w:hAnsi="Times New Roman" w:cs="Times New Roman"/>
        </w:rPr>
        <w:t>omy’s sectoral distributions, it nonetheless underrepresents the extent to which initiatives converge in particular spaces. This is because the overlapping of dots masks the full density of solidarity economy clusters. In Map 2, we probe such clusters more</w:t>
      </w:r>
      <w:r>
        <w:rPr>
          <w:rFonts w:ascii="Times New Roman" w:eastAsia="Times New Roman" w:hAnsi="Times New Roman" w:cs="Times New Roman"/>
        </w:rPr>
        <w:t xml:space="preserve"> fully by presenting the same data via a density surface. This was done by applying a geospatial technique called kernel density estimation. Simply speaking, the density maps show where the solidarity economy activity is more or less dense. Similar to how </w:t>
      </w:r>
      <w:r>
        <w:rPr>
          <w:rFonts w:ascii="Times New Roman" w:eastAsia="Times New Roman" w:hAnsi="Times New Roman" w:cs="Times New Roman"/>
        </w:rPr>
        <w:t xml:space="preserve">population density maps show quantities of people per area unit (e.g., persons per acre), our maps show variation in quantities of initiatives per acre. Areas with higher densities are colored with darker shades while areas with lower density have lighter </w:t>
      </w:r>
      <w:r>
        <w:rPr>
          <w:rFonts w:ascii="Times New Roman" w:eastAsia="Times New Roman" w:hAnsi="Times New Roman" w:cs="Times New Roman"/>
        </w:rPr>
        <w:t xml:space="preserve">shades. </w:t>
      </w:r>
    </w:p>
    <w:p w14:paraId="5CEDDE52" w14:textId="77777777" w:rsidR="00D4452C" w:rsidRDefault="00D4452C">
      <w:pPr>
        <w:rPr>
          <w:rFonts w:ascii="Times New Roman" w:eastAsia="Times New Roman" w:hAnsi="Times New Roman" w:cs="Times New Roman"/>
          <w:b/>
        </w:rPr>
      </w:pPr>
    </w:p>
    <w:p w14:paraId="2C76E38E" w14:textId="77777777" w:rsidR="00D4452C" w:rsidRDefault="001A61B1">
      <w:pPr>
        <w:rPr>
          <w:rFonts w:ascii="Times New Roman" w:eastAsia="Times New Roman" w:hAnsi="Times New Roman" w:cs="Times New Roman"/>
        </w:rPr>
      </w:pPr>
      <w:r>
        <w:rPr>
          <w:rFonts w:ascii="Times New Roman" w:eastAsia="Times New Roman" w:hAnsi="Times New Roman" w:cs="Times New Roman"/>
          <w:b/>
        </w:rPr>
        <w:lastRenderedPageBreak/>
        <w:t>Map 2: Density of solidarity economy initiatives in Philadelphia, New York City, and Worcester</w:t>
      </w:r>
    </w:p>
    <w:p w14:paraId="68048A69" w14:textId="77777777" w:rsidR="00D4452C" w:rsidRDefault="001A61B1">
      <w:pPr>
        <w:pStyle w:val="Heading4"/>
        <w:rPr>
          <w:rFonts w:ascii="Times New Roman" w:eastAsia="Times New Roman" w:hAnsi="Times New Roman" w:cs="Times New Roman"/>
          <w:b/>
          <w:color w:val="000000"/>
        </w:rPr>
      </w:pPr>
      <w:bookmarkStart w:id="6" w:name="_heading=h.tyjcwt" w:colFirst="0" w:colLast="0"/>
      <w:bookmarkEnd w:id="6"/>
      <w:r>
        <w:rPr>
          <w:rFonts w:ascii="Times New Roman" w:eastAsia="Times New Roman" w:hAnsi="Times New Roman" w:cs="Times New Roman"/>
          <w:b/>
          <w:noProof/>
          <w:color w:val="000000"/>
        </w:rPr>
        <w:drawing>
          <wp:inline distT="114300" distB="114300" distL="114300" distR="114300" wp14:anchorId="294F7C7C" wp14:editId="696758A4">
            <wp:extent cx="5943600" cy="40767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943600" cy="4076700"/>
                    </a:xfrm>
                    <a:prstGeom prst="rect">
                      <a:avLst/>
                    </a:prstGeom>
                    <a:ln/>
                  </pic:spPr>
                </pic:pic>
              </a:graphicData>
            </a:graphic>
          </wp:inline>
        </w:drawing>
      </w:r>
    </w:p>
    <w:p w14:paraId="113ED775" w14:textId="77777777" w:rsidR="00D4452C" w:rsidRDefault="001A61B1">
      <w:pPr>
        <w:rPr>
          <w:rFonts w:ascii="Times New Roman" w:eastAsia="Times New Roman" w:hAnsi="Times New Roman" w:cs="Times New Roman"/>
        </w:rPr>
      </w:pPr>
      <w:r>
        <w:rPr>
          <w:rFonts w:ascii="Times New Roman" w:eastAsia="Times New Roman" w:hAnsi="Times New Roman" w:cs="Times New Roman"/>
        </w:rPr>
        <w:t>Map 2 offers a two-dimensional look at the landscape. In it, we observe stark contrasts between where the solidarity economy is dense and where it is</w:t>
      </w:r>
      <w:r>
        <w:rPr>
          <w:rFonts w:ascii="Times New Roman" w:eastAsia="Times New Roman" w:hAnsi="Times New Roman" w:cs="Times New Roman"/>
        </w:rPr>
        <w:t xml:space="preserve"> sparse. But even these maps do not convey the full intensity of those solidarity-economy clusters. Map 3 presents these density surfaces in </w:t>
      </w:r>
      <w:r>
        <w:rPr>
          <w:rFonts w:ascii="Times New Roman" w:eastAsia="Times New Roman" w:hAnsi="Times New Roman" w:cs="Times New Roman"/>
          <w:i/>
        </w:rPr>
        <w:t>three</w:t>
      </w:r>
      <w:r>
        <w:rPr>
          <w:rFonts w:ascii="Times New Roman" w:eastAsia="Times New Roman" w:hAnsi="Times New Roman" w:cs="Times New Roman"/>
        </w:rPr>
        <w:t xml:space="preserve"> dimensions. This perspective further amplifies the solidarity economy’s presence and patterns on the maps. </w:t>
      </w:r>
    </w:p>
    <w:p w14:paraId="32DC59E7" w14:textId="77777777" w:rsidR="00D4452C" w:rsidRDefault="00D4452C">
      <w:pPr>
        <w:rPr>
          <w:rFonts w:ascii="Times New Roman" w:eastAsia="Times New Roman" w:hAnsi="Times New Roman" w:cs="Times New Roman"/>
          <w:b/>
        </w:rPr>
      </w:pPr>
    </w:p>
    <w:p w14:paraId="241D0829" w14:textId="77777777" w:rsidR="006F02B9" w:rsidRDefault="006F02B9">
      <w:pPr>
        <w:rPr>
          <w:rFonts w:ascii="Times New Roman" w:eastAsia="Times New Roman" w:hAnsi="Times New Roman" w:cs="Times New Roman"/>
          <w:b/>
        </w:rPr>
      </w:pPr>
    </w:p>
    <w:p w14:paraId="7FB0E2EE" w14:textId="77777777" w:rsidR="006F02B9" w:rsidRDefault="006F02B9">
      <w:pPr>
        <w:rPr>
          <w:rFonts w:ascii="Times New Roman" w:eastAsia="Times New Roman" w:hAnsi="Times New Roman" w:cs="Times New Roman"/>
          <w:b/>
        </w:rPr>
      </w:pPr>
    </w:p>
    <w:p w14:paraId="29BD7719" w14:textId="77777777" w:rsidR="006F02B9" w:rsidRDefault="006F02B9">
      <w:pPr>
        <w:rPr>
          <w:rFonts w:ascii="Times New Roman" w:eastAsia="Times New Roman" w:hAnsi="Times New Roman" w:cs="Times New Roman"/>
          <w:b/>
        </w:rPr>
      </w:pPr>
    </w:p>
    <w:p w14:paraId="4A71C7D0" w14:textId="3FFEB6F4" w:rsidR="00D4452C" w:rsidRDefault="001A61B1">
      <w:pPr>
        <w:rPr>
          <w:rFonts w:ascii="Times New Roman" w:eastAsia="Times New Roman" w:hAnsi="Times New Roman" w:cs="Times New Roman"/>
        </w:rPr>
      </w:pPr>
      <w:r>
        <w:rPr>
          <w:rFonts w:ascii="Times New Roman" w:eastAsia="Times New Roman" w:hAnsi="Times New Roman" w:cs="Times New Roman"/>
          <w:b/>
        </w:rPr>
        <w:lastRenderedPageBreak/>
        <w:t>Map 3. Three-dimensional visualization of solidarity economy density</w:t>
      </w:r>
    </w:p>
    <w:p w14:paraId="0A0B48B0" w14:textId="77777777" w:rsidR="00D4452C" w:rsidRDefault="001A61B1">
      <w:pPr>
        <w:pStyle w:val="Heading4"/>
        <w:rPr>
          <w:rFonts w:ascii="Times New Roman" w:eastAsia="Times New Roman" w:hAnsi="Times New Roman" w:cs="Times New Roman"/>
          <w:b/>
          <w:color w:val="000000"/>
        </w:rPr>
      </w:pPr>
      <w:bookmarkStart w:id="7" w:name="_heading=h.3dy6vkm" w:colFirst="0" w:colLast="0"/>
      <w:bookmarkEnd w:id="7"/>
      <w:r>
        <w:rPr>
          <w:rFonts w:ascii="Times New Roman" w:eastAsia="Times New Roman" w:hAnsi="Times New Roman" w:cs="Times New Roman"/>
          <w:b/>
          <w:noProof/>
          <w:color w:val="000000"/>
        </w:rPr>
        <w:drawing>
          <wp:inline distT="114300" distB="114300" distL="114300" distR="114300" wp14:anchorId="3CC0833D" wp14:editId="40779812">
            <wp:extent cx="5943600" cy="40132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943600" cy="4013200"/>
                    </a:xfrm>
                    <a:prstGeom prst="rect">
                      <a:avLst/>
                    </a:prstGeom>
                    <a:ln/>
                  </pic:spPr>
                </pic:pic>
              </a:graphicData>
            </a:graphic>
          </wp:inline>
        </w:drawing>
      </w:r>
    </w:p>
    <w:p w14:paraId="6DF03E68" w14:textId="77777777" w:rsidR="00D4452C" w:rsidRDefault="001A61B1">
      <w:pPr>
        <w:rPr>
          <w:rFonts w:ascii="Times New Roman" w:eastAsia="Times New Roman" w:hAnsi="Times New Roman" w:cs="Times New Roman"/>
        </w:rPr>
      </w:pPr>
      <w:r>
        <w:rPr>
          <w:rFonts w:ascii="Times New Roman" w:eastAsia="Times New Roman" w:hAnsi="Times New Roman" w:cs="Times New Roman"/>
        </w:rPr>
        <w:t>The three-dimensional landscape might remind viewers of a relief composed of mountains, valleys, and plains, with higher densities resembling mountain peaks and lower densities resembli</w:t>
      </w:r>
      <w:r>
        <w:rPr>
          <w:rFonts w:ascii="Times New Roman" w:eastAsia="Times New Roman" w:hAnsi="Times New Roman" w:cs="Times New Roman"/>
        </w:rPr>
        <w:t>ng lower elevations. The map images not only display the solidarity economy as a city-wide phenomenon deserving thoughtful consideration but also beckon the viewer to ponder which specific areas of the city align with these most vibrant centers of solidari</w:t>
      </w:r>
      <w:r>
        <w:rPr>
          <w:rFonts w:ascii="Times New Roman" w:eastAsia="Times New Roman" w:hAnsi="Times New Roman" w:cs="Times New Roman"/>
        </w:rPr>
        <w:t xml:space="preserve">ty economic activity. We want to recognize these specific neighborhoods, find out their names, and explain why those neighborhoods have high densities of the solidarity economy. </w:t>
      </w:r>
    </w:p>
    <w:p w14:paraId="34971E02" w14:textId="77777777" w:rsidR="00D4452C" w:rsidRDefault="001A61B1">
      <w:pPr>
        <w:pStyle w:val="Heading1"/>
      </w:pPr>
      <w:bookmarkStart w:id="8" w:name="_heading=h.1t3h5sf" w:colFirst="0" w:colLast="0"/>
      <w:bookmarkEnd w:id="8"/>
      <w:r>
        <w:lastRenderedPageBreak/>
        <w:t xml:space="preserve">Hotspots of solidarity economies in neighborhoods </w:t>
      </w:r>
    </w:p>
    <w:p w14:paraId="246700E1" w14:textId="77777777" w:rsidR="00D4452C" w:rsidRDefault="001A61B1">
      <w:pPr>
        <w:rPr>
          <w:rFonts w:ascii="Times New Roman" w:eastAsia="Times New Roman" w:hAnsi="Times New Roman" w:cs="Times New Roman"/>
        </w:rPr>
      </w:pPr>
      <w:r>
        <w:rPr>
          <w:rFonts w:ascii="Times New Roman" w:eastAsia="Times New Roman" w:hAnsi="Times New Roman" w:cs="Times New Roman"/>
        </w:rPr>
        <w:t>In spatial statistics, are</w:t>
      </w:r>
      <w:r>
        <w:rPr>
          <w:rFonts w:ascii="Times New Roman" w:eastAsia="Times New Roman" w:hAnsi="Times New Roman" w:cs="Times New Roman"/>
        </w:rPr>
        <w:t xml:space="preserve">as of high density of a phenomenon are called “hotspots.” For example, biodiversity hotspots include areas with the highest density and variety of species. Similarly, maps of solidarity economy hotspots would indicate the areas in which solidarity economy </w:t>
      </w:r>
      <w:r>
        <w:rPr>
          <w:rFonts w:ascii="Times New Roman" w:eastAsia="Times New Roman" w:hAnsi="Times New Roman" w:cs="Times New Roman"/>
        </w:rPr>
        <w:t>activity has the highest density. We can think of these hotspots as spatial anchors of the solidarity city: when more and more solidarity economy initiatives exist in the same neighborhoods, their proximity creates conditions for possible synergies between</w:t>
      </w:r>
      <w:r>
        <w:rPr>
          <w:rFonts w:ascii="Times New Roman" w:eastAsia="Times New Roman" w:hAnsi="Times New Roman" w:cs="Times New Roman"/>
        </w:rPr>
        <w:t xml:space="preserve"> the initiatives, potentially generating connections that are more likely to endure and sustain each other. These are the most likely sites for the emergence of the solidarity economy ecosystem.</w:t>
      </w:r>
    </w:p>
    <w:p w14:paraId="1E997C86" w14:textId="77777777" w:rsidR="00D4452C" w:rsidRDefault="001A61B1">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In Maps 4, 5, and 6, we pinpoint the neighborhood location</w:t>
      </w:r>
      <w:r>
        <w:rPr>
          <w:rFonts w:ascii="Times New Roman" w:eastAsia="Times New Roman" w:hAnsi="Times New Roman" w:cs="Times New Roman"/>
        </w:rPr>
        <w:t>s of hotspots within the three cities. They include the four highest degrees of density in the solidarity economy that are represented by four shades of purple. We identified five hotspots in Philadelphia (P1-P5), seven hotspots in New York City (N1-N7), a</w:t>
      </w:r>
      <w:r>
        <w:rPr>
          <w:rFonts w:ascii="Times New Roman" w:eastAsia="Times New Roman" w:hAnsi="Times New Roman" w:cs="Times New Roman"/>
        </w:rPr>
        <w:t>nd one central hotspot in Worcester (W1). Clearly, the quantity of hotspots, along with their density and extent, correlate with city size. The larger the city, the greater the number of neighborhoods with high concentrations of solidarity economy initiati</w:t>
      </w:r>
      <w:r>
        <w:rPr>
          <w:rFonts w:ascii="Times New Roman" w:eastAsia="Times New Roman" w:hAnsi="Times New Roman" w:cs="Times New Roman"/>
        </w:rPr>
        <w:t xml:space="preserve">ves. At the same time, each city has its own historical trajectory that produces specific contours of the Solidarity City. Thus, the question of where—in which specific neighborhoods of a particular city—we find the solidarity economy hotspots is of great </w:t>
      </w:r>
      <w:r>
        <w:rPr>
          <w:rFonts w:ascii="Times New Roman" w:eastAsia="Times New Roman" w:hAnsi="Times New Roman" w:cs="Times New Roman"/>
        </w:rPr>
        <w:t>importance to our inquiry. Identifying those neighborhoods is a step towards understanding the formation of those dense clusters that can have generative potential for social transformation towards solidarity cities. We list these neighborhoods in the maps</w:t>
      </w:r>
      <w:r>
        <w:rPr>
          <w:rFonts w:ascii="Times New Roman" w:eastAsia="Times New Roman" w:hAnsi="Times New Roman" w:cs="Times New Roman"/>
        </w:rPr>
        <w:t xml:space="preserve">’ margins. As it turns out, many hotspots correspond to historic places and their names ring bells for those familiar with our research cities. This indicates that the solidarity economy is closely intertwined with urban histories and processes </w:t>
      </w:r>
      <w:r>
        <w:rPr>
          <w:rFonts w:ascii="Times New Roman" w:eastAsia="Times New Roman" w:hAnsi="Times New Roman" w:cs="Times New Roman"/>
        </w:rPr>
        <w:lastRenderedPageBreak/>
        <w:t xml:space="preserve">that shape </w:t>
      </w:r>
      <w:r>
        <w:rPr>
          <w:rFonts w:ascii="Times New Roman" w:eastAsia="Times New Roman" w:hAnsi="Times New Roman" w:cs="Times New Roman"/>
        </w:rPr>
        <w:t>urban space. Some of these neighborhood names will reappear later in the book and can be found by looking again on these three maps.</w:t>
      </w:r>
    </w:p>
    <w:p w14:paraId="014AF0C8" w14:textId="77777777" w:rsidR="00D4452C" w:rsidRDefault="00D4452C">
      <w:pPr>
        <w:rPr>
          <w:rFonts w:ascii="Times New Roman" w:eastAsia="Times New Roman" w:hAnsi="Times New Roman" w:cs="Times New Roman"/>
        </w:rPr>
      </w:pPr>
    </w:p>
    <w:p w14:paraId="3303E2CD" w14:textId="77777777" w:rsidR="00D4452C" w:rsidRDefault="001A61B1">
      <w:pPr>
        <w:spacing w:line="240" w:lineRule="auto"/>
        <w:rPr>
          <w:rFonts w:ascii="Times New Roman" w:eastAsia="Times New Roman" w:hAnsi="Times New Roman" w:cs="Times New Roman"/>
          <w:b/>
        </w:rPr>
      </w:pPr>
      <w:r>
        <w:rPr>
          <w:rFonts w:ascii="Times New Roman" w:eastAsia="Times New Roman" w:hAnsi="Times New Roman" w:cs="Times New Roman"/>
          <w:b/>
        </w:rPr>
        <w:t>Map 4. Solidarity economy hotspots and Philadelphia neighborhoods</w:t>
      </w:r>
    </w:p>
    <w:p w14:paraId="3720AA84" w14:textId="77777777" w:rsidR="00D4452C" w:rsidRDefault="001A61B1">
      <w:pPr>
        <w:pStyle w:val="Heading4"/>
        <w:rPr>
          <w:rFonts w:ascii="Times New Roman" w:eastAsia="Times New Roman" w:hAnsi="Times New Roman" w:cs="Times New Roman"/>
          <w:b/>
        </w:rPr>
      </w:pPr>
      <w:bookmarkStart w:id="9" w:name="_heading=h.8rprhnye30oj" w:colFirst="0" w:colLast="0"/>
      <w:bookmarkEnd w:id="9"/>
      <w:r>
        <w:rPr>
          <w:rFonts w:ascii="Times New Roman" w:eastAsia="Times New Roman" w:hAnsi="Times New Roman" w:cs="Times New Roman"/>
          <w:b/>
          <w:noProof/>
          <w:color w:val="000000"/>
        </w:rPr>
        <w:drawing>
          <wp:inline distT="114300" distB="114300" distL="114300" distR="114300" wp14:anchorId="4711CD5F" wp14:editId="11007F65">
            <wp:extent cx="5796915" cy="3929639"/>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796915" cy="3929639"/>
                    </a:xfrm>
                    <a:prstGeom prst="rect">
                      <a:avLst/>
                    </a:prstGeom>
                    <a:ln/>
                  </pic:spPr>
                </pic:pic>
              </a:graphicData>
            </a:graphic>
          </wp:inline>
        </w:drawing>
      </w:r>
    </w:p>
    <w:p w14:paraId="7B3A5956" w14:textId="77777777" w:rsidR="00D4452C" w:rsidRDefault="001A61B1">
      <w:pPr>
        <w:rPr>
          <w:rFonts w:ascii="Times New Roman" w:eastAsia="Times New Roman" w:hAnsi="Times New Roman" w:cs="Times New Roman"/>
        </w:rPr>
      </w:pPr>
      <w:r>
        <w:br w:type="page"/>
      </w:r>
    </w:p>
    <w:p w14:paraId="0882366D" w14:textId="77777777" w:rsidR="00D4452C" w:rsidRDefault="001A61B1">
      <w:pPr>
        <w:rPr>
          <w:rFonts w:ascii="Times New Roman" w:eastAsia="Times New Roman" w:hAnsi="Times New Roman" w:cs="Times New Roman"/>
          <w:b/>
          <w:color w:val="000000"/>
        </w:rPr>
      </w:pPr>
      <w:r>
        <w:rPr>
          <w:rFonts w:ascii="Times New Roman" w:eastAsia="Times New Roman" w:hAnsi="Times New Roman" w:cs="Times New Roman"/>
          <w:b/>
        </w:rPr>
        <w:lastRenderedPageBreak/>
        <w:t>Map 5. Solidarity economy hotspots and New York City neighborhoods</w:t>
      </w:r>
      <w:r>
        <w:rPr>
          <w:rFonts w:ascii="Times New Roman" w:eastAsia="Times New Roman" w:hAnsi="Times New Roman" w:cs="Times New Roman"/>
          <w:b/>
          <w:noProof/>
          <w:color w:val="000000"/>
        </w:rPr>
        <w:drawing>
          <wp:inline distT="114300" distB="114300" distL="114300" distR="114300" wp14:anchorId="5B23FCEA" wp14:editId="0EAA71D4">
            <wp:extent cx="5518707" cy="379473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518707" cy="3794730"/>
                    </a:xfrm>
                    <a:prstGeom prst="rect">
                      <a:avLst/>
                    </a:prstGeom>
                    <a:ln/>
                  </pic:spPr>
                </pic:pic>
              </a:graphicData>
            </a:graphic>
          </wp:inline>
        </w:drawing>
      </w:r>
    </w:p>
    <w:p w14:paraId="066EA295" w14:textId="77777777" w:rsidR="00D4452C" w:rsidRDefault="001A61B1">
      <w:pPr>
        <w:rPr>
          <w:rFonts w:ascii="Times New Roman" w:eastAsia="Times New Roman" w:hAnsi="Times New Roman" w:cs="Times New Roman"/>
        </w:rPr>
      </w:pPr>
      <w:r>
        <w:rPr>
          <w:rFonts w:ascii="Times New Roman" w:eastAsia="Times New Roman" w:hAnsi="Times New Roman" w:cs="Times New Roman"/>
          <w:b/>
        </w:rPr>
        <w:lastRenderedPageBreak/>
        <w:t xml:space="preserve"> Map 6. Solidarity economy hotspots and Worcester neighborhoods</w:t>
      </w:r>
      <w:r>
        <w:rPr>
          <w:rFonts w:ascii="Times New Roman" w:eastAsia="Times New Roman" w:hAnsi="Times New Roman" w:cs="Times New Roman"/>
          <w:b/>
          <w:noProof/>
        </w:rPr>
        <w:drawing>
          <wp:inline distT="114300" distB="114300" distL="114300" distR="114300" wp14:anchorId="3BDD9D2B" wp14:editId="3FE35B94">
            <wp:extent cx="5469255" cy="375610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469255" cy="3756105"/>
                    </a:xfrm>
                    <a:prstGeom prst="rect">
                      <a:avLst/>
                    </a:prstGeom>
                    <a:ln/>
                  </pic:spPr>
                </pic:pic>
              </a:graphicData>
            </a:graphic>
          </wp:inline>
        </w:drawing>
      </w:r>
    </w:p>
    <w:p w14:paraId="5D5FDD55" w14:textId="77777777" w:rsidR="00D4452C" w:rsidRDefault="001A61B1">
      <w:pPr>
        <w:rPr>
          <w:rFonts w:ascii="Times New Roman" w:eastAsia="Times New Roman" w:hAnsi="Times New Roman" w:cs="Times New Roman"/>
        </w:rPr>
      </w:pPr>
      <w:r>
        <w:rPr>
          <w:rFonts w:ascii="Times New Roman" w:eastAsia="Times New Roman" w:hAnsi="Times New Roman" w:cs="Times New Roman"/>
        </w:rPr>
        <w:t>The concentrations of solidarity economy initiatives in hotspot areas are significant: 61% of Philadelphia’s solidarity eco</w:t>
      </w:r>
      <w:r>
        <w:rPr>
          <w:rFonts w:ascii="Times New Roman" w:eastAsia="Times New Roman" w:hAnsi="Times New Roman" w:cs="Times New Roman"/>
        </w:rPr>
        <w:t>nomy initiatives are in its hotspots, and 69% of New York City’s solidarity economy initiatives are in its hotspots. The density map of Worcester shows a similar pattern, with the bulk of solidarity economy activity taking place in the city center in the a</w:t>
      </w:r>
      <w:r>
        <w:rPr>
          <w:rFonts w:ascii="Times New Roman" w:eastAsia="Times New Roman" w:hAnsi="Times New Roman" w:cs="Times New Roman"/>
        </w:rPr>
        <w:t>rea colloquially known as Main South. This is important for a lot of reasons. Certain clustering in central urban locations (e.g., Central Business District areas) is typical of all kinds of economic activities. High transport accessibility, economies of s</w:t>
      </w:r>
      <w:r>
        <w:rPr>
          <w:rFonts w:ascii="Times New Roman" w:eastAsia="Times New Roman" w:hAnsi="Times New Roman" w:cs="Times New Roman"/>
        </w:rPr>
        <w:t>cale, and possibility of face-to-face communication (even in the era of internet conferencing) constitute powerful motives that offset high rents in such locations. In the case of solidarity economy, these factors conjure with those specific to the movemen</w:t>
      </w:r>
      <w:r>
        <w:rPr>
          <w:rFonts w:ascii="Times New Roman" w:eastAsia="Times New Roman" w:hAnsi="Times New Roman" w:cs="Times New Roman"/>
        </w:rPr>
        <w:t xml:space="preserve">t. Political potential widens when solidarity economy initiatives cluster together not only for general access considerations but with the intention to be near each other; </w:t>
      </w:r>
      <w:r>
        <w:rPr>
          <w:rFonts w:ascii="Times New Roman" w:eastAsia="Times New Roman" w:hAnsi="Times New Roman" w:cs="Times New Roman"/>
        </w:rPr>
        <w:lastRenderedPageBreak/>
        <w:t>they can gain some joint organizing power and leverage with city agencies in negotia</w:t>
      </w:r>
      <w:r>
        <w:rPr>
          <w:rFonts w:ascii="Times New Roman" w:eastAsia="Times New Roman" w:hAnsi="Times New Roman" w:cs="Times New Roman"/>
        </w:rPr>
        <w:t>ting conditions of existence. Additionally, clustering makes it more possible and likely for different households to use and engage in multiple forms of solidarity economies as interest catches fire. To give just one example, in the Bronx hotspot N1, Norwo</w:t>
      </w:r>
      <w:r>
        <w:rPr>
          <w:rFonts w:ascii="Times New Roman" w:eastAsia="Times New Roman" w:hAnsi="Times New Roman" w:cs="Times New Roman"/>
        </w:rPr>
        <w:t xml:space="preserve">od CSA distributes food at </w:t>
      </w:r>
      <w:proofErr w:type="spellStart"/>
      <w:r>
        <w:rPr>
          <w:rFonts w:ascii="Times New Roman" w:eastAsia="Times New Roman" w:hAnsi="Times New Roman" w:cs="Times New Roman"/>
        </w:rPr>
        <w:t>dropoff</w:t>
      </w:r>
      <w:proofErr w:type="spellEnd"/>
      <w:r>
        <w:rPr>
          <w:rFonts w:ascii="Times New Roman" w:eastAsia="Times New Roman" w:hAnsi="Times New Roman" w:cs="Times New Roman"/>
        </w:rPr>
        <w:t xml:space="preserve"> points in two community gardens (James Baldwin and Bainbridge Community Gardens), which include members who live in nearby Amalgamated Housing Cooperative (the oldest housing co-op in the city), which is serviced by Van C</w:t>
      </w:r>
      <w:r>
        <w:rPr>
          <w:rFonts w:ascii="Times New Roman" w:eastAsia="Times New Roman" w:hAnsi="Times New Roman" w:cs="Times New Roman"/>
        </w:rPr>
        <w:t>ortlandt Credit Union. Returning to our forest metaphor for the solidarity economy, hotspots can be seen as forest oases in the city—teeming with life and the possibility of sharing resources to grow in mutually supportive ways. In other words, these are t</w:t>
      </w:r>
      <w:r>
        <w:rPr>
          <w:rFonts w:ascii="Times New Roman" w:eastAsia="Times New Roman" w:hAnsi="Times New Roman" w:cs="Times New Roman"/>
        </w:rPr>
        <w:t xml:space="preserve">he sites where the solidarity economy ecosystem has particularly good chances to grow, diversify, and strengthen. These hotspots are not only where the solidarity city is most visibly present today, but they also have the greatest potential for the future </w:t>
      </w:r>
      <w:r>
        <w:rPr>
          <w:rFonts w:ascii="Times New Roman" w:eastAsia="Times New Roman" w:hAnsi="Times New Roman" w:cs="Times New Roman"/>
        </w:rPr>
        <w:t xml:space="preserve">of solidarity cities. </w:t>
      </w:r>
    </w:p>
    <w:p w14:paraId="41BAF05A" w14:textId="77777777" w:rsidR="00D4452C" w:rsidRDefault="001A61B1">
      <w:pPr>
        <w:ind w:firstLine="720"/>
        <w:rPr>
          <w:rFonts w:ascii="Times New Roman" w:eastAsia="Times New Roman" w:hAnsi="Times New Roman" w:cs="Times New Roman"/>
        </w:rPr>
      </w:pPr>
      <w:r>
        <w:rPr>
          <w:rFonts w:ascii="Times New Roman" w:eastAsia="Times New Roman" w:hAnsi="Times New Roman" w:cs="Times New Roman"/>
        </w:rPr>
        <w:t xml:space="preserve">In the sections that follow, we seek to better understand these hotspots by situating them historically and in relation to broader demographic and economic contexts. Our analysis shows that there is a strong relationship between the </w:t>
      </w:r>
      <w:r>
        <w:rPr>
          <w:rFonts w:ascii="Times New Roman" w:eastAsia="Times New Roman" w:hAnsi="Times New Roman" w:cs="Times New Roman"/>
        </w:rPr>
        <w:t xml:space="preserve">present spatial distribution of solidarity economic activities and historical patterns of racial-capitalist urbanization. </w:t>
      </w:r>
    </w:p>
    <w:p w14:paraId="3BA38ACE" w14:textId="77777777" w:rsidR="00D4452C" w:rsidRDefault="00D4452C">
      <w:pPr>
        <w:rPr>
          <w:rFonts w:ascii="Times New Roman" w:eastAsia="Times New Roman" w:hAnsi="Times New Roman" w:cs="Times New Roman"/>
        </w:rPr>
      </w:pPr>
    </w:p>
    <w:p w14:paraId="0C10E013" w14:textId="77777777" w:rsidR="00D4452C" w:rsidRDefault="001A61B1">
      <w:pPr>
        <w:pStyle w:val="Heading1"/>
        <w:rPr>
          <w:rFonts w:ascii="Times New Roman" w:eastAsia="Times New Roman" w:hAnsi="Times New Roman" w:cs="Times New Roman"/>
        </w:rPr>
      </w:pPr>
      <w:bookmarkStart w:id="10" w:name="_heading=h.3rdcrjn" w:colFirst="0" w:colLast="0"/>
      <w:bookmarkEnd w:id="10"/>
      <w:r>
        <w:rPr>
          <w:rFonts w:ascii="Times New Roman" w:eastAsia="Times New Roman" w:hAnsi="Times New Roman" w:cs="Times New Roman"/>
        </w:rPr>
        <w:t>Solidarity economy hotspots in relation to poverty and race</w:t>
      </w:r>
    </w:p>
    <w:p w14:paraId="7E70E734" w14:textId="648EC65B" w:rsidR="00D4452C" w:rsidRDefault="001A61B1">
      <w:pPr>
        <w:rPr>
          <w:rFonts w:ascii="Times New Roman" w:eastAsia="Times New Roman" w:hAnsi="Times New Roman" w:cs="Times New Roman"/>
        </w:rPr>
      </w:pPr>
      <w:r>
        <w:rPr>
          <w:rFonts w:ascii="Times New Roman" w:eastAsia="Times New Roman" w:hAnsi="Times New Roman" w:cs="Times New Roman"/>
        </w:rPr>
        <w:t xml:space="preserve"> Like most major US cities, New York, Philadelphia, and Worcester,</w:t>
      </w:r>
      <w:r>
        <w:rPr>
          <w:rFonts w:ascii="Times New Roman" w:eastAsia="Times New Roman" w:hAnsi="Times New Roman" w:cs="Times New Roman"/>
        </w:rPr>
        <w:t xml:space="preserve"> are </w:t>
      </w:r>
      <w:r>
        <w:rPr>
          <w:rFonts w:ascii="Times New Roman" w:eastAsia="Times New Roman" w:hAnsi="Times New Roman" w:cs="Times New Roman"/>
        </w:rPr>
        <w:t xml:space="preserve">spatially segregated by race, poverty, and wealth. These divisions, what we’ve termed “fault line” patterns, are largely products of capitalist development, cultural practices, law, and policy that shape norms and the social order. What can we learn about </w:t>
      </w:r>
      <w:r>
        <w:rPr>
          <w:rFonts w:ascii="Times New Roman" w:eastAsia="Times New Roman" w:hAnsi="Times New Roman" w:cs="Times New Roman"/>
        </w:rPr>
        <w:t xml:space="preserve">the spatial distribution of the solidarity economy by mapping hotspot locations in relation to urban space divided in these ways? In order to explore </w:t>
      </w:r>
      <w:r>
        <w:rPr>
          <w:rFonts w:ascii="Times New Roman" w:eastAsia="Times New Roman" w:hAnsi="Times New Roman" w:cs="Times New Roman"/>
        </w:rPr>
        <w:lastRenderedPageBreak/>
        <w:t xml:space="preserve">this, we examine what kinds of communities inhabit the neighborhoods with solidarity economy hotspots. </w:t>
      </w:r>
    </w:p>
    <w:p w14:paraId="4C62BFD5" w14:textId="77777777" w:rsidR="00D4452C" w:rsidRDefault="001A61B1">
      <w:pPr>
        <w:ind w:firstLine="720"/>
        <w:rPr>
          <w:rFonts w:ascii="Times New Roman" w:eastAsia="Times New Roman" w:hAnsi="Times New Roman" w:cs="Times New Roman"/>
        </w:rPr>
      </w:pPr>
      <w:r>
        <w:rPr>
          <w:rFonts w:ascii="Times New Roman" w:eastAsia="Times New Roman" w:hAnsi="Times New Roman" w:cs="Times New Roman"/>
        </w:rPr>
        <w:t>Th</w:t>
      </w:r>
      <w:r>
        <w:rPr>
          <w:rFonts w:ascii="Times New Roman" w:eastAsia="Times New Roman" w:hAnsi="Times New Roman" w:cs="Times New Roman"/>
        </w:rPr>
        <w:t>e overlapping geographies of solidarity economies and racialized poverty and wealth are visible in Map 7 for Philadelphia, Map 8 for New York City, and Map 9 for Worcester. In each of these, the maps A (on the left) show how solidarity economies are positi</w:t>
      </w:r>
      <w:r>
        <w:rPr>
          <w:rFonts w:ascii="Times New Roman" w:eastAsia="Times New Roman" w:hAnsi="Times New Roman" w:cs="Times New Roman"/>
        </w:rPr>
        <w:t>oned with respect to income inequalities, while maps B show the relationship to race. These angles touch on the pressing social problems of poverty and racialization that divide urban societies. The resulting fault lines find their expression in urban spac</w:t>
      </w:r>
      <w:r>
        <w:rPr>
          <w:rFonts w:ascii="Times New Roman" w:eastAsia="Times New Roman" w:hAnsi="Times New Roman" w:cs="Times New Roman"/>
        </w:rPr>
        <w:t xml:space="preserve">e. </w:t>
      </w:r>
    </w:p>
    <w:p w14:paraId="036637A8" w14:textId="77777777" w:rsidR="00D4452C" w:rsidRDefault="001A61B1">
      <w:pPr>
        <w:ind w:firstLine="720"/>
        <w:rPr>
          <w:rFonts w:ascii="Times New Roman" w:eastAsia="Times New Roman" w:hAnsi="Times New Roman" w:cs="Times New Roman"/>
        </w:rPr>
      </w:pPr>
      <w:r>
        <w:rPr>
          <w:rFonts w:ascii="Times New Roman" w:eastAsia="Times New Roman" w:hAnsi="Times New Roman" w:cs="Times New Roman"/>
        </w:rPr>
        <w:t>In order to represent geographies of economic inequality, we used census data on median household income. To make this variable more meaningful as a measure of hardship, we have indexed income values to poverty line levels. We defined four levels of me</w:t>
      </w:r>
      <w:r>
        <w:rPr>
          <w:rFonts w:ascii="Times New Roman" w:eastAsia="Times New Roman" w:hAnsi="Times New Roman" w:cs="Times New Roman"/>
        </w:rPr>
        <w:t>dian household income as multiples of a poverty line for a typical three-person urban household. To account for large differences in cost of living, the poverty line levels used are specific to each city.</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Of the four income levels on the maps, the lowest income range includes areas at or below the cities’ respective poverty lines while the remaining three income ranges correspond to double, triple, and more than triple those levels. Thus, the poorest areas</w:t>
      </w:r>
      <w:r>
        <w:rPr>
          <w:rFonts w:ascii="Times New Roman" w:eastAsia="Times New Roman" w:hAnsi="Times New Roman" w:cs="Times New Roman"/>
        </w:rPr>
        <w:t xml:space="preserve"> appear as the lightest gray color while darker gray corresponds to areas with higher levels of income. Mapping multiples of the poverty line is important for how we conceive of economic inequality. We see poverty and privilege as mutually constitutive in </w:t>
      </w:r>
      <w:r>
        <w:rPr>
          <w:rFonts w:ascii="Times New Roman" w:eastAsia="Times New Roman" w:hAnsi="Times New Roman" w:cs="Times New Roman"/>
        </w:rPr>
        <w:t xml:space="preserve">a sense that poverty is constantly reproduced to assure the surplus continues to flow to the select wealthy few who can continue to amass wealth (Lawson and </w:t>
      </w:r>
      <w:r>
        <w:rPr>
          <w:rFonts w:ascii="Times New Roman" w:eastAsia="Times New Roman" w:hAnsi="Times New Roman" w:cs="Times New Roman"/>
        </w:rPr>
        <w:lastRenderedPageBreak/>
        <w:t>Elwood 2018). This way of thinking about inequality enables us to link income stratification to the</w:t>
      </w:r>
      <w:r>
        <w:rPr>
          <w:rFonts w:ascii="Times New Roman" w:eastAsia="Times New Roman" w:hAnsi="Times New Roman" w:cs="Times New Roman"/>
        </w:rPr>
        <w:t xml:space="preserve"> production of poverty, and measure income in relation to poverty levels. </w:t>
      </w:r>
    </w:p>
    <w:p w14:paraId="0371E361" w14:textId="77777777" w:rsidR="00D4452C" w:rsidRDefault="001A61B1">
      <w:pPr>
        <w:ind w:firstLine="720"/>
        <w:rPr>
          <w:rFonts w:ascii="Times New Roman" w:eastAsia="Times New Roman" w:hAnsi="Times New Roman" w:cs="Times New Roman"/>
        </w:rPr>
      </w:pPr>
      <w:r>
        <w:rPr>
          <w:rFonts w:ascii="Times New Roman" w:eastAsia="Times New Roman" w:hAnsi="Times New Roman" w:cs="Times New Roman"/>
        </w:rPr>
        <w:t>This approach also provides an expanded and more accurate way to conceive of poverty. It is well-known that the official poverty line is woefully inadequate at capturing the full ex</w:t>
      </w:r>
      <w:r>
        <w:rPr>
          <w:rFonts w:ascii="Times New Roman" w:eastAsia="Times New Roman" w:hAnsi="Times New Roman" w:cs="Times New Roman"/>
        </w:rPr>
        <w:t xml:space="preserve">tent of poverty, if by this we mean not a formal income measure but an inability to meet basic needs. It also fails to capture the economic insecurity of households living close to the poverty threshold, one emergency or unexpected bill away from becoming </w:t>
      </w:r>
      <w:r>
        <w:rPr>
          <w:rFonts w:ascii="Times New Roman" w:eastAsia="Times New Roman" w:hAnsi="Times New Roman" w:cs="Times New Roman"/>
        </w:rPr>
        <w:t>poor. For this reason, many analysts prefer a more encompassing threshold that includes those living “near poverty,” defined in ways ranging from 125% to 200% of the official poverty line, while others use the category “low-income” to refer to households w</w:t>
      </w:r>
      <w:r>
        <w:rPr>
          <w:rFonts w:ascii="Times New Roman" w:eastAsia="Times New Roman" w:hAnsi="Times New Roman" w:cs="Times New Roman"/>
        </w:rPr>
        <w:t>ith income 100-199% of the poverty threshold.</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 xml:space="preserve"> Mapping multiples of the poverty line enables us to integrate these other perspectives. Given that many solidarity economies are committed to economic and social justice, unmaking poverty and associated suffe</w:t>
      </w:r>
      <w:r>
        <w:rPr>
          <w:rFonts w:ascii="Times New Roman" w:eastAsia="Times New Roman" w:hAnsi="Times New Roman" w:cs="Times New Roman"/>
        </w:rPr>
        <w:t xml:space="preserve">ring and violence is important for accomplishing this goal. Our map series A for each of the next three figures shows how solidarity economies are clustering specifically with respect to poverty levels. </w:t>
      </w:r>
    </w:p>
    <w:p w14:paraId="432CAE52" w14:textId="77777777" w:rsidR="00D4452C" w:rsidRDefault="001A61B1">
      <w:pPr>
        <w:ind w:firstLine="720"/>
        <w:rPr>
          <w:rFonts w:ascii="Times New Roman" w:eastAsia="Times New Roman" w:hAnsi="Times New Roman" w:cs="Times New Roman"/>
        </w:rPr>
      </w:pPr>
      <w:r>
        <w:rPr>
          <w:rFonts w:ascii="Times New Roman" w:eastAsia="Times New Roman" w:hAnsi="Times New Roman" w:cs="Times New Roman"/>
        </w:rPr>
        <w:t xml:space="preserve">Similar to our maps of poverty, we have taken great </w:t>
      </w:r>
      <w:r>
        <w:rPr>
          <w:rFonts w:ascii="Times New Roman" w:eastAsia="Times New Roman" w:hAnsi="Times New Roman" w:cs="Times New Roman"/>
        </w:rPr>
        <w:t>care with our categorizations in our maps of racial distribution. Our guiding intention is to provide a more nuanced spatial representation of how racial difference maps onto the city and the solidarity economy. The maps purposefully avoid simple 50% racia</w:t>
      </w:r>
      <w:r>
        <w:rPr>
          <w:rFonts w:ascii="Times New Roman" w:eastAsia="Times New Roman" w:hAnsi="Times New Roman" w:cs="Times New Roman"/>
        </w:rPr>
        <w:t>l majority distributions. Instead, they employ a two-thirds majority threshold, whereby a racial group must constitute 67% or more of the population before a neighborhood is labeled accordingly. We have also developed two additional categories to represent</w:t>
      </w:r>
      <w:r>
        <w:rPr>
          <w:rFonts w:ascii="Times New Roman" w:eastAsia="Times New Roman" w:hAnsi="Times New Roman" w:cs="Times New Roman"/>
        </w:rPr>
        <w:t xml:space="preserve"> neighborhoods with no single two-third racial majority: one where a mix of people of </w:t>
      </w:r>
      <w:r>
        <w:rPr>
          <w:rFonts w:ascii="Times New Roman" w:eastAsia="Times New Roman" w:hAnsi="Times New Roman" w:cs="Times New Roman"/>
        </w:rPr>
        <w:lastRenderedPageBreak/>
        <w:t>color (mainly Latinx, Black, and Asian) together constitute a 67% or greater majority of the population, and one where White people constitute between 33 and 67% of the n</w:t>
      </w:r>
      <w:r>
        <w:rPr>
          <w:rFonts w:ascii="Times New Roman" w:eastAsia="Times New Roman" w:hAnsi="Times New Roman" w:cs="Times New Roman"/>
        </w:rPr>
        <w:t>eighborhood. This enables us to further differentiate between largely White and non-White spaces, something that is important given the spatial legacies of White supremacy and racial discrimination. These methodological decisions result in maps that better</w:t>
      </w:r>
      <w:r>
        <w:rPr>
          <w:rFonts w:ascii="Times New Roman" w:eastAsia="Times New Roman" w:hAnsi="Times New Roman" w:cs="Times New Roman"/>
        </w:rPr>
        <w:t xml:space="preserve"> represent the racial heterogeneity of city-space. Collectively our approach to mapping poverty and racial difference helps to represent the spatial complexity of the city, the context in which communities attempt to forge relations of solidarity. </w:t>
      </w:r>
    </w:p>
    <w:p w14:paraId="24284E77" w14:textId="77777777" w:rsidR="00D4452C" w:rsidRDefault="00D4452C">
      <w:pPr>
        <w:ind w:firstLine="720"/>
        <w:rPr>
          <w:rFonts w:ascii="Times New Roman" w:eastAsia="Times New Roman" w:hAnsi="Times New Roman" w:cs="Times New Roman"/>
        </w:rPr>
      </w:pPr>
    </w:p>
    <w:p w14:paraId="3956FA6E" w14:textId="77777777" w:rsidR="00D4452C" w:rsidRDefault="001A61B1">
      <w:pPr>
        <w:rPr>
          <w:rFonts w:ascii="Times New Roman" w:eastAsia="Times New Roman" w:hAnsi="Times New Roman" w:cs="Times New Roman"/>
          <w:b/>
          <w:color w:val="000000"/>
        </w:rPr>
      </w:pPr>
      <w:r>
        <w:rPr>
          <w:rFonts w:ascii="Times New Roman" w:eastAsia="Times New Roman" w:hAnsi="Times New Roman" w:cs="Times New Roman"/>
          <w:b/>
        </w:rPr>
        <w:t>Map 7.</w:t>
      </w:r>
      <w:r>
        <w:rPr>
          <w:rFonts w:ascii="Times New Roman" w:eastAsia="Times New Roman" w:hAnsi="Times New Roman" w:cs="Times New Roman"/>
          <w:b/>
        </w:rPr>
        <w:t xml:space="preserve"> Solidarity economy hotspots and racial and poverty geographies in Philadelphia</w:t>
      </w:r>
      <w:r>
        <w:rPr>
          <w:rFonts w:ascii="Times New Roman" w:eastAsia="Times New Roman" w:hAnsi="Times New Roman" w:cs="Times New Roman"/>
          <w:b/>
          <w:noProof/>
          <w:color w:val="000000"/>
        </w:rPr>
        <w:drawing>
          <wp:inline distT="114300" distB="114300" distL="114300" distR="114300" wp14:anchorId="103D1842" wp14:editId="12D84723">
            <wp:extent cx="5759450" cy="3941162"/>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759450" cy="3941162"/>
                    </a:xfrm>
                    <a:prstGeom prst="rect">
                      <a:avLst/>
                    </a:prstGeom>
                    <a:ln/>
                  </pic:spPr>
                </pic:pic>
              </a:graphicData>
            </a:graphic>
          </wp:inline>
        </w:drawing>
      </w:r>
    </w:p>
    <w:p w14:paraId="58D22793" w14:textId="77777777" w:rsidR="00D4452C" w:rsidRDefault="00D4452C">
      <w:pPr>
        <w:widowControl w:val="0"/>
        <w:spacing w:before="57" w:line="276" w:lineRule="auto"/>
        <w:ind w:right="-302"/>
        <w:jc w:val="both"/>
        <w:rPr>
          <w:rFonts w:ascii="Times New Roman" w:eastAsia="Times New Roman" w:hAnsi="Times New Roman" w:cs="Times New Roman"/>
        </w:rPr>
      </w:pPr>
    </w:p>
    <w:p w14:paraId="11451589" w14:textId="77777777" w:rsidR="00D4452C" w:rsidRDefault="00D4452C">
      <w:pPr>
        <w:rPr>
          <w:rFonts w:ascii="Times New Roman" w:eastAsia="Times New Roman" w:hAnsi="Times New Roman" w:cs="Times New Roman"/>
        </w:rPr>
      </w:pPr>
    </w:p>
    <w:p w14:paraId="2257E829" w14:textId="77777777" w:rsidR="00D4452C" w:rsidRDefault="001A61B1">
      <w:pPr>
        <w:rPr>
          <w:rFonts w:ascii="Times New Roman" w:eastAsia="Times New Roman" w:hAnsi="Times New Roman" w:cs="Times New Roman"/>
        </w:rPr>
      </w:pPr>
      <w:r>
        <w:rPr>
          <w:rFonts w:ascii="Times New Roman" w:eastAsia="Times New Roman" w:hAnsi="Times New Roman" w:cs="Times New Roman"/>
        </w:rPr>
        <w:lastRenderedPageBreak/>
        <w:t xml:space="preserve">In both Philadelphia and Worcester, the maps show a very evident concentration of poverty in the urban core, shown by lighter shades of gray color.  In much larger New York </w:t>
      </w:r>
      <w:r>
        <w:rPr>
          <w:rFonts w:ascii="Times New Roman" w:eastAsia="Times New Roman" w:hAnsi="Times New Roman" w:cs="Times New Roman"/>
        </w:rPr>
        <w:t>City, areas of concentrated poverty are visible in all boroughs, and especially in Northern Manhattan, South Bronx, and North Brooklyn. This difference notwithstanding, poverty can be seen to cover wide swathes of all three cities in a manner that strongly</w:t>
      </w:r>
      <w:r>
        <w:rPr>
          <w:rFonts w:ascii="Times New Roman" w:eastAsia="Times New Roman" w:hAnsi="Times New Roman" w:cs="Times New Roman"/>
        </w:rPr>
        <w:t xml:space="preserve"> correlates with race. The distribution of the solidarity economy also corresponds to those patterns. We find that the majority (66% in New York and 54% in Philadelphia) of solidarity economy organizations in each city are in areas with populations that ar</w:t>
      </w:r>
      <w:r>
        <w:rPr>
          <w:rFonts w:ascii="Times New Roman" w:eastAsia="Times New Roman" w:hAnsi="Times New Roman" w:cs="Times New Roman"/>
        </w:rPr>
        <w:t>e at least 67% non-White and where the poverty levels are highest.</w:t>
      </w:r>
    </w:p>
    <w:p w14:paraId="217239FF" w14:textId="77777777" w:rsidR="00D4452C" w:rsidRDefault="001A61B1">
      <w:pPr>
        <w:ind w:firstLine="720"/>
        <w:rPr>
          <w:rFonts w:ascii="Times New Roman" w:eastAsia="Times New Roman" w:hAnsi="Times New Roman" w:cs="Times New Roman"/>
        </w:rPr>
      </w:pPr>
      <w:r>
        <w:rPr>
          <w:rFonts w:ascii="Times New Roman" w:eastAsia="Times New Roman" w:hAnsi="Times New Roman" w:cs="Times New Roman"/>
        </w:rPr>
        <w:t>In Philadelphia, four of the five hotspots are concentrated in poor neighborhoods, which are also neighborhoods with significant communities of color. That kind of overlap is present in the</w:t>
      </w:r>
      <w:r>
        <w:rPr>
          <w:rFonts w:ascii="Times New Roman" w:eastAsia="Times New Roman" w:hAnsi="Times New Roman" w:cs="Times New Roman"/>
        </w:rPr>
        <w:t xml:space="preserve"> other cities as well. For New York City, Map 8 shows that four of seven hotspots are located in largely poor areas that have high densities of communities of color (either mixed, or with Latinx or Black majorities). Significantly, even the remaining three</w:t>
      </w:r>
      <w:r>
        <w:rPr>
          <w:rFonts w:ascii="Times New Roman" w:eastAsia="Times New Roman" w:hAnsi="Times New Roman" w:cs="Times New Roman"/>
        </w:rPr>
        <w:t xml:space="preserve"> hotpots (N3, N4, N5) contain considerable racial diversity. Two of these (N4, N5) also encompass areas where very affluent neighborhoods butt up against considerably poorer ones. As we examine elsewhere, solidarity economy initiatives in such areas can se</w:t>
      </w:r>
      <w:r>
        <w:rPr>
          <w:rFonts w:ascii="Times New Roman" w:eastAsia="Times New Roman" w:hAnsi="Times New Roman" w:cs="Times New Roman"/>
        </w:rPr>
        <w:t xml:space="preserve">rve as protective oases or bulwarks against gentrification and displacement. </w:t>
      </w:r>
    </w:p>
    <w:p w14:paraId="3627C1F4" w14:textId="77777777" w:rsidR="00D4452C" w:rsidRDefault="00D4452C">
      <w:pPr>
        <w:rPr>
          <w:rFonts w:ascii="Times New Roman" w:eastAsia="Times New Roman" w:hAnsi="Times New Roman" w:cs="Times New Roman"/>
          <w:b/>
        </w:rPr>
      </w:pPr>
    </w:p>
    <w:p w14:paraId="2E489112" w14:textId="77777777" w:rsidR="00D4452C" w:rsidRDefault="001A61B1">
      <w:pPr>
        <w:rPr>
          <w:rFonts w:ascii="Times New Roman" w:eastAsia="Times New Roman" w:hAnsi="Times New Roman" w:cs="Times New Roman"/>
          <w:b/>
        </w:rPr>
      </w:pPr>
      <w:r>
        <w:br w:type="page"/>
      </w:r>
    </w:p>
    <w:p w14:paraId="30F23ACE" w14:textId="77777777" w:rsidR="00D4452C" w:rsidRDefault="001A61B1">
      <w:pPr>
        <w:spacing w:line="240" w:lineRule="auto"/>
        <w:rPr>
          <w:rFonts w:ascii="Times New Roman" w:eastAsia="Times New Roman" w:hAnsi="Times New Roman" w:cs="Times New Roman"/>
        </w:rPr>
      </w:pPr>
      <w:r>
        <w:rPr>
          <w:rFonts w:ascii="Times New Roman" w:eastAsia="Times New Roman" w:hAnsi="Times New Roman" w:cs="Times New Roman"/>
          <w:b/>
        </w:rPr>
        <w:lastRenderedPageBreak/>
        <w:t>Map 8. Solidarity economy hotspots and racial and poverty geographies in New York City</w:t>
      </w:r>
    </w:p>
    <w:p w14:paraId="57C6AD74" w14:textId="77777777" w:rsidR="00D4452C" w:rsidRDefault="001A61B1">
      <w:pPr>
        <w:pStyle w:val="Heading4"/>
        <w:rPr>
          <w:rFonts w:ascii="Times New Roman" w:eastAsia="Times New Roman" w:hAnsi="Times New Roman" w:cs="Times New Roman"/>
          <w:b/>
          <w:color w:val="000000"/>
        </w:rPr>
      </w:pPr>
      <w:bookmarkStart w:id="11" w:name="_heading=h.lnxbz9" w:colFirst="0" w:colLast="0"/>
      <w:bookmarkEnd w:id="11"/>
      <w:r>
        <w:rPr>
          <w:rFonts w:ascii="Times New Roman" w:eastAsia="Times New Roman" w:hAnsi="Times New Roman" w:cs="Times New Roman"/>
          <w:b/>
          <w:noProof/>
          <w:color w:val="000000"/>
        </w:rPr>
        <w:drawing>
          <wp:inline distT="114300" distB="114300" distL="114300" distR="114300" wp14:anchorId="0E2DD52C" wp14:editId="0F57A917">
            <wp:extent cx="5943600" cy="40767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943600" cy="4076700"/>
                    </a:xfrm>
                    <a:prstGeom prst="rect">
                      <a:avLst/>
                    </a:prstGeom>
                    <a:ln/>
                  </pic:spPr>
                </pic:pic>
              </a:graphicData>
            </a:graphic>
          </wp:inline>
        </w:drawing>
      </w:r>
    </w:p>
    <w:p w14:paraId="7BF912F4" w14:textId="77777777" w:rsidR="00D4452C" w:rsidRDefault="00D4452C">
      <w:pPr>
        <w:pStyle w:val="Heading4"/>
        <w:keepNext w:val="0"/>
        <w:keepLines w:val="0"/>
        <w:spacing w:before="0"/>
        <w:rPr>
          <w:rFonts w:ascii="Times New Roman" w:eastAsia="Times New Roman" w:hAnsi="Times New Roman" w:cs="Times New Roman"/>
          <w:color w:val="000000"/>
        </w:rPr>
      </w:pPr>
      <w:bookmarkStart w:id="12" w:name="_heading=h.35nkun2" w:colFirst="0" w:colLast="0"/>
      <w:bookmarkEnd w:id="12"/>
    </w:p>
    <w:p w14:paraId="1D59165A" w14:textId="77777777" w:rsidR="00D4452C" w:rsidRDefault="001A61B1">
      <w:pPr>
        <w:rPr>
          <w:rFonts w:ascii="Times New Roman" w:eastAsia="Times New Roman" w:hAnsi="Times New Roman" w:cs="Times New Roman"/>
        </w:rPr>
      </w:pPr>
      <w:r>
        <w:rPr>
          <w:rFonts w:ascii="Times New Roman" w:eastAsia="Times New Roman" w:hAnsi="Times New Roman" w:cs="Times New Roman"/>
        </w:rPr>
        <w:t>In the case of Worcester, Map 9 shows one hotspot in the center of the city. There ar</w:t>
      </w:r>
      <w:r>
        <w:rPr>
          <w:rFonts w:ascii="Times New Roman" w:eastAsia="Times New Roman" w:hAnsi="Times New Roman" w:cs="Times New Roman"/>
        </w:rPr>
        <w:t>e other concentrations of the solidarity economy in Worcester as well (see Map 6), but compared to the W1 cluster, they are considerably smaller owing to the overall smaller size of this city. The largest hotspot is located in a low-income neighborhood—Mai</w:t>
      </w:r>
      <w:r>
        <w:rPr>
          <w:rFonts w:ascii="Times New Roman" w:eastAsia="Times New Roman" w:hAnsi="Times New Roman" w:cs="Times New Roman"/>
        </w:rPr>
        <w:t xml:space="preserve">n South—with a sizable Latinx majority and the city’s highest concentration of people of color. </w:t>
      </w:r>
    </w:p>
    <w:p w14:paraId="7DBB29F9" w14:textId="77777777" w:rsidR="00D4452C" w:rsidRDefault="00D4452C">
      <w:pPr>
        <w:rPr>
          <w:rFonts w:ascii="Times New Roman" w:eastAsia="Times New Roman" w:hAnsi="Times New Roman" w:cs="Times New Roman"/>
        </w:rPr>
      </w:pPr>
    </w:p>
    <w:p w14:paraId="104626E7" w14:textId="77777777" w:rsidR="00D4452C" w:rsidRDefault="00D4452C">
      <w:pPr>
        <w:rPr>
          <w:rFonts w:ascii="Times New Roman" w:eastAsia="Times New Roman" w:hAnsi="Times New Roman" w:cs="Times New Roman"/>
          <w:b/>
        </w:rPr>
      </w:pPr>
    </w:p>
    <w:p w14:paraId="6E4F1FB1" w14:textId="77777777" w:rsidR="00D4452C" w:rsidRDefault="001A61B1">
      <w:pPr>
        <w:spacing w:line="240" w:lineRule="auto"/>
        <w:rPr>
          <w:rFonts w:ascii="Times New Roman" w:eastAsia="Times New Roman" w:hAnsi="Times New Roman" w:cs="Times New Roman"/>
          <w:b/>
        </w:rPr>
      </w:pPr>
      <w:r>
        <w:br w:type="page"/>
      </w:r>
    </w:p>
    <w:p w14:paraId="6C7FB6D8" w14:textId="77777777" w:rsidR="00D4452C" w:rsidRDefault="001A61B1">
      <w:pPr>
        <w:spacing w:line="240"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Map 9. </w:t>
      </w:r>
      <w:r>
        <w:rPr>
          <w:rFonts w:ascii="Times New Roman" w:eastAsia="Times New Roman" w:hAnsi="Times New Roman" w:cs="Times New Roman"/>
          <w:b/>
        </w:rPr>
        <w:t xml:space="preserve">Solidarity economy hotspots and racial and poverty geographies in Worcester, MA. </w:t>
      </w:r>
    </w:p>
    <w:p w14:paraId="7A966BE2" w14:textId="77777777" w:rsidR="00D4452C" w:rsidRDefault="001A61B1">
      <w:pPr>
        <w:pStyle w:val="Heading4"/>
        <w:rPr>
          <w:rFonts w:ascii="Times New Roman" w:eastAsia="Times New Roman" w:hAnsi="Times New Roman" w:cs="Times New Roman"/>
        </w:rPr>
      </w:pPr>
      <w:bookmarkStart w:id="13" w:name="_heading=h.1ksv4uv" w:colFirst="0" w:colLast="0"/>
      <w:bookmarkEnd w:id="13"/>
      <w:r>
        <w:rPr>
          <w:rFonts w:ascii="Times New Roman" w:eastAsia="Times New Roman" w:hAnsi="Times New Roman" w:cs="Times New Roman"/>
          <w:b/>
          <w:noProof/>
          <w:color w:val="000000"/>
        </w:rPr>
        <w:drawing>
          <wp:inline distT="114300" distB="114300" distL="114300" distR="114300" wp14:anchorId="30FEA25C" wp14:editId="33A77672">
            <wp:extent cx="5943600" cy="40640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943600" cy="4064000"/>
                    </a:xfrm>
                    <a:prstGeom prst="rect">
                      <a:avLst/>
                    </a:prstGeom>
                    <a:ln/>
                  </pic:spPr>
                </pic:pic>
              </a:graphicData>
            </a:graphic>
          </wp:inline>
        </w:drawing>
      </w:r>
    </w:p>
    <w:p w14:paraId="77B5C132" w14:textId="77777777" w:rsidR="00D4452C" w:rsidRDefault="001A61B1">
      <w:pPr>
        <w:rPr>
          <w:rFonts w:ascii="Times New Roman" w:eastAsia="Times New Roman" w:hAnsi="Times New Roman" w:cs="Times New Roman"/>
        </w:rPr>
      </w:pPr>
      <w:r>
        <w:rPr>
          <w:rFonts w:ascii="Times New Roman" w:eastAsia="Times New Roman" w:hAnsi="Times New Roman" w:cs="Times New Roman"/>
        </w:rPr>
        <w:t>In each city, we also observe that the solidarity economy hotspots encompass neighborhoods in which people of color have historically settled and built communities. Even wh</w:t>
      </w:r>
      <w:r>
        <w:rPr>
          <w:rFonts w:ascii="Times New Roman" w:eastAsia="Times New Roman" w:hAnsi="Times New Roman" w:cs="Times New Roman"/>
        </w:rPr>
        <w:t xml:space="preserve">en solidarity economies do concentrate in contemporary White neighborhoods, those locations tend to correspond to historic </w:t>
      </w:r>
      <w:proofErr w:type="gramStart"/>
      <w:r>
        <w:rPr>
          <w:rFonts w:ascii="Times New Roman" w:eastAsia="Times New Roman" w:hAnsi="Times New Roman" w:cs="Times New Roman"/>
        </w:rPr>
        <w:t>working class</w:t>
      </w:r>
      <w:proofErr w:type="gramEnd"/>
      <w:r>
        <w:rPr>
          <w:rFonts w:ascii="Times New Roman" w:eastAsia="Times New Roman" w:hAnsi="Times New Roman" w:cs="Times New Roman"/>
        </w:rPr>
        <w:t xml:space="preserve"> neighborhoods settled when many European immigrants (e.g., Irish, Jewish, Italian, Polish, etc.) were discriminated aga</w:t>
      </w:r>
      <w:r>
        <w:rPr>
          <w:rFonts w:ascii="Times New Roman" w:eastAsia="Times New Roman" w:hAnsi="Times New Roman" w:cs="Times New Roman"/>
        </w:rPr>
        <w:t xml:space="preserve">inst as non-White. This points to the continuation between historical and contemporary trajectories, a continuation that is often obscured by the dynamic remaking of urban space and the layered accumulation of built and institutional fabric within it. Our </w:t>
      </w:r>
      <w:r>
        <w:rPr>
          <w:rFonts w:ascii="Times New Roman" w:eastAsia="Times New Roman" w:hAnsi="Times New Roman" w:cs="Times New Roman"/>
        </w:rPr>
        <w:t xml:space="preserve">maps encourage us to go deeper and explore how racialized communities of all kinds have been an important source of the solidarity economies yesterday and today. </w:t>
      </w:r>
    </w:p>
    <w:p w14:paraId="12C1A45C" w14:textId="77777777" w:rsidR="00D4452C" w:rsidRDefault="001A61B1">
      <w:pPr>
        <w:ind w:firstLine="720"/>
        <w:rPr>
          <w:rFonts w:ascii="Times New Roman" w:eastAsia="Times New Roman" w:hAnsi="Times New Roman" w:cs="Times New Roman"/>
        </w:rPr>
      </w:pPr>
      <w:r>
        <w:rPr>
          <w:rFonts w:ascii="Times New Roman" w:eastAsia="Times New Roman" w:hAnsi="Times New Roman" w:cs="Times New Roman"/>
        </w:rPr>
        <w:lastRenderedPageBreak/>
        <w:t xml:space="preserve">In sum, Maps 7, 8, and 9 portray urban space in each city as highly segregated by income and </w:t>
      </w:r>
      <w:r>
        <w:rPr>
          <w:rFonts w:ascii="Times New Roman" w:eastAsia="Times New Roman" w:hAnsi="Times New Roman" w:cs="Times New Roman"/>
        </w:rPr>
        <w:t xml:space="preserve">race, where poor areas often overlap with minority neighborhoods, a situation common for many US cities. Although the solidarity economy clearly extends to wealthier parts of cities, including neighborhoods inhabited by a mix of White people and people of </w:t>
      </w:r>
      <w:r>
        <w:rPr>
          <w:rFonts w:ascii="Times New Roman" w:eastAsia="Times New Roman" w:hAnsi="Times New Roman" w:cs="Times New Roman"/>
        </w:rPr>
        <w:t>color, there appears to be a particularly strong overlap, as already noted, between solidarity economy hotspots and low-income neighborhoods of color. In what follows, we explore some of the historical forces that have given shape to segregated neighborhoo</w:t>
      </w:r>
      <w:r>
        <w:rPr>
          <w:rFonts w:ascii="Times New Roman" w:eastAsia="Times New Roman" w:hAnsi="Times New Roman" w:cs="Times New Roman"/>
        </w:rPr>
        <w:t xml:space="preserve">ds and, by implication, the solidarity economy formations within them. </w:t>
      </w:r>
    </w:p>
    <w:p w14:paraId="29CB2761" w14:textId="77777777" w:rsidR="00D4452C" w:rsidRDefault="00D4452C">
      <w:pPr>
        <w:rPr>
          <w:rFonts w:ascii="Times New Roman" w:eastAsia="Times New Roman" w:hAnsi="Times New Roman" w:cs="Times New Roman"/>
        </w:rPr>
      </w:pPr>
    </w:p>
    <w:p w14:paraId="71B2726D" w14:textId="77777777" w:rsidR="00D4452C" w:rsidRDefault="001A61B1">
      <w:pPr>
        <w:pStyle w:val="Heading1"/>
        <w:rPr>
          <w:rFonts w:ascii="Times New Roman" w:eastAsia="Times New Roman" w:hAnsi="Times New Roman" w:cs="Times New Roman"/>
        </w:rPr>
      </w:pPr>
      <w:bookmarkStart w:id="14" w:name="_heading=h.44sinio" w:colFirst="0" w:colLast="0"/>
      <w:bookmarkEnd w:id="14"/>
      <w:r>
        <w:rPr>
          <w:rFonts w:ascii="Times New Roman" w:eastAsia="Times New Roman" w:hAnsi="Times New Roman" w:cs="Times New Roman"/>
        </w:rPr>
        <w:t>Solidarity economies inside redlined neighborhoods</w:t>
      </w:r>
    </w:p>
    <w:p w14:paraId="65DCB6A8" w14:textId="77777777" w:rsidR="00D4452C" w:rsidRDefault="001A61B1">
      <w:pPr>
        <w:rPr>
          <w:rFonts w:ascii="Times New Roman" w:eastAsia="Times New Roman" w:hAnsi="Times New Roman" w:cs="Times New Roman"/>
        </w:rPr>
      </w:pPr>
      <w:r>
        <w:rPr>
          <w:rFonts w:ascii="Times New Roman" w:eastAsia="Times New Roman" w:hAnsi="Times New Roman" w:cs="Times New Roman"/>
          <w:highlight w:val="white"/>
        </w:rPr>
        <w:t xml:space="preserve">Urban landscapes are not produced overnight. </w:t>
      </w:r>
      <w:r>
        <w:rPr>
          <w:rFonts w:ascii="Times New Roman" w:eastAsia="Times New Roman" w:hAnsi="Times New Roman" w:cs="Times New Roman"/>
        </w:rPr>
        <w:t>The inequalities that we mapped earlier in the chapter are the product of generations of entanglement with racial capitalism, biased government policies, and other forces. The migration of working-class people. The dynamics of industrialization and deindus</w:t>
      </w:r>
      <w:r>
        <w:rPr>
          <w:rFonts w:ascii="Times New Roman" w:eastAsia="Times New Roman" w:hAnsi="Times New Roman" w:cs="Times New Roman"/>
        </w:rPr>
        <w:t>trialization. Urban neoliberal restructuring. Dislocations through urban renewal, gentrification, and incarceration. These all shaped the cities we now inhabit. Many volumes have been written explaining these dynamics and we will not attempt to review them</w:t>
      </w:r>
      <w:r>
        <w:rPr>
          <w:rFonts w:ascii="Times New Roman" w:eastAsia="Times New Roman" w:hAnsi="Times New Roman" w:cs="Times New Roman"/>
        </w:rPr>
        <w:t xml:space="preserve"> all here. </w:t>
      </w:r>
      <w:r>
        <w:rPr>
          <w:rFonts w:ascii="Times New Roman" w:eastAsia="Times New Roman" w:hAnsi="Times New Roman" w:cs="Times New Roman"/>
          <w:color w:val="231F20"/>
        </w:rPr>
        <w:t xml:space="preserve">Instead, we </w:t>
      </w:r>
      <w:r>
        <w:rPr>
          <w:rFonts w:ascii="Times New Roman" w:eastAsia="Times New Roman" w:hAnsi="Times New Roman" w:cs="Times New Roman"/>
        </w:rPr>
        <w:t>devote special attention to one process in particular commonly known as redlining. Redlining refers to the set of urban practices widely used in the middle part of the 20th century to shape cities in powerful ways. The resulting geog</w:t>
      </w:r>
      <w:r>
        <w:rPr>
          <w:rFonts w:ascii="Times New Roman" w:eastAsia="Times New Roman" w:hAnsi="Times New Roman" w:cs="Times New Roman"/>
        </w:rPr>
        <w:t>raphic patterns of urban poverty and organized abandonment continue to define urban space to this day.</w:t>
      </w:r>
      <w:r>
        <w:rPr>
          <w:rFonts w:ascii="Times New Roman" w:eastAsia="Times New Roman" w:hAnsi="Times New Roman" w:cs="Times New Roman"/>
          <w:i/>
        </w:rPr>
        <w:t xml:space="preserve"> </w:t>
      </w:r>
      <w:r>
        <w:rPr>
          <w:rFonts w:ascii="Times New Roman" w:eastAsia="Times New Roman" w:hAnsi="Times New Roman" w:cs="Times New Roman"/>
        </w:rPr>
        <w:t>Notably, redlining worked to racialize and segregate urban communities by poverty through a series of maps. The cartographies of the solidarity economy t</w:t>
      </w:r>
      <w:r>
        <w:rPr>
          <w:rFonts w:ascii="Times New Roman" w:eastAsia="Times New Roman" w:hAnsi="Times New Roman" w:cs="Times New Roman"/>
        </w:rPr>
        <w:t xml:space="preserve">hat we overlay against the borders of redlined </w:t>
      </w:r>
      <w:r>
        <w:rPr>
          <w:rFonts w:ascii="Times New Roman" w:eastAsia="Times New Roman" w:hAnsi="Times New Roman" w:cs="Times New Roman"/>
        </w:rPr>
        <w:lastRenderedPageBreak/>
        <w:t>neighborhoods make it clear that in the past, like today, urban space has been powerfully created through solidarity as well as through racist policies and capital.</w:t>
      </w:r>
    </w:p>
    <w:p w14:paraId="5F583CFF" w14:textId="77777777" w:rsidR="00D4452C" w:rsidRDefault="001A61B1">
      <w:pPr>
        <w:ind w:firstLine="720"/>
        <w:rPr>
          <w:rFonts w:ascii="Times New Roman" w:eastAsia="Times New Roman" w:hAnsi="Times New Roman" w:cs="Times New Roman"/>
        </w:rPr>
      </w:pPr>
      <w:r>
        <w:rPr>
          <w:rFonts w:ascii="Times New Roman" w:eastAsia="Times New Roman" w:hAnsi="Times New Roman" w:cs="Times New Roman"/>
        </w:rPr>
        <w:t>Redlining is the shorthand reference to fede</w:t>
      </w:r>
      <w:r>
        <w:rPr>
          <w:rFonts w:ascii="Times New Roman" w:eastAsia="Times New Roman" w:hAnsi="Times New Roman" w:cs="Times New Roman"/>
        </w:rPr>
        <w:t>ral housing policy in the mid-20th century and its effects on urban space. In concert with the actions of urban administrations and real estate developers, federal policies entrenched the spatial dynamics of racial capitalism by re-tracing and carving deep</w:t>
      </w:r>
      <w:r>
        <w:rPr>
          <w:rFonts w:ascii="Times New Roman" w:eastAsia="Times New Roman" w:hAnsi="Times New Roman" w:cs="Times New Roman"/>
        </w:rPr>
        <w:t>er still fault lines of residential racial segregation in hundreds of US cities. For us, redlining is especially important because it exemplifies how maps have been deployed to sustain and consolidate hegemonic social orders, a theme we discussed in the pr</w:t>
      </w:r>
      <w:r>
        <w:rPr>
          <w:rFonts w:ascii="Times New Roman" w:eastAsia="Times New Roman" w:hAnsi="Times New Roman" w:cs="Times New Roman"/>
        </w:rPr>
        <w:t xml:space="preserve">evious chapter. Redlining brought together race and mapping in a process that helped constitute the racialized and economically stratified urban settings we study and against which </w:t>
      </w:r>
      <w:proofErr w:type="gramStart"/>
      <w:r>
        <w:rPr>
          <w:rFonts w:ascii="Times New Roman" w:eastAsia="Times New Roman" w:hAnsi="Times New Roman" w:cs="Times New Roman"/>
        </w:rPr>
        <w:t>we  position</w:t>
      </w:r>
      <w:proofErr w:type="gramEnd"/>
      <w:r>
        <w:rPr>
          <w:rFonts w:ascii="Times New Roman" w:eastAsia="Times New Roman" w:hAnsi="Times New Roman" w:cs="Times New Roman"/>
        </w:rPr>
        <w:t xml:space="preserve"> solidarity economies.</w:t>
      </w:r>
    </w:p>
    <w:p w14:paraId="5728E70A" w14:textId="77777777" w:rsidR="00D4452C" w:rsidRDefault="001A61B1">
      <w:pPr>
        <w:ind w:firstLine="720"/>
        <w:rPr>
          <w:rFonts w:ascii="Times New Roman" w:eastAsia="Times New Roman" w:hAnsi="Times New Roman" w:cs="Times New Roman"/>
        </w:rPr>
      </w:pPr>
      <w:r>
        <w:rPr>
          <w:rFonts w:ascii="Times New Roman" w:eastAsia="Times New Roman" w:hAnsi="Times New Roman" w:cs="Times New Roman"/>
        </w:rPr>
        <w:t>Federal redlining began in the 1930s wit</w:t>
      </w:r>
      <w:r>
        <w:rPr>
          <w:rFonts w:ascii="Times New Roman" w:eastAsia="Times New Roman" w:hAnsi="Times New Roman" w:cs="Times New Roman"/>
        </w:rPr>
        <w:t>h the creation of the Home Owners Loan Corporation (HOLC) and the Federal Housing Authority (FHA) as parts of Roosevelt’s New Deal. Ostensibly designed to lower housing foreclosures rates and expand home ownership through government-backed loans to homeown</w:t>
      </w:r>
      <w:r>
        <w:rPr>
          <w:rFonts w:ascii="Times New Roman" w:eastAsia="Times New Roman" w:hAnsi="Times New Roman" w:cs="Times New Roman"/>
        </w:rPr>
        <w:t xml:space="preserve">ers and developers of new residential areas, the agencies were tasked with assessing investment risk within urban housing markets for the sake of lowering risk for tax-payers-backed loans. Their efforts to codify the risk levels of different neighborhoods </w:t>
      </w:r>
      <w:r>
        <w:rPr>
          <w:rFonts w:ascii="Times New Roman" w:eastAsia="Times New Roman" w:hAnsi="Times New Roman" w:cs="Times New Roman"/>
        </w:rPr>
        <w:t>ultimately determined where federal subsidies and private investment would flow.</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xml:space="preserve">  The HOLC and FHA produced maps of cities by block, with detailed information about </w:t>
      </w:r>
      <w:r>
        <w:rPr>
          <w:rFonts w:ascii="Times New Roman" w:eastAsia="Times New Roman" w:hAnsi="Times New Roman" w:cs="Times New Roman"/>
        </w:rPr>
        <w:lastRenderedPageBreak/>
        <w:t>socio-demographic makeup of each mapped neighborhood and the condition of housing stock.</w:t>
      </w:r>
      <w:r>
        <w:rPr>
          <w:rFonts w:ascii="Times New Roman" w:eastAsia="Times New Roman" w:hAnsi="Times New Roman" w:cs="Times New Roman"/>
          <w:vertAlign w:val="superscript"/>
        </w:rPr>
        <w:footnoteReference w:id="5"/>
      </w:r>
      <w:r>
        <w:rPr>
          <w:rFonts w:ascii="Times New Roman" w:eastAsia="Times New Roman" w:hAnsi="Times New Roman" w:cs="Times New Roman"/>
        </w:rPr>
        <w:t xml:space="preserve"> Both were used as factors in risk assessment for government investment in housing construction. Areas marked by green and blue colors on the HOLC maps corresponded to “Best” and “Still Desirable” categories for low-risk loans. These areas, assessed as su</w:t>
      </w:r>
      <w:r>
        <w:rPr>
          <w:rFonts w:ascii="Times New Roman" w:eastAsia="Times New Roman" w:hAnsi="Times New Roman" w:cs="Times New Roman"/>
        </w:rPr>
        <w:t xml:space="preserve">itable for new construction, like suburbs with room to build, received practically all investment and subsidies. Other, mainly urban, neighborhoods, shown on the maps with yellow and red colors (hence the term “redlining”) and corresponding to “Definitely </w:t>
      </w:r>
      <w:r>
        <w:rPr>
          <w:rFonts w:ascii="Times New Roman" w:eastAsia="Times New Roman" w:hAnsi="Times New Roman" w:cs="Times New Roman"/>
        </w:rPr>
        <w:t xml:space="preserve">Declining” and “Hazardous” categories, respectively, could not access new investment, subsidies to builders, and mortgages to residents. We reproduce these maps in Map 10 against the concentrations of the solidarity economy. </w:t>
      </w:r>
    </w:p>
    <w:p w14:paraId="573453C2" w14:textId="7DB94EF5" w:rsidR="00D4452C" w:rsidRDefault="001A61B1">
      <w:pPr>
        <w:ind w:firstLine="720"/>
        <w:rPr>
          <w:rFonts w:ascii="Times New Roman" w:eastAsia="Times New Roman" w:hAnsi="Times New Roman" w:cs="Times New Roman"/>
        </w:rPr>
      </w:pPr>
      <w:r>
        <w:rPr>
          <w:rFonts w:ascii="Times New Roman" w:eastAsia="Times New Roman" w:hAnsi="Times New Roman" w:cs="Times New Roman"/>
        </w:rPr>
        <w:t>Widespread discrimination perm</w:t>
      </w:r>
      <w:r>
        <w:rPr>
          <w:rFonts w:ascii="Times New Roman" w:eastAsia="Times New Roman" w:hAnsi="Times New Roman" w:cs="Times New Roman"/>
        </w:rPr>
        <w:t>eated the dynamics of redlining, influencing local assessors' judgments regarding which neighborhoods posed an investment risk, ultimately leading to their depiction in red on the map. Pervasive racism ensured that the maps consistently associated people o</w:t>
      </w:r>
      <w:r>
        <w:rPr>
          <w:rFonts w:ascii="Times New Roman" w:eastAsia="Times New Roman" w:hAnsi="Times New Roman" w:cs="Times New Roman"/>
        </w:rPr>
        <w:t xml:space="preserve">f color with social problems. Subsequently, most </w:t>
      </w:r>
      <w:proofErr w:type="gramStart"/>
      <w:r>
        <w:rPr>
          <w:rFonts w:ascii="Times New Roman" w:eastAsia="Times New Roman" w:hAnsi="Times New Roman" w:cs="Times New Roman"/>
        </w:rPr>
        <w:t>inner city</w:t>
      </w:r>
      <w:proofErr w:type="gramEnd"/>
      <w:r>
        <w:rPr>
          <w:rFonts w:ascii="Times New Roman" w:eastAsia="Times New Roman" w:hAnsi="Times New Roman" w:cs="Times New Roman"/>
        </w:rPr>
        <w:t xml:space="preserve"> neighborhoods containing large numbers of people not considered White (a category that variously included Black, Hispanic, Asian, Jewish, 20th century Italian and Irish populations, among many oth</w:t>
      </w:r>
      <w:r>
        <w:rPr>
          <w:rFonts w:ascii="Times New Roman" w:eastAsia="Times New Roman" w:hAnsi="Times New Roman" w:cs="Times New Roman"/>
        </w:rPr>
        <w:t xml:space="preserve">ers) were excluded from accessing federally backed loans, often disregarding the economic status of the residents (Wilder 2000; Rothstein 2017). Not being able to purchase a new home elsewhere without mortgage access, residents of these neighborhoods were </w:t>
      </w:r>
      <w:r>
        <w:rPr>
          <w:rFonts w:ascii="Times New Roman" w:eastAsia="Times New Roman" w:hAnsi="Times New Roman" w:cs="Times New Roman"/>
        </w:rPr>
        <w:t>confined to increasingly segregated and disinvested locations where homeowners and even willing landlords were lacking subsidies for upgrading the dilapidated housing stock.</w:t>
      </w:r>
      <w:r>
        <w:rPr>
          <w:rFonts w:ascii="Times New Roman" w:eastAsia="Times New Roman" w:hAnsi="Times New Roman" w:cs="Times New Roman"/>
          <w:vertAlign w:val="superscript"/>
        </w:rPr>
        <w:footnoteReference w:id="6"/>
      </w:r>
      <w:r>
        <w:rPr>
          <w:rFonts w:ascii="Times New Roman" w:eastAsia="Times New Roman" w:hAnsi="Times New Roman" w:cs="Times New Roman"/>
        </w:rPr>
        <w:t xml:space="preserve"> On the other side of this dynamic, </w:t>
      </w:r>
      <w:r>
        <w:rPr>
          <w:rFonts w:ascii="Times New Roman" w:eastAsia="Times New Roman" w:hAnsi="Times New Roman" w:cs="Times New Roman"/>
        </w:rPr>
        <w:lastRenderedPageBreak/>
        <w:t>middle-class White households were able to re</w:t>
      </w:r>
      <w:r>
        <w:rPr>
          <w:rFonts w:ascii="Times New Roman" w:eastAsia="Times New Roman" w:hAnsi="Times New Roman" w:cs="Times New Roman"/>
        </w:rPr>
        <w:t>treat from rapidly devaluing neighborhoods into racially exclusionary suburbs or certain less densely built urban neighborhoods where newly built homes were made affordable by massive government mortgage subsidies (Jackson 1980; Rothstein 2017; Wilder 2000</w:t>
      </w:r>
      <w:r>
        <w:rPr>
          <w:rFonts w:ascii="Times New Roman" w:eastAsia="Times New Roman" w:hAnsi="Times New Roman" w:cs="Times New Roman"/>
        </w:rPr>
        <w:t>; Adams et al. 2008). Redlining thus intensified and entrenched for decades to come the already ongoing spatialization of racialized poverty and wealth. Even after the passage of the Fair Housing Act of 1968, the law that formally prohibited redlining prac</w:t>
      </w:r>
      <w:r>
        <w:rPr>
          <w:rFonts w:ascii="Times New Roman" w:eastAsia="Times New Roman" w:hAnsi="Times New Roman" w:cs="Times New Roman"/>
        </w:rPr>
        <w:t xml:space="preserve">tices, the effects of redlining persist due to intergenerational wealth transfers, the discriminatory workings of present-day real estate markets and development companies, and the everyday processes that reproduce </w:t>
      </w:r>
      <w:r w:rsidR="006F02B9">
        <w:rPr>
          <w:rFonts w:ascii="Times New Roman" w:eastAsia="Times New Roman" w:hAnsi="Times New Roman" w:cs="Times New Roman"/>
        </w:rPr>
        <w:t>racialized</w:t>
      </w:r>
      <w:r>
        <w:rPr>
          <w:rFonts w:ascii="Times New Roman" w:eastAsia="Times New Roman" w:hAnsi="Times New Roman" w:cs="Times New Roman"/>
        </w:rPr>
        <w:t xml:space="preserve"> divisions in income, wealth, a</w:t>
      </w:r>
      <w:r>
        <w:rPr>
          <w:rFonts w:ascii="Times New Roman" w:eastAsia="Times New Roman" w:hAnsi="Times New Roman" w:cs="Times New Roman"/>
        </w:rPr>
        <w:t>nd opportunity. Recent research shows that practically three quarters of the neighborhoods then designated as “hazardous” by HOLC today remain low-income today and two-thirds of them are minority communities (NCRC 2018).</w:t>
      </w:r>
    </w:p>
    <w:p w14:paraId="0D7E0D40" w14:textId="77777777" w:rsidR="00D4452C" w:rsidRDefault="001A61B1">
      <w:pPr>
        <w:ind w:firstLine="720"/>
        <w:rPr>
          <w:rFonts w:ascii="Times New Roman" w:eastAsia="Times New Roman" w:hAnsi="Times New Roman" w:cs="Times New Roman"/>
        </w:rPr>
      </w:pPr>
      <w:r>
        <w:rPr>
          <w:rFonts w:ascii="Times New Roman" w:eastAsia="Times New Roman" w:hAnsi="Times New Roman" w:cs="Times New Roman"/>
        </w:rPr>
        <w:t>In these ways, redlining is a poten</w:t>
      </w:r>
      <w:r>
        <w:rPr>
          <w:rFonts w:ascii="Times New Roman" w:eastAsia="Times New Roman" w:hAnsi="Times New Roman" w:cs="Times New Roman"/>
        </w:rPr>
        <w:t>t illustration of the ontological power of mapmaking and how maps have been deployed in support of racial and class hegemony. The color-coded maps did not merely represent pre-existing urban realities; they also helped intensify the existing racial divisio</w:t>
      </w:r>
      <w:r>
        <w:rPr>
          <w:rFonts w:ascii="Times New Roman" w:eastAsia="Times New Roman" w:hAnsi="Times New Roman" w:cs="Times New Roman"/>
        </w:rPr>
        <w:t xml:space="preserve">ns within urban landscapes while contributing to the emergence of new ones. </w:t>
      </w:r>
    </w:p>
    <w:p w14:paraId="37CF0693" w14:textId="77777777" w:rsidR="00D4452C" w:rsidRDefault="001A61B1">
      <w:pPr>
        <w:rPr>
          <w:rFonts w:ascii="Times New Roman" w:eastAsia="Times New Roman" w:hAnsi="Times New Roman" w:cs="Times New Roman"/>
        </w:rPr>
      </w:pPr>
      <w:r>
        <w:rPr>
          <w:rFonts w:ascii="Times New Roman" w:eastAsia="Times New Roman" w:hAnsi="Times New Roman" w:cs="Times New Roman"/>
        </w:rPr>
        <w:t xml:space="preserve">Neighborhoods categorized as “Best” </w:t>
      </w:r>
      <w:r>
        <w:rPr>
          <w:rFonts w:ascii="Times New Roman" w:eastAsia="Times New Roman" w:hAnsi="Times New Roman" w:cs="Times New Roman"/>
          <w:i/>
        </w:rPr>
        <w:t>became</w:t>
      </w:r>
      <w:r>
        <w:rPr>
          <w:rFonts w:ascii="Times New Roman" w:eastAsia="Times New Roman" w:hAnsi="Times New Roman" w:cs="Times New Roman"/>
        </w:rPr>
        <w:t xml:space="preserve"> more prosperous as a result of redlining and processes it set in motion. Meanwhile, neighborhoods designated as “Hazardous” </w:t>
      </w:r>
      <w:r>
        <w:rPr>
          <w:rFonts w:ascii="Times New Roman" w:eastAsia="Times New Roman" w:hAnsi="Times New Roman" w:cs="Times New Roman"/>
          <w:i/>
        </w:rPr>
        <w:t>became</w:t>
      </w:r>
      <w:r>
        <w:rPr>
          <w:rFonts w:ascii="Times New Roman" w:eastAsia="Times New Roman" w:hAnsi="Times New Roman" w:cs="Times New Roman"/>
        </w:rPr>
        <w:t xml:space="preserve"> more </w:t>
      </w:r>
      <w:r>
        <w:rPr>
          <w:rFonts w:ascii="Times New Roman" w:eastAsia="Times New Roman" w:hAnsi="Times New Roman" w:cs="Times New Roman"/>
        </w:rPr>
        <w:t>hazardous due to the resultant disinvestment. From its inception, redlining was a form of world-making. The abandonment of particular urban neighborhoods did not just happen; it was organized through creation and widely spread application of those maps (Gi</w:t>
      </w:r>
      <w:r>
        <w:rPr>
          <w:rFonts w:ascii="Times New Roman" w:eastAsia="Times New Roman" w:hAnsi="Times New Roman" w:cs="Times New Roman"/>
        </w:rPr>
        <w:t xml:space="preserve">lmore 2017; Rothstein 2017; Martinez and Glantz 2018). The intentional segregation of non-White </w:t>
      </w:r>
      <w:r>
        <w:rPr>
          <w:rFonts w:ascii="Times New Roman" w:eastAsia="Times New Roman" w:hAnsi="Times New Roman" w:cs="Times New Roman"/>
        </w:rPr>
        <w:lastRenderedPageBreak/>
        <w:t xml:space="preserve">neighborhoods has led to profitable investments elsewhere. Wrapped in normative rhetoric about the importance of homeownership and upward mobility for </w:t>
      </w:r>
      <w:proofErr w:type="gramStart"/>
      <w:r>
        <w:rPr>
          <w:rFonts w:ascii="Times New Roman" w:eastAsia="Times New Roman" w:hAnsi="Times New Roman" w:cs="Times New Roman"/>
        </w:rPr>
        <w:t>middle an</w:t>
      </w:r>
      <w:r>
        <w:rPr>
          <w:rFonts w:ascii="Times New Roman" w:eastAsia="Times New Roman" w:hAnsi="Times New Roman" w:cs="Times New Roman"/>
        </w:rPr>
        <w:t>d working class</w:t>
      </w:r>
      <w:proofErr w:type="gramEnd"/>
      <w:r>
        <w:rPr>
          <w:rFonts w:ascii="Times New Roman" w:eastAsia="Times New Roman" w:hAnsi="Times New Roman" w:cs="Times New Roman"/>
        </w:rPr>
        <w:t xml:space="preserve"> families, redlining was always and everywhere a way to shore up the status of White homeowners at the expense of non-White working class neighborhoods.</w:t>
      </w:r>
    </w:p>
    <w:p w14:paraId="1C3C0355" w14:textId="77777777" w:rsidR="00D4452C" w:rsidRDefault="001A61B1">
      <w:pPr>
        <w:ind w:firstLine="720"/>
        <w:rPr>
          <w:rFonts w:ascii="Times New Roman" w:eastAsia="Times New Roman" w:hAnsi="Times New Roman" w:cs="Times New Roman"/>
        </w:rPr>
      </w:pPr>
      <w:r>
        <w:rPr>
          <w:rFonts w:ascii="Times New Roman" w:eastAsia="Times New Roman" w:hAnsi="Times New Roman" w:cs="Times New Roman"/>
        </w:rPr>
        <w:t>In what follows, we relate solidarity economy hotspots to the history and geography of r</w:t>
      </w:r>
      <w:r>
        <w:rPr>
          <w:rFonts w:ascii="Times New Roman" w:eastAsia="Times New Roman" w:hAnsi="Times New Roman" w:cs="Times New Roman"/>
        </w:rPr>
        <w:t xml:space="preserve">edlining in order to position those two ways to make urban space against each other. Our intentions are twofold. First, we seek new perspectives on the historical conditions that give rise to economic solidarity. Solidarity economies emerge in the context </w:t>
      </w:r>
      <w:r>
        <w:rPr>
          <w:rFonts w:ascii="Times New Roman" w:eastAsia="Times New Roman" w:hAnsi="Times New Roman" w:cs="Times New Roman"/>
        </w:rPr>
        <w:t>of neighborhoods. We are asking why they concentrate in some neighborhoods and not others and, additionally, whether the solidarity economy has provided communities with the means to resist the devastating effects of redlining. For this, the redlining maps</w:t>
      </w:r>
      <w:r>
        <w:rPr>
          <w:rFonts w:ascii="Times New Roman" w:eastAsia="Times New Roman" w:hAnsi="Times New Roman" w:cs="Times New Roman"/>
        </w:rPr>
        <w:t xml:space="preserve"> serve as a marker of the racialized modes of disinvestment that many neighborhoods have endured over decades and that influence solidarity pathways. Second, we undertake this as a form of counter-mapping designed to destabilize the normative order reflect</w:t>
      </w:r>
      <w:r>
        <w:rPr>
          <w:rFonts w:ascii="Times New Roman" w:eastAsia="Times New Roman" w:hAnsi="Times New Roman" w:cs="Times New Roman"/>
        </w:rPr>
        <w:t>ed in redlining maps. In contrast to those maps, we map the abundance and scarcity of economic solidarity initiatives, something that this hegemonic order either ignores or actively undermines through, for example, organized abandonment of the redlined nei</w:t>
      </w:r>
      <w:r>
        <w:rPr>
          <w:rFonts w:ascii="Times New Roman" w:eastAsia="Times New Roman" w:hAnsi="Times New Roman" w:cs="Times New Roman"/>
        </w:rPr>
        <w:t>ghborhoods. Juxtaposing solidarity economy hotspots with redlining maps is a way to illustrate that while neighborhoods have been influenced by the forces of racial capitalism, they are not solely defined by them.</w:t>
      </w:r>
    </w:p>
    <w:p w14:paraId="455883C2" w14:textId="77777777" w:rsidR="00D4452C" w:rsidRDefault="001A61B1">
      <w:pPr>
        <w:ind w:firstLine="720"/>
        <w:rPr>
          <w:rFonts w:ascii="Times New Roman" w:eastAsia="Times New Roman" w:hAnsi="Times New Roman" w:cs="Times New Roman"/>
        </w:rPr>
      </w:pPr>
      <w:r>
        <w:rPr>
          <w:rFonts w:ascii="Times New Roman" w:eastAsia="Times New Roman" w:hAnsi="Times New Roman" w:cs="Times New Roman"/>
        </w:rPr>
        <w:t>In Map 10, we superimpose the outline of s</w:t>
      </w:r>
      <w:r>
        <w:rPr>
          <w:rFonts w:ascii="Times New Roman" w:eastAsia="Times New Roman" w:hAnsi="Times New Roman" w:cs="Times New Roman"/>
        </w:rPr>
        <w:t xml:space="preserve">olidarity economy hotspots onto historic redlining maps in the three cities. </w:t>
      </w:r>
    </w:p>
    <w:p w14:paraId="6FC385EF" w14:textId="77777777" w:rsidR="00D4452C" w:rsidRDefault="00D4452C">
      <w:pPr>
        <w:rPr>
          <w:rFonts w:ascii="Times New Roman" w:eastAsia="Times New Roman" w:hAnsi="Times New Roman" w:cs="Times New Roman"/>
          <w:b/>
        </w:rPr>
      </w:pPr>
    </w:p>
    <w:p w14:paraId="3AF62792" w14:textId="77777777" w:rsidR="00D4452C" w:rsidRDefault="001A61B1">
      <w:pPr>
        <w:rPr>
          <w:rFonts w:ascii="Times New Roman" w:eastAsia="Times New Roman" w:hAnsi="Times New Roman" w:cs="Times New Roman"/>
        </w:rPr>
      </w:pPr>
      <w:r>
        <w:rPr>
          <w:rFonts w:ascii="Times New Roman" w:eastAsia="Times New Roman" w:hAnsi="Times New Roman" w:cs="Times New Roman"/>
          <w:b/>
        </w:rPr>
        <w:lastRenderedPageBreak/>
        <w:t>Map 10. Solidarity economy hotspots and Home Owners’ Loan Corporation (HOLC), “Residential Security” maps of Philadelphia, New York City, and Worcester, 1935-1968</w:t>
      </w:r>
    </w:p>
    <w:p w14:paraId="1058EEB9" w14:textId="77777777" w:rsidR="00D4452C" w:rsidRDefault="001A61B1">
      <w:pPr>
        <w:pStyle w:val="Heading4"/>
        <w:rPr>
          <w:rFonts w:ascii="Times New Roman" w:eastAsia="Times New Roman" w:hAnsi="Times New Roman" w:cs="Times New Roman"/>
        </w:rPr>
      </w:pPr>
      <w:bookmarkStart w:id="15" w:name="_heading=h.2jxsxqh" w:colFirst="0" w:colLast="0"/>
      <w:bookmarkEnd w:id="15"/>
      <w:r>
        <w:rPr>
          <w:rFonts w:ascii="Times New Roman" w:eastAsia="Times New Roman" w:hAnsi="Times New Roman" w:cs="Times New Roman"/>
          <w:b/>
          <w:noProof/>
          <w:color w:val="000000"/>
        </w:rPr>
        <w:drawing>
          <wp:inline distT="114300" distB="114300" distL="114300" distR="114300" wp14:anchorId="3A77B0C8" wp14:editId="1CC5B96E">
            <wp:extent cx="5943600" cy="40640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943600" cy="4064000"/>
                    </a:xfrm>
                    <a:prstGeom prst="rect">
                      <a:avLst/>
                    </a:prstGeom>
                    <a:ln/>
                  </pic:spPr>
                </pic:pic>
              </a:graphicData>
            </a:graphic>
          </wp:inline>
        </w:drawing>
      </w:r>
    </w:p>
    <w:p w14:paraId="3ECAEB26" w14:textId="77777777" w:rsidR="00D4452C" w:rsidRDefault="00D4452C">
      <w:pPr>
        <w:rPr>
          <w:rFonts w:ascii="Times New Roman" w:eastAsia="Times New Roman" w:hAnsi="Times New Roman" w:cs="Times New Roman"/>
        </w:rPr>
      </w:pPr>
    </w:p>
    <w:p w14:paraId="09ABF6A3" w14:textId="77777777" w:rsidR="00D4452C" w:rsidRDefault="001A61B1">
      <w:pPr>
        <w:rPr>
          <w:rFonts w:ascii="Times New Roman" w:eastAsia="Times New Roman" w:hAnsi="Times New Roman" w:cs="Times New Roman"/>
        </w:rPr>
      </w:pPr>
      <w:r>
        <w:rPr>
          <w:rFonts w:ascii="Times New Roman" w:eastAsia="Times New Roman" w:hAnsi="Times New Roman" w:cs="Times New Roman"/>
        </w:rPr>
        <w:t>Our maps sh</w:t>
      </w:r>
      <w:r>
        <w:rPr>
          <w:rFonts w:ascii="Times New Roman" w:eastAsia="Times New Roman" w:hAnsi="Times New Roman" w:cs="Times New Roman"/>
        </w:rPr>
        <w:t>ow the striking manner in which practically all contemporary solidarity economy hotspots coincide with formerly redlined areas, many of which remain home to communities of color living at or below twice the poverty line. Today, for example, we see clusters</w:t>
      </w:r>
      <w:r>
        <w:rPr>
          <w:rFonts w:ascii="Times New Roman" w:eastAsia="Times New Roman" w:hAnsi="Times New Roman" w:cs="Times New Roman"/>
        </w:rPr>
        <w:t xml:space="preserve"> of solidarity economies in impoverished Black and Latinx communities in formerly redlined areas of West and North Philadelphia (hotspots P3, P2, and P5) and in New York’s Lower East Side (N4), North Manhattan (N2), Harlem (N2), North Brooklyn (N5, N6, and</w:t>
      </w:r>
      <w:r>
        <w:rPr>
          <w:rFonts w:ascii="Times New Roman" w:eastAsia="Times New Roman" w:hAnsi="Times New Roman" w:cs="Times New Roman"/>
        </w:rPr>
        <w:t xml:space="preserve"> N7), and the South Bronx (N1). In Worcester, the major solidarity economy hotspot in Main South neighborhood (W1) </w:t>
      </w:r>
      <w:r>
        <w:rPr>
          <w:rFonts w:ascii="Times New Roman" w:eastAsia="Times New Roman" w:hAnsi="Times New Roman" w:cs="Times New Roman"/>
        </w:rPr>
        <w:lastRenderedPageBreak/>
        <w:t>coincides with those red and yellow areas that were deprived of investment in the past and that continue to comprise poor, working class, com</w:t>
      </w:r>
      <w:r>
        <w:rPr>
          <w:rFonts w:ascii="Times New Roman" w:eastAsia="Times New Roman" w:hAnsi="Times New Roman" w:cs="Times New Roman"/>
        </w:rPr>
        <w:t xml:space="preserve">munities of color. </w:t>
      </w:r>
    </w:p>
    <w:p w14:paraId="252178EC" w14:textId="77777777" w:rsidR="00D4452C" w:rsidRDefault="001A61B1">
      <w:pPr>
        <w:ind w:firstLine="720"/>
        <w:rPr>
          <w:rFonts w:ascii="Times New Roman" w:eastAsia="Times New Roman" w:hAnsi="Times New Roman" w:cs="Times New Roman"/>
        </w:rPr>
      </w:pPr>
      <w:r>
        <w:rPr>
          <w:rFonts w:ascii="Times New Roman" w:eastAsia="Times New Roman" w:hAnsi="Times New Roman" w:cs="Times New Roman"/>
        </w:rPr>
        <w:t>Conversely, the densities of the solidarity economy are generally lower in the areas that were marked by HOLC in green and blue and thus made accessible for decades to come through mortgage lending to White populations. This is the case, for example, in No</w:t>
      </w:r>
      <w:r>
        <w:rPr>
          <w:rFonts w:ascii="Times New Roman" w:eastAsia="Times New Roman" w:hAnsi="Times New Roman" w:cs="Times New Roman"/>
        </w:rPr>
        <w:t xml:space="preserve">rthwest and Northeast Philadelphia and in parts of Manhattan, Brooklyn, and Staten Island in New York City. The same holds true for Whiter and wealthier neighborhoods in northern and western Worcester. </w:t>
      </w:r>
    </w:p>
    <w:p w14:paraId="1028C7EF" w14:textId="77777777" w:rsidR="00D4452C" w:rsidRDefault="001A61B1">
      <w:pPr>
        <w:ind w:firstLine="720"/>
        <w:rPr>
          <w:rFonts w:ascii="Times New Roman" w:eastAsia="Times New Roman" w:hAnsi="Times New Roman" w:cs="Times New Roman"/>
        </w:rPr>
      </w:pPr>
      <w:r>
        <w:rPr>
          <w:rFonts w:ascii="Times New Roman" w:eastAsia="Times New Roman" w:hAnsi="Times New Roman" w:cs="Times New Roman"/>
        </w:rPr>
        <w:t xml:space="preserve">Taken together, these findings reveal an interesting </w:t>
      </w:r>
      <w:r>
        <w:rPr>
          <w:rFonts w:ascii="Times New Roman" w:eastAsia="Times New Roman" w:hAnsi="Times New Roman" w:cs="Times New Roman"/>
        </w:rPr>
        <w:t>inversion of the normative hierarchy. Many of the neighborhoods labeled as the “Best” on the redlining maps, representing areas abundant with capital and investment opportunities, are the very places where solidarity economy initiatives are conspicuously s</w:t>
      </w:r>
      <w:r>
        <w:rPr>
          <w:rFonts w:ascii="Times New Roman" w:eastAsia="Times New Roman" w:hAnsi="Times New Roman" w:cs="Times New Roman"/>
        </w:rPr>
        <w:t xml:space="preserve">carce. By contrast, many neighborhoods that were once categorized as “Hazardous” and lacking in opportunity are here shown to be rich in economic solidarity. While many of these latter neighborhoods undoubtedly continue to endure economic </w:t>
      </w:r>
    </w:p>
    <w:p w14:paraId="078AD945" w14:textId="77777777" w:rsidR="00D4452C" w:rsidRDefault="001A61B1">
      <w:pPr>
        <w:rPr>
          <w:rFonts w:ascii="Times New Roman" w:eastAsia="Times New Roman" w:hAnsi="Times New Roman" w:cs="Times New Roman"/>
        </w:rPr>
      </w:pPr>
      <w:r>
        <w:rPr>
          <w:rFonts w:ascii="Times New Roman" w:eastAsia="Times New Roman" w:hAnsi="Times New Roman" w:cs="Times New Roman"/>
        </w:rPr>
        <w:t>hardship, the ma</w:t>
      </w:r>
      <w:r>
        <w:rPr>
          <w:rFonts w:ascii="Times New Roman" w:eastAsia="Times New Roman" w:hAnsi="Times New Roman" w:cs="Times New Roman"/>
        </w:rPr>
        <w:t xml:space="preserve">ps reveal they are much more than their redlining designation. </w:t>
      </w:r>
    </w:p>
    <w:p w14:paraId="74BDDD71" w14:textId="77777777" w:rsidR="00D4452C" w:rsidRDefault="001A61B1">
      <w:pPr>
        <w:ind w:firstLine="720"/>
        <w:rPr>
          <w:rFonts w:ascii="Times New Roman" w:eastAsia="Times New Roman" w:hAnsi="Times New Roman" w:cs="Times New Roman"/>
        </w:rPr>
      </w:pPr>
      <w:r>
        <w:rPr>
          <w:rFonts w:ascii="Times New Roman" w:eastAsia="Times New Roman" w:hAnsi="Times New Roman" w:cs="Times New Roman"/>
        </w:rPr>
        <w:t>A small number of our hotspots appear in areas that used to be redlined but are today areas transformed by gentrification into well-to-do predominantly White neighborhoods. This is perhaps mos</w:t>
      </w:r>
      <w:r>
        <w:rPr>
          <w:rFonts w:ascii="Times New Roman" w:eastAsia="Times New Roman" w:hAnsi="Times New Roman" w:cs="Times New Roman"/>
        </w:rPr>
        <w:t>t evident in portions of South Philadelphia (P3), northwest Brooklyn (N6) and western Manhattan (N3), though it has happened elsewhere as well. Redlining and urban abandonment played a role in this too. As urban geographers have argued, and as we discuss i</w:t>
      </w:r>
      <w:r>
        <w:rPr>
          <w:rFonts w:ascii="Times New Roman" w:eastAsia="Times New Roman" w:hAnsi="Times New Roman" w:cs="Times New Roman"/>
        </w:rPr>
        <w:t>n Chapter 6, disinvestment and gentrification (or redevelopment) are often two sides of the same coin (Smith 1979; Marcuse 1985). Disinvestment creates the conditions of profitability that developers seek to capitalize on (known as “rent gap”) encouraged b</w:t>
      </w:r>
      <w:r>
        <w:rPr>
          <w:rFonts w:ascii="Times New Roman" w:eastAsia="Times New Roman" w:hAnsi="Times New Roman" w:cs="Times New Roman"/>
        </w:rPr>
        <w:t xml:space="preserve">y urban administrations that </w:t>
      </w:r>
      <w:r>
        <w:rPr>
          <w:rFonts w:ascii="Times New Roman" w:eastAsia="Times New Roman" w:hAnsi="Times New Roman" w:cs="Times New Roman"/>
        </w:rPr>
        <w:lastRenderedPageBreak/>
        <w:t>seek to eradicate the so-called “blight” through displacement. This large-scale condition generates spatially focused consequences. Almost 50% of New York’s urban renewal projects and 70% of public housing projects targeted dis</w:t>
      </w:r>
      <w:r>
        <w:rPr>
          <w:rFonts w:ascii="Times New Roman" w:eastAsia="Times New Roman" w:hAnsi="Times New Roman" w:cs="Times New Roman"/>
        </w:rPr>
        <w:t>invested neighborhoods, displacing poorer residents from some distressed neighborhoods and further spatially concentrating them in others (Winkler 2016). Similar dynamics played out in Philadelphia. The historic Black neighborhoods of South Philadelphia, f</w:t>
      </w:r>
      <w:r>
        <w:rPr>
          <w:rFonts w:ascii="Times New Roman" w:eastAsia="Times New Roman" w:hAnsi="Times New Roman" w:cs="Times New Roman"/>
        </w:rPr>
        <w:t xml:space="preserve">or instance, were directly targeted for urban renewal. Between 1950 and 1966, more than 13,000 Philadelphia families were displaced through urban renewal projects. Seventy-two percent of these families were Black (Digital Scholarship Lab 2022). As we will </w:t>
      </w:r>
      <w:r>
        <w:rPr>
          <w:rFonts w:ascii="Times New Roman" w:eastAsia="Times New Roman" w:hAnsi="Times New Roman" w:cs="Times New Roman"/>
        </w:rPr>
        <w:t>explore in subsequent chapters, the dynamics of organized abandonment, redevelopment, gentrification, and displacement continue to operate in each of these cities. But while displacement of poorer residents remains a distinct possibility in gentrifying nei</w:t>
      </w:r>
      <w:r>
        <w:rPr>
          <w:rFonts w:ascii="Times New Roman" w:eastAsia="Times New Roman" w:hAnsi="Times New Roman" w:cs="Times New Roman"/>
        </w:rPr>
        <w:t>ghborhoods, it is not a foregone conclusion. Indeed, the threat of displacement serves to underscore the significance of solidarity economies, both as a potential contributor to urban renewal and gentrification at times and as a potential ballast against d</w:t>
      </w:r>
      <w:r>
        <w:rPr>
          <w:rFonts w:ascii="Times New Roman" w:eastAsia="Times New Roman" w:hAnsi="Times New Roman" w:cs="Times New Roman"/>
        </w:rPr>
        <w:t>isplacement. In some neighborhoods, people who would have otherwise been displaced have been able to remain in place because of the infrastructures of solidarity: community gardens, credit unions, and especially through affordable housing cooperatives.</w:t>
      </w:r>
    </w:p>
    <w:p w14:paraId="32E52CCA" w14:textId="77777777" w:rsidR="00D4452C" w:rsidRDefault="001A61B1">
      <w:pPr>
        <w:ind w:firstLine="720"/>
        <w:rPr>
          <w:rFonts w:ascii="Times New Roman" w:eastAsia="Times New Roman" w:hAnsi="Times New Roman" w:cs="Times New Roman"/>
        </w:rPr>
      </w:pPr>
      <w:r>
        <w:rPr>
          <w:rFonts w:ascii="Times New Roman" w:eastAsia="Times New Roman" w:hAnsi="Times New Roman" w:cs="Times New Roman"/>
        </w:rPr>
        <w:t>Ove</w:t>
      </w:r>
      <w:r>
        <w:rPr>
          <w:rFonts w:ascii="Times New Roman" w:eastAsia="Times New Roman" w:hAnsi="Times New Roman" w:cs="Times New Roman"/>
        </w:rPr>
        <w:t xml:space="preserve">rall, the foregoing analysis establishes a connection between the historic, racist practices of redlining and the distributions of contemporary urban solidarity economies. This suggests that the solidarity economy provides unique collective ways of coping </w:t>
      </w:r>
      <w:r>
        <w:rPr>
          <w:rFonts w:ascii="Times New Roman" w:eastAsia="Times New Roman" w:hAnsi="Times New Roman" w:cs="Times New Roman"/>
        </w:rPr>
        <w:t>with racialized poverty and economic injustice. While this is certainly true to a large extent, it would be a mistake to portray the solidarity economy as only reactive, a view that would give all of the power and agency to government policies and oppressi</w:t>
      </w:r>
      <w:r>
        <w:rPr>
          <w:rFonts w:ascii="Times New Roman" w:eastAsia="Times New Roman" w:hAnsi="Times New Roman" w:cs="Times New Roman"/>
        </w:rPr>
        <w:t>ve conditions</w:t>
      </w:r>
      <w:r>
        <w:rPr>
          <w:rFonts w:ascii="Times New Roman" w:eastAsia="Times New Roman" w:hAnsi="Times New Roman" w:cs="Times New Roman"/>
          <w:color w:val="1F1F1F"/>
          <w:highlight w:val="white"/>
        </w:rPr>
        <w:t xml:space="preserve">. </w:t>
      </w:r>
      <w:r>
        <w:rPr>
          <w:rFonts w:ascii="Times New Roman" w:eastAsia="Times New Roman" w:hAnsi="Times New Roman" w:cs="Times New Roman"/>
        </w:rPr>
        <w:t xml:space="preserve">Credit unions, </w:t>
      </w:r>
      <w:r>
        <w:rPr>
          <w:rFonts w:ascii="Times New Roman" w:eastAsia="Times New Roman" w:hAnsi="Times New Roman" w:cs="Times New Roman"/>
        </w:rPr>
        <w:lastRenderedPageBreak/>
        <w:t>cooperatives, community gardens and other solidarity economy initiatives may indeed be responses to redlining (and other racial capitalist forces) and its enduring consequences, but they also come from different inspirations a</w:t>
      </w:r>
      <w:r>
        <w:rPr>
          <w:rFonts w:ascii="Times New Roman" w:eastAsia="Times New Roman" w:hAnsi="Times New Roman" w:cs="Times New Roman"/>
        </w:rPr>
        <w:t xml:space="preserve">nd practices that are not just defined by opposition. </w:t>
      </w:r>
    </w:p>
    <w:p w14:paraId="1CF41B39" w14:textId="77777777" w:rsidR="00D4452C" w:rsidRDefault="001A61B1">
      <w:pPr>
        <w:ind w:firstLine="720"/>
        <w:rPr>
          <w:rFonts w:ascii="Times New Roman" w:eastAsia="Times New Roman" w:hAnsi="Times New Roman" w:cs="Times New Roman"/>
          <w:color w:val="444746"/>
        </w:rPr>
      </w:pPr>
      <w:r>
        <w:rPr>
          <w:rFonts w:ascii="Times New Roman" w:eastAsia="Times New Roman" w:hAnsi="Times New Roman" w:cs="Times New Roman"/>
        </w:rPr>
        <w:t>While we can only gesture here, we join Hossein, Wright-Austin and Edmonds in seeking to shift the discourse “from one of necessity to one of agency and collective determination, to present to the worl</w:t>
      </w:r>
      <w:r>
        <w:rPr>
          <w:rFonts w:ascii="Times New Roman" w:eastAsia="Times New Roman" w:hAnsi="Times New Roman" w:cs="Times New Roman"/>
        </w:rPr>
        <w:t xml:space="preserve">d collective organizing occurring from the ground </w:t>
      </w:r>
      <w:proofErr w:type="gramStart"/>
      <w:r>
        <w:rPr>
          <w:rFonts w:ascii="Times New Roman" w:eastAsia="Times New Roman" w:hAnsi="Times New Roman" w:cs="Times New Roman"/>
        </w:rPr>
        <w:t>up”(</w:t>
      </w:r>
      <w:proofErr w:type="gramEnd"/>
      <w:r>
        <w:rPr>
          <w:rFonts w:ascii="Times New Roman" w:eastAsia="Times New Roman" w:hAnsi="Times New Roman" w:cs="Times New Roman"/>
        </w:rPr>
        <w:t>Hossein et al. 2023, 12). Such initiatives might often be motivated by necessity, but they are born out of visions of a more just and cooperative economy.  Inspiration for envisioning other worlds is ge</w:t>
      </w:r>
      <w:r>
        <w:rPr>
          <w:rFonts w:ascii="Times New Roman" w:eastAsia="Times New Roman" w:hAnsi="Times New Roman" w:cs="Times New Roman"/>
        </w:rPr>
        <w:t>nerally drawn not from capitalist institutions, but from shared cultural histories of human solidarity. There are different visions of solidarity at work in the ecosystems of those solidarity economy hotspots. They come from different seeds. Those seeds ar</w:t>
      </w:r>
      <w:r>
        <w:rPr>
          <w:rFonts w:ascii="Times New Roman" w:eastAsia="Times New Roman" w:hAnsi="Times New Roman" w:cs="Times New Roman"/>
        </w:rPr>
        <w:t>e coming from deeper traditions, from other places, from other forms of world-making that have vitality and principles of their own. Much of the solidarity economy took hold within those redlined neighborhoods and beyond specifically because those who came</w:t>
      </w:r>
      <w:r>
        <w:rPr>
          <w:rFonts w:ascii="Times New Roman" w:eastAsia="Times New Roman" w:hAnsi="Times New Roman" w:cs="Times New Roman"/>
        </w:rPr>
        <w:t xml:space="preserve"> from other parts of the US and other countries actively made place in non-capitalist ways and built the solidarity cities.</w:t>
      </w:r>
      <w:r>
        <w:rPr>
          <w:rFonts w:ascii="Times New Roman" w:eastAsia="Times New Roman" w:hAnsi="Times New Roman" w:cs="Times New Roman"/>
          <w:vertAlign w:val="superscript"/>
        </w:rPr>
        <w:footnoteReference w:id="7"/>
      </w:r>
      <w:r>
        <w:rPr>
          <w:rFonts w:ascii="Times New Roman" w:eastAsia="Times New Roman" w:hAnsi="Times New Roman" w:cs="Times New Roman"/>
        </w:rPr>
        <w:t xml:space="preserve"> </w:t>
      </w:r>
    </w:p>
    <w:p w14:paraId="5BC52B61" w14:textId="77777777" w:rsidR="00D4452C" w:rsidRDefault="00D4452C">
      <w:pPr>
        <w:ind w:firstLine="720"/>
        <w:rPr>
          <w:rFonts w:ascii="Times New Roman" w:eastAsia="Times New Roman" w:hAnsi="Times New Roman" w:cs="Times New Roman"/>
          <w:color w:val="444746"/>
        </w:rPr>
      </w:pPr>
    </w:p>
    <w:p w14:paraId="361E01A1" w14:textId="77777777" w:rsidR="00D4452C" w:rsidRDefault="001A61B1">
      <w:pPr>
        <w:pStyle w:val="Heading1"/>
      </w:pPr>
      <w:bookmarkStart w:id="16" w:name="_heading=h.ef01mc6a2jok" w:colFirst="0" w:colLast="0"/>
      <w:bookmarkEnd w:id="16"/>
      <w:r>
        <w:t>Conclusion</w:t>
      </w:r>
    </w:p>
    <w:p w14:paraId="38314BB7" w14:textId="77777777" w:rsidR="00D4452C" w:rsidRDefault="001A61B1">
      <w:pPr>
        <w:rPr>
          <w:rFonts w:ascii="Times New Roman" w:eastAsia="Times New Roman" w:hAnsi="Times New Roman" w:cs="Times New Roman"/>
        </w:rPr>
      </w:pPr>
      <w:r>
        <w:rPr>
          <w:rFonts w:ascii="Times New Roman" w:eastAsia="Times New Roman" w:hAnsi="Times New Roman" w:cs="Times New Roman"/>
        </w:rPr>
        <w:t>In this paper we closely examined how solidarity economies cluster and form geographic hotspots in particular neighbo</w:t>
      </w:r>
      <w:r>
        <w:rPr>
          <w:rFonts w:ascii="Times New Roman" w:eastAsia="Times New Roman" w:hAnsi="Times New Roman" w:cs="Times New Roman"/>
        </w:rPr>
        <w:t>rhoods in all three cities. In most cases, these hotspots are found in low income and minority urban neighborhoods that have been produced through many powerful racial capitalist processes, including redlining. In this pattern we find evidence of the solid</w:t>
      </w:r>
      <w:r>
        <w:rPr>
          <w:rFonts w:ascii="Times New Roman" w:eastAsia="Times New Roman" w:hAnsi="Times New Roman" w:cs="Times New Roman"/>
        </w:rPr>
        <w:t>arity economy emerging as a widely practiced community response</w:t>
      </w:r>
      <w:r>
        <w:rPr>
          <w:rFonts w:ascii="Times New Roman" w:eastAsia="Times New Roman" w:hAnsi="Times New Roman" w:cs="Times New Roman"/>
          <w:i/>
        </w:rPr>
        <w:t xml:space="preserve"> </w:t>
      </w:r>
      <w:r>
        <w:rPr>
          <w:rFonts w:ascii="Times New Roman" w:eastAsia="Times New Roman" w:hAnsi="Times New Roman" w:cs="Times New Roman"/>
        </w:rPr>
        <w:t xml:space="preserve">to economic and social </w:t>
      </w:r>
      <w:r>
        <w:rPr>
          <w:rFonts w:ascii="Times New Roman" w:eastAsia="Times New Roman" w:hAnsi="Times New Roman" w:cs="Times New Roman"/>
        </w:rPr>
        <w:lastRenderedPageBreak/>
        <w:t>marginalization. However, to say that they are only a reaction would be to miss all the different ways that communities are practicing vital collective traditions and en</w:t>
      </w:r>
      <w:r>
        <w:rPr>
          <w:rFonts w:ascii="Times New Roman" w:eastAsia="Times New Roman" w:hAnsi="Times New Roman" w:cs="Times New Roman"/>
        </w:rPr>
        <w:t>acting their own visions of urban life. Rather than evaluating neighborhoods solely in terms of their suitability for capital investment (as the original redlining maps intended) or conversely in terms of the degree of victimization by racist practices tha</w:t>
      </w:r>
      <w:r>
        <w:rPr>
          <w:rFonts w:ascii="Times New Roman" w:eastAsia="Times New Roman" w:hAnsi="Times New Roman" w:cs="Times New Roman"/>
        </w:rPr>
        <w:t>t unfairly denied access to capital (the perspective of many critics of redlining), we use counter-mapping to look at cities through a different lens. We find and make visible on our maps an abundance of economic solidarity at work that has long shouldered</w:t>
      </w:r>
      <w:r>
        <w:rPr>
          <w:rFonts w:ascii="Times New Roman" w:eastAsia="Times New Roman" w:hAnsi="Times New Roman" w:cs="Times New Roman"/>
        </w:rPr>
        <w:t xml:space="preserve"> various “build and defend” strategies within those marginalized neighborhoods while drawing on traditions of everyday solidarity in different cultures.   </w:t>
      </w:r>
    </w:p>
    <w:p w14:paraId="5632773B" w14:textId="77777777" w:rsidR="00D4452C" w:rsidRDefault="001A61B1">
      <w:pPr>
        <w:ind w:firstLine="720"/>
        <w:rPr>
          <w:rFonts w:ascii="Times New Roman" w:eastAsia="Times New Roman" w:hAnsi="Times New Roman" w:cs="Times New Roman"/>
        </w:rPr>
      </w:pPr>
      <w:r>
        <w:rPr>
          <w:rFonts w:ascii="Times New Roman" w:eastAsia="Times New Roman" w:hAnsi="Times New Roman" w:cs="Times New Roman"/>
        </w:rPr>
        <w:t>Marx once famously said that we make our own history but not under circumstances of our own choosing</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8"/>
      </w:r>
      <w:r>
        <w:rPr>
          <w:rFonts w:ascii="Times New Roman" w:eastAsia="Times New Roman" w:hAnsi="Times New Roman" w:cs="Times New Roman"/>
        </w:rPr>
        <w:t xml:space="preserve"> People and institutions that are part of today’s solidarity economy movement operate in urban environments that have been powerfully shaped by forces ranging from capitalist development and government housing policy to ongoing police and structural vio</w:t>
      </w:r>
      <w:r>
        <w:rPr>
          <w:rFonts w:ascii="Times New Roman" w:eastAsia="Times New Roman" w:hAnsi="Times New Roman" w:cs="Times New Roman"/>
        </w:rPr>
        <w:t>lence. These are the circumstances not of our choosing. But what we wish to emphasize is the tenacity of the solidarity economy movement and the ability of urban communities, in the words of Ruth Wilson Gilmore (2017, 481), “to make where they were into pl</w:t>
      </w:r>
      <w:r>
        <w:rPr>
          <w:rFonts w:ascii="Times New Roman" w:eastAsia="Times New Roman" w:hAnsi="Times New Roman" w:cs="Times New Roman"/>
        </w:rPr>
        <w:t xml:space="preserve">aces they wished to be.” </w:t>
      </w:r>
    </w:p>
    <w:p w14:paraId="691504C6" w14:textId="77777777" w:rsidR="00D4452C" w:rsidRDefault="00D4452C">
      <w:pPr>
        <w:rPr>
          <w:rFonts w:ascii="Times New Roman" w:eastAsia="Times New Roman" w:hAnsi="Times New Roman" w:cs="Times New Roman"/>
        </w:rPr>
      </w:pPr>
    </w:p>
    <w:p w14:paraId="666500CF" w14:textId="77777777" w:rsidR="00D4452C" w:rsidRDefault="001A61B1">
      <w:pPr>
        <w:rPr>
          <w:rFonts w:ascii="Times New Roman" w:eastAsia="Times New Roman" w:hAnsi="Times New Roman" w:cs="Times New Roman"/>
        </w:rPr>
      </w:pPr>
      <w:r>
        <w:br w:type="page"/>
      </w:r>
    </w:p>
    <w:p w14:paraId="4BDD0015" w14:textId="77777777" w:rsidR="00D4452C" w:rsidRDefault="001A61B1">
      <w:pPr>
        <w:pStyle w:val="Heading1"/>
      </w:pPr>
      <w:bookmarkStart w:id="17" w:name="_heading=h.te1eyo8yg6pq" w:colFirst="0" w:colLast="0"/>
      <w:bookmarkEnd w:id="17"/>
      <w:r>
        <w:lastRenderedPageBreak/>
        <w:t>Bibliography</w:t>
      </w:r>
    </w:p>
    <w:p w14:paraId="7858FB45" w14:textId="77777777" w:rsidR="00D4452C" w:rsidRDefault="001A61B1">
      <w:pPr>
        <w:spacing w:after="160" w:line="360" w:lineRule="auto"/>
        <w:ind w:hanging="480"/>
        <w:rPr>
          <w:rFonts w:ascii="Times New Roman" w:eastAsia="Times New Roman" w:hAnsi="Times New Roman" w:cs="Times New Roman"/>
        </w:rPr>
      </w:pPr>
      <w:r>
        <w:rPr>
          <w:rFonts w:ascii="Times New Roman" w:eastAsia="Times New Roman" w:hAnsi="Times New Roman" w:cs="Times New Roman"/>
        </w:rPr>
        <w:t xml:space="preserve">Adams, Carolyn </w:t>
      </w:r>
      <w:proofErr w:type="spellStart"/>
      <w:r>
        <w:rPr>
          <w:rFonts w:ascii="Times New Roman" w:eastAsia="Times New Roman" w:hAnsi="Times New Roman" w:cs="Times New Roman"/>
        </w:rPr>
        <w:t>Teich</w:t>
      </w:r>
      <w:proofErr w:type="spellEnd"/>
      <w:r>
        <w:rPr>
          <w:rFonts w:ascii="Times New Roman" w:eastAsia="Times New Roman" w:hAnsi="Times New Roman" w:cs="Times New Roman"/>
        </w:rPr>
        <w:t xml:space="preserve">, David </w:t>
      </w:r>
      <w:proofErr w:type="spellStart"/>
      <w:r>
        <w:rPr>
          <w:rFonts w:ascii="Times New Roman" w:eastAsia="Times New Roman" w:hAnsi="Times New Roman" w:cs="Times New Roman"/>
        </w:rPr>
        <w:t>Bartlet</w:t>
      </w:r>
      <w:proofErr w:type="spellEnd"/>
      <w:r>
        <w:rPr>
          <w:rFonts w:ascii="Times New Roman" w:eastAsia="Times New Roman" w:hAnsi="Times New Roman" w:cs="Times New Roman"/>
        </w:rPr>
        <w:t xml:space="preserve">, David </w:t>
      </w:r>
      <w:proofErr w:type="spellStart"/>
      <w:r>
        <w:rPr>
          <w:rFonts w:ascii="Times New Roman" w:eastAsia="Times New Roman" w:hAnsi="Times New Roman" w:cs="Times New Roman"/>
        </w:rPr>
        <w:t>Elesh</w:t>
      </w:r>
      <w:proofErr w:type="spellEnd"/>
      <w:r>
        <w:rPr>
          <w:rFonts w:ascii="Times New Roman" w:eastAsia="Times New Roman" w:hAnsi="Times New Roman" w:cs="Times New Roman"/>
        </w:rPr>
        <w:t xml:space="preserve">, and Ira Goldstein. 2008. </w:t>
      </w:r>
      <w:r>
        <w:rPr>
          <w:rFonts w:ascii="Times New Roman" w:eastAsia="Times New Roman" w:hAnsi="Times New Roman" w:cs="Times New Roman"/>
          <w:i/>
        </w:rPr>
        <w:t>Restructuring the Philadelphia Region: Metropolitan Divisions and Inequality</w:t>
      </w:r>
      <w:r>
        <w:rPr>
          <w:rFonts w:ascii="Times New Roman" w:eastAsia="Times New Roman" w:hAnsi="Times New Roman" w:cs="Times New Roman"/>
        </w:rPr>
        <w:t>. Philadelphia Voices, Philadelphia Visions 2. Temple University.</w:t>
      </w:r>
    </w:p>
    <w:p w14:paraId="08AC7783" w14:textId="77777777" w:rsidR="00D4452C" w:rsidRDefault="001A61B1">
      <w:pPr>
        <w:spacing w:after="160" w:line="360" w:lineRule="auto"/>
        <w:ind w:hanging="480"/>
        <w:rPr>
          <w:rFonts w:ascii="Times New Roman" w:eastAsia="Times New Roman" w:hAnsi="Times New Roman" w:cs="Times New Roman"/>
        </w:rPr>
      </w:pPr>
      <w:proofErr w:type="spellStart"/>
      <w:r>
        <w:rPr>
          <w:rFonts w:ascii="Times New Roman" w:eastAsia="Times New Roman" w:hAnsi="Times New Roman" w:cs="Times New Roman"/>
        </w:rPr>
        <w:t>Akuno</w:t>
      </w:r>
      <w:proofErr w:type="spellEnd"/>
      <w:r>
        <w:rPr>
          <w:rFonts w:ascii="Times New Roman" w:eastAsia="Times New Roman" w:hAnsi="Times New Roman" w:cs="Times New Roman"/>
        </w:rPr>
        <w:t xml:space="preserve">, Kali. 2017. “Build and Fight: The Program and Strategy of Cooperation Jackson.” In </w:t>
      </w:r>
      <w:r>
        <w:rPr>
          <w:rFonts w:ascii="Times New Roman" w:eastAsia="Times New Roman" w:hAnsi="Times New Roman" w:cs="Times New Roman"/>
          <w:i/>
        </w:rPr>
        <w:t>Jackson Rising: The Stru</w:t>
      </w:r>
      <w:r>
        <w:rPr>
          <w:rFonts w:ascii="Times New Roman" w:eastAsia="Times New Roman" w:hAnsi="Times New Roman" w:cs="Times New Roman"/>
          <w:i/>
        </w:rPr>
        <w:t>ggle for Economic Recovery and Black Self-Determination in Jackson, Mississippi</w:t>
      </w:r>
      <w:r>
        <w:rPr>
          <w:rFonts w:ascii="Times New Roman" w:eastAsia="Times New Roman" w:hAnsi="Times New Roman" w:cs="Times New Roman"/>
        </w:rPr>
        <w:t xml:space="preserve">. </w:t>
      </w:r>
      <w:proofErr w:type="spellStart"/>
      <w:r>
        <w:rPr>
          <w:rFonts w:ascii="Times New Roman" w:eastAsia="Times New Roman" w:hAnsi="Times New Roman" w:cs="Times New Roman"/>
        </w:rPr>
        <w:t>Daraja</w:t>
      </w:r>
      <w:proofErr w:type="spellEnd"/>
      <w:r>
        <w:rPr>
          <w:rFonts w:ascii="Times New Roman" w:eastAsia="Times New Roman" w:hAnsi="Times New Roman" w:cs="Times New Roman"/>
        </w:rPr>
        <w:t xml:space="preserve"> Press.</w:t>
      </w:r>
    </w:p>
    <w:p w14:paraId="5B71905D" w14:textId="77777777" w:rsidR="00D4452C" w:rsidRDefault="001A61B1">
      <w:pPr>
        <w:spacing w:after="160" w:line="360" w:lineRule="auto"/>
        <w:ind w:hanging="480"/>
        <w:rPr>
          <w:rFonts w:ascii="Times New Roman" w:eastAsia="Times New Roman" w:hAnsi="Times New Roman" w:cs="Times New Roman"/>
        </w:rPr>
      </w:pPr>
      <w:r>
        <w:rPr>
          <w:rFonts w:ascii="Times New Roman" w:eastAsia="Times New Roman" w:hAnsi="Times New Roman" w:cs="Times New Roman"/>
        </w:rPr>
        <w:t xml:space="preserve">Aaronson, Daniel, </w:t>
      </w:r>
      <w:proofErr w:type="spellStart"/>
      <w:r>
        <w:rPr>
          <w:rFonts w:ascii="Times New Roman" w:eastAsia="Times New Roman" w:hAnsi="Times New Roman" w:cs="Times New Roman"/>
        </w:rPr>
        <w:t>Bhashkar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Mazumder</w:t>
      </w:r>
      <w:proofErr w:type="spellEnd"/>
      <w:r>
        <w:rPr>
          <w:rFonts w:ascii="Times New Roman" w:eastAsia="Times New Roman" w:hAnsi="Times New Roman" w:cs="Times New Roman"/>
        </w:rPr>
        <w:t>, Daniel Hartley, and Martha Stinson. 2022. “The long-run effects of the 1930s redlining maps on children,” Working Paper, No.</w:t>
      </w:r>
      <w:r>
        <w:rPr>
          <w:rFonts w:ascii="Times New Roman" w:eastAsia="Times New Roman" w:hAnsi="Times New Roman" w:cs="Times New Roman"/>
        </w:rPr>
        <w:t xml:space="preserve"> WP 2022-13, Federal Reserve Bank of Chicago, Chicago, IL, </w:t>
      </w:r>
      <w:hyperlink r:id="rId17">
        <w:r>
          <w:rPr>
            <w:rFonts w:ascii="Times New Roman" w:eastAsia="Times New Roman" w:hAnsi="Times New Roman" w:cs="Times New Roman"/>
            <w:color w:val="1155CC"/>
            <w:u w:val="single"/>
          </w:rPr>
          <w:t>https://doi.org/10.21033/wp-2022-13</w:t>
        </w:r>
      </w:hyperlink>
    </w:p>
    <w:p w14:paraId="2EBC2D55" w14:textId="77777777" w:rsidR="00D4452C" w:rsidRDefault="001A61B1">
      <w:pPr>
        <w:spacing w:after="160" w:line="360" w:lineRule="auto"/>
        <w:ind w:hanging="480"/>
        <w:rPr>
          <w:rFonts w:ascii="Times New Roman" w:eastAsia="Times New Roman" w:hAnsi="Times New Roman" w:cs="Times New Roman"/>
        </w:rPr>
      </w:pPr>
      <w:r>
        <w:rPr>
          <w:rFonts w:ascii="Times New Roman" w:eastAsia="Times New Roman" w:hAnsi="Times New Roman" w:cs="Times New Roman"/>
        </w:rPr>
        <w:t xml:space="preserve">Barnes, </w:t>
      </w:r>
      <w:proofErr w:type="spellStart"/>
      <w:r>
        <w:rPr>
          <w:rFonts w:ascii="Times New Roman" w:eastAsia="Times New Roman" w:hAnsi="Times New Roman" w:cs="Times New Roman"/>
        </w:rPr>
        <w:t>Shailly</w:t>
      </w:r>
      <w:proofErr w:type="spellEnd"/>
      <w:r>
        <w:rPr>
          <w:rFonts w:ascii="Times New Roman" w:eastAsia="Times New Roman" w:hAnsi="Times New Roman" w:cs="Times New Roman"/>
        </w:rPr>
        <w:t xml:space="preserve"> Gupta, Lindsay </w:t>
      </w:r>
      <w:proofErr w:type="spellStart"/>
      <w:r>
        <w:rPr>
          <w:rFonts w:ascii="Times New Roman" w:eastAsia="Times New Roman" w:hAnsi="Times New Roman" w:cs="Times New Roman"/>
        </w:rPr>
        <w:t>Koshgarian</w:t>
      </w:r>
      <w:proofErr w:type="spellEnd"/>
      <w:r>
        <w:rPr>
          <w:rFonts w:ascii="Times New Roman" w:eastAsia="Times New Roman" w:hAnsi="Times New Roman" w:cs="Times New Roman"/>
        </w:rPr>
        <w:t>, and Ashik Siddique. n.d. “Poor People’s Moral Budget: Everybody</w:t>
      </w:r>
      <w:r>
        <w:rPr>
          <w:rFonts w:ascii="Times New Roman" w:eastAsia="Times New Roman" w:hAnsi="Times New Roman" w:cs="Times New Roman"/>
        </w:rPr>
        <w:t xml:space="preserve"> Has the Right to Live.” Institute for Policy Studies.</w:t>
      </w:r>
    </w:p>
    <w:p w14:paraId="0423DECA" w14:textId="77777777" w:rsidR="00D4452C" w:rsidRDefault="001A61B1">
      <w:pPr>
        <w:spacing w:after="160" w:line="360" w:lineRule="auto"/>
        <w:ind w:hanging="480"/>
        <w:rPr>
          <w:rFonts w:ascii="Times New Roman" w:eastAsia="Times New Roman" w:hAnsi="Times New Roman" w:cs="Times New Roman"/>
        </w:rPr>
      </w:pPr>
      <w:r>
        <w:rPr>
          <w:rFonts w:ascii="Times New Roman" w:eastAsia="Times New Roman" w:hAnsi="Times New Roman" w:cs="Times New Roman"/>
        </w:rPr>
        <w:t xml:space="preserve">Coates, Ta-Nehisi. 2014. “The Case for Reparations.” </w:t>
      </w:r>
      <w:r>
        <w:rPr>
          <w:rFonts w:ascii="Times New Roman" w:eastAsia="Times New Roman" w:hAnsi="Times New Roman" w:cs="Times New Roman"/>
          <w:i/>
        </w:rPr>
        <w:t>The Atlantic</w:t>
      </w:r>
      <w:r>
        <w:rPr>
          <w:rFonts w:ascii="Times New Roman" w:eastAsia="Times New Roman" w:hAnsi="Times New Roman" w:cs="Times New Roman"/>
        </w:rPr>
        <w:t xml:space="preserve">, May 22, 2014. </w:t>
      </w:r>
      <w:hyperlink r:id="rId18">
        <w:r>
          <w:rPr>
            <w:rFonts w:ascii="Times New Roman" w:eastAsia="Times New Roman" w:hAnsi="Times New Roman" w:cs="Times New Roman"/>
            <w:u w:val="single"/>
          </w:rPr>
          <w:t>https://www.the</w:t>
        </w:r>
        <w:r>
          <w:rPr>
            <w:rFonts w:ascii="Times New Roman" w:eastAsia="Times New Roman" w:hAnsi="Times New Roman" w:cs="Times New Roman"/>
            <w:u w:val="single"/>
          </w:rPr>
          <w:t>atlantic.com/magazine/archive/2014/06/the-case-for-reparations/361631/</w:t>
        </w:r>
      </w:hyperlink>
      <w:r>
        <w:rPr>
          <w:rFonts w:ascii="Times New Roman" w:eastAsia="Times New Roman" w:hAnsi="Times New Roman" w:cs="Times New Roman"/>
        </w:rPr>
        <w:t>.</w:t>
      </w:r>
    </w:p>
    <w:p w14:paraId="6F2694BE" w14:textId="77777777" w:rsidR="00D4452C" w:rsidRDefault="001A61B1">
      <w:pPr>
        <w:spacing w:after="160" w:line="360" w:lineRule="auto"/>
        <w:ind w:hanging="480"/>
        <w:rPr>
          <w:rFonts w:ascii="Times New Roman" w:eastAsia="Times New Roman" w:hAnsi="Times New Roman" w:cs="Times New Roman"/>
        </w:rPr>
      </w:pPr>
      <w:r>
        <w:rPr>
          <w:rFonts w:ascii="Times New Roman" w:eastAsia="Times New Roman" w:hAnsi="Times New Roman" w:cs="Times New Roman"/>
        </w:rPr>
        <w:t xml:space="preserve">Digital Scholarship Lab, Robert K. Nelson, and Edward L. Ayers. n.d. “Renewing Inequality: Urban Renewal, Family Displacements, and Race 1950-1966.” American Panorama. Accessed December 23, 2022. </w:t>
      </w:r>
      <w:hyperlink r:id="rId19" w:anchor="view=0/0/1&amp;viz=cartogram">
        <w:r>
          <w:rPr>
            <w:rFonts w:ascii="Times New Roman" w:eastAsia="Times New Roman" w:hAnsi="Times New Roman" w:cs="Times New Roman"/>
            <w:u w:val="single"/>
          </w:rPr>
          <w:t>https://dsl.richmond.edu/panorama/renewal/#view=0/0/1&amp;viz=cartogram</w:t>
        </w:r>
      </w:hyperlink>
      <w:r>
        <w:rPr>
          <w:rFonts w:ascii="Times New Roman" w:eastAsia="Times New Roman" w:hAnsi="Times New Roman" w:cs="Times New Roman"/>
        </w:rPr>
        <w:t>.</w:t>
      </w:r>
    </w:p>
    <w:p w14:paraId="3625210E" w14:textId="77777777" w:rsidR="00D4452C" w:rsidRDefault="001A61B1">
      <w:pPr>
        <w:spacing w:after="160" w:line="360" w:lineRule="auto"/>
        <w:ind w:hanging="480"/>
        <w:rPr>
          <w:rFonts w:ascii="Times New Roman" w:eastAsia="Times New Roman" w:hAnsi="Times New Roman" w:cs="Times New Roman"/>
          <w:i/>
        </w:rPr>
      </w:pPr>
      <w:r>
        <w:rPr>
          <w:rFonts w:ascii="Times New Roman" w:eastAsia="Times New Roman" w:hAnsi="Times New Roman" w:cs="Times New Roman"/>
        </w:rPr>
        <w:t xml:space="preserve">Esteves, Ana Margarida Fernandes, Tom </w:t>
      </w:r>
      <w:proofErr w:type="spellStart"/>
      <w:r>
        <w:rPr>
          <w:rFonts w:ascii="Times New Roman" w:eastAsia="Times New Roman" w:hAnsi="Times New Roman" w:cs="Times New Roman"/>
        </w:rPr>
        <w:t>Henfrey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Luciane</w:t>
      </w:r>
      <w:proofErr w:type="spellEnd"/>
      <w:r>
        <w:rPr>
          <w:rFonts w:ascii="Times New Roman" w:eastAsia="Times New Roman" w:hAnsi="Times New Roman" w:cs="Times New Roman"/>
        </w:rPr>
        <w:t xml:space="preserve"> Lucas dos Santos, and Leonardo Leal. 2024. </w:t>
      </w:r>
      <w:r>
        <w:rPr>
          <w:rFonts w:ascii="Times New Roman" w:eastAsia="Times New Roman" w:hAnsi="Times New Roman" w:cs="Times New Roman"/>
          <w:i/>
        </w:rPr>
        <w:t>Solidarity Economy: Alternative Spaces, Power and Politic</w:t>
      </w:r>
      <w:r>
        <w:rPr>
          <w:rFonts w:ascii="Times New Roman" w:eastAsia="Times New Roman" w:hAnsi="Times New Roman" w:cs="Times New Roman"/>
          <w:i/>
        </w:rPr>
        <w:t xml:space="preserve">s. </w:t>
      </w:r>
      <w:r>
        <w:rPr>
          <w:rFonts w:ascii="Times New Roman" w:eastAsia="Times New Roman" w:hAnsi="Times New Roman" w:cs="Times New Roman"/>
        </w:rPr>
        <w:t>NY: Routledge</w:t>
      </w:r>
      <w:r>
        <w:rPr>
          <w:rFonts w:ascii="Times New Roman" w:eastAsia="Times New Roman" w:hAnsi="Times New Roman" w:cs="Times New Roman"/>
          <w:i/>
        </w:rPr>
        <w:t xml:space="preserve">. </w:t>
      </w:r>
    </w:p>
    <w:p w14:paraId="4971DC71" w14:textId="77777777" w:rsidR="00D4452C" w:rsidRDefault="001A61B1">
      <w:pPr>
        <w:spacing w:after="160" w:line="360" w:lineRule="auto"/>
        <w:ind w:hanging="480"/>
        <w:rPr>
          <w:rFonts w:ascii="Times New Roman" w:eastAsia="Times New Roman" w:hAnsi="Times New Roman" w:cs="Times New Roman"/>
        </w:rPr>
      </w:pPr>
      <w:r>
        <w:rPr>
          <w:rFonts w:ascii="Times New Roman" w:eastAsia="Times New Roman" w:hAnsi="Times New Roman" w:cs="Times New Roman"/>
        </w:rPr>
        <w:t xml:space="preserve">Fishback, Price, Jonathan Rose, Kenneth Snowden, and Thomas Storrs. 2021. “New Evidence on Redlining by Federal Housing Programs in the 1930s.” </w:t>
      </w:r>
      <w:r>
        <w:rPr>
          <w:rFonts w:ascii="Times New Roman" w:eastAsia="Times New Roman" w:hAnsi="Times New Roman" w:cs="Times New Roman"/>
          <w:i/>
        </w:rPr>
        <w:t>National Bureau of Economic Research</w:t>
      </w:r>
      <w:r>
        <w:rPr>
          <w:rFonts w:ascii="Times New Roman" w:eastAsia="Times New Roman" w:hAnsi="Times New Roman" w:cs="Times New Roman"/>
        </w:rPr>
        <w:t>.</w:t>
      </w:r>
    </w:p>
    <w:p w14:paraId="3022CA65" w14:textId="77777777" w:rsidR="00D4452C" w:rsidRDefault="001A61B1">
      <w:pPr>
        <w:spacing w:after="160" w:line="360" w:lineRule="auto"/>
        <w:ind w:hanging="480"/>
        <w:rPr>
          <w:rFonts w:ascii="Times New Roman" w:eastAsia="Times New Roman" w:hAnsi="Times New Roman" w:cs="Times New Roman"/>
        </w:rPr>
      </w:pPr>
      <w:r>
        <w:rPr>
          <w:rFonts w:ascii="Times New Roman" w:eastAsia="Times New Roman" w:hAnsi="Times New Roman" w:cs="Times New Roman"/>
        </w:rPr>
        <w:t>GEO. 2015. “Decolonizing Our Solidarity Economy | Grass</w:t>
      </w:r>
      <w:r>
        <w:rPr>
          <w:rFonts w:ascii="Times New Roman" w:eastAsia="Times New Roman" w:hAnsi="Times New Roman" w:cs="Times New Roman"/>
        </w:rPr>
        <w:t xml:space="preserve">roots Economic Organizing.” 2015. </w:t>
      </w:r>
      <w:hyperlink r:id="rId20">
        <w:r>
          <w:rPr>
            <w:rFonts w:ascii="Times New Roman" w:eastAsia="Times New Roman" w:hAnsi="Times New Roman" w:cs="Times New Roman"/>
            <w:u w:val="single"/>
          </w:rPr>
          <w:t>https://geo.coop/story/decolonizing-our-solidarity-economy</w:t>
        </w:r>
      </w:hyperlink>
      <w:r>
        <w:rPr>
          <w:rFonts w:ascii="Times New Roman" w:eastAsia="Times New Roman" w:hAnsi="Times New Roman" w:cs="Times New Roman"/>
        </w:rPr>
        <w:t>.</w:t>
      </w:r>
    </w:p>
    <w:p w14:paraId="41BB5B62" w14:textId="49170A82" w:rsidR="00D4452C" w:rsidRDefault="001A61B1">
      <w:pPr>
        <w:spacing w:after="160" w:line="360" w:lineRule="auto"/>
        <w:ind w:hanging="480"/>
        <w:rPr>
          <w:rFonts w:ascii="Times New Roman" w:eastAsia="Times New Roman" w:hAnsi="Times New Roman" w:cs="Times New Roman"/>
        </w:rPr>
      </w:pPr>
      <w:r>
        <w:rPr>
          <w:rFonts w:ascii="Times New Roman" w:eastAsia="Times New Roman" w:hAnsi="Times New Roman" w:cs="Times New Roman"/>
        </w:rPr>
        <w:t xml:space="preserve">Gilmore, Ruth Wilson. 2017. “Abolition Geography and the Problem of Innocence.” In </w:t>
      </w:r>
      <w:r>
        <w:rPr>
          <w:rFonts w:ascii="Times New Roman" w:eastAsia="Times New Roman" w:hAnsi="Times New Roman" w:cs="Times New Roman"/>
          <w:i/>
        </w:rPr>
        <w:t>F</w:t>
      </w:r>
      <w:r>
        <w:rPr>
          <w:rFonts w:ascii="Times New Roman" w:eastAsia="Times New Roman" w:hAnsi="Times New Roman" w:cs="Times New Roman"/>
          <w:i/>
        </w:rPr>
        <w:t>utures of Black Radicalism</w:t>
      </w:r>
      <w:r>
        <w:rPr>
          <w:rFonts w:ascii="Times New Roman" w:eastAsia="Times New Roman" w:hAnsi="Times New Roman" w:cs="Times New Roman"/>
        </w:rPr>
        <w:t xml:space="preserve">, edited by Gaye Theresa Johnson and Alex </w:t>
      </w:r>
      <w:proofErr w:type="spellStart"/>
      <w:r>
        <w:rPr>
          <w:rFonts w:ascii="Times New Roman" w:eastAsia="Times New Roman" w:hAnsi="Times New Roman" w:cs="Times New Roman"/>
        </w:rPr>
        <w:t>Lubin</w:t>
      </w:r>
      <w:proofErr w:type="spellEnd"/>
      <w:r>
        <w:rPr>
          <w:rFonts w:ascii="Times New Roman" w:eastAsia="Times New Roman" w:hAnsi="Times New Roman" w:cs="Times New Roman"/>
        </w:rPr>
        <w:t xml:space="preserve">. </w:t>
      </w:r>
      <w:r>
        <w:rPr>
          <w:rFonts w:ascii="Times New Roman" w:eastAsia="Times New Roman" w:hAnsi="Times New Roman" w:cs="Times New Roman"/>
        </w:rPr>
        <w:t>New York: Verso.</w:t>
      </w:r>
    </w:p>
    <w:p w14:paraId="4BAD9E82" w14:textId="77777777" w:rsidR="00D4452C" w:rsidRDefault="00D4452C">
      <w:pPr>
        <w:spacing w:after="160" w:line="360" w:lineRule="auto"/>
        <w:ind w:hanging="480"/>
        <w:rPr>
          <w:rFonts w:ascii="Times New Roman" w:eastAsia="Times New Roman" w:hAnsi="Times New Roman" w:cs="Times New Roman"/>
        </w:rPr>
      </w:pPr>
    </w:p>
    <w:p w14:paraId="5EA6CE3F" w14:textId="77777777" w:rsidR="00D4452C" w:rsidRDefault="001A61B1">
      <w:pPr>
        <w:spacing w:after="160" w:line="360" w:lineRule="auto"/>
        <w:ind w:hanging="480"/>
        <w:rPr>
          <w:rFonts w:ascii="Times New Roman" w:eastAsia="Times New Roman" w:hAnsi="Times New Roman" w:cs="Times New Roman"/>
        </w:rPr>
      </w:pPr>
      <w:proofErr w:type="spellStart"/>
      <w:r>
        <w:rPr>
          <w:rFonts w:ascii="Times New Roman" w:eastAsia="Times New Roman" w:hAnsi="Times New Roman" w:cs="Times New Roman"/>
        </w:rPr>
        <w:lastRenderedPageBreak/>
        <w:t>Gioielli</w:t>
      </w:r>
      <w:proofErr w:type="spellEnd"/>
      <w:r>
        <w:rPr>
          <w:rFonts w:ascii="Times New Roman" w:eastAsia="Times New Roman" w:hAnsi="Times New Roman" w:cs="Times New Roman"/>
        </w:rPr>
        <w:t>, Robert. n.d. “The Tyranny of the Map: Rethinking Redlining.” The Metropole: The Official Blog of the Urban History Association.</w:t>
      </w:r>
    </w:p>
    <w:p w14:paraId="40432BBE" w14:textId="77777777" w:rsidR="00D4452C" w:rsidRDefault="001A61B1">
      <w:pPr>
        <w:spacing w:after="160" w:line="360" w:lineRule="auto"/>
        <w:ind w:hanging="480"/>
        <w:rPr>
          <w:rFonts w:ascii="Times New Roman" w:eastAsia="Times New Roman" w:hAnsi="Times New Roman" w:cs="Times New Roman"/>
        </w:rPr>
      </w:pPr>
      <w:proofErr w:type="spellStart"/>
      <w:r>
        <w:rPr>
          <w:rFonts w:ascii="Times New Roman" w:eastAsia="Times New Roman" w:hAnsi="Times New Roman" w:cs="Times New Roman"/>
        </w:rPr>
        <w:t>Hossien</w:t>
      </w:r>
      <w:proofErr w:type="spellEnd"/>
      <w:r>
        <w:rPr>
          <w:rFonts w:ascii="Times New Roman" w:eastAsia="Times New Roman" w:hAnsi="Times New Roman" w:cs="Times New Roman"/>
        </w:rPr>
        <w:t>, Carolin</w:t>
      </w:r>
      <w:r>
        <w:rPr>
          <w:rFonts w:ascii="Times New Roman" w:eastAsia="Times New Roman" w:hAnsi="Times New Roman" w:cs="Times New Roman"/>
        </w:rPr>
        <w:t xml:space="preserve">e </w:t>
      </w:r>
      <w:proofErr w:type="spellStart"/>
      <w:r>
        <w:rPr>
          <w:rFonts w:ascii="Times New Roman" w:eastAsia="Times New Roman" w:hAnsi="Times New Roman" w:cs="Times New Roman"/>
        </w:rPr>
        <w:t>Shenaz</w:t>
      </w:r>
      <w:proofErr w:type="spellEnd"/>
      <w:r>
        <w:rPr>
          <w:rFonts w:ascii="Times New Roman" w:eastAsia="Times New Roman" w:hAnsi="Times New Roman" w:cs="Times New Roman"/>
        </w:rPr>
        <w:t xml:space="preserve">, Sharon D. Wright-Austin, and Kevin Edmonds. 2023. </w:t>
      </w:r>
      <w:r>
        <w:rPr>
          <w:rFonts w:ascii="Times New Roman" w:eastAsia="Times New Roman" w:hAnsi="Times New Roman" w:cs="Times New Roman"/>
          <w:i/>
        </w:rPr>
        <w:t>Beyond Racial Capitalism: Co-Operatives in the African Diaspora</w:t>
      </w:r>
      <w:r>
        <w:rPr>
          <w:rFonts w:ascii="Times New Roman" w:eastAsia="Times New Roman" w:hAnsi="Times New Roman" w:cs="Times New Roman"/>
        </w:rPr>
        <w:t>. Oxford: Oxford University Press.</w:t>
      </w:r>
    </w:p>
    <w:p w14:paraId="6BF1DE3B" w14:textId="77777777" w:rsidR="00D4452C" w:rsidRDefault="001A61B1">
      <w:pPr>
        <w:spacing w:after="160" w:line="360" w:lineRule="auto"/>
        <w:ind w:hanging="480"/>
        <w:rPr>
          <w:rFonts w:ascii="Times New Roman" w:eastAsia="Times New Roman" w:hAnsi="Times New Roman" w:cs="Times New Roman"/>
        </w:rPr>
      </w:pPr>
      <w:r>
        <w:rPr>
          <w:rFonts w:ascii="Times New Roman" w:eastAsia="Times New Roman" w:hAnsi="Times New Roman" w:cs="Times New Roman"/>
        </w:rPr>
        <w:t xml:space="preserve">Hudson, Lauren T. 2020. “Building Where We Are: The Solidarity-Economy Response.” </w:t>
      </w:r>
      <w:r>
        <w:rPr>
          <w:rFonts w:ascii="Times New Roman" w:eastAsia="Times New Roman" w:hAnsi="Times New Roman" w:cs="Times New Roman"/>
          <w:i/>
        </w:rPr>
        <w:t>Rethinking Marxi</w:t>
      </w:r>
      <w:r>
        <w:rPr>
          <w:rFonts w:ascii="Times New Roman" w:eastAsia="Times New Roman" w:hAnsi="Times New Roman" w:cs="Times New Roman"/>
          <w:i/>
        </w:rPr>
        <w:t>sm</w:t>
      </w:r>
      <w:r>
        <w:rPr>
          <w:rFonts w:ascii="Times New Roman" w:eastAsia="Times New Roman" w:hAnsi="Times New Roman" w:cs="Times New Roman"/>
        </w:rPr>
        <w:t xml:space="preserve"> Pandemic and the Crisis of Capitalism: 172–80.</w:t>
      </w:r>
    </w:p>
    <w:p w14:paraId="38E75ED7" w14:textId="77777777" w:rsidR="00D4452C" w:rsidRDefault="001A61B1">
      <w:pPr>
        <w:spacing w:after="160" w:line="360" w:lineRule="auto"/>
        <w:ind w:hanging="480"/>
        <w:rPr>
          <w:rFonts w:ascii="Times New Roman" w:eastAsia="Times New Roman" w:hAnsi="Times New Roman" w:cs="Times New Roman"/>
        </w:rPr>
      </w:pPr>
      <w:r>
        <w:rPr>
          <w:rFonts w:ascii="Times New Roman" w:eastAsia="Times New Roman" w:hAnsi="Times New Roman" w:cs="Times New Roman"/>
        </w:rPr>
        <w:t>Institute for Research on Poverty. n.d. “How Is Poverty Measured.” Institute for Research on Poverty.</w:t>
      </w:r>
    </w:p>
    <w:p w14:paraId="1F2E3D0B" w14:textId="77777777" w:rsidR="00D4452C" w:rsidRDefault="001A61B1">
      <w:pPr>
        <w:spacing w:after="160" w:line="360" w:lineRule="auto"/>
        <w:ind w:hanging="480"/>
        <w:rPr>
          <w:rFonts w:ascii="Times New Roman" w:eastAsia="Times New Roman" w:hAnsi="Times New Roman" w:cs="Times New Roman"/>
        </w:rPr>
      </w:pPr>
      <w:r>
        <w:rPr>
          <w:rFonts w:ascii="Times New Roman" w:eastAsia="Times New Roman" w:hAnsi="Times New Roman" w:cs="Times New Roman"/>
        </w:rPr>
        <w:t>Jackson, Kenneth. 1980. “Race, Ethnicity, and Real Estate Appraisal: The Home Owners Loan Corporation an</w:t>
      </w:r>
      <w:r>
        <w:rPr>
          <w:rFonts w:ascii="Times New Roman" w:eastAsia="Times New Roman" w:hAnsi="Times New Roman" w:cs="Times New Roman"/>
        </w:rPr>
        <w:t xml:space="preserve">d the Federal Housing Administration.” </w:t>
      </w:r>
      <w:r>
        <w:rPr>
          <w:rFonts w:ascii="Times New Roman" w:eastAsia="Times New Roman" w:hAnsi="Times New Roman" w:cs="Times New Roman"/>
          <w:i/>
        </w:rPr>
        <w:t>Journal of Urban History</w:t>
      </w:r>
      <w:r>
        <w:rPr>
          <w:rFonts w:ascii="Times New Roman" w:eastAsia="Times New Roman" w:hAnsi="Times New Roman" w:cs="Times New Roman"/>
        </w:rPr>
        <w:t xml:space="preserve"> 6: 419–52.</w:t>
      </w:r>
    </w:p>
    <w:p w14:paraId="4BE887CB" w14:textId="77777777" w:rsidR="00D4452C" w:rsidRDefault="001A61B1">
      <w:pPr>
        <w:spacing w:after="160" w:line="360" w:lineRule="auto"/>
        <w:ind w:hanging="480"/>
        <w:rPr>
          <w:rFonts w:ascii="Times New Roman" w:eastAsia="Times New Roman" w:hAnsi="Times New Roman" w:cs="Times New Roman"/>
        </w:rPr>
      </w:pPr>
      <w:r>
        <w:rPr>
          <w:rFonts w:ascii="Times New Roman" w:eastAsia="Times New Roman" w:hAnsi="Times New Roman" w:cs="Times New Roman"/>
        </w:rPr>
        <w:t xml:space="preserve">Katz, C. 1992. “All the World Is Staged: Intellectuals and the Projects of Ethnography.” </w:t>
      </w:r>
      <w:r>
        <w:rPr>
          <w:rFonts w:ascii="Times New Roman" w:eastAsia="Times New Roman" w:hAnsi="Times New Roman" w:cs="Times New Roman"/>
          <w:i/>
        </w:rPr>
        <w:t>Environment and Planning D: Society and Space</w:t>
      </w:r>
      <w:r>
        <w:rPr>
          <w:rFonts w:ascii="Times New Roman" w:eastAsia="Times New Roman" w:hAnsi="Times New Roman" w:cs="Times New Roman"/>
        </w:rPr>
        <w:t xml:space="preserve"> 10 (5): 495–510. </w:t>
      </w:r>
      <w:hyperlink r:id="rId21">
        <w:r>
          <w:rPr>
            <w:rFonts w:ascii="Times New Roman" w:eastAsia="Times New Roman" w:hAnsi="Times New Roman" w:cs="Times New Roman"/>
            <w:u w:val="single"/>
          </w:rPr>
          <w:t>https://doi.org/10.1068/d100495</w:t>
        </w:r>
      </w:hyperlink>
      <w:r>
        <w:rPr>
          <w:rFonts w:ascii="Times New Roman" w:eastAsia="Times New Roman" w:hAnsi="Times New Roman" w:cs="Times New Roman"/>
        </w:rPr>
        <w:t>.</w:t>
      </w:r>
    </w:p>
    <w:p w14:paraId="32AE4473" w14:textId="77777777" w:rsidR="00D4452C" w:rsidRDefault="001A61B1">
      <w:pPr>
        <w:spacing w:after="160" w:line="360" w:lineRule="auto"/>
        <w:ind w:hanging="480"/>
        <w:rPr>
          <w:rFonts w:ascii="Times New Roman" w:eastAsia="Times New Roman" w:hAnsi="Times New Roman" w:cs="Times New Roman"/>
        </w:rPr>
      </w:pPr>
      <w:r>
        <w:rPr>
          <w:rFonts w:ascii="Times New Roman" w:eastAsia="Times New Roman" w:hAnsi="Times New Roman" w:cs="Times New Roman"/>
        </w:rPr>
        <w:t xml:space="preserve">Kelley, Robin D. G., Jack </w:t>
      </w:r>
      <w:proofErr w:type="spellStart"/>
      <w:r>
        <w:rPr>
          <w:rFonts w:ascii="Times New Roman" w:eastAsia="Times New Roman" w:hAnsi="Times New Roman" w:cs="Times New Roman"/>
        </w:rPr>
        <w:t>Amariglio</w:t>
      </w:r>
      <w:proofErr w:type="spellEnd"/>
      <w:r>
        <w:rPr>
          <w:rFonts w:ascii="Times New Roman" w:eastAsia="Times New Roman" w:hAnsi="Times New Roman" w:cs="Times New Roman"/>
        </w:rPr>
        <w:t xml:space="preserve">, and Lucas Wilson. 2019. “‘Solidarity Is Not a Market Exchange’: An RM Interview with Robin D. G. Kelley, Part 2.” </w:t>
      </w:r>
      <w:r>
        <w:rPr>
          <w:rFonts w:ascii="Times New Roman" w:eastAsia="Times New Roman" w:hAnsi="Times New Roman" w:cs="Times New Roman"/>
          <w:i/>
        </w:rPr>
        <w:t>Rethinking Marxism</w:t>
      </w:r>
      <w:r>
        <w:rPr>
          <w:rFonts w:ascii="Times New Roman" w:eastAsia="Times New Roman" w:hAnsi="Times New Roman" w:cs="Times New Roman"/>
        </w:rPr>
        <w:t xml:space="preserve"> 31 (2): 152–72. </w:t>
      </w:r>
      <w:hyperlink r:id="rId22">
        <w:r>
          <w:rPr>
            <w:rFonts w:ascii="Times New Roman" w:eastAsia="Times New Roman" w:hAnsi="Times New Roman" w:cs="Times New Roman"/>
            <w:u w:val="single"/>
          </w:rPr>
          <w:t>https://doi.org/10.1080/08935696.2019.1592407</w:t>
        </w:r>
      </w:hyperlink>
      <w:r>
        <w:rPr>
          <w:rFonts w:ascii="Times New Roman" w:eastAsia="Times New Roman" w:hAnsi="Times New Roman" w:cs="Times New Roman"/>
        </w:rPr>
        <w:t>.</w:t>
      </w:r>
    </w:p>
    <w:p w14:paraId="6284B11D" w14:textId="77777777" w:rsidR="00D4452C" w:rsidRDefault="001A61B1">
      <w:pPr>
        <w:spacing w:after="160" w:line="360" w:lineRule="auto"/>
        <w:ind w:hanging="480"/>
        <w:rPr>
          <w:rFonts w:ascii="Times New Roman" w:eastAsia="Times New Roman" w:hAnsi="Times New Roman" w:cs="Times New Roman"/>
        </w:rPr>
      </w:pPr>
      <w:r>
        <w:rPr>
          <w:rFonts w:ascii="Times New Roman" w:eastAsia="Times New Roman" w:hAnsi="Times New Roman" w:cs="Times New Roman"/>
        </w:rPr>
        <w:t xml:space="preserve">Kawano, </w:t>
      </w:r>
      <w:proofErr w:type="gramStart"/>
      <w:r>
        <w:rPr>
          <w:rFonts w:ascii="Times New Roman" w:eastAsia="Times New Roman" w:hAnsi="Times New Roman" w:cs="Times New Roman"/>
        </w:rPr>
        <w:t>Emily,  Tom</w:t>
      </w:r>
      <w:proofErr w:type="gramEnd"/>
      <w:r>
        <w:rPr>
          <w:rFonts w:ascii="Times New Roman" w:eastAsia="Times New Roman" w:hAnsi="Times New Roman" w:cs="Times New Roman"/>
        </w:rPr>
        <w:t xml:space="preserve"> Masterson, and Jonathan Teller-Ellsberg (Eds). 2010. </w:t>
      </w:r>
      <w:r>
        <w:rPr>
          <w:rFonts w:ascii="Times New Roman" w:eastAsia="Times New Roman" w:hAnsi="Times New Roman" w:cs="Times New Roman"/>
          <w:i/>
        </w:rPr>
        <w:t>Solidarity Economy I: Building Alternatives for People and Planet</w:t>
      </w:r>
      <w:r>
        <w:rPr>
          <w:rFonts w:ascii="Times New Roman" w:eastAsia="Times New Roman" w:hAnsi="Times New Roman" w:cs="Times New Roman"/>
        </w:rPr>
        <w:t>. Amherst: Center for</w:t>
      </w:r>
      <w:r>
        <w:rPr>
          <w:rFonts w:ascii="Times New Roman" w:eastAsia="Times New Roman" w:hAnsi="Times New Roman" w:cs="Times New Roman"/>
        </w:rPr>
        <w:t xml:space="preserve"> Popular Economics.</w:t>
      </w:r>
    </w:p>
    <w:p w14:paraId="178B8E5D" w14:textId="77777777" w:rsidR="00D4452C" w:rsidRDefault="001A61B1">
      <w:pPr>
        <w:spacing w:after="160" w:line="360" w:lineRule="auto"/>
        <w:ind w:hanging="480"/>
        <w:rPr>
          <w:rFonts w:ascii="Times New Roman" w:eastAsia="Times New Roman" w:hAnsi="Times New Roman" w:cs="Times New Roman"/>
        </w:rPr>
      </w:pPr>
      <w:proofErr w:type="spellStart"/>
      <w:r>
        <w:rPr>
          <w:rFonts w:ascii="Times New Roman" w:eastAsia="Times New Roman" w:hAnsi="Times New Roman" w:cs="Times New Roman"/>
        </w:rPr>
        <w:t>Laville</w:t>
      </w:r>
      <w:proofErr w:type="spellEnd"/>
      <w:r>
        <w:rPr>
          <w:rFonts w:ascii="Times New Roman" w:eastAsia="Times New Roman" w:hAnsi="Times New Roman" w:cs="Times New Roman"/>
        </w:rPr>
        <w:t xml:space="preserve">, Jean-Louis. 2023. </w:t>
      </w:r>
      <w:r>
        <w:rPr>
          <w:rFonts w:ascii="Times New Roman" w:eastAsia="Times New Roman" w:hAnsi="Times New Roman" w:cs="Times New Roman"/>
          <w:i/>
        </w:rPr>
        <w:t xml:space="preserve">The Solidarity Economy. </w:t>
      </w:r>
      <w:r>
        <w:rPr>
          <w:rFonts w:ascii="Times New Roman" w:eastAsia="Times New Roman" w:hAnsi="Times New Roman" w:cs="Times New Roman"/>
        </w:rPr>
        <w:t>Minneapolis: University of Minnesota Press.</w:t>
      </w:r>
    </w:p>
    <w:p w14:paraId="5FE13DAE" w14:textId="77777777" w:rsidR="00D4452C" w:rsidRDefault="001A61B1">
      <w:pPr>
        <w:spacing w:after="160" w:line="360" w:lineRule="auto"/>
        <w:ind w:hanging="480"/>
        <w:rPr>
          <w:rFonts w:ascii="Times New Roman" w:eastAsia="Times New Roman" w:hAnsi="Times New Roman" w:cs="Times New Roman"/>
        </w:rPr>
      </w:pPr>
      <w:r>
        <w:rPr>
          <w:rFonts w:ascii="Times New Roman" w:eastAsia="Times New Roman" w:hAnsi="Times New Roman" w:cs="Times New Roman"/>
        </w:rPr>
        <w:t xml:space="preserve">Lawson, Victoria A., and Sarah Elwood. 2018. </w:t>
      </w:r>
      <w:r>
        <w:rPr>
          <w:rFonts w:ascii="Times New Roman" w:eastAsia="Times New Roman" w:hAnsi="Times New Roman" w:cs="Times New Roman"/>
          <w:i/>
        </w:rPr>
        <w:t xml:space="preserve">Relational Poverty </w:t>
      </w:r>
      <w:proofErr w:type="gramStart"/>
      <w:r>
        <w:rPr>
          <w:rFonts w:ascii="Times New Roman" w:eastAsia="Times New Roman" w:hAnsi="Times New Roman" w:cs="Times New Roman"/>
          <w:i/>
        </w:rPr>
        <w:t>Politics :</w:t>
      </w:r>
      <w:proofErr w:type="gramEnd"/>
      <w:r>
        <w:rPr>
          <w:rFonts w:ascii="Times New Roman" w:eastAsia="Times New Roman" w:hAnsi="Times New Roman" w:cs="Times New Roman"/>
          <w:i/>
        </w:rPr>
        <w:t xml:space="preserve"> Forms, Struggles, and Possibilities</w:t>
      </w:r>
      <w:r>
        <w:rPr>
          <w:rFonts w:ascii="Times New Roman" w:eastAsia="Times New Roman" w:hAnsi="Times New Roman" w:cs="Times New Roman"/>
        </w:rPr>
        <w:t>. Athens: The University of Geo</w:t>
      </w:r>
      <w:r>
        <w:rPr>
          <w:rFonts w:ascii="Times New Roman" w:eastAsia="Times New Roman" w:hAnsi="Times New Roman" w:cs="Times New Roman"/>
        </w:rPr>
        <w:t xml:space="preserve">rgia </w:t>
      </w:r>
      <w:proofErr w:type="spellStart"/>
      <w:r>
        <w:rPr>
          <w:rFonts w:ascii="Times New Roman" w:eastAsia="Times New Roman" w:hAnsi="Times New Roman" w:cs="Times New Roman"/>
        </w:rPr>
        <w:t>Press.Lefebvre</w:t>
      </w:r>
      <w:proofErr w:type="spellEnd"/>
      <w:r>
        <w:rPr>
          <w:rFonts w:ascii="Times New Roman" w:eastAsia="Times New Roman" w:hAnsi="Times New Roman" w:cs="Times New Roman"/>
        </w:rPr>
        <w:t xml:space="preserve">, Henri. 1991. </w:t>
      </w:r>
      <w:r>
        <w:rPr>
          <w:rFonts w:ascii="Times New Roman" w:eastAsia="Times New Roman" w:hAnsi="Times New Roman" w:cs="Times New Roman"/>
          <w:i/>
        </w:rPr>
        <w:t>The Production of Space</w:t>
      </w:r>
      <w:r>
        <w:rPr>
          <w:rFonts w:ascii="Times New Roman" w:eastAsia="Times New Roman" w:hAnsi="Times New Roman" w:cs="Times New Roman"/>
        </w:rPr>
        <w:t>. Oxford: Blackwell.</w:t>
      </w:r>
    </w:p>
    <w:p w14:paraId="5F082961" w14:textId="77777777" w:rsidR="00D4452C" w:rsidRDefault="001A61B1">
      <w:pPr>
        <w:spacing w:after="160" w:line="360" w:lineRule="auto"/>
        <w:ind w:hanging="480"/>
        <w:rPr>
          <w:rFonts w:ascii="Times New Roman" w:eastAsia="Times New Roman" w:hAnsi="Times New Roman" w:cs="Times New Roman"/>
        </w:rPr>
      </w:pPr>
      <w:r>
        <w:rPr>
          <w:rFonts w:ascii="Times New Roman" w:eastAsia="Times New Roman" w:hAnsi="Times New Roman" w:cs="Times New Roman"/>
        </w:rPr>
        <w:t xml:space="preserve">Marcuse, Peter. 1985. “Gentrification, Abandonment, and Displacement: Connections, Causes, and Policy Responses in New York City.” </w:t>
      </w:r>
      <w:r>
        <w:rPr>
          <w:rFonts w:ascii="Times New Roman" w:eastAsia="Times New Roman" w:hAnsi="Times New Roman" w:cs="Times New Roman"/>
          <w:i/>
        </w:rPr>
        <w:t xml:space="preserve">Urban Law </w:t>
      </w:r>
      <w:proofErr w:type="gramStart"/>
      <w:r>
        <w:rPr>
          <w:rFonts w:ascii="Times New Roman" w:eastAsia="Times New Roman" w:hAnsi="Times New Roman" w:cs="Times New Roman"/>
          <w:i/>
        </w:rPr>
        <w:t>Annual ;</w:t>
      </w:r>
      <w:proofErr w:type="gramEnd"/>
      <w:r>
        <w:rPr>
          <w:rFonts w:ascii="Times New Roman" w:eastAsia="Times New Roman" w:hAnsi="Times New Roman" w:cs="Times New Roman"/>
          <w:i/>
        </w:rPr>
        <w:t xml:space="preserve"> Journal of Urban and Contemporary Law</w:t>
      </w:r>
      <w:r>
        <w:rPr>
          <w:rFonts w:ascii="Times New Roman" w:eastAsia="Times New Roman" w:hAnsi="Times New Roman" w:cs="Times New Roman"/>
        </w:rPr>
        <w:t xml:space="preserve"> 28 (1): 195–240.</w:t>
      </w:r>
    </w:p>
    <w:p w14:paraId="57286107" w14:textId="77777777" w:rsidR="00D4452C" w:rsidRDefault="001A61B1">
      <w:pPr>
        <w:spacing w:after="160" w:line="360" w:lineRule="auto"/>
        <w:ind w:hanging="480"/>
        <w:rPr>
          <w:rFonts w:ascii="Times New Roman" w:eastAsia="Times New Roman" w:hAnsi="Times New Roman" w:cs="Times New Roman"/>
        </w:rPr>
      </w:pPr>
      <w:r>
        <w:rPr>
          <w:rFonts w:ascii="Times New Roman" w:eastAsia="Times New Roman" w:hAnsi="Times New Roman" w:cs="Times New Roman"/>
        </w:rPr>
        <w:t>Martinez, Emmanuel, and Aaron Glantz. 2018. “Modern</w:t>
      </w:r>
      <w:r>
        <w:rPr>
          <w:rFonts w:ascii="Times New Roman" w:eastAsia="Times New Roman" w:hAnsi="Times New Roman" w:cs="Times New Roman"/>
        </w:rPr>
        <w:t xml:space="preserve">-Day Redlining: Banks Discriminate in Lending.” Reveal. February 15, 2018. </w:t>
      </w:r>
      <w:hyperlink r:id="rId23">
        <w:r>
          <w:rPr>
            <w:rFonts w:ascii="Times New Roman" w:eastAsia="Times New Roman" w:hAnsi="Times New Roman" w:cs="Times New Roman"/>
            <w:u w:val="single"/>
          </w:rPr>
          <w:t>https://revealnews.org/article/for-people-of-color-banks-are-shut</w:t>
        </w:r>
        <w:r>
          <w:rPr>
            <w:rFonts w:ascii="Times New Roman" w:eastAsia="Times New Roman" w:hAnsi="Times New Roman" w:cs="Times New Roman"/>
            <w:u w:val="single"/>
          </w:rPr>
          <w:t>ting-the-door-to-homeownership/</w:t>
        </w:r>
      </w:hyperlink>
      <w:r>
        <w:rPr>
          <w:rFonts w:ascii="Times New Roman" w:eastAsia="Times New Roman" w:hAnsi="Times New Roman" w:cs="Times New Roman"/>
        </w:rPr>
        <w:t>.</w:t>
      </w:r>
    </w:p>
    <w:p w14:paraId="431F2DDF" w14:textId="77777777" w:rsidR="00D4452C" w:rsidRDefault="001A61B1">
      <w:pPr>
        <w:spacing w:after="160" w:line="360" w:lineRule="auto"/>
        <w:ind w:hanging="480"/>
        <w:rPr>
          <w:rFonts w:ascii="Times New Roman" w:eastAsia="Times New Roman" w:hAnsi="Times New Roman" w:cs="Times New Roman"/>
        </w:rPr>
      </w:pPr>
      <w:r>
        <w:rPr>
          <w:rFonts w:ascii="Times New Roman" w:eastAsia="Times New Roman" w:hAnsi="Times New Roman" w:cs="Times New Roman"/>
        </w:rPr>
        <w:lastRenderedPageBreak/>
        <w:t>NCRC (National Community Reinvestment Coalition), Bruce Mitchell PhD, Senior Research Analyst, Juan Franco, and Senior GIS Specialist. 2018. “HOLC ‘Redlining’ Maps: The Persistent Structure of Segregation and Economic Inequ</w:t>
      </w:r>
      <w:r>
        <w:rPr>
          <w:rFonts w:ascii="Times New Roman" w:eastAsia="Times New Roman" w:hAnsi="Times New Roman" w:cs="Times New Roman"/>
        </w:rPr>
        <w:t xml:space="preserve">ality.” 2018. </w:t>
      </w:r>
      <w:hyperlink r:id="rId24">
        <w:r>
          <w:rPr>
            <w:rFonts w:ascii="Times New Roman" w:eastAsia="Times New Roman" w:hAnsi="Times New Roman" w:cs="Times New Roman"/>
            <w:u w:val="single"/>
          </w:rPr>
          <w:t>https://ncrc.org/holc/</w:t>
        </w:r>
      </w:hyperlink>
      <w:r>
        <w:rPr>
          <w:rFonts w:ascii="Times New Roman" w:eastAsia="Times New Roman" w:hAnsi="Times New Roman" w:cs="Times New Roman"/>
        </w:rPr>
        <w:t>.</w:t>
      </w:r>
    </w:p>
    <w:p w14:paraId="1E2FA62C" w14:textId="77777777" w:rsidR="00D4452C" w:rsidRDefault="001A61B1">
      <w:pPr>
        <w:spacing w:after="160" w:line="360" w:lineRule="auto"/>
        <w:ind w:hanging="480"/>
        <w:rPr>
          <w:rFonts w:ascii="Times New Roman" w:eastAsia="Times New Roman" w:hAnsi="Times New Roman" w:cs="Times New Roman"/>
        </w:rPr>
      </w:pPr>
      <w:proofErr w:type="spellStart"/>
      <w:r>
        <w:rPr>
          <w:rFonts w:ascii="Times New Roman" w:eastAsia="Times New Roman" w:hAnsi="Times New Roman" w:cs="Times New Roman"/>
        </w:rPr>
        <w:t>Pavlovskaya</w:t>
      </w:r>
      <w:proofErr w:type="spellEnd"/>
      <w:r>
        <w:rPr>
          <w:rFonts w:ascii="Times New Roman" w:eastAsia="Times New Roman" w:hAnsi="Times New Roman" w:cs="Times New Roman"/>
        </w:rPr>
        <w:t xml:space="preserve">, Marianna. 2018. “Critical GIS as a Tool for Social Transformation.” </w:t>
      </w:r>
      <w:r>
        <w:rPr>
          <w:rFonts w:ascii="Times New Roman" w:eastAsia="Times New Roman" w:hAnsi="Times New Roman" w:cs="Times New Roman"/>
          <w:i/>
        </w:rPr>
        <w:t>Canadian Geographer-</w:t>
      </w:r>
      <w:proofErr w:type="spellStart"/>
      <w:r>
        <w:rPr>
          <w:rFonts w:ascii="Times New Roman" w:eastAsia="Times New Roman" w:hAnsi="Times New Roman" w:cs="Times New Roman"/>
          <w:i/>
        </w:rPr>
        <w:t>Geographe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Canadien</w:t>
      </w:r>
      <w:proofErr w:type="spellEnd"/>
      <w:r>
        <w:rPr>
          <w:rFonts w:ascii="Times New Roman" w:eastAsia="Times New Roman" w:hAnsi="Times New Roman" w:cs="Times New Roman"/>
        </w:rPr>
        <w:t xml:space="preserve"> 62 (1): 40–54. </w:t>
      </w:r>
      <w:hyperlink r:id="rId25">
        <w:r>
          <w:rPr>
            <w:rFonts w:ascii="Times New Roman" w:eastAsia="Times New Roman" w:hAnsi="Times New Roman" w:cs="Times New Roman"/>
            <w:u w:val="single"/>
          </w:rPr>
          <w:t>https://doi.org/10.1111/cag.12438</w:t>
        </w:r>
      </w:hyperlink>
      <w:r>
        <w:rPr>
          <w:rFonts w:ascii="Times New Roman" w:eastAsia="Times New Roman" w:hAnsi="Times New Roman" w:cs="Times New Roman"/>
        </w:rPr>
        <w:t>.</w:t>
      </w:r>
    </w:p>
    <w:p w14:paraId="25069784" w14:textId="77777777" w:rsidR="00D4452C" w:rsidRDefault="001A61B1">
      <w:pPr>
        <w:spacing w:after="160" w:line="360" w:lineRule="auto"/>
        <w:ind w:hanging="480"/>
        <w:rPr>
          <w:rFonts w:ascii="Times New Roman" w:eastAsia="Times New Roman" w:hAnsi="Times New Roman" w:cs="Times New Roman"/>
        </w:rPr>
      </w:pPr>
      <w:r>
        <w:rPr>
          <w:rFonts w:ascii="Times New Roman" w:eastAsia="Times New Roman" w:hAnsi="Times New Roman" w:cs="Times New Roman"/>
        </w:rPr>
        <w:t xml:space="preserve">Robinson, Cedric J. 2000 (1983). </w:t>
      </w:r>
      <w:r>
        <w:rPr>
          <w:rFonts w:ascii="Times New Roman" w:eastAsia="Times New Roman" w:hAnsi="Times New Roman" w:cs="Times New Roman"/>
          <w:i/>
        </w:rPr>
        <w:t>Black Marxism: The Making of the Black Radical Tradition</w:t>
      </w:r>
      <w:r>
        <w:rPr>
          <w:rFonts w:ascii="Times New Roman" w:eastAsia="Times New Roman" w:hAnsi="Times New Roman" w:cs="Times New Roman"/>
        </w:rPr>
        <w:t>. Chapel Hill, N.C: University of North Carolina Press.</w:t>
      </w:r>
    </w:p>
    <w:p w14:paraId="08EF58E8" w14:textId="1C2C083B" w:rsidR="00D4452C" w:rsidRDefault="001A61B1">
      <w:pPr>
        <w:spacing w:after="160" w:line="360" w:lineRule="auto"/>
        <w:ind w:hanging="480"/>
        <w:rPr>
          <w:rFonts w:ascii="Times New Roman" w:eastAsia="Times New Roman" w:hAnsi="Times New Roman" w:cs="Times New Roman"/>
        </w:rPr>
      </w:pPr>
      <w:r>
        <w:rPr>
          <w:rFonts w:ascii="Times New Roman" w:eastAsia="Times New Roman" w:hAnsi="Times New Roman" w:cs="Times New Roman"/>
        </w:rPr>
        <w:t xml:space="preserve">Rothstein, Richard. 2017. </w:t>
      </w:r>
      <w:r>
        <w:rPr>
          <w:rFonts w:ascii="Times New Roman" w:eastAsia="Times New Roman" w:hAnsi="Times New Roman" w:cs="Times New Roman"/>
          <w:i/>
        </w:rPr>
        <w:t>The Color of Law: A Forgotten History of How Our Government Segregated America</w:t>
      </w:r>
      <w:r>
        <w:rPr>
          <w:rFonts w:ascii="Times New Roman" w:eastAsia="Times New Roman" w:hAnsi="Times New Roman" w:cs="Times New Roman"/>
        </w:rPr>
        <w:t>. First edition. New York</w:t>
      </w:r>
      <w:r>
        <w:rPr>
          <w:rFonts w:ascii="Times New Roman" w:eastAsia="Times New Roman" w:hAnsi="Times New Roman" w:cs="Times New Roman"/>
        </w:rPr>
        <w:t>: Liveright Publishing Corporation, a division of W. W. Norton &amp; Company.</w:t>
      </w:r>
    </w:p>
    <w:p w14:paraId="6132675D" w14:textId="77777777" w:rsidR="00D4452C" w:rsidRDefault="001A61B1">
      <w:pPr>
        <w:spacing w:after="160" w:line="360" w:lineRule="auto"/>
        <w:ind w:hanging="480"/>
        <w:rPr>
          <w:rFonts w:ascii="Times New Roman" w:eastAsia="Times New Roman" w:hAnsi="Times New Roman" w:cs="Times New Roman"/>
        </w:rPr>
      </w:pPr>
      <w:r>
        <w:rPr>
          <w:rFonts w:ascii="Times New Roman" w:eastAsia="Times New Roman" w:hAnsi="Times New Roman" w:cs="Times New Roman"/>
        </w:rPr>
        <w:t xml:space="preserve">Smith, Neil. 1979. “Toward a Theory of Gentrification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 Back to the Ci</w:t>
      </w:r>
      <w:r>
        <w:rPr>
          <w:rFonts w:ascii="Times New Roman" w:eastAsia="Times New Roman" w:hAnsi="Times New Roman" w:cs="Times New Roman"/>
        </w:rPr>
        <w:t xml:space="preserve">ty Movement by Capital, Not People.” </w:t>
      </w:r>
      <w:r>
        <w:rPr>
          <w:rFonts w:ascii="Times New Roman" w:eastAsia="Times New Roman" w:hAnsi="Times New Roman" w:cs="Times New Roman"/>
          <w:i/>
        </w:rPr>
        <w:t>Journal of the American Planning Association</w:t>
      </w:r>
      <w:r>
        <w:rPr>
          <w:rFonts w:ascii="Times New Roman" w:eastAsia="Times New Roman" w:hAnsi="Times New Roman" w:cs="Times New Roman"/>
        </w:rPr>
        <w:t xml:space="preserve"> 45 (4): 538–48. </w:t>
      </w:r>
      <w:hyperlink r:id="rId26">
        <w:r>
          <w:rPr>
            <w:rFonts w:ascii="Times New Roman" w:eastAsia="Times New Roman" w:hAnsi="Times New Roman" w:cs="Times New Roman"/>
            <w:u w:val="single"/>
          </w:rPr>
          <w:t>https://doi.org/10.1080/01944367908977002</w:t>
        </w:r>
      </w:hyperlink>
      <w:r>
        <w:rPr>
          <w:rFonts w:ascii="Times New Roman" w:eastAsia="Times New Roman" w:hAnsi="Times New Roman" w:cs="Times New Roman"/>
        </w:rPr>
        <w:t>.</w:t>
      </w:r>
    </w:p>
    <w:p w14:paraId="65B445A2" w14:textId="77777777" w:rsidR="00D4452C" w:rsidRDefault="001A61B1">
      <w:pPr>
        <w:spacing w:after="160" w:line="360" w:lineRule="auto"/>
        <w:ind w:hanging="480"/>
        <w:rPr>
          <w:rFonts w:ascii="Times New Roman" w:eastAsia="Times New Roman" w:hAnsi="Times New Roman" w:cs="Times New Roman"/>
        </w:rPr>
      </w:pPr>
      <w:r>
        <w:rPr>
          <w:rFonts w:ascii="Times New Roman" w:eastAsia="Times New Roman" w:hAnsi="Times New Roman" w:cs="Times New Roman"/>
        </w:rPr>
        <w:t xml:space="preserve">Taylor, Keeanga-Yamahtta. 2019a. </w:t>
      </w:r>
      <w:r>
        <w:rPr>
          <w:rFonts w:ascii="Times New Roman" w:eastAsia="Times New Roman" w:hAnsi="Times New Roman" w:cs="Times New Roman"/>
          <w:i/>
        </w:rPr>
        <w:t xml:space="preserve">Race for Profit: How </w:t>
      </w:r>
      <w:r>
        <w:rPr>
          <w:rFonts w:ascii="Times New Roman" w:eastAsia="Times New Roman" w:hAnsi="Times New Roman" w:cs="Times New Roman"/>
          <w:i/>
        </w:rPr>
        <w:t>Banks and the Real Estate Industry Undermined Black Homeownership</w:t>
      </w:r>
      <w:r>
        <w:rPr>
          <w:rFonts w:ascii="Times New Roman" w:eastAsia="Times New Roman" w:hAnsi="Times New Roman" w:cs="Times New Roman"/>
        </w:rPr>
        <w:t>. University of North Carolina Press.</w:t>
      </w:r>
    </w:p>
    <w:p w14:paraId="4FE03270" w14:textId="77777777" w:rsidR="00D4452C" w:rsidRDefault="001A61B1">
      <w:pPr>
        <w:spacing w:after="160" w:line="360" w:lineRule="auto"/>
        <w:ind w:hanging="480"/>
        <w:rPr>
          <w:rFonts w:ascii="Times New Roman" w:eastAsia="Times New Roman" w:hAnsi="Times New Roman" w:cs="Times New Roman"/>
        </w:rPr>
      </w:pPr>
      <w:r>
        <w:rPr>
          <w:rFonts w:ascii="Times New Roman" w:eastAsia="Times New Roman" w:hAnsi="Times New Roman" w:cs="Times New Roman"/>
        </w:rPr>
        <w:t xml:space="preserve">Wilder, Craig Steven. 2000. </w:t>
      </w:r>
      <w:r>
        <w:rPr>
          <w:rFonts w:ascii="Times New Roman" w:eastAsia="Times New Roman" w:hAnsi="Times New Roman" w:cs="Times New Roman"/>
          <w:i/>
        </w:rPr>
        <w:t>A Covenant with Color: Race and Social Power in Brooklyn</w:t>
      </w:r>
      <w:r>
        <w:rPr>
          <w:rFonts w:ascii="Times New Roman" w:eastAsia="Times New Roman" w:hAnsi="Times New Roman" w:cs="Times New Roman"/>
        </w:rPr>
        <w:t>. The Columbia History of Urban Life. New York: Columbia University P</w:t>
      </w:r>
      <w:r>
        <w:rPr>
          <w:rFonts w:ascii="Times New Roman" w:eastAsia="Times New Roman" w:hAnsi="Times New Roman" w:cs="Times New Roman"/>
        </w:rPr>
        <w:t>ress.</w:t>
      </w:r>
    </w:p>
    <w:p w14:paraId="66FBE3AD" w14:textId="77777777" w:rsidR="00D4452C" w:rsidRDefault="001A61B1">
      <w:pPr>
        <w:spacing w:after="160" w:line="360" w:lineRule="auto"/>
        <w:ind w:hanging="480"/>
        <w:rPr>
          <w:rFonts w:ascii="Times New Roman" w:eastAsia="Times New Roman" w:hAnsi="Times New Roman" w:cs="Times New Roman"/>
        </w:rPr>
      </w:pPr>
      <w:r>
        <w:rPr>
          <w:rFonts w:ascii="Times New Roman" w:eastAsia="Times New Roman" w:hAnsi="Times New Roman" w:cs="Times New Roman"/>
        </w:rPr>
        <w:t xml:space="preserve">Winkler, Jakob. 2016. “The Legacy of Urban Renewal in New York City.” Methods 3 – Fall 2016 – Student Projects. 2016. </w:t>
      </w:r>
    </w:p>
    <w:p w14:paraId="685A60C0" w14:textId="77777777" w:rsidR="00D4452C" w:rsidRDefault="00D4452C">
      <w:pPr>
        <w:spacing w:after="160" w:line="360" w:lineRule="auto"/>
        <w:ind w:hanging="480"/>
        <w:rPr>
          <w:rFonts w:ascii="Times New Roman" w:eastAsia="Times New Roman" w:hAnsi="Times New Roman" w:cs="Times New Roman"/>
        </w:rPr>
      </w:pPr>
    </w:p>
    <w:p w14:paraId="6E3E9E15" w14:textId="77777777" w:rsidR="00D4452C" w:rsidRDefault="00D4452C">
      <w:pPr>
        <w:spacing w:after="160" w:line="360" w:lineRule="auto"/>
        <w:ind w:hanging="480"/>
        <w:rPr>
          <w:sz w:val="20"/>
          <w:szCs w:val="20"/>
        </w:rPr>
      </w:pPr>
    </w:p>
    <w:p w14:paraId="734380E4" w14:textId="77777777" w:rsidR="00D4452C" w:rsidRDefault="00D4452C">
      <w:pPr>
        <w:spacing w:line="240" w:lineRule="auto"/>
        <w:rPr>
          <w:sz w:val="20"/>
          <w:szCs w:val="20"/>
        </w:rPr>
      </w:pPr>
    </w:p>
    <w:p w14:paraId="7FB48F01" w14:textId="77777777" w:rsidR="00D4452C" w:rsidRDefault="00D4452C">
      <w:pPr>
        <w:spacing w:after="160" w:line="360" w:lineRule="auto"/>
        <w:ind w:hanging="480"/>
        <w:rPr>
          <w:rFonts w:ascii="Times New Roman" w:eastAsia="Times New Roman" w:hAnsi="Times New Roman" w:cs="Times New Roman"/>
        </w:rPr>
      </w:pPr>
    </w:p>
    <w:p w14:paraId="4CDF1405" w14:textId="77777777" w:rsidR="00D4452C" w:rsidRDefault="00D4452C">
      <w:pPr>
        <w:spacing w:after="160" w:line="360" w:lineRule="auto"/>
        <w:ind w:hanging="480"/>
        <w:rPr>
          <w:sz w:val="20"/>
          <w:szCs w:val="20"/>
        </w:rPr>
      </w:pPr>
    </w:p>
    <w:p w14:paraId="250FEAFF" w14:textId="77777777" w:rsidR="00D4452C" w:rsidRDefault="00D4452C">
      <w:pPr>
        <w:spacing w:line="240" w:lineRule="auto"/>
        <w:rPr>
          <w:sz w:val="20"/>
          <w:szCs w:val="20"/>
        </w:rPr>
      </w:pPr>
    </w:p>
    <w:p w14:paraId="6EB6F0AE" w14:textId="77777777" w:rsidR="00D4452C" w:rsidRDefault="00D4452C">
      <w:pPr>
        <w:spacing w:line="240" w:lineRule="auto"/>
        <w:rPr>
          <w:rFonts w:ascii="Times New Roman" w:eastAsia="Times New Roman" w:hAnsi="Times New Roman" w:cs="Times New Roman"/>
        </w:rPr>
      </w:pPr>
    </w:p>
    <w:sectPr w:rsidR="00D4452C">
      <w:headerReference w:type="default" r:id="rId27"/>
      <w:footerReference w:type="defaul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7343C" w14:textId="77777777" w:rsidR="001A61B1" w:rsidRDefault="001A61B1">
      <w:pPr>
        <w:spacing w:line="240" w:lineRule="auto"/>
      </w:pPr>
      <w:r>
        <w:separator/>
      </w:r>
    </w:p>
  </w:endnote>
  <w:endnote w:type="continuationSeparator" w:id="0">
    <w:p w14:paraId="093F3FAB" w14:textId="77777777" w:rsidR="001A61B1" w:rsidRDefault="001A61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BBD50" w14:textId="77777777" w:rsidR="00D4452C" w:rsidRDefault="001A61B1">
    <w:pPr>
      <w:jc w:val="right"/>
    </w:pPr>
    <w:r>
      <w:t xml:space="preserve">Chapter 3, </w:t>
    </w:r>
    <w:r>
      <w:fldChar w:fldCharType="begin"/>
    </w:r>
    <w:r>
      <w:instrText>PAGE</w:instrText>
    </w:r>
    <w:r>
      <w:fldChar w:fldCharType="separate"/>
    </w:r>
    <w:r w:rsidR="006F02B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C4CD5" w14:textId="77777777" w:rsidR="001A61B1" w:rsidRDefault="001A61B1">
      <w:pPr>
        <w:spacing w:line="240" w:lineRule="auto"/>
      </w:pPr>
      <w:r>
        <w:separator/>
      </w:r>
    </w:p>
  </w:footnote>
  <w:footnote w:type="continuationSeparator" w:id="0">
    <w:p w14:paraId="5240646B" w14:textId="77777777" w:rsidR="001A61B1" w:rsidRDefault="001A61B1">
      <w:pPr>
        <w:spacing w:line="240" w:lineRule="auto"/>
      </w:pPr>
      <w:r>
        <w:continuationSeparator/>
      </w:r>
    </w:p>
  </w:footnote>
  <w:footnote w:id="1">
    <w:p w14:paraId="661245AD" w14:textId="77777777" w:rsidR="00D4452C" w:rsidRPr="006F02B9" w:rsidRDefault="001A61B1">
      <w:pPr>
        <w:spacing w:line="240" w:lineRule="auto"/>
        <w:rPr>
          <w:rFonts w:ascii="Times New Roman" w:eastAsia="Times New Roman" w:hAnsi="Times New Roman" w:cs="Times New Roman"/>
          <w:sz w:val="20"/>
          <w:szCs w:val="20"/>
        </w:rPr>
      </w:pPr>
      <w:r w:rsidRPr="006F02B9">
        <w:rPr>
          <w:rStyle w:val="FootnoteReference"/>
          <w:rFonts w:ascii="Times New Roman" w:hAnsi="Times New Roman" w:cs="Times New Roman"/>
        </w:rPr>
        <w:footnoteRef/>
      </w:r>
      <w:r w:rsidRPr="006F02B9">
        <w:rPr>
          <w:rFonts w:ascii="Times New Roman" w:eastAsia="Times New Roman" w:hAnsi="Times New Roman" w:cs="Times New Roman"/>
          <w:sz w:val="20"/>
          <w:szCs w:val="20"/>
        </w:rPr>
        <w:t xml:space="preserve"> Henri Lefebvre's description of counter-spaces as locales for ‘becoming irregular’ furnishes us with another way of thinking about how solidarity cities are “throwing out of order” conventional capitalist ways of doing and living (Lefebvre 1991).</w:t>
      </w:r>
    </w:p>
  </w:footnote>
  <w:footnote w:id="2">
    <w:p w14:paraId="6607E493" w14:textId="77777777" w:rsidR="00D4452C" w:rsidRPr="006F02B9" w:rsidRDefault="001A61B1">
      <w:pPr>
        <w:spacing w:line="240" w:lineRule="auto"/>
        <w:ind w:right="-302"/>
        <w:rPr>
          <w:rFonts w:ascii="Times New Roman" w:hAnsi="Times New Roman" w:cs="Times New Roman"/>
          <w:sz w:val="20"/>
          <w:szCs w:val="20"/>
        </w:rPr>
      </w:pPr>
      <w:r w:rsidRPr="006F02B9">
        <w:rPr>
          <w:rStyle w:val="FootnoteReference"/>
          <w:rFonts w:ascii="Times New Roman" w:hAnsi="Times New Roman" w:cs="Times New Roman"/>
        </w:rPr>
        <w:footnoteRef/>
      </w:r>
      <w:r w:rsidRPr="006F02B9">
        <w:rPr>
          <w:rFonts w:ascii="Times New Roman" w:hAnsi="Times New Roman" w:cs="Times New Roman"/>
          <w:sz w:val="20"/>
          <w:szCs w:val="20"/>
        </w:rPr>
        <w:t xml:space="preserve"> For Ph</w:t>
      </w:r>
      <w:r w:rsidRPr="006F02B9">
        <w:rPr>
          <w:rFonts w:ascii="Times New Roman" w:hAnsi="Times New Roman" w:cs="Times New Roman"/>
          <w:sz w:val="20"/>
          <w:szCs w:val="20"/>
        </w:rPr>
        <w:t>iladelphia and Worcester, we use the federal poverty threshold, which in 2019 was $20,578 for a household with two adults and one child (US Census Bureau). For New York, we use the poverty threshold set by the city, which in 2019 was $30,845 for the same-s</w:t>
      </w:r>
      <w:r w:rsidRPr="006F02B9">
        <w:rPr>
          <w:rFonts w:ascii="Times New Roman" w:hAnsi="Times New Roman" w:cs="Times New Roman"/>
          <w:sz w:val="20"/>
          <w:szCs w:val="20"/>
        </w:rPr>
        <w:t xml:space="preserve">ized household (New York City Mayor’s Office for Opportunity, “Poverty Thresholds”). </w:t>
      </w:r>
    </w:p>
  </w:footnote>
  <w:footnote w:id="3">
    <w:p w14:paraId="57D8B65D" w14:textId="77777777" w:rsidR="00D4452C" w:rsidRPr="006F02B9" w:rsidRDefault="001A61B1">
      <w:pPr>
        <w:spacing w:line="240" w:lineRule="auto"/>
        <w:rPr>
          <w:rFonts w:ascii="Times New Roman" w:hAnsi="Times New Roman" w:cs="Times New Roman"/>
          <w:sz w:val="20"/>
          <w:szCs w:val="20"/>
        </w:rPr>
      </w:pPr>
      <w:r w:rsidRPr="006F02B9">
        <w:rPr>
          <w:rStyle w:val="FootnoteReference"/>
          <w:rFonts w:ascii="Times New Roman" w:hAnsi="Times New Roman" w:cs="Times New Roman"/>
        </w:rPr>
        <w:footnoteRef/>
      </w:r>
      <w:r w:rsidRPr="006F02B9">
        <w:rPr>
          <w:rFonts w:ascii="Times New Roman" w:hAnsi="Times New Roman" w:cs="Times New Roman"/>
          <w:sz w:val="20"/>
          <w:szCs w:val="20"/>
        </w:rPr>
        <w:t xml:space="preserve"> For discussions of such definitions, see the Institute for Poverty Research (</w:t>
      </w:r>
      <w:proofErr w:type="spellStart"/>
      <w:r w:rsidRPr="006F02B9">
        <w:rPr>
          <w:rFonts w:ascii="Times New Roman" w:hAnsi="Times New Roman" w:cs="Times New Roman"/>
          <w:sz w:val="20"/>
          <w:szCs w:val="20"/>
        </w:rPr>
        <w:t>nd</w:t>
      </w:r>
      <w:proofErr w:type="spellEnd"/>
      <w:r w:rsidRPr="006F02B9">
        <w:rPr>
          <w:rFonts w:ascii="Times New Roman" w:hAnsi="Times New Roman" w:cs="Times New Roman"/>
          <w:sz w:val="20"/>
          <w:szCs w:val="20"/>
        </w:rPr>
        <w:t>); Barnes et al. (</w:t>
      </w:r>
      <w:proofErr w:type="spellStart"/>
      <w:r w:rsidRPr="006F02B9">
        <w:rPr>
          <w:rFonts w:ascii="Times New Roman" w:hAnsi="Times New Roman" w:cs="Times New Roman"/>
          <w:sz w:val="20"/>
          <w:szCs w:val="20"/>
        </w:rPr>
        <w:t>nd</w:t>
      </w:r>
      <w:proofErr w:type="spellEnd"/>
      <w:r w:rsidRPr="006F02B9">
        <w:rPr>
          <w:rFonts w:ascii="Times New Roman" w:hAnsi="Times New Roman" w:cs="Times New Roman"/>
          <w:sz w:val="20"/>
          <w:szCs w:val="20"/>
        </w:rPr>
        <w:t>)</w:t>
      </w:r>
      <w:r w:rsidRPr="006F02B9">
        <w:rPr>
          <w:rFonts w:ascii="Times New Roman" w:hAnsi="Times New Roman" w:cs="Times New Roman"/>
          <w:i/>
          <w:sz w:val="20"/>
          <w:szCs w:val="20"/>
        </w:rPr>
        <w:t xml:space="preserve">; </w:t>
      </w:r>
      <w:r w:rsidRPr="006F02B9">
        <w:rPr>
          <w:rFonts w:ascii="Times New Roman" w:hAnsi="Times New Roman" w:cs="Times New Roman"/>
          <w:sz w:val="20"/>
          <w:szCs w:val="20"/>
        </w:rPr>
        <w:t xml:space="preserve">and the home page of Center on Poverty and Social Policy.  </w:t>
      </w:r>
    </w:p>
  </w:footnote>
  <w:footnote w:id="4">
    <w:p w14:paraId="2FD8FB42" w14:textId="77777777" w:rsidR="00D4452C" w:rsidRPr="006F02B9" w:rsidRDefault="001A61B1">
      <w:pPr>
        <w:spacing w:line="240" w:lineRule="auto"/>
        <w:rPr>
          <w:rFonts w:ascii="Times New Roman" w:hAnsi="Times New Roman" w:cs="Times New Roman"/>
          <w:sz w:val="20"/>
          <w:szCs w:val="20"/>
        </w:rPr>
      </w:pPr>
      <w:r w:rsidRPr="006F02B9">
        <w:rPr>
          <w:rStyle w:val="FootnoteReference"/>
          <w:rFonts w:ascii="Times New Roman" w:hAnsi="Times New Roman" w:cs="Times New Roman"/>
        </w:rPr>
        <w:footnoteRef/>
      </w:r>
      <w:r w:rsidRPr="006F02B9">
        <w:rPr>
          <w:rFonts w:ascii="Times New Roman" w:hAnsi="Times New Roman" w:cs="Times New Roman"/>
          <w:sz w:val="20"/>
          <w:szCs w:val="20"/>
        </w:rPr>
        <w:t>Follo</w:t>
      </w:r>
      <w:r w:rsidRPr="006F02B9">
        <w:rPr>
          <w:rFonts w:ascii="Times New Roman" w:hAnsi="Times New Roman" w:cs="Times New Roman"/>
          <w:sz w:val="20"/>
          <w:szCs w:val="20"/>
        </w:rPr>
        <w:t>wing Rothstein (2017) and Aronson et al. (2022), we note that HOLC was part of a suite of ostensibly progressive New Deal policies such as the GI Bill and the establishment of the Federal Housing Authority that had the intention of creating a home ownershi</w:t>
      </w:r>
      <w:r w:rsidRPr="006F02B9">
        <w:rPr>
          <w:rFonts w:ascii="Times New Roman" w:hAnsi="Times New Roman" w:cs="Times New Roman"/>
          <w:sz w:val="20"/>
          <w:szCs w:val="20"/>
        </w:rPr>
        <w:t>p society. The whole point of the FHA’s investment in “equity” was social stability (rather than social upheaval or revolution), and, as Rothstein argues, the dominant assumption was that racial segregation was key to this stability. Here, we might see the</w:t>
      </w:r>
      <w:r w:rsidRPr="006F02B9">
        <w:rPr>
          <w:rFonts w:ascii="Times New Roman" w:hAnsi="Times New Roman" w:cs="Times New Roman"/>
          <w:sz w:val="20"/>
          <w:szCs w:val="20"/>
        </w:rPr>
        <w:t xml:space="preserve">se supposedly color-blind progressive policies as working to only benefit people who were considered to be White at the time. </w:t>
      </w:r>
    </w:p>
  </w:footnote>
  <w:footnote w:id="5">
    <w:p w14:paraId="322BD4EA" w14:textId="77777777" w:rsidR="00D4452C" w:rsidRPr="006F02B9" w:rsidRDefault="001A61B1">
      <w:pPr>
        <w:spacing w:line="240" w:lineRule="auto"/>
        <w:rPr>
          <w:rFonts w:ascii="Times New Roman" w:hAnsi="Times New Roman" w:cs="Times New Roman"/>
          <w:sz w:val="20"/>
          <w:szCs w:val="20"/>
        </w:rPr>
      </w:pPr>
      <w:r w:rsidRPr="006F02B9">
        <w:rPr>
          <w:rStyle w:val="FootnoteReference"/>
          <w:rFonts w:ascii="Times New Roman" w:hAnsi="Times New Roman" w:cs="Times New Roman"/>
        </w:rPr>
        <w:footnoteRef/>
      </w:r>
      <w:r w:rsidRPr="006F02B9">
        <w:rPr>
          <w:rFonts w:ascii="Times New Roman" w:hAnsi="Times New Roman" w:cs="Times New Roman"/>
          <w:sz w:val="20"/>
          <w:szCs w:val="20"/>
        </w:rPr>
        <w:t xml:space="preserve"> The FHA created similar color-coded maps for city blocks, albeit with a different color scheme and accompanying letter grades r</w:t>
      </w:r>
      <w:r w:rsidRPr="006F02B9">
        <w:rPr>
          <w:rFonts w:ascii="Times New Roman" w:hAnsi="Times New Roman" w:cs="Times New Roman"/>
          <w:sz w:val="20"/>
          <w:szCs w:val="20"/>
        </w:rPr>
        <w:t xml:space="preserve">anging from “A” (Best) to “D” (Declining). These were widely used in FHA manuals and guidance to banks on investment risk in cities. For a discussion of the complex relations between HOLC, the FHA, and local actors, see </w:t>
      </w:r>
      <w:proofErr w:type="spellStart"/>
      <w:r w:rsidRPr="006F02B9">
        <w:rPr>
          <w:rFonts w:ascii="Times New Roman" w:hAnsi="Times New Roman" w:cs="Times New Roman"/>
          <w:sz w:val="20"/>
          <w:szCs w:val="20"/>
        </w:rPr>
        <w:t>Gioielli</w:t>
      </w:r>
      <w:proofErr w:type="spellEnd"/>
      <w:r w:rsidRPr="006F02B9">
        <w:rPr>
          <w:rFonts w:ascii="Times New Roman" w:hAnsi="Times New Roman" w:cs="Times New Roman"/>
          <w:sz w:val="20"/>
          <w:szCs w:val="20"/>
        </w:rPr>
        <w:t xml:space="preserve"> (</w:t>
      </w:r>
      <w:proofErr w:type="spellStart"/>
      <w:r w:rsidRPr="006F02B9">
        <w:rPr>
          <w:rFonts w:ascii="Times New Roman" w:hAnsi="Times New Roman" w:cs="Times New Roman"/>
          <w:sz w:val="20"/>
          <w:szCs w:val="20"/>
        </w:rPr>
        <w:t>nd</w:t>
      </w:r>
      <w:proofErr w:type="spellEnd"/>
      <w:r w:rsidRPr="006F02B9">
        <w:rPr>
          <w:rFonts w:ascii="Times New Roman" w:hAnsi="Times New Roman" w:cs="Times New Roman"/>
          <w:sz w:val="20"/>
          <w:szCs w:val="20"/>
        </w:rPr>
        <w:t>); Fishback et al. (2021</w:t>
      </w:r>
      <w:r w:rsidRPr="006F02B9">
        <w:rPr>
          <w:rFonts w:ascii="Times New Roman" w:hAnsi="Times New Roman" w:cs="Times New Roman"/>
          <w:sz w:val="20"/>
          <w:szCs w:val="20"/>
        </w:rPr>
        <w:t>).</w:t>
      </w:r>
    </w:p>
  </w:footnote>
  <w:footnote w:id="6">
    <w:p w14:paraId="5693E8DA" w14:textId="77777777" w:rsidR="00D4452C" w:rsidRPr="006F02B9" w:rsidRDefault="001A61B1">
      <w:pPr>
        <w:spacing w:line="240" w:lineRule="auto"/>
        <w:rPr>
          <w:rFonts w:ascii="Times New Roman" w:hAnsi="Times New Roman" w:cs="Times New Roman"/>
          <w:sz w:val="20"/>
          <w:szCs w:val="20"/>
        </w:rPr>
      </w:pPr>
      <w:r w:rsidRPr="006F02B9">
        <w:rPr>
          <w:rStyle w:val="FootnoteReference"/>
          <w:rFonts w:ascii="Times New Roman" w:hAnsi="Times New Roman" w:cs="Times New Roman"/>
        </w:rPr>
        <w:footnoteRef/>
      </w:r>
      <w:r w:rsidRPr="006F02B9">
        <w:rPr>
          <w:rFonts w:ascii="Times New Roman" w:hAnsi="Times New Roman" w:cs="Times New Roman"/>
          <w:sz w:val="20"/>
          <w:szCs w:val="20"/>
        </w:rPr>
        <w:t xml:space="preserve"> This precipitated the continued credit starvation of these communities by banks, the dramatic devaluation of housing stock, a paucity of green space and shade trees, and underinvestment in health, sanitary, and education services with grave consequenc</w:t>
      </w:r>
      <w:r w:rsidRPr="006F02B9">
        <w:rPr>
          <w:rFonts w:ascii="Times New Roman" w:hAnsi="Times New Roman" w:cs="Times New Roman"/>
          <w:sz w:val="20"/>
          <w:szCs w:val="20"/>
        </w:rPr>
        <w:t>es for living conditions for decades to come. See Rothstein (2017), Taylor (2019), and Coates (2014).</w:t>
      </w:r>
    </w:p>
  </w:footnote>
  <w:footnote w:id="7">
    <w:p w14:paraId="0358D6DB" w14:textId="77777777" w:rsidR="00D4452C" w:rsidRPr="006F02B9" w:rsidRDefault="001A61B1">
      <w:pPr>
        <w:spacing w:line="240" w:lineRule="auto"/>
        <w:rPr>
          <w:rFonts w:ascii="Times New Roman" w:hAnsi="Times New Roman" w:cs="Times New Roman"/>
          <w:i/>
          <w:sz w:val="20"/>
          <w:szCs w:val="20"/>
        </w:rPr>
      </w:pPr>
      <w:r w:rsidRPr="006F02B9">
        <w:rPr>
          <w:rStyle w:val="FootnoteReference"/>
          <w:rFonts w:ascii="Times New Roman" w:hAnsi="Times New Roman" w:cs="Times New Roman"/>
        </w:rPr>
        <w:footnoteRef/>
      </w:r>
      <w:r w:rsidRPr="006F02B9">
        <w:rPr>
          <w:rFonts w:ascii="Times New Roman" w:hAnsi="Times New Roman" w:cs="Times New Roman"/>
          <w:sz w:val="20"/>
          <w:szCs w:val="20"/>
        </w:rPr>
        <w:t xml:space="preserve"> This is a point we elaborate on in Chapter 3 of </w:t>
      </w:r>
      <w:r w:rsidRPr="006F02B9">
        <w:rPr>
          <w:rFonts w:ascii="Times New Roman" w:hAnsi="Times New Roman" w:cs="Times New Roman"/>
          <w:i/>
          <w:sz w:val="20"/>
          <w:szCs w:val="20"/>
        </w:rPr>
        <w:t>Solidarity Cities.</w:t>
      </w:r>
    </w:p>
  </w:footnote>
  <w:footnote w:id="8">
    <w:p w14:paraId="02373301" w14:textId="77777777" w:rsidR="00D4452C" w:rsidRPr="006F02B9" w:rsidRDefault="001A61B1">
      <w:pPr>
        <w:spacing w:line="240" w:lineRule="auto"/>
        <w:rPr>
          <w:rFonts w:ascii="Times New Roman" w:hAnsi="Times New Roman" w:cs="Times New Roman"/>
          <w:sz w:val="20"/>
          <w:szCs w:val="20"/>
        </w:rPr>
      </w:pPr>
      <w:r w:rsidRPr="006F02B9">
        <w:rPr>
          <w:rStyle w:val="FootnoteReference"/>
          <w:rFonts w:ascii="Times New Roman" w:hAnsi="Times New Roman" w:cs="Times New Roman"/>
        </w:rPr>
        <w:footnoteRef/>
      </w:r>
      <w:r w:rsidRPr="006F02B9">
        <w:rPr>
          <w:rFonts w:ascii="Times New Roman" w:hAnsi="Times New Roman" w:cs="Times New Roman"/>
          <w:sz w:val="20"/>
          <w:szCs w:val="20"/>
        </w:rPr>
        <w:t xml:space="preserve"> See Karl Marx, “The Eighteenth Brumaire of Louis Bonaparte.”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B0F2A" w14:textId="77777777" w:rsidR="00D4452C" w:rsidRDefault="00D4452C">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52C"/>
    <w:rsid w:val="001A61B1"/>
    <w:rsid w:val="006F02B9"/>
    <w:rsid w:val="00D44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8409E62"/>
  <w15:docId w15:val="{6313B368-A1F3-D641-BC5B-0D96098BC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rPr>
  </w:style>
  <w:style w:type="paragraph" w:styleId="Heading2">
    <w:name w:val="heading 2"/>
    <w:basedOn w:val="Normal"/>
    <w:next w:val="Normal"/>
    <w:uiPriority w:val="9"/>
    <w:unhideWhenUsed/>
    <w:qFormat/>
    <w:pPr>
      <w:keepNext/>
      <w:keepLines/>
      <w:spacing w:before="532" w:line="276" w:lineRule="auto"/>
      <w:ind w:right="-302"/>
      <w:outlineLvl w:val="1"/>
    </w:pPr>
    <w:rPr>
      <w:i/>
    </w:rPr>
  </w:style>
  <w:style w:type="paragraph" w:styleId="Heading3">
    <w:name w:val="heading 3"/>
    <w:basedOn w:val="Normal"/>
    <w:next w:val="Normal"/>
    <w:uiPriority w:val="9"/>
    <w:unhideWhenUsed/>
    <w:qFormat/>
    <w:pPr>
      <w:keepNext/>
      <w:keepLines/>
      <w:spacing w:before="280" w:after="80"/>
      <w:outlineLvl w:val="2"/>
    </w:pPr>
    <w:rPr>
      <w:b/>
    </w:rPr>
  </w:style>
  <w:style w:type="paragraph" w:styleId="Heading4">
    <w:name w:val="heading 4"/>
    <w:basedOn w:val="Normal"/>
    <w:next w:val="Normal"/>
    <w:uiPriority w:val="9"/>
    <w:unhideWhenUsed/>
    <w:qFormat/>
    <w:pPr>
      <w:keepNext/>
      <w:keepLines/>
      <w:spacing w:before="280" w:after="80"/>
      <w:outlineLvl w:val="3"/>
    </w:pPr>
    <w:rPr>
      <w:color w:val="B7B7B7"/>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200" w:line="276" w:lineRule="auto"/>
      <w:ind w:right="-302"/>
      <w:jc w:val="center"/>
    </w:pPr>
    <w:rPr>
      <w:b/>
      <w:sz w:val="36"/>
      <w:szCs w:val="36"/>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FootnoteText">
    <w:name w:val="footnote text"/>
    <w:basedOn w:val="Normal"/>
    <w:link w:val="FootnoteTextChar"/>
    <w:uiPriority w:val="99"/>
    <w:semiHidden/>
    <w:unhideWhenUsed/>
    <w:rsid w:val="008B4BEF"/>
    <w:pPr>
      <w:spacing w:line="240" w:lineRule="auto"/>
    </w:pPr>
    <w:rPr>
      <w:sz w:val="20"/>
      <w:szCs w:val="20"/>
    </w:rPr>
  </w:style>
  <w:style w:type="character" w:customStyle="1" w:styleId="FootnoteTextChar">
    <w:name w:val="Footnote Text Char"/>
    <w:basedOn w:val="DefaultParagraphFont"/>
    <w:link w:val="FootnoteText"/>
    <w:uiPriority w:val="99"/>
    <w:semiHidden/>
    <w:rsid w:val="008B4BEF"/>
    <w:rPr>
      <w:sz w:val="20"/>
      <w:szCs w:val="20"/>
    </w:rPr>
  </w:style>
  <w:style w:type="paragraph" w:styleId="EndnoteText">
    <w:name w:val="endnote text"/>
    <w:basedOn w:val="Normal"/>
    <w:link w:val="EndnoteTextChar"/>
    <w:uiPriority w:val="99"/>
    <w:semiHidden/>
    <w:unhideWhenUsed/>
    <w:rsid w:val="008B4BEF"/>
    <w:pPr>
      <w:spacing w:line="240" w:lineRule="auto"/>
    </w:pPr>
    <w:rPr>
      <w:sz w:val="20"/>
      <w:szCs w:val="20"/>
    </w:rPr>
  </w:style>
  <w:style w:type="character" w:customStyle="1" w:styleId="EndnoteTextChar">
    <w:name w:val="Endnote Text Char"/>
    <w:basedOn w:val="DefaultParagraphFont"/>
    <w:link w:val="EndnoteText"/>
    <w:uiPriority w:val="99"/>
    <w:semiHidden/>
    <w:rsid w:val="008B4BEF"/>
    <w:rPr>
      <w:sz w:val="20"/>
      <w:szCs w:val="20"/>
    </w:rPr>
  </w:style>
  <w:style w:type="character" w:styleId="FootnoteReference">
    <w:name w:val="footnote reference"/>
    <w:basedOn w:val="DefaultParagraphFont"/>
    <w:uiPriority w:val="99"/>
    <w:semiHidden/>
    <w:unhideWhenUsed/>
    <w:rsid w:val="008B4BEF"/>
    <w:rPr>
      <w:vertAlign w:val="superscript"/>
    </w:rPr>
  </w:style>
  <w:style w:type="character" w:styleId="EndnoteReference">
    <w:name w:val="endnote reference"/>
    <w:basedOn w:val="DefaultParagraphFont"/>
    <w:uiPriority w:val="99"/>
    <w:semiHidden/>
    <w:unhideWhenUsed/>
    <w:rsid w:val="008B4BEF"/>
    <w:rPr>
      <w:vertAlign w:val="superscript"/>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theatlantic.com/magazine/archive/2014/06/the-case-for-reparations/361631/" TargetMode="External"/><Relationship Id="rId26" Type="http://schemas.openxmlformats.org/officeDocument/2006/relationships/hyperlink" Target="https://doi.org/10.1080/01944367908977002" TargetMode="External"/><Relationship Id="rId3" Type="http://schemas.openxmlformats.org/officeDocument/2006/relationships/settings" Target="settings.xml"/><Relationship Id="rId21" Type="http://schemas.openxmlformats.org/officeDocument/2006/relationships/hyperlink" Target="https://doi.org/10.1068/d100495"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21033/wp-2022-13" TargetMode="External"/><Relationship Id="rId25" Type="http://schemas.openxmlformats.org/officeDocument/2006/relationships/hyperlink" Target="https://doi.org/10.1111/cag.12438"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geo.coop/story/decolonizing-our-solidarity-econom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ncrc.org/holc/"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revealnews.org/article/for-people-of-color-banks-are-shutting-the-door-to-homeownership/"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dsl.richmond.edu/panorama/renewa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80/08935696.2019.1592407"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LwySvtshEpI7gm2W7k3OCPDsA==">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7655</Words>
  <Characters>43636</Characters>
  <Application>Microsoft Office Word</Application>
  <DocSecurity>0</DocSecurity>
  <Lines>363</Lines>
  <Paragraphs>102</Paragraphs>
  <ScaleCrop>false</ScaleCrop>
  <Company/>
  <LinksUpToDate>false</LinksUpToDate>
  <CharactersWithSpaces>51189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Borowiak, Craig</cp:lastModifiedBy>
  <cp:revision>2</cp:revision>
  <dcterms:created xsi:type="dcterms:W3CDTF">2024-02-20T02:51:00Z</dcterms:created>
  <dcterms:modified xsi:type="dcterms:W3CDTF">2024-02-20T02:51:00Z</dcterms:modified>
</cp:coreProperties>
</file>