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D0" w:rsidRPr="00D86EAF" w:rsidRDefault="00D01832" w:rsidP="00D01832">
      <w:pPr>
        <w:jc w:val="center"/>
        <w:rPr>
          <w:b/>
        </w:rPr>
      </w:pPr>
      <w:bookmarkStart w:id="0" w:name="_GoBack"/>
      <w:bookmarkEnd w:id="0"/>
      <w:r w:rsidRPr="00D86EAF">
        <w:rPr>
          <w:b/>
        </w:rPr>
        <w:t>Regulating Oil and Gas on Federal Lands under Presidents Bush II, Obama and Trump</w:t>
      </w:r>
    </w:p>
    <w:p w:rsidR="00D01832" w:rsidRPr="00D01832" w:rsidRDefault="00D01832" w:rsidP="00D01832">
      <w:pPr>
        <w:jc w:val="center"/>
      </w:pPr>
    </w:p>
    <w:p w:rsidR="00CB5B59" w:rsidRPr="00850CA5" w:rsidRDefault="00CB5B59" w:rsidP="00CB5B59">
      <w:pPr>
        <w:jc w:val="center"/>
      </w:pPr>
      <w:r w:rsidRPr="00850CA5">
        <w:t>Charles Davis</w:t>
      </w:r>
    </w:p>
    <w:p w:rsidR="00CB5B59" w:rsidRPr="00850CA5" w:rsidRDefault="00CB5B59" w:rsidP="00CB5B59">
      <w:pPr>
        <w:jc w:val="center"/>
      </w:pPr>
      <w:r w:rsidRPr="00850CA5">
        <w:t>Department of Political Science</w:t>
      </w:r>
    </w:p>
    <w:p w:rsidR="00CB5B59" w:rsidRPr="00850CA5" w:rsidRDefault="00CB5B59" w:rsidP="00CB5B59">
      <w:pPr>
        <w:jc w:val="center"/>
      </w:pPr>
      <w:r w:rsidRPr="00850CA5">
        <w:t>Colorado State University</w:t>
      </w:r>
    </w:p>
    <w:p w:rsidR="00CB5B59" w:rsidRPr="00850CA5" w:rsidRDefault="00CB5B59" w:rsidP="00CB5B59">
      <w:pPr>
        <w:jc w:val="center"/>
      </w:pPr>
      <w:r w:rsidRPr="00850CA5">
        <w:t>Ft. Collins, CO 80523</w:t>
      </w:r>
    </w:p>
    <w:p w:rsidR="00CB5B59" w:rsidRPr="00850CA5" w:rsidRDefault="00CB5B59" w:rsidP="00CB5B59">
      <w:pPr>
        <w:jc w:val="center"/>
      </w:pPr>
      <w:r w:rsidRPr="00850CA5">
        <w:t xml:space="preserve"> charles.davis@colostate.edu</w:t>
      </w:r>
    </w:p>
    <w:p w:rsidR="00CB5B59" w:rsidRDefault="00CB5B59" w:rsidP="00146BE0">
      <w:pPr>
        <w:jc w:val="center"/>
        <w:rPr>
          <w:b/>
          <w:sz w:val="26"/>
          <w:szCs w:val="26"/>
        </w:rPr>
      </w:pPr>
    </w:p>
    <w:p w:rsidR="00D86EAF" w:rsidRDefault="00D86EAF" w:rsidP="00D86EAF">
      <w:pPr>
        <w:jc w:val="both"/>
      </w:pPr>
    </w:p>
    <w:p w:rsidR="00F84AE9" w:rsidRDefault="00CB5B59" w:rsidP="00D86EAF">
      <w:pPr>
        <w:jc w:val="both"/>
      </w:pPr>
      <w:r w:rsidRPr="002F6693">
        <w:t xml:space="preserve">This paper addresses </w:t>
      </w:r>
      <w:r>
        <w:t>change</w:t>
      </w:r>
      <w:r w:rsidR="00161130">
        <w:t>s</w:t>
      </w:r>
      <w:r>
        <w:t xml:space="preserve"> in </w:t>
      </w:r>
      <w:r w:rsidRPr="002F6693">
        <w:t xml:space="preserve">oil and gas </w:t>
      </w:r>
      <w:r>
        <w:t xml:space="preserve">policies </w:t>
      </w:r>
      <w:r w:rsidR="00941961">
        <w:t>adopted</w:t>
      </w:r>
      <w:r>
        <w:t xml:space="preserve"> </w:t>
      </w:r>
      <w:r w:rsidRPr="002F6693">
        <w:t xml:space="preserve">by the U.S. </w:t>
      </w:r>
      <w:r w:rsidR="00C739DB">
        <w:t>Bureau o</w:t>
      </w:r>
      <w:r w:rsidR="00941961">
        <w:t xml:space="preserve">f </w:t>
      </w:r>
      <w:r w:rsidR="00C739DB">
        <w:t xml:space="preserve">Land Management </w:t>
      </w:r>
      <w:r w:rsidR="00941961">
        <w:t>(</w:t>
      </w:r>
      <w:r w:rsidR="00C739DB">
        <w:t>BLM</w:t>
      </w:r>
      <w:r w:rsidR="00941961">
        <w:t>) d</w:t>
      </w:r>
      <w:r w:rsidRPr="001342B6">
        <w:t xml:space="preserve">uring the </w:t>
      </w:r>
      <w:r w:rsidR="00A007E3">
        <w:t>Presidential terms of</w:t>
      </w:r>
      <w:r w:rsidRPr="001342B6">
        <w:t xml:space="preserve"> George W. Bush</w:t>
      </w:r>
      <w:r w:rsidR="00941961">
        <w:t xml:space="preserve">, </w:t>
      </w:r>
      <w:r w:rsidRPr="001342B6">
        <w:t>Barack Obama</w:t>
      </w:r>
      <w:r w:rsidR="00941961">
        <w:t>, and Donald J. Trump</w:t>
      </w:r>
      <w:r w:rsidR="00F337A9">
        <w:t>.</w:t>
      </w:r>
      <w:r w:rsidR="00A007E3">
        <w:t xml:space="preserve"> </w:t>
      </w:r>
      <w:r w:rsidR="00C739DB">
        <w:t xml:space="preserve">It focuses on </w:t>
      </w:r>
      <w:r w:rsidR="00F337A9">
        <w:t xml:space="preserve">the extent to which drilling activities </w:t>
      </w:r>
      <w:r w:rsidR="00A007E3">
        <w:t>a</w:t>
      </w:r>
      <w:r w:rsidR="00F1573A">
        <w:t>ffect</w:t>
      </w:r>
      <w:r w:rsidR="00F337A9">
        <w:t xml:space="preserve"> efforts to </w:t>
      </w:r>
      <w:r w:rsidR="00737F19">
        <w:t xml:space="preserve">maintain or improve </w:t>
      </w:r>
      <w:r w:rsidR="00F1573A">
        <w:t xml:space="preserve">environmental quality and </w:t>
      </w:r>
      <w:r w:rsidR="00737F19">
        <w:t xml:space="preserve">to reduce adverse </w:t>
      </w:r>
      <w:r w:rsidR="00F1573A">
        <w:t>c</w:t>
      </w:r>
      <w:r w:rsidR="004D4814">
        <w:t xml:space="preserve">limate related impacts.  </w:t>
      </w:r>
      <w:r w:rsidR="0087703F">
        <w:t>While s</w:t>
      </w:r>
      <w:r w:rsidR="00F84AE9">
        <w:t>hifts in regulatory and climate-oriented policies</w:t>
      </w:r>
      <w:r w:rsidR="0087703F">
        <w:t xml:space="preserve"> </w:t>
      </w:r>
      <w:r w:rsidR="00F84AE9">
        <w:t xml:space="preserve">have </w:t>
      </w:r>
      <w:r w:rsidR="008F46C9">
        <w:t xml:space="preserve">largely </w:t>
      </w:r>
      <w:r w:rsidR="004D4814" w:rsidRPr="004D4814">
        <w:t>occur</w:t>
      </w:r>
      <w:r w:rsidR="00F84AE9">
        <w:t>red</w:t>
      </w:r>
      <w:r w:rsidR="004D4814" w:rsidRPr="004D4814">
        <w:t xml:space="preserve"> because of </w:t>
      </w:r>
      <w:r w:rsidR="00CC2FFE">
        <w:t xml:space="preserve">Presidential </w:t>
      </w:r>
      <w:r w:rsidR="004D4814" w:rsidRPr="004D4814">
        <w:t>election outcomes</w:t>
      </w:r>
      <w:r w:rsidR="009E2EA8">
        <w:t xml:space="preserve">, </w:t>
      </w:r>
      <w:r w:rsidR="00737F19">
        <w:t xml:space="preserve">I also discuss </w:t>
      </w:r>
      <w:r w:rsidR="00AC7737">
        <w:t>how differing Administrations have selectively used varied policy tools to shape agency</w:t>
      </w:r>
      <w:r w:rsidR="009E2EA8">
        <w:t xml:space="preserve"> decisions</w:t>
      </w:r>
      <w:r w:rsidR="00AC7737">
        <w:t xml:space="preserve">. </w:t>
      </w:r>
      <w:r w:rsidR="009E2EA8">
        <w:t xml:space="preserve"> </w:t>
      </w:r>
    </w:p>
    <w:p w:rsidR="00D86EAF" w:rsidRDefault="00D86EAF" w:rsidP="00F7108D">
      <w:pPr>
        <w:rPr>
          <w:b/>
        </w:rPr>
      </w:pPr>
    </w:p>
    <w:p w:rsidR="005A436D" w:rsidRPr="00172455" w:rsidRDefault="005A436D" w:rsidP="00F7108D">
      <w:pPr>
        <w:rPr>
          <w:b/>
        </w:rPr>
      </w:pPr>
      <w:r w:rsidRPr="00172455">
        <w:rPr>
          <w:b/>
        </w:rPr>
        <w:t>Introduction</w:t>
      </w:r>
    </w:p>
    <w:p w:rsidR="005A436D" w:rsidRPr="00172455" w:rsidRDefault="005A436D" w:rsidP="00F7108D"/>
    <w:p w:rsidR="006D5DE0" w:rsidRDefault="00CF53D1" w:rsidP="00D86EAF">
      <w:pPr>
        <w:spacing w:line="480" w:lineRule="auto"/>
        <w:ind w:firstLine="720"/>
        <w:jc w:val="both"/>
      </w:pPr>
      <w:r w:rsidRPr="00172455">
        <w:t xml:space="preserve">This paper addresses the changing politics of oil and gas regulation by the U.S. Bureau of Land Management (BLM) </w:t>
      </w:r>
      <w:r w:rsidR="00161130">
        <w:t>across the Administrations of Presidents George W. Bush, Barack Obama and Donald J. Trump</w:t>
      </w:r>
      <w:r w:rsidRPr="00172455">
        <w:t xml:space="preserve">.  </w:t>
      </w:r>
      <w:r w:rsidR="0076288B">
        <w:t>T</w:t>
      </w:r>
      <w:r w:rsidR="0076288B" w:rsidRPr="0076288B">
        <w:t xml:space="preserve">he BLM </w:t>
      </w:r>
      <w:r w:rsidR="0076288B">
        <w:t>is in charge of managing</w:t>
      </w:r>
      <w:r w:rsidR="0076288B" w:rsidRPr="0076288B">
        <w:t xml:space="preserve"> the </w:t>
      </w:r>
      <w:r w:rsidR="0076288B">
        <w:t>f</w:t>
      </w:r>
      <w:r w:rsidR="0076288B" w:rsidRPr="0076288B">
        <w:t>ederal government’s onshore subsurface mineral estate</w:t>
      </w:r>
      <w:r w:rsidR="0076288B">
        <w:t>, amounting to a</w:t>
      </w:r>
      <w:r w:rsidR="0076288B" w:rsidRPr="0076288B">
        <w:t xml:space="preserve">bout 700 million acres </w:t>
      </w:r>
      <w:r w:rsidR="0076288B">
        <w:t xml:space="preserve">of subsurface rights </w:t>
      </w:r>
      <w:r w:rsidR="0076288B" w:rsidRPr="0076288B">
        <w:t>held by the BLM</w:t>
      </w:r>
      <w:r w:rsidR="0076288B">
        <w:t xml:space="preserve"> and other federal agencies. </w:t>
      </w:r>
      <w:r w:rsidR="00662CCB">
        <w:t xml:space="preserve">It does so by </w:t>
      </w:r>
      <w:r w:rsidR="00143B2A">
        <w:t>balancing land use</w:t>
      </w:r>
      <w:r w:rsidR="00374028">
        <w:t>s</w:t>
      </w:r>
      <w:r w:rsidR="00143B2A">
        <w:t xml:space="preserve"> such as energy development or mining with wildlife conservation, recreation and watershed protection under its “</w:t>
      </w:r>
      <w:r w:rsidRPr="00172455">
        <w:t xml:space="preserve">multiple-use” </w:t>
      </w:r>
      <w:r w:rsidR="00143B2A">
        <w:t xml:space="preserve">management </w:t>
      </w:r>
      <w:r w:rsidRPr="00172455">
        <w:t>philosophy (</w:t>
      </w:r>
      <w:r w:rsidR="00B17763">
        <w:t>BLM</w:t>
      </w:r>
      <w:r w:rsidRPr="00172455">
        <w:t>, 20</w:t>
      </w:r>
      <w:r w:rsidR="00B17763">
        <w:t>1</w:t>
      </w:r>
      <w:r w:rsidRPr="00172455">
        <w:t xml:space="preserve">9). </w:t>
      </w:r>
      <w:r w:rsidR="00B6239A">
        <w:t xml:space="preserve"> </w:t>
      </w:r>
    </w:p>
    <w:p w:rsidR="00CF53D1" w:rsidRPr="00172455" w:rsidRDefault="009445F9" w:rsidP="00D86EAF">
      <w:pPr>
        <w:spacing w:line="480" w:lineRule="auto"/>
        <w:ind w:firstLine="720"/>
        <w:jc w:val="both"/>
      </w:pPr>
      <w:r>
        <w:t xml:space="preserve">Operating under the U.S. Interior Department (DOI), </w:t>
      </w:r>
      <w:r w:rsidR="00BB30BA">
        <w:t xml:space="preserve">BLM </w:t>
      </w:r>
      <w:r w:rsidR="00021BAA">
        <w:t xml:space="preserve">has </w:t>
      </w:r>
      <w:r w:rsidR="00F85959">
        <w:t xml:space="preserve">a longstanding reputation for an agency bias favoring land use decisions favoring commodity production over the conservation of natural resources. Power (2002) and Wood (2006) </w:t>
      </w:r>
      <w:r w:rsidR="00162D2F">
        <w:t>found</w:t>
      </w:r>
      <w:r w:rsidR="00F85959">
        <w:t xml:space="preserve"> that agency decisions </w:t>
      </w:r>
      <w:r w:rsidR="00CF53D1" w:rsidRPr="00172455">
        <w:t>f</w:t>
      </w:r>
      <w:r w:rsidR="00F85959">
        <w:t xml:space="preserve">rom the 1940s through the 1960s </w:t>
      </w:r>
      <w:r w:rsidR="007F688C">
        <w:t xml:space="preserve">tended to align closely with </w:t>
      </w:r>
      <w:r w:rsidR="00F85959">
        <w:t xml:space="preserve">the </w:t>
      </w:r>
      <w:r w:rsidR="007F688C">
        <w:t>i</w:t>
      </w:r>
      <w:r w:rsidR="00F85959">
        <w:t xml:space="preserve">nterests of industry officials </w:t>
      </w:r>
      <w:r w:rsidR="007F688C">
        <w:t>engaged in livestock, mineral</w:t>
      </w:r>
      <w:r w:rsidR="00CF53D1" w:rsidRPr="00172455">
        <w:t xml:space="preserve">, energy, and </w:t>
      </w:r>
      <w:r w:rsidR="007F688C">
        <w:t>timber harvesting; i.e., activities offering employment opportunities for peo</w:t>
      </w:r>
      <w:r w:rsidR="00CF53D1" w:rsidRPr="00172455">
        <w:t>ple in rural western states</w:t>
      </w:r>
      <w:r w:rsidR="007F688C">
        <w:t>.</w:t>
      </w:r>
      <w:r w:rsidR="00CF53D1" w:rsidRPr="00172455">
        <w:t xml:space="preserve">  Policies were </w:t>
      </w:r>
      <w:r w:rsidR="007F688C">
        <w:t xml:space="preserve">developed within a restricted form </w:t>
      </w:r>
      <w:r w:rsidR="00CF53D1" w:rsidRPr="00172455">
        <w:lastRenderedPageBreak/>
        <w:t xml:space="preserve">of policymaking </w:t>
      </w:r>
      <w:r w:rsidR="007F688C">
        <w:t xml:space="preserve">often </w:t>
      </w:r>
      <w:r w:rsidR="00CF53D1" w:rsidRPr="00172455">
        <w:t xml:space="preserve">referred to as subgovernments,* </w:t>
      </w:r>
      <w:r w:rsidR="00872DB7">
        <w:t>that protected pro-development constituencies (</w:t>
      </w:r>
      <w:r w:rsidR="00CF53D1" w:rsidRPr="00172455">
        <w:t xml:space="preserve">Skillen, 2009). </w:t>
      </w:r>
    </w:p>
    <w:p w:rsidR="003C728A" w:rsidRDefault="00872DB7" w:rsidP="00D86EAF">
      <w:pPr>
        <w:spacing w:line="480" w:lineRule="auto"/>
        <w:ind w:firstLine="720"/>
        <w:jc w:val="both"/>
      </w:pPr>
      <w:r>
        <w:t xml:space="preserve">However, it is important to note that </w:t>
      </w:r>
      <w:r w:rsidR="00CF53D1" w:rsidRPr="00172455">
        <w:t xml:space="preserve">BLM’s </w:t>
      </w:r>
      <w:r>
        <w:t xml:space="preserve">land use </w:t>
      </w:r>
      <w:r w:rsidR="00CF53D1" w:rsidRPr="00172455">
        <w:t xml:space="preserve">decisions have also been shaped by larger socio-political forces such as the environmental movement of the 1960s and 1970s. </w:t>
      </w:r>
      <w:r w:rsidR="007C5C1E">
        <w:t xml:space="preserve">The enactment of </w:t>
      </w:r>
      <w:r w:rsidR="00CF53D1" w:rsidRPr="00172455">
        <w:t xml:space="preserve">the Federal Land, Policy and Management Act of 1976 (FLPMA) </w:t>
      </w:r>
      <w:r w:rsidR="003C728A">
        <w:t xml:space="preserve">by Congress </w:t>
      </w:r>
      <w:r w:rsidR="00882523">
        <w:t xml:space="preserve">conferred statutory legitimacy on the agency and </w:t>
      </w:r>
      <w:r w:rsidR="008A3A71">
        <w:t xml:space="preserve">assigned </w:t>
      </w:r>
      <w:r w:rsidR="00882523">
        <w:t xml:space="preserve">new multiple-use management responsibilities akin to those held by the U.S. Forest Service </w:t>
      </w:r>
      <w:r w:rsidR="008A3A71">
        <w:t xml:space="preserve">(Clarke and McCool, 1996). FLPMA also </w:t>
      </w:r>
      <w:r w:rsidR="003C728A">
        <w:t xml:space="preserve">required </w:t>
      </w:r>
      <w:r w:rsidR="00CF53D1" w:rsidRPr="00172455">
        <w:t xml:space="preserve">BLM to evaluate public concerns linked to the </w:t>
      </w:r>
      <w:r w:rsidR="00CF53D1" w:rsidRPr="00172455">
        <w:rPr>
          <w:i/>
        </w:rPr>
        <w:t>impacts</w:t>
      </w:r>
      <w:r w:rsidR="00CF53D1" w:rsidRPr="00172455">
        <w:t xml:space="preserve"> of developmental decisions on environmental quality or natural resource conservation (Klyza and Sousa, 2013)</w:t>
      </w:r>
      <w:r w:rsidR="00C86C48">
        <w:t xml:space="preserve">, decisions that </w:t>
      </w:r>
      <w:r w:rsidR="003C728A">
        <w:t xml:space="preserve"> </w:t>
      </w:r>
      <w:r w:rsidR="008A3A71">
        <w:t xml:space="preserve">eventually </w:t>
      </w:r>
      <w:r w:rsidR="003C728A">
        <w:t xml:space="preserve">led to pushback </w:t>
      </w:r>
      <w:r w:rsidR="008A3A71">
        <w:t xml:space="preserve">from traditional land use constituencies </w:t>
      </w:r>
      <w:r w:rsidR="00CF53D1" w:rsidRPr="00172455">
        <w:t>(</w:t>
      </w:r>
      <w:r w:rsidR="00B46D27">
        <w:t>Skillen, 2009</w:t>
      </w:r>
      <w:r w:rsidR="00CF53D1" w:rsidRPr="00172455">
        <w:t>)</w:t>
      </w:r>
      <w:r w:rsidR="003C728A">
        <w:t xml:space="preserve">. </w:t>
      </w:r>
    </w:p>
    <w:p w:rsidR="00B0724F" w:rsidRDefault="003C728A" w:rsidP="00D86EAF">
      <w:pPr>
        <w:spacing w:line="480" w:lineRule="auto"/>
        <w:ind w:firstLine="720"/>
        <w:jc w:val="both"/>
        <w:rPr>
          <w:sz w:val="20"/>
          <w:szCs w:val="20"/>
        </w:rPr>
      </w:pPr>
      <w:r>
        <w:t>Since the</w:t>
      </w:r>
      <w:r w:rsidR="0068410F">
        <w:t xml:space="preserve">n, </w:t>
      </w:r>
      <w:r w:rsidR="00CF53D1" w:rsidRPr="00172455">
        <w:t>BLM</w:t>
      </w:r>
      <w:r w:rsidR="009D3DDA">
        <w:t xml:space="preserve"> has increasing devoted attention to the expansion of r</w:t>
      </w:r>
      <w:r w:rsidR="00CF53D1" w:rsidRPr="00172455">
        <w:t xml:space="preserve">egulatory programs addressing oil and gas operations on federal lands. </w:t>
      </w:r>
      <w:r w:rsidR="008162A6">
        <w:t xml:space="preserve">What accounts for these changes? </w:t>
      </w:r>
      <w:r w:rsidR="00CF53D1" w:rsidRPr="00172455">
        <w:t xml:space="preserve">Perhaps the main source of policy shifts </w:t>
      </w:r>
      <w:r w:rsidR="0068410F">
        <w:t xml:space="preserve">can be attributed to a growing partisan divide between Democratic and Republican Presidential Administrations over the appropriate balance between economic development and resource conservation policies </w:t>
      </w:r>
      <w:r w:rsidR="008162A6">
        <w:t xml:space="preserve">on federal lands </w:t>
      </w:r>
      <w:r w:rsidR="0068410F">
        <w:t>(Rosenbaum, 2017)</w:t>
      </w:r>
      <w:r w:rsidR="00CF53D1" w:rsidRPr="00172455">
        <w:t>.</w:t>
      </w:r>
      <w:r w:rsidR="008162A6">
        <w:t xml:space="preserve"> </w:t>
      </w:r>
      <w:r w:rsidR="005C2872">
        <w:t>Since d</w:t>
      </w:r>
      <w:r w:rsidR="008162A6">
        <w:t>iffering land use policy preferences have made it increasingly difficult to make critical decisions within the hallways of Congress</w:t>
      </w:r>
      <w:r w:rsidR="00344ECC">
        <w:t xml:space="preserve"> </w:t>
      </w:r>
      <w:r w:rsidR="00250CE1">
        <w:t xml:space="preserve">thanks to </w:t>
      </w:r>
      <w:r w:rsidR="00344ECC" w:rsidRPr="00344ECC">
        <w:t>divided control</w:t>
      </w:r>
      <w:r w:rsidR="00344ECC">
        <w:t xml:space="preserve"> or </w:t>
      </w:r>
      <w:r w:rsidR="00344ECC" w:rsidRPr="00344ECC">
        <w:t>the lack of a “filibuster-proof” majority in the Senate</w:t>
      </w:r>
      <w:r w:rsidR="005C2872">
        <w:t xml:space="preserve">, a second factor has also emerged – the tendency for Presidents to pursue new policy priorities through the exercise of executive </w:t>
      </w:r>
      <w:r w:rsidR="000F115B">
        <w:t xml:space="preserve">authority rather than legislation </w:t>
      </w:r>
      <w:r w:rsidR="000F115B" w:rsidRPr="00172455">
        <w:t xml:space="preserve">(Vig, 2016).  </w:t>
      </w:r>
    </w:p>
    <w:p w:rsidR="00D86EAF" w:rsidRPr="00B35C30" w:rsidRDefault="00B35C30" w:rsidP="00B35C30">
      <w:pPr>
        <w:spacing w:line="480" w:lineRule="auto"/>
        <w:ind w:firstLine="720"/>
        <w:jc w:val="both"/>
      </w:pPr>
      <w:r>
        <w:t xml:space="preserve">How does this occur? According to </w:t>
      </w:r>
      <w:r w:rsidR="003318EA">
        <w:t>Shafie (2014)</w:t>
      </w:r>
      <w:r>
        <w:t>, t</w:t>
      </w:r>
      <w:r w:rsidR="003318EA">
        <w:t>his usually begins w</w:t>
      </w:r>
      <w:r>
        <w:t xml:space="preserve">hen the President selects </w:t>
      </w:r>
      <w:r w:rsidR="003318EA">
        <w:t xml:space="preserve">people </w:t>
      </w:r>
      <w:r w:rsidR="00D86EAF">
        <w:t>with similar  policy values to  head departments or  agencies with prior  experience or  k</w:t>
      </w:r>
      <w:r w:rsidR="00D86EAF" w:rsidRPr="00D86EAF">
        <w:t>now</w:t>
      </w:r>
      <w:r w:rsidR="00D86EAF">
        <w:t xml:space="preserve">ledge of </w:t>
      </w:r>
      <w:r w:rsidRPr="00B35C30">
        <w:t>natural resource management issues. Other sources of executive authority</w:t>
      </w:r>
      <w:r>
        <w:t xml:space="preserve"> include</w:t>
      </w:r>
    </w:p>
    <w:p w:rsidR="00D86EAF" w:rsidRDefault="00D86EAF" w:rsidP="00D86EAF">
      <w:pPr>
        <w:rPr>
          <w:sz w:val="20"/>
          <w:szCs w:val="20"/>
        </w:rPr>
      </w:pPr>
      <w:r w:rsidRPr="00B0724F">
        <w:t>*</w:t>
      </w:r>
      <w:r w:rsidRPr="00B0724F">
        <w:rPr>
          <w:sz w:val="20"/>
          <w:szCs w:val="20"/>
        </w:rPr>
        <w:t>An institutional arrangement that restricts participation in policy decisions to agency administrators, legislators and interest group representatives with shared programmatic concerns while maintaining a low degree of visibility within the media and the general public (McCool, 1998).</w:t>
      </w:r>
    </w:p>
    <w:p w:rsidR="00746638" w:rsidRDefault="00CF53D1" w:rsidP="00D86EAF">
      <w:pPr>
        <w:spacing w:line="480" w:lineRule="auto"/>
        <w:jc w:val="both"/>
      </w:pPr>
      <w:r w:rsidRPr="00172455">
        <w:lastRenderedPageBreak/>
        <w:t>the issuance of executive orders</w:t>
      </w:r>
      <w:r w:rsidR="00746638">
        <w:t xml:space="preserve"> (the President or a Department Secretary)</w:t>
      </w:r>
      <w:r w:rsidRPr="00172455">
        <w:t>, a moratorium delaying the effective date of rules from the preceding Administration, rule</w:t>
      </w:r>
      <w:r w:rsidR="007834C6">
        <w:t>-</w:t>
      </w:r>
      <w:r w:rsidRPr="00172455">
        <w:t xml:space="preserve">making, budgetary authority, and coordination with </w:t>
      </w:r>
      <w:r w:rsidR="00746638">
        <w:t xml:space="preserve">other </w:t>
      </w:r>
      <w:r w:rsidRPr="00172455">
        <w:t>Department</w:t>
      </w:r>
      <w:r w:rsidR="00746638">
        <w:t xml:space="preserve">s such as </w:t>
      </w:r>
      <w:r w:rsidR="008223D1">
        <w:t xml:space="preserve">the U.S. Department of </w:t>
      </w:r>
      <w:r w:rsidR="00746638">
        <w:t xml:space="preserve">Energy </w:t>
      </w:r>
      <w:r w:rsidR="008223D1">
        <w:t xml:space="preserve">(DOE) </w:t>
      </w:r>
      <w:r w:rsidR="00746638">
        <w:t xml:space="preserve">or </w:t>
      </w:r>
      <w:r w:rsidR="008223D1">
        <w:t>the U.S. Environmental Protection Agency (</w:t>
      </w:r>
      <w:r w:rsidR="00746638">
        <w:t>EPA</w:t>
      </w:r>
      <w:r w:rsidR="008223D1">
        <w:t>)</w:t>
      </w:r>
      <w:r w:rsidR="00746638">
        <w:t xml:space="preserve">. Any of these approaches can be used to advance </w:t>
      </w:r>
      <w:r w:rsidR="008223D1">
        <w:t>policy goals largely by ide</w:t>
      </w:r>
      <w:r w:rsidR="00746638">
        <w:t xml:space="preserve">ntifying budgetary </w:t>
      </w:r>
      <w:r w:rsidR="00B35C30">
        <w:t>and enforcement priorities</w:t>
      </w:r>
      <w:r w:rsidR="00746638">
        <w:t xml:space="preserve">.   </w:t>
      </w:r>
    </w:p>
    <w:p w:rsidR="000341A6" w:rsidRDefault="00CF53D1" w:rsidP="00D86EAF">
      <w:pPr>
        <w:spacing w:line="480" w:lineRule="auto"/>
        <w:ind w:firstLine="720"/>
        <w:jc w:val="both"/>
      </w:pPr>
      <w:r w:rsidRPr="00CB5B59">
        <w:t xml:space="preserve">However, the main focus of this </w:t>
      </w:r>
      <w:r w:rsidR="00DF0287">
        <w:t xml:space="preserve">chapter </w:t>
      </w:r>
      <w:r w:rsidRPr="00CB5B59">
        <w:t xml:space="preserve">deals with </w:t>
      </w:r>
      <w:r w:rsidR="00DF0287">
        <w:t xml:space="preserve">how </w:t>
      </w:r>
      <w:r w:rsidR="007834C6">
        <w:t xml:space="preserve">the BLM and DOI officials have chosen to develop and implement oil and gas regulatory policies on federal lands from the Bush II Presidency through the Trump Administration. </w:t>
      </w:r>
      <w:r w:rsidR="00160DA6">
        <w:t xml:space="preserve">Key concerns include the extent to which environmental land uses are </w:t>
      </w:r>
      <w:r w:rsidR="007C5122">
        <w:t>given priority</w:t>
      </w:r>
      <w:r w:rsidR="00160DA6">
        <w:t xml:space="preserve"> in relation to commodity production and whether climate</w:t>
      </w:r>
      <w:r w:rsidR="0099261F">
        <w:t xml:space="preserve"> change impacts are considered in agency planning decisions. </w:t>
      </w:r>
    </w:p>
    <w:p w:rsidR="00466B00" w:rsidRDefault="000341A6" w:rsidP="00D86EAF">
      <w:pPr>
        <w:spacing w:line="480" w:lineRule="auto"/>
        <w:ind w:firstLine="720"/>
        <w:jc w:val="both"/>
        <w:rPr>
          <w:spacing w:val="3"/>
        </w:rPr>
      </w:pPr>
      <w:r>
        <w:t xml:space="preserve">How these decisions are made depends on how BLM administrators juggle a mix of procedural approaches such as </w:t>
      </w:r>
      <w:r w:rsidR="004E7C93" w:rsidRPr="00CB5B59">
        <w:rPr>
          <w:spacing w:val="3"/>
        </w:rPr>
        <w:t>rule</w:t>
      </w:r>
      <w:r w:rsidR="00CF53D1" w:rsidRPr="00CB5B59">
        <w:rPr>
          <w:spacing w:val="3"/>
        </w:rPr>
        <w:t xml:space="preserve">making, </w:t>
      </w:r>
      <w:r>
        <w:rPr>
          <w:spacing w:val="3"/>
        </w:rPr>
        <w:t xml:space="preserve">resource management </w:t>
      </w:r>
      <w:r w:rsidR="00CF53D1" w:rsidRPr="00CB5B59">
        <w:rPr>
          <w:spacing w:val="3"/>
        </w:rPr>
        <w:t xml:space="preserve">planning, environmental impact analyses, </w:t>
      </w:r>
      <w:r>
        <w:rPr>
          <w:spacing w:val="3"/>
        </w:rPr>
        <w:t>and enforcement actions</w:t>
      </w:r>
      <w:r w:rsidR="00466B00">
        <w:rPr>
          <w:spacing w:val="3"/>
        </w:rPr>
        <w:t xml:space="preserve"> in conjunction with the exercise of discretionary judgment. T</w:t>
      </w:r>
      <w:r w:rsidR="00CF53D1" w:rsidRPr="00CB5B59">
        <w:rPr>
          <w:spacing w:val="3"/>
        </w:rPr>
        <w:t xml:space="preserve">hus, administrators can </w:t>
      </w:r>
      <w:r w:rsidR="00466B00">
        <w:rPr>
          <w:spacing w:val="3"/>
        </w:rPr>
        <w:t xml:space="preserve">choose to reinforce the strength of a </w:t>
      </w:r>
      <w:r w:rsidR="00466B00" w:rsidRPr="00CB5B59">
        <w:t>dominant subgovernment</w:t>
      </w:r>
      <w:r w:rsidR="00466B00">
        <w:t xml:space="preserve"> by accelerating </w:t>
      </w:r>
      <w:r w:rsidR="00466B00">
        <w:rPr>
          <w:spacing w:val="3"/>
        </w:rPr>
        <w:t xml:space="preserve">energy production to enhance energy independence or they can decide to </w:t>
      </w:r>
      <w:r w:rsidR="00C51642">
        <w:rPr>
          <w:spacing w:val="3"/>
        </w:rPr>
        <w:t xml:space="preserve">place greater emphasis on more sustainable land use decisions. </w:t>
      </w:r>
      <w:r w:rsidR="00466B00">
        <w:t xml:space="preserve"> </w:t>
      </w:r>
    </w:p>
    <w:p w:rsidR="00CF53D1" w:rsidRPr="00CB5B59" w:rsidRDefault="002839BB" w:rsidP="00D86EAF">
      <w:pPr>
        <w:spacing w:line="480" w:lineRule="auto"/>
        <w:ind w:firstLine="720"/>
        <w:jc w:val="both"/>
      </w:pPr>
      <w:r w:rsidRPr="00CB5B59">
        <w:t xml:space="preserve">Some </w:t>
      </w:r>
      <w:r>
        <w:t>of these approaches</w:t>
      </w:r>
      <w:r w:rsidRPr="00CB5B59">
        <w:t xml:space="preserve"> such as rulemaking and the exercise of discretionary authority offer flexibility to administrators to change course policywise without the constraints of maneuvering through a legislative gauntlet</w:t>
      </w:r>
      <w:r>
        <w:t xml:space="preserve"> and are politically neutral in terms of how they might be applied to attain policy goals. </w:t>
      </w:r>
      <w:r w:rsidR="00734E50">
        <w:t xml:space="preserve">However, other approaches are more commonly applied to facilitate industry interests such as restrictions on public participation or greater use of categorical exclusions (CEs) to expedite the issuance of drilling permits by </w:t>
      </w:r>
      <w:r w:rsidR="00CF53D1" w:rsidRPr="00CB5B59">
        <w:t xml:space="preserve">exempting certain </w:t>
      </w:r>
      <w:r w:rsidR="00734E50">
        <w:t xml:space="preserve">types of </w:t>
      </w:r>
      <w:r w:rsidR="00CF53D1" w:rsidRPr="00CB5B59">
        <w:t xml:space="preserve">projects from environmental </w:t>
      </w:r>
      <w:r w:rsidR="00734E50">
        <w:t xml:space="preserve">impact </w:t>
      </w:r>
      <w:r w:rsidR="00CF53D1" w:rsidRPr="00CB5B59">
        <w:t>analys</w:t>
      </w:r>
      <w:r w:rsidR="00734E50">
        <w:t>es</w:t>
      </w:r>
      <w:r w:rsidR="00CF53D1" w:rsidRPr="00CB5B59">
        <w:t xml:space="preserve"> </w:t>
      </w:r>
      <w:r w:rsidR="00734E50">
        <w:t xml:space="preserve">otherwise </w:t>
      </w:r>
      <w:r w:rsidR="00CF53D1" w:rsidRPr="00CB5B59">
        <w:t>require</w:t>
      </w:r>
      <w:r w:rsidR="00734E50">
        <w:t xml:space="preserve">d </w:t>
      </w:r>
      <w:r w:rsidR="00CF53D1" w:rsidRPr="00CB5B59">
        <w:t xml:space="preserve">under the National Environmental Policy </w:t>
      </w:r>
      <w:r w:rsidR="00CF53D1" w:rsidRPr="00CB5B59">
        <w:lastRenderedPageBreak/>
        <w:t xml:space="preserve">Act (NEPA). On the other hand, </w:t>
      </w:r>
      <w:r w:rsidR="004E061C">
        <w:t xml:space="preserve">those favoring a greater emphasis on resource conservation </w:t>
      </w:r>
      <w:r w:rsidR="00E91422">
        <w:t>objectives are more inclined to push for increas</w:t>
      </w:r>
      <w:r w:rsidR="00C92936">
        <w:t>ed enforcement of environmental requirements,  expand</w:t>
      </w:r>
      <w:r w:rsidR="00E91422">
        <w:t xml:space="preserve"> the size of </w:t>
      </w:r>
      <w:r w:rsidR="00C92936">
        <w:t xml:space="preserve">agency </w:t>
      </w:r>
      <w:r w:rsidR="00CF53D1" w:rsidRPr="00CB5B59">
        <w:t xml:space="preserve">planning </w:t>
      </w:r>
      <w:r w:rsidR="00E91422">
        <w:t xml:space="preserve">areas </w:t>
      </w:r>
      <w:r w:rsidR="00C92936">
        <w:t xml:space="preserve">and to provide </w:t>
      </w:r>
      <w:r w:rsidR="00E91422">
        <w:t>more</w:t>
      </w:r>
      <w:r w:rsidR="00CF53D1" w:rsidRPr="00CB5B59">
        <w:t xml:space="preserve"> opportunities for public in</w:t>
      </w:r>
      <w:r w:rsidR="00C92936">
        <w:t>put</w:t>
      </w:r>
      <w:r w:rsidR="00E91422">
        <w:t xml:space="preserve">. </w:t>
      </w:r>
      <w:r w:rsidR="00CF53D1" w:rsidRPr="00CB5B59">
        <w:t xml:space="preserve">        </w:t>
      </w:r>
    </w:p>
    <w:p w:rsidR="00620B08" w:rsidRPr="00172455" w:rsidRDefault="00620B08" w:rsidP="00F7108D">
      <w:pPr>
        <w:rPr>
          <w:b/>
        </w:rPr>
      </w:pPr>
      <w:r w:rsidRPr="00172455">
        <w:rPr>
          <w:b/>
        </w:rPr>
        <w:t xml:space="preserve">Regulatory Context  </w:t>
      </w:r>
    </w:p>
    <w:p w:rsidR="00620B08" w:rsidRPr="00172455" w:rsidRDefault="00620B08" w:rsidP="00F7108D"/>
    <w:p w:rsidR="00885D74" w:rsidRDefault="00384198" w:rsidP="00D86EAF">
      <w:pPr>
        <w:spacing w:line="480" w:lineRule="auto"/>
        <w:ind w:firstLine="720"/>
        <w:jc w:val="both"/>
      </w:pPr>
      <w:r w:rsidRPr="00172455">
        <w:t xml:space="preserve">The </w:t>
      </w:r>
      <w:r w:rsidR="004112C3">
        <w:t xml:space="preserve">role of the </w:t>
      </w:r>
      <w:r w:rsidRPr="00172455">
        <w:t xml:space="preserve">federal government </w:t>
      </w:r>
      <w:r w:rsidR="004112C3">
        <w:t xml:space="preserve">in the </w:t>
      </w:r>
      <w:r w:rsidRPr="00172455">
        <w:t>regulation of oil and gas drilling operations</w:t>
      </w:r>
      <w:r w:rsidR="004112C3">
        <w:t xml:space="preserve"> </w:t>
      </w:r>
      <w:r w:rsidR="007C5122">
        <w:t xml:space="preserve">writ large </w:t>
      </w:r>
      <w:r w:rsidR="004112C3">
        <w:t xml:space="preserve">can best be described as secondary. States have largely assumed regulatory responsibilities since the 1930s with the support of energy interests </w:t>
      </w:r>
      <w:r w:rsidR="00885D74">
        <w:t xml:space="preserve">thanks to </w:t>
      </w:r>
      <w:r w:rsidR="004112C3">
        <w:t xml:space="preserve">the enactment </w:t>
      </w:r>
      <w:r w:rsidR="00885D74">
        <w:t xml:space="preserve">of </w:t>
      </w:r>
      <w:r w:rsidR="00620B08" w:rsidRPr="00172455">
        <w:t>the Interstate Oil and Gas Compact</w:t>
      </w:r>
      <w:r w:rsidR="00885D74">
        <w:t xml:space="preserve"> (IOGCC</w:t>
      </w:r>
      <w:r w:rsidR="00620B08" w:rsidRPr="00172455">
        <w:t>)</w:t>
      </w:r>
      <w:r w:rsidR="00571110">
        <w:t>. While a state’s membership in this compact represents a contractual relationship among producer states that can bind it to particular policy decisions, it can also be viewed as a</w:t>
      </w:r>
      <w:r w:rsidR="00885D74">
        <w:t xml:space="preserve">n organizational arrangement largely designed to avoid federal involvement. </w:t>
      </w:r>
    </w:p>
    <w:p w:rsidR="00254608" w:rsidRPr="00172455" w:rsidRDefault="00AB7E19" w:rsidP="00D86EAF">
      <w:pPr>
        <w:spacing w:line="480" w:lineRule="auto"/>
        <w:ind w:firstLine="720"/>
        <w:jc w:val="both"/>
      </w:pPr>
      <w:r>
        <w:t xml:space="preserve">However, the division of authority between federal and state government became increasingly difficult to maintain over time since energy and environmental protection policies have become increasingly intertwined. Oil and gas drilling processes are accompanied by the release of contaminants </w:t>
      </w:r>
      <w:r w:rsidR="00FB5CCC">
        <w:t xml:space="preserve">affecting both air and water quality; hence, </w:t>
      </w:r>
      <w:r w:rsidR="005D1B7A">
        <w:t>federal agencies like BLM and EPA have gained jurisdiction over some policies restricting production activities. EPA is responsible for regulating air qua</w:t>
      </w:r>
      <w:r w:rsidR="009A7F87">
        <w:t xml:space="preserve">lity under the Clean Air Act, including emissions from fracking operations. In </w:t>
      </w:r>
      <w:r w:rsidR="005D1B7A">
        <w:t xml:space="preserve">2005, Congress and allies within the Bush Administration </w:t>
      </w:r>
      <w:r w:rsidR="009A7F87">
        <w:t xml:space="preserve">decided to limit EPA’s authority to regulate </w:t>
      </w:r>
      <w:r w:rsidR="00133E53" w:rsidRPr="00172455">
        <w:t xml:space="preserve">the underground injection of wastewater </w:t>
      </w:r>
      <w:r w:rsidR="009A7F87">
        <w:t>linked to fracking</w:t>
      </w:r>
      <w:r w:rsidR="00620B08" w:rsidRPr="00172455">
        <w:t xml:space="preserve"> operations </w:t>
      </w:r>
      <w:r w:rsidR="007312E3" w:rsidRPr="00172455">
        <w:t>(</w:t>
      </w:r>
      <w:r w:rsidR="004F6312" w:rsidRPr="00172455">
        <w:t>Warner and Shapiro, 2013)</w:t>
      </w:r>
      <w:r w:rsidR="00620B08" w:rsidRPr="00172455">
        <w:t>.</w:t>
      </w:r>
      <w:r w:rsidR="001B79A7" w:rsidRPr="00172455">
        <w:t xml:space="preserve"> </w:t>
      </w:r>
    </w:p>
    <w:p w:rsidR="00DF2CF3" w:rsidRPr="00172455" w:rsidRDefault="004B2719" w:rsidP="00D86EAF">
      <w:pPr>
        <w:spacing w:line="480" w:lineRule="auto"/>
        <w:ind w:firstLine="720"/>
        <w:jc w:val="both"/>
      </w:pPr>
      <w:r w:rsidRPr="00172455">
        <w:t>Conversely</w:t>
      </w:r>
      <w:r w:rsidR="00CF6636" w:rsidRPr="00172455">
        <w:t>, BLM</w:t>
      </w:r>
      <w:r w:rsidR="00400E53" w:rsidRPr="00172455">
        <w:t xml:space="preserve">’s mission </w:t>
      </w:r>
      <w:r w:rsidR="009A7F87">
        <w:t xml:space="preserve">encompasses more than just </w:t>
      </w:r>
      <w:r w:rsidR="00400E53" w:rsidRPr="00172455">
        <w:t>environmental protection</w:t>
      </w:r>
      <w:r w:rsidR="009A7F87">
        <w:t xml:space="preserve">. It </w:t>
      </w:r>
      <w:r w:rsidR="00DF2CF3" w:rsidRPr="00172455">
        <w:t>oversees oil and gas production on all 700 million acres of federal and Indian lands</w:t>
      </w:r>
      <w:r w:rsidR="0041167A">
        <w:t xml:space="preserve"> and </w:t>
      </w:r>
      <w:r w:rsidR="0041167A" w:rsidRPr="0041167A">
        <w:t xml:space="preserve">operates under a “multiple use” mandate requiring agency officials to balance </w:t>
      </w:r>
      <w:r w:rsidR="0041167A">
        <w:t xml:space="preserve">land uses such as </w:t>
      </w:r>
      <w:r w:rsidR="0041167A" w:rsidRPr="0041167A">
        <w:t xml:space="preserve">economic (including energy) </w:t>
      </w:r>
      <w:r w:rsidR="0041167A">
        <w:t xml:space="preserve">development </w:t>
      </w:r>
      <w:r w:rsidR="0041167A" w:rsidRPr="0041167A">
        <w:t>with environmental policy concerns</w:t>
      </w:r>
      <w:r w:rsidR="0041167A">
        <w:t xml:space="preserve"> like wildlife conservation and </w:t>
      </w:r>
      <w:r w:rsidR="0041167A">
        <w:lastRenderedPageBreak/>
        <w:t>watershed protection. One of the agency’s more challenging responsibilities is managing “</w:t>
      </w:r>
      <w:r w:rsidR="00DF2CF3" w:rsidRPr="00172455">
        <w:t>split estate</w:t>
      </w:r>
      <w:r w:rsidR="0041167A">
        <w:t xml:space="preserve">” lands </w:t>
      </w:r>
      <w:r w:rsidR="00DF2CF3" w:rsidRPr="00172455">
        <w:t xml:space="preserve">where subsurface resources are </w:t>
      </w:r>
      <w:r w:rsidR="0041167A">
        <w:t xml:space="preserve">controlled by the feds </w:t>
      </w:r>
      <w:r w:rsidR="00DF2CF3" w:rsidRPr="00172455">
        <w:t xml:space="preserve">and the surface </w:t>
      </w:r>
      <w:r w:rsidR="0041167A">
        <w:t xml:space="preserve">areas </w:t>
      </w:r>
      <w:r w:rsidR="00DF2CF3" w:rsidRPr="00172455">
        <w:t xml:space="preserve">are either </w:t>
      </w:r>
      <w:r w:rsidR="0041167A">
        <w:t xml:space="preserve">administered </w:t>
      </w:r>
      <w:r w:rsidR="00DF2CF3" w:rsidRPr="00172455">
        <w:t xml:space="preserve">by other federal agencies </w:t>
      </w:r>
      <w:r w:rsidR="0041167A">
        <w:t>o</w:t>
      </w:r>
      <w:r w:rsidR="00DF2CF3" w:rsidRPr="00172455">
        <w:t xml:space="preserve">r are owned by </w:t>
      </w:r>
      <w:r w:rsidR="00201887">
        <w:t>individuals</w:t>
      </w:r>
      <w:r w:rsidR="00DF2CF3" w:rsidRPr="00172455">
        <w:t xml:space="preserve">. </w:t>
      </w:r>
      <w:r w:rsidR="001E3CB9">
        <w:t>It</w:t>
      </w:r>
      <w:r w:rsidR="00DF2CF3" w:rsidRPr="00172455">
        <w:t xml:space="preserve">s </w:t>
      </w:r>
      <w:r w:rsidR="00201887">
        <w:t xml:space="preserve">regulatory </w:t>
      </w:r>
      <w:r w:rsidR="00DF2CF3" w:rsidRPr="00172455">
        <w:t xml:space="preserve">authority </w:t>
      </w:r>
      <w:r w:rsidR="001E3CB9">
        <w:t xml:space="preserve">includes </w:t>
      </w:r>
      <w:r w:rsidR="00DF2CF3" w:rsidRPr="00172455">
        <w:t xml:space="preserve">activities ranging from </w:t>
      </w:r>
      <w:r w:rsidR="001E3CB9" w:rsidRPr="00172455">
        <w:t>reviewing applications to drill (APDs)</w:t>
      </w:r>
      <w:r w:rsidR="001E3CB9">
        <w:t xml:space="preserve">, </w:t>
      </w:r>
      <w:r w:rsidR="00DF2CF3" w:rsidRPr="00172455">
        <w:t>environmental analyses, issuing leases, and enforc</w:t>
      </w:r>
      <w:r w:rsidR="001E3CB9">
        <w:t xml:space="preserve">ing environmental requirements </w:t>
      </w:r>
      <w:r w:rsidR="00DF2CF3" w:rsidRPr="00172455">
        <w:t>on the 26</w:t>
      </w:r>
      <w:r w:rsidR="000657D2" w:rsidRPr="00172455">
        <w:t>4</w:t>
      </w:r>
      <w:r w:rsidR="00DF2CF3" w:rsidRPr="00172455">
        <w:t xml:space="preserve"> million acres lands under its control (U.S. General Accountability Office, 2012). There are approximately 9</w:t>
      </w:r>
      <w:r w:rsidR="002231EE">
        <w:t>4</w:t>
      </w:r>
      <w:r w:rsidR="00DF2CF3" w:rsidRPr="00172455">
        <w:t xml:space="preserve">,000 wells operating on public lands which account for the production of </w:t>
      </w:r>
      <w:r w:rsidR="002231EE">
        <w:t>9</w:t>
      </w:r>
      <w:r w:rsidR="00DF2CF3" w:rsidRPr="00172455">
        <w:t xml:space="preserve">% of natural gas supplies and </w:t>
      </w:r>
      <w:r w:rsidR="002231EE">
        <w:t>7</w:t>
      </w:r>
      <w:r w:rsidR="00DF2CF3" w:rsidRPr="00172455">
        <w:t>% of the oil supplies within the U.S. (U.S. Bureau of Land Management, 201</w:t>
      </w:r>
      <w:r w:rsidR="0041167A">
        <w:t>8</w:t>
      </w:r>
      <w:r w:rsidR="00DF2CF3" w:rsidRPr="00172455">
        <w:t xml:space="preserve">).   </w:t>
      </w:r>
    </w:p>
    <w:p w:rsidR="00C5078D" w:rsidRPr="00172455" w:rsidRDefault="00C13748" w:rsidP="00D86EAF">
      <w:pPr>
        <w:spacing w:line="480" w:lineRule="auto"/>
        <w:ind w:firstLine="720"/>
        <w:jc w:val="both"/>
        <w:rPr>
          <w:i/>
        </w:rPr>
      </w:pPr>
      <w:r>
        <w:t xml:space="preserve">BLM also confers </w:t>
      </w:r>
      <w:r w:rsidRPr="00172455">
        <w:t xml:space="preserve">with the U.S. Forest Service and other federal agencies on regulatory decisions </w:t>
      </w:r>
      <w:r>
        <w:t>dealing with oil and gas production</w:t>
      </w:r>
      <w:r w:rsidR="00DF2CF3" w:rsidRPr="00172455">
        <w:t xml:space="preserve">. </w:t>
      </w:r>
      <w:r>
        <w:t>Agencies that manage s</w:t>
      </w:r>
      <w:r w:rsidR="00DF2CF3" w:rsidRPr="00172455">
        <w:t xml:space="preserve">urface lands will decide </w:t>
      </w:r>
      <w:r>
        <w:t xml:space="preserve">the </w:t>
      </w:r>
      <w:r w:rsidR="00DF2CF3" w:rsidRPr="00172455">
        <w:t xml:space="preserve">conditions </w:t>
      </w:r>
      <w:r>
        <w:t xml:space="preserve">under which </w:t>
      </w:r>
      <w:r w:rsidR="00DF2CF3" w:rsidRPr="00172455">
        <w:t>drilling occur</w:t>
      </w:r>
      <w:r>
        <w:t xml:space="preserve">s following the development </w:t>
      </w:r>
      <w:r w:rsidR="00E31E04" w:rsidRPr="00172455">
        <w:t xml:space="preserve">of a surface operations plan </w:t>
      </w:r>
      <w:r w:rsidR="00DF2CF3" w:rsidRPr="00172455">
        <w:t xml:space="preserve">while BLM </w:t>
      </w:r>
      <w:r>
        <w:t xml:space="preserve">is responsible for </w:t>
      </w:r>
      <w:r w:rsidR="00DF2CF3" w:rsidRPr="00172455">
        <w:t xml:space="preserve">subsequent regulatory decisions involving the oversight and enforcement of oil and gas drilling actions. </w:t>
      </w:r>
      <w:r>
        <w:t xml:space="preserve">The legal sources for </w:t>
      </w:r>
      <w:r w:rsidR="00DF2CF3" w:rsidRPr="00172455">
        <w:t xml:space="preserve">BLM’s </w:t>
      </w:r>
      <w:r>
        <w:t xml:space="preserve">managerial role is found in multiple </w:t>
      </w:r>
      <w:r w:rsidR="00DF2CF3" w:rsidRPr="00172455">
        <w:t xml:space="preserve">policies </w:t>
      </w:r>
      <w:r>
        <w:t xml:space="preserve">including </w:t>
      </w:r>
      <w:r w:rsidR="00DF2CF3" w:rsidRPr="00172455">
        <w:t xml:space="preserve">the </w:t>
      </w:r>
      <w:r w:rsidR="00DF2CF3" w:rsidRPr="00172455">
        <w:rPr>
          <w:i/>
        </w:rPr>
        <w:t>Mineral Leasing</w:t>
      </w:r>
      <w:r>
        <w:rPr>
          <w:i/>
        </w:rPr>
        <w:t xml:space="preserve"> </w:t>
      </w:r>
      <w:r w:rsidR="00950F5B" w:rsidRPr="00172455">
        <w:rPr>
          <w:i/>
        </w:rPr>
        <w:t>Act of 1920, Federal Land Policy and Management Act of 1976 (FLPMA), the Federal Onshore Oil and Gas Leasing Reform Act of 1987, and the Energy Policy Act of 2005 as well as federal and state environmental laws (U.S. General Accountability Office, 2013).</w:t>
      </w:r>
      <w:r w:rsidR="00DF2CF3" w:rsidRPr="00172455">
        <w:rPr>
          <w:i/>
        </w:rPr>
        <w:t xml:space="preserve"> </w:t>
      </w:r>
    </w:p>
    <w:p w:rsidR="009B317C" w:rsidRPr="00172455" w:rsidRDefault="001F7A15" w:rsidP="00F7108D">
      <w:pPr>
        <w:rPr>
          <w:b/>
        </w:rPr>
      </w:pPr>
      <w:r w:rsidRPr="00172455">
        <w:rPr>
          <w:b/>
        </w:rPr>
        <w:t>Findings</w:t>
      </w:r>
      <w:r w:rsidR="009B317C" w:rsidRPr="00172455">
        <w:rPr>
          <w:b/>
        </w:rPr>
        <w:t xml:space="preserve"> </w:t>
      </w:r>
    </w:p>
    <w:p w:rsidR="000E512A" w:rsidRPr="00172455" w:rsidRDefault="000E512A" w:rsidP="00F7108D">
      <w:pPr>
        <w:ind w:firstLine="720"/>
      </w:pPr>
    </w:p>
    <w:p w:rsidR="00125F66" w:rsidRPr="005E34C5" w:rsidRDefault="00F466C8" w:rsidP="00D86EAF">
      <w:pPr>
        <w:spacing w:line="480" w:lineRule="auto"/>
        <w:ind w:firstLine="720"/>
        <w:jc w:val="both"/>
        <w:rPr>
          <w:rFonts w:eastAsia="Calibri"/>
          <w:b/>
        </w:rPr>
      </w:pPr>
      <w:r w:rsidRPr="005E34C5">
        <w:rPr>
          <w:rFonts w:eastAsia="Calibri"/>
        </w:rPr>
        <w:t xml:space="preserve">A basic understanding of energy policy priorities precedes and informs agency use of </w:t>
      </w:r>
      <w:r w:rsidR="005A6C17" w:rsidRPr="005E34C5">
        <w:rPr>
          <w:rFonts w:eastAsia="Calibri"/>
        </w:rPr>
        <w:t>managerial approaches</w:t>
      </w:r>
      <w:r w:rsidRPr="005E34C5">
        <w:rPr>
          <w:rFonts w:eastAsia="Calibri"/>
        </w:rPr>
        <w:t xml:space="preserve">. </w:t>
      </w:r>
      <w:r w:rsidR="005A6C17" w:rsidRPr="005E34C5">
        <w:rPr>
          <w:rFonts w:eastAsia="Calibri"/>
        </w:rPr>
        <w:t xml:space="preserve">President George W. Bush’s </w:t>
      </w:r>
      <w:r w:rsidR="008D6DEC">
        <w:rPr>
          <w:rFonts w:eastAsia="Calibri"/>
        </w:rPr>
        <w:t xml:space="preserve">desire to achieve </w:t>
      </w:r>
      <w:r w:rsidR="008D6DEC" w:rsidRPr="005E34C5">
        <w:rPr>
          <w:rFonts w:eastAsia="Calibri"/>
        </w:rPr>
        <w:t>greater energy indepen</w:t>
      </w:r>
      <w:r w:rsidR="00E34F59">
        <w:rPr>
          <w:rFonts w:eastAsia="Calibri"/>
        </w:rPr>
        <w:t xml:space="preserve">- </w:t>
      </w:r>
      <w:r w:rsidR="008D6DEC" w:rsidRPr="005E34C5">
        <w:rPr>
          <w:rFonts w:eastAsia="Calibri"/>
        </w:rPr>
        <w:t>dence for the U.S.</w:t>
      </w:r>
      <w:r w:rsidR="008D6DEC">
        <w:rPr>
          <w:rFonts w:eastAsia="Calibri"/>
        </w:rPr>
        <w:t xml:space="preserve"> as his </w:t>
      </w:r>
      <w:r w:rsidR="005A6C17" w:rsidRPr="005E34C5">
        <w:rPr>
          <w:rFonts w:eastAsia="Calibri"/>
        </w:rPr>
        <w:t xml:space="preserve">top domestic policy goal </w:t>
      </w:r>
      <w:r w:rsidR="008D6DEC">
        <w:rPr>
          <w:rFonts w:eastAsia="Calibri"/>
        </w:rPr>
        <w:t xml:space="preserve">started on day one of his Administration </w:t>
      </w:r>
      <w:r w:rsidR="00E34F59">
        <w:rPr>
          <w:rFonts w:eastAsia="Calibri"/>
        </w:rPr>
        <w:t xml:space="preserve">with the </w:t>
      </w:r>
      <w:r w:rsidR="008D6DEC">
        <w:rPr>
          <w:rFonts w:eastAsia="Calibri"/>
        </w:rPr>
        <w:t>issu</w:t>
      </w:r>
      <w:r w:rsidR="00E34F59">
        <w:rPr>
          <w:rFonts w:eastAsia="Calibri"/>
        </w:rPr>
        <w:t>ance of</w:t>
      </w:r>
      <w:r w:rsidR="008D6DEC">
        <w:rPr>
          <w:rFonts w:eastAsia="Calibri"/>
        </w:rPr>
        <w:t xml:space="preserve"> Executive Order </w:t>
      </w:r>
      <w:r w:rsidR="0032794D">
        <w:rPr>
          <w:rFonts w:eastAsia="Calibri"/>
        </w:rPr>
        <w:t xml:space="preserve">13212, calling for federal agencies to expedite the production and transmission of energy. </w:t>
      </w:r>
      <w:r w:rsidR="005A6C17" w:rsidRPr="005E34C5">
        <w:rPr>
          <w:rFonts w:eastAsia="Calibri"/>
        </w:rPr>
        <w:t xml:space="preserve">From 2001 through 2008, he worked toward </w:t>
      </w:r>
      <w:r w:rsidRPr="005E34C5">
        <w:rPr>
          <w:rFonts w:eastAsia="Calibri"/>
        </w:rPr>
        <w:t xml:space="preserve">the accelerated development </w:t>
      </w:r>
      <w:r w:rsidRPr="005E34C5">
        <w:rPr>
          <w:rFonts w:eastAsia="Calibri"/>
        </w:rPr>
        <w:lastRenderedPageBreak/>
        <w:t xml:space="preserve">of oil and gas resources on federal lands. </w:t>
      </w:r>
      <w:r w:rsidR="005A6C17" w:rsidRPr="005E34C5">
        <w:rPr>
          <w:rFonts w:eastAsia="Calibri"/>
        </w:rPr>
        <w:t xml:space="preserve">To implement these goals, he appointed Gale Norton as </w:t>
      </w:r>
      <w:r w:rsidRPr="005E34C5">
        <w:rPr>
          <w:rFonts w:eastAsia="Calibri"/>
        </w:rPr>
        <w:t xml:space="preserve">Interior Secretary </w:t>
      </w:r>
      <w:r w:rsidR="005A6C17" w:rsidRPr="005E34C5">
        <w:rPr>
          <w:rFonts w:eastAsia="Calibri"/>
        </w:rPr>
        <w:t xml:space="preserve">and Kathleen Clarke as </w:t>
      </w:r>
      <w:r w:rsidRPr="005E34C5">
        <w:rPr>
          <w:rFonts w:eastAsia="Calibri"/>
        </w:rPr>
        <w:t>BLM</w:t>
      </w:r>
      <w:r w:rsidRPr="005E34C5">
        <w:rPr>
          <w:rFonts w:eastAsia="Calibri"/>
          <w:b/>
        </w:rPr>
        <w:t xml:space="preserve"> </w:t>
      </w:r>
      <w:r w:rsidRPr="005E34C5">
        <w:rPr>
          <w:rFonts w:eastAsia="Calibri"/>
        </w:rPr>
        <w:t>Director</w:t>
      </w:r>
      <w:r w:rsidR="005A6C17" w:rsidRPr="005E34C5">
        <w:rPr>
          <w:rFonts w:eastAsia="Calibri"/>
        </w:rPr>
        <w:t>.</w:t>
      </w:r>
      <w:r w:rsidR="005A6C17" w:rsidRPr="005E34C5">
        <w:rPr>
          <w:rFonts w:eastAsia="Calibri"/>
          <w:b/>
        </w:rPr>
        <w:t xml:space="preserve"> </w:t>
      </w:r>
      <w:r w:rsidRPr="005E34C5">
        <w:rPr>
          <w:rFonts w:eastAsia="Calibri"/>
          <w:b/>
        </w:rPr>
        <w:t xml:space="preserve"> </w:t>
      </w:r>
    </w:p>
    <w:p w:rsidR="00CE7F15" w:rsidRPr="00172455" w:rsidRDefault="00E34F59" w:rsidP="00D86EAF">
      <w:pPr>
        <w:spacing w:line="480" w:lineRule="auto"/>
        <w:ind w:firstLine="720"/>
        <w:jc w:val="both"/>
      </w:pPr>
      <w:r>
        <w:rPr>
          <w:rFonts w:eastAsia="Calibri"/>
        </w:rPr>
        <w:t>Departmental a</w:t>
      </w:r>
      <w:r w:rsidR="00CE7F15">
        <w:rPr>
          <w:rFonts w:eastAsia="Calibri"/>
        </w:rPr>
        <w:t xml:space="preserve">pproaches used to promote increased oil and gas production included the use of organizational communications and discretionary authority, altering procedures linked to environmental analyses, and rulemaking. </w:t>
      </w:r>
      <w:r w:rsidR="00513459">
        <w:rPr>
          <w:rFonts w:eastAsia="Calibri"/>
        </w:rPr>
        <w:t xml:space="preserve">The first approach was especially important in setting the tone for establishing more flexible working relationships between BLM administrators and industry officials. They began </w:t>
      </w:r>
      <w:r>
        <w:rPr>
          <w:rFonts w:eastAsia="Calibri"/>
        </w:rPr>
        <w:t xml:space="preserve">with White House staff </w:t>
      </w:r>
      <w:r w:rsidR="00513459">
        <w:rPr>
          <w:rFonts w:eastAsia="Calibri"/>
        </w:rPr>
        <w:t xml:space="preserve">applying pressure by phone to BLM field administrators to cut the amount of time needed to process drilling permits for oil and gas companies, especially in Rocky Mountain states </w:t>
      </w:r>
      <w:r w:rsidR="00513459" w:rsidRPr="00172455">
        <w:rPr>
          <w:rFonts w:eastAsia="Calibri"/>
        </w:rPr>
        <w:t>(Miller, Hamburger, and Cart, 2004)</w:t>
      </w:r>
      <w:r w:rsidR="00513459">
        <w:rPr>
          <w:rFonts w:eastAsia="Calibri"/>
        </w:rPr>
        <w:t xml:space="preserve">. </w:t>
      </w:r>
      <w:r w:rsidR="00B426AC">
        <w:rPr>
          <w:rFonts w:eastAsia="Calibri"/>
        </w:rPr>
        <w:t xml:space="preserve">This led to a significant increase in </w:t>
      </w:r>
      <w:r w:rsidR="00B426AC" w:rsidRPr="00172455">
        <w:t>the number of permits issued to energy companies</w:t>
      </w:r>
      <w:r w:rsidR="00513459">
        <w:rPr>
          <w:rFonts w:eastAsia="Calibri"/>
        </w:rPr>
        <w:t xml:space="preserve"> </w:t>
      </w:r>
      <w:r w:rsidR="00B426AC">
        <w:rPr>
          <w:rFonts w:eastAsia="Calibri"/>
        </w:rPr>
        <w:t>b</w:t>
      </w:r>
      <w:r w:rsidR="00CE7F15" w:rsidRPr="00172455">
        <w:t>etween 1999 and 2004</w:t>
      </w:r>
      <w:r w:rsidR="00B426AC">
        <w:t xml:space="preserve"> (</w:t>
      </w:r>
      <w:r w:rsidR="00CE7F15" w:rsidRPr="00172455">
        <w:t>from 1</w:t>
      </w:r>
      <w:r>
        <w:t>,</w:t>
      </w:r>
      <w:r w:rsidR="00CE7F15" w:rsidRPr="00172455">
        <w:t>803 to 6,399)</w:t>
      </w:r>
      <w:r w:rsidR="00C207EC">
        <w:t xml:space="preserve">, </w:t>
      </w:r>
      <w:r w:rsidR="00CE7F15" w:rsidRPr="00172455">
        <w:t xml:space="preserve">along with a </w:t>
      </w:r>
      <w:r w:rsidR="00C207EC">
        <w:t xml:space="preserve">corresponding rise </w:t>
      </w:r>
      <w:r w:rsidR="00CE7F15" w:rsidRPr="00172455">
        <w:t>in the number of acres leased</w:t>
      </w:r>
      <w:r w:rsidR="00C207EC">
        <w:t xml:space="preserve"> </w:t>
      </w:r>
      <w:r w:rsidR="00CE7F15" w:rsidRPr="00172455">
        <w:t xml:space="preserve">(U.S. General Accountability Office, 2005). </w:t>
      </w:r>
    </w:p>
    <w:p w:rsidR="000B51AD" w:rsidRPr="00172455" w:rsidRDefault="009B4F7C" w:rsidP="005E34C5">
      <w:pPr>
        <w:spacing w:line="480" w:lineRule="auto"/>
        <w:ind w:firstLine="720"/>
        <w:jc w:val="both"/>
      </w:pPr>
      <w:r>
        <w:t xml:space="preserve">Energy companies and trade groups like the </w:t>
      </w:r>
      <w:r w:rsidRPr="00172455">
        <w:t>Western Energy Alliance</w:t>
      </w:r>
      <w:r>
        <w:t xml:space="preserve"> were clearly pleased by the </w:t>
      </w:r>
      <w:r w:rsidR="000B51AD" w:rsidRPr="00172455">
        <w:t>expansion of leasing on federal lands</w:t>
      </w:r>
      <w:r>
        <w:t xml:space="preserve">. </w:t>
      </w:r>
      <w:r w:rsidR="000B51AD" w:rsidRPr="00172455">
        <w:t xml:space="preserve">However, </w:t>
      </w:r>
      <w:r>
        <w:t xml:space="preserve">other interests such as sportsmen and environmentalists </w:t>
      </w:r>
      <w:r w:rsidR="00831851">
        <w:t xml:space="preserve">reacted differently, seeing </w:t>
      </w:r>
      <w:r w:rsidR="000B51AD" w:rsidRPr="00172455">
        <w:t xml:space="preserve">the pace of energy production on federal lands </w:t>
      </w:r>
      <w:r>
        <w:t xml:space="preserve">to be incompatible with resource conservation goals. </w:t>
      </w:r>
      <w:r w:rsidR="00B47091">
        <w:t xml:space="preserve">The issuance of permits in places like </w:t>
      </w:r>
      <w:r w:rsidR="00B47091" w:rsidRPr="00172455">
        <w:t xml:space="preserve">Wyoming’s Red Desert </w:t>
      </w:r>
      <w:r w:rsidR="00B47091">
        <w:t>or northern New Mexico</w:t>
      </w:r>
      <w:r w:rsidR="00831851">
        <w:t xml:space="preserve"> increasingly </w:t>
      </w:r>
      <w:r w:rsidR="00B47091">
        <w:t xml:space="preserve">generated political resistance from public officials from both political parties because of the perception that other concerns like scenery, recreation and the preservation of wildlife habitat were receiving short shrift </w:t>
      </w:r>
      <w:r w:rsidR="00831851">
        <w:t xml:space="preserve">from BLM </w:t>
      </w:r>
      <w:r w:rsidR="000B51AD" w:rsidRPr="00172455">
        <w:t xml:space="preserve">(Skillen, 2009). </w:t>
      </w:r>
    </w:p>
    <w:p w:rsidR="00736DC0" w:rsidRPr="00172455" w:rsidRDefault="000B51AD" w:rsidP="005E34C5">
      <w:pPr>
        <w:spacing w:line="480" w:lineRule="auto"/>
        <w:ind w:firstLine="720"/>
        <w:jc w:val="both"/>
      </w:pPr>
      <w:r w:rsidRPr="00172455">
        <w:t xml:space="preserve">In addition, some </w:t>
      </w:r>
      <w:r w:rsidR="000A0142">
        <w:t>pushback was received by other stakeholders at the s</w:t>
      </w:r>
      <w:r w:rsidRPr="00172455">
        <w:t>tate level</w:t>
      </w:r>
      <w:r w:rsidR="000A0142">
        <w:t xml:space="preserve">. The split estate regulatory context put </w:t>
      </w:r>
      <w:r w:rsidRPr="00172455">
        <w:t xml:space="preserve">BLM officials </w:t>
      </w:r>
      <w:r w:rsidR="000A0142">
        <w:t xml:space="preserve">in the uncomfortable position of siding with energy companies holding permits or subsurface mineral rights against the interests of ranchers owning </w:t>
      </w:r>
      <w:r w:rsidR="000A0142">
        <w:lastRenderedPageBreak/>
        <w:t xml:space="preserve">surface property since the latter are required </w:t>
      </w:r>
      <w:r w:rsidR="000A0142" w:rsidRPr="00172455">
        <w:t>to grant access</w:t>
      </w:r>
      <w:r w:rsidR="000A0142">
        <w:t>. This meant that intrusive actions like the construction of drilling pads</w:t>
      </w:r>
      <w:r w:rsidR="000A0142" w:rsidRPr="00172455">
        <w:t xml:space="preserve"> </w:t>
      </w:r>
      <w:r w:rsidR="000A0142">
        <w:t xml:space="preserve">or roads on ranch property would legally trump </w:t>
      </w:r>
      <w:r w:rsidR="00A642F3">
        <w:t xml:space="preserve">the concerns of surface property owners </w:t>
      </w:r>
      <w:r w:rsidR="00CD2A7F" w:rsidRPr="00172455">
        <w:t>(Duffy, 2008)</w:t>
      </w:r>
      <w:r w:rsidRPr="00172455">
        <w:t xml:space="preserve">. </w:t>
      </w:r>
      <w:r w:rsidR="00736DC0" w:rsidRPr="00172455">
        <w:t xml:space="preserve">When </w:t>
      </w:r>
      <w:r w:rsidR="00A642F3">
        <w:t xml:space="preserve">state officials in </w:t>
      </w:r>
      <w:r w:rsidR="00736DC0" w:rsidRPr="00172455">
        <w:t xml:space="preserve">Wyoming </w:t>
      </w:r>
      <w:r w:rsidR="00A642F3">
        <w:t>passed a law requ</w:t>
      </w:r>
      <w:r w:rsidR="00736DC0" w:rsidRPr="00172455">
        <w:t xml:space="preserve">iring prior notification to surface owners before onsite drilling could </w:t>
      </w:r>
      <w:r w:rsidR="00A642F3">
        <w:t>take place</w:t>
      </w:r>
      <w:r w:rsidR="00736DC0" w:rsidRPr="00172455">
        <w:t xml:space="preserve">, BLM </w:t>
      </w:r>
      <w:r w:rsidR="00A642F3">
        <w:t xml:space="preserve">raised objections stating that </w:t>
      </w:r>
      <w:r w:rsidR="00736DC0" w:rsidRPr="00172455">
        <w:t xml:space="preserve">the policy “would impose additional financial requirements that would burden the federal mineral estate” (Associated Press, 2005).   </w:t>
      </w:r>
    </w:p>
    <w:p w:rsidR="0060610A" w:rsidRDefault="00B13B27" w:rsidP="005E34C5">
      <w:pPr>
        <w:spacing w:line="480" w:lineRule="auto"/>
        <w:ind w:firstLine="720"/>
        <w:jc w:val="both"/>
      </w:pPr>
      <w:r w:rsidRPr="00172455">
        <w:t xml:space="preserve">The </w:t>
      </w:r>
      <w:r w:rsidR="009E7F0D">
        <w:t xml:space="preserve">emphasis placed on </w:t>
      </w:r>
      <w:r w:rsidRPr="00172455">
        <w:t xml:space="preserve">oil and gas leasing </w:t>
      </w:r>
      <w:r w:rsidR="009E7F0D">
        <w:t xml:space="preserve">on federal lands was maintained by Secretary Norton and BLM Director Clarke </w:t>
      </w:r>
      <w:r w:rsidRPr="00172455">
        <w:t xml:space="preserve">through President Bush’s second term. </w:t>
      </w:r>
      <w:r w:rsidR="00755F6A">
        <w:t>It</w:t>
      </w:r>
      <w:r w:rsidR="009E7F0D">
        <w:t xml:space="preserve"> was reinforced by the enactment of one of Bush’s signature achievements, </w:t>
      </w:r>
      <w:r w:rsidRPr="00172455">
        <w:t xml:space="preserve">the </w:t>
      </w:r>
      <w:r w:rsidRPr="00172455">
        <w:rPr>
          <w:i/>
        </w:rPr>
        <w:t>Energy Policy Act of 2005</w:t>
      </w:r>
      <w:r w:rsidR="009E7F0D">
        <w:rPr>
          <w:i/>
        </w:rPr>
        <w:t xml:space="preserve">. </w:t>
      </w:r>
      <w:r w:rsidR="009E7F0D">
        <w:t xml:space="preserve">This was a wide ranging </w:t>
      </w:r>
      <w:r w:rsidRPr="00172455">
        <w:t xml:space="preserve">policy </w:t>
      </w:r>
      <w:r w:rsidR="0060610A">
        <w:t xml:space="preserve">offering additional </w:t>
      </w:r>
      <w:r w:rsidRPr="00172455">
        <w:t>incentiv</w:t>
      </w:r>
      <w:r w:rsidR="0060610A">
        <w:t>es for t</w:t>
      </w:r>
      <w:r w:rsidRPr="00172455">
        <w:t>he development of fossil fuels</w:t>
      </w:r>
      <w:r w:rsidR="0060610A">
        <w:t>, leading to the issuance of more permits on an expanded acreage of federal lands</w:t>
      </w:r>
      <w:r w:rsidR="00755F6A">
        <w:t xml:space="preserve"> (Lubell and Segee, 2013).</w:t>
      </w:r>
      <w:r w:rsidRPr="00172455">
        <w:t xml:space="preserve"> </w:t>
      </w:r>
    </w:p>
    <w:p w:rsidR="00C9035A" w:rsidRDefault="00755F6A" w:rsidP="005E34C5">
      <w:pPr>
        <w:spacing w:line="480" w:lineRule="auto"/>
        <w:ind w:firstLine="720"/>
        <w:jc w:val="both"/>
      </w:pPr>
      <w:r>
        <w:t xml:space="preserve">An especially important provision of this law was </w:t>
      </w:r>
      <w:r w:rsidR="00B13B27" w:rsidRPr="00172455">
        <w:t xml:space="preserve">Section 390 that </w:t>
      </w:r>
      <w:r>
        <w:t xml:space="preserve">allowed greater use of </w:t>
      </w:r>
      <w:r w:rsidR="00B13B27" w:rsidRPr="00172455">
        <w:t xml:space="preserve"> categorical exclusions (CEs)</w:t>
      </w:r>
      <w:r>
        <w:t xml:space="preserve">. This refers to a procedure that fast tracks drilling permits for </w:t>
      </w:r>
      <w:r w:rsidR="00B13B27" w:rsidRPr="00172455">
        <w:t>oil and gas wells by exempting N</w:t>
      </w:r>
      <w:r w:rsidR="00DF77AC" w:rsidRPr="00172455">
        <w:t xml:space="preserve">ational </w:t>
      </w:r>
      <w:r w:rsidR="00B13B27" w:rsidRPr="00172455">
        <w:t>E</w:t>
      </w:r>
      <w:r w:rsidR="00DF77AC" w:rsidRPr="00172455">
        <w:t xml:space="preserve">nvironmental </w:t>
      </w:r>
      <w:r w:rsidR="00B13B27" w:rsidRPr="00172455">
        <w:t>P</w:t>
      </w:r>
      <w:r w:rsidR="00DF77AC" w:rsidRPr="00172455">
        <w:t xml:space="preserve">olicy </w:t>
      </w:r>
      <w:r w:rsidR="00B13B27" w:rsidRPr="00172455">
        <w:t>A</w:t>
      </w:r>
      <w:r w:rsidR="00DF77AC" w:rsidRPr="00172455">
        <w:t>ct (NEPA)</w:t>
      </w:r>
      <w:r w:rsidR="00B13B27" w:rsidRPr="00172455">
        <w:t xml:space="preserve"> requirements for environmental impact studies on land parcels smaller than 150 acres o</w:t>
      </w:r>
      <w:r>
        <w:t>n</w:t>
      </w:r>
      <w:r w:rsidR="00B13B27" w:rsidRPr="00172455">
        <w:t xml:space="preserve"> </w:t>
      </w:r>
      <w:r>
        <w:t xml:space="preserve">or near </w:t>
      </w:r>
      <w:r w:rsidR="00B13B27" w:rsidRPr="00172455">
        <w:t xml:space="preserve">drilling sites </w:t>
      </w:r>
      <w:r>
        <w:t xml:space="preserve">that have been </w:t>
      </w:r>
      <w:r w:rsidR="00B13B27" w:rsidRPr="00172455">
        <w:t>in operation for five years or more (Heilprin, 2005).</w:t>
      </w:r>
      <w:r w:rsidR="005A62DA">
        <w:t xml:space="preserve"> Its immediate impact between </w:t>
      </w:r>
      <w:r w:rsidR="005A62DA" w:rsidRPr="005A62DA">
        <w:t>2006 and 2008</w:t>
      </w:r>
      <w:r w:rsidR="005A62DA">
        <w:t xml:space="preserve"> was to contribute to yet another increase in </w:t>
      </w:r>
      <w:r w:rsidR="00B13B27" w:rsidRPr="00172455">
        <w:t>oil and gas-related activities</w:t>
      </w:r>
      <w:r w:rsidR="005A62DA">
        <w:t xml:space="preserve"> (</w:t>
      </w:r>
      <w:r w:rsidR="005A62DA" w:rsidRPr="00CB5B59">
        <w:t>U.S. General Accountability Office</w:t>
      </w:r>
      <w:r w:rsidR="005A62DA">
        <w:t xml:space="preserve">, </w:t>
      </w:r>
      <w:r w:rsidR="005A62DA" w:rsidRPr="00CB5B59">
        <w:t>2005)</w:t>
      </w:r>
      <w:r w:rsidR="005A62DA">
        <w:t>.</w:t>
      </w:r>
      <w:r w:rsidR="00906352">
        <w:t xml:space="preserve"> Greater CE use was subsequently incorporated into </w:t>
      </w:r>
    </w:p>
    <w:p w:rsidR="005A62DA" w:rsidRDefault="00906352" w:rsidP="005E34C5">
      <w:pPr>
        <w:spacing w:line="480" w:lineRule="auto"/>
        <w:jc w:val="both"/>
      </w:pPr>
      <w:r>
        <w:t xml:space="preserve">BLM’s resource area management plans, thus reducing industry wait times for getting a permit. </w:t>
      </w:r>
    </w:p>
    <w:p w:rsidR="00C166CC" w:rsidRDefault="008E258C" w:rsidP="005E34C5">
      <w:pPr>
        <w:spacing w:line="480" w:lineRule="auto"/>
        <w:ind w:firstLine="720"/>
        <w:jc w:val="both"/>
      </w:pPr>
      <w:r>
        <w:t xml:space="preserve">Another key regulatory responsibility associated with drilling operations is environmental enforcement to ensure that </w:t>
      </w:r>
      <w:r w:rsidR="008D2C37">
        <w:t>air and water quality are not jeopardized by drilling operations. This requires inspections and</w:t>
      </w:r>
      <w:r w:rsidR="00EC408D">
        <w:t>,</w:t>
      </w:r>
      <w:r w:rsidR="008D2C37">
        <w:t xml:space="preserve"> if necessary</w:t>
      </w:r>
      <w:r w:rsidR="00EC408D">
        <w:t>,</w:t>
      </w:r>
      <w:r w:rsidR="008D2C37">
        <w:t xml:space="preserve"> the imposition of sanctions. </w:t>
      </w:r>
      <w:r w:rsidRPr="00172455">
        <w:t xml:space="preserve">While oil and gas production </w:t>
      </w:r>
      <w:r w:rsidR="008D2C37">
        <w:t xml:space="preserve">rose significantly during the </w:t>
      </w:r>
      <w:r w:rsidRPr="00172455">
        <w:t xml:space="preserve">Bush Administration, </w:t>
      </w:r>
      <w:r w:rsidR="008D2C37">
        <w:t xml:space="preserve">less emphasis and fewer resources were devoted </w:t>
      </w:r>
      <w:r w:rsidR="008D2C37">
        <w:lastRenderedPageBreak/>
        <w:t>to enforcement (U</w:t>
      </w:r>
      <w:r w:rsidRPr="00172455">
        <w:t xml:space="preserve">.S. General Accountability Office, 2013). </w:t>
      </w:r>
      <w:r w:rsidR="00AF5A6A">
        <w:t xml:space="preserve">In terms of workload assignments, the need to encourage permit processing meant that inspectors were sometimes asked to do both. </w:t>
      </w:r>
    </w:p>
    <w:p w:rsidR="004A3178" w:rsidRDefault="00110F0C" w:rsidP="005E34C5">
      <w:pPr>
        <w:spacing w:line="480" w:lineRule="auto"/>
        <w:ind w:firstLine="720"/>
        <w:jc w:val="both"/>
      </w:pPr>
      <w:r w:rsidRPr="00110F0C">
        <w:t xml:space="preserve">Barack Obama took office as President in 2009 </w:t>
      </w:r>
      <w:r>
        <w:t>giving lip service to</w:t>
      </w:r>
      <w:r w:rsidRPr="00110F0C">
        <w:t xml:space="preserve"> an “all of the above” energy portfolio that </w:t>
      </w:r>
      <w:r>
        <w:t xml:space="preserve">focused more on </w:t>
      </w:r>
      <w:r w:rsidRPr="00110F0C">
        <w:t xml:space="preserve">environmental protection </w:t>
      </w:r>
      <w:r>
        <w:t xml:space="preserve">than energy production. </w:t>
      </w:r>
      <w:r w:rsidRPr="00110F0C">
        <w:t>H</w:t>
      </w:r>
      <w:r w:rsidR="00B23BA9">
        <w:t xml:space="preserve">e chose </w:t>
      </w:r>
      <w:r>
        <w:t xml:space="preserve">former Senator Ken Salazar from Colorado </w:t>
      </w:r>
      <w:r w:rsidR="00B23BA9">
        <w:t xml:space="preserve">to head DOI </w:t>
      </w:r>
      <w:r>
        <w:t>and Robert Abbey, a veteran BLM staffer</w:t>
      </w:r>
      <w:r w:rsidR="00B23BA9">
        <w:t xml:space="preserve"> to head that agency</w:t>
      </w:r>
      <w:r>
        <w:t xml:space="preserve">. </w:t>
      </w:r>
      <w:r w:rsidR="004A3178">
        <w:t xml:space="preserve">Upon taking office, </w:t>
      </w:r>
      <w:r w:rsidRPr="00110F0C">
        <w:t xml:space="preserve">Secretary Salazar </w:t>
      </w:r>
      <w:r>
        <w:t xml:space="preserve">moved quickly to slow oil and gas leasing decisions </w:t>
      </w:r>
      <w:r w:rsidR="004A3178">
        <w:t>made by his predecessor to evaluate environmental impacts</w:t>
      </w:r>
      <w:r w:rsidR="00CA6D20">
        <w:t xml:space="preserve">, notably in an area of Utah close to </w:t>
      </w:r>
      <w:r w:rsidR="009977BE" w:rsidRPr="00172455">
        <w:t xml:space="preserve">national parks and wilderness study areas (U.S. General Accountability Office, 2011). </w:t>
      </w:r>
      <w:r w:rsidR="00CA6D20">
        <w:t xml:space="preserve">This was the beginning of procedural changes in how oil and gas production decisions were made that gave greater weight to environmental concerns, changes that were vigorously opposed by energy company interests. In addition, Salazar </w:t>
      </w:r>
      <w:r w:rsidR="004A3178">
        <w:t xml:space="preserve">also devoted considerably more attention to the siting and development of more environmentally friendly renewable energy resources on federal lands such as wind and solar power.   </w:t>
      </w:r>
    </w:p>
    <w:p w:rsidR="00D002DF" w:rsidRDefault="00ED713D" w:rsidP="005E34C5">
      <w:pPr>
        <w:spacing w:line="480" w:lineRule="auto"/>
        <w:ind w:firstLine="720"/>
        <w:jc w:val="both"/>
      </w:pPr>
      <w:r>
        <w:t xml:space="preserve">Not surprisingly, Salazar and Abbey </w:t>
      </w:r>
      <w:r w:rsidR="00ED1DD6">
        <w:t xml:space="preserve">expressed less concern with an expeditious processing of drilling permit requests, a stance that was understandably less popular with industry officials. One analysis indicated that the number of permits issued declined considerably (45%) along with the amount of acreage leased from the Bush Administration to the Obama Administration. In like fashion, </w:t>
      </w:r>
      <w:r w:rsidR="006C7A38">
        <w:t xml:space="preserve">a corresponding decrease </w:t>
      </w:r>
      <w:r w:rsidR="008E258C" w:rsidRPr="00172455">
        <w:t xml:space="preserve">occurred </w:t>
      </w:r>
      <w:r w:rsidR="006C7A38">
        <w:t xml:space="preserve">in </w:t>
      </w:r>
      <w:r w:rsidR="008E258C" w:rsidRPr="00172455">
        <w:t>the number of wells actually drilled</w:t>
      </w:r>
      <w:r w:rsidR="006C7A38">
        <w:t xml:space="preserve"> (Taylor, 2014). </w:t>
      </w:r>
      <w:r w:rsidR="00D002DF">
        <w:t>An important driver for change was reconsidering how and under what circumstances CEs could be used to expedite oil and gas drilling projects</w:t>
      </w:r>
      <w:r w:rsidR="0055233C">
        <w:t>.</w:t>
      </w:r>
      <w:r w:rsidR="00D002DF">
        <w:t xml:space="preserve"> </w:t>
      </w:r>
    </w:p>
    <w:p w:rsidR="00B84B73" w:rsidRDefault="00D002DF" w:rsidP="005E34C5">
      <w:pPr>
        <w:spacing w:line="480" w:lineRule="auto"/>
        <w:ind w:firstLine="720"/>
        <w:jc w:val="both"/>
      </w:pPr>
      <w:r w:rsidRPr="00172455">
        <w:t xml:space="preserve">BLM officials </w:t>
      </w:r>
      <w:r w:rsidR="0055233C">
        <w:t xml:space="preserve">consulted with </w:t>
      </w:r>
      <w:r w:rsidR="0055233C" w:rsidRPr="00172455">
        <w:t xml:space="preserve">Staff at the White House Council on Environmental Quality </w:t>
      </w:r>
      <w:r w:rsidR="0055233C">
        <w:t xml:space="preserve">to determine factors that would allow the use of CEs in project decisions without doing  </w:t>
      </w:r>
      <w:r w:rsidRPr="00172455">
        <w:t>environmental impact</w:t>
      </w:r>
      <w:r w:rsidR="0055233C">
        <w:t xml:space="preserve"> analyses. A guidance was developed t</w:t>
      </w:r>
      <w:r w:rsidRPr="00172455">
        <w:t xml:space="preserve">hat would allow the use of CEs but </w:t>
      </w:r>
      <w:r w:rsidRPr="00172455">
        <w:lastRenderedPageBreak/>
        <w:t xml:space="preserve">only after receiving assurances that additional information would be obtained about potential environmental </w:t>
      </w:r>
      <w:r w:rsidR="0055233C">
        <w:t>risks</w:t>
      </w:r>
      <w:r w:rsidR="00B84B73">
        <w:t xml:space="preserve">. Agency staff </w:t>
      </w:r>
      <w:r w:rsidR="0055233C">
        <w:t xml:space="preserve">subsequently approved a pilot project to determine whether </w:t>
      </w:r>
      <w:r w:rsidR="00B84B73">
        <w:t xml:space="preserve">a more narrowly focused CE </w:t>
      </w:r>
      <w:r w:rsidR="0055233C">
        <w:t xml:space="preserve">was </w:t>
      </w:r>
      <w:r w:rsidR="00B84B73">
        <w:t xml:space="preserve">feasible </w:t>
      </w:r>
      <w:r w:rsidRPr="00172455">
        <w:t xml:space="preserve">(Hurley, 2010). </w:t>
      </w:r>
    </w:p>
    <w:p w:rsidR="00D002DF" w:rsidRPr="00172455" w:rsidRDefault="00D002DF" w:rsidP="005E34C5">
      <w:pPr>
        <w:spacing w:line="480" w:lineRule="auto"/>
        <w:ind w:firstLine="720"/>
        <w:jc w:val="both"/>
      </w:pPr>
      <w:r w:rsidRPr="00172455">
        <w:t xml:space="preserve">The </w:t>
      </w:r>
      <w:r w:rsidR="00B84B73">
        <w:t xml:space="preserve">impact of the new CE guidance on the declining number of energy projects approved was considerable. A comparison of CE use in the final three years of Bush’s second term with the number of CEs used under Obama after 2010 revealed a reluctance </w:t>
      </w:r>
      <w:r w:rsidR="00864762">
        <w:t xml:space="preserve">among agency staff </w:t>
      </w:r>
      <w:r w:rsidR="00B84B73">
        <w:t xml:space="preserve">to </w:t>
      </w:r>
      <w:r w:rsidR="00864762">
        <w:t xml:space="preserve">sign off on </w:t>
      </w:r>
      <w:r w:rsidR="00B84B73">
        <w:t xml:space="preserve">projects </w:t>
      </w:r>
      <w:r w:rsidR="00864762">
        <w:t xml:space="preserve">after reviewing environmental risk factors. This also helps to account for the decrease in the number of drilling permits issued between 2010 and 2014. </w:t>
      </w:r>
    </w:p>
    <w:p w:rsidR="0096512F" w:rsidRDefault="0096512F" w:rsidP="005E34C5">
      <w:pPr>
        <w:spacing w:line="480" w:lineRule="auto"/>
        <w:ind w:firstLine="720"/>
        <w:jc w:val="both"/>
      </w:pPr>
      <w:r>
        <w:t>Another clear distinction between the Bush and Obama Administrations was the emphasis on environmental inspections to ensure that drilling operations were carried out without undue impacts to air and water quality as well as the preservation of wildlife habitat</w:t>
      </w:r>
      <w:r w:rsidR="005E34C5">
        <w:t xml:space="preserve">. </w:t>
      </w:r>
      <w:r>
        <w:t xml:space="preserve">The number of environmental inspections carried out by BLM administrators on oil and gas facilities increased dramatically between 2009 and 2012 (U.S. General Accountability Office, 2013). This was accompanied by an increase in resources especially full time inspectors </w:t>
      </w:r>
      <w:r w:rsidR="00F8264A">
        <w:t>(Herb</w:t>
      </w:r>
      <w:r>
        <w:t xml:space="preserve">ert and Kendall, 2013).   </w:t>
      </w:r>
    </w:p>
    <w:p w:rsidR="008E258C" w:rsidRPr="00172455" w:rsidRDefault="00F8264A" w:rsidP="005E34C5">
      <w:pPr>
        <w:spacing w:line="480" w:lineRule="auto"/>
        <w:ind w:firstLine="720"/>
        <w:jc w:val="both"/>
      </w:pPr>
      <w:r>
        <w:t>I</w:t>
      </w:r>
      <w:r w:rsidR="006C7A38">
        <w:t xml:space="preserve">t is evident that between Administration differences </w:t>
      </w:r>
      <w:r w:rsidR="00DC41A1">
        <w:t xml:space="preserve">on drilling activities </w:t>
      </w:r>
      <w:r w:rsidR="006C7A38">
        <w:t>can largely be attributed to differing land use preferences</w:t>
      </w:r>
      <w:r w:rsidR="00EC408D">
        <w:t xml:space="preserve"> linked to partisan orientation</w:t>
      </w:r>
      <w:r w:rsidR="006C7A38">
        <w:t xml:space="preserve">. </w:t>
      </w:r>
      <w:r w:rsidR="00E71AFA">
        <w:t xml:space="preserve">While industry officials and some Republicans in Congress argue that the decline can be linked to a dismissive attitude toward energy production on public lands </w:t>
      </w:r>
      <w:r w:rsidR="00E71AFA" w:rsidRPr="00172455">
        <w:t>(Pearson, 2014)</w:t>
      </w:r>
      <w:r w:rsidR="00E71AFA">
        <w:t xml:space="preserve">, it is also important to recognize that other factors can play a part such as </w:t>
      </w:r>
      <w:r w:rsidR="008E258C" w:rsidRPr="00172455">
        <w:t xml:space="preserve">market prices, geology, competing policy goals and </w:t>
      </w:r>
      <w:r w:rsidR="00E71AFA">
        <w:t xml:space="preserve">where the </w:t>
      </w:r>
      <w:r w:rsidR="008E258C" w:rsidRPr="00172455">
        <w:t>resource</w:t>
      </w:r>
      <w:r w:rsidR="00E71AFA">
        <w:t xml:space="preserve">s are. Geography can be important here since </w:t>
      </w:r>
      <w:r w:rsidR="00DC41A1">
        <w:t xml:space="preserve">many of the most productive shale plays are located on private lands in states like </w:t>
      </w:r>
      <w:r w:rsidR="008E258C" w:rsidRPr="00172455">
        <w:t>North Dakota, Pennsylvania and Texas</w:t>
      </w:r>
      <w:r w:rsidR="00DC41A1">
        <w:t>.</w:t>
      </w:r>
      <w:r w:rsidR="008E258C" w:rsidRPr="00172455">
        <w:t xml:space="preserve"> GAO analysts then </w:t>
      </w:r>
      <w:r w:rsidR="008E258C" w:rsidRPr="00172455">
        <w:lastRenderedPageBreak/>
        <w:t>suggested that greater interest in the development of oil versus gas could be partly attributable to higher oil prices since the profit margin for producing oil is greater than for natural gas.</w:t>
      </w:r>
    </w:p>
    <w:p w:rsidR="00C148B1" w:rsidRDefault="00DC41A1" w:rsidP="005E34C5">
      <w:pPr>
        <w:spacing w:line="480" w:lineRule="auto"/>
        <w:ind w:firstLine="720"/>
        <w:jc w:val="both"/>
      </w:pPr>
      <w:r>
        <w:t xml:space="preserve">Another important factor for the decrease in company </w:t>
      </w:r>
      <w:r w:rsidR="008E258C" w:rsidRPr="00172455">
        <w:t xml:space="preserve">interest in drilling on </w:t>
      </w:r>
      <w:r>
        <w:t xml:space="preserve">federal </w:t>
      </w:r>
      <w:r w:rsidR="008E258C" w:rsidRPr="00172455">
        <w:t xml:space="preserve">lands </w:t>
      </w:r>
      <w:r>
        <w:t xml:space="preserve">stems from </w:t>
      </w:r>
      <w:r w:rsidR="008E258C" w:rsidRPr="00172455">
        <w:t>higher costs</w:t>
      </w:r>
      <w:r>
        <w:t xml:space="preserve">. Unlike </w:t>
      </w:r>
      <w:r w:rsidR="009977BE">
        <w:t xml:space="preserve">production activities on </w:t>
      </w:r>
      <w:r>
        <w:t xml:space="preserve">private lands, BLM has been directed by Congress to </w:t>
      </w:r>
      <w:r w:rsidR="008E258C" w:rsidRPr="00172455">
        <w:t xml:space="preserve">consider environmental impacts as well as the logistical challenges of operating in more remote areas. </w:t>
      </w:r>
      <w:r>
        <w:t xml:space="preserve">Statutory requirements from the Federal Land Policy </w:t>
      </w:r>
      <w:r w:rsidR="009977BE">
        <w:t>and Management Act (FLPMA) task a</w:t>
      </w:r>
      <w:r w:rsidR="008E258C" w:rsidRPr="00172455">
        <w:t xml:space="preserve">gency </w:t>
      </w:r>
      <w:r w:rsidR="009977BE">
        <w:t xml:space="preserve">administrators to balance land use goals under </w:t>
      </w:r>
      <w:r w:rsidR="008E258C" w:rsidRPr="00172455">
        <w:t>multiple use criteria</w:t>
      </w:r>
      <w:r w:rsidR="009977BE">
        <w:t xml:space="preserve"> (Wilson, 2014).</w:t>
      </w:r>
    </w:p>
    <w:p w:rsidR="00F8264A" w:rsidRDefault="00F8264A" w:rsidP="005E34C5">
      <w:pPr>
        <w:spacing w:line="480" w:lineRule="auto"/>
        <w:ind w:firstLine="720"/>
        <w:jc w:val="both"/>
      </w:pPr>
      <w:r>
        <w:t>Another area of managerial concern was h</w:t>
      </w:r>
      <w:r w:rsidR="00D002DF">
        <w:t xml:space="preserve">ow changes in public participation and planning could be deployed to further DOI policy goals. </w:t>
      </w:r>
      <w:r>
        <w:t>A number of leasing reforms undertaken by Secretary Salazar in</w:t>
      </w:r>
      <w:r w:rsidR="00C065A6" w:rsidRPr="00172455">
        <w:t xml:space="preserve"> 2010</w:t>
      </w:r>
      <w:r>
        <w:t xml:space="preserve"> included the development of master leasing plans (MLPs). One rationale was to foster an increase in </w:t>
      </w:r>
      <w:r w:rsidR="00C065A6" w:rsidRPr="00172455">
        <w:t>public participation</w:t>
      </w:r>
      <w:r>
        <w:t xml:space="preserve"> to give stakeholders </w:t>
      </w:r>
      <w:r w:rsidRPr="00172455">
        <w:t xml:space="preserve">more opportunity to </w:t>
      </w:r>
      <w:r>
        <w:t>express</w:t>
      </w:r>
      <w:r w:rsidRPr="00172455">
        <w:t xml:space="preserve"> land use concerns. This, in turn, would reduce </w:t>
      </w:r>
      <w:r w:rsidR="00A95CD1" w:rsidRPr="00172455">
        <w:t xml:space="preserve">delays </w:t>
      </w:r>
      <w:r w:rsidR="00A95CD1">
        <w:t xml:space="preserve">attributable to </w:t>
      </w:r>
      <w:r w:rsidR="00A95CD1" w:rsidRPr="00172455">
        <w:t xml:space="preserve">land use conflicts </w:t>
      </w:r>
      <w:r w:rsidR="00A95CD1">
        <w:t xml:space="preserve">as well as </w:t>
      </w:r>
      <w:r w:rsidRPr="00172455">
        <w:t xml:space="preserve">the number of unanticipated </w:t>
      </w:r>
      <w:r w:rsidR="00EC408D">
        <w:t xml:space="preserve">environmental </w:t>
      </w:r>
      <w:r w:rsidRPr="00172455">
        <w:t xml:space="preserve">impacts from drilling (U.S. Departments of Interior and Agriculture, 2011). </w:t>
      </w:r>
      <w:r w:rsidR="00824D30">
        <w:t xml:space="preserve">After Salazar resigned in 2012, Secretary Sally Jewell continued the push to develop MLPs with pilot projects in Colorado and Utah </w:t>
      </w:r>
      <w:r w:rsidR="00824D30" w:rsidRPr="00172455">
        <w:t>(Streater, 2015).</w:t>
      </w:r>
    </w:p>
    <w:p w:rsidR="003435F6" w:rsidRPr="00172455" w:rsidRDefault="00BF2D7C" w:rsidP="005E34C5">
      <w:pPr>
        <w:spacing w:line="480" w:lineRule="auto"/>
        <w:ind w:firstLine="720"/>
        <w:jc w:val="both"/>
      </w:pPr>
      <w:r w:rsidRPr="00172455">
        <w:t xml:space="preserve">Another key approach to </w:t>
      </w:r>
      <w:r w:rsidR="00824D30">
        <w:t xml:space="preserve">policy </w:t>
      </w:r>
      <w:r w:rsidRPr="00172455">
        <w:t xml:space="preserve">change is </w:t>
      </w:r>
      <w:r w:rsidRPr="00172455">
        <w:rPr>
          <w:i/>
        </w:rPr>
        <w:t>rulemaking</w:t>
      </w:r>
      <w:r w:rsidRPr="00172455">
        <w:t xml:space="preserve">. </w:t>
      </w:r>
      <w:r w:rsidR="00824D30">
        <w:t>BLM’s attempts to grapple with the environmental challenges posed by the rise of fracking operations on federal lands was complicated by the fact that existing regulatory proc</w:t>
      </w:r>
      <w:r w:rsidR="005B6CFE">
        <w:t>ed</w:t>
      </w:r>
      <w:r w:rsidR="00824D30">
        <w:t xml:space="preserve">ures were more </w:t>
      </w:r>
      <w:r w:rsidR="0045432C">
        <w:t>than</w:t>
      </w:r>
      <w:r w:rsidR="00E52C71" w:rsidRPr="00172455">
        <w:t xml:space="preserve"> thirty years old. </w:t>
      </w:r>
      <w:r w:rsidRPr="00172455">
        <w:t xml:space="preserve"> </w:t>
      </w:r>
      <w:r w:rsidR="0023582A">
        <w:t xml:space="preserve">Since that time, the percentage of federal oil and gas wells using fracking technology rather than convention drilling exceeded 90%. </w:t>
      </w:r>
      <w:r w:rsidR="00C065A6" w:rsidRPr="00172455">
        <w:t xml:space="preserve">The goal </w:t>
      </w:r>
      <w:r w:rsidR="0023582A">
        <w:t xml:space="preserve">of crafting a new rule was to come up with an improved </w:t>
      </w:r>
      <w:r w:rsidR="00C065A6" w:rsidRPr="00172455">
        <w:t xml:space="preserve">balance between accessibility for energy companies and environmental values, </w:t>
      </w:r>
      <w:r w:rsidR="0023582A">
        <w:t>especially regarding t</w:t>
      </w:r>
      <w:r w:rsidR="00C065A6" w:rsidRPr="00172455">
        <w:t xml:space="preserve">he </w:t>
      </w:r>
      <w:r w:rsidR="0023582A">
        <w:t xml:space="preserve">need to </w:t>
      </w:r>
      <w:r w:rsidR="00C065A6" w:rsidRPr="00172455">
        <w:t>preserv</w:t>
      </w:r>
      <w:r w:rsidR="0023582A">
        <w:t xml:space="preserve">e </w:t>
      </w:r>
      <w:r w:rsidR="00C065A6" w:rsidRPr="00172455">
        <w:t xml:space="preserve">wildlife habitat. </w:t>
      </w:r>
      <w:r w:rsidR="003435F6" w:rsidRPr="00172455">
        <w:t>A</w:t>
      </w:r>
      <w:r w:rsidR="00C065A6" w:rsidRPr="00172455">
        <w:t xml:space="preserve"> draft rule was released in May, 2012</w:t>
      </w:r>
      <w:r w:rsidR="0023582A">
        <w:t xml:space="preserve"> </w:t>
      </w:r>
      <w:r w:rsidR="0023582A">
        <w:lastRenderedPageBreak/>
        <w:t>that focused on a</w:t>
      </w:r>
      <w:r w:rsidR="00C065A6" w:rsidRPr="00172455">
        <w:t xml:space="preserve"> requirement for industry disclosure of fracking fluids used in drilling operations as well as standards for the management of flowback waters and for wellbore integrity (U.S. Bureau of Land Management, 2012). </w:t>
      </w:r>
    </w:p>
    <w:p w:rsidR="00AE63BB" w:rsidRDefault="00957D2A" w:rsidP="005E34C5">
      <w:pPr>
        <w:spacing w:line="480" w:lineRule="auto"/>
        <w:ind w:firstLine="720"/>
        <w:jc w:val="both"/>
      </w:pPr>
      <w:r>
        <w:t xml:space="preserve">Public participation was considerable with extensive commentary from both supporters and opponents of the proposed rule </w:t>
      </w:r>
      <w:r w:rsidR="00C065A6" w:rsidRPr="00172455">
        <w:t xml:space="preserve">(U.S. Bureau of Land Management, 2013). Industry trade groups </w:t>
      </w:r>
      <w:r>
        <w:t xml:space="preserve">complained </w:t>
      </w:r>
      <w:r w:rsidR="00AE63BB">
        <w:t xml:space="preserve">complance costs were excessive and regulatory requirements were overly </w:t>
      </w:r>
      <w:r w:rsidR="00C065A6" w:rsidRPr="00172455">
        <w:t>duplicat</w:t>
      </w:r>
      <w:r w:rsidR="00AE63BB">
        <w:t>ive (Streater, 2013</w:t>
      </w:r>
      <w:r w:rsidR="00C065A6" w:rsidRPr="00172455">
        <w:t xml:space="preserve">). Many Republican governors and GOP members of Congress </w:t>
      </w:r>
      <w:r w:rsidR="00AE63BB">
        <w:t xml:space="preserve">also contended that </w:t>
      </w:r>
      <w:r w:rsidR="00C065A6" w:rsidRPr="00172455">
        <w:t xml:space="preserve">state regulators </w:t>
      </w:r>
      <w:r w:rsidR="00AE63BB">
        <w:t xml:space="preserve">should play a larger role since they </w:t>
      </w:r>
      <w:r w:rsidR="00C065A6" w:rsidRPr="00172455">
        <w:t xml:space="preserve">had the experience and local knowledge to more easily address </w:t>
      </w:r>
      <w:r w:rsidR="00AE63BB">
        <w:t>environmental problems. Supporters like th</w:t>
      </w:r>
      <w:r w:rsidR="00C065A6" w:rsidRPr="00172455">
        <w:t xml:space="preserve">e Wilderness Society </w:t>
      </w:r>
      <w:r w:rsidR="005B6CFE">
        <w:t>supported</w:t>
      </w:r>
      <w:r w:rsidR="00C065A6" w:rsidRPr="00172455">
        <w:t xml:space="preserve"> </w:t>
      </w:r>
      <w:r w:rsidR="00AE63BB">
        <w:t>the rule but wanted stronger water q</w:t>
      </w:r>
      <w:r w:rsidR="00C065A6" w:rsidRPr="00172455">
        <w:t xml:space="preserve">uality </w:t>
      </w:r>
      <w:r w:rsidR="00AE63BB">
        <w:t xml:space="preserve">protections while other groups advocated for including </w:t>
      </w:r>
      <w:r w:rsidR="00C065A6" w:rsidRPr="00172455">
        <w:t xml:space="preserve">monitoring requirements before and after drilling takes place. </w:t>
      </w:r>
    </w:p>
    <w:p w:rsidR="00C065A6" w:rsidRPr="00172455" w:rsidRDefault="00AE63BB" w:rsidP="005E34C5">
      <w:pPr>
        <w:spacing w:line="480" w:lineRule="auto"/>
        <w:ind w:firstLine="720"/>
        <w:jc w:val="both"/>
        <w:rPr>
          <w:i/>
        </w:rPr>
      </w:pPr>
      <w:r>
        <w:t xml:space="preserve">The </w:t>
      </w:r>
      <w:r w:rsidR="005B6CFE">
        <w:t xml:space="preserve">increased </w:t>
      </w:r>
      <w:r>
        <w:t xml:space="preserve">level of controversy led to a revision of the rule to better accommodate industry concerns. The new rule advanced by Secretary Jewell was </w:t>
      </w:r>
      <w:r w:rsidR="005B6CFE">
        <w:t xml:space="preserve">released </w:t>
      </w:r>
      <w:r>
        <w:t xml:space="preserve">in </w:t>
      </w:r>
      <w:r w:rsidR="005B6CFE">
        <w:t xml:space="preserve">May, </w:t>
      </w:r>
      <w:r>
        <w:t xml:space="preserve">2013 </w:t>
      </w:r>
      <w:r w:rsidR="00C065A6" w:rsidRPr="00172455">
        <w:t>a</w:t>
      </w:r>
      <w:r w:rsidR="005B6CFE">
        <w:t xml:space="preserve">fter a </w:t>
      </w:r>
      <w:r w:rsidR="00C065A6" w:rsidRPr="00172455">
        <w:t xml:space="preserve">thirty day comment period. </w:t>
      </w:r>
      <w:r w:rsidR="0064392E">
        <w:t xml:space="preserve">Because of concerns raised by </w:t>
      </w:r>
      <w:r w:rsidR="00C065A6" w:rsidRPr="00172455">
        <w:t xml:space="preserve">environmentalists </w:t>
      </w:r>
      <w:r w:rsidR="0064392E">
        <w:t xml:space="preserve">and </w:t>
      </w:r>
      <w:r w:rsidR="00C065A6" w:rsidRPr="00172455">
        <w:t xml:space="preserve">industry interests, </w:t>
      </w:r>
      <w:r w:rsidR="0064392E">
        <w:t xml:space="preserve">another delay took place </w:t>
      </w:r>
      <w:r w:rsidR="00C065A6" w:rsidRPr="00172455">
        <w:t>(Streater, 2013)</w:t>
      </w:r>
      <w:r w:rsidR="0064392E">
        <w:t xml:space="preserve">. The final version of the fracking rule was </w:t>
      </w:r>
      <w:r w:rsidR="005B6CFE">
        <w:t xml:space="preserve">published </w:t>
      </w:r>
      <w:r w:rsidR="0064392E">
        <w:t xml:space="preserve">in March, 2015 after four years of deliberations and agency review of over a million comments. Despite an effort to bridge differences between contending stakeholder groups, the new rule was immediately challenged in the federal courts. This led to a ruling in June 15, 2015 that postponed  </w:t>
      </w:r>
      <w:r w:rsidR="00C065A6" w:rsidRPr="00172455">
        <w:t xml:space="preserve">the effective date of </w:t>
      </w:r>
      <w:r w:rsidR="0064392E">
        <w:t xml:space="preserve">the rule’s </w:t>
      </w:r>
      <w:r w:rsidR="00C065A6" w:rsidRPr="00172455">
        <w:t xml:space="preserve">implementation </w:t>
      </w:r>
      <w:r w:rsidR="0064392E">
        <w:t>(</w:t>
      </w:r>
      <w:r w:rsidR="00C065A6" w:rsidRPr="00172455">
        <w:t xml:space="preserve">Gilmer, 2015).  </w:t>
      </w:r>
      <w:r w:rsidR="00C065A6" w:rsidRPr="00172455">
        <w:rPr>
          <w:i/>
        </w:rPr>
        <w:t xml:space="preserve">   </w:t>
      </w:r>
    </w:p>
    <w:p w:rsidR="009822B3" w:rsidRDefault="007B437B" w:rsidP="005E34C5">
      <w:pPr>
        <w:spacing w:line="480" w:lineRule="auto"/>
        <w:ind w:firstLine="720"/>
        <w:jc w:val="both"/>
      </w:pPr>
      <w:r w:rsidRPr="007B437B">
        <w:t xml:space="preserve">The election of </w:t>
      </w:r>
      <w:r>
        <w:t>President</w:t>
      </w:r>
      <w:r w:rsidRPr="007B437B">
        <w:t xml:space="preserve"> Donald J. Trump in 2016 resulted in another dramatic shift in federal energy policymaking that more closely resembles policy priorities associated with President Bush than President Obama</w:t>
      </w:r>
      <w:r w:rsidR="009822B3">
        <w:t xml:space="preserve">. Early on, Trump called for policies designed to promote </w:t>
      </w:r>
      <w:r w:rsidRPr="007B437B">
        <w:t xml:space="preserve"> </w:t>
      </w:r>
    </w:p>
    <w:p w:rsidR="004F1053" w:rsidRDefault="009822B3" w:rsidP="005E34C5">
      <w:pPr>
        <w:spacing w:line="480" w:lineRule="auto"/>
        <w:jc w:val="both"/>
      </w:pPr>
      <w:r>
        <w:lastRenderedPageBreak/>
        <w:t xml:space="preserve">“energy dominance” and to cut back on regulations from </w:t>
      </w:r>
      <w:r w:rsidRPr="008A5AE9">
        <w:t xml:space="preserve">the Obama Administration </w:t>
      </w:r>
      <w:r>
        <w:t>viewed as “overreach” by incoming public officials</w:t>
      </w:r>
      <w:r w:rsidR="00436E2B">
        <w:t xml:space="preserve"> (</w:t>
      </w:r>
      <w:r w:rsidR="00A157C4">
        <w:t xml:space="preserve">Bomberg, 2017; </w:t>
      </w:r>
      <w:r w:rsidR="00436E2B">
        <w:t>Vig, 2019)</w:t>
      </w:r>
      <w:r>
        <w:t>.</w:t>
      </w:r>
      <w:r w:rsidR="00CD1A66">
        <w:t xml:space="preserve"> </w:t>
      </w:r>
      <w:r w:rsidR="004F1053">
        <w:t>Consequently, dozens of energy and environmental rules have been overturned or substantially revised to lower industry compliance costs and to provide greater flexibility for regulated parties (Popovich, Albeck-Ripka, and Pierre-Louis, 2018).</w:t>
      </w:r>
    </w:p>
    <w:p w:rsidR="00A41682" w:rsidRDefault="004F1053" w:rsidP="005E34C5">
      <w:pPr>
        <w:spacing w:line="480" w:lineRule="auto"/>
        <w:jc w:val="both"/>
      </w:pPr>
      <w:r>
        <w:tab/>
        <w:t>Un</w:t>
      </w:r>
      <w:r w:rsidR="007B437B" w:rsidRPr="007B437B">
        <w:t xml:space="preserve">like his predecessors, Trump had no prior experience in government and has largely relied upon </w:t>
      </w:r>
      <w:r w:rsidRPr="007B437B">
        <w:t xml:space="preserve">selected Congressional leaders </w:t>
      </w:r>
      <w:r>
        <w:t xml:space="preserve">or </w:t>
      </w:r>
      <w:r w:rsidR="007B437B" w:rsidRPr="007B437B">
        <w:t>acquaintances within corporate America for guidance in staffing and policy decisions</w:t>
      </w:r>
      <w:r w:rsidR="007A0083">
        <w:t xml:space="preserve"> (Vig, 2019)</w:t>
      </w:r>
      <w:r w:rsidR="007B437B" w:rsidRPr="007B437B">
        <w:t>.</w:t>
      </w:r>
      <w:r w:rsidR="00071CAB">
        <w:t xml:space="preserve"> </w:t>
      </w:r>
      <w:r>
        <w:t>T</w:t>
      </w:r>
      <w:r w:rsidR="00071CAB">
        <w:t xml:space="preserve">o head DOI, he chose Ryan Zinke, a former </w:t>
      </w:r>
      <w:r w:rsidR="00405441">
        <w:t xml:space="preserve">member of the U.S. House of Representatives </w:t>
      </w:r>
      <w:r w:rsidR="00071CAB">
        <w:t>from Montana.</w:t>
      </w:r>
      <w:r w:rsidR="00405441">
        <w:t xml:space="preserve"> </w:t>
      </w:r>
      <w:r w:rsidR="007A0083">
        <w:t xml:space="preserve">Secretary </w:t>
      </w:r>
      <w:r w:rsidR="00405441">
        <w:t>Zinke followed a pro-development path as DOI Secretary, pushing for cuts in the acreage of Bear Ears and Grand Escal</w:t>
      </w:r>
      <w:r w:rsidR="00A41682">
        <w:t xml:space="preserve">ante National Monuments in Utah and for increasing the pace of issuing oil and gas leases </w:t>
      </w:r>
      <w:r w:rsidR="00405441">
        <w:t xml:space="preserve"> on </w:t>
      </w:r>
      <w:r w:rsidR="00A41682">
        <w:t>federal lands.</w:t>
      </w:r>
      <w:r w:rsidR="00C05B3A">
        <w:t xml:space="preserve"> </w:t>
      </w:r>
      <w:r w:rsidR="00DB0565">
        <w:t xml:space="preserve">Following his resignation in December, 2018, </w:t>
      </w:r>
      <w:r w:rsidR="00511933">
        <w:t xml:space="preserve">he was succeeded by </w:t>
      </w:r>
      <w:r w:rsidR="00DB0565">
        <w:t xml:space="preserve">DOI staffer David Bernhardt </w:t>
      </w:r>
      <w:r w:rsidR="004B7BF3">
        <w:t xml:space="preserve">as </w:t>
      </w:r>
      <w:r w:rsidR="00DB0565">
        <w:t xml:space="preserve">acting </w:t>
      </w:r>
      <w:r w:rsidR="00511933">
        <w:t xml:space="preserve">(now permanent) </w:t>
      </w:r>
      <w:r w:rsidR="00DB0565">
        <w:t xml:space="preserve">Secretary, pushing an identical set of policy goals. </w:t>
      </w:r>
      <w:r w:rsidR="00C05B3A">
        <w:t>To date, a permanent appointment to head BLM has not been made</w:t>
      </w:r>
      <w:r w:rsidR="00821A87">
        <w:t xml:space="preserve">. </w:t>
      </w:r>
    </w:p>
    <w:p w:rsidR="002135E9" w:rsidRDefault="002108BB" w:rsidP="005E34C5">
      <w:pPr>
        <w:spacing w:line="480" w:lineRule="auto"/>
        <w:ind w:firstLine="720"/>
        <w:jc w:val="both"/>
      </w:pPr>
      <w:r>
        <w:t xml:space="preserve">Turning to oil and gas development, </w:t>
      </w:r>
      <w:r w:rsidR="00511933">
        <w:t xml:space="preserve">DOI officials </w:t>
      </w:r>
      <w:r w:rsidR="00821A87">
        <w:t>ha</w:t>
      </w:r>
      <w:r w:rsidR="00DB0565">
        <w:t>ve</w:t>
      </w:r>
      <w:r w:rsidR="00821A87">
        <w:t xml:space="preserve"> focused on reducing the backlog of applications </w:t>
      </w:r>
      <w:r w:rsidR="00511933">
        <w:t>to</w:t>
      </w:r>
      <w:r w:rsidR="00821A87">
        <w:t xml:space="preserve"> drill permits from energy companies. </w:t>
      </w:r>
      <w:r w:rsidR="00DB0565">
        <w:t xml:space="preserve">A </w:t>
      </w:r>
      <w:r w:rsidR="002135E9">
        <w:t xml:space="preserve">push for </w:t>
      </w:r>
      <w:r w:rsidR="00DB0565">
        <w:t xml:space="preserve">bids </w:t>
      </w:r>
      <w:r w:rsidR="004B7BF3">
        <w:t xml:space="preserve">to increase </w:t>
      </w:r>
      <w:r w:rsidR="00DB0565">
        <w:t xml:space="preserve">oil and gas </w:t>
      </w:r>
      <w:r w:rsidR="002135E9">
        <w:t xml:space="preserve">leasing </w:t>
      </w:r>
      <w:r w:rsidR="00DB0565">
        <w:t xml:space="preserve">across </w:t>
      </w:r>
      <w:r w:rsidR="002135E9">
        <w:t xml:space="preserve">larger swaths of federal land </w:t>
      </w:r>
      <w:r w:rsidR="00DB0565">
        <w:t>has been made</w:t>
      </w:r>
      <w:r w:rsidR="002135E9">
        <w:t xml:space="preserve">, often in areas previously set aside as valuable wildlife habitat under the Obama Administration. </w:t>
      </w:r>
      <w:r w:rsidR="007E2FA3">
        <w:t xml:space="preserve">Bernhardt issued a directive requiring environmental impact statements to be limited to no more than 150 pages or 300 pages for especially complex energy projects along with a one year time limit for the completion of the EIS (Dougherty, 2018). </w:t>
      </w:r>
      <w:r w:rsidR="002135E9">
        <w:t xml:space="preserve">Trump has facilitated this process with the aid of Congress under the authority of the Congressional Review Act to essentially </w:t>
      </w:r>
      <w:r w:rsidR="004B7BF3">
        <w:t>eliminate</w:t>
      </w:r>
      <w:r w:rsidR="002135E9">
        <w:t xml:space="preserve"> energy and environmental regulations enacted by the Obama Administration in late 2016 (Konisky and Woods, 2018). Two rules aimed </w:t>
      </w:r>
      <w:r w:rsidR="002135E9">
        <w:lastRenderedPageBreak/>
        <w:t xml:space="preserve">at adding greater environmental protection to </w:t>
      </w:r>
      <w:r w:rsidR="004B7BF3">
        <w:t xml:space="preserve">oil and gas </w:t>
      </w:r>
      <w:r w:rsidR="002135E9">
        <w:t>drilling processes on federal lands were successfully eliminated – a rule to encourage more public participation in resource management plans and the fracking rule.</w:t>
      </w:r>
    </w:p>
    <w:p w:rsidR="002135E9" w:rsidRDefault="002135E9" w:rsidP="005E34C5">
      <w:pPr>
        <w:spacing w:line="480" w:lineRule="auto"/>
        <w:ind w:firstLine="720"/>
        <w:jc w:val="both"/>
      </w:pPr>
      <w:r>
        <w:t xml:space="preserve">No data are yet available for cross Administration comparisons but through words and actions it seems plausible to expect a pattern of land use decisions that closely resemble DOI and BLM under Secretary Norton and Director Clarke. Zinke has suggested that enforcement decisions may be more appropriate for state officials and that it may also be more useful to emphasize ways to encourage compliance rather than the imposition of punitive measures. A return to a more industry friendly interpretation of CEs allowing exemption from environmental impact analyses for proposed drilling projects is likely. </w:t>
      </w:r>
    </w:p>
    <w:p w:rsidR="00766D49" w:rsidRDefault="006F0105" w:rsidP="005E34C5">
      <w:pPr>
        <w:spacing w:line="480" w:lineRule="auto"/>
        <w:jc w:val="both"/>
      </w:pPr>
      <w:r>
        <w:tab/>
      </w:r>
      <w:r w:rsidR="004B7BF3">
        <w:t xml:space="preserve">How have Presidents dealt with climate-related impacts associated with oil and gas production on federal lands? </w:t>
      </w:r>
      <w:r w:rsidR="009E673D">
        <w:t>President George W. Bush</w:t>
      </w:r>
      <w:r w:rsidR="00C86702">
        <w:t xml:space="preserve"> showed little interest in policies aimed at reducing greenhouse gas emissions</w:t>
      </w:r>
      <w:r w:rsidR="003B344C">
        <w:t xml:space="preserve"> during his tenure in office. A high profile example was the </w:t>
      </w:r>
      <w:r w:rsidR="003B344C" w:rsidRPr="003B344C">
        <w:t xml:space="preserve">decision to avoid a major U.S. role internationally in the adoption of the Kyoto Protocol thus ceding to other policy actors the task of pursuing climate change policy goals. </w:t>
      </w:r>
    </w:p>
    <w:p w:rsidR="005263F4" w:rsidRDefault="003B344C" w:rsidP="00766D49">
      <w:pPr>
        <w:spacing w:line="480" w:lineRule="auto"/>
        <w:ind w:firstLine="720"/>
        <w:jc w:val="both"/>
      </w:pPr>
      <w:r>
        <w:t>Within the context of domestic policy concerns, he placed greater e</w:t>
      </w:r>
      <w:r w:rsidR="00C86702">
        <w:t xml:space="preserve">mphasis on the attainment of energy </w:t>
      </w:r>
      <w:r w:rsidR="009E673D">
        <w:t>independence</w:t>
      </w:r>
      <w:r w:rsidR="00C86702">
        <w:t xml:space="preserve"> through </w:t>
      </w:r>
      <w:r w:rsidR="009A0527">
        <w:t xml:space="preserve">the removal of regulatory barriers to </w:t>
      </w:r>
      <w:r w:rsidR="007C35BA">
        <w:t>energy production</w:t>
      </w:r>
      <w:r>
        <w:t xml:space="preserve"> than on environmental protection or </w:t>
      </w:r>
      <w:r w:rsidR="00AD7D62">
        <w:t xml:space="preserve">on mitigating adverse climate impacts. Bush </w:t>
      </w:r>
      <w:r w:rsidR="00852606">
        <w:t xml:space="preserve">issued an executive order early on that allowed </w:t>
      </w:r>
      <w:r w:rsidR="00D819A6">
        <w:t xml:space="preserve">federal </w:t>
      </w:r>
      <w:r w:rsidR="00852606">
        <w:t xml:space="preserve">agencies pursuing energy development to take precedence whenever a land use </w:t>
      </w:r>
      <w:r w:rsidR="00D819A6">
        <w:t>decision pitted energy against other policy goals such as wildlife conservation</w:t>
      </w:r>
      <w:r w:rsidR="00766D49">
        <w:t xml:space="preserve"> or transportation </w:t>
      </w:r>
      <w:r w:rsidR="00DB3289">
        <w:t>(Bush, 2001)</w:t>
      </w:r>
      <w:r w:rsidR="00D819A6">
        <w:t xml:space="preserve">. </w:t>
      </w:r>
      <w:r w:rsidR="00DB3289">
        <w:t xml:space="preserve">He </w:t>
      </w:r>
      <w:r w:rsidR="00D819A6">
        <w:t>push</w:t>
      </w:r>
      <w:r w:rsidR="00DB3289">
        <w:t>ed</w:t>
      </w:r>
      <w:r w:rsidR="00D819A6">
        <w:t xml:space="preserve"> for </w:t>
      </w:r>
      <w:r w:rsidR="0047636E">
        <w:t xml:space="preserve">increased </w:t>
      </w:r>
      <w:r w:rsidR="00D819A6">
        <w:t xml:space="preserve">power from fossil fuels </w:t>
      </w:r>
      <w:r w:rsidR="0081302D">
        <w:t xml:space="preserve"> </w:t>
      </w:r>
      <w:r w:rsidR="00645964">
        <w:t xml:space="preserve">by </w:t>
      </w:r>
      <w:r w:rsidR="00BA381A">
        <w:t xml:space="preserve">working with Congressional leaders to enact </w:t>
      </w:r>
      <w:r w:rsidR="00645964">
        <w:t>t</w:t>
      </w:r>
      <w:r w:rsidR="005263F4">
        <w:t>he Energy Policy Act of 2005</w:t>
      </w:r>
      <w:r w:rsidR="00645964">
        <w:t xml:space="preserve">. This law </w:t>
      </w:r>
      <w:r w:rsidR="00587A05">
        <w:t xml:space="preserve">helped to expedite the issuance of drilling permits for energy companies by relaxing procedural requirements </w:t>
      </w:r>
      <w:r w:rsidR="00587A05">
        <w:lastRenderedPageBreak/>
        <w:t xml:space="preserve">for environmental analysis associated with project approval decisions. It also </w:t>
      </w:r>
      <w:r w:rsidR="00645964">
        <w:t>reduced the regulatory role of EPA under the Safe Drinking Water Act to oversee fracking operations, a shift that effectively gave more decision-making authority to state water quality officials.</w:t>
      </w:r>
      <w:r w:rsidR="00587A05">
        <w:t xml:space="preserve"> </w:t>
      </w:r>
      <w:r w:rsidR="00645964">
        <w:t xml:space="preserve"> </w:t>
      </w:r>
      <w:r w:rsidR="005263F4">
        <w:t xml:space="preserve"> </w:t>
      </w:r>
    </w:p>
    <w:p w:rsidR="00CA5ED5" w:rsidRDefault="006C468A" w:rsidP="005E34C5">
      <w:pPr>
        <w:spacing w:line="480" w:lineRule="auto"/>
        <w:jc w:val="both"/>
      </w:pPr>
      <w:r>
        <w:tab/>
        <w:t xml:space="preserve">The subsequent policy vacuum </w:t>
      </w:r>
      <w:r w:rsidR="0047636E">
        <w:t xml:space="preserve">for addressing adverse climate impacts </w:t>
      </w:r>
      <w:r>
        <w:t xml:space="preserve">was filled by </w:t>
      </w:r>
      <w:r w:rsidR="0047636E">
        <w:t>federal courts a</w:t>
      </w:r>
      <w:r>
        <w:t>nd public officials representing state and local governments</w:t>
      </w:r>
      <w:r w:rsidR="000B4BA8">
        <w:t xml:space="preserve"> between 2001 and 2008</w:t>
      </w:r>
      <w:r>
        <w:t xml:space="preserve">. </w:t>
      </w:r>
      <w:r w:rsidR="0047636E">
        <w:t xml:space="preserve">Especially important was a U.S. Supreme Court decision, </w:t>
      </w:r>
      <w:r w:rsidR="0047636E" w:rsidRPr="0047636E">
        <w:rPr>
          <w:i/>
        </w:rPr>
        <w:t>Massachusetts v. Environmental Protection Agency</w:t>
      </w:r>
      <w:r w:rsidR="0065342C">
        <w:t xml:space="preserve"> (2007), </w:t>
      </w:r>
      <w:r w:rsidR="0047636E">
        <w:t>that paved the way for the U.S. EPA to regulate carbon dioxide as a greenhouse gas under the authority of the Clean Air Act. In addition, a</w:t>
      </w:r>
      <w:r w:rsidR="000B4BA8">
        <w:t xml:space="preserve"> number of states passed climate change policies</w:t>
      </w:r>
      <w:r w:rsidR="00182B45">
        <w:t xml:space="preserve">, </w:t>
      </w:r>
      <w:r w:rsidR="00F754B8">
        <w:t xml:space="preserve">others joined </w:t>
      </w:r>
      <w:r w:rsidR="00182B45">
        <w:t xml:space="preserve">multistate compacts such as </w:t>
      </w:r>
      <w:r w:rsidR="00F754B8">
        <w:t xml:space="preserve">the </w:t>
      </w:r>
      <w:r w:rsidR="00182B45">
        <w:t xml:space="preserve">Regional </w:t>
      </w:r>
      <w:r w:rsidR="00F754B8">
        <w:t xml:space="preserve">Greenhouse </w:t>
      </w:r>
      <w:r w:rsidR="00182B45">
        <w:t>G</w:t>
      </w:r>
      <w:r w:rsidR="00F754B8">
        <w:t>as Initiative in the northeast,</w:t>
      </w:r>
      <w:r w:rsidR="000B4BA8">
        <w:t xml:space="preserve"> and the U.S. Conference of Mayors </w:t>
      </w:r>
      <w:r w:rsidR="00E778D3">
        <w:t>adopted</w:t>
      </w:r>
      <w:r w:rsidR="000B4BA8">
        <w:t xml:space="preserve"> GHG emission reduction goals that </w:t>
      </w:r>
      <w:r w:rsidR="001751A2">
        <w:t xml:space="preserve">were </w:t>
      </w:r>
      <w:r w:rsidR="00E778D3">
        <w:t>approved by elected officials in over 900 U.S. cities (Bestsill and Rabe, 2009)</w:t>
      </w:r>
      <w:r w:rsidR="00676F92">
        <w:t>.</w:t>
      </w:r>
      <w:r w:rsidR="00F754B8">
        <w:t xml:space="preserve"> </w:t>
      </w:r>
      <w:r w:rsidR="00EC3E2C">
        <w:t xml:space="preserve">The importance of these policy developments lies in establishing a regulatory context for climate policy change that could evolve despite opposition from the Bush Administration.  </w:t>
      </w:r>
      <w:r w:rsidR="00F754B8">
        <w:t xml:space="preserve"> </w:t>
      </w:r>
      <w:r w:rsidR="00676F92">
        <w:t xml:space="preserve"> </w:t>
      </w:r>
      <w:r>
        <w:t xml:space="preserve"> </w:t>
      </w:r>
    </w:p>
    <w:p w:rsidR="0046779E" w:rsidRDefault="00CA5ED5" w:rsidP="005E34C5">
      <w:pPr>
        <w:spacing w:line="480" w:lineRule="auto"/>
        <w:jc w:val="both"/>
      </w:pPr>
      <w:r>
        <w:tab/>
        <w:t>The election of President Barack Obama</w:t>
      </w:r>
      <w:r w:rsidR="006C468A">
        <w:t xml:space="preserve"> </w:t>
      </w:r>
      <w:r>
        <w:t>in 2008 ushered in a new era of support for environmental policymaking, including a major emphasis on climate change.</w:t>
      </w:r>
      <w:r w:rsidR="001334D0">
        <w:t xml:space="preserve"> He supported a bill in Congress calling for federal restrictions on GHG emissions that narrowly passed the House of Representatives </w:t>
      </w:r>
      <w:r w:rsidR="00715ACE">
        <w:t>in 2009</w:t>
      </w:r>
      <w:r w:rsidR="00FA5FAC">
        <w:t xml:space="preserve">. However, the proposal </w:t>
      </w:r>
      <w:r w:rsidR="001334D0">
        <w:t xml:space="preserve">was subsequently rejected by the U.S. Senate </w:t>
      </w:r>
      <w:r w:rsidR="00FA5FAC">
        <w:t xml:space="preserve">due, </w:t>
      </w:r>
      <w:r w:rsidR="001334D0">
        <w:t xml:space="preserve">in </w:t>
      </w:r>
      <w:r w:rsidR="00FA5FAC">
        <w:t xml:space="preserve">part, to the emergence of the Tea Party movement in </w:t>
      </w:r>
      <w:r w:rsidR="001334D0">
        <w:t>2010</w:t>
      </w:r>
      <w:r w:rsidR="00D83105">
        <w:t xml:space="preserve">. This resulted in the election of </w:t>
      </w:r>
      <w:r w:rsidR="00FA5FAC">
        <w:t xml:space="preserve">a more conservative </w:t>
      </w:r>
      <w:r w:rsidR="001334D0">
        <w:t>Republican</w:t>
      </w:r>
      <w:r w:rsidR="00FA5FAC">
        <w:t xml:space="preserve"> majority that was </w:t>
      </w:r>
      <w:r w:rsidR="001334D0">
        <w:t>s</w:t>
      </w:r>
      <w:r w:rsidR="00FA5FAC">
        <w:t>keptical about new regulatory initiatives</w:t>
      </w:r>
      <w:r w:rsidR="00D83105">
        <w:t>, including climate change policies</w:t>
      </w:r>
      <w:r w:rsidR="00FA5FAC">
        <w:t xml:space="preserve">. Lacking a base of support in Congress for his environmental policy agenda, Obama turned to increased use of executive authority to achieve his policy goals. </w:t>
      </w:r>
    </w:p>
    <w:p w:rsidR="0046779E" w:rsidRDefault="0046779E" w:rsidP="005E34C5">
      <w:pPr>
        <w:spacing w:line="480" w:lineRule="auto"/>
        <w:jc w:val="both"/>
      </w:pPr>
      <w:r>
        <w:tab/>
        <w:t xml:space="preserve">Much of Obama’s focus on climate was directed toward procedural policies affecting a </w:t>
      </w:r>
    </w:p>
    <w:p w:rsidR="00F6702D" w:rsidRDefault="0046779E" w:rsidP="005E34C5">
      <w:pPr>
        <w:spacing w:line="480" w:lineRule="auto"/>
        <w:jc w:val="both"/>
      </w:pPr>
      <w:r>
        <w:lastRenderedPageBreak/>
        <w:t xml:space="preserve">wide range of federal policies and projects. For example, the use of NEPA </w:t>
      </w:r>
      <w:r w:rsidR="006C2C38">
        <w:t xml:space="preserve">by federal agencies </w:t>
      </w:r>
      <w:r>
        <w:t>to evaluate environmental impacts of proposed projects added climate as a factor to consider</w:t>
      </w:r>
      <w:r w:rsidR="00D76D7B">
        <w:t xml:space="preserve"> (</w:t>
      </w:r>
      <w:r w:rsidR="00D76D7B" w:rsidRPr="00D76D7B">
        <w:t>Council on Environmental Quality</w:t>
      </w:r>
      <w:r w:rsidR="00D76D7B">
        <w:t xml:space="preserve">, </w:t>
      </w:r>
      <w:r w:rsidR="00D76D7B" w:rsidRPr="00D76D7B">
        <w:t>2016)</w:t>
      </w:r>
      <w:r w:rsidRPr="00D76D7B">
        <w:t>.</w:t>
      </w:r>
      <w:r>
        <w:t xml:space="preserve"> </w:t>
      </w:r>
      <w:r w:rsidR="006C2C38">
        <w:t xml:space="preserve">Relatedly, the development of rules by federal departments or agencies incorporated a criterion referred to as the “social cost of carbon” to </w:t>
      </w:r>
      <w:r w:rsidR="00B736C1">
        <w:t xml:space="preserve">quantify the economic impact of a proposed rule </w:t>
      </w:r>
      <w:r w:rsidR="001241E8">
        <w:t>for projects under consideration</w:t>
      </w:r>
      <w:r w:rsidR="0065342C">
        <w:t xml:space="preserve"> </w:t>
      </w:r>
      <w:r w:rsidR="009E7C93">
        <w:t>(Hulac, 2015)</w:t>
      </w:r>
      <w:r w:rsidR="001241E8">
        <w:t xml:space="preserve">. </w:t>
      </w:r>
      <w:r w:rsidR="00587104">
        <w:t xml:space="preserve">Perhaps the most visible and controversial action taken by the Obama Administration was </w:t>
      </w:r>
      <w:r w:rsidR="00245EA8">
        <w:t xml:space="preserve">EPA’s </w:t>
      </w:r>
      <w:r w:rsidR="00587104">
        <w:t>development of the Clean Power Plan</w:t>
      </w:r>
      <w:r w:rsidR="00245EA8">
        <w:t xml:space="preserve">, a nationwide rule designed </w:t>
      </w:r>
      <w:r w:rsidR="00587104">
        <w:t xml:space="preserve">to </w:t>
      </w:r>
      <w:r w:rsidR="00245EA8">
        <w:t xml:space="preserve">establish reduction targets for </w:t>
      </w:r>
      <w:r w:rsidR="00AD556F">
        <w:t xml:space="preserve">carbon dioxide emissions at </w:t>
      </w:r>
      <w:r w:rsidR="00245EA8">
        <w:t xml:space="preserve">power plants </w:t>
      </w:r>
      <w:r w:rsidR="00AD556F">
        <w:t xml:space="preserve">(mostly coal) </w:t>
      </w:r>
      <w:r w:rsidR="00245EA8">
        <w:t>in each state</w:t>
      </w:r>
      <w:r w:rsidR="00AD556F">
        <w:t xml:space="preserve">. This generated considerable resistance from many state officials, leading to litigation and eventually to efforts by </w:t>
      </w:r>
      <w:r w:rsidR="00D52C90">
        <w:t>Republicans in Congress to eliminate or replace it</w:t>
      </w:r>
      <w:r w:rsidR="00134F4D">
        <w:t xml:space="preserve"> </w:t>
      </w:r>
      <w:r w:rsidR="00134F4D" w:rsidRPr="00134F4D">
        <w:t>(</w:t>
      </w:r>
      <w:r w:rsidR="00134F4D">
        <w:t xml:space="preserve">Bescoe, </w:t>
      </w:r>
      <w:r w:rsidR="00134F4D" w:rsidRPr="00134F4D">
        <w:t>2018)</w:t>
      </w:r>
      <w:r w:rsidR="00134F4D">
        <w:t xml:space="preserve">. </w:t>
      </w:r>
      <w:r w:rsidR="00AD556F">
        <w:t xml:space="preserve"> </w:t>
      </w:r>
      <w:r w:rsidR="00245EA8">
        <w:t xml:space="preserve">  </w:t>
      </w:r>
    </w:p>
    <w:p w:rsidR="00682A26" w:rsidRDefault="00F6702D" w:rsidP="005E34C5">
      <w:pPr>
        <w:spacing w:line="480" w:lineRule="auto"/>
        <w:jc w:val="both"/>
      </w:pPr>
      <w:r>
        <w:tab/>
      </w:r>
      <w:r w:rsidR="00E74B07">
        <w:t xml:space="preserve">A major </w:t>
      </w:r>
      <w:r>
        <w:t>climate change initiative linked to oil and gas production on federal lands</w:t>
      </w:r>
      <w:r w:rsidR="00D93211">
        <w:t xml:space="preserve"> was </w:t>
      </w:r>
      <w:r w:rsidR="00E74B07">
        <w:t xml:space="preserve">the </w:t>
      </w:r>
      <w:r w:rsidR="00E74B07" w:rsidRPr="00E74B07">
        <w:rPr>
          <w:i/>
        </w:rPr>
        <w:t>Methane and Waste Prevention Rule</w:t>
      </w:r>
      <w:r w:rsidR="00D93211">
        <w:t xml:space="preserve">, advanced </w:t>
      </w:r>
      <w:r w:rsidR="00E74B07">
        <w:t xml:space="preserve">by </w:t>
      </w:r>
      <w:r>
        <w:t>Interior Secretar</w:t>
      </w:r>
      <w:r w:rsidR="00C22C5F">
        <w:t>y</w:t>
      </w:r>
      <w:r>
        <w:t xml:space="preserve"> </w:t>
      </w:r>
      <w:r w:rsidR="00C22C5F">
        <w:t>S</w:t>
      </w:r>
      <w:r w:rsidR="00EA5BFD">
        <w:t xml:space="preserve">ally Jewel </w:t>
      </w:r>
      <w:r w:rsidR="00E74B07">
        <w:t xml:space="preserve">in November, 2016. </w:t>
      </w:r>
      <w:r w:rsidR="00F244CE">
        <w:t>T</w:t>
      </w:r>
      <w:r w:rsidR="00D93211">
        <w:t xml:space="preserve">his regulation was </w:t>
      </w:r>
      <w:r w:rsidR="00F244CE">
        <w:t xml:space="preserve">designed </w:t>
      </w:r>
      <w:r w:rsidR="00D93211">
        <w:t>to slow or eliminate the release of methane emissions</w:t>
      </w:r>
      <w:r w:rsidR="00F244CE">
        <w:t xml:space="preserve"> from “flaring” or leaks associated with oil and gas drilling operations on BLM and tribal lands.  </w:t>
      </w:r>
      <w:r w:rsidR="00995BF8">
        <w:t>Agency officials</w:t>
      </w:r>
      <w:r w:rsidR="007830C1">
        <w:t xml:space="preserve">, </w:t>
      </w:r>
      <w:r w:rsidR="007830C1" w:rsidRPr="00DF649A">
        <w:t>state officials (California and New Mexico) and environmental groups</w:t>
      </w:r>
      <w:r w:rsidR="007830C1">
        <w:t xml:space="preserve"> </w:t>
      </w:r>
      <w:r w:rsidR="00995BF8">
        <w:t xml:space="preserve"> </w:t>
      </w:r>
      <w:r w:rsidR="00B41893">
        <w:t>d</w:t>
      </w:r>
      <w:r w:rsidR="006B0940">
        <w:t xml:space="preserve">irected attention to </w:t>
      </w:r>
      <w:r w:rsidR="00F244CE">
        <w:t>environmental benefit</w:t>
      </w:r>
      <w:r w:rsidR="006B0940">
        <w:t xml:space="preserve">s such as </w:t>
      </w:r>
      <w:r w:rsidR="00F244CE">
        <w:t>limit</w:t>
      </w:r>
      <w:r w:rsidR="006B0940">
        <w:t xml:space="preserve">ing </w:t>
      </w:r>
      <w:r w:rsidR="00F244CE">
        <w:t xml:space="preserve"> adverse impacts of </w:t>
      </w:r>
      <w:r w:rsidR="00A339D9">
        <w:t xml:space="preserve">methane, </w:t>
      </w:r>
      <w:r w:rsidR="00F244CE">
        <w:t xml:space="preserve">a greenhouse gas </w:t>
      </w:r>
      <w:r w:rsidR="00A339D9">
        <w:t>that is considerably more potent than carbon dioxide</w:t>
      </w:r>
      <w:r w:rsidR="00C16FB2">
        <w:t xml:space="preserve"> (</w:t>
      </w:r>
      <w:r w:rsidR="00F52FE9">
        <w:t>Wilderness Society</w:t>
      </w:r>
      <w:r w:rsidR="00363EA9">
        <w:t xml:space="preserve"> and Taxpayers for Common Sense</w:t>
      </w:r>
      <w:r w:rsidR="00F52FE9">
        <w:t xml:space="preserve">, </w:t>
      </w:r>
      <w:r w:rsidR="00171B24">
        <w:t>2018; Duffy and Cook, 2018).</w:t>
      </w:r>
      <w:r w:rsidR="00F52FE9">
        <w:t xml:space="preserve"> </w:t>
      </w:r>
      <w:r w:rsidR="006B0940">
        <w:t>A</w:t>
      </w:r>
      <w:r w:rsidR="003D4A0F">
        <w:t xml:space="preserve">dvocates also argued that the rule would </w:t>
      </w:r>
      <w:r w:rsidR="00B371D9">
        <w:t xml:space="preserve">reduce waste and </w:t>
      </w:r>
      <w:r w:rsidR="00171B24">
        <w:t xml:space="preserve">preserve revenue for U.S. taxpayers based on royalties earned from </w:t>
      </w:r>
      <w:r w:rsidR="00B371D9">
        <w:t>drilling operations on federal lands</w:t>
      </w:r>
      <w:r w:rsidR="00171B24">
        <w:t xml:space="preserve"> </w:t>
      </w:r>
      <w:r w:rsidR="00B371D9">
        <w:t xml:space="preserve">under the Mineral Leasing Act of 1920, </w:t>
      </w:r>
      <w:r w:rsidR="00B371D9" w:rsidRPr="00B371D9">
        <w:t xml:space="preserve">including fugitive methane emissions arising from </w:t>
      </w:r>
      <w:r w:rsidR="00B371D9">
        <w:t xml:space="preserve">venting, </w:t>
      </w:r>
      <w:r w:rsidR="00B371D9" w:rsidRPr="00B371D9">
        <w:t xml:space="preserve">flaring or </w:t>
      </w:r>
      <w:r w:rsidR="00B371D9">
        <w:t>l</w:t>
      </w:r>
      <w:r w:rsidR="00B371D9" w:rsidRPr="00B371D9">
        <w:t>eaks originating from gas wells or compressors</w:t>
      </w:r>
      <w:r w:rsidR="00B371D9">
        <w:t xml:space="preserve"> (</w:t>
      </w:r>
      <w:r w:rsidR="00B371D9" w:rsidRPr="00B371D9">
        <w:t>Lattanzio,</w:t>
      </w:r>
      <w:r w:rsidR="00B371D9">
        <w:t xml:space="preserve"> 2018). </w:t>
      </w:r>
      <w:r w:rsidR="006B0940">
        <w:t xml:space="preserve"> </w:t>
      </w:r>
    </w:p>
    <w:p w:rsidR="00E81635" w:rsidRDefault="00B41893" w:rsidP="005E34C5">
      <w:pPr>
        <w:spacing w:line="480" w:lineRule="auto"/>
        <w:ind w:firstLine="720"/>
        <w:jc w:val="both"/>
      </w:pPr>
      <w:r>
        <w:t>While t</w:t>
      </w:r>
      <w:r w:rsidR="00D26985">
        <w:t>his rule enjoyed considerable support from individuals or companies possessing subsurface mineral rights and environmental groups</w:t>
      </w:r>
      <w:r>
        <w:t xml:space="preserve">, </w:t>
      </w:r>
      <w:r w:rsidR="00D26985">
        <w:t xml:space="preserve">industry officials considered </w:t>
      </w:r>
      <w:r>
        <w:t xml:space="preserve">it </w:t>
      </w:r>
      <w:r w:rsidR="00D26985">
        <w:t xml:space="preserve">to be overly </w:t>
      </w:r>
      <w:r w:rsidR="00D26985">
        <w:lastRenderedPageBreak/>
        <w:t xml:space="preserve">burdensome since BLM drilling sites are often </w:t>
      </w:r>
      <w:r w:rsidR="00A732AC">
        <w:t xml:space="preserve">located </w:t>
      </w:r>
      <w:r w:rsidR="00D26985">
        <w:t xml:space="preserve">in remote areas where the costs of capturing </w:t>
      </w:r>
      <w:r w:rsidR="00CE562B">
        <w:t xml:space="preserve">methane </w:t>
      </w:r>
      <w:r w:rsidR="00D26985">
        <w:t xml:space="preserve">and delivering </w:t>
      </w:r>
      <w:r w:rsidR="00CE562B">
        <w:t xml:space="preserve">the gas for energy </w:t>
      </w:r>
      <w:r w:rsidR="00A732AC">
        <w:t>users is quite high</w:t>
      </w:r>
      <w:r w:rsidR="00D26985">
        <w:t xml:space="preserve">.  </w:t>
      </w:r>
      <w:r w:rsidR="00A732AC">
        <w:t xml:space="preserve">The rule required oil and gas companies to not only </w:t>
      </w:r>
      <w:r w:rsidR="00CE562B">
        <w:t xml:space="preserve">restrict and </w:t>
      </w:r>
      <w:r w:rsidR="00A732AC" w:rsidRPr="00A732AC">
        <w:t xml:space="preserve">capture </w:t>
      </w:r>
      <w:r w:rsidR="00A732AC">
        <w:t>methane emissions but to also</w:t>
      </w:r>
      <w:r w:rsidR="00A732AC" w:rsidRPr="00A732AC">
        <w:t xml:space="preserve"> </w:t>
      </w:r>
      <w:r w:rsidR="00B371D9">
        <w:t xml:space="preserve">to </w:t>
      </w:r>
      <w:r w:rsidR="00A732AC" w:rsidRPr="00A732AC">
        <w:t>up</w:t>
      </w:r>
      <w:r w:rsidR="00A732AC">
        <w:t xml:space="preserve">grade </w:t>
      </w:r>
      <w:r w:rsidR="00A732AC" w:rsidRPr="00A732AC">
        <w:t xml:space="preserve">their equipment and </w:t>
      </w:r>
      <w:r w:rsidR="00A732AC">
        <w:t xml:space="preserve">to develop </w:t>
      </w:r>
      <w:r w:rsidR="00A732AC" w:rsidRPr="00A732AC">
        <w:t xml:space="preserve">plans for minimizing waste when drilling on </w:t>
      </w:r>
      <w:r w:rsidR="00A732AC">
        <w:t>public lands</w:t>
      </w:r>
      <w:r w:rsidR="00116EDB">
        <w:t xml:space="preserve"> (Gilmer, 2018)</w:t>
      </w:r>
      <w:r w:rsidR="00116EDB" w:rsidRPr="007E1D9C">
        <w:t xml:space="preserve">.  </w:t>
      </w:r>
      <w:r w:rsidR="00757006">
        <w:t xml:space="preserve">The </w:t>
      </w:r>
      <w:r w:rsidR="00E81635">
        <w:t xml:space="preserve">new </w:t>
      </w:r>
      <w:r w:rsidR="00757006">
        <w:t xml:space="preserve">rule was immediately challenged in the federal courts by energy industry </w:t>
      </w:r>
      <w:r w:rsidR="00E81635">
        <w:t>group</w:t>
      </w:r>
      <w:r w:rsidR="00757006">
        <w:t>s.</w:t>
      </w:r>
    </w:p>
    <w:p w:rsidR="009D148E" w:rsidRDefault="0093457B" w:rsidP="005E34C5">
      <w:pPr>
        <w:spacing w:line="480" w:lineRule="auto"/>
        <w:ind w:firstLine="720"/>
        <w:jc w:val="both"/>
      </w:pPr>
      <w:r>
        <w:t>President Trump took office with little knowledge and experience pertaining to energy policy and climate change</w:t>
      </w:r>
      <w:r w:rsidR="00C230C4">
        <w:t xml:space="preserve">. </w:t>
      </w:r>
      <w:r w:rsidR="004D1827">
        <w:t>During the campaign for the Presidency, he famously referred to climate change as an “expensive hoax” (Davenport, 2016).</w:t>
      </w:r>
      <w:r w:rsidR="001E3D64">
        <w:t xml:space="preserve"> While key initiatives to resist or overturn Obama’s policies such as </w:t>
      </w:r>
      <w:r w:rsidR="00B45E98">
        <w:t xml:space="preserve">decisions committing </w:t>
      </w:r>
      <w:r w:rsidR="001E3D64">
        <w:t xml:space="preserve">the U.S. </w:t>
      </w:r>
      <w:r w:rsidR="00B45E98">
        <w:t xml:space="preserve">to withdraw from </w:t>
      </w:r>
      <w:r w:rsidR="001E3D64">
        <w:t>the Paris accords</w:t>
      </w:r>
      <w:r w:rsidR="00B45E98">
        <w:t xml:space="preserve"> and to redo the Clean Power Plan were undertaken by EPA, </w:t>
      </w:r>
      <w:r w:rsidR="009D148E">
        <w:t>other departments like DOI took action to erase Obama policies aimed at mitigating adverse climate impacts</w:t>
      </w:r>
      <w:r w:rsidR="00B41893">
        <w:t xml:space="preserve"> (Davenport, </w:t>
      </w:r>
      <w:r w:rsidR="00B41893" w:rsidRPr="00B41893">
        <w:t xml:space="preserve">2016). </w:t>
      </w:r>
      <w:r w:rsidR="00B41893">
        <w:t xml:space="preserve"> </w:t>
      </w:r>
    </w:p>
    <w:p w:rsidR="00D4486A" w:rsidRDefault="00B41893" w:rsidP="005E34C5">
      <w:pPr>
        <w:spacing w:line="480" w:lineRule="auto"/>
        <w:ind w:firstLine="720"/>
        <w:jc w:val="both"/>
      </w:pPr>
      <w:r>
        <w:t xml:space="preserve">President Trump </w:t>
      </w:r>
      <w:r w:rsidR="0093457B">
        <w:t xml:space="preserve">quickly discovered that </w:t>
      </w:r>
      <w:r>
        <w:t>the quickest w</w:t>
      </w:r>
      <w:r w:rsidR="0093457B">
        <w:t xml:space="preserve">ay to </w:t>
      </w:r>
      <w:r>
        <w:t xml:space="preserve">influence </w:t>
      </w:r>
      <w:r w:rsidR="0093457B">
        <w:t>policy direction was to make use of executive authority</w:t>
      </w:r>
      <w:r w:rsidR="00BA0EB4">
        <w:t>, notably executive orders and the s</w:t>
      </w:r>
      <w:r w:rsidR="0093457B">
        <w:t>election of</w:t>
      </w:r>
      <w:r w:rsidR="000E6DAD">
        <w:t xml:space="preserve"> political appointments to head</w:t>
      </w:r>
      <w:r w:rsidR="0093457B">
        <w:t xml:space="preserve"> </w:t>
      </w:r>
      <w:r w:rsidR="009D7361">
        <w:t xml:space="preserve">environmental or energy </w:t>
      </w:r>
      <w:r w:rsidR="000E6DAD">
        <w:t>department heads</w:t>
      </w:r>
      <w:r w:rsidR="00BA0EB4">
        <w:t xml:space="preserve">. On March 28, 2017, Trump issued E.O. 13783 </w:t>
      </w:r>
      <w:r w:rsidR="003423DC">
        <w:t xml:space="preserve">titled </w:t>
      </w:r>
      <w:r w:rsidR="003423DC" w:rsidRPr="003423DC">
        <w:rPr>
          <w:i/>
        </w:rPr>
        <w:t>Promoting Energy Independence and Economic Growth</w:t>
      </w:r>
      <w:r w:rsidR="009E4C28">
        <w:rPr>
          <w:i/>
        </w:rPr>
        <w:t xml:space="preserve"> </w:t>
      </w:r>
      <w:r w:rsidR="009E4C28">
        <w:t>(Trump, 2017).</w:t>
      </w:r>
      <w:r w:rsidR="003423DC">
        <w:t xml:space="preserve"> This called for BLM to re-examine its 2016 Methane Capture Rule with an eye toward its compatibility with energy independence and to take corrective measures if necessary. He also appointed departmental leaders w</w:t>
      </w:r>
      <w:r w:rsidR="000E6DAD">
        <w:t xml:space="preserve">ith some governmental experience such as former Texas Governor Rick Perry at EPA, </w:t>
      </w:r>
      <w:r>
        <w:t>former Oklahoma Attorney General Scott Pruitt</w:t>
      </w:r>
      <w:r w:rsidR="009E4C28">
        <w:t xml:space="preserve"> at EPA</w:t>
      </w:r>
      <w:r>
        <w:t xml:space="preserve">, </w:t>
      </w:r>
      <w:r w:rsidR="000E6DAD">
        <w:t xml:space="preserve">former Montana </w:t>
      </w:r>
      <w:r w:rsidR="00B31DC0">
        <w:t>Congressman</w:t>
      </w:r>
      <w:r w:rsidR="000E6DAD">
        <w:t xml:space="preserve"> Ryan Zinke at DOI and former Georgia Governor Sonny Purdue at USDA</w:t>
      </w:r>
      <w:r w:rsidR="009D7361">
        <w:t xml:space="preserve">. All </w:t>
      </w:r>
      <w:r w:rsidR="000E6DAD">
        <w:t xml:space="preserve">shared his policy priorities as </w:t>
      </w:r>
      <w:r w:rsidR="009E4C28">
        <w:t xml:space="preserve">did </w:t>
      </w:r>
      <w:r w:rsidR="009D7361">
        <w:t xml:space="preserve">appointees with industry ties </w:t>
      </w:r>
      <w:r w:rsidR="000E6DAD">
        <w:t>and former lobbyists</w:t>
      </w:r>
      <w:r w:rsidR="00144030">
        <w:t xml:space="preserve"> like </w:t>
      </w:r>
      <w:r w:rsidR="00144030">
        <w:lastRenderedPageBreak/>
        <w:t>Andrew Wheeler (Pruitt’s successor at EPA)</w:t>
      </w:r>
      <w:r w:rsidR="000E6DAD">
        <w:t xml:space="preserve"> </w:t>
      </w:r>
      <w:r w:rsidR="00D4486A">
        <w:t>that supported his emphasis on deregulation of environmental and energy programs, including climate change.</w:t>
      </w:r>
      <w:r w:rsidR="009D7361">
        <w:t xml:space="preserve"> </w:t>
      </w:r>
    </w:p>
    <w:p w:rsidR="00B659FF" w:rsidRDefault="00925FD7" w:rsidP="005E34C5">
      <w:pPr>
        <w:spacing w:line="480" w:lineRule="auto"/>
        <w:ind w:firstLine="720"/>
        <w:jc w:val="both"/>
      </w:pPr>
      <w:r>
        <w:t>An</w:t>
      </w:r>
      <w:r w:rsidR="009F23A3">
        <w:t>other</w:t>
      </w:r>
      <w:r>
        <w:t xml:space="preserve"> early indication of a different policy direction was the decision to eliminate </w:t>
      </w:r>
      <w:r w:rsidR="000A737C">
        <w:t xml:space="preserve">agency links to data or information mentioning climate change. </w:t>
      </w:r>
      <w:r w:rsidR="00F7661C">
        <w:t xml:space="preserve">Shortly after </w:t>
      </w:r>
      <w:r w:rsidR="00A921FB">
        <w:t xml:space="preserve">Trump </w:t>
      </w:r>
      <w:r w:rsidR="00F7661C">
        <w:t>bec</w:t>
      </w:r>
      <w:r w:rsidR="00A921FB">
        <w:t>ame</w:t>
      </w:r>
      <w:r w:rsidR="00F7661C">
        <w:t xml:space="preserve"> President, the official White House website deleted references to the topic. </w:t>
      </w:r>
      <w:r w:rsidR="007830C1">
        <w:t xml:space="preserve">Other </w:t>
      </w:r>
      <w:r w:rsidR="00F7661C">
        <w:t xml:space="preserve">federal agencies </w:t>
      </w:r>
      <w:r w:rsidR="00FF16F2">
        <w:t>including DOI</w:t>
      </w:r>
      <w:r w:rsidR="007830C1">
        <w:t xml:space="preserve"> did the same</w:t>
      </w:r>
      <w:r w:rsidR="00FF16F2">
        <w:t xml:space="preserve"> </w:t>
      </w:r>
      <w:r w:rsidR="00F7661C">
        <w:t>along with links to studies and data pertaining to climate change or global warming</w:t>
      </w:r>
      <w:r w:rsidR="00FF16F2">
        <w:t xml:space="preserve"> (Davenport and Lipton, 2017)</w:t>
      </w:r>
      <w:r w:rsidR="00F7661C">
        <w:t xml:space="preserve">. </w:t>
      </w:r>
      <w:r w:rsidR="00C5502C">
        <w:t xml:space="preserve">This resulted in pushback from supporters of climate change research and policy. </w:t>
      </w:r>
      <w:r w:rsidR="00F7661C">
        <w:t>A number of scientists at U.S. universities subsequently took steps to save and store information to ensure that accessibility to government records could be maintained.</w:t>
      </w:r>
      <w:r>
        <w:t xml:space="preserve"> </w:t>
      </w:r>
      <w:r w:rsidR="00FF16F2">
        <w:t xml:space="preserve">Another </w:t>
      </w:r>
      <w:r w:rsidR="00B659FF">
        <w:t xml:space="preserve">broad action directly affecting federal </w:t>
      </w:r>
      <w:r w:rsidR="005F5B9D">
        <w:t xml:space="preserve">natural resource </w:t>
      </w:r>
      <w:r w:rsidR="00B659FF">
        <w:t>agencies was the withdrawal of the Obama Administration guidance requiring the inclusion of greenhouse gas emissions whenever environmental analysis studies were carried out (Popovich, Albeck-Ripka, and Pierre-Louis, 2018).</w:t>
      </w:r>
      <w:r w:rsidR="00784E1A">
        <w:t xml:space="preserve"> Legal challenges have followed, most recently a decision by a U.S. District Court judge in Washington, DC on March 20 that blocked </w:t>
      </w:r>
      <w:r w:rsidR="00784E1A" w:rsidRPr="00784E1A">
        <w:t xml:space="preserve">oil and gas drilling in Wyoming </w:t>
      </w:r>
      <w:r w:rsidR="00784E1A">
        <w:t xml:space="preserve">after BLM officials failed to consider climate impacts under NEPA (Eilperin, 2019). </w:t>
      </w:r>
    </w:p>
    <w:p w:rsidR="00EA3B9E" w:rsidRDefault="00E42132" w:rsidP="005E34C5">
      <w:pPr>
        <w:spacing w:line="480" w:lineRule="auto"/>
        <w:ind w:firstLine="720"/>
        <w:jc w:val="both"/>
      </w:pPr>
      <w:r>
        <w:t xml:space="preserve">Perhaps the most direct effort to delete climate impacts from oil and gas production on federal lands occurred when DOI proposed doing away with BLM’s </w:t>
      </w:r>
      <w:r w:rsidR="009F23A3">
        <w:t xml:space="preserve">2016 </w:t>
      </w:r>
      <w:r>
        <w:t xml:space="preserve">methane rule. </w:t>
      </w:r>
      <w:r w:rsidR="00116EDB">
        <w:t xml:space="preserve">It was </w:t>
      </w:r>
      <w:r w:rsidR="00DF649A">
        <w:t>one among many other energy and environmental regulations adopted by the Obama Admini</w:t>
      </w:r>
      <w:r w:rsidR="00116EDB">
        <w:t xml:space="preserve">- </w:t>
      </w:r>
      <w:r w:rsidR="00DF649A">
        <w:t>stration to be targeted for elimination by Congress</w:t>
      </w:r>
      <w:r w:rsidR="00C80802">
        <w:t>ional Republicans</w:t>
      </w:r>
      <w:r w:rsidR="00DF649A">
        <w:t xml:space="preserve"> under the Congressional Review Act; however,</w:t>
      </w:r>
      <w:r w:rsidR="00C80802">
        <w:t xml:space="preserve"> after a vote to disapprove the measure passed in the House of Represen</w:t>
      </w:r>
      <w:r w:rsidR="00EA3B9E">
        <w:t xml:space="preserve">- </w:t>
      </w:r>
      <w:r w:rsidR="00C80802">
        <w:t>tatives, it was narrowly defeated in the Senate (</w:t>
      </w:r>
      <w:r w:rsidR="00C80802" w:rsidRPr="00C80802">
        <w:t>Ha</w:t>
      </w:r>
      <w:r w:rsidR="00C80802">
        <w:t>rvard Environmental Law Program,</w:t>
      </w:r>
      <w:r w:rsidR="00C80802" w:rsidRPr="00C80802">
        <w:t xml:space="preserve"> 2018</w:t>
      </w:r>
      <w:r w:rsidR="001C601D">
        <w:t xml:space="preserve">).  </w:t>
      </w:r>
      <w:r w:rsidR="00773A28">
        <w:t>DOI officials</w:t>
      </w:r>
      <w:r w:rsidR="00B71550">
        <w:t xml:space="preserve"> then </w:t>
      </w:r>
      <w:r w:rsidR="00E54D92">
        <w:t xml:space="preserve">filed suit </w:t>
      </w:r>
      <w:r w:rsidR="00773A28">
        <w:t>to suspend the rule and to rewrite parts of the regulation</w:t>
      </w:r>
      <w:r w:rsidR="00E54D92">
        <w:t>.</w:t>
      </w:r>
      <w:r w:rsidR="00D13C98">
        <w:t xml:space="preserve"> </w:t>
      </w:r>
    </w:p>
    <w:p w:rsidR="00E4100D" w:rsidRDefault="00EA3B9E" w:rsidP="005E34C5">
      <w:pPr>
        <w:spacing w:line="480" w:lineRule="auto"/>
        <w:ind w:firstLine="720"/>
        <w:jc w:val="both"/>
      </w:pPr>
      <w:r>
        <w:lastRenderedPageBreak/>
        <w:t xml:space="preserve">A final BLM rule titled “Waste Prevention, Production Subject to Royalties, and Resource Conservation; Recission or Revision of Certain Requirements” was published on September 28, </w:t>
      </w:r>
    </w:p>
    <w:p w:rsidR="00EA3B9E" w:rsidRDefault="00EA3B9E" w:rsidP="00E4100D">
      <w:pPr>
        <w:spacing w:line="480" w:lineRule="auto"/>
        <w:jc w:val="both"/>
      </w:pPr>
      <w:r>
        <w:t xml:space="preserve">2018. It eliminated several provisions of the previous regulation, including </w:t>
      </w:r>
      <w:r w:rsidR="00E4100D">
        <w:t>waste minimization plans, well drilling and completion actions, and leak detection and repair</w:t>
      </w:r>
      <w:r>
        <w:t xml:space="preserve"> </w:t>
      </w:r>
      <w:r w:rsidR="00E4100D">
        <w:t xml:space="preserve">requirements. In addition, changes in </w:t>
      </w:r>
      <w:r w:rsidR="004F3C1B">
        <w:t xml:space="preserve">how </w:t>
      </w:r>
      <w:r w:rsidR="00E4100D">
        <w:t xml:space="preserve">the measurement and reporting of the volume of gas that is vented or flared </w:t>
      </w:r>
      <w:r w:rsidR="004F3C1B">
        <w:t>is calculated</w:t>
      </w:r>
      <w:r w:rsidR="00E4100D">
        <w:t xml:space="preserve"> (BLM, 2018). </w:t>
      </w:r>
    </w:p>
    <w:p w:rsidR="00970B1F" w:rsidRDefault="00741733" w:rsidP="00970B1F">
      <w:pPr>
        <w:spacing w:line="480" w:lineRule="auto"/>
      </w:pPr>
      <w:r>
        <w:t>C</w:t>
      </w:r>
      <w:r w:rsidR="00970B1F">
        <w:t>onclusions</w:t>
      </w:r>
    </w:p>
    <w:p w:rsidR="00425BB0" w:rsidRDefault="00970B1F" w:rsidP="005E34C5">
      <w:pPr>
        <w:spacing w:line="480" w:lineRule="auto"/>
        <w:jc w:val="both"/>
      </w:pPr>
      <w:r>
        <w:tab/>
      </w:r>
      <w:r w:rsidR="00C95524">
        <w:t>The regulation of oil and gas production on federal lands</w:t>
      </w:r>
      <w:r w:rsidR="00D4486A">
        <w:t xml:space="preserve"> </w:t>
      </w:r>
      <w:r w:rsidR="00C95524">
        <w:t xml:space="preserve">has varied dramatically over the past couple of decades. While Congress occasionally offers policy guidance through the enactment of laws like FLPMA in 1976 or the Energy Policy Act of 2005, there is relatively little oversight over what DOI or BLM does to implement them. </w:t>
      </w:r>
      <w:r w:rsidR="00BB0D36">
        <w:t xml:space="preserve">Unlike detailed legislation such as the Clean Air Act of 1990 that prescribes courses of action for EPA administrators to be taken in </w:t>
      </w:r>
      <w:r w:rsidR="005E32A9">
        <w:t>response to particular</w:t>
      </w:r>
      <w:r w:rsidR="00BB0D36">
        <w:t xml:space="preserve"> situation</w:t>
      </w:r>
      <w:r w:rsidR="005E32A9">
        <w:t>s</w:t>
      </w:r>
      <w:r w:rsidR="00BB0D36">
        <w:t xml:space="preserve">, </w:t>
      </w:r>
      <w:r w:rsidR="005E32A9">
        <w:t xml:space="preserve">Nie (2008) suggests that </w:t>
      </w:r>
      <w:r w:rsidR="00BB0D36">
        <w:t xml:space="preserve">federal land laws </w:t>
      </w:r>
      <w:r w:rsidR="005E32A9">
        <w:t xml:space="preserve">are ambiguous, </w:t>
      </w:r>
      <w:r w:rsidR="00BB0D36">
        <w:t>offer</w:t>
      </w:r>
      <w:r w:rsidR="005E32A9">
        <w:t xml:space="preserve">ing </w:t>
      </w:r>
      <w:r w:rsidR="00BB0D36">
        <w:t>more decisional leeway for differing interpretation of statutory meaning</w:t>
      </w:r>
      <w:r w:rsidR="005E32A9">
        <w:t xml:space="preserve">. </w:t>
      </w:r>
      <w:r w:rsidR="00812DE8">
        <w:t xml:space="preserve">Consequently, </w:t>
      </w:r>
      <w:r w:rsidR="00B3729B">
        <w:t xml:space="preserve">policy change often occurs in smaller increments through rulemaking, </w:t>
      </w:r>
      <w:r w:rsidR="00B71550">
        <w:t>a useful policy path but less permanent than the enactment of legislation.</w:t>
      </w:r>
    </w:p>
    <w:p w:rsidR="004F54AB" w:rsidRDefault="00425BB0" w:rsidP="005E34C5">
      <w:pPr>
        <w:spacing w:line="480" w:lineRule="auto"/>
        <w:jc w:val="both"/>
      </w:pPr>
      <w:r>
        <w:tab/>
        <w:t>In examining changes in the management of oil and gas management practices across the past three Presidential Administrations, partisan orientation clearly stands out. BLM’s policy decisions vary most in terms of following the lead of Republic</w:t>
      </w:r>
      <w:r w:rsidR="0077659B">
        <w:t>an</w:t>
      </w:r>
      <w:r>
        <w:t xml:space="preserve"> leaders with a staunchly pro- development goal versus </w:t>
      </w:r>
      <w:r w:rsidR="0077659B">
        <w:t>Democratic</w:t>
      </w:r>
      <w:r>
        <w:t xml:space="preserve"> </w:t>
      </w:r>
      <w:r w:rsidR="0077659B">
        <w:t xml:space="preserve">leaders preferring </w:t>
      </w:r>
      <w:r w:rsidR="00812DE8">
        <w:t xml:space="preserve">greater </w:t>
      </w:r>
      <w:r w:rsidR="0077659B">
        <w:t xml:space="preserve">sensitivity to </w:t>
      </w:r>
      <w:r w:rsidR="00812DE8">
        <w:t xml:space="preserve">resource </w:t>
      </w:r>
      <w:r w:rsidR="0077659B">
        <w:t xml:space="preserve">conservation goals. </w:t>
      </w:r>
      <w:r w:rsidR="00B71550">
        <w:t xml:space="preserve">Approaches used most commonly to achieve these goals include organizational communications, </w:t>
      </w:r>
      <w:r w:rsidR="00B71550" w:rsidRPr="00B71550">
        <w:t xml:space="preserve">the exercise of discretionary authority and procedural changes in public participation and planning.  </w:t>
      </w:r>
      <w:r w:rsidR="0077659B">
        <w:t xml:space="preserve"> </w:t>
      </w:r>
      <w:r w:rsidR="000E6DAD">
        <w:t xml:space="preserve">   </w:t>
      </w:r>
      <w:r w:rsidR="0093457B">
        <w:t xml:space="preserve">  </w:t>
      </w:r>
    </w:p>
    <w:p w:rsidR="00741733" w:rsidRPr="00741733" w:rsidRDefault="00B71550" w:rsidP="005E34C5">
      <w:pPr>
        <w:spacing w:line="480" w:lineRule="auto"/>
        <w:ind w:firstLine="720"/>
        <w:jc w:val="both"/>
      </w:pPr>
      <w:r>
        <w:lastRenderedPageBreak/>
        <w:t xml:space="preserve">Use of approaches under DOI and BLM leaders vary. </w:t>
      </w:r>
      <w:r w:rsidR="00741733">
        <w:t xml:space="preserve">In support of Bush’s goal to accelerate oil and gas production, Secretary Norton pressured field administrators to more quickly process industry applications for drilling permits and, after the adoption of the Energy Act of 2005, she utilized </w:t>
      </w:r>
      <w:r w:rsidR="00741733" w:rsidRPr="00741733">
        <w:t>CEs to exempt environmental impact reviews for proposed drilling projects.</w:t>
      </w:r>
      <w:r w:rsidR="00741733">
        <w:t xml:space="preserve"> </w:t>
      </w:r>
      <w:r w:rsidR="00477A9D">
        <w:t xml:space="preserve">These objectives were also advanced by placing less emphasis on inspecting oil and gas drilling operations to safeguard against air and water quality violations. </w:t>
      </w:r>
    </w:p>
    <w:p w:rsidR="00B43A0E" w:rsidRDefault="00477A9D" w:rsidP="005E34C5">
      <w:pPr>
        <w:spacing w:line="480" w:lineRule="auto"/>
        <w:ind w:firstLine="720"/>
        <w:jc w:val="both"/>
      </w:pPr>
      <w:r>
        <w:t xml:space="preserve">On the other hand, DOI Secretaries Salazar and Jewell promoted Obama’s pro-environmental agenda by focusing more on </w:t>
      </w:r>
      <w:r w:rsidR="008D4B17" w:rsidRPr="00172455">
        <w:t>the inclusion of environmental policy criteria in public land use decisions</w:t>
      </w:r>
      <w:r w:rsidR="00B43A0E">
        <w:t xml:space="preserve"> linked to oil and gas production. This was achieved </w:t>
      </w:r>
      <w:r>
        <w:t xml:space="preserve">through restrictions </w:t>
      </w:r>
      <w:r w:rsidR="00AD17D9" w:rsidRPr="00172455">
        <w:t xml:space="preserve">on the approval of CEs, </w:t>
      </w:r>
      <w:r>
        <w:t xml:space="preserve">adopting </w:t>
      </w:r>
      <w:r w:rsidR="00835773" w:rsidRPr="00172455">
        <w:t>a</w:t>
      </w:r>
      <w:r w:rsidR="008D4B17" w:rsidRPr="00172455">
        <w:t xml:space="preserve"> new rule </w:t>
      </w:r>
      <w:r w:rsidR="00835773" w:rsidRPr="00172455">
        <w:t xml:space="preserve">aimed </w:t>
      </w:r>
      <w:r w:rsidR="008D4B17" w:rsidRPr="00172455">
        <w:t xml:space="preserve">at </w:t>
      </w:r>
      <w:r w:rsidR="00835773" w:rsidRPr="00172455">
        <w:t>stre</w:t>
      </w:r>
      <w:r w:rsidR="008D4B17" w:rsidRPr="00172455">
        <w:t>ngthening environmental quality standards for</w:t>
      </w:r>
      <w:r w:rsidR="00AD17D9" w:rsidRPr="00172455">
        <w:t xml:space="preserve"> fracking</w:t>
      </w:r>
      <w:r w:rsidR="008D4B17" w:rsidRPr="00172455">
        <w:t xml:space="preserve"> operations on </w:t>
      </w:r>
      <w:r>
        <w:t>BLM</w:t>
      </w:r>
      <w:r w:rsidR="008D4B17" w:rsidRPr="00172455">
        <w:t xml:space="preserve"> lands</w:t>
      </w:r>
      <w:r w:rsidR="00B43A0E">
        <w:t>,</w:t>
      </w:r>
      <w:r w:rsidR="00643C6A" w:rsidRPr="00CB5B59">
        <w:t xml:space="preserve"> enlarging the size of </w:t>
      </w:r>
      <w:r>
        <w:t xml:space="preserve">resource area </w:t>
      </w:r>
      <w:r w:rsidR="00643C6A" w:rsidRPr="00CB5B59">
        <w:t xml:space="preserve">planning areas </w:t>
      </w:r>
      <w:r w:rsidR="00835773" w:rsidRPr="00172455">
        <w:t xml:space="preserve">and </w:t>
      </w:r>
      <w:r>
        <w:t xml:space="preserve">increasing </w:t>
      </w:r>
      <w:r w:rsidR="00AD17D9" w:rsidRPr="00172455">
        <w:t xml:space="preserve">the number of </w:t>
      </w:r>
      <w:r w:rsidR="00A12606" w:rsidRPr="00172455">
        <w:t>environmental i</w:t>
      </w:r>
      <w:r w:rsidR="00AD17D9" w:rsidRPr="00172455">
        <w:t>nspections on drilling sites</w:t>
      </w:r>
      <w:r w:rsidR="0062658E">
        <w:t>.</w:t>
      </w:r>
    </w:p>
    <w:p w:rsidR="00AE7523" w:rsidRDefault="004267DB" w:rsidP="005E34C5">
      <w:pPr>
        <w:spacing w:line="480" w:lineRule="auto"/>
        <w:ind w:firstLine="720"/>
        <w:jc w:val="both"/>
      </w:pPr>
      <w:r>
        <w:t xml:space="preserve">Although DOI Secretary Zinke </w:t>
      </w:r>
      <w:r w:rsidR="00812DE8">
        <w:t xml:space="preserve">and his successor, David </w:t>
      </w:r>
      <w:r w:rsidR="00812DE8" w:rsidRPr="00812DE8">
        <w:t>Bernhardt</w:t>
      </w:r>
      <w:r w:rsidR="00812DE8">
        <w:t xml:space="preserve">, </w:t>
      </w:r>
      <w:r>
        <w:t>ha</w:t>
      </w:r>
      <w:r w:rsidR="00812DE8">
        <w:t>ve</w:t>
      </w:r>
      <w:r>
        <w:t xml:space="preserve"> been on the job for a </w:t>
      </w:r>
      <w:r w:rsidR="00812DE8">
        <w:t xml:space="preserve">relatively </w:t>
      </w:r>
      <w:r>
        <w:t xml:space="preserve">short period of time, </w:t>
      </w:r>
      <w:r w:rsidR="00812DE8">
        <w:t>their</w:t>
      </w:r>
      <w:r>
        <w:t xml:space="preserve"> decisions so far appear to be in sync with Trump’s desire to achieve “energy dominance</w:t>
      </w:r>
      <w:r w:rsidR="000E0B4D">
        <w:t xml:space="preserve">.” </w:t>
      </w:r>
      <w:r w:rsidR="00166C84">
        <w:t>BLM h</w:t>
      </w:r>
      <w:r w:rsidR="000E0B4D">
        <w:t>as set a rapid pace thus far to lease oil and gas federal permits on federal lands with moves to restore access to the use of CEs</w:t>
      </w:r>
      <w:r w:rsidR="00D2155D">
        <w:t xml:space="preserve"> to expedite the waiver if environmental impact analyses. These efforts have also been bolstered by </w:t>
      </w:r>
      <w:r w:rsidR="00AE7523">
        <w:t>Trump’s success in</w:t>
      </w:r>
      <w:r w:rsidR="00166C84">
        <w:t xml:space="preserve"> getting Congress to use CRAs to revoke</w:t>
      </w:r>
      <w:r w:rsidR="00AE7523">
        <w:t xml:space="preserve"> the Obama rule aimed at expanding BLM resource management </w:t>
      </w:r>
      <w:r w:rsidR="00F2346D">
        <w:t>pla</w:t>
      </w:r>
      <w:r w:rsidR="00AE7523">
        <w:t>nning areas and opportunities for public participation.</w:t>
      </w:r>
      <w:r w:rsidR="00853FC8">
        <w:t xml:space="preserve"> Greater emphasis</w:t>
      </w:r>
      <w:r w:rsidR="00AE7523">
        <w:t xml:space="preserve"> </w:t>
      </w:r>
      <w:r w:rsidR="00DA211C">
        <w:t xml:space="preserve">has also been placed on incentivizing compliance with environmental laws in drilling operations than with punitive measures to deter future violations. </w:t>
      </w:r>
    </w:p>
    <w:p w:rsidR="00865AA8" w:rsidRDefault="00F2346D" w:rsidP="005E34C5">
      <w:pPr>
        <w:spacing w:line="480" w:lineRule="auto"/>
        <w:ind w:firstLine="720"/>
        <w:jc w:val="both"/>
      </w:pPr>
      <w:r>
        <w:t xml:space="preserve">In terms of addressing the impacts of climate change on federal land management decisions, the decisions made by </w:t>
      </w:r>
      <w:r w:rsidR="00865AA8">
        <w:t>Secretar</w:t>
      </w:r>
      <w:r w:rsidR="00DA211C">
        <w:t xml:space="preserve">ies Norton, Salazar </w:t>
      </w:r>
      <w:r w:rsidR="00812DE8">
        <w:t>/</w:t>
      </w:r>
      <w:r w:rsidR="00DA211C">
        <w:t>Jewell and Zinke</w:t>
      </w:r>
      <w:r w:rsidR="00812DE8">
        <w:t>/</w:t>
      </w:r>
      <w:r w:rsidR="00812DE8" w:rsidRPr="00812DE8">
        <w:t>Bernhardt</w:t>
      </w:r>
      <w:r w:rsidR="00812DE8">
        <w:t xml:space="preserve"> </w:t>
      </w:r>
      <w:r w:rsidR="00DA211C">
        <w:t xml:space="preserve">have </w:t>
      </w:r>
      <w:r w:rsidR="00DA211C">
        <w:lastRenderedPageBreak/>
        <w:t xml:space="preserve">essentially mirrored those made to address energy policy. Climate policies were largely ignored under Secretary Norton in order to accelerate oil and gas production goals. Secretaries Salazar and Jewell </w:t>
      </w:r>
      <w:r w:rsidR="006270F1">
        <w:t xml:space="preserve">actively </w:t>
      </w:r>
      <w:r w:rsidR="00DA211C">
        <w:t>pursued</w:t>
      </w:r>
      <w:r w:rsidR="006270F1">
        <w:t xml:space="preserve"> policies to mitigate adverse climate impacts, notably the </w:t>
      </w:r>
      <w:r w:rsidR="00812DE8">
        <w:t>r</w:t>
      </w:r>
      <w:r w:rsidR="006270F1">
        <w:t xml:space="preserve">ule </w:t>
      </w:r>
      <w:r w:rsidR="00812DE8">
        <w:t xml:space="preserve">designed to </w:t>
      </w:r>
      <w:r w:rsidR="006270F1">
        <w:t xml:space="preserve">prevent flaring and the release of methane in drilling operations. Under the Trump Administration, DOI and Secretary Zinke were unable to eliminate the rule via the CRA but </w:t>
      </w:r>
      <w:r w:rsidR="00812DE8">
        <w:t xml:space="preserve">succeeded in developing a substantially weaker replacement regulation in </w:t>
      </w:r>
      <w:r w:rsidR="00166C84">
        <w:t>September</w:t>
      </w:r>
      <w:r w:rsidR="00812DE8">
        <w:t>, 2018</w:t>
      </w:r>
      <w:r w:rsidR="00B420B9">
        <w:t xml:space="preserve"> that </w:t>
      </w:r>
      <w:r w:rsidR="008F2C28">
        <w:t xml:space="preserve">offered more flexibility </w:t>
      </w:r>
      <w:r w:rsidR="0031551F">
        <w:t xml:space="preserve">for regulated industries along with </w:t>
      </w:r>
      <w:r w:rsidR="00B420B9">
        <w:t xml:space="preserve">reduced </w:t>
      </w:r>
      <w:r w:rsidR="006270F1">
        <w:t xml:space="preserve">compliance costs. </w:t>
      </w:r>
    </w:p>
    <w:p w:rsidR="00E35D0A" w:rsidRDefault="00383238" w:rsidP="005E34C5">
      <w:pPr>
        <w:spacing w:line="480" w:lineRule="auto"/>
        <w:ind w:firstLine="720"/>
        <w:jc w:val="both"/>
      </w:pPr>
      <w:r>
        <w:t xml:space="preserve">In examining the near term prospects for achieving a balance between energy production goals, environmental conservation and the mitigation of climate impacts, the outlook is not bright. Democrats and environmental advocates will continue to utilize litigation strategies to maintain existing regulatory protections. In some cases, policymakers in states like California and Colorado </w:t>
      </w:r>
      <w:r w:rsidR="00B420B9">
        <w:t xml:space="preserve">have responded to </w:t>
      </w:r>
      <w:r>
        <w:t xml:space="preserve">federal initiatives with policies </w:t>
      </w:r>
      <w:r w:rsidR="00D0228F">
        <w:t xml:space="preserve">requiring oil and gas companies </w:t>
      </w:r>
      <w:r>
        <w:t xml:space="preserve">to capture and use methane </w:t>
      </w:r>
      <w:r w:rsidR="00085ACD">
        <w:t>released during fracking operations.</w:t>
      </w:r>
      <w:r w:rsidR="00EE5F6A">
        <w:t xml:space="preserve"> </w:t>
      </w:r>
      <w:r w:rsidR="00B420B9">
        <w:t>S</w:t>
      </w:r>
      <w:r w:rsidR="00D0228F">
        <w:t xml:space="preserve">imilar </w:t>
      </w:r>
      <w:r w:rsidR="00B420B9">
        <w:t xml:space="preserve">efforts </w:t>
      </w:r>
      <w:r w:rsidR="00D0228F">
        <w:t xml:space="preserve">may well </w:t>
      </w:r>
      <w:r w:rsidR="00B420B9">
        <w:t xml:space="preserve">gain steam because of </w:t>
      </w:r>
      <w:r w:rsidR="00D0228F">
        <w:t xml:space="preserve">political momentum from </w:t>
      </w:r>
      <w:r w:rsidR="00B420B9">
        <w:t xml:space="preserve">the </w:t>
      </w:r>
      <w:r w:rsidR="00D0228F">
        <w:t xml:space="preserve">2018 </w:t>
      </w:r>
      <w:r w:rsidR="00EE5F6A">
        <w:t xml:space="preserve">midterm elections </w:t>
      </w:r>
      <w:r w:rsidR="00B420B9">
        <w:t xml:space="preserve">that resulted in Democrats regaining control of the U.S. </w:t>
      </w:r>
      <w:r w:rsidR="00EE5F6A">
        <w:t>House of Representatives</w:t>
      </w:r>
      <w:r w:rsidR="00B420B9">
        <w:t>. It is unclear whether ongoing litigation challenging Trump Admini</w:t>
      </w:r>
      <w:r w:rsidR="00D0228F">
        <w:t>stra</w:t>
      </w:r>
      <w:r w:rsidR="00B420B9">
        <w:t>tion policies will succeed</w:t>
      </w:r>
      <w:r w:rsidR="00D0228F">
        <w:t>. T</w:t>
      </w:r>
      <w:r w:rsidR="001B72CD">
        <w:t>ime will tell.</w:t>
      </w:r>
      <w:r w:rsidR="00EE5F6A">
        <w:t xml:space="preserve"> </w:t>
      </w:r>
      <w:r>
        <w:t xml:space="preserve">   </w:t>
      </w:r>
    </w:p>
    <w:p w:rsidR="00AC28F0" w:rsidRDefault="006270F1" w:rsidP="002135E9">
      <w:pPr>
        <w:spacing w:line="480" w:lineRule="auto"/>
        <w:ind w:firstLine="720"/>
      </w:pPr>
      <w:r>
        <w:t xml:space="preserve">   </w:t>
      </w:r>
      <w:r w:rsidR="00DA211C">
        <w:t xml:space="preserve">  </w:t>
      </w:r>
      <w:r w:rsidR="00AE7523">
        <w:t xml:space="preserve"> </w:t>
      </w:r>
      <w:r w:rsidR="00D2155D">
        <w:t xml:space="preserve"> </w:t>
      </w:r>
      <w:r w:rsidR="009219F9">
        <w:t xml:space="preserve"> </w:t>
      </w:r>
    </w:p>
    <w:p w:rsidR="00FB4734" w:rsidRPr="00172455" w:rsidRDefault="00375523" w:rsidP="00F7108D">
      <w:pPr>
        <w:spacing w:line="480" w:lineRule="auto"/>
        <w:ind w:firstLine="720"/>
      </w:pPr>
      <w:r w:rsidRPr="00172455">
        <w:t xml:space="preserve">  </w:t>
      </w:r>
    </w:p>
    <w:p w:rsidR="002757B5" w:rsidRPr="00CB5B59" w:rsidRDefault="002757B5" w:rsidP="00F7108D">
      <w:pPr>
        <w:rPr>
          <w:sz w:val="20"/>
          <w:szCs w:val="20"/>
        </w:rPr>
      </w:pPr>
    </w:p>
    <w:p w:rsidR="00403238" w:rsidRDefault="00403238" w:rsidP="00277E94"/>
    <w:p w:rsidR="00403238" w:rsidRDefault="00403238" w:rsidP="00277E94"/>
    <w:p w:rsidR="00403238" w:rsidRDefault="00403238" w:rsidP="00277E94"/>
    <w:p w:rsidR="00403238" w:rsidRDefault="00403238" w:rsidP="00277E94"/>
    <w:p w:rsidR="00403238" w:rsidRDefault="00403238" w:rsidP="00277E94"/>
    <w:p w:rsidR="00403238" w:rsidRDefault="00403238" w:rsidP="00277E94"/>
    <w:p w:rsidR="00403238" w:rsidRDefault="00403238" w:rsidP="00277E94"/>
    <w:p w:rsidR="00403238" w:rsidRDefault="00403238" w:rsidP="00277E94"/>
    <w:p w:rsidR="00403238" w:rsidRDefault="00403238" w:rsidP="00277E94"/>
    <w:p w:rsidR="00403238" w:rsidRDefault="00403238" w:rsidP="00277E94"/>
    <w:p w:rsidR="00277E94" w:rsidRDefault="00277E94" w:rsidP="00277E94">
      <w:r w:rsidRPr="00CB5B59">
        <w:lastRenderedPageBreak/>
        <w:t>References</w:t>
      </w:r>
    </w:p>
    <w:p w:rsidR="00CB495A" w:rsidRPr="00CB5B59" w:rsidRDefault="00CB495A" w:rsidP="00277E94"/>
    <w:p w:rsidR="00277E94" w:rsidRPr="00CB5B59" w:rsidRDefault="00277E94" w:rsidP="00277E94"/>
    <w:p w:rsidR="00277E94" w:rsidRPr="00CB5B59" w:rsidRDefault="00277E94" w:rsidP="00F7108D">
      <w:pPr>
        <w:spacing w:line="480" w:lineRule="auto"/>
      </w:pPr>
      <w:r w:rsidRPr="00CB5B59">
        <w:t xml:space="preserve">Associated Press. </w:t>
      </w:r>
      <w:r w:rsidR="00463A60" w:rsidRPr="00CB5B59">
        <w:t>(</w:t>
      </w:r>
      <w:r w:rsidRPr="00CB5B59">
        <w:t>2005</w:t>
      </w:r>
      <w:r w:rsidR="00463A60" w:rsidRPr="00CB5B59">
        <w:t>)</w:t>
      </w:r>
      <w:r w:rsidRPr="00CB5B59">
        <w:t xml:space="preserve">. BLM disputes Wyoming split estate law. </w:t>
      </w:r>
      <w:r w:rsidRPr="00CB5B59">
        <w:rPr>
          <w:i/>
        </w:rPr>
        <w:t>Billings Gazette</w:t>
      </w:r>
      <w:r w:rsidRPr="00CB5B59">
        <w:t xml:space="preserve"> (June 21).</w:t>
      </w:r>
    </w:p>
    <w:p w:rsidR="00C25125" w:rsidRDefault="00134F4D" w:rsidP="00D23DFA">
      <w:r w:rsidRPr="00134F4D">
        <w:t>Besco, Laurel. (2018): "Responses to the Clean Power Plan: Factors Influencing State Decision</w:t>
      </w:r>
      <w:r w:rsidRPr="00134F4D">
        <w:rPr>
          <w:rFonts w:ascii="Cambria Math" w:hAnsi="Cambria Math" w:cs="Cambria Math"/>
        </w:rPr>
        <w:t>‐</w:t>
      </w:r>
      <w:r w:rsidRPr="00134F4D">
        <w:t xml:space="preserve">Making." </w:t>
      </w:r>
      <w:r w:rsidRPr="00134F4D">
        <w:rPr>
          <w:i/>
        </w:rPr>
        <w:t>Review of Policy Research</w:t>
      </w:r>
      <w:r w:rsidRPr="00134F4D">
        <w:t xml:space="preserve"> </w:t>
      </w:r>
      <w:r>
        <w:t>V</w:t>
      </w:r>
      <w:r w:rsidRPr="00134F4D">
        <w:t>35, no. 5</w:t>
      </w:r>
      <w:r>
        <w:t>:</w:t>
      </w:r>
      <w:r w:rsidRPr="00134F4D">
        <w:t xml:space="preserve"> 670-690.</w:t>
      </w:r>
    </w:p>
    <w:p w:rsidR="00134F4D" w:rsidRDefault="00134F4D" w:rsidP="00D23DFA"/>
    <w:p w:rsidR="00B15401" w:rsidRDefault="00B15401" w:rsidP="00D23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222222"/>
          <w:szCs w:val="20"/>
        </w:rPr>
      </w:pPr>
      <w:r w:rsidRPr="00B15401">
        <w:rPr>
          <w:rFonts w:eastAsia="Times New Roman"/>
          <w:color w:val="222222"/>
          <w:szCs w:val="20"/>
        </w:rPr>
        <w:t xml:space="preserve">Bomberg, Elizabeth. "Environmental politics in the Trump era: an early assessment." </w:t>
      </w:r>
    </w:p>
    <w:p w:rsidR="00B15401" w:rsidRDefault="00B15401" w:rsidP="00D23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222222"/>
          <w:szCs w:val="20"/>
        </w:rPr>
      </w:pPr>
    </w:p>
    <w:p w:rsidR="00B15401" w:rsidRPr="00B15401" w:rsidRDefault="00B15401" w:rsidP="00D23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rPr>
      </w:pPr>
      <w:r w:rsidRPr="00B15401">
        <w:rPr>
          <w:rFonts w:eastAsia="Times New Roman"/>
          <w:i/>
          <w:iCs/>
          <w:color w:val="222222"/>
          <w:szCs w:val="20"/>
        </w:rPr>
        <w:t>Environmental Politics</w:t>
      </w:r>
      <w:r w:rsidRPr="00B15401">
        <w:rPr>
          <w:rFonts w:eastAsia="Times New Roman"/>
          <w:color w:val="222222"/>
          <w:szCs w:val="20"/>
        </w:rPr>
        <w:t xml:space="preserve"> V26, No. 5 (2017): 956-963.</w:t>
      </w:r>
    </w:p>
    <w:p w:rsidR="00766D49" w:rsidRDefault="00766D49" w:rsidP="00D23DFA"/>
    <w:p w:rsidR="00766D49" w:rsidRDefault="00766D49" w:rsidP="00D23DFA">
      <w:r w:rsidRPr="00766D49">
        <w:t>Bush</w:t>
      </w:r>
      <w:r>
        <w:t>,</w:t>
      </w:r>
      <w:r w:rsidRPr="00766D49">
        <w:t xml:space="preserve"> George W. (2001). Executive order 13212--Actions to expedite energy-related projects. </w:t>
      </w:r>
    </w:p>
    <w:p w:rsidR="00766D49" w:rsidRDefault="00766D49" w:rsidP="00D23DFA"/>
    <w:p w:rsidR="00766D49" w:rsidRDefault="00766D49" w:rsidP="00D23DFA">
      <w:pPr>
        <w:rPr>
          <w:rStyle w:val="Hyperlink"/>
        </w:rPr>
      </w:pPr>
      <w:r w:rsidRPr="00766D49">
        <w:t xml:space="preserve">Available at: </w:t>
      </w:r>
      <w:hyperlink r:id="rId7" w:history="1">
        <w:r w:rsidR="00166C84" w:rsidRPr="008F2B68">
          <w:rPr>
            <w:rStyle w:val="Hyperlink"/>
          </w:rPr>
          <w:t>https://www.energy.gov/sites/prod/files/oeprod/DocumentsandMedia/Executive_ Order_13212. pdf</w:t>
        </w:r>
      </w:hyperlink>
    </w:p>
    <w:p w:rsidR="00403238" w:rsidRDefault="00403238" w:rsidP="00D23DFA"/>
    <w:p w:rsidR="00B15401" w:rsidRDefault="00B15401" w:rsidP="00D23DFA"/>
    <w:p w:rsidR="008A3A71" w:rsidRDefault="008A3A71" w:rsidP="00D23DFA">
      <w:r w:rsidRPr="008A3A71">
        <w:t xml:space="preserve">Clarke, J. and D. McCool. (1996). </w:t>
      </w:r>
      <w:r w:rsidRPr="008A3A71">
        <w:rPr>
          <w:i/>
        </w:rPr>
        <w:t>Staking out the terrain</w:t>
      </w:r>
      <w:r w:rsidRPr="008A3A71">
        <w:t>, 2</w:t>
      </w:r>
      <w:r w:rsidRPr="008A3A71">
        <w:rPr>
          <w:vertAlign w:val="superscript"/>
        </w:rPr>
        <w:t>nd</w:t>
      </w:r>
      <w:r w:rsidRPr="008A3A71">
        <w:t xml:space="preserve"> ed. Albany, NY: SUNY Press.</w:t>
      </w:r>
    </w:p>
    <w:p w:rsidR="009B2F48" w:rsidRDefault="009B2F48" w:rsidP="00D23DFA"/>
    <w:p w:rsidR="002A1F7C" w:rsidRDefault="002A1F7C" w:rsidP="00D23DFA">
      <w:r w:rsidRPr="002A1F7C">
        <w:t>Council on Environmental Quality</w:t>
      </w:r>
      <w:r>
        <w:t xml:space="preserve"> (2016). </w:t>
      </w:r>
      <w:r w:rsidRPr="002A1F7C">
        <w:rPr>
          <w:i/>
        </w:rPr>
        <w:t>Fact Sheet: White House Council on Environmental Quality Releases Final Guidance on Considering Climate Change in Environmental Reviews</w:t>
      </w:r>
      <w:r>
        <w:t xml:space="preserve"> (August 2). Available at: </w:t>
      </w:r>
      <w:hyperlink r:id="rId8" w:history="1">
        <w:r w:rsidR="00CF602D" w:rsidRPr="008F2B68">
          <w:rPr>
            <w:rStyle w:val="Hyperlink"/>
          </w:rPr>
          <w:t>https://obamawhitehouse.archives.gov/the-press-office/2016/08/02/ fact-sheet-white-house-council-environmental-quality-releases-final</w:t>
        </w:r>
      </w:hyperlink>
    </w:p>
    <w:p w:rsidR="002A1F7C" w:rsidRDefault="002A1F7C" w:rsidP="00D23DFA"/>
    <w:p w:rsidR="00246CE3" w:rsidRDefault="00BD6772" w:rsidP="00D23DFA">
      <w:r>
        <w:t xml:space="preserve">Davenport, Coral. (2017). With Trump in charge, climate change references purged from website. </w:t>
      </w:r>
      <w:r>
        <w:rPr>
          <w:i/>
        </w:rPr>
        <w:t xml:space="preserve">New York Times </w:t>
      </w:r>
      <w:r>
        <w:t>(January 20).</w:t>
      </w:r>
    </w:p>
    <w:p w:rsidR="00CB495A" w:rsidRDefault="00CB495A" w:rsidP="00D23DFA"/>
    <w:p w:rsidR="006C0D62" w:rsidRDefault="00BD6772" w:rsidP="00D23DFA">
      <w:r>
        <w:t xml:space="preserve">Davenport, Coral. (2016). Climate policy faces reversal by new leader. </w:t>
      </w:r>
      <w:r>
        <w:rPr>
          <w:i/>
        </w:rPr>
        <w:t xml:space="preserve">New York Times </w:t>
      </w:r>
    </w:p>
    <w:p w:rsidR="00BD6772" w:rsidRDefault="00BD6772" w:rsidP="00D23DFA">
      <w:r>
        <w:t>(November 11).</w:t>
      </w:r>
    </w:p>
    <w:p w:rsidR="00C07302" w:rsidRDefault="00C07302" w:rsidP="00D23DFA">
      <w:pPr>
        <w:outlineLvl w:val="0"/>
        <w:rPr>
          <w:rFonts w:eastAsia="Times New Roman"/>
          <w:bCs/>
          <w:kern w:val="36"/>
          <w:lang w:val="en"/>
        </w:rPr>
      </w:pPr>
    </w:p>
    <w:p w:rsidR="00C07302" w:rsidRDefault="00C07302" w:rsidP="00D23DFA">
      <w:r>
        <w:t xml:space="preserve">Davenport, Coral and Eric Lipton. (2017). </w:t>
      </w:r>
      <w:r w:rsidRPr="00C07302">
        <w:t xml:space="preserve">Scott Pruitt </w:t>
      </w:r>
      <w:r>
        <w:t>i</w:t>
      </w:r>
      <w:r w:rsidRPr="00C07302">
        <w:t xml:space="preserve">s </w:t>
      </w:r>
      <w:r>
        <w:t>c</w:t>
      </w:r>
      <w:r w:rsidRPr="00C07302">
        <w:t xml:space="preserve">arrying </w:t>
      </w:r>
      <w:r>
        <w:t>o</w:t>
      </w:r>
      <w:r w:rsidRPr="00C07302">
        <w:t xml:space="preserve">ut </w:t>
      </w:r>
      <w:r>
        <w:t>h</w:t>
      </w:r>
      <w:r w:rsidRPr="00C07302">
        <w:t xml:space="preserve">is E.P.A. </w:t>
      </w:r>
      <w:r>
        <w:t>a</w:t>
      </w:r>
      <w:r w:rsidRPr="00C07302">
        <w:t xml:space="preserve">genda in </w:t>
      </w:r>
      <w:r>
        <w:t>s</w:t>
      </w:r>
      <w:r w:rsidRPr="00C07302">
        <w:t xml:space="preserve">ecret, </w:t>
      </w:r>
      <w:r>
        <w:t>c</w:t>
      </w:r>
      <w:r w:rsidRPr="00C07302">
        <w:t xml:space="preserve">ritics </w:t>
      </w:r>
      <w:r>
        <w:t>s</w:t>
      </w:r>
      <w:r w:rsidRPr="00C07302">
        <w:t>ay</w:t>
      </w:r>
      <w:r>
        <w:t xml:space="preserve">. </w:t>
      </w:r>
      <w:r>
        <w:rPr>
          <w:i/>
        </w:rPr>
        <w:t xml:space="preserve">New York Times </w:t>
      </w:r>
      <w:r>
        <w:t>(August 11).</w:t>
      </w:r>
    </w:p>
    <w:p w:rsidR="00C07302" w:rsidRDefault="00C07302" w:rsidP="00D23DFA">
      <w:pPr>
        <w:outlineLvl w:val="0"/>
        <w:rPr>
          <w:rFonts w:eastAsia="Times New Roman"/>
          <w:bCs/>
          <w:kern w:val="36"/>
          <w:lang w:val="en"/>
        </w:rPr>
      </w:pPr>
    </w:p>
    <w:p w:rsidR="00E36F5B" w:rsidRPr="005B433B" w:rsidRDefault="00E36F5B" w:rsidP="00D23DFA">
      <w:r>
        <w:t xml:space="preserve">Dougherty, John. (2018). </w:t>
      </w:r>
      <w:r w:rsidR="00830274">
        <w:t>Op</w:t>
      </w:r>
      <w:r>
        <w:t xml:space="preserve">erating under the radar: Top Zinke aids undermine protections for public lands and endangered species. </w:t>
      </w:r>
      <w:r w:rsidR="00830274">
        <w:rPr>
          <w:i/>
        </w:rPr>
        <w:t>The Revelator</w:t>
      </w:r>
      <w:r w:rsidR="005B433B">
        <w:rPr>
          <w:i/>
        </w:rPr>
        <w:t xml:space="preserve"> </w:t>
      </w:r>
      <w:r w:rsidR="005B433B">
        <w:t>(April 18).</w:t>
      </w:r>
    </w:p>
    <w:p w:rsidR="00124C77" w:rsidRDefault="00124C77" w:rsidP="00D23DFA"/>
    <w:p w:rsidR="005B433B" w:rsidRDefault="00763DCB" w:rsidP="00D23DFA">
      <w:r w:rsidRPr="00CB5B59">
        <w:t xml:space="preserve">Duffy, Robert. </w:t>
      </w:r>
      <w:r w:rsidR="00920820" w:rsidRPr="00CB5B59">
        <w:t>(</w:t>
      </w:r>
      <w:r w:rsidRPr="00CB5B59">
        <w:t>2008</w:t>
      </w:r>
      <w:r w:rsidR="00920820" w:rsidRPr="00CB5B59">
        <w:t>)</w:t>
      </w:r>
      <w:r w:rsidRPr="00CB5B59">
        <w:t xml:space="preserve">. Conflict expansion or conflict management? Energy development in </w:t>
      </w:r>
    </w:p>
    <w:p w:rsidR="00763DCB" w:rsidRPr="00CB5B59" w:rsidRDefault="00763DCB" w:rsidP="00D23DFA">
      <w:r w:rsidRPr="00CB5B59">
        <w:t>Colorado. Western Political Science Association Conference Paper.</w:t>
      </w:r>
    </w:p>
    <w:p w:rsidR="00763DCB" w:rsidRPr="00CB5B59" w:rsidRDefault="00763DCB" w:rsidP="00D23DFA"/>
    <w:p w:rsidR="00154F5F" w:rsidRDefault="00154F5F" w:rsidP="00D23DFA">
      <w:r w:rsidRPr="00154F5F">
        <w:t xml:space="preserve">Robert J. </w:t>
      </w:r>
      <w:r>
        <w:t xml:space="preserve">Duffy &amp; Jeffrey J. Cook (2018). Overcoming bureaucratic silos? Environmental policy integration in the Obama administration, </w:t>
      </w:r>
      <w:r w:rsidRPr="00154F5F">
        <w:rPr>
          <w:i/>
        </w:rPr>
        <w:t>Environmental Politics</w:t>
      </w:r>
      <w:r>
        <w:rPr>
          <w:i/>
        </w:rPr>
        <w:t>.</w:t>
      </w:r>
      <w:r>
        <w:t xml:space="preserve"> </w:t>
      </w:r>
    </w:p>
    <w:p w:rsidR="003E6CEC" w:rsidRDefault="00154F5F" w:rsidP="00D23DFA">
      <w:r>
        <w:t xml:space="preserve">DOI: 10.1080/09644016.2018.1511074  </w:t>
      </w:r>
      <w:r w:rsidR="003E6CEC">
        <w:t xml:space="preserve">Available at: </w:t>
      </w:r>
      <w:hyperlink r:id="rId9" w:history="1">
        <w:r w:rsidR="002A1F7C" w:rsidRPr="00A41D17">
          <w:rPr>
            <w:rStyle w:val="Hyperlink"/>
          </w:rPr>
          <w:t>http://www.hcn.org/articles/the-contradictions-at-the-heart-of-the-fight-over-methane-rules</w:t>
        </w:r>
      </w:hyperlink>
    </w:p>
    <w:p w:rsidR="002A1F7C" w:rsidRDefault="002A1F7C" w:rsidP="00D23DFA"/>
    <w:p w:rsidR="00893473" w:rsidRDefault="00893473" w:rsidP="00D23DFA">
      <w:r w:rsidRPr="00CB5B59">
        <w:t xml:space="preserve">Eilperin, Juliet. </w:t>
      </w:r>
      <w:r w:rsidR="00C45891" w:rsidRPr="00CB5B59">
        <w:t>(</w:t>
      </w:r>
      <w:r w:rsidRPr="00CB5B59">
        <w:t>2004</w:t>
      </w:r>
      <w:r w:rsidR="00C45891" w:rsidRPr="00CB5B59">
        <w:t>)</w:t>
      </w:r>
      <w:r w:rsidRPr="00CB5B59">
        <w:t xml:space="preserve">. Utah oil and gas leases stir criticism. </w:t>
      </w:r>
      <w:r w:rsidRPr="00CB5B59">
        <w:rPr>
          <w:i/>
        </w:rPr>
        <w:t xml:space="preserve">Washington Post </w:t>
      </w:r>
      <w:r w:rsidRPr="00CB5B59">
        <w:t>(March 1): A02.</w:t>
      </w:r>
    </w:p>
    <w:p w:rsidR="006276CC" w:rsidRDefault="006276CC" w:rsidP="00D23DFA"/>
    <w:p w:rsidR="006276CC" w:rsidRPr="00CB5B59" w:rsidRDefault="006276CC" w:rsidP="00D23DFA">
      <w:r>
        <w:t xml:space="preserve">Eilperin, Juliet. (2019). Federal judge halts drilling in Wyoming over climate concerns. </w:t>
      </w:r>
      <w:r w:rsidRPr="006276CC">
        <w:rPr>
          <w:i/>
        </w:rPr>
        <w:t>Washington Post</w:t>
      </w:r>
      <w:r w:rsidRPr="006276CC">
        <w:t xml:space="preserve"> (March </w:t>
      </w:r>
      <w:r>
        <w:t>20</w:t>
      </w:r>
      <w:r w:rsidRPr="006276CC">
        <w:t>)</w:t>
      </w:r>
      <w:r>
        <w:t>.</w:t>
      </w:r>
      <w:r w:rsidRPr="006276CC">
        <w:t xml:space="preserve"> </w:t>
      </w:r>
      <w:r>
        <w:t xml:space="preserve"> </w:t>
      </w:r>
    </w:p>
    <w:p w:rsidR="005B3610" w:rsidRPr="00CB5B59" w:rsidRDefault="005B3610" w:rsidP="00D23DFA">
      <w:pPr>
        <w:jc w:val="both"/>
      </w:pPr>
    </w:p>
    <w:p w:rsidR="00CB495A" w:rsidRDefault="00CB495A" w:rsidP="00D23DFA">
      <w:r>
        <w:t>G</w:t>
      </w:r>
      <w:r w:rsidR="00957DD8" w:rsidRPr="00CB5B59">
        <w:t xml:space="preserve">ilmer, Ellen. </w:t>
      </w:r>
      <w:r w:rsidR="00920820" w:rsidRPr="00CB5B59">
        <w:t>(</w:t>
      </w:r>
      <w:r w:rsidR="00957DD8" w:rsidRPr="00CB5B59">
        <w:t>2015</w:t>
      </w:r>
      <w:r w:rsidR="00920820" w:rsidRPr="00CB5B59">
        <w:t>)</w:t>
      </w:r>
      <w:r w:rsidR="00957DD8" w:rsidRPr="00CB5B59">
        <w:t xml:space="preserve">. Federal judge postpones BLM fracking rule. </w:t>
      </w:r>
      <w:r w:rsidR="00957DD8" w:rsidRPr="00CB5B59">
        <w:rPr>
          <w:i/>
        </w:rPr>
        <w:t>Greenwire</w:t>
      </w:r>
      <w:r w:rsidR="00957DD8" w:rsidRPr="00CB5B59">
        <w:t xml:space="preserve"> (June 24).</w:t>
      </w:r>
      <w:r w:rsidR="00CF602D">
        <w:t xml:space="preserve"> </w:t>
      </w:r>
    </w:p>
    <w:p w:rsidR="00CF602D" w:rsidRDefault="00CF602D" w:rsidP="00D23DFA"/>
    <w:p w:rsidR="00CF602D" w:rsidRDefault="00071171" w:rsidP="00D23DFA">
      <w:r w:rsidRPr="00CB5B59">
        <w:t>Gilmer, Ellen. (201</w:t>
      </w:r>
      <w:r>
        <w:t>8</w:t>
      </w:r>
      <w:r w:rsidRPr="00CB5B59">
        <w:t xml:space="preserve">). </w:t>
      </w:r>
      <w:r>
        <w:t xml:space="preserve">Public lands: The many lives of BLM methane litigation. </w:t>
      </w:r>
      <w:r w:rsidR="004F268D" w:rsidRPr="004F268D">
        <w:rPr>
          <w:i/>
        </w:rPr>
        <w:t>EnergyWire</w:t>
      </w:r>
      <w:r w:rsidR="004F268D">
        <w:t xml:space="preserve"> </w:t>
      </w:r>
    </w:p>
    <w:p w:rsidR="00071171" w:rsidRPr="00CB5B59" w:rsidRDefault="004F268D" w:rsidP="00D23DFA">
      <w:r>
        <w:t>(May 3)</w:t>
      </w:r>
      <w:r w:rsidR="00071171" w:rsidRPr="00CB5B59">
        <w:t>.</w:t>
      </w:r>
    </w:p>
    <w:p w:rsidR="00CB495A" w:rsidRDefault="00CB495A" w:rsidP="00D23DFA"/>
    <w:p w:rsidR="008A3A71" w:rsidRDefault="002D5298" w:rsidP="00D23DFA">
      <w:r>
        <w:t xml:space="preserve">Harvard Environmental Law Program. 2018. </w:t>
      </w:r>
      <w:r w:rsidRPr="00595C22">
        <w:rPr>
          <w:i/>
        </w:rPr>
        <w:t>Methane waste prevention rule</w:t>
      </w:r>
      <w:r>
        <w:t xml:space="preserve">. Accessed on </w:t>
      </w:r>
    </w:p>
    <w:p w:rsidR="00277E94" w:rsidRDefault="002D5298" w:rsidP="00D23DFA">
      <w:r>
        <w:t xml:space="preserve">8/24/2018 at </w:t>
      </w:r>
      <w:hyperlink r:id="rId10" w:history="1">
        <w:r w:rsidR="003F272E" w:rsidRPr="008B446B">
          <w:rPr>
            <w:rStyle w:val="Hyperlink"/>
          </w:rPr>
          <w:t>http://environmental.law.harvard.edu/2018/07/methane-waste-prevention-rule-information/</w:t>
        </w:r>
      </w:hyperlink>
    </w:p>
    <w:p w:rsidR="00CB495A" w:rsidRDefault="00CB495A" w:rsidP="00D23DFA"/>
    <w:p w:rsidR="0065342C" w:rsidRPr="00CB5B59" w:rsidRDefault="0065342C" w:rsidP="00D23DFA">
      <w:r>
        <w:t xml:space="preserve">Hulac, </w:t>
      </w:r>
      <w:r w:rsidRPr="0065342C">
        <w:t xml:space="preserve">Benjamin </w:t>
      </w:r>
      <w:r>
        <w:t>(2015).</w:t>
      </w:r>
      <w:r w:rsidRPr="0065342C">
        <w:t xml:space="preserve"> </w:t>
      </w:r>
      <w:r>
        <w:t xml:space="preserve">“The social cost of man's carbon dioxide -- measuring the unmeasurable?” </w:t>
      </w:r>
      <w:r w:rsidRPr="0065342C">
        <w:rPr>
          <w:i/>
        </w:rPr>
        <w:t>EnergyWire</w:t>
      </w:r>
      <w:r>
        <w:rPr>
          <w:i/>
        </w:rPr>
        <w:t xml:space="preserve"> </w:t>
      </w:r>
      <w:r>
        <w:t>(April 1).</w:t>
      </w:r>
    </w:p>
    <w:p w:rsidR="00277E94" w:rsidRPr="00CB5B59" w:rsidRDefault="00277E94" w:rsidP="00D23DFA"/>
    <w:p w:rsidR="0057523C" w:rsidRDefault="00F36BCA" w:rsidP="00D23DFA">
      <w:r>
        <w:t xml:space="preserve">King, Pamela (2018). BLM document reveals ambitious NEPA overhaul. </w:t>
      </w:r>
      <w:r w:rsidRPr="00F36BCA">
        <w:rPr>
          <w:i/>
        </w:rPr>
        <w:t>EnergyWire</w:t>
      </w:r>
      <w:r>
        <w:t xml:space="preserve"> (August 14).</w:t>
      </w:r>
    </w:p>
    <w:p w:rsidR="00F36BCA" w:rsidRDefault="00F36BCA" w:rsidP="00D23DFA"/>
    <w:p w:rsidR="00691492" w:rsidRPr="00CB5B59" w:rsidRDefault="00691492" w:rsidP="00D23DFA">
      <w:r w:rsidRPr="00CB5B59">
        <w:t xml:space="preserve">Klyza, Christopher and David Sousa. (2013). </w:t>
      </w:r>
      <w:r w:rsidRPr="00CB5B59">
        <w:rPr>
          <w:i/>
        </w:rPr>
        <w:t>American environmental policy: Beyond gridlock.</w:t>
      </w:r>
      <w:r w:rsidRPr="00CB5B59">
        <w:t xml:space="preserve"> Cambridge, MA: MIT Press.</w:t>
      </w:r>
    </w:p>
    <w:p w:rsidR="00691492" w:rsidRPr="00CB5B59" w:rsidRDefault="00691492" w:rsidP="00D23DFA"/>
    <w:p w:rsidR="006B4C07" w:rsidRDefault="006B4C07" w:rsidP="00D23DFA">
      <w:r w:rsidRPr="006B4C07">
        <w:t>Konisky, David M., and Neal D. Woods.</w:t>
      </w:r>
      <w:r>
        <w:t xml:space="preserve"> (2018). </w:t>
      </w:r>
      <w:r w:rsidRPr="006B4C07">
        <w:t xml:space="preserve">Environmental </w:t>
      </w:r>
      <w:r>
        <w:t>f</w:t>
      </w:r>
      <w:r w:rsidRPr="006B4C07">
        <w:t xml:space="preserve">ederalism and the Trump Presidency: A </w:t>
      </w:r>
      <w:r>
        <w:t>p</w:t>
      </w:r>
      <w:r w:rsidRPr="006B4C07">
        <w:t xml:space="preserve">reliminary </w:t>
      </w:r>
      <w:r>
        <w:t>a</w:t>
      </w:r>
      <w:r w:rsidRPr="006B4C07">
        <w:t xml:space="preserve">ssessment." </w:t>
      </w:r>
      <w:r w:rsidRPr="006B4C07">
        <w:rPr>
          <w:i/>
        </w:rPr>
        <w:t>Publius: The Journal of Federalism</w:t>
      </w:r>
      <w:r w:rsidRPr="006B4C07">
        <w:t xml:space="preserve"> (2018).</w:t>
      </w:r>
      <w:r>
        <w:t xml:space="preserve"> 48 (3):</w:t>
      </w:r>
    </w:p>
    <w:p w:rsidR="006B4C07" w:rsidRDefault="006B4C07" w:rsidP="00D23DFA">
      <w:r>
        <w:t>345-371.</w:t>
      </w:r>
    </w:p>
    <w:p w:rsidR="006C3618" w:rsidRDefault="006C3618" w:rsidP="00D23DFA"/>
    <w:p w:rsidR="006C3618" w:rsidRDefault="006C3618" w:rsidP="00D23DFA">
      <w:r w:rsidRPr="006C3618">
        <w:t xml:space="preserve">Lattanzio, R.K. (2018). </w:t>
      </w:r>
      <w:r w:rsidRPr="009D4445">
        <w:rPr>
          <w:i/>
        </w:rPr>
        <w:t>Methane and other air pollution issues in natural gas systems</w:t>
      </w:r>
      <w:r w:rsidRPr="006C3618">
        <w:t xml:space="preserve"> (CRS Report No. R42986). Available at: https://crsreports.congress.gov/ R42986</w:t>
      </w:r>
    </w:p>
    <w:p w:rsidR="00CB495A" w:rsidRDefault="00CB495A" w:rsidP="00D23DFA"/>
    <w:p w:rsidR="00CF602D" w:rsidRDefault="00277E94" w:rsidP="00D23DFA">
      <w:r w:rsidRPr="00CB5B59">
        <w:t xml:space="preserve">Lubell, Mark and Brian Segee. </w:t>
      </w:r>
      <w:r w:rsidR="002B49E9" w:rsidRPr="00CB5B59">
        <w:t>(</w:t>
      </w:r>
      <w:r w:rsidRPr="00CB5B59">
        <w:t>2013</w:t>
      </w:r>
      <w:r w:rsidR="002B49E9" w:rsidRPr="00CB5B59">
        <w:t>)</w:t>
      </w:r>
      <w:r w:rsidRPr="00CB5B59">
        <w:t xml:space="preserve">. Conflict and cooperation in natural resource management. </w:t>
      </w:r>
    </w:p>
    <w:p w:rsidR="00277E94" w:rsidRPr="00CB5B59" w:rsidRDefault="00277E94" w:rsidP="00D23DFA">
      <w:r w:rsidRPr="00CB5B59">
        <w:t xml:space="preserve">In Norman Vig And Michael Kraft, eds., </w:t>
      </w:r>
      <w:r w:rsidRPr="00CB5B59">
        <w:rPr>
          <w:i/>
        </w:rPr>
        <w:t xml:space="preserve">Environmental </w:t>
      </w:r>
      <w:r w:rsidR="00691492" w:rsidRPr="00CB5B59">
        <w:rPr>
          <w:i/>
        </w:rPr>
        <w:t>p</w:t>
      </w:r>
      <w:r w:rsidRPr="00CB5B59">
        <w:rPr>
          <w:i/>
        </w:rPr>
        <w:t>olicy</w:t>
      </w:r>
      <w:r w:rsidR="00F51058" w:rsidRPr="00CB5B59">
        <w:rPr>
          <w:i/>
        </w:rPr>
        <w:t>,8</w:t>
      </w:r>
      <w:r w:rsidR="00F51058" w:rsidRPr="00CB5B59">
        <w:rPr>
          <w:i/>
          <w:vertAlign w:val="superscript"/>
        </w:rPr>
        <w:t>th</w:t>
      </w:r>
      <w:r w:rsidR="00F51058" w:rsidRPr="00CB5B59">
        <w:rPr>
          <w:i/>
        </w:rPr>
        <w:t xml:space="preserve"> ed</w:t>
      </w:r>
      <w:r w:rsidRPr="00CB5B59">
        <w:t>. Washington, DC: CQ Press.</w:t>
      </w:r>
    </w:p>
    <w:p w:rsidR="005618E6" w:rsidRPr="00CB5B59" w:rsidRDefault="005618E6" w:rsidP="00D23DFA">
      <w:pPr>
        <w:jc w:val="both"/>
      </w:pPr>
    </w:p>
    <w:p w:rsidR="00403238" w:rsidRDefault="007312E3" w:rsidP="00D23DFA">
      <w:pPr>
        <w:rPr>
          <w:i/>
        </w:rPr>
      </w:pPr>
      <w:r w:rsidRPr="00CB5B59">
        <w:t xml:space="preserve">McCool, Daniel. 1998. “The </w:t>
      </w:r>
      <w:r w:rsidR="00691492" w:rsidRPr="00CB5B59">
        <w:t>s</w:t>
      </w:r>
      <w:r w:rsidRPr="00CB5B59">
        <w:t xml:space="preserve">ubsystem </w:t>
      </w:r>
      <w:r w:rsidR="00691492" w:rsidRPr="00CB5B59">
        <w:t>f</w:t>
      </w:r>
      <w:r w:rsidRPr="00CB5B59">
        <w:t xml:space="preserve">amily of </w:t>
      </w:r>
      <w:r w:rsidR="00691492" w:rsidRPr="00CB5B59">
        <w:t>c</w:t>
      </w:r>
      <w:r w:rsidRPr="00CB5B59">
        <w:t xml:space="preserve">oncepts: A </w:t>
      </w:r>
      <w:r w:rsidR="00691492" w:rsidRPr="00CB5B59">
        <w:t>c</w:t>
      </w:r>
      <w:r w:rsidRPr="00CB5B59">
        <w:t xml:space="preserve">ritique and a </w:t>
      </w:r>
      <w:r w:rsidR="00691492" w:rsidRPr="00CB5B59">
        <w:t>p</w:t>
      </w:r>
      <w:r w:rsidRPr="00CB5B59">
        <w:t xml:space="preserve">roposal,” </w:t>
      </w:r>
      <w:r w:rsidRPr="00CB5B59">
        <w:rPr>
          <w:i/>
        </w:rPr>
        <w:t xml:space="preserve">Political </w:t>
      </w:r>
    </w:p>
    <w:p w:rsidR="007312E3" w:rsidRPr="00CB5B59" w:rsidRDefault="007312E3" w:rsidP="00D23DFA">
      <w:r w:rsidRPr="00CB5B59">
        <w:rPr>
          <w:i/>
        </w:rPr>
        <w:t>Science Quarterly</w:t>
      </w:r>
      <w:r w:rsidRPr="00CB5B59">
        <w:t xml:space="preserve"> V51 (June).</w:t>
      </w:r>
    </w:p>
    <w:p w:rsidR="007312E3" w:rsidRPr="00CB5B59" w:rsidRDefault="007312E3" w:rsidP="00D23DFA"/>
    <w:p w:rsidR="00277E94" w:rsidRDefault="00277E94" w:rsidP="00D23DFA">
      <w:r w:rsidRPr="00CB5B59">
        <w:t xml:space="preserve">Miller, Alan, Tom Hamburger, and Julie Cart. </w:t>
      </w:r>
      <w:r w:rsidR="002B49E9" w:rsidRPr="00CB5B59">
        <w:t>(</w:t>
      </w:r>
      <w:r w:rsidRPr="00CB5B59">
        <w:t>2004</w:t>
      </w:r>
      <w:r w:rsidR="002B49E9" w:rsidRPr="00CB5B59">
        <w:t>)</w:t>
      </w:r>
      <w:r w:rsidRPr="00CB5B59">
        <w:t xml:space="preserve">. White house puts the West on fast track for oil, gas drilling. </w:t>
      </w:r>
      <w:r w:rsidRPr="00CB5B59">
        <w:rPr>
          <w:i/>
        </w:rPr>
        <w:t>Los Angeles Times</w:t>
      </w:r>
      <w:r w:rsidRPr="00CB5B59">
        <w:t xml:space="preserve"> (August 25).</w:t>
      </w:r>
    </w:p>
    <w:p w:rsidR="00403238" w:rsidRDefault="00403238" w:rsidP="00D23DFA"/>
    <w:p w:rsidR="00403238" w:rsidRPr="00CB5B59" w:rsidRDefault="00403238" w:rsidP="00D23DFA">
      <w:r>
        <w:t>Nie, Martin. (2008). The governance of western public lands. Lawrence, KS: University Press of Kansas.</w:t>
      </w:r>
    </w:p>
    <w:p w:rsidR="00277E94" w:rsidRPr="00CB5B59" w:rsidRDefault="00277E94" w:rsidP="00D23DFA"/>
    <w:p w:rsidR="00D54362" w:rsidRPr="00CB5B59" w:rsidRDefault="00D54362" w:rsidP="00D23DFA">
      <w:r w:rsidRPr="00CB5B59">
        <w:t xml:space="preserve">Pearson, Sam. </w:t>
      </w:r>
      <w:r w:rsidR="00463A60" w:rsidRPr="00CB5B59">
        <w:t>(</w:t>
      </w:r>
      <w:r w:rsidRPr="00CB5B59">
        <w:t>2014</w:t>
      </w:r>
      <w:r w:rsidR="00463A60" w:rsidRPr="00CB5B59">
        <w:t>)</w:t>
      </w:r>
      <w:r w:rsidRPr="00CB5B59">
        <w:t xml:space="preserve">. Industry slams BLM for barriers to oil drilling. </w:t>
      </w:r>
      <w:r w:rsidRPr="00CB5B59">
        <w:rPr>
          <w:i/>
        </w:rPr>
        <w:t xml:space="preserve">E&amp;E Daily </w:t>
      </w:r>
      <w:r w:rsidRPr="00CB5B59">
        <w:t>(February 6).</w:t>
      </w:r>
    </w:p>
    <w:p w:rsidR="00CB495A" w:rsidRDefault="00CB495A" w:rsidP="00D23DFA"/>
    <w:p w:rsidR="00D54362" w:rsidRPr="00CB5B59" w:rsidRDefault="00B43689" w:rsidP="00D23DFA">
      <w:r>
        <w:t xml:space="preserve">Popovich, Nadja, Livia Albeck-Ripka, and Kendra Pierre-Louis. (2018). 67 rules on the way out under Trump. </w:t>
      </w:r>
      <w:r w:rsidRPr="00CC4717">
        <w:rPr>
          <w:i/>
        </w:rPr>
        <w:t>New York Times</w:t>
      </w:r>
      <w:r>
        <w:t xml:space="preserve"> (January 31).</w:t>
      </w:r>
    </w:p>
    <w:p w:rsidR="00CB495A" w:rsidRDefault="00CB495A" w:rsidP="00D23DFA"/>
    <w:p w:rsidR="008C6B9F" w:rsidRDefault="008C6B9F" w:rsidP="00D23DFA">
      <w:r w:rsidRPr="00CB5B59">
        <w:t xml:space="preserve">Power, Thomas. (2001). </w:t>
      </w:r>
      <w:r w:rsidRPr="00CB5B59">
        <w:rPr>
          <w:i/>
        </w:rPr>
        <w:t>Post-cowboy economics</w:t>
      </w:r>
      <w:r w:rsidRPr="00CB5B59">
        <w:t>. Washington, DC: Island Press.</w:t>
      </w:r>
    </w:p>
    <w:p w:rsidR="00250CE1" w:rsidRPr="00CB5B59" w:rsidRDefault="00250CE1" w:rsidP="00D23DFA"/>
    <w:p w:rsidR="00250CE1" w:rsidRDefault="00250CE1" w:rsidP="00D23DFA">
      <w:r>
        <w:t xml:space="preserve">Shafie, David (2014). </w:t>
      </w:r>
      <w:r w:rsidRPr="00250CE1">
        <w:rPr>
          <w:i/>
        </w:rPr>
        <w:t>Presidential Administration and the Environment</w:t>
      </w:r>
      <w:r>
        <w:t>. New York: Routledge.</w:t>
      </w:r>
    </w:p>
    <w:p w:rsidR="00250CE1" w:rsidRDefault="00250CE1" w:rsidP="00D23DFA"/>
    <w:p w:rsidR="00277E94" w:rsidRPr="00CB5B59" w:rsidRDefault="00277E94" w:rsidP="00D23DFA">
      <w:r w:rsidRPr="00CB5B59">
        <w:t xml:space="preserve">Skillen, James. </w:t>
      </w:r>
      <w:r w:rsidR="002B49E9" w:rsidRPr="00CB5B59">
        <w:t>(</w:t>
      </w:r>
      <w:r w:rsidRPr="00CB5B59">
        <w:t>2009</w:t>
      </w:r>
      <w:r w:rsidR="002B49E9" w:rsidRPr="00CB5B59">
        <w:t>).</w:t>
      </w:r>
      <w:r w:rsidRPr="00CB5B59">
        <w:t xml:space="preserve"> </w:t>
      </w:r>
      <w:r w:rsidRPr="00CB5B59">
        <w:rPr>
          <w:i/>
        </w:rPr>
        <w:t>The Nation’s Largest Landlord: The Bureau of Land Management in the American West</w:t>
      </w:r>
      <w:r w:rsidRPr="00CB5B59">
        <w:t>. Lawrence, KS: University Press of Kansas.</w:t>
      </w:r>
    </w:p>
    <w:p w:rsidR="00277E94" w:rsidRDefault="00277E94" w:rsidP="00D23DFA">
      <w:r w:rsidRPr="00CB5B59">
        <w:t xml:space="preserve">Streater, Scott. </w:t>
      </w:r>
      <w:r w:rsidR="002B49E9" w:rsidRPr="00CB5B59">
        <w:t>(</w:t>
      </w:r>
      <w:r w:rsidRPr="00CB5B59">
        <w:t>2013</w:t>
      </w:r>
      <w:r w:rsidR="002B49E9" w:rsidRPr="00CB5B59">
        <w:t>)</w:t>
      </w:r>
      <w:r w:rsidRPr="00CB5B59">
        <w:t>. Industry, conservationists split on BLM rule proposal at comment dead</w:t>
      </w:r>
      <w:r w:rsidR="007C6F75" w:rsidRPr="00CB5B59">
        <w:t xml:space="preserve">- </w:t>
      </w:r>
      <w:r w:rsidRPr="00CB5B59">
        <w:t>line.</w:t>
      </w:r>
      <w:r w:rsidR="007C6F75" w:rsidRPr="00CB5B59">
        <w:t xml:space="preserve"> </w:t>
      </w:r>
      <w:r w:rsidRPr="00CB5B59">
        <w:rPr>
          <w:i/>
        </w:rPr>
        <w:t>E&amp;E News PM</w:t>
      </w:r>
      <w:r w:rsidRPr="00CB5B59">
        <w:t xml:space="preserve"> (August 22).</w:t>
      </w:r>
    </w:p>
    <w:p w:rsidR="000A104B" w:rsidRPr="00CB5B59" w:rsidRDefault="000A104B" w:rsidP="00D23DFA"/>
    <w:p w:rsidR="000A104B" w:rsidRDefault="00277E94" w:rsidP="00D23DFA">
      <w:r w:rsidRPr="00CB5B59">
        <w:t xml:space="preserve">Streater, Scott. </w:t>
      </w:r>
      <w:r w:rsidR="002B49E9" w:rsidRPr="00CB5B59">
        <w:t>(</w:t>
      </w:r>
      <w:r w:rsidRPr="00CB5B59">
        <w:t>2014</w:t>
      </w:r>
      <w:r w:rsidR="002B49E9" w:rsidRPr="00CB5B59">
        <w:t>)</w:t>
      </w:r>
      <w:r w:rsidRPr="00CB5B59">
        <w:t xml:space="preserve">. New BLM policy defers leasing on millions of acres in Colorado, </w:t>
      </w:r>
    </w:p>
    <w:p w:rsidR="00277E94" w:rsidRPr="00CB5B59" w:rsidRDefault="000A104B" w:rsidP="00D23DFA">
      <w:r>
        <w:t>w</w:t>
      </w:r>
      <w:r w:rsidR="00277E94" w:rsidRPr="00CB5B59">
        <w:t xml:space="preserve">orrying industry. </w:t>
      </w:r>
      <w:r w:rsidR="00277E94" w:rsidRPr="00CB5B59">
        <w:rPr>
          <w:i/>
        </w:rPr>
        <w:t>E&amp;E News PM</w:t>
      </w:r>
      <w:r w:rsidR="00277E94" w:rsidRPr="00CB5B59">
        <w:t xml:space="preserve"> (April 14).</w:t>
      </w:r>
    </w:p>
    <w:p w:rsidR="00277E94" w:rsidRPr="00CB5B59" w:rsidRDefault="00277E94" w:rsidP="00D23DFA"/>
    <w:p w:rsidR="00277E94" w:rsidRDefault="00277E94" w:rsidP="00D23DFA">
      <w:r w:rsidRPr="00CB5B59">
        <w:t xml:space="preserve">Taylor, Phil. </w:t>
      </w:r>
      <w:r w:rsidR="002B49E9" w:rsidRPr="00CB5B59">
        <w:t>(</w:t>
      </w:r>
      <w:r w:rsidRPr="00CB5B59">
        <w:t>2014</w:t>
      </w:r>
      <w:r w:rsidR="002B49E9" w:rsidRPr="00CB5B59">
        <w:t>)</w:t>
      </w:r>
      <w:r w:rsidRPr="00CB5B59">
        <w:t xml:space="preserve">. Oil production on public lands grows as gas continues slide. </w:t>
      </w:r>
      <w:r w:rsidRPr="00CB5B59">
        <w:rPr>
          <w:i/>
        </w:rPr>
        <w:t xml:space="preserve">Greenwire </w:t>
      </w:r>
      <w:r w:rsidRPr="00CB5B59">
        <w:t>(March 14).</w:t>
      </w:r>
    </w:p>
    <w:p w:rsidR="00BA0EB4" w:rsidRDefault="00BA0EB4" w:rsidP="00D23DFA"/>
    <w:p w:rsidR="00BA0EB4" w:rsidRDefault="00BA0EB4" w:rsidP="00D23DFA">
      <w:r>
        <w:t xml:space="preserve">Trump, Donald J. (2017). Executive Order 13783 - </w:t>
      </w:r>
      <w:r w:rsidRPr="00BA0EB4">
        <w:rPr>
          <w:i/>
        </w:rPr>
        <w:t>Promoting Energy Independence and Economic Growth</w:t>
      </w:r>
      <w:r>
        <w:t xml:space="preserve">. </w:t>
      </w:r>
    </w:p>
    <w:p w:rsidR="00BA0EB4" w:rsidRDefault="00BA0EB4" w:rsidP="00D23DFA">
      <w:r>
        <w:t xml:space="preserve">Available at: </w:t>
      </w:r>
      <w:hyperlink r:id="rId11" w:history="1">
        <w:r w:rsidRPr="00693D9D">
          <w:rPr>
            <w:rStyle w:val="Hyperlink"/>
          </w:rPr>
          <w:t>https://www.whitehouse.gov/presidential-actions/presidential-executive-order-promoting-energy-independence-economic-growth/</w:t>
        </w:r>
      </w:hyperlink>
    </w:p>
    <w:p w:rsidR="00277E94" w:rsidRPr="00CB5B59" w:rsidRDefault="00277E94" w:rsidP="00D23DFA"/>
    <w:p w:rsidR="00277E94" w:rsidRPr="00CB5B59" w:rsidRDefault="00277E94" w:rsidP="00D23DFA">
      <w:r w:rsidRPr="00CB5B59">
        <w:t xml:space="preserve">U.S. Bureau of Land Management. </w:t>
      </w:r>
      <w:r w:rsidR="002B49E9" w:rsidRPr="00CB5B59">
        <w:t>(</w:t>
      </w:r>
      <w:r w:rsidRPr="00CB5B59">
        <w:t>2012</w:t>
      </w:r>
      <w:r w:rsidR="002B49E9" w:rsidRPr="00CB5B59">
        <w:t>)</w:t>
      </w:r>
      <w:r w:rsidRPr="00CB5B59">
        <w:t>. Interior releases draft rule requiring public disclosure of chemicals used in hydraulic fracturing on public and Indian Lands. News release (May 4).</w:t>
      </w:r>
    </w:p>
    <w:p w:rsidR="00277E94" w:rsidRPr="00CB5B59" w:rsidRDefault="00277E94" w:rsidP="00D23DFA"/>
    <w:p w:rsidR="002B49E9" w:rsidRDefault="002B49E9" w:rsidP="00D23DFA">
      <w:pPr>
        <w:rPr>
          <w:rStyle w:val="Hyperlink"/>
          <w:color w:val="auto"/>
        </w:rPr>
      </w:pPr>
      <w:r w:rsidRPr="00CB5B59">
        <w:t xml:space="preserve">U.S. Bureau of Land Management. (2013). </w:t>
      </w:r>
      <w:r w:rsidRPr="00CB5B59">
        <w:rPr>
          <w:i/>
        </w:rPr>
        <w:t xml:space="preserve">Budget </w:t>
      </w:r>
      <w:r w:rsidR="00691492" w:rsidRPr="00CB5B59">
        <w:rPr>
          <w:i/>
        </w:rPr>
        <w:t>j</w:t>
      </w:r>
      <w:r w:rsidRPr="00CB5B59">
        <w:rPr>
          <w:i/>
        </w:rPr>
        <w:t xml:space="preserve">ustifications and </w:t>
      </w:r>
      <w:r w:rsidR="00691492" w:rsidRPr="00CB5B59">
        <w:rPr>
          <w:i/>
        </w:rPr>
        <w:t>p</w:t>
      </w:r>
      <w:r w:rsidRPr="00CB5B59">
        <w:rPr>
          <w:i/>
        </w:rPr>
        <w:t xml:space="preserve">erformance </w:t>
      </w:r>
      <w:r w:rsidR="00691492" w:rsidRPr="00CB5B59">
        <w:rPr>
          <w:i/>
        </w:rPr>
        <w:t>i</w:t>
      </w:r>
      <w:r w:rsidRPr="00CB5B59">
        <w:rPr>
          <w:i/>
        </w:rPr>
        <w:t xml:space="preserve">nformation, Fiscal Year 2015. </w:t>
      </w:r>
      <w:r w:rsidRPr="00CB5B59">
        <w:t xml:space="preserve">Available at: </w:t>
      </w:r>
      <w:hyperlink r:id="rId12" w:history="1">
        <w:r w:rsidR="00CF602D" w:rsidRPr="008F2B68">
          <w:rPr>
            <w:rStyle w:val="Hyperlink"/>
          </w:rPr>
          <w:t>http://www.blm.gov/pgdata/etc/medialib/blm/wo/ Communications_Directorate/public_affairs/news_release_attachments.Par.60974.File.dat/FY2015_BLM_Greenbook.pdf</w:t>
        </w:r>
      </w:hyperlink>
    </w:p>
    <w:p w:rsidR="00CF602D" w:rsidRPr="00CB5B59" w:rsidRDefault="00CF602D" w:rsidP="00D23DFA"/>
    <w:p w:rsidR="00CF602D" w:rsidRDefault="00277E94" w:rsidP="00D23DFA">
      <w:r w:rsidRPr="00CB5B59">
        <w:t xml:space="preserve">U.S. Bureau of Land Management. </w:t>
      </w:r>
      <w:r w:rsidR="002B49E9" w:rsidRPr="00CB5B59">
        <w:t>(</w:t>
      </w:r>
      <w:r w:rsidRPr="00CB5B59">
        <w:t>2013</w:t>
      </w:r>
      <w:r w:rsidR="002B49E9" w:rsidRPr="00CB5B59">
        <w:t>)</w:t>
      </w:r>
      <w:r w:rsidRPr="00CB5B59">
        <w:t xml:space="preserve">. Interior releases updated draft rule for hydraulic </w:t>
      </w:r>
    </w:p>
    <w:p w:rsidR="00277E94" w:rsidRPr="00CB5B59" w:rsidRDefault="00277E94" w:rsidP="00D23DFA">
      <w:r w:rsidRPr="00CB5B59">
        <w:t>fracturing on public and Indian Lands for public comment. News release (May 16).</w:t>
      </w:r>
    </w:p>
    <w:p w:rsidR="00417F35" w:rsidRPr="00CB5B59" w:rsidRDefault="00417F35" w:rsidP="00D23DFA"/>
    <w:p w:rsidR="00417F35" w:rsidRDefault="00417F35" w:rsidP="00D23DFA">
      <w:r w:rsidRPr="00CB5B59">
        <w:t xml:space="preserve">U.S. Bureau of Land Management. </w:t>
      </w:r>
      <w:r w:rsidR="002B49E9" w:rsidRPr="00CB5B59">
        <w:t>(</w:t>
      </w:r>
      <w:r w:rsidRPr="00CB5B59">
        <w:t>2015</w:t>
      </w:r>
      <w:r w:rsidR="002B49E9" w:rsidRPr="00CB5B59">
        <w:t>)</w:t>
      </w:r>
      <w:r w:rsidRPr="00CB5B59">
        <w:t>. Interior releases final rule to support safe, responsible hydraulic fracturing activities on public and tribal lands. News release (March 20).</w:t>
      </w:r>
    </w:p>
    <w:p w:rsidR="00061160" w:rsidRDefault="00061160" w:rsidP="00D23DFA"/>
    <w:p w:rsidR="00061160" w:rsidRDefault="00061160" w:rsidP="00D23DFA">
      <w:pPr>
        <w:rPr>
          <w:rStyle w:val="Hyperlink"/>
        </w:rPr>
      </w:pPr>
      <w:r w:rsidRPr="00061160">
        <w:t>U.S. Bureau of Land Management. (201</w:t>
      </w:r>
      <w:r>
        <w:t>8</w:t>
      </w:r>
      <w:r w:rsidRPr="00061160">
        <w:t>).</w:t>
      </w:r>
      <w:r>
        <w:t xml:space="preserve"> Summary of onshore oil &amp; gas statistics. Accessed on 8/31/2018 at: </w:t>
      </w:r>
      <w:hyperlink r:id="rId13" w:history="1">
        <w:r w:rsidRPr="005369C5">
          <w:rPr>
            <w:rStyle w:val="Hyperlink"/>
          </w:rPr>
          <w:t>https://www.blm.gov/programs/energy-and-minerals/oil-and-gas/oil-and-gas-statistics</w:t>
        </w:r>
      </w:hyperlink>
    </w:p>
    <w:p w:rsidR="00F25956" w:rsidRDefault="00F25956" w:rsidP="00D23DFA">
      <w:pPr>
        <w:rPr>
          <w:rStyle w:val="Hyperlink"/>
        </w:rPr>
      </w:pPr>
    </w:p>
    <w:p w:rsidR="00F25956" w:rsidRPr="00F25956" w:rsidRDefault="00F25956" w:rsidP="00D23DFA">
      <w:r w:rsidRPr="00EA60E8">
        <w:t xml:space="preserve">U.S. Bureau of Land Management. (2018). “Waste Prevention, Production Subject to Royalties, and Resource Conservation: Recision or Revision of Certain Requirements.” Washington, DC: </w:t>
      </w:r>
      <w:r w:rsidRPr="00EA60E8">
        <w:rPr>
          <w:i/>
        </w:rPr>
        <w:t>Federal Register</w:t>
      </w:r>
      <w:r w:rsidR="00EA60E8" w:rsidRPr="00EA60E8">
        <w:t>, V83, No. 189 (September 28).</w:t>
      </w:r>
      <w:r w:rsidR="00EA60E8">
        <w:t xml:space="preserve"> </w:t>
      </w:r>
    </w:p>
    <w:p w:rsidR="00F25956" w:rsidRDefault="00F25956" w:rsidP="00D23DFA"/>
    <w:p w:rsidR="00277E94" w:rsidRPr="00CB5B59" w:rsidRDefault="00277E94" w:rsidP="00D23DFA">
      <w:r w:rsidRPr="00CB5B59">
        <w:t xml:space="preserve">U.S. General Accountability Office. </w:t>
      </w:r>
      <w:r w:rsidR="002B49E9" w:rsidRPr="00CB5B59">
        <w:t>(</w:t>
      </w:r>
      <w:r w:rsidRPr="00CB5B59">
        <w:t>2005</w:t>
      </w:r>
      <w:r w:rsidR="002B49E9" w:rsidRPr="00CB5B59">
        <w:t>)</w:t>
      </w:r>
      <w:r w:rsidRPr="00CB5B59">
        <w:rPr>
          <w:i/>
        </w:rPr>
        <w:t>. Oil and gas development: Increased permitting activity has lessened BLM’s ability to meet its environmental protection responsibilities</w:t>
      </w:r>
      <w:r w:rsidRPr="00CB5B59">
        <w:t>. Report No. 05-418 (June 17).</w:t>
      </w:r>
    </w:p>
    <w:p w:rsidR="00277E94" w:rsidRPr="00CB5B59" w:rsidRDefault="00277E94" w:rsidP="00D23DFA"/>
    <w:p w:rsidR="00277E94" w:rsidRPr="00CB5B59" w:rsidRDefault="00277E94" w:rsidP="00D23DFA">
      <w:r w:rsidRPr="00CB5B59">
        <w:t xml:space="preserve">U.S. General Accountability Office. </w:t>
      </w:r>
      <w:r w:rsidR="002B49E9" w:rsidRPr="00CB5B59">
        <w:t>(</w:t>
      </w:r>
      <w:r w:rsidRPr="00CB5B59">
        <w:t>2011</w:t>
      </w:r>
      <w:r w:rsidR="002B49E9" w:rsidRPr="00CB5B59">
        <w:t>)</w:t>
      </w:r>
      <w:r w:rsidRPr="00CB5B59">
        <w:t xml:space="preserve">. </w:t>
      </w:r>
      <w:r w:rsidRPr="00CB5B59">
        <w:rPr>
          <w:i/>
        </w:rPr>
        <w:t>Energy Policy Act of 2005: BLM’s use of Section 390 categorical exclusions for oil and gas development</w:t>
      </w:r>
      <w:r w:rsidRPr="00CB5B59">
        <w:t>. Report No. 11-941T. Washington, DC: U.S. General Accountability Office.</w:t>
      </w:r>
    </w:p>
    <w:p w:rsidR="00277E94" w:rsidRPr="00CB5B59" w:rsidRDefault="00277E94" w:rsidP="00D23DFA"/>
    <w:p w:rsidR="00CB495A" w:rsidRDefault="00277E94" w:rsidP="00D23DFA">
      <w:pPr>
        <w:rPr>
          <w:i/>
        </w:rPr>
      </w:pPr>
      <w:r w:rsidRPr="00CB5B59">
        <w:t xml:space="preserve">U.S. General Accountability Office. </w:t>
      </w:r>
      <w:r w:rsidR="002B49E9" w:rsidRPr="00CB5B59">
        <w:t>(</w:t>
      </w:r>
      <w:r w:rsidRPr="00CB5B59">
        <w:t>2012</w:t>
      </w:r>
      <w:r w:rsidR="002B49E9" w:rsidRPr="00CB5B59">
        <w:t>)</w:t>
      </w:r>
      <w:r w:rsidRPr="00CB5B59">
        <w:t xml:space="preserve">. </w:t>
      </w:r>
      <w:r w:rsidRPr="00CB5B59">
        <w:rPr>
          <w:i/>
        </w:rPr>
        <w:t xml:space="preserve">Unconventional oil and gas development: Key </w:t>
      </w:r>
    </w:p>
    <w:p w:rsidR="00277E94" w:rsidRPr="00CB5B59" w:rsidRDefault="00277E94" w:rsidP="00D23DFA">
      <w:r w:rsidRPr="00CB5B59">
        <w:rPr>
          <w:i/>
        </w:rPr>
        <w:t>environmental and public health requirements</w:t>
      </w:r>
      <w:r w:rsidRPr="00CB5B59">
        <w:t>. Report No. 12-874. Washington, DC: U.S. General Accountability Office.</w:t>
      </w:r>
    </w:p>
    <w:p w:rsidR="00277E94" w:rsidRPr="00CB5B59" w:rsidRDefault="00277E94" w:rsidP="00D23DFA"/>
    <w:p w:rsidR="00F51058" w:rsidRPr="00CB5B59" w:rsidRDefault="00F51058" w:rsidP="00D23DFA">
      <w:r w:rsidRPr="00CB5B59">
        <w:t>Vig, Norman. (201</w:t>
      </w:r>
      <w:r w:rsidR="00436E2B">
        <w:t>9</w:t>
      </w:r>
      <w:r w:rsidRPr="00CB5B59">
        <w:t xml:space="preserve">). Presidential powers and environmental policy. In Norman Vig And Michael Kraft, eds., </w:t>
      </w:r>
      <w:r w:rsidRPr="00CB5B59">
        <w:rPr>
          <w:i/>
        </w:rPr>
        <w:t xml:space="preserve">Environmental Policy, </w:t>
      </w:r>
      <w:r w:rsidR="00436E2B">
        <w:rPr>
          <w:i/>
        </w:rPr>
        <w:t>10</w:t>
      </w:r>
      <w:r w:rsidRPr="00CB5B59">
        <w:rPr>
          <w:i/>
          <w:vertAlign w:val="superscript"/>
        </w:rPr>
        <w:t>th</w:t>
      </w:r>
      <w:r w:rsidRPr="00CB5B59">
        <w:rPr>
          <w:i/>
        </w:rPr>
        <w:t xml:space="preserve"> ed</w:t>
      </w:r>
      <w:r w:rsidRPr="00CB5B59">
        <w:t>. Washington, DC: CQ Press.</w:t>
      </w:r>
    </w:p>
    <w:p w:rsidR="00F51058" w:rsidRPr="00CB5B59" w:rsidRDefault="00F51058" w:rsidP="00D23DFA"/>
    <w:p w:rsidR="007312E3" w:rsidRPr="00CB5B59" w:rsidRDefault="007312E3" w:rsidP="00D23DFA">
      <w:r w:rsidRPr="00CB5B59">
        <w:t xml:space="preserve">Warner, Barbara, Jennifer Shapiro. (2013). Fractured, fragmented federalism: A study in fracking regulatory policy. </w:t>
      </w:r>
      <w:r w:rsidRPr="00CB5B59">
        <w:rPr>
          <w:i/>
        </w:rPr>
        <w:t>Publius</w:t>
      </w:r>
      <w:r w:rsidRPr="00CB5B59">
        <w:t xml:space="preserve"> 43 (3): 474−496.</w:t>
      </w:r>
    </w:p>
    <w:p w:rsidR="007312E3" w:rsidRPr="00CB5B59" w:rsidRDefault="007312E3" w:rsidP="00D23DFA"/>
    <w:p w:rsidR="00E3017B" w:rsidRDefault="00C64798" w:rsidP="00D23DFA">
      <w:r>
        <w:t xml:space="preserve">Wilderness Society and Taxpayers for Common Sense. (2018). </w:t>
      </w:r>
      <w:r>
        <w:rPr>
          <w:i/>
        </w:rPr>
        <w:t xml:space="preserve">The state of methane. </w:t>
      </w:r>
      <w:r>
        <w:t xml:space="preserve">Report </w:t>
      </w:r>
    </w:p>
    <w:p w:rsidR="00E3017B" w:rsidRDefault="00E3017B" w:rsidP="00D23DFA"/>
    <w:p w:rsidR="00E3017B" w:rsidRDefault="00C64798" w:rsidP="00D23DFA">
      <w:r>
        <w:t xml:space="preserve">issued by the Wilderness Society and the Taxpayers for Common Sense. Accessed on 12/8/2018 </w:t>
      </w:r>
    </w:p>
    <w:p w:rsidR="00E3017B" w:rsidRDefault="00E3017B" w:rsidP="00D23DFA"/>
    <w:p w:rsidR="00C64798" w:rsidRDefault="00C64798" w:rsidP="00D23DFA">
      <w:r>
        <w:t xml:space="preserve">at:  </w:t>
      </w:r>
      <w:hyperlink r:id="rId14" w:history="1">
        <w:r w:rsidRPr="00C93CBF">
          <w:rPr>
            <w:rStyle w:val="Hyperlink"/>
          </w:rPr>
          <w:t>https://www.wilderness.org/sites/default/files/media/file/methane_report_web_0.pdf</w:t>
        </w:r>
      </w:hyperlink>
    </w:p>
    <w:p w:rsidR="00C64798" w:rsidRDefault="00C64798" w:rsidP="00D23DFA"/>
    <w:p w:rsidR="00C64798" w:rsidRDefault="00C64798" w:rsidP="00D23DFA"/>
    <w:p w:rsidR="00366BCB" w:rsidRPr="00CB5B59" w:rsidRDefault="00366BCB" w:rsidP="00D23DFA">
      <w:r w:rsidRPr="00CB5B59">
        <w:t>Wilson, Randall. (2014).</w:t>
      </w:r>
      <w:r w:rsidR="008237C6" w:rsidRPr="00CB5B59">
        <w:t xml:space="preserve"> </w:t>
      </w:r>
      <w:r w:rsidRPr="00CB5B59">
        <w:rPr>
          <w:i/>
        </w:rPr>
        <w:t xml:space="preserve">America’s public lands. </w:t>
      </w:r>
      <w:r w:rsidRPr="00CB5B59">
        <w:t>Lanham, MD: Rowman &amp; Littlefield.</w:t>
      </w:r>
    </w:p>
    <w:p w:rsidR="00366BCB" w:rsidRPr="00CB5B59" w:rsidRDefault="00366BCB" w:rsidP="00D23DFA"/>
    <w:p w:rsidR="005D6A62" w:rsidRDefault="007312E3" w:rsidP="00D23DFA">
      <w:r w:rsidRPr="00CB5B59">
        <w:t xml:space="preserve">Wood, Robert. 2006. “The </w:t>
      </w:r>
      <w:r w:rsidR="00691492" w:rsidRPr="00CB5B59">
        <w:t>d</w:t>
      </w:r>
      <w:r w:rsidRPr="00CB5B59">
        <w:t xml:space="preserve">ynamics of </w:t>
      </w:r>
      <w:r w:rsidR="00691492" w:rsidRPr="00CB5B59">
        <w:t>i</w:t>
      </w:r>
      <w:r w:rsidRPr="00CB5B59">
        <w:t xml:space="preserve">ncrementalism: Subsystems, </w:t>
      </w:r>
      <w:r w:rsidR="00691492" w:rsidRPr="00CB5B59">
        <w:t>p</w:t>
      </w:r>
      <w:r w:rsidRPr="00CB5B59">
        <w:t xml:space="preserve">olitics, and </w:t>
      </w:r>
      <w:r w:rsidR="00691492" w:rsidRPr="00CB5B59">
        <w:t>p</w:t>
      </w:r>
      <w:r w:rsidRPr="00CB5B59">
        <w:t xml:space="preserve">ublic </w:t>
      </w:r>
      <w:r w:rsidR="00691492" w:rsidRPr="00CB5B59">
        <w:t>l</w:t>
      </w:r>
      <w:r w:rsidRPr="00CB5B59">
        <w:t xml:space="preserve">ands.” </w:t>
      </w:r>
      <w:r w:rsidRPr="00CB5B59">
        <w:rPr>
          <w:i/>
        </w:rPr>
        <w:t>Policy Studies Journal</w:t>
      </w:r>
      <w:r w:rsidRPr="00CB5B59">
        <w:t xml:space="preserve"> V34 (1).</w:t>
      </w:r>
    </w:p>
    <w:sectPr w:rsidR="005D6A62" w:rsidSect="00AE145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8BB" w:rsidRDefault="000158BB" w:rsidP="00DF2CF3">
      <w:r>
        <w:separator/>
      </w:r>
    </w:p>
  </w:endnote>
  <w:endnote w:type="continuationSeparator" w:id="0">
    <w:p w:rsidR="000158BB" w:rsidRDefault="000158BB" w:rsidP="00D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46624"/>
      <w:docPartObj>
        <w:docPartGallery w:val="Page Numbers (Bottom of Page)"/>
        <w:docPartUnique/>
      </w:docPartObj>
    </w:sdtPr>
    <w:sdtEndPr>
      <w:rPr>
        <w:noProof/>
      </w:rPr>
    </w:sdtEndPr>
    <w:sdtContent>
      <w:p w:rsidR="005D1B65" w:rsidRDefault="005D1B65">
        <w:pPr>
          <w:pStyle w:val="Footer"/>
          <w:jc w:val="center"/>
        </w:pPr>
        <w:r>
          <w:fldChar w:fldCharType="begin"/>
        </w:r>
        <w:r>
          <w:instrText xml:space="preserve"> PAGE   \* MERGEFORMAT </w:instrText>
        </w:r>
        <w:r>
          <w:fldChar w:fldCharType="separate"/>
        </w:r>
        <w:r w:rsidR="0077725D">
          <w:rPr>
            <w:noProof/>
          </w:rPr>
          <w:t>1</w:t>
        </w:r>
        <w:r>
          <w:rPr>
            <w:noProof/>
          </w:rPr>
          <w:fldChar w:fldCharType="end"/>
        </w:r>
      </w:p>
    </w:sdtContent>
  </w:sdt>
  <w:p w:rsidR="00DF2CF3" w:rsidRDefault="00DF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8BB" w:rsidRDefault="000158BB" w:rsidP="00DF2CF3">
      <w:r>
        <w:separator/>
      </w:r>
    </w:p>
  </w:footnote>
  <w:footnote w:type="continuationSeparator" w:id="0">
    <w:p w:rsidR="000158BB" w:rsidRDefault="000158BB" w:rsidP="00DF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8D7"/>
    <w:multiLevelType w:val="multilevel"/>
    <w:tmpl w:val="3474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E0"/>
    <w:rsid w:val="00002780"/>
    <w:rsid w:val="00003C00"/>
    <w:rsid w:val="00005422"/>
    <w:rsid w:val="0000694F"/>
    <w:rsid w:val="00014F8C"/>
    <w:rsid w:val="000158BB"/>
    <w:rsid w:val="00016EBD"/>
    <w:rsid w:val="00021BAA"/>
    <w:rsid w:val="00023263"/>
    <w:rsid w:val="0002384C"/>
    <w:rsid w:val="00024E30"/>
    <w:rsid w:val="0002676F"/>
    <w:rsid w:val="00027B25"/>
    <w:rsid w:val="00027C0C"/>
    <w:rsid w:val="000316B4"/>
    <w:rsid w:val="0003340A"/>
    <w:rsid w:val="0003348C"/>
    <w:rsid w:val="000341A6"/>
    <w:rsid w:val="00034B5C"/>
    <w:rsid w:val="0003513F"/>
    <w:rsid w:val="00042D55"/>
    <w:rsid w:val="0004479B"/>
    <w:rsid w:val="00047389"/>
    <w:rsid w:val="0004778E"/>
    <w:rsid w:val="00050DCF"/>
    <w:rsid w:val="000511AF"/>
    <w:rsid w:val="00051BF7"/>
    <w:rsid w:val="000522F4"/>
    <w:rsid w:val="00052698"/>
    <w:rsid w:val="000537CA"/>
    <w:rsid w:val="000549E5"/>
    <w:rsid w:val="00056F50"/>
    <w:rsid w:val="00060D34"/>
    <w:rsid w:val="00061160"/>
    <w:rsid w:val="000657D2"/>
    <w:rsid w:val="0006683C"/>
    <w:rsid w:val="0007025F"/>
    <w:rsid w:val="00071171"/>
    <w:rsid w:val="00071CAB"/>
    <w:rsid w:val="000735D4"/>
    <w:rsid w:val="00077AC4"/>
    <w:rsid w:val="000846E7"/>
    <w:rsid w:val="00085ACD"/>
    <w:rsid w:val="00094ED3"/>
    <w:rsid w:val="00097477"/>
    <w:rsid w:val="000A0142"/>
    <w:rsid w:val="000A05F5"/>
    <w:rsid w:val="000A104B"/>
    <w:rsid w:val="000A11FB"/>
    <w:rsid w:val="000A21D3"/>
    <w:rsid w:val="000A68D9"/>
    <w:rsid w:val="000A6F12"/>
    <w:rsid w:val="000A737C"/>
    <w:rsid w:val="000A79CB"/>
    <w:rsid w:val="000B4BA8"/>
    <w:rsid w:val="000B4D98"/>
    <w:rsid w:val="000B51AD"/>
    <w:rsid w:val="000C057D"/>
    <w:rsid w:val="000C21F2"/>
    <w:rsid w:val="000C6871"/>
    <w:rsid w:val="000C6995"/>
    <w:rsid w:val="000D058B"/>
    <w:rsid w:val="000D38E2"/>
    <w:rsid w:val="000D4BB2"/>
    <w:rsid w:val="000D536A"/>
    <w:rsid w:val="000D7A0F"/>
    <w:rsid w:val="000E039D"/>
    <w:rsid w:val="000E0B4D"/>
    <w:rsid w:val="000E344E"/>
    <w:rsid w:val="000E4F2C"/>
    <w:rsid w:val="000E512A"/>
    <w:rsid w:val="000E63A3"/>
    <w:rsid w:val="000E6DAD"/>
    <w:rsid w:val="000F115B"/>
    <w:rsid w:val="000F39A4"/>
    <w:rsid w:val="000F66E9"/>
    <w:rsid w:val="00100341"/>
    <w:rsid w:val="00103023"/>
    <w:rsid w:val="00103E9E"/>
    <w:rsid w:val="00106402"/>
    <w:rsid w:val="00110F0C"/>
    <w:rsid w:val="001140E6"/>
    <w:rsid w:val="001146C4"/>
    <w:rsid w:val="00116A38"/>
    <w:rsid w:val="00116EDB"/>
    <w:rsid w:val="0011797C"/>
    <w:rsid w:val="001241E8"/>
    <w:rsid w:val="00124C77"/>
    <w:rsid w:val="00125F66"/>
    <w:rsid w:val="001334D0"/>
    <w:rsid w:val="00133E53"/>
    <w:rsid w:val="001342B6"/>
    <w:rsid w:val="00134F4D"/>
    <w:rsid w:val="00143B2A"/>
    <w:rsid w:val="00144030"/>
    <w:rsid w:val="00146BE0"/>
    <w:rsid w:val="001478F2"/>
    <w:rsid w:val="00150E74"/>
    <w:rsid w:val="001510EC"/>
    <w:rsid w:val="00154F5F"/>
    <w:rsid w:val="00160DA6"/>
    <w:rsid w:val="00161130"/>
    <w:rsid w:val="0016168D"/>
    <w:rsid w:val="00162D2F"/>
    <w:rsid w:val="00164BBF"/>
    <w:rsid w:val="00166C84"/>
    <w:rsid w:val="00171B24"/>
    <w:rsid w:val="00172455"/>
    <w:rsid w:val="001751A2"/>
    <w:rsid w:val="00181606"/>
    <w:rsid w:val="00182A9D"/>
    <w:rsid w:val="00182B45"/>
    <w:rsid w:val="00187EAC"/>
    <w:rsid w:val="001A274B"/>
    <w:rsid w:val="001A5124"/>
    <w:rsid w:val="001A71BE"/>
    <w:rsid w:val="001B200C"/>
    <w:rsid w:val="001B3C30"/>
    <w:rsid w:val="001B72CD"/>
    <w:rsid w:val="001B79A7"/>
    <w:rsid w:val="001C177E"/>
    <w:rsid w:val="001C260B"/>
    <w:rsid w:val="001C4C7A"/>
    <w:rsid w:val="001C601D"/>
    <w:rsid w:val="001C61DA"/>
    <w:rsid w:val="001C6593"/>
    <w:rsid w:val="001D32B8"/>
    <w:rsid w:val="001D56E9"/>
    <w:rsid w:val="001E2B8E"/>
    <w:rsid w:val="001E3CB9"/>
    <w:rsid w:val="001E3D64"/>
    <w:rsid w:val="001E4777"/>
    <w:rsid w:val="001E5A4F"/>
    <w:rsid w:val="001E7FF8"/>
    <w:rsid w:val="001F0780"/>
    <w:rsid w:val="001F2FCA"/>
    <w:rsid w:val="001F4788"/>
    <w:rsid w:val="001F7A15"/>
    <w:rsid w:val="002014B4"/>
    <w:rsid w:val="00201887"/>
    <w:rsid w:val="00202648"/>
    <w:rsid w:val="00203F6A"/>
    <w:rsid w:val="0020516F"/>
    <w:rsid w:val="0021079C"/>
    <w:rsid w:val="002108BB"/>
    <w:rsid w:val="002135E9"/>
    <w:rsid w:val="00213700"/>
    <w:rsid w:val="00220129"/>
    <w:rsid w:val="002231EE"/>
    <w:rsid w:val="0022325C"/>
    <w:rsid w:val="002305DF"/>
    <w:rsid w:val="0023582A"/>
    <w:rsid w:val="0023608C"/>
    <w:rsid w:val="00245EA8"/>
    <w:rsid w:val="002469BB"/>
    <w:rsid w:val="00246CE3"/>
    <w:rsid w:val="00246DCF"/>
    <w:rsid w:val="00246FF0"/>
    <w:rsid w:val="00250CE1"/>
    <w:rsid w:val="002545FA"/>
    <w:rsid w:val="00254608"/>
    <w:rsid w:val="00254729"/>
    <w:rsid w:val="00254FFA"/>
    <w:rsid w:val="00260F15"/>
    <w:rsid w:val="002610FD"/>
    <w:rsid w:val="00263F2F"/>
    <w:rsid w:val="002649F1"/>
    <w:rsid w:val="00265584"/>
    <w:rsid w:val="00270F4D"/>
    <w:rsid w:val="002757B5"/>
    <w:rsid w:val="0027776F"/>
    <w:rsid w:val="00277E94"/>
    <w:rsid w:val="00280F65"/>
    <w:rsid w:val="002818CD"/>
    <w:rsid w:val="002839BB"/>
    <w:rsid w:val="002875B1"/>
    <w:rsid w:val="002929CD"/>
    <w:rsid w:val="00293F0C"/>
    <w:rsid w:val="00294824"/>
    <w:rsid w:val="002A1F7C"/>
    <w:rsid w:val="002B22DC"/>
    <w:rsid w:val="002B2356"/>
    <w:rsid w:val="002B3444"/>
    <w:rsid w:val="002B49E9"/>
    <w:rsid w:val="002B65D8"/>
    <w:rsid w:val="002B70DA"/>
    <w:rsid w:val="002B77DF"/>
    <w:rsid w:val="002C217E"/>
    <w:rsid w:val="002C5EA3"/>
    <w:rsid w:val="002C7D51"/>
    <w:rsid w:val="002D1912"/>
    <w:rsid w:val="002D1E8F"/>
    <w:rsid w:val="002D2240"/>
    <w:rsid w:val="002D5298"/>
    <w:rsid w:val="002D6D5B"/>
    <w:rsid w:val="002D740E"/>
    <w:rsid w:val="002E1BC0"/>
    <w:rsid w:val="002E5924"/>
    <w:rsid w:val="002E59F3"/>
    <w:rsid w:val="002E5E4A"/>
    <w:rsid w:val="002E6705"/>
    <w:rsid w:val="002E788C"/>
    <w:rsid w:val="002E7EA0"/>
    <w:rsid w:val="002F5BE9"/>
    <w:rsid w:val="002F743D"/>
    <w:rsid w:val="002F7B0E"/>
    <w:rsid w:val="0030076F"/>
    <w:rsid w:val="0030247A"/>
    <w:rsid w:val="003034D2"/>
    <w:rsid w:val="003056C4"/>
    <w:rsid w:val="0031280E"/>
    <w:rsid w:val="0031551F"/>
    <w:rsid w:val="00321159"/>
    <w:rsid w:val="00321F5D"/>
    <w:rsid w:val="00326E95"/>
    <w:rsid w:val="0032794D"/>
    <w:rsid w:val="003318EA"/>
    <w:rsid w:val="00331D8F"/>
    <w:rsid w:val="00333B3D"/>
    <w:rsid w:val="0033520F"/>
    <w:rsid w:val="003423DC"/>
    <w:rsid w:val="003435F6"/>
    <w:rsid w:val="00343A51"/>
    <w:rsid w:val="00344ECC"/>
    <w:rsid w:val="00350DBD"/>
    <w:rsid w:val="003516C0"/>
    <w:rsid w:val="00352BC5"/>
    <w:rsid w:val="00362B3D"/>
    <w:rsid w:val="00363EA9"/>
    <w:rsid w:val="00364C13"/>
    <w:rsid w:val="00366274"/>
    <w:rsid w:val="00366740"/>
    <w:rsid w:val="00366BCB"/>
    <w:rsid w:val="00366C51"/>
    <w:rsid w:val="00367090"/>
    <w:rsid w:val="00371EDD"/>
    <w:rsid w:val="003725A5"/>
    <w:rsid w:val="00372E55"/>
    <w:rsid w:val="00374028"/>
    <w:rsid w:val="00374508"/>
    <w:rsid w:val="00375523"/>
    <w:rsid w:val="00375DFE"/>
    <w:rsid w:val="00375F52"/>
    <w:rsid w:val="00380925"/>
    <w:rsid w:val="00382024"/>
    <w:rsid w:val="00383238"/>
    <w:rsid w:val="00384198"/>
    <w:rsid w:val="00384CCE"/>
    <w:rsid w:val="00386657"/>
    <w:rsid w:val="00386AF9"/>
    <w:rsid w:val="00390EC9"/>
    <w:rsid w:val="003929EE"/>
    <w:rsid w:val="003932DA"/>
    <w:rsid w:val="003954CA"/>
    <w:rsid w:val="00395765"/>
    <w:rsid w:val="00397D78"/>
    <w:rsid w:val="003A0260"/>
    <w:rsid w:val="003A1BB2"/>
    <w:rsid w:val="003A5BDF"/>
    <w:rsid w:val="003A6586"/>
    <w:rsid w:val="003A766B"/>
    <w:rsid w:val="003B02B6"/>
    <w:rsid w:val="003B0D6B"/>
    <w:rsid w:val="003B1BD9"/>
    <w:rsid w:val="003B218D"/>
    <w:rsid w:val="003B344C"/>
    <w:rsid w:val="003B6660"/>
    <w:rsid w:val="003C6EF8"/>
    <w:rsid w:val="003C728A"/>
    <w:rsid w:val="003D36EE"/>
    <w:rsid w:val="003D4A0F"/>
    <w:rsid w:val="003D5B86"/>
    <w:rsid w:val="003D5EEC"/>
    <w:rsid w:val="003D5F6B"/>
    <w:rsid w:val="003E33BF"/>
    <w:rsid w:val="003E3CDD"/>
    <w:rsid w:val="003E5041"/>
    <w:rsid w:val="003E5297"/>
    <w:rsid w:val="003E6CEC"/>
    <w:rsid w:val="003F272E"/>
    <w:rsid w:val="003F3C6A"/>
    <w:rsid w:val="003F40A5"/>
    <w:rsid w:val="00400E53"/>
    <w:rsid w:val="00403238"/>
    <w:rsid w:val="0040415A"/>
    <w:rsid w:val="00404C2E"/>
    <w:rsid w:val="00405441"/>
    <w:rsid w:val="00410EF7"/>
    <w:rsid w:val="004112C3"/>
    <w:rsid w:val="0041167A"/>
    <w:rsid w:val="0041246C"/>
    <w:rsid w:val="004167FA"/>
    <w:rsid w:val="00417F35"/>
    <w:rsid w:val="00420155"/>
    <w:rsid w:val="00420900"/>
    <w:rsid w:val="00421DBF"/>
    <w:rsid w:val="00423C50"/>
    <w:rsid w:val="00424D91"/>
    <w:rsid w:val="00425BB0"/>
    <w:rsid w:val="0042666B"/>
    <w:rsid w:val="004267DB"/>
    <w:rsid w:val="00432C79"/>
    <w:rsid w:val="00433DE9"/>
    <w:rsid w:val="0043590B"/>
    <w:rsid w:val="00436E2B"/>
    <w:rsid w:val="00445A1C"/>
    <w:rsid w:val="00447E21"/>
    <w:rsid w:val="0045319B"/>
    <w:rsid w:val="0045325E"/>
    <w:rsid w:val="0045432C"/>
    <w:rsid w:val="0045595E"/>
    <w:rsid w:val="004570F1"/>
    <w:rsid w:val="00463A60"/>
    <w:rsid w:val="0046600C"/>
    <w:rsid w:val="00466B00"/>
    <w:rsid w:val="0046779E"/>
    <w:rsid w:val="004714CB"/>
    <w:rsid w:val="00472F24"/>
    <w:rsid w:val="00473F1A"/>
    <w:rsid w:val="00474781"/>
    <w:rsid w:val="00475E2C"/>
    <w:rsid w:val="0047636E"/>
    <w:rsid w:val="00477A9D"/>
    <w:rsid w:val="004853AF"/>
    <w:rsid w:val="004859CA"/>
    <w:rsid w:val="00487E62"/>
    <w:rsid w:val="00494CC5"/>
    <w:rsid w:val="00495D50"/>
    <w:rsid w:val="004A17FD"/>
    <w:rsid w:val="004A2D28"/>
    <w:rsid w:val="004A3178"/>
    <w:rsid w:val="004A3307"/>
    <w:rsid w:val="004A3900"/>
    <w:rsid w:val="004B154F"/>
    <w:rsid w:val="004B1D12"/>
    <w:rsid w:val="004B2719"/>
    <w:rsid w:val="004B2BC8"/>
    <w:rsid w:val="004B78D8"/>
    <w:rsid w:val="004B78F9"/>
    <w:rsid w:val="004B7BF3"/>
    <w:rsid w:val="004C1136"/>
    <w:rsid w:val="004C14F3"/>
    <w:rsid w:val="004C5C3D"/>
    <w:rsid w:val="004C6A17"/>
    <w:rsid w:val="004D1348"/>
    <w:rsid w:val="004D1827"/>
    <w:rsid w:val="004D2602"/>
    <w:rsid w:val="004D2B8B"/>
    <w:rsid w:val="004D4814"/>
    <w:rsid w:val="004D5836"/>
    <w:rsid w:val="004E061C"/>
    <w:rsid w:val="004E5730"/>
    <w:rsid w:val="004E6FC8"/>
    <w:rsid w:val="004E7C93"/>
    <w:rsid w:val="004F1053"/>
    <w:rsid w:val="004F10B5"/>
    <w:rsid w:val="004F268D"/>
    <w:rsid w:val="004F3C1B"/>
    <w:rsid w:val="004F54AB"/>
    <w:rsid w:val="004F6312"/>
    <w:rsid w:val="00500DEB"/>
    <w:rsid w:val="00501D34"/>
    <w:rsid w:val="0050407F"/>
    <w:rsid w:val="00504C77"/>
    <w:rsid w:val="00511933"/>
    <w:rsid w:val="00513459"/>
    <w:rsid w:val="00517C98"/>
    <w:rsid w:val="00521818"/>
    <w:rsid w:val="0052416F"/>
    <w:rsid w:val="0052622A"/>
    <w:rsid w:val="005263F4"/>
    <w:rsid w:val="00527C6D"/>
    <w:rsid w:val="00531AA2"/>
    <w:rsid w:val="00533496"/>
    <w:rsid w:val="00535EE9"/>
    <w:rsid w:val="00543CC6"/>
    <w:rsid w:val="00545B9A"/>
    <w:rsid w:val="00546AB7"/>
    <w:rsid w:val="0055233C"/>
    <w:rsid w:val="005527D4"/>
    <w:rsid w:val="00556D5B"/>
    <w:rsid w:val="005618E6"/>
    <w:rsid w:val="0056326D"/>
    <w:rsid w:val="00564D8B"/>
    <w:rsid w:val="00566368"/>
    <w:rsid w:val="00567E14"/>
    <w:rsid w:val="00571110"/>
    <w:rsid w:val="0057523C"/>
    <w:rsid w:val="00587104"/>
    <w:rsid w:val="00587A05"/>
    <w:rsid w:val="00587A76"/>
    <w:rsid w:val="00595C22"/>
    <w:rsid w:val="005A1530"/>
    <w:rsid w:val="005A436D"/>
    <w:rsid w:val="005A62DA"/>
    <w:rsid w:val="005A6C17"/>
    <w:rsid w:val="005B0DCC"/>
    <w:rsid w:val="005B3610"/>
    <w:rsid w:val="005B433B"/>
    <w:rsid w:val="005B6CFE"/>
    <w:rsid w:val="005B6ED6"/>
    <w:rsid w:val="005C2872"/>
    <w:rsid w:val="005C366B"/>
    <w:rsid w:val="005C3D1A"/>
    <w:rsid w:val="005C4B4C"/>
    <w:rsid w:val="005C5707"/>
    <w:rsid w:val="005C6127"/>
    <w:rsid w:val="005D13EB"/>
    <w:rsid w:val="005D17C4"/>
    <w:rsid w:val="005D1B65"/>
    <w:rsid w:val="005D1B7A"/>
    <w:rsid w:val="005D21EE"/>
    <w:rsid w:val="005D49A6"/>
    <w:rsid w:val="005D6A62"/>
    <w:rsid w:val="005E1ED6"/>
    <w:rsid w:val="005E21FF"/>
    <w:rsid w:val="005E32A9"/>
    <w:rsid w:val="005E34C5"/>
    <w:rsid w:val="005E3DEE"/>
    <w:rsid w:val="005E43B3"/>
    <w:rsid w:val="005E4D3F"/>
    <w:rsid w:val="005E701C"/>
    <w:rsid w:val="005F284E"/>
    <w:rsid w:val="005F5B9D"/>
    <w:rsid w:val="005F5D98"/>
    <w:rsid w:val="005F5FA6"/>
    <w:rsid w:val="006043AA"/>
    <w:rsid w:val="0060610A"/>
    <w:rsid w:val="00606A8E"/>
    <w:rsid w:val="00606AB9"/>
    <w:rsid w:val="0060760C"/>
    <w:rsid w:val="00610308"/>
    <w:rsid w:val="00613C70"/>
    <w:rsid w:val="006146BD"/>
    <w:rsid w:val="006148DB"/>
    <w:rsid w:val="00620B08"/>
    <w:rsid w:val="00623A0C"/>
    <w:rsid w:val="00625F04"/>
    <w:rsid w:val="0062658E"/>
    <w:rsid w:val="006270F1"/>
    <w:rsid w:val="006276CC"/>
    <w:rsid w:val="006322E7"/>
    <w:rsid w:val="00632507"/>
    <w:rsid w:val="00634326"/>
    <w:rsid w:val="00634CC1"/>
    <w:rsid w:val="0063602F"/>
    <w:rsid w:val="006428CF"/>
    <w:rsid w:val="00643047"/>
    <w:rsid w:val="0064392E"/>
    <w:rsid w:val="00643C6A"/>
    <w:rsid w:val="00645964"/>
    <w:rsid w:val="006474F5"/>
    <w:rsid w:val="0065342C"/>
    <w:rsid w:val="00662CCB"/>
    <w:rsid w:val="00670531"/>
    <w:rsid w:val="00676F92"/>
    <w:rsid w:val="00680593"/>
    <w:rsid w:val="0068175B"/>
    <w:rsid w:val="00682A26"/>
    <w:rsid w:val="0068410F"/>
    <w:rsid w:val="006871E6"/>
    <w:rsid w:val="00691492"/>
    <w:rsid w:val="006918AB"/>
    <w:rsid w:val="00697138"/>
    <w:rsid w:val="00697B77"/>
    <w:rsid w:val="006A0430"/>
    <w:rsid w:val="006A0C94"/>
    <w:rsid w:val="006A58BF"/>
    <w:rsid w:val="006A6375"/>
    <w:rsid w:val="006A7083"/>
    <w:rsid w:val="006B07E8"/>
    <w:rsid w:val="006B0940"/>
    <w:rsid w:val="006B0D64"/>
    <w:rsid w:val="006B112A"/>
    <w:rsid w:val="006B4C07"/>
    <w:rsid w:val="006C05F9"/>
    <w:rsid w:val="006C0D62"/>
    <w:rsid w:val="006C29EA"/>
    <w:rsid w:val="006C2C38"/>
    <w:rsid w:val="006C3618"/>
    <w:rsid w:val="006C468A"/>
    <w:rsid w:val="006C7A38"/>
    <w:rsid w:val="006D0F29"/>
    <w:rsid w:val="006D42A9"/>
    <w:rsid w:val="006D5DE0"/>
    <w:rsid w:val="006D6836"/>
    <w:rsid w:val="006E247D"/>
    <w:rsid w:val="006E292A"/>
    <w:rsid w:val="006E72F7"/>
    <w:rsid w:val="006F0105"/>
    <w:rsid w:val="006F1222"/>
    <w:rsid w:val="006F5218"/>
    <w:rsid w:val="007020BF"/>
    <w:rsid w:val="0070717A"/>
    <w:rsid w:val="00711617"/>
    <w:rsid w:val="00713018"/>
    <w:rsid w:val="00715ACE"/>
    <w:rsid w:val="00715C1B"/>
    <w:rsid w:val="0071619A"/>
    <w:rsid w:val="007167D5"/>
    <w:rsid w:val="00720D40"/>
    <w:rsid w:val="00726267"/>
    <w:rsid w:val="00726B1C"/>
    <w:rsid w:val="007312E3"/>
    <w:rsid w:val="00732731"/>
    <w:rsid w:val="00733E47"/>
    <w:rsid w:val="00734E50"/>
    <w:rsid w:val="00736DC0"/>
    <w:rsid w:val="00736F9C"/>
    <w:rsid w:val="00737F19"/>
    <w:rsid w:val="00741733"/>
    <w:rsid w:val="00746638"/>
    <w:rsid w:val="0074770C"/>
    <w:rsid w:val="00754AAE"/>
    <w:rsid w:val="00755F6A"/>
    <w:rsid w:val="00757006"/>
    <w:rsid w:val="00760F00"/>
    <w:rsid w:val="0076288B"/>
    <w:rsid w:val="00763DB0"/>
    <w:rsid w:val="00763DCB"/>
    <w:rsid w:val="00766D49"/>
    <w:rsid w:val="00772D5A"/>
    <w:rsid w:val="00773A28"/>
    <w:rsid w:val="0077584B"/>
    <w:rsid w:val="0077659B"/>
    <w:rsid w:val="0077725D"/>
    <w:rsid w:val="00781700"/>
    <w:rsid w:val="00781CFE"/>
    <w:rsid w:val="007830C1"/>
    <w:rsid w:val="007834C6"/>
    <w:rsid w:val="00783BE1"/>
    <w:rsid w:val="00783E0C"/>
    <w:rsid w:val="007847B1"/>
    <w:rsid w:val="00784E1A"/>
    <w:rsid w:val="00784EC0"/>
    <w:rsid w:val="00785718"/>
    <w:rsid w:val="00787F32"/>
    <w:rsid w:val="007930EE"/>
    <w:rsid w:val="007A0083"/>
    <w:rsid w:val="007A230E"/>
    <w:rsid w:val="007B437B"/>
    <w:rsid w:val="007B60BD"/>
    <w:rsid w:val="007B7CB4"/>
    <w:rsid w:val="007C35BA"/>
    <w:rsid w:val="007C5122"/>
    <w:rsid w:val="007C5C1E"/>
    <w:rsid w:val="007C64BD"/>
    <w:rsid w:val="007C6BCC"/>
    <w:rsid w:val="007C6F55"/>
    <w:rsid w:val="007C6F75"/>
    <w:rsid w:val="007D32C9"/>
    <w:rsid w:val="007D699D"/>
    <w:rsid w:val="007D6BFA"/>
    <w:rsid w:val="007D7412"/>
    <w:rsid w:val="007D7798"/>
    <w:rsid w:val="007D7B3D"/>
    <w:rsid w:val="007E139C"/>
    <w:rsid w:val="007E1D9C"/>
    <w:rsid w:val="007E2859"/>
    <w:rsid w:val="007E2FA3"/>
    <w:rsid w:val="007E7F57"/>
    <w:rsid w:val="007F04F6"/>
    <w:rsid w:val="007F688C"/>
    <w:rsid w:val="007F792F"/>
    <w:rsid w:val="008027A2"/>
    <w:rsid w:val="0080567C"/>
    <w:rsid w:val="00810788"/>
    <w:rsid w:val="00811BE1"/>
    <w:rsid w:val="00812DE8"/>
    <w:rsid w:val="0081302D"/>
    <w:rsid w:val="0081338B"/>
    <w:rsid w:val="00813CC9"/>
    <w:rsid w:val="00814663"/>
    <w:rsid w:val="008162A6"/>
    <w:rsid w:val="008173EC"/>
    <w:rsid w:val="00820C28"/>
    <w:rsid w:val="00821A87"/>
    <w:rsid w:val="008223D1"/>
    <w:rsid w:val="0082283E"/>
    <w:rsid w:val="008237C6"/>
    <w:rsid w:val="00824B7D"/>
    <w:rsid w:val="00824D30"/>
    <w:rsid w:val="008250E6"/>
    <w:rsid w:val="0082751E"/>
    <w:rsid w:val="00830274"/>
    <w:rsid w:val="00830D7E"/>
    <w:rsid w:val="00831851"/>
    <w:rsid w:val="00835773"/>
    <w:rsid w:val="00836CD9"/>
    <w:rsid w:val="00836E90"/>
    <w:rsid w:val="00841202"/>
    <w:rsid w:val="00851700"/>
    <w:rsid w:val="00852606"/>
    <w:rsid w:val="00852AD4"/>
    <w:rsid w:val="00853FC8"/>
    <w:rsid w:val="008578A8"/>
    <w:rsid w:val="00864762"/>
    <w:rsid w:val="0086481F"/>
    <w:rsid w:val="00865AA8"/>
    <w:rsid w:val="00872C37"/>
    <w:rsid w:val="00872DB7"/>
    <w:rsid w:val="00873265"/>
    <w:rsid w:val="00874FD5"/>
    <w:rsid w:val="00875535"/>
    <w:rsid w:val="00875932"/>
    <w:rsid w:val="0087703F"/>
    <w:rsid w:val="00882523"/>
    <w:rsid w:val="00885045"/>
    <w:rsid w:val="00885D74"/>
    <w:rsid w:val="00892378"/>
    <w:rsid w:val="00893473"/>
    <w:rsid w:val="00894497"/>
    <w:rsid w:val="008A02B3"/>
    <w:rsid w:val="008A3136"/>
    <w:rsid w:val="008A3A71"/>
    <w:rsid w:val="008A3F3F"/>
    <w:rsid w:val="008A4ABE"/>
    <w:rsid w:val="008A5AE9"/>
    <w:rsid w:val="008B02DC"/>
    <w:rsid w:val="008B1183"/>
    <w:rsid w:val="008B1DF9"/>
    <w:rsid w:val="008B2252"/>
    <w:rsid w:val="008B2ABC"/>
    <w:rsid w:val="008B4DF1"/>
    <w:rsid w:val="008C37F4"/>
    <w:rsid w:val="008C3CE8"/>
    <w:rsid w:val="008C4E15"/>
    <w:rsid w:val="008C6B9F"/>
    <w:rsid w:val="008C71DB"/>
    <w:rsid w:val="008D07FB"/>
    <w:rsid w:val="008D2C37"/>
    <w:rsid w:val="008D4265"/>
    <w:rsid w:val="008D4670"/>
    <w:rsid w:val="008D4B17"/>
    <w:rsid w:val="008D6DEC"/>
    <w:rsid w:val="008E258C"/>
    <w:rsid w:val="008F0D05"/>
    <w:rsid w:val="008F10E1"/>
    <w:rsid w:val="008F1F28"/>
    <w:rsid w:val="008F2C28"/>
    <w:rsid w:val="008F46C9"/>
    <w:rsid w:val="008F5D84"/>
    <w:rsid w:val="008F7F61"/>
    <w:rsid w:val="009004BA"/>
    <w:rsid w:val="00906352"/>
    <w:rsid w:val="00920520"/>
    <w:rsid w:val="00920820"/>
    <w:rsid w:val="00920C7F"/>
    <w:rsid w:val="009219F9"/>
    <w:rsid w:val="0092305B"/>
    <w:rsid w:val="00924B7E"/>
    <w:rsid w:val="00925FD7"/>
    <w:rsid w:val="0092792F"/>
    <w:rsid w:val="00930E4C"/>
    <w:rsid w:val="00931738"/>
    <w:rsid w:val="009323E6"/>
    <w:rsid w:val="00933F58"/>
    <w:rsid w:val="0093457B"/>
    <w:rsid w:val="00935E07"/>
    <w:rsid w:val="0093770C"/>
    <w:rsid w:val="00940CF9"/>
    <w:rsid w:val="00941961"/>
    <w:rsid w:val="009445F9"/>
    <w:rsid w:val="00945EE7"/>
    <w:rsid w:val="009461A4"/>
    <w:rsid w:val="0094723B"/>
    <w:rsid w:val="00950F5B"/>
    <w:rsid w:val="009552B2"/>
    <w:rsid w:val="009558F5"/>
    <w:rsid w:val="009564B9"/>
    <w:rsid w:val="00956767"/>
    <w:rsid w:val="00957D2A"/>
    <w:rsid w:val="00957DD8"/>
    <w:rsid w:val="0096512F"/>
    <w:rsid w:val="00965C95"/>
    <w:rsid w:val="00965CA1"/>
    <w:rsid w:val="00970537"/>
    <w:rsid w:val="00970B1F"/>
    <w:rsid w:val="0097164A"/>
    <w:rsid w:val="00974953"/>
    <w:rsid w:val="00976D95"/>
    <w:rsid w:val="009822B3"/>
    <w:rsid w:val="00983851"/>
    <w:rsid w:val="00983F14"/>
    <w:rsid w:val="0099261F"/>
    <w:rsid w:val="00995BF8"/>
    <w:rsid w:val="009970E6"/>
    <w:rsid w:val="009977BE"/>
    <w:rsid w:val="0099793E"/>
    <w:rsid w:val="009A047D"/>
    <w:rsid w:val="009A0527"/>
    <w:rsid w:val="009A28F3"/>
    <w:rsid w:val="009A38CB"/>
    <w:rsid w:val="009A57E2"/>
    <w:rsid w:val="009A7F87"/>
    <w:rsid w:val="009B15FB"/>
    <w:rsid w:val="009B17A9"/>
    <w:rsid w:val="009B2D01"/>
    <w:rsid w:val="009B2F48"/>
    <w:rsid w:val="009B317C"/>
    <w:rsid w:val="009B4F7C"/>
    <w:rsid w:val="009B65A2"/>
    <w:rsid w:val="009B72ED"/>
    <w:rsid w:val="009C03ED"/>
    <w:rsid w:val="009D148E"/>
    <w:rsid w:val="009D1A2C"/>
    <w:rsid w:val="009D2A25"/>
    <w:rsid w:val="009D3DDA"/>
    <w:rsid w:val="009D4445"/>
    <w:rsid w:val="009D4CFA"/>
    <w:rsid w:val="009D7361"/>
    <w:rsid w:val="009D777F"/>
    <w:rsid w:val="009E2269"/>
    <w:rsid w:val="009E2923"/>
    <w:rsid w:val="009E2C6D"/>
    <w:rsid w:val="009E2EA8"/>
    <w:rsid w:val="009E4C28"/>
    <w:rsid w:val="009E57BC"/>
    <w:rsid w:val="009E673D"/>
    <w:rsid w:val="009E6DBF"/>
    <w:rsid w:val="009E7C93"/>
    <w:rsid w:val="009E7F0D"/>
    <w:rsid w:val="009F23A3"/>
    <w:rsid w:val="009F2655"/>
    <w:rsid w:val="009F76FF"/>
    <w:rsid w:val="00A005D9"/>
    <w:rsid w:val="00A007E3"/>
    <w:rsid w:val="00A04087"/>
    <w:rsid w:val="00A06C38"/>
    <w:rsid w:val="00A07BF5"/>
    <w:rsid w:val="00A12606"/>
    <w:rsid w:val="00A12610"/>
    <w:rsid w:val="00A157C4"/>
    <w:rsid w:val="00A2316C"/>
    <w:rsid w:val="00A307A4"/>
    <w:rsid w:val="00A315C9"/>
    <w:rsid w:val="00A339D9"/>
    <w:rsid w:val="00A35497"/>
    <w:rsid w:val="00A41682"/>
    <w:rsid w:val="00A41EB1"/>
    <w:rsid w:val="00A4264C"/>
    <w:rsid w:val="00A447E4"/>
    <w:rsid w:val="00A45E27"/>
    <w:rsid w:val="00A56EFD"/>
    <w:rsid w:val="00A6412C"/>
    <w:rsid w:val="00A642F3"/>
    <w:rsid w:val="00A732AC"/>
    <w:rsid w:val="00A76011"/>
    <w:rsid w:val="00A760B5"/>
    <w:rsid w:val="00A775D5"/>
    <w:rsid w:val="00A84ED2"/>
    <w:rsid w:val="00A874D0"/>
    <w:rsid w:val="00A912E6"/>
    <w:rsid w:val="00A921FB"/>
    <w:rsid w:val="00A94879"/>
    <w:rsid w:val="00A9498C"/>
    <w:rsid w:val="00A95CD1"/>
    <w:rsid w:val="00AA048C"/>
    <w:rsid w:val="00AA5450"/>
    <w:rsid w:val="00AA6C5D"/>
    <w:rsid w:val="00AB2B83"/>
    <w:rsid w:val="00AB7E19"/>
    <w:rsid w:val="00AC07DD"/>
    <w:rsid w:val="00AC0B61"/>
    <w:rsid w:val="00AC14B9"/>
    <w:rsid w:val="00AC28F0"/>
    <w:rsid w:val="00AC33DE"/>
    <w:rsid w:val="00AC3CE0"/>
    <w:rsid w:val="00AC5CCC"/>
    <w:rsid w:val="00AC662D"/>
    <w:rsid w:val="00AC7737"/>
    <w:rsid w:val="00AD17D9"/>
    <w:rsid w:val="00AD2EB8"/>
    <w:rsid w:val="00AD3614"/>
    <w:rsid w:val="00AD4AF6"/>
    <w:rsid w:val="00AD556F"/>
    <w:rsid w:val="00AD7D62"/>
    <w:rsid w:val="00AE1454"/>
    <w:rsid w:val="00AE1BA4"/>
    <w:rsid w:val="00AE1E69"/>
    <w:rsid w:val="00AE63BB"/>
    <w:rsid w:val="00AE7523"/>
    <w:rsid w:val="00AF3B4D"/>
    <w:rsid w:val="00AF4327"/>
    <w:rsid w:val="00AF5A6A"/>
    <w:rsid w:val="00AF6197"/>
    <w:rsid w:val="00B055AD"/>
    <w:rsid w:val="00B0724F"/>
    <w:rsid w:val="00B10026"/>
    <w:rsid w:val="00B10586"/>
    <w:rsid w:val="00B10941"/>
    <w:rsid w:val="00B13B27"/>
    <w:rsid w:val="00B13BD8"/>
    <w:rsid w:val="00B15401"/>
    <w:rsid w:val="00B17763"/>
    <w:rsid w:val="00B17853"/>
    <w:rsid w:val="00B21BA3"/>
    <w:rsid w:val="00B22405"/>
    <w:rsid w:val="00B23BA9"/>
    <w:rsid w:val="00B23FA7"/>
    <w:rsid w:val="00B24917"/>
    <w:rsid w:val="00B25AB5"/>
    <w:rsid w:val="00B25BD0"/>
    <w:rsid w:val="00B27868"/>
    <w:rsid w:val="00B31DC0"/>
    <w:rsid w:val="00B31DD9"/>
    <w:rsid w:val="00B35C30"/>
    <w:rsid w:val="00B371D9"/>
    <w:rsid w:val="00B3729B"/>
    <w:rsid w:val="00B40D01"/>
    <w:rsid w:val="00B41893"/>
    <w:rsid w:val="00B41E2F"/>
    <w:rsid w:val="00B420B9"/>
    <w:rsid w:val="00B426AC"/>
    <w:rsid w:val="00B429DD"/>
    <w:rsid w:val="00B43689"/>
    <w:rsid w:val="00B43A0E"/>
    <w:rsid w:val="00B45E98"/>
    <w:rsid w:val="00B46D27"/>
    <w:rsid w:val="00B47091"/>
    <w:rsid w:val="00B51009"/>
    <w:rsid w:val="00B52307"/>
    <w:rsid w:val="00B52C1D"/>
    <w:rsid w:val="00B54ED4"/>
    <w:rsid w:val="00B563BE"/>
    <w:rsid w:val="00B6239A"/>
    <w:rsid w:val="00B63DF4"/>
    <w:rsid w:val="00B659FF"/>
    <w:rsid w:val="00B71550"/>
    <w:rsid w:val="00B736C1"/>
    <w:rsid w:val="00B84B73"/>
    <w:rsid w:val="00B85B63"/>
    <w:rsid w:val="00B90450"/>
    <w:rsid w:val="00BA0EB4"/>
    <w:rsid w:val="00BA333B"/>
    <w:rsid w:val="00BA381A"/>
    <w:rsid w:val="00BA7450"/>
    <w:rsid w:val="00BB0BD2"/>
    <w:rsid w:val="00BB0D36"/>
    <w:rsid w:val="00BB0D82"/>
    <w:rsid w:val="00BB0E9F"/>
    <w:rsid w:val="00BB225B"/>
    <w:rsid w:val="00BB30BA"/>
    <w:rsid w:val="00BB4529"/>
    <w:rsid w:val="00BB5430"/>
    <w:rsid w:val="00BC0338"/>
    <w:rsid w:val="00BD03C9"/>
    <w:rsid w:val="00BD6772"/>
    <w:rsid w:val="00BD6E5C"/>
    <w:rsid w:val="00BE06AC"/>
    <w:rsid w:val="00BF1DB5"/>
    <w:rsid w:val="00BF2D7C"/>
    <w:rsid w:val="00BF5D94"/>
    <w:rsid w:val="00C0498B"/>
    <w:rsid w:val="00C05B3A"/>
    <w:rsid w:val="00C05E2B"/>
    <w:rsid w:val="00C065A6"/>
    <w:rsid w:val="00C07302"/>
    <w:rsid w:val="00C11A82"/>
    <w:rsid w:val="00C1291D"/>
    <w:rsid w:val="00C1297E"/>
    <w:rsid w:val="00C12E81"/>
    <w:rsid w:val="00C13748"/>
    <w:rsid w:val="00C148B1"/>
    <w:rsid w:val="00C166CC"/>
    <w:rsid w:val="00C16ABC"/>
    <w:rsid w:val="00C16FB2"/>
    <w:rsid w:val="00C207EC"/>
    <w:rsid w:val="00C22C5F"/>
    <w:rsid w:val="00C22ECB"/>
    <w:rsid w:val="00C230C4"/>
    <w:rsid w:val="00C233FD"/>
    <w:rsid w:val="00C25125"/>
    <w:rsid w:val="00C262F9"/>
    <w:rsid w:val="00C2689F"/>
    <w:rsid w:val="00C30973"/>
    <w:rsid w:val="00C40E1E"/>
    <w:rsid w:val="00C4291A"/>
    <w:rsid w:val="00C44A1F"/>
    <w:rsid w:val="00C45891"/>
    <w:rsid w:val="00C5078D"/>
    <w:rsid w:val="00C51642"/>
    <w:rsid w:val="00C5502C"/>
    <w:rsid w:val="00C56EB9"/>
    <w:rsid w:val="00C60CC6"/>
    <w:rsid w:val="00C619DD"/>
    <w:rsid w:val="00C61C5C"/>
    <w:rsid w:val="00C63B63"/>
    <w:rsid w:val="00C6450F"/>
    <w:rsid w:val="00C64798"/>
    <w:rsid w:val="00C660E0"/>
    <w:rsid w:val="00C739DB"/>
    <w:rsid w:val="00C7649B"/>
    <w:rsid w:val="00C80802"/>
    <w:rsid w:val="00C81962"/>
    <w:rsid w:val="00C828D1"/>
    <w:rsid w:val="00C8332E"/>
    <w:rsid w:val="00C86702"/>
    <w:rsid w:val="00C86C48"/>
    <w:rsid w:val="00C872B2"/>
    <w:rsid w:val="00C9035A"/>
    <w:rsid w:val="00C91291"/>
    <w:rsid w:val="00C92936"/>
    <w:rsid w:val="00C95524"/>
    <w:rsid w:val="00C96AB4"/>
    <w:rsid w:val="00C9707A"/>
    <w:rsid w:val="00CA5CE1"/>
    <w:rsid w:val="00CA5ED5"/>
    <w:rsid w:val="00CA69B6"/>
    <w:rsid w:val="00CA6D20"/>
    <w:rsid w:val="00CB0C49"/>
    <w:rsid w:val="00CB2CE4"/>
    <w:rsid w:val="00CB495A"/>
    <w:rsid w:val="00CB5B59"/>
    <w:rsid w:val="00CB5CE7"/>
    <w:rsid w:val="00CB6A65"/>
    <w:rsid w:val="00CC0D16"/>
    <w:rsid w:val="00CC1AE1"/>
    <w:rsid w:val="00CC2FFE"/>
    <w:rsid w:val="00CC4717"/>
    <w:rsid w:val="00CC6E82"/>
    <w:rsid w:val="00CC7A63"/>
    <w:rsid w:val="00CD0A4B"/>
    <w:rsid w:val="00CD18F5"/>
    <w:rsid w:val="00CD19BF"/>
    <w:rsid w:val="00CD1A66"/>
    <w:rsid w:val="00CD2A7F"/>
    <w:rsid w:val="00CD2B2E"/>
    <w:rsid w:val="00CD33BB"/>
    <w:rsid w:val="00CD5433"/>
    <w:rsid w:val="00CD54B6"/>
    <w:rsid w:val="00CD64B0"/>
    <w:rsid w:val="00CE05EA"/>
    <w:rsid w:val="00CE32BB"/>
    <w:rsid w:val="00CE3D92"/>
    <w:rsid w:val="00CE426E"/>
    <w:rsid w:val="00CE44B9"/>
    <w:rsid w:val="00CE504F"/>
    <w:rsid w:val="00CE562B"/>
    <w:rsid w:val="00CE7F15"/>
    <w:rsid w:val="00CF1248"/>
    <w:rsid w:val="00CF144F"/>
    <w:rsid w:val="00CF53D1"/>
    <w:rsid w:val="00CF602D"/>
    <w:rsid w:val="00CF6636"/>
    <w:rsid w:val="00CF7D16"/>
    <w:rsid w:val="00D002DF"/>
    <w:rsid w:val="00D0045A"/>
    <w:rsid w:val="00D01832"/>
    <w:rsid w:val="00D0228F"/>
    <w:rsid w:val="00D043FB"/>
    <w:rsid w:val="00D13C98"/>
    <w:rsid w:val="00D153E6"/>
    <w:rsid w:val="00D16E20"/>
    <w:rsid w:val="00D210DE"/>
    <w:rsid w:val="00D2155D"/>
    <w:rsid w:val="00D23DFA"/>
    <w:rsid w:val="00D24A80"/>
    <w:rsid w:val="00D25D7B"/>
    <w:rsid w:val="00D26985"/>
    <w:rsid w:val="00D27E7A"/>
    <w:rsid w:val="00D31FC0"/>
    <w:rsid w:val="00D3262C"/>
    <w:rsid w:val="00D345C0"/>
    <w:rsid w:val="00D40073"/>
    <w:rsid w:val="00D43B23"/>
    <w:rsid w:val="00D4486A"/>
    <w:rsid w:val="00D45FC9"/>
    <w:rsid w:val="00D51161"/>
    <w:rsid w:val="00D52C90"/>
    <w:rsid w:val="00D54362"/>
    <w:rsid w:val="00D60627"/>
    <w:rsid w:val="00D626A1"/>
    <w:rsid w:val="00D6351E"/>
    <w:rsid w:val="00D658E9"/>
    <w:rsid w:val="00D65F16"/>
    <w:rsid w:val="00D67784"/>
    <w:rsid w:val="00D722E6"/>
    <w:rsid w:val="00D72EC0"/>
    <w:rsid w:val="00D73943"/>
    <w:rsid w:val="00D75024"/>
    <w:rsid w:val="00D76A3F"/>
    <w:rsid w:val="00D76D7B"/>
    <w:rsid w:val="00D819A6"/>
    <w:rsid w:val="00D824F1"/>
    <w:rsid w:val="00D83105"/>
    <w:rsid w:val="00D84397"/>
    <w:rsid w:val="00D8487C"/>
    <w:rsid w:val="00D8515B"/>
    <w:rsid w:val="00D86EAF"/>
    <w:rsid w:val="00D93211"/>
    <w:rsid w:val="00D94BBA"/>
    <w:rsid w:val="00D962D2"/>
    <w:rsid w:val="00D963B9"/>
    <w:rsid w:val="00D9729D"/>
    <w:rsid w:val="00DA0E3B"/>
    <w:rsid w:val="00DA12D5"/>
    <w:rsid w:val="00DA211C"/>
    <w:rsid w:val="00DA219E"/>
    <w:rsid w:val="00DB0565"/>
    <w:rsid w:val="00DB3289"/>
    <w:rsid w:val="00DB3D61"/>
    <w:rsid w:val="00DB504B"/>
    <w:rsid w:val="00DB7038"/>
    <w:rsid w:val="00DC41A1"/>
    <w:rsid w:val="00DC752D"/>
    <w:rsid w:val="00DC760B"/>
    <w:rsid w:val="00DC7E2A"/>
    <w:rsid w:val="00DC7F35"/>
    <w:rsid w:val="00DD2E87"/>
    <w:rsid w:val="00DE2E52"/>
    <w:rsid w:val="00DE304E"/>
    <w:rsid w:val="00DE7B0C"/>
    <w:rsid w:val="00DF0287"/>
    <w:rsid w:val="00DF0E2A"/>
    <w:rsid w:val="00DF0EB2"/>
    <w:rsid w:val="00DF2CF3"/>
    <w:rsid w:val="00DF3F6F"/>
    <w:rsid w:val="00DF649A"/>
    <w:rsid w:val="00DF67FE"/>
    <w:rsid w:val="00DF68B1"/>
    <w:rsid w:val="00DF77AC"/>
    <w:rsid w:val="00E0167B"/>
    <w:rsid w:val="00E10217"/>
    <w:rsid w:val="00E20856"/>
    <w:rsid w:val="00E22604"/>
    <w:rsid w:val="00E2302A"/>
    <w:rsid w:val="00E275D6"/>
    <w:rsid w:val="00E3017B"/>
    <w:rsid w:val="00E30F63"/>
    <w:rsid w:val="00E31537"/>
    <w:rsid w:val="00E31E04"/>
    <w:rsid w:val="00E34F59"/>
    <w:rsid w:val="00E35830"/>
    <w:rsid w:val="00E35D0A"/>
    <w:rsid w:val="00E36F5B"/>
    <w:rsid w:val="00E4100D"/>
    <w:rsid w:val="00E42132"/>
    <w:rsid w:val="00E43240"/>
    <w:rsid w:val="00E45151"/>
    <w:rsid w:val="00E51426"/>
    <w:rsid w:val="00E52C71"/>
    <w:rsid w:val="00E538CD"/>
    <w:rsid w:val="00E53CCE"/>
    <w:rsid w:val="00E54701"/>
    <w:rsid w:val="00E54D92"/>
    <w:rsid w:val="00E55ECB"/>
    <w:rsid w:val="00E5615D"/>
    <w:rsid w:val="00E6112D"/>
    <w:rsid w:val="00E64B36"/>
    <w:rsid w:val="00E65678"/>
    <w:rsid w:val="00E7134B"/>
    <w:rsid w:val="00E71AFA"/>
    <w:rsid w:val="00E74B07"/>
    <w:rsid w:val="00E778D3"/>
    <w:rsid w:val="00E81103"/>
    <w:rsid w:val="00E81635"/>
    <w:rsid w:val="00E83042"/>
    <w:rsid w:val="00E85314"/>
    <w:rsid w:val="00E86B3A"/>
    <w:rsid w:val="00E87FA1"/>
    <w:rsid w:val="00E90FC8"/>
    <w:rsid w:val="00E91422"/>
    <w:rsid w:val="00E92855"/>
    <w:rsid w:val="00E93754"/>
    <w:rsid w:val="00E95B23"/>
    <w:rsid w:val="00E974DA"/>
    <w:rsid w:val="00EA176F"/>
    <w:rsid w:val="00EA3B9E"/>
    <w:rsid w:val="00EA4BA6"/>
    <w:rsid w:val="00EA5BFD"/>
    <w:rsid w:val="00EA60E8"/>
    <w:rsid w:val="00EB1CA0"/>
    <w:rsid w:val="00EB414C"/>
    <w:rsid w:val="00EB4D4D"/>
    <w:rsid w:val="00EB514B"/>
    <w:rsid w:val="00EB5A58"/>
    <w:rsid w:val="00EC080D"/>
    <w:rsid w:val="00EC0A93"/>
    <w:rsid w:val="00EC21C6"/>
    <w:rsid w:val="00EC3168"/>
    <w:rsid w:val="00EC3D95"/>
    <w:rsid w:val="00EC3E2C"/>
    <w:rsid w:val="00EC408D"/>
    <w:rsid w:val="00ED02F3"/>
    <w:rsid w:val="00ED142C"/>
    <w:rsid w:val="00ED1CF4"/>
    <w:rsid w:val="00ED1DD6"/>
    <w:rsid w:val="00ED2CC4"/>
    <w:rsid w:val="00ED30CC"/>
    <w:rsid w:val="00ED3F89"/>
    <w:rsid w:val="00ED4072"/>
    <w:rsid w:val="00ED5561"/>
    <w:rsid w:val="00ED580B"/>
    <w:rsid w:val="00ED713D"/>
    <w:rsid w:val="00EE08BA"/>
    <w:rsid w:val="00EE1C9C"/>
    <w:rsid w:val="00EE5F6A"/>
    <w:rsid w:val="00EE6F8E"/>
    <w:rsid w:val="00EE7976"/>
    <w:rsid w:val="00EF2BE8"/>
    <w:rsid w:val="00EF3E79"/>
    <w:rsid w:val="00EF7A17"/>
    <w:rsid w:val="00F06438"/>
    <w:rsid w:val="00F06466"/>
    <w:rsid w:val="00F07839"/>
    <w:rsid w:val="00F1573A"/>
    <w:rsid w:val="00F2346D"/>
    <w:rsid w:val="00F244CE"/>
    <w:rsid w:val="00F25956"/>
    <w:rsid w:val="00F277F8"/>
    <w:rsid w:val="00F337A9"/>
    <w:rsid w:val="00F36BCA"/>
    <w:rsid w:val="00F40D71"/>
    <w:rsid w:val="00F4310D"/>
    <w:rsid w:val="00F43251"/>
    <w:rsid w:val="00F466C8"/>
    <w:rsid w:val="00F46B01"/>
    <w:rsid w:val="00F5094E"/>
    <w:rsid w:val="00F51058"/>
    <w:rsid w:val="00F5172E"/>
    <w:rsid w:val="00F52FE9"/>
    <w:rsid w:val="00F5474D"/>
    <w:rsid w:val="00F56CBF"/>
    <w:rsid w:val="00F66C8C"/>
    <w:rsid w:val="00F6702D"/>
    <w:rsid w:val="00F67B79"/>
    <w:rsid w:val="00F7108D"/>
    <w:rsid w:val="00F754B8"/>
    <w:rsid w:val="00F75CDC"/>
    <w:rsid w:val="00F7661C"/>
    <w:rsid w:val="00F82234"/>
    <w:rsid w:val="00F8264A"/>
    <w:rsid w:val="00F83CFF"/>
    <w:rsid w:val="00F842BA"/>
    <w:rsid w:val="00F8492B"/>
    <w:rsid w:val="00F84AE9"/>
    <w:rsid w:val="00F84F9A"/>
    <w:rsid w:val="00F85959"/>
    <w:rsid w:val="00F9044F"/>
    <w:rsid w:val="00F9399B"/>
    <w:rsid w:val="00F93DB1"/>
    <w:rsid w:val="00F94037"/>
    <w:rsid w:val="00F94236"/>
    <w:rsid w:val="00F95666"/>
    <w:rsid w:val="00FA1B6D"/>
    <w:rsid w:val="00FA3E0C"/>
    <w:rsid w:val="00FA4071"/>
    <w:rsid w:val="00FA5881"/>
    <w:rsid w:val="00FA5FAC"/>
    <w:rsid w:val="00FA6CEE"/>
    <w:rsid w:val="00FB077C"/>
    <w:rsid w:val="00FB1F35"/>
    <w:rsid w:val="00FB384D"/>
    <w:rsid w:val="00FB4734"/>
    <w:rsid w:val="00FB5B73"/>
    <w:rsid w:val="00FB5CCC"/>
    <w:rsid w:val="00FB6180"/>
    <w:rsid w:val="00FB75EF"/>
    <w:rsid w:val="00FC1427"/>
    <w:rsid w:val="00FC64DD"/>
    <w:rsid w:val="00FD0CDF"/>
    <w:rsid w:val="00FD2975"/>
    <w:rsid w:val="00FD68BC"/>
    <w:rsid w:val="00FE1F09"/>
    <w:rsid w:val="00FE478F"/>
    <w:rsid w:val="00FE47E5"/>
    <w:rsid w:val="00FE6A07"/>
    <w:rsid w:val="00FF16F2"/>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E062-F836-49AB-843B-2B279921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F3"/>
    <w:pPr>
      <w:tabs>
        <w:tab w:val="center" w:pos="4680"/>
        <w:tab w:val="right" w:pos="9360"/>
      </w:tabs>
    </w:pPr>
  </w:style>
  <w:style w:type="character" w:customStyle="1" w:styleId="HeaderChar">
    <w:name w:val="Header Char"/>
    <w:basedOn w:val="DefaultParagraphFont"/>
    <w:link w:val="Header"/>
    <w:uiPriority w:val="99"/>
    <w:rsid w:val="00DF2CF3"/>
  </w:style>
  <w:style w:type="paragraph" w:styleId="Footer">
    <w:name w:val="footer"/>
    <w:basedOn w:val="Normal"/>
    <w:link w:val="FooterChar"/>
    <w:uiPriority w:val="99"/>
    <w:unhideWhenUsed/>
    <w:rsid w:val="00DF2CF3"/>
    <w:pPr>
      <w:tabs>
        <w:tab w:val="center" w:pos="4680"/>
        <w:tab w:val="right" w:pos="9360"/>
      </w:tabs>
    </w:pPr>
  </w:style>
  <w:style w:type="character" w:customStyle="1" w:styleId="FooterChar">
    <w:name w:val="Footer Char"/>
    <w:basedOn w:val="DefaultParagraphFont"/>
    <w:link w:val="Footer"/>
    <w:uiPriority w:val="99"/>
    <w:rsid w:val="00DF2CF3"/>
  </w:style>
  <w:style w:type="character" w:styleId="Hyperlink">
    <w:name w:val="Hyperlink"/>
    <w:basedOn w:val="DefaultParagraphFont"/>
    <w:uiPriority w:val="99"/>
    <w:unhideWhenUsed/>
    <w:rsid w:val="000549E5"/>
    <w:rPr>
      <w:color w:val="0000FF" w:themeColor="hyperlink"/>
      <w:u w:val="single"/>
    </w:rPr>
  </w:style>
  <w:style w:type="character" w:customStyle="1" w:styleId="searchword">
    <w:name w:val="searchword"/>
    <w:basedOn w:val="DefaultParagraphFont"/>
    <w:rsid w:val="00390EC9"/>
    <w:rPr>
      <w:shd w:val="clear" w:color="auto" w:fill="FFFF00"/>
    </w:rPr>
  </w:style>
  <w:style w:type="paragraph" w:styleId="BalloonText">
    <w:name w:val="Balloon Text"/>
    <w:basedOn w:val="Normal"/>
    <w:link w:val="BalloonTextChar"/>
    <w:uiPriority w:val="99"/>
    <w:semiHidden/>
    <w:unhideWhenUsed/>
    <w:rsid w:val="00003C00"/>
    <w:rPr>
      <w:rFonts w:ascii="Tahoma" w:hAnsi="Tahoma" w:cs="Tahoma"/>
      <w:sz w:val="16"/>
      <w:szCs w:val="16"/>
    </w:rPr>
  </w:style>
  <w:style w:type="character" w:customStyle="1" w:styleId="BalloonTextChar">
    <w:name w:val="Balloon Text Char"/>
    <w:basedOn w:val="DefaultParagraphFont"/>
    <w:link w:val="BalloonText"/>
    <w:uiPriority w:val="99"/>
    <w:semiHidden/>
    <w:rsid w:val="00003C00"/>
    <w:rPr>
      <w:rFonts w:ascii="Tahoma" w:hAnsi="Tahoma" w:cs="Tahoma"/>
      <w:sz w:val="16"/>
      <w:szCs w:val="16"/>
    </w:rPr>
  </w:style>
  <w:style w:type="character" w:styleId="FollowedHyperlink">
    <w:name w:val="FollowedHyperlink"/>
    <w:basedOn w:val="DefaultParagraphFont"/>
    <w:uiPriority w:val="99"/>
    <w:semiHidden/>
    <w:unhideWhenUsed/>
    <w:rsid w:val="009B2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5816">
      <w:bodyDiv w:val="1"/>
      <w:marLeft w:val="0"/>
      <w:marRight w:val="0"/>
      <w:marTop w:val="0"/>
      <w:marBottom w:val="0"/>
      <w:divBdr>
        <w:top w:val="none" w:sz="0" w:space="0" w:color="auto"/>
        <w:left w:val="none" w:sz="0" w:space="0" w:color="auto"/>
        <w:bottom w:val="none" w:sz="0" w:space="0" w:color="auto"/>
        <w:right w:val="none" w:sz="0" w:space="0" w:color="auto"/>
      </w:divBdr>
    </w:div>
    <w:div w:id="1765026813">
      <w:bodyDiv w:val="1"/>
      <w:marLeft w:val="0"/>
      <w:marRight w:val="0"/>
      <w:marTop w:val="0"/>
      <w:marBottom w:val="0"/>
      <w:divBdr>
        <w:top w:val="none" w:sz="0" w:space="0" w:color="auto"/>
        <w:left w:val="none" w:sz="0" w:space="0" w:color="auto"/>
        <w:bottom w:val="none" w:sz="0" w:space="0" w:color="auto"/>
        <w:right w:val="none" w:sz="0" w:space="0" w:color="auto"/>
      </w:divBdr>
      <w:divsChild>
        <w:div w:id="1021053508">
          <w:marLeft w:val="0"/>
          <w:marRight w:val="0"/>
          <w:marTop w:val="0"/>
          <w:marBottom w:val="0"/>
          <w:divBdr>
            <w:top w:val="none" w:sz="0" w:space="0" w:color="auto"/>
            <w:left w:val="none" w:sz="0" w:space="0" w:color="auto"/>
            <w:bottom w:val="none" w:sz="0" w:space="0" w:color="auto"/>
            <w:right w:val="none" w:sz="0" w:space="0" w:color="auto"/>
          </w:divBdr>
          <w:divsChild>
            <w:div w:id="280697679">
              <w:marLeft w:val="0"/>
              <w:marRight w:val="0"/>
              <w:marTop w:val="0"/>
              <w:marBottom w:val="0"/>
              <w:divBdr>
                <w:top w:val="none" w:sz="0" w:space="0" w:color="auto"/>
                <w:left w:val="none" w:sz="0" w:space="0" w:color="auto"/>
                <w:bottom w:val="none" w:sz="0" w:space="0" w:color="auto"/>
                <w:right w:val="none" w:sz="0" w:space="0" w:color="auto"/>
              </w:divBdr>
              <w:divsChild>
                <w:div w:id="645012542">
                  <w:marLeft w:val="0"/>
                  <w:marRight w:val="0"/>
                  <w:marTop w:val="0"/>
                  <w:marBottom w:val="0"/>
                  <w:divBdr>
                    <w:top w:val="none" w:sz="0" w:space="0" w:color="auto"/>
                    <w:left w:val="none" w:sz="0" w:space="0" w:color="auto"/>
                    <w:bottom w:val="none" w:sz="0" w:space="0" w:color="auto"/>
                    <w:right w:val="none" w:sz="0" w:space="0" w:color="auto"/>
                  </w:divBdr>
                  <w:divsChild>
                    <w:div w:id="1970471457">
                      <w:marLeft w:val="0"/>
                      <w:marRight w:val="0"/>
                      <w:marTop w:val="45"/>
                      <w:marBottom w:val="0"/>
                      <w:divBdr>
                        <w:top w:val="none" w:sz="0" w:space="0" w:color="auto"/>
                        <w:left w:val="none" w:sz="0" w:space="0" w:color="auto"/>
                        <w:bottom w:val="none" w:sz="0" w:space="0" w:color="auto"/>
                        <w:right w:val="none" w:sz="0" w:space="0" w:color="auto"/>
                      </w:divBdr>
                      <w:divsChild>
                        <w:div w:id="113403651">
                          <w:marLeft w:val="0"/>
                          <w:marRight w:val="0"/>
                          <w:marTop w:val="0"/>
                          <w:marBottom w:val="0"/>
                          <w:divBdr>
                            <w:top w:val="none" w:sz="0" w:space="0" w:color="auto"/>
                            <w:left w:val="none" w:sz="0" w:space="0" w:color="auto"/>
                            <w:bottom w:val="none" w:sz="0" w:space="0" w:color="auto"/>
                            <w:right w:val="none" w:sz="0" w:space="0" w:color="auto"/>
                          </w:divBdr>
                          <w:divsChild>
                            <w:div w:id="650719849">
                              <w:marLeft w:val="2070"/>
                              <w:marRight w:val="3960"/>
                              <w:marTop w:val="0"/>
                              <w:marBottom w:val="0"/>
                              <w:divBdr>
                                <w:top w:val="none" w:sz="0" w:space="0" w:color="auto"/>
                                <w:left w:val="none" w:sz="0" w:space="0" w:color="auto"/>
                                <w:bottom w:val="none" w:sz="0" w:space="0" w:color="auto"/>
                                <w:right w:val="none" w:sz="0" w:space="0" w:color="auto"/>
                              </w:divBdr>
                              <w:divsChild>
                                <w:div w:id="1345329798">
                                  <w:marLeft w:val="0"/>
                                  <w:marRight w:val="0"/>
                                  <w:marTop w:val="0"/>
                                  <w:marBottom w:val="0"/>
                                  <w:divBdr>
                                    <w:top w:val="none" w:sz="0" w:space="0" w:color="auto"/>
                                    <w:left w:val="none" w:sz="0" w:space="0" w:color="auto"/>
                                    <w:bottom w:val="none" w:sz="0" w:space="0" w:color="auto"/>
                                    <w:right w:val="none" w:sz="0" w:space="0" w:color="auto"/>
                                  </w:divBdr>
                                  <w:divsChild>
                                    <w:div w:id="1183864296">
                                      <w:marLeft w:val="0"/>
                                      <w:marRight w:val="0"/>
                                      <w:marTop w:val="0"/>
                                      <w:marBottom w:val="0"/>
                                      <w:divBdr>
                                        <w:top w:val="none" w:sz="0" w:space="0" w:color="auto"/>
                                        <w:left w:val="none" w:sz="0" w:space="0" w:color="auto"/>
                                        <w:bottom w:val="none" w:sz="0" w:space="0" w:color="auto"/>
                                        <w:right w:val="none" w:sz="0" w:space="0" w:color="auto"/>
                                      </w:divBdr>
                                      <w:divsChild>
                                        <w:div w:id="514461225">
                                          <w:marLeft w:val="0"/>
                                          <w:marRight w:val="0"/>
                                          <w:marTop w:val="0"/>
                                          <w:marBottom w:val="0"/>
                                          <w:divBdr>
                                            <w:top w:val="none" w:sz="0" w:space="0" w:color="auto"/>
                                            <w:left w:val="none" w:sz="0" w:space="0" w:color="auto"/>
                                            <w:bottom w:val="none" w:sz="0" w:space="0" w:color="auto"/>
                                            <w:right w:val="none" w:sz="0" w:space="0" w:color="auto"/>
                                          </w:divBdr>
                                          <w:divsChild>
                                            <w:div w:id="605045362">
                                              <w:marLeft w:val="0"/>
                                              <w:marRight w:val="0"/>
                                              <w:marTop w:val="90"/>
                                              <w:marBottom w:val="0"/>
                                              <w:divBdr>
                                                <w:top w:val="none" w:sz="0" w:space="0" w:color="auto"/>
                                                <w:left w:val="none" w:sz="0" w:space="0" w:color="auto"/>
                                                <w:bottom w:val="none" w:sz="0" w:space="0" w:color="auto"/>
                                                <w:right w:val="none" w:sz="0" w:space="0" w:color="auto"/>
                                              </w:divBdr>
                                              <w:divsChild>
                                                <w:div w:id="1651212224">
                                                  <w:marLeft w:val="0"/>
                                                  <w:marRight w:val="0"/>
                                                  <w:marTop w:val="0"/>
                                                  <w:marBottom w:val="0"/>
                                                  <w:divBdr>
                                                    <w:top w:val="none" w:sz="0" w:space="0" w:color="auto"/>
                                                    <w:left w:val="none" w:sz="0" w:space="0" w:color="auto"/>
                                                    <w:bottom w:val="none" w:sz="0" w:space="0" w:color="auto"/>
                                                    <w:right w:val="none" w:sz="0" w:space="0" w:color="auto"/>
                                                  </w:divBdr>
                                                  <w:divsChild>
                                                    <w:div w:id="1665887689">
                                                      <w:marLeft w:val="0"/>
                                                      <w:marRight w:val="0"/>
                                                      <w:marTop w:val="0"/>
                                                      <w:marBottom w:val="0"/>
                                                      <w:divBdr>
                                                        <w:top w:val="none" w:sz="0" w:space="0" w:color="auto"/>
                                                        <w:left w:val="none" w:sz="0" w:space="0" w:color="auto"/>
                                                        <w:bottom w:val="none" w:sz="0" w:space="0" w:color="auto"/>
                                                        <w:right w:val="none" w:sz="0" w:space="0" w:color="auto"/>
                                                      </w:divBdr>
                                                      <w:divsChild>
                                                        <w:div w:id="8530569">
                                                          <w:marLeft w:val="0"/>
                                                          <w:marRight w:val="0"/>
                                                          <w:marTop w:val="0"/>
                                                          <w:marBottom w:val="0"/>
                                                          <w:divBdr>
                                                            <w:top w:val="none" w:sz="0" w:space="0" w:color="auto"/>
                                                            <w:left w:val="none" w:sz="0" w:space="0" w:color="auto"/>
                                                            <w:bottom w:val="none" w:sz="0" w:space="0" w:color="auto"/>
                                                            <w:right w:val="none" w:sz="0" w:space="0" w:color="auto"/>
                                                          </w:divBdr>
                                                          <w:divsChild>
                                                            <w:div w:id="788620649">
                                                              <w:marLeft w:val="0"/>
                                                              <w:marRight w:val="0"/>
                                                              <w:marTop w:val="0"/>
                                                              <w:marBottom w:val="390"/>
                                                              <w:divBdr>
                                                                <w:top w:val="none" w:sz="0" w:space="0" w:color="auto"/>
                                                                <w:left w:val="none" w:sz="0" w:space="0" w:color="auto"/>
                                                                <w:bottom w:val="none" w:sz="0" w:space="0" w:color="auto"/>
                                                                <w:right w:val="none" w:sz="0" w:space="0" w:color="auto"/>
                                                              </w:divBdr>
                                                              <w:divsChild>
                                                                <w:div w:id="313608285">
                                                                  <w:marLeft w:val="0"/>
                                                                  <w:marRight w:val="0"/>
                                                                  <w:marTop w:val="0"/>
                                                                  <w:marBottom w:val="0"/>
                                                                  <w:divBdr>
                                                                    <w:top w:val="none" w:sz="0" w:space="0" w:color="auto"/>
                                                                    <w:left w:val="none" w:sz="0" w:space="0" w:color="auto"/>
                                                                    <w:bottom w:val="none" w:sz="0" w:space="0" w:color="auto"/>
                                                                    <w:right w:val="none" w:sz="0" w:space="0" w:color="auto"/>
                                                                  </w:divBdr>
                                                                  <w:divsChild>
                                                                    <w:div w:id="834151087">
                                                                      <w:marLeft w:val="0"/>
                                                                      <w:marRight w:val="0"/>
                                                                      <w:marTop w:val="0"/>
                                                                      <w:marBottom w:val="0"/>
                                                                      <w:divBdr>
                                                                        <w:top w:val="none" w:sz="0" w:space="0" w:color="auto"/>
                                                                        <w:left w:val="none" w:sz="0" w:space="0" w:color="auto"/>
                                                                        <w:bottom w:val="none" w:sz="0" w:space="0" w:color="auto"/>
                                                                        <w:right w:val="none" w:sz="0" w:space="0" w:color="auto"/>
                                                                      </w:divBdr>
                                                                      <w:divsChild>
                                                                        <w:div w:id="240867699">
                                                                          <w:marLeft w:val="0"/>
                                                                          <w:marRight w:val="0"/>
                                                                          <w:marTop w:val="0"/>
                                                                          <w:marBottom w:val="0"/>
                                                                          <w:divBdr>
                                                                            <w:top w:val="none" w:sz="0" w:space="0" w:color="auto"/>
                                                                            <w:left w:val="none" w:sz="0" w:space="0" w:color="auto"/>
                                                                            <w:bottom w:val="none" w:sz="0" w:space="0" w:color="auto"/>
                                                                            <w:right w:val="none" w:sz="0" w:space="0" w:color="auto"/>
                                                                          </w:divBdr>
                                                                          <w:divsChild>
                                                                            <w:div w:id="1959412133">
                                                                              <w:marLeft w:val="0"/>
                                                                              <w:marRight w:val="0"/>
                                                                              <w:marTop w:val="0"/>
                                                                              <w:marBottom w:val="0"/>
                                                                              <w:divBdr>
                                                                                <w:top w:val="none" w:sz="0" w:space="0" w:color="auto"/>
                                                                                <w:left w:val="none" w:sz="0" w:space="0" w:color="auto"/>
                                                                                <w:bottom w:val="none" w:sz="0" w:space="0" w:color="auto"/>
                                                                                <w:right w:val="none" w:sz="0" w:space="0" w:color="auto"/>
                                                                              </w:divBdr>
                                                                            </w:div>
                                                                            <w:div w:id="1911691279">
                                                                              <w:marLeft w:val="0"/>
                                                                              <w:marRight w:val="0"/>
                                                                              <w:marTop w:val="0"/>
                                                                              <w:marBottom w:val="0"/>
                                                                              <w:divBdr>
                                                                                <w:top w:val="none" w:sz="0" w:space="0" w:color="auto"/>
                                                                                <w:left w:val="none" w:sz="0" w:space="0" w:color="auto"/>
                                                                                <w:bottom w:val="none" w:sz="0" w:space="0" w:color="auto"/>
                                                                                <w:right w:val="none" w:sz="0" w:space="0" w:color="auto"/>
                                                                              </w:divBdr>
                                                                              <w:divsChild>
                                                                                <w:div w:id="4185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amawhitehouse.archives.gov/the-press-office/2016/08/02/%20fact-sheet-white-house-council-environmental-quality-releases-final" TargetMode="External"/><Relationship Id="rId13" Type="http://schemas.openxmlformats.org/officeDocument/2006/relationships/hyperlink" Target="https://www.blm.gov/programs/energy-and-minerals/oil-and-gas/oil-and-gas-statistics" TargetMode="External"/><Relationship Id="rId3" Type="http://schemas.openxmlformats.org/officeDocument/2006/relationships/settings" Target="settings.xml"/><Relationship Id="rId7" Type="http://schemas.openxmlformats.org/officeDocument/2006/relationships/hyperlink" Target="https://www.energy.gov/sites/prod/files/oeprod/DocumentsandMedia/Executive_%20Order_13212.%20pdf" TargetMode="External"/><Relationship Id="rId12" Type="http://schemas.openxmlformats.org/officeDocument/2006/relationships/hyperlink" Target="http://www.blm.gov/pgdata/etc/medialib/blm/wo/%20Communications_Directorate/public_affairs/news_release_attachments.Par.60974.File.dat/FY2015_BLM_Greenboo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presidential-actions/presidential-executive-order-promoting-energy-independence-economic-grow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vironmental.law.harvard.edu/2018/07/methane-waste-prevention-rule-information/" TargetMode="External"/><Relationship Id="rId4" Type="http://schemas.openxmlformats.org/officeDocument/2006/relationships/webSettings" Target="webSettings.xml"/><Relationship Id="rId9" Type="http://schemas.openxmlformats.org/officeDocument/2006/relationships/hyperlink" Target="http://www.hcn.org/articles/the-contradictions-at-the-heart-of-the-fight-over-methane-rules" TargetMode="External"/><Relationship Id="rId14" Type="http://schemas.openxmlformats.org/officeDocument/2006/relationships/hyperlink" Target="https://www.wilderness.org/sites/default/files/media/file/methane_report_web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7280</Words>
  <Characters>41497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evan davis</dc:creator>
  <cp:lastModifiedBy>Davis,Charles</cp:lastModifiedBy>
  <cp:revision>2</cp:revision>
  <cp:lastPrinted>2015-10-24T21:27:00Z</cp:lastPrinted>
  <dcterms:created xsi:type="dcterms:W3CDTF">2019-04-08T20:52:00Z</dcterms:created>
  <dcterms:modified xsi:type="dcterms:W3CDTF">2019-04-08T20:52:00Z</dcterms:modified>
</cp:coreProperties>
</file>