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2EB81" w14:textId="61EC8484" w:rsidR="00135BBE" w:rsidRPr="00C66353" w:rsidRDefault="00135BBE" w:rsidP="00EC3FFC">
      <w:pPr>
        <w:rPr>
          <w:rFonts w:ascii="Garamond" w:hAnsi="Garamond"/>
          <w:b/>
          <w:i/>
          <w:sz w:val="24"/>
          <w:szCs w:val="24"/>
        </w:rPr>
      </w:pPr>
      <w:r w:rsidRPr="00C66353">
        <w:rPr>
          <w:rFonts w:ascii="Garamond" w:hAnsi="Garamond"/>
          <w:b/>
          <w:i/>
          <w:sz w:val="24"/>
          <w:szCs w:val="24"/>
        </w:rPr>
        <w:t>A Theory of Privacy</w:t>
      </w:r>
      <w:r w:rsidR="008C15D8" w:rsidRPr="00C66353">
        <w:rPr>
          <w:rFonts w:ascii="Garamond" w:hAnsi="Garamond"/>
          <w:b/>
          <w:i/>
          <w:sz w:val="24"/>
          <w:szCs w:val="24"/>
        </w:rPr>
        <w:t xml:space="preserve">: </w:t>
      </w:r>
      <w:r w:rsidR="001C76AE" w:rsidRPr="001C76AE">
        <w:rPr>
          <w:rFonts w:ascii="Garamond" w:hAnsi="Garamond"/>
          <w:b/>
          <w:i/>
          <w:sz w:val="24"/>
          <w:szCs w:val="24"/>
        </w:rPr>
        <w:t>What’s love got to do with it?</w:t>
      </w:r>
    </w:p>
    <w:p w14:paraId="4B518563" w14:textId="77777777" w:rsidR="00EC3FFC" w:rsidRPr="00C66353" w:rsidRDefault="00EC3FFC" w:rsidP="00EC3FFC">
      <w:pPr>
        <w:rPr>
          <w:rFonts w:ascii="Garamond" w:hAnsi="Garamond"/>
          <w:sz w:val="24"/>
          <w:szCs w:val="24"/>
        </w:rPr>
      </w:pPr>
      <w:r w:rsidRPr="00C66353">
        <w:rPr>
          <w:rFonts w:ascii="Garamond" w:hAnsi="Garamond"/>
          <w:sz w:val="24"/>
          <w:szCs w:val="24"/>
        </w:rPr>
        <w:t>Martin J. Adamian, J.D., Ph.D.</w:t>
      </w:r>
      <w:bookmarkStart w:id="0" w:name="_GoBack"/>
      <w:bookmarkEnd w:id="0"/>
    </w:p>
    <w:p w14:paraId="1176F26C" w14:textId="07B877C9" w:rsidR="00EC3FFC" w:rsidRPr="00C66353" w:rsidRDefault="00EC3FFC" w:rsidP="00EC3FFC">
      <w:pPr>
        <w:spacing w:after="0" w:line="240" w:lineRule="auto"/>
        <w:rPr>
          <w:rFonts w:ascii="Garamond" w:hAnsi="Garamond"/>
          <w:sz w:val="24"/>
          <w:szCs w:val="24"/>
        </w:rPr>
      </w:pPr>
      <w:r w:rsidRPr="00C66353">
        <w:rPr>
          <w:rFonts w:ascii="Garamond" w:hAnsi="Garamond"/>
          <w:sz w:val="24"/>
          <w:szCs w:val="24"/>
        </w:rPr>
        <w:t>Paper Pr</w:t>
      </w:r>
      <w:r w:rsidR="00E47B8D" w:rsidRPr="00C66353">
        <w:rPr>
          <w:rFonts w:ascii="Garamond" w:hAnsi="Garamond"/>
          <w:sz w:val="24"/>
          <w:szCs w:val="24"/>
        </w:rPr>
        <w:t>epared</w:t>
      </w:r>
      <w:r w:rsidRPr="00C66353">
        <w:rPr>
          <w:rFonts w:ascii="Garamond" w:hAnsi="Garamond"/>
          <w:sz w:val="24"/>
          <w:szCs w:val="24"/>
        </w:rPr>
        <w:t xml:space="preserve"> for the Western Political Science Association 201</w:t>
      </w:r>
      <w:r w:rsidR="00442DB3" w:rsidRPr="00C66353">
        <w:rPr>
          <w:rFonts w:ascii="Garamond" w:hAnsi="Garamond"/>
          <w:sz w:val="24"/>
          <w:szCs w:val="24"/>
        </w:rPr>
        <w:t>5</w:t>
      </w:r>
      <w:r w:rsidRPr="00C66353">
        <w:rPr>
          <w:rFonts w:ascii="Garamond" w:hAnsi="Garamond"/>
          <w:sz w:val="24"/>
          <w:szCs w:val="24"/>
        </w:rPr>
        <w:t xml:space="preserve"> Annual Conference</w:t>
      </w:r>
    </w:p>
    <w:p w14:paraId="1B3EC957" w14:textId="77777777" w:rsidR="00EC3FFC" w:rsidRPr="00C66353" w:rsidRDefault="00A037A7" w:rsidP="00EC3FFC">
      <w:pPr>
        <w:spacing w:after="0" w:line="240" w:lineRule="auto"/>
        <w:rPr>
          <w:rFonts w:ascii="Garamond" w:hAnsi="Garamond"/>
          <w:sz w:val="24"/>
          <w:szCs w:val="24"/>
        </w:rPr>
      </w:pPr>
      <w:r w:rsidRPr="00C66353">
        <w:rPr>
          <w:rFonts w:ascii="Garamond" w:hAnsi="Garamond"/>
          <w:sz w:val="24"/>
          <w:szCs w:val="24"/>
        </w:rPr>
        <w:t>in Las Vegas, Nevada</w:t>
      </w:r>
    </w:p>
    <w:p w14:paraId="52BED99C" w14:textId="42632785" w:rsidR="00E33A3A" w:rsidRPr="00C66353" w:rsidRDefault="00EC3FFC" w:rsidP="00EC3FFC">
      <w:pPr>
        <w:rPr>
          <w:rFonts w:ascii="Garamond" w:hAnsi="Garamond"/>
          <w:sz w:val="24"/>
          <w:szCs w:val="24"/>
        </w:rPr>
      </w:pPr>
      <w:r w:rsidRPr="00C66353">
        <w:rPr>
          <w:rFonts w:ascii="Garamond" w:hAnsi="Garamond"/>
          <w:sz w:val="24"/>
          <w:szCs w:val="24"/>
        </w:rPr>
        <w:br/>
      </w:r>
      <w:r w:rsidR="005168D1" w:rsidRPr="00C66353">
        <w:rPr>
          <w:rFonts w:ascii="Garamond" w:hAnsi="Garamond"/>
          <w:sz w:val="24"/>
          <w:szCs w:val="24"/>
        </w:rPr>
        <w:t>April 2</w:t>
      </w:r>
      <w:r w:rsidR="00C66353" w:rsidRPr="00C66353">
        <w:rPr>
          <w:rFonts w:ascii="Garamond" w:hAnsi="Garamond"/>
          <w:sz w:val="24"/>
          <w:szCs w:val="24"/>
        </w:rPr>
        <w:t>,</w:t>
      </w:r>
      <w:r w:rsidR="005168D1" w:rsidRPr="00C66353">
        <w:rPr>
          <w:rFonts w:ascii="Garamond" w:hAnsi="Garamond"/>
          <w:sz w:val="24"/>
          <w:szCs w:val="24"/>
        </w:rPr>
        <w:t xml:space="preserve"> 2015</w:t>
      </w:r>
    </w:p>
    <w:p w14:paraId="7EAF08B0" w14:textId="77777777" w:rsidR="00886A35" w:rsidRPr="00C66353" w:rsidRDefault="005540D2" w:rsidP="00EC3FFC">
      <w:pPr>
        <w:spacing w:after="0" w:line="240" w:lineRule="auto"/>
        <w:rPr>
          <w:rFonts w:ascii="Garamond" w:hAnsi="Garamond"/>
          <w:sz w:val="24"/>
          <w:szCs w:val="24"/>
        </w:rPr>
      </w:pPr>
      <w:r w:rsidRPr="00C66353">
        <w:rPr>
          <w:rFonts w:ascii="Garamond" w:hAnsi="Garamond"/>
          <w:sz w:val="24"/>
          <w:szCs w:val="24"/>
        </w:rPr>
        <w:t>Abstract:</w:t>
      </w:r>
    </w:p>
    <w:p w14:paraId="1BED5208" w14:textId="77777777" w:rsidR="00EC3FFC" w:rsidRPr="00C66353" w:rsidRDefault="00EC3FFC" w:rsidP="00EC3FFC">
      <w:pPr>
        <w:spacing w:after="0" w:line="240" w:lineRule="auto"/>
        <w:rPr>
          <w:rFonts w:ascii="Garamond" w:hAnsi="Garamond"/>
          <w:sz w:val="24"/>
          <w:szCs w:val="24"/>
        </w:rPr>
      </w:pPr>
    </w:p>
    <w:p w14:paraId="5186A667" w14:textId="0E1370B8" w:rsidR="001C76AE" w:rsidRDefault="00886A35" w:rsidP="008C5DB8">
      <w:pPr>
        <w:ind w:left="720"/>
        <w:rPr>
          <w:rFonts w:ascii="Garamond" w:hAnsi="Garamond"/>
          <w:sz w:val="24"/>
          <w:szCs w:val="24"/>
        </w:rPr>
      </w:pPr>
      <w:r w:rsidRPr="00C66353">
        <w:rPr>
          <w:rFonts w:ascii="Garamond" w:hAnsi="Garamond"/>
          <w:sz w:val="24"/>
          <w:szCs w:val="24"/>
        </w:rPr>
        <w:t>A</w:t>
      </w:r>
      <w:r w:rsidR="00D2140A" w:rsidRPr="00C66353">
        <w:rPr>
          <w:rFonts w:ascii="Garamond" w:hAnsi="Garamond"/>
          <w:sz w:val="24"/>
          <w:szCs w:val="24"/>
        </w:rPr>
        <w:t xml:space="preserve">lthough there is little agreement about the contours of the right to privacy, </w:t>
      </w:r>
      <w:r w:rsidR="008C15D8" w:rsidRPr="00C66353">
        <w:rPr>
          <w:rFonts w:ascii="Garamond" w:hAnsi="Garamond"/>
          <w:sz w:val="24"/>
          <w:szCs w:val="24"/>
        </w:rPr>
        <w:t xml:space="preserve">many would like to believe that there </w:t>
      </w:r>
      <w:r w:rsidR="00D2140A" w:rsidRPr="00C66353">
        <w:rPr>
          <w:rFonts w:ascii="Garamond" w:hAnsi="Garamond"/>
          <w:sz w:val="24"/>
          <w:szCs w:val="24"/>
        </w:rPr>
        <w:t xml:space="preserve">is a realm of personal space that is and should be protected from unwelcome intrusion. </w:t>
      </w:r>
      <w:r w:rsidR="0069348B">
        <w:rPr>
          <w:rFonts w:ascii="Garamond" w:hAnsi="Garamond"/>
          <w:sz w:val="24"/>
          <w:szCs w:val="24"/>
        </w:rPr>
        <w:t>This has been codified</w:t>
      </w:r>
      <w:r w:rsidR="008C15D8" w:rsidRPr="00C66353">
        <w:rPr>
          <w:rFonts w:ascii="Garamond" w:hAnsi="Garamond"/>
          <w:sz w:val="24"/>
          <w:szCs w:val="24"/>
        </w:rPr>
        <w:t xml:space="preserve"> in state, federal, as well as regional and international privacy laws. In addition, it has been found within a penumbra of rights in </w:t>
      </w:r>
      <w:r w:rsidR="00012018">
        <w:rPr>
          <w:rFonts w:ascii="Garamond" w:hAnsi="Garamond"/>
          <w:sz w:val="24"/>
          <w:szCs w:val="24"/>
        </w:rPr>
        <w:t>the United States Constitution.</w:t>
      </w:r>
      <w:r w:rsidR="008C15D8" w:rsidRPr="00C66353">
        <w:rPr>
          <w:rFonts w:ascii="Garamond" w:hAnsi="Garamond"/>
          <w:sz w:val="24"/>
          <w:szCs w:val="24"/>
        </w:rPr>
        <w:t xml:space="preserve"> </w:t>
      </w:r>
      <w:r w:rsidR="00B517DA" w:rsidRPr="00C66353">
        <w:rPr>
          <w:rFonts w:ascii="Garamond" w:hAnsi="Garamond"/>
          <w:sz w:val="24"/>
          <w:szCs w:val="24"/>
        </w:rPr>
        <w:t>Yet, privacy remains an elusive concept in both theory and practice. This article attempts to argue for a theory of privacy based in a notion of personhood. Privacy is more than a positivist response to an expanding state. It repre</w:t>
      </w:r>
      <w:r w:rsidR="00BD160E" w:rsidRPr="00C66353">
        <w:rPr>
          <w:rFonts w:ascii="Garamond" w:hAnsi="Garamond"/>
          <w:sz w:val="24"/>
          <w:szCs w:val="24"/>
        </w:rPr>
        <w:t xml:space="preserve">sents a conception of self which is independent of the </w:t>
      </w:r>
      <w:r w:rsidR="00692F60" w:rsidRPr="00C66353">
        <w:rPr>
          <w:rFonts w:ascii="Garamond" w:hAnsi="Garamond"/>
          <w:sz w:val="24"/>
          <w:szCs w:val="24"/>
        </w:rPr>
        <w:t xml:space="preserve">perceived </w:t>
      </w:r>
      <w:r w:rsidR="00BD160E" w:rsidRPr="00C66353">
        <w:rPr>
          <w:rFonts w:ascii="Garamond" w:hAnsi="Garamond"/>
          <w:sz w:val="24"/>
          <w:szCs w:val="24"/>
        </w:rPr>
        <w:t xml:space="preserve">utility </w:t>
      </w:r>
      <w:r w:rsidR="00692F60" w:rsidRPr="00C66353">
        <w:rPr>
          <w:rFonts w:ascii="Garamond" w:hAnsi="Garamond"/>
          <w:sz w:val="24"/>
          <w:szCs w:val="24"/>
        </w:rPr>
        <w:t xml:space="preserve">of </w:t>
      </w:r>
      <w:r w:rsidR="00BD160E" w:rsidRPr="00C66353">
        <w:rPr>
          <w:rFonts w:ascii="Garamond" w:hAnsi="Garamond"/>
          <w:sz w:val="24"/>
          <w:szCs w:val="24"/>
        </w:rPr>
        <w:t xml:space="preserve">life behind the curtain. In the process of developing a theory of privacy, </w:t>
      </w:r>
      <w:r w:rsidR="007C2394" w:rsidRPr="00C66353">
        <w:rPr>
          <w:rFonts w:ascii="Garamond" w:hAnsi="Garamond"/>
          <w:sz w:val="24"/>
          <w:szCs w:val="24"/>
        </w:rPr>
        <w:t xml:space="preserve">a </w:t>
      </w:r>
      <w:r w:rsidR="00BD160E" w:rsidRPr="00C66353">
        <w:rPr>
          <w:rFonts w:ascii="Garamond" w:hAnsi="Garamond"/>
          <w:sz w:val="24"/>
          <w:szCs w:val="24"/>
        </w:rPr>
        <w:t>foundation for a proper approach to privacy policy making</w:t>
      </w:r>
      <w:r w:rsidR="007C2394" w:rsidRPr="00C66353">
        <w:rPr>
          <w:rFonts w:ascii="Garamond" w:hAnsi="Garamond"/>
          <w:sz w:val="24"/>
          <w:szCs w:val="24"/>
        </w:rPr>
        <w:t xml:space="preserve"> will emerge</w:t>
      </w:r>
      <w:r w:rsidR="00BD160E" w:rsidRPr="00C66353">
        <w:rPr>
          <w:rFonts w:ascii="Garamond" w:hAnsi="Garamond"/>
          <w:sz w:val="24"/>
          <w:szCs w:val="24"/>
        </w:rPr>
        <w:t xml:space="preserve">. This is essential with the </w:t>
      </w:r>
      <w:r w:rsidR="00772197" w:rsidRPr="00C66353">
        <w:rPr>
          <w:rFonts w:ascii="Garamond" w:hAnsi="Garamond"/>
          <w:sz w:val="24"/>
          <w:szCs w:val="24"/>
        </w:rPr>
        <w:t xml:space="preserve">increasing dominance of </w:t>
      </w:r>
      <w:r w:rsidR="00D2140A" w:rsidRPr="00C66353">
        <w:rPr>
          <w:rFonts w:ascii="Garamond" w:hAnsi="Garamond"/>
          <w:sz w:val="24"/>
          <w:szCs w:val="24"/>
        </w:rPr>
        <w:t>computers, mobile phones, surveillance camer</w:t>
      </w:r>
      <w:r w:rsidR="00772197" w:rsidRPr="00C66353">
        <w:rPr>
          <w:rFonts w:ascii="Garamond" w:hAnsi="Garamond"/>
          <w:sz w:val="24"/>
          <w:szCs w:val="24"/>
        </w:rPr>
        <w:t>as, data mining technologies, and</w:t>
      </w:r>
      <w:r w:rsidR="00D2140A" w:rsidRPr="00C66353">
        <w:rPr>
          <w:rFonts w:ascii="Garamond" w:hAnsi="Garamond"/>
          <w:sz w:val="24"/>
          <w:szCs w:val="24"/>
        </w:rPr>
        <w:t xml:space="preserve"> body scanners.</w:t>
      </w:r>
      <w:r w:rsidR="00E33A3A" w:rsidRPr="00C66353">
        <w:rPr>
          <w:rFonts w:ascii="Garamond" w:hAnsi="Garamond"/>
          <w:sz w:val="24"/>
          <w:szCs w:val="24"/>
        </w:rPr>
        <w:t xml:space="preserve"> I</w:t>
      </w:r>
      <w:r w:rsidR="00D2140A" w:rsidRPr="00C66353">
        <w:rPr>
          <w:rFonts w:ascii="Garamond" w:hAnsi="Garamond"/>
          <w:sz w:val="24"/>
          <w:szCs w:val="24"/>
        </w:rPr>
        <w:t xml:space="preserve">ndividual’s personal information is </w:t>
      </w:r>
      <w:r w:rsidR="00C74DE4" w:rsidRPr="00C66353">
        <w:rPr>
          <w:rFonts w:ascii="Garamond" w:hAnsi="Garamond"/>
          <w:sz w:val="24"/>
          <w:szCs w:val="24"/>
        </w:rPr>
        <w:t xml:space="preserve">often </w:t>
      </w:r>
      <w:r w:rsidR="00E33A3A" w:rsidRPr="00C66353">
        <w:rPr>
          <w:rFonts w:ascii="Garamond" w:hAnsi="Garamond"/>
          <w:sz w:val="24"/>
          <w:szCs w:val="24"/>
        </w:rPr>
        <w:t>voluntarily and</w:t>
      </w:r>
      <w:r w:rsidR="00D2140A" w:rsidRPr="00C66353">
        <w:rPr>
          <w:rFonts w:ascii="Garamond" w:hAnsi="Garamond"/>
          <w:sz w:val="24"/>
          <w:szCs w:val="24"/>
        </w:rPr>
        <w:t xml:space="preserve"> involuntarily disseminated over the internet. </w:t>
      </w:r>
      <w:r w:rsidR="00692F60" w:rsidRPr="00C66353">
        <w:rPr>
          <w:rFonts w:ascii="Garamond" w:hAnsi="Garamond"/>
          <w:sz w:val="24"/>
          <w:szCs w:val="24"/>
        </w:rPr>
        <w:t>As a result, p</w:t>
      </w:r>
      <w:r w:rsidR="00BD160E" w:rsidRPr="00C66353">
        <w:rPr>
          <w:rFonts w:ascii="Garamond" w:hAnsi="Garamond"/>
          <w:sz w:val="24"/>
          <w:szCs w:val="24"/>
        </w:rPr>
        <w:t xml:space="preserve">rivacy policies and laws are constantly reacting to changing circumstances </w:t>
      </w:r>
      <w:r w:rsidR="007C2394" w:rsidRPr="00C66353">
        <w:rPr>
          <w:rFonts w:ascii="Garamond" w:hAnsi="Garamond"/>
          <w:sz w:val="24"/>
          <w:szCs w:val="24"/>
        </w:rPr>
        <w:t xml:space="preserve">brought on by new </w:t>
      </w:r>
      <w:r w:rsidR="00BD160E" w:rsidRPr="00C66353">
        <w:rPr>
          <w:rFonts w:ascii="Garamond" w:hAnsi="Garamond"/>
          <w:sz w:val="24"/>
          <w:szCs w:val="24"/>
        </w:rPr>
        <w:t>technologies</w:t>
      </w:r>
      <w:r w:rsidR="003237B8" w:rsidRPr="00C66353">
        <w:rPr>
          <w:rFonts w:ascii="Garamond" w:hAnsi="Garamond"/>
          <w:sz w:val="24"/>
          <w:szCs w:val="24"/>
        </w:rPr>
        <w:t xml:space="preserve">; technologies that </w:t>
      </w:r>
      <w:r w:rsidR="00692F60" w:rsidRPr="00C66353">
        <w:rPr>
          <w:rFonts w:ascii="Garamond" w:hAnsi="Garamond"/>
          <w:sz w:val="24"/>
          <w:szCs w:val="24"/>
        </w:rPr>
        <w:t xml:space="preserve">increasingly </w:t>
      </w:r>
      <w:r w:rsidR="003237B8" w:rsidRPr="00C66353">
        <w:rPr>
          <w:rFonts w:ascii="Garamond" w:hAnsi="Garamond"/>
          <w:sz w:val="24"/>
          <w:szCs w:val="24"/>
        </w:rPr>
        <w:t xml:space="preserve">define our sense of self, by redefining the way we live our lives. A theory of privacy will help </w:t>
      </w:r>
      <w:r w:rsidR="00281B20" w:rsidRPr="00C66353">
        <w:rPr>
          <w:rFonts w:ascii="Garamond" w:hAnsi="Garamond"/>
          <w:sz w:val="24"/>
          <w:szCs w:val="24"/>
        </w:rPr>
        <w:t>us understand the</w:t>
      </w:r>
      <w:r w:rsidR="003237B8" w:rsidRPr="00C66353">
        <w:rPr>
          <w:rFonts w:ascii="Garamond" w:hAnsi="Garamond"/>
          <w:sz w:val="24"/>
          <w:szCs w:val="24"/>
        </w:rPr>
        <w:t xml:space="preserve"> operation of power</w:t>
      </w:r>
      <w:r w:rsidR="00281B20" w:rsidRPr="00C66353">
        <w:rPr>
          <w:rFonts w:ascii="Garamond" w:hAnsi="Garamond"/>
          <w:sz w:val="24"/>
          <w:szCs w:val="24"/>
        </w:rPr>
        <w:t xml:space="preserve"> and politics </w:t>
      </w:r>
      <w:r w:rsidR="003237B8" w:rsidRPr="00C66353">
        <w:rPr>
          <w:rFonts w:ascii="Garamond" w:hAnsi="Garamond"/>
          <w:sz w:val="24"/>
          <w:szCs w:val="24"/>
        </w:rPr>
        <w:t>in modern society.</w:t>
      </w:r>
    </w:p>
    <w:p w14:paraId="5638565E" w14:textId="77777777" w:rsidR="00F34259" w:rsidRDefault="00F34259" w:rsidP="00D47687">
      <w:pPr>
        <w:rPr>
          <w:rFonts w:ascii="Garamond" w:hAnsi="Garamond"/>
          <w:sz w:val="24"/>
          <w:szCs w:val="24"/>
        </w:rPr>
      </w:pPr>
    </w:p>
    <w:p w14:paraId="4607C23A" w14:textId="183A02F7" w:rsidR="00095C3B" w:rsidRDefault="008C5DB8" w:rsidP="00170944">
      <w:pPr>
        <w:spacing w:line="480" w:lineRule="auto"/>
        <w:ind w:firstLine="720"/>
        <w:rPr>
          <w:rFonts w:ascii="Garamond" w:hAnsi="Garamond"/>
          <w:sz w:val="24"/>
          <w:szCs w:val="24"/>
        </w:rPr>
      </w:pPr>
      <w:r>
        <w:rPr>
          <w:rFonts w:ascii="Garamond" w:hAnsi="Garamond"/>
          <w:sz w:val="24"/>
          <w:szCs w:val="24"/>
        </w:rPr>
        <w:t>At a very basic level</w:t>
      </w:r>
      <w:r w:rsidR="001166BD">
        <w:rPr>
          <w:rFonts w:ascii="Garamond" w:hAnsi="Garamond"/>
          <w:sz w:val="24"/>
          <w:szCs w:val="24"/>
        </w:rPr>
        <w:t xml:space="preserve">, </w:t>
      </w:r>
      <w:r>
        <w:rPr>
          <w:rFonts w:ascii="Garamond" w:hAnsi="Garamond"/>
          <w:sz w:val="24"/>
          <w:szCs w:val="24"/>
        </w:rPr>
        <w:t xml:space="preserve">privacy is </w:t>
      </w:r>
      <w:r w:rsidR="001166BD" w:rsidRPr="00D2140A">
        <w:rPr>
          <w:rFonts w:ascii="Garamond" w:hAnsi="Garamond"/>
          <w:sz w:val="24"/>
          <w:szCs w:val="24"/>
        </w:rPr>
        <w:t>a realm of personal space that is</w:t>
      </w:r>
      <w:r w:rsidR="001166BD">
        <w:rPr>
          <w:rFonts w:ascii="Garamond" w:hAnsi="Garamond"/>
          <w:sz w:val="24"/>
          <w:szCs w:val="24"/>
        </w:rPr>
        <w:t>,</w:t>
      </w:r>
      <w:r w:rsidR="001166BD" w:rsidRPr="00D2140A">
        <w:rPr>
          <w:rFonts w:ascii="Garamond" w:hAnsi="Garamond"/>
          <w:sz w:val="24"/>
          <w:szCs w:val="24"/>
        </w:rPr>
        <w:t xml:space="preserve"> and should be protected from unwelcome intrusion. </w:t>
      </w:r>
      <w:r w:rsidR="001166BD">
        <w:rPr>
          <w:rFonts w:ascii="Garamond" w:hAnsi="Garamond"/>
          <w:sz w:val="24"/>
          <w:szCs w:val="24"/>
        </w:rPr>
        <w:t>Clearly, this can mean physical space, as with the sanctity of one’s home. An individual has the strongest claim to privacy within his/her home, particularly for behaviors that do not harm others. But once an individual steps into public space their expectation of privacy is</w:t>
      </w:r>
      <w:r w:rsidR="00E40A5F">
        <w:rPr>
          <w:rFonts w:ascii="Garamond" w:hAnsi="Garamond"/>
          <w:sz w:val="24"/>
          <w:szCs w:val="24"/>
        </w:rPr>
        <w:t xml:space="preserve"> significantly</w:t>
      </w:r>
      <w:r w:rsidR="001166BD">
        <w:rPr>
          <w:rFonts w:ascii="Garamond" w:hAnsi="Garamond"/>
          <w:sz w:val="24"/>
          <w:szCs w:val="24"/>
        </w:rPr>
        <w:t xml:space="preserve"> reduce</w:t>
      </w:r>
      <w:r w:rsidR="0069348B">
        <w:rPr>
          <w:rFonts w:ascii="Garamond" w:hAnsi="Garamond"/>
          <w:sz w:val="24"/>
          <w:szCs w:val="24"/>
        </w:rPr>
        <w:t>d</w:t>
      </w:r>
      <w:r w:rsidR="00AA0DCD">
        <w:rPr>
          <w:rFonts w:ascii="Garamond" w:hAnsi="Garamond"/>
          <w:sz w:val="24"/>
          <w:szCs w:val="24"/>
        </w:rPr>
        <w:t xml:space="preserve">, </w:t>
      </w:r>
      <w:r w:rsidR="00C3520E">
        <w:rPr>
          <w:rFonts w:ascii="Garamond" w:hAnsi="Garamond"/>
          <w:sz w:val="24"/>
          <w:szCs w:val="24"/>
        </w:rPr>
        <w:t>and questions about privacy get more difficult to resolve. This is particularly true as t</w:t>
      </w:r>
      <w:r w:rsidR="00924CE4" w:rsidRPr="00E40A5F">
        <w:rPr>
          <w:rFonts w:ascii="Garamond" w:hAnsi="Garamond"/>
          <w:sz w:val="24"/>
          <w:szCs w:val="24"/>
        </w:rPr>
        <w:t xml:space="preserve">he increasing dominance of computers, mobile phones, surveillance cameras, and data mining technologies </w:t>
      </w:r>
      <w:r w:rsidR="00C3520E">
        <w:rPr>
          <w:rFonts w:ascii="Garamond" w:hAnsi="Garamond"/>
          <w:sz w:val="24"/>
          <w:szCs w:val="24"/>
        </w:rPr>
        <w:t>raise</w:t>
      </w:r>
      <w:r w:rsidR="00095C3B">
        <w:rPr>
          <w:rFonts w:ascii="Garamond" w:hAnsi="Garamond"/>
          <w:sz w:val="24"/>
          <w:szCs w:val="24"/>
        </w:rPr>
        <w:t xml:space="preserve"> new and interesting questions about privacy a</w:t>
      </w:r>
      <w:r w:rsidR="00924CE4">
        <w:rPr>
          <w:rFonts w:ascii="Garamond" w:hAnsi="Garamond"/>
          <w:sz w:val="24"/>
          <w:szCs w:val="24"/>
        </w:rPr>
        <w:t>nd the laws that have developed to protect it.</w:t>
      </w:r>
      <w:r w:rsidR="00170944">
        <w:rPr>
          <w:rFonts w:ascii="Garamond" w:hAnsi="Garamond"/>
          <w:sz w:val="24"/>
          <w:szCs w:val="24"/>
        </w:rPr>
        <w:t xml:space="preserve"> Some see the promise of technological rationality, as our computers become </w:t>
      </w:r>
      <w:r w:rsidR="00170944">
        <w:rPr>
          <w:rFonts w:ascii="Garamond" w:hAnsi="Garamond"/>
          <w:sz w:val="24"/>
          <w:szCs w:val="24"/>
        </w:rPr>
        <w:lastRenderedPageBreak/>
        <w:t xml:space="preserve">better able to anticipate the goods and services that we want, even before we do. Others fear the possibility of “Big Brother” and a surveillance state in which all privacy is lost in exchange for peace and order. </w:t>
      </w:r>
    </w:p>
    <w:p w14:paraId="012670C8" w14:textId="3EB4FC29" w:rsidR="001166BD" w:rsidRPr="00975487" w:rsidRDefault="00012018" w:rsidP="00924CE4">
      <w:pPr>
        <w:spacing w:line="480" w:lineRule="auto"/>
        <w:ind w:firstLine="720"/>
        <w:rPr>
          <w:rFonts w:ascii="Garamond" w:hAnsi="Garamond"/>
          <w:sz w:val="24"/>
          <w:szCs w:val="24"/>
        </w:rPr>
      </w:pPr>
      <w:r>
        <w:rPr>
          <w:rFonts w:ascii="Garamond" w:hAnsi="Garamond"/>
          <w:sz w:val="24"/>
          <w:szCs w:val="24"/>
        </w:rPr>
        <w:t>It</w:t>
      </w:r>
      <w:r w:rsidR="00924CE4">
        <w:rPr>
          <w:rFonts w:ascii="Garamond" w:hAnsi="Garamond"/>
          <w:sz w:val="24"/>
          <w:szCs w:val="24"/>
        </w:rPr>
        <w:t xml:space="preserve"> should be no surprise that there is disagreement </w:t>
      </w:r>
      <w:r w:rsidR="00924CE4" w:rsidRPr="00C66353">
        <w:rPr>
          <w:rFonts w:ascii="Garamond" w:hAnsi="Garamond"/>
          <w:sz w:val="24"/>
          <w:szCs w:val="24"/>
        </w:rPr>
        <w:t>about the contours of the right to privacy</w:t>
      </w:r>
      <w:r w:rsidR="00924CE4">
        <w:rPr>
          <w:rFonts w:ascii="Garamond" w:hAnsi="Garamond"/>
          <w:sz w:val="24"/>
          <w:szCs w:val="24"/>
        </w:rPr>
        <w:t>. As J</w:t>
      </w:r>
      <w:r w:rsidR="00924CE4" w:rsidRPr="00924CE4">
        <w:rPr>
          <w:rFonts w:ascii="Garamond" w:hAnsi="Garamond"/>
          <w:sz w:val="24"/>
          <w:szCs w:val="24"/>
        </w:rPr>
        <w:t>udith Jarvis Thomson</w:t>
      </w:r>
      <w:r w:rsidR="00924CE4">
        <w:rPr>
          <w:rFonts w:ascii="Garamond" w:hAnsi="Garamond"/>
          <w:sz w:val="24"/>
          <w:szCs w:val="24"/>
        </w:rPr>
        <w:t xml:space="preserve"> put it</w:t>
      </w:r>
      <w:r w:rsidR="00924CE4" w:rsidRPr="00924CE4">
        <w:rPr>
          <w:rFonts w:ascii="Garamond" w:hAnsi="Garamond"/>
          <w:sz w:val="24"/>
          <w:szCs w:val="24"/>
        </w:rPr>
        <w:t>, "the most striking thing about the right to privacy is that nobody seems to have any very clear idea what</w:t>
      </w:r>
      <w:r w:rsidR="008225BE">
        <w:rPr>
          <w:rFonts w:ascii="Garamond" w:hAnsi="Garamond"/>
          <w:sz w:val="24"/>
          <w:szCs w:val="24"/>
        </w:rPr>
        <w:t xml:space="preserve"> it is."</w:t>
      </w:r>
      <w:r w:rsidR="008225BE">
        <w:rPr>
          <w:rStyle w:val="FootnoteReference"/>
          <w:rFonts w:ascii="Garamond" w:hAnsi="Garamond"/>
          <w:sz w:val="24"/>
          <w:szCs w:val="24"/>
        </w:rPr>
        <w:footnoteReference w:id="1"/>
      </w:r>
      <w:r w:rsidR="00924CE4" w:rsidRPr="00924CE4">
        <w:rPr>
          <w:rFonts w:ascii="Garamond" w:hAnsi="Garamond"/>
          <w:sz w:val="24"/>
          <w:szCs w:val="24"/>
        </w:rPr>
        <w:t xml:space="preserve"> </w:t>
      </w:r>
      <w:r w:rsidR="0071463F">
        <w:rPr>
          <w:rFonts w:ascii="Garamond" w:hAnsi="Garamond"/>
          <w:sz w:val="24"/>
          <w:szCs w:val="24"/>
        </w:rPr>
        <w:t xml:space="preserve">This is compounded by the fact that </w:t>
      </w:r>
      <w:r w:rsidR="001166BD" w:rsidRPr="00845A5B">
        <w:rPr>
          <w:rFonts w:ascii="Garamond" w:hAnsi="Garamond"/>
          <w:sz w:val="24"/>
          <w:szCs w:val="24"/>
        </w:rPr>
        <w:t>th</w:t>
      </w:r>
      <w:r w:rsidR="001166BD">
        <w:rPr>
          <w:rFonts w:ascii="Garamond" w:hAnsi="Garamond"/>
          <w:sz w:val="24"/>
          <w:szCs w:val="24"/>
        </w:rPr>
        <w:t xml:space="preserve">ere are enormous individual, </w:t>
      </w:r>
      <w:r w:rsidR="001166BD" w:rsidRPr="00845A5B">
        <w:rPr>
          <w:rFonts w:ascii="Garamond" w:hAnsi="Garamond"/>
          <w:sz w:val="24"/>
          <w:szCs w:val="24"/>
        </w:rPr>
        <w:t>cultural and subcultural variations in attitudes towards</w:t>
      </w:r>
      <w:r w:rsidR="001166BD">
        <w:rPr>
          <w:rFonts w:ascii="Garamond" w:hAnsi="Garamond"/>
          <w:sz w:val="24"/>
          <w:szCs w:val="24"/>
        </w:rPr>
        <w:t xml:space="preserve"> privacy. As a result, </w:t>
      </w:r>
      <w:r w:rsidR="001166BD" w:rsidRPr="00975487">
        <w:rPr>
          <w:rFonts w:ascii="Garamond" w:hAnsi="Garamond"/>
          <w:sz w:val="24"/>
          <w:szCs w:val="24"/>
        </w:rPr>
        <w:t>norms</w:t>
      </w:r>
      <w:r w:rsidR="001166BD">
        <w:rPr>
          <w:rFonts w:ascii="Garamond" w:hAnsi="Garamond"/>
          <w:sz w:val="24"/>
          <w:szCs w:val="24"/>
        </w:rPr>
        <w:t xml:space="preserve"> and laws</w:t>
      </w:r>
      <w:r w:rsidR="001166BD" w:rsidRPr="00975487">
        <w:rPr>
          <w:rFonts w:ascii="Garamond" w:hAnsi="Garamond"/>
          <w:sz w:val="24"/>
          <w:szCs w:val="24"/>
        </w:rPr>
        <w:t xml:space="preserve"> vary considerably</w:t>
      </w:r>
      <w:r w:rsidR="001166BD">
        <w:rPr>
          <w:rFonts w:ascii="Garamond" w:hAnsi="Garamond"/>
          <w:sz w:val="24"/>
          <w:szCs w:val="24"/>
        </w:rPr>
        <w:t xml:space="preserve"> from one jurisdiction to the next</w:t>
      </w:r>
      <w:r w:rsidR="001166BD" w:rsidRPr="00975487">
        <w:rPr>
          <w:rFonts w:ascii="Garamond" w:hAnsi="Garamond"/>
          <w:sz w:val="24"/>
          <w:szCs w:val="24"/>
        </w:rPr>
        <w:t>. At one extreme are vague and informal unders</w:t>
      </w:r>
      <w:r w:rsidR="001166BD">
        <w:rPr>
          <w:rFonts w:ascii="Garamond" w:hAnsi="Garamond"/>
          <w:sz w:val="24"/>
          <w:szCs w:val="24"/>
        </w:rPr>
        <w:t>tandings,</w:t>
      </w:r>
      <w:r w:rsidR="00F816B5">
        <w:rPr>
          <w:rFonts w:ascii="Garamond" w:hAnsi="Garamond"/>
          <w:sz w:val="24"/>
          <w:szCs w:val="24"/>
        </w:rPr>
        <w:t xml:space="preserve"> which </w:t>
      </w:r>
      <w:r w:rsidR="001166BD" w:rsidRPr="00975487">
        <w:rPr>
          <w:rFonts w:ascii="Garamond" w:hAnsi="Garamond"/>
          <w:sz w:val="24"/>
          <w:szCs w:val="24"/>
        </w:rPr>
        <w:t>are rarely formulated as explicit</w:t>
      </w:r>
      <w:r w:rsidR="00C3520E">
        <w:rPr>
          <w:rFonts w:ascii="Garamond" w:hAnsi="Garamond"/>
          <w:sz w:val="24"/>
          <w:szCs w:val="24"/>
        </w:rPr>
        <w:t xml:space="preserve"> rules. Other norms of privacy</w:t>
      </w:r>
      <w:r w:rsidR="001166BD" w:rsidRPr="00975487">
        <w:rPr>
          <w:rFonts w:ascii="Garamond" w:hAnsi="Garamond"/>
          <w:sz w:val="24"/>
          <w:szCs w:val="24"/>
        </w:rPr>
        <w:t xml:space="preserve"> take the form of explicit social rules,</w:t>
      </w:r>
      <w:r w:rsidR="00F816B5">
        <w:rPr>
          <w:rFonts w:ascii="Garamond" w:hAnsi="Garamond"/>
          <w:sz w:val="24"/>
          <w:szCs w:val="24"/>
        </w:rPr>
        <w:t xml:space="preserve"> and s</w:t>
      </w:r>
      <w:r w:rsidR="001166BD" w:rsidRPr="00975487">
        <w:rPr>
          <w:rFonts w:ascii="Garamond" w:hAnsi="Garamond"/>
          <w:sz w:val="24"/>
          <w:szCs w:val="24"/>
        </w:rPr>
        <w:t>ome of these rules come to be expressed as laws</w:t>
      </w:r>
      <w:r w:rsidR="00F816B5">
        <w:rPr>
          <w:rFonts w:ascii="Garamond" w:hAnsi="Garamond"/>
          <w:sz w:val="24"/>
          <w:szCs w:val="24"/>
        </w:rPr>
        <w:t>.</w:t>
      </w:r>
      <w:r w:rsidR="001166BD" w:rsidRPr="00975487">
        <w:rPr>
          <w:rFonts w:ascii="Garamond" w:hAnsi="Garamond"/>
          <w:sz w:val="24"/>
          <w:szCs w:val="24"/>
        </w:rPr>
        <w:t xml:space="preserve"> </w:t>
      </w:r>
    </w:p>
    <w:p w14:paraId="27EF8AE8" w14:textId="4174B5C0" w:rsidR="001166BD" w:rsidRDefault="0071463F" w:rsidP="00B87201">
      <w:pPr>
        <w:spacing w:line="480" w:lineRule="auto"/>
        <w:ind w:firstLine="720"/>
        <w:rPr>
          <w:rFonts w:ascii="Garamond" w:hAnsi="Garamond"/>
          <w:sz w:val="24"/>
          <w:szCs w:val="24"/>
        </w:rPr>
      </w:pPr>
      <w:r>
        <w:rPr>
          <w:rFonts w:ascii="Garamond" w:hAnsi="Garamond"/>
          <w:sz w:val="24"/>
          <w:szCs w:val="24"/>
        </w:rPr>
        <w:t>In fact, l</w:t>
      </w:r>
      <w:r w:rsidR="001166BD">
        <w:rPr>
          <w:rFonts w:ascii="Garamond" w:hAnsi="Garamond"/>
          <w:sz w:val="24"/>
          <w:szCs w:val="24"/>
        </w:rPr>
        <w:t>aws have been enacted to address these issues in almost all jurisdiction</w:t>
      </w:r>
      <w:r w:rsidR="00F816B5">
        <w:rPr>
          <w:rFonts w:ascii="Garamond" w:hAnsi="Garamond"/>
          <w:sz w:val="24"/>
          <w:szCs w:val="24"/>
        </w:rPr>
        <w:t>s</w:t>
      </w:r>
      <w:r w:rsidR="001166BD">
        <w:rPr>
          <w:rFonts w:ascii="Garamond" w:hAnsi="Garamond"/>
          <w:sz w:val="24"/>
          <w:szCs w:val="24"/>
        </w:rPr>
        <w:t>, including regional agreements, and international laws. In the United States, the Constitution protects an individual from violations of an individual’s privacy by government. Although it doesn’t make reference to a right to privacy, the U.S. Supreme Court has interpreted such a right to be found within a penumbra of rights in the document. States, as well as the federal government have passed additional laws intending to protect the privacy of individuals from other government and non-governmental entities. This includes other individuals, but also corporations</w:t>
      </w:r>
      <w:r w:rsidR="00003A09">
        <w:rPr>
          <w:rFonts w:ascii="Garamond" w:hAnsi="Garamond"/>
          <w:sz w:val="24"/>
          <w:szCs w:val="24"/>
        </w:rPr>
        <w:t xml:space="preserve"> that</w:t>
      </w:r>
      <w:r w:rsidR="001166BD">
        <w:rPr>
          <w:rFonts w:ascii="Garamond" w:hAnsi="Garamond"/>
          <w:sz w:val="24"/>
          <w:szCs w:val="24"/>
        </w:rPr>
        <w:t xml:space="preserve"> have an increasing incentive to gather and utilize personal data in order to pursue profit and market share</w:t>
      </w:r>
      <w:r w:rsidR="00F816B5">
        <w:rPr>
          <w:rFonts w:ascii="Garamond" w:hAnsi="Garamond"/>
          <w:sz w:val="24"/>
          <w:szCs w:val="24"/>
        </w:rPr>
        <w:t>, often at the expense of privacy</w:t>
      </w:r>
      <w:r w:rsidR="00003A09">
        <w:rPr>
          <w:rFonts w:ascii="Garamond" w:hAnsi="Garamond"/>
          <w:sz w:val="24"/>
          <w:szCs w:val="24"/>
        </w:rPr>
        <w:t>.</w:t>
      </w:r>
      <w:r w:rsidR="00003A09">
        <w:rPr>
          <w:rStyle w:val="FootnoteReference"/>
          <w:rFonts w:ascii="Garamond" w:hAnsi="Garamond"/>
          <w:sz w:val="24"/>
          <w:szCs w:val="24"/>
        </w:rPr>
        <w:footnoteReference w:id="2"/>
      </w:r>
      <w:r w:rsidR="00C3520E">
        <w:rPr>
          <w:rFonts w:ascii="Garamond" w:hAnsi="Garamond"/>
          <w:sz w:val="24"/>
          <w:szCs w:val="24"/>
        </w:rPr>
        <w:t xml:space="preserve"> </w:t>
      </w:r>
    </w:p>
    <w:p w14:paraId="09E2C43B" w14:textId="3E13F795" w:rsidR="00932A39" w:rsidRDefault="006C4138" w:rsidP="004C5008">
      <w:pPr>
        <w:spacing w:line="480" w:lineRule="auto"/>
        <w:ind w:firstLine="720"/>
        <w:rPr>
          <w:rFonts w:ascii="Garamond" w:hAnsi="Garamond"/>
          <w:sz w:val="24"/>
          <w:szCs w:val="24"/>
        </w:rPr>
      </w:pPr>
      <w:r>
        <w:rPr>
          <w:rFonts w:ascii="Garamond" w:hAnsi="Garamond"/>
          <w:sz w:val="24"/>
          <w:szCs w:val="24"/>
        </w:rPr>
        <w:t>As a result of these changes, many suggest that our privacy is under threat, and that the laws, particularly in the U.S.</w:t>
      </w:r>
      <w:r w:rsidR="00327E54">
        <w:rPr>
          <w:rFonts w:ascii="Garamond" w:hAnsi="Garamond"/>
          <w:sz w:val="24"/>
          <w:szCs w:val="24"/>
        </w:rPr>
        <w:t>,</w:t>
      </w:r>
      <w:r>
        <w:rPr>
          <w:rFonts w:ascii="Garamond" w:hAnsi="Garamond"/>
          <w:sz w:val="24"/>
          <w:szCs w:val="24"/>
        </w:rPr>
        <w:t xml:space="preserve"> are inadequate to protect individuals from the systematic erosion of privacy that com</w:t>
      </w:r>
      <w:r w:rsidR="00327E54">
        <w:rPr>
          <w:rFonts w:ascii="Garamond" w:hAnsi="Garamond"/>
          <w:sz w:val="24"/>
          <w:szCs w:val="24"/>
        </w:rPr>
        <w:t>es with modern technologies. Therefore, we</w:t>
      </w:r>
      <w:r>
        <w:rPr>
          <w:rFonts w:ascii="Garamond" w:hAnsi="Garamond"/>
          <w:sz w:val="24"/>
          <w:szCs w:val="24"/>
        </w:rPr>
        <w:t xml:space="preserve"> need </w:t>
      </w:r>
      <w:r w:rsidR="00327E54">
        <w:rPr>
          <w:rFonts w:ascii="Garamond" w:hAnsi="Garamond"/>
          <w:sz w:val="24"/>
          <w:szCs w:val="24"/>
        </w:rPr>
        <w:t xml:space="preserve">a theory of privacy that can account for the divergent views about privacy, while recognizing the important role that privacy plays in </w:t>
      </w:r>
      <w:r w:rsidR="00932A39">
        <w:rPr>
          <w:rFonts w:ascii="Garamond" w:hAnsi="Garamond"/>
          <w:sz w:val="24"/>
          <w:szCs w:val="24"/>
        </w:rPr>
        <w:t xml:space="preserve">the creation and maintenance of the individual and </w:t>
      </w:r>
      <w:r w:rsidR="00327E54">
        <w:rPr>
          <w:rFonts w:ascii="Garamond" w:hAnsi="Garamond"/>
          <w:sz w:val="24"/>
          <w:szCs w:val="24"/>
        </w:rPr>
        <w:t xml:space="preserve">personality. </w:t>
      </w:r>
      <w:r w:rsidR="00932A39">
        <w:rPr>
          <w:rFonts w:ascii="Garamond" w:hAnsi="Garamond"/>
          <w:sz w:val="24"/>
          <w:szCs w:val="24"/>
        </w:rPr>
        <w:t xml:space="preserve">As we will see, privacy is necessary for intimacy, relationships, love, and trust. </w:t>
      </w:r>
      <w:r w:rsidR="00932A39" w:rsidRPr="00C66353">
        <w:rPr>
          <w:rFonts w:ascii="Garamond" w:hAnsi="Garamond"/>
          <w:sz w:val="24"/>
          <w:szCs w:val="24"/>
        </w:rPr>
        <w:t>Privacy is more than a positivist response to an expanding state. It represents a conception of self that is independent of the perceived utility of life behind the curtain.</w:t>
      </w:r>
      <w:r w:rsidR="00932A39">
        <w:rPr>
          <w:rFonts w:ascii="Garamond" w:hAnsi="Garamond"/>
          <w:sz w:val="24"/>
          <w:szCs w:val="24"/>
        </w:rPr>
        <w:t xml:space="preserve"> </w:t>
      </w:r>
      <w:r w:rsidR="004C5008">
        <w:rPr>
          <w:rFonts w:ascii="Garamond" w:hAnsi="Garamond"/>
          <w:sz w:val="24"/>
          <w:szCs w:val="24"/>
        </w:rPr>
        <w:t>In this regard, p</w:t>
      </w:r>
      <w:r w:rsidR="00932A39" w:rsidRPr="00932A39">
        <w:rPr>
          <w:rFonts w:ascii="Garamond" w:hAnsi="Garamond"/>
          <w:sz w:val="24"/>
          <w:szCs w:val="24"/>
        </w:rPr>
        <w:t xml:space="preserve">rivacy is an essential part of the complex social practice </w:t>
      </w:r>
      <w:r w:rsidR="00932A39">
        <w:rPr>
          <w:rFonts w:ascii="Garamond" w:hAnsi="Garamond"/>
          <w:sz w:val="24"/>
          <w:szCs w:val="24"/>
        </w:rPr>
        <w:t>in</w:t>
      </w:r>
      <w:r w:rsidR="00932A39" w:rsidRPr="00932A39">
        <w:rPr>
          <w:rFonts w:ascii="Garamond" w:hAnsi="Garamond"/>
          <w:sz w:val="24"/>
          <w:szCs w:val="24"/>
        </w:rPr>
        <w:t xml:space="preserve"> which an individual </w:t>
      </w:r>
      <w:r w:rsidR="00932A39">
        <w:rPr>
          <w:rFonts w:ascii="Garamond" w:hAnsi="Garamond"/>
          <w:sz w:val="24"/>
          <w:szCs w:val="24"/>
        </w:rPr>
        <w:t xml:space="preserve">is granted </w:t>
      </w:r>
      <w:r w:rsidR="00932A39" w:rsidRPr="00932A39">
        <w:rPr>
          <w:rFonts w:ascii="Garamond" w:hAnsi="Garamond"/>
          <w:sz w:val="24"/>
          <w:szCs w:val="24"/>
        </w:rPr>
        <w:t xml:space="preserve">moral title to his existence. </w:t>
      </w:r>
      <w:r w:rsidR="00932A39">
        <w:rPr>
          <w:rFonts w:ascii="Garamond" w:hAnsi="Garamond"/>
          <w:sz w:val="24"/>
          <w:szCs w:val="24"/>
        </w:rPr>
        <w:t>T</w:t>
      </w:r>
      <w:r w:rsidR="00932A39" w:rsidRPr="00932A39">
        <w:rPr>
          <w:rFonts w:ascii="Garamond" w:hAnsi="Garamond"/>
          <w:sz w:val="24"/>
          <w:szCs w:val="24"/>
        </w:rPr>
        <w:t>his is a precondition of personhood. To be a person, in individual must recognize not ju</w:t>
      </w:r>
      <w:r w:rsidR="00932A39">
        <w:rPr>
          <w:rFonts w:ascii="Garamond" w:hAnsi="Garamond"/>
          <w:sz w:val="24"/>
          <w:szCs w:val="24"/>
        </w:rPr>
        <w:t>st his actual capacity to shape his destiny by his choices. He m</w:t>
      </w:r>
      <w:r w:rsidR="00932A39" w:rsidRPr="00932A39">
        <w:rPr>
          <w:rFonts w:ascii="Garamond" w:hAnsi="Garamond"/>
          <w:sz w:val="24"/>
          <w:szCs w:val="24"/>
        </w:rPr>
        <w:t>u</w:t>
      </w:r>
      <w:r w:rsidR="00932A39">
        <w:rPr>
          <w:rFonts w:ascii="Garamond" w:hAnsi="Garamond"/>
          <w:sz w:val="24"/>
          <w:szCs w:val="24"/>
        </w:rPr>
        <w:t>st also recognize that he has an</w:t>
      </w:r>
      <w:r w:rsidR="00932A39" w:rsidRPr="00932A39">
        <w:rPr>
          <w:rFonts w:ascii="Garamond" w:hAnsi="Garamond"/>
          <w:sz w:val="24"/>
          <w:szCs w:val="24"/>
        </w:rPr>
        <w:t xml:space="preserve"> exclusi</w:t>
      </w:r>
      <w:r w:rsidR="00932A39">
        <w:rPr>
          <w:rFonts w:ascii="Garamond" w:hAnsi="Garamond"/>
          <w:sz w:val="24"/>
          <w:szCs w:val="24"/>
        </w:rPr>
        <w:t>ve moral right to shape his destiny</w:t>
      </w:r>
      <w:r w:rsidR="004C5008">
        <w:rPr>
          <w:rFonts w:ascii="Garamond" w:hAnsi="Garamond"/>
          <w:sz w:val="24"/>
          <w:szCs w:val="24"/>
        </w:rPr>
        <w:t>.</w:t>
      </w:r>
    </w:p>
    <w:p w14:paraId="26C4F462" w14:textId="5BC3C2E0" w:rsidR="00082CF1" w:rsidRDefault="0096692B" w:rsidP="00082CF1">
      <w:pPr>
        <w:spacing w:line="480" w:lineRule="auto"/>
        <w:ind w:firstLine="720"/>
        <w:rPr>
          <w:rFonts w:ascii="Garamond" w:hAnsi="Garamond"/>
          <w:sz w:val="24"/>
          <w:szCs w:val="24"/>
        </w:rPr>
      </w:pPr>
      <w:r>
        <w:rPr>
          <w:rFonts w:ascii="Garamond" w:hAnsi="Garamond"/>
          <w:sz w:val="24"/>
          <w:szCs w:val="24"/>
        </w:rPr>
        <w:t>A</w:t>
      </w:r>
      <w:r w:rsidR="00082CF1">
        <w:rPr>
          <w:rFonts w:ascii="Garamond" w:hAnsi="Garamond"/>
          <w:sz w:val="24"/>
          <w:szCs w:val="24"/>
        </w:rPr>
        <w:t xml:space="preserve"> theory of </w:t>
      </w:r>
      <w:r w:rsidR="00E87979">
        <w:rPr>
          <w:rFonts w:ascii="Garamond" w:hAnsi="Garamond"/>
          <w:sz w:val="24"/>
          <w:szCs w:val="24"/>
        </w:rPr>
        <w:t xml:space="preserve">privacy </w:t>
      </w:r>
      <w:r w:rsidR="00082CF1" w:rsidRPr="00C66353">
        <w:rPr>
          <w:rFonts w:ascii="Garamond" w:hAnsi="Garamond"/>
          <w:sz w:val="24"/>
          <w:szCs w:val="24"/>
        </w:rPr>
        <w:t xml:space="preserve">will help us understand the operation of power and politics in </w:t>
      </w:r>
      <w:r>
        <w:rPr>
          <w:rFonts w:ascii="Garamond" w:hAnsi="Garamond"/>
          <w:sz w:val="24"/>
          <w:szCs w:val="24"/>
        </w:rPr>
        <w:t xml:space="preserve">the </w:t>
      </w:r>
      <w:r w:rsidR="00082CF1" w:rsidRPr="00C66353">
        <w:rPr>
          <w:rFonts w:ascii="Garamond" w:hAnsi="Garamond"/>
          <w:sz w:val="24"/>
          <w:szCs w:val="24"/>
        </w:rPr>
        <w:t xml:space="preserve">modern </w:t>
      </w:r>
      <w:r>
        <w:rPr>
          <w:rFonts w:ascii="Garamond" w:hAnsi="Garamond"/>
          <w:sz w:val="24"/>
          <w:szCs w:val="24"/>
        </w:rPr>
        <w:t>world</w:t>
      </w:r>
      <w:r w:rsidR="00082CF1">
        <w:rPr>
          <w:rFonts w:ascii="Garamond" w:hAnsi="Garamond"/>
          <w:sz w:val="24"/>
          <w:szCs w:val="24"/>
        </w:rPr>
        <w:t xml:space="preserve">. </w:t>
      </w:r>
      <w:r>
        <w:rPr>
          <w:rFonts w:ascii="Garamond" w:hAnsi="Garamond"/>
          <w:sz w:val="24"/>
          <w:szCs w:val="24"/>
        </w:rPr>
        <w:t>In developing such a theory, i</w:t>
      </w:r>
      <w:r w:rsidR="00082CF1">
        <w:rPr>
          <w:rFonts w:ascii="Garamond" w:hAnsi="Garamond"/>
          <w:sz w:val="24"/>
          <w:szCs w:val="24"/>
        </w:rPr>
        <w:t>t will</w:t>
      </w:r>
      <w:r w:rsidR="00932A39">
        <w:rPr>
          <w:rFonts w:ascii="Garamond" w:hAnsi="Garamond"/>
          <w:sz w:val="24"/>
          <w:szCs w:val="24"/>
        </w:rPr>
        <w:t xml:space="preserve"> be necessary to review both </w:t>
      </w:r>
      <w:r w:rsidR="00082CF1">
        <w:rPr>
          <w:rFonts w:ascii="Garamond" w:hAnsi="Garamond"/>
          <w:sz w:val="24"/>
          <w:szCs w:val="24"/>
        </w:rPr>
        <w:t xml:space="preserve">theory and practice in the development of privacy. In this regard, I will start with a historical discussion of privacy including </w:t>
      </w:r>
      <w:r w:rsidR="00082CF1" w:rsidRPr="00CF7053">
        <w:rPr>
          <w:rFonts w:ascii="Garamond" w:hAnsi="Garamond"/>
          <w:sz w:val="24"/>
          <w:szCs w:val="24"/>
        </w:rPr>
        <w:t>Louis D. Brandeis</w:t>
      </w:r>
      <w:r w:rsidR="00082CF1">
        <w:rPr>
          <w:rFonts w:ascii="Garamond" w:hAnsi="Garamond"/>
          <w:sz w:val="24"/>
          <w:szCs w:val="24"/>
        </w:rPr>
        <w:t xml:space="preserve"> </w:t>
      </w:r>
      <w:r w:rsidR="00082CF1" w:rsidRPr="00CF7053">
        <w:rPr>
          <w:rFonts w:ascii="Garamond" w:hAnsi="Garamond"/>
          <w:sz w:val="24"/>
          <w:szCs w:val="24"/>
        </w:rPr>
        <w:t>and Samuel D. Warren</w:t>
      </w:r>
      <w:r w:rsidR="00082CF1">
        <w:rPr>
          <w:rFonts w:ascii="Garamond" w:hAnsi="Garamond"/>
          <w:sz w:val="24"/>
          <w:szCs w:val="24"/>
        </w:rPr>
        <w:t xml:space="preserve">’s seminal article on the subject written in the </w:t>
      </w:r>
      <w:r w:rsidR="00082CF1" w:rsidRPr="00AE36C4">
        <w:rPr>
          <w:rFonts w:ascii="Garamond" w:hAnsi="Garamond"/>
          <w:i/>
          <w:sz w:val="24"/>
          <w:szCs w:val="24"/>
        </w:rPr>
        <w:t>Harvard Law Review</w:t>
      </w:r>
      <w:r w:rsidR="00082CF1">
        <w:rPr>
          <w:rFonts w:ascii="Garamond" w:hAnsi="Garamond"/>
          <w:sz w:val="24"/>
          <w:szCs w:val="24"/>
        </w:rPr>
        <w:t xml:space="preserve"> in 1890. Brandeis and Warren set the tone for the development of privacy law</w:t>
      </w:r>
      <w:r w:rsidR="00932A39">
        <w:rPr>
          <w:rFonts w:ascii="Garamond" w:hAnsi="Garamond"/>
          <w:sz w:val="24"/>
          <w:szCs w:val="24"/>
        </w:rPr>
        <w:t xml:space="preserve"> in the U.S.</w:t>
      </w:r>
      <w:r w:rsidR="00082CF1">
        <w:rPr>
          <w:rFonts w:ascii="Garamond" w:hAnsi="Garamond"/>
          <w:sz w:val="24"/>
          <w:szCs w:val="24"/>
        </w:rPr>
        <w:t xml:space="preserve"> over the last hundred years. We will see some common themes that will become relevant to more modern treatments of these issues. I will also look at more philosophical discussions of the value of privacy in order to more fully grasp the role privacy plays in personal development and human flourishing. With this background, we will be in a better position to develop a theory of privacy, linking theory to practice. </w:t>
      </w:r>
    </w:p>
    <w:p w14:paraId="4B1BE0BC" w14:textId="77777777" w:rsidR="001C76AE" w:rsidRDefault="001C76AE" w:rsidP="00596805">
      <w:pPr>
        <w:rPr>
          <w:rFonts w:ascii="Garamond" w:hAnsi="Garamond"/>
          <w:sz w:val="24"/>
          <w:szCs w:val="24"/>
        </w:rPr>
      </w:pPr>
    </w:p>
    <w:p w14:paraId="4A563F5F" w14:textId="77777777" w:rsidR="00F34259" w:rsidRPr="008D3F90" w:rsidRDefault="00F34259" w:rsidP="00596805">
      <w:pPr>
        <w:rPr>
          <w:rFonts w:ascii="Garamond" w:hAnsi="Garamond"/>
          <w:sz w:val="24"/>
          <w:szCs w:val="24"/>
        </w:rPr>
      </w:pPr>
    </w:p>
    <w:p w14:paraId="3F4FD769" w14:textId="3A85E2E2" w:rsidR="00382D93" w:rsidRPr="00707B6D" w:rsidRDefault="00382D93" w:rsidP="00382D93">
      <w:pPr>
        <w:spacing w:after="0" w:line="480" w:lineRule="auto"/>
        <w:rPr>
          <w:rFonts w:ascii="Garamond" w:hAnsi="Garamond"/>
          <w:b/>
          <w:sz w:val="24"/>
          <w:szCs w:val="24"/>
        </w:rPr>
      </w:pPr>
      <w:r w:rsidRPr="00707B6D">
        <w:rPr>
          <w:rFonts w:ascii="Garamond" w:hAnsi="Garamond"/>
          <w:b/>
          <w:sz w:val="24"/>
          <w:szCs w:val="24"/>
        </w:rPr>
        <w:t>Histor</w:t>
      </w:r>
      <w:r w:rsidR="00AD2D15">
        <w:rPr>
          <w:rFonts w:ascii="Garamond" w:hAnsi="Garamond"/>
          <w:b/>
          <w:sz w:val="24"/>
          <w:szCs w:val="24"/>
        </w:rPr>
        <w:t xml:space="preserve">ical Development of </w:t>
      </w:r>
      <w:r w:rsidRPr="00707B6D">
        <w:rPr>
          <w:rFonts w:ascii="Garamond" w:hAnsi="Garamond"/>
          <w:b/>
          <w:sz w:val="24"/>
          <w:szCs w:val="24"/>
        </w:rPr>
        <w:t>Privacy</w:t>
      </w:r>
      <w:r w:rsidR="00AD2D15">
        <w:rPr>
          <w:rFonts w:ascii="Garamond" w:hAnsi="Garamond"/>
          <w:b/>
          <w:sz w:val="24"/>
          <w:szCs w:val="24"/>
        </w:rPr>
        <w:t xml:space="preserve"> and the Law </w:t>
      </w:r>
    </w:p>
    <w:p w14:paraId="7507BB05" w14:textId="77777777" w:rsidR="00382D93" w:rsidRDefault="00382D93" w:rsidP="00382D93">
      <w:pPr>
        <w:spacing w:after="0" w:line="480" w:lineRule="auto"/>
        <w:ind w:firstLine="720"/>
        <w:rPr>
          <w:rFonts w:ascii="Garamond" w:hAnsi="Garamond"/>
          <w:sz w:val="24"/>
          <w:szCs w:val="24"/>
        </w:rPr>
      </w:pPr>
      <w:r>
        <w:rPr>
          <w:rFonts w:ascii="Garamond" w:hAnsi="Garamond"/>
          <w:sz w:val="24"/>
          <w:szCs w:val="24"/>
        </w:rPr>
        <w:t>Privacy has not always been understood in the same way. Historically, individuals within m</w:t>
      </w:r>
      <w:r w:rsidRPr="003C4DBF">
        <w:rPr>
          <w:rFonts w:ascii="Garamond" w:hAnsi="Garamond"/>
          <w:sz w:val="24"/>
          <w:szCs w:val="24"/>
        </w:rPr>
        <w:t>any societies live</w:t>
      </w:r>
      <w:r>
        <w:rPr>
          <w:rFonts w:ascii="Garamond" w:hAnsi="Garamond"/>
          <w:sz w:val="24"/>
          <w:szCs w:val="24"/>
        </w:rPr>
        <w:t>d</w:t>
      </w:r>
      <w:r w:rsidRPr="003C4DBF">
        <w:rPr>
          <w:rFonts w:ascii="Garamond" w:hAnsi="Garamond"/>
          <w:sz w:val="24"/>
          <w:szCs w:val="24"/>
        </w:rPr>
        <w:t xml:space="preserve"> in close proximity to one another</w:t>
      </w:r>
      <w:r>
        <w:rPr>
          <w:rFonts w:ascii="Garamond" w:hAnsi="Garamond"/>
          <w:sz w:val="24"/>
          <w:szCs w:val="24"/>
        </w:rPr>
        <w:t xml:space="preserve"> with multiple family members living in the same house</w:t>
      </w:r>
      <w:r w:rsidRPr="003C4DBF">
        <w:rPr>
          <w:rFonts w:ascii="Garamond" w:hAnsi="Garamond"/>
          <w:sz w:val="24"/>
          <w:szCs w:val="24"/>
        </w:rPr>
        <w:t>. Under such circumstances, there is little one individual did not know about another. Further, there were few written records to keep track of details about individuals outside of one’s extended family, with the exception of church records of birth, marriage, and death. In the late 18</w:t>
      </w:r>
      <w:r w:rsidRPr="003C4DBF">
        <w:rPr>
          <w:rFonts w:ascii="Garamond" w:hAnsi="Garamond"/>
          <w:sz w:val="24"/>
          <w:szCs w:val="24"/>
          <w:vertAlign w:val="superscript"/>
        </w:rPr>
        <w:t>th</w:t>
      </w:r>
      <w:r w:rsidRPr="003C4DBF">
        <w:rPr>
          <w:rFonts w:ascii="Garamond" w:hAnsi="Garamond"/>
          <w:sz w:val="24"/>
          <w:szCs w:val="24"/>
        </w:rPr>
        <w:t xml:space="preserve"> century, the Industrial Revolution brought about changes </w:t>
      </w:r>
      <w:r>
        <w:rPr>
          <w:rFonts w:ascii="Garamond" w:hAnsi="Garamond"/>
          <w:sz w:val="24"/>
          <w:szCs w:val="24"/>
        </w:rPr>
        <w:t xml:space="preserve">in </w:t>
      </w:r>
      <w:r w:rsidRPr="003C4DBF">
        <w:rPr>
          <w:rFonts w:ascii="Garamond" w:hAnsi="Garamond"/>
          <w:sz w:val="24"/>
          <w:szCs w:val="24"/>
        </w:rPr>
        <w:t>the way people live</w:t>
      </w:r>
      <w:r>
        <w:rPr>
          <w:rFonts w:ascii="Garamond" w:hAnsi="Garamond"/>
          <w:sz w:val="24"/>
          <w:szCs w:val="24"/>
        </w:rPr>
        <w:t>d</w:t>
      </w:r>
      <w:r w:rsidRPr="003C4DBF">
        <w:rPr>
          <w:rFonts w:ascii="Garamond" w:hAnsi="Garamond"/>
          <w:sz w:val="24"/>
          <w:szCs w:val="24"/>
        </w:rPr>
        <w:t xml:space="preserve"> their lives, as well as their expectations about privacy. The industrial world and the growth of the m</w:t>
      </w:r>
      <w:r>
        <w:rPr>
          <w:rFonts w:ascii="Garamond" w:hAnsi="Garamond"/>
          <w:sz w:val="24"/>
          <w:szCs w:val="24"/>
        </w:rPr>
        <w:t xml:space="preserve">iddle class broke down </w:t>
      </w:r>
      <w:r w:rsidRPr="003C4DBF">
        <w:rPr>
          <w:rFonts w:ascii="Garamond" w:hAnsi="Garamond"/>
          <w:sz w:val="24"/>
          <w:szCs w:val="24"/>
        </w:rPr>
        <w:t>barriers between social classes and offer</w:t>
      </w:r>
      <w:r>
        <w:rPr>
          <w:rFonts w:ascii="Garamond" w:hAnsi="Garamond"/>
          <w:sz w:val="24"/>
          <w:szCs w:val="24"/>
        </w:rPr>
        <w:t xml:space="preserve">ed new opportunities for </w:t>
      </w:r>
      <w:r w:rsidRPr="003C4DBF">
        <w:rPr>
          <w:rFonts w:ascii="Garamond" w:hAnsi="Garamond"/>
          <w:sz w:val="24"/>
          <w:szCs w:val="24"/>
        </w:rPr>
        <w:t xml:space="preserve">mobility. </w:t>
      </w:r>
      <w:r>
        <w:rPr>
          <w:rFonts w:ascii="Garamond" w:hAnsi="Garamond"/>
          <w:sz w:val="24"/>
          <w:szCs w:val="24"/>
        </w:rPr>
        <w:t>P</w:t>
      </w:r>
      <w:r w:rsidRPr="003C4DBF">
        <w:rPr>
          <w:rFonts w:ascii="Garamond" w:hAnsi="Garamond"/>
          <w:sz w:val="24"/>
          <w:szCs w:val="24"/>
        </w:rPr>
        <w:t>eople from different</w:t>
      </w:r>
      <w:r>
        <w:rPr>
          <w:rFonts w:ascii="Garamond" w:hAnsi="Garamond"/>
          <w:sz w:val="24"/>
          <w:szCs w:val="24"/>
        </w:rPr>
        <w:t xml:space="preserve"> places, with different</w:t>
      </w:r>
      <w:r w:rsidRPr="003C4DBF">
        <w:rPr>
          <w:rFonts w:ascii="Garamond" w:hAnsi="Garamond"/>
          <w:sz w:val="24"/>
          <w:szCs w:val="24"/>
        </w:rPr>
        <w:t xml:space="preserve"> backgroun</w:t>
      </w:r>
      <w:r>
        <w:rPr>
          <w:rFonts w:ascii="Garamond" w:hAnsi="Garamond"/>
          <w:sz w:val="24"/>
          <w:szCs w:val="24"/>
        </w:rPr>
        <w:t>ds and with different customs were</w:t>
      </w:r>
      <w:r w:rsidRPr="003C4DBF">
        <w:rPr>
          <w:rFonts w:ascii="Garamond" w:hAnsi="Garamond"/>
          <w:sz w:val="24"/>
          <w:szCs w:val="24"/>
        </w:rPr>
        <w:t xml:space="preserve"> thrown together and forced to find ways to live comfortably with one another. This created the need to establish boundaries of personal space.</w:t>
      </w:r>
    </w:p>
    <w:p w14:paraId="1767FC16" w14:textId="77777777" w:rsidR="00382D93" w:rsidRDefault="00382D93" w:rsidP="00382D93">
      <w:pPr>
        <w:spacing w:after="0" w:line="480" w:lineRule="auto"/>
        <w:ind w:firstLine="720"/>
        <w:rPr>
          <w:rFonts w:ascii="Garamond" w:hAnsi="Garamond"/>
          <w:sz w:val="24"/>
          <w:szCs w:val="24"/>
        </w:rPr>
      </w:pPr>
      <w:r>
        <w:rPr>
          <w:rFonts w:ascii="Garamond" w:hAnsi="Garamond"/>
          <w:sz w:val="24"/>
          <w:szCs w:val="24"/>
        </w:rPr>
        <w:t xml:space="preserve">The emergence of the </w:t>
      </w:r>
      <w:r w:rsidRPr="00EE3A68">
        <w:rPr>
          <w:rFonts w:ascii="Garamond" w:hAnsi="Garamond"/>
          <w:sz w:val="24"/>
          <w:szCs w:val="24"/>
        </w:rPr>
        <w:t>modern nation-state</w:t>
      </w:r>
      <w:r>
        <w:rPr>
          <w:rFonts w:ascii="Garamond" w:hAnsi="Garamond"/>
          <w:sz w:val="24"/>
          <w:szCs w:val="24"/>
        </w:rPr>
        <w:t xml:space="preserve"> brought centralized government</w:t>
      </w:r>
      <w:r w:rsidRPr="003C4DBF">
        <w:rPr>
          <w:rFonts w:ascii="Garamond" w:hAnsi="Garamond"/>
          <w:sz w:val="24"/>
          <w:szCs w:val="24"/>
        </w:rPr>
        <w:t>s that concern</w:t>
      </w:r>
      <w:r>
        <w:rPr>
          <w:rFonts w:ascii="Garamond" w:hAnsi="Garamond"/>
          <w:sz w:val="24"/>
          <w:szCs w:val="24"/>
        </w:rPr>
        <w:t>ed</w:t>
      </w:r>
      <w:r w:rsidRPr="003C4DBF">
        <w:rPr>
          <w:rFonts w:ascii="Garamond" w:hAnsi="Garamond"/>
          <w:sz w:val="24"/>
          <w:szCs w:val="24"/>
        </w:rPr>
        <w:t xml:space="preserve"> themselves with many matters that were forme</w:t>
      </w:r>
      <w:r>
        <w:rPr>
          <w:rFonts w:ascii="Garamond" w:hAnsi="Garamond"/>
          <w:sz w:val="24"/>
          <w:szCs w:val="24"/>
        </w:rPr>
        <w:t>rly considered private</w:t>
      </w:r>
      <w:r w:rsidRPr="003C4DBF">
        <w:rPr>
          <w:rFonts w:ascii="Garamond" w:hAnsi="Garamond"/>
          <w:sz w:val="24"/>
          <w:szCs w:val="24"/>
        </w:rPr>
        <w:t>.</w:t>
      </w:r>
      <w:r>
        <w:rPr>
          <w:rFonts w:ascii="Garamond" w:hAnsi="Garamond"/>
          <w:sz w:val="24"/>
          <w:szCs w:val="24"/>
        </w:rPr>
        <w:t xml:space="preserve"> </w:t>
      </w:r>
      <w:r w:rsidRPr="003C4DBF">
        <w:rPr>
          <w:rFonts w:ascii="Garamond" w:hAnsi="Garamond"/>
          <w:sz w:val="24"/>
          <w:szCs w:val="24"/>
        </w:rPr>
        <w:t>Statistics began to be used to evaluate</w:t>
      </w:r>
      <w:r>
        <w:rPr>
          <w:rFonts w:ascii="Garamond" w:hAnsi="Garamond"/>
          <w:sz w:val="24"/>
          <w:szCs w:val="24"/>
        </w:rPr>
        <w:t xml:space="preserve"> economic conditions and plan</w:t>
      </w:r>
      <w:r w:rsidRPr="003C4DBF">
        <w:rPr>
          <w:rFonts w:ascii="Garamond" w:hAnsi="Garamond"/>
          <w:sz w:val="24"/>
          <w:szCs w:val="24"/>
        </w:rPr>
        <w:t xml:space="preserve"> national policies. </w:t>
      </w:r>
      <w:r w:rsidRPr="000E7CBB">
        <w:rPr>
          <w:rFonts w:ascii="Garamond" w:hAnsi="Garamond"/>
          <w:sz w:val="24"/>
          <w:szCs w:val="24"/>
        </w:rPr>
        <w:t xml:space="preserve">The drafting of large citizen armies required registration, training, and the tracking of millions of citizens as potential soldiers. </w:t>
      </w:r>
      <w:r>
        <w:rPr>
          <w:rFonts w:ascii="Garamond" w:hAnsi="Garamond"/>
          <w:sz w:val="24"/>
          <w:szCs w:val="24"/>
        </w:rPr>
        <w:t>There became a variety of reasons to compile individual data.</w:t>
      </w:r>
      <w:r w:rsidRPr="000E7CBB">
        <w:rPr>
          <w:rFonts w:ascii="Garamond" w:hAnsi="Garamond"/>
          <w:sz w:val="24"/>
          <w:szCs w:val="24"/>
        </w:rPr>
        <w:t xml:space="preserve"> </w:t>
      </w:r>
      <w:r>
        <w:rPr>
          <w:rFonts w:ascii="Garamond" w:hAnsi="Garamond"/>
          <w:sz w:val="24"/>
          <w:szCs w:val="24"/>
        </w:rPr>
        <w:t xml:space="preserve">Many states started </w:t>
      </w:r>
      <w:r w:rsidRPr="003C4DBF">
        <w:rPr>
          <w:rFonts w:ascii="Garamond" w:hAnsi="Garamond"/>
          <w:sz w:val="24"/>
          <w:szCs w:val="24"/>
        </w:rPr>
        <w:t>using machines and punch cards to keep track of the number of people and dozens of categories such as occupation, income, and ethnicity.</w:t>
      </w:r>
      <w:r>
        <w:rPr>
          <w:rFonts w:ascii="Garamond" w:hAnsi="Garamond"/>
          <w:sz w:val="24"/>
          <w:szCs w:val="24"/>
        </w:rPr>
        <w:t xml:space="preserve"> </w:t>
      </w:r>
    </w:p>
    <w:p w14:paraId="0B3E8BB2" w14:textId="77777777" w:rsidR="00382D93" w:rsidRPr="00CF7053" w:rsidRDefault="00382D93" w:rsidP="00382D93">
      <w:pPr>
        <w:spacing w:after="0" w:line="480" w:lineRule="auto"/>
        <w:ind w:firstLine="720"/>
        <w:rPr>
          <w:rFonts w:ascii="Garamond" w:hAnsi="Garamond"/>
          <w:sz w:val="24"/>
          <w:szCs w:val="24"/>
        </w:rPr>
      </w:pPr>
      <w:r>
        <w:rPr>
          <w:rFonts w:ascii="Garamond" w:hAnsi="Garamond"/>
          <w:sz w:val="24"/>
          <w:szCs w:val="24"/>
        </w:rPr>
        <w:t>Almost immediately people began to recognize the value of privacy. For example, t</w:t>
      </w:r>
      <w:r w:rsidRPr="00413B93">
        <w:rPr>
          <w:rFonts w:ascii="Garamond" w:hAnsi="Garamond"/>
          <w:sz w:val="24"/>
          <w:szCs w:val="24"/>
        </w:rPr>
        <w:t>he right to speak and read anonymously played a central role in the history of free expression in America.</w:t>
      </w:r>
      <w:r>
        <w:rPr>
          <w:rFonts w:ascii="Garamond" w:hAnsi="Garamond"/>
          <w:sz w:val="24"/>
          <w:szCs w:val="24"/>
        </w:rPr>
        <w:t xml:space="preserve"> The Federalist P</w:t>
      </w:r>
      <w:r w:rsidRPr="00413B93">
        <w:rPr>
          <w:rFonts w:ascii="Garamond" w:hAnsi="Garamond"/>
          <w:sz w:val="24"/>
          <w:szCs w:val="24"/>
        </w:rPr>
        <w:t>apers were famously anonymous—“</w:t>
      </w:r>
      <w:proofErr w:type="spellStart"/>
      <w:r w:rsidRPr="00413B93">
        <w:rPr>
          <w:rFonts w:ascii="Garamond" w:hAnsi="Garamond"/>
          <w:sz w:val="24"/>
          <w:szCs w:val="24"/>
        </w:rPr>
        <w:t>Publius</w:t>
      </w:r>
      <w:proofErr w:type="spellEnd"/>
      <w:r w:rsidRPr="00413B93">
        <w:rPr>
          <w:rFonts w:ascii="Garamond" w:hAnsi="Garamond"/>
          <w:sz w:val="24"/>
          <w:szCs w:val="24"/>
        </w:rPr>
        <w:t>” was a pseudonym for Madison, Hamilton, and Jay; and the other federalists pamphleteers use names such as “an American citizen,” “a landholder,” and “Marcus.” The anti-federalist responded with “</w:t>
      </w:r>
      <w:proofErr w:type="spellStart"/>
      <w:r w:rsidRPr="00413B93">
        <w:rPr>
          <w:rFonts w:ascii="Garamond" w:hAnsi="Garamond"/>
          <w:sz w:val="24"/>
          <w:szCs w:val="24"/>
        </w:rPr>
        <w:t>Centinel</w:t>
      </w:r>
      <w:proofErr w:type="spellEnd"/>
      <w:r w:rsidRPr="00413B93">
        <w:rPr>
          <w:rFonts w:ascii="Garamond" w:hAnsi="Garamond"/>
          <w:sz w:val="24"/>
          <w:szCs w:val="24"/>
        </w:rPr>
        <w:t xml:space="preserve">,” “Brutus,” and “the impartial examiner.” The </w:t>
      </w:r>
      <w:r>
        <w:rPr>
          <w:rFonts w:ascii="Garamond" w:hAnsi="Garamond"/>
          <w:sz w:val="24"/>
          <w:szCs w:val="24"/>
        </w:rPr>
        <w:t>current U.S. Supreme Court Justice</w:t>
      </w:r>
      <w:r w:rsidRPr="00413B93">
        <w:rPr>
          <w:rFonts w:ascii="Garamond" w:hAnsi="Garamond"/>
          <w:sz w:val="24"/>
          <w:szCs w:val="24"/>
        </w:rPr>
        <w:t xml:space="preserve"> Clarence Thomas </w:t>
      </w:r>
      <w:r>
        <w:rPr>
          <w:rFonts w:ascii="Garamond" w:hAnsi="Garamond"/>
          <w:sz w:val="24"/>
          <w:szCs w:val="24"/>
        </w:rPr>
        <w:t xml:space="preserve">has noted the </w:t>
      </w:r>
      <w:r w:rsidRPr="00413B93">
        <w:rPr>
          <w:rFonts w:ascii="Garamond" w:hAnsi="Garamond"/>
          <w:sz w:val="24"/>
          <w:szCs w:val="24"/>
        </w:rPr>
        <w:t>importance of anonymity in protecting the unpopular speakers, and the right to read it anony</w:t>
      </w:r>
      <w:r>
        <w:rPr>
          <w:rFonts w:ascii="Garamond" w:hAnsi="Garamond"/>
          <w:sz w:val="24"/>
          <w:szCs w:val="24"/>
        </w:rPr>
        <w:t>mously as deeply rooted in the F</w:t>
      </w:r>
      <w:r w:rsidRPr="00413B93">
        <w:rPr>
          <w:rFonts w:ascii="Garamond" w:hAnsi="Garamond"/>
          <w:sz w:val="24"/>
          <w:szCs w:val="24"/>
        </w:rPr>
        <w:t>irs</w:t>
      </w:r>
      <w:r>
        <w:rPr>
          <w:rFonts w:ascii="Garamond" w:hAnsi="Garamond"/>
          <w:sz w:val="24"/>
          <w:szCs w:val="24"/>
        </w:rPr>
        <w:t>t A</w:t>
      </w:r>
      <w:r w:rsidRPr="00413B93">
        <w:rPr>
          <w:rFonts w:ascii="Garamond" w:hAnsi="Garamond"/>
          <w:sz w:val="24"/>
          <w:szCs w:val="24"/>
        </w:rPr>
        <w:t>mendment and the constitutional guarantee of freedom from unreasonable searches and seizures.</w:t>
      </w:r>
    </w:p>
    <w:p w14:paraId="7981EBE0" w14:textId="0FCFF74D" w:rsidR="00382D93" w:rsidRPr="005D77EB" w:rsidRDefault="00382D93" w:rsidP="00382D93">
      <w:pPr>
        <w:spacing w:after="0" w:line="480" w:lineRule="auto"/>
        <w:ind w:firstLine="720"/>
        <w:rPr>
          <w:rFonts w:ascii="Garamond" w:hAnsi="Garamond"/>
          <w:sz w:val="24"/>
          <w:szCs w:val="24"/>
        </w:rPr>
      </w:pPr>
      <w:r>
        <w:rPr>
          <w:rFonts w:ascii="Garamond" w:hAnsi="Garamond"/>
          <w:sz w:val="24"/>
          <w:szCs w:val="24"/>
        </w:rPr>
        <w:t xml:space="preserve">In American jurisprudence, debates about the existence of a right to privacy start with a law review article </w:t>
      </w:r>
      <w:r w:rsidRPr="00CF7053">
        <w:rPr>
          <w:rFonts w:ascii="Garamond" w:hAnsi="Garamond"/>
          <w:sz w:val="24"/>
          <w:szCs w:val="24"/>
        </w:rPr>
        <w:t xml:space="preserve">published in the </w:t>
      </w:r>
      <w:r w:rsidRPr="00CF7053">
        <w:rPr>
          <w:rFonts w:ascii="Garamond" w:hAnsi="Garamond"/>
          <w:i/>
          <w:sz w:val="24"/>
          <w:szCs w:val="24"/>
        </w:rPr>
        <w:t xml:space="preserve">Harvard Law Review </w:t>
      </w:r>
      <w:r w:rsidRPr="00CF7053">
        <w:rPr>
          <w:rFonts w:ascii="Garamond" w:hAnsi="Garamond"/>
          <w:sz w:val="24"/>
          <w:szCs w:val="24"/>
        </w:rPr>
        <w:t>in 1890</w:t>
      </w:r>
      <w:r>
        <w:rPr>
          <w:rFonts w:ascii="Garamond" w:hAnsi="Garamond"/>
          <w:sz w:val="24"/>
          <w:szCs w:val="24"/>
        </w:rPr>
        <w:t xml:space="preserve">. In the article titled “The Right to Privacy,” </w:t>
      </w:r>
      <w:r w:rsidRPr="00CF7053">
        <w:rPr>
          <w:rFonts w:ascii="Garamond" w:hAnsi="Garamond"/>
          <w:sz w:val="24"/>
          <w:szCs w:val="24"/>
        </w:rPr>
        <w:t>Louis D. Brandeis, the future Supreme Court Justice, and Samuel D. Warren, his former law partner, anno</w:t>
      </w:r>
      <w:r>
        <w:rPr>
          <w:rFonts w:ascii="Garamond" w:hAnsi="Garamond"/>
          <w:sz w:val="24"/>
          <w:szCs w:val="24"/>
        </w:rPr>
        <w:t>unced confidently that “</w:t>
      </w:r>
      <w:r w:rsidRPr="00CF7053">
        <w:rPr>
          <w:rFonts w:ascii="Garamond" w:hAnsi="Garamond"/>
          <w:sz w:val="24"/>
          <w:szCs w:val="24"/>
        </w:rPr>
        <w:t>the common law secures to each individual the right of determining, ordinarily, to what extent his thoughts, sentiments, and emotions s</w:t>
      </w:r>
      <w:r w:rsidR="008225BE">
        <w:rPr>
          <w:rFonts w:ascii="Garamond" w:hAnsi="Garamond"/>
          <w:sz w:val="24"/>
          <w:szCs w:val="24"/>
        </w:rPr>
        <w:t>hall be communicated to others</w:t>
      </w:r>
      <w:r>
        <w:rPr>
          <w:rFonts w:ascii="Garamond" w:hAnsi="Garamond"/>
          <w:sz w:val="24"/>
          <w:szCs w:val="24"/>
        </w:rPr>
        <w:t>.</w:t>
      </w:r>
      <w:r w:rsidR="008225BE">
        <w:rPr>
          <w:rFonts w:ascii="Garamond" w:hAnsi="Garamond"/>
          <w:sz w:val="24"/>
          <w:szCs w:val="24"/>
        </w:rPr>
        <w:t>”</w:t>
      </w:r>
      <w:r>
        <w:rPr>
          <w:rStyle w:val="FootnoteReference"/>
          <w:rFonts w:ascii="Garamond" w:hAnsi="Garamond"/>
          <w:sz w:val="24"/>
          <w:szCs w:val="24"/>
        </w:rPr>
        <w:footnoteReference w:id="3"/>
      </w:r>
      <w:r w:rsidRPr="00CF7053">
        <w:rPr>
          <w:rFonts w:ascii="Garamond" w:hAnsi="Garamond"/>
          <w:sz w:val="24"/>
          <w:szCs w:val="24"/>
        </w:rPr>
        <w:t xml:space="preserve"> </w:t>
      </w:r>
      <w:r>
        <w:rPr>
          <w:rFonts w:ascii="Garamond" w:hAnsi="Garamond"/>
          <w:sz w:val="24"/>
          <w:szCs w:val="24"/>
        </w:rPr>
        <w:t>Nevertheless, they recognized, as many do today, that from t</w:t>
      </w:r>
      <w:r w:rsidRPr="005D77EB">
        <w:rPr>
          <w:rFonts w:ascii="Garamond" w:hAnsi="Garamond"/>
          <w:sz w:val="24"/>
          <w:szCs w:val="24"/>
        </w:rPr>
        <w:t xml:space="preserve">ime to time </w:t>
      </w:r>
      <w:r>
        <w:rPr>
          <w:rFonts w:ascii="Garamond" w:hAnsi="Garamond"/>
          <w:sz w:val="24"/>
          <w:szCs w:val="24"/>
        </w:rPr>
        <w:t>we must “</w:t>
      </w:r>
      <w:r w:rsidRPr="005D77EB">
        <w:rPr>
          <w:rFonts w:ascii="Garamond" w:hAnsi="Garamond"/>
          <w:sz w:val="24"/>
          <w:szCs w:val="24"/>
        </w:rPr>
        <w:t>d</w:t>
      </w:r>
      <w:r>
        <w:rPr>
          <w:rFonts w:ascii="Garamond" w:hAnsi="Garamond"/>
          <w:sz w:val="24"/>
          <w:szCs w:val="24"/>
        </w:rPr>
        <w:t xml:space="preserve">efine anew </w:t>
      </w:r>
      <w:r w:rsidRPr="005D77EB">
        <w:rPr>
          <w:rFonts w:ascii="Garamond" w:hAnsi="Garamond"/>
          <w:sz w:val="24"/>
          <w:szCs w:val="24"/>
        </w:rPr>
        <w:t>the exact natur</w:t>
      </w:r>
      <w:r w:rsidR="008225BE">
        <w:rPr>
          <w:rFonts w:ascii="Garamond" w:hAnsi="Garamond"/>
          <w:sz w:val="24"/>
          <w:szCs w:val="24"/>
        </w:rPr>
        <w:t>e and extent of such protection</w:t>
      </w:r>
      <w:r>
        <w:rPr>
          <w:rFonts w:ascii="Garamond" w:hAnsi="Garamond"/>
          <w:sz w:val="24"/>
          <w:szCs w:val="24"/>
        </w:rPr>
        <w:t>.</w:t>
      </w:r>
      <w:r w:rsidR="008225BE">
        <w:rPr>
          <w:rFonts w:ascii="Garamond" w:hAnsi="Garamond"/>
          <w:sz w:val="24"/>
          <w:szCs w:val="24"/>
        </w:rPr>
        <w:t>”</w:t>
      </w:r>
      <w:r w:rsidR="008225BE">
        <w:rPr>
          <w:rStyle w:val="FootnoteReference"/>
          <w:rFonts w:ascii="Garamond" w:hAnsi="Garamond"/>
          <w:sz w:val="24"/>
          <w:szCs w:val="24"/>
        </w:rPr>
        <w:footnoteReference w:id="4"/>
      </w:r>
      <w:r>
        <w:rPr>
          <w:rFonts w:ascii="Garamond" w:hAnsi="Garamond"/>
          <w:sz w:val="24"/>
          <w:szCs w:val="24"/>
        </w:rPr>
        <w:t xml:space="preserve"> In this regard, Brandies and Warren acknowledged that “[</w:t>
      </w:r>
      <w:proofErr w:type="gramStart"/>
      <w:r>
        <w:rPr>
          <w:rFonts w:ascii="Garamond" w:hAnsi="Garamond"/>
          <w:sz w:val="24"/>
          <w:szCs w:val="24"/>
        </w:rPr>
        <w:t>p]</w:t>
      </w:r>
      <w:proofErr w:type="spellStart"/>
      <w:r w:rsidRPr="005D77EB">
        <w:rPr>
          <w:rFonts w:ascii="Garamond" w:hAnsi="Garamond"/>
          <w:sz w:val="24"/>
          <w:szCs w:val="24"/>
        </w:rPr>
        <w:t>olitical</w:t>
      </w:r>
      <w:proofErr w:type="spellEnd"/>
      <w:proofErr w:type="gramEnd"/>
      <w:r w:rsidRPr="005D77EB">
        <w:rPr>
          <w:rFonts w:ascii="Garamond" w:hAnsi="Garamond"/>
          <w:sz w:val="24"/>
          <w:szCs w:val="24"/>
        </w:rPr>
        <w:t>, social, and economic changes</w:t>
      </w:r>
      <w:r>
        <w:rPr>
          <w:rFonts w:ascii="Garamond" w:hAnsi="Garamond"/>
          <w:sz w:val="24"/>
          <w:szCs w:val="24"/>
        </w:rPr>
        <w:t xml:space="preserve"> entail </w:t>
      </w:r>
      <w:r w:rsidRPr="005D77EB">
        <w:rPr>
          <w:rFonts w:ascii="Garamond" w:hAnsi="Garamond"/>
          <w:sz w:val="24"/>
          <w:szCs w:val="24"/>
        </w:rPr>
        <w:t xml:space="preserve">the recognition of new rights, and the common law, in its eternal youth, grows to </w:t>
      </w:r>
      <w:r>
        <w:rPr>
          <w:rFonts w:ascii="Garamond" w:hAnsi="Garamond"/>
          <w:sz w:val="24"/>
          <w:szCs w:val="24"/>
        </w:rPr>
        <w:t>meet the new demands of society</w:t>
      </w:r>
      <w:r w:rsidR="008225BE">
        <w:rPr>
          <w:rFonts w:ascii="Garamond" w:hAnsi="Garamond"/>
          <w:sz w:val="24"/>
          <w:szCs w:val="24"/>
        </w:rPr>
        <w:t>.</w:t>
      </w:r>
      <w:r>
        <w:rPr>
          <w:rFonts w:ascii="Garamond" w:hAnsi="Garamond"/>
          <w:sz w:val="24"/>
          <w:szCs w:val="24"/>
        </w:rPr>
        <w:t>”</w:t>
      </w:r>
      <w:r w:rsidR="008225BE">
        <w:rPr>
          <w:rStyle w:val="FootnoteReference"/>
          <w:rFonts w:ascii="Garamond" w:hAnsi="Garamond"/>
          <w:sz w:val="24"/>
          <w:szCs w:val="24"/>
        </w:rPr>
        <w:footnoteReference w:id="5"/>
      </w:r>
      <w:r w:rsidR="00617592">
        <w:rPr>
          <w:rFonts w:ascii="Garamond" w:hAnsi="Garamond"/>
          <w:noProof/>
          <w:sz w:val="24"/>
          <w:szCs w:val="24"/>
        </w:rPr>
        <w:t xml:space="preserve"> </w:t>
      </w:r>
      <w:r>
        <w:rPr>
          <w:rFonts w:ascii="Garamond" w:hAnsi="Garamond"/>
          <w:sz w:val="24"/>
          <w:szCs w:val="24"/>
        </w:rPr>
        <w:t>Over time</w:t>
      </w:r>
      <w:r w:rsidRPr="005D77EB">
        <w:rPr>
          <w:rFonts w:ascii="Garamond" w:hAnsi="Garamond"/>
          <w:sz w:val="24"/>
          <w:szCs w:val="24"/>
        </w:rPr>
        <w:t xml:space="preserve"> the scope of these rights broaden</w:t>
      </w:r>
      <w:r>
        <w:rPr>
          <w:rFonts w:ascii="Garamond" w:hAnsi="Garamond"/>
          <w:sz w:val="24"/>
          <w:szCs w:val="24"/>
        </w:rPr>
        <w:t>: “[</w:t>
      </w:r>
      <w:proofErr w:type="gramStart"/>
      <w:r>
        <w:rPr>
          <w:rFonts w:ascii="Garamond" w:hAnsi="Garamond"/>
          <w:sz w:val="24"/>
          <w:szCs w:val="24"/>
        </w:rPr>
        <w:t>T]he</w:t>
      </w:r>
      <w:proofErr w:type="gramEnd"/>
      <w:r>
        <w:rPr>
          <w:rFonts w:ascii="Garamond" w:hAnsi="Garamond"/>
          <w:sz w:val="24"/>
          <w:szCs w:val="24"/>
        </w:rPr>
        <w:t xml:space="preserve"> </w:t>
      </w:r>
      <w:r w:rsidRPr="005D77EB">
        <w:rPr>
          <w:rFonts w:ascii="Garamond" w:hAnsi="Garamond"/>
          <w:sz w:val="24"/>
          <w:szCs w:val="24"/>
        </w:rPr>
        <w:t xml:space="preserve">right to life has come to mean the right to enjoy life, --the right </w:t>
      </w:r>
      <w:r>
        <w:rPr>
          <w:rFonts w:ascii="Garamond" w:hAnsi="Garamond"/>
          <w:sz w:val="24"/>
          <w:szCs w:val="24"/>
        </w:rPr>
        <w:t>to be let alone; the right t</w:t>
      </w:r>
      <w:r w:rsidRPr="005D77EB">
        <w:rPr>
          <w:rFonts w:ascii="Garamond" w:hAnsi="Garamond"/>
          <w:sz w:val="24"/>
          <w:szCs w:val="24"/>
        </w:rPr>
        <w:t>o liberty secures the exercise of extensive civil privileges; and the term “property” has grown to comprise every form of possession—</w:t>
      </w:r>
      <w:r>
        <w:rPr>
          <w:rFonts w:ascii="Garamond" w:hAnsi="Garamond"/>
          <w:sz w:val="24"/>
          <w:szCs w:val="24"/>
        </w:rPr>
        <w:t>intangible, as well as tangible</w:t>
      </w:r>
      <w:r w:rsidR="008225BE">
        <w:rPr>
          <w:rFonts w:ascii="Garamond" w:hAnsi="Garamond"/>
          <w:sz w:val="24"/>
          <w:szCs w:val="24"/>
        </w:rPr>
        <w:t>.</w:t>
      </w:r>
      <w:r>
        <w:rPr>
          <w:rFonts w:ascii="Garamond" w:hAnsi="Garamond"/>
          <w:sz w:val="24"/>
          <w:szCs w:val="24"/>
        </w:rPr>
        <w:t>”</w:t>
      </w:r>
      <w:r w:rsidR="008225BE">
        <w:rPr>
          <w:rStyle w:val="FootnoteReference"/>
          <w:rFonts w:ascii="Garamond" w:hAnsi="Garamond"/>
          <w:sz w:val="24"/>
          <w:szCs w:val="24"/>
        </w:rPr>
        <w:footnoteReference w:id="6"/>
      </w:r>
      <w:r w:rsidR="00617592">
        <w:rPr>
          <w:rFonts w:ascii="Garamond" w:hAnsi="Garamond"/>
          <w:noProof/>
          <w:sz w:val="24"/>
          <w:szCs w:val="24"/>
        </w:rPr>
        <w:t xml:space="preserve"> </w:t>
      </w:r>
    </w:p>
    <w:p w14:paraId="0842E3C5" w14:textId="77777777" w:rsidR="00382D93" w:rsidRPr="005D77EB" w:rsidRDefault="00382D93" w:rsidP="00382D93">
      <w:pPr>
        <w:spacing w:after="0" w:line="480" w:lineRule="auto"/>
        <w:ind w:firstLine="720"/>
        <w:rPr>
          <w:rFonts w:ascii="Garamond" w:hAnsi="Garamond"/>
          <w:sz w:val="24"/>
          <w:szCs w:val="24"/>
        </w:rPr>
      </w:pPr>
      <w:r w:rsidRPr="00094DC4">
        <w:rPr>
          <w:rFonts w:ascii="Garamond" w:hAnsi="Garamond"/>
          <w:sz w:val="24"/>
          <w:szCs w:val="24"/>
        </w:rPr>
        <w:t xml:space="preserve">Brandies and Warren </w:t>
      </w:r>
      <w:r>
        <w:rPr>
          <w:rFonts w:ascii="Garamond" w:hAnsi="Garamond"/>
          <w:sz w:val="24"/>
          <w:szCs w:val="24"/>
        </w:rPr>
        <w:t xml:space="preserve">use numerous examples to support the expansion of rights under the law. </w:t>
      </w:r>
      <w:r w:rsidRPr="005D77EB">
        <w:rPr>
          <w:rFonts w:ascii="Garamond" w:hAnsi="Garamond"/>
          <w:sz w:val="24"/>
          <w:szCs w:val="24"/>
        </w:rPr>
        <w:t>The</w:t>
      </w:r>
      <w:r>
        <w:rPr>
          <w:rFonts w:ascii="Garamond" w:hAnsi="Garamond"/>
          <w:sz w:val="24"/>
          <w:szCs w:val="24"/>
        </w:rPr>
        <w:t>y point out that the</w:t>
      </w:r>
      <w:r w:rsidRPr="005D77EB">
        <w:rPr>
          <w:rFonts w:ascii="Garamond" w:hAnsi="Garamond"/>
          <w:sz w:val="24"/>
          <w:szCs w:val="24"/>
        </w:rPr>
        <w:t xml:space="preserve"> protection against actual bodily injury </w:t>
      </w:r>
      <w:r>
        <w:rPr>
          <w:rFonts w:ascii="Garamond" w:hAnsi="Garamond"/>
          <w:sz w:val="24"/>
          <w:szCs w:val="24"/>
        </w:rPr>
        <w:t>w</w:t>
      </w:r>
      <w:r w:rsidRPr="005D77EB">
        <w:rPr>
          <w:rFonts w:ascii="Garamond" w:hAnsi="Garamond"/>
          <w:sz w:val="24"/>
          <w:szCs w:val="24"/>
        </w:rPr>
        <w:t xml:space="preserve">as extended to prohibit </w:t>
      </w:r>
      <w:r>
        <w:rPr>
          <w:rFonts w:ascii="Garamond" w:hAnsi="Garamond"/>
          <w:sz w:val="24"/>
          <w:szCs w:val="24"/>
        </w:rPr>
        <w:t>mere attempts</w:t>
      </w:r>
      <w:r w:rsidRPr="005D77EB">
        <w:rPr>
          <w:rFonts w:ascii="Garamond" w:hAnsi="Garamond"/>
          <w:sz w:val="24"/>
          <w:szCs w:val="24"/>
        </w:rPr>
        <w:t xml:space="preserve"> to do injury.</w:t>
      </w:r>
      <w:r>
        <w:rPr>
          <w:rFonts w:ascii="Garamond" w:hAnsi="Garamond"/>
          <w:sz w:val="24"/>
          <w:szCs w:val="24"/>
        </w:rPr>
        <w:t xml:space="preserve"> Historically, an individual could be held liable for battery, which included harmful or offensive touching of another. However, liability came to include assault, which includes an act that produces apprehension in another of imminent harmful contact. They also mention the development of </w:t>
      </w:r>
      <w:r w:rsidRPr="005D77EB">
        <w:rPr>
          <w:rFonts w:ascii="Garamond" w:hAnsi="Garamond"/>
          <w:sz w:val="24"/>
          <w:szCs w:val="24"/>
        </w:rPr>
        <w:t>a qualified protection of the individual against offensive noises and odors, against dust and smoke, and excessive vibration. Further, human emotions extended the scope of personal immunity beyond the body of the individual.</w:t>
      </w:r>
      <w:r>
        <w:rPr>
          <w:rFonts w:ascii="Garamond" w:hAnsi="Garamond"/>
          <w:sz w:val="24"/>
          <w:szCs w:val="24"/>
        </w:rPr>
        <w:t xml:space="preserve"> </w:t>
      </w:r>
      <w:r w:rsidRPr="005D77EB">
        <w:rPr>
          <w:rFonts w:ascii="Garamond" w:hAnsi="Garamond"/>
          <w:sz w:val="24"/>
          <w:szCs w:val="24"/>
        </w:rPr>
        <w:t>His reputation, the st</w:t>
      </w:r>
      <w:r>
        <w:rPr>
          <w:rFonts w:ascii="Garamond" w:hAnsi="Garamond"/>
          <w:sz w:val="24"/>
          <w:szCs w:val="24"/>
        </w:rPr>
        <w:t>anding among his fellow man, was</w:t>
      </w:r>
      <w:r w:rsidRPr="005D77EB">
        <w:rPr>
          <w:rFonts w:ascii="Garamond" w:hAnsi="Garamond"/>
          <w:sz w:val="24"/>
          <w:szCs w:val="24"/>
        </w:rPr>
        <w:t xml:space="preserve"> considered, and the law of slander and libel arose. Man’s family relations became a part of the legal conception of his life, and the alienation of a wife’s </w:t>
      </w:r>
      <w:r>
        <w:rPr>
          <w:rFonts w:ascii="Garamond" w:hAnsi="Garamond"/>
          <w:sz w:val="24"/>
          <w:szCs w:val="24"/>
        </w:rPr>
        <w:t>affection</w:t>
      </w:r>
      <w:r w:rsidRPr="005D77EB">
        <w:rPr>
          <w:rFonts w:ascii="Garamond" w:hAnsi="Garamond"/>
          <w:sz w:val="24"/>
          <w:szCs w:val="24"/>
        </w:rPr>
        <w:t>s was held a</w:t>
      </w:r>
      <w:r>
        <w:rPr>
          <w:rFonts w:ascii="Garamond" w:hAnsi="Garamond"/>
          <w:sz w:val="24"/>
          <w:szCs w:val="24"/>
        </w:rPr>
        <w:t>s</w:t>
      </w:r>
      <w:r w:rsidRPr="005D77EB">
        <w:rPr>
          <w:rFonts w:ascii="Garamond" w:hAnsi="Garamond"/>
          <w:sz w:val="24"/>
          <w:szCs w:val="24"/>
        </w:rPr>
        <w:t xml:space="preserve"> remediable.</w:t>
      </w:r>
    </w:p>
    <w:p w14:paraId="0928A58E" w14:textId="77777777" w:rsidR="00382D93" w:rsidRDefault="00382D93" w:rsidP="00382D93">
      <w:pPr>
        <w:spacing w:after="0" w:line="480" w:lineRule="auto"/>
        <w:ind w:firstLine="720"/>
        <w:rPr>
          <w:rFonts w:ascii="Garamond" w:hAnsi="Garamond"/>
          <w:sz w:val="24"/>
          <w:szCs w:val="24"/>
        </w:rPr>
      </w:pPr>
      <w:r w:rsidRPr="005D77EB">
        <w:rPr>
          <w:rFonts w:ascii="Garamond" w:hAnsi="Garamond"/>
          <w:sz w:val="24"/>
          <w:szCs w:val="24"/>
        </w:rPr>
        <w:t>Similar to the expansion of the right to life was the growth of the legal conception of property</w:t>
      </w:r>
      <w:r>
        <w:rPr>
          <w:rFonts w:ascii="Garamond" w:hAnsi="Garamond"/>
          <w:sz w:val="24"/>
          <w:szCs w:val="24"/>
        </w:rPr>
        <w:t xml:space="preserve">. Over time, the courts have come to recognize </w:t>
      </w:r>
      <w:r w:rsidRPr="005D77EB">
        <w:rPr>
          <w:rFonts w:ascii="Garamond" w:hAnsi="Garamond"/>
          <w:sz w:val="24"/>
          <w:szCs w:val="24"/>
        </w:rPr>
        <w:t>the products and processes of the mind, such as works of literature and art, goodwill, trade secrets, and trademarks.</w:t>
      </w:r>
      <w:r>
        <w:rPr>
          <w:rFonts w:ascii="Garamond" w:hAnsi="Garamond"/>
          <w:sz w:val="24"/>
          <w:szCs w:val="24"/>
        </w:rPr>
        <w:t xml:space="preserve"> </w:t>
      </w:r>
      <w:r w:rsidRPr="005D77EB">
        <w:rPr>
          <w:rFonts w:ascii="Garamond" w:hAnsi="Garamond"/>
          <w:sz w:val="24"/>
          <w:szCs w:val="24"/>
        </w:rPr>
        <w:t>Brandeis and Warren argue that this development of the law was inevitable</w:t>
      </w:r>
      <w:r>
        <w:rPr>
          <w:rFonts w:ascii="Garamond" w:hAnsi="Garamond"/>
          <w:sz w:val="24"/>
          <w:szCs w:val="24"/>
        </w:rPr>
        <w:t>.</w:t>
      </w:r>
    </w:p>
    <w:p w14:paraId="7763F9C5" w14:textId="3990E08F" w:rsidR="00382D93" w:rsidRDefault="00382D93" w:rsidP="00382D93">
      <w:pPr>
        <w:spacing w:after="0" w:line="240" w:lineRule="auto"/>
        <w:ind w:left="720" w:right="720"/>
        <w:rPr>
          <w:rFonts w:ascii="Garamond" w:hAnsi="Garamond"/>
          <w:sz w:val="24"/>
          <w:szCs w:val="24"/>
        </w:rPr>
      </w:pPr>
      <w:r>
        <w:rPr>
          <w:rFonts w:ascii="Garamond" w:hAnsi="Garamond"/>
          <w:sz w:val="24"/>
          <w:szCs w:val="24"/>
        </w:rPr>
        <w:t>The intense intellectual and emotional life, and t</w:t>
      </w:r>
      <w:r w:rsidRPr="005D77EB">
        <w:rPr>
          <w:rFonts w:ascii="Garamond" w:hAnsi="Garamond"/>
          <w:sz w:val="24"/>
          <w:szCs w:val="24"/>
        </w:rPr>
        <w:t>he heightened sensations which come with advanced civilization make it clear to men that only a part of the pain, pleasure, and profit of life lay in physical things.</w:t>
      </w:r>
      <w:r>
        <w:rPr>
          <w:rFonts w:ascii="Garamond" w:hAnsi="Garamond"/>
          <w:sz w:val="24"/>
          <w:szCs w:val="24"/>
        </w:rPr>
        <w:t xml:space="preserve"> Thoughts, emotions, and</w:t>
      </w:r>
      <w:r w:rsidRPr="005D77EB">
        <w:rPr>
          <w:rFonts w:ascii="Garamond" w:hAnsi="Garamond"/>
          <w:sz w:val="24"/>
          <w:szCs w:val="24"/>
        </w:rPr>
        <w:t xml:space="preserve"> sensations demands legal recognition, and the beautiful capacity for growth which characterizes the common law enabled the judges to afford the requisite protection, without the inter p</w:t>
      </w:r>
      <w:r>
        <w:rPr>
          <w:rFonts w:ascii="Garamond" w:hAnsi="Garamond"/>
          <w:sz w:val="24"/>
          <w:szCs w:val="24"/>
        </w:rPr>
        <w:t>osition that of the legislature.</w:t>
      </w:r>
      <w:r w:rsidR="008225BE">
        <w:rPr>
          <w:rStyle w:val="FootnoteReference"/>
          <w:rFonts w:ascii="Garamond" w:hAnsi="Garamond"/>
          <w:sz w:val="24"/>
          <w:szCs w:val="24"/>
        </w:rPr>
        <w:footnoteReference w:id="7"/>
      </w:r>
    </w:p>
    <w:p w14:paraId="5171FBD1" w14:textId="77777777" w:rsidR="00382D93" w:rsidRDefault="00382D93" w:rsidP="00382D93">
      <w:pPr>
        <w:spacing w:after="0" w:line="240" w:lineRule="auto"/>
        <w:ind w:left="720" w:right="720"/>
        <w:rPr>
          <w:rFonts w:ascii="Garamond" w:hAnsi="Garamond"/>
          <w:sz w:val="24"/>
          <w:szCs w:val="24"/>
        </w:rPr>
      </w:pPr>
    </w:p>
    <w:p w14:paraId="1CD66781" w14:textId="76523264" w:rsidR="00382D93" w:rsidRPr="00D7726E" w:rsidRDefault="00382D93" w:rsidP="00382D93">
      <w:pPr>
        <w:spacing w:after="0" w:line="480" w:lineRule="auto"/>
        <w:ind w:firstLine="720"/>
        <w:rPr>
          <w:rFonts w:ascii="Garamond" w:hAnsi="Garamond"/>
          <w:sz w:val="24"/>
          <w:szCs w:val="24"/>
        </w:rPr>
      </w:pPr>
      <w:r w:rsidRPr="00D7726E">
        <w:rPr>
          <w:rFonts w:ascii="Garamond" w:hAnsi="Garamond"/>
          <w:sz w:val="24"/>
          <w:szCs w:val="24"/>
        </w:rPr>
        <w:t xml:space="preserve">Brandeis and Warren were careful not to root the right to privacy in private property alone. Instead, they suggest that the </w:t>
      </w:r>
      <w:proofErr w:type="gramStart"/>
      <w:r w:rsidRPr="00D7726E">
        <w:rPr>
          <w:rFonts w:ascii="Garamond" w:hAnsi="Garamond"/>
          <w:sz w:val="24"/>
          <w:szCs w:val="24"/>
        </w:rPr>
        <w:t>principle which protects all personal writings and other productions against publication in any form</w:t>
      </w:r>
      <w:proofErr w:type="gramEnd"/>
      <w:r w:rsidRPr="00D7726E">
        <w:rPr>
          <w:rFonts w:ascii="Garamond" w:hAnsi="Garamond"/>
          <w:sz w:val="24"/>
          <w:szCs w:val="24"/>
        </w:rPr>
        <w:t xml:space="preserve"> is th</w:t>
      </w:r>
      <w:r w:rsidR="008225BE">
        <w:rPr>
          <w:rFonts w:ascii="Garamond" w:hAnsi="Garamond"/>
          <w:sz w:val="24"/>
          <w:szCs w:val="24"/>
        </w:rPr>
        <w:t>at of an “inviolate personality</w:t>
      </w:r>
      <w:r w:rsidRPr="00D7726E">
        <w:rPr>
          <w:rFonts w:ascii="Garamond" w:hAnsi="Garamond"/>
          <w:sz w:val="24"/>
          <w:szCs w:val="24"/>
        </w:rPr>
        <w:t>.</w:t>
      </w:r>
      <w:r w:rsidR="008225BE">
        <w:rPr>
          <w:rFonts w:ascii="Garamond" w:hAnsi="Garamond"/>
          <w:sz w:val="24"/>
          <w:szCs w:val="24"/>
        </w:rPr>
        <w:t>”</w:t>
      </w:r>
      <w:r w:rsidR="00B04723">
        <w:rPr>
          <w:rStyle w:val="FootnoteReference"/>
          <w:rFonts w:ascii="Garamond" w:hAnsi="Garamond"/>
          <w:sz w:val="24"/>
          <w:szCs w:val="24"/>
        </w:rPr>
        <w:footnoteReference w:id="8"/>
      </w:r>
      <w:r>
        <w:rPr>
          <w:rFonts w:ascii="Garamond" w:hAnsi="Garamond"/>
          <w:sz w:val="24"/>
          <w:szCs w:val="24"/>
        </w:rPr>
        <w:t xml:space="preserve"> This principle requires that </w:t>
      </w:r>
      <w:r w:rsidRPr="00D7726E">
        <w:rPr>
          <w:rFonts w:ascii="Garamond" w:hAnsi="Garamond"/>
          <w:sz w:val="24"/>
          <w:szCs w:val="24"/>
        </w:rPr>
        <w:t>individual</w:t>
      </w:r>
      <w:r>
        <w:rPr>
          <w:rFonts w:ascii="Garamond" w:hAnsi="Garamond"/>
          <w:sz w:val="24"/>
          <w:szCs w:val="24"/>
        </w:rPr>
        <w:t>s</w:t>
      </w:r>
      <w:r w:rsidRPr="00D7726E">
        <w:rPr>
          <w:rFonts w:ascii="Garamond" w:hAnsi="Garamond"/>
          <w:sz w:val="24"/>
          <w:szCs w:val="24"/>
        </w:rPr>
        <w:t xml:space="preserve"> retain the power to control the limits of the </w:t>
      </w:r>
      <w:proofErr w:type="gramStart"/>
      <w:r w:rsidRPr="00D7726E">
        <w:rPr>
          <w:rFonts w:ascii="Garamond" w:hAnsi="Garamond"/>
          <w:sz w:val="24"/>
          <w:szCs w:val="24"/>
        </w:rPr>
        <w:t>publicity which</w:t>
      </w:r>
      <w:proofErr w:type="gramEnd"/>
      <w:r w:rsidRPr="00D7726E">
        <w:rPr>
          <w:rFonts w:ascii="Garamond" w:hAnsi="Garamond"/>
          <w:sz w:val="24"/>
          <w:szCs w:val="24"/>
        </w:rPr>
        <w:t xml:space="preserve"> shall be given them. Further, it </w:t>
      </w:r>
      <w:r>
        <w:rPr>
          <w:rFonts w:ascii="Garamond" w:hAnsi="Garamond"/>
          <w:sz w:val="24"/>
          <w:szCs w:val="24"/>
        </w:rPr>
        <w:t xml:space="preserve">does not matter what </w:t>
      </w:r>
      <w:r w:rsidRPr="00D7726E">
        <w:rPr>
          <w:rFonts w:ascii="Garamond" w:hAnsi="Garamond"/>
          <w:sz w:val="24"/>
          <w:szCs w:val="24"/>
        </w:rPr>
        <w:t xml:space="preserve">method of expression </w:t>
      </w:r>
      <w:r>
        <w:rPr>
          <w:rFonts w:ascii="Garamond" w:hAnsi="Garamond"/>
          <w:sz w:val="24"/>
          <w:szCs w:val="24"/>
        </w:rPr>
        <w:t xml:space="preserve">is </w:t>
      </w:r>
      <w:r w:rsidRPr="00D7726E">
        <w:rPr>
          <w:rFonts w:ascii="Garamond" w:hAnsi="Garamond"/>
          <w:sz w:val="24"/>
          <w:szCs w:val="24"/>
        </w:rPr>
        <w:t>adopted. Therefore, it is immaterial whether it is by word, in painting, by sculpture, or in music. Nor does it depend upon the nature or value of the thought or emotions.</w:t>
      </w:r>
      <w:r w:rsidRPr="00D7726E">
        <w:rPr>
          <w:rFonts w:ascii="Garamond" w:hAnsi="Garamond"/>
          <w:sz w:val="24"/>
          <w:szCs w:val="24"/>
          <w:vertAlign w:val="superscript"/>
        </w:rPr>
        <w:footnoteReference w:id="9"/>
      </w:r>
      <w:r w:rsidRPr="00D7726E">
        <w:rPr>
          <w:rFonts w:ascii="Garamond" w:hAnsi="Garamond"/>
          <w:sz w:val="24"/>
          <w:szCs w:val="24"/>
        </w:rPr>
        <w:t xml:space="preserve"> Ultimately, </w:t>
      </w:r>
      <w:r>
        <w:rPr>
          <w:rFonts w:ascii="Garamond" w:hAnsi="Garamond"/>
          <w:sz w:val="24"/>
          <w:szCs w:val="24"/>
        </w:rPr>
        <w:t xml:space="preserve">in their view, </w:t>
      </w:r>
      <w:r w:rsidRPr="00D7726E">
        <w:rPr>
          <w:rFonts w:ascii="Garamond" w:hAnsi="Garamond"/>
          <w:sz w:val="24"/>
          <w:szCs w:val="24"/>
        </w:rPr>
        <w:t>no one has the right to publish the productions of another in any form, without his consent.</w:t>
      </w:r>
      <w:r>
        <w:rPr>
          <w:rStyle w:val="FootnoteReference"/>
          <w:rFonts w:ascii="Garamond" w:hAnsi="Garamond"/>
          <w:sz w:val="24"/>
          <w:szCs w:val="24"/>
        </w:rPr>
        <w:footnoteReference w:id="10"/>
      </w:r>
      <w:r>
        <w:rPr>
          <w:rFonts w:ascii="Garamond" w:hAnsi="Garamond"/>
          <w:sz w:val="24"/>
          <w:szCs w:val="24"/>
        </w:rPr>
        <w:t xml:space="preserve"> </w:t>
      </w:r>
    </w:p>
    <w:p w14:paraId="2BB69755" w14:textId="34714305" w:rsidR="000E7435" w:rsidRPr="00132687" w:rsidRDefault="000E7435" w:rsidP="000E7435">
      <w:pPr>
        <w:spacing w:after="0" w:line="480" w:lineRule="auto"/>
        <w:ind w:firstLine="720"/>
        <w:rPr>
          <w:rFonts w:ascii="Garamond" w:hAnsi="Garamond"/>
          <w:sz w:val="24"/>
          <w:szCs w:val="24"/>
        </w:rPr>
      </w:pPr>
      <w:r>
        <w:rPr>
          <w:rFonts w:ascii="Garamond" w:hAnsi="Garamond"/>
          <w:sz w:val="24"/>
          <w:szCs w:val="24"/>
        </w:rPr>
        <w:t>Although i</w:t>
      </w:r>
      <w:r w:rsidRPr="00FB76D7">
        <w:rPr>
          <w:rFonts w:ascii="Garamond" w:hAnsi="Garamond"/>
          <w:sz w:val="24"/>
          <w:szCs w:val="24"/>
        </w:rPr>
        <w:t>t is generally agreed that</w:t>
      </w:r>
      <w:r>
        <w:rPr>
          <w:rFonts w:ascii="Garamond" w:hAnsi="Garamond"/>
          <w:sz w:val="24"/>
          <w:szCs w:val="24"/>
        </w:rPr>
        <w:t xml:space="preserve"> Brandeis and </w:t>
      </w:r>
      <w:r w:rsidRPr="00FB76D7">
        <w:rPr>
          <w:rFonts w:ascii="Garamond" w:hAnsi="Garamond"/>
          <w:sz w:val="24"/>
          <w:szCs w:val="24"/>
        </w:rPr>
        <w:t xml:space="preserve">Warren </w:t>
      </w:r>
      <w:r>
        <w:rPr>
          <w:rFonts w:ascii="Garamond" w:hAnsi="Garamond"/>
          <w:sz w:val="24"/>
          <w:szCs w:val="24"/>
        </w:rPr>
        <w:t xml:space="preserve">were the first to advocate for a right to </w:t>
      </w:r>
      <w:r w:rsidRPr="00FB76D7">
        <w:rPr>
          <w:rFonts w:ascii="Garamond" w:hAnsi="Garamond"/>
          <w:sz w:val="24"/>
          <w:szCs w:val="24"/>
        </w:rPr>
        <w:t>privacy</w:t>
      </w:r>
      <w:r>
        <w:rPr>
          <w:rFonts w:ascii="Garamond" w:hAnsi="Garamond"/>
          <w:sz w:val="24"/>
          <w:szCs w:val="24"/>
        </w:rPr>
        <w:t>,</w:t>
      </w:r>
      <w:r w:rsidRPr="00FB76D7">
        <w:rPr>
          <w:rFonts w:ascii="Garamond" w:hAnsi="Garamond"/>
          <w:sz w:val="24"/>
          <w:szCs w:val="24"/>
        </w:rPr>
        <w:t xml:space="preserve"> the codification of principles of privacy law </w:t>
      </w:r>
      <w:r>
        <w:rPr>
          <w:rFonts w:ascii="Garamond" w:hAnsi="Garamond"/>
          <w:sz w:val="24"/>
          <w:szCs w:val="24"/>
        </w:rPr>
        <w:t>didn’t happen till much later.</w:t>
      </w:r>
      <w:r>
        <w:rPr>
          <w:rStyle w:val="FootnoteReference"/>
          <w:rFonts w:ascii="Garamond" w:hAnsi="Garamond"/>
          <w:sz w:val="24"/>
          <w:szCs w:val="24"/>
        </w:rPr>
        <w:footnoteReference w:id="11"/>
      </w:r>
      <w:r>
        <w:rPr>
          <w:rFonts w:ascii="Garamond" w:hAnsi="Garamond"/>
          <w:sz w:val="24"/>
          <w:szCs w:val="24"/>
        </w:rPr>
        <w:t xml:space="preserve"> In 1960, Richard Prosser wrote a </w:t>
      </w:r>
      <w:r>
        <w:rPr>
          <w:rFonts w:ascii="Garamond" w:hAnsi="Garamond"/>
          <w:i/>
          <w:sz w:val="24"/>
          <w:szCs w:val="24"/>
        </w:rPr>
        <w:t xml:space="preserve">California Law Review </w:t>
      </w:r>
      <w:r w:rsidRPr="00BD626A">
        <w:rPr>
          <w:rFonts w:ascii="Garamond" w:hAnsi="Garamond"/>
          <w:sz w:val="24"/>
          <w:szCs w:val="24"/>
        </w:rPr>
        <w:t>article titled</w:t>
      </w:r>
      <w:r>
        <w:rPr>
          <w:rFonts w:ascii="Garamond" w:hAnsi="Garamond"/>
          <w:sz w:val="24"/>
          <w:szCs w:val="24"/>
        </w:rPr>
        <w:t xml:space="preserve"> “Privacy,” </w:t>
      </w:r>
      <w:r w:rsidRPr="00FB76D7">
        <w:rPr>
          <w:rFonts w:ascii="Garamond" w:hAnsi="Garamond"/>
          <w:sz w:val="24"/>
          <w:szCs w:val="24"/>
        </w:rPr>
        <w:t xml:space="preserve">which </w:t>
      </w:r>
      <w:r>
        <w:rPr>
          <w:rFonts w:ascii="Garamond" w:hAnsi="Garamond"/>
          <w:sz w:val="24"/>
          <w:szCs w:val="24"/>
        </w:rPr>
        <w:t xml:space="preserve">was </w:t>
      </w:r>
      <w:r w:rsidRPr="00FB76D7">
        <w:rPr>
          <w:rFonts w:ascii="Garamond" w:hAnsi="Garamond"/>
          <w:sz w:val="24"/>
          <w:szCs w:val="24"/>
        </w:rPr>
        <w:t>subsequently entered into the Second Restatement of Torts at §§ 652A-652I (1977).</w:t>
      </w:r>
      <w:r w:rsidR="00B04723">
        <w:rPr>
          <w:rStyle w:val="FootnoteReference"/>
          <w:rFonts w:ascii="Garamond" w:hAnsi="Garamond"/>
          <w:sz w:val="24"/>
          <w:szCs w:val="24"/>
        </w:rPr>
        <w:footnoteReference w:id="12"/>
      </w:r>
      <w:r>
        <w:rPr>
          <w:rFonts w:ascii="Garamond" w:hAnsi="Garamond"/>
          <w:sz w:val="24"/>
          <w:szCs w:val="24"/>
        </w:rPr>
        <w:t xml:space="preserve"> Prosser starts with the </w:t>
      </w:r>
      <w:r w:rsidRPr="00132687">
        <w:rPr>
          <w:rFonts w:ascii="Garamond" w:hAnsi="Garamond"/>
          <w:sz w:val="24"/>
          <w:szCs w:val="24"/>
        </w:rPr>
        <w:t>Brandeis and Warren article</w:t>
      </w:r>
      <w:r>
        <w:rPr>
          <w:rFonts w:ascii="Garamond" w:hAnsi="Garamond"/>
          <w:sz w:val="24"/>
          <w:szCs w:val="24"/>
        </w:rPr>
        <w:t xml:space="preserve"> and mentions </w:t>
      </w:r>
      <w:r w:rsidRPr="00132687">
        <w:rPr>
          <w:rFonts w:ascii="Garamond" w:hAnsi="Garamond"/>
          <w:sz w:val="24"/>
          <w:szCs w:val="24"/>
        </w:rPr>
        <w:t xml:space="preserve">that </w:t>
      </w:r>
      <w:r>
        <w:rPr>
          <w:rFonts w:ascii="Garamond" w:hAnsi="Garamond"/>
          <w:sz w:val="24"/>
          <w:szCs w:val="24"/>
        </w:rPr>
        <w:t xml:space="preserve">it </w:t>
      </w:r>
      <w:r w:rsidRPr="00132687">
        <w:rPr>
          <w:rFonts w:ascii="Garamond" w:hAnsi="Garamond"/>
          <w:sz w:val="24"/>
          <w:szCs w:val="24"/>
        </w:rPr>
        <w:t xml:space="preserve">was the first in a series of law review articles </w:t>
      </w:r>
      <w:r>
        <w:rPr>
          <w:rFonts w:ascii="Garamond" w:hAnsi="Garamond"/>
          <w:sz w:val="24"/>
          <w:szCs w:val="24"/>
        </w:rPr>
        <w:t xml:space="preserve">on the right to privacy, most of which agreed with Brandeis and Warren and supported the existence of a right to privacy. Prosser goes on to discuss the early cases addressing such a right. </w:t>
      </w:r>
    </w:p>
    <w:p w14:paraId="0661CA9C" w14:textId="0964432A" w:rsidR="000E7435" w:rsidRPr="00132687" w:rsidRDefault="000E7435" w:rsidP="000E7435">
      <w:pPr>
        <w:spacing w:after="0" w:line="480" w:lineRule="auto"/>
        <w:ind w:firstLine="720"/>
        <w:rPr>
          <w:rFonts w:ascii="Garamond" w:hAnsi="Garamond"/>
          <w:sz w:val="24"/>
          <w:szCs w:val="24"/>
        </w:rPr>
      </w:pPr>
      <w:r>
        <w:rPr>
          <w:rFonts w:ascii="Garamond" w:hAnsi="Garamond"/>
          <w:sz w:val="24"/>
          <w:szCs w:val="24"/>
        </w:rPr>
        <w:t>By 1960 there were already more than 300 privacy cases in the books, leading Prosser to suggest that</w:t>
      </w:r>
      <w:r w:rsidRPr="00132687">
        <w:rPr>
          <w:rFonts w:ascii="Garamond" w:hAnsi="Garamond"/>
          <w:sz w:val="24"/>
          <w:szCs w:val="24"/>
        </w:rPr>
        <w:t xml:space="preserve"> the “holes in the jigsaw puzzle have been largely filled in, and some rather in definite conclusions are po</w:t>
      </w:r>
      <w:r>
        <w:rPr>
          <w:rFonts w:ascii="Garamond" w:hAnsi="Garamond"/>
          <w:sz w:val="24"/>
          <w:szCs w:val="24"/>
        </w:rPr>
        <w:t>ssible.</w:t>
      </w:r>
      <w:r w:rsidR="00B04723">
        <w:rPr>
          <w:rFonts w:ascii="Garamond" w:hAnsi="Garamond"/>
          <w:sz w:val="24"/>
          <w:szCs w:val="24"/>
        </w:rPr>
        <w:t>”</w:t>
      </w:r>
      <w:r w:rsidR="00B04723">
        <w:rPr>
          <w:rStyle w:val="FootnoteReference"/>
          <w:rFonts w:ascii="Garamond" w:hAnsi="Garamond"/>
          <w:sz w:val="24"/>
          <w:szCs w:val="24"/>
        </w:rPr>
        <w:footnoteReference w:id="13"/>
      </w:r>
      <w:r w:rsidRPr="00132687">
        <w:rPr>
          <w:rFonts w:ascii="Garamond" w:hAnsi="Garamond"/>
          <w:sz w:val="24"/>
          <w:szCs w:val="24"/>
        </w:rPr>
        <w:t xml:space="preserve"> He </w:t>
      </w:r>
      <w:r>
        <w:rPr>
          <w:rFonts w:ascii="Garamond" w:hAnsi="Garamond"/>
          <w:sz w:val="24"/>
          <w:szCs w:val="24"/>
        </w:rPr>
        <w:t>concludes</w:t>
      </w:r>
      <w:r w:rsidRPr="00132687">
        <w:rPr>
          <w:rFonts w:ascii="Garamond" w:hAnsi="Garamond"/>
          <w:sz w:val="24"/>
          <w:szCs w:val="24"/>
        </w:rPr>
        <w:t xml:space="preserve"> that there is </w:t>
      </w:r>
      <w:r>
        <w:rPr>
          <w:rFonts w:ascii="Garamond" w:hAnsi="Garamond"/>
          <w:sz w:val="24"/>
          <w:szCs w:val="24"/>
        </w:rPr>
        <w:t>not just one common law tort related to a right to privacy</w:t>
      </w:r>
      <w:r w:rsidRPr="00132687">
        <w:rPr>
          <w:rFonts w:ascii="Garamond" w:hAnsi="Garamond"/>
          <w:sz w:val="24"/>
          <w:szCs w:val="24"/>
        </w:rPr>
        <w:t xml:space="preserve">, but a complex of four. </w:t>
      </w:r>
      <w:r>
        <w:rPr>
          <w:rFonts w:ascii="Garamond" w:hAnsi="Garamond"/>
          <w:sz w:val="24"/>
          <w:szCs w:val="24"/>
        </w:rPr>
        <w:t>“</w:t>
      </w:r>
      <w:r w:rsidRPr="00132687">
        <w:rPr>
          <w:rFonts w:ascii="Garamond" w:hAnsi="Garamond"/>
          <w:sz w:val="24"/>
          <w:szCs w:val="24"/>
        </w:rPr>
        <w:t xml:space="preserve">The law </w:t>
      </w:r>
      <w:r>
        <w:rPr>
          <w:rFonts w:ascii="Garamond" w:hAnsi="Garamond"/>
          <w:sz w:val="24"/>
          <w:szCs w:val="24"/>
        </w:rPr>
        <w:t xml:space="preserve">of </w:t>
      </w:r>
      <w:r w:rsidRPr="00132687">
        <w:rPr>
          <w:rFonts w:ascii="Garamond" w:hAnsi="Garamond"/>
          <w:sz w:val="24"/>
          <w:szCs w:val="24"/>
        </w:rPr>
        <w:t>privacy comprises four distinct kinds of invasion of four different interests of the plaintiff, up which are tied together by the common name, but otherwise have almost nothing in common</w:t>
      </w:r>
      <w:r>
        <w:rPr>
          <w:rFonts w:ascii="Garamond" w:hAnsi="Garamond"/>
          <w:sz w:val="24"/>
          <w:szCs w:val="24"/>
        </w:rPr>
        <w:t>.</w:t>
      </w:r>
      <w:r w:rsidR="00B04723">
        <w:rPr>
          <w:rFonts w:ascii="Garamond" w:hAnsi="Garamond"/>
          <w:sz w:val="24"/>
          <w:szCs w:val="24"/>
        </w:rPr>
        <w:t>”</w:t>
      </w:r>
      <w:r w:rsidR="00B04723">
        <w:rPr>
          <w:rStyle w:val="FootnoteReference"/>
          <w:rFonts w:ascii="Garamond" w:hAnsi="Garamond"/>
          <w:sz w:val="24"/>
          <w:szCs w:val="24"/>
        </w:rPr>
        <w:footnoteReference w:id="14"/>
      </w:r>
      <w:r>
        <w:rPr>
          <w:rFonts w:ascii="Garamond" w:hAnsi="Garamond"/>
          <w:sz w:val="24"/>
          <w:szCs w:val="24"/>
        </w:rPr>
        <w:t xml:space="preserve"> He went on to discuss the following four torts:</w:t>
      </w:r>
    </w:p>
    <w:p w14:paraId="70A66F8D" w14:textId="77777777" w:rsidR="000E7435" w:rsidRPr="00132687" w:rsidRDefault="000E7435" w:rsidP="000E7435">
      <w:pPr>
        <w:numPr>
          <w:ilvl w:val="0"/>
          <w:numId w:val="3"/>
        </w:numPr>
        <w:spacing w:after="0" w:line="480" w:lineRule="auto"/>
        <w:rPr>
          <w:rFonts w:ascii="Garamond" w:hAnsi="Garamond"/>
          <w:sz w:val="24"/>
          <w:szCs w:val="24"/>
        </w:rPr>
      </w:pPr>
      <w:r w:rsidRPr="00132687">
        <w:rPr>
          <w:rFonts w:ascii="Garamond" w:hAnsi="Garamond"/>
          <w:sz w:val="24"/>
          <w:szCs w:val="24"/>
        </w:rPr>
        <w:t>Intrusion upon the plaintiff’s seclusion or solitude, or into his private affairs.</w:t>
      </w:r>
    </w:p>
    <w:p w14:paraId="3C126CDC" w14:textId="77777777" w:rsidR="000E7435" w:rsidRPr="00132687" w:rsidRDefault="000E7435" w:rsidP="000E7435">
      <w:pPr>
        <w:numPr>
          <w:ilvl w:val="0"/>
          <w:numId w:val="3"/>
        </w:numPr>
        <w:spacing w:after="0" w:line="480" w:lineRule="auto"/>
        <w:rPr>
          <w:rFonts w:ascii="Garamond" w:hAnsi="Garamond"/>
          <w:sz w:val="24"/>
          <w:szCs w:val="24"/>
        </w:rPr>
      </w:pPr>
      <w:r w:rsidRPr="00132687">
        <w:rPr>
          <w:rFonts w:ascii="Garamond" w:hAnsi="Garamond"/>
          <w:sz w:val="24"/>
          <w:szCs w:val="24"/>
        </w:rPr>
        <w:t>Public disclosure of embarrassing private facts about the plaintiff.</w:t>
      </w:r>
    </w:p>
    <w:p w14:paraId="29E6F87C" w14:textId="77777777" w:rsidR="000E7435" w:rsidRPr="00132687" w:rsidRDefault="000E7435" w:rsidP="000E7435">
      <w:pPr>
        <w:numPr>
          <w:ilvl w:val="0"/>
          <w:numId w:val="3"/>
        </w:numPr>
        <w:spacing w:after="0" w:line="480" w:lineRule="auto"/>
        <w:rPr>
          <w:rFonts w:ascii="Garamond" w:hAnsi="Garamond"/>
          <w:sz w:val="24"/>
          <w:szCs w:val="24"/>
        </w:rPr>
      </w:pPr>
      <w:proofErr w:type="gramStart"/>
      <w:r w:rsidRPr="00132687">
        <w:rPr>
          <w:rFonts w:ascii="Garamond" w:hAnsi="Garamond"/>
          <w:sz w:val="24"/>
          <w:szCs w:val="24"/>
        </w:rPr>
        <w:t>Publicity which</w:t>
      </w:r>
      <w:proofErr w:type="gramEnd"/>
      <w:r w:rsidRPr="00132687">
        <w:rPr>
          <w:rFonts w:ascii="Garamond" w:hAnsi="Garamond"/>
          <w:sz w:val="24"/>
          <w:szCs w:val="24"/>
        </w:rPr>
        <w:t xml:space="preserve"> places the plaintiff and a false light in the public eye.</w:t>
      </w:r>
    </w:p>
    <w:p w14:paraId="1CD7683E" w14:textId="409192E2" w:rsidR="000E7435" w:rsidRPr="00B04723" w:rsidRDefault="000E7435" w:rsidP="00B04723">
      <w:pPr>
        <w:numPr>
          <w:ilvl w:val="0"/>
          <w:numId w:val="3"/>
        </w:numPr>
        <w:spacing w:after="0" w:line="480" w:lineRule="auto"/>
        <w:rPr>
          <w:rFonts w:ascii="Garamond" w:hAnsi="Garamond"/>
          <w:sz w:val="24"/>
          <w:szCs w:val="24"/>
        </w:rPr>
      </w:pPr>
      <w:r w:rsidRPr="00132687">
        <w:rPr>
          <w:rFonts w:ascii="Garamond" w:hAnsi="Garamond"/>
          <w:sz w:val="24"/>
          <w:szCs w:val="24"/>
        </w:rPr>
        <w:t xml:space="preserve">Appropriation, for the defendant’s advantage, of the </w:t>
      </w:r>
      <w:r>
        <w:rPr>
          <w:rFonts w:ascii="Garamond" w:hAnsi="Garamond"/>
          <w:sz w:val="24"/>
          <w:szCs w:val="24"/>
        </w:rPr>
        <w:t>plaintiff’s</w:t>
      </w:r>
      <w:r w:rsidRPr="00132687">
        <w:rPr>
          <w:rFonts w:ascii="Garamond" w:hAnsi="Garamond"/>
          <w:sz w:val="24"/>
          <w:szCs w:val="24"/>
        </w:rPr>
        <w:t xml:space="preserve"> name or likeness</w:t>
      </w:r>
      <w:r w:rsidRPr="00B04723">
        <w:rPr>
          <w:rFonts w:ascii="Garamond" w:hAnsi="Garamond"/>
          <w:sz w:val="24"/>
          <w:szCs w:val="24"/>
        </w:rPr>
        <w:t>.</w:t>
      </w:r>
      <w:r w:rsidR="00B04723">
        <w:rPr>
          <w:rStyle w:val="FootnoteReference"/>
          <w:rFonts w:ascii="Garamond" w:hAnsi="Garamond"/>
          <w:sz w:val="24"/>
          <w:szCs w:val="24"/>
        </w:rPr>
        <w:footnoteReference w:id="15"/>
      </w:r>
    </w:p>
    <w:p w14:paraId="0EC6D909" w14:textId="406D7B12" w:rsidR="000E7435" w:rsidRPr="008E7D0B" w:rsidRDefault="000E7435" w:rsidP="000E7435">
      <w:pPr>
        <w:spacing w:after="0" w:line="480" w:lineRule="auto"/>
        <w:rPr>
          <w:rFonts w:ascii="Garamond" w:hAnsi="Garamond"/>
          <w:sz w:val="24"/>
          <w:szCs w:val="24"/>
        </w:rPr>
      </w:pPr>
      <w:proofErr w:type="gramStart"/>
      <w:r>
        <w:rPr>
          <w:rFonts w:ascii="Garamond" w:hAnsi="Garamond"/>
          <w:sz w:val="24"/>
          <w:szCs w:val="24"/>
        </w:rPr>
        <w:t>These categories of privacy have been embraced by the courts in different jurisdictions to varying degrees</w:t>
      </w:r>
      <w:proofErr w:type="gramEnd"/>
      <w:r>
        <w:rPr>
          <w:rFonts w:ascii="Garamond" w:hAnsi="Garamond"/>
          <w:sz w:val="24"/>
          <w:szCs w:val="24"/>
        </w:rPr>
        <w:t>, and Prosser provides a detailed discussion of the relevant cases of the day.</w:t>
      </w:r>
      <w:r w:rsidR="00B04723">
        <w:rPr>
          <w:rStyle w:val="FootnoteReference"/>
          <w:rFonts w:ascii="Garamond" w:hAnsi="Garamond"/>
          <w:sz w:val="24"/>
          <w:szCs w:val="24"/>
        </w:rPr>
        <w:footnoteReference w:id="16"/>
      </w:r>
      <w:r>
        <w:rPr>
          <w:rFonts w:ascii="Garamond" w:hAnsi="Garamond"/>
          <w:sz w:val="24"/>
          <w:szCs w:val="24"/>
        </w:rPr>
        <w:t xml:space="preserve"> </w:t>
      </w:r>
      <w:proofErr w:type="gramStart"/>
      <w:r>
        <w:rPr>
          <w:rFonts w:ascii="Garamond" w:hAnsi="Garamond"/>
          <w:sz w:val="24"/>
          <w:szCs w:val="24"/>
        </w:rPr>
        <w:t>Some of these laws have been codified in state and federal statutes, while others rely on case law to protect individuals from invasions of privacy by others</w:t>
      </w:r>
      <w:proofErr w:type="gramEnd"/>
      <w:r>
        <w:rPr>
          <w:rFonts w:ascii="Garamond" w:hAnsi="Garamond"/>
          <w:sz w:val="24"/>
          <w:szCs w:val="24"/>
        </w:rPr>
        <w:t>. However, there remains one main category of privacy rights that had become particularly threatening, and raised difficult questions for the courts. Given the rich history of privacy in common law cited by many legal scholars and jurists, many questioned the existence of a constitutional right to privacy that would protect individuals from invasion by government.</w:t>
      </w:r>
      <w:r w:rsidR="00856427">
        <w:rPr>
          <w:rStyle w:val="FootnoteReference"/>
          <w:rFonts w:ascii="Garamond" w:hAnsi="Garamond"/>
          <w:sz w:val="24"/>
          <w:szCs w:val="24"/>
        </w:rPr>
        <w:footnoteReference w:id="17"/>
      </w:r>
      <w:r w:rsidRPr="00E839D2">
        <w:rPr>
          <w:rFonts w:ascii="Garamond" w:hAnsi="Garamond"/>
          <w:b/>
          <w:sz w:val="24"/>
          <w:szCs w:val="24"/>
        </w:rPr>
        <w:t xml:space="preserve"> </w:t>
      </w:r>
    </w:p>
    <w:p w14:paraId="6276AD2D" w14:textId="5725C7B8" w:rsidR="000E7435" w:rsidRDefault="000E7435" w:rsidP="00626FBE">
      <w:pPr>
        <w:spacing w:after="0" w:line="480" w:lineRule="auto"/>
        <w:rPr>
          <w:rFonts w:ascii="Garamond" w:hAnsi="Garamond"/>
          <w:sz w:val="24"/>
          <w:szCs w:val="24"/>
        </w:rPr>
      </w:pPr>
      <w:r>
        <w:rPr>
          <w:rFonts w:ascii="Garamond" w:hAnsi="Garamond"/>
          <w:sz w:val="24"/>
          <w:szCs w:val="24"/>
        </w:rPr>
        <w:tab/>
        <w:t xml:space="preserve">For many, the fear that government could intrude into something as private as contraception indicated that </w:t>
      </w:r>
      <w:r w:rsidR="00856427">
        <w:rPr>
          <w:rFonts w:ascii="Garamond" w:hAnsi="Garamond"/>
          <w:sz w:val="24"/>
          <w:szCs w:val="24"/>
        </w:rPr>
        <w:t>“</w:t>
      </w:r>
      <w:r>
        <w:rPr>
          <w:rFonts w:ascii="Garamond" w:hAnsi="Garamond"/>
          <w:sz w:val="24"/>
          <w:szCs w:val="24"/>
        </w:rPr>
        <w:t>Big Brother</w:t>
      </w:r>
      <w:r w:rsidR="00856427">
        <w:rPr>
          <w:rFonts w:ascii="Garamond" w:hAnsi="Garamond"/>
          <w:sz w:val="24"/>
          <w:szCs w:val="24"/>
        </w:rPr>
        <w:t>”</w:t>
      </w:r>
      <w:r>
        <w:rPr>
          <w:rFonts w:ascii="Garamond" w:hAnsi="Garamond"/>
          <w:sz w:val="24"/>
          <w:szCs w:val="24"/>
        </w:rPr>
        <w:t xml:space="preserve"> was just around the corner. </w:t>
      </w:r>
      <w:r w:rsidRPr="00E35584">
        <w:rPr>
          <w:rFonts w:ascii="Garamond" w:hAnsi="Garamond"/>
          <w:i/>
          <w:sz w:val="24"/>
          <w:szCs w:val="24"/>
        </w:rPr>
        <w:t xml:space="preserve">Griswold v Connecticut </w:t>
      </w:r>
      <w:r>
        <w:rPr>
          <w:rFonts w:ascii="Garamond" w:hAnsi="Garamond"/>
          <w:sz w:val="24"/>
          <w:szCs w:val="24"/>
        </w:rPr>
        <w:t>involved a Connecticut law that made it a crime to use</w:t>
      </w:r>
      <w:r w:rsidRPr="001348B5">
        <w:rPr>
          <w:rFonts w:ascii="Garamond" w:hAnsi="Garamond"/>
          <w:sz w:val="24"/>
          <w:szCs w:val="24"/>
        </w:rPr>
        <w:t xml:space="preserve"> any </w:t>
      </w:r>
      <w:r>
        <w:rPr>
          <w:rFonts w:ascii="Garamond" w:hAnsi="Garamond"/>
          <w:sz w:val="24"/>
          <w:szCs w:val="24"/>
        </w:rPr>
        <w:t>“</w:t>
      </w:r>
      <w:r w:rsidRPr="001348B5">
        <w:rPr>
          <w:rFonts w:ascii="Garamond" w:hAnsi="Garamond"/>
          <w:sz w:val="24"/>
          <w:szCs w:val="24"/>
        </w:rPr>
        <w:t>drug, medicinal article or instrument for the purpose of preventing conception</w:t>
      </w:r>
      <w:r>
        <w:rPr>
          <w:rFonts w:ascii="Garamond" w:hAnsi="Garamond"/>
          <w:sz w:val="24"/>
          <w:szCs w:val="24"/>
        </w:rPr>
        <w:t>.</w:t>
      </w:r>
      <w:r w:rsidR="00B04723">
        <w:rPr>
          <w:rFonts w:ascii="Garamond" w:hAnsi="Garamond"/>
          <w:sz w:val="24"/>
          <w:szCs w:val="24"/>
        </w:rPr>
        <w:t>”</w:t>
      </w:r>
      <w:r w:rsidR="008A7A4F">
        <w:rPr>
          <w:rStyle w:val="FootnoteReference"/>
          <w:rFonts w:ascii="Garamond" w:hAnsi="Garamond"/>
          <w:sz w:val="24"/>
          <w:szCs w:val="24"/>
        </w:rPr>
        <w:footnoteReference w:id="18"/>
      </w:r>
      <w:r>
        <w:rPr>
          <w:rFonts w:ascii="Garamond" w:hAnsi="Garamond"/>
          <w:sz w:val="24"/>
          <w:szCs w:val="24"/>
        </w:rPr>
        <w:t xml:space="preserve"> </w:t>
      </w:r>
      <w:r w:rsidRPr="007B31A5">
        <w:rPr>
          <w:rFonts w:ascii="Garamond" w:hAnsi="Garamond"/>
          <w:sz w:val="24"/>
          <w:szCs w:val="24"/>
        </w:rPr>
        <w:t xml:space="preserve">Griswold </w:t>
      </w:r>
      <w:r>
        <w:rPr>
          <w:rFonts w:ascii="Garamond" w:hAnsi="Garamond"/>
          <w:sz w:val="24"/>
          <w:szCs w:val="24"/>
        </w:rPr>
        <w:t>a</w:t>
      </w:r>
      <w:r w:rsidRPr="007B31A5">
        <w:rPr>
          <w:rFonts w:ascii="Garamond" w:hAnsi="Garamond"/>
          <w:sz w:val="24"/>
          <w:szCs w:val="24"/>
        </w:rPr>
        <w:t xml:space="preserve">ppealed her conviction </w:t>
      </w:r>
      <w:r w:rsidR="00626FBE">
        <w:rPr>
          <w:rFonts w:ascii="Garamond" w:hAnsi="Garamond"/>
          <w:sz w:val="24"/>
          <w:szCs w:val="24"/>
        </w:rPr>
        <w:t xml:space="preserve">under the law </w:t>
      </w:r>
      <w:r w:rsidRPr="007B31A5">
        <w:rPr>
          <w:rFonts w:ascii="Garamond" w:hAnsi="Garamond"/>
          <w:sz w:val="24"/>
          <w:szCs w:val="24"/>
        </w:rPr>
        <w:t>to the</w:t>
      </w:r>
      <w:r>
        <w:rPr>
          <w:rFonts w:ascii="Garamond" w:hAnsi="Garamond"/>
          <w:sz w:val="24"/>
          <w:szCs w:val="24"/>
        </w:rPr>
        <w:t xml:space="preserve"> U.S. </w:t>
      </w:r>
      <w:r w:rsidRPr="007B31A5">
        <w:rPr>
          <w:rFonts w:ascii="Garamond" w:hAnsi="Garamond"/>
          <w:sz w:val="24"/>
          <w:szCs w:val="24"/>
        </w:rPr>
        <w:t>Supreme Court</w:t>
      </w:r>
      <w:r>
        <w:rPr>
          <w:rFonts w:ascii="Garamond" w:hAnsi="Garamond"/>
          <w:sz w:val="24"/>
          <w:szCs w:val="24"/>
        </w:rPr>
        <w:t xml:space="preserve">, arguing that the </w:t>
      </w:r>
      <w:r w:rsidRPr="007B31A5">
        <w:rPr>
          <w:rFonts w:ascii="Garamond" w:hAnsi="Garamond"/>
          <w:sz w:val="24"/>
          <w:szCs w:val="24"/>
        </w:rPr>
        <w:t>Connecticut statute</w:t>
      </w:r>
      <w:r>
        <w:rPr>
          <w:rFonts w:ascii="Garamond" w:hAnsi="Garamond"/>
          <w:sz w:val="24"/>
          <w:szCs w:val="24"/>
        </w:rPr>
        <w:t xml:space="preserve"> was unconstitutional as a violation of the </w:t>
      </w:r>
      <w:r w:rsidRPr="007B31A5">
        <w:rPr>
          <w:rFonts w:ascii="Garamond" w:hAnsi="Garamond"/>
          <w:sz w:val="24"/>
          <w:szCs w:val="24"/>
        </w:rPr>
        <w:t>14th Amendment, which states, "no state shall make or enforce any law which shall abridge the privileges or immunities of citizens of the United States; nor shall any State deprive any person of life, liberty, or property, without due process of law</w:t>
      </w:r>
      <w:r w:rsidR="00856427">
        <w:rPr>
          <w:rFonts w:ascii="Garamond" w:hAnsi="Garamond"/>
          <w:sz w:val="24"/>
          <w:szCs w:val="24"/>
        </w:rPr>
        <w:t xml:space="preserve"> </w:t>
      </w:r>
      <w:r w:rsidRPr="007B31A5">
        <w:rPr>
          <w:rFonts w:ascii="Garamond" w:hAnsi="Garamond"/>
          <w:sz w:val="24"/>
          <w:szCs w:val="24"/>
        </w:rPr>
        <w:t>...</w:t>
      </w:r>
      <w:r w:rsidR="00856427">
        <w:rPr>
          <w:rFonts w:ascii="Garamond" w:hAnsi="Garamond"/>
          <w:sz w:val="24"/>
          <w:szCs w:val="24"/>
        </w:rPr>
        <w:t xml:space="preserve"> </w:t>
      </w:r>
      <w:r w:rsidRPr="007B31A5">
        <w:rPr>
          <w:rFonts w:ascii="Garamond" w:hAnsi="Garamond"/>
          <w:sz w:val="24"/>
          <w:szCs w:val="24"/>
        </w:rPr>
        <w:t>nor deny any person t</w:t>
      </w:r>
      <w:r>
        <w:rPr>
          <w:rFonts w:ascii="Garamond" w:hAnsi="Garamond"/>
          <w:sz w:val="24"/>
          <w:szCs w:val="24"/>
        </w:rPr>
        <w:t>he equal protection of the laws"</w:t>
      </w:r>
      <w:r w:rsidR="00626FBE">
        <w:rPr>
          <w:rFonts w:ascii="Garamond" w:hAnsi="Garamond"/>
          <w:noProof/>
          <w:sz w:val="24"/>
          <w:szCs w:val="24"/>
        </w:rPr>
        <w:t xml:space="preserve"> </w:t>
      </w:r>
      <w:r w:rsidR="00626FBE" w:rsidRPr="000E7435">
        <w:rPr>
          <w:rFonts w:ascii="Garamond" w:hAnsi="Garamond"/>
          <w:noProof/>
          <w:sz w:val="24"/>
          <w:szCs w:val="24"/>
        </w:rPr>
        <w:t>(U.S. Constitution, Fourteenth Amendment, Section 1)</w:t>
      </w:r>
      <w:r>
        <w:rPr>
          <w:rFonts w:ascii="Garamond" w:hAnsi="Garamond"/>
          <w:sz w:val="24"/>
          <w:szCs w:val="24"/>
        </w:rPr>
        <w:t>. Justice William Douglas, writing for the majority, discussed the existence of a number of rights that are not mentioned in the Constitution or the Bill of Rights</w:t>
      </w:r>
      <w:r w:rsidRPr="00943BE3">
        <w:rPr>
          <w:rFonts w:ascii="Garamond" w:hAnsi="Garamond"/>
          <w:sz w:val="24"/>
          <w:szCs w:val="24"/>
        </w:rPr>
        <w:t>.</w:t>
      </w:r>
      <w:r>
        <w:rPr>
          <w:rFonts w:ascii="Garamond" w:hAnsi="Garamond"/>
          <w:sz w:val="24"/>
          <w:szCs w:val="24"/>
        </w:rPr>
        <w:t xml:space="preserve"> These rights are consistent with the spirit of the Constitution and necessary in order to secure existing rights. For example, Justice Douglas states:</w:t>
      </w:r>
    </w:p>
    <w:p w14:paraId="7DDE844A" w14:textId="5444328A" w:rsidR="000E7435" w:rsidRDefault="000E7435" w:rsidP="000E7435">
      <w:pPr>
        <w:spacing w:after="0" w:line="240" w:lineRule="auto"/>
        <w:ind w:left="720" w:right="720"/>
        <w:rPr>
          <w:rFonts w:ascii="Garamond" w:hAnsi="Garamond"/>
          <w:sz w:val="24"/>
          <w:szCs w:val="24"/>
        </w:rPr>
      </w:pPr>
      <w:r>
        <w:rPr>
          <w:rFonts w:ascii="Garamond" w:hAnsi="Garamond"/>
          <w:sz w:val="24"/>
          <w:szCs w:val="24"/>
        </w:rPr>
        <w:t>[</w:t>
      </w:r>
      <w:proofErr w:type="gramStart"/>
      <w:r>
        <w:rPr>
          <w:rFonts w:ascii="Garamond" w:hAnsi="Garamond"/>
          <w:sz w:val="24"/>
          <w:szCs w:val="24"/>
        </w:rPr>
        <w:t>t]</w:t>
      </w:r>
      <w:r w:rsidRPr="00943BE3">
        <w:rPr>
          <w:rFonts w:ascii="Garamond" w:hAnsi="Garamond"/>
          <w:sz w:val="24"/>
          <w:szCs w:val="24"/>
        </w:rPr>
        <w:t>he</w:t>
      </w:r>
      <w:proofErr w:type="gramEnd"/>
      <w:r w:rsidRPr="00943BE3">
        <w:rPr>
          <w:rFonts w:ascii="Garamond" w:hAnsi="Garamond"/>
          <w:sz w:val="24"/>
          <w:szCs w:val="24"/>
        </w:rPr>
        <w:t xml:space="preserve"> right of freedom of speech and press includes not only the right to utter or to print, but the right to distribute, the right to receive, the rig</w:t>
      </w:r>
      <w:r>
        <w:rPr>
          <w:rFonts w:ascii="Garamond" w:hAnsi="Garamond"/>
          <w:sz w:val="24"/>
          <w:szCs w:val="24"/>
        </w:rPr>
        <w:t>ht to read</w:t>
      </w:r>
      <w:r>
        <w:rPr>
          <w:rStyle w:val="FootnoteReference"/>
          <w:rFonts w:ascii="Garamond" w:hAnsi="Garamond"/>
          <w:sz w:val="24"/>
          <w:szCs w:val="24"/>
        </w:rPr>
        <w:footnoteReference w:id="19"/>
      </w:r>
      <w:r w:rsidRPr="00943BE3">
        <w:rPr>
          <w:rFonts w:ascii="Garamond" w:hAnsi="Garamond"/>
          <w:sz w:val="24"/>
          <w:szCs w:val="24"/>
        </w:rPr>
        <w:t xml:space="preserve"> and freedom of inquiry, freedom of</w:t>
      </w:r>
      <w:r>
        <w:rPr>
          <w:rFonts w:ascii="Garamond" w:hAnsi="Garamond"/>
          <w:sz w:val="24"/>
          <w:szCs w:val="24"/>
        </w:rPr>
        <w:t xml:space="preserve"> thought, and freedom to teach</w:t>
      </w:r>
      <w:r>
        <w:rPr>
          <w:rStyle w:val="FootnoteReference"/>
          <w:rFonts w:ascii="Garamond" w:hAnsi="Garamond"/>
          <w:sz w:val="24"/>
          <w:szCs w:val="24"/>
        </w:rPr>
        <w:footnoteReference w:id="20"/>
      </w:r>
      <w:r w:rsidRPr="00943BE3">
        <w:rPr>
          <w:rFonts w:ascii="Garamond" w:hAnsi="Garamond"/>
          <w:sz w:val="24"/>
          <w:szCs w:val="24"/>
        </w:rPr>
        <w:t xml:space="preserve"> -- indeed, the freedom of the entire university community</w:t>
      </w:r>
      <w:r>
        <w:rPr>
          <w:rFonts w:ascii="Garamond" w:hAnsi="Garamond"/>
          <w:sz w:val="24"/>
          <w:szCs w:val="24"/>
        </w:rPr>
        <w:t>.</w:t>
      </w:r>
      <w:r>
        <w:rPr>
          <w:rStyle w:val="FootnoteReference"/>
          <w:rFonts w:ascii="Garamond" w:hAnsi="Garamond"/>
          <w:sz w:val="24"/>
          <w:szCs w:val="24"/>
        </w:rPr>
        <w:footnoteReference w:id="21"/>
      </w:r>
    </w:p>
    <w:p w14:paraId="5C860F21" w14:textId="77777777" w:rsidR="000E7435" w:rsidRDefault="000E7435" w:rsidP="000E7435">
      <w:pPr>
        <w:spacing w:after="0" w:line="240" w:lineRule="auto"/>
        <w:ind w:left="720" w:right="720"/>
        <w:rPr>
          <w:rFonts w:ascii="Garamond" w:hAnsi="Garamond"/>
          <w:sz w:val="24"/>
          <w:szCs w:val="24"/>
        </w:rPr>
      </w:pPr>
    </w:p>
    <w:p w14:paraId="1DFF55C2" w14:textId="77777777" w:rsidR="000E7435" w:rsidRDefault="000E7435" w:rsidP="000E7435">
      <w:pPr>
        <w:spacing w:after="0" w:line="480" w:lineRule="auto"/>
        <w:rPr>
          <w:rFonts w:ascii="Garamond" w:hAnsi="Garamond"/>
          <w:sz w:val="24"/>
          <w:szCs w:val="24"/>
        </w:rPr>
      </w:pPr>
      <w:r w:rsidRPr="007B16C1">
        <w:rPr>
          <w:rFonts w:ascii="Garamond" w:hAnsi="Garamond"/>
          <w:sz w:val="24"/>
          <w:szCs w:val="24"/>
        </w:rPr>
        <w:t>The</w:t>
      </w:r>
      <w:r>
        <w:rPr>
          <w:rFonts w:ascii="Garamond" w:hAnsi="Garamond"/>
          <w:sz w:val="24"/>
          <w:szCs w:val="24"/>
        </w:rPr>
        <w:t>se rights are part of what the Court refers to as a</w:t>
      </w:r>
      <w:r w:rsidRPr="007B16C1">
        <w:rPr>
          <w:rFonts w:ascii="Garamond" w:hAnsi="Garamond"/>
          <w:sz w:val="24"/>
          <w:szCs w:val="24"/>
        </w:rPr>
        <w:t xml:space="preserve"> </w:t>
      </w:r>
      <w:r>
        <w:rPr>
          <w:rFonts w:ascii="Garamond" w:hAnsi="Garamond"/>
          <w:sz w:val="24"/>
          <w:szCs w:val="24"/>
        </w:rPr>
        <w:t>penumbra of rights, “</w:t>
      </w:r>
      <w:r w:rsidRPr="007B16C1">
        <w:rPr>
          <w:rFonts w:ascii="Garamond" w:hAnsi="Garamond"/>
          <w:sz w:val="24"/>
          <w:szCs w:val="24"/>
        </w:rPr>
        <w:t>formed by emanations from those guarantees that help give them life and substance.</w:t>
      </w:r>
      <w:r>
        <w:rPr>
          <w:rFonts w:ascii="Garamond" w:hAnsi="Garamond"/>
          <w:sz w:val="24"/>
          <w:szCs w:val="24"/>
        </w:rPr>
        <w:t>”</w:t>
      </w:r>
      <w:r>
        <w:rPr>
          <w:rStyle w:val="FootnoteReference"/>
          <w:rFonts w:ascii="Garamond" w:hAnsi="Garamond"/>
          <w:sz w:val="24"/>
          <w:szCs w:val="24"/>
        </w:rPr>
        <w:footnoteReference w:id="22"/>
      </w:r>
      <w:r w:rsidRPr="007B16C1">
        <w:rPr>
          <w:rFonts w:ascii="Garamond" w:hAnsi="Garamond"/>
          <w:sz w:val="24"/>
          <w:szCs w:val="24"/>
        </w:rPr>
        <w:t xml:space="preserve"> </w:t>
      </w:r>
      <w:r>
        <w:rPr>
          <w:rFonts w:ascii="Garamond" w:hAnsi="Garamond"/>
          <w:sz w:val="24"/>
          <w:szCs w:val="24"/>
        </w:rPr>
        <w:t>Justice Douglas uses these v</w:t>
      </w:r>
      <w:r w:rsidRPr="007B16C1">
        <w:rPr>
          <w:rFonts w:ascii="Garamond" w:hAnsi="Garamond"/>
          <w:sz w:val="24"/>
          <w:szCs w:val="24"/>
        </w:rPr>
        <w:t xml:space="preserve">arious guarantees </w:t>
      </w:r>
      <w:r>
        <w:rPr>
          <w:rFonts w:ascii="Garamond" w:hAnsi="Garamond"/>
          <w:sz w:val="24"/>
          <w:szCs w:val="24"/>
        </w:rPr>
        <w:t xml:space="preserve">to </w:t>
      </w:r>
      <w:r w:rsidRPr="007B16C1">
        <w:rPr>
          <w:rFonts w:ascii="Garamond" w:hAnsi="Garamond"/>
          <w:sz w:val="24"/>
          <w:szCs w:val="24"/>
        </w:rPr>
        <w:t>create zones of privacy.</w:t>
      </w:r>
      <w:r>
        <w:rPr>
          <w:rStyle w:val="FootnoteReference"/>
          <w:rFonts w:ascii="Garamond" w:hAnsi="Garamond"/>
          <w:sz w:val="24"/>
          <w:szCs w:val="24"/>
        </w:rPr>
        <w:footnoteReference w:id="23"/>
      </w:r>
      <w:r w:rsidRPr="007B16C1">
        <w:rPr>
          <w:rFonts w:ascii="Garamond" w:hAnsi="Garamond"/>
          <w:sz w:val="24"/>
          <w:szCs w:val="24"/>
        </w:rPr>
        <w:t xml:space="preserve"> </w:t>
      </w:r>
      <w:r>
        <w:rPr>
          <w:rFonts w:ascii="Garamond" w:hAnsi="Garamond"/>
          <w:sz w:val="24"/>
          <w:szCs w:val="24"/>
        </w:rPr>
        <w:t xml:space="preserve">He cites the </w:t>
      </w:r>
      <w:r w:rsidRPr="007B16C1">
        <w:rPr>
          <w:rFonts w:ascii="Garamond" w:hAnsi="Garamond"/>
          <w:sz w:val="24"/>
          <w:szCs w:val="24"/>
        </w:rPr>
        <w:t>right of association contained in the penumbra of the First Amendment</w:t>
      </w:r>
      <w:r>
        <w:rPr>
          <w:rFonts w:ascii="Garamond" w:hAnsi="Garamond"/>
          <w:sz w:val="24"/>
          <w:szCs w:val="24"/>
        </w:rPr>
        <w:t xml:space="preserve">, as well as the </w:t>
      </w:r>
      <w:r w:rsidRPr="007B16C1">
        <w:rPr>
          <w:rFonts w:ascii="Garamond" w:hAnsi="Garamond"/>
          <w:sz w:val="24"/>
          <w:szCs w:val="24"/>
        </w:rPr>
        <w:t>Third Amendment, in its prohibition against the quartering of soldiers "in any house" in time of peace without the consent of the owner</w:t>
      </w:r>
      <w:r>
        <w:rPr>
          <w:rFonts w:ascii="Garamond" w:hAnsi="Garamond"/>
          <w:sz w:val="24"/>
          <w:szCs w:val="24"/>
        </w:rPr>
        <w:t>. Perhaps most directly on point is t</w:t>
      </w:r>
      <w:r w:rsidRPr="007B16C1">
        <w:rPr>
          <w:rFonts w:ascii="Garamond" w:hAnsi="Garamond"/>
          <w:sz w:val="24"/>
          <w:szCs w:val="24"/>
        </w:rPr>
        <w:t>he Fourth Amendment</w:t>
      </w:r>
      <w:r>
        <w:rPr>
          <w:rFonts w:ascii="Garamond" w:hAnsi="Garamond"/>
          <w:sz w:val="24"/>
          <w:szCs w:val="24"/>
        </w:rPr>
        <w:t xml:space="preserve">’s </w:t>
      </w:r>
      <w:r w:rsidRPr="007B16C1">
        <w:rPr>
          <w:rFonts w:ascii="Garamond" w:hAnsi="Garamond"/>
          <w:sz w:val="24"/>
          <w:szCs w:val="24"/>
        </w:rPr>
        <w:t>"right of the people to be secure in their persons, houses, papers, and effects, against unreasonable searches and seizures."</w:t>
      </w:r>
      <w:r>
        <w:rPr>
          <w:rFonts w:ascii="Garamond" w:hAnsi="Garamond"/>
          <w:sz w:val="24"/>
          <w:szCs w:val="24"/>
        </w:rPr>
        <w:t xml:space="preserve"> Justice Douglas also cites t</w:t>
      </w:r>
      <w:r w:rsidRPr="007B16C1">
        <w:rPr>
          <w:rFonts w:ascii="Garamond" w:hAnsi="Garamond"/>
          <w:sz w:val="24"/>
          <w:szCs w:val="24"/>
        </w:rPr>
        <w:t xml:space="preserve">he Fifth Amendment, in its Self-Incrimination Clause, to create a zone of privacy </w:t>
      </w:r>
      <w:r>
        <w:rPr>
          <w:rFonts w:ascii="Garamond" w:hAnsi="Garamond"/>
          <w:sz w:val="24"/>
          <w:szCs w:val="24"/>
        </w:rPr>
        <w:t>that the government may not force an individual</w:t>
      </w:r>
      <w:r w:rsidRPr="007B16C1">
        <w:rPr>
          <w:rFonts w:ascii="Garamond" w:hAnsi="Garamond"/>
          <w:sz w:val="24"/>
          <w:szCs w:val="24"/>
        </w:rPr>
        <w:t xml:space="preserve"> to surrender to his detriment. </w:t>
      </w:r>
    </w:p>
    <w:p w14:paraId="6789B51D" w14:textId="33ED2984" w:rsidR="000E7435" w:rsidRPr="00E839D2" w:rsidRDefault="000E7435" w:rsidP="000E7435">
      <w:pPr>
        <w:spacing w:after="0" w:line="480" w:lineRule="auto"/>
        <w:rPr>
          <w:rFonts w:ascii="Garamond" w:hAnsi="Garamond"/>
          <w:b/>
          <w:sz w:val="24"/>
          <w:szCs w:val="24"/>
        </w:rPr>
      </w:pPr>
      <w:r>
        <w:rPr>
          <w:rFonts w:ascii="Garamond" w:hAnsi="Garamond"/>
          <w:sz w:val="24"/>
          <w:szCs w:val="24"/>
        </w:rPr>
        <w:tab/>
        <w:t xml:space="preserve"> According to Justice Douglas, </w:t>
      </w:r>
      <w:r>
        <w:rPr>
          <w:rFonts w:ascii="Garamond" w:hAnsi="Garamond"/>
          <w:i/>
          <w:sz w:val="24"/>
          <w:szCs w:val="24"/>
        </w:rPr>
        <w:t xml:space="preserve">Griswold </w:t>
      </w:r>
      <w:r>
        <w:rPr>
          <w:rFonts w:ascii="Garamond" w:hAnsi="Garamond"/>
          <w:sz w:val="24"/>
          <w:szCs w:val="24"/>
        </w:rPr>
        <w:t>concerned</w:t>
      </w:r>
      <w:r w:rsidRPr="007B69F9">
        <w:rPr>
          <w:rFonts w:ascii="Garamond" w:hAnsi="Garamond"/>
          <w:sz w:val="24"/>
          <w:szCs w:val="24"/>
        </w:rPr>
        <w:t xml:space="preserve"> a relationship lying within the zone of privacy created by several fundamental constitutional guarantees. </w:t>
      </w:r>
      <w:r>
        <w:rPr>
          <w:rFonts w:ascii="Garamond" w:hAnsi="Garamond"/>
          <w:sz w:val="24"/>
          <w:szCs w:val="24"/>
        </w:rPr>
        <w:t xml:space="preserve">Therefore, the Connecticut </w:t>
      </w:r>
      <w:r w:rsidRPr="007B69F9">
        <w:rPr>
          <w:rFonts w:ascii="Garamond" w:hAnsi="Garamond"/>
          <w:sz w:val="24"/>
          <w:szCs w:val="24"/>
        </w:rPr>
        <w:t xml:space="preserve">law </w:t>
      </w:r>
      <w:r>
        <w:rPr>
          <w:rFonts w:ascii="Garamond" w:hAnsi="Garamond"/>
          <w:sz w:val="24"/>
          <w:szCs w:val="24"/>
        </w:rPr>
        <w:t>f</w:t>
      </w:r>
      <w:r w:rsidRPr="0097669B">
        <w:rPr>
          <w:rFonts w:ascii="Garamond" w:hAnsi="Garamond"/>
          <w:sz w:val="24"/>
          <w:szCs w:val="24"/>
        </w:rPr>
        <w:t xml:space="preserve">orbidding </w:t>
      </w:r>
      <w:r>
        <w:rPr>
          <w:rFonts w:ascii="Garamond" w:hAnsi="Garamond"/>
          <w:sz w:val="24"/>
          <w:szCs w:val="24"/>
        </w:rPr>
        <w:t xml:space="preserve">the </w:t>
      </w:r>
      <w:r w:rsidRPr="0097669B">
        <w:rPr>
          <w:rFonts w:ascii="Garamond" w:hAnsi="Garamond"/>
          <w:sz w:val="24"/>
          <w:szCs w:val="24"/>
        </w:rPr>
        <w:t>use of contraceptives</w:t>
      </w:r>
      <w:r>
        <w:rPr>
          <w:rFonts w:ascii="Garamond" w:hAnsi="Garamond"/>
          <w:sz w:val="24"/>
          <w:szCs w:val="24"/>
        </w:rPr>
        <w:t xml:space="preserve"> was found to</w:t>
      </w:r>
      <w:r w:rsidRPr="0097669B">
        <w:rPr>
          <w:rFonts w:ascii="Garamond" w:hAnsi="Garamond"/>
          <w:sz w:val="24"/>
          <w:szCs w:val="24"/>
        </w:rPr>
        <w:t xml:space="preserve"> violate the right of </w:t>
      </w:r>
      <w:r>
        <w:rPr>
          <w:rFonts w:ascii="Garamond" w:hAnsi="Garamond"/>
          <w:sz w:val="24"/>
          <w:szCs w:val="24"/>
        </w:rPr>
        <w:t>“</w:t>
      </w:r>
      <w:r w:rsidRPr="0097669B">
        <w:rPr>
          <w:rFonts w:ascii="Garamond" w:hAnsi="Garamond"/>
          <w:sz w:val="24"/>
          <w:szCs w:val="24"/>
        </w:rPr>
        <w:t xml:space="preserve">marital </w:t>
      </w:r>
      <w:proofErr w:type="gramStart"/>
      <w:r w:rsidRPr="0097669B">
        <w:rPr>
          <w:rFonts w:ascii="Garamond" w:hAnsi="Garamond"/>
          <w:sz w:val="24"/>
          <w:szCs w:val="24"/>
        </w:rPr>
        <w:t>privacy which</w:t>
      </w:r>
      <w:proofErr w:type="gramEnd"/>
      <w:r w:rsidRPr="0097669B">
        <w:rPr>
          <w:rFonts w:ascii="Garamond" w:hAnsi="Garamond"/>
          <w:sz w:val="24"/>
          <w:szCs w:val="24"/>
        </w:rPr>
        <w:t xml:space="preserve"> is within the penumbra of specific guarantees of the Bill of Rights.</w:t>
      </w:r>
      <w:r w:rsidR="00B04723">
        <w:rPr>
          <w:rFonts w:ascii="Garamond" w:hAnsi="Garamond"/>
          <w:sz w:val="24"/>
          <w:szCs w:val="24"/>
        </w:rPr>
        <w:t>”</w:t>
      </w:r>
      <w:r w:rsidR="00B04723">
        <w:rPr>
          <w:rStyle w:val="FootnoteReference"/>
          <w:rFonts w:ascii="Garamond" w:hAnsi="Garamond"/>
          <w:sz w:val="24"/>
          <w:szCs w:val="24"/>
        </w:rPr>
        <w:footnoteReference w:id="24"/>
      </w:r>
      <w:r>
        <w:rPr>
          <w:rFonts w:ascii="Garamond" w:hAnsi="Garamond"/>
          <w:sz w:val="24"/>
          <w:szCs w:val="24"/>
        </w:rPr>
        <w:t xml:space="preserve"> Many cases since </w:t>
      </w:r>
      <w:r w:rsidRPr="00D9206F">
        <w:rPr>
          <w:rFonts w:ascii="Garamond" w:hAnsi="Garamond"/>
          <w:i/>
          <w:sz w:val="24"/>
          <w:szCs w:val="24"/>
        </w:rPr>
        <w:t>Griswold</w:t>
      </w:r>
      <w:r>
        <w:rPr>
          <w:rFonts w:ascii="Garamond" w:hAnsi="Garamond"/>
          <w:sz w:val="24"/>
          <w:szCs w:val="24"/>
        </w:rPr>
        <w:t xml:space="preserve"> have </w:t>
      </w:r>
      <w:proofErr w:type="gramStart"/>
      <w:r>
        <w:rPr>
          <w:rFonts w:ascii="Garamond" w:hAnsi="Garamond"/>
          <w:sz w:val="24"/>
          <w:szCs w:val="24"/>
        </w:rPr>
        <w:t>addressed</w:t>
      </w:r>
      <w:proofErr w:type="gramEnd"/>
      <w:r>
        <w:rPr>
          <w:rFonts w:ascii="Garamond" w:hAnsi="Garamond"/>
          <w:sz w:val="24"/>
          <w:szCs w:val="24"/>
        </w:rPr>
        <w:t xml:space="preserve"> the constitutional right to privacy from government intrusion and the courts have tried to define the contours of such a right. In so doing, the courts have reiterated the ways in which this right depends on a number of factors, including ones expectation of privacy. </w:t>
      </w:r>
    </w:p>
    <w:p w14:paraId="7F32F3C9" w14:textId="50A071ED" w:rsidR="000E7435" w:rsidRDefault="000E7435" w:rsidP="000E7435">
      <w:pPr>
        <w:spacing w:after="0" w:line="480" w:lineRule="auto"/>
        <w:ind w:firstLine="720"/>
        <w:rPr>
          <w:rFonts w:ascii="Garamond" w:hAnsi="Garamond"/>
          <w:sz w:val="24"/>
          <w:szCs w:val="24"/>
        </w:rPr>
      </w:pPr>
      <w:r>
        <w:rPr>
          <w:rFonts w:ascii="Garamond" w:hAnsi="Garamond"/>
          <w:sz w:val="24"/>
          <w:szCs w:val="24"/>
        </w:rPr>
        <w:t xml:space="preserve">In </w:t>
      </w:r>
      <w:r w:rsidRPr="0082783D">
        <w:rPr>
          <w:rFonts w:ascii="Garamond" w:hAnsi="Garamond"/>
          <w:i/>
          <w:sz w:val="24"/>
          <w:szCs w:val="24"/>
        </w:rPr>
        <w:t>Katz v. United States</w:t>
      </w:r>
      <w:r>
        <w:rPr>
          <w:rFonts w:ascii="Garamond" w:hAnsi="Garamond"/>
          <w:i/>
          <w:sz w:val="24"/>
          <w:szCs w:val="24"/>
        </w:rPr>
        <w:t xml:space="preserve"> </w:t>
      </w:r>
      <w:r>
        <w:rPr>
          <w:rFonts w:ascii="Garamond" w:hAnsi="Garamond"/>
          <w:sz w:val="24"/>
          <w:szCs w:val="24"/>
        </w:rPr>
        <w:t>(1967), the U.S. Supreme Court was asked to define the limits to government eavesdropping activities based on the Fourth Amendment.</w:t>
      </w:r>
      <w:r w:rsidR="00626FBE">
        <w:rPr>
          <w:rStyle w:val="FootnoteReference"/>
          <w:rFonts w:ascii="Garamond" w:hAnsi="Garamond"/>
          <w:sz w:val="24"/>
          <w:szCs w:val="24"/>
        </w:rPr>
        <w:footnoteReference w:id="25"/>
      </w:r>
      <w:r>
        <w:rPr>
          <w:rFonts w:ascii="Garamond" w:hAnsi="Garamond"/>
          <w:sz w:val="24"/>
          <w:szCs w:val="24"/>
        </w:rPr>
        <w:t xml:space="preserve"> Although the Court acknowledged a person’s general right to privacy, the majority opinion notes that privacy laws are largely left to the individual states. In his concurrence, Justice Harlan focused on the nature of the Fourth Amendment right discussed in the majority opinion. He notes that the Fourth Amendment protects people, not places, and goes on to discuss the two fold requirement that emerges from prior decisions: (1) that a person has exhibited in actual (subjective) expectation of privacy, and (2) that the expectation the one that society is prepared to recognize as reasonable.</w:t>
      </w:r>
      <w:r w:rsidR="00B04723">
        <w:rPr>
          <w:rStyle w:val="FootnoteReference"/>
          <w:rFonts w:ascii="Garamond" w:hAnsi="Garamond"/>
          <w:sz w:val="24"/>
          <w:szCs w:val="24"/>
        </w:rPr>
        <w:footnoteReference w:id="26"/>
      </w:r>
      <w:r>
        <w:rPr>
          <w:rFonts w:ascii="Garamond" w:hAnsi="Garamond"/>
          <w:sz w:val="24"/>
          <w:szCs w:val="24"/>
        </w:rPr>
        <w:t xml:space="preserve"> The critical fact for Justice Harlan is that a person that uses the telephone booth shuts the door behind him and assumes that his conversation is not being intercepted. Therefore, the telephone booth is a temporarily private place whose occupants’ expectations of freedom are reasonable. Since this case, most courts have decided </w:t>
      </w:r>
      <w:r w:rsidR="005D568D">
        <w:rPr>
          <w:rFonts w:ascii="Garamond" w:hAnsi="Garamond"/>
          <w:sz w:val="24"/>
          <w:szCs w:val="24"/>
        </w:rPr>
        <w:t xml:space="preserve">questions regarding a constitutional right to </w:t>
      </w:r>
      <w:r>
        <w:rPr>
          <w:rFonts w:ascii="Garamond" w:hAnsi="Garamond"/>
          <w:sz w:val="24"/>
          <w:szCs w:val="24"/>
        </w:rPr>
        <w:t>privacy with reference to the reasonableness of ones expectation of privacy.</w:t>
      </w:r>
    </w:p>
    <w:p w14:paraId="23C55EAE" w14:textId="156BFCD2" w:rsidR="0027532D" w:rsidRDefault="0027532D" w:rsidP="000E7435">
      <w:pPr>
        <w:spacing w:after="0" w:line="480" w:lineRule="auto"/>
        <w:ind w:firstLine="720"/>
        <w:rPr>
          <w:rFonts w:ascii="Garamond" w:hAnsi="Garamond"/>
          <w:sz w:val="24"/>
          <w:szCs w:val="24"/>
        </w:rPr>
      </w:pPr>
      <w:r>
        <w:rPr>
          <w:rFonts w:ascii="Garamond" w:hAnsi="Garamond"/>
          <w:sz w:val="24"/>
          <w:szCs w:val="24"/>
        </w:rPr>
        <w:t>It is clear that privacy means something different for different people in different situations. As we have seen, scholars and judges have attempted to articulate what privacy is.</w:t>
      </w:r>
      <w:r w:rsidR="009E769B">
        <w:rPr>
          <w:rFonts w:ascii="Garamond" w:hAnsi="Garamond"/>
          <w:sz w:val="24"/>
          <w:szCs w:val="24"/>
        </w:rPr>
        <w:t xml:space="preserve"> But, what has resulted is a patchwork of norms, rules, and regulations that protect certain aspects of privacy while leaving others unprotected.</w:t>
      </w:r>
      <w:r>
        <w:rPr>
          <w:rFonts w:ascii="Garamond" w:hAnsi="Garamond"/>
          <w:sz w:val="24"/>
          <w:szCs w:val="24"/>
        </w:rPr>
        <w:t xml:space="preserve"> In the next section, we will turn to a more philosophical dis</w:t>
      </w:r>
      <w:r w:rsidR="00E845DE">
        <w:rPr>
          <w:rFonts w:ascii="Garamond" w:hAnsi="Garamond"/>
          <w:sz w:val="24"/>
          <w:szCs w:val="24"/>
        </w:rPr>
        <w:t>cussion of the value of privacy before discussing the possibility of a theory of privacy.</w:t>
      </w:r>
      <w:r w:rsidR="00582F0C">
        <w:rPr>
          <w:rFonts w:ascii="Garamond" w:hAnsi="Garamond"/>
          <w:sz w:val="24"/>
          <w:szCs w:val="24"/>
        </w:rPr>
        <w:t xml:space="preserve"> </w:t>
      </w:r>
    </w:p>
    <w:p w14:paraId="0DD766D0" w14:textId="77777777" w:rsidR="0027532D" w:rsidRDefault="0027532D" w:rsidP="001C76AE">
      <w:pPr>
        <w:spacing w:after="0" w:line="480" w:lineRule="auto"/>
        <w:rPr>
          <w:rFonts w:ascii="Garamond" w:hAnsi="Garamond"/>
          <w:b/>
          <w:sz w:val="24"/>
          <w:szCs w:val="24"/>
        </w:rPr>
      </w:pPr>
    </w:p>
    <w:p w14:paraId="3CC5F961" w14:textId="65C636D4" w:rsidR="001C76AE" w:rsidRPr="00AE36C4" w:rsidRDefault="0027532D" w:rsidP="001C76AE">
      <w:pPr>
        <w:spacing w:after="0" w:line="480" w:lineRule="auto"/>
        <w:rPr>
          <w:rFonts w:ascii="Garamond" w:hAnsi="Garamond"/>
          <w:b/>
          <w:sz w:val="24"/>
          <w:szCs w:val="24"/>
        </w:rPr>
      </w:pPr>
      <w:r>
        <w:rPr>
          <w:rFonts w:ascii="Garamond" w:hAnsi="Garamond"/>
          <w:b/>
          <w:sz w:val="24"/>
          <w:szCs w:val="24"/>
        </w:rPr>
        <w:t>The Value of P</w:t>
      </w:r>
      <w:r w:rsidR="00AE36C4" w:rsidRPr="00AE36C4">
        <w:rPr>
          <w:rFonts w:ascii="Garamond" w:hAnsi="Garamond"/>
          <w:b/>
          <w:sz w:val="24"/>
          <w:szCs w:val="24"/>
        </w:rPr>
        <w:t>rivacy</w:t>
      </w:r>
      <w:r>
        <w:rPr>
          <w:rFonts w:ascii="Garamond" w:hAnsi="Garamond"/>
          <w:b/>
          <w:sz w:val="24"/>
          <w:szCs w:val="24"/>
        </w:rPr>
        <w:t xml:space="preserve"> </w:t>
      </w:r>
    </w:p>
    <w:p w14:paraId="0A31C8FC" w14:textId="0D268ECF" w:rsidR="00A97140" w:rsidRPr="003A026D" w:rsidRDefault="009E769B" w:rsidP="00DD199E">
      <w:pPr>
        <w:spacing w:after="0" w:line="480" w:lineRule="auto"/>
        <w:ind w:firstLine="720"/>
        <w:rPr>
          <w:rFonts w:ascii="Garamond" w:hAnsi="Garamond"/>
          <w:sz w:val="24"/>
          <w:szCs w:val="24"/>
        </w:rPr>
      </w:pPr>
      <w:r>
        <w:rPr>
          <w:rFonts w:ascii="Garamond" w:hAnsi="Garamond"/>
          <w:sz w:val="24"/>
          <w:szCs w:val="24"/>
        </w:rPr>
        <w:t>Although privacy is a term that is used in many contexts, and with a variety of meanings, a number of scholars have tried to reconcile these divergent views in an effort to identify what the ri</w:t>
      </w:r>
      <w:r w:rsidR="00A97140">
        <w:rPr>
          <w:rFonts w:ascii="Garamond" w:hAnsi="Garamond"/>
          <w:sz w:val="24"/>
          <w:szCs w:val="24"/>
        </w:rPr>
        <w:t>ght to privacy is, and the role it plays in human flourishing. Although many, like Brandeis and Warren defend the right to privacy, others suggest that there is nothing truly unique about the right to privacy.</w:t>
      </w:r>
      <w:r w:rsidR="00DD199E">
        <w:rPr>
          <w:rFonts w:ascii="Garamond" w:hAnsi="Garamond"/>
          <w:sz w:val="24"/>
          <w:szCs w:val="24"/>
        </w:rPr>
        <w:t xml:space="preserve"> </w:t>
      </w:r>
      <w:r w:rsidR="00A97140">
        <w:rPr>
          <w:rFonts w:ascii="Garamond" w:hAnsi="Garamond"/>
          <w:sz w:val="24"/>
          <w:szCs w:val="24"/>
        </w:rPr>
        <w:t>Thomson, for one</w:t>
      </w:r>
      <w:r w:rsidR="00DD199E">
        <w:rPr>
          <w:rFonts w:ascii="Garamond" w:hAnsi="Garamond"/>
          <w:sz w:val="24"/>
          <w:szCs w:val="24"/>
        </w:rPr>
        <w:t>,</w:t>
      </w:r>
      <w:r w:rsidR="00A97140">
        <w:rPr>
          <w:rFonts w:ascii="Garamond" w:hAnsi="Garamond"/>
          <w:sz w:val="24"/>
          <w:szCs w:val="24"/>
        </w:rPr>
        <w:t xml:space="preserve"> suggests that </w:t>
      </w:r>
      <w:r w:rsidR="00DD199E">
        <w:rPr>
          <w:rFonts w:ascii="Garamond" w:hAnsi="Garamond"/>
          <w:sz w:val="24"/>
          <w:szCs w:val="24"/>
        </w:rPr>
        <w:t>the right to privacy</w:t>
      </w:r>
      <w:r w:rsidR="00A97140">
        <w:rPr>
          <w:rFonts w:ascii="Garamond" w:hAnsi="Garamond"/>
          <w:sz w:val="24"/>
          <w:szCs w:val="24"/>
        </w:rPr>
        <w:t xml:space="preserve"> is derivative</w:t>
      </w:r>
      <w:r w:rsidR="00DD199E">
        <w:rPr>
          <w:rFonts w:ascii="Garamond" w:hAnsi="Garamond"/>
          <w:sz w:val="24"/>
          <w:szCs w:val="24"/>
        </w:rPr>
        <w:t xml:space="preserve"> from existing rights</w:t>
      </w:r>
      <w:r w:rsidR="00A97140">
        <w:rPr>
          <w:rFonts w:ascii="Garamond" w:hAnsi="Garamond"/>
          <w:sz w:val="24"/>
          <w:szCs w:val="24"/>
        </w:rPr>
        <w:t xml:space="preserve">. </w:t>
      </w:r>
      <w:r w:rsidR="00A97140" w:rsidRPr="003A026D">
        <w:rPr>
          <w:rFonts w:ascii="Garamond" w:hAnsi="Garamond"/>
          <w:sz w:val="24"/>
          <w:szCs w:val="24"/>
        </w:rPr>
        <w:t>Her argument is that all the protections to which we feel the right to privacy entitles us are already included under other rights, such as "the cluster of rights which the right over the person consists in and also . . . the cluster of rights whic</w:t>
      </w:r>
      <w:r w:rsidR="00B04723">
        <w:rPr>
          <w:rFonts w:ascii="Garamond" w:hAnsi="Garamond"/>
          <w:sz w:val="24"/>
          <w:szCs w:val="24"/>
        </w:rPr>
        <w:t>h owning property consists in</w:t>
      </w:r>
      <w:r w:rsidR="00A97140" w:rsidRPr="003A026D">
        <w:rPr>
          <w:rFonts w:ascii="Garamond" w:hAnsi="Garamond"/>
          <w:sz w:val="24"/>
          <w:szCs w:val="24"/>
        </w:rPr>
        <w:t>.</w:t>
      </w:r>
      <w:r w:rsidR="00B04723">
        <w:rPr>
          <w:rFonts w:ascii="Garamond" w:hAnsi="Garamond"/>
          <w:sz w:val="24"/>
          <w:szCs w:val="24"/>
        </w:rPr>
        <w:t>”</w:t>
      </w:r>
      <w:r w:rsidR="00B04723">
        <w:rPr>
          <w:rStyle w:val="FootnoteReference"/>
          <w:rFonts w:ascii="Garamond" w:hAnsi="Garamond"/>
          <w:sz w:val="24"/>
          <w:szCs w:val="24"/>
        </w:rPr>
        <w:footnoteReference w:id="27"/>
      </w:r>
    </w:p>
    <w:p w14:paraId="32F83189" w14:textId="3FED9EBD" w:rsidR="00A97140" w:rsidRPr="003A026D" w:rsidRDefault="00A97140" w:rsidP="00A97140">
      <w:pPr>
        <w:ind w:left="720"/>
        <w:rPr>
          <w:rFonts w:ascii="Garamond" w:hAnsi="Garamond"/>
          <w:sz w:val="24"/>
          <w:szCs w:val="24"/>
        </w:rPr>
      </w:pPr>
      <w:r w:rsidRPr="003A026D">
        <w:rPr>
          <w:rFonts w:ascii="Garamond" w:hAnsi="Garamond"/>
          <w:sz w:val="24"/>
          <w:szCs w:val="24"/>
        </w:rPr>
        <w:t xml:space="preserve">Someone looks at your pornographic picture in your wall-safe? He violates your right that your belongings not </w:t>
      </w:r>
      <w:proofErr w:type="gramStart"/>
      <w:r w:rsidRPr="003A026D">
        <w:rPr>
          <w:rFonts w:ascii="Garamond" w:hAnsi="Garamond"/>
          <w:sz w:val="24"/>
          <w:szCs w:val="24"/>
        </w:rPr>
        <w:t>be</w:t>
      </w:r>
      <w:proofErr w:type="gramEnd"/>
      <w:r w:rsidRPr="003A026D">
        <w:rPr>
          <w:rFonts w:ascii="Garamond" w:hAnsi="Garamond"/>
          <w:sz w:val="24"/>
          <w:szCs w:val="24"/>
        </w:rPr>
        <w:t xml:space="preserve"> looked at, and you have that right because you have</w:t>
      </w:r>
      <w:r>
        <w:rPr>
          <w:rFonts w:ascii="Garamond" w:hAnsi="Garamond"/>
          <w:sz w:val="24"/>
          <w:szCs w:val="24"/>
        </w:rPr>
        <w:t xml:space="preserve"> ownership rights-and it is be</w:t>
      </w:r>
      <w:r w:rsidRPr="003A026D">
        <w:rPr>
          <w:rFonts w:ascii="Garamond" w:hAnsi="Garamond"/>
          <w:sz w:val="24"/>
          <w:szCs w:val="24"/>
        </w:rPr>
        <w:t>cause you have them that what he does is wrong. Someone uses an X-ray device to look at you through the walls of your house? He violates your right not to be looked at, and you have that right because you have rights over your person analogous to the rights you have over your property-and it is because you have these rights tha</w:t>
      </w:r>
      <w:r>
        <w:rPr>
          <w:rFonts w:ascii="Garamond" w:hAnsi="Garamond"/>
          <w:sz w:val="24"/>
          <w:szCs w:val="24"/>
        </w:rPr>
        <w:t>t what he does is wrong.</w:t>
      </w:r>
      <w:r w:rsidR="00B04723">
        <w:rPr>
          <w:rStyle w:val="FootnoteReference"/>
          <w:rFonts w:ascii="Garamond" w:hAnsi="Garamond"/>
          <w:sz w:val="24"/>
          <w:szCs w:val="24"/>
        </w:rPr>
        <w:footnoteReference w:id="28"/>
      </w:r>
    </w:p>
    <w:p w14:paraId="769111E6" w14:textId="66F86F04" w:rsidR="00A97140" w:rsidRDefault="00A97140" w:rsidP="00A97140">
      <w:pPr>
        <w:spacing w:line="480" w:lineRule="auto"/>
        <w:rPr>
          <w:rFonts w:ascii="Garamond" w:hAnsi="Garamond"/>
          <w:sz w:val="24"/>
          <w:szCs w:val="24"/>
        </w:rPr>
      </w:pPr>
      <w:r w:rsidRPr="003A026D">
        <w:rPr>
          <w:rFonts w:ascii="Garamond" w:hAnsi="Garamond"/>
          <w:sz w:val="24"/>
          <w:szCs w:val="24"/>
        </w:rPr>
        <w:t xml:space="preserve">From this </w:t>
      </w:r>
      <w:r>
        <w:rPr>
          <w:rFonts w:ascii="Garamond" w:hAnsi="Garamond"/>
          <w:sz w:val="24"/>
          <w:szCs w:val="24"/>
        </w:rPr>
        <w:t>Thomson</w:t>
      </w:r>
      <w:r w:rsidRPr="003A026D">
        <w:rPr>
          <w:rFonts w:ascii="Garamond" w:hAnsi="Garamond"/>
          <w:sz w:val="24"/>
          <w:szCs w:val="24"/>
        </w:rPr>
        <w:t xml:space="preserve"> concludes that the right to privacy is "derivative," and therefore there is no need to </w:t>
      </w:r>
      <w:r>
        <w:rPr>
          <w:rFonts w:ascii="Garamond" w:hAnsi="Garamond"/>
          <w:sz w:val="24"/>
          <w:szCs w:val="24"/>
        </w:rPr>
        <w:t>s</w:t>
      </w:r>
      <w:r w:rsidRPr="003A026D">
        <w:rPr>
          <w:rFonts w:ascii="Garamond" w:hAnsi="Garamond"/>
          <w:sz w:val="24"/>
          <w:szCs w:val="24"/>
        </w:rPr>
        <w:t>ettl</w:t>
      </w:r>
      <w:r>
        <w:rPr>
          <w:rFonts w:ascii="Garamond" w:hAnsi="Garamond"/>
          <w:sz w:val="24"/>
          <w:szCs w:val="24"/>
        </w:rPr>
        <w:t>e disputes about its boundaries</w:t>
      </w:r>
      <w:r w:rsidRPr="003A026D">
        <w:rPr>
          <w:rFonts w:ascii="Garamond" w:hAnsi="Garamond"/>
          <w:sz w:val="24"/>
          <w:szCs w:val="24"/>
        </w:rPr>
        <w:t>.</w:t>
      </w:r>
      <w:r w:rsidR="00B04723">
        <w:rPr>
          <w:rStyle w:val="FootnoteReference"/>
          <w:rFonts w:ascii="Garamond" w:hAnsi="Garamond"/>
          <w:sz w:val="24"/>
          <w:szCs w:val="24"/>
        </w:rPr>
        <w:footnoteReference w:id="29"/>
      </w:r>
      <w:r w:rsidRPr="003A026D">
        <w:rPr>
          <w:rFonts w:ascii="Garamond" w:hAnsi="Garamond"/>
          <w:sz w:val="24"/>
          <w:szCs w:val="24"/>
        </w:rPr>
        <w:t xml:space="preserve"> In other words, </w:t>
      </w:r>
      <w:r>
        <w:rPr>
          <w:rFonts w:ascii="Garamond" w:hAnsi="Garamond"/>
          <w:sz w:val="24"/>
          <w:szCs w:val="24"/>
        </w:rPr>
        <w:t xml:space="preserve">it is not surprising that many do </w:t>
      </w:r>
      <w:r w:rsidRPr="003A026D">
        <w:rPr>
          <w:rFonts w:ascii="Garamond" w:hAnsi="Garamond"/>
          <w:sz w:val="24"/>
          <w:szCs w:val="24"/>
        </w:rPr>
        <w:t xml:space="preserve">not have a very clear idea about what the right </w:t>
      </w:r>
      <w:r>
        <w:rPr>
          <w:rFonts w:ascii="Garamond" w:hAnsi="Garamond"/>
          <w:sz w:val="24"/>
          <w:szCs w:val="24"/>
        </w:rPr>
        <w:t>to privacy is, and how it should be protected. She would have us focus on the adequacy of other protected rights, such as the right to property, securit</w:t>
      </w:r>
      <w:r w:rsidR="002F5C4D">
        <w:rPr>
          <w:rFonts w:ascii="Garamond" w:hAnsi="Garamond"/>
          <w:sz w:val="24"/>
          <w:szCs w:val="24"/>
        </w:rPr>
        <w:t>y, or the rights of the person</w:t>
      </w:r>
      <w:r w:rsidR="00582F0C">
        <w:rPr>
          <w:rFonts w:ascii="Garamond" w:hAnsi="Garamond"/>
          <w:sz w:val="24"/>
          <w:szCs w:val="24"/>
        </w:rPr>
        <w:t>.</w:t>
      </w:r>
    </w:p>
    <w:p w14:paraId="75DA7659" w14:textId="7B69B089" w:rsidR="00A97140" w:rsidRPr="003C37E9" w:rsidRDefault="00A97140" w:rsidP="00D572BF">
      <w:pPr>
        <w:spacing w:line="480" w:lineRule="auto"/>
        <w:rPr>
          <w:rFonts w:ascii="Garamond" w:hAnsi="Garamond"/>
          <w:sz w:val="24"/>
          <w:szCs w:val="24"/>
        </w:rPr>
      </w:pPr>
      <w:r>
        <w:rPr>
          <w:rFonts w:ascii="Garamond" w:hAnsi="Garamond"/>
          <w:sz w:val="24"/>
          <w:szCs w:val="24"/>
        </w:rPr>
        <w:tab/>
        <w:t>In respond to Thomson</w:t>
      </w:r>
      <w:r w:rsidR="00BE7653">
        <w:rPr>
          <w:rFonts w:ascii="Garamond" w:hAnsi="Garamond"/>
          <w:sz w:val="24"/>
          <w:szCs w:val="24"/>
        </w:rPr>
        <w:t xml:space="preserve">, James </w:t>
      </w:r>
      <w:proofErr w:type="spellStart"/>
      <w:r w:rsidR="00BE7653">
        <w:rPr>
          <w:rFonts w:ascii="Garamond" w:hAnsi="Garamond"/>
          <w:sz w:val="24"/>
          <w:szCs w:val="24"/>
        </w:rPr>
        <w:t>Rachels</w:t>
      </w:r>
      <w:proofErr w:type="spellEnd"/>
      <w:r w:rsidR="00BE7653">
        <w:rPr>
          <w:rFonts w:ascii="Garamond" w:hAnsi="Garamond"/>
          <w:sz w:val="24"/>
          <w:szCs w:val="24"/>
        </w:rPr>
        <w:t xml:space="preserve"> </w:t>
      </w:r>
      <w:r>
        <w:rPr>
          <w:rFonts w:ascii="Garamond" w:hAnsi="Garamond"/>
          <w:sz w:val="24"/>
          <w:szCs w:val="24"/>
        </w:rPr>
        <w:t>directly confront</w:t>
      </w:r>
      <w:r w:rsidR="00BE7653">
        <w:rPr>
          <w:rFonts w:ascii="Garamond" w:hAnsi="Garamond"/>
          <w:sz w:val="24"/>
          <w:szCs w:val="24"/>
        </w:rPr>
        <w:t>s</w:t>
      </w:r>
      <w:r>
        <w:rPr>
          <w:rFonts w:ascii="Garamond" w:hAnsi="Garamond"/>
          <w:sz w:val="24"/>
          <w:szCs w:val="24"/>
        </w:rPr>
        <w:t xml:space="preserve"> the question, </w:t>
      </w:r>
      <w:r w:rsidRPr="003C37E9">
        <w:rPr>
          <w:rFonts w:ascii="Garamond" w:hAnsi="Garamond"/>
          <w:sz w:val="24"/>
          <w:szCs w:val="24"/>
        </w:rPr>
        <w:t>"Why, exactly, is privacy impo</w:t>
      </w:r>
      <w:r>
        <w:rPr>
          <w:rFonts w:ascii="Garamond" w:hAnsi="Garamond"/>
          <w:sz w:val="24"/>
          <w:szCs w:val="24"/>
        </w:rPr>
        <w:t>rtant to us</w:t>
      </w:r>
      <w:r w:rsidR="00B04723">
        <w:rPr>
          <w:rFonts w:ascii="Garamond" w:hAnsi="Garamond"/>
          <w:sz w:val="24"/>
          <w:szCs w:val="24"/>
        </w:rPr>
        <w:t>?"</w:t>
      </w:r>
      <w:r w:rsidR="00B04723">
        <w:rPr>
          <w:rStyle w:val="FootnoteReference"/>
          <w:rFonts w:ascii="Garamond" w:hAnsi="Garamond"/>
          <w:sz w:val="24"/>
          <w:szCs w:val="24"/>
        </w:rPr>
        <w:footnoteReference w:id="30"/>
      </w:r>
      <w:r w:rsidR="00DD199E">
        <w:rPr>
          <w:rFonts w:ascii="Garamond" w:hAnsi="Garamond"/>
          <w:sz w:val="24"/>
          <w:szCs w:val="24"/>
        </w:rPr>
        <w:t xml:space="preserve"> </w:t>
      </w:r>
      <w:r w:rsidR="00BE7653">
        <w:rPr>
          <w:rFonts w:ascii="Garamond" w:hAnsi="Garamond"/>
          <w:sz w:val="24"/>
          <w:szCs w:val="24"/>
        </w:rPr>
        <w:t>He suggests that p</w:t>
      </w:r>
      <w:r w:rsidR="00BE7653" w:rsidRPr="00A93DB0">
        <w:rPr>
          <w:rFonts w:ascii="Garamond" w:hAnsi="Garamond"/>
          <w:sz w:val="24"/>
          <w:szCs w:val="24"/>
        </w:rPr>
        <w:t>rivacy accords us the ability to control who knows what about us and who has access to us, and thereby allows us to vary our behavior with different people so that we may maintain and control o</w:t>
      </w:r>
      <w:r w:rsidR="00D572BF">
        <w:rPr>
          <w:rFonts w:ascii="Garamond" w:hAnsi="Garamond"/>
          <w:sz w:val="24"/>
          <w:szCs w:val="24"/>
        </w:rPr>
        <w:t>ur various social relationships. D</w:t>
      </w:r>
      <w:r w:rsidRPr="003C37E9">
        <w:rPr>
          <w:rFonts w:ascii="Garamond" w:hAnsi="Garamond"/>
          <w:sz w:val="24"/>
          <w:szCs w:val="24"/>
        </w:rPr>
        <w:t xml:space="preserve">ifferent </w:t>
      </w:r>
      <w:r>
        <w:rPr>
          <w:rFonts w:ascii="Garamond" w:hAnsi="Garamond"/>
          <w:sz w:val="24"/>
          <w:szCs w:val="24"/>
        </w:rPr>
        <w:t xml:space="preserve">human relationships are marked </w:t>
      </w:r>
      <w:r w:rsidRPr="003C37E9">
        <w:rPr>
          <w:rFonts w:ascii="Garamond" w:hAnsi="Garamond"/>
          <w:sz w:val="24"/>
          <w:szCs w:val="24"/>
        </w:rPr>
        <w:t>by different degrees of sharing personal information. One shares more of himself with a friend than with an employer, more with a life-long friend than with a casual friend, more with a lover than an acquaintance. He writes that "however one conceives one's relations with other people, there is inseparable from that conception an idea of how it is appropriate to behave with and around them, and what information about oneself it is appropriate for them to ha</w:t>
      </w:r>
      <w:r w:rsidR="00B04723">
        <w:rPr>
          <w:rFonts w:ascii="Garamond" w:hAnsi="Garamond"/>
          <w:sz w:val="24"/>
          <w:szCs w:val="24"/>
        </w:rPr>
        <w:t>ve</w:t>
      </w:r>
      <w:r w:rsidRPr="003C37E9">
        <w:rPr>
          <w:rFonts w:ascii="Garamond" w:hAnsi="Garamond"/>
          <w:sz w:val="24"/>
          <w:szCs w:val="24"/>
        </w:rPr>
        <w:t>.</w:t>
      </w:r>
      <w:r w:rsidR="00B04723">
        <w:rPr>
          <w:rFonts w:ascii="Garamond" w:hAnsi="Garamond"/>
          <w:sz w:val="24"/>
          <w:szCs w:val="24"/>
        </w:rPr>
        <w:t>”</w:t>
      </w:r>
      <w:r w:rsidR="00B04723">
        <w:rPr>
          <w:rStyle w:val="FootnoteReference"/>
          <w:rFonts w:ascii="Garamond" w:hAnsi="Garamond"/>
          <w:sz w:val="24"/>
          <w:szCs w:val="24"/>
        </w:rPr>
        <w:footnoteReference w:id="31"/>
      </w:r>
      <w:r w:rsidRPr="003C37E9">
        <w:rPr>
          <w:rFonts w:ascii="Garamond" w:hAnsi="Garamond"/>
          <w:sz w:val="24"/>
          <w:szCs w:val="24"/>
        </w:rPr>
        <w:t xml:space="preserve"> It is "an important part of what it means to have a friend that we welcome his company, that we confide in him, that we tell him things about ourselves, and that we show him sides of our personalities which we would not tell or show to j</w:t>
      </w:r>
      <w:r w:rsidR="00B04723">
        <w:rPr>
          <w:rFonts w:ascii="Garamond" w:hAnsi="Garamond"/>
          <w:sz w:val="24"/>
          <w:szCs w:val="24"/>
        </w:rPr>
        <w:t>ust anyone</w:t>
      </w:r>
      <w:r w:rsidRPr="003C37E9">
        <w:rPr>
          <w:rFonts w:ascii="Garamond" w:hAnsi="Garamond"/>
          <w:sz w:val="24"/>
          <w:szCs w:val="24"/>
        </w:rPr>
        <w:t>.</w:t>
      </w:r>
      <w:r w:rsidR="00B04723">
        <w:rPr>
          <w:rFonts w:ascii="Garamond" w:hAnsi="Garamond"/>
          <w:sz w:val="24"/>
          <w:szCs w:val="24"/>
        </w:rPr>
        <w:t>”</w:t>
      </w:r>
      <w:r w:rsidR="00B04723">
        <w:rPr>
          <w:rStyle w:val="FootnoteReference"/>
          <w:rFonts w:ascii="Garamond" w:hAnsi="Garamond"/>
          <w:sz w:val="24"/>
          <w:szCs w:val="24"/>
        </w:rPr>
        <w:footnoteReference w:id="32"/>
      </w:r>
      <w:r w:rsidRPr="003C37E9">
        <w:rPr>
          <w:rFonts w:ascii="Garamond" w:hAnsi="Garamond"/>
          <w:sz w:val="24"/>
          <w:szCs w:val="24"/>
        </w:rPr>
        <w:t xml:space="preserve"> And the</w:t>
      </w:r>
      <w:r>
        <w:rPr>
          <w:rFonts w:ascii="Garamond" w:hAnsi="Garamond"/>
          <w:sz w:val="24"/>
          <w:szCs w:val="24"/>
        </w:rPr>
        <w:t xml:space="preserve">refore, </w:t>
      </w:r>
      <w:proofErr w:type="spellStart"/>
      <w:r>
        <w:rPr>
          <w:rFonts w:ascii="Garamond" w:hAnsi="Garamond"/>
          <w:sz w:val="24"/>
          <w:szCs w:val="24"/>
        </w:rPr>
        <w:t>Rachels</w:t>
      </w:r>
      <w:proofErr w:type="spellEnd"/>
      <w:r>
        <w:rPr>
          <w:rFonts w:ascii="Garamond" w:hAnsi="Garamond"/>
          <w:sz w:val="24"/>
          <w:szCs w:val="24"/>
        </w:rPr>
        <w:t xml:space="preserve"> concludes, "be</w:t>
      </w:r>
      <w:r w:rsidRPr="003C37E9">
        <w:rPr>
          <w:rFonts w:ascii="Garamond" w:hAnsi="Garamond"/>
          <w:sz w:val="24"/>
          <w:szCs w:val="24"/>
        </w:rPr>
        <w:t>cause our ability to control who has access to us, and who knows what about us, allows us to maintain the variety of relationships with other people that we want to have, it is, I think, one of the most important</w:t>
      </w:r>
      <w:r w:rsidR="00B04723">
        <w:rPr>
          <w:rFonts w:ascii="Garamond" w:hAnsi="Garamond"/>
          <w:sz w:val="24"/>
          <w:szCs w:val="24"/>
        </w:rPr>
        <w:t xml:space="preserve"> reasons why we value privacy."</w:t>
      </w:r>
      <w:r w:rsidR="00B04723">
        <w:rPr>
          <w:rStyle w:val="FootnoteReference"/>
          <w:rFonts w:ascii="Garamond" w:hAnsi="Garamond"/>
          <w:sz w:val="24"/>
          <w:szCs w:val="24"/>
        </w:rPr>
        <w:footnoteReference w:id="33"/>
      </w:r>
    </w:p>
    <w:p w14:paraId="58FB3283" w14:textId="206F52DC" w:rsidR="00A97140" w:rsidRPr="003C37E9" w:rsidRDefault="00A97140" w:rsidP="00DD199E">
      <w:pPr>
        <w:spacing w:line="480" w:lineRule="auto"/>
        <w:rPr>
          <w:rFonts w:ascii="Garamond" w:hAnsi="Garamond"/>
          <w:sz w:val="24"/>
          <w:szCs w:val="24"/>
        </w:rPr>
      </w:pPr>
      <w:r>
        <w:rPr>
          <w:rFonts w:ascii="Garamond" w:hAnsi="Garamond"/>
          <w:sz w:val="24"/>
          <w:szCs w:val="24"/>
        </w:rPr>
        <w:tab/>
      </w:r>
      <w:r w:rsidR="00020DB7">
        <w:rPr>
          <w:rFonts w:ascii="Garamond" w:hAnsi="Garamond"/>
          <w:sz w:val="24"/>
          <w:szCs w:val="24"/>
        </w:rPr>
        <w:t>This</w:t>
      </w:r>
      <w:r w:rsidRPr="003C37E9">
        <w:rPr>
          <w:rFonts w:ascii="Garamond" w:hAnsi="Garamond"/>
          <w:sz w:val="24"/>
          <w:szCs w:val="24"/>
        </w:rPr>
        <w:t xml:space="preserve"> view is similar to that put forth by Charles Fried in </w:t>
      </w:r>
      <w:r w:rsidRPr="00A0375E">
        <w:rPr>
          <w:rFonts w:ascii="Garamond" w:hAnsi="Garamond"/>
          <w:i/>
          <w:sz w:val="24"/>
          <w:szCs w:val="24"/>
        </w:rPr>
        <w:t>An Anatomy of Values</w:t>
      </w:r>
      <w:r w:rsidRPr="003C37E9">
        <w:rPr>
          <w:rFonts w:ascii="Garamond" w:hAnsi="Garamond"/>
          <w:sz w:val="24"/>
          <w:szCs w:val="24"/>
        </w:rPr>
        <w:t xml:space="preserve">. </w:t>
      </w:r>
      <w:r w:rsidR="00020DB7">
        <w:rPr>
          <w:rFonts w:ascii="Garamond" w:hAnsi="Garamond"/>
          <w:sz w:val="24"/>
          <w:szCs w:val="24"/>
        </w:rPr>
        <w:t xml:space="preserve">Fried </w:t>
      </w:r>
      <w:r w:rsidR="00020DB7" w:rsidRPr="008D7F8A">
        <w:rPr>
          <w:rFonts w:ascii="Garamond" w:hAnsi="Garamond"/>
          <w:sz w:val="24"/>
          <w:szCs w:val="24"/>
        </w:rPr>
        <w:t>argu</w:t>
      </w:r>
      <w:r w:rsidR="00020DB7">
        <w:rPr>
          <w:rFonts w:ascii="Garamond" w:hAnsi="Garamond"/>
          <w:sz w:val="24"/>
          <w:szCs w:val="24"/>
        </w:rPr>
        <w:t>es</w:t>
      </w:r>
      <w:r w:rsidR="00020DB7" w:rsidRPr="008D7F8A">
        <w:rPr>
          <w:rFonts w:ascii="Garamond" w:hAnsi="Garamond"/>
          <w:sz w:val="24"/>
          <w:szCs w:val="24"/>
        </w:rPr>
        <w:t xml:space="preserve"> that privacy has intrinsic value, and is necessarily related to and fundamental for one's development as an individual with a moral and social personality able to form intimate relationships involving respect, love, friendship and trust. Privacy is valuable because it allows one control over information about oneself, which allows one to maintain varying degrees of intimacy. Indeed, love, friendship and trust are only possible if persons enjoy privacy and accord it to each other. By characterizing privacy as a necessary context for love, friendship and trust, Fried is basing his account on a moral conception of persons and their personalities, on a Kantian notion of the person with basic rights and the need to define and pursue one's own values free from the impingement of others. Privacy allows one the freedom to define one's relations with others and to define oneself. In this way, privacy is also closely connected with respect and self-respect.</w:t>
      </w:r>
      <w:r w:rsidR="00BE7653">
        <w:rPr>
          <w:rFonts w:ascii="Garamond" w:hAnsi="Garamond"/>
          <w:sz w:val="24"/>
          <w:szCs w:val="24"/>
        </w:rPr>
        <w:t xml:space="preserve"> </w:t>
      </w:r>
      <w:r w:rsidRPr="003C37E9">
        <w:rPr>
          <w:rFonts w:ascii="Garamond" w:hAnsi="Garamond"/>
          <w:sz w:val="24"/>
          <w:szCs w:val="24"/>
        </w:rPr>
        <w:t>Fried</w:t>
      </w:r>
      <w:r>
        <w:rPr>
          <w:rFonts w:ascii="Garamond" w:hAnsi="Garamond"/>
          <w:sz w:val="24"/>
          <w:szCs w:val="24"/>
        </w:rPr>
        <w:t xml:space="preserve"> </w:t>
      </w:r>
      <w:r w:rsidRPr="003C37E9">
        <w:rPr>
          <w:rFonts w:ascii="Garamond" w:hAnsi="Garamond"/>
          <w:sz w:val="24"/>
          <w:szCs w:val="24"/>
        </w:rPr>
        <w:t>writes that</w:t>
      </w:r>
      <w:r>
        <w:rPr>
          <w:rFonts w:ascii="Garamond" w:hAnsi="Garamond"/>
          <w:sz w:val="24"/>
          <w:szCs w:val="24"/>
        </w:rPr>
        <w:t>,</w:t>
      </w:r>
      <w:r w:rsidRPr="003C37E9">
        <w:rPr>
          <w:rFonts w:ascii="Garamond" w:hAnsi="Garamond"/>
          <w:sz w:val="24"/>
          <w:szCs w:val="24"/>
        </w:rPr>
        <w:t xml:space="preserve"> </w:t>
      </w:r>
    </w:p>
    <w:p w14:paraId="37CDA0EF" w14:textId="77777777" w:rsidR="00A97140" w:rsidRPr="003C37E9" w:rsidRDefault="00A97140" w:rsidP="00A97140">
      <w:pPr>
        <w:ind w:left="720"/>
        <w:rPr>
          <w:rFonts w:ascii="Garamond" w:hAnsi="Garamond"/>
          <w:sz w:val="24"/>
          <w:szCs w:val="24"/>
        </w:rPr>
      </w:pPr>
      <w:proofErr w:type="gramStart"/>
      <w:r w:rsidRPr="003C37E9">
        <w:rPr>
          <w:rFonts w:ascii="Garamond" w:hAnsi="Garamond"/>
          <w:sz w:val="24"/>
          <w:szCs w:val="24"/>
        </w:rPr>
        <w:t>privacy</w:t>
      </w:r>
      <w:proofErr w:type="gramEnd"/>
      <w:r w:rsidRPr="003C37E9">
        <w:rPr>
          <w:rFonts w:ascii="Garamond" w:hAnsi="Garamond"/>
          <w:sz w:val="24"/>
          <w:szCs w:val="24"/>
        </w:rPr>
        <w:t xml:space="preserve"> is the necessary context for relationships which we would hardly be human if we had to do without-the relationships of love, friendship, and trust. </w:t>
      </w:r>
    </w:p>
    <w:p w14:paraId="66A3C664" w14:textId="3C7EF7BF" w:rsidR="00A97140" w:rsidRPr="003C37E9" w:rsidRDefault="00A97140" w:rsidP="00DD199E">
      <w:pPr>
        <w:spacing w:line="480" w:lineRule="auto"/>
        <w:rPr>
          <w:rFonts w:ascii="Garamond" w:hAnsi="Garamond"/>
          <w:sz w:val="24"/>
          <w:szCs w:val="24"/>
        </w:rPr>
      </w:pPr>
      <w:r w:rsidRPr="003C37E9">
        <w:rPr>
          <w:rFonts w:ascii="Garamond" w:hAnsi="Garamond"/>
          <w:sz w:val="24"/>
          <w:szCs w:val="24"/>
        </w:rPr>
        <w:t>Love and friendship . . . involve the voluntary and spontaneous relinquishment of something between friend and friend, lover and lover. The title to information about oneself conferred by privacy provides the necessary something. To be friends or lovers persons must be intimate to some degree with each other. Intimacy is the sharing of information about one's actions, beliefs or emotions, which one does not share with all, and which one has the right not to share with anyone. By conferring this right, privacy creates the moral capital, which we spend in friendship and love.</w:t>
      </w:r>
      <w:r w:rsidR="00BE7653">
        <w:rPr>
          <w:rStyle w:val="FootnoteReference"/>
          <w:rFonts w:ascii="Garamond" w:hAnsi="Garamond"/>
          <w:sz w:val="24"/>
          <w:szCs w:val="24"/>
        </w:rPr>
        <w:footnoteReference w:id="34"/>
      </w:r>
      <w:r w:rsidRPr="003C37E9">
        <w:rPr>
          <w:rFonts w:ascii="Garamond" w:hAnsi="Garamond"/>
          <w:sz w:val="24"/>
          <w:szCs w:val="24"/>
        </w:rPr>
        <w:t xml:space="preserve"> </w:t>
      </w:r>
    </w:p>
    <w:p w14:paraId="13D5255E" w14:textId="12EC9AEA" w:rsidR="00A97140" w:rsidRPr="00826685" w:rsidRDefault="00A97140" w:rsidP="00DD199E">
      <w:pPr>
        <w:spacing w:line="480" w:lineRule="auto"/>
        <w:ind w:firstLine="720"/>
        <w:rPr>
          <w:rFonts w:ascii="Garamond" w:hAnsi="Garamond"/>
          <w:sz w:val="24"/>
          <w:szCs w:val="24"/>
        </w:rPr>
      </w:pPr>
      <w:r>
        <w:rPr>
          <w:rFonts w:ascii="Garamond" w:hAnsi="Garamond"/>
          <w:sz w:val="24"/>
          <w:szCs w:val="24"/>
        </w:rPr>
        <w:t xml:space="preserve">Jeffery </w:t>
      </w:r>
      <w:proofErr w:type="spellStart"/>
      <w:r>
        <w:rPr>
          <w:rFonts w:ascii="Garamond" w:hAnsi="Garamond"/>
          <w:sz w:val="24"/>
          <w:szCs w:val="24"/>
        </w:rPr>
        <w:t>Reiman</w:t>
      </w:r>
      <w:proofErr w:type="spellEnd"/>
      <w:r>
        <w:rPr>
          <w:rFonts w:ascii="Garamond" w:hAnsi="Garamond"/>
          <w:sz w:val="24"/>
          <w:szCs w:val="24"/>
        </w:rPr>
        <w:t xml:space="preserve"> doesn’t think rights are derivative, but he thinks </w:t>
      </w:r>
      <w:proofErr w:type="spellStart"/>
      <w:r>
        <w:rPr>
          <w:rFonts w:ascii="Garamond" w:hAnsi="Garamond"/>
          <w:sz w:val="24"/>
          <w:szCs w:val="24"/>
        </w:rPr>
        <w:t>Rachels</w:t>
      </w:r>
      <w:proofErr w:type="spellEnd"/>
      <w:r>
        <w:rPr>
          <w:rFonts w:ascii="Garamond" w:hAnsi="Garamond"/>
          <w:sz w:val="24"/>
          <w:szCs w:val="24"/>
        </w:rPr>
        <w:t xml:space="preserve"> and Fried fail to appreciate the extent to which </w:t>
      </w:r>
      <w:r w:rsidRPr="003122D1">
        <w:rPr>
          <w:rFonts w:ascii="Garamond" w:hAnsi="Garamond"/>
          <w:sz w:val="24"/>
          <w:szCs w:val="24"/>
        </w:rPr>
        <w:t>the context of caring makes the sharing of personal information significant. Necessary to an intimate relationship is a reciprocal desire to share present and future intense and important experiences together, not merely to swap information</w:t>
      </w:r>
      <w:r>
        <w:rPr>
          <w:rFonts w:ascii="Garamond" w:hAnsi="Garamond"/>
          <w:sz w:val="24"/>
          <w:szCs w:val="24"/>
        </w:rPr>
        <w:t>.</w:t>
      </w:r>
      <w:r w:rsidR="00704E5C">
        <w:rPr>
          <w:rStyle w:val="FootnoteReference"/>
          <w:rFonts w:ascii="Garamond" w:hAnsi="Garamond"/>
          <w:sz w:val="24"/>
          <w:szCs w:val="24"/>
        </w:rPr>
        <w:footnoteReference w:id="35"/>
      </w:r>
      <w:r>
        <w:rPr>
          <w:rFonts w:ascii="Garamond" w:hAnsi="Garamond"/>
          <w:sz w:val="24"/>
          <w:szCs w:val="24"/>
        </w:rPr>
        <w:t xml:space="preserve"> </w:t>
      </w:r>
      <w:r w:rsidRPr="00826685">
        <w:rPr>
          <w:rFonts w:ascii="Garamond" w:hAnsi="Garamond"/>
          <w:sz w:val="24"/>
          <w:szCs w:val="24"/>
        </w:rPr>
        <w:t>In the context of a reciprocal desire to share present and future intense and important experiences, the</w:t>
      </w:r>
      <w:r>
        <w:rPr>
          <w:rFonts w:ascii="Garamond" w:hAnsi="Garamond"/>
          <w:sz w:val="24"/>
          <w:szCs w:val="24"/>
        </w:rPr>
        <w:t xml:space="preserve"> revealing of personal informa</w:t>
      </w:r>
      <w:r w:rsidRPr="00826685">
        <w:rPr>
          <w:rFonts w:ascii="Garamond" w:hAnsi="Garamond"/>
          <w:sz w:val="24"/>
          <w:szCs w:val="24"/>
        </w:rPr>
        <w:t>tion takes on significance. The more one knows about the other, the more one is able to understand how the other experiences things, what they mean to him, how they feel to him. In other words the more each knows about the other, the more they are able to really share an intense experience instead of merely having an intense experience alongside one another. The revealing of personal information then is not what constitutes or powers the intimacy. Rather it deepens and fills out, invites and nurtures, the caring that powers the intimacy.</w:t>
      </w:r>
      <w:r w:rsidR="00704E5C">
        <w:rPr>
          <w:rStyle w:val="FootnoteReference"/>
          <w:rFonts w:ascii="Garamond" w:hAnsi="Garamond"/>
          <w:sz w:val="24"/>
          <w:szCs w:val="24"/>
        </w:rPr>
        <w:footnoteReference w:id="36"/>
      </w:r>
    </w:p>
    <w:p w14:paraId="73073574" w14:textId="2AC28A78" w:rsidR="00A97140" w:rsidRPr="00826685" w:rsidRDefault="00CB1107" w:rsidP="00DD199E">
      <w:pPr>
        <w:spacing w:line="480" w:lineRule="auto"/>
        <w:ind w:firstLine="720"/>
        <w:rPr>
          <w:rFonts w:ascii="Garamond" w:hAnsi="Garamond"/>
          <w:sz w:val="24"/>
          <w:szCs w:val="24"/>
        </w:rPr>
      </w:pPr>
      <w:r>
        <w:rPr>
          <w:rFonts w:ascii="Garamond" w:hAnsi="Garamond"/>
          <w:sz w:val="24"/>
          <w:szCs w:val="24"/>
        </w:rPr>
        <w:t xml:space="preserve">On the </w:t>
      </w:r>
      <w:proofErr w:type="spellStart"/>
      <w:r>
        <w:rPr>
          <w:rFonts w:ascii="Garamond" w:hAnsi="Garamond"/>
          <w:sz w:val="24"/>
          <w:szCs w:val="24"/>
        </w:rPr>
        <w:t>Rachels</w:t>
      </w:r>
      <w:proofErr w:type="spellEnd"/>
      <w:r>
        <w:rPr>
          <w:rFonts w:ascii="Garamond" w:hAnsi="Garamond"/>
          <w:sz w:val="24"/>
          <w:szCs w:val="24"/>
        </w:rPr>
        <w:t xml:space="preserve"> and </w:t>
      </w:r>
      <w:r w:rsidR="00A97140" w:rsidRPr="00826685">
        <w:rPr>
          <w:rFonts w:ascii="Garamond" w:hAnsi="Garamond"/>
          <w:sz w:val="24"/>
          <w:szCs w:val="24"/>
        </w:rPr>
        <w:t>Fried view, it follows that the significance of sexual intimacy lies in the fact that we signal the uniqueness of our love relationships by allowing our bodies to be seen and touched by the loved one in ways that are forbidden to</w:t>
      </w:r>
      <w:r w:rsidR="00A97140">
        <w:rPr>
          <w:rFonts w:ascii="Garamond" w:hAnsi="Garamond"/>
          <w:sz w:val="24"/>
          <w:szCs w:val="24"/>
        </w:rPr>
        <w:t xml:space="preserve"> others. This explains</w:t>
      </w:r>
      <w:r w:rsidR="00A97140" w:rsidRPr="00826685">
        <w:rPr>
          <w:rFonts w:ascii="Garamond" w:hAnsi="Garamond"/>
          <w:sz w:val="24"/>
          <w:szCs w:val="24"/>
        </w:rPr>
        <w:t xml:space="preserve"> the appropriateness of sexual intimacy to love: in sexual intimacy one is literally and symbolically stripped of the ordinary masks that obstruct true sharing of experience. This happens not merely in the nakedness of lovers but even more so in the giving of themselves over to the physical forces in their bodies</w:t>
      </w:r>
      <w:proofErr w:type="gramStart"/>
      <w:r w:rsidR="00A97140" w:rsidRPr="00826685">
        <w:rPr>
          <w:rFonts w:ascii="Garamond" w:hAnsi="Garamond"/>
          <w:sz w:val="24"/>
          <w:szCs w:val="24"/>
        </w:rPr>
        <w:t>..</w:t>
      </w:r>
      <w:proofErr w:type="gramEnd"/>
      <w:r w:rsidR="00A97140" w:rsidRPr="00826685">
        <w:rPr>
          <w:rFonts w:ascii="Garamond" w:hAnsi="Garamond"/>
          <w:sz w:val="24"/>
          <w:szCs w:val="24"/>
        </w:rPr>
        <w:t xml:space="preserve"> If this takes</w:t>
      </w:r>
      <w:r w:rsidR="00A97140">
        <w:rPr>
          <w:rFonts w:ascii="Garamond" w:hAnsi="Garamond"/>
          <w:sz w:val="24"/>
          <w:szCs w:val="24"/>
        </w:rPr>
        <w:t xml:space="preserve"> place in the context of caring, </w:t>
      </w:r>
      <w:r w:rsidR="00A97140" w:rsidRPr="00826685">
        <w:rPr>
          <w:rFonts w:ascii="Garamond" w:hAnsi="Garamond"/>
          <w:sz w:val="24"/>
          <w:szCs w:val="24"/>
        </w:rPr>
        <w:t>in other words if people are ma</w:t>
      </w:r>
      <w:r w:rsidR="00A97140">
        <w:rPr>
          <w:rFonts w:ascii="Garamond" w:hAnsi="Garamond"/>
          <w:sz w:val="24"/>
          <w:szCs w:val="24"/>
        </w:rPr>
        <w:t xml:space="preserve">king love and not just </w:t>
      </w:r>
      <w:r w:rsidR="00F25DA7">
        <w:rPr>
          <w:rFonts w:ascii="Garamond" w:hAnsi="Garamond"/>
          <w:sz w:val="24"/>
          <w:szCs w:val="24"/>
        </w:rPr>
        <w:t>having sex</w:t>
      </w:r>
      <w:r w:rsidR="00A97140">
        <w:rPr>
          <w:rFonts w:ascii="Garamond" w:hAnsi="Garamond"/>
          <w:sz w:val="24"/>
          <w:szCs w:val="24"/>
        </w:rPr>
        <w:t xml:space="preserve">, </w:t>
      </w:r>
      <w:r w:rsidR="00A97140" w:rsidRPr="00826685">
        <w:rPr>
          <w:rFonts w:ascii="Garamond" w:hAnsi="Garamond"/>
          <w:sz w:val="24"/>
          <w:szCs w:val="24"/>
        </w:rPr>
        <w:t>their physical intimacy is an expression and a consummation of that caring.</w:t>
      </w:r>
      <w:r w:rsidR="00F25DA7">
        <w:rPr>
          <w:rStyle w:val="FootnoteReference"/>
          <w:rFonts w:ascii="Garamond" w:hAnsi="Garamond"/>
          <w:sz w:val="24"/>
          <w:szCs w:val="24"/>
        </w:rPr>
        <w:footnoteReference w:id="37"/>
      </w:r>
      <w:r w:rsidR="00A97140" w:rsidRPr="00826685">
        <w:rPr>
          <w:rFonts w:ascii="Garamond" w:hAnsi="Garamond"/>
          <w:sz w:val="24"/>
          <w:szCs w:val="24"/>
        </w:rPr>
        <w:t xml:space="preserve"> </w:t>
      </w:r>
    </w:p>
    <w:p w14:paraId="212F2A1F" w14:textId="59336297" w:rsidR="00A97140" w:rsidRPr="008D3F90" w:rsidRDefault="00CB1107" w:rsidP="00DD199E">
      <w:pPr>
        <w:spacing w:line="480" w:lineRule="auto"/>
        <w:ind w:firstLine="720"/>
        <w:rPr>
          <w:rFonts w:ascii="Garamond" w:hAnsi="Garamond"/>
          <w:sz w:val="24"/>
          <w:szCs w:val="24"/>
        </w:rPr>
      </w:pPr>
      <w:r>
        <w:rPr>
          <w:rFonts w:ascii="Garamond" w:hAnsi="Garamond"/>
          <w:sz w:val="24"/>
          <w:szCs w:val="24"/>
        </w:rPr>
        <w:t xml:space="preserve">Also, according to the </w:t>
      </w:r>
      <w:proofErr w:type="spellStart"/>
      <w:r>
        <w:rPr>
          <w:rFonts w:ascii="Garamond" w:hAnsi="Garamond"/>
          <w:sz w:val="24"/>
          <w:szCs w:val="24"/>
        </w:rPr>
        <w:t>Rachels</w:t>
      </w:r>
      <w:proofErr w:type="spellEnd"/>
      <w:r>
        <w:rPr>
          <w:rFonts w:ascii="Garamond" w:hAnsi="Garamond"/>
          <w:sz w:val="24"/>
          <w:szCs w:val="24"/>
        </w:rPr>
        <w:t xml:space="preserve"> and </w:t>
      </w:r>
      <w:r w:rsidR="00A97140" w:rsidRPr="008D3F90">
        <w:rPr>
          <w:rFonts w:ascii="Garamond" w:hAnsi="Garamond"/>
          <w:sz w:val="24"/>
          <w:szCs w:val="24"/>
        </w:rPr>
        <w:t>Fried view, the right to privacy is not a fundamental right. It is d</w:t>
      </w:r>
      <w:r w:rsidR="00A97140">
        <w:rPr>
          <w:rFonts w:ascii="Garamond" w:hAnsi="Garamond"/>
          <w:sz w:val="24"/>
          <w:szCs w:val="24"/>
        </w:rPr>
        <w:t>erived from the fact that without this right, we</w:t>
      </w:r>
      <w:r w:rsidR="00A97140" w:rsidRPr="008D3F90">
        <w:rPr>
          <w:rFonts w:ascii="Garamond" w:hAnsi="Garamond"/>
          <w:sz w:val="24"/>
          <w:szCs w:val="24"/>
        </w:rPr>
        <w:t xml:space="preserve"> </w:t>
      </w:r>
      <w:r w:rsidR="00A97140">
        <w:rPr>
          <w:rFonts w:ascii="Garamond" w:hAnsi="Garamond"/>
          <w:sz w:val="24"/>
          <w:szCs w:val="24"/>
        </w:rPr>
        <w:t>could not meaningfully reveal our</w:t>
      </w:r>
      <w:r w:rsidR="00A97140" w:rsidRPr="008D3F90">
        <w:rPr>
          <w:rFonts w:ascii="Garamond" w:hAnsi="Garamond"/>
          <w:sz w:val="24"/>
          <w:szCs w:val="24"/>
        </w:rPr>
        <w:t xml:space="preserve"> bod</w:t>
      </w:r>
      <w:r w:rsidR="00A97140">
        <w:rPr>
          <w:rFonts w:ascii="Garamond" w:hAnsi="Garamond"/>
          <w:sz w:val="24"/>
          <w:szCs w:val="24"/>
        </w:rPr>
        <w:t>ies to</w:t>
      </w:r>
      <w:r w:rsidR="00A97140" w:rsidRPr="008D3F90">
        <w:rPr>
          <w:rFonts w:ascii="Garamond" w:hAnsi="Garamond"/>
          <w:sz w:val="24"/>
          <w:szCs w:val="24"/>
        </w:rPr>
        <w:t xml:space="preserve"> loved one</w:t>
      </w:r>
      <w:r w:rsidR="00A97140">
        <w:rPr>
          <w:rFonts w:ascii="Garamond" w:hAnsi="Garamond"/>
          <w:sz w:val="24"/>
          <w:szCs w:val="24"/>
        </w:rPr>
        <w:t>s</w:t>
      </w:r>
      <w:r w:rsidR="00A97140" w:rsidRPr="008D3F90">
        <w:rPr>
          <w:rFonts w:ascii="Garamond" w:hAnsi="Garamond"/>
          <w:sz w:val="24"/>
          <w:szCs w:val="24"/>
        </w:rPr>
        <w:t xml:space="preserve"> in that ex</w:t>
      </w:r>
      <w:r>
        <w:rPr>
          <w:rFonts w:ascii="Garamond" w:hAnsi="Garamond"/>
          <w:sz w:val="24"/>
          <w:szCs w:val="24"/>
        </w:rPr>
        <w:t>clusive way that is necessary for</w:t>
      </w:r>
      <w:r w:rsidR="00A97140" w:rsidRPr="008D3F90">
        <w:rPr>
          <w:rFonts w:ascii="Garamond" w:hAnsi="Garamond"/>
          <w:sz w:val="24"/>
          <w:szCs w:val="24"/>
        </w:rPr>
        <w:t xml:space="preserve"> intimacy</w:t>
      </w:r>
      <w:r w:rsidR="00A97140">
        <w:rPr>
          <w:rFonts w:ascii="Garamond" w:hAnsi="Garamond"/>
          <w:sz w:val="24"/>
          <w:szCs w:val="24"/>
        </w:rPr>
        <w:t xml:space="preserve">. </w:t>
      </w:r>
      <w:r w:rsidR="00A97140" w:rsidRPr="008D3F90">
        <w:rPr>
          <w:rFonts w:ascii="Garamond" w:hAnsi="Garamond"/>
          <w:sz w:val="24"/>
          <w:szCs w:val="24"/>
        </w:rPr>
        <w:t xml:space="preserve">Stanley I. Benn's theory of the foundation of privacy comes closer to </w:t>
      </w:r>
      <w:r w:rsidR="00A97140">
        <w:rPr>
          <w:rFonts w:ascii="Garamond" w:hAnsi="Garamond"/>
          <w:sz w:val="24"/>
          <w:szCs w:val="24"/>
        </w:rPr>
        <w:t>establishing a basis for a fundamental right to privacy. He</w:t>
      </w:r>
      <w:r w:rsidR="00A97140" w:rsidRPr="008D3F90">
        <w:rPr>
          <w:rFonts w:ascii="Garamond" w:hAnsi="Garamond"/>
          <w:sz w:val="24"/>
          <w:szCs w:val="24"/>
        </w:rPr>
        <w:t xml:space="preserve"> attempts to base the right to privacy on the principle of respect for persons.</w:t>
      </w:r>
      <w:r w:rsidR="00A97140">
        <w:rPr>
          <w:rFonts w:ascii="Garamond" w:hAnsi="Garamond"/>
          <w:sz w:val="24"/>
          <w:szCs w:val="24"/>
        </w:rPr>
        <w:t xml:space="preserve"> </w:t>
      </w:r>
      <w:r w:rsidR="00A97140" w:rsidRPr="008D3F90">
        <w:rPr>
          <w:rFonts w:ascii="Garamond" w:hAnsi="Garamond"/>
          <w:sz w:val="24"/>
          <w:szCs w:val="24"/>
        </w:rPr>
        <w:t>Benn's view is that the right to privacy rests on the principle of respect for persons as choosers. Covert obser</w:t>
      </w:r>
      <w:r w:rsidR="00A97140">
        <w:rPr>
          <w:rFonts w:ascii="Garamond" w:hAnsi="Garamond"/>
          <w:sz w:val="24"/>
          <w:szCs w:val="24"/>
        </w:rPr>
        <w:t>vation or unwanted overt obser</w:t>
      </w:r>
      <w:r w:rsidR="00A97140" w:rsidRPr="008D3F90">
        <w:rPr>
          <w:rFonts w:ascii="Garamond" w:hAnsi="Garamond"/>
          <w:sz w:val="24"/>
          <w:szCs w:val="24"/>
        </w:rPr>
        <w:t>vation deny this respect because they transform the actual conditions in which the person chooses and acts, and thus make it impossible for him to act in the way he set out to act, or to choose in the way he thinks he is choosing.</w:t>
      </w:r>
      <w:r w:rsidR="00A97140">
        <w:rPr>
          <w:rFonts w:ascii="Garamond" w:hAnsi="Garamond"/>
          <w:sz w:val="24"/>
          <w:szCs w:val="24"/>
        </w:rPr>
        <w:t xml:space="preserve"> </w:t>
      </w:r>
      <w:r w:rsidR="00A97140" w:rsidRPr="008D3F90">
        <w:rPr>
          <w:rFonts w:ascii="Garamond" w:hAnsi="Garamond"/>
          <w:sz w:val="24"/>
          <w:szCs w:val="24"/>
        </w:rPr>
        <w:t xml:space="preserve">Benn goes on to say that what is rightly covered by this immunity are one's body and those things, like possessions, which the conventions of a culture may cause one to think of as part of one's identity. </w:t>
      </w:r>
    </w:p>
    <w:p w14:paraId="296FA2AE" w14:textId="52A62CA3" w:rsidR="00A97140" w:rsidRDefault="00A97140" w:rsidP="00124387">
      <w:pPr>
        <w:spacing w:line="480" w:lineRule="auto"/>
        <w:ind w:firstLine="720"/>
        <w:rPr>
          <w:rFonts w:ascii="Garamond" w:hAnsi="Garamond"/>
          <w:sz w:val="24"/>
          <w:szCs w:val="24"/>
        </w:rPr>
      </w:pPr>
      <w:proofErr w:type="spellStart"/>
      <w:r>
        <w:rPr>
          <w:rFonts w:ascii="Garamond" w:hAnsi="Garamond"/>
          <w:sz w:val="24"/>
          <w:szCs w:val="24"/>
        </w:rPr>
        <w:t>Reiman</w:t>
      </w:r>
      <w:proofErr w:type="spellEnd"/>
      <w:r>
        <w:rPr>
          <w:rFonts w:ascii="Garamond" w:hAnsi="Garamond"/>
          <w:sz w:val="24"/>
          <w:szCs w:val="24"/>
        </w:rPr>
        <w:t xml:space="preserve"> suggests that pr</w:t>
      </w:r>
      <w:r w:rsidRPr="008D3F90">
        <w:rPr>
          <w:rFonts w:ascii="Garamond" w:hAnsi="Garamond"/>
          <w:sz w:val="24"/>
          <w:szCs w:val="24"/>
        </w:rPr>
        <w:t>ivacy is a social ritual by means of which an individual's moral title to his existence is conferred. Privacy is an essential part of the complex social practice by means o</w:t>
      </w:r>
      <w:r>
        <w:rPr>
          <w:rFonts w:ascii="Garamond" w:hAnsi="Garamond"/>
          <w:sz w:val="24"/>
          <w:szCs w:val="24"/>
        </w:rPr>
        <w:t>f which the social group recog</w:t>
      </w:r>
      <w:r w:rsidRPr="008D3F90">
        <w:rPr>
          <w:rFonts w:ascii="Garamond" w:hAnsi="Garamond"/>
          <w:sz w:val="24"/>
          <w:szCs w:val="24"/>
        </w:rPr>
        <w:t>n</w:t>
      </w:r>
      <w:r w:rsidR="005953A9">
        <w:rPr>
          <w:rFonts w:ascii="Garamond" w:hAnsi="Garamond"/>
          <w:sz w:val="24"/>
          <w:szCs w:val="24"/>
        </w:rPr>
        <w:t xml:space="preserve">izes </w:t>
      </w:r>
      <w:r w:rsidRPr="008D3F90">
        <w:rPr>
          <w:rFonts w:ascii="Garamond" w:hAnsi="Garamond"/>
          <w:sz w:val="24"/>
          <w:szCs w:val="24"/>
        </w:rPr>
        <w:t>and</w:t>
      </w:r>
      <w:r w:rsidR="005953A9">
        <w:rPr>
          <w:rFonts w:ascii="Garamond" w:hAnsi="Garamond"/>
          <w:sz w:val="24"/>
          <w:szCs w:val="24"/>
        </w:rPr>
        <w:t xml:space="preserve"> communicates to the individual </w:t>
      </w:r>
      <w:r w:rsidRPr="008D3F90">
        <w:rPr>
          <w:rFonts w:ascii="Garamond" w:hAnsi="Garamond"/>
          <w:sz w:val="24"/>
          <w:szCs w:val="24"/>
        </w:rPr>
        <w:t xml:space="preserve">that his existence is his own. And this is a precondition of personhood. To be a person, an individual must recognize not just his actual capacity to shape his destiny by his choices. He must also recognize that he has an exclusive moral right to shape his destiny. And this in turn presupposes that he believes that the concrete </w:t>
      </w:r>
      <w:proofErr w:type="gramStart"/>
      <w:r w:rsidRPr="008D3F90">
        <w:rPr>
          <w:rFonts w:ascii="Garamond" w:hAnsi="Garamond"/>
          <w:sz w:val="24"/>
          <w:szCs w:val="24"/>
        </w:rPr>
        <w:t>reality which</w:t>
      </w:r>
      <w:proofErr w:type="gramEnd"/>
      <w:r w:rsidRPr="008D3F90">
        <w:rPr>
          <w:rFonts w:ascii="Garamond" w:hAnsi="Garamond"/>
          <w:sz w:val="24"/>
          <w:szCs w:val="24"/>
        </w:rPr>
        <w:t xml:space="preserve"> he is, and through which his destiny is realized, belongs to him in a moral sense.</w:t>
      </w:r>
    </w:p>
    <w:p w14:paraId="24E72DD1" w14:textId="687E6BDC" w:rsidR="00D572BF" w:rsidRDefault="005953A9" w:rsidP="005953A9">
      <w:pPr>
        <w:spacing w:line="480" w:lineRule="auto"/>
        <w:ind w:firstLine="720"/>
        <w:rPr>
          <w:rFonts w:ascii="Garamond" w:hAnsi="Garamond"/>
          <w:sz w:val="24"/>
          <w:szCs w:val="24"/>
        </w:rPr>
      </w:pPr>
      <w:r>
        <w:rPr>
          <w:rFonts w:ascii="Garamond" w:hAnsi="Garamond"/>
          <w:sz w:val="24"/>
          <w:szCs w:val="24"/>
        </w:rPr>
        <w:t>It follows then that t</w:t>
      </w:r>
      <w:r w:rsidR="00A97140" w:rsidRPr="008D3F90">
        <w:rPr>
          <w:rFonts w:ascii="Garamond" w:hAnsi="Garamond"/>
          <w:sz w:val="24"/>
          <w:szCs w:val="24"/>
        </w:rPr>
        <w:t>he right to privacy is the right to the existence of a social practice that makes it possible for me to think of this existence as mine. This means that it is the right to conditions necessary for me to think of myself as the kind of entity for whom it would be meaningful and important to claim personal and property</w:t>
      </w:r>
      <w:r w:rsidR="00A97140">
        <w:rPr>
          <w:rFonts w:ascii="Garamond" w:hAnsi="Garamond"/>
          <w:sz w:val="24"/>
          <w:szCs w:val="24"/>
        </w:rPr>
        <w:t xml:space="preserve"> </w:t>
      </w:r>
      <w:r w:rsidR="00A97140" w:rsidRPr="008D3F90">
        <w:rPr>
          <w:rFonts w:ascii="Garamond" w:hAnsi="Garamond"/>
          <w:sz w:val="24"/>
          <w:szCs w:val="24"/>
        </w:rPr>
        <w:t>rights. The right to privacy protects something that is presupposed by both personal and property rights.</w:t>
      </w:r>
      <w:r w:rsidR="00A97140">
        <w:rPr>
          <w:rFonts w:ascii="Garamond" w:hAnsi="Garamond"/>
          <w:sz w:val="24"/>
          <w:szCs w:val="24"/>
        </w:rPr>
        <w:t xml:space="preserve"> It </w:t>
      </w:r>
      <w:r w:rsidR="00A97140" w:rsidRPr="008D3F90">
        <w:rPr>
          <w:rFonts w:ascii="Garamond" w:hAnsi="Garamond"/>
          <w:sz w:val="24"/>
          <w:szCs w:val="24"/>
        </w:rPr>
        <w:t>protects the individual's interest i</w:t>
      </w:r>
      <w:r w:rsidR="00A97140">
        <w:rPr>
          <w:rFonts w:ascii="Garamond" w:hAnsi="Garamond"/>
          <w:sz w:val="24"/>
          <w:szCs w:val="24"/>
        </w:rPr>
        <w:t>n be</w:t>
      </w:r>
      <w:r w:rsidR="00A97140" w:rsidRPr="008D3F90">
        <w:rPr>
          <w:rFonts w:ascii="Garamond" w:hAnsi="Garamond"/>
          <w:sz w:val="24"/>
          <w:szCs w:val="24"/>
        </w:rPr>
        <w:t>coming, being, and remaining a person. I</w:t>
      </w:r>
      <w:r w:rsidR="00A97140">
        <w:rPr>
          <w:rFonts w:ascii="Garamond" w:hAnsi="Garamond"/>
          <w:sz w:val="24"/>
          <w:szCs w:val="24"/>
        </w:rPr>
        <w:t>n this regard, i</w:t>
      </w:r>
      <w:r w:rsidR="00A97140" w:rsidRPr="008D3F90">
        <w:rPr>
          <w:rFonts w:ascii="Garamond" w:hAnsi="Garamond"/>
          <w:sz w:val="24"/>
          <w:szCs w:val="24"/>
        </w:rPr>
        <w:t>t is a right that</w:t>
      </w:r>
      <w:r w:rsidR="00A97140">
        <w:rPr>
          <w:rFonts w:ascii="Garamond" w:hAnsi="Garamond"/>
          <w:sz w:val="24"/>
          <w:szCs w:val="24"/>
        </w:rPr>
        <w:t xml:space="preserve"> all humans </w:t>
      </w:r>
      <w:r w:rsidR="00A97140" w:rsidRPr="008D3F90">
        <w:rPr>
          <w:rFonts w:ascii="Garamond" w:hAnsi="Garamond"/>
          <w:sz w:val="24"/>
          <w:szCs w:val="24"/>
        </w:rPr>
        <w:t>possess</w:t>
      </w:r>
      <w:r w:rsidR="00A97140">
        <w:rPr>
          <w:rFonts w:ascii="Garamond" w:hAnsi="Garamond"/>
          <w:sz w:val="24"/>
          <w:szCs w:val="24"/>
        </w:rPr>
        <w:t>.</w:t>
      </w:r>
      <w:r w:rsidR="00A97140" w:rsidRPr="008D3F90">
        <w:rPr>
          <w:rFonts w:ascii="Garamond" w:hAnsi="Garamond"/>
          <w:sz w:val="24"/>
          <w:szCs w:val="24"/>
        </w:rPr>
        <w:t xml:space="preserve"> It is a right which protects my capacity to enter into intimate relations, not because it protects my reserve of generally withheld information, but because it enables me to make the commitment that underlies caring</w:t>
      </w:r>
      <w:r w:rsidR="00A97140">
        <w:rPr>
          <w:rFonts w:ascii="Garamond" w:hAnsi="Garamond"/>
          <w:sz w:val="24"/>
          <w:szCs w:val="24"/>
        </w:rPr>
        <w:t xml:space="preserve"> as my commitment uniquely con</w:t>
      </w:r>
      <w:r w:rsidR="00A97140" w:rsidRPr="008D3F90">
        <w:rPr>
          <w:rFonts w:ascii="Garamond" w:hAnsi="Garamond"/>
          <w:sz w:val="24"/>
          <w:szCs w:val="24"/>
        </w:rPr>
        <w:t>veyed by my thoughts and witnessed by my actions.</w:t>
      </w:r>
    </w:p>
    <w:p w14:paraId="0BFBD4CA" w14:textId="657A9DAF" w:rsidR="00D572BF" w:rsidRDefault="00D572BF" w:rsidP="004C0812">
      <w:pPr>
        <w:spacing w:line="480" w:lineRule="auto"/>
        <w:ind w:firstLine="720"/>
        <w:rPr>
          <w:rFonts w:ascii="Garamond" w:hAnsi="Garamond"/>
          <w:sz w:val="24"/>
          <w:szCs w:val="24"/>
        </w:rPr>
      </w:pPr>
      <w:r>
        <w:rPr>
          <w:rFonts w:ascii="Garamond" w:hAnsi="Garamond"/>
          <w:sz w:val="24"/>
          <w:szCs w:val="24"/>
        </w:rPr>
        <w:t>P</w:t>
      </w:r>
      <w:r w:rsidR="008559F3" w:rsidRPr="008559F3">
        <w:rPr>
          <w:rFonts w:ascii="Garamond" w:hAnsi="Garamond"/>
          <w:sz w:val="24"/>
          <w:szCs w:val="24"/>
        </w:rPr>
        <w:t xml:space="preserve">rivacy is necessary for one to develop a concept of self as a purposeful, </w:t>
      </w:r>
      <w:r w:rsidR="005953A9" w:rsidRPr="008559F3">
        <w:rPr>
          <w:rFonts w:ascii="Garamond" w:hAnsi="Garamond"/>
          <w:sz w:val="24"/>
          <w:szCs w:val="24"/>
        </w:rPr>
        <w:t>self-determining</w:t>
      </w:r>
      <w:r w:rsidR="008559F3" w:rsidRPr="008559F3">
        <w:rPr>
          <w:rFonts w:ascii="Garamond" w:hAnsi="Garamond"/>
          <w:sz w:val="24"/>
          <w:szCs w:val="24"/>
        </w:rPr>
        <w:t xml:space="preserve"> agent. Privacy enables control over personal information as well as control over our bodies and personal c</w:t>
      </w:r>
      <w:r w:rsidR="00704E5C">
        <w:rPr>
          <w:rFonts w:ascii="Garamond" w:hAnsi="Garamond"/>
          <w:sz w:val="24"/>
          <w:szCs w:val="24"/>
        </w:rPr>
        <w:t>hoices for our concept of self</w:t>
      </w:r>
      <w:r w:rsidR="008559F3" w:rsidRPr="008559F3">
        <w:rPr>
          <w:rFonts w:ascii="Garamond" w:hAnsi="Garamond"/>
          <w:sz w:val="24"/>
          <w:szCs w:val="24"/>
        </w:rPr>
        <w:t>.</w:t>
      </w:r>
      <w:r w:rsidR="00704E5C">
        <w:rPr>
          <w:rStyle w:val="FootnoteReference"/>
          <w:rFonts w:ascii="Garamond" w:hAnsi="Garamond"/>
          <w:sz w:val="24"/>
          <w:szCs w:val="24"/>
        </w:rPr>
        <w:footnoteReference w:id="38"/>
      </w:r>
      <w:r w:rsidR="008559F3" w:rsidRPr="008559F3">
        <w:rPr>
          <w:rFonts w:ascii="Garamond" w:hAnsi="Garamond"/>
          <w:sz w:val="24"/>
          <w:szCs w:val="24"/>
        </w:rPr>
        <w:t xml:space="preserve"> Some emphasize the importance of intimacy for all privacy issues, noting the need for privacy to protect intimate information about oneself, access to oneself, as well as intimate relationships and</w:t>
      </w:r>
      <w:r w:rsidR="00704E5C">
        <w:rPr>
          <w:rFonts w:ascii="Garamond" w:hAnsi="Garamond"/>
          <w:sz w:val="24"/>
          <w:szCs w:val="24"/>
        </w:rPr>
        <w:t xml:space="preserve"> decisions about one's actions</w:t>
      </w:r>
      <w:r w:rsidR="008559F3" w:rsidRPr="008559F3">
        <w:rPr>
          <w:rFonts w:ascii="Garamond" w:hAnsi="Garamond"/>
          <w:sz w:val="24"/>
          <w:szCs w:val="24"/>
        </w:rPr>
        <w:t>.</w:t>
      </w:r>
      <w:r w:rsidR="00704E5C">
        <w:rPr>
          <w:rStyle w:val="FootnoteReference"/>
          <w:rFonts w:ascii="Garamond" w:hAnsi="Garamond"/>
          <w:sz w:val="24"/>
          <w:szCs w:val="24"/>
        </w:rPr>
        <w:footnoteReference w:id="39"/>
      </w:r>
      <w:r w:rsidR="008559F3" w:rsidRPr="008559F3">
        <w:rPr>
          <w:rFonts w:ascii="Garamond" w:hAnsi="Garamond"/>
          <w:sz w:val="24"/>
          <w:szCs w:val="24"/>
        </w:rPr>
        <w:t xml:space="preserve"> </w:t>
      </w:r>
      <w:r w:rsidR="0046516A">
        <w:rPr>
          <w:rFonts w:ascii="Garamond" w:hAnsi="Garamond"/>
          <w:sz w:val="24"/>
          <w:szCs w:val="24"/>
        </w:rPr>
        <w:t>Others</w:t>
      </w:r>
      <w:r w:rsidR="008559F3" w:rsidRPr="008559F3">
        <w:rPr>
          <w:rFonts w:ascii="Garamond" w:hAnsi="Garamond"/>
          <w:sz w:val="24"/>
          <w:szCs w:val="24"/>
        </w:rPr>
        <w:t xml:space="preserve"> focus on the importance of privacy norms that allow one to restrict others' access to them as well as privacy norms that enable and enhance personal expression and the development of relationships. Privacy provides protection against overreaching social control by others through their access to information</w:t>
      </w:r>
      <w:r w:rsidR="0046516A">
        <w:rPr>
          <w:rFonts w:ascii="Garamond" w:hAnsi="Garamond"/>
          <w:sz w:val="24"/>
          <w:szCs w:val="24"/>
        </w:rPr>
        <w:t xml:space="preserve"> or their control over decision-</w:t>
      </w:r>
      <w:r w:rsidR="00704E5C">
        <w:rPr>
          <w:rFonts w:ascii="Garamond" w:hAnsi="Garamond"/>
          <w:sz w:val="24"/>
          <w:szCs w:val="24"/>
        </w:rPr>
        <w:t>making</w:t>
      </w:r>
      <w:r w:rsidR="008559F3" w:rsidRPr="008559F3">
        <w:rPr>
          <w:rFonts w:ascii="Garamond" w:hAnsi="Garamond"/>
          <w:sz w:val="24"/>
          <w:szCs w:val="24"/>
        </w:rPr>
        <w:t>.</w:t>
      </w:r>
      <w:r w:rsidR="00704E5C">
        <w:rPr>
          <w:rStyle w:val="FootnoteReference"/>
          <w:rFonts w:ascii="Garamond" w:hAnsi="Garamond"/>
          <w:sz w:val="24"/>
          <w:szCs w:val="24"/>
        </w:rPr>
        <w:footnoteReference w:id="40"/>
      </w:r>
      <w:r w:rsidR="008559F3" w:rsidRPr="008559F3">
        <w:rPr>
          <w:rFonts w:ascii="Garamond" w:hAnsi="Garamond"/>
          <w:sz w:val="24"/>
          <w:szCs w:val="24"/>
        </w:rPr>
        <w:t xml:space="preserve"> </w:t>
      </w:r>
      <w:r w:rsidR="0046516A">
        <w:rPr>
          <w:rFonts w:ascii="Garamond" w:hAnsi="Garamond"/>
          <w:sz w:val="24"/>
          <w:szCs w:val="24"/>
        </w:rPr>
        <w:t xml:space="preserve">Similarly, </w:t>
      </w:r>
      <w:r w:rsidR="0046516A" w:rsidRPr="0046516A">
        <w:rPr>
          <w:rFonts w:ascii="Garamond" w:hAnsi="Garamond"/>
          <w:sz w:val="24"/>
          <w:szCs w:val="24"/>
        </w:rPr>
        <w:t xml:space="preserve">Adam Moore (2003) offers a “control over access” account of privacy. According to Moore, privacy is a culturally and species relative right to a level of control over access to bodies or places and information. While defending the view that privacy is relative to species and culture, Moore argues that privacy is objectively valuable — human beings that do not obtain a certain level of control over access will suffer in various ways. Moore claims that privacy, like education, health, and maintaining social relationships, is an essential part of human flourishing or </w:t>
      </w:r>
      <w:proofErr w:type="gramStart"/>
      <w:r w:rsidR="00DE3AE4" w:rsidRPr="0046516A">
        <w:rPr>
          <w:rFonts w:ascii="Garamond" w:hAnsi="Garamond"/>
          <w:sz w:val="24"/>
          <w:szCs w:val="24"/>
        </w:rPr>
        <w:t>well being</w:t>
      </w:r>
      <w:proofErr w:type="gramEnd"/>
      <w:r w:rsidR="0046516A" w:rsidRPr="0046516A">
        <w:rPr>
          <w:rFonts w:ascii="Garamond" w:hAnsi="Garamond"/>
          <w:sz w:val="24"/>
          <w:szCs w:val="24"/>
        </w:rPr>
        <w:t>.</w:t>
      </w:r>
      <w:r w:rsidR="0046516A">
        <w:rPr>
          <w:rFonts w:ascii="Garamond" w:hAnsi="Garamond"/>
          <w:sz w:val="24"/>
          <w:szCs w:val="24"/>
        </w:rPr>
        <w:t xml:space="preserve"> </w:t>
      </w:r>
    </w:p>
    <w:p w14:paraId="1D650274" w14:textId="6D4AFEDA" w:rsidR="00903309" w:rsidRDefault="00DE3AE4" w:rsidP="004C0812">
      <w:pPr>
        <w:spacing w:line="480" w:lineRule="auto"/>
        <w:ind w:firstLine="720"/>
        <w:rPr>
          <w:rFonts w:ascii="Garamond" w:hAnsi="Garamond"/>
          <w:sz w:val="24"/>
          <w:szCs w:val="24"/>
        </w:rPr>
      </w:pPr>
      <w:r>
        <w:rPr>
          <w:rFonts w:ascii="Garamond" w:hAnsi="Garamond"/>
          <w:sz w:val="24"/>
          <w:szCs w:val="24"/>
        </w:rPr>
        <w:t>Although there are many different ways of understanding privacy and it’s value, some common themes have emerged. In the next section we will discuss these themes and attempt to fit them into a theory of privacy based on a notion of personhood.</w:t>
      </w:r>
    </w:p>
    <w:p w14:paraId="19A49396" w14:textId="77777777" w:rsidR="00C81B8A" w:rsidRDefault="00C81B8A" w:rsidP="00C81B8A">
      <w:pPr>
        <w:rPr>
          <w:rFonts w:ascii="Garamond" w:hAnsi="Garamond"/>
          <w:sz w:val="24"/>
          <w:szCs w:val="24"/>
        </w:rPr>
      </w:pPr>
    </w:p>
    <w:p w14:paraId="0BA03C4B" w14:textId="711FE927" w:rsidR="00C81B8A" w:rsidRPr="00E01488" w:rsidRDefault="00C81B8A" w:rsidP="00E01488">
      <w:pPr>
        <w:rPr>
          <w:rFonts w:ascii="Garamond" w:hAnsi="Garamond"/>
          <w:b/>
          <w:sz w:val="24"/>
          <w:szCs w:val="24"/>
        </w:rPr>
      </w:pPr>
      <w:r w:rsidRPr="00C01BE2">
        <w:rPr>
          <w:rFonts w:ascii="Garamond" w:hAnsi="Garamond"/>
          <w:b/>
          <w:sz w:val="24"/>
          <w:szCs w:val="24"/>
        </w:rPr>
        <w:t xml:space="preserve">A Theory of Privacy </w:t>
      </w:r>
    </w:p>
    <w:p w14:paraId="705CC9CB" w14:textId="42F57620" w:rsidR="00B0541F" w:rsidRDefault="00B0541F" w:rsidP="00C81B8A">
      <w:pPr>
        <w:spacing w:after="0" w:line="480" w:lineRule="auto"/>
        <w:ind w:firstLine="720"/>
        <w:rPr>
          <w:rFonts w:ascii="Garamond" w:hAnsi="Garamond"/>
          <w:sz w:val="24"/>
          <w:szCs w:val="24"/>
        </w:rPr>
      </w:pPr>
      <w:r>
        <w:rPr>
          <w:rFonts w:ascii="Garamond" w:hAnsi="Garamond"/>
          <w:sz w:val="24"/>
          <w:szCs w:val="24"/>
        </w:rPr>
        <w:t>At this point, we have reviewed the development of privacy laws in United States, as well as the philosophical lit</w:t>
      </w:r>
      <w:r w:rsidR="00DE3AE4">
        <w:rPr>
          <w:rFonts w:ascii="Garamond" w:hAnsi="Garamond"/>
          <w:sz w:val="24"/>
          <w:szCs w:val="24"/>
        </w:rPr>
        <w:t>erature on the value of privacy</w:t>
      </w:r>
      <w:r>
        <w:rPr>
          <w:rFonts w:ascii="Garamond" w:hAnsi="Garamond"/>
          <w:sz w:val="24"/>
          <w:szCs w:val="24"/>
        </w:rPr>
        <w:t>. Starting with Brandeis and Warren, scholars have struggled with the extent to which privacy can adequately be understood as a property right, or derivative from other existing rights. It is interesting to note that despite the divergent views on privacy, many scholars have returned to the notion of personality. As a result, any viable theory of privacy must account for this component. In this section we will explore the possibility of developing a theory of privacy</w:t>
      </w:r>
      <w:r w:rsidR="00D973E8">
        <w:rPr>
          <w:rFonts w:ascii="Garamond" w:hAnsi="Garamond"/>
          <w:sz w:val="24"/>
          <w:szCs w:val="24"/>
        </w:rPr>
        <w:t xml:space="preserve"> that adequately addresses these concerns.</w:t>
      </w:r>
    </w:p>
    <w:p w14:paraId="7A32AC4E" w14:textId="2E23ED32" w:rsidR="00C81B8A" w:rsidRDefault="00E01488" w:rsidP="00C81B8A">
      <w:pPr>
        <w:spacing w:after="0" w:line="480" w:lineRule="auto"/>
        <w:ind w:firstLine="720"/>
        <w:rPr>
          <w:rFonts w:ascii="Garamond" w:hAnsi="Garamond"/>
          <w:sz w:val="24"/>
          <w:szCs w:val="24"/>
        </w:rPr>
      </w:pPr>
      <w:r>
        <w:rPr>
          <w:rFonts w:ascii="Garamond" w:hAnsi="Garamond"/>
          <w:sz w:val="24"/>
          <w:szCs w:val="24"/>
        </w:rPr>
        <w:t>In 1964</w:t>
      </w:r>
      <w:r w:rsidR="00895741">
        <w:rPr>
          <w:rFonts w:ascii="Garamond" w:hAnsi="Garamond"/>
          <w:sz w:val="24"/>
          <w:szCs w:val="24"/>
        </w:rPr>
        <w:t>,</w:t>
      </w:r>
      <w:r>
        <w:rPr>
          <w:rFonts w:ascii="Garamond" w:hAnsi="Garamond"/>
          <w:sz w:val="24"/>
          <w:szCs w:val="24"/>
        </w:rPr>
        <w:t xml:space="preserve"> </w:t>
      </w:r>
      <w:r w:rsidR="00C81B8A" w:rsidRPr="00C81B8A">
        <w:rPr>
          <w:rFonts w:ascii="Garamond" w:hAnsi="Garamond"/>
          <w:sz w:val="24"/>
          <w:szCs w:val="24"/>
        </w:rPr>
        <w:t xml:space="preserve">Edward </w:t>
      </w:r>
      <w:r>
        <w:rPr>
          <w:rFonts w:ascii="Garamond" w:hAnsi="Garamond"/>
          <w:sz w:val="24"/>
          <w:szCs w:val="24"/>
        </w:rPr>
        <w:t xml:space="preserve">J. </w:t>
      </w:r>
      <w:proofErr w:type="spellStart"/>
      <w:r w:rsidR="00C81B8A" w:rsidRPr="00C81B8A">
        <w:rPr>
          <w:rFonts w:ascii="Garamond" w:hAnsi="Garamond"/>
          <w:sz w:val="24"/>
          <w:szCs w:val="24"/>
        </w:rPr>
        <w:t>Bloustein</w:t>
      </w:r>
      <w:proofErr w:type="spellEnd"/>
      <w:r w:rsidR="00C81B8A" w:rsidRPr="00C81B8A">
        <w:rPr>
          <w:rFonts w:ascii="Garamond" w:hAnsi="Garamond"/>
          <w:sz w:val="24"/>
          <w:szCs w:val="24"/>
        </w:rPr>
        <w:t xml:space="preserve"> sought to develop "a gener</w:t>
      </w:r>
      <w:r>
        <w:rPr>
          <w:rFonts w:ascii="Garamond" w:hAnsi="Garamond"/>
          <w:sz w:val="24"/>
          <w:szCs w:val="24"/>
        </w:rPr>
        <w:t>al theory of individual privacy</w:t>
      </w:r>
      <w:r w:rsidR="00C81B8A" w:rsidRPr="00C81B8A">
        <w:rPr>
          <w:rFonts w:ascii="Garamond" w:hAnsi="Garamond"/>
          <w:sz w:val="24"/>
          <w:szCs w:val="24"/>
        </w:rPr>
        <w:t>"</w:t>
      </w:r>
      <w:r>
        <w:rPr>
          <w:rFonts w:ascii="Garamond" w:hAnsi="Garamond"/>
          <w:sz w:val="24"/>
          <w:szCs w:val="24"/>
        </w:rPr>
        <w:t xml:space="preserve"> (p. 963).</w:t>
      </w:r>
      <w:r w:rsidR="00C81B8A" w:rsidRPr="00C81B8A">
        <w:rPr>
          <w:rFonts w:ascii="Garamond" w:hAnsi="Garamond"/>
          <w:sz w:val="24"/>
          <w:szCs w:val="24"/>
        </w:rPr>
        <w:t xml:space="preserve"> The main title of his article describes its thesis, and its subtitle identifies the perspective that it </w:t>
      </w:r>
      <w:r>
        <w:rPr>
          <w:rFonts w:ascii="Garamond" w:hAnsi="Garamond"/>
          <w:sz w:val="24"/>
          <w:szCs w:val="24"/>
        </w:rPr>
        <w:t>sought</w:t>
      </w:r>
      <w:r w:rsidR="00C81B8A" w:rsidRPr="00C81B8A">
        <w:rPr>
          <w:rFonts w:ascii="Garamond" w:hAnsi="Garamond"/>
          <w:sz w:val="24"/>
          <w:szCs w:val="24"/>
        </w:rPr>
        <w:t xml:space="preserve"> to refute: </w:t>
      </w:r>
      <w:r>
        <w:rPr>
          <w:rFonts w:ascii="Garamond" w:hAnsi="Garamond"/>
          <w:sz w:val="24"/>
          <w:szCs w:val="24"/>
        </w:rPr>
        <w:t>“</w:t>
      </w:r>
      <w:r w:rsidR="00C81B8A" w:rsidRPr="00C81B8A">
        <w:rPr>
          <w:rFonts w:ascii="Garamond" w:hAnsi="Garamond"/>
          <w:sz w:val="24"/>
          <w:szCs w:val="24"/>
        </w:rPr>
        <w:t>Privacy as an Aspect of Human Dignity: An Answer to Dean Prosser.</w:t>
      </w:r>
      <w:r>
        <w:rPr>
          <w:rFonts w:ascii="Garamond" w:hAnsi="Garamond"/>
          <w:sz w:val="24"/>
          <w:szCs w:val="24"/>
        </w:rPr>
        <w:t>”</w:t>
      </w:r>
      <w:r>
        <w:rPr>
          <w:rStyle w:val="FootnoteReference"/>
          <w:rFonts w:ascii="Garamond" w:hAnsi="Garamond"/>
          <w:sz w:val="24"/>
          <w:szCs w:val="24"/>
        </w:rPr>
        <w:footnoteReference w:id="41"/>
      </w:r>
      <w:r w:rsidR="00C81B8A" w:rsidRPr="00C81B8A">
        <w:rPr>
          <w:rFonts w:ascii="Garamond" w:hAnsi="Garamond"/>
          <w:sz w:val="24"/>
          <w:szCs w:val="24"/>
        </w:rPr>
        <w:t xml:space="preserve"> </w:t>
      </w:r>
      <w:r w:rsidRPr="00E5618A">
        <w:rPr>
          <w:rFonts w:ascii="Garamond" w:hAnsi="Garamond"/>
          <w:sz w:val="24"/>
          <w:szCs w:val="24"/>
        </w:rPr>
        <w:t xml:space="preserve">Discussing each of Prosser's four types of privacy rights, </w:t>
      </w:r>
      <w:proofErr w:type="spellStart"/>
      <w:r w:rsidRPr="00E5618A">
        <w:rPr>
          <w:rFonts w:ascii="Garamond" w:hAnsi="Garamond"/>
          <w:sz w:val="24"/>
          <w:szCs w:val="24"/>
        </w:rPr>
        <w:t>Bloustein</w:t>
      </w:r>
      <w:proofErr w:type="spellEnd"/>
      <w:r w:rsidRPr="00E5618A">
        <w:rPr>
          <w:rFonts w:ascii="Garamond" w:hAnsi="Garamond"/>
          <w:sz w:val="24"/>
          <w:szCs w:val="24"/>
        </w:rPr>
        <w:t xml:space="preserve"> defends the view that each of these privacy rights is important because it protects against intrusions demeaning to personality and human dignity.</w:t>
      </w:r>
      <w:r>
        <w:rPr>
          <w:rFonts w:ascii="Garamond" w:hAnsi="Garamond"/>
          <w:sz w:val="24"/>
          <w:szCs w:val="24"/>
        </w:rPr>
        <w:t xml:space="preserve"> </w:t>
      </w:r>
      <w:r w:rsidR="00C81B8A" w:rsidRPr="00C81B8A">
        <w:rPr>
          <w:rFonts w:ascii="Garamond" w:hAnsi="Garamond"/>
          <w:sz w:val="24"/>
          <w:szCs w:val="24"/>
        </w:rPr>
        <w:t xml:space="preserve">For </w:t>
      </w:r>
      <w:proofErr w:type="spellStart"/>
      <w:r w:rsidR="00C81B8A" w:rsidRPr="00C81B8A">
        <w:rPr>
          <w:rFonts w:ascii="Garamond" w:hAnsi="Garamond"/>
          <w:sz w:val="24"/>
          <w:szCs w:val="24"/>
        </w:rPr>
        <w:t>Bloustein</w:t>
      </w:r>
      <w:proofErr w:type="spellEnd"/>
      <w:r w:rsidR="00C81B8A" w:rsidRPr="00C81B8A">
        <w:rPr>
          <w:rFonts w:ascii="Garamond" w:hAnsi="Garamond"/>
          <w:sz w:val="24"/>
          <w:szCs w:val="24"/>
        </w:rPr>
        <w:t>, the starting point in answering Prosser was with Warren and Brandeis and their view that privacy pro</w:t>
      </w:r>
      <w:r>
        <w:rPr>
          <w:rFonts w:ascii="Garamond" w:hAnsi="Garamond"/>
          <w:sz w:val="24"/>
          <w:szCs w:val="24"/>
        </w:rPr>
        <w:t>tects an "inviolate personality.</w:t>
      </w:r>
      <w:r w:rsidR="00704E5C">
        <w:rPr>
          <w:rFonts w:ascii="Garamond" w:hAnsi="Garamond"/>
          <w:sz w:val="24"/>
          <w:szCs w:val="24"/>
        </w:rPr>
        <w:t>”</w:t>
      </w:r>
      <w:r w:rsidR="00704E5C">
        <w:rPr>
          <w:rStyle w:val="FootnoteReference"/>
          <w:rFonts w:ascii="Garamond" w:hAnsi="Garamond"/>
          <w:sz w:val="24"/>
          <w:szCs w:val="24"/>
        </w:rPr>
        <w:footnoteReference w:id="42"/>
      </w:r>
      <w:r w:rsidR="00C81B8A" w:rsidRPr="00C81B8A">
        <w:rPr>
          <w:rFonts w:ascii="Garamond" w:hAnsi="Garamond"/>
          <w:sz w:val="24"/>
          <w:szCs w:val="24"/>
        </w:rPr>
        <w:t xml:space="preserve"> </w:t>
      </w:r>
      <w:proofErr w:type="spellStart"/>
      <w:r w:rsidR="00C81B8A" w:rsidRPr="00C81B8A">
        <w:rPr>
          <w:rFonts w:ascii="Garamond" w:hAnsi="Garamond"/>
          <w:sz w:val="24"/>
          <w:szCs w:val="24"/>
        </w:rPr>
        <w:t>Bloustein</w:t>
      </w:r>
      <w:proofErr w:type="spellEnd"/>
      <w:r w:rsidR="00C81B8A" w:rsidRPr="00C81B8A">
        <w:rPr>
          <w:rFonts w:ascii="Garamond" w:hAnsi="Garamond"/>
          <w:sz w:val="24"/>
          <w:szCs w:val="24"/>
        </w:rPr>
        <w:t xml:space="preserve"> define</w:t>
      </w:r>
      <w:r w:rsidR="00CD70B8">
        <w:rPr>
          <w:rFonts w:ascii="Garamond" w:hAnsi="Garamond"/>
          <w:sz w:val="24"/>
          <w:szCs w:val="24"/>
        </w:rPr>
        <w:t>s</w:t>
      </w:r>
      <w:r w:rsidR="00C81B8A" w:rsidRPr="00C81B8A">
        <w:rPr>
          <w:rFonts w:ascii="Garamond" w:hAnsi="Garamond"/>
          <w:sz w:val="24"/>
          <w:szCs w:val="24"/>
        </w:rPr>
        <w:t xml:space="preserve"> these terms in a way that </w:t>
      </w:r>
      <w:r w:rsidR="00895741">
        <w:rPr>
          <w:rFonts w:ascii="Garamond" w:hAnsi="Garamond"/>
          <w:sz w:val="24"/>
          <w:szCs w:val="24"/>
        </w:rPr>
        <w:t xml:space="preserve">seeks to </w:t>
      </w:r>
      <w:r w:rsidR="00C81B8A" w:rsidRPr="00C81B8A">
        <w:rPr>
          <w:rFonts w:ascii="Garamond" w:hAnsi="Garamond"/>
          <w:sz w:val="24"/>
          <w:szCs w:val="24"/>
        </w:rPr>
        <w:t xml:space="preserve">capture the core of the views of </w:t>
      </w:r>
      <w:r w:rsidR="00BB2160">
        <w:rPr>
          <w:rFonts w:ascii="Garamond" w:hAnsi="Garamond"/>
          <w:sz w:val="24"/>
          <w:szCs w:val="24"/>
        </w:rPr>
        <w:t xml:space="preserve">Brandeis and </w:t>
      </w:r>
      <w:r w:rsidR="00C81B8A" w:rsidRPr="00C81B8A">
        <w:rPr>
          <w:rFonts w:ascii="Garamond" w:hAnsi="Garamond"/>
          <w:sz w:val="24"/>
          <w:szCs w:val="24"/>
        </w:rPr>
        <w:t xml:space="preserve">Warren, but </w:t>
      </w:r>
      <w:r w:rsidR="00BB2160">
        <w:rPr>
          <w:rFonts w:ascii="Garamond" w:hAnsi="Garamond"/>
          <w:sz w:val="24"/>
          <w:szCs w:val="24"/>
        </w:rPr>
        <w:t>also b</w:t>
      </w:r>
      <w:r w:rsidR="00895741">
        <w:rPr>
          <w:rFonts w:ascii="Garamond" w:hAnsi="Garamond"/>
          <w:sz w:val="24"/>
          <w:szCs w:val="24"/>
        </w:rPr>
        <w:t xml:space="preserve">uilds on </w:t>
      </w:r>
      <w:r w:rsidR="00C81B8A" w:rsidRPr="00C81B8A">
        <w:rPr>
          <w:rFonts w:ascii="Garamond" w:hAnsi="Garamond"/>
          <w:sz w:val="24"/>
          <w:szCs w:val="24"/>
        </w:rPr>
        <w:t>the German definit</w:t>
      </w:r>
      <w:r w:rsidR="00895741">
        <w:rPr>
          <w:rFonts w:ascii="Garamond" w:hAnsi="Garamond"/>
          <w:sz w:val="24"/>
          <w:szCs w:val="24"/>
        </w:rPr>
        <w:t>ion of the right of personality.</w:t>
      </w:r>
      <w:r w:rsidR="00C81B8A" w:rsidRPr="00C81B8A">
        <w:rPr>
          <w:rFonts w:ascii="Garamond" w:hAnsi="Garamond"/>
          <w:sz w:val="24"/>
          <w:szCs w:val="24"/>
        </w:rPr>
        <w:t xml:space="preserve"> "I take the principle of "inviolate personality' to posit the individual's independence, dignity, and integrity; it defines man's essence as a un</w:t>
      </w:r>
      <w:r w:rsidR="00C550E9">
        <w:rPr>
          <w:rFonts w:ascii="Garamond" w:hAnsi="Garamond"/>
          <w:sz w:val="24"/>
          <w:szCs w:val="24"/>
        </w:rPr>
        <w:t>ique and self-determining being.</w:t>
      </w:r>
      <w:r w:rsidR="00704E5C">
        <w:rPr>
          <w:rFonts w:ascii="Garamond" w:hAnsi="Garamond"/>
          <w:sz w:val="24"/>
          <w:szCs w:val="24"/>
        </w:rPr>
        <w:t>”</w:t>
      </w:r>
      <w:r w:rsidR="00704E5C">
        <w:rPr>
          <w:rStyle w:val="FootnoteReference"/>
          <w:rFonts w:ascii="Garamond" w:hAnsi="Garamond"/>
          <w:sz w:val="24"/>
          <w:szCs w:val="24"/>
        </w:rPr>
        <w:footnoteReference w:id="43"/>
      </w:r>
      <w:r w:rsidR="00895741">
        <w:rPr>
          <w:rFonts w:ascii="Garamond" w:hAnsi="Garamond"/>
          <w:sz w:val="24"/>
          <w:szCs w:val="24"/>
        </w:rPr>
        <w:t xml:space="preserve"> </w:t>
      </w:r>
      <w:proofErr w:type="spellStart"/>
      <w:r w:rsidR="00895741">
        <w:rPr>
          <w:rFonts w:ascii="Garamond" w:hAnsi="Garamond"/>
          <w:sz w:val="24"/>
          <w:szCs w:val="24"/>
        </w:rPr>
        <w:t>Bloustein</w:t>
      </w:r>
      <w:proofErr w:type="spellEnd"/>
      <w:r w:rsidR="00895741">
        <w:rPr>
          <w:rFonts w:ascii="Garamond" w:hAnsi="Garamond"/>
          <w:sz w:val="24"/>
          <w:szCs w:val="24"/>
        </w:rPr>
        <w:t xml:space="preserve"> asserts that </w:t>
      </w:r>
      <w:r w:rsidR="00C81B8A" w:rsidRPr="00C81B8A">
        <w:rPr>
          <w:rFonts w:ascii="Garamond" w:hAnsi="Garamond"/>
          <w:sz w:val="24"/>
          <w:szCs w:val="24"/>
        </w:rPr>
        <w:t xml:space="preserve">Prosser </w:t>
      </w:r>
      <w:r w:rsidR="00895741">
        <w:rPr>
          <w:rFonts w:ascii="Garamond" w:hAnsi="Garamond"/>
          <w:sz w:val="24"/>
          <w:szCs w:val="24"/>
        </w:rPr>
        <w:t>fails to adequately address the true</w:t>
      </w:r>
      <w:r w:rsidR="00C81B8A" w:rsidRPr="00C81B8A">
        <w:rPr>
          <w:rFonts w:ascii="Garamond" w:hAnsi="Garamond"/>
          <w:sz w:val="24"/>
          <w:szCs w:val="24"/>
        </w:rPr>
        <w:t xml:space="preserve"> harm in privacy cases, which was the violation of human dignity. Rather than emotional trauma, as Prosser </w:t>
      </w:r>
      <w:r w:rsidR="00895741">
        <w:rPr>
          <w:rFonts w:ascii="Garamond" w:hAnsi="Garamond"/>
          <w:sz w:val="24"/>
          <w:szCs w:val="24"/>
        </w:rPr>
        <w:t>seems to focus</w:t>
      </w:r>
      <w:r w:rsidR="00C81B8A" w:rsidRPr="00C81B8A">
        <w:rPr>
          <w:rFonts w:ascii="Garamond" w:hAnsi="Garamond"/>
          <w:sz w:val="24"/>
          <w:szCs w:val="24"/>
        </w:rPr>
        <w:t>, the real problem was the "blow to human dignity, an assault on human person</w:t>
      </w:r>
      <w:r w:rsidR="00C550E9">
        <w:rPr>
          <w:rFonts w:ascii="Garamond" w:hAnsi="Garamond"/>
          <w:sz w:val="24"/>
          <w:szCs w:val="24"/>
        </w:rPr>
        <w:t>ality.</w:t>
      </w:r>
      <w:r w:rsidR="00704E5C">
        <w:rPr>
          <w:rFonts w:ascii="Garamond" w:hAnsi="Garamond"/>
          <w:sz w:val="24"/>
          <w:szCs w:val="24"/>
        </w:rPr>
        <w:t>”</w:t>
      </w:r>
      <w:r w:rsidR="00704E5C">
        <w:rPr>
          <w:rStyle w:val="FootnoteReference"/>
          <w:rFonts w:ascii="Garamond" w:hAnsi="Garamond"/>
          <w:sz w:val="24"/>
          <w:szCs w:val="24"/>
        </w:rPr>
        <w:footnoteReference w:id="44"/>
      </w:r>
      <w:r w:rsidR="00C550E9">
        <w:rPr>
          <w:rFonts w:ascii="Garamond" w:hAnsi="Garamond"/>
          <w:sz w:val="24"/>
          <w:szCs w:val="24"/>
        </w:rPr>
        <w:t xml:space="preserve"> </w:t>
      </w:r>
      <w:r w:rsidR="00C81B8A" w:rsidRPr="00C81B8A">
        <w:rPr>
          <w:rFonts w:ascii="Garamond" w:hAnsi="Garamond"/>
          <w:sz w:val="24"/>
          <w:szCs w:val="24"/>
        </w:rPr>
        <w:t>Priva</w:t>
      </w:r>
      <w:r w:rsidR="00C112B9">
        <w:rPr>
          <w:rFonts w:ascii="Garamond" w:hAnsi="Garamond"/>
          <w:sz w:val="24"/>
          <w:szCs w:val="24"/>
        </w:rPr>
        <w:t xml:space="preserve">cy was needed, </w:t>
      </w:r>
      <w:proofErr w:type="spellStart"/>
      <w:r w:rsidR="00C112B9">
        <w:rPr>
          <w:rFonts w:ascii="Garamond" w:hAnsi="Garamond"/>
          <w:sz w:val="24"/>
          <w:szCs w:val="24"/>
        </w:rPr>
        <w:t>Bloustein</w:t>
      </w:r>
      <w:proofErr w:type="spellEnd"/>
      <w:r w:rsidR="00895741" w:rsidRPr="00C81B8A">
        <w:rPr>
          <w:rFonts w:ascii="Garamond" w:hAnsi="Garamond"/>
          <w:sz w:val="24"/>
          <w:szCs w:val="24"/>
        </w:rPr>
        <w:t xml:space="preserve"> wrote</w:t>
      </w:r>
      <w:r w:rsidR="00C81B8A" w:rsidRPr="00C81B8A">
        <w:rPr>
          <w:rFonts w:ascii="Garamond" w:hAnsi="Garamond"/>
          <w:sz w:val="24"/>
          <w:szCs w:val="24"/>
        </w:rPr>
        <w:t>, to protect against "d</w:t>
      </w:r>
      <w:r w:rsidR="00704E5C">
        <w:rPr>
          <w:rFonts w:ascii="Garamond" w:hAnsi="Garamond"/>
          <w:sz w:val="24"/>
          <w:szCs w:val="24"/>
        </w:rPr>
        <w:t>egradation of personality</w:t>
      </w:r>
      <w:r w:rsidR="00C550E9">
        <w:rPr>
          <w:rFonts w:ascii="Garamond" w:hAnsi="Garamond"/>
          <w:sz w:val="24"/>
          <w:szCs w:val="24"/>
        </w:rPr>
        <w:t>.</w:t>
      </w:r>
      <w:r w:rsidR="00704E5C">
        <w:rPr>
          <w:rFonts w:ascii="Garamond" w:hAnsi="Garamond"/>
          <w:sz w:val="24"/>
          <w:szCs w:val="24"/>
        </w:rPr>
        <w:t>”</w:t>
      </w:r>
      <w:r w:rsidR="00704E5C">
        <w:rPr>
          <w:rStyle w:val="FootnoteReference"/>
          <w:rFonts w:ascii="Garamond" w:hAnsi="Garamond"/>
          <w:sz w:val="24"/>
          <w:szCs w:val="24"/>
        </w:rPr>
        <w:footnoteReference w:id="45"/>
      </w:r>
    </w:p>
    <w:p w14:paraId="61AD5536" w14:textId="44B07A73" w:rsidR="003C5E97" w:rsidRPr="003C5E97" w:rsidRDefault="003B3826" w:rsidP="00BE12C3">
      <w:pPr>
        <w:spacing w:after="0" w:line="480" w:lineRule="auto"/>
        <w:ind w:firstLine="720"/>
        <w:rPr>
          <w:rFonts w:ascii="Garamond" w:hAnsi="Garamond"/>
          <w:sz w:val="24"/>
          <w:szCs w:val="24"/>
        </w:rPr>
      </w:pPr>
      <w:r>
        <w:rPr>
          <w:rFonts w:ascii="Garamond" w:hAnsi="Garamond"/>
          <w:sz w:val="24"/>
          <w:szCs w:val="24"/>
        </w:rPr>
        <w:t xml:space="preserve">Building on the work of </w:t>
      </w:r>
      <w:proofErr w:type="spellStart"/>
      <w:r w:rsidR="00C550E9">
        <w:rPr>
          <w:rFonts w:ascii="Garamond" w:hAnsi="Garamond"/>
          <w:sz w:val="24"/>
          <w:szCs w:val="24"/>
        </w:rPr>
        <w:t>Bloustein</w:t>
      </w:r>
      <w:proofErr w:type="spellEnd"/>
      <w:r>
        <w:rPr>
          <w:rFonts w:ascii="Garamond" w:hAnsi="Garamond"/>
          <w:sz w:val="24"/>
          <w:szCs w:val="24"/>
        </w:rPr>
        <w:t>, I would like to argue</w:t>
      </w:r>
      <w:r w:rsidR="00C550E9" w:rsidRPr="00E5618A">
        <w:rPr>
          <w:rFonts w:ascii="Garamond" w:hAnsi="Garamond"/>
          <w:sz w:val="24"/>
          <w:szCs w:val="24"/>
        </w:rPr>
        <w:t xml:space="preserve"> that </w:t>
      </w:r>
      <w:r w:rsidR="00C550E9">
        <w:rPr>
          <w:rFonts w:ascii="Garamond" w:hAnsi="Garamond"/>
          <w:sz w:val="24"/>
          <w:szCs w:val="24"/>
        </w:rPr>
        <w:t>it is possible reconcile all the divergent views on privacy by returning to</w:t>
      </w:r>
      <w:r w:rsidR="00BB2160">
        <w:rPr>
          <w:rFonts w:ascii="Garamond" w:hAnsi="Garamond"/>
          <w:sz w:val="24"/>
          <w:szCs w:val="24"/>
        </w:rPr>
        <w:t xml:space="preserve"> Brandeis and</w:t>
      </w:r>
      <w:r w:rsidR="00C550E9">
        <w:rPr>
          <w:rFonts w:ascii="Garamond" w:hAnsi="Garamond"/>
          <w:sz w:val="24"/>
          <w:szCs w:val="24"/>
        </w:rPr>
        <w:t xml:space="preserve"> </w:t>
      </w:r>
      <w:r w:rsidR="00C550E9" w:rsidRPr="00E5618A">
        <w:rPr>
          <w:rFonts w:ascii="Garamond" w:hAnsi="Garamond"/>
          <w:sz w:val="24"/>
          <w:szCs w:val="24"/>
        </w:rPr>
        <w:t>Warren</w:t>
      </w:r>
      <w:r w:rsidR="00BB2160">
        <w:rPr>
          <w:rFonts w:ascii="Garamond" w:hAnsi="Garamond"/>
          <w:sz w:val="24"/>
          <w:szCs w:val="24"/>
        </w:rPr>
        <w:t>’</w:t>
      </w:r>
      <w:r w:rsidR="00C550E9" w:rsidRPr="00E5618A">
        <w:rPr>
          <w:rFonts w:ascii="Garamond" w:hAnsi="Garamond"/>
          <w:sz w:val="24"/>
          <w:szCs w:val="24"/>
        </w:rPr>
        <w:t xml:space="preserve">s </w:t>
      </w:r>
      <w:r w:rsidR="00C550E9">
        <w:rPr>
          <w:rFonts w:ascii="Garamond" w:hAnsi="Garamond"/>
          <w:sz w:val="24"/>
          <w:szCs w:val="24"/>
        </w:rPr>
        <w:t xml:space="preserve">reference to </w:t>
      </w:r>
      <w:r w:rsidR="00C550E9" w:rsidRPr="00E5618A">
        <w:rPr>
          <w:rFonts w:ascii="Garamond" w:hAnsi="Garamond"/>
          <w:sz w:val="24"/>
          <w:szCs w:val="24"/>
        </w:rPr>
        <w:t xml:space="preserve">“inviolate personality.” </w:t>
      </w:r>
      <w:proofErr w:type="spellStart"/>
      <w:r w:rsidR="002D218E">
        <w:rPr>
          <w:rFonts w:ascii="Garamond" w:hAnsi="Garamond"/>
          <w:sz w:val="24"/>
          <w:szCs w:val="24"/>
        </w:rPr>
        <w:t>Bloustein</w:t>
      </w:r>
      <w:proofErr w:type="spellEnd"/>
      <w:r w:rsidR="00C550E9">
        <w:rPr>
          <w:rFonts w:ascii="Garamond" w:hAnsi="Garamond"/>
          <w:sz w:val="24"/>
          <w:szCs w:val="24"/>
        </w:rPr>
        <w:t xml:space="preserve"> suggests that </w:t>
      </w:r>
      <w:r w:rsidR="002D218E">
        <w:rPr>
          <w:rFonts w:ascii="Garamond" w:hAnsi="Garamond"/>
          <w:sz w:val="24"/>
          <w:szCs w:val="24"/>
        </w:rPr>
        <w:t>this concept</w:t>
      </w:r>
      <w:r w:rsidR="00C550E9">
        <w:rPr>
          <w:rFonts w:ascii="Garamond" w:hAnsi="Garamond"/>
          <w:sz w:val="24"/>
          <w:szCs w:val="24"/>
        </w:rPr>
        <w:t xml:space="preserve"> defines our essence as</w:t>
      </w:r>
      <w:r w:rsidR="00C550E9" w:rsidRPr="00E5618A">
        <w:rPr>
          <w:rFonts w:ascii="Garamond" w:hAnsi="Garamond"/>
          <w:sz w:val="24"/>
          <w:szCs w:val="24"/>
        </w:rPr>
        <w:t xml:space="preserve"> human being</w:t>
      </w:r>
      <w:r w:rsidR="00C550E9">
        <w:rPr>
          <w:rFonts w:ascii="Garamond" w:hAnsi="Garamond"/>
          <w:sz w:val="24"/>
          <w:szCs w:val="24"/>
        </w:rPr>
        <w:t xml:space="preserve">s and </w:t>
      </w:r>
      <w:r w:rsidR="00C550E9" w:rsidRPr="00E5618A">
        <w:rPr>
          <w:rFonts w:ascii="Garamond" w:hAnsi="Garamond"/>
          <w:sz w:val="24"/>
          <w:szCs w:val="24"/>
        </w:rPr>
        <w:t xml:space="preserve">includes individual dignity and integrity, personal autonomy and independence. </w:t>
      </w:r>
      <w:r w:rsidR="00661207">
        <w:rPr>
          <w:rFonts w:ascii="Garamond" w:hAnsi="Garamond"/>
          <w:sz w:val="24"/>
          <w:szCs w:val="24"/>
        </w:rPr>
        <w:t xml:space="preserve">As discussed above, this seems to be consistent </w:t>
      </w:r>
      <w:r w:rsidR="002D218E">
        <w:rPr>
          <w:rFonts w:ascii="Garamond" w:hAnsi="Garamond"/>
          <w:sz w:val="24"/>
          <w:szCs w:val="24"/>
        </w:rPr>
        <w:t xml:space="preserve">with much of </w:t>
      </w:r>
      <w:r w:rsidR="00661207">
        <w:rPr>
          <w:rFonts w:ascii="Garamond" w:hAnsi="Garamond"/>
          <w:sz w:val="24"/>
          <w:szCs w:val="24"/>
        </w:rPr>
        <w:t>the legal and philosophical literature.</w:t>
      </w:r>
      <w:r w:rsidR="00C112B9">
        <w:rPr>
          <w:rFonts w:ascii="Garamond" w:hAnsi="Garamond"/>
          <w:sz w:val="24"/>
          <w:szCs w:val="24"/>
        </w:rPr>
        <w:t xml:space="preserve"> </w:t>
      </w:r>
      <w:r w:rsidR="00BB2160">
        <w:rPr>
          <w:rFonts w:ascii="Garamond" w:hAnsi="Garamond"/>
          <w:sz w:val="24"/>
          <w:szCs w:val="24"/>
        </w:rPr>
        <w:t xml:space="preserve">Brandeis and </w:t>
      </w:r>
      <w:r w:rsidR="003C5E97" w:rsidRPr="003C5E97">
        <w:rPr>
          <w:rFonts w:ascii="Garamond" w:hAnsi="Garamond"/>
          <w:sz w:val="24"/>
          <w:szCs w:val="24"/>
        </w:rPr>
        <w:t xml:space="preserve">Warren drew on the concept of a personality interest to develop their right of privacy as more than a new property right. Of their "right to be let alone," Brandeis </w:t>
      </w:r>
      <w:r w:rsidR="00BB2160">
        <w:rPr>
          <w:rFonts w:ascii="Garamond" w:hAnsi="Garamond"/>
          <w:sz w:val="24"/>
          <w:szCs w:val="24"/>
        </w:rPr>
        <w:t xml:space="preserve">and Warren </w:t>
      </w:r>
      <w:r w:rsidR="003C5E97" w:rsidRPr="003C5E97">
        <w:rPr>
          <w:rFonts w:ascii="Garamond" w:hAnsi="Garamond"/>
          <w:sz w:val="24"/>
          <w:szCs w:val="24"/>
        </w:rPr>
        <w:t xml:space="preserve">first noted its similarity with interests in being free from assault, false imprisonment, malicious prosecution, </w:t>
      </w:r>
      <w:r w:rsidR="00462EF9">
        <w:rPr>
          <w:rFonts w:ascii="Garamond" w:hAnsi="Garamond"/>
          <w:sz w:val="24"/>
          <w:szCs w:val="24"/>
        </w:rPr>
        <w:t>and defamation. They then wrote</w:t>
      </w:r>
      <w:r w:rsidR="003C5E97" w:rsidRPr="003C5E97">
        <w:rPr>
          <w:rFonts w:ascii="Garamond" w:hAnsi="Garamond"/>
          <w:sz w:val="24"/>
          <w:szCs w:val="24"/>
        </w:rPr>
        <w:t>:</w:t>
      </w:r>
    </w:p>
    <w:p w14:paraId="51AAD561" w14:textId="67D839C7" w:rsidR="003C5E97" w:rsidRPr="003C5E97" w:rsidRDefault="003C5E97" w:rsidP="00BE12C3">
      <w:pPr>
        <w:spacing w:after="0" w:line="240" w:lineRule="auto"/>
        <w:ind w:left="720"/>
        <w:rPr>
          <w:rFonts w:ascii="Garamond" w:hAnsi="Garamond"/>
          <w:sz w:val="24"/>
          <w:szCs w:val="24"/>
        </w:rPr>
      </w:pPr>
      <w:r w:rsidRPr="003C5E97">
        <w:rPr>
          <w:rFonts w:ascii="Garamond" w:hAnsi="Garamond"/>
          <w:sz w:val="24"/>
          <w:szCs w:val="24"/>
        </w:rPr>
        <w:t xml:space="preserve">In each of these rights, as indeed in all other rights recognized by the law, there inheres the quality of being owned or possessed - and (as that is the distinguishing attribute of property) there may be some propriety in speaking of those rights as property. But, obviously, they bear little resemblance to what is ordinarily comprehended under that term. The </w:t>
      </w:r>
      <w:proofErr w:type="gramStart"/>
      <w:r w:rsidRPr="003C5E97">
        <w:rPr>
          <w:rFonts w:ascii="Garamond" w:hAnsi="Garamond"/>
          <w:sz w:val="24"/>
          <w:szCs w:val="24"/>
        </w:rPr>
        <w:t>principle which</w:t>
      </w:r>
      <w:proofErr w:type="gramEnd"/>
      <w:r w:rsidRPr="003C5E97">
        <w:rPr>
          <w:rFonts w:ascii="Garamond" w:hAnsi="Garamond"/>
          <w:sz w:val="24"/>
          <w:szCs w:val="24"/>
        </w:rPr>
        <w:t xml:space="preserve"> protects personal writings and all other personal productions, not against theft and physical appropriation, but against publication in any form, is in reality not th</w:t>
      </w:r>
      <w:r w:rsidR="00C112B9">
        <w:rPr>
          <w:rFonts w:ascii="Garamond" w:hAnsi="Garamond"/>
          <w:sz w:val="24"/>
          <w:szCs w:val="24"/>
        </w:rPr>
        <w:t>e principle of private</w:t>
      </w:r>
      <w:r w:rsidRPr="003C5E97">
        <w:rPr>
          <w:rFonts w:ascii="Garamond" w:hAnsi="Garamond"/>
          <w:sz w:val="24"/>
          <w:szCs w:val="24"/>
        </w:rPr>
        <w:t xml:space="preserve"> property, but that o</w:t>
      </w:r>
      <w:r w:rsidR="00BE12C3">
        <w:rPr>
          <w:rFonts w:ascii="Garamond" w:hAnsi="Garamond"/>
          <w:sz w:val="24"/>
          <w:szCs w:val="24"/>
        </w:rPr>
        <w:t>f a</w:t>
      </w:r>
      <w:r w:rsidR="00BB2160">
        <w:rPr>
          <w:rFonts w:ascii="Garamond" w:hAnsi="Garamond"/>
          <w:sz w:val="24"/>
          <w:szCs w:val="24"/>
        </w:rPr>
        <w:t xml:space="preserve">n </w:t>
      </w:r>
      <w:r w:rsidR="00BB2160" w:rsidRPr="00C112B9">
        <w:rPr>
          <w:rFonts w:ascii="Garamond" w:hAnsi="Garamond"/>
          <w:i/>
          <w:sz w:val="24"/>
          <w:szCs w:val="24"/>
        </w:rPr>
        <w:t>inviolate personality</w:t>
      </w:r>
      <w:r w:rsidR="00704E5C">
        <w:rPr>
          <w:rFonts w:ascii="Garamond" w:hAnsi="Garamond"/>
          <w:sz w:val="24"/>
          <w:szCs w:val="24"/>
        </w:rPr>
        <w:t>.</w:t>
      </w:r>
      <w:r w:rsidR="00704E5C">
        <w:rPr>
          <w:rStyle w:val="FootnoteReference"/>
          <w:rFonts w:ascii="Garamond" w:hAnsi="Garamond"/>
          <w:sz w:val="24"/>
          <w:szCs w:val="24"/>
        </w:rPr>
        <w:footnoteReference w:id="46"/>
      </w:r>
    </w:p>
    <w:p w14:paraId="21C8BF22" w14:textId="77777777" w:rsidR="003C5E97" w:rsidRPr="003C5E97" w:rsidRDefault="003C5E97" w:rsidP="003C5E97">
      <w:pPr>
        <w:spacing w:after="0" w:line="480" w:lineRule="auto"/>
        <w:ind w:firstLine="720"/>
        <w:rPr>
          <w:rFonts w:ascii="Garamond" w:hAnsi="Garamond"/>
          <w:sz w:val="24"/>
          <w:szCs w:val="24"/>
        </w:rPr>
      </w:pPr>
      <w:r w:rsidRPr="003C5E97">
        <w:rPr>
          <w:rFonts w:ascii="Garamond" w:hAnsi="Garamond"/>
          <w:sz w:val="24"/>
          <w:szCs w:val="24"/>
        </w:rPr>
        <w:t xml:space="preserve"> </w:t>
      </w:r>
    </w:p>
    <w:p w14:paraId="6CB7D4FD" w14:textId="30F7826C" w:rsidR="00526533" w:rsidRDefault="003C5E97" w:rsidP="002216B8">
      <w:pPr>
        <w:spacing w:after="0" w:line="480" w:lineRule="auto"/>
        <w:rPr>
          <w:rFonts w:ascii="Garamond" w:hAnsi="Garamond"/>
          <w:sz w:val="24"/>
          <w:szCs w:val="24"/>
        </w:rPr>
      </w:pPr>
      <w:r w:rsidRPr="003C5E97">
        <w:rPr>
          <w:rFonts w:ascii="Garamond" w:hAnsi="Garamond"/>
          <w:sz w:val="24"/>
          <w:szCs w:val="24"/>
        </w:rPr>
        <w:t xml:space="preserve">This language </w:t>
      </w:r>
      <w:r w:rsidR="00BB2160">
        <w:rPr>
          <w:rFonts w:ascii="Garamond" w:hAnsi="Garamond"/>
          <w:sz w:val="24"/>
          <w:szCs w:val="24"/>
        </w:rPr>
        <w:t>makes clear that Brandeis and</w:t>
      </w:r>
      <w:r w:rsidRPr="003C5E97">
        <w:rPr>
          <w:rFonts w:ascii="Garamond" w:hAnsi="Garamond"/>
          <w:sz w:val="24"/>
          <w:szCs w:val="24"/>
        </w:rPr>
        <w:t xml:space="preserve"> Warren </w:t>
      </w:r>
      <w:r w:rsidR="00BB2160">
        <w:rPr>
          <w:rFonts w:ascii="Garamond" w:hAnsi="Garamond"/>
          <w:sz w:val="24"/>
          <w:szCs w:val="24"/>
        </w:rPr>
        <w:t>intended more than a property right</w:t>
      </w:r>
      <w:r w:rsidRPr="003C5E97">
        <w:rPr>
          <w:rFonts w:ascii="Garamond" w:hAnsi="Garamond"/>
          <w:sz w:val="24"/>
          <w:szCs w:val="24"/>
        </w:rPr>
        <w:t xml:space="preserve">. They confessed that their right of privacy resembles interests that are owned, like property, and conceded that one might even speak of them as a property interest. Nonetheless, </w:t>
      </w:r>
      <w:r w:rsidR="00BB2160">
        <w:rPr>
          <w:rFonts w:ascii="Garamond" w:hAnsi="Garamond"/>
          <w:sz w:val="24"/>
          <w:szCs w:val="24"/>
        </w:rPr>
        <w:t xml:space="preserve">Brandeis and </w:t>
      </w:r>
      <w:r w:rsidRPr="003C5E97">
        <w:rPr>
          <w:rFonts w:ascii="Garamond" w:hAnsi="Garamond"/>
          <w:sz w:val="24"/>
          <w:szCs w:val="24"/>
        </w:rPr>
        <w:t>Warren believed that the true principle in privacy law is the concept of the "inviolate personality." Later in the article, they defined their proposal as placing "the right to privacy" in the context of "a part of the more general right to the immunity of the person, the right to one's p</w:t>
      </w:r>
      <w:r w:rsidR="00BE12C3">
        <w:rPr>
          <w:rFonts w:ascii="Garamond" w:hAnsi="Garamond"/>
          <w:sz w:val="24"/>
          <w:szCs w:val="24"/>
        </w:rPr>
        <w:t>ersonality</w:t>
      </w:r>
      <w:r w:rsidR="00526533">
        <w:rPr>
          <w:rFonts w:ascii="Garamond" w:hAnsi="Garamond"/>
          <w:sz w:val="24"/>
          <w:szCs w:val="24"/>
        </w:rPr>
        <w:t>.</w:t>
      </w:r>
      <w:r w:rsidR="00704E5C">
        <w:rPr>
          <w:rFonts w:ascii="Garamond" w:hAnsi="Garamond"/>
          <w:sz w:val="24"/>
          <w:szCs w:val="24"/>
        </w:rPr>
        <w:t>”</w:t>
      </w:r>
      <w:r w:rsidR="00704E5C">
        <w:rPr>
          <w:rStyle w:val="FootnoteReference"/>
          <w:rFonts w:ascii="Garamond" w:hAnsi="Garamond"/>
          <w:sz w:val="24"/>
          <w:szCs w:val="24"/>
        </w:rPr>
        <w:footnoteReference w:id="47"/>
      </w:r>
      <w:r w:rsidR="00526533">
        <w:rPr>
          <w:rFonts w:ascii="Garamond" w:hAnsi="Garamond"/>
          <w:sz w:val="24"/>
          <w:szCs w:val="24"/>
        </w:rPr>
        <w:t xml:space="preserve"> </w:t>
      </w:r>
      <w:r w:rsidRPr="003C5E97">
        <w:rPr>
          <w:rFonts w:ascii="Garamond" w:hAnsi="Garamond"/>
          <w:sz w:val="24"/>
          <w:szCs w:val="24"/>
        </w:rPr>
        <w:t xml:space="preserve">Their intention seems to have been to draw on </w:t>
      </w:r>
      <w:r w:rsidR="00497F76">
        <w:rPr>
          <w:rFonts w:ascii="Garamond" w:hAnsi="Garamond"/>
          <w:sz w:val="24"/>
          <w:szCs w:val="24"/>
        </w:rPr>
        <w:t>German</w:t>
      </w:r>
      <w:r w:rsidRPr="003C5E97">
        <w:rPr>
          <w:rFonts w:ascii="Garamond" w:hAnsi="Garamond"/>
          <w:sz w:val="24"/>
          <w:szCs w:val="24"/>
        </w:rPr>
        <w:t xml:space="preserve"> philosophy to suggest that each person deserves protection against certain kinds of mental harms simply as a consequence of her status as a human.</w:t>
      </w:r>
      <w:r w:rsidR="00497F76">
        <w:rPr>
          <w:rStyle w:val="FootnoteReference"/>
          <w:rFonts w:ascii="Garamond" w:hAnsi="Garamond"/>
          <w:sz w:val="24"/>
          <w:szCs w:val="24"/>
        </w:rPr>
        <w:footnoteReference w:id="48"/>
      </w:r>
      <w:r w:rsidRPr="003C5E97">
        <w:rPr>
          <w:rFonts w:ascii="Garamond" w:hAnsi="Garamond"/>
          <w:sz w:val="24"/>
          <w:szCs w:val="24"/>
        </w:rPr>
        <w:t xml:space="preserve"> </w:t>
      </w:r>
    </w:p>
    <w:p w14:paraId="3328E8AC" w14:textId="31D6FFBA" w:rsidR="003C5E97" w:rsidRPr="003C5E97" w:rsidRDefault="00526533" w:rsidP="00F00748">
      <w:pPr>
        <w:spacing w:after="0" w:line="480" w:lineRule="auto"/>
        <w:ind w:firstLine="720"/>
        <w:rPr>
          <w:rFonts w:ascii="Garamond" w:hAnsi="Garamond"/>
          <w:sz w:val="24"/>
          <w:szCs w:val="24"/>
        </w:rPr>
      </w:pPr>
      <w:r w:rsidRPr="003C5E97">
        <w:rPr>
          <w:rFonts w:ascii="Garamond" w:hAnsi="Garamond"/>
          <w:sz w:val="24"/>
          <w:szCs w:val="24"/>
        </w:rPr>
        <w:t>Subsequent to Warren and Brandeis's article, there are numerous mentions in U.S. privacy literature of privacy as a personality right.</w:t>
      </w:r>
      <w:r w:rsidR="005813BA">
        <w:rPr>
          <w:rStyle w:val="FootnoteReference"/>
          <w:rFonts w:ascii="Garamond" w:hAnsi="Garamond"/>
          <w:sz w:val="24"/>
          <w:szCs w:val="24"/>
        </w:rPr>
        <w:footnoteReference w:id="49"/>
      </w:r>
      <w:r w:rsidRPr="003C5E97">
        <w:rPr>
          <w:rFonts w:ascii="Garamond" w:hAnsi="Garamond"/>
          <w:sz w:val="24"/>
          <w:szCs w:val="24"/>
        </w:rPr>
        <w:t xml:space="preserve"> For example, in </w:t>
      </w:r>
      <w:r w:rsidR="00944AEF">
        <w:rPr>
          <w:rFonts w:ascii="Garamond" w:hAnsi="Garamond"/>
          <w:sz w:val="24"/>
          <w:szCs w:val="24"/>
        </w:rPr>
        <w:t>“</w:t>
      </w:r>
      <w:r w:rsidRPr="00944AEF">
        <w:rPr>
          <w:rFonts w:ascii="Garamond" w:hAnsi="Garamond"/>
          <w:sz w:val="24"/>
          <w:szCs w:val="24"/>
        </w:rPr>
        <w:t>Interests of Personality</w:t>
      </w:r>
      <w:r w:rsidR="00944AEF">
        <w:rPr>
          <w:rFonts w:ascii="Garamond" w:hAnsi="Garamond"/>
          <w:sz w:val="24"/>
          <w:szCs w:val="24"/>
        </w:rPr>
        <w:t xml:space="preserve">,” published in 1915, </w:t>
      </w:r>
      <w:r w:rsidRPr="003C5E97">
        <w:rPr>
          <w:rFonts w:ascii="Garamond" w:hAnsi="Garamond"/>
          <w:sz w:val="24"/>
          <w:szCs w:val="24"/>
        </w:rPr>
        <w:t>Roscoe Pound adopted the approach of Warren and Brandeis in discussing privacy and drew more expli</w:t>
      </w:r>
      <w:r>
        <w:rPr>
          <w:rFonts w:ascii="Garamond" w:hAnsi="Garamond"/>
          <w:sz w:val="24"/>
          <w:szCs w:val="24"/>
        </w:rPr>
        <w:t>citly on German sources.</w:t>
      </w:r>
      <w:r>
        <w:rPr>
          <w:rStyle w:val="FootnoteReference"/>
          <w:rFonts w:ascii="Garamond" w:hAnsi="Garamond"/>
          <w:sz w:val="24"/>
          <w:szCs w:val="24"/>
        </w:rPr>
        <w:footnoteReference w:id="50"/>
      </w:r>
      <w:r w:rsidRPr="003C5E97">
        <w:rPr>
          <w:rFonts w:ascii="Garamond" w:hAnsi="Garamond"/>
          <w:sz w:val="24"/>
          <w:szCs w:val="24"/>
        </w:rPr>
        <w:t xml:space="preserve"> In surveying the rights of personality, Pound included "the disputed legal right of privacy" as "another p</w:t>
      </w:r>
      <w:r>
        <w:rPr>
          <w:rFonts w:ascii="Garamond" w:hAnsi="Garamond"/>
          <w:sz w:val="24"/>
          <w:szCs w:val="24"/>
        </w:rPr>
        <w:t>hase of the same interest."</w:t>
      </w:r>
      <w:r>
        <w:rPr>
          <w:rStyle w:val="FootnoteReference"/>
          <w:rFonts w:ascii="Garamond" w:hAnsi="Garamond"/>
          <w:sz w:val="24"/>
          <w:szCs w:val="24"/>
        </w:rPr>
        <w:footnoteReference w:id="51"/>
      </w:r>
      <w:r w:rsidRPr="003C5E97">
        <w:rPr>
          <w:rFonts w:ascii="Garamond" w:hAnsi="Garamond"/>
          <w:sz w:val="24"/>
          <w:szCs w:val="24"/>
        </w:rPr>
        <w:t xml:space="preserve"> This right protected a "</w:t>
      </w:r>
      <w:proofErr w:type="gramStart"/>
      <w:r w:rsidRPr="003C5E97">
        <w:rPr>
          <w:rFonts w:ascii="Garamond" w:hAnsi="Garamond"/>
          <w:sz w:val="24"/>
          <w:szCs w:val="24"/>
        </w:rPr>
        <w:t>demand which</w:t>
      </w:r>
      <w:proofErr w:type="gramEnd"/>
      <w:r w:rsidRPr="003C5E97">
        <w:rPr>
          <w:rFonts w:ascii="Garamond" w:hAnsi="Garamond"/>
          <w:sz w:val="24"/>
          <w:szCs w:val="24"/>
        </w:rPr>
        <w:t xml:space="preserve"> the individual may make that his private personal affairs shall not be laid bare to the worl</w:t>
      </w:r>
      <w:r>
        <w:rPr>
          <w:rFonts w:ascii="Garamond" w:hAnsi="Garamond"/>
          <w:sz w:val="24"/>
          <w:szCs w:val="24"/>
        </w:rPr>
        <w:t>d and be discussed by strangers.</w:t>
      </w:r>
      <w:r w:rsidR="00704E5C">
        <w:rPr>
          <w:rFonts w:ascii="Garamond" w:hAnsi="Garamond"/>
          <w:sz w:val="24"/>
          <w:szCs w:val="24"/>
        </w:rPr>
        <w:t>”</w:t>
      </w:r>
      <w:r w:rsidR="00704E5C">
        <w:rPr>
          <w:rStyle w:val="FootnoteReference"/>
          <w:rFonts w:ascii="Garamond" w:hAnsi="Garamond"/>
          <w:sz w:val="24"/>
          <w:szCs w:val="24"/>
        </w:rPr>
        <w:footnoteReference w:id="52"/>
      </w:r>
      <w:r w:rsidRPr="003C5E97">
        <w:rPr>
          <w:rFonts w:ascii="Garamond" w:hAnsi="Garamond"/>
          <w:sz w:val="24"/>
          <w:szCs w:val="24"/>
        </w:rPr>
        <w:t xml:space="preserve"> </w:t>
      </w:r>
      <w:r w:rsidR="00E55709">
        <w:rPr>
          <w:rFonts w:ascii="Garamond" w:hAnsi="Garamond"/>
          <w:sz w:val="24"/>
          <w:szCs w:val="24"/>
        </w:rPr>
        <w:t>A hundred years later, the desire to maintain the privacy of personal affairs has taken on a new urgency as modern technologies have increased the possibility that an i</w:t>
      </w:r>
      <w:r w:rsidR="00E55709" w:rsidRPr="00C66353">
        <w:rPr>
          <w:rFonts w:ascii="Garamond" w:hAnsi="Garamond"/>
          <w:sz w:val="24"/>
          <w:szCs w:val="24"/>
        </w:rPr>
        <w:t>ndiv</w:t>
      </w:r>
      <w:r w:rsidR="00E55709">
        <w:rPr>
          <w:rFonts w:ascii="Garamond" w:hAnsi="Garamond"/>
          <w:sz w:val="24"/>
          <w:szCs w:val="24"/>
        </w:rPr>
        <w:t xml:space="preserve">idual’s personal information will be </w:t>
      </w:r>
      <w:r w:rsidR="00E55709" w:rsidRPr="00C66353">
        <w:rPr>
          <w:rFonts w:ascii="Garamond" w:hAnsi="Garamond"/>
          <w:sz w:val="24"/>
          <w:szCs w:val="24"/>
        </w:rPr>
        <w:t xml:space="preserve">voluntarily </w:t>
      </w:r>
      <w:r w:rsidR="005813BA">
        <w:rPr>
          <w:rFonts w:ascii="Garamond" w:hAnsi="Garamond"/>
          <w:sz w:val="24"/>
          <w:szCs w:val="24"/>
        </w:rPr>
        <w:t>or</w:t>
      </w:r>
      <w:r w:rsidR="00E55709" w:rsidRPr="00C66353">
        <w:rPr>
          <w:rFonts w:ascii="Garamond" w:hAnsi="Garamond"/>
          <w:sz w:val="24"/>
          <w:szCs w:val="24"/>
        </w:rPr>
        <w:t xml:space="preserve"> involuntarily d</w:t>
      </w:r>
      <w:r w:rsidR="00E55709">
        <w:rPr>
          <w:rFonts w:ascii="Garamond" w:hAnsi="Garamond"/>
          <w:sz w:val="24"/>
          <w:szCs w:val="24"/>
        </w:rPr>
        <w:t>isseminated over the I</w:t>
      </w:r>
      <w:r w:rsidR="00E55709" w:rsidRPr="00C66353">
        <w:rPr>
          <w:rFonts w:ascii="Garamond" w:hAnsi="Garamond"/>
          <w:sz w:val="24"/>
          <w:szCs w:val="24"/>
        </w:rPr>
        <w:t>nternet.</w:t>
      </w:r>
    </w:p>
    <w:p w14:paraId="4A342A06" w14:textId="69E76C4A" w:rsidR="00EA4317" w:rsidRDefault="00F00748" w:rsidP="00EA4317">
      <w:pPr>
        <w:spacing w:after="0" w:line="480" w:lineRule="auto"/>
        <w:ind w:firstLine="720"/>
        <w:rPr>
          <w:rFonts w:ascii="Garamond" w:hAnsi="Garamond"/>
          <w:sz w:val="24"/>
          <w:szCs w:val="24"/>
        </w:rPr>
      </w:pPr>
      <w:r>
        <w:rPr>
          <w:rFonts w:ascii="Garamond" w:hAnsi="Garamond"/>
          <w:sz w:val="24"/>
          <w:szCs w:val="24"/>
        </w:rPr>
        <w:t xml:space="preserve">Early privacy scholars could not possibly have anticipated the ways in which </w:t>
      </w:r>
      <w:r w:rsidR="00ED7D01">
        <w:rPr>
          <w:rFonts w:ascii="Garamond" w:hAnsi="Garamond"/>
          <w:sz w:val="24"/>
          <w:szCs w:val="24"/>
        </w:rPr>
        <w:t>m</w:t>
      </w:r>
      <w:r>
        <w:rPr>
          <w:rFonts w:ascii="Garamond" w:hAnsi="Garamond"/>
          <w:sz w:val="24"/>
          <w:szCs w:val="24"/>
        </w:rPr>
        <w:t xml:space="preserve">odern technologies have developed. Nevertheless, they were particularly concerned about technologies implications. </w:t>
      </w:r>
      <w:r w:rsidR="008836A1">
        <w:rPr>
          <w:rFonts w:ascii="Garamond" w:hAnsi="Garamond"/>
          <w:sz w:val="24"/>
          <w:szCs w:val="24"/>
        </w:rPr>
        <w:t>Even in 1890,</w:t>
      </w:r>
      <w:r w:rsidR="00EA4317">
        <w:rPr>
          <w:rFonts w:ascii="Garamond" w:hAnsi="Garamond"/>
          <w:sz w:val="24"/>
          <w:szCs w:val="24"/>
        </w:rPr>
        <w:t xml:space="preserve"> </w:t>
      </w:r>
      <w:r w:rsidR="00EA4317" w:rsidRPr="00C5743D">
        <w:rPr>
          <w:rFonts w:ascii="Garamond" w:hAnsi="Garamond"/>
          <w:sz w:val="24"/>
          <w:szCs w:val="24"/>
        </w:rPr>
        <w:t>Brandeis and Warren</w:t>
      </w:r>
      <w:r w:rsidR="00EA4317">
        <w:rPr>
          <w:rFonts w:ascii="Garamond" w:hAnsi="Garamond"/>
          <w:sz w:val="24"/>
          <w:szCs w:val="24"/>
        </w:rPr>
        <w:t xml:space="preserve"> addressed</w:t>
      </w:r>
      <w:r w:rsidR="00EA4317" w:rsidRPr="00C5743D">
        <w:rPr>
          <w:rFonts w:ascii="Garamond" w:hAnsi="Garamond"/>
          <w:sz w:val="24"/>
          <w:szCs w:val="24"/>
        </w:rPr>
        <w:t xml:space="preserve"> changes in technolog</w:t>
      </w:r>
      <w:r w:rsidR="008836A1">
        <w:rPr>
          <w:rFonts w:ascii="Garamond" w:hAnsi="Garamond"/>
          <w:sz w:val="24"/>
          <w:szCs w:val="24"/>
        </w:rPr>
        <w:t>y and their impact on privacy:</w:t>
      </w:r>
    </w:p>
    <w:p w14:paraId="4E3D035E" w14:textId="7D06145D" w:rsidR="00EA4317" w:rsidRDefault="00EA4317" w:rsidP="00EA4317">
      <w:pPr>
        <w:spacing w:after="0" w:line="240" w:lineRule="auto"/>
        <w:ind w:left="720" w:right="720"/>
        <w:rPr>
          <w:rFonts w:ascii="Garamond" w:hAnsi="Garamond"/>
          <w:sz w:val="24"/>
          <w:szCs w:val="24"/>
        </w:rPr>
      </w:pPr>
      <w:r w:rsidRPr="00C5743D">
        <w:rPr>
          <w:rFonts w:ascii="Garamond" w:hAnsi="Garamond"/>
          <w:sz w:val="24"/>
          <w:szCs w:val="24"/>
        </w:rPr>
        <w:t>Instantaneous photographs and newspaper enterprise have invaded the sacred precincts of private and domestic life, and numerous mechanical devices threaten to make good the prediction that ‘what is whispered in the closet shall b</w:t>
      </w:r>
      <w:r w:rsidR="00704E5C">
        <w:rPr>
          <w:rFonts w:ascii="Garamond" w:hAnsi="Garamond"/>
          <w:sz w:val="24"/>
          <w:szCs w:val="24"/>
        </w:rPr>
        <w:t>e proclaimed from the housetops’</w:t>
      </w:r>
      <w:r>
        <w:rPr>
          <w:rFonts w:ascii="Garamond" w:hAnsi="Garamond"/>
          <w:sz w:val="24"/>
          <w:szCs w:val="24"/>
        </w:rPr>
        <w:t>.</w:t>
      </w:r>
      <w:r w:rsidR="00704E5C">
        <w:rPr>
          <w:rStyle w:val="FootnoteReference"/>
          <w:rFonts w:ascii="Garamond" w:hAnsi="Garamond"/>
          <w:sz w:val="24"/>
          <w:szCs w:val="24"/>
        </w:rPr>
        <w:footnoteReference w:id="53"/>
      </w:r>
    </w:p>
    <w:p w14:paraId="15B7092A" w14:textId="77777777" w:rsidR="00EA4317" w:rsidRDefault="00EA4317" w:rsidP="00EA4317">
      <w:pPr>
        <w:spacing w:after="0" w:line="240" w:lineRule="auto"/>
        <w:ind w:left="720" w:right="720"/>
        <w:rPr>
          <w:rFonts w:ascii="Garamond" w:hAnsi="Garamond"/>
          <w:sz w:val="24"/>
          <w:szCs w:val="24"/>
        </w:rPr>
      </w:pPr>
    </w:p>
    <w:p w14:paraId="6CACBCAD" w14:textId="55CC518B" w:rsidR="00AB0ADA" w:rsidRDefault="00EA4317" w:rsidP="00AB0ADA">
      <w:pPr>
        <w:spacing w:after="0" w:line="480" w:lineRule="auto"/>
        <w:rPr>
          <w:rFonts w:ascii="Garamond" w:hAnsi="Garamond"/>
          <w:sz w:val="24"/>
          <w:szCs w:val="24"/>
        </w:rPr>
      </w:pPr>
      <w:r>
        <w:rPr>
          <w:rFonts w:ascii="Garamond" w:hAnsi="Garamond"/>
          <w:sz w:val="24"/>
          <w:szCs w:val="24"/>
        </w:rPr>
        <w:t xml:space="preserve">In their view, these changes make us more sensitive to publicity, and </w:t>
      </w:r>
      <w:r w:rsidRPr="005D77EB">
        <w:rPr>
          <w:rFonts w:ascii="Garamond" w:hAnsi="Garamond"/>
          <w:sz w:val="24"/>
          <w:szCs w:val="24"/>
        </w:rPr>
        <w:t>solitude and privacy more essential to the individual</w:t>
      </w:r>
      <w:r>
        <w:rPr>
          <w:rFonts w:ascii="Garamond" w:hAnsi="Garamond"/>
          <w:sz w:val="24"/>
          <w:szCs w:val="24"/>
        </w:rPr>
        <w:t xml:space="preserve">, as he is </w:t>
      </w:r>
      <w:r w:rsidRPr="005D77EB">
        <w:rPr>
          <w:rFonts w:ascii="Garamond" w:hAnsi="Garamond"/>
          <w:sz w:val="24"/>
          <w:szCs w:val="24"/>
        </w:rPr>
        <w:t xml:space="preserve">subjected to </w:t>
      </w:r>
      <w:r>
        <w:rPr>
          <w:rFonts w:ascii="Garamond" w:hAnsi="Garamond"/>
          <w:sz w:val="24"/>
          <w:szCs w:val="24"/>
        </w:rPr>
        <w:t>“</w:t>
      </w:r>
      <w:r w:rsidRPr="005D77EB">
        <w:rPr>
          <w:rFonts w:ascii="Garamond" w:hAnsi="Garamond"/>
          <w:sz w:val="24"/>
          <w:szCs w:val="24"/>
        </w:rPr>
        <w:t xml:space="preserve">mental pain and distress far greater they could be </w:t>
      </w:r>
      <w:r w:rsidR="00704E5C">
        <w:rPr>
          <w:rFonts w:ascii="Garamond" w:hAnsi="Garamond"/>
          <w:sz w:val="24"/>
          <w:szCs w:val="24"/>
        </w:rPr>
        <w:t>inflicted upon his body alone</w:t>
      </w:r>
      <w:r>
        <w:rPr>
          <w:rFonts w:ascii="Garamond" w:hAnsi="Garamond"/>
          <w:sz w:val="24"/>
          <w:szCs w:val="24"/>
        </w:rPr>
        <w:t>.</w:t>
      </w:r>
      <w:r w:rsidR="00704E5C">
        <w:rPr>
          <w:rFonts w:ascii="Garamond" w:hAnsi="Garamond"/>
          <w:sz w:val="24"/>
          <w:szCs w:val="24"/>
        </w:rPr>
        <w:t>”</w:t>
      </w:r>
      <w:r w:rsidR="00704E5C">
        <w:rPr>
          <w:rStyle w:val="FootnoteReference"/>
          <w:rFonts w:ascii="Garamond" w:hAnsi="Garamond"/>
          <w:sz w:val="24"/>
          <w:szCs w:val="24"/>
        </w:rPr>
        <w:footnoteReference w:id="54"/>
      </w:r>
      <w:r w:rsidR="008836A1">
        <w:rPr>
          <w:rFonts w:ascii="Garamond" w:hAnsi="Garamond"/>
          <w:sz w:val="24"/>
          <w:szCs w:val="24"/>
        </w:rPr>
        <w:t xml:space="preserve"> </w:t>
      </w:r>
      <w:r w:rsidR="00C81B8A" w:rsidRPr="00C81B8A">
        <w:rPr>
          <w:rFonts w:ascii="Garamond" w:hAnsi="Garamond"/>
          <w:sz w:val="24"/>
          <w:szCs w:val="24"/>
        </w:rPr>
        <w:t xml:space="preserve">One is also reminded of </w:t>
      </w:r>
      <w:proofErr w:type="spellStart"/>
      <w:r w:rsidR="00C81B8A" w:rsidRPr="00C81B8A">
        <w:rPr>
          <w:rFonts w:ascii="Garamond" w:hAnsi="Garamond"/>
          <w:sz w:val="24"/>
          <w:szCs w:val="24"/>
        </w:rPr>
        <w:t>Bloustein's</w:t>
      </w:r>
      <w:proofErr w:type="spellEnd"/>
      <w:r w:rsidR="00C81B8A" w:rsidRPr="00C81B8A">
        <w:rPr>
          <w:rFonts w:ascii="Garamond" w:hAnsi="Garamond"/>
          <w:sz w:val="24"/>
          <w:szCs w:val="24"/>
        </w:rPr>
        <w:t xml:space="preserve"> prediction that if the privacy tort focused on human dignity instead of being bound to Prosser's four categories, it would be freer to grow in response to "threats posed by some of the asp</w:t>
      </w:r>
      <w:r w:rsidR="00704E5C">
        <w:rPr>
          <w:rFonts w:ascii="Garamond" w:hAnsi="Garamond"/>
          <w:sz w:val="24"/>
          <w:szCs w:val="24"/>
        </w:rPr>
        <w:t>ects of modern technology</w:t>
      </w:r>
      <w:r w:rsidR="008A687A">
        <w:rPr>
          <w:rFonts w:ascii="Garamond" w:hAnsi="Garamond"/>
          <w:sz w:val="24"/>
          <w:szCs w:val="24"/>
        </w:rPr>
        <w:t>.</w:t>
      </w:r>
      <w:r w:rsidR="00704E5C">
        <w:rPr>
          <w:rFonts w:ascii="Garamond" w:hAnsi="Garamond"/>
          <w:sz w:val="24"/>
          <w:szCs w:val="24"/>
        </w:rPr>
        <w:t>”</w:t>
      </w:r>
      <w:r w:rsidR="00704E5C">
        <w:rPr>
          <w:rStyle w:val="FootnoteReference"/>
          <w:rFonts w:ascii="Garamond" w:hAnsi="Garamond"/>
          <w:sz w:val="24"/>
          <w:szCs w:val="24"/>
        </w:rPr>
        <w:footnoteReference w:id="55"/>
      </w:r>
    </w:p>
    <w:p w14:paraId="248629F9" w14:textId="77777777" w:rsidR="00CC14A4" w:rsidRDefault="00CC14A4" w:rsidP="00AB0ADA">
      <w:pPr>
        <w:spacing w:after="0" w:line="480" w:lineRule="auto"/>
        <w:rPr>
          <w:rFonts w:ascii="Garamond" w:hAnsi="Garamond"/>
          <w:sz w:val="24"/>
          <w:szCs w:val="24"/>
        </w:rPr>
      </w:pPr>
    </w:p>
    <w:p w14:paraId="56F41678" w14:textId="6D0ED275" w:rsidR="00AB0ADA" w:rsidRPr="00AB0ADA" w:rsidRDefault="00AB0ADA" w:rsidP="00AB0ADA">
      <w:pPr>
        <w:spacing w:after="0" w:line="480" w:lineRule="auto"/>
        <w:rPr>
          <w:rFonts w:ascii="Garamond" w:hAnsi="Garamond"/>
          <w:b/>
          <w:sz w:val="24"/>
          <w:szCs w:val="24"/>
        </w:rPr>
      </w:pPr>
      <w:r w:rsidRPr="00AB0ADA">
        <w:rPr>
          <w:rFonts w:ascii="Garamond" w:hAnsi="Garamond"/>
          <w:b/>
          <w:sz w:val="24"/>
          <w:szCs w:val="24"/>
        </w:rPr>
        <w:t>Conclusion</w:t>
      </w:r>
    </w:p>
    <w:p w14:paraId="747178E9" w14:textId="25F7A15E" w:rsidR="00762F6A" w:rsidRDefault="00462EF9" w:rsidP="00954DBC">
      <w:pPr>
        <w:spacing w:after="0" w:line="480" w:lineRule="auto"/>
        <w:ind w:firstLine="720"/>
        <w:rPr>
          <w:rFonts w:ascii="Garamond" w:hAnsi="Garamond"/>
          <w:sz w:val="24"/>
          <w:szCs w:val="24"/>
        </w:rPr>
      </w:pPr>
      <w:r>
        <w:rPr>
          <w:rFonts w:ascii="Garamond" w:hAnsi="Garamond"/>
          <w:sz w:val="24"/>
          <w:szCs w:val="24"/>
        </w:rPr>
        <w:t>New technologies</w:t>
      </w:r>
      <w:r w:rsidR="008836A1" w:rsidRPr="00AB0ADA">
        <w:rPr>
          <w:rFonts w:ascii="Garamond" w:hAnsi="Garamond"/>
          <w:sz w:val="24"/>
          <w:szCs w:val="24"/>
        </w:rPr>
        <w:t xml:space="preserve"> have increased the danger that intimate personal information originally disclosed to our friends and colleagues maybe exposed to and misinterpreted by </w:t>
      </w:r>
      <w:r w:rsidR="008836A1">
        <w:rPr>
          <w:rFonts w:ascii="Garamond" w:hAnsi="Garamond"/>
          <w:sz w:val="24"/>
          <w:szCs w:val="24"/>
        </w:rPr>
        <w:t>others</w:t>
      </w:r>
      <w:r w:rsidR="008836A1" w:rsidRPr="00AB0ADA">
        <w:rPr>
          <w:rFonts w:ascii="Garamond" w:hAnsi="Garamond"/>
          <w:sz w:val="24"/>
          <w:szCs w:val="24"/>
        </w:rPr>
        <w:t xml:space="preserve">. </w:t>
      </w:r>
      <w:r w:rsidR="00954DBC">
        <w:rPr>
          <w:rFonts w:ascii="Garamond" w:hAnsi="Garamond"/>
          <w:sz w:val="24"/>
          <w:szCs w:val="24"/>
        </w:rPr>
        <w:t>I</w:t>
      </w:r>
      <w:r w:rsidR="008836A1">
        <w:rPr>
          <w:rFonts w:ascii="Garamond" w:hAnsi="Garamond"/>
          <w:sz w:val="24"/>
          <w:szCs w:val="24"/>
        </w:rPr>
        <w:t xml:space="preserve">n this regard, that </w:t>
      </w:r>
      <w:r w:rsidR="008836A1" w:rsidRPr="00AB0ADA">
        <w:rPr>
          <w:rFonts w:ascii="Garamond" w:hAnsi="Garamond"/>
          <w:sz w:val="24"/>
          <w:szCs w:val="24"/>
        </w:rPr>
        <w:t>part of our life that can be monitored and searched has vastly expanded.</w:t>
      </w:r>
      <w:r w:rsidR="008836A1">
        <w:rPr>
          <w:rFonts w:ascii="Garamond" w:hAnsi="Garamond"/>
          <w:sz w:val="24"/>
          <w:szCs w:val="24"/>
        </w:rPr>
        <w:t xml:space="preserve"> </w:t>
      </w:r>
      <w:r w:rsidR="00F34259">
        <w:rPr>
          <w:rFonts w:ascii="Garamond" w:hAnsi="Garamond"/>
          <w:sz w:val="24"/>
          <w:szCs w:val="24"/>
        </w:rPr>
        <w:t>As an example, e</w:t>
      </w:r>
      <w:r w:rsidR="00AB0ADA" w:rsidRPr="00AB0ADA">
        <w:rPr>
          <w:rFonts w:ascii="Garamond" w:hAnsi="Garamond"/>
          <w:sz w:val="24"/>
          <w:szCs w:val="24"/>
        </w:rPr>
        <w:t xml:space="preserve">mail, even after being deleted, becomes a permanent record that can be resurrected by employers </w:t>
      </w:r>
      <w:r w:rsidR="00F34259">
        <w:rPr>
          <w:rFonts w:ascii="Garamond" w:hAnsi="Garamond"/>
          <w:sz w:val="24"/>
          <w:szCs w:val="24"/>
        </w:rPr>
        <w:t>and</w:t>
      </w:r>
      <w:r w:rsidR="00AB0ADA" w:rsidRPr="00AB0ADA">
        <w:rPr>
          <w:rFonts w:ascii="Garamond" w:hAnsi="Garamond"/>
          <w:sz w:val="24"/>
          <w:szCs w:val="24"/>
        </w:rPr>
        <w:t xml:space="preserve"> prosecutors at any point in the future.</w:t>
      </w:r>
      <w:r w:rsidR="008836A1">
        <w:rPr>
          <w:rFonts w:ascii="Garamond" w:hAnsi="Garamond"/>
          <w:sz w:val="24"/>
          <w:szCs w:val="24"/>
        </w:rPr>
        <w:t xml:space="preserve"> </w:t>
      </w:r>
      <w:r w:rsidR="00AB0ADA">
        <w:rPr>
          <w:rFonts w:ascii="Garamond" w:hAnsi="Garamond"/>
          <w:sz w:val="24"/>
          <w:szCs w:val="24"/>
        </w:rPr>
        <w:t>P</w:t>
      </w:r>
      <w:r w:rsidR="00AB0ADA" w:rsidRPr="00AB0ADA">
        <w:rPr>
          <w:rFonts w:ascii="Garamond" w:hAnsi="Garamond"/>
          <w:sz w:val="24"/>
          <w:szCs w:val="24"/>
        </w:rPr>
        <w:t>rivacy</w:t>
      </w:r>
      <w:r w:rsidR="00F34259">
        <w:rPr>
          <w:rFonts w:ascii="Garamond" w:hAnsi="Garamond"/>
          <w:sz w:val="24"/>
          <w:szCs w:val="24"/>
        </w:rPr>
        <w:t xml:space="preserve"> is necessary to protect</w:t>
      </w:r>
      <w:r w:rsidR="00AB0ADA" w:rsidRPr="00AB0ADA">
        <w:rPr>
          <w:rFonts w:ascii="Garamond" w:hAnsi="Garamond"/>
          <w:sz w:val="24"/>
          <w:szCs w:val="24"/>
        </w:rPr>
        <w:t xml:space="preserve"> us from being </w:t>
      </w:r>
      <w:r w:rsidR="008836A1">
        <w:rPr>
          <w:rFonts w:ascii="Garamond" w:hAnsi="Garamond"/>
          <w:sz w:val="24"/>
          <w:szCs w:val="24"/>
        </w:rPr>
        <w:t>judged out of context</w:t>
      </w:r>
      <w:r w:rsidR="00AB0ADA" w:rsidRPr="00AB0ADA">
        <w:rPr>
          <w:rFonts w:ascii="Garamond" w:hAnsi="Garamond"/>
          <w:sz w:val="24"/>
          <w:szCs w:val="24"/>
        </w:rPr>
        <w:t xml:space="preserve"> in a world in which information can easily be confused with knowledge. True knowledge of another person is the culmination of a slow process of mutual </w:t>
      </w:r>
      <w:r w:rsidR="008836A1">
        <w:rPr>
          <w:rFonts w:ascii="Garamond" w:hAnsi="Garamond"/>
          <w:sz w:val="24"/>
          <w:szCs w:val="24"/>
        </w:rPr>
        <w:t>self-disclosure</w:t>
      </w:r>
      <w:r w:rsidR="00AB0ADA" w:rsidRPr="00AB0ADA">
        <w:rPr>
          <w:rFonts w:ascii="Garamond" w:hAnsi="Garamond"/>
          <w:sz w:val="24"/>
          <w:szCs w:val="24"/>
        </w:rPr>
        <w:t>. It requires the gradual s</w:t>
      </w:r>
      <w:r w:rsidR="008836A1">
        <w:rPr>
          <w:rFonts w:ascii="Garamond" w:hAnsi="Garamond"/>
          <w:sz w:val="24"/>
          <w:szCs w:val="24"/>
        </w:rPr>
        <w:t>etting aside social masks, the i</w:t>
      </w:r>
      <w:r w:rsidR="00AB0ADA" w:rsidRPr="00AB0ADA">
        <w:rPr>
          <w:rFonts w:ascii="Garamond" w:hAnsi="Garamond"/>
          <w:sz w:val="24"/>
          <w:szCs w:val="24"/>
        </w:rPr>
        <w:t xml:space="preserve">ncremental building of trust, which leads to the exchange of personal </w:t>
      </w:r>
      <w:r w:rsidR="008836A1">
        <w:rPr>
          <w:rFonts w:ascii="Garamond" w:hAnsi="Garamond"/>
          <w:sz w:val="24"/>
          <w:szCs w:val="24"/>
        </w:rPr>
        <w:t>information</w:t>
      </w:r>
      <w:r w:rsidR="00CF6A77">
        <w:rPr>
          <w:rFonts w:ascii="Garamond" w:hAnsi="Garamond"/>
          <w:sz w:val="24"/>
          <w:szCs w:val="24"/>
        </w:rPr>
        <w:t>, and in some cases, love</w:t>
      </w:r>
      <w:r w:rsidR="00AB0ADA" w:rsidRPr="00AB0ADA">
        <w:rPr>
          <w:rFonts w:ascii="Garamond" w:hAnsi="Garamond"/>
          <w:sz w:val="24"/>
          <w:szCs w:val="24"/>
        </w:rPr>
        <w:t>. In a world in which citizens are bombarded with information, p</w:t>
      </w:r>
      <w:r w:rsidR="00762F6A">
        <w:rPr>
          <w:rFonts w:ascii="Garamond" w:hAnsi="Garamond"/>
          <w:sz w:val="24"/>
          <w:szCs w:val="24"/>
        </w:rPr>
        <w:t>eople form impressions quickly</w:t>
      </w:r>
      <w:r w:rsidR="00AB0ADA" w:rsidRPr="00AB0ADA">
        <w:rPr>
          <w:rFonts w:ascii="Garamond" w:hAnsi="Garamond"/>
          <w:sz w:val="24"/>
          <w:szCs w:val="24"/>
        </w:rPr>
        <w:t>, and these impressions are likely to oversimplify and misrepresent their complicated and often contradictory characters.</w:t>
      </w:r>
      <w:r w:rsidR="00704E5C">
        <w:rPr>
          <w:rStyle w:val="FootnoteReference"/>
          <w:rFonts w:ascii="Garamond" w:hAnsi="Garamond"/>
          <w:sz w:val="24"/>
          <w:szCs w:val="24"/>
        </w:rPr>
        <w:footnoteReference w:id="56"/>
      </w:r>
      <w:r w:rsidR="00954DBC">
        <w:rPr>
          <w:rFonts w:ascii="Garamond" w:hAnsi="Garamond"/>
          <w:sz w:val="24"/>
          <w:szCs w:val="24"/>
        </w:rPr>
        <w:tab/>
      </w:r>
    </w:p>
    <w:p w14:paraId="2DF29C8E" w14:textId="77777777" w:rsidR="00ED545A" w:rsidRDefault="00AB0ADA" w:rsidP="00C033EB">
      <w:pPr>
        <w:spacing w:after="0" w:line="480" w:lineRule="auto"/>
        <w:ind w:firstLine="720"/>
        <w:rPr>
          <w:rFonts w:ascii="Garamond" w:hAnsi="Garamond"/>
          <w:sz w:val="24"/>
          <w:szCs w:val="24"/>
        </w:rPr>
      </w:pPr>
      <w:r w:rsidRPr="00AB0ADA">
        <w:rPr>
          <w:rFonts w:ascii="Garamond" w:hAnsi="Garamond"/>
          <w:sz w:val="24"/>
          <w:szCs w:val="24"/>
        </w:rPr>
        <w:t>Privacy is necessary to protect us from this kind of misinterpretation</w:t>
      </w:r>
      <w:r w:rsidR="00762F6A">
        <w:rPr>
          <w:rFonts w:ascii="Garamond" w:hAnsi="Garamond"/>
          <w:sz w:val="24"/>
          <w:szCs w:val="24"/>
        </w:rPr>
        <w:t xml:space="preserve">, </w:t>
      </w:r>
      <w:r w:rsidR="00ED545A">
        <w:rPr>
          <w:rFonts w:ascii="Garamond" w:hAnsi="Garamond"/>
          <w:sz w:val="24"/>
          <w:szCs w:val="24"/>
        </w:rPr>
        <w:t>and is</w:t>
      </w:r>
      <w:r w:rsidRPr="00AB0ADA">
        <w:rPr>
          <w:rFonts w:ascii="Garamond" w:hAnsi="Garamond"/>
          <w:sz w:val="24"/>
          <w:szCs w:val="24"/>
        </w:rPr>
        <w:t xml:space="preserve"> </w:t>
      </w:r>
      <w:r w:rsidR="00F51BC1">
        <w:rPr>
          <w:rFonts w:ascii="Garamond" w:hAnsi="Garamond"/>
          <w:sz w:val="24"/>
          <w:szCs w:val="24"/>
        </w:rPr>
        <w:t>essential in</w:t>
      </w:r>
      <w:r w:rsidRPr="00AB0ADA">
        <w:rPr>
          <w:rFonts w:ascii="Garamond" w:hAnsi="Garamond"/>
          <w:sz w:val="24"/>
          <w:szCs w:val="24"/>
        </w:rPr>
        <w:t xml:space="preserve"> the formation of intimate relationships, allowing us to reveal parts of ourselves to friends, family members, and lovers that we withhold from the rest of the world. It is, therefore, a precondition for </w:t>
      </w:r>
      <w:r w:rsidR="005D3DCC">
        <w:rPr>
          <w:rFonts w:ascii="Garamond" w:hAnsi="Garamond"/>
          <w:sz w:val="24"/>
          <w:szCs w:val="24"/>
        </w:rPr>
        <w:t xml:space="preserve">intimacy, </w:t>
      </w:r>
      <w:r w:rsidRPr="00AB0ADA">
        <w:rPr>
          <w:rFonts w:ascii="Garamond" w:hAnsi="Garamond"/>
          <w:sz w:val="24"/>
          <w:szCs w:val="24"/>
        </w:rPr>
        <w:t>friendship, individuality, and even love.</w:t>
      </w:r>
      <w:r w:rsidR="005D3DCC">
        <w:rPr>
          <w:rFonts w:ascii="Garamond" w:hAnsi="Garamond"/>
          <w:sz w:val="24"/>
          <w:szCs w:val="24"/>
        </w:rPr>
        <w:t xml:space="preserve"> </w:t>
      </w:r>
      <w:r w:rsidR="00BC77EE">
        <w:rPr>
          <w:rFonts w:ascii="Garamond" w:hAnsi="Garamond"/>
          <w:sz w:val="24"/>
          <w:szCs w:val="24"/>
        </w:rPr>
        <w:t>Yet it is not clear</w:t>
      </w:r>
      <w:r w:rsidR="005D3DCC">
        <w:rPr>
          <w:rFonts w:ascii="Garamond" w:hAnsi="Garamond"/>
          <w:sz w:val="24"/>
          <w:szCs w:val="24"/>
        </w:rPr>
        <w:t xml:space="preserve"> our norms and laws </w:t>
      </w:r>
      <w:r w:rsidR="00BC77EE">
        <w:rPr>
          <w:rFonts w:ascii="Garamond" w:hAnsi="Garamond"/>
          <w:sz w:val="24"/>
          <w:szCs w:val="24"/>
        </w:rPr>
        <w:t xml:space="preserve">adequately </w:t>
      </w:r>
      <w:r w:rsidR="00697B00">
        <w:rPr>
          <w:rFonts w:ascii="Garamond" w:hAnsi="Garamond"/>
          <w:sz w:val="24"/>
          <w:szCs w:val="24"/>
        </w:rPr>
        <w:t>appreciate</w:t>
      </w:r>
      <w:r w:rsidR="005D3DCC">
        <w:rPr>
          <w:rFonts w:ascii="Garamond" w:hAnsi="Garamond"/>
          <w:sz w:val="24"/>
          <w:szCs w:val="24"/>
        </w:rPr>
        <w:t xml:space="preserve"> this important value.</w:t>
      </w:r>
      <w:r w:rsidR="00697B00">
        <w:rPr>
          <w:rFonts w:ascii="Garamond" w:hAnsi="Garamond"/>
          <w:sz w:val="24"/>
          <w:szCs w:val="24"/>
        </w:rPr>
        <w:t xml:space="preserve"> </w:t>
      </w:r>
      <w:r w:rsidR="00F51BC1">
        <w:rPr>
          <w:rFonts w:ascii="Garamond" w:hAnsi="Garamond"/>
          <w:sz w:val="24"/>
          <w:szCs w:val="24"/>
        </w:rPr>
        <w:t>In the U.S.</w:t>
      </w:r>
      <w:r w:rsidR="00697B00">
        <w:rPr>
          <w:rFonts w:ascii="Garamond" w:hAnsi="Garamond"/>
          <w:sz w:val="24"/>
          <w:szCs w:val="24"/>
        </w:rPr>
        <w:t>,</w:t>
      </w:r>
      <w:r w:rsidR="00F51BC1">
        <w:rPr>
          <w:rFonts w:ascii="Garamond" w:hAnsi="Garamond"/>
          <w:sz w:val="24"/>
          <w:szCs w:val="24"/>
        </w:rPr>
        <w:t xml:space="preserve"> privacy laws</w:t>
      </w:r>
      <w:r w:rsidR="00697B00">
        <w:rPr>
          <w:rFonts w:ascii="Garamond" w:hAnsi="Garamond"/>
          <w:sz w:val="24"/>
          <w:szCs w:val="24"/>
        </w:rPr>
        <w:t xml:space="preserve"> tend to protect a property interest, as reflected in </w:t>
      </w:r>
      <w:r w:rsidR="00777F12">
        <w:rPr>
          <w:rFonts w:ascii="Garamond" w:hAnsi="Garamond"/>
          <w:sz w:val="24"/>
          <w:szCs w:val="24"/>
        </w:rPr>
        <w:t xml:space="preserve">the significance of </w:t>
      </w:r>
      <w:r w:rsidR="00697B00">
        <w:rPr>
          <w:rFonts w:ascii="Garamond" w:hAnsi="Garamond"/>
          <w:sz w:val="24"/>
          <w:szCs w:val="24"/>
        </w:rPr>
        <w:t xml:space="preserve">Prosser’s </w:t>
      </w:r>
      <w:r w:rsidR="00777F12">
        <w:rPr>
          <w:rFonts w:ascii="Garamond" w:hAnsi="Garamond"/>
          <w:sz w:val="24"/>
          <w:szCs w:val="24"/>
        </w:rPr>
        <w:t>four torts. However, several scholars and judges have recognized that privacy is much more than that. The Supreme Court has made clear that a right to privacy is to be determined based on a reasonable expectation of privacy.</w:t>
      </w:r>
      <w:r w:rsidR="00BD716C">
        <w:rPr>
          <w:rFonts w:ascii="Garamond" w:hAnsi="Garamond"/>
          <w:sz w:val="24"/>
          <w:szCs w:val="24"/>
        </w:rPr>
        <w:t xml:space="preserve"> But it’s not clear that a reasonable person fully appreciates the </w:t>
      </w:r>
      <w:r w:rsidR="00F34259">
        <w:rPr>
          <w:rFonts w:ascii="Garamond" w:hAnsi="Garamond"/>
          <w:sz w:val="24"/>
          <w:szCs w:val="24"/>
        </w:rPr>
        <w:t xml:space="preserve">way in which technology has increased the </w:t>
      </w:r>
      <w:r w:rsidR="00BD716C">
        <w:rPr>
          <w:rFonts w:ascii="Garamond" w:hAnsi="Garamond"/>
          <w:sz w:val="24"/>
          <w:szCs w:val="24"/>
        </w:rPr>
        <w:t xml:space="preserve">magnitude of these issues. </w:t>
      </w:r>
      <w:r w:rsidR="00462EF9">
        <w:rPr>
          <w:rFonts w:ascii="Garamond" w:hAnsi="Garamond"/>
          <w:sz w:val="24"/>
          <w:szCs w:val="24"/>
        </w:rPr>
        <w:t>Equally troubling is the fact that</w:t>
      </w:r>
      <w:r w:rsidR="00F34259">
        <w:rPr>
          <w:rFonts w:ascii="Garamond" w:hAnsi="Garamond"/>
          <w:sz w:val="24"/>
          <w:szCs w:val="24"/>
        </w:rPr>
        <w:t xml:space="preserve"> the U.S. government has sided with corporations, such as Google in regards to enforcement of European privacy laws. </w:t>
      </w:r>
    </w:p>
    <w:p w14:paraId="24A5AD87" w14:textId="12C39855" w:rsidR="00ED7D01" w:rsidRDefault="00BC77EE" w:rsidP="00C033EB">
      <w:pPr>
        <w:spacing w:after="0" w:line="480" w:lineRule="auto"/>
        <w:ind w:firstLine="720"/>
        <w:rPr>
          <w:rFonts w:ascii="Garamond" w:hAnsi="Garamond"/>
          <w:sz w:val="24"/>
          <w:szCs w:val="24"/>
        </w:rPr>
      </w:pPr>
      <w:r>
        <w:rPr>
          <w:rFonts w:ascii="Garamond" w:hAnsi="Garamond"/>
          <w:sz w:val="24"/>
          <w:szCs w:val="24"/>
        </w:rPr>
        <w:t xml:space="preserve">European laws are much better at protecting the “inviolate personality” that Brandeis and Warren, as well as many others </w:t>
      </w:r>
      <w:proofErr w:type="gramStart"/>
      <w:r>
        <w:rPr>
          <w:rFonts w:ascii="Garamond" w:hAnsi="Garamond"/>
          <w:sz w:val="24"/>
          <w:szCs w:val="24"/>
        </w:rPr>
        <w:t>have</w:t>
      </w:r>
      <w:proofErr w:type="gramEnd"/>
      <w:r>
        <w:rPr>
          <w:rFonts w:ascii="Garamond" w:hAnsi="Garamond"/>
          <w:sz w:val="24"/>
          <w:szCs w:val="24"/>
        </w:rPr>
        <w:t xml:space="preserve"> endorsed. </w:t>
      </w:r>
      <w:r w:rsidR="00C033EB">
        <w:rPr>
          <w:rFonts w:ascii="Garamond" w:hAnsi="Garamond"/>
          <w:sz w:val="24"/>
          <w:szCs w:val="24"/>
        </w:rPr>
        <w:t xml:space="preserve">Although concerns for human dignity and personality exist in American privacy jurisprudence, a theory of privacy based on a notion of personhood </w:t>
      </w:r>
      <w:r w:rsidR="00CC14A4">
        <w:rPr>
          <w:rFonts w:ascii="Garamond" w:hAnsi="Garamond"/>
          <w:sz w:val="24"/>
          <w:szCs w:val="24"/>
        </w:rPr>
        <w:t>would</w:t>
      </w:r>
      <w:r w:rsidR="00C033EB">
        <w:rPr>
          <w:rFonts w:ascii="Garamond" w:hAnsi="Garamond"/>
          <w:sz w:val="24"/>
          <w:szCs w:val="24"/>
        </w:rPr>
        <w:t xml:space="preserve"> improve our ability to protect privacy from new threats posed by corporations and technologies. As Jeffery Rosen reminds us, “There is nothing inevitable about the erosion of privacy, just as there is nothing inevit</w:t>
      </w:r>
      <w:r w:rsidR="00704E5C">
        <w:rPr>
          <w:rFonts w:ascii="Garamond" w:hAnsi="Garamond"/>
          <w:sz w:val="24"/>
          <w:szCs w:val="24"/>
        </w:rPr>
        <w:t>able about its reconstruction</w:t>
      </w:r>
      <w:r w:rsidR="006F140B">
        <w:rPr>
          <w:rFonts w:ascii="Garamond" w:hAnsi="Garamond"/>
          <w:sz w:val="24"/>
          <w:szCs w:val="24"/>
        </w:rPr>
        <w:t>.</w:t>
      </w:r>
      <w:r w:rsidR="00704E5C">
        <w:rPr>
          <w:rFonts w:ascii="Garamond" w:hAnsi="Garamond"/>
          <w:sz w:val="24"/>
          <w:szCs w:val="24"/>
        </w:rPr>
        <w:t>”</w:t>
      </w:r>
      <w:r w:rsidR="00704E5C">
        <w:rPr>
          <w:rStyle w:val="FootnoteReference"/>
          <w:rFonts w:ascii="Garamond" w:hAnsi="Garamond"/>
          <w:sz w:val="24"/>
          <w:szCs w:val="24"/>
        </w:rPr>
        <w:footnoteReference w:id="57"/>
      </w:r>
      <w:r w:rsidR="006F140B">
        <w:rPr>
          <w:rFonts w:ascii="Garamond" w:hAnsi="Garamond"/>
          <w:sz w:val="24"/>
          <w:szCs w:val="24"/>
        </w:rPr>
        <w:t xml:space="preserve"> At the very least we must recognize that </w:t>
      </w:r>
      <w:r w:rsidR="006F140B" w:rsidRPr="006F140B">
        <w:rPr>
          <w:rFonts w:ascii="Garamond" w:hAnsi="Garamond"/>
          <w:sz w:val="24"/>
          <w:szCs w:val="24"/>
        </w:rPr>
        <w:t>privacy</w:t>
      </w:r>
      <w:r w:rsidR="006F140B">
        <w:rPr>
          <w:rFonts w:ascii="Garamond" w:hAnsi="Garamond"/>
          <w:sz w:val="24"/>
          <w:szCs w:val="24"/>
        </w:rPr>
        <w:t xml:space="preserve"> is the</w:t>
      </w:r>
      <w:r w:rsidR="006F140B" w:rsidRPr="006F140B">
        <w:rPr>
          <w:rFonts w:ascii="Garamond" w:hAnsi="Garamond"/>
          <w:sz w:val="24"/>
          <w:szCs w:val="24"/>
        </w:rPr>
        <w:t xml:space="preserve"> mi</w:t>
      </w:r>
      <w:r w:rsidR="006F140B">
        <w:rPr>
          <w:rFonts w:ascii="Garamond" w:hAnsi="Garamond"/>
          <w:sz w:val="24"/>
          <w:szCs w:val="24"/>
        </w:rPr>
        <w:t xml:space="preserve">nimal precondition for love, </w:t>
      </w:r>
      <w:r w:rsidR="006F140B" w:rsidRPr="006F140B">
        <w:rPr>
          <w:rFonts w:ascii="Garamond" w:hAnsi="Garamond"/>
          <w:sz w:val="24"/>
          <w:szCs w:val="24"/>
        </w:rPr>
        <w:t>friendship</w:t>
      </w:r>
      <w:r w:rsidR="006F140B">
        <w:rPr>
          <w:rFonts w:ascii="Garamond" w:hAnsi="Garamond"/>
          <w:sz w:val="24"/>
          <w:szCs w:val="24"/>
        </w:rPr>
        <w:t>, and trust</w:t>
      </w:r>
      <w:r w:rsidR="006F140B" w:rsidRPr="006F140B">
        <w:rPr>
          <w:rFonts w:ascii="Garamond" w:hAnsi="Garamond"/>
          <w:sz w:val="24"/>
          <w:szCs w:val="24"/>
        </w:rPr>
        <w:t>.</w:t>
      </w:r>
      <w:r w:rsidR="00CC14A4">
        <w:rPr>
          <w:rFonts w:ascii="Garamond" w:hAnsi="Garamond"/>
          <w:sz w:val="24"/>
          <w:szCs w:val="24"/>
        </w:rPr>
        <w:t xml:space="preserve"> Clearly, there is a lot at stake.</w:t>
      </w:r>
    </w:p>
    <w:p w14:paraId="3A7AFA48" w14:textId="77777777" w:rsidR="006F140B" w:rsidRDefault="006F140B" w:rsidP="00C033EB">
      <w:pPr>
        <w:spacing w:after="0" w:line="480" w:lineRule="auto"/>
        <w:ind w:firstLine="720"/>
        <w:rPr>
          <w:rFonts w:ascii="Garamond" w:hAnsi="Garamond"/>
          <w:sz w:val="24"/>
          <w:szCs w:val="24"/>
        </w:rPr>
      </w:pPr>
    </w:p>
    <w:p w14:paraId="2791EEE2" w14:textId="77777777" w:rsidR="00CC14A4" w:rsidRDefault="00CC14A4" w:rsidP="00C033EB">
      <w:pPr>
        <w:spacing w:after="0" w:line="480" w:lineRule="auto"/>
        <w:ind w:firstLine="720"/>
        <w:rPr>
          <w:rFonts w:ascii="Garamond" w:hAnsi="Garamond"/>
          <w:sz w:val="24"/>
          <w:szCs w:val="24"/>
        </w:rPr>
      </w:pPr>
    </w:p>
    <w:p w14:paraId="1AE080F0" w14:textId="77777777" w:rsidR="006F140B" w:rsidRDefault="006F140B" w:rsidP="00C033EB">
      <w:pPr>
        <w:spacing w:after="0" w:line="480" w:lineRule="auto"/>
        <w:ind w:firstLine="720"/>
        <w:rPr>
          <w:rFonts w:ascii="Garamond" w:hAnsi="Garamond"/>
          <w:sz w:val="24"/>
          <w:szCs w:val="24"/>
        </w:rPr>
      </w:pPr>
    </w:p>
    <w:p w14:paraId="3A549FE4" w14:textId="77777777" w:rsidR="00CC14A4" w:rsidRDefault="00CC14A4">
      <w:pPr>
        <w:spacing w:after="0" w:line="240" w:lineRule="auto"/>
        <w:rPr>
          <w:rFonts w:ascii="Garamond" w:hAnsi="Garamond"/>
          <w:b/>
          <w:sz w:val="24"/>
          <w:szCs w:val="24"/>
        </w:rPr>
      </w:pPr>
      <w:r>
        <w:rPr>
          <w:rFonts w:ascii="Garamond" w:hAnsi="Garamond"/>
          <w:b/>
          <w:sz w:val="24"/>
          <w:szCs w:val="24"/>
        </w:rPr>
        <w:br w:type="page"/>
      </w:r>
    </w:p>
    <w:p w14:paraId="581B1D7A" w14:textId="4A04EF14" w:rsidR="00AE4CCA" w:rsidRDefault="00AE4CCA" w:rsidP="00CC14A4">
      <w:pPr>
        <w:jc w:val="center"/>
        <w:rPr>
          <w:rFonts w:ascii="Garamond" w:hAnsi="Garamond"/>
          <w:sz w:val="24"/>
          <w:szCs w:val="24"/>
        </w:rPr>
      </w:pPr>
      <w:r w:rsidRPr="00AE4CCA">
        <w:rPr>
          <w:rFonts w:ascii="Garamond" w:hAnsi="Garamond"/>
          <w:b/>
          <w:sz w:val="24"/>
          <w:szCs w:val="24"/>
        </w:rPr>
        <w:t>Bibliography</w:t>
      </w:r>
    </w:p>
    <w:p w14:paraId="75C4262E" w14:textId="1FE54B85" w:rsidR="0058018B" w:rsidRPr="00F3312A" w:rsidRDefault="0058018B" w:rsidP="00AE4CCA">
      <w:pPr>
        <w:rPr>
          <w:rFonts w:ascii="Garamond" w:hAnsi="Garamond"/>
          <w:sz w:val="24"/>
          <w:szCs w:val="24"/>
        </w:rPr>
      </w:pPr>
      <w:proofErr w:type="spellStart"/>
      <w:r w:rsidRPr="00F3312A">
        <w:rPr>
          <w:rFonts w:ascii="Garamond" w:hAnsi="Garamond"/>
          <w:sz w:val="24"/>
          <w:szCs w:val="24"/>
        </w:rPr>
        <w:t>Bloustein</w:t>
      </w:r>
      <w:proofErr w:type="spellEnd"/>
      <w:r w:rsidRPr="00F3312A">
        <w:rPr>
          <w:rFonts w:ascii="Garamond" w:hAnsi="Garamond"/>
          <w:sz w:val="24"/>
          <w:szCs w:val="24"/>
        </w:rPr>
        <w:t>, E</w:t>
      </w:r>
      <w:r w:rsidR="00967E50" w:rsidRPr="00F3312A">
        <w:rPr>
          <w:rFonts w:ascii="Garamond" w:hAnsi="Garamond"/>
          <w:sz w:val="24"/>
          <w:szCs w:val="24"/>
        </w:rPr>
        <w:t>dward J</w:t>
      </w:r>
      <w:r w:rsidRPr="00F3312A">
        <w:rPr>
          <w:rFonts w:ascii="Garamond" w:hAnsi="Garamond"/>
          <w:sz w:val="24"/>
          <w:szCs w:val="24"/>
        </w:rPr>
        <w:t xml:space="preserve">., 1964, “Privacy as an Aspect of Human Dignity: An Answer to Dean Prosser”, </w:t>
      </w:r>
      <w:r w:rsidRPr="00F3312A">
        <w:rPr>
          <w:rFonts w:ascii="Garamond" w:hAnsi="Garamond"/>
          <w:i/>
          <w:sz w:val="24"/>
          <w:szCs w:val="24"/>
        </w:rPr>
        <w:t>New York University Law Review</w:t>
      </w:r>
      <w:r w:rsidR="007152F2" w:rsidRPr="00F3312A">
        <w:rPr>
          <w:rFonts w:ascii="Garamond" w:hAnsi="Garamond"/>
          <w:sz w:val="24"/>
          <w:szCs w:val="24"/>
        </w:rPr>
        <w:t>, Vol. 39,</w:t>
      </w:r>
      <w:r w:rsidRPr="00F3312A">
        <w:rPr>
          <w:rFonts w:ascii="Garamond" w:hAnsi="Garamond"/>
          <w:sz w:val="24"/>
          <w:szCs w:val="24"/>
        </w:rPr>
        <w:t xml:space="preserve"> </w:t>
      </w:r>
      <w:r w:rsidR="007152F2" w:rsidRPr="00F3312A">
        <w:rPr>
          <w:rFonts w:ascii="Garamond" w:hAnsi="Garamond"/>
          <w:sz w:val="24"/>
          <w:szCs w:val="24"/>
        </w:rPr>
        <w:t xml:space="preserve">pp. </w:t>
      </w:r>
      <w:r w:rsidRPr="00F3312A">
        <w:rPr>
          <w:rFonts w:ascii="Garamond" w:hAnsi="Garamond"/>
          <w:sz w:val="24"/>
          <w:szCs w:val="24"/>
        </w:rPr>
        <w:t>962–1007</w:t>
      </w:r>
      <w:r w:rsidR="007152F2" w:rsidRPr="00F3312A">
        <w:rPr>
          <w:rFonts w:ascii="Garamond" w:hAnsi="Garamond"/>
          <w:sz w:val="24"/>
          <w:szCs w:val="24"/>
        </w:rPr>
        <w:t>.</w:t>
      </w:r>
    </w:p>
    <w:p w14:paraId="272FDBDF" w14:textId="19C7F597" w:rsidR="00A0375E" w:rsidRPr="00F3312A" w:rsidRDefault="00A0375E" w:rsidP="00AE4CCA">
      <w:pPr>
        <w:rPr>
          <w:rFonts w:ascii="Garamond" w:hAnsi="Garamond"/>
          <w:sz w:val="24"/>
          <w:szCs w:val="24"/>
        </w:rPr>
      </w:pPr>
      <w:r w:rsidRPr="00F3312A">
        <w:rPr>
          <w:rFonts w:ascii="Garamond" w:hAnsi="Garamond"/>
          <w:sz w:val="24"/>
          <w:szCs w:val="24"/>
        </w:rPr>
        <w:t xml:space="preserve">Fried, Charles, </w:t>
      </w:r>
      <w:r w:rsidRPr="00F3312A">
        <w:rPr>
          <w:rFonts w:ascii="Garamond" w:hAnsi="Garamond"/>
          <w:i/>
          <w:sz w:val="24"/>
          <w:szCs w:val="24"/>
        </w:rPr>
        <w:t>An Anatomy of Values: Problems of Personal and Social Choice</w:t>
      </w:r>
      <w:r w:rsidRPr="00F3312A">
        <w:rPr>
          <w:rFonts w:ascii="Garamond" w:hAnsi="Garamond"/>
          <w:sz w:val="24"/>
          <w:szCs w:val="24"/>
        </w:rPr>
        <w:t xml:space="preserve"> (Cambri</w:t>
      </w:r>
      <w:r w:rsidR="00967E50" w:rsidRPr="00F3312A">
        <w:rPr>
          <w:rFonts w:ascii="Garamond" w:hAnsi="Garamond"/>
          <w:sz w:val="24"/>
          <w:szCs w:val="24"/>
        </w:rPr>
        <w:t>dge, Mass., 1</w:t>
      </w:r>
      <w:r w:rsidRPr="00F3312A">
        <w:rPr>
          <w:rFonts w:ascii="Garamond" w:hAnsi="Garamond"/>
          <w:sz w:val="24"/>
          <w:szCs w:val="24"/>
        </w:rPr>
        <w:t>970).</w:t>
      </w:r>
    </w:p>
    <w:p w14:paraId="36B8128C" w14:textId="5BD0804B" w:rsidR="00752FE7" w:rsidRPr="00F3312A" w:rsidRDefault="0026737D" w:rsidP="00AE4CCA">
      <w:pPr>
        <w:rPr>
          <w:rFonts w:ascii="Garamond" w:hAnsi="Garamond"/>
          <w:sz w:val="24"/>
          <w:szCs w:val="24"/>
        </w:rPr>
      </w:pPr>
      <w:r w:rsidRPr="00F3312A">
        <w:rPr>
          <w:rFonts w:ascii="Garamond" w:hAnsi="Garamond"/>
          <w:sz w:val="24"/>
          <w:szCs w:val="24"/>
        </w:rPr>
        <w:t xml:space="preserve">Fried, </w:t>
      </w:r>
      <w:r w:rsidR="00D70CBE" w:rsidRPr="00F3312A">
        <w:rPr>
          <w:rFonts w:ascii="Garamond" w:hAnsi="Garamond"/>
          <w:sz w:val="24"/>
          <w:szCs w:val="24"/>
        </w:rPr>
        <w:t xml:space="preserve">Charles, </w:t>
      </w:r>
      <w:r w:rsidRPr="00F3312A">
        <w:rPr>
          <w:rFonts w:ascii="Garamond" w:hAnsi="Garamond"/>
          <w:sz w:val="24"/>
          <w:szCs w:val="24"/>
        </w:rPr>
        <w:t xml:space="preserve">“Privacy: A Rationalist Context” in Richard A. </w:t>
      </w:r>
      <w:proofErr w:type="spellStart"/>
      <w:r w:rsidRPr="00F3312A">
        <w:rPr>
          <w:rFonts w:ascii="Garamond" w:hAnsi="Garamond"/>
          <w:sz w:val="24"/>
          <w:szCs w:val="24"/>
        </w:rPr>
        <w:t>Wasserstrom</w:t>
      </w:r>
      <w:proofErr w:type="spellEnd"/>
      <w:r w:rsidRPr="00F3312A">
        <w:rPr>
          <w:rFonts w:ascii="Garamond" w:hAnsi="Garamond"/>
          <w:sz w:val="24"/>
          <w:szCs w:val="24"/>
        </w:rPr>
        <w:t xml:space="preserve"> (ed.) </w:t>
      </w:r>
      <w:r w:rsidRPr="00F3312A">
        <w:rPr>
          <w:rFonts w:ascii="Garamond" w:hAnsi="Garamond"/>
          <w:i/>
          <w:sz w:val="24"/>
          <w:szCs w:val="24"/>
        </w:rPr>
        <w:t>Today’s Moral Problems</w:t>
      </w:r>
      <w:r w:rsidRPr="00F3312A">
        <w:rPr>
          <w:rFonts w:ascii="Garamond" w:hAnsi="Garamond"/>
          <w:sz w:val="24"/>
          <w:szCs w:val="24"/>
        </w:rPr>
        <w:t>, pp. 365-377.</w:t>
      </w:r>
    </w:p>
    <w:p w14:paraId="05632CF5" w14:textId="5429FF92" w:rsidR="00462EF9" w:rsidRPr="00F3312A" w:rsidRDefault="00462EF9" w:rsidP="00AE4CCA">
      <w:pPr>
        <w:rPr>
          <w:rFonts w:ascii="Garamond" w:hAnsi="Garamond"/>
          <w:sz w:val="24"/>
          <w:szCs w:val="24"/>
        </w:rPr>
      </w:pPr>
      <w:proofErr w:type="spellStart"/>
      <w:r w:rsidRPr="00F3312A">
        <w:rPr>
          <w:rFonts w:ascii="Garamond" w:hAnsi="Garamond"/>
          <w:sz w:val="24"/>
          <w:szCs w:val="24"/>
        </w:rPr>
        <w:t>Huw</w:t>
      </w:r>
      <w:proofErr w:type="spellEnd"/>
      <w:r w:rsidRPr="00F3312A">
        <w:rPr>
          <w:rFonts w:ascii="Garamond" w:hAnsi="Garamond"/>
          <w:sz w:val="24"/>
          <w:szCs w:val="24"/>
        </w:rPr>
        <w:t xml:space="preserve"> Beverley-et al., </w:t>
      </w:r>
      <w:r w:rsidRPr="00F3312A">
        <w:rPr>
          <w:rFonts w:ascii="Garamond" w:hAnsi="Garamond"/>
          <w:i/>
          <w:sz w:val="24"/>
          <w:szCs w:val="24"/>
        </w:rPr>
        <w:t>Privacy, Property and Personality</w:t>
      </w:r>
      <w:r w:rsidRPr="00F3312A">
        <w:rPr>
          <w:rFonts w:ascii="Garamond" w:hAnsi="Garamond"/>
          <w:sz w:val="24"/>
          <w:szCs w:val="24"/>
        </w:rPr>
        <w:t xml:space="preserve"> 218 (2005)</w:t>
      </w:r>
    </w:p>
    <w:p w14:paraId="5A1C7ECF" w14:textId="67FD5738" w:rsidR="00E50A96" w:rsidRPr="00F3312A" w:rsidRDefault="00E50A96" w:rsidP="00AE4CCA">
      <w:pPr>
        <w:rPr>
          <w:rFonts w:ascii="Garamond" w:hAnsi="Garamond"/>
          <w:sz w:val="24"/>
          <w:szCs w:val="24"/>
        </w:rPr>
      </w:pPr>
      <w:r w:rsidRPr="00F3312A">
        <w:rPr>
          <w:rFonts w:ascii="Garamond" w:hAnsi="Garamond"/>
          <w:sz w:val="24"/>
          <w:szCs w:val="24"/>
        </w:rPr>
        <w:t>Inness, J., 1992, Privacy, Intimacy and Isolation, Oxford: Oxford University Press.</w:t>
      </w:r>
    </w:p>
    <w:p w14:paraId="42B21BB4" w14:textId="4CC4958D" w:rsidR="00380AF5" w:rsidRPr="00F3312A" w:rsidRDefault="00380AF5" w:rsidP="00AE4CCA">
      <w:pPr>
        <w:rPr>
          <w:rFonts w:ascii="Garamond" w:hAnsi="Garamond"/>
          <w:sz w:val="24"/>
          <w:szCs w:val="24"/>
        </w:rPr>
      </w:pPr>
      <w:proofErr w:type="spellStart"/>
      <w:proofErr w:type="gramStart"/>
      <w:r w:rsidRPr="00F3312A">
        <w:rPr>
          <w:rFonts w:ascii="Garamond" w:hAnsi="Garamond"/>
          <w:sz w:val="24"/>
          <w:szCs w:val="24"/>
        </w:rPr>
        <w:t>Kupfer</w:t>
      </w:r>
      <w:proofErr w:type="spellEnd"/>
      <w:r w:rsidRPr="00F3312A">
        <w:rPr>
          <w:rFonts w:ascii="Garamond" w:hAnsi="Garamond"/>
          <w:sz w:val="24"/>
          <w:szCs w:val="24"/>
        </w:rPr>
        <w:t xml:space="preserve">, J., 1987, “Privacy, Autonomy and Self-Concept”, </w:t>
      </w:r>
      <w:r w:rsidRPr="00F3312A">
        <w:rPr>
          <w:rFonts w:ascii="Garamond" w:hAnsi="Garamond"/>
          <w:i/>
          <w:sz w:val="24"/>
          <w:szCs w:val="24"/>
        </w:rPr>
        <w:t>American Philosophical Quarterly</w:t>
      </w:r>
      <w:r w:rsidRPr="00F3312A">
        <w:rPr>
          <w:rFonts w:ascii="Garamond" w:hAnsi="Garamond"/>
          <w:sz w:val="24"/>
          <w:szCs w:val="24"/>
        </w:rPr>
        <w:t>, 24: 81–89.</w:t>
      </w:r>
      <w:proofErr w:type="gramEnd"/>
    </w:p>
    <w:p w14:paraId="3EED76C2" w14:textId="0DA2876C" w:rsidR="00462EF9" w:rsidRPr="00F3312A" w:rsidRDefault="00462EF9" w:rsidP="00AE4CCA">
      <w:pPr>
        <w:rPr>
          <w:rFonts w:ascii="Garamond" w:hAnsi="Garamond"/>
          <w:sz w:val="24"/>
          <w:szCs w:val="24"/>
        </w:rPr>
      </w:pPr>
      <w:proofErr w:type="spellStart"/>
      <w:r w:rsidRPr="00F3312A">
        <w:rPr>
          <w:rFonts w:ascii="Garamond" w:hAnsi="Garamond"/>
          <w:sz w:val="24"/>
          <w:szCs w:val="24"/>
        </w:rPr>
        <w:t>Nizer</w:t>
      </w:r>
      <w:proofErr w:type="spellEnd"/>
      <w:r w:rsidRPr="00F3312A">
        <w:rPr>
          <w:rFonts w:ascii="Garamond" w:hAnsi="Garamond"/>
          <w:sz w:val="24"/>
          <w:szCs w:val="24"/>
        </w:rPr>
        <w:t>, Louis “The Right to Privacy: A Half Century's Developments,” 39 Mich. L. Rev. 526, 528 (1941).</w:t>
      </w:r>
    </w:p>
    <w:p w14:paraId="7336E07A" w14:textId="0D521C86" w:rsidR="00462EF9" w:rsidRPr="00F3312A" w:rsidRDefault="00462EF9" w:rsidP="00AE4CCA">
      <w:pPr>
        <w:rPr>
          <w:rFonts w:ascii="Garamond" w:hAnsi="Garamond"/>
          <w:sz w:val="24"/>
          <w:szCs w:val="24"/>
        </w:rPr>
      </w:pPr>
      <w:proofErr w:type="gramStart"/>
      <w:r w:rsidRPr="00F3312A">
        <w:rPr>
          <w:rFonts w:ascii="Garamond" w:hAnsi="Garamond"/>
          <w:sz w:val="24"/>
          <w:szCs w:val="24"/>
        </w:rPr>
        <w:t xml:space="preserve">“Note, The Right to Privacy Today,” 43 </w:t>
      </w:r>
      <w:proofErr w:type="spellStart"/>
      <w:r w:rsidRPr="00F3312A">
        <w:rPr>
          <w:rFonts w:ascii="Garamond" w:hAnsi="Garamond"/>
          <w:sz w:val="24"/>
          <w:szCs w:val="24"/>
        </w:rPr>
        <w:t>Harv</w:t>
      </w:r>
      <w:proofErr w:type="spellEnd"/>
      <w:r w:rsidRPr="00F3312A">
        <w:rPr>
          <w:rFonts w:ascii="Garamond" w:hAnsi="Garamond"/>
          <w:sz w:val="24"/>
          <w:szCs w:val="24"/>
        </w:rPr>
        <w:t>.</w:t>
      </w:r>
      <w:proofErr w:type="gramEnd"/>
      <w:r w:rsidRPr="00F3312A">
        <w:rPr>
          <w:rFonts w:ascii="Garamond" w:hAnsi="Garamond"/>
          <w:sz w:val="24"/>
          <w:szCs w:val="24"/>
        </w:rPr>
        <w:t xml:space="preserve"> L. Rev. 297, 300 (1929)</w:t>
      </w:r>
    </w:p>
    <w:p w14:paraId="370321B0" w14:textId="15DCD302" w:rsidR="000C274F" w:rsidRPr="00F3312A" w:rsidRDefault="000C274F" w:rsidP="00AE4CCA">
      <w:pPr>
        <w:rPr>
          <w:rFonts w:ascii="Garamond" w:hAnsi="Garamond"/>
          <w:sz w:val="24"/>
          <w:szCs w:val="24"/>
        </w:rPr>
      </w:pPr>
      <w:proofErr w:type="gramStart"/>
      <w:r w:rsidRPr="00F3312A">
        <w:rPr>
          <w:rFonts w:ascii="Garamond" w:hAnsi="Garamond"/>
          <w:sz w:val="24"/>
          <w:szCs w:val="24"/>
        </w:rPr>
        <w:t xml:space="preserve">Parent, W., 1983, “Privacy, Morality and the Law”, </w:t>
      </w:r>
      <w:r w:rsidRPr="00F3312A">
        <w:rPr>
          <w:rFonts w:ascii="Garamond" w:hAnsi="Garamond"/>
          <w:i/>
          <w:sz w:val="24"/>
          <w:szCs w:val="24"/>
        </w:rPr>
        <w:t>Philosophy &amp; Public Affairs</w:t>
      </w:r>
      <w:r w:rsidRPr="00F3312A">
        <w:rPr>
          <w:rFonts w:ascii="Garamond" w:hAnsi="Garamond"/>
          <w:sz w:val="24"/>
          <w:szCs w:val="24"/>
        </w:rPr>
        <w:t>, Vol. 12, pp. 269–88.</w:t>
      </w:r>
      <w:proofErr w:type="gramEnd"/>
    </w:p>
    <w:p w14:paraId="1357284F" w14:textId="3406DFB1" w:rsidR="00386BB1" w:rsidRPr="00F3312A" w:rsidRDefault="00752FE7" w:rsidP="00AE4CCA">
      <w:pPr>
        <w:rPr>
          <w:rFonts w:ascii="Garamond" w:hAnsi="Garamond"/>
          <w:sz w:val="24"/>
          <w:szCs w:val="24"/>
        </w:rPr>
      </w:pPr>
      <w:proofErr w:type="spellStart"/>
      <w:r w:rsidRPr="00F3312A">
        <w:rPr>
          <w:rFonts w:ascii="Garamond" w:hAnsi="Garamond"/>
          <w:sz w:val="24"/>
          <w:szCs w:val="24"/>
        </w:rPr>
        <w:t>Pennock</w:t>
      </w:r>
      <w:proofErr w:type="spellEnd"/>
      <w:r w:rsidR="00D70CBE" w:rsidRPr="00F3312A">
        <w:rPr>
          <w:rFonts w:ascii="Garamond" w:hAnsi="Garamond"/>
          <w:sz w:val="24"/>
          <w:szCs w:val="24"/>
        </w:rPr>
        <w:t>, J. Roland,</w:t>
      </w:r>
      <w:r w:rsidRPr="00F3312A">
        <w:rPr>
          <w:rFonts w:ascii="Garamond" w:hAnsi="Garamond"/>
          <w:sz w:val="24"/>
          <w:szCs w:val="24"/>
        </w:rPr>
        <w:t xml:space="preserve"> and John W. Chapman (eds.) </w:t>
      </w:r>
      <w:r w:rsidRPr="00F3312A">
        <w:rPr>
          <w:rFonts w:ascii="Garamond" w:hAnsi="Garamond"/>
          <w:i/>
          <w:sz w:val="24"/>
          <w:szCs w:val="24"/>
        </w:rPr>
        <w:t>Privacy</w:t>
      </w:r>
      <w:r w:rsidRPr="00F3312A">
        <w:rPr>
          <w:rFonts w:ascii="Garamond" w:hAnsi="Garamond"/>
          <w:sz w:val="24"/>
          <w:szCs w:val="24"/>
        </w:rPr>
        <w:t>, New York: Atherton (1971).</w:t>
      </w:r>
    </w:p>
    <w:p w14:paraId="00BA752C" w14:textId="037A2896" w:rsidR="000B6D94" w:rsidRPr="00F3312A" w:rsidRDefault="000B6D94" w:rsidP="00AE4CCA">
      <w:pPr>
        <w:rPr>
          <w:rFonts w:ascii="Garamond" w:hAnsi="Garamond"/>
          <w:sz w:val="24"/>
          <w:szCs w:val="24"/>
        </w:rPr>
      </w:pPr>
      <w:proofErr w:type="gramStart"/>
      <w:r w:rsidRPr="00F3312A">
        <w:rPr>
          <w:rFonts w:ascii="Garamond" w:hAnsi="Garamond"/>
          <w:sz w:val="24"/>
          <w:szCs w:val="24"/>
        </w:rPr>
        <w:t xml:space="preserve">Pound, Roscoe, “Interests of Personality,” 28 </w:t>
      </w:r>
      <w:proofErr w:type="spellStart"/>
      <w:r w:rsidRPr="00F3312A">
        <w:rPr>
          <w:rFonts w:ascii="Garamond" w:hAnsi="Garamond"/>
          <w:sz w:val="24"/>
          <w:szCs w:val="24"/>
        </w:rPr>
        <w:t>Harv</w:t>
      </w:r>
      <w:proofErr w:type="spellEnd"/>
      <w:r w:rsidRPr="00F3312A">
        <w:rPr>
          <w:rFonts w:ascii="Garamond" w:hAnsi="Garamond"/>
          <w:sz w:val="24"/>
          <w:szCs w:val="24"/>
        </w:rPr>
        <w:t>.</w:t>
      </w:r>
      <w:proofErr w:type="gramEnd"/>
      <w:r w:rsidRPr="00F3312A">
        <w:rPr>
          <w:rFonts w:ascii="Garamond" w:hAnsi="Garamond"/>
          <w:sz w:val="24"/>
          <w:szCs w:val="24"/>
        </w:rPr>
        <w:t xml:space="preserve"> L. Rev. 343, 350-58, 362-64 (1915).</w:t>
      </w:r>
    </w:p>
    <w:p w14:paraId="15021B01" w14:textId="27DB0ED9" w:rsidR="000E7435" w:rsidRPr="00F3312A" w:rsidRDefault="000E7435" w:rsidP="00AE4CCA">
      <w:pPr>
        <w:rPr>
          <w:rFonts w:ascii="Garamond" w:hAnsi="Garamond"/>
          <w:sz w:val="24"/>
          <w:szCs w:val="24"/>
        </w:rPr>
      </w:pPr>
      <w:proofErr w:type="gramStart"/>
      <w:r w:rsidRPr="00F3312A">
        <w:rPr>
          <w:rFonts w:ascii="Garamond" w:hAnsi="Garamond"/>
          <w:sz w:val="24"/>
          <w:szCs w:val="24"/>
        </w:rPr>
        <w:t>Prosser, W. L. (1960, August).</w:t>
      </w:r>
      <w:proofErr w:type="gramEnd"/>
      <w:r w:rsidRPr="00F3312A">
        <w:rPr>
          <w:rFonts w:ascii="Garamond" w:hAnsi="Garamond"/>
          <w:sz w:val="24"/>
          <w:szCs w:val="24"/>
        </w:rPr>
        <w:t xml:space="preserve"> “Privacy,” </w:t>
      </w:r>
      <w:r w:rsidRPr="00F3312A">
        <w:rPr>
          <w:rFonts w:ascii="Garamond" w:hAnsi="Garamond"/>
          <w:i/>
          <w:sz w:val="24"/>
          <w:szCs w:val="24"/>
        </w:rPr>
        <w:t>California Law Review</w:t>
      </w:r>
      <w:r w:rsidRPr="00F3312A">
        <w:rPr>
          <w:rFonts w:ascii="Garamond" w:hAnsi="Garamond"/>
          <w:sz w:val="24"/>
          <w:szCs w:val="24"/>
        </w:rPr>
        <w:t>, Vol. 48, No. 3, pp. 383-423.</w:t>
      </w:r>
    </w:p>
    <w:p w14:paraId="53BF4F89" w14:textId="4039FBEE" w:rsidR="00FF46C2" w:rsidRPr="00F3312A" w:rsidRDefault="00FF46C2" w:rsidP="00AE4CCA">
      <w:pPr>
        <w:rPr>
          <w:rFonts w:ascii="Garamond" w:hAnsi="Garamond"/>
          <w:sz w:val="24"/>
          <w:szCs w:val="24"/>
        </w:rPr>
      </w:pPr>
      <w:proofErr w:type="spellStart"/>
      <w:r w:rsidRPr="00F3312A">
        <w:rPr>
          <w:rFonts w:ascii="Garamond" w:hAnsi="Garamond"/>
          <w:sz w:val="24"/>
          <w:szCs w:val="24"/>
        </w:rPr>
        <w:t>Rachels</w:t>
      </w:r>
      <w:proofErr w:type="spellEnd"/>
      <w:r w:rsidRPr="00F3312A">
        <w:rPr>
          <w:rFonts w:ascii="Garamond" w:hAnsi="Garamond"/>
          <w:sz w:val="24"/>
          <w:szCs w:val="24"/>
        </w:rPr>
        <w:t xml:space="preserve">, James, “Why Privacy is Important,” </w:t>
      </w:r>
      <w:r w:rsidRPr="00F3312A">
        <w:rPr>
          <w:rFonts w:ascii="Garamond" w:hAnsi="Garamond"/>
          <w:i/>
          <w:sz w:val="24"/>
          <w:szCs w:val="24"/>
        </w:rPr>
        <w:t>Philosophy &amp; Public Affairs</w:t>
      </w:r>
      <w:r w:rsidRPr="00F3312A">
        <w:rPr>
          <w:rFonts w:ascii="Garamond" w:hAnsi="Garamond"/>
          <w:sz w:val="24"/>
          <w:szCs w:val="24"/>
        </w:rPr>
        <w:t>, Vol. 4, No. 4 (Summer, 1975), pp. 323-333.</w:t>
      </w:r>
    </w:p>
    <w:p w14:paraId="027085A8" w14:textId="40471911" w:rsidR="002E6C22" w:rsidRPr="00F3312A" w:rsidRDefault="002E6C22" w:rsidP="00AE4CCA">
      <w:pPr>
        <w:rPr>
          <w:rFonts w:ascii="Garamond" w:hAnsi="Garamond"/>
          <w:sz w:val="24"/>
          <w:szCs w:val="24"/>
        </w:rPr>
      </w:pPr>
      <w:proofErr w:type="spellStart"/>
      <w:r w:rsidRPr="00F3312A">
        <w:rPr>
          <w:rFonts w:ascii="Garamond" w:hAnsi="Garamond"/>
          <w:sz w:val="24"/>
          <w:szCs w:val="24"/>
        </w:rPr>
        <w:t>Reiman</w:t>
      </w:r>
      <w:proofErr w:type="spellEnd"/>
      <w:r w:rsidRPr="00F3312A">
        <w:rPr>
          <w:rFonts w:ascii="Garamond" w:hAnsi="Garamond"/>
          <w:sz w:val="24"/>
          <w:szCs w:val="24"/>
        </w:rPr>
        <w:t>,</w:t>
      </w:r>
      <w:r w:rsidR="00D70CBE" w:rsidRPr="00F3312A">
        <w:rPr>
          <w:rFonts w:ascii="Garamond" w:hAnsi="Garamond"/>
          <w:sz w:val="24"/>
          <w:szCs w:val="24"/>
        </w:rPr>
        <w:t xml:space="preserve"> Jeffery H.,</w:t>
      </w:r>
      <w:r w:rsidRPr="00F3312A">
        <w:rPr>
          <w:rFonts w:ascii="Garamond" w:hAnsi="Garamond"/>
          <w:sz w:val="24"/>
          <w:szCs w:val="24"/>
        </w:rPr>
        <w:t xml:space="preserve"> “Privacy, Intimacy, and Personhood,” </w:t>
      </w:r>
      <w:r w:rsidRPr="00F3312A">
        <w:rPr>
          <w:rFonts w:ascii="Garamond" w:hAnsi="Garamond"/>
          <w:i/>
          <w:sz w:val="24"/>
          <w:szCs w:val="24"/>
        </w:rPr>
        <w:t>Philosophy &amp; Public Affairs</w:t>
      </w:r>
      <w:r w:rsidRPr="00F3312A">
        <w:rPr>
          <w:rFonts w:ascii="Garamond" w:hAnsi="Garamond"/>
          <w:sz w:val="24"/>
          <w:szCs w:val="24"/>
        </w:rPr>
        <w:t>, Vol. 6, No. 1 (Autumn, 1976), pp. 26-44.</w:t>
      </w:r>
    </w:p>
    <w:p w14:paraId="60FCC049" w14:textId="537E9730" w:rsidR="006F140B" w:rsidRPr="00F3312A" w:rsidRDefault="006F140B" w:rsidP="00AE4CCA">
      <w:pPr>
        <w:rPr>
          <w:rFonts w:ascii="Garamond" w:hAnsi="Garamond"/>
          <w:sz w:val="24"/>
          <w:szCs w:val="24"/>
        </w:rPr>
      </w:pPr>
      <w:r w:rsidRPr="00F3312A">
        <w:rPr>
          <w:rFonts w:ascii="Garamond" w:hAnsi="Garamond"/>
          <w:sz w:val="24"/>
          <w:szCs w:val="24"/>
        </w:rPr>
        <w:t xml:space="preserve">Rosen, Jeffery, </w:t>
      </w:r>
      <w:r w:rsidRPr="00F3312A">
        <w:rPr>
          <w:rFonts w:ascii="Garamond" w:hAnsi="Garamond"/>
          <w:i/>
          <w:sz w:val="24"/>
          <w:szCs w:val="24"/>
        </w:rPr>
        <w:t>The Unwanted Gaze: The Destruction of Privacy in America</w:t>
      </w:r>
      <w:r w:rsidRPr="00F3312A">
        <w:rPr>
          <w:rFonts w:ascii="Garamond" w:hAnsi="Garamond"/>
          <w:sz w:val="24"/>
          <w:szCs w:val="24"/>
        </w:rPr>
        <w:t>, New York: Random House (2000).</w:t>
      </w:r>
    </w:p>
    <w:p w14:paraId="75296E25" w14:textId="352DB730" w:rsidR="00D70CBE" w:rsidRPr="00F3312A" w:rsidRDefault="00D70CBE" w:rsidP="00AE4CCA">
      <w:pPr>
        <w:rPr>
          <w:rFonts w:ascii="Garamond" w:hAnsi="Garamond"/>
          <w:sz w:val="24"/>
          <w:szCs w:val="24"/>
        </w:rPr>
      </w:pPr>
      <w:r w:rsidRPr="00F3312A">
        <w:rPr>
          <w:rFonts w:ascii="Garamond" w:hAnsi="Garamond"/>
          <w:sz w:val="24"/>
          <w:szCs w:val="24"/>
        </w:rPr>
        <w:t>Scanlon, Thomas, “Thomson o</w:t>
      </w:r>
      <w:r w:rsidR="00FF46C2" w:rsidRPr="00F3312A">
        <w:rPr>
          <w:rFonts w:ascii="Garamond" w:hAnsi="Garamond"/>
          <w:sz w:val="24"/>
          <w:szCs w:val="24"/>
        </w:rPr>
        <w:t>n</w:t>
      </w:r>
      <w:r w:rsidRPr="00F3312A">
        <w:rPr>
          <w:rFonts w:ascii="Garamond" w:hAnsi="Garamond"/>
          <w:sz w:val="24"/>
          <w:szCs w:val="24"/>
        </w:rPr>
        <w:t xml:space="preserve"> Privacy,” </w:t>
      </w:r>
      <w:r w:rsidRPr="00F3312A">
        <w:rPr>
          <w:rFonts w:ascii="Garamond" w:hAnsi="Garamond"/>
          <w:i/>
          <w:sz w:val="24"/>
          <w:szCs w:val="24"/>
        </w:rPr>
        <w:t>Philosophy &amp; Public Affairs</w:t>
      </w:r>
      <w:r w:rsidRPr="00F3312A">
        <w:rPr>
          <w:rFonts w:ascii="Garamond" w:hAnsi="Garamond"/>
          <w:sz w:val="24"/>
          <w:szCs w:val="24"/>
        </w:rPr>
        <w:t>, Vol. 4, No. 4 (Summer, 1975), pp. 315-322.</w:t>
      </w:r>
    </w:p>
    <w:p w14:paraId="5C5F2BB5" w14:textId="4AA01CA5" w:rsidR="00A04361" w:rsidRPr="00F3312A" w:rsidRDefault="00A04361" w:rsidP="00A04361">
      <w:pPr>
        <w:rPr>
          <w:rFonts w:ascii="Garamond" w:hAnsi="Garamond"/>
          <w:sz w:val="24"/>
          <w:szCs w:val="24"/>
        </w:rPr>
      </w:pPr>
      <w:proofErr w:type="spellStart"/>
      <w:r w:rsidRPr="00F3312A">
        <w:rPr>
          <w:rFonts w:ascii="Garamond" w:hAnsi="Garamond"/>
          <w:sz w:val="24"/>
          <w:szCs w:val="24"/>
        </w:rPr>
        <w:t>Schoeman</w:t>
      </w:r>
      <w:proofErr w:type="spellEnd"/>
      <w:r w:rsidRPr="00F3312A">
        <w:rPr>
          <w:rFonts w:ascii="Garamond" w:hAnsi="Garamond"/>
          <w:sz w:val="24"/>
          <w:szCs w:val="24"/>
        </w:rPr>
        <w:t xml:space="preserve">, F., (ed.), 1992, </w:t>
      </w:r>
      <w:r w:rsidRPr="00F3312A">
        <w:rPr>
          <w:rFonts w:ascii="Garamond" w:hAnsi="Garamond"/>
          <w:i/>
          <w:sz w:val="24"/>
          <w:szCs w:val="24"/>
        </w:rPr>
        <w:t>Privacy and Social Freedom</w:t>
      </w:r>
      <w:r w:rsidRPr="00F3312A">
        <w:rPr>
          <w:rFonts w:ascii="Garamond" w:hAnsi="Garamond"/>
          <w:sz w:val="24"/>
          <w:szCs w:val="24"/>
        </w:rPr>
        <w:t>, Cambridge: Cambridge University Press.</w:t>
      </w:r>
    </w:p>
    <w:p w14:paraId="2800B783" w14:textId="26BB09BC" w:rsidR="00A04361" w:rsidRPr="00F3312A" w:rsidRDefault="00A04361" w:rsidP="00A04361">
      <w:pPr>
        <w:rPr>
          <w:rFonts w:ascii="Garamond" w:hAnsi="Garamond"/>
          <w:sz w:val="24"/>
          <w:szCs w:val="24"/>
        </w:rPr>
      </w:pPr>
      <w:proofErr w:type="spellStart"/>
      <w:proofErr w:type="gramStart"/>
      <w:r w:rsidRPr="00F3312A">
        <w:rPr>
          <w:rFonts w:ascii="Garamond" w:hAnsi="Garamond"/>
          <w:sz w:val="24"/>
          <w:szCs w:val="24"/>
        </w:rPr>
        <w:t>Solove</w:t>
      </w:r>
      <w:proofErr w:type="spellEnd"/>
      <w:r w:rsidRPr="00F3312A">
        <w:rPr>
          <w:rFonts w:ascii="Garamond" w:hAnsi="Garamond"/>
          <w:sz w:val="24"/>
          <w:szCs w:val="24"/>
        </w:rPr>
        <w:t>, D., 2006, “A Taxonomy of Privacy”, University of Pennsylvania Law Review, 154: 477–564</w:t>
      </w:r>
      <w:r w:rsidR="00462EF9" w:rsidRPr="00F3312A">
        <w:rPr>
          <w:rFonts w:ascii="Garamond" w:hAnsi="Garamond"/>
          <w:sz w:val="24"/>
          <w:szCs w:val="24"/>
        </w:rPr>
        <w:t>.</w:t>
      </w:r>
      <w:proofErr w:type="gramEnd"/>
    </w:p>
    <w:p w14:paraId="1DFDA54C" w14:textId="17207706" w:rsidR="00462EF9" w:rsidRPr="00F3312A" w:rsidRDefault="00462EF9" w:rsidP="00A04361">
      <w:pPr>
        <w:rPr>
          <w:rFonts w:ascii="Garamond" w:hAnsi="Garamond"/>
          <w:sz w:val="24"/>
          <w:szCs w:val="24"/>
        </w:rPr>
      </w:pPr>
      <w:proofErr w:type="spellStart"/>
      <w:r w:rsidRPr="00F3312A">
        <w:rPr>
          <w:rFonts w:ascii="Garamond" w:hAnsi="Garamond"/>
          <w:sz w:val="24"/>
          <w:szCs w:val="24"/>
        </w:rPr>
        <w:t>Solove</w:t>
      </w:r>
      <w:proofErr w:type="spellEnd"/>
      <w:r w:rsidRPr="00F3312A">
        <w:rPr>
          <w:rFonts w:ascii="Garamond" w:hAnsi="Garamond"/>
          <w:sz w:val="24"/>
          <w:szCs w:val="24"/>
        </w:rPr>
        <w:t xml:space="preserve">, Daniel J.  </w:t>
      </w:r>
      <w:proofErr w:type="gramStart"/>
      <w:r w:rsidRPr="00F3312A">
        <w:rPr>
          <w:rFonts w:ascii="Garamond" w:hAnsi="Garamond"/>
          <w:sz w:val="24"/>
          <w:szCs w:val="24"/>
        </w:rPr>
        <w:t xml:space="preserve">&amp; Paul M. Schwartz, </w:t>
      </w:r>
      <w:r w:rsidRPr="00F3312A">
        <w:rPr>
          <w:rFonts w:ascii="Garamond" w:hAnsi="Garamond"/>
          <w:i/>
          <w:sz w:val="24"/>
          <w:szCs w:val="24"/>
        </w:rPr>
        <w:t>Information Privacy Law</w:t>
      </w:r>
      <w:r w:rsidRPr="00F3312A">
        <w:rPr>
          <w:rFonts w:ascii="Garamond" w:hAnsi="Garamond"/>
          <w:sz w:val="24"/>
          <w:szCs w:val="24"/>
        </w:rPr>
        <w:t xml:space="preserve"> 78-231 (3d ed. 2008), at 1004-43.</w:t>
      </w:r>
      <w:proofErr w:type="gramEnd"/>
    </w:p>
    <w:p w14:paraId="11918B57" w14:textId="0DBBD6E7" w:rsidR="000A132C" w:rsidRPr="00F3312A" w:rsidRDefault="000A132C" w:rsidP="00AE4CCA">
      <w:pPr>
        <w:rPr>
          <w:rFonts w:ascii="Garamond" w:hAnsi="Garamond"/>
          <w:sz w:val="24"/>
          <w:szCs w:val="24"/>
        </w:rPr>
      </w:pPr>
      <w:r w:rsidRPr="00F3312A">
        <w:rPr>
          <w:rFonts w:ascii="Garamond" w:hAnsi="Garamond"/>
          <w:sz w:val="24"/>
          <w:szCs w:val="24"/>
        </w:rPr>
        <w:t>Schwartz</w:t>
      </w:r>
      <w:r w:rsidR="00E46A89" w:rsidRPr="00F3312A">
        <w:rPr>
          <w:rFonts w:ascii="Garamond" w:hAnsi="Garamond"/>
          <w:sz w:val="24"/>
          <w:szCs w:val="24"/>
        </w:rPr>
        <w:t>, Paul M.,</w:t>
      </w:r>
      <w:r w:rsidRPr="00F3312A">
        <w:rPr>
          <w:rFonts w:ascii="Garamond" w:hAnsi="Garamond"/>
          <w:sz w:val="24"/>
          <w:szCs w:val="24"/>
        </w:rPr>
        <w:t xml:space="preserve"> and Karl-</w:t>
      </w:r>
      <w:proofErr w:type="spellStart"/>
      <w:r w:rsidRPr="00F3312A">
        <w:rPr>
          <w:rFonts w:ascii="Garamond" w:hAnsi="Garamond"/>
          <w:sz w:val="24"/>
          <w:szCs w:val="24"/>
        </w:rPr>
        <w:t>Nikolaus</w:t>
      </w:r>
      <w:proofErr w:type="spellEnd"/>
      <w:r w:rsidRPr="00F3312A">
        <w:rPr>
          <w:rFonts w:ascii="Garamond" w:hAnsi="Garamond"/>
          <w:sz w:val="24"/>
          <w:szCs w:val="24"/>
        </w:rPr>
        <w:t xml:space="preserve"> </w:t>
      </w:r>
      <w:proofErr w:type="spellStart"/>
      <w:r w:rsidRPr="00F3312A">
        <w:rPr>
          <w:rFonts w:ascii="Garamond" w:hAnsi="Garamond"/>
          <w:sz w:val="24"/>
          <w:szCs w:val="24"/>
        </w:rPr>
        <w:t>Peifer</w:t>
      </w:r>
      <w:proofErr w:type="spellEnd"/>
      <w:r w:rsidRPr="00F3312A">
        <w:rPr>
          <w:rFonts w:ascii="Garamond" w:hAnsi="Garamond"/>
          <w:sz w:val="24"/>
          <w:szCs w:val="24"/>
        </w:rPr>
        <w:t xml:space="preserve">, “Prosser's Privacy and the German Right of Personality: Are Four Privacy Torts Better than One Unitary Concept?” </w:t>
      </w:r>
      <w:r w:rsidRPr="00F3312A">
        <w:rPr>
          <w:rFonts w:ascii="Garamond" w:hAnsi="Garamond"/>
          <w:i/>
          <w:sz w:val="24"/>
          <w:szCs w:val="24"/>
        </w:rPr>
        <w:t>California Law Review</w:t>
      </w:r>
      <w:r w:rsidRPr="00F3312A">
        <w:rPr>
          <w:rFonts w:ascii="Garamond" w:hAnsi="Garamond"/>
          <w:sz w:val="24"/>
          <w:szCs w:val="24"/>
        </w:rPr>
        <w:t>, Vol. 98, December 2010, pp. 1925-</w:t>
      </w:r>
      <w:proofErr w:type="gramStart"/>
      <w:r w:rsidR="00E46A89" w:rsidRPr="00F3312A">
        <w:rPr>
          <w:rFonts w:ascii="Garamond" w:hAnsi="Garamond"/>
          <w:sz w:val="24"/>
          <w:szCs w:val="24"/>
        </w:rPr>
        <w:t>?.</w:t>
      </w:r>
      <w:proofErr w:type="gramEnd"/>
    </w:p>
    <w:p w14:paraId="592C51BC" w14:textId="769DFEFF" w:rsidR="000A132C" w:rsidRPr="00F3312A" w:rsidRDefault="00AE4CCA" w:rsidP="00AE4CCA">
      <w:pPr>
        <w:rPr>
          <w:rFonts w:ascii="Garamond" w:hAnsi="Garamond"/>
          <w:sz w:val="24"/>
          <w:szCs w:val="24"/>
        </w:rPr>
      </w:pPr>
      <w:proofErr w:type="spellStart"/>
      <w:r w:rsidRPr="00F3312A">
        <w:rPr>
          <w:rFonts w:ascii="Garamond" w:hAnsi="Garamond"/>
          <w:sz w:val="24"/>
          <w:szCs w:val="24"/>
        </w:rPr>
        <w:t>Simmel</w:t>
      </w:r>
      <w:proofErr w:type="spellEnd"/>
      <w:r w:rsidRPr="00F3312A">
        <w:rPr>
          <w:rFonts w:ascii="Garamond" w:hAnsi="Garamond"/>
          <w:sz w:val="24"/>
          <w:szCs w:val="24"/>
        </w:rPr>
        <w:t>,</w:t>
      </w:r>
      <w:r w:rsidR="00D70CBE" w:rsidRPr="00F3312A">
        <w:rPr>
          <w:rFonts w:ascii="Garamond" w:hAnsi="Garamond"/>
          <w:sz w:val="24"/>
          <w:szCs w:val="24"/>
        </w:rPr>
        <w:t xml:space="preserve"> Arnold,</w:t>
      </w:r>
      <w:r w:rsidRPr="00F3312A">
        <w:rPr>
          <w:rFonts w:ascii="Garamond" w:hAnsi="Garamond"/>
          <w:sz w:val="24"/>
          <w:szCs w:val="24"/>
        </w:rPr>
        <w:t xml:space="preserve"> </w:t>
      </w:r>
      <w:r w:rsidRPr="00F3312A">
        <w:rPr>
          <w:rFonts w:ascii="Garamond" w:hAnsi="Garamond"/>
          <w:i/>
          <w:sz w:val="24"/>
          <w:szCs w:val="24"/>
        </w:rPr>
        <w:t>Privacy is not an Isolated Freedom</w:t>
      </w:r>
      <w:r w:rsidR="004A0854" w:rsidRPr="00F3312A">
        <w:rPr>
          <w:rFonts w:ascii="Garamond" w:hAnsi="Garamond"/>
          <w:sz w:val="24"/>
          <w:szCs w:val="24"/>
        </w:rPr>
        <w:t xml:space="preserve">, in </w:t>
      </w:r>
      <w:proofErr w:type="spellStart"/>
      <w:r w:rsidR="004A0854" w:rsidRPr="00F3312A">
        <w:rPr>
          <w:rFonts w:ascii="Garamond" w:hAnsi="Garamond"/>
          <w:sz w:val="24"/>
          <w:szCs w:val="24"/>
        </w:rPr>
        <w:t>Pennock</w:t>
      </w:r>
      <w:proofErr w:type="spellEnd"/>
      <w:r w:rsidR="004A0854" w:rsidRPr="00F3312A">
        <w:rPr>
          <w:rFonts w:ascii="Garamond" w:hAnsi="Garamond"/>
          <w:sz w:val="24"/>
          <w:szCs w:val="24"/>
        </w:rPr>
        <w:t xml:space="preserve"> and Chapman, eds</w:t>
      </w:r>
      <w:proofErr w:type="gramStart"/>
      <w:r w:rsidR="004A0854" w:rsidRPr="00F3312A">
        <w:rPr>
          <w:rFonts w:ascii="Garamond" w:hAnsi="Garamond"/>
          <w:sz w:val="24"/>
          <w:szCs w:val="24"/>
        </w:rPr>
        <w:t>.,</w:t>
      </w:r>
      <w:proofErr w:type="gramEnd"/>
      <w:r w:rsidR="004A0854" w:rsidRPr="00F3312A">
        <w:rPr>
          <w:rFonts w:ascii="Garamond" w:hAnsi="Garamond"/>
          <w:sz w:val="24"/>
          <w:szCs w:val="24"/>
        </w:rPr>
        <w:t xml:space="preserve"> </w:t>
      </w:r>
      <w:r w:rsidR="004A0854" w:rsidRPr="00F3312A">
        <w:rPr>
          <w:rFonts w:ascii="Garamond" w:hAnsi="Garamond"/>
          <w:i/>
          <w:sz w:val="24"/>
          <w:szCs w:val="24"/>
        </w:rPr>
        <w:t>Privacy</w:t>
      </w:r>
      <w:r w:rsidR="004A0854" w:rsidRPr="00F3312A">
        <w:rPr>
          <w:rFonts w:ascii="Garamond" w:hAnsi="Garamond"/>
          <w:sz w:val="24"/>
          <w:szCs w:val="24"/>
        </w:rPr>
        <w:t>, 72 (1971)</w:t>
      </w:r>
      <w:r w:rsidR="000A132C" w:rsidRPr="00F3312A">
        <w:rPr>
          <w:rFonts w:ascii="Garamond" w:hAnsi="Garamond"/>
          <w:sz w:val="24"/>
          <w:szCs w:val="24"/>
        </w:rPr>
        <w:t>.</w:t>
      </w:r>
    </w:p>
    <w:p w14:paraId="2E79CDC9" w14:textId="37B1954D" w:rsidR="00592CC6" w:rsidRPr="00F3312A" w:rsidRDefault="00A420E8" w:rsidP="00AE4CCA">
      <w:pPr>
        <w:rPr>
          <w:rFonts w:ascii="Garamond" w:hAnsi="Garamond"/>
          <w:sz w:val="24"/>
          <w:szCs w:val="24"/>
        </w:rPr>
      </w:pPr>
      <w:r w:rsidRPr="00F3312A">
        <w:rPr>
          <w:rFonts w:ascii="Garamond" w:hAnsi="Garamond"/>
          <w:sz w:val="24"/>
          <w:szCs w:val="24"/>
        </w:rPr>
        <w:t xml:space="preserve">Thomson, Judith Jarvis, “The Right to Privacy,” </w:t>
      </w:r>
      <w:r w:rsidRPr="00F3312A">
        <w:rPr>
          <w:rFonts w:ascii="Garamond" w:hAnsi="Garamond"/>
          <w:i/>
          <w:sz w:val="24"/>
          <w:szCs w:val="24"/>
        </w:rPr>
        <w:t>Philosophy &amp; Public Affairs</w:t>
      </w:r>
      <w:r w:rsidRPr="00F3312A">
        <w:rPr>
          <w:rFonts w:ascii="Garamond" w:hAnsi="Garamond"/>
          <w:sz w:val="24"/>
          <w:szCs w:val="24"/>
        </w:rPr>
        <w:t>, Vol. 4, No. 4 (Summer, 1975), pp. 295-314.</w:t>
      </w:r>
    </w:p>
    <w:p w14:paraId="2D60D513" w14:textId="51E266C0" w:rsidR="0054085F" w:rsidRPr="00F3312A" w:rsidRDefault="0054085F" w:rsidP="0026737D">
      <w:pPr>
        <w:rPr>
          <w:rFonts w:ascii="Garamond" w:hAnsi="Garamond"/>
          <w:sz w:val="24"/>
          <w:szCs w:val="24"/>
        </w:rPr>
      </w:pPr>
      <w:r w:rsidRPr="00F3312A">
        <w:rPr>
          <w:rFonts w:ascii="Garamond" w:hAnsi="Garamond"/>
          <w:sz w:val="24"/>
          <w:szCs w:val="24"/>
        </w:rPr>
        <w:t xml:space="preserve">Warren, S. and Brandeis, L., 1890, “The Right to Privacy,” </w:t>
      </w:r>
      <w:r w:rsidRPr="00F3312A">
        <w:rPr>
          <w:rFonts w:ascii="Garamond" w:hAnsi="Garamond"/>
          <w:i/>
          <w:sz w:val="24"/>
          <w:szCs w:val="24"/>
        </w:rPr>
        <w:t>Harvard Law Review</w:t>
      </w:r>
      <w:r w:rsidRPr="00F3312A">
        <w:rPr>
          <w:rFonts w:ascii="Garamond" w:hAnsi="Garamond"/>
          <w:sz w:val="24"/>
          <w:szCs w:val="24"/>
        </w:rPr>
        <w:t>, Vol. 4, pp. 193–220.</w:t>
      </w:r>
    </w:p>
    <w:p w14:paraId="361B4E63" w14:textId="36546E1E" w:rsidR="0026737D" w:rsidRPr="00F3312A" w:rsidRDefault="0026737D" w:rsidP="0026737D">
      <w:pPr>
        <w:rPr>
          <w:rFonts w:ascii="Garamond" w:hAnsi="Garamond"/>
          <w:sz w:val="24"/>
          <w:szCs w:val="24"/>
        </w:rPr>
      </w:pPr>
      <w:r w:rsidRPr="00F3312A">
        <w:rPr>
          <w:rFonts w:ascii="Garamond" w:hAnsi="Garamond"/>
          <w:sz w:val="24"/>
          <w:szCs w:val="24"/>
        </w:rPr>
        <w:t xml:space="preserve">Richard A. </w:t>
      </w:r>
      <w:proofErr w:type="spellStart"/>
      <w:r w:rsidRPr="00F3312A">
        <w:rPr>
          <w:rFonts w:ascii="Garamond" w:hAnsi="Garamond"/>
          <w:sz w:val="24"/>
          <w:szCs w:val="24"/>
        </w:rPr>
        <w:t>Wasserstrom</w:t>
      </w:r>
      <w:proofErr w:type="spellEnd"/>
      <w:r w:rsidRPr="00F3312A">
        <w:rPr>
          <w:rFonts w:ascii="Garamond" w:hAnsi="Garamond"/>
          <w:sz w:val="24"/>
          <w:szCs w:val="24"/>
        </w:rPr>
        <w:t xml:space="preserve"> (ed.) </w:t>
      </w:r>
      <w:r w:rsidRPr="00F3312A">
        <w:rPr>
          <w:rFonts w:ascii="Garamond" w:hAnsi="Garamond"/>
          <w:i/>
          <w:sz w:val="24"/>
          <w:szCs w:val="24"/>
        </w:rPr>
        <w:t>Today’s Moral Problems</w:t>
      </w:r>
      <w:r w:rsidRPr="00F3312A">
        <w:rPr>
          <w:rFonts w:ascii="Garamond" w:hAnsi="Garamond"/>
          <w:sz w:val="24"/>
          <w:szCs w:val="24"/>
        </w:rPr>
        <w:t xml:space="preserve">, Second Edition, </w:t>
      </w:r>
      <w:proofErr w:type="gramStart"/>
      <w:r w:rsidRPr="00F3312A">
        <w:rPr>
          <w:rFonts w:ascii="Garamond" w:hAnsi="Garamond"/>
          <w:sz w:val="24"/>
          <w:szCs w:val="24"/>
        </w:rPr>
        <w:t>New</w:t>
      </w:r>
      <w:proofErr w:type="gramEnd"/>
      <w:r w:rsidRPr="00F3312A">
        <w:rPr>
          <w:rFonts w:ascii="Garamond" w:hAnsi="Garamond"/>
          <w:sz w:val="24"/>
          <w:szCs w:val="24"/>
        </w:rPr>
        <w:t xml:space="preserve"> York: Macmillan Publishing Co., Inc. (1979).</w:t>
      </w:r>
    </w:p>
    <w:p w14:paraId="7A971E66" w14:textId="1C4A4ECD" w:rsidR="004B6BA7" w:rsidRPr="00F3312A" w:rsidRDefault="004B6BA7" w:rsidP="004B6BA7">
      <w:pPr>
        <w:pStyle w:val="Bibliography"/>
        <w:ind w:left="720" w:hanging="720"/>
        <w:rPr>
          <w:rFonts w:ascii="Garamond" w:hAnsi="Garamond"/>
          <w:i/>
          <w:iCs/>
          <w:noProof/>
          <w:sz w:val="24"/>
          <w:szCs w:val="24"/>
        </w:rPr>
      </w:pPr>
      <w:r w:rsidRPr="00F3312A">
        <w:rPr>
          <w:rFonts w:ascii="Garamond" w:hAnsi="Garamond"/>
          <w:sz w:val="24"/>
          <w:szCs w:val="24"/>
        </w:rPr>
        <w:t>Westin, Alan F.,</w:t>
      </w:r>
      <w:r w:rsidR="0054085F" w:rsidRPr="00F3312A">
        <w:rPr>
          <w:rFonts w:ascii="Garamond" w:hAnsi="Garamond"/>
          <w:noProof/>
          <w:sz w:val="24"/>
          <w:szCs w:val="24"/>
        </w:rPr>
        <w:t xml:space="preserve"> </w:t>
      </w:r>
      <w:r w:rsidRPr="00F3312A">
        <w:rPr>
          <w:rFonts w:ascii="Garamond" w:hAnsi="Garamond"/>
          <w:i/>
          <w:iCs/>
          <w:noProof/>
          <w:sz w:val="24"/>
          <w:szCs w:val="24"/>
        </w:rPr>
        <w:t>Privacy and Freedom,</w:t>
      </w:r>
      <w:r w:rsidRPr="00F3312A">
        <w:rPr>
          <w:rFonts w:ascii="Garamond" w:hAnsi="Garamond"/>
          <w:sz w:val="24"/>
          <w:szCs w:val="24"/>
        </w:rPr>
        <w:t xml:space="preserve"> (New York: </w:t>
      </w:r>
      <w:proofErr w:type="spellStart"/>
      <w:r w:rsidRPr="00F3312A">
        <w:rPr>
          <w:rFonts w:ascii="Garamond" w:hAnsi="Garamond"/>
          <w:sz w:val="24"/>
          <w:szCs w:val="24"/>
        </w:rPr>
        <w:t>Atheneum</w:t>
      </w:r>
      <w:proofErr w:type="spellEnd"/>
      <w:r w:rsidRPr="00F3312A">
        <w:rPr>
          <w:rFonts w:ascii="Garamond" w:hAnsi="Garamond"/>
          <w:sz w:val="24"/>
          <w:szCs w:val="24"/>
        </w:rPr>
        <w:t>, 1967).</w:t>
      </w:r>
    </w:p>
    <w:p w14:paraId="11A6F6EB" w14:textId="77777777" w:rsidR="0054085F" w:rsidRDefault="0054085F" w:rsidP="0026737D">
      <w:pPr>
        <w:rPr>
          <w:rFonts w:ascii="Garamond" w:hAnsi="Garamond"/>
          <w:sz w:val="24"/>
          <w:szCs w:val="24"/>
        </w:rPr>
      </w:pPr>
    </w:p>
    <w:p w14:paraId="1F5F56CE" w14:textId="77777777" w:rsidR="00CC14A4" w:rsidRPr="0026737D" w:rsidRDefault="00CC14A4" w:rsidP="0026737D">
      <w:pPr>
        <w:rPr>
          <w:rFonts w:ascii="Garamond" w:hAnsi="Garamond"/>
          <w:sz w:val="24"/>
          <w:szCs w:val="24"/>
        </w:rPr>
      </w:pPr>
    </w:p>
    <w:p w14:paraId="6A1538D4" w14:textId="49A0F16B" w:rsidR="0026737D" w:rsidRPr="00862363" w:rsidRDefault="00D47687" w:rsidP="00AE4CCA">
      <w:pPr>
        <w:rPr>
          <w:rFonts w:ascii="Garamond" w:hAnsi="Garamond"/>
          <w:b/>
          <w:sz w:val="24"/>
          <w:szCs w:val="24"/>
        </w:rPr>
      </w:pPr>
      <w:r w:rsidRPr="00862363">
        <w:rPr>
          <w:rFonts w:ascii="Garamond" w:hAnsi="Garamond"/>
          <w:b/>
          <w:sz w:val="24"/>
          <w:szCs w:val="24"/>
        </w:rPr>
        <w:t>Cases</w:t>
      </w:r>
    </w:p>
    <w:p w14:paraId="03D7FFBA" w14:textId="26121A99" w:rsidR="00E845DE" w:rsidRDefault="00E845DE" w:rsidP="00E845DE">
      <w:pPr>
        <w:rPr>
          <w:rFonts w:ascii="Garamond" w:hAnsi="Garamond"/>
          <w:noProof/>
          <w:sz w:val="24"/>
          <w:szCs w:val="24"/>
        </w:rPr>
      </w:pPr>
      <w:r w:rsidRPr="00E845DE">
        <w:rPr>
          <w:rFonts w:ascii="Garamond" w:hAnsi="Garamond"/>
          <w:i/>
          <w:noProof/>
          <w:sz w:val="24"/>
          <w:szCs w:val="24"/>
        </w:rPr>
        <w:t>Baggett v. Bullitt</w:t>
      </w:r>
      <w:r w:rsidRPr="00E845DE">
        <w:rPr>
          <w:rFonts w:ascii="Garamond" w:hAnsi="Garamond"/>
          <w:noProof/>
          <w:sz w:val="24"/>
          <w:szCs w:val="24"/>
        </w:rPr>
        <w:t xml:space="preserve">, 377 U. S. 360, </w:t>
      </w:r>
      <w:r>
        <w:rPr>
          <w:rFonts w:ascii="Garamond" w:hAnsi="Garamond"/>
          <w:noProof/>
          <w:sz w:val="24"/>
          <w:szCs w:val="24"/>
        </w:rPr>
        <w:t>377 U. S. 369.</w:t>
      </w:r>
    </w:p>
    <w:p w14:paraId="4210BBCC" w14:textId="3C347709" w:rsidR="00E845DE" w:rsidRPr="00E845DE" w:rsidRDefault="00E845DE" w:rsidP="00AE4CCA">
      <w:pPr>
        <w:rPr>
          <w:rFonts w:ascii="Garamond" w:hAnsi="Garamond"/>
          <w:noProof/>
          <w:sz w:val="24"/>
          <w:szCs w:val="24"/>
        </w:rPr>
      </w:pPr>
      <w:r w:rsidRPr="00E845DE">
        <w:rPr>
          <w:rFonts w:ascii="Garamond" w:hAnsi="Garamond"/>
          <w:i/>
          <w:noProof/>
          <w:sz w:val="24"/>
          <w:szCs w:val="24"/>
        </w:rPr>
        <w:t>Barenblatt v. United States</w:t>
      </w:r>
      <w:r>
        <w:rPr>
          <w:rFonts w:ascii="Garamond" w:hAnsi="Garamond"/>
          <w:noProof/>
          <w:sz w:val="24"/>
          <w:szCs w:val="24"/>
        </w:rPr>
        <w:t>, 360 U. S. 109, 360 U. S. 112.</w:t>
      </w:r>
    </w:p>
    <w:p w14:paraId="129293BC" w14:textId="1C3A5888" w:rsidR="00462EF9" w:rsidRPr="00856427" w:rsidRDefault="00D47687" w:rsidP="00AE4CCA">
      <w:pPr>
        <w:rPr>
          <w:rFonts w:ascii="Garamond" w:hAnsi="Garamond"/>
          <w:noProof/>
          <w:sz w:val="24"/>
          <w:szCs w:val="24"/>
        </w:rPr>
      </w:pPr>
      <w:r w:rsidRPr="00626FBE">
        <w:rPr>
          <w:rFonts w:ascii="Garamond" w:hAnsi="Garamond"/>
          <w:i/>
          <w:noProof/>
          <w:sz w:val="24"/>
          <w:szCs w:val="24"/>
        </w:rPr>
        <w:t>Griswold v Connecticut</w:t>
      </w:r>
      <w:r w:rsidR="00856427">
        <w:rPr>
          <w:rFonts w:ascii="Garamond" w:hAnsi="Garamond"/>
          <w:i/>
          <w:noProof/>
          <w:sz w:val="24"/>
          <w:szCs w:val="24"/>
        </w:rPr>
        <w:t xml:space="preserve"> </w:t>
      </w:r>
      <w:r w:rsidR="00856427">
        <w:rPr>
          <w:rFonts w:ascii="Garamond" w:hAnsi="Garamond"/>
          <w:noProof/>
          <w:sz w:val="24"/>
          <w:szCs w:val="24"/>
        </w:rPr>
        <w:t>(1965)</w:t>
      </w:r>
    </w:p>
    <w:p w14:paraId="1C1AD246" w14:textId="4C017835" w:rsidR="00856427" w:rsidRDefault="00856427" w:rsidP="00AE4CCA">
      <w:pPr>
        <w:rPr>
          <w:rFonts w:ascii="Garamond" w:hAnsi="Garamond"/>
          <w:sz w:val="24"/>
          <w:szCs w:val="24"/>
        </w:rPr>
      </w:pPr>
      <w:r w:rsidRPr="0082783D">
        <w:rPr>
          <w:rFonts w:ascii="Garamond" w:hAnsi="Garamond"/>
          <w:i/>
          <w:sz w:val="24"/>
          <w:szCs w:val="24"/>
        </w:rPr>
        <w:t>Katz v. United States</w:t>
      </w:r>
      <w:r>
        <w:rPr>
          <w:rFonts w:ascii="Garamond" w:hAnsi="Garamond"/>
          <w:i/>
          <w:sz w:val="24"/>
          <w:szCs w:val="24"/>
        </w:rPr>
        <w:t xml:space="preserve"> </w:t>
      </w:r>
      <w:r>
        <w:rPr>
          <w:rFonts w:ascii="Garamond" w:hAnsi="Garamond"/>
          <w:sz w:val="24"/>
          <w:szCs w:val="24"/>
        </w:rPr>
        <w:t>(1967)</w:t>
      </w:r>
    </w:p>
    <w:p w14:paraId="5CD26E2E" w14:textId="72B86208" w:rsidR="00E845DE" w:rsidRDefault="00E845DE" w:rsidP="00AE4CCA">
      <w:pPr>
        <w:rPr>
          <w:rFonts w:ascii="Garamond" w:hAnsi="Garamond"/>
          <w:i/>
          <w:noProof/>
          <w:sz w:val="24"/>
          <w:szCs w:val="24"/>
        </w:rPr>
      </w:pPr>
      <w:r w:rsidRPr="00E845DE">
        <w:rPr>
          <w:rFonts w:ascii="Garamond" w:hAnsi="Garamond"/>
          <w:i/>
          <w:noProof/>
          <w:sz w:val="24"/>
          <w:szCs w:val="24"/>
        </w:rPr>
        <w:t xml:space="preserve">Martin v. Struthers, </w:t>
      </w:r>
      <w:r w:rsidRPr="00E845DE">
        <w:rPr>
          <w:rFonts w:ascii="Garamond" w:hAnsi="Garamond"/>
          <w:noProof/>
          <w:sz w:val="24"/>
          <w:szCs w:val="24"/>
        </w:rPr>
        <w:t>319 U. S. 141, 319 U. S. 143.</w:t>
      </w:r>
    </w:p>
    <w:p w14:paraId="511C5622" w14:textId="0FA6F9BB" w:rsidR="00856427" w:rsidRDefault="00856427" w:rsidP="00AE4CCA">
      <w:pPr>
        <w:rPr>
          <w:rFonts w:ascii="Garamond" w:hAnsi="Garamond"/>
          <w:noProof/>
          <w:sz w:val="24"/>
          <w:szCs w:val="24"/>
        </w:rPr>
      </w:pPr>
      <w:r w:rsidRPr="00856427">
        <w:rPr>
          <w:rFonts w:ascii="Garamond" w:hAnsi="Garamond"/>
          <w:i/>
          <w:noProof/>
          <w:sz w:val="24"/>
          <w:szCs w:val="24"/>
        </w:rPr>
        <w:t>O</w:t>
      </w:r>
      <w:r>
        <w:rPr>
          <w:rFonts w:ascii="Garamond" w:hAnsi="Garamond"/>
          <w:i/>
          <w:noProof/>
          <w:sz w:val="24"/>
          <w:szCs w:val="24"/>
        </w:rPr>
        <w:t xml:space="preserve">lmstead v. United States </w:t>
      </w:r>
      <w:r w:rsidRPr="00856427">
        <w:rPr>
          <w:rFonts w:ascii="Garamond" w:hAnsi="Garamond"/>
          <w:noProof/>
          <w:sz w:val="24"/>
          <w:szCs w:val="24"/>
        </w:rPr>
        <w:t>(1928)</w:t>
      </w:r>
    </w:p>
    <w:p w14:paraId="43C7583B" w14:textId="3447E4C9" w:rsidR="00E845DE" w:rsidRDefault="00E845DE" w:rsidP="00AE4CCA">
      <w:pPr>
        <w:rPr>
          <w:rFonts w:ascii="Garamond" w:hAnsi="Garamond"/>
          <w:noProof/>
          <w:sz w:val="24"/>
          <w:szCs w:val="24"/>
        </w:rPr>
      </w:pPr>
      <w:r w:rsidRPr="00E845DE">
        <w:rPr>
          <w:rFonts w:ascii="Garamond" w:hAnsi="Garamond"/>
          <w:i/>
          <w:noProof/>
          <w:sz w:val="24"/>
          <w:szCs w:val="24"/>
        </w:rPr>
        <w:t>Poe v. Ullman</w:t>
      </w:r>
      <w:r w:rsidRPr="00E845DE">
        <w:rPr>
          <w:rFonts w:ascii="Garamond" w:hAnsi="Garamond"/>
          <w:noProof/>
          <w:sz w:val="24"/>
          <w:szCs w:val="24"/>
        </w:rPr>
        <w:t>, 367 U. S. 497, 367 U. S. 516-522</w:t>
      </w:r>
      <w:r>
        <w:rPr>
          <w:rFonts w:ascii="Garamond" w:hAnsi="Garamond"/>
          <w:noProof/>
          <w:sz w:val="24"/>
          <w:szCs w:val="24"/>
        </w:rPr>
        <w:t>.</w:t>
      </w:r>
    </w:p>
    <w:p w14:paraId="3D1CCC6E" w14:textId="4A53D69F" w:rsidR="00574C7A" w:rsidRDefault="00574C7A" w:rsidP="00AE4CCA">
      <w:pPr>
        <w:rPr>
          <w:rFonts w:ascii="Garamond" w:hAnsi="Garamond"/>
          <w:noProof/>
          <w:sz w:val="24"/>
          <w:szCs w:val="24"/>
        </w:rPr>
      </w:pPr>
      <w:r w:rsidRPr="00574C7A">
        <w:rPr>
          <w:rFonts w:ascii="Garamond" w:hAnsi="Garamond"/>
          <w:i/>
          <w:noProof/>
          <w:sz w:val="24"/>
          <w:szCs w:val="24"/>
        </w:rPr>
        <w:t>Prince Albert v. Strange</w:t>
      </w:r>
      <w:r w:rsidRPr="00574C7A">
        <w:rPr>
          <w:rFonts w:ascii="Garamond" w:hAnsi="Garamond"/>
          <w:noProof/>
          <w:sz w:val="24"/>
          <w:szCs w:val="24"/>
        </w:rPr>
        <w:t xml:space="preserve">, </w:t>
      </w:r>
      <w:r>
        <w:rPr>
          <w:rFonts w:ascii="Garamond" w:hAnsi="Garamond"/>
          <w:noProof/>
          <w:sz w:val="24"/>
          <w:szCs w:val="24"/>
        </w:rPr>
        <w:t>(</w:t>
      </w:r>
      <w:r w:rsidRPr="00574C7A">
        <w:rPr>
          <w:rFonts w:ascii="Garamond" w:hAnsi="Garamond"/>
          <w:noProof/>
          <w:sz w:val="24"/>
          <w:szCs w:val="24"/>
        </w:rPr>
        <w:t>1849</w:t>
      </w:r>
      <w:r>
        <w:rPr>
          <w:rFonts w:ascii="Garamond" w:hAnsi="Garamond"/>
          <w:noProof/>
          <w:sz w:val="24"/>
          <w:szCs w:val="24"/>
        </w:rPr>
        <w:t>)</w:t>
      </w:r>
    </w:p>
    <w:p w14:paraId="322B23A8" w14:textId="703D243E" w:rsidR="00E845DE" w:rsidRDefault="00E845DE" w:rsidP="00AE4CCA">
      <w:pPr>
        <w:rPr>
          <w:rFonts w:ascii="Garamond" w:hAnsi="Garamond"/>
          <w:noProof/>
          <w:sz w:val="24"/>
          <w:szCs w:val="24"/>
        </w:rPr>
      </w:pPr>
      <w:r w:rsidRPr="00E845DE">
        <w:rPr>
          <w:rFonts w:ascii="Garamond" w:hAnsi="Garamond"/>
          <w:i/>
          <w:noProof/>
          <w:sz w:val="24"/>
          <w:szCs w:val="24"/>
        </w:rPr>
        <w:t>Sweezy v. New Hampshire</w:t>
      </w:r>
      <w:r w:rsidRPr="00E845DE">
        <w:rPr>
          <w:rFonts w:ascii="Garamond" w:hAnsi="Garamond"/>
          <w:noProof/>
          <w:sz w:val="24"/>
          <w:szCs w:val="24"/>
        </w:rPr>
        <w:t>, 354 U. S. 234, 354 U.</w:t>
      </w:r>
      <w:r>
        <w:rPr>
          <w:rFonts w:ascii="Garamond" w:hAnsi="Garamond"/>
          <w:noProof/>
          <w:sz w:val="24"/>
          <w:szCs w:val="24"/>
        </w:rPr>
        <w:t xml:space="preserve"> S. 249-250, 354 U. S. 261-263.</w:t>
      </w:r>
    </w:p>
    <w:p w14:paraId="2647F52C" w14:textId="533AD07A" w:rsidR="00E845DE" w:rsidRDefault="00E845DE" w:rsidP="00AE4CCA">
      <w:pPr>
        <w:rPr>
          <w:rFonts w:ascii="Garamond" w:hAnsi="Garamond"/>
          <w:i/>
          <w:noProof/>
          <w:sz w:val="24"/>
          <w:szCs w:val="24"/>
        </w:rPr>
      </w:pPr>
      <w:r w:rsidRPr="00E845DE">
        <w:rPr>
          <w:rFonts w:ascii="Garamond" w:hAnsi="Garamond"/>
          <w:i/>
          <w:noProof/>
          <w:sz w:val="24"/>
          <w:szCs w:val="24"/>
        </w:rPr>
        <w:t xml:space="preserve">Wiemann v. Updegraff, </w:t>
      </w:r>
      <w:r w:rsidRPr="00E845DE">
        <w:rPr>
          <w:rFonts w:ascii="Garamond" w:hAnsi="Garamond"/>
          <w:noProof/>
          <w:sz w:val="24"/>
          <w:szCs w:val="24"/>
        </w:rPr>
        <w:t>344 U. S. 183, 344 U. S. 195.</w:t>
      </w:r>
    </w:p>
    <w:p w14:paraId="7FF0F39B" w14:textId="77777777" w:rsidR="009C6BCF" w:rsidRPr="00AE4CCA" w:rsidRDefault="009C6BCF" w:rsidP="00AE4CCA">
      <w:pPr>
        <w:rPr>
          <w:rFonts w:ascii="Garamond" w:hAnsi="Garamond"/>
          <w:sz w:val="24"/>
          <w:szCs w:val="24"/>
        </w:rPr>
      </w:pPr>
    </w:p>
    <w:sectPr w:rsidR="009C6BCF" w:rsidRPr="00AE4CCA" w:rsidSect="005D51B3">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39CD1" w14:textId="77777777" w:rsidR="00B04723" w:rsidRDefault="00B04723" w:rsidP="005D734C">
      <w:pPr>
        <w:spacing w:after="0" w:line="240" w:lineRule="auto"/>
      </w:pPr>
      <w:r>
        <w:separator/>
      </w:r>
    </w:p>
  </w:endnote>
  <w:endnote w:type="continuationSeparator" w:id="0">
    <w:p w14:paraId="6E563AD5" w14:textId="77777777" w:rsidR="00B04723" w:rsidRDefault="00B04723" w:rsidP="005D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3" w:usb1="080E0000" w:usb2="00000016" w:usb3="00000000" w:csb0="00100001"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4B1F" w14:textId="77777777" w:rsidR="00B04723" w:rsidRDefault="00B04723" w:rsidP="005D5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109A8" w14:textId="77777777" w:rsidR="00B04723" w:rsidRDefault="00B047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CCED" w14:textId="77777777" w:rsidR="00B04723" w:rsidRDefault="00B04723" w:rsidP="005D5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B1E">
      <w:rPr>
        <w:rStyle w:val="PageNumber"/>
        <w:noProof/>
      </w:rPr>
      <w:t>23</w:t>
    </w:r>
    <w:r>
      <w:rPr>
        <w:rStyle w:val="PageNumber"/>
      </w:rPr>
      <w:fldChar w:fldCharType="end"/>
    </w:r>
  </w:p>
  <w:p w14:paraId="70409F0E" w14:textId="77777777" w:rsidR="00B04723" w:rsidRDefault="00B047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097BF" w14:textId="77777777" w:rsidR="00B04723" w:rsidRDefault="00B04723" w:rsidP="005D734C">
      <w:pPr>
        <w:spacing w:after="0" w:line="240" w:lineRule="auto"/>
      </w:pPr>
      <w:r>
        <w:separator/>
      </w:r>
    </w:p>
  </w:footnote>
  <w:footnote w:type="continuationSeparator" w:id="0">
    <w:p w14:paraId="7297E57A" w14:textId="77777777" w:rsidR="00B04723" w:rsidRDefault="00B04723" w:rsidP="005D734C">
      <w:pPr>
        <w:spacing w:after="0" w:line="240" w:lineRule="auto"/>
      </w:pPr>
      <w:r>
        <w:continuationSeparator/>
      </w:r>
    </w:p>
  </w:footnote>
  <w:footnote w:id="1">
    <w:p w14:paraId="403A90A7" w14:textId="0135914B" w:rsidR="00B04723" w:rsidRDefault="00B04723">
      <w:pPr>
        <w:pStyle w:val="FootnoteText"/>
      </w:pPr>
      <w:r>
        <w:rPr>
          <w:rStyle w:val="FootnoteReference"/>
        </w:rPr>
        <w:footnoteRef/>
      </w:r>
      <w:r>
        <w:t xml:space="preserve"> </w:t>
      </w:r>
      <w:r w:rsidRPr="008225BE">
        <w:rPr>
          <w:rFonts w:ascii="Garamond" w:hAnsi="Garamond"/>
          <w:sz w:val="20"/>
          <w:szCs w:val="20"/>
        </w:rPr>
        <w:t>Thomson 1975, p. 295</w:t>
      </w:r>
    </w:p>
  </w:footnote>
  <w:footnote w:id="2">
    <w:p w14:paraId="50556858" w14:textId="409FDCFD" w:rsidR="00B04723" w:rsidRPr="00003A09" w:rsidRDefault="00B04723" w:rsidP="00003A09">
      <w:pPr>
        <w:spacing w:line="240" w:lineRule="auto"/>
        <w:rPr>
          <w:rFonts w:ascii="Garamond" w:hAnsi="Garamond"/>
          <w:sz w:val="20"/>
          <w:szCs w:val="20"/>
        </w:rPr>
      </w:pPr>
      <w:r w:rsidRPr="00003A09">
        <w:rPr>
          <w:rStyle w:val="FootnoteReference"/>
          <w:rFonts w:ascii="Garamond" w:hAnsi="Garamond"/>
          <w:sz w:val="20"/>
          <w:szCs w:val="20"/>
        </w:rPr>
        <w:footnoteRef/>
      </w:r>
      <w:r w:rsidRPr="00003A09">
        <w:rPr>
          <w:rFonts w:ascii="Garamond" w:hAnsi="Garamond"/>
          <w:sz w:val="20"/>
          <w:szCs w:val="20"/>
        </w:rPr>
        <w:t xml:space="preserve"> In the U</w:t>
      </w:r>
      <w:r>
        <w:rPr>
          <w:rFonts w:ascii="Garamond" w:hAnsi="Garamond"/>
          <w:sz w:val="20"/>
          <w:szCs w:val="20"/>
        </w:rPr>
        <w:t>.</w:t>
      </w:r>
      <w:r w:rsidRPr="00003A09">
        <w:rPr>
          <w:rFonts w:ascii="Garamond" w:hAnsi="Garamond"/>
          <w:sz w:val="20"/>
          <w:szCs w:val="20"/>
        </w:rPr>
        <w:t>S</w:t>
      </w:r>
      <w:r>
        <w:rPr>
          <w:rFonts w:ascii="Garamond" w:hAnsi="Garamond"/>
          <w:sz w:val="20"/>
          <w:szCs w:val="20"/>
        </w:rPr>
        <w:t>.</w:t>
      </w:r>
      <w:r w:rsidRPr="00003A09">
        <w:rPr>
          <w:rFonts w:ascii="Garamond" w:hAnsi="Garamond"/>
          <w:sz w:val="20"/>
          <w:szCs w:val="20"/>
        </w:rPr>
        <w:t xml:space="preserve">, corporations have been, and continue to be given more power, and benefits at a time when technology has opened up their ability to violate our rights to privacy. </w:t>
      </w:r>
      <w:r>
        <w:rPr>
          <w:rFonts w:ascii="Garamond" w:hAnsi="Garamond"/>
          <w:sz w:val="20"/>
          <w:szCs w:val="20"/>
        </w:rPr>
        <w:t xml:space="preserve">Although a </w:t>
      </w:r>
      <w:r w:rsidRPr="00003A09">
        <w:rPr>
          <w:rFonts w:ascii="Garamond" w:hAnsi="Garamond"/>
          <w:sz w:val="20"/>
          <w:szCs w:val="20"/>
        </w:rPr>
        <w:t xml:space="preserve">theory of privacy based in a notion of personhood </w:t>
      </w:r>
      <w:r>
        <w:rPr>
          <w:rFonts w:ascii="Garamond" w:hAnsi="Garamond"/>
          <w:sz w:val="20"/>
          <w:szCs w:val="20"/>
        </w:rPr>
        <w:t>raises interesting question regarding corporate rights, this paper will not address these issues.</w:t>
      </w:r>
    </w:p>
  </w:footnote>
  <w:footnote w:id="3">
    <w:p w14:paraId="0396718F" w14:textId="7E1FE9D2" w:rsidR="00B04723" w:rsidRPr="008225BE" w:rsidRDefault="00B04723" w:rsidP="00382D93">
      <w:pPr>
        <w:pStyle w:val="FootnoteText"/>
        <w:rPr>
          <w:rFonts w:ascii="Garamond" w:hAnsi="Garamond"/>
          <w:sz w:val="20"/>
          <w:szCs w:val="20"/>
        </w:rPr>
      </w:pPr>
      <w:r w:rsidRPr="008225BE">
        <w:rPr>
          <w:rStyle w:val="FootnoteReference"/>
          <w:rFonts w:ascii="Garamond" w:hAnsi="Garamond"/>
          <w:sz w:val="20"/>
          <w:szCs w:val="20"/>
        </w:rPr>
        <w:footnoteRef/>
      </w:r>
      <w:r w:rsidRPr="008225BE">
        <w:rPr>
          <w:rFonts w:ascii="Garamond" w:hAnsi="Garamond"/>
          <w:sz w:val="20"/>
          <w:szCs w:val="20"/>
        </w:rPr>
        <w:t xml:space="preserve"> </w:t>
      </w:r>
      <w:proofErr w:type="gramStart"/>
      <w:r w:rsidRPr="008225BE">
        <w:rPr>
          <w:rFonts w:ascii="Garamond" w:hAnsi="Garamond"/>
          <w:sz w:val="20"/>
          <w:szCs w:val="20"/>
        </w:rPr>
        <w:t>Brandeis &amp; Warren, 1890.</w:t>
      </w:r>
      <w:proofErr w:type="gramEnd"/>
      <w:r w:rsidRPr="008225BE">
        <w:rPr>
          <w:rFonts w:ascii="Garamond" w:hAnsi="Garamond"/>
          <w:sz w:val="20"/>
          <w:szCs w:val="20"/>
        </w:rPr>
        <w:t xml:space="preserve"> The </w:t>
      </w:r>
      <w:r w:rsidRPr="008225BE">
        <w:rPr>
          <w:rFonts w:ascii="Garamond" w:hAnsi="Garamond"/>
          <w:i/>
          <w:sz w:val="20"/>
          <w:szCs w:val="20"/>
        </w:rPr>
        <w:t>Harvard Law Review</w:t>
      </w:r>
      <w:r w:rsidRPr="008225BE">
        <w:rPr>
          <w:rFonts w:ascii="Garamond" w:hAnsi="Garamond"/>
          <w:sz w:val="20"/>
          <w:szCs w:val="20"/>
        </w:rPr>
        <w:t xml:space="preserve"> article was written after the</w:t>
      </w:r>
      <w:r w:rsidRPr="008225BE">
        <w:rPr>
          <w:rFonts w:ascii="Garamond" w:hAnsi="Garamond"/>
          <w:i/>
          <w:sz w:val="20"/>
          <w:szCs w:val="20"/>
        </w:rPr>
        <w:t xml:space="preserve"> Saturday Evening Gazette</w:t>
      </w:r>
      <w:r w:rsidRPr="008225BE">
        <w:rPr>
          <w:rFonts w:ascii="Garamond" w:hAnsi="Garamond"/>
          <w:sz w:val="20"/>
          <w:szCs w:val="20"/>
        </w:rPr>
        <w:t xml:space="preserve"> published embarrassing details of Samuel D. Warren’s daughter’s wedding. Mr. Warren, who had recently given up the practice of law to devote himself to an inherited business, became annoyed and turned to his recent law partner, Louis D. Brandeis. The two collaborated on the article, although it has been suggested that Brandeis most likely did most of the work</w:t>
      </w:r>
      <w:r w:rsidRPr="008225BE">
        <w:rPr>
          <w:rFonts w:ascii="Garamond" w:hAnsi="Garamond"/>
          <w:noProof/>
          <w:sz w:val="20"/>
          <w:szCs w:val="20"/>
        </w:rPr>
        <w:t xml:space="preserve"> (Prosser, 1960)</w:t>
      </w:r>
      <w:r w:rsidRPr="008225BE">
        <w:rPr>
          <w:rFonts w:ascii="Garamond" w:hAnsi="Garamond"/>
          <w:sz w:val="20"/>
          <w:szCs w:val="20"/>
        </w:rPr>
        <w:t xml:space="preserve">. </w:t>
      </w:r>
    </w:p>
  </w:footnote>
  <w:footnote w:id="4">
    <w:p w14:paraId="3E3FB278" w14:textId="66101182" w:rsidR="00B04723" w:rsidRPr="008225BE" w:rsidRDefault="00B04723">
      <w:pPr>
        <w:pStyle w:val="FootnoteText"/>
        <w:rPr>
          <w:rFonts w:ascii="Garamond" w:hAnsi="Garamond"/>
          <w:sz w:val="20"/>
          <w:szCs w:val="20"/>
        </w:rPr>
      </w:pPr>
      <w:r w:rsidRPr="008225BE">
        <w:rPr>
          <w:rStyle w:val="FootnoteReference"/>
          <w:rFonts w:ascii="Garamond" w:hAnsi="Garamond"/>
          <w:sz w:val="20"/>
          <w:szCs w:val="20"/>
        </w:rPr>
        <w:footnoteRef/>
      </w:r>
      <w:r w:rsidRPr="008225BE">
        <w:rPr>
          <w:rFonts w:ascii="Garamond" w:hAnsi="Garamond"/>
          <w:sz w:val="20"/>
          <w:szCs w:val="20"/>
        </w:rPr>
        <w:t xml:space="preserve"> Id.</w:t>
      </w:r>
    </w:p>
  </w:footnote>
  <w:footnote w:id="5">
    <w:p w14:paraId="6251C2DF" w14:textId="2AFE8EB5" w:rsidR="00B04723" w:rsidRPr="008225BE" w:rsidRDefault="00B04723">
      <w:pPr>
        <w:pStyle w:val="FootnoteText"/>
        <w:rPr>
          <w:rFonts w:ascii="Garamond" w:hAnsi="Garamond"/>
          <w:sz w:val="20"/>
          <w:szCs w:val="20"/>
        </w:rPr>
      </w:pPr>
      <w:r w:rsidRPr="008225BE">
        <w:rPr>
          <w:rStyle w:val="FootnoteReference"/>
          <w:rFonts w:ascii="Garamond" w:hAnsi="Garamond"/>
          <w:sz w:val="20"/>
          <w:szCs w:val="20"/>
        </w:rPr>
        <w:footnoteRef/>
      </w:r>
      <w:r w:rsidRPr="008225BE">
        <w:rPr>
          <w:rFonts w:ascii="Garamond" w:hAnsi="Garamond"/>
          <w:sz w:val="20"/>
          <w:szCs w:val="20"/>
        </w:rPr>
        <w:t xml:space="preserve"> Id.</w:t>
      </w:r>
    </w:p>
  </w:footnote>
  <w:footnote w:id="6">
    <w:p w14:paraId="384EFAC6" w14:textId="32D8A422" w:rsidR="00B04723" w:rsidRDefault="00B04723">
      <w:pPr>
        <w:pStyle w:val="FootnoteText"/>
      </w:pPr>
      <w:r w:rsidRPr="008225BE">
        <w:rPr>
          <w:rStyle w:val="FootnoteReference"/>
          <w:rFonts w:ascii="Garamond" w:hAnsi="Garamond"/>
          <w:sz w:val="20"/>
          <w:szCs w:val="20"/>
        </w:rPr>
        <w:footnoteRef/>
      </w:r>
      <w:r w:rsidRPr="008225BE">
        <w:rPr>
          <w:rFonts w:ascii="Garamond" w:hAnsi="Garamond"/>
          <w:sz w:val="20"/>
          <w:szCs w:val="20"/>
        </w:rPr>
        <w:t xml:space="preserve"> Id.</w:t>
      </w:r>
    </w:p>
  </w:footnote>
  <w:footnote w:id="7">
    <w:p w14:paraId="06038F71" w14:textId="62F180A5"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8">
    <w:p w14:paraId="4A641752" w14:textId="0CD0A340"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9">
    <w:p w14:paraId="3D8F3804" w14:textId="77777777" w:rsidR="00B04723" w:rsidRPr="00382D93" w:rsidRDefault="00B04723" w:rsidP="00382D93">
      <w:pPr>
        <w:pStyle w:val="FootnoteText"/>
        <w:rPr>
          <w:rFonts w:ascii="Garamond" w:hAnsi="Garamond"/>
          <w:sz w:val="20"/>
          <w:szCs w:val="20"/>
        </w:rPr>
      </w:pPr>
      <w:r w:rsidRPr="00382D93">
        <w:rPr>
          <w:rStyle w:val="FootnoteReference"/>
          <w:rFonts w:ascii="Garamond" w:hAnsi="Garamond"/>
          <w:sz w:val="20"/>
          <w:szCs w:val="20"/>
        </w:rPr>
        <w:footnoteRef/>
      </w:r>
      <w:r w:rsidRPr="00382D93">
        <w:rPr>
          <w:rFonts w:ascii="Garamond" w:hAnsi="Garamond"/>
          <w:sz w:val="20"/>
          <w:szCs w:val="20"/>
        </w:rPr>
        <w:t xml:space="preserve"> It is interesting to note that Brandeis and Warren mention that if a man writes 10 letters, the substance of the letters shall be his to publish alone, but also no person would be permitted to publish a list of the letters written. This seems to parallel the pen registry issue with phone calls and emails, particularly in light of the U.S. PATRIOT Act. Brandeis and Warren cite </w:t>
      </w:r>
      <w:r w:rsidRPr="00382D93">
        <w:rPr>
          <w:rFonts w:ascii="Garamond" w:hAnsi="Garamond"/>
          <w:i/>
          <w:noProof/>
          <w:sz w:val="20"/>
          <w:szCs w:val="20"/>
        </w:rPr>
        <w:t>Prince Albert v. Strange</w:t>
      </w:r>
      <w:r w:rsidRPr="00382D93">
        <w:rPr>
          <w:rFonts w:ascii="Garamond" w:hAnsi="Garamond"/>
          <w:noProof/>
          <w:sz w:val="20"/>
          <w:szCs w:val="20"/>
        </w:rPr>
        <w:t xml:space="preserve">, 1849 </w:t>
      </w:r>
      <w:r w:rsidRPr="00382D93">
        <w:rPr>
          <w:rFonts w:ascii="Garamond" w:hAnsi="Garamond"/>
          <w:sz w:val="20"/>
          <w:szCs w:val="20"/>
        </w:rPr>
        <w:t>in support of their position.</w:t>
      </w:r>
    </w:p>
  </w:footnote>
  <w:footnote w:id="10">
    <w:p w14:paraId="480E6B76" w14:textId="5765FF92" w:rsidR="00B04723" w:rsidRPr="00582F0C" w:rsidRDefault="00B04723" w:rsidP="00382D93">
      <w:pPr>
        <w:pStyle w:val="FootnoteText"/>
        <w:rPr>
          <w:rFonts w:ascii="Garamond" w:hAnsi="Garamond"/>
          <w:sz w:val="20"/>
          <w:szCs w:val="20"/>
        </w:rPr>
      </w:pPr>
      <w:r w:rsidRPr="00382D93">
        <w:rPr>
          <w:rStyle w:val="FootnoteReference"/>
          <w:rFonts w:ascii="Garamond" w:hAnsi="Garamond"/>
          <w:sz w:val="20"/>
          <w:szCs w:val="20"/>
        </w:rPr>
        <w:footnoteRef/>
      </w:r>
      <w:r w:rsidRPr="00382D93">
        <w:rPr>
          <w:rFonts w:ascii="Garamond" w:hAnsi="Garamond"/>
          <w:sz w:val="20"/>
          <w:szCs w:val="20"/>
        </w:rPr>
        <w:t xml:space="preserve"> Brandeis and Warren end with this quote, “the common law has always recognized a man’s house as his castle, impregnable, often, even to his own officers engaged in the execution of its command. Shall the courts thus close the front entrance to constituted authority, and open wide the back door to idle or prurient curiosity?” </w:t>
      </w:r>
      <w:proofErr w:type="gramStart"/>
      <w:r w:rsidRPr="00382D93">
        <w:rPr>
          <w:rFonts w:ascii="Garamond" w:hAnsi="Garamond"/>
          <w:noProof/>
          <w:sz w:val="20"/>
          <w:szCs w:val="20"/>
        </w:rPr>
        <w:t>(Brandeis &amp; Warren, 1890)</w:t>
      </w:r>
      <w:r>
        <w:rPr>
          <w:rFonts w:ascii="Garamond" w:hAnsi="Garamond"/>
          <w:sz w:val="20"/>
          <w:szCs w:val="20"/>
        </w:rPr>
        <w:t>.</w:t>
      </w:r>
      <w:proofErr w:type="gramEnd"/>
    </w:p>
  </w:footnote>
  <w:footnote w:id="11">
    <w:p w14:paraId="60BF54B0" w14:textId="599C2E19" w:rsidR="00B04723" w:rsidRPr="00B04723" w:rsidRDefault="00B04723" w:rsidP="000E7435">
      <w:pPr>
        <w:pStyle w:val="FootnoteText"/>
        <w:rPr>
          <w:rFonts w:ascii="Garamond" w:hAnsi="Garamond"/>
          <w:sz w:val="20"/>
          <w:szCs w:val="20"/>
        </w:rPr>
      </w:pPr>
      <w:r w:rsidRPr="008A7A4F">
        <w:rPr>
          <w:rStyle w:val="FootnoteReference"/>
          <w:rFonts w:ascii="Garamond" w:hAnsi="Garamond"/>
          <w:sz w:val="20"/>
          <w:szCs w:val="20"/>
        </w:rPr>
        <w:footnoteRef/>
      </w:r>
      <w:r w:rsidRPr="008A7A4F">
        <w:rPr>
          <w:rFonts w:ascii="Garamond" w:hAnsi="Garamond"/>
          <w:sz w:val="20"/>
          <w:szCs w:val="20"/>
        </w:rPr>
        <w:t xml:space="preserve"> Brandeis eventually became a U.S. Supreme Court Justice and was given the opportunity to further articulate, what he </w:t>
      </w:r>
      <w:r w:rsidRPr="00B04723">
        <w:rPr>
          <w:rFonts w:ascii="Garamond" w:hAnsi="Garamond"/>
          <w:sz w:val="20"/>
          <w:szCs w:val="20"/>
        </w:rPr>
        <w:t xml:space="preserve">referred to as “the right to be let alone.” In his dissent in </w:t>
      </w:r>
      <w:r w:rsidRPr="00B04723">
        <w:rPr>
          <w:rFonts w:ascii="Garamond" w:hAnsi="Garamond"/>
          <w:i/>
          <w:sz w:val="20"/>
          <w:szCs w:val="20"/>
        </w:rPr>
        <w:t>Olmstead v. United States</w:t>
      </w:r>
      <w:r w:rsidRPr="00B04723">
        <w:rPr>
          <w:rFonts w:ascii="Garamond" w:hAnsi="Garamond"/>
          <w:sz w:val="20"/>
          <w:szCs w:val="20"/>
        </w:rPr>
        <w:t xml:space="preserve"> (1928), he echoed the importance of privacy he had argued for in his law review article many years earlier, calling it, “the most comprehensive of rights and the right most valued by civilized men”</w:t>
      </w:r>
      <w:r w:rsidRPr="00B04723">
        <w:rPr>
          <w:rFonts w:ascii="Garamond" w:hAnsi="Garamond"/>
          <w:noProof/>
          <w:sz w:val="20"/>
          <w:szCs w:val="20"/>
        </w:rPr>
        <w:t xml:space="preserve"> (</w:t>
      </w:r>
      <w:r w:rsidRPr="00B04723">
        <w:rPr>
          <w:rFonts w:ascii="Garamond" w:hAnsi="Garamond"/>
          <w:i/>
          <w:noProof/>
          <w:sz w:val="20"/>
          <w:szCs w:val="20"/>
        </w:rPr>
        <w:t>Olmstead v. United States</w:t>
      </w:r>
      <w:r w:rsidRPr="00B04723">
        <w:rPr>
          <w:rFonts w:ascii="Garamond" w:hAnsi="Garamond"/>
          <w:noProof/>
          <w:sz w:val="20"/>
          <w:szCs w:val="20"/>
        </w:rPr>
        <w:t>, 1928)</w:t>
      </w:r>
      <w:r w:rsidRPr="00B04723">
        <w:rPr>
          <w:rFonts w:ascii="Garamond" w:hAnsi="Garamond"/>
          <w:sz w:val="20"/>
          <w:szCs w:val="20"/>
        </w:rPr>
        <w:t>. Justice Brandeis went on to suggest that, “[to protect that right, every unjustifiable intrusion by the government upon the privacy of the individual, whatever the means employed, must be deemed a violation of the Fourth Amendment”</w:t>
      </w:r>
      <w:r w:rsidRPr="00B04723">
        <w:rPr>
          <w:rFonts w:ascii="Garamond" w:hAnsi="Garamond"/>
          <w:noProof/>
          <w:sz w:val="20"/>
          <w:szCs w:val="20"/>
        </w:rPr>
        <w:t xml:space="preserve"> (</w:t>
      </w:r>
      <w:r w:rsidRPr="00B04723">
        <w:rPr>
          <w:rFonts w:ascii="Garamond" w:hAnsi="Garamond"/>
          <w:i/>
          <w:noProof/>
          <w:sz w:val="20"/>
          <w:szCs w:val="20"/>
        </w:rPr>
        <w:t>Olmstead v. United States</w:t>
      </w:r>
      <w:r w:rsidRPr="00B04723">
        <w:rPr>
          <w:rFonts w:ascii="Garamond" w:hAnsi="Garamond"/>
          <w:noProof/>
          <w:sz w:val="20"/>
          <w:szCs w:val="20"/>
        </w:rPr>
        <w:t xml:space="preserve">, 1928 </w:t>
      </w:r>
      <w:r w:rsidRPr="00B04723">
        <w:rPr>
          <w:rFonts w:ascii="Garamond" w:hAnsi="Garamond"/>
          <w:sz w:val="20"/>
          <w:szCs w:val="20"/>
        </w:rPr>
        <w:t>(</w:t>
      </w:r>
      <w:proofErr w:type="spellStart"/>
      <w:r w:rsidRPr="00B04723">
        <w:rPr>
          <w:rFonts w:ascii="Garamond" w:hAnsi="Garamond"/>
          <w:sz w:val="20"/>
          <w:szCs w:val="20"/>
        </w:rPr>
        <w:t>Brandeis</w:t>
      </w:r>
      <w:proofErr w:type="gramStart"/>
      <w:r w:rsidRPr="00B04723">
        <w:rPr>
          <w:rFonts w:ascii="Garamond" w:hAnsi="Garamond"/>
          <w:sz w:val="20"/>
          <w:szCs w:val="20"/>
        </w:rPr>
        <w:t>,J</w:t>
      </w:r>
      <w:proofErr w:type="spellEnd"/>
      <w:proofErr w:type="gramEnd"/>
      <w:r w:rsidRPr="00B04723">
        <w:rPr>
          <w:rFonts w:ascii="Garamond" w:hAnsi="Garamond"/>
          <w:sz w:val="20"/>
          <w:szCs w:val="20"/>
        </w:rPr>
        <w:t>., dissenting)).</w:t>
      </w:r>
    </w:p>
  </w:footnote>
  <w:footnote w:id="12">
    <w:p w14:paraId="7824D561" w14:textId="2C2AF979"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w:t>
      </w:r>
      <w:r w:rsidRPr="00B04723">
        <w:rPr>
          <w:rFonts w:ascii="Garamond" w:hAnsi="Garamond"/>
          <w:noProof/>
          <w:sz w:val="20"/>
          <w:szCs w:val="20"/>
        </w:rPr>
        <w:t>Prosser, 1960.</w:t>
      </w:r>
    </w:p>
  </w:footnote>
  <w:footnote w:id="13">
    <w:p w14:paraId="669409B6" w14:textId="133211A6"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14">
    <w:p w14:paraId="6671605F" w14:textId="2FA74511"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15">
    <w:p w14:paraId="2BBCB162" w14:textId="7523107E"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16">
    <w:p w14:paraId="4317421F" w14:textId="71CC5ED1"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17">
    <w:p w14:paraId="290CA8D7" w14:textId="6777C797" w:rsidR="00B04723" w:rsidRPr="00B04723" w:rsidRDefault="00B04723" w:rsidP="00856427">
      <w:pPr>
        <w:spacing w:after="0" w:line="240" w:lineRule="auto"/>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George</w:t>
      </w:r>
      <w:r w:rsidRPr="00856427">
        <w:rPr>
          <w:rFonts w:ascii="Garamond" w:hAnsi="Garamond"/>
          <w:sz w:val="20"/>
          <w:szCs w:val="20"/>
        </w:rPr>
        <w:t xml:space="preserve"> Orwell’s famous novel </w:t>
      </w:r>
      <w:r w:rsidRPr="00856427">
        <w:rPr>
          <w:rFonts w:ascii="Garamond" w:hAnsi="Garamond"/>
          <w:i/>
          <w:sz w:val="20"/>
          <w:szCs w:val="20"/>
        </w:rPr>
        <w:t xml:space="preserve">1984 </w:t>
      </w:r>
      <w:r w:rsidRPr="00856427">
        <w:rPr>
          <w:rFonts w:ascii="Garamond" w:hAnsi="Garamond"/>
          <w:sz w:val="20"/>
          <w:szCs w:val="20"/>
        </w:rPr>
        <w:t xml:space="preserve">highlighted for many the fear that governments posed to individual privacy. The novel portrayed a world in which government’s interest in order outweighed the need for personal freedom. New technologies, including the television, would be used to realize Bentham’s notion of the </w:t>
      </w:r>
      <w:proofErr w:type="spellStart"/>
      <w:r w:rsidRPr="00856427">
        <w:rPr>
          <w:rFonts w:ascii="Garamond" w:hAnsi="Garamond"/>
          <w:sz w:val="20"/>
          <w:szCs w:val="20"/>
        </w:rPr>
        <w:t>panopticon</w:t>
      </w:r>
      <w:proofErr w:type="spellEnd"/>
      <w:r w:rsidRPr="00856427">
        <w:rPr>
          <w:rFonts w:ascii="Garamond" w:hAnsi="Garamond"/>
          <w:sz w:val="20"/>
          <w:szCs w:val="20"/>
        </w:rPr>
        <w:t xml:space="preserve">. Citizens would have to live every moment of their lives under the gaze of Big Brother. In fact, even the idea of having a notion of self, </w:t>
      </w:r>
      <w:r w:rsidRPr="00B04723">
        <w:rPr>
          <w:rFonts w:ascii="Garamond" w:hAnsi="Garamond"/>
          <w:sz w:val="20"/>
          <w:szCs w:val="20"/>
        </w:rPr>
        <w:t>separate from Big Brother becomes “</w:t>
      </w:r>
      <w:proofErr w:type="spellStart"/>
      <w:r w:rsidRPr="00B04723">
        <w:rPr>
          <w:rFonts w:ascii="Garamond" w:hAnsi="Garamond"/>
          <w:sz w:val="20"/>
          <w:szCs w:val="20"/>
        </w:rPr>
        <w:t>thoughtcrime</w:t>
      </w:r>
      <w:proofErr w:type="spellEnd"/>
      <w:r w:rsidRPr="00B04723">
        <w:rPr>
          <w:rFonts w:ascii="Garamond" w:hAnsi="Garamond"/>
          <w:sz w:val="20"/>
          <w:szCs w:val="20"/>
        </w:rPr>
        <w:t>.” But this totalitarian government aimed not merely to punish, but to narrow the range of thought so that such “</w:t>
      </w:r>
      <w:proofErr w:type="spellStart"/>
      <w:r w:rsidRPr="00B04723">
        <w:rPr>
          <w:rFonts w:ascii="Garamond" w:hAnsi="Garamond"/>
          <w:sz w:val="20"/>
          <w:szCs w:val="20"/>
        </w:rPr>
        <w:t>thoughtcrimes</w:t>
      </w:r>
      <w:proofErr w:type="spellEnd"/>
      <w:r w:rsidRPr="00B04723">
        <w:rPr>
          <w:rFonts w:ascii="Garamond" w:hAnsi="Garamond"/>
          <w:sz w:val="20"/>
          <w:szCs w:val="20"/>
        </w:rPr>
        <w:t>” would be impossible.</w:t>
      </w:r>
    </w:p>
  </w:footnote>
  <w:footnote w:id="18">
    <w:p w14:paraId="36D76FAA" w14:textId="46398A83" w:rsidR="00B04723" w:rsidRPr="008A7A4F" w:rsidRDefault="00B04723">
      <w:pPr>
        <w:pStyle w:val="FootnoteText"/>
        <w:rPr>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w:t>
      </w:r>
      <w:r w:rsidRPr="00B04723">
        <w:rPr>
          <w:rFonts w:ascii="Garamond" w:hAnsi="Garamond"/>
          <w:i/>
          <w:sz w:val="20"/>
          <w:szCs w:val="20"/>
        </w:rPr>
        <w:t>Griswold v Connecticut</w:t>
      </w:r>
      <w:r w:rsidRPr="00B04723">
        <w:rPr>
          <w:rFonts w:ascii="Garamond" w:hAnsi="Garamond"/>
          <w:sz w:val="20"/>
          <w:szCs w:val="20"/>
        </w:rPr>
        <w:t>, 1965. Estelle Griswold was the Executive Director of the Planned Parenthood League of Connecticut, and Dr. C. Lee Buxton was a licensed physician and a professor at the Yale Medical School who served as Medical Director for the League</w:t>
      </w:r>
      <w:r w:rsidRPr="008A7A4F">
        <w:rPr>
          <w:rFonts w:ascii="Garamond" w:hAnsi="Garamond"/>
          <w:sz w:val="20"/>
          <w:szCs w:val="20"/>
        </w:rPr>
        <w:t xml:space="preserve"> at its Center in New Haven. The center was open for about 10 days in November of 1961 when Appellants Griswold and Buxton were arrested for giving “information, instruction, and medical advice to married persons as to the means of preventing conception”</w:t>
      </w:r>
      <w:r w:rsidRPr="008A7A4F">
        <w:rPr>
          <w:rFonts w:ascii="Garamond" w:hAnsi="Garamond"/>
          <w:noProof/>
          <w:sz w:val="20"/>
          <w:szCs w:val="20"/>
        </w:rPr>
        <w:t xml:space="preserve"> (</w:t>
      </w:r>
      <w:r w:rsidRPr="008A7A4F">
        <w:rPr>
          <w:rFonts w:ascii="Garamond" w:hAnsi="Garamond"/>
          <w:i/>
          <w:noProof/>
          <w:sz w:val="20"/>
          <w:szCs w:val="20"/>
        </w:rPr>
        <w:t>Griswold v Connecticut</w:t>
      </w:r>
      <w:r w:rsidRPr="008A7A4F">
        <w:rPr>
          <w:rFonts w:ascii="Garamond" w:hAnsi="Garamond"/>
          <w:noProof/>
          <w:sz w:val="20"/>
          <w:szCs w:val="20"/>
        </w:rPr>
        <w:t>, 1965)</w:t>
      </w:r>
      <w:r w:rsidRPr="008A7A4F">
        <w:rPr>
          <w:rFonts w:ascii="Garamond" w:hAnsi="Garamond"/>
          <w:sz w:val="20"/>
          <w:szCs w:val="20"/>
        </w:rPr>
        <w:t>. This was a deliberate act intended to provoke litigation that could be used to challenge the constitutionality of the statute. The appellants were tried, convicted, and required to pay a $100 fine, which was upheld by the Appellate Division of the Circuit Court, and by the Connecticut Supreme Court.</w:t>
      </w:r>
    </w:p>
  </w:footnote>
  <w:footnote w:id="19">
    <w:p w14:paraId="1946DD29" w14:textId="77777777" w:rsidR="00B04723" w:rsidRPr="008A7A4F" w:rsidRDefault="00B04723" w:rsidP="000E7435">
      <w:pPr>
        <w:pStyle w:val="FootnoteText"/>
        <w:rPr>
          <w:rFonts w:ascii="Garamond" w:hAnsi="Garamond"/>
          <w:sz w:val="20"/>
          <w:szCs w:val="20"/>
        </w:rPr>
      </w:pPr>
      <w:r w:rsidRPr="008A7A4F">
        <w:rPr>
          <w:rStyle w:val="FootnoteReference"/>
          <w:rFonts w:ascii="Garamond" w:hAnsi="Garamond"/>
          <w:sz w:val="20"/>
          <w:szCs w:val="20"/>
        </w:rPr>
        <w:footnoteRef/>
      </w:r>
      <w:r w:rsidRPr="008A7A4F">
        <w:rPr>
          <w:rFonts w:ascii="Garamond" w:hAnsi="Garamond"/>
          <w:sz w:val="20"/>
          <w:szCs w:val="20"/>
        </w:rPr>
        <w:t xml:space="preserve"> </w:t>
      </w:r>
      <w:r w:rsidRPr="00626FBE">
        <w:rPr>
          <w:rFonts w:ascii="Garamond" w:hAnsi="Garamond"/>
          <w:i/>
          <w:sz w:val="20"/>
          <w:szCs w:val="20"/>
        </w:rPr>
        <w:t>Martin v. Struthers</w:t>
      </w:r>
      <w:r w:rsidRPr="008A7A4F">
        <w:rPr>
          <w:rFonts w:ascii="Garamond" w:hAnsi="Garamond"/>
          <w:sz w:val="20"/>
          <w:szCs w:val="20"/>
        </w:rPr>
        <w:t>, 319 U. S. 141, 319 U. S. 143.</w:t>
      </w:r>
    </w:p>
  </w:footnote>
  <w:footnote w:id="20">
    <w:p w14:paraId="4E9F2617" w14:textId="77777777" w:rsidR="00B04723" w:rsidRPr="00B04723" w:rsidRDefault="00B04723" w:rsidP="000E7435">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See </w:t>
      </w:r>
      <w:proofErr w:type="spellStart"/>
      <w:r w:rsidRPr="00B04723">
        <w:rPr>
          <w:rFonts w:ascii="Garamond" w:hAnsi="Garamond"/>
          <w:i/>
          <w:sz w:val="20"/>
          <w:szCs w:val="20"/>
        </w:rPr>
        <w:t>Wiemann</w:t>
      </w:r>
      <w:proofErr w:type="spellEnd"/>
      <w:r w:rsidRPr="00B04723">
        <w:rPr>
          <w:rFonts w:ascii="Garamond" w:hAnsi="Garamond"/>
          <w:i/>
          <w:sz w:val="20"/>
          <w:szCs w:val="20"/>
        </w:rPr>
        <w:t xml:space="preserve"> v. </w:t>
      </w:r>
      <w:proofErr w:type="spellStart"/>
      <w:r w:rsidRPr="00B04723">
        <w:rPr>
          <w:rFonts w:ascii="Garamond" w:hAnsi="Garamond"/>
          <w:i/>
          <w:sz w:val="20"/>
          <w:szCs w:val="20"/>
        </w:rPr>
        <w:t>Updegraff</w:t>
      </w:r>
      <w:proofErr w:type="spellEnd"/>
      <w:r w:rsidRPr="00B04723">
        <w:rPr>
          <w:rFonts w:ascii="Garamond" w:hAnsi="Garamond"/>
          <w:sz w:val="20"/>
          <w:szCs w:val="20"/>
        </w:rPr>
        <w:t>, 344 U. S. 183, 344 U. S. 195.</w:t>
      </w:r>
    </w:p>
  </w:footnote>
  <w:footnote w:id="21">
    <w:p w14:paraId="4A852309" w14:textId="3F9D7D9D" w:rsidR="00B04723" w:rsidRPr="00B04723" w:rsidRDefault="00B04723" w:rsidP="000E7435">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w:t>
      </w:r>
      <w:r w:rsidRPr="00B04723">
        <w:rPr>
          <w:rFonts w:ascii="Garamond" w:hAnsi="Garamond"/>
          <w:i/>
          <w:noProof/>
          <w:sz w:val="20"/>
          <w:szCs w:val="20"/>
        </w:rPr>
        <w:t>Griswold v Connecticut</w:t>
      </w:r>
      <w:r w:rsidRPr="00B04723">
        <w:rPr>
          <w:rFonts w:ascii="Garamond" w:hAnsi="Garamond"/>
          <w:noProof/>
          <w:sz w:val="20"/>
          <w:szCs w:val="20"/>
        </w:rPr>
        <w:t xml:space="preserve">, 1965, citing </w:t>
      </w:r>
      <w:proofErr w:type="spellStart"/>
      <w:r w:rsidRPr="00B04723">
        <w:rPr>
          <w:rFonts w:ascii="Garamond" w:hAnsi="Garamond"/>
          <w:i/>
          <w:sz w:val="20"/>
          <w:szCs w:val="20"/>
        </w:rPr>
        <w:t>Sweezy</w:t>
      </w:r>
      <w:proofErr w:type="spellEnd"/>
      <w:r w:rsidRPr="00B04723">
        <w:rPr>
          <w:rFonts w:ascii="Garamond" w:hAnsi="Garamond"/>
          <w:i/>
          <w:sz w:val="20"/>
          <w:szCs w:val="20"/>
        </w:rPr>
        <w:t xml:space="preserve"> v. New Hampshire</w:t>
      </w:r>
      <w:r w:rsidRPr="00B04723">
        <w:rPr>
          <w:rFonts w:ascii="Garamond" w:hAnsi="Garamond"/>
          <w:sz w:val="20"/>
          <w:szCs w:val="20"/>
        </w:rPr>
        <w:t xml:space="preserve">, 354 U. S. 234, 354 U. S. 249-250, 354 U. S. 261-263; </w:t>
      </w:r>
      <w:proofErr w:type="spellStart"/>
      <w:r w:rsidRPr="00B04723">
        <w:rPr>
          <w:rFonts w:ascii="Garamond" w:hAnsi="Garamond"/>
          <w:i/>
          <w:sz w:val="20"/>
          <w:szCs w:val="20"/>
        </w:rPr>
        <w:t>Barenblatt</w:t>
      </w:r>
      <w:proofErr w:type="spellEnd"/>
      <w:r w:rsidRPr="00B04723">
        <w:rPr>
          <w:rFonts w:ascii="Garamond" w:hAnsi="Garamond"/>
          <w:i/>
          <w:sz w:val="20"/>
          <w:szCs w:val="20"/>
        </w:rPr>
        <w:t xml:space="preserve"> v. United States</w:t>
      </w:r>
      <w:r w:rsidRPr="00B04723">
        <w:rPr>
          <w:rFonts w:ascii="Garamond" w:hAnsi="Garamond"/>
          <w:sz w:val="20"/>
          <w:szCs w:val="20"/>
        </w:rPr>
        <w:t xml:space="preserve">, 360 U. S. 109, 360 U. S. 112; </w:t>
      </w:r>
      <w:r w:rsidRPr="00B04723">
        <w:rPr>
          <w:rFonts w:ascii="Garamond" w:hAnsi="Garamond"/>
          <w:i/>
          <w:sz w:val="20"/>
          <w:szCs w:val="20"/>
        </w:rPr>
        <w:t>Baggett v. Bullitt</w:t>
      </w:r>
      <w:r w:rsidRPr="00B04723">
        <w:rPr>
          <w:rFonts w:ascii="Garamond" w:hAnsi="Garamond"/>
          <w:sz w:val="20"/>
          <w:szCs w:val="20"/>
        </w:rPr>
        <w:t>, 377 U. S. 360, 377 U. S. 369.</w:t>
      </w:r>
    </w:p>
  </w:footnote>
  <w:footnote w:id="22">
    <w:p w14:paraId="709DF293" w14:textId="77777777" w:rsidR="00B04723" w:rsidRPr="008A7A4F" w:rsidRDefault="00B04723" w:rsidP="000E7435">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See </w:t>
      </w:r>
      <w:r w:rsidRPr="00B04723">
        <w:rPr>
          <w:rFonts w:ascii="Garamond" w:hAnsi="Garamond"/>
          <w:i/>
          <w:sz w:val="20"/>
          <w:szCs w:val="20"/>
        </w:rPr>
        <w:t>Poe</w:t>
      </w:r>
      <w:r w:rsidRPr="00626FBE">
        <w:rPr>
          <w:rFonts w:ascii="Garamond" w:hAnsi="Garamond"/>
          <w:i/>
          <w:sz w:val="20"/>
          <w:szCs w:val="20"/>
        </w:rPr>
        <w:t xml:space="preserve"> v. Ullman</w:t>
      </w:r>
      <w:r w:rsidRPr="008A7A4F">
        <w:rPr>
          <w:rFonts w:ascii="Garamond" w:hAnsi="Garamond"/>
          <w:sz w:val="20"/>
          <w:szCs w:val="20"/>
        </w:rPr>
        <w:t>, 367 U. S. 497, 367 U. S. 516-522 (dissenting opinion).</w:t>
      </w:r>
    </w:p>
  </w:footnote>
  <w:footnote w:id="23">
    <w:p w14:paraId="766FD73A" w14:textId="30199BFD" w:rsidR="00B04723" w:rsidRDefault="00B04723" w:rsidP="000E7435">
      <w:pPr>
        <w:pStyle w:val="FootnoteText"/>
      </w:pPr>
      <w:r w:rsidRPr="008A7A4F">
        <w:rPr>
          <w:rStyle w:val="FootnoteReference"/>
          <w:rFonts w:ascii="Garamond" w:hAnsi="Garamond"/>
          <w:sz w:val="20"/>
          <w:szCs w:val="20"/>
        </w:rPr>
        <w:footnoteRef/>
      </w:r>
      <w:r w:rsidRPr="008A7A4F">
        <w:rPr>
          <w:rFonts w:ascii="Garamond" w:hAnsi="Garamond"/>
          <w:sz w:val="20"/>
          <w:szCs w:val="20"/>
        </w:rPr>
        <w:t xml:space="preserve"> Central to this opinion is the Ninth </w:t>
      </w:r>
      <w:proofErr w:type="gramStart"/>
      <w:r w:rsidRPr="008A7A4F">
        <w:rPr>
          <w:rFonts w:ascii="Garamond" w:hAnsi="Garamond"/>
          <w:sz w:val="20"/>
          <w:szCs w:val="20"/>
        </w:rPr>
        <w:t>Amendment which</w:t>
      </w:r>
      <w:proofErr w:type="gramEnd"/>
      <w:r w:rsidRPr="008A7A4F">
        <w:rPr>
          <w:rFonts w:ascii="Garamond" w:hAnsi="Garamond"/>
          <w:sz w:val="20"/>
          <w:szCs w:val="20"/>
        </w:rPr>
        <w:t xml:space="preserve"> provides: "The enumeration in the Constitution, of certain rights, shall not be construed to deny or disparage others retained by the people"</w:t>
      </w:r>
      <w:r w:rsidRPr="008A7A4F">
        <w:rPr>
          <w:rFonts w:ascii="Garamond" w:hAnsi="Garamond"/>
          <w:noProof/>
          <w:sz w:val="20"/>
          <w:szCs w:val="20"/>
        </w:rPr>
        <w:t xml:space="preserve"> (U.S. Constitution, Ninth Amendment)</w:t>
      </w:r>
      <w:r w:rsidRPr="008A7A4F">
        <w:rPr>
          <w:rFonts w:ascii="Garamond" w:hAnsi="Garamond"/>
          <w:sz w:val="20"/>
          <w:szCs w:val="20"/>
        </w:rPr>
        <w:t>.</w:t>
      </w:r>
    </w:p>
  </w:footnote>
  <w:footnote w:id="24">
    <w:p w14:paraId="2C5E81B3" w14:textId="65E2D256"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w:t>
      </w:r>
      <w:r w:rsidRPr="00B04723">
        <w:rPr>
          <w:rFonts w:ascii="Garamond" w:hAnsi="Garamond"/>
          <w:i/>
          <w:noProof/>
          <w:sz w:val="20"/>
          <w:szCs w:val="20"/>
        </w:rPr>
        <w:t>Griswold v Connecticut</w:t>
      </w:r>
      <w:r w:rsidRPr="00B04723">
        <w:rPr>
          <w:rFonts w:ascii="Garamond" w:hAnsi="Garamond"/>
          <w:noProof/>
          <w:sz w:val="20"/>
          <w:szCs w:val="20"/>
        </w:rPr>
        <w:t>, 1965.</w:t>
      </w:r>
    </w:p>
  </w:footnote>
  <w:footnote w:id="25">
    <w:p w14:paraId="0C661257" w14:textId="3E20E292"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In that case the defendant was convicted of transmitting gambling information by telephone from Los Angeles to Miami and Boston, in violation of Federal statute. At trial that government was allowed to introduce evidence obtained by attaching a listening device to a public telephone. The Supreme Court reversed the conviction because government agents failed to get a warrant.</w:t>
      </w:r>
    </w:p>
  </w:footnote>
  <w:footnote w:id="26">
    <w:p w14:paraId="363F6D43" w14:textId="0D6C2BE9"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w:t>
      </w:r>
      <w:proofErr w:type="gramStart"/>
      <w:r w:rsidRPr="00B04723">
        <w:rPr>
          <w:rFonts w:ascii="Garamond" w:hAnsi="Garamond"/>
          <w:i/>
          <w:sz w:val="20"/>
          <w:szCs w:val="20"/>
        </w:rPr>
        <w:t>Katz v. United States</w:t>
      </w:r>
      <w:r w:rsidRPr="00B04723">
        <w:rPr>
          <w:rFonts w:ascii="Garamond" w:hAnsi="Garamond"/>
          <w:sz w:val="20"/>
          <w:szCs w:val="20"/>
        </w:rPr>
        <w:t>, 1967.</w:t>
      </w:r>
      <w:proofErr w:type="gramEnd"/>
    </w:p>
  </w:footnote>
  <w:footnote w:id="27">
    <w:p w14:paraId="1B415F89" w14:textId="3E946A9A"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Thomson 1975, p. 306</w:t>
      </w:r>
    </w:p>
  </w:footnote>
  <w:footnote w:id="28">
    <w:p w14:paraId="19EF8FBB" w14:textId="1C06FAED"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Id at p. 313</w:t>
      </w:r>
    </w:p>
  </w:footnote>
  <w:footnote w:id="29">
    <w:p w14:paraId="63C7DC2B" w14:textId="12DB2E47"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Id.</w:t>
      </w:r>
    </w:p>
  </w:footnote>
  <w:footnote w:id="30">
    <w:p w14:paraId="0BBB70D8" w14:textId="73EA4116"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p. 323.</w:t>
      </w:r>
    </w:p>
  </w:footnote>
  <w:footnote w:id="31">
    <w:p w14:paraId="7C306619" w14:textId="3582B316"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pp. 328-329.</w:t>
      </w:r>
    </w:p>
  </w:footnote>
  <w:footnote w:id="32">
    <w:p w14:paraId="7C1745DE" w14:textId="5079A00E" w:rsidR="00B04723" w:rsidRPr="00B04723" w:rsidRDefault="00B04723">
      <w:pPr>
        <w:pStyle w:val="FootnoteText"/>
        <w:rPr>
          <w:rFonts w:ascii="Garamond" w:hAnsi="Garamond"/>
          <w:sz w:val="20"/>
          <w:szCs w:val="20"/>
        </w:rPr>
      </w:pPr>
      <w:r w:rsidRPr="00B04723">
        <w:rPr>
          <w:rStyle w:val="FootnoteReference"/>
          <w:rFonts w:ascii="Garamond" w:hAnsi="Garamond"/>
          <w:sz w:val="20"/>
          <w:szCs w:val="20"/>
        </w:rPr>
        <w:footnoteRef/>
      </w:r>
      <w:r w:rsidRPr="00B04723">
        <w:rPr>
          <w:rFonts w:ascii="Garamond" w:hAnsi="Garamond"/>
          <w:sz w:val="20"/>
          <w:szCs w:val="20"/>
        </w:rPr>
        <w:t xml:space="preserve"> pp. 327-328</w:t>
      </w:r>
    </w:p>
  </w:footnote>
  <w:footnote w:id="33">
    <w:p w14:paraId="20A6605F" w14:textId="067C6B99" w:rsidR="00B04723" w:rsidRDefault="00B04723">
      <w:pPr>
        <w:pStyle w:val="FootnoteText"/>
      </w:pPr>
      <w:r w:rsidRPr="00B04723">
        <w:rPr>
          <w:rStyle w:val="FootnoteReference"/>
          <w:rFonts w:ascii="Garamond" w:hAnsi="Garamond"/>
          <w:sz w:val="20"/>
          <w:szCs w:val="20"/>
        </w:rPr>
        <w:footnoteRef/>
      </w:r>
      <w:r w:rsidRPr="00B04723">
        <w:rPr>
          <w:rFonts w:ascii="Garamond" w:hAnsi="Garamond"/>
          <w:sz w:val="20"/>
          <w:szCs w:val="20"/>
        </w:rPr>
        <w:t xml:space="preserve"> p. 329</w:t>
      </w:r>
    </w:p>
  </w:footnote>
  <w:footnote w:id="34">
    <w:p w14:paraId="0B11269B" w14:textId="509A01EC" w:rsidR="00B04723" w:rsidRPr="00704E5C" w:rsidRDefault="00B04723" w:rsidP="00704E5C">
      <w:pPr>
        <w:spacing w:after="0" w:line="240" w:lineRule="auto"/>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Fried 1970, p. 142. This makes jealousy understandable. If the value-indeed, the very reality-of my intimate relation with you lies in your sharing with me what you don't share with others, then if you do share it with another, what I have is literally decreased in value and adulterated in substance. </w:t>
      </w:r>
      <w:proofErr w:type="spellStart"/>
      <w:r w:rsidRPr="00704E5C">
        <w:rPr>
          <w:rFonts w:ascii="Garamond" w:hAnsi="Garamond"/>
          <w:sz w:val="20"/>
          <w:szCs w:val="20"/>
        </w:rPr>
        <w:t>Reiman</w:t>
      </w:r>
      <w:proofErr w:type="spellEnd"/>
      <w:r w:rsidRPr="00704E5C">
        <w:rPr>
          <w:rFonts w:ascii="Garamond" w:hAnsi="Garamond"/>
          <w:sz w:val="20"/>
          <w:szCs w:val="20"/>
        </w:rPr>
        <w:t xml:space="preserve"> finds this market conception of personal intimacy distasteful. The value and substance of intimacy is constituted not simply by the quality and intensity of what we share, but by its unavailability to others-in other words, by its scarcity (1976, p. 32). Under this view, our personal relationships are valuable to us because of their exclusiveness rather than because of their own depth or beauty. He points out that it may be a function of the historical limits of our capacity for empathy and feeling for others. “It may be a function of centuries of acculturation to the nuclear family with its narrow intensities” (pp. 32-33).</w:t>
      </w:r>
    </w:p>
  </w:footnote>
  <w:footnote w:id="35">
    <w:p w14:paraId="6D027DD5" w14:textId="56247B46" w:rsidR="00704E5C" w:rsidRDefault="00704E5C" w:rsidP="00704E5C">
      <w:pPr>
        <w:pStyle w:val="FootnoteText"/>
      </w:pPr>
      <w:r w:rsidRPr="00704E5C">
        <w:rPr>
          <w:rStyle w:val="FootnoteReference"/>
          <w:sz w:val="20"/>
          <w:szCs w:val="20"/>
        </w:rPr>
        <w:footnoteRef/>
      </w:r>
      <w:r w:rsidRPr="00704E5C">
        <w:rPr>
          <w:sz w:val="20"/>
          <w:szCs w:val="20"/>
        </w:rPr>
        <w:t xml:space="preserve"> </w:t>
      </w:r>
      <w:r w:rsidRPr="00704E5C">
        <w:rPr>
          <w:rFonts w:ascii="Garamond" w:hAnsi="Garamond"/>
          <w:sz w:val="20"/>
          <w:szCs w:val="20"/>
        </w:rPr>
        <w:t>p. 33</w:t>
      </w:r>
    </w:p>
  </w:footnote>
  <w:footnote w:id="36">
    <w:p w14:paraId="19FFB1B1" w14:textId="41CE61D1"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34</w:t>
      </w:r>
      <w:r w:rsidRPr="00704E5C">
        <w:rPr>
          <w:rFonts w:ascii="Garamond" w:hAnsi="Garamond"/>
          <w:sz w:val="20"/>
          <w:szCs w:val="20"/>
        </w:rPr>
        <w:t>.</w:t>
      </w:r>
    </w:p>
  </w:footnote>
  <w:footnote w:id="37">
    <w:p w14:paraId="49BBD56A" w14:textId="7D7EEB7C" w:rsidR="00B04723" w:rsidRPr="00F25DA7" w:rsidRDefault="00B04723" w:rsidP="00F25DA7">
      <w:pPr>
        <w:spacing w:line="240" w:lineRule="auto"/>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It is worth noting that the inclusion of context eliminates the market notion of intimacy. There is no necessary limit to the number of persons one can be intimate with, no logical necessity that friendship or love be exclusive. The limits rather lie in the limits of our capacity to care deeply for others, and of course in the limits of time and energy. In other words it may be a fact-for us at this point in history, or even for all people at all points in history-that we can only enter into a few true friendships and loves in a lifetime. But this is not an inescapable logical necessity. It is only an empirical fact of our capacity, one that might change and might be worth trying to change. It might be a fact that we are unable to disentangle love from jealousy. But this, too, is not an a priori truth. It is rather an empirical fact, one that might change if fortune brought us into a less possessive, less exclusive, less invidious society.</w:t>
      </w:r>
    </w:p>
  </w:footnote>
  <w:footnote w:id="38">
    <w:p w14:paraId="557AAAD0" w14:textId="05FA7B18"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spellStart"/>
      <w:proofErr w:type="gramStart"/>
      <w:r w:rsidRPr="00704E5C">
        <w:rPr>
          <w:rFonts w:ascii="Garamond" w:hAnsi="Garamond"/>
          <w:sz w:val="20"/>
          <w:szCs w:val="20"/>
        </w:rPr>
        <w:t>Kupfer</w:t>
      </w:r>
      <w:proofErr w:type="spellEnd"/>
      <w:r w:rsidRPr="00704E5C">
        <w:rPr>
          <w:rFonts w:ascii="Garamond" w:hAnsi="Garamond"/>
          <w:sz w:val="20"/>
          <w:szCs w:val="20"/>
        </w:rPr>
        <w:t>, 1987</w:t>
      </w:r>
      <w:r w:rsidRPr="00704E5C">
        <w:rPr>
          <w:rFonts w:ascii="Garamond" w:hAnsi="Garamond"/>
          <w:sz w:val="20"/>
          <w:szCs w:val="20"/>
        </w:rPr>
        <w:t>.</w:t>
      </w:r>
      <w:proofErr w:type="gramEnd"/>
    </w:p>
  </w:footnote>
  <w:footnote w:id="39">
    <w:p w14:paraId="2C0035BE" w14:textId="0A7681F6"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Inness, 1992</w:t>
      </w:r>
      <w:r w:rsidRPr="00704E5C">
        <w:rPr>
          <w:rFonts w:ascii="Garamond" w:hAnsi="Garamond"/>
          <w:sz w:val="20"/>
          <w:szCs w:val="20"/>
        </w:rPr>
        <w:t>.</w:t>
      </w:r>
      <w:proofErr w:type="gramEnd"/>
    </w:p>
  </w:footnote>
  <w:footnote w:id="40">
    <w:p w14:paraId="79F119B7" w14:textId="1BA9D272" w:rsidR="00704E5C" w:rsidRDefault="00704E5C">
      <w:pPr>
        <w:pStyle w:val="FootnoteText"/>
      </w:pPr>
      <w:r w:rsidRPr="00704E5C">
        <w:rPr>
          <w:rStyle w:val="FootnoteReference"/>
          <w:rFonts w:ascii="Garamond" w:hAnsi="Garamond"/>
          <w:sz w:val="20"/>
          <w:szCs w:val="20"/>
        </w:rPr>
        <w:footnoteRef/>
      </w:r>
      <w:r w:rsidRPr="00704E5C">
        <w:rPr>
          <w:rFonts w:ascii="Garamond" w:hAnsi="Garamond"/>
          <w:sz w:val="20"/>
          <w:szCs w:val="20"/>
        </w:rPr>
        <w:t xml:space="preserve"> </w:t>
      </w:r>
      <w:proofErr w:type="spellStart"/>
      <w:proofErr w:type="gramStart"/>
      <w:r w:rsidRPr="00704E5C">
        <w:rPr>
          <w:rFonts w:ascii="Garamond" w:hAnsi="Garamond"/>
          <w:sz w:val="20"/>
          <w:szCs w:val="20"/>
        </w:rPr>
        <w:t>Schoeman</w:t>
      </w:r>
      <w:proofErr w:type="spellEnd"/>
      <w:r w:rsidRPr="00704E5C">
        <w:rPr>
          <w:rFonts w:ascii="Garamond" w:hAnsi="Garamond"/>
          <w:sz w:val="20"/>
          <w:szCs w:val="20"/>
        </w:rPr>
        <w:t>, 1992</w:t>
      </w:r>
      <w:r w:rsidRPr="00704E5C">
        <w:rPr>
          <w:rFonts w:ascii="Garamond" w:hAnsi="Garamond"/>
          <w:sz w:val="20"/>
          <w:szCs w:val="20"/>
        </w:rPr>
        <w:t>.</w:t>
      </w:r>
      <w:proofErr w:type="gramEnd"/>
    </w:p>
  </w:footnote>
  <w:footnote w:id="41">
    <w:p w14:paraId="1BF92171" w14:textId="4507FD4F" w:rsidR="00B04723" w:rsidRPr="00704E5C" w:rsidRDefault="00B04723">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spellStart"/>
      <w:r w:rsidRPr="00704E5C">
        <w:rPr>
          <w:rFonts w:ascii="Garamond" w:hAnsi="Garamond"/>
          <w:sz w:val="20"/>
          <w:szCs w:val="20"/>
        </w:rPr>
        <w:t>Bloustein</w:t>
      </w:r>
      <w:proofErr w:type="spellEnd"/>
      <w:r w:rsidRPr="00704E5C">
        <w:rPr>
          <w:rFonts w:ascii="Garamond" w:hAnsi="Garamond"/>
          <w:sz w:val="20"/>
          <w:szCs w:val="20"/>
        </w:rPr>
        <w:t xml:space="preserve"> explicitly sought to counter Prosser, because Prosser's "influence on the development of the law of privacy begins to rival in our day that of Warren and Brandeis" (p. 964).</w:t>
      </w:r>
    </w:p>
  </w:footnote>
  <w:footnote w:id="42">
    <w:p w14:paraId="6A216869" w14:textId="34E3A091"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971</w:t>
      </w:r>
      <w:r w:rsidRPr="00704E5C">
        <w:rPr>
          <w:rFonts w:ascii="Garamond" w:hAnsi="Garamond"/>
          <w:sz w:val="20"/>
          <w:szCs w:val="20"/>
        </w:rPr>
        <w:t>.</w:t>
      </w:r>
    </w:p>
  </w:footnote>
  <w:footnote w:id="43">
    <w:p w14:paraId="61B84F07" w14:textId="352FC50B"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971</w:t>
      </w:r>
      <w:r w:rsidRPr="00704E5C">
        <w:rPr>
          <w:rFonts w:ascii="Garamond" w:hAnsi="Garamond"/>
          <w:sz w:val="20"/>
          <w:szCs w:val="20"/>
        </w:rPr>
        <w:t>.</w:t>
      </w:r>
    </w:p>
  </w:footnote>
  <w:footnote w:id="44">
    <w:p w14:paraId="0A3C5050" w14:textId="0BCF9264"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974</w:t>
      </w:r>
      <w:r w:rsidRPr="00704E5C">
        <w:rPr>
          <w:rFonts w:ascii="Garamond" w:hAnsi="Garamond"/>
          <w:sz w:val="20"/>
          <w:szCs w:val="20"/>
        </w:rPr>
        <w:t>.</w:t>
      </w:r>
    </w:p>
  </w:footnote>
  <w:footnote w:id="45">
    <w:p w14:paraId="334F5CC6" w14:textId="35A3D1E3" w:rsidR="00704E5C" w:rsidRDefault="00704E5C">
      <w:pPr>
        <w:pStyle w:val="FootnoteText"/>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984</w:t>
      </w:r>
      <w:r w:rsidRPr="00704E5C">
        <w:rPr>
          <w:rFonts w:ascii="Garamond" w:hAnsi="Garamond"/>
          <w:sz w:val="20"/>
          <w:szCs w:val="20"/>
        </w:rPr>
        <w:t>.</w:t>
      </w:r>
    </w:p>
  </w:footnote>
  <w:footnote w:id="46">
    <w:p w14:paraId="6D2D8013" w14:textId="097726BF"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Brandeis &amp; Warren, p.205, Emphasis Added.</w:t>
      </w:r>
      <w:proofErr w:type="gramEnd"/>
    </w:p>
  </w:footnote>
  <w:footnote w:id="47">
    <w:p w14:paraId="22533729" w14:textId="3C4AB248" w:rsidR="00704E5C" w:rsidRDefault="00704E5C">
      <w:pPr>
        <w:pStyle w:val="FootnoteText"/>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207</w:t>
      </w:r>
      <w:r w:rsidRPr="00704E5C">
        <w:rPr>
          <w:rFonts w:ascii="Garamond" w:hAnsi="Garamond"/>
          <w:sz w:val="20"/>
          <w:szCs w:val="20"/>
        </w:rPr>
        <w:t>.</w:t>
      </w:r>
    </w:p>
  </w:footnote>
  <w:footnote w:id="48">
    <w:p w14:paraId="66033A03" w14:textId="340DBD3E" w:rsidR="00B04723" w:rsidRPr="005813BA" w:rsidRDefault="00B04723">
      <w:pPr>
        <w:pStyle w:val="FootnoteText"/>
        <w:rPr>
          <w:rFonts w:ascii="Garamond" w:hAnsi="Garamond"/>
          <w:sz w:val="20"/>
          <w:szCs w:val="20"/>
        </w:rPr>
      </w:pPr>
      <w:r w:rsidRPr="005813BA">
        <w:rPr>
          <w:rStyle w:val="FootnoteReference"/>
          <w:rFonts w:ascii="Garamond" w:hAnsi="Garamond"/>
          <w:sz w:val="20"/>
          <w:szCs w:val="20"/>
        </w:rPr>
        <w:footnoteRef/>
      </w:r>
      <w:r w:rsidRPr="005813BA">
        <w:rPr>
          <w:rFonts w:ascii="Garamond" w:hAnsi="Garamond"/>
          <w:sz w:val="20"/>
          <w:szCs w:val="20"/>
        </w:rPr>
        <w:t xml:space="preserve"> This idea has been influential in German law as well as European human rights jurisprudence. </w:t>
      </w:r>
      <w:proofErr w:type="spellStart"/>
      <w:proofErr w:type="gramStart"/>
      <w:r w:rsidRPr="005813BA">
        <w:rPr>
          <w:rFonts w:ascii="Garamond" w:hAnsi="Garamond"/>
          <w:sz w:val="20"/>
          <w:szCs w:val="20"/>
        </w:rPr>
        <w:t>Huw</w:t>
      </w:r>
      <w:proofErr w:type="spellEnd"/>
      <w:r w:rsidRPr="005813BA">
        <w:rPr>
          <w:rFonts w:ascii="Garamond" w:hAnsi="Garamond"/>
          <w:sz w:val="20"/>
          <w:szCs w:val="20"/>
        </w:rPr>
        <w:t xml:space="preserve"> Beverley-et al., Privacy, Property and Personality 218 (2005).</w:t>
      </w:r>
      <w:proofErr w:type="gramEnd"/>
      <w:r w:rsidRPr="005813BA">
        <w:rPr>
          <w:rFonts w:ascii="Garamond" w:hAnsi="Garamond"/>
          <w:sz w:val="20"/>
          <w:szCs w:val="20"/>
        </w:rPr>
        <w:t xml:space="preserve"> For a discussion of Article 8 of the European Convention on Human Rights and its protection of private life, see Daniel J. </w:t>
      </w:r>
      <w:proofErr w:type="spellStart"/>
      <w:r w:rsidRPr="005813BA">
        <w:rPr>
          <w:rFonts w:ascii="Garamond" w:hAnsi="Garamond"/>
          <w:sz w:val="20"/>
          <w:szCs w:val="20"/>
        </w:rPr>
        <w:t>Solove</w:t>
      </w:r>
      <w:proofErr w:type="spellEnd"/>
      <w:r w:rsidRPr="005813BA">
        <w:rPr>
          <w:rFonts w:ascii="Garamond" w:hAnsi="Garamond"/>
          <w:sz w:val="20"/>
          <w:szCs w:val="20"/>
        </w:rPr>
        <w:t xml:space="preserve"> &amp; Paul M. Schwartz, </w:t>
      </w:r>
      <w:r w:rsidRPr="005813BA">
        <w:rPr>
          <w:rFonts w:ascii="Garamond" w:hAnsi="Garamond"/>
          <w:i/>
          <w:sz w:val="20"/>
          <w:szCs w:val="20"/>
        </w:rPr>
        <w:t>Information Privacy Law</w:t>
      </w:r>
      <w:r w:rsidRPr="005813BA">
        <w:rPr>
          <w:rFonts w:ascii="Garamond" w:hAnsi="Garamond"/>
          <w:sz w:val="20"/>
          <w:szCs w:val="20"/>
        </w:rPr>
        <w:t xml:space="preserve"> 78-231 (3d ed. 2008), at 1004-43.</w:t>
      </w:r>
    </w:p>
  </w:footnote>
  <w:footnote w:id="49">
    <w:p w14:paraId="6B121DDD" w14:textId="33E96BCB" w:rsidR="00B04723" w:rsidRPr="00704E5C" w:rsidRDefault="00B04723">
      <w:pPr>
        <w:pStyle w:val="FootnoteText"/>
        <w:rPr>
          <w:rFonts w:ascii="Garamond" w:hAnsi="Garamond"/>
          <w:sz w:val="20"/>
          <w:szCs w:val="20"/>
        </w:rPr>
      </w:pPr>
      <w:r w:rsidRPr="005813BA">
        <w:rPr>
          <w:rStyle w:val="FootnoteReference"/>
          <w:rFonts w:ascii="Garamond" w:hAnsi="Garamond"/>
          <w:sz w:val="20"/>
          <w:szCs w:val="20"/>
        </w:rPr>
        <w:footnoteRef/>
      </w:r>
      <w:r w:rsidRPr="005813BA">
        <w:rPr>
          <w:rFonts w:ascii="Garamond" w:hAnsi="Garamond"/>
          <w:sz w:val="20"/>
          <w:szCs w:val="20"/>
        </w:rPr>
        <w:t xml:space="preserve"> In addition to those mentioned, there have been several other scholars that have discussed the important of privacy for the development of personality. In 1929, a note in the </w:t>
      </w:r>
      <w:r w:rsidRPr="005813BA">
        <w:rPr>
          <w:rFonts w:ascii="Garamond" w:hAnsi="Garamond"/>
          <w:i/>
          <w:sz w:val="20"/>
          <w:szCs w:val="20"/>
        </w:rPr>
        <w:t>Harvard Law Review</w:t>
      </w:r>
      <w:r w:rsidRPr="005813BA">
        <w:rPr>
          <w:rFonts w:ascii="Garamond" w:hAnsi="Garamond"/>
          <w:sz w:val="20"/>
          <w:szCs w:val="20"/>
        </w:rPr>
        <w:t xml:space="preserve">, while conceding that the right to privacy "was an amorphous concept," referred to it as one of the "interests of personality." </w:t>
      </w:r>
      <w:proofErr w:type="gramStart"/>
      <w:r w:rsidRPr="005813BA">
        <w:rPr>
          <w:rFonts w:ascii="Garamond" w:hAnsi="Garamond"/>
          <w:sz w:val="20"/>
          <w:szCs w:val="20"/>
        </w:rPr>
        <w:t xml:space="preserve">Note, The Right to Privacy Today, </w:t>
      </w:r>
      <w:r w:rsidRPr="00704E5C">
        <w:rPr>
          <w:rFonts w:ascii="Garamond" w:hAnsi="Garamond"/>
          <w:sz w:val="20"/>
          <w:szCs w:val="20"/>
        </w:rPr>
        <w:t xml:space="preserve">43 </w:t>
      </w:r>
      <w:proofErr w:type="spellStart"/>
      <w:r w:rsidRPr="00704E5C">
        <w:rPr>
          <w:rFonts w:ascii="Garamond" w:hAnsi="Garamond"/>
          <w:sz w:val="20"/>
          <w:szCs w:val="20"/>
        </w:rPr>
        <w:t>Harv</w:t>
      </w:r>
      <w:proofErr w:type="spellEnd"/>
      <w:r w:rsidRPr="00704E5C">
        <w:rPr>
          <w:rFonts w:ascii="Garamond" w:hAnsi="Garamond"/>
          <w:sz w:val="20"/>
          <w:szCs w:val="20"/>
        </w:rPr>
        <w:t>.</w:t>
      </w:r>
      <w:proofErr w:type="gramEnd"/>
      <w:r w:rsidRPr="00704E5C">
        <w:rPr>
          <w:rFonts w:ascii="Garamond" w:hAnsi="Garamond"/>
          <w:sz w:val="20"/>
          <w:szCs w:val="20"/>
        </w:rPr>
        <w:t xml:space="preserve"> L. Rev. 297, 300 (1929). In 1941, Louis </w:t>
      </w:r>
      <w:proofErr w:type="spellStart"/>
      <w:r w:rsidRPr="00704E5C">
        <w:rPr>
          <w:rFonts w:ascii="Garamond" w:hAnsi="Garamond"/>
          <w:sz w:val="20"/>
          <w:szCs w:val="20"/>
        </w:rPr>
        <w:t>Nizer</w:t>
      </w:r>
      <w:proofErr w:type="spellEnd"/>
      <w:r w:rsidRPr="00704E5C">
        <w:rPr>
          <w:rFonts w:ascii="Garamond" w:hAnsi="Garamond"/>
          <w:sz w:val="20"/>
          <w:szCs w:val="20"/>
        </w:rPr>
        <w:t xml:space="preserve">, an American trial lawyer, stated his view in an article in the </w:t>
      </w:r>
      <w:r w:rsidRPr="00704E5C">
        <w:rPr>
          <w:rFonts w:ascii="Garamond" w:hAnsi="Garamond"/>
          <w:i/>
          <w:sz w:val="20"/>
          <w:szCs w:val="20"/>
        </w:rPr>
        <w:t>Michigan Law Review</w:t>
      </w:r>
      <w:r w:rsidRPr="00704E5C">
        <w:rPr>
          <w:rFonts w:ascii="Garamond" w:hAnsi="Garamond"/>
          <w:sz w:val="20"/>
          <w:szCs w:val="20"/>
        </w:rPr>
        <w:t xml:space="preserve"> that tort privacy served to protect "inviolate personality." Louis </w:t>
      </w:r>
      <w:proofErr w:type="spellStart"/>
      <w:r w:rsidRPr="00704E5C">
        <w:rPr>
          <w:rFonts w:ascii="Garamond" w:hAnsi="Garamond"/>
          <w:sz w:val="20"/>
          <w:szCs w:val="20"/>
        </w:rPr>
        <w:t>Nizer</w:t>
      </w:r>
      <w:proofErr w:type="spellEnd"/>
      <w:r w:rsidRPr="00704E5C">
        <w:rPr>
          <w:rFonts w:ascii="Garamond" w:hAnsi="Garamond"/>
          <w:sz w:val="20"/>
          <w:szCs w:val="20"/>
        </w:rPr>
        <w:t xml:space="preserve">, The Right to Privacy: A </w:t>
      </w:r>
      <w:proofErr w:type="gramStart"/>
      <w:r w:rsidRPr="00704E5C">
        <w:rPr>
          <w:rFonts w:ascii="Garamond" w:hAnsi="Garamond"/>
          <w:sz w:val="20"/>
          <w:szCs w:val="20"/>
        </w:rPr>
        <w:t>Half Century</w:t>
      </w:r>
      <w:proofErr w:type="gramEnd"/>
      <w:r w:rsidRPr="00704E5C">
        <w:rPr>
          <w:rFonts w:ascii="Garamond" w:hAnsi="Garamond"/>
          <w:sz w:val="20"/>
          <w:szCs w:val="20"/>
        </w:rPr>
        <w:t>'s Developments, 39 Mich. L. Rev. 526, 528 (1941).</w:t>
      </w:r>
    </w:p>
  </w:footnote>
  <w:footnote w:id="50">
    <w:p w14:paraId="343B6904" w14:textId="4A1F5551" w:rsidR="00B04723" w:rsidRPr="00704E5C" w:rsidRDefault="00B04723">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 xml:space="preserve">Roscoe Pound, “Interests of Personality,” 28 </w:t>
      </w:r>
      <w:proofErr w:type="spellStart"/>
      <w:r w:rsidRPr="00704E5C">
        <w:rPr>
          <w:rFonts w:ascii="Garamond" w:hAnsi="Garamond"/>
          <w:sz w:val="20"/>
          <w:szCs w:val="20"/>
        </w:rPr>
        <w:t>Harv</w:t>
      </w:r>
      <w:proofErr w:type="spellEnd"/>
      <w:r w:rsidRPr="00704E5C">
        <w:rPr>
          <w:rFonts w:ascii="Garamond" w:hAnsi="Garamond"/>
          <w:sz w:val="20"/>
          <w:szCs w:val="20"/>
        </w:rPr>
        <w:t>.</w:t>
      </w:r>
      <w:proofErr w:type="gramEnd"/>
      <w:r w:rsidRPr="00704E5C">
        <w:rPr>
          <w:rFonts w:ascii="Garamond" w:hAnsi="Garamond"/>
          <w:sz w:val="20"/>
          <w:szCs w:val="20"/>
        </w:rPr>
        <w:t xml:space="preserve"> L. Rev. 343, 350-58, 362-64 (1915).</w:t>
      </w:r>
    </w:p>
  </w:footnote>
  <w:footnote w:id="51">
    <w:p w14:paraId="41ACC4A9" w14:textId="20E044D0" w:rsidR="00B04723" w:rsidRPr="00704E5C" w:rsidRDefault="00B04723">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Id. at 362.</w:t>
      </w:r>
      <w:proofErr w:type="gramEnd"/>
      <w:r w:rsidRPr="00704E5C">
        <w:rPr>
          <w:rFonts w:ascii="Garamond" w:hAnsi="Garamond"/>
          <w:sz w:val="20"/>
          <w:szCs w:val="20"/>
        </w:rPr>
        <w:t xml:space="preserve"> Pound divided individual interests into three categories: (1) interests of personality, which he viewed as protecting "the individual physical and spiritual existence"; (2) "domestic interests"</w:t>
      </w:r>
      <w:proofErr w:type="gramStart"/>
      <w:r w:rsidRPr="00704E5C">
        <w:rPr>
          <w:rFonts w:ascii="Garamond" w:hAnsi="Garamond"/>
          <w:sz w:val="20"/>
          <w:szCs w:val="20"/>
        </w:rPr>
        <w:t>;</w:t>
      </w:r>
      <w:proofErr w:type="gramEnd"/>
      <w:r w:rsidRPr="00704E5C">
        <w:rPr>
          <w:rFonts w:ascii="Garamond" w:hAnsi="Garamond"/>
          <w:sz w:val="20"/>
          <w:szCs w:val="20"/>
        </w:rPr>
        <w:t xml:space="preserve"> and (3) individual economic life. </w:t>
      </w:r>
      <w:proofErr w:type="gramStart"/>
      <w:r w:rsidRPr="00704E5C">
        <w:rPr>
          <w:rFonts w:ascii="Garamond" w:hAnsi="Garamond"/>
          <w:sz w:val="20"/>
          <w:szCs w:val="20"/>
        </w:rPr>
        <w:t>Id. at 349.</w:t>
      </w:r>
      <w:proofErr w:type="gramEnd"/>
    </w:p>
  </w:footnote>
  <w:footnote w:id="52">
    <w:p w14:paraId="201D5FEF" w14:textId="187FCB2F"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sz w:val="20"/>
          <w:szCs w:val="20"/>
        </w:rPr>
        <w:t>p. 362</w:t>
      </w:r>
    </w:p>
  </w:footnote>
  <w:footnote w:id="53">
    <w:p w14:paraId="6D481E08" w14:textId="15C93B21"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Brandeis &amp; Warren, 1890</w:t>
      </w:r>
    </w:p>
  </w:footnote>
  <w:footnote w:id="54">
    <w:p w14:paraId="0C8CFF69" w14:textId="43374100"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r w:rsidRPr="00704E5C">
        <w:rPr>
          <w:rFonts w:ascii="Garamond" w:hAnsi="Garamond"/>
          <w:noProof/>
          <w:sz w:val="20"/>
          <w:szCs w:val="20"/>
        </w:rPr>
        <w:t>Id.</w:t>
      </w:r>
    </w:p>
  </w:footnote>
  <w:footnote w:id="55">
    <w:p w14:paraId="01D7C8A9" w14:textId="630F1CAF"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spellStart"/>
      <w:r w:rsidRPr="00704E5C">
        <w:rPr>
          <w:rFonts w:ascii="Garamond" w:hAnsi="Garamond"/>
          <w:sz w:val="20"/>
          <w:szCs w:val="20"/>
        </w:rPr>
        <w:t>Bloustein</w:t>
      </w:r>
      <w:proofErr w:type="spellEnd"/>
      <w:r w:rsidRPr="00704E5C">
        <w:rPr>
          <w:rFonts w:ascii="Garamond" w:hAnsi="Garamond"/>
          <w:sz w:val="20"/>
          <w:szCs w:val="20"/>
        </w:rPr>
        <w:t>, pp. 1005-6</w:t>
      </w:r>
      <w:r w:rsidRPr="00704E5C">
        <w:rPr>
          <w:rFonts w:ascii="Garamond" w:hAnsi="Garamond"/>
          <w:sz w:val="20"/>
          <w:szCs w:val="20"/>
        </w:rPr>
        <w:t>.</w:t>
      </w:r>
    </w:p>
  </w:footnote>
  <w:footnote w:id="56">
    <w:p w14:paraId="27F65E01" w14:textId="0ED4D274" w:rsidR="00704E5C" w:rsidRPr="00704E5C" w:rsidRDefault="00704E5C">
      <w:pPr>
        <w:pStyle w:val="FootnoteText"/>
        <w:rPr>
          <w:rFonts w:ascii="Garamond" w:hAnsi="Garamond"/>
          <w:sz w:val="20"/>
          <w:szCs w:val="20"/>
        </w:rPr>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Rosen 2000, p.10</w:t>
      </w:r>
      <w:r w:rsidRPr="00704E5C">
        <w:rPr>
          <w:rFonts w:ascii="Garamond" w:hAnsi="Garamond"/>
          <w:sz w:val="20"/>
          <w:szCs w:val="20"/>
        </w:rPr>
        <w:t>.</w:t>
      </w:r>
      <w:proofErr w:type="gramEnd"/>
    </w:p>
  </w:footnote>
  <w:footnote w:id="57">
    <w:p w14:paraId="74B7C31A" w14:textId="3C741E9D" w:rsidR="00704E5C" w:rsidRDefault="00704E5C">
      <w:pPr>
        <w:pStyle w:val="FootnoteText"/>
      </w:pPr>
      <w:r w:rsidRPr="00704E5C">
        <w:rPr>
          <w:rStyle w:val="FootnoteReference"/>
          <w:rFonts w:ascii="Garamond" w:hAnsi="Garamond"/>
          <w:sz w:val="20"/>
          <w:szCs w:val="20"/>
        </w:rPr>
        <w:footnoteRef/>
      </w:r>
      <w:r w:rsidRPr="00704E5C">
        <w:rPr>
          <w:rFonts w:ascii="Garamond" w:hAnsi="Garamond"/>
          <w:sz w:val="20"/>
          <w:szCs w:val="20"/>
        </w:rPr>
        <w:t xml:space="preserve"> </w:t>
      </w:r>
      <w:proofErr w:type="gramStart"/>
      <w:r w:rsidRPr="00704E5C">
        <w:rPr>
          <w:rFonts w:ascii="Garamond" w:hAnsi="Garamond"/>
          <w:sz w:val="20"/>
          <w:szCs w:val="20"/>
        </w:rPr>
        <w:t>p</w:t>
      </w:r>
      <w:proofErr w:type="gramEnd"/>
      <w:r w:rsidRPr="00704E5C">
        <w:rPr>
          <w:rFonts w:ascii="Garamond" w:hAnsi="Garamond"/>
          <w:sz w:val="20"/>
          <w:szCs w:val="20"/>
        </w:rPr>
        <w:t>.25</w:t>
      </w:r>
      <w:r w:rsidRPr="00704E5C">
        <w:rPr>
          <w:rFonts w:ascii="Garamond" w:hAnsi="Garamond"/>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2F0F"/>
    <w:multiLevelType w:val="hybridMultilevel"/>
    <w:tmpl w:val="4100FDEC"/>
    <w:lvl w:ilvl="0" w:tplc="B89479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C25EB"/>
    <w:multiLevelType w:val="hybridMultilevel"/>
    <w:tmpl w:val="DE74A1F2"/>
    <w:lvl w:ilvl="0" w:tplc="6B6A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AE45C8"/>
    <w:multiLevelType w:val="hybridMultilevel"/>
    <w:tmpl w:val="4100FDEC"/>
    <w:lvl w:ilvl="0" w:tplc="B89479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14292"/>
    <w:multiLevelType w:val="hybridMultilevel"/>
    <w:tmpl w:val="21306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68"/>
    <w:rsid w:val="00003A09"/>
    <w:rsid w:val="00012018"/>
    <w:rsid w:val="000209D4"/>
    <w:rsid w:val="00020DB7"/>
    <w:rsid w:val="00034E8F"/>
    <w:rsid w:val="00044833"/>
    <w:rsid w:val="000650CA"/>
    <w:rsid w:val="00075CE6"/>
    <w:rsid w:val="00082CF1"/>
    <w:rsid w:val="00087EF3"/>
    <w:rsid w:val="00091F6B"/>
    <w:rsid w:val="000958BC"/>
    <w:rsid w:val="00095C3B"/>
    <w:rsid w:val="000A132C"/>
    <w:rsid w:val="000B6D94"/>
    <w:rsid w:val="000C274F"/>
    <w:rsid w:val="000D5F8C"/>
    <w:rsid w:val="000E7435"/>
    <w:rsid w:val="000F1011"/>
    <w:rsid w:val="000F1585"/>
    <w:rsid w:val="00115060"/>
    <w:rsid w:val="001166BD"/>
    <w:rsid w:val="001224B3"/>
    <w:rsid w:val="00124387"/>
    <w:rsid w:val="001338F1"/>
    <w:rsid w:val="001339E2"/>
    <w:rsid w:val="00135BBE"/>
    <w:rsid w:val="001412E4"/>
    <w:rsid w:val="00160576"/>
    <w:rsid w:val="00161B7C"/>
    <w:rsid w:val="00170920"/>
    <w:rsid w:val="00170944"/>
    <w:rsid w:val="00173BE4"/>
    <w:rsid w:val="00195F88"/>
    <w:rsid w:val="001A0D54"/>
    <w:rsid w:val="001B4AE1"/>
    <w:rsid w:val="001C5FCB"/>
    <w:rsid w:val="001C76AE"/>
    <w:rsid w:val="001D1360"/>
    <w:rsid w:val="0020169F"/>
    <w:rsid w:val="00202644"/>
    <w:rsid w:val="00215BF1"/>
    <w:rsid w:val="002216B8"/>
    <w:rsid w:val="0022251D"/>
    <w:rsid w:val="002340CC"/>
    <w:rsid w:val="00246B4D"/>
    <w:rsid w:val="0026685A"/>
    <w:rsid w:val="0026737D"/>
    <w:rsid w:val="00267C6A"/>
    <w:rsid w:val="002713FC"/>
    <w:rsid w:val="0027532D"/>
    <w:rsid w:val="00277A58"/>
    <w:rsid w:val="00281B20"/>
    <w:rsid w:val="00283E7C"/>
    <w:rsid w:val="00297A1C"/>
    <w:rsid w:val="002B0B68"/>
    <w:rsid w:val="002B1C54"/>
    <w:rsid w:val="002D218E"/>
    <w:rsid w:val="002E6C22"/>
    <w:rsid w:val="002F3172"/>
    <w:rsid w:val="002F5C4D"/>
    <w:rsid w:val="003122D1"/>
    <w:rsid w:val="00315C06"/>
    <w:rsid w:val="003237B8"/>
    <w:rsid w:val="003247D9"/>
    <w:rsid w:val="00327E54"/>
    <w:rsid w:val="003403C4"/>
    <w:rsid w:val="00340660"/>
    <w:rsid w:val="00357258"/>
    <w:rsid w:val="00366A07"/>
    <w:rsid w:val="00370965"/>
    <w:rsid w:val="00380AF5"/>
    <w:rsid w:val="00382D93"/>
    <w:rsid w:val="00386BB1"/>
    <w:rsid w:val="00390DBA"/>
    <w:rsid w:val="00396EAF"/>
    <w:rsid w:val="003A026D"/>
    <w:rsid w:val="003A42D1"/>
    <w:rsid w:val="003B25D0"/>
    <w:rsid w:val="003B3826"/>
    <w:rsid w:val="003B4264"/>
    <w:rsid w:val="003C37E9"/>
    <w:rsid w:val="003C5E97"/>
    <w:rsid w:val="003D0F77"/>
    <w:rsid w:val="003D4039"/>
    <w:rsid w:val="003D5875"/>
    <w:rsid w:val="003F4C04"/>
    <w:rsid w:val="00410BF7"/>
    <w:rsid w:val="00424527"/>
    <w:rsid w:val="00430B78"/>
    <w:rsid w:val="00442DB3"/>
    <w:rsid w:val="00462EF9"/>
    <w:rsid w:val="0046516A"/>
    <w:rsid w:val="0047019E"/>
    <w:rsid w:val="00473FBE"/>
    <w:rsid w:val="004948C0"/>
    <w:rsid w:val="00497F76"/>
    <w:rsid w:val="004A0854"/>
    <w:rsid w:val="004A4208"/>
    <w:rsid w:val="004B6BA7"/>
    <w:rsid w:val="004C0812"/>
    <w:rsid w:val="004C430B"/>
    <w:rsid w:val="004C5008"/>
    <w:rsid w:val="004F1522"/>
    <w:rsid w:val="004F4770"/>
    <w:rsid w:val="004F6A0F"/>
    <w:rsid w:val="004F6E64"/>
    <w:rsid w:val="005168D1"/>
    <w:rsid w:val="00526533"/>
    <w:rsid w:val="0053578A"/>
    <w:rsid w:val="005376A1"/>
    <w:rsid w:val="0054085F"/>
    <w:rsid w:val="005540D2"/>
    <w:rsid w:val="00563168"/>
    <w:rsid w:val="005653A0"/>
    <w:rsid w:val="005712E8"/>
    <w:rsid w:val="00574C7A"/>
    <w:rsid w:val="00580102"/>
    <w:rsid w:val="0058018B"/>
    <w:rsid w:val="005813BA"/>
    <w:rsid w:val="0058298E"/>
    <w:rsid w:val="00582F0C"/>
    <w:rsid w:val="00587911"/>
    <w:rsid w:val="00592CC6"/>
    <w:rsid w:val="005953A9"/>
    <w:rsid w:val="00596805"/>
    <w:rsid w:val="005B4DCC"/>
    <w:rsid w:val="005C046A"/>
    <w:rsid w:val="005D3DCC"/>
    <w:rsid w:val="005D51B3"/>
    <w:rsid w:val="005D568D"/>
    <w:rsid w:val="005D734C"/>
    <w:rsid w:val="005E4FDF"/>
    <w:rsid w:val="005F40D4"/>
    <w:rsid w:val="00606779"/>
    <w:rsid w:val="00617592"/>
    <w:rsid w:val="00624039"/>
    <w:rsid w:val="00626FBE"/>
    <w:rsid w:val="006364BE"/>
    <w:rsid w:val="00654BCE"/>
    <w:rsid w:val="0066001D"/>
    <w:rsid w:val="00661207"/>
    <w:rsid w:val="0066580D"/>
    <w:rsid w:val="00666115"/>
    <w:rsid w:val="00692F60"/>
    <w:rsid w:val="0069348B"/>
    <w:rsid w:val="00697B00"/>
    <w:rsid w:val="006A5870"/>
    <w:rsid w:val="006C368F"/>
    <w:rsid w:val="006C4138"/>
    <w:rsid w:val="006E527C"/>
    <w:rsid w:val="006F140B"/>
    <w:rsid w:val="006F402F"/>
    <w:rsid w:val="00704C9C"/>
    <w:rsid w:val="00704E5C"/>
    <w:rsid w:val="0071463F"/>
    <w:rsid w:val="007152F2"/>
    <w:rsid w:val="007319AA"/>
    <w:rsid w:val="00743458"/>
    <w:rsid w:val="007479A5"/>
    <w:rsid w:val="00752FE7"/>
    <w:rsid w:val="00762F6A"/>
    <w:rsid w:val="00771DF9"/>
    <w:rsid w:val="00772197"/>
    <w:rsid w:val="00777F12"/>
    <w:rsid w:val="00792308"/>
    <w:rsid w:val="007A7FA1"/>
    <w:rsid w:val="007C190D"/>
    <w:rsid w:val="007C2394"/>
    <w:rsid w:val="007D07F5"/>
    <w:rsid w:val="007D2F35"/>
    <w:rsid w:val="007D31FA"/>
    <w:rsid w:val="007D7DB0"/>
    <w:rsid w:val="007F37C7"/>
    <w:rsid w:val="007F4217"/>
    <w:rsid w:val="008225BE"/>
    <w:rsid w:val="00822974"/>
    <w:rsid w:val="00826685"/>
    <w:rsid w:val="008300D7"/>
    <w:rsid w:val="00845A5B"/>
    <w:rsid w:val="008559F3"/>
    <w:rsid w:val="00856427"/>
    <w:rsid w:val="00862363"/>
    <w:rsid w:val="00867AD5"/>
    <w:rsid w:val="00872754"/>
    <w:rsid w:val="008836A1"/>
    <w:rsid w:val="00886A35"/>
    <w:rsid w:val="0089036E"/>
    <w:rsid w:val="008925C8"/>
    <w:rsid w:val="00895741"/>
    <w:rsid w:val="008A1EA7"/>
    <w:rsid w:val="008A687A"/>
    <w:rsid w:val="008A7A4F"/>
    <w:rsid w:val="008C15D8"/>
    <w:rsid w:val="008C5DB8"/>
    <w:rsid w:val="008D1293"/>
    <w:rsid w:val="008D3F90"/>
    <w:rsid w:val="008D7F8A"/>
    <w:rsid w:val="008F0129"/>
    <w:rsid w:val="00900DD2"/>
    <w:rsid w:val="00903309"/>
    <w:rsid w:val="00905083"/>
    <w:rsid w:val="009112F4"/>
    <w:rsid w:val="00924CE4"/>
    <w:rsid w:val="00932A39"/>
    <w:rsid w:val="009362EB"/>
    <w:rsid w:val="00944AEF"/>
    <w:rsid w:val="00947C0A"/>
    <w:rsid w:val="00954DBC"/>
    <w:rsid w:val="0095661B"/>
    <w:rsid w:val="0096692B"/>
    <w:rsid w:val="00967E50"/>
    <w:rsid w:val="00975487"/>
    <w:rsid w:val="009805C3"/>
    <w:rsid w:val="00985FD1"/>
    <w:rsid w:val="0098792C"/>
    <w:rsid w:val="00987A5D"/>
    <w:rsid w:val="00991170"/>
    <w:rsid w:val="009A4F3C"/>
    <w:rsid w:val="009C6BCF"/>
    <w:rsid w:val="009D20AB"/>
    <w:rsid w:val="009E314E"/>
    <w:rsid w:val="009E769B"/>
    <w:rsid w:val="009F62FE"/>
    <w:rsid w:val="00A0375E"/>
    <w:rsid w:val="00A037A7"/>
    <w:rsid w:val="00A04361"/>
    <w:rsid w:val="00A20197"/>
    <w:rsid w:val="00A23B1E"/>
    <w:rsid w:val="00A24C8A"/>
    <w:rsid w:val="00A420E8"/>
    <w:rsid w:val="00A470E7"/>
    <w:rsid w:val="00A6058D"/>
    <w:rsid w:val="00A7361D"/>
    <w:rsid w:val="00A7736E"/>
    <w:rsid w:val="00A87568"/>
    <w:rsid w:val="00A93DB0"/>
    <w:rsid w:val="00A94C5F"/>
    <w:rsid w:val="00A97140"/>
    <w:rsid w:val="00AA02F2"/>
    <w:rsid w:val="00AA0DCD"/>
    <w:rsid w:val="00AB0ADA"/>
    <w:rsid w:val="00AB6863"/>
    <w:rsid w:val="00AC4974"/>
    <w:rsid w:val="00AC7A6D"/>
    <w:rsid w:val="00AD2D15"/>
    <w:rsid w:val="00AD4464"/>
    <w:rsid w:val="00AD7934"/>
    <w:rsid w:val="00AE36C4"/>
    <w:rsid w:val="00AE4CCA"/>
    <w:rsid w:val="00AE78BF"/>
    <w:rsid w:val="00B01729"/>
    <w:rsid w:val="00B0382B"/>
    <w:rsid w:val="00B04723"/>
    <w:rsid w:val="00B0541F"/>
    <w:rsid w:val="00B128A6"/>
    <w:rsid w:val="00B315E9"/>
    <w:rsid w:val="00B3780F"/>
    <w:rsid w:val="00B45DFB"/>
    <w:rsid w:val="00B517DA"/>
    <w:rsid w:val="00B64CDC"/>
    <w:rsid w:val="00B748F9"/>
    <w:rsid w:val="00B82F5F"/>
    <w:rsid w:val="00B83746"/>
    <w:rsid w:val="00B83E64"/>
    <w:rsid w:val="00B87201"/>
    <w:rsid w:val="00BA19BD"/>
    <w:rsid w:val="00BB2160"/>
    <w:rsid w:val="00BC77EE"/>
    <w:rsid w:val="00BC7A2E"/>
    <w:rsid w:val="00BD160E"/>
    <w:rsid w:val="00BD716C"/>
    <w:rsid w:val="00BE12C3"/>
    <w:rsid w:val="00BE50C6"/>
    <w:rsid w:val="00BE7653"/>
    <w:rsid w:val="00C01BE2"/>
    <w:rsid w:val="00C033EB"/>
    <w:rsid w:val="00C03B1E"/>
    <w:rsid w:val="00C112B9"/>
    <w:rsid w:val="00C16F2F"/>
    <w:rsid w:val="00C30459"/>
    <w:rsid w:val="00C3520E"/>
    <w:rsid w:val="00C46017"/>
    <w:rsid w:val="00C51726"/>
    <w:rsid w:val="00C550E9"/>
    <w:rsid w:val="00C66353"/>
    <w:rsid w:val="00C74DE4"/>
    <w:rsid w:val="00C81B8A"/>
    <w:rsid w:val="00C91FCC"/>
    <w:rsid w:val="00CA7820"/>
    <w:rsid w:val="00CB1107"/>
    <w:rsid w:val="00CC107B"/>
    <w:rsid w:val="00CC14A4"/>
    <w:rsid w:val="00CD4544"/>
    <w:rsid w:val="00CD70B8"/>
    <w:rsid w:val="00CF323F"/>
    <w:rsid w:val="00CF3670"/>
    <w:rsid w:val="00CF3C4E"/>
    <w:rsid w:val="00CF54BF"/>
    <w:rsid w:val="00CF6A77"/>
    <w:rsid w:val="00D2140A"/>
    <w:rsid w:val="00D467ED"/>
    <w:rsid w:val="00D47687"/>
    <w:rsid w:val="00D572BF"/>
    <w:rsid w:val="00D67236"/>
    <w:rsid w:val="00D70CBE"/>
    <w:rsid w:val="00D74012"/>
    <w:rsid w:val="00D936E5"/>
    <w:rsid w:val="00D973E8"/>
    <w:rsid w:val="00DC05D5"/>
    <w:rsid w:val="00DD199E"/>
    <w:rsid w:val="00DD1FF4"/>
    <w:rsid w:val="00DD4095"/>
    <w:rsid w:val="00DD6FFE"/>
    <w:rsid w:val="00DE3AE4"/>
    <w:rsid w:val="00E01488"/>
    <w:rsid w:val="00E0286E"/>
    <w:rsid w:val="00E052DD"/>
    <w:rsid w:val="00E33A3A"/>
    <w:rsid w:val="00E40A5F"/>
    <w:rsid w:val="00E45FBF"/>
    <w:rsid w:val="00E46A89"/>
    <w:rsid w:val="00E47B8D"/>
    <w:rsid w:val="00E501DC"/>
    <w:rsid w:val="00E50A96"/>
    <w:rsid w:val="00E55709"/>
    <w:rsid w:val="00E5618A"/>
    <w:rsid w:val="00E5791D"/>
    <w:rsid w:val="00E8117A"/>
    <w:rsid w:val="00E845DE"/>
    <w:rsid w:val="00E87979"/>
    <w:rsid w:val="00E93775"/>
    <w:rsid w:val="00E96FF2"/>
    <w:rsid w:val="00EA03BA"/>
    <w:rsid w:val="00EA4317"/>
    <w:rsid w:val="00EC0952"/>
    <w:rsid w:val="00EC3FFC"/>
    <w:rsid w:val="00ED545A"/>
    <w:rsid w:val="00ED6170"/>
    <w:rsid w:val="00ED7D01"/>
    <w:rsid w:val="00EE1067"/>
    <w:rsid w:val="00EF3E1C"/>
    <w:rsid w:val="00F00748"/>
    <w:rsid w:val="00F228B9"/>
    <w:rsid w:val="00F25DA7"/>
    <w:rsid w:val="00F26E2C"/>
    <w:rsid w:val="00F3312A"/>
    <w:rsid w:val="00F34259"/>
    <w:rsid w:val="00F36E32"/>
    <w:rsid w:val="00F42C7D"/>
    <w:rsid w:val="00F51BC1"/>
    <w:rsid w:val="00F62EF6"/>
    <w:rsid w:val="00F816B5"/>
    <w:rsid w:val="00FD303C"/>
    <w:rsid w:val="00FD4FAC"/>
    <w:rsid w:val="00FF4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BF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blue">
    <w:name w:val="smallblue"/>
    <w:basedOn w:val="DefaultParagraphFont"/>
    <w:uiPriority w:val="99"/>
    <w:rsid w:val="00987A5D"/>
    <w:rPr>
      <w:rFonts w:cs="Times New Roman"/>
    </w:rPr>
  </w:style>
  <w:style w:type="paragraph" w:styleId="ListParagraph">
    <w:name w:val="List Paragraph"/>
    <w:basedOn w:val="Normal"/>
    <w:uiPriority w:val="34"/>
    <w:qFormat/>
    <w:rsid w:val="00170920"/>
    <w:pPr>
      <w:ind w:left="720"/>
      <w:contextualSpacing/>
    </w:pPr>
  </w:style>
  <w:style w:type="paragraph" w:styleId="FootnoteText">
    <w:name w:val="footnote text"/>
    <w:basedOn w:val="Normal"/>
    <w:link w:val="FootnoteTextChar"/>
    <w:uiPriority w:val="99"/>
    <w:unhideWhenUsed/>
    <w:rsid w:val="005D734C"/>
    <w:pPr>
      <w:spacing w:after="0" w:line="240" w:lineRule="auto"/>
    </w:pPr>
    <w:rPr>
      <w:sz w:val="24"/>
      <w:szCs w:val="24"/>
    </w:rPr>
  </w:style>
  <w:style w:type="character" w:customStyle="1" w:styleId="FootnoteTextChar">
    <w:name w:val="Footnote Text Char"/>
    <w:basedOn w:val="DefaultParagraphFont"/>
    <w:link w:val="FootnoteText"/>
    <w:uiPriority w:val="99"/>
    <w:rsid w:val="005D734C"/>
    <w:rPr>
      <w:sz w:val="24"/>
      <w:szCs w:val="24"/>
    </w:rPr>
  </w:style>
  <w:style w:type="character" w:styleId="FootnoteReference">
    <w:name w:val="footnote reference"/>
    <w:basedOn w:val="DefaultParagraphFont"/>
    <w:uiPriority w:val="99"/>
    <w:unhideWhenUsed/>
    <w:rsid w:val="005D734C"/>
    <w:rPr>
      <w:vertAlign w:val="superscript"/>
    </w:rPr>
  </w:style>
  <w:style w:type="paragraph" w:styleId="Bibliography">
    <w:name w:val="Bibliography"/>
    <w:basedOn w:val="Normal"/>
    <w:next w:val="Normal"/>
    <w:uiPriority w:val="37"/>
    <w:unhideWhenUsed/>
    <w:rsid w:val="0054085F"/>
  </w:style>
  <w:style w:type="paragraph" w:styleId="BalloonText">
    <w:name w:val="Balloon Text"/>
    <w:basedOn w:val="Normal"/>
    <w:link w:val="BalloonTextChar"/>
    <w:uiPriority w:val="99"/>
    <w:semiHidden/>
    <w:unhideWhenUsed/>
    <w:rsid w:val="00382D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D93"/>
    <w:rPr>
      <w:rFonts w:ascii="Lucida Grande" w:hAnsi="Lucida Grande" w:cs="Lucida Grande"/>
      <w:sz w:val="18"/>
      <w:szCs w:val="18"/>
    </w:rPr>
  </w:style>
  <w:style w:type="paragraph" w:styleId="Footer">
    <w:name w:val="footer"/>
    <w:basedOn w:val="Normal"/>
    <w:link w:val="FooterChar"/>
    <w:uiPriority w:val="99"/>
    <w:unhideWhenUsed/>
    <w:rsid w:val="005D51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1B3"/>
  </w:style>
  <w:style w:type="character" w:styleId="PageNumber">
    <w:name w:val="page number"/>
    <w:basedOn w:val="DefaultParagraphFont"/>
    <w:uiPriority w:val="99"/>
    <w:semiHidden/>
    <w:unhideWhenUsed/>
    <w:rsid w:val="005D51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blue">
    <w:name w:val="smallblue"/>
    <w:basedOn w:val="DefaultParagraphFont"/>
    <w:uiPriority w:val="99"/>
    <w:rsid w:val="00987A5D"/>
    <w:rPr>
      <w:rFonts w:cs="Times New Roman"/>
    </w:rPr>
  </w:style>
  <w:style w:type="paragraph" w:styleId="ListParagraph">
    <w:name w:val="List Paragraph"/>
    <w:basedOn w:val="Normal"/>
    <w:uiPriority w:val="34"/>
    <w:qFormat/>
    <w:rsid w:val="00170920"/>
    <w:pPr>
      <w:ind w:left="720"/>
      <w:contextualSpacing/>
    </w:pPr>
  </w:style>
  <w:style w:type="paragraph" w:styleId="FootnoteText">
    <w:name w:val="footnote text"/>
    <w:basedOn w:val="Normal"/>
    <w:link w:val="FootnoteTextChar"/>
    <w:uiPriority w:val="99"/>
    <w:unhideWhenUsed/>
    <w:rsid w:val="005D734C"/>
    <w:pPr>
      <w:spacing w:after="0" w:line="240" w:lineRule="auto"/>
    </w:pPr>
    <w:rPr>
      <w:sz w:val="24"/>
      <w:szCs w:val="24"/>
    </w:rPr>
  </w:style>
  <w:style w:type="character" w:customStyle="1" w:styleId="FootnoteTextChar">
    <w:name w:val="Footnote Text Char"/>
    <w:basedOn w:val="DefaultParagraphFont"/>
    <w:link w:val="FootnoteText"/>
    <w:uiPriority w:val="99"/>
    <w:rsid w:val="005D734C"/>
    <w:rPr>
      <w:sz w:val="24"/>
      <w:szCs w:val="24"/>
    </w:rPr>
  </w:style>
  <w:style w:type="character" w:styleId="FootnoteReference">
    <w:name w:val="footnote reference"/>
    <w:basedOn w:val="DefaultParagraphFont"/>
    <w:uiPriority w:val="99"/>
    <w:unhideWhenUsed/>
    <w:rsid w:val="005D734C"/>
    <w:rPr>
      <w:vertAlign w:val="superscript"/>
    </w:rPr>
  </w:style>
  <w:style w:type="paragraph" w:styleId="Bibliography">
    <w:name w:val="Bibliography"/>
    <w:basedOn w:val="Normal"/>
    <w:next w:val="Normal"/>
    <w:uiPriority w:val="37"/>
    <w:unhideWhenUsed/>
    <w:rsid w:val="0054085F"/>
  </w:style>
  <w:style w:type="paragraph" w:styleId="BalloonText">
    <w:name w:val="Balloon Text"/>
    <w:basedOn w:val="Normal"/>
    <w:link w:val="BalloonTextChar"/>
    <w:uiPriority w:val="99"/>
    <w:semiHidden/>
    <w:unhideWhenUsed/>
    <w:rsid w:val="00382D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D93"/>
    <w:rPr>
      <w:rFonts w:ascii="Lucida Grande" w:hAnsi="Lucida Grande" w:cs="Lucida Grande"/>
      <w:sz w:val="18"/>
      <w:szCs w:val="18"/>
    </w:rPr>
  </w:style>
  <w:style w:type="paragraph" w:styleId="Footer">
    <w:name w:val="footer"/>
    <w:basedOn w:val="Normal"/>
    <w:link w:val="FooterChar"/>
    <w:uiPriority w:val="99"/>
    <w:unhideWhenUsed/>
    <w:rsid w:val="005D51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1B3"/>
  </w:style>
  <w:style w:type="character" w:styleId="PageNumber">
    <w:name w:val="page number"/>
    <w:basedOn w:val="DefaultParagraphFont"/>
    <w:uiPriority w:val="99"/>
    <w:semiHidden/>
    <w:unhideWhenUsed/>
    <w:rsid w:val="005D5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4527">
      <w:bodyDiv w:val="1"/>
      <w:marLeft w:val="0"/>
      <w:marRight w:val="0"/>
      <w:marTop w:val="0"/>
      <w:marBottom w:val="0"/>
      <w:divBdr>
        <w:top w:val="none" w:sz="0" w:space="0" w:color="auto"/>
        <w:left w:val="none" w:sz="0" w:space="0" w:color="auto"/>
        <w:bottom w:val="none" w:sz="0" w:space="0" w:color="auto"/>
        <w:right w:val="none" w:sz="0" w:space="0" w:color="auto"/>
      </w:divBdr>
    </w:div>
    <w:div w:id="7353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Fou77</b:Tag>
    <b:SourceType>Book</b:SourceType>
    <b:Guid>{27F4F783-1E64-4111-BB83-7BE618D7B7A0}</b:Guid>
    <b:Author>
      <b:Author>
        <b:NameList>
          <b:Person>
            <b:Last>Foucault</b:Last>
            <b:First>Michel</b:First>
          </b:Person>
        </b:NameList>
      </b:Author>
    </b:Author>
    <b:Title> Discipline and punish : the birth of the prison</b:Title>
    <b:Year>1977</b:Year>
    <b:City>New York</b:City>
    <b:Publisher>Pantheon Books</b:Publisher>
    <b:RefOrder>8</b:RefOrder>
  </b:Source>
  <b:Source>
    <b:Tag>War90</b:Tag>
    <b:SourceType>JournalArticle</b:SourceType>
    <b:Guid>{DED02CC8-95C6-49E9-8793-38D9B41A44C9}</b:Guid>
    <b:Title>The Right to Privacy</b:Title>
    <b:Year>1890</b:Year>
    <b:Author>
      <b:Author>
        <b:NameList>
          <b:Person>
            <b:Last>Brandeis</b:Last>
            <b:First>Louis</b:First>
            <b:Middle>D.</b:Middle>
          </b:Person>
          <b:Person>
            <b:Last>Warren</b:Last>
            <b:First>Samuel</b:First>
            <b:Middle>D.</b:Middle>
          </b:Person>
        </b:NameList>
      </b:Author>
    </b:Author>
    <b:JournalName>Harvard Law Review</b:JournalName>
    <b:Month>December</b:Month>
    <b:Day>15</b:Day>
    <b:Volume>IV</b:Volume>
    <b:Issue>5</b:Issue>
    <b:YearAccessed>2012</b:YearAccessed>
    <b:MonthAccessed>March</b:MonthAccessed>
    <b:DayAccessed>16</b:DayAccessed>
    <b:URL>http://groups.csail.mit.edu/mac/classes/6.805/articles/privacy/Privacy_brand_warr2.html</b:URL>
    <b:RefOrder>9</b:RefOrder>
  </b:Source>
  <b:Source>
    <b:Tag>Pro60</b:Tag>
    <b:SourceType>JournalArticle</b:SourceType>
    <b:Guid>{37372C6C-D27E-42F2-8D0C-D9CF2B975833}</b:Guid>
    <b:Author>
      <b:Author>
        <b:NameList>
          <b:Person>
            <b:Last>Prosser</b:Last>
            <b:First>William</b:First>
            <b:Middle>L.</b:Middle>
          </b:Person>
        </b:NameList>
      </b:Author>
    </b:Author>
    <b:Title>Privacy</b:Title>
    <b:JournalName>California Law Review</b:JournalName>
    <b:Year>1960</b:Year>
    <b:Pages>383-423</b:Pages>
    <b:Month>August</b:Month>
    <b:Volume>48</b:Volume>
    <b:Issue>3</b:Issue>
    <b:RefOrder>1</b:RefOrder>
  </b:Source>
  <b:Source>
    <b:Tag>Man90</b:Tag>
    <b:SourceType>Case</b:SourceType>
    <b:Guid>{695C02B5-6F5B-4552-B91B-8BB0F13116E5}</b:Guid>
    <b:Title>Manola v. Stevens</b:Title>
    <b:Year>1890</b:Year>
    <b:Court>New York Supreme Court</b:Court>
    <b:RefOrder>2</b:RefOrder>
  </b:Source>
  <b:Source>
    <b:Tag>Atk99</b:Tag>
    <b:SourceType>Case</b:SourceType>
    <b:Guid>{8F9778B2-807B-4A8C-AEA6-AB7A239AFF07}</b:Guid>
    <b:Title>Atkinson v. John E. Doherty &amp; Co.</b:Title>
    <b:CaseNumber>121 Mich. 372, 80 N.W. 285</b:CaseNumber>
    <b:Year>1899</b:Year>
    <b:RefOrder>3</b:RefOrder>
  </b:Source>
  <b:Source>
    <b:Tag>OBr02</b:Tag>
    <b:SourceType>JournalArticle</b:SourceType>
    <b:Guid>{4C2B9DC4-7B29-4CF8-9AC3-E36206B860F9}</b:Guid>
    <b:Title>The Right of Privacy</b:Title>
    <b:JournalName>Columbia Law Review</b:JournalName>
    <b:Year>1902</b:Year>
    <b:Pages>437</b:Pages>
    <b:Author>
      <b:Author>
        <b:NameList>
          <b:Person>
            <b:Last>O'Brien</b:Last>
          </b:Person>
        </b:NameList>
      </b:Author>
    </b:Author>
    <b:Volume>2</b:Volume>
    <b:RefOrder>4</b:RefOrder>
  </b:Source>
  <b:Source>
    <b:Tag>Gri65</b:Tag>
    <b:SourceType>Case</b:SourceType>
    <b:Guid>{9A299DD9-793A-4167-9D5A-90890E024018}</b:Guid>
    <b:Title>Griswold v Connecticut</b:Title>
    <b:Year>1965</b:Year>
    <b:CaseNumber>381 U.S. 479</b:CaseNumber>
    <b:RefOrder>5</b:RefOrder>
  </b:Source>
  <b:Source>
    <b:Tag>USC</b:Tag>
    <b:SourceType>Misc</b:SourceType>
    <b:Guid>{01B91B6B-E326-4FD5-B2C3-71865338CED7}</b:Guid>
    <b:Title>U.S. Constitution, Fourteenth Amendment, Section 1</b:Title>
    <b:RefOrder>6</b:RefOrder>
  </b:Source>
  <b:Source>
    <b:Tag>Kat67</b:Tag>
    <b:SourceType>Case</b:SourceType>
    <b:Guid>{BD12CF28-A7AE-4B9D-94AB-9C77C68DC1DB}</b:Guid>
    <b:Title>Katz v. the United States</b:Title>
    <b:CaseNumber>389 U.S. 347</b:CaseNumber>
    <b:Year>1967</b:Year>
    <b:RefOrder>7</b:RefOrder>
  </b:Source>
</b:Sources>
</file>

<file path=customXml/itemProps1.xml><?xml version="1.0" encoding="utf-8"?>
<ds:datastoreItem xmlns:ds="http://schemas.openxmlformats.org/officeDocument/2006/customXml" ds:itemID="{83939D60-D89F-F84C-8F78-42464B3D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6310</Words>
  <Characters>35970</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American Political Science Association</vt:lpstr>
    </vt:vector>
  </TitlesOfParts>
  <Company>Cal State L.A.</Company>
  <LinksUpToDate>false</LinksUpToDate>
  <CharactersWithSpaces>42196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Political Science Association</dc:title>
  <dc:subject/>
  <dc:creator>madamia2</dc:creator>
  <cp:keywords/>
  <dc:description/>
  <cp:lastModifiedBy>Martin Adamian</cp:lastModifiedBy>
  <cp:revision>2</cp:revision>
  <cp:lastPrinted>2012-09-19T23:47:00Z</cp:lastPrinted>
  <dcterms:created xsi:type="dcterms:W3CDTF">2015-03-28T00:32:00Z</dcterms:created>
  <dcterms:modified xsi:type="dcterms:W3CDTF">2015-03-28T00:32:00Z</dcterms:modified>
</cp:coreProperties>
</file>