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F9E6D2" w14:textId="77777777" w:rsidR="00CB1022" w:rsidRDefault="00CB1022">
      <w:pPr>
        <w:rPr>
          <w:b/>
        </w:rPr>
      </w:pPr>
    </w:p>
    <w:p w14:paraId="5E18B172" w14:textId="77777777" w:rsidR="00CB1022" w:rsidRDefault="00CB1022">
      <w:pPr>
        <w:rPr>
          <w:b/>
        </w:rPr>
      </w:pPr>
    </w:p>
    <w:p w14:paraId="745C543A" w14:textId="77777777" w:rsidR="00CB1022" w:rsidRDefault="00CB1022">
      <w:pPr>
        <w:rPr>
          <w:b/>
        </w:rPr>
      </w:pPr>
    </w:p>
    <w:p w14:paraId="151831E7" w14:textId="77777777" w:rsidR="00CB1022" w:rsidRDefault="00CB1022">
      <w:pPr>
        <w:rPr>
          <w:b/>
        </w:rPr>
      </w:pPr>
    </w:p>
    <w:p w14:paraId="5C3F3612" w14:textId="77777777" w:rsidR="00CB1022" w:rsidRDefault="00CB1022">
      <w:pPr>
        <w:rPr>
          <w:b/>
        </w:rPr>
      </w:pPr>
    </w:p>
    <w:p w14:paraId="10D48905" w14:textId="77777777" w:rsidR="00CB1022" w:rsidRDefault="00CB1022">
      <w:pPr>
        <w:rPr>
          <w:b/>
        </w:rPr>
      </w:pPr>
    </w:p>
    <w:p w14:paraId="4FD0C864" w14:textId="77777777" w:rsidR="00CB1022" w:rsidRDefault="00CB1022">
      <w:pPr>
        <w:rPr>
          <w:b/>
        </w:rPr>
      </w:pPr>
    </w:p>
    <w:p w14:paraId="5FA18A22" w14:textId="77777777" w:rsidR="00CB1022" w:rsidRDefault="00CB1022" w:rsidP="00CB1022">
      <w:pPr>
        <w:rPr>
          <w:b/>
          <w:sz w:val="32"/>
          <w:szCs w:val="32"/>
        </w:rPr>
      </w:pPr>
      <w:r w:rsidRPr="00CB1022">
        <w:rPr>
          <w:b/>
          <w:sz w:val="32"/>
          <w:szCs w:val="32"/>
        </w:rPr>
        <w:t>A mark of the beast: Hobbes and implicit faith in context</w:t>
      </w:r>
    </w:p>
    <w:p w14:paraId="60C6D0EF" w14:textId="77777777" w:rsidR="00CB1022" w:rsidRDefault="00CB1022" w:rsidP="00CB1022">
      <w:pPr>
        <w:rPr>
          <w:b/>
          <w:sz w:val="32"/>
          <w:szCs w:val="32"/>
        </w:rPr>
      </w:pPr>
    </w:p>
    <w:p w14:paraId="464A52F1" w14:textId="77777777" w:rsidR="00CB1022" w:rsidRDefault="00CB1022" w:rsidP="00CB1022">
      <w:pPr>
        <w:rPr>
          <w:b/>
          <w:sz w:val="32"/>
          <w:szCs w:val="32"/>
        </w:rPr>
      </w:pPr>
    </w:p>
    <w:p w14:paraId="3ECFA6BE" w14:textId="77777777" w:rsidR="00DE0D4E" w:rsidRDefault="00DE0D4E" w:rsidP="00CB1022">
      <w:pPr>
        <w:rPr>
          <w:b/>
          <w:sz w:val="32"/>
          <w:szCs w:val="32"/>
        </w:rPr>
      </w:pPr>
    </w:p>
    <w:p w14:paraId="3F3C8A50" w14:textId="77777777" w:rsidR="00DE0D4E" w:rsidRDefault="00DE0D4E" w:rsidP="00CB1022">
      <w:pPr>
        <w:rPr>
          <w:b/>
          <w:sz w:val="32"/>
          <w:szCs w:val="32"/>
        </w:rPr>
      </w:pPr>
    </w:p>
    <w:p w14:paraId="2C5CB388" w14:textId="77777777" w:rsidR="00CB1022" w:rsidRDefault="00CB1022" w:rsidP="00CB1022">
      <w:pPr>
        <w:rPr>
          <w:b/>
          <w:sz w:val="32"/>
          <w:szCs w:val="32"/>
        </w:rPr>
      </w:pPr>
    </w:p>
    <w:p w14:paraId="7B6022EC" w14:textId="77777777" w:rsidR="00CB1022" w:rsidRPr="00CB1022" w:rsidRDefault="00CB1022" w:rsidP="00CB1022">
      <w:pPr>
        <w:rPr>
          <w:b/>
        </w:rPr>
      </w:pPr>
    </w:p>
    <w:p w14:paraId="4D99E94F" w14:textId="77777777" w:rsidR="00CB1022" w:rsidRDefault="00CB1022" w:rsidP="00CB1022">
      <w:pPr>
        <w:jc w:val="center"/>
        <w:rPr>
          <w:b/>
        </w:rPr>
      </w:pPr>
      <w:r>
        <w:rPr>
          <w:b/>
        </w:rPr>
        <w:t xml:space="preserve">By </w:t>
      </w:r>
    </w:p>
    <w:p w14:paraId="1E2506BE" w14:textId="249847FA" w:rsidR="00CB1022" w:rsidRDefault="00CB1022" w:rsidP="00CB1022">
      <w:pPr>
        <w:jc w:val="center"/>
        <w:rPr>
          <w:b/>
        </w:rPr>
      </w:pPr>
      <w:proofErr w:type="spellStart"/>
      <w:r>
        <w:rPr>
          <w:b/>
        </w:rPr>
        <w:t>Monicka</w:t>
      </w:r>
      <w:proofErr w:type="spellEnd"/>
      <w:r>
        <w:rPr>
          <w:b/>
        </w:rPr>
        <w:t xml:space="preserve"> Patterson-</w:t>
      </w:r>
      <w:proofErr w:type="spellStart"/>
      <w:r>
        <w:rPr>
          <w:b/>
        </w:rPr>
        <w:t>Tutschka</w:t>
      </w:r>
      <w:proofErr w:type="spellEnd"/>
    </w:p>
    <w:p w14:paraId="010E1838" w14:textId="33C40299" w:rsidR="00CB1022" w:rsidRDefault="00CB1022" w:rsidP="00CB1022">
      <w:pPr>
        <w:jc w:val="center"/>
        <w:rPr>
          <w:b/>
        </w:rPr>
      </w:pPr>
      <w:r>
        <w:rPr>
          <w:b/>
        </w:rPr>
        <w:t>Associate Professor of Government</w:t>
      </w:r>
    </w:p>
    <w:p w14:paraId="321ED7E5" w14:textId="4FD39C9B" w:rsidR="00DE0D4E" w:rsidRDefault="00CB1022" w:rsidP="00B41519">
      <w:pPr>
        <w:jc w:val="center"/>
        <w:rPr>
          <w:b/>
        </w:rPr>
      </w:pPr>
      <w:r>
        <w:rPr>
          <w:b/>
        </w:rPr>
        <w:t>California State University, Sacramento</w:t>
      </w:r>
    </w:p>
    <w:p w14:paraId="644D347F" w14:textId="77777777" w:rsidR="00DE0D4E" w:rsidRDefault="00DE0D4E" w:rsidP="00DE0D4E">
      <w:pPr>
        <w:jc w:val="center"/>
        <w:rPr>
          <w:b/>
        </w:rPr>
      </w:pPr>
    </w:p>
    <w:p w14:paraId="00E3D0D8" w14:textId="77777777" w:rsidR="00DE0D4E" w:rsidRDefault="00DE0D4E" w:rsidP="00DE0D4E">
      <w:pPr>
        <w:jc w:val="center"/>
        <w:rPr>
          <w:b/>
        </w:rPr>
      </w:pPr>
    </w:p>
    <w:p w14:paraId="47077765" w14:textId="77777777" w:rsidR="00B41519" w:rsidRDefault="00B41519" w:rsidP="00DE0D4E">
      <w:pPr>
        <w:jc w:val="center"/>
        <w:rPr>
          <w:b/>
        </w:rPr>
      </w:pPr>
    </w:p>
    <w:p w14:paraId="047C47B8" w14:textId="77777777" w:rsidR="00B41519" w:rsidRDefault="00B41519" w:rsidP="00DE0D4E">
      <w:pPr>
        <w:jc w:val="center"/>
        <w:rPr>
          <w:b/>
        </w:rPr>
      </w:pPr>
    </w:p>
    <w:p w14:paraId="42EC86F7" w14:textId="77777777" w:rsidR="00DE0D4E" w:rsidRDefault="00DE0D4E" w:rsidP="00DE0D4E">
      <w:pPr>
        <w:jc w:val="center"/>
        <w:rPr>
          <w:b/>
        </w:rPr>
      </w:pPr>
    </w:p>
    <w:p w14:paraId="1EB15E8E" w14:textId="12543B47" w:rsidR="00CB1022" w:rsidRDefault="00CB1022" w:rsidP="00DE0D4E">
      <w:pPr>
        <w:jc w:val="center"/>
        <w:rPr>
          <w:b/>
        </w:rPr>
      </w:pPr>
      <w:r>
        <w:rPr>
          <w:b/>
        </w:rPr>
        <w:t>Presented at</w:t>
      </w:r>
    </w:p>
    <w:p w14:paraId="64543726" w14:textId="1C813E6E" w:rsidR="00DE0D4E" w:rsidRDefault="00CB1022" w:rsidP="00DE0D4E">
      <w:pPr>
        <w:jc w:val="center"/>
        <w:rPr>
          <w:b/>
        </w:rPr>
      </w:pPr>
      <w:proofErr w:type="gramStart"/>
      <w:r>
        <w:rPr>
          <w:b/>
        </w:rPr>
        <w:t>the</w:t>
      </w:r>
      <w:proofErr w:type="gramEnd"/>
      <w:r>
        <w:rPr>
          <w:b/>
        </w:rPr>
        <w:t xml:space="preserve"> Western Political Science Association Conference</w:t>
      </w:r>
    </w:p>
    <w:p w14:paraId="062A434E" w14:textId="170F69E1" w:rsidR="00DE0D4E" w:rsidRDefault="00DE0D4E" w:rsidP="00DE0D4E">
      <w:pPr>
        <w:jc w:val="center"/>
        <w:rPr>
          <w:b/>
        </w:rPr>
      </w:pPr>
      <w:r>
        <w:rPr>
          <w:b/>
        </w:rPr>
        <w:t>Las Vegas, Nevada</w:t>
      </w:r>
    </w:p>
    <w:p w14:paraId="3290EF1C" w14:textId="5ADCB9BC" w:rsidR="00CB1022" w:rsidRDefault="00CB1022" w:rsidP="00DE0D4E">
      <w:pPr>
        <w:jc w:val="center"/>
        <w:rPr>
          <w:b/>
        </w:rPr>
      </w:pPr>
      <w:r>
        <w:rPr>
          <w:b/>
        </w:rPr>
        <w:t>Panel 15.29</w:t>
      </w:r>
      <w:r w:rsidR="00011883">
        <w:rPr>
          <w:b/>
        </w:rPr>
        <w:t>, discussed by Ben Hertzberg</w:t>
      </w:r>
    </w:p>
    <w:p w14:paraId="0A5AE94E" w14:textId="1B2362B6" w:rsidR="00CB1022" w:rsidRDefault="00CB1022" w:rsidP="00DE0D4E">
      <w:pPr>
        <w:jc w:val="center"/>
        <w:rPr>
          <w:b/>
        </w:rPr>
      </w:pPr>
      <w:r>
        <w:rPr>
          <w:b/>
        </w:rPr>
        <w:t>Saturday, April 4, 2015, 8am-9</w:t>
      </w:r>
      <w:proofErr w:type="gramStart"/>
      <w:r>
        <w:rPr>
          <w:b/>
        </w:rPr>
        <w:t>:45am</w:t>
      </w:r>
      <w:proofErr w:type="gramEnd"/>
    </w:p>
    <w:p w14:paraId="067224FD" w14:textId="34C53592" w:rsidR="00CB1022" w:rsidRDefault="00CB1022" w:rsidP="00DE0D4E">
      <w:pPr>
        <w:jc w:val="center"/>
        <w:rPr>
          <w:b/>
        </w:rPr>
      </w:pPr>
    </w:p>
    <w:p w14:paraId="6679999F" w14:textId="77777777" w:rsidR="00DE0D4E" w:rsidRDefault="00DE0D4E" w:rsidP="00B41519">
      <w:pPr>
        <w:rPr>
          <w:b/>
        </w:rPr>
      </w:pPr>
    </w:p>
    <w:p w14:paraId="4D0BB380" w14:textId="77777777" w:rsidR="00B41519" w:rsidRDefault="00B41519" w:rsidP="00B41519">
      <w:pPr>
        <w:rPr>
          <w:b/>
        </w:rPr>
      </w:pPr>
    </w:p>
    <w:p w14:paraId="54F211F6" w14:textId="77777777" w:rsidR="00B41519" w:rsidRDefault="00B41519" w:rsidP="00B41519">
      <w:pPr>
        <w:rPr>
          <w:b/>
        </w:rPr>
      </w:pPr>
    </w:p>
    <w:p w14:paraId="65A7E9C0" w14:textId="77777777" w:rsidR="00B41519" w:rsidRDefault="00B41519" w:rsidP="00B41519">
      <w:pPr>
        <w:rPr>
          <w:b/>
        </w:rPr>
      </w:pPr>
    </w:p>
    <w:p w14:paraId="75BF4D5A" w14:textId="77777777" w:rsidR="00B41519" w:rsidRDefault="00B41519" w:rsidP="00B41519">
      <w:pPr>
        <w:rPr>
          <w:b/>
        </w:rPr>
      </w:pPr>
    </w:p>
    <w:p w14:paraId="62074885" w14:textId="77777777" w:rsidR="00DE0D4E" w:rsidRDefault="00DE0D4E" w:rsidP="00DE0D4E">
      <w:pPr>
        <w:jc w:val="center"/>
        <w:rPr>
          <w:b/>
        </w:rPr>
      </w:pPr>
    </w:p>
    <w:p w14:paraId="45B227B8" w14:textId="4C75F566" w:rsidR="00CB1022" w:rsidRDefault="00DE0D4E" w:rsidP="00DE0D4E">
      <w:pPr>
        <w:jc w:val="center"/>
        <w:rPr>
          <w:b/>
        </w:rPr>
      </w:pPr>
      <w:r>
        <w:rPr>
          <w:b/>
        </w:rPr>
        <w:t xml:space="preserve">WORKING </w:t>
      </w:r>
      <w:r w:rsidR="00CB1022">
        <w:rPr>
          <w:b/>
        </w:rPr>
        <w:t>DRAFT</w:t>
      </w:r>
    </w:p>
    <w:p w14:paraId="5EAAAAF0" w14:textId="7F4A10F8" w:rsidR="00CB1022" w:rsidRDefault="00CB1022" w:rsidP="00DE0D4E">
      <w:pPr>
        <w:jc w:val="center"/>
        <w:rPr>
          <w:b/>
        </w:rPr>
      </w:pPr>
      <w:r>
        <w:rPr>
          <w:b/>
        </w:rPr>
        <w:t>Please do not circulate or cite without the author’s express consent</w:t>
      </w:r>
    </w:p>
    <w:p w14:paraId="5CB50DE8" w14:textId="77777777" w:rsidR="00CB1022" w:rsidRDefault="00CB1022">
      <w:pPr>
        <w:rPr>
          <w:b/>
        </w:rPr>
      </w:pPr>
    </w:p>
    <w:p w14:paraId="042BD894" w14:textId="77777777" w:rsidR="00B41519" w:rsidRDefault="00B41519">
      <w:pPr>
        <w:rPr>
          <w:b/>
        </w:rPr>
      </w:pPr>
    </w:p>
    <w:p w14:paraId="21205952" w14:textId="77777777" w:rsidR="00B41519" w:rsidRDefault="00B41519">
      <w:pPr>
        <w:rPr>
          <w:b/>
        </w:rPr>
      </w:pPr>
    </w:p>
    <w:p w14:paraId="710F5110" w14:textId="77777777" w:rsidR="00B41519" w:rsidRDefault="00B41519">
      <w:pPr>
        <w:rPr>
          <w:b/>
        </w:rPr>
      </w:pPr>
    </w:p>
    <w:p w14:paraId="73A5CE71" w14:textId="77777777" w:rsidR="00B41519" w:rsidRDefault="00B41519">
      <w:pPr>
        <w:rPr>
          <w:b/>
        </w:rPr>
      </w:pPr>
    </w:p>
    <w:p w14:paraId="3AEDBA2A" w14:textId="77777777" w:rsidR="00B41519" w:rsidRDefault="00B41519">
      <w:pPr>
        <w:rPr>
          <w:b/>
        </w:rPr>
      </w:pPr>
    </w:p>
    <w:p w14:paraId="1092E25A" w14:textId="77777777" w:rsidR="00DE0D4E" w:rsidRDefault="00DE0D4E">
      <w:pPr>
        <w:rPr>
          <w:b/>
        </w:rPr>
      </w:pPr>
    </w:p>
    <w:p w14:paraId="0ABFAAC6" w14:textId="1F27539C" w:rsidR="00B41519" w:rsidRPr="000776DD" w:rsidRDefault="00B41519" w:rsidP="00B41519">
      <w:pPr>
        <w:rPr>
          <w:i/>
        </w:rPr>
      </w:pPr>
      <w:r w:rsidRPr="00B41519">
        <w:rPr>
          <w:b/>
        </w:rPr>
        <w:lastRenderedPageBreak/>
        <w:t>Abstract:</w:t>
      </w:r>
      <w:r>
        <w:t xml:space="preserve"> </w:t>
      </w:r>
      <w:r>
        <w:t>I place Hobbes’s discussion of faith in historical context. More specifically, I embed his reflections upon faith within a cluster of highly contentious mid-seventeenth-century English discussions over the role of implicit and explicit faith in Christian life.</w:t>
      </w:r>
      <w:r w:rsidRPr="00B41519">
        <w:t xml:space="preserve"> </w:t>
      </w:r>
      <w:r>
        <w:t xml:space="preserve">I use my historically informed interpretation of Hobbesian faith or belief in order to advance the following interpretation of </w:t>
      </w:r>
      <w:r w:rsidRPr="009635EF">
        <w:rPr>
          <w:i/>
        </w:rPr>
        <w:t>Leviathan</w:t>
      </w:r>
      <w:r>
        <w:rPr>
          <w:i/>
        </w:rPr>
        <w:t xml:space="preserve">. </w:t>
      </w:r>
      <w:r>
        <w:t xml:space="preserve"> First, I claim that central arguments regarding authority and obedience within </w:t>
      </w:r>
      <w:r>
        <w:rPr>
          <w:i/>
        </w:rPr>
        <w:t>Leviathan</w:t>
      </w:r>
      <w:r>
        <w:t xml:space="preserve"> are not secular; they are informed by the papal doctrine of implicit faith, but have essential Anglican colorings. Second, I claim that the relationship between the subject and the civil sovereign is not properly understood as an exchange relation where subjects offer obedience for protection. Using my historically rooted reading, I will explain how the subject exchanges implicit faith with the civil sovereign as the Lord’s lieutenant for protections. </w:t>
      </w:r>
      <w:r w:rsidRPr="00423A87">
        <w:t xml:space="preserve"> </w:t>
      </w:r>
      <w:r>
        <w:t>Third, I will argue that sovereign authorization is not a profession of secular consent. My historical reading reveals that sovereign authorization is an informed profession of implicit faith. Fourth, I will use my historical reading to show that Hobbes vigorously rejects what Protestants of his time would interpret as religious liberty (i.e., the liberty of conscience doctrine).</w:t>
      </w:r>
    </w:p>
    <w:p w14:paraId="6E024E84" w14:textId="77AD83E9" w:rsidR="00DE0D4E" w:rsidRDefault="00DE0D4E">
      <w:pPr>
        <w:rPr>
          <w:b/>
        </w:rPr>
      </w:pPr>
    </w:p>
    <w:p w14:paraId="6E7D9AF3" w14:textId="77777777" w:rsidR="00B41519" w:rsidRDefault="00B41519" w:rsidP="00DE0D4E">
      <w:pPr>
        <w:jc w:val="center"/>
        <w:rPr>
          <w:b/>
        </w:rPr>
      </w:pPr>
    </w:p>
    <w:p w14:paraId="63AE5549" w14:textId="77777777" w:rsidR="00B41519" w:rsidRDefault="00B41519" w:rsidP="00DE0D4E">
      <w:pPr>
        <w:jc w:val="center"/>
        <w:rPr>
          <w:b/>
        </w:rPr>
      </w:pPr>
    </w:p>
    <w:p w14:paraId="320AB8D9" w14:textId="77777777" w:rsidR="00B41519" w:rsidRDefault="00B41519" w:rsidP="00DE0D4E">
      <w:pPr>
        <w:jc w:val="center"/>
        <w:rPr>
          <w:b/>
        </w:rPr>
      </w:pPr>
    </w:p>
    <w:p w14:paraId="606222D0" w14:textId="77777777" w:rsidR="00B41519" w:rsidRDefault="00B41519" w:rsidP="00DE0D4E">
      <w:pPr>
        <w:jc w:val="center"/>
        <w:rPr>
          <w:b/>
        </w:rPr>
      </w:pPr>
    </w:p>
    <w:p w14:paraId="2FDE786E" w14:textId="77777777" w:rsidR="00B41519" w:rsidRDefault="00B41519" w:rsidP="00DE0D4E">
      <w:pPr>
        <w:jc w:val="center"/>
        <w:rPr>
          <w:b/>
        </w:rPr>
      </w:pPr>
    </w:p>
    <w:p w14:paraId="04BED8E6" w14:textId="77777777" w:rsidR="00B41519" w:rsidRDefault="00B41519" w:rsidP="00DE0D4E">
      <w:pPr>
        <w:jc w:val="center"/>
        <w:rPr>
          <w:b/>
        </w:rPr>
      </w:pPr>
    </w:p>
    <w:p w14:paraId="2893A73A" w14:textId="77777777" w:rsidR="00B41519" w:rsidRDefault="00B41519" w:rsidP="00DE0D4E">
      <w:pPr>
        <w:jc w:val="center"/>
        <w:rPr>
          <w:b/>
        </w:rPr>
      </w:pPr>
    </w:p>
    <w:p w14:paraId="43833456" w14:textId="77777777" w:rsidR="00B41519" w:rsidRDefault="00B41519" w:rsidP="00DE0D4E">
      <w:pPr>
        <w:jc w:val="center"/>
        <w:rPr>
          <w:b/>
        </w:rPr>
      </w:pPr>
    </w:p>
    <w:p w14:paraId="1B7BA009" w14:textId="77777777" w:rsidR="00B41519" w:rsidRDefault="00B41519" w:rsidP="00DE0D4E">
      <w:pPr>
        <w:jc w:val="center"/>
        <w:rPr>
          <w:b/>
        </w:rPr>
      </w:pPr>
    </w:p>
    <w:p w14:paraId="70B7361C" w14:textId="77777777" w:rsidR="00B41519" w:rsidRDefault="00B41519" w:rsidP="00DE0D4E">
      <w:pPr>
        <w:jc w:val="center"/>
        <w:rPr>
          <w:b/>
        </w:rPr>
      </w:pPr>
    </w:p>
    <w:p w14:paraId="3FA3BCE5" w14:textId="77777777" w:rsidR="00B41519" w:rsidRDefault="00B41519" w:rsidP="00DE0D4E">
      <w:pPr>
        <w:jc w:val="center"/>
        <w:rPr>
          <w:b/>
        </w:rPr>
      </w:pPr>
    </w:p>
    <w:p w14:paraId="07926640" w14:textId="77777777" w:rsidR="00B41519" w:rsidRDefault="00B41519" w:rsidP="00DE0D4E">
      <w:pPr>
        <w:jc w:val="center"/>
        <w:rPr>
          <w:b/>
        </w:rPr>
      </w:pPr>
    </w:p>
    <w:p w14:paraId="16695C8D" w14:textId="77777777" w:rsidR="00B41519" w:rsidRDefault="00B41519" w:rsidP="00DE0D4E">
      <w:pPr>
        <w:jc w:val="center"/>
        <w:rPr>
          <w:b/>
        </w:rPr>
      </w:pPr>
    </w:p>
    <w:p w14:paraId="631042A5" w14:textId="77777777" w:rsidR="00B41519" w:rsidRDefault="00B41519" w:rsidP="00DE0D4E">
      <w:pPr>
        <w:jc w:val="center"/>
        <w:rPr>
          <w:b/>
        </w:rPr>
      </w:pPr>
    </w:p>
    <w:p w14:paraId="01D9A157" w14:textId="77777777" w:rsidR="00B41519" w:rsidRDefault="00B41519" w:rsidP="00DE0D4E">
      <w:pPr>
        <w:jc w:val="center"/>
        <w:rPr>
          <w:b/>
        </w:rPr>
      </w:pPr>
    </w:p>
    <w:p w14:paraId="150F4194" w14:textId="77777777" w:rsidR="00B41519" w:rsidRDefault="00B41519" w:rsidP="00DE0D4E">
      <w:pPr>
        <w:jc w:val="center"/>
        <w:rPr>
          <w:b/>
        </w:rPr>
      </w:pPr>
    </w:p>
    <w:p w14:paraId="05537C60" w14:textId="77777777" w:rsidR="00B41519" w:rsidRDefault="00B41519" w:rsidP="00DE0D4E">
      <w:pPr>
        <w:jc w:val="center"/>
        <w:rPr>
          <w:b/>
        </w:rPr>
      </w:pPr>
    </w:p>
    <w:p w14:paraId="6ED71C6E" w14:textId="77777777" w:rsidR="00B41519" w:rsidRDefault="00B41519" w:rsidP="00DE0D4E">
      <w:pPr>
        <w:jc w:val="center"/>
        <w:rPr>
          <w:b/>
        </w:rPr>
      </w:pPr>
    </w:p>
    <w:p w14:paraId="4D6A9295" w14:textId="77777777" w:rsidR="00B41519" w:rsidRDefault="00B41519" w:rsidP="00DE0D4E">
      <w:pPr>
        <w:jc w:val="center"/>
        <w:rPr>
          <w:b/>
        </w:rPr>
      </w:pPr>
    </w:p>
    <w:p w14:paraId="0C864A41" w14:textId="77777777" w:rsidR="00B41519" w:rsidRDefault="00B41519" w:rsidP="00DE0D4E">
      <w:pPr>
        <w:jc w:val="center"/>
        <w:rPr>
          <w:b/>
        </w:rPr>
      </w:pPr>
    </w:p>
    <w:p w14:paraId="16DB5737" w14:textId="77777777" w:rsidR="00B41519" w:rsidRDefault="00B41519" w:rsidP="00DE0D4E">
      <w:pPr>
        <w:jc w:val="center"/>
        <w:rPr>
          <w:b/>
        </w:rPr>
      </w:pPr>
    </w:p>
    <w:p w14:paraId="461E9F04" w14:textId="77777777" w:rsidR="00B41519" w:rsidRDefault="00B41519" w:rsidP="00DE0D4E">
      <w:pPr>
        <w:jc w:val="center"/>
        <w:rPr>
          <w:b/>
        </w:rPr>
      </w:pPr>
    </w:p>
    <w:p w14:paraId="1FC7347F" w14:textId="77777777" w:rsidR="00B41519" w:rsidRDefault="00B41519" w:rsidP="00DE0D4E">
      <w:pPr>
        <w:jc w:val="center"/>
        <w:rPr>
          <w:b/>
        </w:rPr>
      </w:pPr>
    </w:p>
    <w:p w14:paraId="3835B006" w14:textId="77777777" w:rsidR="00B41519" w:rsidRDefault="00B41519" w:rsidP="00DE0D4E">
      <w:pPr>
        <w:jc w:val="center"/>
        <w:rPr>
          <w:b/>
        </w:rPr>
      </w:pPr>
    </w:p>
    <w:p w14:paraId="7EAE9F62" w14:textId="77777777" w:rsidR="00B41519" w:rsidRDefault="00B41519" w:rsidP="00DE0D4E">
      <w:pPr>
        <w:jc w:val="center"/>
        <w:rPr>
          <w:b/>
        </w:rPr>
      </w:pPr>
    </w:p>
    <w:p w14:paraId="0C255E34" w14:textId="77777777" w:rsidR="00B41519" w:rsidRDefault="00B41519" w:rsidP="00DE0D4E">
      <w:pPr>
        <w:jc w:val="center"/>
        <w:rPr>
          <w:b/>
        </w:rPr>
      </w:pPr>
    </w:p>
    <w:p w14:paraId="109B9E13" w14:textId="77777777" w:rsidR="00B41519" w:rsidRDefault="00B41519" w:rsidP="00DE0D4E">
      <w:pPr>
        <w:jc w:val="center"/>
        <w:rPr>
          <w:b/>
        </w:rPr>
      </w:pPr>
    </w:p>
    <w:p w14:paraId="3D0C06AF" w14:textId="77777777" w:rsidR="00B41519" w:rsidRDefault="00B41519" w:rsidP="00DE0D4E">
      <w:pPr>
        <w:jc w:val="center"/>
        <w:rPr>
          <w:b/>
        </w:rPr>
      </w:pPr>
    </w:p>
    <w:p w14:paraId="2C80A672" w14:textId="77777777" w:rsidR="00B41519" w:rsidRDefault="00B41519" w:rsidP="00B41519">
      <w:pPr>
        <w:rPr>
          <w:b/>
        </w:rPr>
      </w:pPr>
    </w:p>
    <w:p w14:paraId="5E7E33E3" w14:textId="77777777" w:rsidR="00B41519" w:rsidRDefault="00B41519" w:rsidP="00DE0D4E">
      <w:pPr>
        <w:jc w:val="center"/>
        <w:rPr>
          <w:b/>
        </w:rPr>
      </w:pPr>
      <w:bookmarkStart w:id="0" w:name="_GoBack"/>
      <w:bookmarkEnd w:id="0"/>
    </w:p>
    <w:p w14:paraId="23778F9F" w14:textId="59EE9418" w:rsidR="005E53CD" w:rsidRDefault="005E53CD" w:rsidP="00DE0D4E">
      <w:pPr>
        <w:jc w:val="center"/>
        <w:rPr>
          <w:b/>
        </w:rPr>
      </w:pPr>
      <w:r>
        <w:rPr>
          <w:b/>
        </w:rPr>
        <w:t>A mark of the beast: Hobbes and implicit faith in context</w:t>
      </w:r>
    </w:p>
    <w:p w14:paraId="698B0427" w14:textId="77777777" w:rsidR="00DE0D4E" w:rsidRDefault="00DE0D4E" w:rsidP="00862037">
      <w:pPr>
        <w:ind w:firstLine="720"/>
      </w:pPr>
    </w:p>
    <w:p w14:paraId="152B4315" w14:textId="77777777" w:rsidR="00DE0D4E" w:rsidRDefault="00DE0D4E" w:rsidP="00862037">
      <w:pPr>
        <w:ind w:firstLine="720"/>
      </w:pPr>
    </w:p>
    <w:p w14:paraId="37B93A39" w14:textId="57FB5C05" w:rsidR="00DE0D4E" w:rsidRPr="00DE0D4E" w:rsidRDefault="00DE0D4E" w:rsidP="00350E7B">
      <w:pPr>
        <w:spacing w:line="480" w:lineRule="auto"/>
        <w:rPr>
          <w:b/>
        </w:rPr>
      </w:pPr>
      <w:r w:rsidRPr="00DE0D4E">
        <w:rPr>
          <w:b/>
        </w:rPr>
        <w:t>Introduction</w:t>
      </w:r>
    </w:p>
    <w:p w14:paraId="5D4C38DF" w14:textId="77777777" w:rsidR="00350E7B" w:rsidRDefault="00EC378A" w:rsidP="00350E7B">
      <w:pPr>
        <w:spacing w:line="480" w:lineRule="auto"/>
        <w:ind w:firstLine="720"/>
      </w:pPr>
      <w:r>
        <w:t xml:space="preserve">In this paper </w:t>
      </w:r>
      <w:r w:rsidR="009635EF">
        <w:t>I place H</w:t>
      </w:r>
      <w:r w:rsidR="0053008D">
        <w:t xml:space="preserve">obbes’s discussion of </w:t>
      </w:r>
      <w:r w:rsidR="009635EF">
        <w:t>faith in historical context. More specifically, I embe</w:t>
      </w:r>
      <w:r w:rsidR="0053008D">
        <w:t xml:space="preserve">d his reflections upon faith </w:t>
      </w:r>
      <w:r w:rsidR="009635EF">
        <w:t>within a cluster of highly contentious mid-seventeenth-century English discussions over the role of implicit and explicit fa</w:t>
      </w:r>
      <w:r w:rsidR="009377AA">
        <w:t>ith in Christian life. My decision</w:t>
      </w:r>
      <w:r w:rsidR="009635EF">
        <w:t xml:space="preserve"> to emb</w:t>
      </w:r>
      <w:r w:rsidR="009377AA">
        <w:t xml:space="preserve">ed Hobbes’s </w:t>
      </w:r>
      <w:r w:rsidR="0053008D">
        <w:t>account of</w:t>
      </w:r>
      <w:r w:rsidR="009635EF">
        <w:t xml:space="preserve"> faith in</w:t>
      </w:r>
      <w:r>
        <w:t>to</w:t>
      </w:r>
      <w:r w:rsidR="009635EF">
        <w:t xml:space="preserve"> these discussions is not haphazard. Hobbes begins his account of the Christian Commonwealth </w:t>
      </w:r>
      <w:r w:rsidR="0053008D">
        <w:t xml:space="preserve">in </w:t>
      </w:r>
      <w:r w:rsidR="0053008D">
        <w:rPr>
          <w:i/>
        </w:rPr>
        <w:t xml:space="preserve">Leviathan </w:t>
      </w:r>
      <w:r w:rsidR="009635EF">
        <w:t>(</w:t>
      </w:r>
      <w:r w:rsidR="0053008D">
        <w:t>Part III, Chapter 32) by articulating</w:t>
      </w:r>
      <w:r w:rsidR="009635EF">
        <w:t xml:space="preserve"> the distinction between implici</w:t>
      </w:r>
      <w:r w:rsidR="009377AA">
        <w:t xml:space="preserve">t and explicit faith. He </w:t>
      </w:r>
      <w:r w:rsidR="009635EF">
        <w:t>was</w:t>
      </w:r>
      <w:r w:rsidR="0053008D">
        <w:t xml:space="preserve"> </w:t>
      </w:r>
      <w:r w:rsidR="00DF6F80">
        <w:t xml:space="preserve">therefore </w:t>
      </w:r>
      <w:r w:rsidR="0053008D">
        <w:t xml:space="preserve">aware of the distinction, and </w:t>
      </w:r>
      <w:r w:rsidR="009635EF">
        <w:t>he p</w:t>
      </w:r>
      <w:r w:rsidR="0053008D">
        <w:t>ermitted it to f</w:t>
      </w:r>
      <w:r w:rsidR="009377AA">
        <w:t xml:space="preserve">rame his reflections upon the Christian Commonwealth. </w:t>
      </w:r>
    </w:p>
    <w:p w14:paraId="0261AB5B" w14:textId="53C73B13" w:rsidR="009635EF" w:rsidRDefault="00011883" w:rsidP="00350E7B">
      <w:pPr>
        <w:spacing w:line="480" w:lineRule="auto"/>
        <w:ind w:firstLine="720"/>
      </w:pPr>
      <w:r>
        <w:t>F</w:t>
      </w:r>
      <w:r w:rsidR="009377AA">
        <w:t>raming Christian authority as a matter of</w:t>
      </w:r>
      <w:r w:rsidR="009635EF">
        <w:t xml:space="preserve"> explicit or implicit faith is not unique to Hobbes.  The distinction was central to English Reformers </w:t>
      </w:r>
      <w:r w:rsidR="0053008D">
        <w:t>and Counter-Reformers because the doctrines of implicit and explici</w:t>
      </w:r>
      <w:r w:rsidR="009377AA">
        <w:t xml:space="preserve">t faith considered if </w:t>
      </w:r>
      <w:r w:rsidR="009635EF">
        <w:t>mortals</w:t>
      </w:r>
      <w:r w:rsidR="009377AA">
        <w:t xml:space="preserve"> had authority over </w:t>
      </w:r>
      <w:r w:rsidR="009635EF">
        <w:t>individual</w:t>
      </w:r>
      <w:r w:rsidR="009377AA">
        <w:t xml:space="preserve">s in matters of faith (i.e., belief). In essence, the doctrines </w:t>
      </w:r>
      <w:r w:rsidR="0053008D">
        <w:t>answered</w:t>
      </w:r>
      <w:r w:rsidR="009635EF">
        <w:t xml:space="preserve"> questions about the foundations of authority and belief, as well as the grounds of obedience. Given that Hobbes is a philosopher of authority</w:t>
      </w:r>
      <w:r>
        <w:t xml:space="preserve"> and its foundations</w:t>
      </w:r>
      <w:r w:rsidR="009635EF">
        <w:t xml:space="preserve"> who is keenly aware of the way claims to religious authority and assertions of belief ca</w:t>
      </w:r>
      <w:r w:rsidR="0053008D">
        <w:t xml:space="preserve">n support or destabilize a commonwealth, it </w:t>
      </w:r>
      <w:r w:rsidR="00EC378A">
        <w:t>is not surprising to find him</w:t>
      </w:r>
      <w:r w:rsidR="0053008D">
        <w:t xml:space="preserve"> engaging </w:t>
      </w:r>
      <w:r w:rsidR="000776DD">
        <w:t xml:space="preserve">with </w:t>
      </w:r>
      <w:r w:rsidR="009635EF">
        <w:t>discussions about implicit and exp</w:t>
      </w:r>
      <w:r w:rsidR="00EC378A">
        <w:t>licit faith and it is appropriate to embed his reflections upo</w:t>
      </w:r>
      <w:r w:rsidR="00DF6F80">
        <w:t>n faith in this context</w:t>
      </w:r>
      <w:r w:rsidR="00EC378A">
        <w:t>.</w:t>
      </w:r>
    </w:p>
    <w:p w14:paraId="3A77F17B" w14:textId="52E69ED2" w:rsidR="009635EF" w:rsidRPr="000776DD" w:rsidRDefault="009635EF" w:rsidP="00350E7B">
      <w:pPr>
        <w:spacing w:line="480" w:lineRule="auto"/>
        <w:ind w:firstLine="720"/>
        <w:rPr>
          <w:i/>
        </w:rPr>
      </w:pPr>
      <w:r>
        <w:t>I use m</w:t>
      </w:r>
      <w:r w:rsidR="00862037">
        <w:t>y historically info</w:t>
      </w:r>
      <w:r w:rsidR="009377AA">
        <w:t xml:space="preserve">rmed interpretation of </w:t>
      </w:r>
      <w:r w:rsidR="00862037">
        <w:t>Hobbes</w:t>
      </w:r>
      <w:r w:rsidR="009377AA">
        <w:t>ian faith or belief</w:t>
      </w:r>
      <w:r w:rsidR="00862037">
        <w:t xml:space="preserve"> </w:t>
      </w:r>
      <w:r>
        <w:t>in order to advance the foll</w:t>
      </w:r>
      <w:r w:rsidR="000776DD">
        <w:t xml:space="preserve">owing interpretation of </w:t>
      </w:r>
      <w:r w:rsidRPr="009635EF">
        <w:rPr>
          <w:i/>
        </w:rPr>
        <w:t>Leviathan</w:t>
      </w:r>
      <w:r>
        <w:rPr>
          <w:i/>
        </w:rPr>
        <w:t>.</w:t>
      </w:r>
      <w:r w:rsidR="000776DD">
        <w:rPr>
          <w:i/>
        </w:rPr>
        <w:t xml:space="preserve"> </w:t>
      </w:r>
      <w:r w:rsidR="000776DD">
        <w:t xml:space="preserve"> </w:t>
      </w:r>
      <w:r w:rsidR="00862037">
        <w:t xml:space="preserve">First, </w:t>
      </w:r>
      <w:r w:rsidR="000776DD">
        <w:t>I claim</w:t>
      </w:r>
      <w:r w:rsidR="00862037">
        <w:t xml:space="preserve"> that central </w:t>
      </w:r>
      <w:r>
        <w:lastRenderedPageBreak/>
        <w:t xml:space="preserve">arguments </w:t>
      </w:r>
      <w:r w:rsidR="00862037">
        <w:t xml:space="preserve">regarding authority and obedience </w:t>
      </w:r>
      <w:r>
        <w:t xml:space="preserve">within </w:t>
      </w:r>
      <w:r>
        <w:rPr>
          <w:i/>
        </w:rPr>
        <w:t>Leviathan</w:t>
      </w:r>
      <w:r>
        <w:t xml:space="preserve"> are not secular; they</w:t>
      </w:r>
      <w:r w:rsidR="00EC378A">
        <w:t xml:space="preserve"> are informed by the papal doctrine of implicit faith</w:t>
      </w:r>
      <w:r>
        <w:t xml:space="preserve">, but have </w:t>
      </w:r>
      <w:r w:rsidR="00862037">
        <w:t xml:space="preserve">essential Anglican colorings. Second, </w:t>
      </w:r>
      <w:r>
        <w:t xml:space="preserve">I claim that </w:t>
      </w:r>
      <w:r w:rsidR="00011883">
        <w:t xml:space="preserve">the </w:t>
      </w:r>
      <w:r>
        <w:t xml:space="preserve">relationship between </w:t>
      </w:r>
      <w:r w:rsidR="00862037">
        <w:t xml:space="preserve">the </w:t>
      </w:r>
      <w:r>
        <w:t xml:space="preserve">subject and </w:t>
      </w:r>
      <w:r w:rsidR="00862037">
        <w:t xml:space="preserve">the civil </w:t>
      </w:r>
      <w:r>
        <w:t>sovereign i</w:t>
      </w:r>
      <w:r w:rsidR="00862037">
        <w:t>s not properly understood as an</w:t>
      </w:r>
      <w:r>
        <w:t xml:space="preserve"> exchange </w:t>
      </w:r>
      <w:r w:rsidR="00862037">
        <w:t>relation where subjects offer o</w:t>
      </w:r>
      <w:r w:rsidR="00DF6F80">
        <w:t>bedience for protection. Using my</w:t>
      </w:r>
      <w:r w:rsidR="00862037">
        <w:t xml:space="preserve"> historically rooted reading, I will explain how the subject</w:t>
      </w:r>
      <w:r w:rsidR="00EC378A">
        <w:t xml:space="preserve"> exchanges implicit faith with the civil sovereign</w:t>
      </w:r>
      <w:r w:rsidR="009377AA">
        <w:t xml:space="preserve"> as the Lord’s lieutenant</w:t>
      </w:r>
      <w:r w:rsidR="00EC378A">
        <w:t xml:space="preserve"> for </w:t>
      </w:r>
      <w:r w:rsidR="00011883">
        <w:t>protections</w:t>
      </w:r>
      <w:r>
        <w:t xml:space="preserve">. </w:t>
      </w:r>
      <w:r w:rsidRPr="00423A87">
        <w:t xml:space="preserve"> </w:t>
      </w:r>
      <w:r w:rsidR="00862037">
        <w:t xml:space="preserve">Third, I will argue that </w:t>
      </w:r>
      <w:r>
        <w:t>sovereign authorization is not a pr</w:t>
      </w:r>
      <w:r w:rsidR="00862037">
        <w:t xml:space="preserve">ofession of secular consent. My historical reading reveals that sovereign authorization </w:t>
      </w:r>
      <w:r>
        <w:t>is an informed profession of implic</w:t>
      </w:r>
      <w:r w:rsidR="00862037">
        <w:t>it faith. Fourth, I will use my historical reading to show that Hobbes vigorously rejects</w:t>
      </w:r>
      <w:r w:rsidR="00DF6F80">
        <w:t xml:space="preserve"> what Protestants of his time would interpret as</w:t>
      </w:r>
      <w:r>
        <w:t xml:space="preserve"> religious liberty (i.e.</w:t>
      </w:r>
      <w:r w:rsidR="00DF6F80">
        <w:t xml:space="preserve">, the </w:t>
      </w:r>
      <w:r>
        <w:t>l</w:t>
      </w:r>
      <w:r w:rsidR="00862037">
        <w:t>iberty of conscience doctrine).</w:t>
      </w:r>
    </w:p>
    <w:p w14:paraId="6163A4A0" w14:textId="77777777" w:rsidR="005E53CD" w:rsidRDefault="005E53CD" w:rsidP="00350E7B">
      <w:pPr>
        <w:spacing w:line="480" w:lineRule="auto"/>
        <w:rPr>
          <w:b/>
        </w:rPr>
      </w:pPr>
    </w:p>
    <w:p w14:paraId="2488F9BF" w14:textId="35E1E217" w:rsidR="00545D92" w:rsidRPr="00545D92" w:rsidRDefault="008D7D9E" w:rsidP="00350E7B">
      <w:pPr>
        <w:spacing w:line="480" w:lineRule="auto"/>
        <w:rPr>
          <w:b/>
        </w:rPr>
      </w:pPr>
      <w:r w:rsidRPr="00162F5B">
        <w:rPr>
          <w:b/>
        </w:rPr>
        <w:t>Implicit Faith</w:t>
      </w:r>
      <w:r w:rsidR="00162F5B" w:rsidRPr="00162F5B">
        <w:rPr>
          <w:b/>
        </w:rPr>
        <w:t xml:space="preserve"> as Doctrine and Rhetoric</w:t>
      </w:r>
      <w:r w:rsidR="00657A05">
        <w:rPr>
          <w:b/>
        </w:rPr>
        <w:t xml:space="preserve"> in Mid-Seventeenth-Century England</w:t>
      </w:r>
    </w:p>
    <w:p w14:paraId="1B7F27E4" w14:textId="7467C16B" w:rsidR="008D7D9E" w:rsidRDefault="004C1D48" w:rsidP="00350E7B">
      <w:pPr>
        <w:spacing w:line="480" w:lineRule="auto"/>
        <w:ind w:firstLine="720"/>
      </w:pPr>
      <w:r>
        <w:t>The f</w:t>
      </w:r>
      <w:r w:rsidR="001733B4">
        <w:t>ear of Counter-Reformation (i.e., the return of Popery) preoccupied Prote</w:t>
      </w:r>
      <w:r w:rsidR="002724A4">
        <w:t>stants living in England between</w:t>
      </w:r>
      <w:r w:rsidR="001733B4">
        <w:t xml:space="preserve"> 1620 and 1660.  Officially</w:t>
      </w:r>
      <w:r w:rsidR="00263751">
        <w:t>, implicit faith wa</w:t>
      </w:r>
      <w:r w:rsidR="004D3C75">
        <w:t>s the doctrine of the Catholic C</w:t>
      </w:r>
      <w:r w:rsidR="00263751">
        <w:t>hurch</w:t>
      </w:r>
      <w:r w:rsidR="00754F50">
        <w:t xml:space="preserve"> and</w:t>
      </w:r>
      <w:r w:rsidR="00E8241F">
        <w:t xml:space="preserve"> </w:t>
      </w:r>
      <w:r w:rsidR="001733B4">
        <w:t>Pro</w:t>
      </w:r>
      <w:r w:rsidR="00263751">
        <w:t>tes</w:t>
      </w:r>
      <w:r w:rsidR="004D3C75">
        <w:t>tants</w:t>
      </w:r>
      <w:r w:rsidR="007A413B">
        <w:t xml:space="preserve"> rejected </w:t>
      </w:r>
      <w:r w:rsidR="00E8241F">
        <w:t xml:space="preserve">it </w:t>
      </w:r>
      <w:r w:rsidR="007A413B">
        <w:t xml:space="preserve">forcefully. </w:t>
      </w:r>
      <w:r w:rsidR="00E8241F">
        <w:t xml:space="preserve"> But a firm </w:t>
      </w:r>
      <w:r w:rsidR="007A413B">
        <w:t>reject</w:t>
      </w:r>
      <w:r w:rsidR="00E8241F">
        <w:t xml:space="preserve">ion of implicit faith </w:t>
      </w:r>
      <w:r w:rsidR="004D3C75">
        <w:t xml:space="preserve">did not preclude different </w:t>
      </w:r>
      <w:r w:rsidR="00263751">
        <w:t>Protestant churc</w:t>
      </w:r>
      <w:r w:rsidR="008B5046">
        <w:t xml:space="preserve">hes and sects from accusing each </w:t>
      </w:r>
      <w:r w:rsidR="007A413B">
        <w:t>other</w:t>
      </w:r>
      <w:r>
        <w:t xml:space="preserve"> </w:t>
      </w:r>
      <w:r w:rsidR="008B5046">
        <w:t>of adopting it</w:t>
      </w:r>
      <w:r w:rsidR="00EC378A">
        <w:t>. In Reformation England, t</w:t>
      </w:r>
      <w:r w:rsidR="00754F50">
        <w:t>he association of</w:t>
      </w:r>
      <w:r w:rsidR="00E8241F">
        <w:t xml:space="preserve"> implicit faith with</w:t>
      </w:r>
      <w:r w:rsidR="004D3C75">
        <w:t xml:space="preserve"> </w:t>
      </w:r>
      <w:r w:rsidR="00E8241F">
        <w:t xml:space="preserve">a </w:t>
      </w:r>
      <w:r w:rsidR="004D3C75">
        <w:t>particular Protest</w:t>
      </w:r>
      <w:r w:rsidR="00E8241F">
        <w:t>ant church or sect undermined</w:t>
      </w:r>
      <w:r w:rsidR="00545D92">
        <w:t xml:space="preserve"> that </w:t>
      </w:r>
      <w:proofErr w:type="gramStart"/>
      <w:r w:rsidR="00545D92">
        <w:t>church’s</w:t>
      </w:r>
      <w:proofErr w:type="gramEnd"/>
      <w:r w:rsidR="00545D92">
        <w:t xml:space="preserve"> or sect’s</w:t>
      </w:r>
      <w:r w:rsidR="00413297">
        <w:t xml:space="preserve"> </w:t>
      </w:r>
      <w:r w:rsidR="001F1BCE">
        <w:t>religious</w:t>
      </w:r>
      <w:r w:rsidR="00657A05">
        <w:t xml:space="preserve"> credentials, </w:t>
      </w:r>
      <w:r w:rsidR="008B5046">
        <w:t>and placed</w:t>
      </w:r>
      <w:r w:rsidR="00754F50">
        <w:t xml:space="preserve"> them in league with</w:t>
      </w:r>
      <w:r w:rsidR="002724A4">
        <w:t xml:space="preserve"> Anti-Christ (i.e., the Pope)</w:t>
      </w:r>
      <w:r>
        <w:t xml:space="preserve">. </w:t>
      </w:r>
      <w:r w:rsidR="001F1BCE">
        <w:t xml:space="preserve">Any alliance with the beast was rhetorically devastating and Protestants deployed the rhetorical strategy regularly </w:t>
      </w:r>
      <w:r w:rsidR="00011883">
        <w:t xml:space="preserve">to slander their opponents </w:t>
      </w:r>
      <w:r w:rsidR="001F1BCE">
        <w:t>in their</w:t>
      </w:r>
      <w:r w:rsidR="00DC5CB4">
        <w:t xml:space="preserve"> contestations </w:t>
      </w:r>
      <w:r w:rsidR="001F1BCE">
        <w:t>over the true faith</w:t>
      </w:r>
      <w:r w:rsidR="008B5046">
        <w:t xml:space="preserve">. </w:t>
      </w:r>
      <w:r>
        <w:t xml:space="preserve">Catholics were also </w:t>
      </w:r>
      <w:r w:rsidR="00E8241F">
        <w:t>quick to</w:t>
      </w:r>
      <w:r>
        <w:t xml:space="preserve"> show where</w:t>
      </w:r>
      <w:r w:rsidR="00263751">
        <w:t xml:space="preserve"> </w:t>
      </w:r>
      <w:r w:rsidR="004D3C75">
        <w:t xml:space="preserve">a </w:t>
      </w:r>
      <w:r w:rsidR="00E8241F">
        <w:lastRenderedPageBreak/>
        <w:t xml:space="preserve">particular </w:t>
      </w:r>
      <w:r w:rsidR="004D3C75">
        <w:t>Protestant church or sect</w:t>
      </w:r>
      <w:r w:rsidR="00263751">
        <w:t xml:space="preserve"> </w:t>
      </w:r>
      <w:r w:rsidR="007A413B">
        <w:t>relied</w:t>
      </w:r>
      <w:r w:rsidR="004D3C75">
        <w:t xml:space="preserve"> </w:t>
      </w:r>
      <w:r w:rsidR="007A413B">
        <w:t xml:space="preserve">upon </w:t>
      </w:r>
      <w:r w:rsidR="001F1BCE">
        <w:t>implicit faith. T</w:t>
      </w:r>
      <w:r w:rsidR="00E8241F">
        <w:t>his</w:t>
      </w:r>
      <w:r w:rsidR="004D3C75">
        <w:t xml:space="preserve"> was their way of defendin</w:t>
      </w:r>
      <w:r w:rsidR="0016442D">
        <w:t xml:space="preserve">g </w:t>
      </w:r>
      <w:r w:rsidR="001F1BCE">
        <w:t xml:space="preserve">the fundamentals of </w:t>
      </w:r>
      <w:r w:rsidR="0016442D">
        <w:t xml:space="preserve">Catholicism. </w:t>
      </w:r>
    </w:p>
    <w:p w14:paraId="57997A6A" w14:textId="77777777" w:rsidR="008D7D9E" w:rsidRDefault="008D7D9E" w:rsidP="00350E7B">
      <w:pPr>
        <w:spacing w:line="480" w:lineRule="auto"/>
      </w:pPr>
    </w:p>
    <w:p w14:paraId="13DAC369" w14:textId="331170B4" w:rsidR="00086CAB" w:rsidRPr="00162F5B" w:rsidRDefault="00086CAB" w:rsidP="00350E7B">
      <w:pPr>
        <w:spacing w:line="480" w:lineRule="auto"/>
        <w:rPr>
          <w:b/>
        </w:rPr>
      </w:pPr>
      <w:r w:rsidRPr="00162F5B">
        <w:rPr>
          <w:b/>
        </w:rPr>
        <w:t xml:space="preserve">The </w:t>
      </w:r>
      <w:r w:rsidR="0016442D">
        <w:rPr>
          <w:b/>
        </w:rPr>
        <w:t>Substance</w:t>
      </w:r>
      <w:r w:rsidR="00162F5B" w:rsidRPr="00162F5B">
        <w:rPr>
          <w:b/>
        </w:rPr>
        <w:t xml:space="preserve"> of Implicit F</w:t>
      </w:r>
      <w:r w:rsidRPr="00162F5B">
        <w:rPr>
          <w:b/>
        </w:rPr>
        <w:t>aith</w:t>
      </w:r>
      <w:r w:rsidR="00C70538">
        <w:rPr>
          <w:b/>
        </w:rPr>
        <w:t xml:space="preserve"> (in a nutshell)</w:t>
      </w:r>
    </w:p>
    <w:p w14:paraId="4C9E6526" w14:textId="5EF9C98D" w:rsidR="0059166C" w:rsidRDefault="0016442D" w:rsidP="00350E7B">
      <w:pPr>
        <w:spacing w:line="480" w:lineRule="auto"/>
        <w:ind w:firstLine="720"/>
      </w:pPr>
      <w:r>
        <w:t>Substantively, the doctrine of</w:t>
      </w:r>
      <w:r w:rsidR="00162F5B">
        <w:t xml:space="preserve"> implicit faith maintained t</w:t>
      </w:r>
      <w:r w:rsidR="00B73DD1">
        <w:t xml:space="preserve">hat the church was the </w:t>
      </w:r>
      <w:r w:rsidR="00162F5B">
        <w:t>foundation</w:t>
      </w:r>
      <w:r w:rsidR="00100A0E">
        <w:t xml:space="preserve"> of </w:t>
      </w:r>
      <w:r w:rsidR="00162F5B">
        <w:t>Christian faith.</w:t>
      </w:r>
      <w:r w:rsidR="00100A0E">
        <w:t xml:space="preserve"> </w:t>
      </w:r>
      <w:r>
        <w:t>T</w:t>
      </w:r>
      <w:r w:rsidR="00162F5B">
        <w:t>his meant that a human institution (the church) housing a human autho</w:t>
      </w:r>
      <w:r w:rsidR="00740CCA">
        <w:t xml:space="preserve">rity </w:t>
      </w:r>
      <w:r>
        <w:t>(in Catholicism, the p</w:t>
      </w:r>
      <w:r w:rsidR="00754F50">
        <w:t>ope</w:t>
      </w:r>
      <w:r w:rsidR="00B73DD1">
        <w:t>) was the</w:t>
      </w:r>
      <w:r w:rsidR="009544BE">
        <w:t xml:space="preserve"> ground of Christianity</w:t>
      </w:r>
      <w:r w:rsidR="00B73DD1">
        <w:t>.</w:t>
      </w:r>
      <w:r w:rsidR="00545D92">
        <w:t xml:space="preserve"> The Church became the </w:t>
      </w:r>
      <w:r w:rsidR="008B5046">
        <w:t xml:space="preserve">ground </w:t>
      </w:r>
      <w:r w:rsidR="00B73DD1">
        <w:t>because</w:t>
      </w:r>
      <w:r w:rsidR="0037392D">
        <w:t xml:space="preserve"> God (</w:t>
      </w:r>
      <w:r w:rsidR="00413297">
        <w:t>the</w:t>
      </w:r>
      <w:r w:rsidR="0037392D">
        <w:t xml:space="preserve"> ultimate ground) entrusted His </w:t>
      </w:r>
      <w:r w:rsidR="00B73DD1">
        <w:t xml:space="preserve">authority </w:t>
      </w:r>
      <w:r w:rsidR="0037392D">
        <w:t xml:space="preserve">over faith </w:t>
      </w:r>
      <w:r w:rsidR="00B73DD1">
        <w:t xml:space="preserve">to the church. </w:t>
      </w:r>
      <w:r w:rsidR="001D7E69">
        <w:t xml:space="preserve"> Explaining this aspect of the doctrine of implicit faith, Henry Hammond</w:t>
      </w:r>
      <w:r w:rsidR="00B73DD1">
        <w:t xml:space="preserve"> </w:t>
      </w:r>
      <w:r w:rsidR="001D7E69">
        <w:t xml:space="preserve">said God </w:t>
      </w:r>
      <w:r w:rsidR="00B73DD1">
        <w:t>“</w:t>
      </w:r>
      <w:r w:rsidR="00657A05">
        <w:t>command[</w:t>
      </w:r>
      <w:proofErr w:type="spellStart"/>
      <w:r w:rsidR="00657A05">
        <w:t>ed</w:t>
      </w:r>
      <w:proofErr w:type="spellEnd"/>
      <w:r w:rsidR="00657A05">
        <w:t>]</w:t>
      </w:r>
      <w:r w:rsidR="00465BDF">
        <w:t xml:space="preserve"> the Church to be believed,</w:t>
      </w:r>
      <w:r w:rsidR="00B73DD1">
        <w:t>”</w:t>
      </w:r>
      <w:r w:rsidR="0037392D">
        <w:t xml:space="preserve"> </w:t>
      </w:r>
      <w:r w:rsidR="00413297">
        <w:t xml:space="preserve">and </w:t>
      </w:r>
      <w:r w:rsidR="00657A05">
        <w:t>exited</w:t>
      </w:r>
      <w:r w:rsidR="00465BDF">
        <w:t xml:space="preserve"> the </w:t>
      </w:r>
      <w:r w:rsidR="002724A4">
        <w:t xml:space="preserve">human </w:t>
      </w:r>
      <w:r w:rsidR="00465BDF">
        <w:t>scene</w:t>
      </w:r>
      <w:r w:rsidR="00E34804">
        <w:t xml:space="preserve"> (intervening once in awhile</w:t>
      </w:r>
      <w:r w:rsidR="008B5046">
        <w:t xml:space="preserve"> with wrath and mercy</w:t>
      </w:r>
      <w:r w:rsidR="00E34804">
        <w:t>, of course)</w:t>
      </w:r>
      <w:r w:rsidR="00465BDF">
        <w:t>.</w:t>
      </w:r>
      <w:r w:rsidR="00E34804">
        <w:rPr>
          <w:rStyle w:val="FootnoteReference"/>
        </w:rPr>
        <w:footnoteReference w:id="1"/>
      </w:r>
      <w:r w:rsidR="001D7E69">
        <w:t xml:space="preserve"> As the Protestant Richard Baxter </w:t>
      </w:r>
      <w:r w:rsidR="00427254">
        <w:t>put it succinctly,</w:t>
      </w:r>
    </w:p>
    <w:p w14:paraId="09AAE5E9" w14:textId="0719A705" w:rsidR="0059166C" w:rsidRDefault="0059166C" w:rsidP="00350E7B">
      <w:pPr>
        <w:spacing w:line="480" w:lineRule="auto"/>
        <w:ind w:left="720"/>
      </w:pPr>
      <w:r>
        <w:t>To believe implicitly</w:t>
      </w:r>
      <w:r w:rsidR="0016442D">
        <w:t xml:space="preserve"> [i.e., to subscribe to implicit faith]</w:t>
      </w:r>
      <w:r>
        <w:t xml:space="preserve">…is not to believe God, but to resolve our faith into some humane </w:t>
      </w:r>
      <w:r w:rsidRPr="0059166C">
        <w:t>testimony</w:t>
      </w:r>
      <w:r>
        <w:t>…</w:t>
      </w:r>
      <w:proofErr w:type="gramStart"/>
      <w:r>
        <w:t>.[</w:t>
      </w:r>
      <w:proofErr w:type="gramEnd"/>
      <w:r>
        <w:t>For example,]</w:t>
      </w:r>
      <w:r w:rsidRPr="0059166C">
        <w:t xml:space="preserve"> </w:t>
      </w:r>
      <w:r>
        <w:t>t</w:t>
      </w:r>
      <w:r w:rsidRPr="008F79B7">
        <w:t>he Papists believe Scripture to be the Word of God,</w:t>
      </w:r>
      <w:r>
        <w:t xml:space="preserve"> </w:t>
      </w:r>
      <w:r w:rsidRPr="008F79B7">
        <w:t xml:space="preserve">because their Church </w:t>
      </w:r>
      <w:proofErr w:type="spellStart"/>
      <w:r w:rsidRPr="008F79B7">
        <w:t>saith</w:t>
      </w:r>
      <w:proofErr w:type="spellEnd"/>
      <w:r w:rsidRPr="008F79B7">
        <w:t xml:space="preserve"> so: and we, because our </w:t>
      </w:r>
      <w:r w:rsidR="00AA36FF">
        <w:t xml:space="preserve">Church, or </w:t>
      </w:r>
      <w:r w:rsidR="005309C5">
        <w:t>our Leaders say so</w:t>
      </w:r>
      <w:r w:rsidRPr="0059166C">
        <w:t>.</w:t>
      </w:r>
      <w:r w:rsidRPr="0059166C">
        <w:rPr>
          <w:rStyle w:val="FootnoteReference"/>
        </w:rPr>
        <w:footnoteReference w:id="2"/>
      </w:r>
    </w:p>
    <w:p w14:paraId="2D8E85C0" w14:textId="58218359" w:rsidR="00274AB3" w:rsidRDefault="001D7E69" w:rsidP="00350E7B">
      <w:pPr>
        <w:spacing w:line="480" w:lineRule="auto"/>
      </w:pPr>
      <w:r>
        <w:t>Hobbes adopts the argument from implicit faith that Baxter describes here re</w:t>
      </w:r>
      <w:r w:rsidR="00011883">
        <w:t xml:space="preserve">garding the foundation of faith. He </w:t>
      </w:r>
      <w:r>
        <w:t>argues th</w:t>
      </w:r>
      <w:r w:rsidR="00727193">
        <w:t>at human authority</w:t>
      </w:r>
      <w:r>
        <w:t xml:space="preserve"> </w:t>
      </w:r>
      <w:r w:rsidR="00011883">
        <w:t>is the ground of Christian faith:</w:t>
      </w:r>
      <w:r w:rsidR="00727193">
        <w:t xml:space="preserve"> “There </w:t>
      </w:r>
      <w:proofErr w:type="spellStart"/>
      <w:r w:rsidR="00727193">
        <w:t>is</w:t>
      </w:r>
      <w:proofErr w:type="gramStart"/>
      <w:r w:rsidR="00727193">
        <w:t>..no</w:t>
      </w:r>
      <w:proofErr w:type="spellEnd"/>
      <w:proofErr w:type="gramEnd"/>
      <w:r w:rsidR="00727193">
        <w:t xml:space="preserve"> other Government in this life, neither of State, nor </w:t>
      </w:r>
      <w:r w:rsidR="00727193">
        <w:lastRenderedPageBreak/>
        <w:t xml:space="preserve">Religion, but </w:t>
      </w:r>
      <w:proofErr w:type="spellStart"/>
      <w:r w:rsidR="00727193">
        <w:t>Temporall</w:t>
      </w:r>
      <w:proofErr w:type="spellEnd"/>
      <w:r w:rsidR="00727193">
        <w:t>.”</w:t>
      </w:r>
      <w:r w:rsidR="00727193">
        <w:rPr>
          <w:rStyle w:val="FootnoteReference"/>
        </w:rPr>
        <w:footnoteReference w:id="3"/>
      </w:r>
      <w:r w:rsidR="00011883">
        <w:t xml:space="preserve"> Hobbes</w:t>
      </w:r>
      <w:r w:rsidR="00727193">
        <w:t xml:space="preserve"> becomes</w:t>
      </w:r>
      <w:r>
        <w:t xml:space="preserve"> mo</w:t>
      </w:r>
      <w:r w:rsidR="00727193">
        <w:t xml:space="preserve">re specific when he </w:t>
      </w:r>
      <w:r>
        <w:t xml:space="preserve">specifies </w:t>
      </w:r>
      <w:r w:rsidR="00727193">
        <w:t xml:space="preserve">that </w:t>
      </w:r>
      <w:r>
        <w:t>the civil sovereign’</w:t>
      </w:r>
      <w:r w:rsidR="00727193">
        <w:t>s testaments</w:t>
      </w:r>
      <w:r>
        <w:t xml:space="preserve"> </w:t>
      </w:r>
      <w:r w:rsidR="00727193">
        <w:t>are</w:t>
      </w:r>
      <w:r>
        <w:t xml:space="preserve"> faith’s </w:t>
      </w:r>
      <w:r w:rsidR="00727193">
        <w:t xml:space="preserve">ultimate </w:t>
      </w:r>
      <w:r>
        <w:t>ground</w:t>
      </w:r>
      <w:r w:rsidR="00727193">
        <w:t>:</w:t>
      </w:r>
    </w:p>
    <w:p w14:paraId="78C5A352" w14:textId="52EA4450" w:rsidR="00274AB3" w:rsidRDefault="001D7E69" w:rsidP="00350E7B">
      <w:pPr>
        <w:spacing w:line="480" w:lineRule="auto"/>
        <w:ind w:left="720" w:right="720"/>
      </w:pPr>
      <w:r>
        <w:t>T</w:t>
      </w:r>
      <w:r w:rsidR="00DF6F80" w:rsidRPr="001D7E69">
        <w:t xml:space="preserve">he Faith of Christians ever since our </w:t>
      </w:r>
      <w:proofErr w:type="spellStart"/>
      <w:r w:rsidR="00DF6F80" w:rsidRPr="001D7E69">
        <w:t>Saviours</w:t>
      </w:r>
      <w:proofErr w:type="spellEnd"/>
      <w:r w:rsidR="00DF6F80" w:rsidRPr="001D7E69">
        <w:t xml:space="preserve"> time hath had for foundation….the authority of those that made the Old and New Testament to be received for the Rule of Faith; which none could do but Christian </w:t>
      </w:r>
      <w:proofErr w:type="spellStart"/>
      <w:r w:rsidR="00DF6F80" w:rsidRPr="001D7E69">
        <w:t>Soveraignes</w:t>
      </w:r>
      <w:proofErr w:type="spellEnd"/>
      <w:r w:rsidR="00DF6F80" w:rsidRPr="001D7E69">
        <w:t xml:space="preserve"> </w:t>
      </w:r>
      <w:r>
        <w:t>who are…</w:t>
      </w:r>
      <w:r w:rsidR="00DF6F80" w:rsidRPr="001D7E69">
        <w:t xml:space="preserve">the Supreme Pastors, and the </w:t>
      </w:r>
      <w:proofErr w:type="spellStart"/>
      <w:r w:rsidR="00DF6F80" w:rsidRPr="001D7E69">
        <w:t>onely</w:t>
      </w:r>
      <w:proofErr w:type="spellEnd"/>
      <w:r w:rsidR="00DF6F80" w:rsidRPr="001D7E69">
        <w:t xml:space="preserve"> Persons, whom Christians now hear speak from God.</w:t>
      </w:r>
      <w:r w:rsidR="00DF6F80" w:rsidRPr="001D7E69">
        <w:rPr>
          <w:rStyle w:val="FootnoteReference"/>
        </w:rPr>
        <w:footnoteReference w:id="4"/>
      </w:r>
    </w:p>
    <w:p w14:paraId="6D62D4E5" w14:textId="004B81C4" w:rsidR="002B053F" w:rsidRDefault="005309C5" w:rsidP="00350E7B">
      <w:pPr>
        <w:spacing w:line="480" w:lineRule="auto"/>
        <w:ind w:firstLine="720"/>
      </w:pPr>
      <w:r>
        <w:t>Astonishing implications follow</w:t>
      </w:r>
      <w:r w:rsidR="00754F50">
        <w:t>ed</w:t>
      </w:r>
      <w:r>
        <w:t xml:space="preserve"> from the</w:t>
      </w:r>
      <w:r w:rsidR="0016442D">
        <w:t xml:space="preserve"> </w:t>
      </w:r>
      <w:r w:rsidR="00754F50">
        <w:t xml:space="preserve">assertion </w:t>
      </w:r>
      <w:r>
        <w:t xml:space="preserve">that </w:t>
      </w:r>
      <w:r w:rsidR="00061FEF">
        <w:t xml:space="preserve">an </w:t>
      </w:r>
      <w:r>
        <w:t>a</w:t>
      </w:r>
      <w:r w:rsidR="002724A4">
        <w:t>uthoritative human fiat</w:t>
      </w:r>
      <w:r w:rsidR="00754F50">
        <w:t xml:space="preserve"> </w:t>
      </w:r>
      <w:r w:rsidR="00727193">
        <w:t xml:space="preserve">or testament </w:t>
      </w:r>
      <w:r w:rsidR="00AA36FF">
        <w:t xml:space="preserve">ultimately </w:t>
      </w:r>
      <w:r w:rsidR="00754F50">
        <w:t xml:space="preserve">grounded </w:t>
      </w:r>
      <w:r>
        <w:t>faith</w:t>
      </w:r>
      <w:r w:rsidR="0016442D">
        <w:t xml:space="preserve">. First, it </w:t>
      </w:r>
      <w:r w:rsidR="00740CCA">
        <w:t>mean</w:t>
      </w:r>
      <w:r w:rsidR="00AA36FF">
        <w:t>t</w:t>
      </w:r>
      <w:r w:rsidR="00740CCA">
        <w:t xml:space="preserve"> tha</w:t>
      </w:r>
      <w:r w:rsidR="0016442D">
        <w:t xml:space="preserve">t faith’s foundation </w:t>
      </w:r>
      <w:r w:rsidR="00AA36FF">
        <w:t>wa</w:t>
      </w:r>
      <w:r w:rsidR="009A27C7">
        <w:t>s</w:t>
      </w:r>
      <w:r w:rsidR="00740CCA">
        <w:t xml:space="preserve"> </w:t>
      </w:r>
      <w:r w:rsidR="00162F5B">
        <w:t>external t</w:t>
      </w:r>
      <w:r w:rsidR="00740CCA">
        <w:t>o the individual</w:t>
      </w:r>
      <w:r w:rsidR="008B5046">
        <w:t xml:space="preserve"> believer. I</w:t>
      </w:r>
      <w:r w:rsidR="00754F50">
        <w:t>ts ground</w:t>
      </w:r>
      <w:r w:rsidR="00AA36FF">
        <w:t xml:space="preserve"> wa</w:t>
      </w:r>
      <w:r w:rsidR="009A27C7">
        <w:t xml:space="preserve">s not within the </w:t>
      </w:r>
      <w:r w:rsidR="0016442D">
        <w:t xml:space="preserve">individual’s </w:t>
      </w:r>
      <w:r w:rsidR="009A27C7">
        <w:t xml:space="preserve">soul (i.e., within </w:t>
      </w:r>
      <w:r w:rsidR="00162F5B">
        <w:t>conscien</w:t>
      </w:r>
      <w:r w:rsidR="00AA36FF">
        <w:t xml:space="preserve">ce </w:t>
      </w:r>
      <w:r w:rsidR="00754F50">
        <w:t xml:space="preserve">or spirit or reason); </w:t>
      </w:r>
      <w:r>
        <w:t>it</w:t>
      </w:r>
      <w:r w:rsidR="00754F50">
        <w:t xml:space="preserve"> </w:t>
      </w:r>
      <w:r w:rsidR="00AA36FF">
        <w:t>was in</w:t>
      </w:r>
      <w:r w:rsidR="00E8241F">
        <w:t xml:space="preserve"> the </w:t>
      </w:r>
      <w:r w:rsidR="0016442D">
        <w:t>external church</w:t>
      </w:r>
      <w:r w:rsidR="00E34804">
        <w:t xml:space="preserve"> (i.e.,</w:t>
      </w:r>
      <w:r w:rsidR="00754F50">
        <w:t xml:space="preserve"> in the head</w:t>
      </w:r>
      <w:r w:rsidR="008B5046">
        <w:t>(s)</w:t>
      </w:r>
      <w:r w:rsidR="00754F50">
        <w:t xml:space="preserve"> of the church</w:t>
      </w:r>
      <w:r w:rsidR="00E34804">
        <w:t>, and more precisely still, in his</w:t>
      </w:r>
      <w:r w:rsidR="008B5046">
        <w:t>/</w:t>
      </w:r>
      <w:r w:rsidR="001F1BCE">
        <w:t>her/</w:t>
      </w:r>
      <w:r w:rsidR="008B5046">
        <w:t>their</w:t>
      </w:r>
      <w:r w:rsidR="00E34804">
        <w:t xml:space="preserve"> words</w:t>
      </w:r>
      <w:r w:rsidR="00754F50">
        <w:t xml:space="preserve">). </w:t>
      </w:r>
      <w:r w:rsidR="009544BE">
        <w:t>Of course, d</w:t>
      </w:r>
      <w:r w:rsidR="00C70538">
        <w:t xml:space="preserve">ifferent religions and sects </w:t>
      </w:r>
      <w:r w:rsidR="00754F50">
        <w:t xml:space="preserve">organized their churches differently, locating authority </w:t>
      </w:r>
      <w:r w:rsidR="001F1BCE">
        <w:t>within</w:t>
      </w:r>
      <w:r w:rsidR="0076604A">
        <w:t xml:space="preserve"> di</w:t>
      </w:r>
      <w:r w:rsidR="00F529E6">
        <w:t>f</w:t>
      </w:r>
      <w:r w:rsidR="00413297">
        <w:t>ferent offices and</w:t>
      </w:r>
      <w:r w:rsidR="00061FEF">
        <w:t xml:space="preserve"> individuals. </w:t>
      </w:r>
      <w:r w:rsidR="00657A05">
        <w:t xml:space="preserve">Thomas Hobbes, </w:t>
      </w:r>
      <w:r w:rsidR="00061FEF">
        <w:t xml:space="preserve">for example, </w:t>
      </w:r>
      <w:r w:rsidR="00657A05">
        <w:t xml:space="preserve">following a strand of Anglicanism, </w:t>
      </w:r>
      <w:r w:rsidR="007E4859">
        <w:t xml:space="preserve">argued that God gave authority over the faith to a national church. He then </w:t>
      </w:r>
      <w:r w:rsidR="00657A05">
        <w:t xml:space="preserve">equated the civil sovereign with the </w:t>
      </w:r>
      <w:r w:rsidR="00413297">
        <w:t xml:space="preserve">national </w:t>
      </w:r>
      <w:r w:rsidR="00657A05">
        <w:t>chu</w:t>
      </w:r>
      <w:r w:rsidR="008B5046">
        <w:t xml:space="preserve">rch (the </w:t>
      </w:r>
      <w:r w:rsidR="00DC5CB4">
        <w:t xml:space="preserve">civil </w:t>
      </w:r>
      <w:r w:rsidR="008B5046">
        <w:t>sovereign was the c</w:t>
      </w:r>
      <w:r w:rsidR="000139E8">
        <w:t>hurch represented on earth), and concluded that</w:t>
      </w:r>
      <w:r w:rsidR="008B5046">
        <w:t xml:space="preserve"> the </w:t>
      </w:r>
      <w:r w:rsidR="00404B62">
        <w:t xml:space="preserve">civil </w:t>
      </w:r>
      <w:r w:rsidR="008B5046">
        <w:t>sovereign</w:t>
      </w:r>
      <w:r w:rsidR="00404B62">
        <w:t xml:space="preserve"> possessed</w:t>
      </w:r>
      <w:r w:rsidR="008B5046">
        <w:t xml:space="preserve"> </w:t>
      </w:r>
      <w:r w:rsidR="00657A05">
        <w:t>ultimate re</w:t>
      </w:r>
      <w:r w:rsidR="00413297">
        <w:t>l</w:t>
      </w:r>
      <w:r w:rsidR="00545D92">
        <w:t>igious</w:t>
      </w:r>
      <w:r w:rsidR="008B5046">
        <w:t xml:space="preserve"> </w:t>
      </w:r>
      <w:r w:rsidR="009377AA">
        <w:t xml:space="preserve">(and temporal) </w:t>
      </w:r>
      <w:r w:rsidR="008B5046">
        <w:t xml:space="preserve">authority as head </w:t>
      </w:r>
      <w:r w:rsidR="00545D92">
        <w:t>of the</w:t>
      </w:r>
      <w:r w:rsidR="00657A05">
        <w:t xml:space="preserve"> churc</w:t>
      </w:r>
      <w:r w:rsidR="000139E8">
        <w:t>h:</w:t>
      </w:r>
      <w:r w:rsidR="007E4859">
        <w:t xml:space="preserve"> </w:t>
      </w:r>
    </w:p>
    <w:p w14:paraId="1E461B3D" w14:textId="7A9C2577" w:rsidR="007E4859" w:rsidRDefault="002B053F" w:rsidP="00350E7B">
      <w:pPr>
        <w:spacing w:line="480" w:lineRule="auto"/>
        <w:ind w:left="720"/>
      </w:pPr>
      <w:r>
        <w:lastRenderedPageBreak/>
        <w:t>T</w:t>
      </w:r>
      <w:r w:rsidR="00404B62">
        <w:t>he Church…</w:t>
      </w:r>
      <w:r w:rsidR="009377AA">
        <w:t>is the same thing [as]</w:t>
      </w:r>
      <w:r>
        <w:t xml:space="preserve"> a Commonwealth of Christians; called Commonwealth because it </w:t>
      </w:r>
      <w:proofErr w:type="spellStart"/>
      <w:r>
        <w:t>consisteth</w:t>
      </w:r>
      <w:proofErr w:type="spellEnd"/>
      <w:r>
        <w:t xml:space="preserve"> of men united in one person, their Sovereign; and a Church, because it </w:t>
      </w:r>
      <w:proofErr w:type="spellStart"/>
      <w:r>
        <w:t>consiseth</w:t>
      </w:r>
      <w:proofErr w:type="spellEnd"/>
      <w:r>
        <w:t xml:space="preserve"> in Christian men, united in one Christian Sovereign.</w:t>
      </w:r>
      <w:r>
        <w:rPr>
          <w:rStyle w:val="FootnoteReference"/>
        </w:rPr>
        <w:footnoteReference w:id="5"/>
      </w:r>
      <w:r>
        <w:t xml:space="preserve"> </w:t>
      </w:r>
    </w:p>
    <w:p w14:paraId="72F5CA6B" w14:textId="272DE181" w:rsidR="00C70538" w:rsidRDefault="002724A4" w:rsidP="00350E7B">
      <w:pPr>
        <w:spacing w:line="480" w:lineRule="auto"/>
        <w:ind w:firstLine="720"/>
      </w:pPr>
      <w:r>
        <w:t xml:space="preserve">Catholics, by contrast, gave authority </w:t>
      </w:r>
      <w:r w:rsidR="002B053F">
        <w:t xml:space="preserve">over belief </w:t>
      </w:r>
      <w:r>
        <w:t>to the Pope</w:t>
      </w:r>
      <w:r w:rsidR="00413297">
        <w:t xml:space="preserve"> whose church </w:t>
      </w:r>
      <w:r w:rsidR="00404B62">
        <w:t xml:space="preserve">crossed national boundaries and </w:t>
      </w:r>
      <w:r w:rsidR="00413297">
        <w:t xml:space="preserve">encompassed all of Christendom. What is important </w:t>
      </w:r>
      <w:r w:rsidR="00545D92">
        <w:t xml:space="preserve">for my purposes </w:t>
      </w:r>
      <w:r w:rsidR="00413297">
        <w:t>is that a</w:t>
      </w:r>
      <w:r w:rsidR="00F529E6">
        <w:t>ccording to t</w:t>
      </w:r>
      <w:r w:rsidR="00E34804">
        <w:t>he doctrine of im</w:t>
      </w:r>
      <w:r w:rsidR="008B5046">
        <w:t>plicit faith, in whatever office</w:t>
      </w:r>
      <w:r w:rsidR="0076604A">
        <w:t xml:space="preserve"> a </w:t>
      </w:r>
      <w:r w:rsidR="00657A05">
        <w:t>particular church located</w:t>
      </w:r>
      <w:r w:rsidR="0076604A">
        <w:t xml:space="preserve"> </w:t>
      </w:r>
      <w:r w:rsidR="00650AE5">
        <w:t xml:space="preserve">ultimate </w:t>
      </w:r>
      <w:r w:rsidR="0076604A">
        <w:t>human authority</w:t>
      </w:r>
      <w:r w:rsidR="009544BE">
        <w:t>,</w:t>
      </w:r>
      <w:r w:rsidR="0076604A">
        <w:t xml:space="preserve"> </w:t>
      </w:r>
      <w:r w:rsidR="008B5046">
        <w:t>the person(s) who held that office</w:t>
      </w:r>
      <w:r w:rsidR="004B59E3">
        <w:t xml:space="preserve"> </w:t>
      </w:r>
      <w:r w:rsidR="008B5046">
        <w:t xml:space="preserve">was </w:t>
      </w:r>
      <w:r w:rsidR="009B4325">
        <w:t xml:space="preserve">(were) </w:t>
      </w:r>
      <w:r w:rsidR="008B5046">
        <w:t>the</w:t>
      </w:r>
      <w:r w:rsidR="0076604A">
        <w:t xml:space="preserve"> ultimate ground of </w:t>
      </w:r>
      <w:r w:rsidR="008B5046">
        <w:t xml:space="preserve">(the) </w:t>
      </w:r>
      <w:r w:rsidR="0076604A">
        <w:t xml:space="preserve">faith. </w:t>
      </w:r>
      <w:r w:rsidR="00C70538">
        <w:t xml:space="preserve">  </w:t>
      </w:r>
    </w:p>
    <w:p w14:paraId="721A6A7E" w14:textId="1EA08D03" w:rsidR="00CB012E" w:rsidRDefault="0076604A" w:rsidP="00350E7B">
      <w:pPr>
        <w:spacing w:line="480" w:lineRule="auto"/>
        <w:ind w:firstLine="720"/>
      </w:pPr>
      <w:r>
        <w:t>A second implication following from the claim th</w:t>
      </w:r>
      <w:r w:rsidR="00F529E6">
        <w:t>at human authority</w:t>
      </w:r>
      <w:r>
        <w:t xml:space="preserve"> grounded faith was that</w:t>
      </w:r>
      <w:r w:rsidR="009A27C7">
        <w:t xml:space="preserve"> </w:t>
      </w:r>
      <w:r w:rsidR="00F529E6">
        <w:t xml:space="preserve">Scripture was not </w:t>
      </w:r>
      <w:r w:rsidR="0059166C">
        <w:t xml:space="preserve">faith’s </w:t>
      </w:r>
      <w:r w:rsidR="00AA36FF">
        <w:t>fo</w:t>
      </w:r>
      <w:r w:rsidR="009544BE">
        <w:t>undation. W</w:t>
      </w:r>
      <w:r w:rsidR="00F529E6">
        <w:t>ith respect to Catholicism,</w:t>
      </w:r>
      <w:r w:rsidR="00427254">
        <w:t xml:space="preserve"> </w:t>
      </w:r>
      <w:r w:rsidR="00AA36FF">
        <w:t>the doctrine of implicit faith rendered</w:t>
      </w:r>
      <w:r w:rsidR="009A27C7">
        <w:t xml:space="preserve"> the Pope’s “supreme authority” </w:t>
      </w:r>
      <w:r w:rsidR="00392D6D">
        <w:t xml:space="preserve">truly </w:t>
      </w:r>
      <w:r w:rsidR="00392D6D" w:rsidRPr="00413297">
        <w:rPr>
          <w:i/>
        </w:rPr>
        <w:t>supreme</w:t>
      </w:r>
      <w:r w:rsidR="00392D6D">
        <w:t>.</w:t>
      </w:r>
      <w:r w:rsidR="001D777A">
        <w:t xml:space="preserve"> Scripture</w:t>
      </w:r>
      <w:r w:rsidR="00413297">
        <w:t>’s authority</w:t>
      </w:r>
      <w:r w:rsidR="009B4325">
        <w:t xml:space="preserve"> and its meaning rested on the Pope’s</w:t>
      </w:r>
      <w:r w:rsidR="001D777A">
        <w:t xml:space="preserve"> fiat, rather than upon the</w:t>
      </w:r>
      <w:r w:rsidR="00F529E6">
        <w:t xml:space="preserve"> </w:t>
      </w:r>
      <w:r w:rsidR="00B557DD">
        <w:t>Word</w:t>
      </w:r>
      <w:r w:rsidR="007E4859">
        <w:t xml:space="preserve"> as an independent </w:t>
      </w:r>
      <w:r w:rsidR="007E4859" w:rsidRPr="000139E8">
        <w:t>authority</w:t>
      </w:r>
      <w:r w:rsidR="00B557DD" w:rsidRPr="000139E8">
        <w:t>.</w:t>
      </w:r>
      <w:r w:rsidR="009A27C7" w:rsidRPr="000139E8">
        <w:rPr>
          <w:rStyle w:val="FootnoteReference"/>
        </w:rPr>
        <w:footnoteReference w:id="6"/>
      </w:r>
      <w:r w:rsidR="007E4859" w:rsidRPr="000139E8">
        <w:t xml:space="preserve"> Hobbes replaced the Pope’s fiat with the civil </w:t>
      </w:r>
      <w:r w:rsidR="00727193">
        <w:t xml:space="preserve">sovereign’s, and </w:t>
      </w:r>
      <w:proofErr w:type="gramStart"/>
      <w:r w:rsidR="000139E8" w:rsidRPr="000139E8">
        <w:t>claimed that</w:t>
      </w:r>
      <w:proofErr w:type="gramEnd"/>
      <w:r w:rsidR="000139E8" w:rsidRPr="000139E8">
        <w:t xml:space="preserve"> “none but the </w:t>
      </w:r>
      <w:proofErr w:type="spellStart"/>
      <w:r w:rsidR="000139E8" w:rsidRPr="000139E8">
        <w:t>Soveraign</w:t>
      </w:r>
      <w:proofErr w:type="spellEnd"/>
      <w:r w:rsidR="000139E8" w:rsidRPr="000139E8">
        <w:t xml:space="preserve"> in a Christian Commonwealth, can take notice of what is, or what is not the Word of God.” Not only was the civil sovereign the only person who had the right to determine what was or </w:t>
      </w:r>
      <w:r w:rsidR="009377AA">
        <w:t xml:space="preserve">wasn’t Scripture. The sovereign’s </w:t>
      </w:r>
      <w:r w:rsidR="00404B62">
        <w:t xml:space="preserve">fiat also rendered </w:t>
      </w:r>
      <w:r w:rsidR="000139E8" w:rsidRPr="000139E8">
        <w:t>Scripture</w:t>
      </w:r>
      <w:r w:rsidR="00404B62">
        <w:t>’s words authoritative</w:t>
      </w:r>
      <w:r w:rsidR="000139E8" w:rsidRPr="000139E8">
        <w:t xml:space="preserve">: </w:t>
      </w:r>
      <w:r w:rsidR="007E4859" w:rsidRPr="000139E8">
        <w:lastRenderedPageBreak/>
        <w:t xml:space="preserve">“the Legislative Authority of the Common-wealth…giveth </w:t>
      </w:r>
      <w:r w:rsidR="000139E8" w:rsidRPr="000139E8">
        <w:t>to [Scripture]</w:t>
      </w:r>
      <w:r w:rsidR="009377AA">
        <w:t xml:space="preserve">, </w:t>
      </w:r>
      <w:r w:rsidR="007E4859" w:rsidRPr="000139E8">
        <w:t>the force of Law.”</w:t>
      </w:r>
      <w:r w:rsidR="007E4859" w:rsidRPr="000139E8">
        <w:rPr>
          <w:rStyle w:val="FootnoteReference"/>
        </w:rPr>
        <w:footnoteReference w:id="7"/>
      </w:r>
    </w:p>
    <w:p w14:paraId="25DD8A56" w14:textId="343CB8CC" w:rsidR="006744BE" w:rsidRDefault="005309C5" w:rsidP="00350E7B">
      <w:pPr>
        <w:spacing w:line="480" w:lineRule="auto"/>
        <w:ind w:firstLine="720"/>
      </w:pPr>
      <w:r>
        <w:t>For Protestants, the idea of</w:t>
      </w:r>
      <w:r w:rsidR="004C1D48">
        <w:t xml:space="preserve"> g</w:t>
      </w:r>
      <w:r w:rsidR="003919EF">
        <w:t xml:space="preserve">rounding faith in </w:t>
      </w:r>
      <w:r w:rsidR="009B4325">
        <w:t>pronouncements issued by</w:t>
      </w:r>
      <w:r w:rsidR="00E34804">
        <w:t xml:space="preserve"> </w:t>
      </w:r>
      <w:r>
        <w:t xml:space="preserve">an external </w:t>
      </w:r>
      <w:r w:rsidR="003919EF">
        <w:t>human</w:t>
      </w:r>
      <w:r w:rsidR="004C1D48">
        <w:t xml:space="preserve"> authority amounted to leaving faith </w:t>
      </w:r>
      <w:r w:rsidR="0078583F">
        <w:t xml:space="preserve">devoid of </w:t>
      </w:r>
      <w:r w:rsidR="009C5C12">
        <w:t>foundation</w:t>
      </w:r>
      <w:r w:rsidR="003919EF">
        <w:t>. Protestant Stephen Ma</w:t>
      </w:r>
      <w:r w:rsidR="00DC5CB4">
        <w:t>rshall protested, saying that he</w:t>
      </w:r>
      <w:r w:rsidR="003919EF">
        <w:t xml:space="preserve"> “loath to be led by</w:t>
      </w:r>
      <w:r>
        <w:t xml:space="preserve"> an </w:t>
      </w:r>
      <w:proofErr w:type="spellStart"/>
      <w:r>
        <w:t>implicit</w:t>
      </w:r>
      <w:r w:rsidR="009C5C12">
        <w:t>e</w:t>
      </w:r>
      <w:proofErr w:type="spellEnd"/>
      <w:r w:rsidR="009C5C12">
        <w:t xml:space="preserve"> faith,” because it</w:t>
      </w:r>
      <w:r w:rsidR="003919EF">
        <w:t xml:space="preserve"> was “without…ground.”</w:t>
      </w:r>
      <w:r w:rsidR="004C1D48">
        <w:rPr>
          <w:rStyle w:val="FootnoteReference"/>
        </w:rPr>
        <w:footnoteReference w:id="8"/>
      </w:r>
      <w:r w:rsidR="003919EF">
        <w:t xml:space="preserve"> </w:t>
      </w:r>
      <w:r w:rsidR="004C1D48">
        <w:t xml:space="preserve"> </w:t>
      </w:r>
      <w:r w:rsidR="009B4325">
        <w:t xml:space="preserve">The mere words of another mortal </w:t>
      </w:r>
      <w:r w:rsidR="001D777A">
        <w:t xml:space="preserve">could not ground </w:t>
      </w:r>
      <w:r w:rsidR="00061FEF">
        <w:t xml:space="preserve">his </w:t>
      </w:r>
      <w:r w:rsidR="001D777A">
        <w:t xml:space="preserve">faith. </w:t>
      </w:r>
      <w:r w:rsidR="00413297">
        <w:t xml:space="preserve"> </w:t>
      </w:r>
      <w:r w:rsidR="004C1D48">
        <w:t>Protestants like Marshall</w:t>
      </w:r>
      <w:r w:rsidR="00E8241F">
        <w:t xml:space="preserve"> </w:t>
      </w:r>
      <w:r w:rsidR="00740CCA">
        <w:t>adopted</w:t>
      </w:r>
      <w:r w:rsidR="00E8241F">
        <w:t xml:space="preserve"> </w:t>
      </w:r>
      <w:r w:rsidR="009C5C12">
        <w:t xml:space="preserve">a different doctrine---the doctrine of </w:t>
      </w:r>
      <w:r w:rsidR="00ED577C">
        <w:t xml:space="preserve">explicit faith (a doctrine that aimed to explicate the faith), </w:t>
      </w:r>
      <w:r w:rsidR="00E8241F">
        <w:t xml:space="preserve">although they did not always call it by this name. </w:t>
      </w:r>
      <w:r w:rsidR="00061FEF">
        <w:t>This</w:t>
      </w:r>
      <w:r w:rsidR="00427254">
        <w:t xml:space="preserve"> doctrine</w:t>
      </w:r>
      <w:r w:rsidR="00061FEF">
        <w:t xml:space="preserve"> </w:t>
      </w:r>
      <w:r w:rsidR="00427254">
        <w:t xml:space="preserve">urged </w:t>
      </w:r>
      <w:r w:rsidR="00AA36FF">
        <w:t>Protestants</w:t>
      </w:r>
      <w:r w:rsidR="00427254">
        <w:t xml:space="preserve"> </w:t>
      </w:r>
      <w:r w:rsidR="004C1D48">
        <w:t>to</w:t>
      </w:r>
      <w:r>
        <w:t xml:space="preserve"> free</w:t>
      </w:r>
      <w:r w:rsidR="00B557DD">
        <w:t xml:space="preserve"> Christianity from its external and mortal</w:t>
      </w:r>
      <w:r w:rsidR="004C1D48">
        <w:t xml:space="preserve"> </w:t>
      </w:r>
      <w:r w:rsidR="00740CCA">
        <w:t>founda</w:t>
      </w:r>
      <w:r w:rsidR="009C5C12">
        <w:t xml:space="preserve">tion, and to found faith </w:t>
      </w:r>
      <w:r w:rsidR="004C1D48">
        <w:t>upon a different ground</w:t>
      </w:r>
      <w:r w:rsidR="00740CCA">
        <w:t xml:space="preserve">. Some </w:t>
      </w:r>
      <w:r w:rsidR="00427254">
        <w:t xml:space="preserve">Protestants </w:t>
      </w:r>
      <w:r w:rsidR="00AA36FF">
        <w:t xml:space="preserve">grounded faith </w:t>
      </w:r>
      <w:r w:rsidR="00413297">
        <w:t>in the S</w:t>
      </w:r>
      <w:r w:rsidR="00740CCA">
        <w:t>pir</w:t>
      </w:r>
      <w:r>
        <w:t>it, others in S</w:t>
      </w:r>
      <w:r w:rsidR="00AA36FF">
        <w:t>cripture</w:t>
      </w:r>
      <w:r w:rsidR="00740CCA">
        <w:t>, others in conscience, others in probabilistic reason</w:t>
      </w:r>
      <w:r w:rsidR="00404B62">
        <w:t xml:space="preserve"> or prudence (</w:t>
      </w:r>
      <w:proofErr w:type="spellStart"/>
      <w:r w:rsidR="00404B62">
        <w:t>Chillingsworth</w:t>
      </w:r>
      <w:proofErr w:type="spellEnd"/>
      <w:r w:rsidR="00404B62">
        <w:t>)</w:t>
      </w:r>
      <w:r w:rsidR="009C5C12">
        <w:t xml:space="preserve">, still others </w:t>
      </w:r>
      <w:r w:rsidR="00740CCA">
        <w:t>in logic</w:t>
      </w:r>
      <w:r w:rsidR="00BC6E85">
        <w:t xml:space="preserve">, or </w:t>
      </w:r>
      <w:r w:rsidR="0078583F">
        <w:t>the light or law of nature</w:t>
      </w:r>
      <w:r w:rsidR="00740CCA">
        <w:t xml:space="preserve">. </w:t>
      </w:r>
    </w:p>
    <w:p w14:paraId="60088D6E" w14:textId="5DE423FE" w:rsidR="00740CCA" w:rsidRDefault="009B4325" w:rsidP="00350E7B">
      <w:pPr>
        <w:spacing w:line="480" w:lineRule="auto"/>
        <w:ind w:firstLine="720"/>
      </w:pPr>
      <w:r>
        <w:t>W</w:t>
      </w:r>
      <w:r w:rsidR="00AA36FF">
        <w:t>hat these</w:t>
      </w:r>
      <w:r w:rsidR="004C1D48">
        <w:t xml:space="preserve"> </w:t>
      </w:r>
      <w:r w:rsidR="0078583F">
        <w:t xml:space="preserve">very </w:t>
      </w:r>
      <w:r w:rsidR="004C1D48">
        <w:t>different</w:t>
      </w:r>
      <w:r w:rsidR="009C5C12">
        <w:t xml:space="preserve"> varieties of Protestantism</w:t>
      </w:r>
      <w:r w:rsidR="004C1D48">
        <w:t xml:space="preserve"> shared </w:t>
      </w:r>
      <w:r w:rsidR="00AA36FF">
        <w:t xml:space="preserve">was a rejection of the </w:t>
      </w:r>
      <w:r w:rsidR="005309C5">
        <w:t>papal</w:t>
      </w:r>
      <w:r w:rsidR="004C1D48">
        <w:t xml:space="preserve"> </w:t>
      </w:r>
      <w:r w:rsidR="00AA36FF">
        <w:t>doctrine of implicit faith.</w:t>
      </w:r>
      <w:r>
        <w:t xml:space="preserve">  Mortal pronouncements could not</w:t>
      </w:r>
      <w:r w:rsidR="00657A05">
        <w:t xml:space="preserve"> be the r</w:t>
      </w:r>
      <w:r w:rsidR="00413297">
        <w:t xml:space="preserve">ock. These Protestants </w:t>
      </w:r>
      <w:r w:rsidR="00B557DD">
        <w:t>demanded r</w:t>
      </w:r>
      <w:r w:rsidR="005309C5">
        <w:t xml:space="preserve">eligious </w:t>
      </w:r>
      <w:r w:rsidR="004C1D48">
        <w:t xml:space="preserve">freedom </w:t>
      </w:r>
      <w:r w:rsidR="00ED577C">
        <w:t xml:space="preserve">(i.e., liberty of conscience) construed negatively </w:t>
      </w:r>
      <w:r w:rsidR="00392D6D">
        <w:t>in the sense of</w:t>
      </w:r>
      <w:r w:rsidR="005309C5">
        <w:t xml:space="preserve"> freedom </w:t>
      </w:r>
      <w:r w:rsidR="004C1D48">
        <w:t xml:space="preserve">from </w:t>
      </w:r>
      <w:r w:rsidR="00427254">
        <w:t xml:space="preserve">external </w:t>
      </w:r>
      <w:r w:rsidR="005309C5">
        <w:t xml:space="preserve">human </w:t>
      </w:r>
      <w:r w:rsidR="004C1D48">
        <w:t>authority</w:t>
      </w:r>
      <w:r>
        <w:t xml:space="preserve"> as the ground of faith</w:t>
      </w:r>
      <w:r w:rsidR="005309C5">
        <w:t xml:space="preserve">. Many also demanded </w:t>
      </w:r>
      <w:r w:rsidR="004C1D48">
        <w:t xml:space="preserve">the </w:t>
      </w:r>
      <w:r w:rsidR="00ED577C">
        <w:t xml:space="preserve">positive </w:t>
      </w:r>
      <w:r w:rsidR="004C1D48">
        <w:t xml:space="preserve">freedom </w:t>
      </w:r>
      <w:r w:rsidR="00ED577C">
        <w:t xml:space="preserve">(i.e., liberty of conscience) </w:t>
      </w:r>
      <w:r w:rsidR="004C1D48">
        <w:t>to search Scripture</w:t>
      </w:r>
      <w:r w:rsidR="00AA36FF">
        <w:t xml:space="preserve"> for themselves</w:t>
      </w:r>
      <w:r w:rsidR="00427254">
        <w:t xml:space="preserve"> and </w:t>
      </w:r>
      <w:r w:rsidR="009C5C12">
        <w:t>to heed</w:t>
      </w:r>
      <w:r w:rsidR="0078583F">
        <w:t xml:space="preserve"> their spiritually guided</w:t>
      </w:r>
      <w:r w:rsidR="009C5C12">
        <w:t xml:space="preserve"> interpretation</w:t>
      </w:r>
      <w:r w:rsidR="00427254">
        <w:t xml:space="preserve"> of its</w:t>
      </w:r>
      <w:r w:rsidR="005309C5">
        <w:t xml:space="preserve"> words</w:t>
      </w:r>
      <w:r w:rsidR="0078583F">
        <w:t>. Others demanded</w:t>
      </w:r>
      <w:r w:rsidR="00AA36FF">
        <w:t xml:space="preserve"> </w:t>
      </w:r>
      <w:r w:rsidR="009C5C12">
        <w:t xml:space="preserve">the </w:t>
      </w:r>
      <w:r w:rsidR="00ED577C">
        <w:t xml:space="preserve">positive </w:t>
      </w:r>
      <w:r w:rsidR="009C5C12">
        <w:t xml:space="preserve">freedom </w:t>
      </w:r>
      <w:r w:rsidR="00ED577C">
        <w:t xml:space="preserve">(i.e. liberty of conscience) </w:t>
      </w:r>
      <w:r w:rsidR="009C5C12">
        <w:t>to hear</w:t>
      </w:r>
      <w:r w:rsidR="005309C5">
        <w:t xml:space="preserve"> and heed </w:t>
      </w:r>
      <w:r w:rsidR="00740CCA">
        <w:t xml:space="preserve">their own </w:t>
      </w:r>
      <w:r w:rsidR="005309C5">
        <w:t>or another’s divine spirit</w:t>
      </w:r>
      <w:r w:rsidR="0078583F">
        <w:t xml:space="preserve">. Still others called </w:t>
      </w:r>
      <w:r w:rsidR="0078583F">
        <w:lastRenderedPageBreak/>
        <w:t xml:space="preserve">for the </w:t>
      </w:r>
      <w:r w:rsidR="00ED577C">
        <w:t xml:space="preserve">positive </w:t>
      </w:r>
      <w:r w:rsidR="0078583F">
        <w:t>freedom</w:t>
      </w:r>
      <w:r w:rsidR="005309C5">
        <w:t xml:space="preserve"> </w:t>
      </w:r>
      <w:r w:rsidR="00ED577C">
        <w:t xml:space="preserve">(i.e. liberty of conscience) </w:t>
      </w:r>
      <w:r w:rsidR="00740CCA">
        <w:t>t</w:t>
      </w:r>
      <w:r w:rsidR="00427254">
        <w:t>o hear other’s teach</w:t>
      </w:r>
      <w:r w:rsidR="009C5C12">
        <w:t>ings</w:t>
      </w:r>
      <w:r w:rsidR="0078583F">
        <w:t>, to discuss and deliberate up</w:t>
      </w:r>
      <w:r>
        <w:t>on them</w:t>
      </w:r>
      <w:r w:rsidR="00E34804">
        <w:t>,</w:t>
      </w:r>
      <w:r w:rsidR="00B557DD">
        <w:t xml:space="preserve"> </w:t>
      </w:r>
      <w:r w:rsidR="00AA36FF">
        <w:t>and</w:t>
      </w:r>
      <w:r w:rsidR="009C5C12">
        <w:t xml:space="preserve"> </w:t>
      </w:r>
      <w:r w:rsidR="00B557DD">
        <w:t xml:space="preserve">to use </w:t>
      </w:r>
      <w:r w:rsidR="0078583F">
        <w:t>independent judgment</w:t>
      </w:r>
      <w:r w:rsidR="00B557DD">
        <w:t xml:space="preserve"> </w:t>
      </w:r>
      <w:r w:rsidR="00ED577C">
        <w:t xml:space="preserve">(i.e., liberty of conscience) </w:t>
      </w:r>
      <w:r w:rsidR="00B557DD">
        <w:t xml:space="preserve">to draw </w:t>
      </w:r>
      <w:r w:rsidR="009C5C12">
        <w:t>authoritative conclusions</w:t>
      </w:r>
      <w:r w:rsidR="00545D92">
        <w:t xml:space="preserve"> regarding the faith</w:t>
      </w:r>
      <w:r>
        <w:t>.</w:t>
      </w:r>
      <w:r w:rsidR="00740CCA">
        <w:t xml:space="preserve"> </w:t>
      </w:r>
    </w:p>
    <w:p w14:paraId="39D3B98D" w14:textId="77777777" w:rsidR="00740CCA" w:rsidRDefault="00740CCA" w:rsidP="00350E7B">
      <w:pPr>
        <w:spacing w:line="480" w:lineRule="auto"/>
      </w:pPr>
    </w:p>
    <w:p w14:paraId="177EA0D6" w14:textId="66F0258D" w:rsidR="00EB7599" w:rsidRPr="00EB7599" w:rsidRDefault="00EB7599" w:rsidP="00350E7B">
      <w:pPr>
        <w:spacing w:line="480" w:lineRule="auto"/>
        <w:rPr>
          <w:b/>
        </w:rPr>
      </w:pPr>
      <w:r w:rsidRPr="00EB7599">
        <w:rPr>
          <w:b/>
        </w:rPr>
        <w:t xml:space="preserve">The </w:t>
      </w:r>
      <w:r w:rsidR="006744BE">
        <w:rPr>
          <w:b/>
        </w:rPr>
        <w:t xml:space="preserve">two </w:t>
      </w:r>
      <w:r w:rsidRPr="00EB7599">
        <w:rPr>
          <w:b/>
        </w:rPr>
        <w:t xml:space="preserve">objects of implicit faith </w:t>
      </w:r>
    </w:p>
    <w:p w14:paraId="084D3B02" w14:textId="43DEC235" w:rsidR="00252BD2" w:rsidRDefault="00252BD2" w:rsidP="00350E7B">
      <w:pPr>
        <w:spacing w:line="480" w:lineRule="auto"/>
        <w:ind w:firstLine="720"/>
      </w:pPr>
      <w:r>
        <w:t>Englishmen recognized</w:t>
      </w:r>
      <w:r w:rsidR="001879ED">
        <w:t xml:space="preserve"> two </w:t>
      </w:r>
      <w:r>
        <w:t xml:space="preserve">distinct </w:t>
      </w:r>
      <w:r w:rsidR="001879ED">
        <w:t>objects of implicit faith</w:t>
      </w:r>
      <w:r>
        <w:t>, although they frequently muddled the</w:t>
      </w:r>
      <w:r w:rsidR="0078583F">
        <w:t>ir distinctiveness</w:t>
      </w:r>
      <w:r>
        <w:t>. Consider the following representative example</w:t>
      </w:r>
      <w:r w:rsidR="001879ED">
        <w:t xml:space="preserve"> </w:t>
      </w:r>
      <w:r>
        <w:t xml:space="preserve">written by X: </w:t>
      </w:r>
    </w:p>
    <w:p w14:paraId="5B04E4EA" w14:textId="76910B08" w:rsidR="00252BD2" w:rsidRDefault="00252BD2" w:rsidP="00350E7B">
      <w:pPr>
        <w:spacing w:line="480" w:lineRule="auto"/>
        <w:ind w:left="720" w:right="720"/>
      </w:pPr>
      <w:r w:rsidRPr="00252BD2">
        <w:t>They who do require an implicit Faith in the Church for Articles…do require an implicit faith in the church, because they believe</w:t>
      </w:r>
      <w:r>
        <w:t xml:space="preserve"> that God hath required of them…</w:t>
      </w:r>
      <w:r w:rsidRPr="00252BD2">
        <w:t>to believe whate</w:t>
      </w:r>
      <w:r>
        <w:t>ver the Church says</w:t>
      </w:r>
      <w:r w:rsidRPr="00252BD2">
        <w:t>.</w:t>
      </w:r>
    </w:p>
    <w:p w14:paraId="68494D18" w14:textId="18B8C5FA" w:rsidR="00523EEB" w:rsidRDefault="00650AE5" w:rsidP="00350E7B">
      <w:pPr>
        <w:spacing w:line="480" w:lineRule="auto"/>
      </w:pPr>
      <w:r>
        <w:t>As this passage</w:t>
      </w:r>
      <w:r w:rsidR="003919EF">
        <w:t xml:space="preserve"> shows, </w:t>
      </w:r>
      <w:r w:rsidR="00011883">
        <w:t xml:space="preserve">in addition to God, </w:t>
      </w:r>
      <w:r w:rsidR="005C312B">
        <w:t xml:space="preserve">one </w:t>
      </w:r>
      <w:r w:rsidR="001879ED">
        <w:t xml:space="preserve">object </w:t>
      </w:r>
      <w:r w:rsidR="00252BD2">
        <w:t xml:space="preserve">of implicit faith </w:t>
      </w:r>
      <w:r w:rsidR="00545D92">
        <w:t>was</w:t>
      </w:r>
      <w:r w:rsidR="0023298F">
        <w:t xml:space="preserve"> </w:t>
      </w:r>
      <w:r w:rsidR="00545D92">
        <w:t>“</w:t>
      </w:r>
      <w:r w:rsidR="004C7920">
        <w:t>the church</w:t>
      </w:r>
      <w:r w:rsidR="00404B62">
        <w:t>.</w:t>
      </w:r>
      <w:r w:rsidR="00545D92">
        <w:t>”</w:t>
      </w:r>
      <w:r w:rsidR="0078583F">
        <w:t xml:space="preserve"> </w:t>
      </w:r>
      <w:r w:rsidR="00BC6E85">
        <w:t>Like X, H</w:t>
      </w:r>
      <w:r w:rsidR="004C7920">
        <w:t>obbes</w:t>
      </w:r>
      <w:r w:rsidR="00BC6E85">
        <w:t xml:space="preserve"> also</w:t>
      </w:r>
      <w:r w:rsidR="004C7920">
        <w:t xml:space="preserve"> make</w:t>
      </w:r>
      <w:r w:rsidR="00BC6E85">
        <w:t>s</w:t>
      </w:r>
      <w:r w:rsidR="004C7920">
        <w:t xml:space="preserve"> “the church</w:t>
      </w:r>
      <w:r w:rsidR="00404B62">
        <w:t>” (i.e., the civil sovereign</w:t>
      </w:r>
      <w:r w:rsidR="00727193">
        <w:t>) the object of faith when he asks</w:t>
      </w:r>
      <w:r w:rsidR="00BC6E85">
        <w:t xml:space="preserve"> subjects</w:t>
      </w:r>
      <w:r w:rsidR="004C7920">
        <w:t xml:space="preserve"> to </w:t>
      </w:r>
      <w:r w:rsidR="00BC6E85">
        <w:t>“</w:t>
      </w:r>
      <w:r w:rsidR="004C7920">
        <w:t>repose</w:t>
      </w:r>
      <w:r w:rsidR="00BC6E85">
        <w:t>”</w:t>
      </w:r>
      <w:r w:rsidR="004C7920">
        <w:t xml:space="preserve"> </w:t>
      </w:r>
      <w:r w:rsidR="00BC6E85">
        <w:t xml:space="preserve">their “trust, and faith” in </w:t>
      </w:r>
      <w:r w:rsidR="00727193">
        <w:t xml:space="preserve">the </w:t>
      </w:r>
      <w:r w:rsidR="00404B62">
        <w:t>sovereign’s</w:t>
      </w:r>
      <w:r w:rsidR="004C7920">
        <w:t xml:space="preserve"> authority.</w:t>
      </w:r>
      <w:r w:rsidR="004C7920">
        <w:rPr>
          <w:rStyle w:val="FootnoteReference"/>
        </w:rPr>
        <w:footnoteReference w:id="9"/>
      </w:r>
      <w:r w:rsidR="00BC6E85">
        <w:t xml:space="preserve">  Subjects</w:t>
      </w:r>
      <w:r w:rsidR="00404B62">
        <w:t xml:space="preserve"> who hold the church </w:t>
      </w:r>
      <w:r w:rsidR="00727193">
        <w:t>“</w:t>
      </w:r>
      <w:r w:rsidR="00404B62">
        <w:t>in faith</w:t>
      </w:r>
      <w:r w:rsidR="00727193">
        <w:t>”</w:t>
      </w:r>
      <w:r w:rsidR="00252BD2">
        <w:t xml:space="preserve"> </w:t>
      </w:r>
      <w:r w:rsidR="00404B62">
        <w:t>acknowledge</w:t>
      </w:r>
      <w:r w:rsidR="00ED577C">
        <w:t xml:space="preserve"> the church’s</w:t>
      </w:r>
      <w:r w:rsidR="001D777A">
        <w:t xml:space="preserve"> </w:t>
      </w:r>
      <w:r w:rsidR="00ED577C">
        <w:t xml:space="preserve">ultimate </w:t>
      </w:r>
      <w:r w:rsidR="009B4325">
        <w:t>authority</w:t>
      </w:r>
      <w:r w:rsidR="00ED577C">
        <w:t xml:space="preserve"> over the</w:t>
      </w:r>
      <w:r w:rsidR="00404B62">
        <w:t>ir</w:t>
      </w:r>
      <w:r w:rsidR="00ED577C">
        <w:t xml:space="preserve"> faith</w:t>
      </w:r>
      <w:r w:rsidR="00404B62">
        <w:t>. They</w:t>
      </w:r>
      <w:r w:rsidR="009B4325">
        <w:t xml:space="preserve"> </w:t>
      </w:r>
      <w:r w:rsidR="00ED577C">
        <w:t xml:space="preserve">therefore </w:t>
      </w:r>
      <w:r w:rsidR="00404B62">
        <w:t>forfeit</w:t>
      </w:r>
      <w:r w:rsidR="009B4325">
        <w:t xml:space="preserve"> </w:t>
      </w:r>
      <w:r w:rsidR="00392D6D">
        <w:t>claim</w:t>
      </w:r>
      <w:r w:rsidR="009B4325">
        <w:t>s</w:t>
      </w:r>
      <w:r w:rsidR="00392D6D">
        <w:t xml:space="preserve"> to </w:t>
      </w:r>
      <w:r w:rsidR="00404B62">
        <w:t xml:space="preserve">independent </w:t>
      </w:r>
      <w:r w:rsidR="007F4D22">
        <w:t xml:space="preserve">religious </w:t>
      </w:r>
      <w:r w:rsidR="00E34804">
        <w:t xml:space="preserve">authority </w:t>
      </w:r>
      <w:r w:rsidR="00545D92">
        <w:t>a</w:t>
      </w:r>
      <w:r w:rsidR="00404B62">
        <w:t>nd heed</w:t>
      </w:r>
      <w:r w:rsidR="004C7920">
        <w:t xml:space="preserve"> the church’s dictates.</w:t>
      </w:r>
      <w:r w:rsidR="00B8315B">
        <w:t xml:space="preserve">  </w:t>
      </w:r>
    </w:p>
    <w:p w14:paraId="6684DF97" w14:textId="21479C58" w:rsidR="003958C9" w:rsidRDefault="001879ED" w:rsidP="00350E7B">
      <w:pPr>
        <w:spacing w:line="480" w:lineRule="auto"/>
        <w:ind w:firstLine="720"/>
      </w:pPr>
      <w:r>
        <w:t xml:space="preserve">The </w:t>
      </w:r>
      <w:r w:rsidR="009B4325">
        <w:t>specific articles and dictates pronounced by</w:t>
      </w:r>
      <w:r w:rsidR="0078583F">
        <w:t xml:space="preserve"> the chur</w:t>
      </w:r>
      <w:r w:rsidR="009B4325">
        <w:t>ch were</w:t>
      </w:r>
      <w:r w:rsidR="0078583F">
        <w:t xml:space="preserve"> the </w:t>
      </w:r>
      <w:r>
        <w:t>second o</w:t>
      </w:r>
      <w:r w:rsidR="0078583F">
        <w:t>bject</w:t>
      </w:r>
      <w:r w:rsidR="00523EEB">
        <w:t>s</w:t>
      </w:r>
      <w:r w:rsidR="0078583F">
        <w:t xml:space="preserve"> of implicit faith</w:t>
      </w:r>
      <w:r>
        <w:t>.</w:t>
      </w:r>
      <w:r w:rsidR="00252BD2">
        <w:t xml:space="preserve"> </w:t>
      </w:r>
      <w:r>
        <w:t xml:space="preserve"> </w:t>
      </w:r>
      <w:r w:rsidR="00ED577C">
        <w:t xml:space="preserve">Here, the church’s mere </w:t>
      </w:r>
      <w:r w:rsidR="009B4325">
        <w:t>p</w:t>
      </w:r>
      <w:r w:rsidR="00B8315B">
        <w:t xml:space="preserve">ronouncement </w:t>
      </w:r>
      <w:r w:rsidR="00ED577C">
        <w:t>became</w:t>
      </w:r>
      <w:r w:rsidR="00B557DD">
        <w:t xml:space="preserve"> the</w:t>
      </w:r>
      <w:r w:rsidR="005C312B">
        <w:t xml:space="preserve"> necessary and </w:t>
      </w:r>
      <w:r w:rsidR="00B8315B">
        <w:t>sufficient</w:t>
      </w:r>
      <w:r w:rsidR="009B4325">
        <w:t xml:space="preserve"> ground of an </w:t>
      </w:r>
      <w:r w:rsidR="00545D92">
        <w:t>individuals’</w:t>
      </w:r>
      <w:r w:rsidR="00061FEF">
        <w:t xml:space="preserve"> </w:t>
      </w:r>
      <w:r w:rsidR="009B4325">
        <w:t>belief</w:t>
      </w:r>
      <w:r w:rsidR="00650AE5">
        <w:t xml:space="preserve"> in </w:t>
      </w:r>
      <w:r w:rsidR="00746AAF">
        <w:t xml:space="preserve">any </w:t>
      </w:r>
      <w:r w:rsidR="00ED577C">
        <w:t xml:space="preserve">specific </w:t>
      </w:r>
      <w:r w:rsidR="009B4325">
        <w:t>article or</w:t>
      </w:r>
      <w:r w:rsidR="00545D92">
        <w:t xml:space="preserve"> dictate</w:t>
      </w:r>
      <w:r w:rsidR="00B8315B">
        <w:t>.</w:t>
      </w:r>
      <w:r w:rsidR="0078583F">
        <w:t xml:space="preserve">  As one Englishmen put it, those with</w:t>
      </w:r>
      <w:r w:rsidR="00C70538">
        <w:t xml:space="preserve"> implicit faith “entertained and received” what authorities ordained</w:t>
      </w:r>
      <w:r w:rsidR="00B557DD">
        <w:t>,</w:t>
      </w:r>
      <w:r w:rsidR="00C70538">
        <w:t xml:space="preserve"> </w:t>
      </w:r>
      <w:r w:rsidR="00523EEB">
        <w:t>believing</w:t>
      </w:r>
      <w:r w:rsidR="00ED577C">
        <w:t xml:space="preserve"> that their act of ordination </w:t>
      </w:r>
      <w:r w:rsidR="00C70538">
        <w:t xml:space="preserve">was “a </w:t>
      </w:r>
      <w:r w:rsidR="00C70538">
        <w:lastRenderedPageBreak/>
        <w:t>sufficient ground or</w:t>
      </w:r>
      <w:r w:rsidR="00B557DD">
        <w:t xml:space="preserve"> warrant</w:t>
      </w:r>
      <w:r w:rsidR="0078583F">
        <w:t>”</w:t>
      </w:r>
      <w:r w:rsidR="00E34804">
        <w:t xml:space="preserve"> for</w:t>
      </w:r>
      <w:r w:rsidR="00B557DD">
        <w:t xml:space="preserve"> belief</w:t>
      </w:r>
      <w:r w:rsidR="00404B62">
        <w:t>, or credit</w:t>
      </w:r>
      <w:r w:rsidR="00B557DD">
        <w:t>.</w:t>
      </w:r>
      <w:r w:rsidR="0078583F">
        <w:t xml:space="preserve"> </w:t>
      </w:r>
      <w:r w:rsidR="003471FA">
        <w:t xml:space="preserve">Edward Hyde, Earl of </w:t>
      </w:r>
      <w:r w:rsidR="00523EEB">
        <w:t xml:space="preserve">Clarendon, noted </w:t>
      </w:r>
      <w:r w:rsidR="007F4D22">
        <w:t xml:space="preserve">how </w:t>
      </w:r>
      <w:r w:rsidR="009B4325">
        <w:t>persons with implicit faith</w:t>
      </w:r>
      <w:r w:rsidR="00523EEB">
        <w:t xml:space="preserve"> </w:t>
      </w:r>
      <w:r w:rsidR="003471FA">
        <w:t>“abandon</w:t>
      </w:r>
      <w:r w:rsidR="00523EEB">
        <w:t>[</w:t>
      </w:r>
      <w:proofErr w:type="spellStart"/>
      <w:r w:rsidR="00523EEB">
        <w:t>ed</w:t>
      </w:r>
      <w:proofErr w:type="spellEnd"/>
      <w:r w:rsidR="00523EEB">
        <w:t>]</w:t>
      </w:r>
      <w:r w:rsidR="007F4D22">
        <w:t xml:space="preserve">” themselves, </w:t>
      </w:r>
      <w:r w:rsidR="003471FA">
        <w:t>yield</w:t>
      </w:r>
      <w:r w:rsidR="00523EEB">
        <w:t>ing</w:t>
      </w:r>
      <w:r w:rsidR="003471FA">
        <w:t xml:space="preserve"> up “not only their wills and affections, but their reasons also, and judgments” to a human autho</w:t>
      </w:r>
      <w:r w:rsidR="00650AE5">
        <w:t>rity, “</w:t>
      </w:r>
      <w:proofErr w:type="spellStart"/>
      <w:r w:rsidR="00650AE5">
        <w:t>giv</w:t>
      </w:r>
      <w:proofErr w:type="spellEnd"/>
      <w:r w:rsidR="00650AE5">
        <w:t>[</w:t>
      </w:r>
      <w:proofErr w:type="spellStart"/>
      <w:r w:rsidR="00650AE5">
        <w:t>ing</w:t>
      </w:r>
      <w:proofErr w:type="spellEnd"/>
      <w:r w:rsidR="00650AE5">
        <w:t>] credit” to the authority’s</w:t>
      </w:r>
      <w:r w:rsidR="003471FA">
        <w:t xml:space="preserve"> “bare asseverations.”</w:t>
      </w:r>
      <w:r w:rsidR="003471FA">
        <w:rPr>
          <w:rStyle w:val="FootnoteReference"/>
        </w:rPr>
        <w:footnoteReference w:id="10"/>
      </w:r>
      <w:r w:rsidR="001D777A">
        <w:t xml:space="preserve">  </w:t>
      </w:r>
      <w:r w:rsidR="009B4325">
        <w:t>Likewise, Presbyterian Thomas Edwards said those</w:t>
      </w:r>
      <w:r w:rsidR="00397236">
        <w:t xml:space="preserve"> who “go by </w:t>
      </w:r>
      <w:proofErr w:type="spellStart"/>
      <w:r w:rsidR="00397236">
        <w:t>implicite</w:t>
      </w:r>
      <w:proofErr w:type="spellEnd"/>
      <w:r w:rsidR="00397236">
        <w:t xml:space="preserve"> faith” “take up things upon trust from others…and [do] not see with their own eyes, nor examine things themselves.”</w:t>
      </w:r>
      <w:r w:rsidR="00397236">
        <w:rPr>
          <w:rStyle w:val="FootnoteReference"/>
        </w:rPr>
        <w:footnoteReference w:id="11"/>
      </w:r>
      <w:r w:rsidR="00727193" w:rsidRPr="00727193">
        <w:t xml:space="preserve"> </w:t>
      </w:r>
      <w:r w:rsidR="00727193">
        <w:t xml:space="preserve">Hobbes may not have obligated subjects to sincerely believe in the sovereign’s commands and teachings, but </w:t>
      </w:r>
      <w:r w:rsidR="003958C9">
        <w:t>he certainly tried to persuade them to entertain, receive and heed the sovereign’s commands without blinking. He also noted that there was sufficient empirical evidence to support the claim that many subjects had and did, in fact, ground their faith in the ungrounded and unexamined fiats issued by human authority. Hobbes wrote,</w:t>
      </w:r>
    </w:p>
    <w:p w14:paraId="7FDE5589" w14:textId="53459EE1" w:rsidR="003958C9" w:rsidRDefault="003958C9" w:rsidP="00350E7B">
      <w:pPr>
        <w:spacing w:line="480" w:lineRule="auto"/>
        <w:ind w:left="720"/>
      </w:pPr>
      <w:r>
        <w:t xml:space="preserve">We see daily by experience all sorts of People, that such men as study nothing but their food and ease, are content to believe any absurdity, rather than to trouble themselves to examine it; holding their faith as it were…by an </w:t>
      </w:r>
      <w:proofErr w:type="spellStart"/>
      <w:r>
        <w:t>expresse</w:t>
      </w:r>
      <w:proofErr w:type="spellEnd"/>
      <w:r>
        <w:t>…law.</w:t>
      </w:r>
      <w:r>
        <w:rPr>
          <w:rStyle w:val="FootnoteReference"/>
        </w:rPr>
        <w:footnoteReference w:id="12"/>
      </w:r>
    </w:p>
    <w:p w14:paraId="415DCA39" w14:textId="40A293CA" w:rsidR="003958C9" w:rsidRDefault="00276CCB" w:rsidP="00350E7B">
      <w:pPr>
        <w:spacing w:line="480" w:lineRule="auto"/>
        <w:ind w:firstLine="720"/>
      </w:pPr>
      <w:r>
        <w:t>Proponents of implicit faith</w:t>
      </w:r>
      <w:r w:rsidR="003958C9">
        <w:t xml:space="preserve"> used rhetoric to justify why private individuals should make the testaments issued by a mortal possessing religious authority</w:t>
      </w:r>
      <w:r w:rsidR="00245717">
        <w:t xml:space="preserve"> the grounds of their faith</w:t>
      </w:r>
      <w:r w:rsidR="003958C9">
        <w:t>. Here they</w:t>
      </w:r>
      <w:r>
        <w:t xml:space="preserve"> forged analogies between</w:t>
      </w:r>
      <w:r w:rsidR="00011883">
        <w:t xml:space="preserve"> </w:t>
      </w:r>
      <w:r w:rsidR="00746AAF">
        <w:t>religious authorities</w:t>
      </w:r>
      <w:r>
        <w:t xml:space="preserve"> and </w:t>
      </w:r>
      <w:r w:rsidR="00245717">
        <w:t>“</w:t>
      </w:r>
      <w:r>
        <w:t>the rock</w:t>
      </w:r>
      <w:r w:rsidR="003958C9">
        <w:t>.</w:t>
      </w:r>
      <w:r w:rsidR="00245717">
        <w:t>”</w:t>
      </w:r>
      <w:r w:rsidR="003958C9">
        <w:t xml:space="preserve">  </w:t>
      </w:r>
      <w:r w:rsidR="00245717">
        <w:t>M</w:t>
      </w:r>
      <w:r w:rsidR="00746AAF">
        <w:t>ortal authorities</w:t>
      </w:r>
      <w:r w:rsidR="00245717">
        <w:t xml:space="preserve"> were imagined </w:t>
      </w:r>
      <w:r w:rsidR="00011883">
        <w:t xml:space="preserve">at the foundation serving </w:t>
      </w:r>
      <w:r w:rsidR="00245717">
        <w:t>as</w:t>
      </w:r>
      <w:r>
        <w:t xml:space="preserve"> the </w:t>
      </w:r>
      <w:r w:rsidR="00011883">
        <w:lastRenderedPageBreak/>
        <w:t>“pillars of faith;</w:t>
      </w:r>
      <w:r>
        <w:t>”</w:t>
      </w:r>
      <w:r w:rsidR="00011883">
        <w:t xml:space="preserve"> they were</w:t>
      </w:r>
      <w:r>
        <w:t xml:space="preserve"> “immoveable,” “infallible</w:t>
      </w:r>
      <w:r w:rsidR="00746AAF">
        <w:t>,</w:t>
      </w:r>
      <w:r>
        <w:t>”</w:t>
      </w:r>
      <w:r w:rsidR="00746AAF">
        <w:t xml:space="preserve"> and “definitive.” A</w:t>
      </w:r>
      <w:r w:rsidR="003958C9">
        <w:t xml:space="preserve">s supreme </w:t>
      </w:r>
      <w:r>
        <w:t xml:space="preserve">judges they </w:t>
      </w:r>
      <w:r w:rsidR="00011883">
        <w:t xml:space="preserve">(like </w:t>
      </w:r>
      <w:r w:rsidR="00BC6E85">
        <w:t>rocks</w:t>
      </w:r>
      <w:r w:rsidR="00011883">
        <w:t xml:space="preserve"> at the foundation of a house</w:t>
      </w:r>
      <w:r w:rsidR="00BC6E85">
        <w:t xml:space="preserve">) </w:t>
      </w:r>
      <w:r>
        <w:t>provided “</w:t>
      </w:r>
      <w:proofErr w:type="spellStart"/>
      <w:r>
        <w:t>settledness</w:t>
      </w:r>
      <w:proofErr w:type="spellEnd"/>
      <w:r>
        <w:t>”</w:t>
      </w:r>
      <w:r w:rsidR="00746AAF">
        <w:t xml:space="preserve"> and “certainty” to </w:t>
      </w:r>
      <w:r w:rsidR="00160244">
        <w:t>matters that were controversial</w:t>
      </w:r>
      <w:r>
        <w:t>.</w:t>
      </w:r>
      <w:r>
        <w:rPr>
          <w:rStyle w:val="FootnoteReference"/>
        </w:rPr>
        <w:footnoteReference w:id="13"/>
      </w:r>
      <w:r w:rsidR="00746AAF">
        <w:t xml:space="preserve"> </w:t>
      </w:r>
      <w:r w:rsidR="00245717">
        <w:t>Needless to say, t</w:t>
      </w:r>
      <w:r w:rsidR="001F4A78">
        <w:t xml:space="preserve">his description of mortal authority parallels </w:t>
      </w:r>
      <w:r w:rsidR="00245717">
        <w:t>Hobbes’s description</w:t>
      </w:r>
      <w:r w:rsidR="001F4A78">
        <w:t xml:space="preserve"> of the c</w:t>
      </w:r>
      <w:r w:rsidR="00245717">
        <w:t>ivil sovereign</w:t>
      </w:r>
      <w:r w:rsidR="001F4A78">
        <w:t xml:space="preserve">. </w:t>
      </w:r>
    </w:p>
    <w:p w14:paraId="2C70E1BA" w14:textId="782E9533" w:rsidR="00276CCB" w:rsidRDefault="00245717" w:rsidP="00350E7B">
      <w:pPr>
        <w:spacing w:line="480" w:lineRule="auto"/>
        <w:ind w:firstLine="720"/>
      </w:pPr>
      <w:r>
        <w:t>T</w:t>
      </w:r>
      <w:r w:rsidR="003958C9">
        <w:t xml:space="preserve">hose </w:t>
      </w:r>
      <w:r w:rsidR="00276CCB">
        <w:t>Protestants</w:t>
      </w:r>
      <w:r w:rsidR="00746AAF">
        <w:t xml:space="preserve"> who rejected implicit faith</w:t>
      </w:r>
      <w:r w:rsidR="00011883">
        <w:t xml:space="preserve"> rejected this imager</w:t>
      </w:r>
      <w:r w:rsidR="00276CCB">
        <w:t>y.</w:t>
      </w:r>
      <w:r w:rsidR="00011883">
        <w:t xml:space="preserve"> They did not care to apprehend or to imagine mortal</w:t>
      </w:r>
      <w:r w:rsidR="00276CCB">
        <w:t xml:space="preserve"> a</w:t>
      </w:r>
      <w:r w:rsidR="00746AAF">
        <w:t>uthori</w:t>
      </w:r>
      <w:r w:rsidR="00011883">
        <w:t>ty as</w:t>
      </w:r>
      <w:r w:rsidR="003958C9">
        <w:t xml:space="preserve"> “the rock.” </w:t>
      </w:r>
      <w:r w:rsidR="00011883">
        <w:t>Human authorities</w:t>
      </w:r>
      <w:r w:rsidR="00276CCB">
        <w:t xml:space="preserve"> </w:t>
      </w:r>
      <w:r w:rsidR="00746AAF">
        <w:t xml:space="preserve">were “blind” men who were </w:t>
      </w:r>
      <w:r w:rsidR="00DC5CB4">
        <w:t>subject to delusions. Worse, t</w:t>
      </w:r>
      <w:r w:rsidR="00746AAF">
        <w:t>hey were tyrants who “</w:t>
      </w:r>
      <w:r w:rsidR="00276CCB">
        <w:t>erred,</w:t>
      </w:r>
      <w:r w:rsidR="00746AAF">
        <w:t>”</w:t>
      </w:r>
      <w:r w:rsidR="00276CCB">
        <w:t xml:space="preserve"> acted </w:t>
      </w:r>
      <w:r w:rsidR="00746AAF">
        <w:t>“</w:t>
      </w:r>
      <w:r w:rsidR="00276CCB">
        <w:t>arbitrarily,</w:t>
      </w:r>
      <w:r w:rsidR="00746AAF">
        <w:t>” and governed religion by the “invention of men” (i.e., “governed by will and power”). Worse</w:t>
      </w:r>
      <w:r w:rsidR="00DC5CB4">
        <w:t xml:space="preserve"> still</w:t>
      </w:r>
      <w:r w:rsidR="00746AAF">
        <w:t xml:space="preserve">, </w:t>
      </w:r>
      <w:r>
        <w:t>mortal authorities usurped</w:t>
      </w:r>
      <w:r w:rsidR="00276CCB">
        <w:t xml:space="preserve"> the true rock of faith (i.e. Christ and God) </w:t>
      </w:r>
      <w:r w:rsidR="00746AAF">
        <w:t>and expecte</w:t>
      </w:r>
      <w:r w:rsidR="00DC5CB4">
        <w:t>d individuals to worship them in ways that</w:t>
      </w:r>
      <w:r w:rsidR="00746AAF">
        <w:t xml:space="preserve"> only </w:t>
      </w:r>
      <w:r w:rsidR="00011883">
        <w:t xml:space="preserve">God himself should be worshipped (i.e., </w:t>
      </w:r>
      <w:r w:rsidR="00746AAF">
        <w:t>with implicit faith</w:t>
      </w:r>
      <w:r w:rsidR="00011883">
        <w:t>)</w:t>
      </w:r>
      <w:r w:rsidR="00746AAF">
        <w:t>.</w:t>
      </w:r>
    </w:p>
    <w:p w14:paraId="479EA0AD" w14:textId="14533C68" w:rsidR="00AC5B82" w:rsidRPr="00867220" w:rsidRDefault="001F4A78" w:rsidP="00350E7B">
      <w:pPr>
        <w:spacing w:line="480" w:lineRule="auto"/>
        <w:ind w:firstLine="720"/>
      </w:pPr>
      <w:r>
        <w:t>But as</w:t>
      </w:r>
      <w:r w:rsidR="00746AAF">
        <w:t xml:space="preserve"> much as Protestants detested the doctrine of implicit faith and the conceptions</w:t>
      </w:r>
      <w:r w:rsidR="001E6DCD">
        <w:t xml:space="preserve"> </w:t>
      </w:r>
      <w:r w:rsidR="00746AAF">
        <w:t xml:space="preserve">of authority and obedience attending it, </w:t>
      </w:r>
      <w:r w:rsidR="00245717">
        <w:t xml:space="preserve">like Hobbes, </w:t>
      </w:r>
      <w:r w:rsidR="00746AAF">
        <w:t>they</w:t>
      </w:r>
      <w:r w:rsidR="00AC5B82">
        <w:t xml:space="preserve"> note</w:t>
      </w:r>
      <w:r w:rsidR="00746AAF">
        <w:t>d humankind’s tendency to rely on implicit faith</w:t>
      </w:r>
      <w:r w:rsidR="00AC5B82">
        <w:t>.  Hen</w:t>
      </w:r>
      <w:r w:rsidR="00867220">
        <w:t>r</w:t>
      </w:r>
      <w:r w:rsidR="00AC5B82">
        <w:t xml:space="preserve">y Burton, for example, wrote: </w:t>
      </w:r>
    </w:p>
    <w:p w14:paraId="4958566C" w14:textId="0CEA242A" w:rsidR="00C66A3B" w:rsidRDefault="00AC5B82" w:rsidP="00350E7B">
      <w:pPr>
        <w:spacing w:line="480" w:lineRule="auto"/>
        <w:ind w:left="720" w:right="720"/>
      </w:pPr>
      <w:r w:rsidRPr="00867220">
        <w:t xml:space="preserve">Mans nature is too prone to idolize the power [of state religion]; making it supreme law and lord over conscience so…to ease themselves of their </w:t>
      </w:r>
      <w:proofErr w:type="spellStart"/>
      <w:r w:rsidRPr="00867220">
        <w:t>la</w:t>
      </w:r>
      <w:r w:rsidR="00BC6E85">
        <w:t>bour</w:t>
      </w:r>
      <w:proofErr w:type="spellEnd"/>
      <w:r w:rsidR="00BC6E85">
        <w:t xml:space="preserve"> to search into the Scriptu</w:t>
      </w:r>
      <w:r w:rsidRPr="00867220">
        <w:t>re</w:t>
      </w:r>
      <w:r w:rsidR="007F4D22">
        <w:t xml:space="preserve">, and so to come </w:t>
      </w:r>
      <w:r w:rsidR="00867220" w:rsidRPr="00867220">
        <w:t>t</w:t>
      </w:r>
      <w:r w:rsidR="007F4D22">
        <w:t>o</w:t>
      </w:r>
      <w:r w:rsidR="00867220" w:rsidRPr="00867220">
        <w:t xml:space="preserve"> know what they believe</w:t>
      </w:r>
      <w:r w:rsidR="00160244">
        <w:t xml:space="preserve"> [i.e., possess explicit faith]</w:t>
      </w:r>
      <w:r w:rsidR="00867220" w:rsidRPr="00867220">
        <w:t xml:space="preserve">; most men pinning their Religion upon the sleeve either of the Priest, as the Papists do; or also of the Magistrate, as our common protestants do, wrapping all up in an </w:t>
      </w:r>
      <w:proofErr w:type="spellStart"/>
      <w:r w:rsidR="00867220" w:rsidRPr="00867220">
        <w:t>imp</w:t>
      </w:r>
      <w:r w:rsidR="009B4325">
        <w:t>licite</w:t>
      </w:r>
      <w:proofErr w:type="spellEnd"/>
      <w:r w:rsidR="009B4325">
        <w:t xml:space="preserve"> faith</w:t>
      </w:r>
      <w:r w:rsidR="00867220" w:rsidRPr="00867220">
        <w:t>.</w:t>
      </w:r>
      <w:r w:rsidR="00867220" w:rsidRPr="00867220">
        <w:rPr>
          <w:rStyle w:val="FootnoteReference"/>
        </w:rPr>
        <w:footnoteReference w:id="14"/>
      </w:r>
    </w:p>
    <w:p w14:paraId="4F6BDE81" w14:textId="0D7A2911" w:rsidR="00C66A3B" w:rsidRDefault="00C66A3B" w:rsidP="00350E7B">
      <w:pPr>
        <w:spacing w:line="480" w:lineRule="auto"/>
      </w:pPr>
      <w:r>
        <w:lastRenderedPageBreak/>
        <w:t xml:space="preserve">With equal frustration in the people’s tendency to take </w:t>
      </w:r>
      <w:r w:rsidR="00BC6E85">
        <w:t xml:space="preserve">faith or </w:t>
      </w:r>
      <w:r>
        <w:t>belief on human authority, the radical John Saltmarsh wrote:</w:t>
      </w:r>
    </w:p>
    <w:p w14:paraId="73627562" w14:textId="2A6624C9" w:rsidR="00951E9D" w:rsidRPr="00C66A3B" w:rsidRDefault="00C66A3B" w:rsidP="00350E7B">
      <w:pPr>
        <w:spacing w:line="480" w:lineRule="auto"/>
        <w:ind w:left="720" w:right="720"/>
      </w:pPr>
      <w:r w:rsidRPr="00C66A3B">
        <w:t>There is a great danger of bringing people under a Popish implicit obedience [i.e., implicit faith]…And we know it by experience, that the people have been ever devoted to any thing the St</w:t>
      </w:r>
      <w:r w:rsidR="00650AE5">
        <w:t>ate sets up; all the disputes of</w:t>
      </w:r>
      <w:r w:rsidRPr="00C66A3B">
        <w:t xml:space="preserve"> conscience of the common people usually ending in this, Whether it be established by Law or no; and going usually no higher nor further then a State or Act of State for their religion.</w:t>
      </w:r>
      <w:r w:rsidRPr="00C66A3B">
        <w:rPr>
          <w:rStyle w:val="FootnoteReference"/>
        </w:rPr>
        <w:footnoteReference w:id="15"/>
      </w:r>
    </w:p>
    <w:p w14:paraId="25D00526" w14:textId="59B6078F" w:rsidR="00C70538" w:rsidRPr="00384438" w:rsidRDefault="00867220" w:rsidP="00350E7B">
      <w:pPr>
        <w:spacing w:line="480" w:lineRule="auto"/>
      </w:pPr>
      <w:r>
        <w:t>Protestants like Burton</w:t>
      </w:r>
      <w:r w:rsidR="00F016AE">
        <w:t xml:space="preserve"> </w:t>
      </w:r>
      <w:r w:rsidR="00C66A3B">
        <w:t>and Saltmarsh</w:t>
      </w:r>
      <w:r w:rsidR="007F4D22">
        <w:t xml:space="preserve"> </w:t>
      </w:r>
      <w:r w:rsidR="00F016AE">
        <w:t xml:space="preserve">urged </w:t>
      </w:r>
      <w:r w:rsidR="00C66A3B">
        <w:t>individuals</w:t>
      </w:r>
      <w:r w:rsidR="0078583F">
        <w:t xml:space="preserve"> to </w:t>
      </w:r>
      <w:r>
        <w:t xml:space="preserve">fight against their </w:t>
      </w:r>
      <w:r w:rsidR="00650AE5">
        <w:t xml:space="preserve">papist </w:t>
      </w:r>
      <w:r>
        <w:t xml:space="preserve">tendency to pin their faith </w:t>
      </w:r>
      <w:r w:rsidR="00BC6E85">
        <w:t xml:space="preserve">or belief </w:t>
      </w:r>
      <w:r>
        <w:t>on huma</w:t>
      </w:r>
      <w:r w:rsidR="00ED577C">
        <w:t xml:space="preserve">n authority. They </w:t>
      </w:r>
      <w:r w:rsidR="00BC6E85">
        <w:t>tried to liberate beliefs</w:t>
      </w:r>
      <w:r w:rsidR="00ED577C">
        <w:t xml:space="preserve"> (i.e. liberty of conscience) from external human authority when they </w:t>
      </w:r>
      <w:r w:rsidR="00C66A3B">
        <w:t>called on men, and sometimes women,</w:t>
      </w:r>
      <w:r>
        <w:t xml:space="preserve"> to</w:t>
      </w:r>
      <w:r w:rsidR="0078583F">
        <w:t xml:space="preserve"> “stand</w:t>
      </w:r>
      <w:r w:rsidR="007F4D22">
        <w:t xml:space="preserve"> on [the]</w:t>
      </w:r>
      <w:r w:rsidR="0078583F">
        <w:t xml:space="preserve"> basis of [their] own judgments” rather than</w:t>
      </w:r>
      <w:r>
        <w:t xml:space="preserve"> “</w:t>
      </w:r>
      <w:proofErr w:type="gramStart"/>
      <w:r>
        <w:t>lean[</w:t>
      </w:r>
      <w:proofErr w:type="gramEnd"/>
      <w:r>
        <w:t>]</w:t>
      </w:r>
      <w:r w:rsidR="00C70538" w:rsidRPr="00384438">
        <w:t xml:space="preserve">, with implicit faith, on others.” </w:t>
      </w:r>
      <w:r w:rsidR="004736CA">
        <w:rPr>
          <w:rStyle w:val="FootnoteReference"/>
        </w:rPr>
        <w:footnoteReference w:id="16"/>
      </w:r>
      <w:r w:rsidR="00C70538">
        <w:t xml:space="preserve"> </w:t>
      </w:r>
    </w:p>
    <w:p w14:paraId="516845CE" w14:textId="77777777" w:rsidR="00740CCA" w:rsidRDefault="00740CCA" w:rsidP="00350E7B">
      <w:pPr>
        <w:spacing w:line="480" w:lineRule="auto"/>
      </w:pPr>
    </w:p>
    <w:p w14:paraId="2417F1F1" w14:textId="2B9E0D89" w:rsidR="006744BE" w:rsidRPr="00303D90" w:rsidRDefault="00303D90" w:rsidP="00350E7B">
      <w:pPr>
        <w:spacing w:line="480" w:lineRule="auto"/>
        <w:rPr>
          <w:b/>
        </w:rPr>
      </w:pPr>
      <w:r>
        <w:rPr>
          <w:b/>
        </w:rPr>
        <w:t xml:space="preserve">The Obligations Embodied within </w:t>
      </w:r>
      <w:r w:rsidRPr="00303D90">
        <w:rPr>
          <w:b/>
        </w:rPr>
        <w:t>the Doctrine of Implicit Faith</w:t>
      </w:r>
    </w:p>
    <w:p w14:paraId="72DDF983" w14:textId="2FAF6A14" w:rsidR="006744BE" w:rsidRPr="006744BE" w:rsidRDefault="006744BE" w:rsidP="00350E7B">
      <w:pPr>
        <w:spacing w:line="480" w:lineRule="auto"/>
        <w:rPr>
          <w:b/>
          <w:i/>
        </w:rPr>
      </w:pPr>
      <w:r>
        <w:rPr>
          <w:b/>
          <w:i/>
        </w:rPr>
        <w:t>Obligations imposed upon private (internal) belief</w:t>
      </w:r>
      <w:r w:rsidR="00DC5B5D">
        <w:rPr>
          <w:b/>
          <w:i/>
        </w:rPr>
        <w:t>: believing in church doctrine</w:t>
      </w:r>
    </w:p>
    <w:p w14:paraId="6B225CD9" w14:textId="3A1F779C" w:rsidR="007A2EDF" w:rsidRDefault="00B557DD" w:rsidP="00350E7B">
      <w:pPr>
        <w:spacing w:line="480" w:lineRule="auto"/>
        <w:ind w:firstLine="720"/>
      </w:pPr>
      <w:r>
        <w:t>The doctrine</w:t>
      </w:r>
      <w:r w:rsidR="00523EEB">
        <w:t xml:space="preserve"> of implicit faith specified</w:t>
      </w:r>
      <w:r>
        <w:t xml:space="preserve"> </w:t>
      </w:r>
      <w:r w:rsidR="009F5E11">
        <w:t xml:space="preserve">a number of </w:t>
      </w:r>
      <w:r>
        <w:t>obligations. The first</w:t>
      </w:r>
      <w:r w:rsidR="009F5E11">
        <w:t xml:space="preserve"> </w:t>
      </w:r>
      <w:r w:rsidR="00774E1D">
        <w:t xml:space="preserve">attended to </w:t>
      </w:r>
      <w:r w:rsidR="00523EEB">
        <w:t>the proper relationship between the individual and</w:t>
      </w:r>
      <w:r w:rsidR="003471FA">
        <w:t xml:space="preserve"> th</w:t>
      </w:r>
      <w:r w:rsidR="00B04276">
        <w:t xml:space="preserve">e dictates </w:t>
      </w:r>
      <w:r w:rsidR="007F4D22">
        <w:t>issued by the</w:t>
      </w:r>
      <w:r w:rsidR="00523EEB">
        <w:t xml:space="preserve"> </w:t>
      </w:r>
      <w:r w:rsidR="007F4D22">
        <w:t>church</w:t>
      </w:r>
      <w:r w:rsidR="00523EEB">
        <w:t>. A</w:t>
      </w:r>
      <w:r w:rsidR="00B04276">
        <w:t xml:space="preserve">s noted above, many </w:t>
      </w:r>
      <w:r w:rsidR="00523EEB">
        <w:t>be</w:t>
      </w:r>
      <w:r w:rsidR="00886F25">
        <w:t>liev</w:t>
      </w:r>
      <w:r w:rsidR="007A2EDF">
        <w:t>ed the church’s doctrine. Many also</w:t>
      </w:r>
      <w:r w:rsidR="00EA2925">
        <w:t xml:space="preserve"> assumed that the</w:t>
      </w:r>
      <w:r w:rsidR="00523EEB">
        <w:t xml:space="preserve"> mere fact tha</w:t>
      </w:r>
      <w:r w:rsidR="0020332F">
        <w:t xml:space="preserve">t the church issued the doctrine </w:t>
      </w:r>
      <w:r w:rsidR="00523EEB">
        <w:t>was a necessary a</w:t>
      </w:r>
      <w:r w:rsidR="00886F25">
        <w:t xml:space="preserve">nd sufficient ground for </w:t>
      </w:r>
      <w:r w:rsidR="00EA2925">
        <w:t xml:space="preserve">their </w:t>
      </w:r>
      <w:r w:rsidR="00886F25">
        <w:t>belief.</w:t>
      </w:r>
      <w:r w:rsidR="007A2EDF">
        <w:t xml:space="preserve"> </w:t>
      </w:r>
      <w:r w:rsidR="00245717">
        <w:t xml:space="preserve">Proponents of implicit faith were also trying to </w:t>
      </w:r>
      <w:r w:rsidR="00245717">
        <w:lastRenderedPageBreak/>
        <w:t xml:space="preserve">persuade individuals to believe in church doctrine. </w:t>
      </w:r>
      <w:r w:rsidR="007A2EDF">
        <w:t xml:space="preserve">But did the doctrine of implicit faith </w:t>
      </w:r>
      <w:r w:rsidR="007A2EDF">
        <w:rPr>
          <w:i/>
        </w:rPr>
        <w:t xml:space="preserve">obligate </w:t>
      </w:r>
      <w:r w:rsidR="007A2EDF">
        <w:t>individuals</w:t>
      </w:r>
      <w:r w:rsidR="00523EEB" w:rsidRPr="00523EEB">
        <w:rPr>
          <w:i/>
        </w:rPr>
        <w:t xml:space="preserve"> </w:t>
      </w:r>
      <w:r w:rsidR="00523EEB">
        <w:t>to</w:t>
      </w:r>
      <w:r w:rsidR="00B92FC9">
        <w:t xml:space="preserve"> </w:t>
      </w:r>
      <w:r w:rsidR="00523EEB">
        <w:t xml:space="preserve">believe </w:t>
      </w:r>
      <w:r w:rsidR="00B92FC9">
        <w:t xml:space="preserve">in its </w:t>
      </w:r>
      <w:r w:rsidR="00523EEB">
        <w:t>doctrine</w:t>
      </w:r>
      <w:r w:rsidR="003471FA">
        <w:t>?</w:t>
      </w:r>
      <w:r>
        <w:t xml:space="preserve">  </w:t>
      </w:r>
      <w:r w:rsidR="007A2EDF">
        <w:t>T</w:t>
      </w:r>
      <w:r w:rsidR="00774E1D">
        <w:t>he short answer is “yes,</w:t>
      </w:r>
      <w:r w:rsidR="00234E99">
        <w:t>” but Englishmen</w:t>
      </w:r>
      <w:r w:rsidR="007A2EDF">
        <w:t xml:space="preserve"> who advanced the doctrine of </w:t>
      </w:r>
      <w:r w:rsidR="000468D4">
        <w:t>implici</w:t>
      </w:r>
      <w:r w:rsidR="007A2EDF">
        <w:t xml:space="preserve">t faith </w:t>
      </w:r>
      <w:r w:rsidR="000468D4" w:rsidRPr="000468D4">
        <w:rPr>
          <w:i/>
        </w:rPr>
        <w:t>stretched</w:t>
      </w:r>
      <w:r w:rsidR="000468D4">
        <w:t xml:space="preserve"> the meaning</w:t>
      </w:r>
      <w:r w:rsidR="00070FEE">
        <w:t>s they associated with</w:t>
      </w:r>
      <w:r w:rsidR="007A2EDF">
        <w:t xml:space="preserve"> </w:t>
      </w:r>
      <w:r w:rsidR="000468D4">
        <w:t>“be</w:t>
      </w:r>
      <w:r w:rsidR="00B92FC9">
        <w:t>lief”</w:t>
      </w:r>
      <w:r w:rsidR="0020332F">
        <w:t xml:space="preserve"> </w:t>
      </w:r>
      <w:r w:rsidR="00BC6E85">
        <w:t xml:space="preserve">and “faith” </w:t>
      </w:r>
      <w:r w:rsidR="0020332F">
        <w:t>considerably.</w:t>
      </w:r>
      <w:r w:rsidR="00234E99">
        <w:t xml:space="preserve"> </w:t>
      </w:r>
    </w:p>
    <w:p w14:paraId="32B2B436" w14:textId="4E7785C1" w:rsidR="00B92FC9" w:rsidRDefault="0020332F" w:rsidP="00350E7B">
      <w:pPr>
        <w:spacing w:line="480" w:lineRule="auto"/>
        <w:ind w:firstLine="720"/>
      </w:pPr>
      <w:r>
        <w:t>There were s</w:t>
      </w:r>
      <w:r w:rsidR="00B92FC9">
        <w:t>ome</w:t>
      </w:r>
      <w:r w:rsidR="00234E99">
        <w:t xml:space="preserve"> </w:t>
      </w:r>
      <w:r>
        <w:t xml:space="preserve">who </w:t>
      </w:r>
      <w:r w:rsidR="00234E99">
        <w:t>asserted</w:t>
      </w:r>
      <w:r w:rsidR="00B92FC9">
        <w:t xml:space="preserve"> that the obligation </w:t>
      </w:r>
      <w:r w:rsidR="00BC6E85">
        <w:t xml:space="preserve">to believe (i.e. have faith or trust) </w:t>
      </w:r>
      <w:r w:rsidR="00B92FC9">
        <w:t>tied</w:t>
      </w:r>
      <w:r w:rsidR="00774E1D">
        <w:t xml:space="preserve"> individuals</w:t>
      </w:r>
      <w:r w:rsidR="00E34804">
        <w:t xml:space="preserve"> to grant</w:t>
      </w:r>
      <w:r w:rsidR="009F5E11">
        <w:t xml:space="preserve"> that </w:t>
      </w:r>
      <w:r w:rsidR="00F17673">
        <w:t xml:space="preserve">the </w:t>
      </w:r>
      <w:r w:rsidR="007A2EDF">
        <w:t>church</w:t>
      </w:r>
      <w:r w:rsidR="00F17673">
        <w:t>’s</w:t>
      </w:r>
      <w:r w:rsidR="007A2EDF">
        <w:t xml:space="preserve"> </w:t>
      </w:r>
      <w:r w:rsidR="00774E1D">
        <w:t xml:space="preserve">doctrine </w:t>
      </w:r>
      <w:r w:rsidR="009F5E11">
        <w:t xml:space="preserve">was </w:t>
      </w:r>
      <w:r w:rsidR="007A2EDF">
        <w:t>true and right</w:t>
      </w:r>
      <w:r w:rsidR="009F5E11">
        <w:t xml:space="preserve">. This was because </w:t>
      </w:r>
      <w:r w:rsidR="00B43C86">
        <w:t>the church was</w:t>
      </w:r>
      <w:r w:rsidR="007F1F91">
        <w:t xml:space="preserve"> infallible. </w:t>
      </w:r>
      <w:r w:rsidR="00B92FC9">
        <w:t>Let me offer some evidence to support this point. Consider first the w</w:t>
      </w:r>
      <w:r>
        <w:t>ords of Catholic Thomas Vane. He</w:t>
      </w:r>
      <w:r w:rsidR="00B92FC9">
        <w:t xml:space="preserve"> wrote that Christians “may and must (though it go against the grain of their private judgment) submit themselves by an implicit faith to the Church….and so belie</w:t>
      </w:r>
      <w:r w:rsidR="000E2F5B">
        <w:t xml:space="preserve">ving what she </w:t>
      </w:r>
      <w:proofErr w:type="spellStart"/>
      <w:r w:rsidR="000E2F5B">
        <w:t>saith</w:t>
      </w:r>
      <w:proofErr w:type="spellEnd"/>
      <w:r w:rsidR="000E2F5B">
        <w:t xml:space="preserve"> to be true.</w:t>
      </w:r>
      <w:r w:rsidR="00B92FC9" w:rsidRPr="006C432B">
        <w:t>”</w:t>
      </w:r>
      <w:r w:rsidR="00B92FC9" w:rsidRPr="006C432B">
        <w:rPr>
          <w:rStyle w:val="FootnoteReference"/>
        </w:rPr>
        <w:footnoteReference w:id="17"/>
      </w:r>
      <w:r w:rsidR="00B92FC9">
        <w:t xml:space="preserve"> </w:t>
      </w:r>
      <w:r w:rsidR="000E2F5B">
        <w:t xml:space="preserve">Likewise, the </w:t>
      </w:r>
      <w:r w:rsidR="00B92FC9">
        <w:t xml:space="preserve">Independent Katherine </w:t>
      </w:r>
      <w:proofErr w:type="spellStart"/>
      <w:r w:rsidR="00B92FC9">
        <w:t>Chidley</w:t>
      </w:r>
      <w:r w:rsidR="000E2F5B">
        <w:t>’s</w:t>
      </w:r>
      <w:proofErr w:type="spellEnd"/>
      <w:r w:rsidR="000E2F5B">
        <w:t xml:space="preserve"> said,</w:t>
      </w:r>
      <w:r w:rsidR="00B92FC9">
        <w:t xml:space="preserve"> “Rome…would have all men, to content themselves, with an implicit faith; a</w:t>
      </w:r>
      <w:r w:rsidR="00DC5CB4">
        <w:t>nd to take for granted</w:t>
      </w:r>
      <w:r w:rsidR="00B92FC9">
        <w:t>, what governme</w:t>
      </w:r>
      <w:r w:rsidR="000E2F5B">
        <w:t xml:space="preserve">nt [the church’s] Laws </w:t>
      </w:r>
      <w:proofErr w:type="spellStart"/>
      <w:r w:rsidR="000E2F5B">
        <w:t>alloweth</w:t>
      </w:r>
      <w:proofErr w:type="spellEnd"/>
      <w:r w:rsidR="000E2F5B">
        <w:t>.</w:t>
      </w:r>
      <w:r w:rsidR="00B92FC9">
        <w:t>”</w:t>
      </w:r>
      <w:r w:rsidR="00B92FC9">
        <w:rPr>
          <w:rStyle w:val="FootnoteReference"/>
        </w:rPr>
        <w:footnoteReference w:id="18"/>
      </w:r>
      <w:r w:rsidR="000E2F5B">
        <w:t xml:space="preserve"> The Bapt</w:t>
      </w:r>
      <w:r>
        <w:t xml:space="preserve">ist Samuel Richardson asserted </w:t>
      </w:r>
      <w:r w:rsidR="000E2F5B">
        <w:t>that</w:t>
      </w:r>
      <w:r w:rsidR="00B92FC9">
        <w:t xml:space="preserve"> implicit faith “would have all men believe…as their Churches believe…t</w:t>
      </w:r>
      <w:r w:rsidR="000E2F5B">
        <w:t>hough it be never so groundless.</w:t>
      </w:r>
      <w:r w:rsidR="00B92FC9">
        <w:t>”</w:t>
      </w:r>
      <w:r w:rsidR="00B92FC9">
        <w:rPr>
          <w:rStyle w:val="FootnoteReference"/>
        </w:rPr>
        <w:footnoteReference w:id="19"/>
      </w:r>
      <w:r w:rsidR="000E2F5B">
        <w:t xml:space="preserve"> The </w:t>
      </w:r>
      <w:r w:rsidR="00B92FC9">
        <w:t>Sco</w:t>
      </w:r>
      <w:r w:rsidR="000E2F5B">
        <w:t>ttish Baron Alexander Forbes wrote,</w:t>
      </w:r>
      <w:r w:rsidR="00B92FC9">
        <w:t xml:space="preserve"> </w:t>
      </w:r>
      <w:r w:rsidR="00B92FC9" w:rsidRPr="008547E5">
        <w:t xml:space="preserve">“For implicit faith…they are bound to believe, because their Priests and </w:t>
      </w:r>
      <w:r>
        <w:t>prime commanders do inform them.</w:t>
      </w:r>
      <w:r w:rsidR="00B92FC9" w:rsidRPr="008547E5">
        <w:t>”</w:t>
      </w:r>
      <w:r w:rsidR="00B92FC9">
        <w:rPr>
          <w:rStyle w:val="FootnoteReference"/>
        </w:rPr>
        <w:footnoteReference w:id="20"/>
      </w:r>
      <w:r w:rsidR="000E2F5B">
        <w:t xml:space="preserve"> Finally, </w:t>
      </w:r>
      <w:r w:rsidR="00B92FC9">
        <w:t>Scottish Presby</w:t>
      </w:r>
      <w:r w:rsidR="000E2F5B">
        <w:t>terian Samuel Rutherford’s explained:</w:t>
      </w:r>
      <w:r w:rsidR="00B92FC9">
        <w:t xml:space="preserve">  </w:t>
      </w:r>
    </w:p>
    <w:p w14:paraId="0CB84653" w14:textId="77777777" w:rsidR="00B92FC9" w:rsidRDefault="00B92FC9" w:rsidP="00350E7B">
      <w:pPr>
        <w:spacing w:line="480" w:lineRule="auto"/>
        <w:ind w:left="720"/>
      </w:pPr>
      <w:r>
        <w:lastRenderedPageBreak/>
        <w:t>[To] o</w:t>
      </w:r>
      <w:r w:rsidRPr="00C14285">
        <w:t>bey the decre</w:t>
      </w:r>
      <w:r>
        <w:t>es of the Church with a blind f</w:t>
      </w:r>
      <w:r w:rsidRPr="00C14285">
        <w:t>a</w:t>
      </w:r>
      <w:r>
        <w:t>i</w:t>
      </w:r>
      <w:r w:rsidRPr="00C14285">
        <w:t>th</w:t>
      </w:r>
      <w:r>
        <w:t xml:space="preserve"> [i.e., implicit faith]</w:t>
      </w:r>
      <w:r w:rsidRPr="00C14285">
        <w:t>, without inquiring in the warrants and</w:t>
      </w:r>
      <w:r>
        <w:t xml:space="preserve"> grounds of their decrees…</w:t>
      </w:r>
      <w:r w:rsidRPr="00C14285">
        <w:t>is goo</w:t>
      </w:r>
      <w:r>
        <w:t>d Popery, as Magistrates and al</w:t>
      </w:r>
      <w:r w:rsidRPr="00C14285">
        <w:t>l</w:t>
      </w:r>
      <w:r>
        <w:t xml:space="preserve"> </w:t>
      </w:r>
      <w:r w:rsidRPr="00C14285">
        <w:t>men are to believ</w:t>
      </w:r>
      <w:r>
        <w:t>e</w:t>
      </w:r>
      <w:r w:rsidRPr="00C14285">
        <w:t xml:space="preserve"> as the Church </w:t>
      </w:r>
      <w:proofErr w:type="spellStart"/>
      <w:r w:rsidRPr="00C14285">
        <w:t>beleeveth</w:t>
      </w:r>
      <w:proofErr w:type="spellEnd"/>
      <w:r w:rsidRPr="00C14285">
        <w:t xml:space="preserve"> with an </w:t>
      </w:r>
      <w:proofErr w:type="spellStart"/>
      <w:r w:rsidRPr="00C14285">
        <w:t>impl</w:t>
      </w:r>
      <w:r>
        <w:t>icite</w:t>
      </w:r>
      <w:proofErr w:type="spellEnd"/>
      <w:r>
        <w:t xml:space="preserve"> faith.</w:t>
      </w:r>
      <w:r>
        <w:rPr>
          <w:rStyle w:val="FootnoteReference"/>
        </w:rPr>
        <w:footnoteReference w:id="21"/>
      </w:r>
    </w:p>
    <w:p w14:paraId="146E954D" w14:textId="487C5C8F" w:rsidR="00B92FC9" w:rsidRDefault="000E2F5B" w:rsidP="00350E7B">
      <w:pPr>
        <w:spacing w:line="480" w:lineRule="auto"/>
      </w:pPr>
      <w:r>
        <w:t>Al</w:t>
      </w:r>
      <w:r w:rsidR="00790EB7">
        <w:t>l of the quotations above demonstrate</w:t>
      </w:r>
      <w:r>
        <w:t xml:space="preserve"> that</w:t>
      </w:r>
      <w:r w:rsidR="00B92FC9">
        <w:t xml:space="preserve"> the doctrine of implicit faith obligated Christians to believe </w:t>
      </w:r>
      <w:r w:rsidR="00B92FC9" w:rsidRPr="00774E1D">
        <w:rPr>
          <w:i/>
        </w:rPr>
        <w:t xml:space="preserve">in </w:t>
      </w:r>
      <w:r w:rsidR="00B92FC9">
        <w:t xml:space="preserve">Church doctrine </w:t>
      </w:r>
      <w:r w:rsidR="0020332F">
        <w:t xml:space="preserve">just </w:t>
      </w:r>
      <w:r w:rsidR="00B92FC9">
        <w:t xml:space="preserve">because </w:t>
      </w:r>
      <w:r>
        <w:rPr>
          <w:i/>
        </w:rPr>
        <w:t>it wa</w:t>
      </w:r>
      <w:r w:rsidR="00B92FC9" w:rsidRPr="0020761B">
        <w:rPr>
          <w:i/>
        </w:rPr>
        <w:t>s</w:t>
      </w:r>
      <w:r w:rsidR="00B92FC9">
        <w:t xml:space="preserve"> church doctrine.</w:t>
      </w:r>
      <w:r w:rsidR="00790EB7">
        <w:t xml:space="preserve"> </w:t>
      </w:r>
    </w:p>
    <w:p w14:paraId="1C77A708" w14:textId="0B6501DC" w:rsidR="003C292B" w:rsidRDefault="0020332F" w:rsidP="00350E7B">
      <w:pPr>
        <w:spacing w:line="480" w:lineRule="auto"/>
        <w:ind w:firstLine="720"/>
      </w:pPr>
      <w:r>
        <w:t xml:space="preserve">Protestants </w:t>
      </w:r>
      <w:r w:rsidR="00A36E4A">
        <w:t xml:space="preserve">who rejected </w:t>
      </w:r>
      <w:r w:rsidR="0020761B">
        <w:t xml:space="preserve">implicit </w:t>
      </w:r>
      <w:r w:rsidR="00A36E4A">
        <w:t>fa</w:t>
      </w:r>
      <w:r w:rsidR="00790EB7">
        <w:t xml:space="preserve">ith urged Englishmen to liberate themselves from </w:t>
      </w:r>
      <w:r w:rsidR="00A36E4A">
        <w:t>th</w:t>
      </w:r>
      <w:r w:rsidR="00B92FC9">
        <w:t xml:space="preserve">is </w:t>
      </w:r>
      <w:r w:rsidR="00790EB7">
        <w:t xml:space="preserve">arbitrary </w:t>
      </w:r>
      <w:r w:rsidR="00B92FC9">
        <w:t>obligation</w:t>
      </w:r>
      <w:r>
        <w:t>. They maintained that h</w:t>
      </w:r>
      <w:r w:rsidR="00B92FC9">
        <w:t>uman authorities should not</w:t>
      </w:r>
      <w:r w:rsidR="00A36E4A">
        <w:t xml:space="preserve"> be “ra</w:t>
      </w:r>
      <w:r w:rsidR="00774E1D">
        <w:t>ised” to such “</w:t>
      </w:r>
      <w:r w:rsidR="00B92FC9">
        <w:t>excesses of credit” (i.e.,</w:t>
      </w:r>
      <w:r w:rsidR="00A36E4A">
        <w:t xml:space="preserve"> trust</w:t>
      </w:r>
      <w:r w:rsidR="00B92FC9">
        <w:t>)</w:t>
      </w:r>
      <w:r w:rsidR="00A36E4A">
        <w:t>.</w:t>
      </w:r>
      <w:r w:rsidR="00A36E4A">
        <w:rPr>
          <w:rStyle w:val="FootnoteReference"/>
        </w:rPr>
        <w:footnoteReference w:id="22"/>
      </w:r>
      <w:r w:rsidR="00A36E4A">
        <w:t xml:space="preserve"> </w:t>
      </w:r>
      <w:r w:rsidR="000E2F5B">
        <w:t>To “stand</w:t>
      </w:r>
      <w:r w:rsidR="00FD4DF2">
        <w:t xml:space="preserve"> in awe” of aut</w:t>
      </w:r>
      <w:r w:rsidR="00790EB7">
        <w:t xml:space="preserve">hority </w:t>
      </w:r>
      <w:r w:rsidR="00FD4DF2">
        <w:t>amounted to idolatry.</w:t>
      </w:r>
      <w:r w:rsidR="00FD4DF2">
        <w:rPr>
          <w:rStyle w:val="FootnoteReference"/>
        </w:rPr>
        <w:footnoteReference w:id="23"/>
      </w:r>
      <w:r w:rsidR="00B92FC9">
        <w:t xml:space="preserve"> </w:t>
      </w:r>
      <w:r w:rsidR="000E2F5B">
        <w:t>Those</w:t>
      </w:r>
      <w:r w:rsidR="0010453D">
        <w:t xml:space="preserve"> </w:t>
      </w:r>
      <w:r w:rsidR="00F17673">
        <w:t xml:space="preserve">who </w:t>
      </w:r>
      <w:r w:rsidR="00F2011F">
        <w:t>“pitted</w:t>
      </w:r>
      <w:r w:rsidR="0010453D">
        <w:t xml:space="preserve"> their faith on [th</w:t>
      </w:r>
      <w:r w:rsidR="000E2F5B">
        <w:t>eir] leaders sleeves</w:t>
      </w:r>
      <w:r w:rsidR="0010453D">
        <w:t>”</w:t>
      </w:r>
      <w:r w:rsidR="00B92FC9">
        <w:t xml:space="preserve"> </w:t>
      </w:r>
      <w:r>
        <w:t>were chastised</w:t>
      </w:r>
      <w:r w:rsidR="00542213">
        <w:t xml:space="preserve">. They were criticized for </w:t>
      </w:r>
      <w:r w:rsidR="000E2F5B">
        <w:t>“giving</w:t>
      </w:r>
      <w:r w:rsidR="0010453D">
        <w:t xml:space="preserve"> ear” to </w:t>
      </w:r>
      <w:r w:rsidR="003C292B">
        <w:t xml:space="preserve">external human </w:t>
      </w:r>
      <w:r w:rsidR="0010453D">
        <w:t>authorit</w:t>
      </w:r>
      <w:r w:rsidR="004B59E3">
        <w:t>ies</w:t>
      </w:r>
      <w:r w:rsidR="003C292B">
        <w:t xml:space="preserve"> because “giving ear” amounted to entrusting</w:t>
      </w:r>
      <w:r w:rsidR="000E2F5B">
        <w:t xml:space="preserve"> one’s </w:t>
      </w:r>
      <w:r w:rsidR="00B92FC9">
        <w:t xml:space="preserve">faith to them, as </w:t>
      </w:r>
      <w:r w:rsidR="00FD4DF2">
        <w:t xml:space="preserve">faith </w:t>
      </w:r>
      <w:r w:rsidR="00F2011F">
        <w:t xml:space="preserve">(according to </w:t>
      </w:r>
      <w:r w:rsidR="003C292B">
        <w:t xml:space="preserve">St. </w:t>
      </w:r>
      <w:r w:rsidR="00F2011F">
        <w:t>Paul) came</w:t>
      </w:r>
      <w:r w:rsidR="0010453D">
        <w:t xml:space="preserve"> b</w:t>
      </w:r>
      <w:r w:rsidR="00F2011F">
        <w:t xml:space="preserve">y hearing. </w:t>
      </w:r>
    </w:p>
    <w:p w14:paraId="7202EF27" w14:textId="7412BD79" w:rsidR="00245717" w:rsidRDefault="00BC6E85" w:rsidP="00350E7B">
      <w:pPr>
        <w:spacing w:line="480" w:lineRule="auto"/>
        <w:ind w:firstLine="720"/>
      </w:pPr>
      <w:r>
        <w:t xml:space="preserve">Many passages in </w:t>
      </w:r>
      <w:r>
        <w:rPr>
          <w:i/>
        </w:rPr>
        <w:t xml:space="preserve">Leviathan </w:t>
      </w:r>
      <w:r>
        <w:t xml:space="preserve">demonstrate that </w:t>
      </w:r>
      <w:r w:rsidR="008F0B19">
        <w:t>Hobbes does not subscribe to this interpretation of what follows from the doctrine im</w:t>
      </w:r>
      <w:r w:rsidR="00BF6A43">
        <w:t>plicit faith. He writes</w:t>
      </w:r>
      <w:r w:rsidR="008F0B19">
        <w:t xml:space="preserve"> that </w:t>
      </w:r>
      <w:r w:rsidR="006717DA">
        <w:t>“a private man has always the libe</w:t>
      </w:r>
      <w:r>
        <w:t xml:space="preserve">rty (because thought is free) </w:t>
      </w:r>
      <w:r w:rsidR="006717DA">
        <w:t>to believe, or not believe in his heart, those acts that have been [declared]” by the sovereign.</w:t>
      </w:r>
      <w:r w:rsidR="006717DA">
        <w:rPr>
          <w:rStyle w:val="FootnoteReference"/>
        </w:rPr>
        <w:footnoteReference w:id="24"/>
      </w:r>
      <w:r w:rsidR="006717DA">
        <w:t xml:space="preserve"> </w:t>
      </w:r>
      <w:r w:rsidR="00BF6A43">
        <w:t xml:space="preserve">He also urges the sovereign not to “extend the power of the law….to the very thoughts of </w:t>
      </w:r>
      <w:r w:rsidR="00BF6A43">
        <w:lastRenderedPageBreak/>
        <w:t>men….by examination and inquisition of what they hold [as true].”</w:t>
      </w:r>
      <w:r w:rsidR="00BF6A43">
        <w:rPr>
          <w:rStyle w:val="FootnoteReference"/>
        </w:rPr>
        <w:footnoteReference w:id="25"/>
      </w:r>
      <w:r w:rsidR="00BF6A43">
        <w:t xml:space="preserve">  </w:t>
      </w:r>
      <w:r w:rsidR="00245717">
        <w:t xml:space="preserve">At first blush, this passage </w:t>
      </w:r>
      <w:r w:rsidR="00BF6A43">
        <w:t>appears to suggest</w:t>
      </w:r>
      <w:r w:rsidR="00245717">
        <w:t xml:space="preserve"> that Hobbes </w:t>
      </w:r>
      <w:r w:rsidR="005370C6">
        <w:t xml:space="preserve">defends religious liberty because he </w:t>
      </w:r>
      <w:r w:rsidR="00245717">
        <w:t>does not</w:t>
      </w:r>
      <w:r w:rsidR="00BF6A43">
        <w:t xml:space="preserve"> </w:t>
      </w:r>
      <w:r w:rsidR="00245717">
        <w:t>obligat</w:t>
      </w:r>
      <w:r w:rsidR="00BF6A43">
        <w:t xml:space="preserve">e </w:t>
      </w:r>
      <w:r w:rsidR="00245717">
        <w:t xml:space="preserve">individuals to believe in the testaments issued by the civil sovereign.  </w:t>
      </w:r>
      <w:r>
        <w:t xml:space="preserve">But notice the way Hobbes qualifies </w:t>
      </w:r>
      <w:r w:rsidR="001E6DCD">
        <w:t>his statement here. He says that</w:t>
      </w:r>
      <w:r>
        <w:t xml:space="preserve"> beliefs grounded in thought are free</w:t>
      </w:r>
      <w:r w:rsidR="00BF6A43">
        <w:t xml:space="preserve"> and he explains that the sovereign should not impose commands upon thoughts</w:t>
      </w:r>
      <w:r w:rsidR="00245717">
        <w:t xml:space="preserve">. </w:t>
      </w:r>
      <w:r w:rsidR="00DC5B5D">
        <w:t xml:space="preserve">I will return to Hobbes’s account of free thought </w:t>
      </w:r>
      <w:r w:rsidR="00727193">
        <w:t xml:space="preserve">and its relationship to belief </w:t>
      </w:r>
      <w:r w:rsidR="00DC5B5D">
        <w:t>later in the pa</w:t>
      </w:r>
      <w:r w:rsidR="00245717">
        <w:t>per. Here I only want to point out</w:t>
      </w:r>
      <w:r w:rsidR="00DC5B5D">
        <w:t xml:space="preserve"> that this statement leaves open the possib</w:t>
      </w:r>
      <w:r w:rsidR="00BF6A43">
        <w:t>ilit</w:t>
      </w:r>
      <w:r w:rsidR="001E6DCD">
        <w:t>y that thoughtless beliefs exist, and H</w:t>
      </w:r>
      <w:r w:rsidR="005370C6">
        <w:t>obbes expl</w:t>
      </w:r>
      <w:r w:rsidR="001E6DCD">
        <w:t xml:space="preserve">icitly affirms that they do </w:t>
      </w:r>
      <w:r w:rsidR="005370C6">
        <w:t>when he asserts that “believing and knowing” are not “one.”</w:t>
      </w:r>
      <w:r w:rsidR="005370C6">
        <w:rPr>
          <w:rStyle w:val="FootnoteReference"/>
        </w:rPr>
        <w:footnoteReference w:id="26"/>
      </w:r>
      <w:r w:rsidR="005370C6">
        <w:t xml:space="preserve"> This</w:t>
      </w:r>
      <w:r w:rsidR="001E6DCD">
        <w:t>, in turn,</w:t>
      </w:r>
      <w:r w:rsidR="005370C6">
        <w:t xml:space="preserve"> opens up the possibility that the sovereign who has no authority over thought may retain some kind of authority over thoughtless belief(s).</w:t>
      </w:r>
      <w:r w:rsidR="00BF6A43">
        <w:t xml:space="preserve">  </w:t>
      </w:r>
    </w:p>
    <w:p w14:paraId="31522DB9" w14:textId="77777777" w:rsidR="00350E7B" w:rsidRDefault="00350E7B" w:rsidP="00350E7B">
      <w:pPr>
        <w:spacing w:line="480" w:lineRule="auto"/>
      </w:pPr>
    </w:p>
    <w:p w14:paraId="635785A8" w14:textId="0908CAA1" w:rsidR="00DC5B5D" w:rsidRPr="00350E7B" w:rsidRDefault="00DC5B5D" w:rsidP="00350E7B">
      <w:pPr>
        <w:spacing w:line="480" w:lineRule="auto"/>
      </w:pPr>
      <w:r>
        <w:rPr>
          <w:b/>
          <w:i/>
        </w:rPr>
        <w:t>Obligations imposed upon private (internal) belief: endeavoring to believe in church doctrine</w:t>
      </w:r>
    </w:p>
    <w:p w14:paraId="5932771D" w14:textId="4755E45A" w:rsidR="006717DA" w:rsidRDefault="00DC5B5D" w:rsidP="00350E7B">
      <w:pPr>
        <w:spacing w:line="480" w:lineRule="auto"/>
        <w:ind w:firstLine="720"/>
      </w:pPr>
      <w:r>
        <w:t>N</w:t>
      </w:r>
      <w:r w:rsidR="0020332F">
        <w:t>ot</w:t>
      </w:r>
      <w:r w:rsidR="002C05E2">
        <w:t xml:space="preserve"> all Englishmen construed the doctrine</w:t>
      </w:r>
      <w:r w:rsidR="00FA73B1">
        <w:t xml:space="preserve"> of implicit faith as obliging</w:t>
      </w:r>
      <w:r w:rsidR="007F1F91">
        <w:t xml:space="preserve"> individuals to</w:t>
      </w:r>
      <w:r w:rsidR="00FA73B1">
        <w:t xml:space="preserve"> inwardly believe </w:t>
      </w:r>
      <w:r w:rsidR="0020761B">
        <w:t xml:space="preserve">in </w:t>
      </w:r>
      <w:r w:rsidR="002C05E2">
        <w:t>the verity and goodness of church doctrine</w:t>
      </w:r>
      <w:r w:rsidR="0020761B">
        <w:t xml:space="preserve">. </w:t>
      </w:r>
    </w:p>
    <w:p w14:paraId="20BFAF73" w14:textId="3D5C0361" w:rsidR="00FA73B1" w:rsidRDefault="00650AE5" w:rsidP="00350E7B">
      <w:pPr>
        <w:spacing w:line="480" w:lineRule="auto"/>
      </w:pPr>
      <w:r>
        <w:t>Some</w:t>
      </w:r>
      <w:r w:rsidR="00F17673">
        <w:t xml:space="preserve"> maintained that </w:t>
      </w:r>
      <w:r w:rsidR="00790EB7">
        <w:t>the doctrine</w:t>
      </w:r>
      <w:r w:rsidR="00D67DF1">
        <w:t xml:space="preserve"> only pl</w:t>
      </w:r>
      <w:r w:rsidR="00DC5B5D">
        <w:t>aced an obligation upon an individual’s inclinations</w:t>
      </w:r>
      <w:r w:rsidR="005370C6">
        <w:t>, or upon the will (as the action-initiating inclination).</w:t>
      </w:r>
      <w:r w:rsidR="00D67DF1">
        <w:t xml:space="preserve"> Here, </w:t>
      </w:r>
      <w:r w:rsidR="00F17673">
        <w:t>all that was required was</w:t>
      </w:r>
      <w:r w:rsidR="00FA73B1">
        <w:t xml:space="preserve"> </w:t>
      </w:r>
      <w:r w:rsidR="002C05E2">
        <w:t>“</w:t>
      </w:r>
      <w:r w:rsidR="007F1F91">
        <w:t xml:space="preserve">to </w:t>
      </w:r>
      <w:r w:rsidR="002C05E2">
        <w:t>endeavor,” or “be disposed</w:t>
      </w:r>
      <w:r w:rsidR="0020332F">
        <w:t>,</w:t>
      </w:r>
      <w:r w:rsidR="002C05E2">
        <w:t>”</w:t>
      </w:r>
      <w:r w:rsidR="00FA73B1">
        <w:t xml:space="preserve"> </w:t>
      </w:r>
      <w:r w:rsidR="002C05E2">
        <w:t>or “prepa</w:t>
      </w:r>
      <w:r w:rsidR="00774E1D">
        <w:t xml:space="preserve">red” or “resolved” to </w:t>
      </w:r>
      <w:r w:rsidR="002C05E2">
        <w:t xml:space="preserve">believe </w:t>
      </w:r>
      <w:r w:rsidR="00FA73B1">
        <w:t xml:space="preserve">in </w:t>
      </w:r>
      <w:r w:rsidR="002C05E2">
        <w:t xml:space="preserve">church </w:t>
      </w:r>
      <w:r w:rsidR="000E2F5B">
        <w:t xml:space="preserve">doctrine. </w:t>
      </w:r>
      <w:r w:rsidR="002C05E2">
        <w:t>As in the</w:t>
      </w:r>
      <w:r w:rsidR="00652633">
        <w:t xml:space="preserve"> previous case, this </w:t>
      </w:r>
      <w:r w:rsidR="005370C6">
        <w:t xml:space="preserve">requirement </w:t>
      </w:r>
      <w:r w:rsidR="002C05E2">
        <w:t xml:space="preserve">imposed an internal obligation upon the individual, but the burden of obligation was not as robust because it </w:t>
      </w:r>
      <w:r w:rsidR="000E2F5B">
        <w:t>did not command sincere belief in church doctrine.</w:t>
      </w:r>
      <w:r w:rsidR="002C05E2">
        <w:t xml:space="preserve"> </w:t>
      </w:r>
    </w:p>
    <w:p w14:paraId="46F94B45" w14:textId="38B3DCDB" w:rsidR="00EA2925" w:rsidRDefault="007F1F91" w:rsidP="00350E7B">
      <w:pPr>
        <w:spacing w:line="480" w:lineRule="auto"/>
        <w:ind w:firstLine="720"/>
      </w:pPr>
      <w:r>
        <w:lastRenderedPageBreak/>
        <w:t xml:space="preserve">Let me offer some representative articulations of this </w:t>
      </w:r>
      <w:r w:rsidR="00FA73B1">
        <w:t xml:space="preserve">alternative </w:t>
      </w:r>
      <w:r>
        <w:t>pos</w:t>
      </w:r>
      <w:r w:rsidR="000E2F5B">
        <w:t>ition. Consider the writings of</w:t>
      </w:r>
      <w:r>
        <w:t xml:space="preserve"> Philip </w:t>
      </w:r>
      <w:proofErr w:type="spellStart"/>
      <w:r>
        <w:t>Scot.</w:t>
      </w:r>
      <w:proofErr w:type="spellEnd"/>
      <w:r w:rsidR="00FA73B1">
        <w:t xml:space="preserve"> Not much is known about Scot, but he is worth quoting because he references Thomas H</w:t>
      </w:r>
      <w:r w:rsidR="000E2F5B">
        <w:t xml:space="preserve">obbes explicitly. </w:t>
      </w:r>
      <w:r w:rsidR="00FA73B1" w:rsidRPr="00FA73B1">
        <w:t xml:space="preserve">“He[Hobbes] esteemed not Christians bound to believe...He </w:t>
      </w:r>
      <w:proofErr w:type="spellStart"/>
      <w:r w:rsidR="00FA73B1" w:rsidRPr="00FA73B1">
        <w:t>saith</w:t>
      </w:r>
      <w:proofErr w:type="spellEnd"/>
      <w:r w:rsidR="00FA73B1" w:rsidRPr="00FA73B1">
        <w:t xml:space="preserve"> </w:t>
      </w:r>
      <w:proofErr w:type="spellStart"/>
      <w:r w:rsidR="00FA73B1" w:rsidRPr="00FA73B1">
        <w:t>ch</w:t>
      </w:r>
      <w:proofErr w:type="spellEnd"/>
      <w:r w:rsidR="00FA73B1" w:rsidRPr="00FA73B1">
        <w:t xml:space="preserve"> 18 n 14 that it is enough if one endeavor to believe them, though he doth not.”</w:t>
      </w:r>
      <w:r w:rsidR="00FA73B1" w:rsidRPr="00FA73B1">
        <w:rPr>
          <w:rStyle w:val="FootnoteReference"/>
        </w:rPr>
        <w:footnoteReference w:id="27"/>
      </w:r>
      <w:r w:rsidR="000E2F5B">
        <w:t xml:space="preserve">  This</w:t>
      </w:r>
      <w:r w:rsidR="00FA73B1">
        <w:t xml:space="preserve"> formulation of the </w:t>
      </w:r>
      <w:r w:rsidR="000E2F5B">
        <w:t xml:space="preserve">“belief obligation” is not unique to Hobbes. </w:t>
      </w:r>
      <w:r w:rsidR="00FA73B1">
        <w:t>Presbyterian S</w:t>
      </w:r>
      <w:r w:rsidR="000E2F5B">
        <w:t>amuel Rutherford shared it and referenced</w:t>
      </w:r>
      <w:r w:rsidR="00FA73B1">
        <w:t xml:space="preserve"> </w:t>
      </w:r>
      <w:proofErr w:type="spellStart"/>
      <w:r w:rsidR="00FA73B1">
        <w:t>Estius</w:t>
      </w:r>
      <w:proofErr w:type="spellEnd"/>
      <w:r w:rsidR="00FA73B1">
        <w:t xml:space="preserve"> and Sua</w:t>
      </w:r>
      <w:r w:rsidR="00797BF3">
        <w:t>rez for support</w:t>
      </w:r>
      <w:r w:rsidR="00790EB7">
        <w:t xml:space="preserve">: </w:t>
      </w:r>
      <w:r w:rsidR="00F17673">
        <w:t>“</w:t>
      </w:r>
      <w:r w:rsidR="00EA2925">
        <w:t>Im</w:t>
      </w:r>
      <w:r w:rsidR="00EA2925" w:rsidRPr="00FA73B1">
        <w:t xml:space="preserve">plicit faith is, </w:t>
      </w:r>
      <w:proofErr w:type="spellStart"/>
      <w:r w:rsidR="00EA2925" w:rsidRPr="00FA73B1">
        <w:t>saith</w:t>
      </w:r>
      <w:proofErr w:type="spellEnd"/>
      <w:r w:rsidR="00EA2925" w:rsidRPr="00FA73B1">
        <w:t xml:space="preserve"> </w:t>
      </w:r>
      <w:proofErr w:type="spellStart"/>
      <w:r w:rsidR="00EA2925" w:rsidRPr="00FA73B1">
        <w:t>Estius</w:t>
      </w:r>
      <w:proofErr w:type="spellEnd"/>
      <w:r w:rsidR="00EA2925" w:rsidRPr="00FA73B1">
        <w:t xml:space="preserve">, when any </w:t>
      </w:r>
      <w:r w:rsidR="00EA2925" w:rsidRPr="00797BF3">
        <w:rPr>
          <w:b/>
          <w:i/>
        </w:rPr>
        <w:t xml:space="preserve">is ready to believe </w:t>
      </w:r>
      <w:r w:rsidR="00EA2925" w:rsidRPr="00FA73B1">
        <w:t xml:space="preserve">what the Church shall </w:t>
      </w:r>
      <w:proofErr w:type="gramStart"/>
      <w:r w:rsidR="00EA2925" w:rsidRPr="00FA73B1">
        <w:t>teach</w:t>
      </w:r>
      <w:r w:rsidR="00DC5B5D">
        <w:t>[</w:t>
      </w:r>
      <w:proofErr w:type="gramEnd"/>
      <w:r w:rsidR="00DC5B5D">
        <w:t>,]</w:t>
      </w:r>
      <w:r w:rsidR="00FA73B1" w:rsidRPr="00FA73B1">
        <w:t xml:space="preserve"> </w:t>
      </w:r>
      <w:r w:rsidR="00EA2925" w:rsidRPr="00FA73B1">
        <w:t>which faith (</w:t>
      </w:r>
      <w:r w:rsidR="00797BF3">
        <w:t>S</w:t>
      </w:r>
      <w:r w:rsidR="00FA73B1" w:rsidRPr="00FA73B1">
        <w:t xml:space="preserve">uarez </w:t>
      </w:r>
      <w:proofErr w:type="spellStart"/>
      <w:r w:rsidR="00FA73B1" w:rsidRPr="00FA73B1">
        <w:t>saith</w:t>
      </w:r>
      <w:proofErr w:type="spellEnd"/>
      <w:r w:rsidR="00FA73B1" w:rsidRPr="00FA73B1">
        <w:t>)…</w:t>
      </w:r>
      <w:r w:rsidR="00EA2925" w:rsidRPr="00FA73B1">
        <w:t>doth submit the mind to the nearest rule of teaching,</w:t>
      </w:r>
      <w:r w:rsidR="00FA73B1" w:rsidRPr="00FA73B1">
        <w:t xml:space="preserve"> to wit, to the Church.</w:t>
      </w:r>
      <w:r w:rsidR="00F17673">
        <w:t>”</w:t>
      </w:r>
      <w:r w:rsidR="00797BF3">
        <w:rPr>
          <w:rStyle w:val="FootnoteReference"/>
        </w:rPr>
        <w:footnoteReference w:id="28"/>
      </w:r>
      <w:r w:rsidR="00790EB7">
        <w:t xml:space="preserve"> </w:t>
      </w:r>
      <w:r w:rsidR="00797BF3">
        <w:t>Anglican Jeremy Taylor</w:t>
      </w:r>
      <w:r w:rsidR="00D67DF1">
        <w:t xml:space="preserve"> </w:t>
      </w:r>
      <w:r w:rsidR="00790EB7">
        <w:t xml:space="preserve">also </w:t>
      </w:r>
      <w:r w:rsidR="00D67DF1">
        <w:t>maintained that implicit faith</w:t>
      </w:r>
      <w:r w:rsidR="00F17673">
        <w:t xml:space="preserve"> </w:t>
      </w:r>
      <w:r w:rsidR="00DC5B5D">
        <w:t xml:space="preserve">imposed an obligation upon an individual’s inclinations. </w:t>
      </w:r>
      <w:r w:rsidR="0020332F">
        <w:t>He wrote,</w:t>
      </w:r>
    </w:p>
    <w:p w14:paraId="64C97CB7" w14:textId="5BEC8B65" w:rsidR="00EA2925" w:rsidRPr="00797BF3" w:rsidRDefault="008C220E" w:rsidP="00350E7B">
      <w:pPr>
        <w:spacing w:line="480" w:lineRule="auto"/>
        <w:ind w:left="720" w:right="720"/>
      </w:pPr>
      <w:r>
        <w:t xml:space="preserve">Faith by the </w:t>
      </w:r>
      <w:proofErr w:type="spellStart"/>
      <w:r>
        <w:t>implicite</w:t>
      </w:r>
      <w:proofErr w:type="spellEnd"/>
      <w:r>
        <w:t>…</w:t>
      </w:r>
      <w:r w:rsidR="00EA2925" w:rsidRPr="00797BF3">
        <w:t xml:space="preserve">required of them to have a </w:t>
      </w:r>
      <w:proofErr w:type="spellStart"/>
      <w:r w:rsidR="00EA2925" w:rsidRPr="00797BF3">
        <w:t>minde</w:t>
      </w:r>
      <w:proofErr w:type="spellEnd"/>
      <w:r w:rsidR="00EA2925" w:rsidRPr="00797BF3">
        <w:t xml:space="preserve"> </w:t>
      </w:r>
      <w:r w:rsidR="00EA2925" w:rsidRPr="0020761B">
        <w:rPr>
          <w:b/>
          <w:i/>
        </w:rPr>
        <w:t xml:space="preserve">prepared to believe </w:t>
      </w:r>
      <w:r w:rsidR="00EA2925" w:rsidRPr="00797BF3">
        <w:t>whate</w:t>
      </w:r>
      <w:r>
        <w:t>v</w:t>
      </w:r>
      <w:r w:rsidR="00EA2925" w:rsidRPr="00797BF3">
        <w:t>er the Church says; which because it is a proposition of no absolute certainty, w</w:t>
      </w:r>
      <w:r>
        <w:t>hoso</w:t>
      </w:r>
      <w:r w:rsidR="00EA2925" w:rsidRPr="00797BF3">
        <w:t xml:space="preserve">ever does </w:t>
      </w:r>
      <w:r w:rsidR="00EA2925" w:rsidRPr="00E0783B">
        <w:rPr>
          <w:b/>
          <w:i/>
        </w:rPr>
        <w:t>in readiness of</w:t>
      </w:r>
      <w:r w:rsidR="00797BF3" w:rsidRPr="00E0783B">
        <w:rPr>
          <w:b/>
          <w:i/>
        </w:rPr>
        <w:t xml:space="preserve"> mind</w:t>
      </w:r>
      <w:r w:rsidR="00797BF3" w:rsidRPr="00797BF3">
        <w:t xml:space="preserve"> believe…does…believe…</w:t>
      </w:r>
      <w:r w:rsidR="00EA2925" w:rsidRPr="00797BF3">
        <w:t>sufficiently</w:t>
      </w:r>
      <w:r>
        <w:t>.</w:t>
      </w:r>
      <w:r w:rsidR="00797BF3" w:rsidRPr="00797BF3">
        <w:rPr>
          <w:rStyle w:val="FootnoteReference"/>
        </w:rPr>
        <w:footnoteReference w:id="29"/>
      </w:r>
    </w:p>
    <w:p w14:paraId="65B9D885" w14:textId="7B5789B2" w:rsidR="005370C6" w:rsidRDefault="00EA2DD7" w:rsidP="00350E7B">
      <w:pPr>
        <w:spacing w:line="480" w:lineRule="auto"/>
      </w:pPr>
      <w:r>
        <w:t xml:space="preserve">Catholics also </w:t>
      </w:r>
      <w:r w:rsidR="00D67DF1">
        <w:t xml:space="preserve">sometimes </w:t>
      </w:r>
      <w:r>
        <w:t>relaxed the</w:t>
      </w:r>
      <w:r w:rsidR="00E0783B">
        <w:t xml:space="preserve"> “belief </w:t>
      </w:r>
      <w:r w:rsidR="0020761B">
        <w:t>obligation</w:t>
      </w:r>
      <w:r w:rsidR="00E0783B">
        <w:t>”</w:t>
      </w:r>
      <w:r w:rsidR="00D67DF1">
        <w:t xml:space="preserve"> in this manner</w:t>
      </w:r>
      <w:r w:rsidR="0020761B">
        <w:t xml:space="preserve">.  </w:t>
      </w:r>
      <w:r>
        <w:t xml:space="preserve">Vane said, </w:t>
      </w:r>
      <w:r w:rsidR="00004CC5">
        <w:t>“P</w:t>
      </w:r>
      <w:r w:rsidR="008C220E">
        <w:t xml:space="preserve">eople….must not be unbelieving of any thing; but by an implicit faith at the least, believe all that the Church believes, </w:t>
      </w:r>
      <w:r w:rsidR="008C220E" w:rsidRPr="008C220E">
        <w:t>by….</w:t>
      </w:r>
      <w:r w:rsidR="008C220E" w:rsidRPr="0020761B">
        <w:rPr>
          <w:b/>
          <w:i/>
        </w:rPr>
        <w:t xml:space="preserve">being prepared to believe </w:t>
      </w:r>
      <w:r w:rsidR="008C220E" w:rsidRPr="00D67DF1">
        <w:t>explicitly</w:t>
      </w:r>
      <w:r w:rsidR="008C220E" w:rsidRPr="008C220E">
        <w:t xml:space="preserve"> what….she shall declare.”</w:t>
      </w:r>
      <w:r w:rsidR="008C220E" w:rsidRPr="008C220E">
        <w:rPr>
          <w:rStyle w:val="FootnoteReference"/>
        </w:rPr>
        <w:footnoteReference w:id="30"/>
      </w:r>
      <w:r w:rsidR="008C220E">
        <w:t xml:space="preserve"> </w:t>
      </w:r>
    </w:p>
    <w:p w14:paraId="3C193541" w14:textId="38B0E4A1" w:rsidR="009D45F5" w:rsidRDefault="008C220E" w:rsidP="00350E7B">
      <w:pPr>
        <w:spacing w:line="480" w:lineRule="auto"/>
        <w:ind w:firstLine="720"/>
      </w:pPr>
      <w:r>
        <w:lastRenderedPageBreak/>
        <w:t xml:space="preserve">Optimally, </w:t>
      </w:r>
      <w:r w:rsidR="00004CC5">
        <w:t xml:space="preserve">of course, </w:t>
      </w:r>
      <w:r>
        <w:t>Vane hoped that a Catholic would sincerely believe the church “in all points of Faith</w:t>
      </w:r>
      <w:r w:rsidR="00DF4827">
        <w:t>.” This is because o</w:t>
      </w:r>
      <w:r w:rsidR="00004CC5">
        <w:t>nly a</w:t>
      </w:r>
      <w:r w:rsidR="0020761B">
        <w:t xml:space="preserve"> sincere believer fully</w:t>
      </w:r>
      <w:r>
        <w:t xml:space="preserve"> “</w:t>
      </w:r>
      <w:proofErr w:type="gramStart"/>
      <w:r>
        <w:t>participate</w:t>
      </w:r>
      <w:r w:rsidR="00EA2DD7">
        <w:t>[</w:t>
      </w:r>
      <w:proofErr w:type="gramEnd"/>
      <w:r w:rsidR="00EA2DD7">
        <w:t>d</w:t>
      </w:r>
      <w:r w:rsidR="0020761B">
        <w:t>]</w:t>
      </w:r>
      <w:r>
        <w:t xml:space="preserve"> in the</w:t>
      </w:r>
      <w:r w:rsidR="0020761B">
        <w:t xml:space="preserve"> soul</w:t>
      </w:r>
      <w:r w:rsidR="0020332F">
        <w:t xml:space="preserve"> of the church, </w:t>
      </w:r>
      <w:r>
        <w:t>which is the spirit of truth.”</w:t>
      </w:r>
      <w:r w:rsidRPr="008C220E">
        <w:rPr>
          <w:rStyle w:val="FootnoteReference"/>
        </w:rPr>
        <w:t xml:space="preserve"> </w:t>
      </w:r>
      <w:r>
        <w:rPr>
          <w:rStyle w:val="FootnoteReference"/>
        </w:rPr>
        <w:footnoteReference w:id="31"/>
      </w:r>
      <w:r w:rsidR="00EA2DD7">
        <w:t xml:space="preserve"> </w:t>
      </w:r>
      <w:r w:rsidR="00E34804">
        <w:t>Catholics who only endeavored to beli</w:t>
      </w:r>
      <w:r w:rsidR="00245186">
        <w:t>eve were not fully sharing</w:t>
      </w:r>
      <w:r w:rsidR="00790EB7">
        <w:t xml:space="preserve"> in the truth; their doubt placed</w:t>
      </w:r>
      <w:r w:rsidR="00E34804">
        <w:t xml:space="preserve"> one </w:t>
      </w:r>
      <w:r w:rsidR="00652633">
        <w:t>of their</w:t>
      </w:r>
      <w:r w:rsidR="00790EB7">
        <w:t xml:space="preserve"> fee</w:t>
      </w:r>
      <w:r w:rsidR="00245186">
        <w:t>t outside the Christian community</w:t>
      </w:r>
      <w:r w:rsidR="00E34804">
        <w:t>. S</w:t>
      </w:r>
      <w:r>
        <w:t>incere believers</w:t>
      </w:r>
      <w:r w:rsidR="00E34804">
        <w:t>, by contrast,</w:t>
      </w:r>
      <w:r>
        <w:t xml:space="preserve"> were</w:t>
      </w:r>
      <w:r w:rsidR="00004CC5">
        <w:t xml:space="preserve"> </w:t>
      </w:r>
      <w:r>
        <w:t>“knit together in one mind, and on</w:t>
      </w:r>
      <w:r w:rsidR="00EA2DD7">
        <w:t>e judgment.</w:t>
      </w:r>
      <w:r w:rsidR="000D0AA2">
        <w:t xml:space="preserve">” </w:t>
      </w:r>
      <w:r w:rsidR="00EA2DD7">
        <w:t>T</w:t>
      </w:r>
      <w:r>
        <w:t xml:space="preserve">his was optimal. </w:t>
      </w:r>
      <w:r>
        <w:rPr>
          <w:rStyle w:val="FootnoteReference"/>
        </w:rPr>
        <w:footnoteReference w:id="32"/>
      </w:r>
      <w:r w:rsidR="00790EB7">
        <w:t xml:space="preserve"> </w:t>
      </w:r>
    </w:p>
    <w:p w14:paraId="07A71E05" w14:textId="1A169D39" w:rsidR="00077122" w:rsidRPr="00A54ED1" w:rsidRDefault="00827477" w:rsidP="00350E7B">
      <w:pPr>
        <w:spacing w:line="480" w:lineRule="auto"/>
        <w:ind w:firstLine="720"/>
      </w:pPr>
      <w:r>
        <w:t>H</w:t>
      </w:r>
      <w:r w:rsidR="003931E6">
        <w:t>obbes shares Vane’s</w:t>
      </w:r>
      <w:r w:rsidR="003D39D6">
        <w:t xml:space="preserve"> ideal</w:t>
      </w:r>
      <w:r w:rsidR="003931E6">
        <w:t xml:space="preserve"> conception of the Christian subject and </w:t>
      </w:r>
      <w:r w:rsidR="001E6DCD">
        <w:t>he</w:t>
      </w:r>
      <w:r w:rsidR="00A54ED1">
        <w:t xml:space="preserve"> </w:t>
      </w:r>
      <w:r w:rsidR="003931E6">
        <w:t xml:space="preserve">attempts </w:t>
      </w:r>
      <w:r w:rsidR="00077122">
        <w:t xml:space="preserve">to persuade subjects to </w:t>
      </w:r>
      <w:r w:rsidR="00A54ED1">
        <w:t xml:space="preserve">share </w:t>
      </w:r>
      <w:r w:rsidR="001E6DCD">
        <w:t xml:space="preserve">in </w:t>
      </w:r>
      <w:r w:rsidR="00A54ED1">
        <w:t>their</w:t>
      </w:r>
      <w:r w:rsidR="003931E6">
        <w:t xml:space="preserve"> sovereign’s </w:t>
      </w:r>
      <w:r w:rsidR="00077122">
        <w:t xml:space="preserve">expressed </w:t>
      </w:r>
      <w:r w:rsidR="003931E6">
        <w:t xml:space="preserve">beliefs. </w:t>
      </w:r>
      <w:r w:rsidR="00A54ED1">
        <w:t xml:space="preserve"> H</w:t>
      </w:r>
      <w:r w:rsidR="00077122">
        <w:t>e praises</w:t>
      </w:r>
      <w:r w:rsidR="003D39D6">
        <w:t xml:space="preserve"> </w:t>
      </w:r>
      <w:r w:rsidR="00DC5B5D">
        <w:t>p</w:t>
      </w:r>
      <w:r w:rsidR="00077122">
        <w:t>astors (i.e., teachers) appointed by the sovereign</w:t>
      </w:r>
      <w:r w:rsidR="00A54ED1">
        <w:t xml:space="preserve"> when</w:t>
      </w:r>
      <w:r w:rsidR="00077122">
        <w:t xml:space="preserve"> they have </w:t>
      </w:r>
      <w:r w:rsidR="00DC5B5D">
        <w:t>“</w:t>
      </w:r>
      <w:r w:rsidR="003D39D6">
        <w:t xml:space="preserve">a mind </w:t>
      </w:r>
      <w:r w:rsidR="00DC5B5D">
        <w:t>conformable</w:t>
      </w:r>
      <w:r w:rsidR="003D39D6">
        <w:t>” t</w:t>
      </w:r>
      <w:r w:rsidR="00A54ED1">
        <w:t>o that of their civil sovereign, for example.</w:t>
      </w:r>
      <w:r w:rsidR="003D39D6">
        <w:rPr>
          <w:rStyle w:val="FootnoteReference"/>
        </w:rPr>
        <w:footnoteReference w:id="33"/>
      </w:r>
      <w:r w:rsidR="003D39D6">
        <w:t xml:space="preserve"> </w:t>
      </w:r>
      <w:r w:rsidR="00077122">
        <w:t>He urges</w:t>
      </w:r>
      <w:r w:rsidR="00245186">
        <w:t xml:space="preserve"> </w:t>
      </w:r>
      <w:r w:rsidR="00077122">
        <w:t>subjects to make their</w:t>
      </w:r>
      <w:r w:rsidR="009A370D">
        <w:t xml:space="preserve"> internal</w:t>
      </w:r>
      <w:r>
        <w:t xml:space="preserve"> “</w:t>
      </w:r>
      <w:proofErr w:type="spellStart"/>
      <w:r>
        <w:t>governour</w:t>
      </w:r>
      <w:proofErr w:type="spellEnd"/>
      <w:r>
        <w:t xml:space="preserve">” </w:t>
      </w:r>
      <w:r w:rsidR="00DC5B5D">
        <w:t>(</w:t>
      </w:r>
      <w:r w:rsidR="00077122">
        <w:t xml:space="preserve">i.e., </w:t>
      </w:r>
      <w:r w:rsidR="00DC5B5D">
        <w:t>their</w:t>
      </w:r>
      <w:r w:rsidR="00371CE1">
        <w:t xml:space="preserve"> conscience)</w:t>
      </w:r>
      <w:r w:rsidR="00077122">
        <w:t xml:space="preserve"> conform inwardly to the sovereign’s commands because</w:t>
      </w:r>
      <w:r w:rsidR="00DC5B5D">
        <w:t xml:space="preserve"> </w:t>
      </w:r>
      <w:r w:rsidR="00077122">
        <w:t>pea</w:t>
      </w:r>
      <w:r w:rsidR="00A54ED1">
        <w:t xml:space="preserve">ce is more secure when external actions correspond </w:t>
      </w:r>
      <w:proofErr w:type="gramStart"/>
      <w:r w:rsidR="00A54ED1">
        <w:t>with</w:t>
      </w:r>
      <w:proofErr w:type="gramEnd"/>
      <w:r w:rsidR="00077122">
        <w:t xml:space="preserve"> </w:t>
      </w:r>
      <w:r w:rsidR="00A54ED1">
        <w:t>inner</w:t>
      </w:r>
      <w:r>
        <w:t xml:space="preserve"> belief</w:t>
      </w:r>
      <w:r w:rsidR="00077122">
        <w:t xml:space="preserve">. </w:t>
      </w:r>
      <w:r w:rsidR="009A370D">
        <w:t>W</w:t>
      </w:r>
      <w:r>
        <w:t>ith</w:t>
      </w:r>
      <w:r w:rsidR="00A54ED1">
        <w:t>out such</w:t>
      </w:r>
      <w:r w:rsidR="00DC5B5D">
        <w:t xml:space="preserve"> </w:t>
      </w:r>
      <w:r w:rsidR="009A370D">
        <w:t>unity</w:t>
      </w:r>
      <w:r w:rsidR="00077122">
        <w:t xml:space="preserve"> of thought and action</w:t>
      </w:r>
      <w:r w:rsidR="009A370D">
        <w:t xml:space="preserve"> </w:t>
      </w:r>
      <w:r>
        <w:t xml:space="preserve">“there </w:t>
      </w:r>
      <w:proofErr w:type="gramStart"/>
      <w:r>
        <w:t>must needs</w:t>
      </w:r>
      <w:proofErr w:type="gramEnd"/>
      <w:r>
        <w:t xml:space="preserve"> follow faction and civil war in the common-wealth.”</w:t>
      </w:r>
      <w:r>
        <w:rPr>
          <w:rStyle w:val="FootnoteReference"/>
        </w:rPr>
        <w:footnoteReference w:id="34"/>
      </w:r>
      <w:r w:rsidR="00542213">
        <w:t xml:space="preserve"> </w:t>
      </w:r>
      <w:r w:rsidR="001E6DCD">
        <w:t>He</w:t>
      </w:r>
      <w:r w:rsidR="00A54ED1">
        <w:t xml:space="preserve"> encourages men to obey </w:t>
      </w:r>
      <w:r w:rsidR="001E6DCD">
        <w:t xml:space="preserve">the sovereign </w:t>
      </w:r>
      <w:r w:rsidR="00A54ED1">
        <w:t>“for conscience sake.”</w:t>
      </w:r>
      <w:r w:rsidR="00A54ED1">
        <w:rPr>
          <w:rStyle w:val="FootnoteReference"/>
        </w:rPr>
        <w:footnoteReference w:id="35"/>
      </w:r>
      <w:r w:rsidR="00A54ED1">
        <w:t xml:space="preserve"> </w:t>
      </w:r>
      <w:r w:rsidR="001E6DCD">
        <w:t>Moreover, he instructs</w:t>
      </w:r>
      <w:r w:rsidR="00077122">
        <w:t xml:space="preserve"> subjects to </w:t>
      </w:r>
      <w:r w:rsidR="00542213">
        <w:rPr>
          <w:i/>
        </w:rPr>
        <w:t>“</w:t>
      </w:r>
      <w:r w:rsidR="009A370D" w:rsidRPr="009A370D">
        <w:rPr>
          <w:i/>
        </w:rPr>
        <w:t>receive</w:t>
      </w:r>
      <w:r w:rsidR="009A370D">
        <w:t xml:space="preserve"> the positive commandments o</w:t>
      </w:r>
      <w:r w:rsidR="00077122">
        <w:t xml:space="preserve">f God from their </w:t>
      </w:r>
      <w:proofErr w:type="spellStart"/>
      <w:r w:rsidR="00077122">
        <w:t>Soveraign</w:t>
      </w:r>
      <w:proofErr w:type="spellEnd"/>
      <w:r w:rsidR="00A54ED1">
        <w:t>.</w:t>
      </w:r>
      <w:r w:rsidR="009A370D">
        <w:t>”</w:t>
      </w:r>
      <w:r w:rsidR="009A370D">
        <w:rPr>
          <w:rStyle w:val="FootnoteReference"/>
        </w:rPr>
        <w:footnoteReference w:id="36"/>
      </w:r>
      <w:r w:rsidR="00584E9A">
        <w:t xml:space="preserve"> </w:t>
      </w:r>
      <w:r w:rsidR="00A54ED1">
        <w:t>Here</w:t>
      </w:r>
      <w:r w:rsidR="00077122">
        <w:t xml:space="preserve"> he </w:t>
      </w:r>
      <w:r w:rsidR="001E6DCD">
        <w:t>urges</w:t>
      </w:r>
      <w:r w:rsidR="00077122">
        <w:t xml:space="preserve"> them </w:t>
      </w:r>
      <w:r w:rsidR="003D39D6">
        <w:t>to</w:t>
      </w:r>
      <w:r w:rsidR="009A370D">
        <w:t xml:space="preserve"> take the sovereign’s commandmen</w:t>
      </w:r>
      <w:r w:rsidR="00584E9A">
        <w:t>ts as</w:t>
      </w:r>
      <w:r w:rsidR="00542213">
        <w:t xml:space="preserve"> </w:t>
      </w:r>
      <w:r w:rsidR="00077122">
        <w:t xml:space="preserve">truth because they are </w:t>
      </w:r>
      <w:r w:rsidR="00542213">
        <w:t>God’s</w:t>
      </w:r>
      <w:r w:rsidR="00077122">
        <w:t xml:space="preserve"> commandments. </w:t>
      </w:r>
      <w:r w:rsidR="00A54ED1">
        <w:t>Moreover, Hobbes</w:t>
      </w:r>
      <w:r w:rsidR="00077122">
        <w:t xml:space="preserve"> warns subjects against inwardly despising the civil sovereign’s </w:t>
      </w:r>
      <w:r w:rsidR="00077122" w:rsidRPr="00A54ED1">
        <w:t>testaments</w:t>
      </w:r>
      <w:r w:rsidR="00A54ED1" w:rsidRPr="00A54ED1">
        <w:t xml:space="preserve"> because hatred of the sovereign’s articles </w:t>
      </w:r>
      <w:r w:rsidR="00077122" w:rsidRPr="00A54ED1">
        <w:t>amounts to</w:t>
      </w:r>
      <w:r w:rsidR="00A54ED1" w:rsidRPr="00A54ED1">
        <w:t xml:space="preserve"> hatred of Christ:</w:t>
      </w:r>
      <w:r w:rsidR="00077122" w:rsidRPr="00A54ED1">
        <w:t xml:space="preserve"> “He which </w:t>
      </w:r>
      <w:proofErr w:type="spellStart"/>
      <w:r w:rsidR="00077122" w:rsidRPr="00A54ED1">
        <w:t>heareth</w:t>
      </w:r>
      <w:proofErr w:type="spellEnd"/>
      <w:r w:rsidR="00077122" w:rsidRPr="00A54ED1">
        <w:t xml:space="preserve"> his </w:t>
      </w:r>
      <w:proofErr w:type="spellStart"/>
      <w:r w:rsidR="00077122" w:rsidRPr="00A54ED1">
        <w:t>Soveraign</w:t>
      </w:r>
      <w:proofErr w:type="spellEnd"/>
      <w:r w:rsidR="00077122" w:rsidRPr="00A54ED1">
        <w:t xml:space="preserve"> being a Christian, </w:t>
      </w:r>
      <w:proofErr w:type="spellStart"/>
      <w:r w:rsidR="00077122" w:rsidRPr="00A54ED1">
        <w:t>heareth</w:t>
      </w:r>
      <w:proofErr w:type="spellEnd"/>
      <w:r w:rsidR="00077122" w:rsidRPr="00A54ED1">
        <w:t xml:space="preserve"> Christ</w:t>
      </w:r>
      <w:r w:rsidR="00A54ED1" w:rsidRPr="00A54ED1">
        <w:t xml:space="preserve">; </w:t>
      </w:r>
      <w:r w:rsidR="00A54ED1" w:rsidRPr="00A54ED1">
        <w:lastRenderedPageBreak/>
        <w:t>and he t</w:t>
      </w:r>
      <w:r w:rsidR="00077122" w:rsidRPr="00A54ED1">
        <w:t xml:space="preserve">hat </w:t>
      </w:r>
      <w:proofErr w:type="spellStart"/>
      <w:r w:rsidR="00077122" w:rsidRPr="00A54ED1">
        <w:t>despiseth</w:t>
      </w:r>
      <w:proofErr w:type="spellEnd"/>
      <w:r w:rsidR="00077122" w:rsidRPr="00A54ED1">
        <w:t xml:space="preserve"> the Doctrine which his King being a Christian, </w:t>
      </w:r>
      <w:proofErr w:type="spellStart"/>
      <w:r w:rsidR="00077122" w:rsidRPr="00A54ED1">
        <w:t>authorizeth</w:t>
      </w:r>
      <w:proofErr w:type="spellEnd"/>
      <w:r w:rsidR="00077122" w:rsidRPr="00A54ED1">
        <w:t xml:space="preserve">, </w:t>
      </w:r>
      <w:proofErr w:type="spellStart"/>
      <w:r w:rsidR="00077122" w:rsidRPr="00A54ED1">
        <w:t>despiseth</w:t>
      </w:r>
      <w:proofErr w:type="spellEnd"/>
      <w:r w:rsidR="00077122" w:rsidRPr="00A54ED1">
        <w:t xml:space="preserve"> the Doctrine of Christ</w:t>
      </w:r>
      <w:r w:rsidR="00A54ED1" w:rsidRPr="00A54ED1">
        <w:t>.”</w:t>
      </w:r>
      <w:r w:rsidR="00A54ED1" w:rsidRPr="00A54ED1">
        <w:rPr>
          <w:rStyle w:val="FootnoteReference"/>
        </w:rPr>
        <w:footnoteReference w:id="37"/>
      </w:r>
      <w:r w:rsidR="00A54ED1" w:rsidRPr="00A54ED1">
        <w:t xml:space="preserve"> In these passages, Hobbes is not giving the civil sovereign coercive authority over private belief</w:t>
      </w:r>
      <w:r w:rsidR="00A54ED1">
        <w:t>. B</w:t>
      </w:r>
      <w:r w:rsidR="00A54ED1" w:rsidRPr="00A54ED1">
        <w:t xml:space="preserve">ut he is certainly counseling subjects to align their private beliefs with the civil sovereign’s public </w:t>
      </w:r>
      <w:r w:rsidR="001E6DCD">
        <w:t xml:space="preserve">testaments because. Such an </w:t>
      </w:r>
      <w:r w:rsidR="00A54ED1">
        <w:t xml:space="preserve">alignment </w:t>
      </w:r>
      <w:r w:rsidR="000E3562">
        <w:t>mi</w:t>
      </w:r>
      <w:r w:rsidR="001E6DCD">
        <w:t>ght lead to a teaching position within the sovereign’s church; the alignment also</w:t>
      </w:r>
      <w:r w:rsidR="00A54ED1">
        <w:t xml:space="preserve"> secures civil peace</w:t>
      </w:r>
      <w:r w:rsidR="000E3562">
        <w:t xml:space="preserve">, </w:t>
      </w:r>
      <w:r w:rsidR="00A54ED1">
        <w:t>and satisfies Christ.</w:t>
      </w:r>
    </w:p>
    <w:p w14:paraId="325B3013" w14:textId="77777777" w:rsidR="00077122" w:rsidRDefault="00077122" w:rsidP="00350E7B">
      <w:pPr>
        <w:spacing w:line="480" w:lineRule="auto"/>
        <w:ind w:firstLine="720"/>
      </w:pPr>
    </w:p>
    <w:p w14:paraId="0D5EC1E7" w14:textId="769615A7" w:rsidR="006744BE" w:rsidRPr="00A54ED1" w:rsidRDefault="006744BE" w:rsidP="00350E7B">
      <w:pPr>
        <w:spacing w:line="480" w:lineRule="auto"/>
      </w:pPr>
      <w:r>
        <w:rPr>
          <w:b/>
          <w:i/>
        </w:rPr>
        <w:t>Obligations imposed upon internal (private) judgment</w:t>
      </w:r>
    </w:p>
    <w:p w14:paraId="7E5F8692" w14:textId="0AAAE875" w:rsidR="004F6BB0" w:rsidRPr="006744BE" w:rsidRDefault="009341F1" w:rsidP="00350E7B">
      <w:pPr>
        <w:spacing w:line="480" w:lineRule="auto"/>
        <w:ind w:firstLine="720"/>
        <w:rPr>
          <w:b/>
        </w:rPr>
      </w:pPr>
      <w:r>
        <w:t xml:space="preserve">In </w:t>
      </w:r>
      <w:r w:rsidR="004F6BB0">
        <w:t xml:space="preserve">addition to placing an obligation upon </w:t>
      </w:r>
      <w:r>
        <w:t xml:space="preserve">internal </w:t>
      </w:r>
      <w:r w:rsidRPr="009341F1">
        <w:rPr>
          <w:i/>
        </w:rPr>
        <w:t>belief</w:t>
      </w:r>
      <w:r w:rsidR="00D67DF1">
        <w:rPr>
          <w:i/>
        </w:rPr>
        <w:t xml:space="preserve">s </w:t>
      </w:r>
      <w:r w:rsidR="00E34804">
        <w:t>and/or</w:t>
      </w:r>
      <w:r w:rsidR="00D67DF1">
        <w:rPr>
          <w:i/>
        </w:rPr>
        <w:t xml:space="preserve"> </w:t>
      </w:r>
      <w:r w:rsidR="00245186" w:rsidRPr="00245186">
        <w:rPr>
          <w:i/>
        </w:rPr>
        <w:t>inclinations</w:t>
      </w:r>
      <w:r>
        <w:t>, the doctrine of implicit faith impos</w:t>
      </w:r>
      <w:r w:rsidR="005159F4">
        <w:t>ed an obl</w:t>
      </w:r>
      <w:r w:rsidR="00EA2DD7">
        <w:t>ig</w:t>
      </w:r>
      <w:r w:rsidR="004F6BB0">
        <w:t>ation upon the</w:t>
      </w:r>
      <w:r w:rsidR="00EA2DD7">
        <w:t xml:space="preserve"> </w:t>
      </w:r>
      <w:r>
        <w:t xml:space="preserve">faculty of </w:t>
      </w:r>
      <w:r w:rsidR="004F6BB0">
        <w:t xml:space="preserve">private </w:t>
      </w:r>
      <w:r w:rsidRPr="009341F1">
        <w:rPr>
          <w:i/>
        </w:rPr>
        <w:t>judgment</w:t>
      </w:r>
      <w:r>
        <w:t xml:space="preserve">. </w:t>
      </w:r>
      <w:r w:rsidR="004F6BB0">
        <w:t>T</w:t>
      </w:r>
      <w:r w:rsidR="005159F4">
        <w:t xml:space="preserve">he domain of faith </w:t>
      </w:r>
      <w:r w:rsidR="00EA2DD7">
        <w:t xml:space="preserve">or belief </w:t>
      </w:r>
      <w:r w:rsidR="005159F4">
        <w:t>was distinct from the domain of judgment (at least in the R</w:t>
      </w:r>
      <w:r w:rsidR="004F6BB0">
        <w:t xml:space="preserve">eformed Christian imagination). Therefore, </w:t>
      </w:r>
      <w:r w:rsidR="005159F4">
        <w:t xml:space="preserve">it was possible to decouple belief from judgment and to impose obligations upon </w:t>
      </w:r>
      <w:r w:rsidR="00790EB7">
        <w:t xml:space="preserve">the latter without imposing them </w:t>
      </w:r>
      <w:r w:rsidR="005159F4">
        <w:t xml:space="preserve">upon the former. </w:t>
      </w:r>
    </w:p>
    <w:p w14:paraId="76807781" w14:textId="59A47598" w:rsidR="00F17673" w:rsidRDefault="004F6BB0" w:rsidP="00350E7B">
      <w:pPr>
        <w:spacing w:line="480" w:lineRule="auto"/>
        <w:ind w:firstLine="720"/>
      </w:pPr>
      <w:r>
        <w:t xml:space="preserve">First, implicit faith </w:t>
      </w:r>
      <w:r w:rsidR="00F17673">
        <w:t xml:space="preserve">obligated </w:t>
      </w:r>
      <w:r>
        <w:t xml:space="preserve">individuals </w:t>
      </w:r>
      <w:r w:rsidR="00F17673">
        <w:t xml:space="preserve">to acknowledge the church as the authoritative judge with </w:t>
      </w:r>
      <w:r w:rsidR="00D67DF1">
        <w:t xml:space="preserve">respect to </w:t>
      </w:r>
      <w:r>
        <w:t xml:space="preserve">religious matters. Here, individuals were commanded </w:t>
      </w:r>
      <w:r w:rsidR="00F21235">
        <w:t>to abdi</w:t>
      </w:r>
      <w:r>
        <w:t xml:space="preserve">cate the authority of their </w:t>
      </w:r>
      <w:r w:rsidR="00D67DF1">
        <w:t xml:space="preserve">own private </w:t>
      </w:r>
      <w:r w:rsidR="00F21235">
        <w:t>judgment</w:t>
      </w:r>
      <w:r>
        <w:t xml:space="preserve"> and to acknowledge the church’s judicial authority</w:t>
      </w:r>
      <w:r w:rsidR="00F21235">
        <w:t xml:space="preserve">. </w:t>
      </w:r>
      <w:r w:rsidR="00F17673">
        <w:t>As</w:t>
      </w:r>
      <w:r w:rsidR="00245186">
        <w:t xml:space="preserve"> Protestant</w:t>
      </w:r>
      <w:r w:rsidR="00F17673">
        <w:t xml:space="preserve"> </w:t>
      </w:r>
      <w:proofErr w:type="spellStart"/>
      <w:r w:rsidR="00F17673">
        <w:t>Nathaneal</w:t>
      </w:r>
      <w:proofErr w:type="spellEnd"/>
      <w:r w:rsidR="00F17673">
        <w:t xml:space="preserve"> </w:t>
      </w:r>
      <w:proofErr w:type="spellStart"/>
      <w:r w:rsidR="00F17673">
        <w:t>Culverwel</w:t>
      </w:r>
      <w:proofErr w:type="spellEnd"/>
      <w:r w:rsidR="00F17673">
        <w:t xml:space="preserve"> put it, </w:t>
      </w:r>
    </w:p>
    <w:p w14:paraId="423D17C2" w14:textId="0E00BE3B" w:rsidR="00F17673" w:rsidRDefault="00F21235" w:rsidP="00350E7B">
      <w:pPr>
        <w:spacing w:line="480" w:lineRule="auto"/>
        <w:ind w:left="720" w:right="720"/>
      </w:pPr>
      <w:r w:rsidRPr="00F21235">
        <w:t>A</w:t>
      </w:r>
      <w:r w:rsidR="00F17673" w:rsidRPr="00F21235">
        <w:t xml:space="preserve">n implicit faith…[involves] a slavish acknowledgment of some infallible judge of </w:t>
      </w:r>
      <w:proofErr w:type="spellStart"/>
      <w:r w:rsidR="00F17673" w:rsidRPr="00F21235">
        <w:t>controversies</w:t>
      </w:r>
      <w:proofErr w:type="gramStart"/>
      <w:r w:rsidR="00F17673" w:rsidRPr="00F21235">
        <w:t>,.</w:t>
      </w:r>
      <w:r w:rsidRPr="00F21235">
        <w:t>.</w:t>
      </w:r>
      <w:proofErr w:type="gramEnd"/>
      <w:r w:rsidRPr="00F21235">
        <w:t>It</w:t>
      </w:r>
      <w:proofErr w:type="spellEnd"/>
      <w:r w:rsidRPr="00F21235">
        <w:t xml:space="preserve"> </w:t>
      </w:r>
      <w:r w:rsidR="00F17673" w:rsidRPr="00F21235">
        <w:t>shut</w:t>
      </w:r>
      <w:r w:rsidRPr="00F21235">
        <w:t>[s]</w:t>
      </w:r>
      <w:r w:rsidR="00F17673" w:rsidRPr="00F21235">
        <w:t xml:space="preserve"> up and imprison</w:t>
      </w:r>
      <w:r w:rsidRPr="00F21235">
        <w:t>[s]</w:t>
      </w:r>
      <w:r w:rsidR="00F17673" w:rsidRPr="00F21235">
        <w:t xml:space="preserve"> the generality of pe</w:t>
      </w:r>
      <w:r w:rsidRPr="00F21235">
        <w:t>ople in a dark and benighted co</w:t>
      </w:r>
      <w:r w:rsidR="00F17673" w:rsidRPr="00F21235">
        <w:t>n</w:t>
      </w:r>
      <w:r w:rsidRPr="00F21235">
        <w:t>d</w:t>
      </w:r>
      <w:r w:rsidR="00F17673" w:rsidRPr="00F21235">
        <w:t>it</w:t>
      </w:r>
      <w:r w:rsidRPr="00F21235">
        <w:t>i</w:t>
      </w:r>
      <w:r w:rsidR="00F17673" w:rsidRPr="00F21235">
        <w:t xml:space="preserve">on, not so much as </w:t>
      </w:r>
      <w:r w:rsidR="00F17673" w:rsidRPr="00F21235">
        <w:lastRenderedPageBreak/>
        <w:t>allowing them the light of their own Candle</w:t>
      </w:r>
      <w:r w:rsidRPr="00F21235">
        <w:t xml:space="preserve"> [their own judgments]</w:t>
      </w:r>
      <w:r w:rsidR="00F17673" w:rsidRPr="00F21235">
        <w:t xml:space="preserve">, the lamp of the lord that ought to shine in them. </w:t>
      </w:r>
      <w:r w:rsidRPr="00F21235">
        <w:rPr>
          <w:rStyle w:val="FootnoteReference"/>
        </w:rPr>
        <w:footnoteReference w:id="38"/>
      </w:r>
    </w:p>
    <w:p w14:paraId="18D83604" w14:textId="10324116" w:rsidR="00245186" w:rsidRDefault="00245186" w:rsidP="00350E7B">
      <w:pPr>
        <w:spacing w:line="480" w:lineRule="auto"/>
      </w:pPr>
      <w:proofErr w:type="spellStart"/>
      <w:r>
        <w:t>Culver</w:t>
      </w:r>
      <w:r w:rsidR="004E5F8F">
        <w:t>wel</w:t>
      </w:r>
      <w:proofErr w:type="spellEnd"/>
      <w:r w:rsidR="004E5F8F">
        <w:t xml:space="preserve"> opposes those who make</w:t>
      </w:r>
      <w:r>
        <w:t xml:space="preserve"> it </w:t>
      </w:r>
      <w:r w:rsidR="004E5F8F">
        <w:t>difficult</w:t>
      </w:r>
      <w:r>
        <w:t xml:space="preserve"> for individuals to exercise </w:t>
      </w:r>
      <w:r w:rsidR="004E5F8F">
        <w:t xml:space="preserve">their </w:t>
      </w:r>
      <w:r>
        <w:t>independent judgment</w:t>
      </w:r>
      <w:r w:rsidR="000E3562">
        <w:t xml:space="preserve"> and insists</w:t>
      </w:r>
      <w:r w:rsidR="004E5F8F">
        <w:t xml:space="preserve"> that the individual must be free to authoritatively judge religious controversies for </w:t>
      </w:r>
      <w:proofErr w:type="gramStart"/>
      <w:r w:rsidR="004E5F8F">
        <w:t>himself</w:t>
      </w:r>
      <w:proofErr w:type="gramEnd"/>
      <w:r w:rsidR="004E5F8F">
        <w:t xml:space="preserve"> or herself (i.e. have liberty of conscience).</w:t>
      </w:r>
    </w:p>
    <w:p w14:paraId="7C5B1BB6" w14:textId="6CE5827F" w:rsidR="004E5F8F" w:rsidRDefault="000E3562" w:rsidP="00350E7B">
      <w:pPr>
        <w:spacing w:line="480" w:lineRule="auto"/>
        <w:ind w:firstLine="720"/>
      </w:pPr>
      <w:r>
        <w:t>E</w:t>
      </w:r>
      <w:r w:rsidR="004E5F8F">
        <w:t xml:space="preserve">spousers of the doctrine of implicit faith </w:t>
      </w:r>
      <w:r>
        <w:t xml:space="preserve">challenged Protestants like </w:t>
      </w:r>
      <w:proofErr w:type="spellStart"/>
      <w:r>
        <w:t>Culverwell</w:t>
      </w:r>
      <w:proofErr w:type="spellEnd"/>
      <w:r>
        <w:t xml:space="preserve">.  They explained </w:t>
      </w:r>
      <w:r w:rsidR="004E5F8F">
        <w:t xml:space="preserve">why individuals should replace their private judgment with the </w:t>
      </w:r>
      <w:proofErr w:type="gramStart"/>
      <w:r w:rsidR="004E5F8F">
        <w:t>church’s</w:t>
      </w:r>
      <w:proofErr w:type="gramEnd"/>
      <w:r w:rsidR="004E5F8F">
        <w:t>. First, they summoned hierarchical notions, maintaining that an individual’s judgment was substantively inferior to the church’s</w:t>
      </w:r>
      <w:r w:rsidR="00B96EF9">
        <w:t xml:space="preserve"> superior judg</w:t>
      </w:r>
      <w:r>
        <w:t>ment</w:t>
      </w:r>
      <w:r w:rsidR="004E5F8F">
        <w:t>. Second, they presented skeptical arguments and maintained that an individual’s judgment was uncertain, inconstant and ultimately inconclusi</w:t>
      </w:r>
      <w:r>
        <w:t>ve. Only the</w:t>
      </w:r>
      <w:r w:rsidR="004E5F8F">
        <w:t xml:space="preserve"> </w:t>
      </w:r>
      <w:r>
        <w:t xml:space="preserve">church’s judgment </w:t>
      </w:r>
      <w:r w:rsidR="004E5F8F">
        <w:t>brought certainty, stability and conclusiveness to religious matters. Third, they argued that reliance upon private judgment bred confusion, controversy, and ultima</w:t>
      </w:r>
      <w:r>
        <w:t>tely schism and religious war. Only t</w:t>
      </w:r>
      <w:r w:rsidR="004E5F8F">
        <w:t>he church’s judgment</w:t>
      </w:r>
      <w:r>
        <w:t xml:space="preserve"> </w:t>
      </w:r>
      <w:r w:rsidR="004E5F8F">
        <w:t>concluded religious controversies peacefully and unified the ch</w:t>
      </w:r>
      <w:r>
        <w:t>urch</w:t>
      </w:r>
      <w:r w:rsidR="004E5F8F" w:rsidRPr="005A3D39">
        <w:t>.</w:t>
      </w:r>
      <w:r w:rsidR="004E5F8F" w:rsidRPr="005A3D39">
        <w:rPr>
          <w:rStyle w:val="FootnoteReference"/>
        </w:rPr>
        <w:footnoteReference w:id="39"/>
      </w:r>
      <w:r w:rsidR="004E5F8F" w:rsidRPr="005A3D39">
        <w:t xml:space="preserve"> </w:t>
      </w:r>
    </w:p>
    <w:p w14:paraId="7325E237" w14:textId="2152AEDF" w:rsidR="00145F1A" w:rsidRDefault="00B96EF9" w:rsidP="00350E7B">
      <w:pPr>
        <w:spacing w:line="480" w:lineRule="auto"/>
        <w:ind w:firstLine="720"/>
      </w:pPr>
      <w:r>
        <w:t xml:space="preserve">For the same prudential reasons, </w:t>
      </w:r>
      <w:r w:rsidR="00CE4315">
        <w:t xml:space="preserve">Hobbes </w:t>
      </w:r>
      <w:r w:rsidR="006A7A9F">
        <w:t xml:space="preserve">supports </w:t>
      </w:r>
      <w:r w:rsidR="000E3562">
        <w:t>subjects who replace their private judgment with the</w:t>
      </w:r>
      <w:r w:rsidR="00CE4315">
        <w:t xml:space="preserve"> sovereign’s public judgment</w:t>
      </w:r>
      <w:r w:rsidR="006E3D95">
        <w:t>. He a</w:t>
      </w:r>
      <w:r>
        <w:t>lso seems to support subjects</w:t>
      </w:r>
      <w:r w:rsidR="006E3D95">
        <w:t xml:space="preserve"> who </w:t>
      </w:r>
      <w:r>
        <w:t xml:space="preserve">decide to </w:t>
      </w:r>
      <w:r w:rsidR="006E3D95">
        <w:t>renounce the activity of exercising private judgment altogether</w:t>
      </w:r>
      <w:r w:rsidR="00CE4315">
        <w:t>.</w:t>
      </w:r>
      <w:r w:rsidR="00245186">
        <w:t xml:space="preserve"> </w:t>
      </w:r>
      <w:r w:rsidR="000E3562">
        <w:t xml:space="preserve">In a commonwealth, </w:t>
      </w:r>
      <w:r w:rsidR="006E3D95">
        <w:t xml:space="preserve">Hobbes reasons that </w:t>
      </w:r>
      <w:r w:rsidR="000E3562">
        <w:t xml:space="preserve">individuals should not “judge the </w:t>
      </w:r>
      <w:proofErr w:type="spellStart"/>
      <w:r w:rsidR="000E3562">
        <w:t>goodnesse</w:t>
      </w:r>
      <w:proofErr w:type="spellEnd"/>
      <w:r w:rsidR="000E3562">
        <w:t xml:space="preserve"> and </w:t>
      </w:r>
      <w:proofErr w:type="spellStart"/>
      <w:r w:rsidR="000E3562">
        <w:t>wicknesse</w:t>
      </w:r>
      <w:proofErr w:type="spellEnd"/>
      <w:r w:rsidR="000E3562">
        <w:t xml:space="preserve"> of their own, and of other men’s actions, and of the actions of the commonwealth itself, by their own passions, and no man </w:t>
      </w:r>
      <w:proofErr w:type="spellStart"/>
      <w:r w:rsidR="000E3562">
        <w:t>calleth</w:t>
      </w:r>
      <w:proofErr w:type="spellEnd"/>
      <w:r w:rsidR="000E3562">
        <w:t xml:space="preserve"> good </w:t>
      </w:r>
      <w:r w:rsidR="000E3562">
        <w:lastRenderedPageBreak/>
        <w:t>or evil, but that which is so in his own eyes.” In a commonwealth, individuals should use “</w:t>
      </w:r>
      <w:proofErr w:type="spellStart"/>
      <w:r w:rsidR="000E3562">
        <w:t>publique</w:t>
      </w:r>
      <w:proofErr w:type="spellEnd"/>
      <w:r w:rsidR="000E3562">
        <w:t xml:space="preserve"> laws” </w:t>
      </w:r>
      <w:r w:rsidR="006E3D95">
        <w:t>as the basis for their</w:t>
      </w:r>
      <w:r w:rsidR="000E3562">
        <w:t xml:space="preserve"> judgment.</w:t>
      </w:r>
      <w:r w:rsidR="000E3562">
        <w:rPr>
          <w:rStyle w:val="FootnoteReference"/>
        </w:rPr>
        <w:footnoteReference w:id="40"/>
      </w:r>
      <w:r w:rsidR="000E3562">
        <w:t xml:space="preserve"> </w:t>
      </w:r>
      <w:r w:rsidR="006E3D95">
        <w:t xml:space="preserve">That is, subjects should use public </w:t>
      </w:r>
      <w:proofErr w:type="gramStart"/>
      <w:r w:rsidR="006E3D95">
        <w:t>laws  as</w:t>
      </w:r>
      <w:proofErr w:type="gramEnd"/>
      <w:r w:rsidR="006E3D95">
        <w:t xml:space="preserve"> “rules” for judging; they should “examine and try out the truth” of their own doctrines, as well as the doctrines of other private individuals using the sovereign’s rule.  If a subject discovers a doctrine “contrary to that rule” he or should </w:t>
      </w:r>
      <w:proofErr w:type="spellStart"/>
      <w:r w:rsidR="006E3D95">
        <w:t>should</w:t>
      </w:r>
      <w:proofErr w:type="spellEnd"/>
      <w:r w:rsidR="006E3D95">
        <w:t xml:space="preserve"> complain to the civil sovereign “and leave to the Sovereign…to uphold or forbid them, as he should see cause.”</w:t>
      </w:r>
      <w:r w:rsidR="006E3D95">
        <w:rPr>
          <w:rStyle w:val="FootnoteReference"/>
        </w:rPr>
        <w:footnoteReference w:id="41"/>
      </w:r>
      <w:r w:rsidR="006E3D95">
        <w:t xml:space="preserve"> For Hobbes, to permit </w:t>
      </w:r>
      <w:r w:rsidR="000E3562">
        <w:t>“</w:t>
      </w:r>
      <w:r w:rsidR="006E3D95">
        <w:t xml:space="preserve">private </w:t>
      </w:r>
      <w:proofErr w:type="gramStart"/>
      <w:r w:rsidR="006E3D95">
        <w:t>m[</w:t>
      </w:r>
      <w:proofErr w:type="gramEnd"/>
      <w:r w:rsidR="006E3D95">
        <w:t>e]</w:t>
      </w:r>
      <w:r w:rsidR="000E3562">
        <w:t xml:space="preserve">n, without the authority of the common-wealth…..to interpret </w:t>
      </w:r>
      <w:r w:rsidR="006E3D95">
        <w:t>[laws and doctrines] by [their]</w:t>
      </w:r>
      <w:r w:rsidR="000E3562">
        <w:t xml:space="preserve"> own spirit, is [an] error.</w:t>
      </w:r>
      <w:r w:rsidR="006E3D95">
        <w:t>”</w:t>
      </w:r>
      <w:r w:rsidR="006E3D95">
        <w:rPr>
          <w:rStyle w:val="FootnoteReference"/>
        </w:rPr>
        <w:footnoteReference w:id="42"/>
      </w:r>
      <w:r w:rsidR="006E3D95">
        <w:t xml:space="preserve"> </w:t>
      </w:r>
    </w:p>
    <w:p w14:paraId="56F60C60" w14:textId="1579016B" w:rsidR="00145F1A" w:rsidRDefault="00145F1A" w:rsidP="00350E7B">
      <w:pPr>
        <w:spacing w:line="480" w:lineRule="auto"/>
        <w:ind w:firstLine="720"/>
      </w:pPr>
      <w:r>
        <w:t>Moreover, Hobbes</w:t>
      </w:r>
      <w:r w:rsidR="006E3D95">
        <w:t xml:space="preserve"> </w:t>
      </w:r>
      <w:r w:rsidR="00B96EF9">
        <w:t xml:space="preserve">appears to want to </w:t>
      </w:r>
      <w:r w:rsidR="006E3D95">
        <w:t>encourage indiv</w:t>
      </w:r>
      <w:r w:rsidR="00B96EF9">
        <w:t>iduals to forfeit the exercise</w:t>
      </w:r>
      <w:r w:rsidR="006E3D95">
        <w:t xml:space="preserve"> of judging</w:t>
      </w:r>
      <w:r>
        <w:t xml:space="preserve"> altogether. He issues such encouragement when he equates forfeiture of judgment with the doctrine of Christ.</w:t>
      </w:r>
      <w:r w:rsidR="006E3D95">
        <w:t xml:space="preserve">  </w:t>
      </w:r>
      <w:r>
        <w:t>Hobbes says the Messiah</w:t>
      </w:r>
      <w:r w:rsidR="006A7A9F">
        <w:t xml:space="preserve"> “came not to judge the world</w:t>
      </w:r>
      <w:r>
        <w:t>.</w:t>
      </w:r>
      <w:r w:rsidR="006A7A9F">
        <w:t>”</w:t>
      </w:r>
      <w:r w:rsidR="004064E9">
        <w:rPr>
          <w:rStyle w:val="FootnoteReference"/>
        </w:rPr>
        <w:footnoteReference w:id="43"/>
      </w:r>
      <w:r>
        <w:t xml:space="preserve">  Christ</w:t>
      </w:r>
      <w:r w:rsidR="004064E9">
        <w:t xml:space="preserve"> “refused to take upon himself to be a judge.”</w:t>
      </w:r>
      <w:r w:rsidR="004064E9">
        <w:rPr>
          <w:rStyle w:val="FootnoteReference"/>
        </w:rPr>
        <w:footnoteReference w:id="44"/>
      </w:r>
      <w:r>
        <w:t xml:space="preserve"> If </w:t>
      </w:r>
      <w:r w:rsidR="004064E9">
        <w:t>Christ</w:t>
      </w:r>
      <w:r>
        <w:t xml:space="preserve"> did not judge subjects or civil sovereigns when he walked the earth, Christians</w:t>
      </w:r>
      <w:r w:rsidR="004064E9">
        <w:t xml:space="preserve"> </w:t>
      </w:r>
      <w:r>
        <w:t>should not exercise their judgments either</w:t>
      </w:r>
      <w:r w:rsidR="006A7A9F">
        <w:t xml:space="preserve">. </w:t>
      </w:r>
    </w:p>
    <w:p w14:paraId="442B1C85" w14:textId="577F2E9E" w:rsidR="005907E4" w:rsidRDefault="00145F1A" w:rsidP="00350E7B">
      <w:pPr>
        <w:spacing w:line="480" w:lineRule="auto"/>
        <w:ind w:firstLine="720"/>
      </w:pPr>
      <w:r>
        <w:lastRenderedPageBreak/>
        <w:t>As</w:t>
      </w:r>
      <w:r w:rsidR="004E5F8F">
        <w:t xml:space="preserve"> with the case of belief, there was more than one way to understand what obligations the doctrine of implicit faith imposed upon private judgment. </w:t>
      </w:r>
      <w:r w:rsidR="008D02DB">
        <w:t>The less robust</w:t>
      </w:r>
      <w:r w:rsidR="004E5F8F">
        <w:t xml:space="preserve"> reading of the </w:t>
      </w:r>
      <w:r w:rsidR="008D02DB">
        <w:t xml:space="preserve">doctrine did not require individuals to </w:t>
      </w:r>
      <w:r>
        <w:t xml:space="preserve">replace or </w:t>
      </w:r>
      <w:r w:rsidR="008D02DB">
        <w:t>aba</w:t>
      </w:r>
      <w:r w:rsidR="00A325FF">
        <w:t>ndon the activity of judging</w:t>
      </w:r>
      <w:r w:rsidR="00860BB2">
        <w:t xml:space="preserve"> altogether</w:t>
      </w:r>
      <w:r>
        <w:t>. Instead, it</w:t>
      </w:r>
      <w:r w:rsidR="008D02DB">
        <w:t xml:space="preserve"> </w:t>
      </w:r>
      <w:r w:rsidR="00D7652D">
        <w:t xml:space="preserve">only </w:t>
      </w:r>
      <w:r w:rsidR="008D02DB">
        <w:t xml:space="preserve">required individuals </w:t>
      </w:r>
      <w:r w:rsidR="00860BB2" w:rsidRPr="00D7652D">
        <w:rPr>
          <w:i/>
        </w:rPr>
        <w:t>to submit</w:t>
      </w:r>
      <w:r w:rsidR="00860BB2">
        <w:t xml:space="preserve"> their </w:t>
      </w:r>
      <w:r w:rsidR="008D02DB">
        <w:t>judgment to the church’s</w:t>
      </w:r>
      <w:r w:rsidR="00860BB2">
        <w:t xml:space="preserve"> in </w:t>
      </w:r>
      <w:r w:rsidR="004E5F8F">
        <w:t xml:space="preserve">the final instance. </w:t>
      </w:r>
      <w:r w:rsidR="00652633">
        <w:t>Here, the</w:t>
      </w:r>
      <w:r w:rsidR="00D7652D">
        <w:t xml:space="preserve"> doctrine of implicit faith</w:t>
      </w:r>
      <w:r w:rsidR="002B181C">
        <w:t xml:space="preserve"> </w:t>
      </w:r>
      <w:r w:rsidR="00652633">
        <w:t xml:space="preserve">only </w:t>
      </w:r>
      <w:r w:rsidR="002B181C">
        <w:t>“constrain[</w:t>
      </w:r>
      <w:proofErr w:type="spellStart"/>
      <w:r w:rsidR="002B181C">
        <w:t>ed</w:t>
      </w:r>
      <w:proofErr w:type="spellEnd"/>
      <w:r w:rsidR="002B181C">
        <w:t>]</w:t>
      </w:r>
      <w:r w:rsidR="005907E4">
        <w:t xml:space="preserve"> all men to stand to [the Church-officer’s] determination.”</w:t>
      </w:r>
      <w:r w:rsidR="005907E4">
        <w:rPr>
          <w:rStyle w:val="FootnoteReference"/>
        </w:rPr>
        <w:footnoteReference w:id="45"/>
      </w:r>
      <w:r w:rsidR="005907E4">
        <w:t xml:space="preserve"> As Thomas Edwards said,</w:t>
      </w:r>
    </w:p>
    <w:p w14:paraId="44E5D395" w14:textId="3B392FBE" w:rsidR="0021736F" w:rsidRDefault="005907E4" w:rsidP="00350E7B">
      <w:pPr>
        <w:spacing w:line="480" w:lineRule="auto"/>
        <w:ind w:left="720" w:right="720"/>
      </w:pPr>
      <w:r w:rsidRPr="005907E4">
        <w:t xml:space="preserve">An implicit faith…[gives the Church the authority to] </w:t>
      </w:r>
      <w:r w:rsidR="0021736F" w:rsidRPr="005907E4">
        <w:t>put a final determination and conclusion to great offences and differences without return</w:t>
      </w:r>
      <w:r w:rsidRPr="005907E4">
        <w:t>[</w:t>
      </w:r>
      <w:proofErr w:type="spellStart"/>
      <w:r w:rsidRPr="005907E4">
        <w:t>ing</w:t>
      </w:r>
      <w:proofErr w:type="spellEnd"/>
      <w:r w:rsidRPr="005907E4">
        <w:t>]</w:t>
      </w:r>
      <w:r w:rsidR="0021736F" w:rsidRPr="005907E4">
        <w:t xml:space="preserve"> back the </w:t>
      </w:r>
      <w:proofErr w:type="spellStart"/>
      <w:r w:rsidR="0021736F" w:rsidRPr="005907E4">
        <w:t>businesse</w:t>
      </w:r>
      <w:proofErr w:type="spellEnd"/>
      <w:r w:rsidR="0021736F" w:rsidRPr="005907E4">
        <w:t xml:space="preserve"> to the Church represented, or so much as ever acquainting them with the </w:t>
      </w:r>
      <w:proofErr w:type="spellStart"/>
      <w:r w:rsidR="0021736F" w:rsidRPr="005907E4">
        <w:t>businesse</w:t>
      </w:r>
      <w:proofErr w:type="spellEnd"/>
      <w:r w:rsidR="0021736F" w:rsidRPr="005907E4">
        <w:t xml:space="preserve"> before all was ended</w:t>
      </w:r>
      <w:r>
        <w:t>.</w:t>
      </w:r>
      <w:r w:rsidRPr="005907E4">
        <w:rPr>
          <w:rStyle w:val="FootnoteReference"/>
        </w:rPr>
        <w:footnoteReference w:id="46"/>
      </w:r>
    </w:p>
    <w:p w14:paraId="6C05EFD6" w14:textId="77EF83F5" w:rsidR="00145F1A" w:rsidRDefault="004E5F8F" w:rsidP="00350E7B">
      <w:pPr>
        <w:spacing w:line="480" w:lineRule="auto"/>
        <w:ind w:firstLine="720"/>
      </w:pPr>
      <w:r>
        <w:t>Hobbes also advances this account</w:t>
      </w:r>
      <w:r w:rsidR="008F0B19">
        <w:t xml:space="preserve"> of </w:t>
      </w:r>
      <w:r>
        <w:t xml:space="preserve">a </w:t>
      </w:r>
      <w:r w:rsidR="008F0B19">
        <w:t>subject</w:t>
      </w:r>
      <w:r>
        <w:t>’</w:t>
      </w:r>
      <w:r w:rsidR="008F0B19">
        <w:t>s</w:t>
      </w:r>
      <w:r w:rsidR="00B96EF9">
        <w:t xml:space="preserve"> obligation </w:t>
      </w:r>
      <w:r>
        <w:t>to his or her sovereign</w:t>
      </w:r>
      <w:r w:rsidR="008F0B19">
        <w:t>. When</w:t>
      </w:r>
      <w:r w:rsidR="00145F1A">
        <w:t>ever</w:t>
      </w:r>
      <w:r w:rsidR="008F0B19">
        <w:t xml:space="preserve"> disp</w:t>
      </w:r>
      <w:r>
        <w:t xml:space="preserve">utes arise, </w:t>
      </w:r>
      <w:r w:rsidR="00145F1A">
        <w:t xml:space="preserve">Hobbes </w:t>
      </w:r>
      <w:proofErr w:type="gramStart"/>
      <w:r w:rsidR="00145F1A">
        <w:t>writes</w:t>
      </w:r>
      <w:proofErr w:type="gramEnd"/>
      <w:r w:rsidR="00145F1A">
        <w:t xml:space="preserve"> </w:t>
      </w:r>
      <w:r w:rsidR="008F0B19">
        <w:t>“we must have recourse to Gods Lieutenant [i.e. the civil sovereign]; to whom in all doubtful cases, we have submitted</w:t>
      </w:r>
      <w:r w:rsidR="002859DE">
        <w:t xml:space="preserve"> our private judgments.”</w:t>
      </w:r>
      <w:r w:rsidR="00622E03">
        <w:rPr>
          <w:rStyle w:val="FootnoteReference"/>
        </w:rPr>
        <w:footnoteReference w:id="47"/>
      </w:r>
      <w:r w:rsidR="002859DE">
        <w:t xml:space="preserve"> </w:t>
      </w:r>
    </w:p>
    <w:p w14:paraId="38708585" w14:textId="77777777" w:rsidR="00223E9D" w:rsidRPr="00D7652D" w:rsidRDefault="00223E9D" w:rsidP="00350E7B">
      <w:pPr>
        <w:spacing w:line="480" w:lineRule="auto"/>
      </w:pPr>
    </w:p>
    <w:p w14:paraId="426A68FF" w14:textId="7860E6EC" w:rsidR="006744BE" w:rsidRPr="006744BE" w:rsidRDefault="006744BE" w:rsidP="00350E7B">
      <w:pPr>
        <w:spacing w:line="480" w:lineRule="auto"/>
        <w:rPr>
          <w:b/>
          <w:i/>
        </w:rPr>
      </w:pPr>
      <w:r w:rsidRPr="006744BE">
        <w:rPr>
          <w:b/>
          <w:i/>
        </w:rPr>
        <w:t>Obligations imposed upon outward speech, action and behavior</w:t>
      </w:r>
    </w:p>
    <w:p w14:paraId="0BB15B93" w14:textId="49E69651" w:rsidR="00827477" w:rsidRDefault="00C53D1A" w:rsidP="00350E7B">
      <w:pPr>
        <w:spacing w:line="480" w:lineRule="auto"/>
        <w:ind w:firstLine="720"/>
      </w:pPr>
      <w:r w:rsidRPr="00753B8A">
        <w:t>The doct</w:t>
      </w:r>
      <w:r w:rsidR="002B181C">
        <w:t xml:space="preserve">rine of implicit faith </w:t>
      </w:r>
      <w:r w:rsidRPr="00753B8A">
        <w:t>also imposed</w:t>
      </w:r>
      <w:r w:rsidR="002B181C">
        <w:t xml:space="preserve"> obligations upon the individual</w:t>
      </w:r>
      <w:r w:rsidRPr="00753B8A">
        <w:t xml:space="preserve">’s </w:t>
      </w:r>
      <w:r w:rsidR="005907E4">
        <w:t xml:space="preserve">outward speech, action and behavior. </w:t>
      </w:r>
      <w:r w:rsidR="002B181C">
        <w:t>In essence, i</w:t>
      </w:r>
      <w:r w:rsidR="005907E4">
        <w:t>t obligated individuals</w:t>
      </w:r>
      <w:r w:rsidR="00753B8A">
        <w:t xml:space="preserve"> to conform</w:t>
      </w:r>
      <w:r w:rsidR="00223E9D">
        <w:t xml:space="preserve"> outwardly </w:t>
      </w:r>
      <w:r w:rsidR="00652633">
        <w:t>in all matters to the church</w:t>
      </w:r>
      <w:r w:rsidR="00D7652D">
        <w:t>.</w:t>
      </w:r>
      <w:r w:rsidR="00D7652D" w:rsidRPr="00D7652D">
        <w:t xml:space="preserve"> </w:t>
      </w:r>
      <w:r w:rsidR="00D7652D">
        <w:t xml:space="preserve">Implicit faith was therefore sometimes called </w:t>
      </w:r>
      <w:r w:rsidR="00D7652D">
        <w:lastRenderedPageBreak/>
        <w:t>“implicit obedience</w:t>
      </w:r>
      <w:r w:rsidR="00D815CC">
        <w:t>.</w:t>
      </w:r>
      <w:r w:rsidR="00D7652D">
        <w:t xml:space="preserve">” </w:t>
      </w:r>
      <w:r w:rsidR="00D815CC">
        <w:t>A</w:t>
      </w:r>
      <w:r w:rsidR="005907E4">
        <w:t>ny outward expression of</w:t>
      </w:r>
      <w:r w:rsidR="00753B8A">
        <w:t xml:space="preserve"> nonconformity amounted to a breach of duty</w:t>
      </w:r>
      <w:r w:rsidR="00223E9D">
        <w:t>, or sin</w:t>
      </w:r>
      <w:r w:rsidR="00753B8A">
        <w:t>.</w:t>
      </w:r>
      <w:r w:rsidR="00753B8A" w:rsidRPr="00753B8A">
        <w:t xml:space="preserve"> </w:t>
      </w:r>
      <w:r w:rsidR="002B181C">
        <w:t>Vane</w:t>
      </w:r>
      <w:r w:rsidR="00D815CC">
        <w:t>, for example,</w:t>
      </w:r>
      <w:r w:rsidR="002B181C">
        <w:t xml:space="preserve"> said people with implicit fa</w:t>
      </w:r>
      <w:r w:rsidR="00D815CC">
        <w:t>ith must “adhere” to the Church.</w:t>
      </w:r>
      <w:r w:rsidR="00637962">
        <w:t>”</w:t>
      </w:r>
      <w:r w:rsidR="002B181C">
        <w:rPr>
          <w:rStyle w:val="FootnoteReference"/>
        </w:rPr>
        <w:footnoteReference w:id="48"/>
      </w:r>
      <w:r w:rsidR="00223E9D">
        <w:t xml:space="preserve"> And </w:t>
      </w:r>
      <w:r w:rsidR="00D815CC" w:rsidRPr="00D815CC">
        <w:t xml:space="preserve">Anglican William Prynne tied implicit faith to </w:t>
      </w:r>
      <w:r w:rsidR="00D815CC" w:rsidRPr="00D815CC">
        <w:rPr>
          <w:i/>
        </w:rPr>
        <w:t>absolute</w:t>
      </w:r>
      <w:r w:rsidR="00D815CC" w:rsidRPr="00D815CC">
        <w:t xml:space="preserve"> obedience</w:t>
      </w:r>
      <w:r w:rsidR="00160244">
        <w:t xml:space="preserve"> in secular and sacred affairs</w:t>
      </w:r>
      <w:r w:rsidR="00D815CC" w:rsidRPr="00D815CC">
        <w:t xml:space="preserve">:  </w:t>
      </w:r>
      <w:r w:rsidR="00905955" w:rsidRPr="00D815CC">
        <w:t>“</w:t>
      </w:r>
      <w:r w:rsidR="00D815CC" w:rsidRPr="00D815CC">
        <w:t>I</w:t>
      </w:r>
      <w:r w:rsidR="00905955" w:rsidRPr="00D815CC">
        <w:t xml:space="preserve">mplicit Faith </w:t>
      </w:r>
      <w:r w:rsidR="00D815CC" w:rsidRPr="00D815CC">
        <w:t xml:space="preserve">[is the doctrine] </w:t>
      </w:r>
      <w:r w:rsidR="00905955" w:rsidRPr="00D815CC">
        <w:t>that whatever [authority] Commands (though against the express laws of God)…may and ought to be obeyed</w:t>
      </w:r>
      <w:r w:rsidR="00D815CC" w:rsidRPr="00D815CC">
        <w:t>.</w:t>
      </w:r>
      <w:r w:rsidR="00905955" w:rsidRPr="00D815CC">
        <w:t>”</w:t>
      </w:r>
      <w:r w:rsidR="008F0B19">
        <w:rPr>
          <w:rStyle w:val="FootnoteReference"/>
        </w:rPr>
        <w:footnoteReference w:id="49"/>
      </w:r>
      <w:r w:rsidR="00D5508F">
        <w:t xml:space="preserve"> </w:t>
      </w:r>
      <w:r w:rsidR="00145F1A">
        <w:t>Hobbes concurs: i</w:t>
      </w:r>
      <w:r w:rsidR="00827477">
        <w:t xml:space="preserve">ndividuals must obey the sovereign in deed </w:t>
      </w:r>
      <w:r w:rsidR="00B96EF9">
        <w:t xml:space="preserve">and speech </w:t>
      </w:r>
      <w:r w:rsidR="00827477">
        <w:t xml:space="preserve">(except when life itself is </w:t>
      </w:r>
      <w:r w:rsidR="00B96EF9">
        <w:t>in jeopardy, but it is not ultimately clear who gets to make this judgment)</w:t>
      </w:r>
      <w:r w:rsidR="00145F1A">
        <w:t>.</w:t>
      </w:r>
      <w:r w:rsidR="00827477">
        <w:rPr>
          <w:rStyle w:val="FootnoteReference"/>
        </w:rPr>
        <w:footnoteReference w:id="50"/>
      </w:r>
    </w:p>
    <w:p w14:paraId="5DAFFFAE" w14:textId="3F4D9E3B" w:rsidR="00905955" w:rsidRPr="002859DE" w:rsidRDefault="00D815CC" w:rsidP="00350E7B">
      <w:pPr>
        <w:spacing w:line="480" w:lineRule="auto"/>
        <w:ind w:firstLine="720"/>
        <w:rPr>
          <w:i/>
        </w:rPr>
      </w:pPr>
      <w:r>
        <w:t xml:space="preserve">Absolute </w:t>
      </w:r>
      <w:r w:rsidR="002859DE">
        <w:t xml:space="preserve">or near </w:t>
      </w:r>
      <w:r w:rsidR="00827477">
        <w:t xml:space="preserve">absolute </w:t>
      </w:r>
      <w:r>
        <w:t>conformity to church</w:t>
      </w:r>
      <w:r w:rsidR="00B96EF9">
        <w:t xml:space="preserve"> </w:t>
      </w:r>
      <w:r>
        <w:t>command is a heavy burden for any individual to bear. But there’s a twist. Some supporter</w:t>
      </w:r>
      <w:r w:rsidR="007E01A3">
        <w:t>s of this</w:t>
      </w:r>
      <w:r w:rsidR="00F0015A">
        <w:t xml:space="preserve"> particular obligation </w:t>
      </w:r>
      <w:r>
        <w:t>maintained that so long as</w:t>
      </w:r>
      <w:r w:rsidR="007E01A3">
        <w:t xml:space="preserve"> individuals conformed outwardly </w:t>
      </w:r>
      <w:r>
        <w:t>to church command, their obligations</w:t>
      </w:r>
      <w:r w:rsidR="007E01A3">
        <w:t xml:space="preserve"> to the church were satisfied</w:t>
      </w:r>
      <w:r>
        <w:t>. Th</w:t>
      </w:r>
      <w:r w:rsidR="00F0015A">
        <w:t>at is to say, th</w:t>
      </w:r>
      <w:r>
        <w:t xml:space="preserve">ese </w:t>
      </w:r>
      <w:r w:rsidR="007E01A3">
        <w:t xml:space="preserve">proponents of the doctrine of implicit faith were willing to completely relax the internal obligations that I previously discussed. </w:t>
      </w:r>
      <w:r w:rsidR="00F0015A">
        <w:t>Individuals did not hav</w:t>
      </w:r>
      <w:r w:rsidR="00A325FF">
        <w:t>e to believe</w:t>
      </w:r>
      <w:r w:rsidR="00652633">
        <w:t>,</w:t>
      </w:r>
      <w:r w:rsidR="00A325FF">
        <w:t xml:space="preserve"> </w:t>
      </w:r>
      <w:r w:rsidR="00223E9D">
        <w:t xml:space="preserve">or try to believe </w:t>
      </w:r>
      <w:r w:rsidR="00A325FF">
        <w:t>in church doctrine. Nor</w:t>
      </w:r>
      <w:r w:rsidR="00F0015A">
        <w:t xml:space="preserve"> they did </w:t>
      </w:r>
      <w:r w:rsidR="00A325FF">
        <w:t xml:space="preserve">not have to abdicate </w:t>
      </w:r>
      <w:r w:rsidR="00223E9D">
        <w:t xml:space="preserve">or submit </w:t>
      </w:r>
      <w:r w:rsidR="00F0015A">
        <w:t>their judgment</w:t>
      </w:r>
      <w:r w:rsidR="00223E9D">
        <w:t xml:space="preserve"> </w:t>
      </w:r>
      <w:r w:rsidR="00A325FF">
        <w:t>to a higher authority</w:t>
      </w:r>
      <w:r w:rsidR="002859DE">
        <w:t xml:space="preserve">. </w:t>
      </w:r>
      <w:r w:rsidR="00F0015A">
        <w:t>T</w:t>
      </w:r>
      <w:r w:rsidR="007E01A3">
        <w:t xml:space="preserve">he Catholic Vane wrote, “It will suffice…to believe them [doctrines of church] implicitly, that is, </w:t>
      </w:r>
      <w:r w:rsidR="007E01A3" w:rsidRPr="007E01A3">
        <w:rPr>
          <w:i/>
        </w:rPr>
        <w:t>to adhere to</w:t>
      </w:r>
      <w:r w:rsidR="007E01A3">
        <w:t xml:space="preserve"> the Church that doth believe them.” </w:t>
      </w:r>
      <w:r w:rsidR="00145F1A">
        <w:t xml:space="preserve">Adherence means conformity. Thus, it suffices to conform. </w:t>
      </w:r>
      <w:r w:rsidR="007E01A3">
        <w:t>An</w:t>
      </w:r>
      <w:r w:rsidR="00223E9D">
        <w:t>other Englishmen wrote</w:t>
      </w:r>
      <w:r w:rsidR="00F0015A">
        <w:t xml:space="preserve">, </w:t>
      </w:r>
      <w:r w:rsidR="007E01A3">
        <w:t xml:space="preserve">“All by an </w:t>
      </w:r>
      <w:proofErr w:type="spellStart"/>
      <w:proofErr w:type="gramStart"/>
      <w:r w:rsidR="007E01A3">
        <w:t>implicite</w:t>
      </w:r>
      <w:proofErr w:type="spellEnd"/>
      <w:r w:rsidR="007E01A3">
        <w:t xml:space="preserve">  must</w:t>
      </w:r>
      <w:proofErr w:type="gramEnd"/>
      <w:r w:rsidR="007E01A3">
        <w:t xml:space="preserve"> believe, that their governors..[</w:t>
      </w:r>
      <w:proofErr w:type="gramStart"/>
      <w:r w:rsidR="007E01A3">
        <w:t>who</w:t>
      </w:r>
      <w:proofErr w:type="gramEnd"/>
      <w:r w:rsidR="007E01A3">
        <w:t xml:space="preserve">] </w:t>
      </w:r>
      <w:r w:rsidR="007E01A3" w:rsidRPr="007E01A3">
        <w:t xml:space="preserve">may </w:t>
      </w:r>
      <w:proofErr w:type="spellStart"/>
      <w:r w:rsidR="007E01A3" w:rsidRPr="007E01A3">
        <w:t>erre</w:t>
      </w:r>
      <w:proofErr w:type="spellEnd"/>
      <w:r w:rsidR="007E01A3" w:rsidRPr="007E01A3">
        <w:t xml:space="preserve">…must not be resisted by the modest </w:t>
      </w:r>
      <w:proofErr w:type="spellStart"/>
      <w:r w:rsidR="007E01A3" w:rsidRPr="007E01A3">
        <w:t>sonnes</w:t>
      </w:r>
      <w:proofErr w:type="spellEnd"/>
      <w:r w:rsidR="007E01A3" w:rsidRPr="007E01A3">
        <w:t xml:space="preserve"> of the </w:t>
      </w:r>
      <w:r w:rsidR="007E01A3" w:rsidRPr="007E01A3">
        <w:lastRenderedPageBreak/>
        <w:t>church, but obeyed.</w:t>
      </w:r>
      <w:r w:rsidR="00893B06">
        <w:t>”</w:t>
      </w:r>
      <w:r w:rsidR="007E01A3" w:rsidRPr="007E01A3">
        <w:rPr>
          <w:rStyle w:val="FootnoteReference"/>
        </w:rPr>
        <w:footnoteReference w:id="51"/>
      </w:r>
      <w:r w:rsidR="00223E9D">
        <w:t xml:space="preserve"> </w:t>
      </w:r>
      <w:r w:rsidR="00893B06">
        <w:t>Here, s</w:t>
      </w:r>
      <w:r w:rsidR="00324F8B">
        <w:t>ubject</w:t>
      </w:r>
      <w:r w:rsidR="00893B06">
        <w:t>s</w:t>
      </w:r>
      <w:r w:rsidR="00324F8B">
        <w:t xml:space="preserve"> </w:t>
      </w:r>
      <w:r w:rsidR="00F0015A">
        <w:t>could judge that the church erred</w:t>
      </w:r>
      <w:r w:rsidR="00324F8B">
        <w:t xml:space="preserve"> and they could believe an alternative truth</w:t>
      </w:r>
      <w:r w:rsidR="00893B06">
        <w:t>. T</w:t>
      </w:r>
      <w:r w:rsidR="00F0015A">
        <w:t xml:space="preserve">hey </w:t>
      </w:r>
      <w:r w:rsidR="00893B06">
        <w:t xml:space="preserve">only </w:t>
      </w:r>
      <w:r w:rsidR="00F0015A">
        <w:t>could not resist the erring church</w:t>
      </w:r>
      <w:r w:rsidR="00223E9D">
        <w:t>.</w:t>
      </w:r>
      <w:r w:rsidR="002859DE">
        <w:t xml:space="preserve"> Needless to say, the notion that keeping faith (i.e. the third law of natu</w:t>
      </w:r>
      <w:r w:rsidR="00893B06">
        <w:t>re) amounts to outward conformity and</w:t>
      </w:r>
      <w:r w:rsidR="002859DE">
        <w:t xml:space="preserve"> non-resis</w:t>
      </w:r>
      <w:r w:rsidR="00893B06">
        <w:t>tance is a doctrine discoverable within</w:t>
      </w:r>
      <w:r w:rsidR="002859DE">
        <w:t xml:space="preserve"> </w:t>
      </w:r>
      <w:r w:rsidR="002859DE">
        <w:rPr>
          <w:i/>
        </w:rPr>
        <w:t>Leviathan.</w:t>
      </w:r>
    </w:p>
    <w:p w14:paraId="6C87A290" w14:textId="045794A2" w:rsidR="00C55AB3" w:rsidRDefault="00324F8B" w:rsidP="00350E7B">
      <w:pPr>
        <w:spacing w:line="480" w:lineRule="auto"/>
        <w:ind w:firstLine="720"/>
      </w:pPr>
      <w:r>
        <w:t xml:space="preserve">Protestants </w:t>
      </w:r>
      <w:r w:rsidR="00893B06">
        <w:t xml:space="preserve">who rejected the doctrine of implicit faith </w:t>
      </w:r>
      <w:r>
        <w:t>used c</w:t>
      </w:r>
      <w:r w:rsidR="002B181C">
        <w:t xml:space="preserve">olorful metaphors </w:t>
      </w:r>
      <w:r w:rsidR="00B96EF9">
        <w:t xml:space="preserve">to </w:t>
      </w:r>
      <w:r w:rsidR="002B181C">
        <w:t>des</w:t>
      </w:r>
      <w:r w:rsidR="00B96EF9">
        <w:t>cribe</w:t>
      </w:r>
      <w:r w:rsidR="00D7652D">
        <w:t xml:space="preserve"> those </w:t>
      </w:r>
      <w:r w:rsidR="00A325FF">
        <w:t xml:space="preserve">who </w:t>
      </w:r>
      <w:r w:rsidR="00637962">
        <w:t>fulfilled the</w:t>
      </w:r>
      <w:r w:rsidR="00D7652D">
        <w:t xml:space="preserve"> obligation </w:t>
      </w:r>
      <w:r w:rsidR="00637962">
        <w:t>to conform</w:t>
      </w:r>
      <w:r w:rsidR="00087D47">
        <w:t xml:space="preserve"> </w:t>
      </w:r>
      <w:r w:rsidR="00D815CC">
        <w:t>outwardly</w:t>
      </w:r>
      <w:r w:rsidR="00637962">
        <w:t>.  The implicitly faithful were indivi</w:t>
      </w:r>
      <w:r w:rsidR="000F6707">
        <w:t>duals who were “led by the nose.</w:t>
      </w:r>
      <w:r w:rsidR="00397236">
        <w:t xml:space="preserve">” </w:t>
      </w:r>
      <w:r w:rsidR="000F6707">
        <w:t>T</w:t>
      </w:r>
      <w:r w:rsidR="00637962">
        <w:t xml:space="preserve">hey </w:t>
      </w:r>
      <w:r w:rsidR="00D7652D">
        <w:t>“</w:t>
      </w:r>
      <w:r w:rsidR="00637962">
        <w:t>walked,” “followed</w:t>
      </w:r>
      <w:r w:rsidR="002B181C">
        <w:t>” and “assent</w:t>
      </w:r>
      <w:r w:rsidR="00637962">
        <w:t>ed</w:t>
      </w:r>
      <w:r w:rsidR="00D7652D">
        <w:t>” to whateve</w:t>
      </w:r>
      <w:r w:rsidR="00637962">
        <w:t xml:space="preserve">r </w:t>
      </w:r>
      <w:r w:rsidR="00D7652D">
        <w:t xml:space="preserve">human </w:t>
      </w:r>
      <w:r w:rsidR="002B181C">
        <w:t>authority command</w:t>
      </w:r>
      <w:r w:rsidR="00397236">
        <w:t>ed</w:t>
      </w:r>
      <w:r w:rsidR="002B181C">
        <w:t>.</w:t>
      </w:r>
      <w:r w:rsidR="00637962">
        <w:t xml:space="preserve"> In essence, they were authority’s </w:t>
      </w:r>
      <w:r w:rsidR="00A325FF">
        <w:t>loyal—i.e. faithful---</w:t>
      </w:r>
      <w:r w:rsidR="000F6707">
        <w:t>adherents. For this reason</w:t>
      </w:r>
      <w:r w:rsidR="00637962">
        <w:t xml:space="preserve"> Protestants said</w:t>
      </w:r>
      <w:r w:rsidR="00893B06">
        <w:t xml:space="preserve"> conformists</w:t>
      </w:r>
      <w:r w:rsidR="00A325FF">
        <w:t xml:space="preserve"> were not “free” men</w:t>
      </w:r>
      <w:r w:rsidR="00893B06">
        <w:t>; they did not ground</w:t>
      </w:r>
      <w:r w:rsidR="005E53CD">
        <w:t xml:space="preserve"> their actions on their </w:t>
      </w:r>
      <w:r>
        <w:t xml:space="preserve">own </w:t>
      </w:r>
      <w:r w:rsidR="005E53CD">
        <w:t>conscience</w:t>
      </w:r>
      <w:r>
        <w:t>s</w:t>
      </w:r>
      <w:r w:rsidR="00893B06">
        <w:t>. T</w:t>
      </w:r>
      <w:r w:rsidR="005E53CD">
        <w:t xml:space="preserve">hey </w:t>
      </w:r>
      <w:r w:rsidR="00637962">
        <w:t>were the church’s “</w:t>
      </w:r>
      <w:proofErr w:type="spellStart"/>
      <w:r w:rsidR="00637962">
        <w:t>sworne</w:t>
      </w:r>
      <w:proofErr w:type="spellEnd"/>
      <w:r w:rsidR="00637962">
        <w:t xml:space="preserve">-men…and </w:t>
      </w:r>
      <w:proofErr w:type="spellStart"/>
      <w:r w:rsidR="00637962">
        <w:t>would</w:t>
      </w:r>
      <w:proofErr w:type="gramStart"/>
      <w:r w:rsidR="00637962">
        <w:t>..give</w:t>
      </w:r>
      <w:proofErr w:type="spellEnd"/>
      <w:proofErr w:type="gramEnd"/>
      <w:r w:rsidR="00637962">
        <w:t xml:space="preserve">…assent to [the churches] dictates, with an </w:t>
      </w:r>
      <w:proofErr w:type="spellStart"/>
      <w:r w:rsidR="00637962">
        <w:t>implicite</w:t>
      </w:r>
      <w:proofErr w:type="spellEnd"/>
      <w:r w:rsidR="00637962">
        <w:t xml:space="preserve"> faith.”</w:t>
      </w:r>
      <w:r w:rsidR="00637962">
        <w:rPr>
          <w:rStyle w:val="FootnoteReference"/>
        </w:rPr>
        <w:footnoteReference w:id="52"/>
      </w:r>
      <w:r w:rsidR="00893B06">
        <w:t xml:space="preserve">  Men who pledged implicit faith (in the way Hobbes instructs subjects to pledge themselves to the sovereign)</w:t>
      </w:r>
      <w:r>
        <w:t xml:space="preserve"> performed</w:t>
      </w:r>
      <w:r w:rsidR="00637962">
        <w:t xml:space="preserve"> </w:t>
      </w:r>
      <w:r>
        <w:t xml:space="preserve">actions </w:t>
      </w:r>
      <w:r w:rsidR="00637962">
        <w:t>not becau</w:t>
      </w:r>
      <w:r w:rsidR="000F6707">
        <w:t>s</w:t>
      </w:r>
      <w:r w:rsidR="00893B06">
        <w:t>e they</w:t>
      </w:r>
      <w:r w:rsidR="00637962">
        <w:t xml:space="preserve"> were “in [themselv</w:t>
      </w:r>
      <w:r w:rsidR="000F6707">
        <w:t>es] good or indifferent.</w:t>
      </w:r>
      <w:r w:rsidR="00A325FF">
        <w:t>”</w:t>
      </w:r>
      <w:r>
        <w:t xml:space="preserve"> They </w:t>
      </w:r>
      <w:r w:rsidR="00A325FF">
        <w:t xml:space="preserve">performed or omitted </w:t>
      </w:r>
      <w:r w:rsidR="00893B06">
        <w:t>them</w:t>
      </w:r>
      <w:r w:rsidR="000F6707">
        <w:t xml:space="preserve"> </w:t>
      </w:r>
      <w:r w:rsidR="00637962">
        <w:t>“in obedience unto him, whose supreme authority they make the foundation…of all good actions.”</w:t>
      </w:r>
      <w:r w:rsidR="00637962">
        <w:rPr>
          <w:rStyle w:val="FootnoteReference"/>
        </w:rPr>
        <w:footnoteReference w:id="53"/>
      </w:r>
      <w:r w:rsidR="00637962">
        <w:t xml:space="preserve"> </w:t>
      </w:r>
    </w:p>
    <w:p w14:paraId="2D040E93" w14:textId="7F49F8E3" w:rsidR="00F0015A" w:rsidRDefault="00324F8B" w:rsidP="00350E7B">
      <w:pPr>
        <w:spacing w:line="480" w:lineRule="auto"/>
        <w:ind w:firstLine="720"/>
      </w:pPr>
      <w:r>
        <w:t>As these phrases suggest, P</w:t>
      </w:r>
      <w:r w:rsidR="00637962">
        <w:t>rotestants vi</w:t>
      </w:r>
      <w:r w:rsidR="00A325FF">
        <w:t xml:space="preserve">gorously rejected the way the </w:t>
      </w:r>
      <w:r w:rsidR="00F0015A">
        <w:t xml:space="preserve">espousers of the doctrine of implicit faith reduced the notion of belief </w:t>
      </w:r>
      <w:r w:rsidR="00087D47">
        <w:t xml:space="preserve">to outward </w:t>
      </w:r>
      <w:r w:rsidR="00087D47">
        <w:lastRenderedPageBreak/>
        <w:t xml:space="preserve">conformity. William Prynne called this implicit faith </w:t>
      </w:r>
      <w:r w:rsidR="00F0015A">
        <w:t>conception of belief “faithless faith.” Outward co</w:t>
      </w:r>
      <w:r w:rsidR="000F6707">
        <w:t xml:space="preserve">nformity was faithless </w:t>
      </w:r>
      <w:r w:rsidR="00F0015A">
        <w:t xml:space="preserve">because it did not reflect or correspond to the individual’s internal beliefs and judgments. </w:t>
      </w:r>
      <w:r w:rsidR="001E2053">
        <w:t xml:space="preserve">This is why the Protestant William </w:t>
      </w:r>
      <w:proofErr w:type="spellStart"/>
      <w:r w:rsidR="001E2053">
        <w:t>Slayter</w:t>
      </w:r>
      <w:proofErr w:type="spellEnd"/>
      <w:r w:rsidR="001E2053">
        <w:t xml:space="preserve"> said “</w:t>
      </w:r>
      <w:proofErr w:type="spellStart"/>
      <w:r w:rsidR="001E2053">
        <w:t>implicite</w:t>
      </w:r>
      <w:proofErr w:type="spellEnd"/>
      <w:r w:rsidR="001E2053">
        <w:t xml:space="preserve"> faith [is] indeed no faith.”</w:t>
      </w:r>
      <w:r w:rsidR="001E2053">
        <w:rPr>
          <w:rStyle w:val="FootnoteReference"/>
        </w:rPr>
        <w:footnoteReference w:id="54"/>
      </w:r>
      <w:r w:rsidR="001E2053">
        <w:t xml:space="preserve"> </w:t>
      </w:r>
      <w:r w:rsidR="00F0015A">
        <w:t>Bu</w:t>
      </w:r>
      <w:r w:rsidR="000F6707">
        <w:t xml:space="preserve">t from a different </w:t>
      </w:r>
      <w:r w:rsidR="001E2053">
        <w:t>perspective</w:t>
      </w:r>
      <w:r w:rsidR="00F0015A">
        <w:t xml:space="preserve"> </w:t>
      </w:r>
      <w:r w:rsidR="001E2053">
        <w:t xml:space="preserve">implicit faith </w:t>
      </w:r>
      <w:r w:rsidR="00F0015A">
        <w:t xml:space="preserve">was form of faith because it expressed blind trust in an external human authority. </w:t>
      </w:r>
      <w:r w:rsidR="00087D47">
        <w:t xml:space="preserve">Thus, </w:t>
      </w:r>
      <w:r w:rsidR="00893B06">
        <w:t xml:space="preserve">it was </w:t>
      </w:r>
      <w:r w:rsidR="00087D47">
        <w:t>“faithless faith.</w:t>
      </w:r>
      <w:r w:rsidR="001E2053">
        <w:t>”</w:t>
      </w:r>
      <w:r>
        <w:t xml:space="preserve">  As Hobbes put it, if we “</w:t>
      </w:r>
      <w:r w:rsidR="00D5508F">
        <w:t xml:space="preserve">speak, as (by lawful authority) we are commanded; and…live </w:t>
      </w:r>
      <w:proofErr w:type="gramStart"/>
      <w:r w:rsidR="00D5508F">
        <w:t>according</w:t>
      </w:r>
      <w:r>
        <w:t>ly;…[</w:t>
      </w:r>
      <w:proofErr w:type="gramEnd"/>
      <w:r>
        <w:t>then, we reveal the]…</w:t>
      </w:r>
      <w:r w:rsidR="00D5508F">
        <w:t xml:space="preserve"> Faith reposed in him that </w:t>
      </w:r>
      <w:proofErr w:type="spellStart"/>
      <w:r w:rsidR="00D5508F">
        <w:t>speaketh</w:t>
      </w:r>
      <w:proofErr w:type="spellEnd"/>
      <w:r w:rsidR="00D5508F">
        <w:t>.”</w:t>
      </w:r>
      <w:r w:rsidR="00D5508F">
        <w:rPr>
          <w:rStyle w:val="FootnoteReference"/>
        </w:rPr>
        <w:footnoteReference w:id="55"/>
      </w:r>
      <w:r w:rsidR="00D5508F">
        <w:t xml:space="preserve"> </w:t>
      </w:r>
    </w:p>
    <w:p w14:paraId="701BEFB9" w14:textId="564698E9" w:rsidR="00EA2925" w:rsidRPr="0060173B" w:rsidRDefault="001E2053" w:rsidP="00350E7B">
      <w:pPr>
        <w:spacing w:line="480" w:lineRule="auto"/>
        <w:ind w:firstLine="720"/>
      </w:pPr>
      <w:r>
        <w:t xml:space="preserve">Protestants </w:t>
      </w:r>
      <w:r w:rsidR="00893B06">
        <w:t xml:space="preserve">acknowledged Hobbes’s point and forcefully </w:t>
      </w:r>
      <w:r w:rsidR="00324F8B">
        <w:t>rejected the idea that a human</w:t>
      </w:r>
      <w:r w:rsidR="000F6707">
        <w:t xml:space="preserve"> </w:t>
      </w:r>
      <w:r>
        <w:t>command</w:t>
      </w:r>
      <w:r w:rsidR="00324F8B">
        <w:t xml:space="preserve"> </w:t>
      </w:r>
      <w:r w:rsidR="00637962">
        <w:t>could serve as the</w:t>
      </w:r>
      <w:r w:rsidR="00C55AB3">
        <w:t xml:space="preserve"> foundation for </w:t>
      </w:r>
      <w:r>
        <w:t xml:space="preserve">individual </w:t>
      </w:r>
      <w:r w:rsidR="00C55AB3" w:rsidRPr="00087D47">
        <w:rPr>
          <w:i/>
        </w:rPr>
        <w:t>action</w:t>
      </w:r>
      <w:r w:rsidR="00087D47">
        <w:t>.  C</w:t>
      </w:r>
      <w:r w:rsidR="00637962">
        <w:t xml:space="preserve">iting Luther, the Protestant Richard </w:t>
      </w:r>
      <w:proofErr w:type="spellStart"/>
      <w:r w:rsidR="00637962">
        <w:t>Crakanthrope</w:t>
      </w:r>
      <w:proofErr w:type="spellEnd"/>
      <w:r w:rsidR="00637962">
        <w:t xml:space="preserve"> wrote, </w:t>
      </w:r>
    </w:p>
    <w:p w14:paraId="39D51406" w14:textId="1F75F15A" w:rsidR="00130348" w:rsidRDefault="00637962" w:rsidP="00350E7B">
      <w:pPr>
        <w:spacing w:line="480" w:lineRule="auto"/>
        <w:ind w:left="720" w:right="720"/>
      </w:pPr>
      <w:r w:rsidRPr="00C55AB3">
        <w:t>E</w:t>
      </w:r>
      <w:r w:rsidR="00107C79" w:rsidRPr="00C55AB3">
        <w:t xml:space="preserve">very such </w:t>
      </w:r>
      <w:r w:rsidR="00107C79" w:rsidRPr="00087D47">
        <w:rPr>
          <w:b/>
          <w:i/>
        </w:rPr>
        <w:t>act,</w:t>
      </w:r>
      <w:r w:rsidR="00107C79" w:rsidRPr="00C55AB3">
        <w:t xml:space="preserve"> is not </w:t>
      </w:r>
      <w:proofErr w:type="spellStart"/>
      <w:r w:rsidR="00107C79" w:rsidRPr="00C55AB3">
        <w:t>onely</w:t>
      </w:r>
      <w:proofErr w:type="spellEnd"/>
      <w:r w:rsidR="00107C79" w:rsidRPr="00C55AB3">
        <w:t xml:space="preserve"> impious, but even Antichristian, and </w:t>
      </w:r>
      <w:proofErr w:type="spellStart"/>
      <w:r w:rsidR="00107C79" w:rsidRPr="00C55AB3">
        <w:t>containeth</w:t>
      </w:r>
      <w:proofErr w:type="spellEnd"/>
      <w:r w:rsidR="00107C79" w:rsidRPr="00C55AB3">
        <w:t xml:space="preserve"> in it a virtual and implicit renouncing of the whole faith</w:t>
      </w:r>
      <w:r w:rsidR="00631DB1" w:rsidRPr="00C55AB3">
        <w:t>…</w:t>
      </w:r>
      <w:proofErr w:type="gramStart"/>
      <w:r w:rsidR="00631DB1" w:rsidRPr="00C55AB3">
        <w:t>.</w:t>
      </w:r>
      <w:r w:rsidRPr="00C55AB3">
        <w:t>L</w:t>
      </w:r>
      <w:r w:rsidR="00C55AB3" w:rsidRPr="00C55AB3">
        <w:t>uther</w:t>
      </w:r>
      <w:proofErr w:type="gramEnd"/>
      <w:r w:rsidR="00C55AB3" w:rsidRPr="00C55AB3">
        <w:t xml:space="preserve"> </w:t>
      </w:r>
      <w:r w:rsidR="00C55AB3">
        <w:t xml:space="preserve">says </w:t>
      </w:r>
      <w:r w:rsidR="00C55AB3" w:rsidRPr="00087D47">
        <w:rPr>
          <w:b/>
        </w:rPr>
        <w:t>to do</w:t>
      </w:r>
      <w:r w:rsidR="00C55AB3">
        <w:t xml:space="preserve"> any…[action</w:t>
      </w:r>
      <w:r w:rsidR="00C55AB3" w:rsidRPr="00C55AB3">
        <w:t xml:space="preserve">]…. </w:t>
      </w:r>
      <w:r w:rsidR="00631DB1" w:rsidRPr="00C55AB3">
        <w:t>becau</w:t>
      </w:r>
      <w:r w:rsidR="00C55AB3" w:rsidRPr="00C55AB3">
        <w:t>s</w:t>
      </w:r>
      <w:r w:rsidR="00631DB1" w:rsidRPr="00C55AB3">
        <w:t>e the Pope as P</w:t>
      </w:r>
      <w:r w:rsidR="00C55AB3" w:rsidRPr="00C55AB3">
        <w:t>op</w:t>
      </w:r>
      <w:r w:rsidR="00631DB1" w:rsidRPr="00C55AB3">
        <w:t xml:space="preserve">e </w:t>
      </w:r>
      <w:proofErr w:type="spellStart"/>
      <w:r w:rsidR="00631DB1" w:rsidRPr="00C55AB3">
        <w:t>teacheth</w:t>
      </w:r>
      <w:proofErr w:type="spellEnd"/>
      <w:r w:rsidR="00631DB1" w:rsidRPr="00C55AB3">
        <w:t xml:space="preserve"> that they are to be done, or commands the doing of them is in very deed a yielding one self to be a vassal of </w:t>
      </w:r>
      <w:proofErr w:type="spellStart"/>
      <w:r w:rsidR="00631DB1" w:rsidRPr="00C55AB3">
        <w:t>Antichirst</w:t>
      </w:r>
      <w:proofErr w:type="spellEnd"/>
      <w:r w:rsidR="00631DB1" w:rsidRPr="00C55AB3">
        <w:t xml:space="preserve">, a receiving a </w:t>
      </w:r>
      <w:proofErr w:type="spellStart"/>
      <w:r w:rsidR="00631DB1" w:rsidRPr="00C55AB3">
        <w:t>marke</w:t>
      </w:r>
      <w:proofErr w:type="spellEnd"/>
      <w:r w:rsidR="00631DB1" w:rsidRPr="00C55AB3">
        <w:t xml:space="preserve"> of the beast, and a </w:t>
      </w:r>
      <w:proofErr w:type="spellStart"/>
      <w:r w:rsidR="00631DB1" w:rsidRPr="00C55AB3">
        <w:t>vertuall</w:t>
      </w:r>
      <w:proofErr w:type="spellEnd"/>
      <w:r w:rsidR="00631DB1" w:rsidRPr="00C55AB3">
        <w:t xml:space="preserve"> or implicit denial of the faith in Christ</w:t>
      </w:r>
      <w:r w:rsidRPr="00C55AB3">
        <w:t>.</w:t>
      </w:r>
      <w:r w:rsidRPr="00C55AB3">
        <w:rPr>
          <w:rStyle w:val="FootnoteReference"/>
        </w:rPr>
        <w:footnoteReference w:id="56"/>
      </w:r>
      <w:r w:rsidR="00107C79" w:rsidRPr="00C55AB3">
        <w:t xml:space="preserve">  </w:t>
      </w:r>
    </w:p>
    <w:p w14:paraId="7D8774ED" w14:textId="75B599AD" w:rsidR="00087D47" w:rsidRDefault="00087D47" w:rsidP="00350E7B">
      <w:pPr>
        <w:spacing w:line="480" w:lineRule="auto"/>
        <w:ind w:right="720"/>
      </w:pPr>
      <w:r>
        <w:t xml:space="preserve">To do an action because a human authority commanded it was to deny Christ the authority to command; the act </w:t>
      </w:r>
      <w:r w:rsidR="00324F8B">
        <w:t>was th</w:t>
      </w:r>
      <w:r w:rsidR="00893B06">
        <w:t>erefore anti-</w:t>
      </w:r>
      <w:proofErr w:type="spellStart"/>
      <w:r w:rsidR="00893B06">
        <w:t>christian</w:t>
      </w:r>
      <w:proofErr w:type="spellEnd"/>
      <w:r w:rsidR="00893B06">
        <w:t xml:space="preserve">. Note the way </w:t>
      </w:r>
      <w:proofErr w:type="spellStart"/>
      <w:r w:rsidR="00324F8B">
        <w:lastRenderedPageBreak/>
        <w:t>Crankanthrop</w:t>
      </w:r>
      <w:r w:rsidR="00893B06">
        <w:t>e</w:t>
      </w:r>
      <w:proofErr w:type="spellEnd"/>
      <w:r w:rsidR="00893B06">
        <w:t xml:space="preserve"> does not equate </w:t>
      </w:r>
      <w:r w:rsidR="00324F8B">
        <w:t>action from i</w:t>
      </w:r>
      <w:r>
        <w:t>mplicit faith</w:t>
      </w:r>
      <w:r w:rsidR="00893B06">
        <w:t xml:space="preserve"> with</w:t>
      </w:r>
      <w:r w:rsidR="005E53CD" w:rsidRPr="005E53CD">
        <w:rPr>
          <w:i/>
        </w:rPr>
        <w:t xml:space="preserve"> secular</w:t>
      </w:r>
      <w:r w:rsidR="00893B06">
        <w:rPr>
          <w:i/>
        </w:rPr>
        <w:t>ism</w:t>
      </w:r>
      <w:r w:rsidR="00893B06">
        <w:t>. He equates it with</w:t>
      </w:r>
      <w:r w:rsidR="00324F8B">
        <w:t xml:space="preserve"> Cat</w:t>
      </w:r>
      <w:r w:rsidR="00893B06">
        <w:t>holicism and anti-Christ</w:t>
      </w:r>
      <w:r>
        <w:t>.</w:t>
      </w:r>
    </w:p>
    <w:p w14:paraId="70A88E62" w14:textId="214655A4" w:rsidR="00BA7B70" w:rsidRPr="0047419A" w:rsidRDefault="00893B06" w:rsidP="00350E7B">
      <w:pPr>
        <w:spacing w:line="480" w:lineRule="auto"/>
        <w:ind w:firstLine="720"/>
      </w:pPr>
      <w:r>
        <w:t xml:space="preserve">Like </w:t>
      </w:r>
      <w:proofErr w:type="spellStart"/>
      <w:r>
        <w:t>Crankanthrope</w:t>
      </w:r>
      <w:proofErr w:type="spellEnd"/>
      <w:r>
        <w:t xml:space="preserve">, </w:t>
      </w:r>
      <w:r w:rsidR="002B4E50">
        <w:t>the Protestant Samuel</w:t>
      </w:r>
      <w:r w:rsidR="00B96EF9">
        <w:t xml:space="preserve"> </w:t>
      </w:r>
      <w:r>
        <w:t>Rut</w:t>
      </w:r>
      <w:r w:rsidR="002B4E50">
        <w:t>herford</w:t>
      </w:r>
      <w:r>
        <w:t xml:space="preserve"> maintained that </w:t>
      </w:r>
      <w:r w:rsidRPr="00893B06">
        <w:rPr>
          <w:i/>
        </w:rPr>
        <w:t>actions</w:t>
      </w:r>
      <w:r>
        <w:t xml:space="preserve"> that </w:t>
      </w:r>
      <w:r w:rsidR="00C55AB3">
        <w:t xml:space="preserve"> “</w:t>
      </w:r>
      <w:proofErr w:type="spellStart"/>
      <w:proofErr w:type="gramStart"/>
      <w:r w:rsidR="0047419A">
        <w:t>tak</w:t>
      </w:r>
      <w:proofErr w:type="spellEnd"/>
      <w:r w:rsidR="0047419A">
        <w:t>[</w:t>
      </w:r>
      <w:proofErr w:type="gramEnd"/>
      <w:r w:rsidR="0047419A">
        <w:t>e]</w:t>
      </w:r>
      <w:r w:rsidR="00C55AB3">
        <w:t xml:space="preserve"> cognizance on</w:t>
      </w:r>
      <w:r>
        <w:t>ly of the fact of the Church</w:t>
      </w:r>
      <w:r w:rsidR="00C55AB3">
        <w:t>, not inquiring</w:t>
      </w:r>
      <w:r w:rsidR="0047419A">
        <w:t xml:space="preserve"> into the nature of the thing</w:t>
      </w:r>
      <w:r w:rsidR="00C55AB3">
        <w:t>”</w:t>
      </w:r>
      <w:r w:rsidR="00BA298B">
        <w:t xml:space="preserve"> were</w:t>
      </w:r>
      <w:r>
        <w:t xml:space="preserve"> il</w:t>
      </w:r>
      <w:r w:rsidR="00BA298B">
        <w:t>legitimately</w:t>
      </w:r>
      <w:r w:rsidR="0047419A">
        <w:t xml:space="preserve"> grounded.</w:t>
      </w:r>
      <w:r w:rsidR="0047419A" w:rsidRPr="0047419A">
        <w:rPr>
          <w:rStyle w:val="FootnoteReference"/>
        </w:rPr>
        <w:t xml:space="preserve"> </w:t>
      </w:r>
      <w:r w:rsidR="0047419A">
        <w:rPr>
          <w:rStyle w:val="FootnoteReference"/>
        </w:rPr>
        <w:footnoteReference w:id="57"/>
      </w:r>
      <w:r w:rsidR="0047419A">
        <w:t xml:space="preserve"> </w:t>
      </w:r>
      <w:r w:rsidR="00C55AB3">
        <w:t xml:space="preserve"> </w:t>
      </w:r>
      <w:r w:rsidR="002B4E50">
        <w:t>Account to the radical Saltmarsh, o</w:t>
      </w:r>
      <w:r w:rsidR="00BA298B">
        <w:t>bedient action</w:t>
      </w:r>
      <w:r>
        <w:t xml:space="preserve"> grounded in </w:t>
      </w:r>
      <w:r w:rsidR="00AE0ABE">
        <w:t xml:space="preserve">authoritative </w:t>
      </w:r>
      <w:r w:rsidR="00153471">
        <w:t>command</w:t>
      </w:r>
      <w:r w:rsidR="00AE0ABE">
        <w:t xml:space="preserve"> </w:t>
      </w:r>
      <w:r w:rsidR="00C55AB3">
        <w:t>denied individuals the use of their own “light</w:t>
      </w:r>
      <w:r w:rsidR="00BA298B">
        <w:t>,</w:t>
      </w:r>
      <w:r w:rsidR="0047419A">
        <w:t>’</w:t>
      </w:r>
      <w:r w:rsidR="00C55AB3">
        <w:t xml:space="preserve">” </w:t>
      </w:r>
      <w:r w:rsidR="00BA298B">
        <w:t xml:space="preserve">and </w:t>
      </w:r>
      <w:r w:rsidR="00087D47">
        <w:t>undermined individual “liberty.</w:t>
      </w:r>
      <w:r>
        <w:t>”</w:t>
      </w:r>
      <w:r w:rsidR="0047419A">
        <w:rPr>
          <w:rStyle w:val="FootnoteReference"/>
        </w:rPr>
        <w:footnoteReference w:id="58"/>
      </w:r>
      <w:r w:rsidR="00C55AB3">
        <w:t xml:space="preserve"> </w:t>
      </w:r>
      <w:r>
        <w:t xml:space="preserve"> </w:t>
      </w:r>
      <w:r w:rsidR="0047419A">
        <w:t xml:space="preserve">For </w:t>
      </w:r>
      <w:r w:rsidR="002B4E50">
        <w:t>the</w:t>
      </w:r>
      <w:r>
        <w:t xml:space="preserve"> </w:t>
      </w:r>
      <w:r w:rsidR="002B4E50">
        <w:t xml:space="preserve">Protestant radical and </w:t>
      </w:r>
      <w:proofErr w:type="spellStart"/>
      <w:r w:rsidR="00153471">
        <w:t>Leveller</w:t>
      </w:r>
      <w:proofErr w:type="spellEnd"/>
      <w:r w:rsidR="00153471">
        <w:t xml:space="preserve"> </w:t>
      </w:r>
      <w:r w:rsidR="00BA298B">
        <w:t xml:space="preserve">John </w:t>
      </w:r>
      <w:proofErr w:type="spellStart"/>
      <w:r w:rsidR="0047419A">
        <w:t>Lilburne</w:t>
      </w:r>
      <w:proofErr w:type="spellEnd"/>
      <w:r w:rsidR="0047419A">
        <w:t xml:space="preserve">, </w:t>
      </w:r>
      <w:r w:rsidR="00AE0ABE">
        <w:t>actions must conform to</w:t>
      </w:r>
      <w:r w:rsidR="00A325FF">
        <w:t xml:space="preserve"> </w:t>
      </w:r>
      <w:r w:rsidR="00153471">
        <w:t xml:space="preserve">loftier </w:t>
      </w:r>
      <w:r w:rsidR="00087D47">
        <w:t xml:space="preserve">Christian </w:t>
      </w:r>
      <w:r w:rsidR="00153471">
        <w:t>standard</w:t>
      </w:r>
      <w:r w:rsidR="00A325FF">
        <w:t>s</w:t>
      </w:r>
      <w:r w:rsidR="00153471">
        <w:t xml:space="preserve"> such as “[scriptural] law, </w:t>
      </w:r>
      <w:r w:rsidR="0047419A">
        <w:t>reason, equity, justice or consc</w:t>
      </w:r>
      <w:r w:rsidR="00153471">
        <w:t>ience.”</w:t>
      </w:r>
      <w:r w:rsidR="0047419A">
        <w:rPr>
          <w:rStyle w:val="FootnoteReference"/>
        </w:rPr>
        <w:footnoteReference w:id="59"/>
      </w:r>
      <w:r w:rsidR="0047419A">
        <w:t xml:space="preserve"> William Strong</w:t>
      </w:r>
      <w:r w:rsidR="005E7F5E">
        <w:t>, a pastor of an</w:t>
      </w:r>
      <w:r w:rsidR="00BA298B">
        <w:t xml:space="preserve"> independent congregation,</w:t>
      </w:r>
      <w:r>
        <w:t xml:space="preserve"> concurred </w:t>
      </w:r>
      <w:r w:rsidR="002B4E50">
        <w:t xml:space="preserve">with </w:t>
      </w:r>
      <w:proofErr w:type="spellStart"/>
      <w:r w:rsidR="002B4E50">
        <w:t>Lilburne</w:t>
      </w:r>
      <w:proofErr w:type="spellEnd"/>
      <w:r w:rsidR="002B4E50">
        <w:t xml:space="preserve"> </w:t>
      </w:r>
      <w:r>
        <w:t>and</w:t>
      </w:r>
      <w:r w:rsidR="00BA298B">
        <w:t xml:space="preserve"> said</w:t>
      </w:r>
      <w:r w:rsidR="005E7F5E">
        <w:t>,</w:t>
      </w:r>
      <w:r w:rsidR="0047419A">
        <w:t xml:space="preserve"> </w:t>
      </w:r>
    </w:p>
    <w:p w14:paraId="0D6B3805" w14:textId="5812ABF1" w:rsidR="00BA7B70" w:rsidRDefault="00BA7B70" w:rsidP="00350E7B">
      <w:pPr>
        <w:spacing w:line="480" w:lineRule="auto"/>
        <w:ind w:left="720" w:right="720"/>
      </w:pPr>
      <w:r w:rsidRPr="00153471">
        <w:rPr>
          <w:b/>
          <w:i/>
        </w:rPr>
        <w:t>Do nothing</w:t>
      </w:r>
      <w:r w:rsidRPr="00153471">
        <w:rPr>
          <w:i/>
        </w:rPr>
        <w:t xml:space="preserve"> </w:t>
      </w:r>
      <w:r>
        <w:t>but that w</w:t>
      </w:r>
      <w:r w:rsidR="005E7F5E">
        <w:t>herein your consciences are</w:t>
      </w:r>
      <w:r>
        <w:t xml:space="preserve"> first sat</w:t>
      </w:r>
      <w:r w:rsidR="00173781">
        <w:t>isfied: without this a man cann</w:t>
      </w:r>
      <w:r>
        <w:t>o</w:t>
      </w:r>
      <w:r w:rsidR="00173781">
        <w:t>t</w:t>
      </w:r>
      <w:r>
        <w:t xml:space="preserve"> be accepted w</w:t>
      </w:r>
      <w:r w:rsidR="00A325FF">
        <w:t>ith himself, much</w:t>
      </w:r>
      <w:r w:rsidR="00173781">
        <w:t xml:space="preserve"> less with God</w:t>
      </w:r>
      <w:r w:rsidR="00A325FF">
        <w:t>….</w:t>
      </w:r>
      <w:r w:rsidR="00173781">
        <w:t>To</w:t>
      </w:r>
      <w:r>
        <w:t xml:space="preserve"> be l</w:t>
      </w:r>
      <w:r w:rsidR="00173781">
        <w:t>ed by an implicit f</w:t>
      </w:r>
      <w:r>
        <w:t>a</w:t>
      </w:r>
      <w:r w:rsidR="00173781">
        <w:t>i</w:t>
      </w:r>
      <w:r>
        <w:t xml:space="preserve">th is a thing unworthy of a man, much more </w:t>
      </w:r>
      <w:r w:rsidR="00173781">
        <w:t>of a Magistrate.</w:t>
      </w:r>
      <w:r w:rsidR="005E7F5E">
        <w:rPr>
          <w:rStyle w:val="FootnoteReference"/>
        </w:rPr>
        <w:footnoteReference w:id="60"/>
      </w:r>
    </w:p>
    <w:p w14:paraId="54CF2AD1" w14:textId="61EE3477" w:rsidR="00173781" w:rsidRDefault="00893B06" w:rsidP="00350E7B">
      <w:pPr>
        <w:spacing w:line="480" w:lineRule="auto"/>
      </w:pPr>
      <w:r>
        <w:t xml:space="preserve">Radical Protestant Thomas </w:t>
      </w:r>
      <w:proofErr w:type="spellStart"/>
      <w:r>
        <w:t>Harby</w:t>
      </w:r>
      <w:proofErr w:type="spellEnd"/>
      <w:r>
        <w:t xml:space="preserve"> echoes Strong’s </w:t>
      </w:r>
      <w:proofErr w:type="spellStart"/>
      <w:r>
        <w:t>assertation</w:t>
      </w:r>
      <w:proofErr w:type="spellEnd"/>
      <w:r>
        <w:t xml:space="preserve"> that action from authority is</w:t>
      </w:r>
      <w:r w:rsidR="00173781">
        <w:t xml:space="preserve"> “</w:t>
      </w:r>
      <w:r w:rsidR="00153471">
        <w:t>unworthy of a man.</w:t>
      </w:r>
      <w:r w:rsidR="00173781">
        <w:t>”</w:t>
      </w:r>
      <w:r w:rsidR="00153471">
        <w:t xml:space="preserve"> </w:t>
      </w:r>
      <w:r>
        <w:t>S</w:t>
      </w:r>
      <w:r w:rsidR="00173781">
        <w:t>uc</w:t>
      </w:r>
      <w:r w:rsidR="00BA298B">
        <w:t>h action was</w:t>
      </w:r>
      <w:r w:rsidR="00173781">
        <w:t xml:space="preserve"> only fit for “the vilest vassals of slavery</w:t>
      </w:r>
      <w:r>
        <w:t>:</w:t>
      </w:r>
      <w:r w:rsidR="00173781">
        <w:t>”</w:t>
      </w:r>
      <w:r>
        <w:t xml:space="preserve"> </w:t>
      </w:r>
    </w:p>
    <w:p w14:paraId="6BA29937" w14:textId="77777777" w:rsidR="00BA298B" w:rsidRDefault="00173781" w:rsidP="00350E7B">
      <w:pPr>
        <w:spacing w:line="480" w:lineRule="auto"/>
        <w:ind w:left="720" w:right="720"/>
      </w:pPr>
      <w:r w:rsidRPr="00173781">
        <w:lastRenderedPageBreak/>
        <w:t>[Individuals]</w:t>
      </w:r>
      <w:r w:rsidR="00107C79" w:rsidRPr="00173781">
        <w:t xml:space="preserve"> must (in all their motions and actions) walk and act in the liberty of the light of God in their own spirits: and not act of acquiesce from principles of an </w:t>
      </w:r>
      <w:proofErr w:type="spellStart"/>
      <w:r w:rsidR="00107C79" w:rsidRPr="00173781">
        <w:t>implicite</w:t>
      </w:r>
      <w:proofErr w:type="spellEnd"/>
      <w:r w:rsidR="00107C79" w:rsidRPr="00173781">
        <w:t>-</w:t>
      </w:r>
      <w:r w:rsidRPr="00173781">
        <w:t xml:space="preserve">faith in the Arbitrary command </w:t>
      </w:r>
      <w:r w:rsidR="00107C79" w:rsidRPr="00173781">
        <w:t xml:space="preserve">of will and power in any Representative or person whatsoever. </w:t>
      </w:r>
    </w:p>
    <w:p w14:paraId="614BFAE3" w14:textId="7E45288A" w:rsidR="00BA298B" w:rsidRDefault="00EB0FC5" w:rsidP="00350E7B">
      <w:pPr>
        <w:spacing w:line="480" w:lineRule="auto"/>
        <w:ind w:right="720"/>
      </w:pPr>
      <w:r>
        <w:t xml:space="preserve">For </w:t>
      </w:r>
      <w:proofErr w:type="spellStart"/>
      <w:r>
        <w:t>Harby</w:t>
      </w:r>
      <w:proofErr w:type="spellEnd"/>
      <w:r>
        <w:t xml:space="preserve">, freedom amounted </w:t>
      </w:r>
      <w:r w:rsidR="002B4E50">
        <w:t>to action</w:t>
      </w:r>
      <w:r>
        <w:t xml:space="preserve"> from conscience. It </w:t>
      </w:r>
      <w:r w:rsidR="00AE0ABE">
        <w:t>could not be</w:t>
      </w:r>
      <w:r w:rsidR="00087D47">
        <w:t xml:space="preserve"> reduced to</w:t>
      </w:r>
      <w:r w:rsidR="00153471">
        <w:t xml:space="preserve"> </w:t>
      </w:r>
      <w:r>
        <w:t xml:space="preserve">the act of </w:t>
      </w:r>
      <w:r w:rsidR="005A45F4">
        <w:t>social contra</w:t>
      </w:r>
      <w:r>
        <w:t xml:space="preserve">cting because the </w:t>
      </w:r>
      <w:r w:rsidR="00153471">
        <w:t xml:space="preserve">act of </w:t>
      </w:r>
      <w:r w:rsidR="00BA298B" w:rsidRPr="00BA298B">
        <w:rPr>
          <w:i/>
        </w:rPr>
        <w:t>consent</w:t>
      </w:r>
      <w:r w:rsidR="00153471">
        <w:rPr>
          <w:i/>
        </w:rPr>
        <w:t>ing</w:t>
      </w:r>
      <w:r>
        <w:rPr>
          <w:i/>
        </w:rPr>
        <w:t xml:space="preserve"> </w:t>
      </w:r>
      <w:r>
        <w:t>that established authority</w:t>
      </w:r>
      <w:r>
        <w:rPr>
          <w:i/>
        </w:rPr>
        <w:t>,</w:t>
      </w:r>
      <w:r>
        <w:t xml:space="preserve"> even if consenting was voluntary, gave a</w:t>
      </w:r>
      <w:r w:rsidR="002B4E50">
        <w:t>nother</w:t>
      </w:r>
      <w:r>
        <w:t xml:space="preserve"> human</w:t>
      </w:r>
      <w:r w:rsidR="002B4E50">
        <w:t xml:space="preserve"> being </w:t>
      </w:r>
      <w:proofErr w:type="gramStart"/>
      <w:r w:rsidR="002B4E50">
        <w:t>the</w:t>
      </w:r>
      <w:r>
        <w:t xml:space="preserve">  a</w:t>
      </w:r>
      <w:r w:rsidR="002B4E50">
        <w:t>uthority</w:t>
      </w:r>
      <w:proofErr w:type="gramEnd"/>
      <w:r w:rsidR="002B4E50">
        <w:t xml:space="preserve"> to lead and this form of subjection rendered  the subject </w:t>
      </w:r>
      <w:proofErr w:type="spellStart"/>
      <w:r w:rsidR="00153471">
        <w:t>un</w:t>
      </w:r>
      <w:r w:rsidR="002B4E50">
        <w:t>free</w:t>
      </w:r>
      <w:proofErr w:type="spellEnd"/>
      <w:r w:rsidR="002B4E50">
        <w:t xml:space="preserve">. </w:t>
      </w:r>
      <w:proofErr w:type="spellStart"/>
      <w:r w:rsidR="002B4E50">
        <w:t>Harby</w:t>
      </w:r>
      <w:proofErr w:type="spellEnd"/>
      <w:r w:rsidR="002B4E50">
        <w:t xml:space="preserve"> said,</w:t>
      </w:r>
      <w:r w:rsidR="00153471">
        <w:t xml:space="preserve"> </w:t>
      </w:r>
    </w:p>
    <w:p w14:paraId="7E745B49" w14:textId="765ACAA0" w:rsidR="00107C79" w:rsidRDefault="00107C79" w:rsidP="00350E7B">
      <w:pPr>
        <w:spacing w:line="480" w:lineRule="auto"/>
        <w:ind w:left="720" w:right="720"/>
      </w:pPr>
      <w:r w:rsidRPr="00173781">
        <w:t xml:space="preserve">It is </w:t>
      </w:r>
      <w:r w:rsidRPr="00BA298B">
        <w:rPr>
          <w:i/>
        </w:rPr>
        <w:t xml:space="preserve">small satisfaction </w:t>
      </w:r>
      <w:r w:rsidRPr="00BA298B">
        <w:t>or</w:t>
      </w:r>
      <w:r w:rsidRPr="00BA298B">
        <w:rPr>
          <w:i/>
        </w:rPr>
        <w:t xml:space="preserve"> security</w:t>
      </w:r>
      <w:r w:rsidRPr="00173781">
        <w:t xml:space="preserve"> to any man (that may see if he will, but will follow and be led by a blind man, till both fall into a ditch and perish) to think to say for himself a blind man led him, and it was his own wi</w:t>
      </w:r>
      <w:r w:rsidR="00173781">
        <w:t>ll, and he would be led by him.</w:t>
      </w:r>
      <w:r w:rsidR="00EB0FC5">
        <w:rPr>
          <w:rStyle w:val="FootnoteReference"/>
        </w:rPr>
        <w:footnoteReference w:id="61"/>
      </w:r>
    </w:p>
    <w:p w14:paraId="472AA7B0" w14:textId="77777777" w:rsidR="00547C6E" w:rsidRPr="00667358" w:rsidRDefault="00547C6E" w:rsidP="00350E7B">
      <w:pPr>
        <w:spacing w:line="480" w:lineRule="auto"/>
        <w:ind w:left="2160"/>
        <w:rPr>
          <w:b/>
        </w:rPr>
      </w:pPr>
    </w:p>
    <w:p w14:paraId="12224137" w14:textId="7A34DDA2" w:rsidR="00C62A8F" w:rsidRDefault="00667358" w:rsidP="00350E7B">
      <w:pPr>
        <w:spacing w:line="480" w:lineRule="auto"/>
        <w:rPr>
          <w:b/>
        </w:rPr>
      </w:pPr>
      <w:r w:rsidRPr="00667358">
        <w:rPr>
          <w:b/>
        </w:rPr>
        <w:t>Thinking Not Required: Implicit Fa</w:t>
      </w:r>
      <w:r w:rsidR="004920A5">
        <w:rPr>
          <w:b/>
        </w:rPr>
        <w:t xml:space="preserve">ith as </w:t>
      </w:r>
      <w:r w:rsidR="007357C6">
        <w:rPr>
          <w:b/>
        </w:rPr>
        <w:t>freedom f</w:t>
      </w:r>
      <w:r w:rsidR="007357C6" w:rsidRPr="007357C6">
        <w:rPr>
          <w:b/>
          <w:i/>
        </w:rPr>
        <w:t>rom</w:t>
      </w:r>
      <w:r w:rsidR="0096039A">
        <w:rPr>
          <w:b/>
        </w:rPr>
        <w:t xml:space="preserve"> Apprehending</w:t>
      </w:r>
      <w:r w:rsidR="004920A5">
        <w:rPr>
          <w:b/>
        </w:rPr>
        <w:t xml:space="preserve"> and Understanding</w:t>
      </w:r>
      <w:r>
        <w:rPr>
          <w:b/>
        </w:rPr>
        <w:t>.</w:t>
      </w:r>
    </w:p>
    <w:p w14:paraId="06458771" w14:textId="11438CF1" w:rsidR="00F64662" w:rsidRDefault="007357C6" w:rsidP="00350E7B">
      <w:pPr>
        <w:spacing w:line="480" w:lineRule="auto"/>
        <w:ind w:firstLine="720"/>
      </w:pPr>
      <w:r>
        <w:t xml:space="preserve">One might assume that if the doctrine of implicit faith imposed obligations on </w:t>
      </w:r>
      <w:r w:rsidR="002E4752">
        <w:t xml:space="preserve">action, </w:t>
      </w:r>
      <w:r>
        <w:t xml:space="preserve">belief, will </w:t>
      </w:r>
      <w:r w:rsidR="00F64662">
        <w:t>and/or priva</w:t>
      </w:r>
      <w:r w:rsidR="00756B55">
        <w:t>te judgment, then it</w:t>
      </w:r>
      <w:r>
        <w:t xml:space="preserve"> must also impose obligations on the</w:t>
      </w:r>
      <w:r w:rsidR="00F64662">
        <w:t xml:space="preserve"> faculties of cognition and</w:t>
      </w:r>
      <w:r w:rsidR="005A45F4">
        <w:t xml:space="preserve"> understanding (e.g., it would oblige</w:t>
      </w:r>
      <w:r w:rsidR="00F64662">
        <w:t xml:space="preserve"> individuals to form particular conceptions or</w:t>
      </w:r>
      <w:r>
        <w:t xml:space="preserve"> thoughts, </w:t>
      </w:r>
      <w:r w:rsidR="002F08F0">
        <w:t xml:space="preserve">and </w:t>
      </w:r>
      <w:r w:rsidR="00756B55">
        <w:t>to possess</w:t>
      </w:r>
      <w:r>
        <w:t xml:space="preserve"> </w:t>
      </w:r>
      <w:r w:rsidR="00F64662">
        <w:t>particular knowledge</w:t>
      </w:r>
      <w:r w:rsidR="005A45F4">
        <w:t>)</w:t>
      </w:r>
      <w:r w:rsidR="00F64662">
        <w:t>. T</w:t>
      </w:r>
      <w:r>
        <w:t>his assumption fatally misunderstands the doctrine of implicit faith.</w:t>
      </w:r>
      <w:r w:rsidR="00F64662">
        <w:t xml:space="preserve"> </w:t>
      </w:r>
      <w:r w:rsidR="005A45F4">
        <w:t>It</w:t>
      </w:r>
      <w:r w:rsidR="002F08F0">
        <w:t xml:space="preserve"> </w:t>
      </w:r>
      <w:r w:rsidR="00FA4EA8" w:rsidRPr="00FA4EA8">
        <w:rPr>
          <w:i/>
        </w:rPr>
        <w:t>did not</w:t>
      </w:r>
      <w:r w:rsidR="00FA4EA8">
        <w:t xml:space="preserve"> impose </w:t>
      </w:r>
      <w:r w:rsidR="00E1689B">
        <w:lastRenderedPageBreak/>
        <w:t xml:space="preserve">such obligations. </w:t>
      </w:r>
      <w:r w:rsidR="005A45F4">
        <w:t>T</w:t>
      </w:r>
      <w:r w:rsidR="002F08F0">
        <w:t>he processes of conceptualizing and comprehending</w:t>
      </w:r>
      <w:r>
        <w:t xml:space="preserve"> </w:t>
      </w:r>
      <w:r w:rsidR="00FA4EA8">
        <w:t xml:space="preserve">remained “free” from </w:t>
      </w:r>
      <w:r w:rsidR="00813B05">
        <w:t>oblig</w:t>
      </w:r>
      <w:r w:rsidR="006573BD">
        <w:t>ation</w:t>
      </w:r>
      <w:r w:rsidR="00756B55">
        <w:t xml:space="preserve"> because n</w:t>
      </w:r>
      <w:r w:rsidR="006573BD">
        <w:t>either underwro</w:t>
      </w:r>
      <w:r w:rsidR="00813B05">
        <w:t xml:space="preserve">te </w:t>
      </w:r>
      <w:r w:rsidR="006573BD">
        <w:t xml:space="preserve">implicit </w:t>
      </w:r>
      <w:r w:rsidR="00813B05">
        <w:t>faith.</w:t>
      </w:r>
      <w:r>
        <w:t xml:space="preserve"> </w:t>
      </w:r>
      <w:r w:rsidR="00813B05">
        <w:t>In fact, implicit faith was so</w:t>
      </w:r>
      <w:r w:rsidR="006573BD">
        <w:t xml:space="preserve">metimes </w:t>
      </w:r>
      <w:r w:rsidR="00756B55">
        <w:t>specifically defined as that</w:t>
      </w:r>
      <w:r w:rsidR="006573BD">
        <w:t xml:space="preserve"> faith </w:t>
      </w:r>
      <w:r w:rsidR="00756B55">
        <w:t xml:space="preserve">that </w:t>
      </w:r>
      <w:r w:rsidR="00756B55" w:rsidRPr="00756B55">
        <w:rPr>
          <w:i/>
        </w:rPr>
        <w:t>lacked</w:t>
      </w:r>
      <w:r w:rsidR="00756B55">
        <w:t xml:space="preserve"> </w:t>
      </w:r>
      <w:r w:rsidR="006573BD">
        <w:t>cognition</w:t>
      </w:r>
      <w:r w:rsidR="00813B05">
        <w:t xml:space="preserve"> and understanding. </w:t>
      </w:r>
    </w:p>
    <w:p w14:paraId="504A0007" w14:textId="1B5ACCD0" w:rsidR="006573BD" w:rsidRDefault="00813B05" w:rsidP="00350E7B">
      <w:pPr>
        <w:spacing w:line="480" w:lineRule="auto"/>
        <w:ind w:firstLine="720"/>
      </w:pPr>
      <w:r>
        <w:t>Let me offer a few repr</w:t>
      </w:r>
      <w:r w:rsidR="008B55B7">
        <w:t>esentative articulations of the way</w:t>
      </w:r>
      <w:r>
        <w:t xml:space="preserve"> </w:t>
      </w:r>
      <w:r w:rsidR="008B55B7">
        <w:t>Englishmen disconnected implicit faith from thought</w:t>
      </w:r>
      <w:r w:rsidR="004A2EA4">
        <w:t xml:space="preserve">. </w:t>
      </w:r>
      <w:r w:rsidR="008B55B7">
        <w:t>Describing the doctrine</w:t>
      </w:r>
      <w:r w:rsidR="00756B55">
        <w:t>, t</w:t>
      </w:r>
      <w:r w:rsidR="006573BD">
        <w:t>he Protestant</w:t>
      </w:r>
      <w:r>
        <w:t xml:space="preserve"> </w:t>
      </w:r>
      <w:r w:rsidR="00756B55">
        <w:t xml:space="preserve">Francis Rous </w:t>
      </w:r>
      <w:r w:rsidR="006573BD">
        <w:t xml:space="preserve">wrote, </w:t>
      </w:r>
    </w:p>
    <w:p w14:paraId="4FA32F38" w14:textId="75007C81" w:rsidR="006573BD" w:rsidRPr="006573BD" w:rsidRDefault="006573BD" w:rsidP="00350E7B">
      <w:pPr>
        <w:spacing w:line="480" w:lineRule="auto"/>
        <w:ind w:left="720"/>
      </w:pPr>
      <w:r w:rsidRPr="006573BD">
        <w:t xml:space="preserve">As for implicit faith of any article or doctrine, a man is then said to have it, when he believes that concerning it, which the Church </w:t>
      </w:r>
      <w:proofErr w:type="spellStart"/>
      <w:r w:rsidRPr="006573BD">
        <w:t>teacheth</w:t>
      </w:r>
      <w:proofErr w:type="spellEnd"/>
      <w:r w:rsidRPr="006573BD">
        <w:t xml:space="preserve"> them… although for his own part, he have not perhaps so much as heard of it in particular; or if he did, he hath forgot it, or if he did remember it, he hath not capacity enough to apprehend or understand it.</w:t>
      </w:r>
      <w:r w:rsidRPr="006573BD">
        <w:rPr>
          <w:rStyle w:val="FootnoteReference"/>
        </w:rPr>
        <w:footnoteReference w:id="62"/>
      </w:r>
      <w:r w:rsidRPr="006573BD">
        <w:t xml:space="preserve">  </w:t>
      </w:r>
    </w:p>
    <w:p w14:paraId="389C087D" w14:textId="77777777" w:rsidR="00CB7935" w:rsidRDefault="008B55B7" w:rsidP="00350E7B">
      <w:pPr>
        <w:spacing w:line="480" w:lineRule="auto"/>
        <w:ind w:firstLine="720"/>
      </w:pPr>
      <w:r>
        <w:t>Rous here</w:t>
      </w:r>
      <w:r w:rsidR="006573BD">
        <w:t xml:space="preserve"> decoupled implicit faith from cognition (apprehension) and un</w:t>
      </w:r>
      <w:r>
        <w:t>derstanding (knowledge).</w:t>
      </w:r>
      <w:r w:rsidR="00EB0FC5">
        <w:t xml:space="preserve"> Hobbes also </w:t>
      </w:r>
      <w:r w:rsidR="00CB7935">
        <w:t xml:space="preserve">performs this divorce. He </w:t>
      </w:r>
      <w:r w:rsidR="00EB0FC5">
        <w:t>maintains that those who ask “</w:t>
      </w:r>
      <w:r w:rsidR="00CB7935">
        <w:t xml:space="preserve">how do we know” our beliefs (i.e. how do we know that they are true) </w:t>
      </w:r>
      <w:r w:rsidR="00EB0FC5">
        <w:t>fundamentally m</w:t>
      </w:r>
      <w:r w:rsidR="00CB7935">
        <w:t>isunderstand the nature of belief; they speak “as if believing and knowing were all one,” and they are not.</w:t>
      </w:r>
      <w:r w:rsidR="00CB7935">
        <w:rPr>
          <w:rStyle w:val="FootnoteReference"/>
        </w:rPr>
        <w:footnoteReference w:id="63"/>
      </w:r>
      <w:r>
        <w:t xml:space="preserve"> </w:t>
      </w:r>
      <w:r w:rsidR="00CB7935">
        <w:t xml:space="preserve"> </w:t>
      </w:r>
    </w:p>
    <w:p w14:paraId="445977D0" w14:textId="3D9F7E68" w:rsidR="007203DF" w:rsidRDefault="00CB7935" w:rsidP="00350E7B">
      <w:pPr>
        <w:spacing w:line="480" w:lineRule="auto"/>
        <w:ind w:firstLine="720"/>
      </w:pPr>
      <w:r>
        <w:t xml:space="preserve">This meant that the doctrine of implicit faith wedded faith to ignorance. As one Englishmen put it, </w:t>
      </w:r>
      <w:r w:rsidR="00813B05">
        <w:t>“</w:t>
      </w:r>
      <w:proofErr w:type="spellStart"/>
      <w:r w:rsidR="00813B05">
        <w:t>I</w:t>
      </w:r>
      <w:r w:rsidR="007357C6">
        <w:t>mplicite</w:t>
      </w:r>
      <w:proofErr w:type="spellEnd"/>
      <w:r w:rsidR="008B55B7">
        <w:t xml:space="preserve"> faith</w:t>
      </w:r>
      <w:r w:rsidR="007357C6">
        <w:t xml:space="preserve">…would persuade the people they may be </w:t>
      </w:r>
      <w:r w:rsidR="007357C6">
        <w:lastRenderedPageBreak/>
        <w:t>ignorant, and little or no knowledge is required of them.”</w:t>
      </w:r>
      <w:r w:rsidR="007357C6">
        <w:rPr>
          <w:rStyle w:val="FootnoteReference"/>
        </w:rPr>
        <w:footnoteReference w:id="64"/>
      </w:r>
      <w:r>
        <w:t xml:space="preserve"> As </w:t>
      </w:r>
      <w:r w:rsidR="00D8597F">
        <w:t>P</w:t>
      </w:r>
      <w:r w:rsidR="00813B05">
        <w:t>resbyterian George Gillespie</w:t>
      </w:r>
      <w:r w:rsidR="008B55B7">
        <w:t xml:space="preserve"> </w:t>
      </w:r>
      <w:r>
        <w:t xml:space="preserve">noted, </w:t>
      </w:r>
      <w:r w:rsidR="00813B05">
        <w:t>“</w:t>
      </w:r>
      <w:r w:rsidR="00813B05" w:rsidRPr="005F2CB3">
        <w:t xml:space="preserve">The </w:t>
      </w:r>
      <w:r w:rsidR="00813B05">
        <w:t>Papists know not what those thi</w:t>
      </w:r>
      <w:r w:rsidR="00813B05" w:rsidRPr="005F2CB3">
        <w:t>n</w:t>
      </w:r>
      <w:r w:rsidR="00813B05">
        <w:t>g</w:t>
      </w:r>
      <w:r w:rsidR="00813B05" w:rsidRPr="005F2CB3">
        <w:t xml:space="preserve">s be which they believe by implicit faith: so that such a faith is rightly called mere </w:t>
      </w:r>
      <w:proofErr w:type="spellStart"/>
      <w:r w:rsidR="00813B05" w:rsidRPr="005F2CB3">
        <w:t>articulorum</w:t>
      </w:r>
      <w:proofErr w:type="spellEnd"/>
      <w:r w:rsidR="00813B05" w:rsidRPr="005F2CB3">
        <w:t xml:space="preserve"> </w:t>
      </w:r>
      <w:proofErr w:type="spellStart"/>
      <w:r w:rsidR="00813B05" w:rsidRPr="005F2CB3">
        <w:t>fidei</w:t>
      </w:r>
      <w:proofErr w:type="spellEnd"/>
      <w:r w:rsidR="00813B05" w:rsidRPr="005F2CB3">
        <w:t xml:space="preserve"> </w:t>
      </w:r>
      <w:proofErr w:type="spellStart"/>
      <w:r w:rsidR="00813B05" w:rsidRPr="005F2CB3">
        <w:t>ignorantia</w:t>
      </w:r>
      <w:proofErr w:type="spellEnd"/>
      <w:r w:rsidR="00813B05" w:rsidRPr="005F2CB3">
        <w:t>, a mere ignorance of the articles of faith</w:t>
      </w:r>
      <w:r w:rsidR="00813B05">
        <w:t>.”</w:t>
      </w:r>
      <w:r w:rsidR="00813B05">
        <w:rPr>
          <w:rStyle w:val="FootnoteReference"/>
        </w:rPr>
        <w:footnoteReference w:id="65"/>
      </w:r>
      <w:r w:rsidR="006573BD">
        <w:t xml:space="preserve"> </w:t>
      </w:r>
      <w:r>
        <w:t xml:space="preserve">And </w:t>
      </w:r>
      <w:r w:rsidR="00C26A3E">
        <w:t xml:space="preserve">George </w:t>
      </w:r>
      <w:proofErr w:type="spellStart"/>
      <w:r w:rsidR="00C26A3E">
        <w:t>Digby</w:t>
      </w:r>
      <w:proofErr w:type="spellEnd"/>
      <w:r w:rsidR="00C26A3E">
        <w:t xml:space="preserve"> the Lord of Bristol even remarked that when “there is no Logic, no reasoning…</w:t>
      </w:r>
      <w:proofErr w:type="gramStart"/>
      <w:r w:rsidR="00C26A3E">
        <w:t>.[</w:t>
      </w:r>
      <w:proofErr w:type="gramEnd"/>
      <w:r w:rsidR="00C26A3E">
        <w:t xml:space="preserve">then men are] led by </w:t>
      </w:r>
      <w:proofErr w:type="spellStart"/>
      <w:r w:rsidR="00C26A3E">
        <w:t>implicite</w:t>
      </w:r>
      <w:proofErr w:type="spellEnd"/>
      <w:r w:rsidR="00C26A3E">
        <w:t xml:space="preserve"> faith.”</w:t>
      </w:r>
      <w:r w:rsidR="00C26A3E">
        <w:rPr>
          <w:rStyle w:val="FootnoteReference"/>
        </w:rPr>
        <w:footnoteReference w:id="66"/>
      </w:r>
      <w:r w:rsidR="00C26A3E">
        <w:t xml:space="preserve"> </w:t>
      </w:r>
    </w:p>
    <w:p w14:paraId="55D7863D" w14:textId="3E31209B" w:rsidR="00DE5139" w:rsidRPr="00813B05" w:rsidRDefault="00813B05" w:rsidP="00350E7B">
      <w:pPr>
        <w:spacing w:line="480" w:lineRule="auto"/>
        <w:ind w:firstLine="720"/>
        <w:rPr>
          <w:u w:val="single"/>
        </w:rPr>
      </w:pPr>
      <w:r>
        <w:t xml:space="preserve">Ephraim </w:t>
      </w:r>
      <w:proofErr w:type="spellStart"/>
      <w:r>
        <w:t>Pagitt</w:t>
      </w:r>
      <w:proofErr w:type="spellEnd"/>
      <w:r>
        <w:t xml:space="preserve"> </w:t>
      </w:r>
      <w:r w:rsidR="00CB7935">
        <w:t>tried to flesh out this</w:t>
      </w:r>
      <w:r w:rsidR="006573BD">
        <w:t xml:space="preserve"> </w:t>
      </w:r>
      <w:r w:rsidR="00157537">
        <w:t xml:space="preserve">disconnect he </w:t>
      </w:r>
      <w:r w:rsidR="00CB7935">
        <w:t xml:space="preserve">and others noted </w:t>
      </w:r>
      <w:r>
        <w:t>between faith</w:t>
      </w:r>
      <w:r w:rsidR="00780834">
        <w:t>, cognition</w:t>
      </w:r>
      <w:r>
        <w:t xml:space="preserve"> and knowledge </w:t>
      </w:r>
      <w:r w:rsidR="00157537">
        <w:t xml:space="preserve">in </w:t>
      </w:r>
      <w:r w:rsidR="008B55B7">
        <w:t xml:space="preserve">the doctrine of </w:t>
      </w:r>
      <w:r>
        <w:t>implicit faith.</w:t>
      </w:r>
      <w:r w:rsidR="00DE5139">
        <w:t xml:space="preserve"> </w:t>
      </w:r>
      <w:r w:rsidR="00157537">
        <w:t xml:space="preserve">He reasoned that </w:t>
      </w:r>
      <w:r>
        <w:t xml:space="preserve">when faith lacked </w:t>
      </w:r>
      <w:r w:rsidR="00780834">
        <w:t xml:space="preserve">cognition and </w:t>
      </w:r>
      <w:r>
        <w:t>understanding</w:t>
      </w:r>
      <w:r w:rsidR="00EC76BE">
        <w:t>,</w:t>
      </w:r>
      <w:r>
        <w:t xml:space="preserve"> professions of faith</w:t>
      </w:r>
      <w:r w:rsidR="005A6F3F">
        <w:t xml:space="preserve"> (</w:t>
      </w:r>
      <w:proofErr w:type="spellStart"/>
      <w:r w:rsidR="005A6F3F">
        <w:t>i.e</w:t>
      </w:r>
      <w:proofErr w:type="spellEnd"/>
      <w:r w:rsidR="005A6F3F">
        <w:t>, worship) were</w:t>
      </w:r>
      <w:r w:rsidR="00157537">
        <w:t xml:space="preserve"> </w:t>
      </w:r>
      <w:r w:rsidR="00240CFA">
        <w:t xml:space="preserve">intellectually </w:t>
      </w:r>
      <w:r w:rsidRPr="00A94D93">
        <w:rPr>
          <w:i/>
        </w:rPr>
        <w:t>empty</w:t>
      </w:r>
      <w:r w:rsidR="00780834">
        <w:t xml:space="preserve">, </w:t>
      </w:r>
      <w:r w:rsidR="00240CFA">
        <w:t>“</w:t>
      </w:r>
      <w:r>
        <w:t>reverent</w:t>
      </w:r>
      <w:r w:rsidR="00240CFA">
        <w:t>”</w:t>
      </w:r>
      <w:r>
        <w:t xml:space="preserve"> expressions of </w:t>
      </w:r>
      <w:r w:rsidR="00AD4993">
        <w:t>“assent,” or “consent.</w:t>
      </w:r>
      <w:r w:rsidR="00780834">
        <w:t xml:space="preserve">” </w:t>
      </w:r>
      <w:r w:rsidR="008B55B7">
        <w:t>P</w:t>
      </w:r>
      <w:r w:rsidR="00EC76BE">
        <w:t xml:space="preserve">rofessions of </w:t>
      </w:r>
      <w:r w:rsidR="00AD4993">
        <w:t>faith amounte</w:t>
      </w:r>
      <w:r w:rsidR="00EC76BE">
        <w:t>d to ritual</w:t>
      </w:r>
      <w:r w:rsidR="00CB7935">
        <w:t>, and the</w:t>
      </w:r>
      <w:r w:rsidR="00AD4993">
        <w:t xml:space="preserve"> purpose of </w:t>
      </w:r>
      <w:r w:rsidR="00CB7935">
        <w:t xml:space="preserve">ritual </w:t>
      </w:r>
      <w:r w:rsidR="00AD4993">
        <w:t>worship</w:t>
      </w:r>
      <w:r w:rsidR="006F60EF">
        <w:t xml:space="preserve"> was not to promote understandi</w:t>
      </w:r>
      <w:r w:rsidR="00AD4993">
        <w:t>ng in the worshippers</w:t>
      </w:r>
      <w:r w:rsidR="00CB7935">
        <w:t xml:space="preserve"> (</w:t>
      </w:r>
      <w:proofErr w:type="spellStart"/>
      <w:r w:rsidR="00841E55">
        <w:t>afterall</w:t>
      </w:r>
      <w:proofErr w:type="spellEnd"/>
      <w:r w:rsidR="00841E55">
        <w:t xml:space="preserve">, </w:t>
      </w:r>
      <w:r w:rsidR="001875B9">
        <w:t xml:space="preserve">the </w:t>
      </w:r>
      <w:r w:rsidR="008B55B7">
        <w:t xml:space="preserve">Catholic </w:t>
      </w:r>
      <w:r w:rsidR="00841E55">
        <w:t xml:space="preserve">mass was in Latin, and people prayed the Pater </w:t>
      </w:r>
      <w:proofErr w:type="spellStart"/>
      <w:r w:rsidR="00841E55">
        <w:t>Noster</w:t>
      </w:r>
      <w:proofErr w:type="spellEnd"/>
      <w:r w:rsidR="00841E55">
        <w:t xml:space="preserve"> without understanding a word </w:t>
      </w:r>
      <w:r w:rsidR="001875B9">
        <w:t xml:space="preserve">of what </w:t>
      </w:r>
      <w:r w:rsidR="00841E55">
        <w:t>they were saying</w:t>
      </w:r>
      <w:r w:rsidR="00CB7935">
        <w:t>)</w:t>
      </w:r>
      <w:r w:rsidR="002B4E50">
        <w:t>.</w:t>
      </w:r>
      <w:r w:rsidR="00CB7935">
        <w:t xml:space="preserve"> Professions of faith</w:t>
      </w:r>
      <w:r w:rsidR="00E1689B">
        <w:t xml:space="preserve"> </w:t>
      </w:r>
      <w:r w:rsidR="00CB7935">
        <w:t xml:space="preserve">served to </w:t>
      </w:r>
      <w:r w:rsidR="008B55B7">
        <w:t xml:space="preserve">glorify </w:t>
      </w:r>
      <w:r w:rsidR="005A6F3F">
        <w:t xml:space="preserve">the incomprehensible </w:t>
      </w:r>
      <w:r w:rsidR="008B55B7">
        <w:t xml:space="preserve">God by </w:t>
      </w:r>
      <w:r w:rsidR="00841E55">
        <w:t>profess</w:t>
      </w:r>
      <w:r w:rsidR="008B55B7">
        <w:t xml:space="preserve">ing </w:t>
      </w:r>
      <w:r w:rsidR="00265FA7">
        <w:t xml:space="preserve">blind reverence to </w:t>
      </w:r>
      <w:r w:rsidR="008B55B7">
        <w:t xml:space="preserve">His </w:t>
      </w:r>
      <w:r w:rsidR="00265FA7">
        <w:t>authority</w:t>
      </w:r>
      <w:r w:rsidR="00AD4993">
        <w:t>.</w:t>
      </w:r>
      <w:r w:rsidR="00841E55">
        <w:t xml:space="preserve"> </w:t>
      </w:r>
      <w:proofErr w:type="spellStart"/>
      <w:r w:rsidR="00841E55">
        <w:t>Pagitt</w:t>
      </w:r>
      <w:proofErr w:type="spellEnd"/>
      <w:r w:rsidR="00841E55">
        <w:t xml:space="preserve"> wrote:</w:t>
      </w:r>
    </w:p>
    <w:p w14:paraId="0491177B" w14:textId="7676425C" w:rsidR="00667358" w:rsidRDefault="00DE5139" w:rsidP="00350E7B">
      <w:pPr>
        <w:spacing w:line="480" w:lineRule="auto"/>
        <w:ind w:left="720"/>
      </w:pPr>
      <w:r>
        <w:t xml:space="preserve">[The] pillars of the roman church, lay down this ground, that implicit faith in its own nature is not a knowledge of things to be believed, but a reverent assent unto them, whether they be known or unknown: hereupon they [i.e. </w:t>
      </w:r>
      <w:r>
        <w:lastRenderedPageBreak/>
        <w:t xml:space="preserve">Catholics] build [their church/faith]. It is sufficient </w:t>
      </w:r>
      <w:r w:rsidR="00780834">
        <w:t xml:space="preserve">[for Catholics] </w:t>
      </w:r>
      <w:r>
        <w:t>to give…consent to the Churc</w:t>
      </w:r>
      <w:r w:rsidR="00EC76BE">
        <w:t>h, and to believe as the [church]</w:t>
      </w:r>
      <w:r>
        <w:t xml:space="preserve"> believe</w:t>
      </w:r>
      <w:r w:rsidR="00EC76BE">
        <w:t>[s]</w:t>
      </w:r>
      <w:r>
        <w:t>.</w:t>
      </w:r>
      <w:r>
        <w:rPr>
          <w:rStyle w:val="FootnoteReference"/>
        </w:rPr>
        <w:footnoteReference w:id="67"/>
      </w:r>
    </w:p>
    <w:p w14:paraId="5C5A9484" w14:textId="3A8E8B3B" w:rsidR="00CB012E" w:rsidRDefault="00E1689B" w:rsidP="00350E7B">
      <w:pPr>
        <w:spacing w:line="480" w:lineRule="auto"/>
        <w:ind w:firstLine="720"/>
      </w:pPr>
      <w:r>
        <w:t xml:space="preserve">Hobbes adopts </w:t>
      </w:r>
      <w:r w:rsidR="00EB0FC5">
        <w:t xml:space="preserve">what </w:t>
      </w:r>
      <w:proofErr w:type="spellStart"/>
      <w:r w:rsidR="00EB0FC5">
        <w:t>Pagitt</w:t>
      </w:r>
      <w:proofErr w:type="spellEnd"/>
      <w:r w:rsidR="00EB0FC5">
        <w:t xml:space="preserve"> </w:t>
      </w:r>
      <w:r w:rsidR="00CB7935">
        <w:t xml:space="preserve">here </w:t>
      </w:r>
      <w:r w:rsidR="00EB0FC5">
        <w:t xml:space="preserve">identifies as </w:t>
      </w:r>
      <w:r w:rsidR="006A7A9F">
        <w:t>Rome’s</w:t>
      </w:r>
      <w:r w:rsidR="00047200">
        <w:t xml:space="preserve"> line of reasoning</w:t>
      </w:r>
      <w:r w:rsidR="00EB0FC5">
        <w:t>.</w:t>
      </w:r>
      <w:r w:rsidR="00047200">
        <w:t xml:space="preserve"> </w:t>
      </w:r>
      <w:r w:rsidR="00CB7935">
        <w:t xml:space="preserve">With respect to </w:t>
      </w:r>
      <w:r w:rsidR="00E06666">
        <w:t>the way faith relates to knowledge or correct opinion, he</w:t>
      </w:r>
      <w:r w:rsidR="00CB7935">
        <w:t xml:space="preserve"> writes that</w:t>
      </w:r>
      <w:r w:rsidR="006A7A9F">
        <w:t xml:space="preserve"> “O</w:t>
      </w:r>
      <w:r w:rsidR="00047200">
        <w:t>ur faith…</w:t>
      </w:r>
      <w:proofErr w:type="spellStart"/>
      <w:r w:rsidR="00047200">
        <w:t>consisteth</w:t>
      </w:r>
      <w:proofErr w:type="spellEnd"/>
      <w:r w:rsidR="00047200">
        <w:t xml:space="preserve"> not in our O</w:t>
      </w:r>
      <w:r w:rsidR="00E06666">
        <w:t xml:space="preserve">pinion…for the nature of God is </w:t>
      </w:r>
      <w:r w:rsidR="00047200">
        <w:t xml:space="preserve">incomprehensible; that is to say, we understand nothing of </w:t>
      </w:r>
      <w:r>
        <w:t>what he is, but only that he is.”</w:t>
      </w:r>
      <w:r w:rsidR="00EB0FC5">
        <w:rPr>
          <w:rStyle w:val="FootnoteReference"/>
        </w:rPr>
        <w:footnoteReference w:id="68"/>
      </w:r>
      <w:r>
        <w:t xml:space="preserve"> </w:t>
      </w:r>
      <w:r w:rsidR="00E06666">
        <w:t xml:space="preserve">With respect to the purpose of worship, he explains that it “cannot </w:t>
      </w:r>
      <w:proofErr w:type="spellStart"/>
      <w:r w:rsidR="00E06666">
        <w:t>signifie</w:t>
      </w:r>
      <w:proofErr w:type="spellEnd"/>
      <w:r w:rsidR="00E06666">
        <w:t xml:space="preserve"> what he [God] is, but ought to </w:t>
      </w:r>
      <w:proofErr w:type="spellStart"/>
      <w:r w:rsidR="00E06666">
        <w:t>signifie</w:t>
      </w:r>
      <w:proofErr w:type="spellEnd"/>
      <w:r w:rsidR="00E06666">
        <w:t xml:space="preserve"> our desire to </w:t>
      </w:r>
      <w:proofErr w:type="spellStart"/>
      <w:r w:rsidR="00E06666">
        <w:t>honour</w:t>
      </w:r>
      <w:proofErr w:type="spellEnd"/>
      <w:r w:rsidR="00E06666">
        <w:t xml:space="preserve"> him, with the best </w:t>
      </w:r>
      <w:proofErr w:type="spellStart"/>
      <w:r w:rsidR="00E06666">
        <w:t>Appelations</w:t>
      </w:r>
      <w:proofErr w:type="spellEnd"/>
      <w:r w:rsidR="00E06666">
        <w:t xml:space="preserve"> we can think of.”</w:t>
      </w:r>
      <w:r w:rsidR="00E06666">
        <w:rPr>
          <w:rStyle w:val="FootnoteReference"/>
        </w:rPr>
        <w:footnoteReference w:id="69"/>
      </w:r>
    </w:p>
    <w:p w14:paraId="65C283C2" w14:textId="6B4F045D" w:rsidR="00FB0691" w:rsidRDefault="00E06666" w:rsidP="00350E7B">
      <w:pPr>
        <w:spacing w:line="480" w:lineRule="auto"/>
        <w:ind w:firstLine="720"/>
      </w:pPr>
      <w:r>
        <w:t xml:space="preserve">Radical Protestants, however, </w:t>
      </w:r>
      <w:r w:rsidR="00E1689B">
        <w:t xml:space="preserve">refused to decouple understanding and knowledge from faith and </w:t>
      </w:r>
      <w:r>
        <w:t xml:space="preserve">they refused to understand </w:t>
      </w:r>
      <w:r w:rsidR="00E1689B">
        <w:t xml:space="preserve">worship </w:t>
      </w:r>
      <w:r>
        <w:t xml:space="preserve">as blind reference.  They </w:t>
      </w:r>
      <w:r w:rsidR="00157537">
        <w:t xml:space="preserve">used many illuminating words and </w:t>
      </w:r>
      <w:r w:rsidR="00E1689B">
        <w:t>phrase</w:t>
      </w:r>
      <w:r>
        <w:t xml:space="preserve">s to describe individuals with implicit faith who severed thought from their faith. They </w:t>
      </w:r>
      <w:r w:rsidR="002F08F0">
        <w:t xml:space="preserve">called </w:t>
      </w:r>
      <w:r>
        <w:t>implicit faith</w:t>
      </w:r>
      <w:r w:rsidR="00E1689B">
        <w:t xml:space="preserve"> </w:t>
      </w:r>
      <w:r w:rsidR="00157537">
        <w:t xml:space="preserve">“credulity,” or “credulity without consideration.” The </w:t>
      </w:r>
      <w:r>
        <w:t xml:space="preserve">called the </w:t>
      </w:r>
      <w:r w:rsidR="00157537">
        <w:t>impl</w:t>
      </w:r>
      <w:r w:rsidR="002F08F0">
        <w:t>ic</w:t>
      </w:r>
      <w:r>
        <w:t xml:space="preserve">itly faithful </w:t>
      </w:r>
      <w:r w:rsidR="002F08F0">
        <w:t>those</w:t>
      </w:r>
      <w:r w:rsidR="00157537">
        <w:t xml:space="preserve"> who “swallowed things credulously,” they had a “blind faith;” they expressed “blind zeal;” and they profes</w:t>
      </w:r>
      <w:r w:rsidR="00780834">
        <w:t>sed “blind assent.”  B</w:t>
      </w:r>
      <w:r w:rsidR="00157537">
        <w:t>ecause their faith was “bl</w:t>
      </w:r>
      <w:r>
        <w:t>ind;” radical Protestants said they</w:t>
      </w:r>
      <w:r w:rsidR="00157537">
        <w:t xml:space="preserve"> had an “ignorant faith;” theirs was the “faith of </w:t>
      </w:r>
      <w:proofErr w:type="spellStart"/>
      <w:r w:rsidR="00157537">
        <w:t>fooles</w:t>
      </w:r>
      <w:proofErr w:type="spellEnd"/>
      <w:r w:rsidR="00157537">
        <w:t xml:space="preserve">;” their worship was “ignorant devotion;” </w:t>
      </w:r>
      <w:r w:rsidR="00EC76BE">
        <w:t xml:space="preserve">and </w:t>
      </w:r>
      <w:r w:rsidR="00157537">
        <w:t>they rested in “brutish ignorance.”</w:t>
      </w:r>
      <w:r w:rsidR="00265FA7">
        <w:rPr>
          <w:rStyle w:val="FootnoteReference"/>
        </w:rPr>
        <w:footnoteReference w:id="70"/>
      </w:r>
    </w:p>
    <w:p w14:paraId="5456DA4C" w14:textId="77777777" w:rsidR="006A7A9F" w:rsidRDefault="00E1689B" w:rsidP="00350E7B">
      <w:pPr>
        <w:spacing w:line="480" w:lineRule="auto"/>
      </w:pPr>
      <w:r>
        <w:tab/>
      </w:r>
    </w:p>
    <w:p w14:paraId="0BCF416A" w14:textId="498F65F9" w:rsidR="006A7A9F" w:rsidRPr="006A7A9F" w:rsidRDefault="006A7A9F" w:rsidP="00350E7B">
      <w:pPr>
        <w:spacing w:line="480" w:lineRule="auto"/>
        <w:rPr>
          <w:b/>
        </w:rPr>
      </w:pPr>
      <w:r>
        <w:rPr>
          <w:b/>
        </w:rPr>
        <w:lastRenderedPageBreak/>
        <w:t>Thinking Discouraged: Implicit Faith as Discouraging Apprehension and Understanding</w:t>
      </w:r>
    </w:p>
    <w:p w14:paraId="4C9809EE" w14:textId="0B838137" w:rsidR="0096039A" w:rsidRDefault="00E1689B" w:rsidP="00350E7B">
      <w:pPr>
        <w:spacing w:line="480" w:lineRule="auto"/>
        <w:ind w:firstLine="720"/>
      </w:pPr>
      <w:r>
        <w:t>Proponents of the</w:t>
      </w:r>
      <w:r w:rsidR="00780834">
        <w:t xml:space="preserve"> doctrine of implicit not only positively severed the obligation to believe from the obli</w:t>
      </w:r>
      <w:r>
        <w:t>gation to apprehend and know. They</w:t>
      </w:r>
      <w:r w:rsidR="00E06666">
        <w:t xml:space="preserve"> also discouraged individuals from</w:t>
      </w:r>
      <w:r w:rsidR="00780834">
        <w:t xml:space="preserve"> seek</w:t>
      </w:r>
      <w:r w:rsidR="00E06666">
        <w:t>ing</w:t>
      </w:r>
      <w:r w:rsidR="00EC76BE">
        <w:t xml:space="preserve"> knowledge or understanding</w:t>
      </w:r>
      <w:r w:rsidR="00265FA7">
        <w:t xml:space="preserve"> of their faith</w:t>
      </w:r>
      <w:r w:rsidR="00E06666">
        <w:t xml:space="preserve">. </w:t>
      </w:r>
      <w:r w:rsidR="00EC76BE">
        <w:t xml:space="preserve">Translating the Bible into the vernacular was not only unnecessary; it was ill advised. </w:t>
      </w:r>
      <w:r w:rsidR="00150B67">
        <w:t xml:space="preserve"> A</w:t>
      </w:r>
      <w:r w:rsidR="00E06666">
        <w:t xml:space="preserve">sking </w:t>
      </w:r>
      <w:r w:rsidR="00780834" w:rsidRPr="00780834">
        <w:t>ques</w:t>
      </w:r>
      <w:r w:rsidR="00150B67">
        <w:t xml:space="preserve">tions </w:t>
      </w:r>
      <w:r w:rsidR="002B4E50">
        <w:t>or deliberati</w:t>
      </w:r>
      <w:r w:rsidR="00AE7499">
        <w:t>n</w:t>
      </w:r>
      <w:r w:rsidR="002B4E50">
        <w:t>g with others</w:t>
      </w:r>
      <w:r w:rsidR="00AE7499">
        <w:t xml:space="preserve"> </w:t>
      </w:r>
      <w:r w:rsidR="00150B67">
        <w:t>about the principles of faith was impertine</w:t>
      </w:r>
      <w:r w:rsidR="00AE7499">
        <w:t xml:space="preserve">nt.  Proponents of implicit faith </w:t>
      </w:r>
      <w:r w:rsidR="002B4E50">
        <w:t xml:space="preserve">even </w:t>
      </w:r>
      <w:r w:rsidR="00150B67">
        <w:t xml:space="preserve">encouraged </w:t>
      </w:r>
      <w:r w:rsidR="00AE7499">
        <w:t xml:space="preserve">individuals </w:t>
      </w:r>
      <w:r w:rsidR="00150B67">
        <w:t xml:space="preserve">to </w:t>
      </w:r>
      <w:r w:rsidR="00EC76BE" w:rsidRPr="00EC76BE">
        <w:rPr>
          <w:i/>
        </w:rPr>
        <w:t>cho</w:t>
      </w:r>
      <w:r w:rsidR="00150B67">
        <w:rPr>
          <w:i/>
        </w:rPr>
        <w:t>o</w:t>
      </w:r>
      <w:r w:rsidR="00EC76BE" w:rsidRPr="00EC76BE">
        <w:rPr>
          <w:i/>
        </w:rPr>
        <w:t>se</w:t>
      </w:r>
      <w:r w:rsidR="00AE7499">
        <w:t xml:space="preserve"> ignorance. The implicitly faithful</w:t>
      </w:r>
      <w:r w:rsidR="00780834" w:rsidRPr="00780834">
        <w:t xml:space="preserve"> </w:t>
      </w:r>
      <w:r w:rsidR="002B4E50">
        <w:t xml:space="preserve">individual </w:t>
      </w:r>
      <w:r w:rsidR="005A6F3F">
        <w:t xml:space="preserve">was </w:t>
      </w:r>
      <w:r w:rsidR="00150B67">
        <w:t>to “</w:t>
      </w:r>
      <w:proofErr w:type="gramStart"/>
      <w:r w:rsidR="00150B67">
        <w:t>believe[</w:t>
      </w:r>
      <w:proofErr w:type="gramEnd"/>
      <w:r w:rsidR="00150B67">
        <w:t>]</w:t>
      </w:r>
      <w:r w:rsidR="00780834" w:rsidRPr="00780834">
        <w:t xml:space="preserve"> the Canons and Determinations of the Church, and…</w:t>
      </w:r>
      <w:r w:rsidR="00150B67">
        <w:t>[to] set[]</w:t>
      </w:r>
      <w:r w:rsidR="00780834" w:rsidRPr="00780834">
        <w:t xml:space="preserve"> bounds to al</w:t>
      </w:r>
      <w:r w:rsidR="005A6F3F">
        <w:t>l</w:t>
      </w:r>
      <w:r w:rsidR="00780834" w:rsidRPr="00780834">
        <w:t xml:space="preserve"> his wisdom and </w:t>
      </w:r>
      <w:r w:rsidR="00150B67">
        <w:t xml:space="preserve">knowledge, and </w:t>
      </w:r>
      <w:proofErr w:type="spellStart"/>
      <w:r w:rsidR="00150B67">
        <w:t>labour</w:t>
      </w:r>
      <w:proofErr w:type="spellEnd"/>
      <w:r w:rsidR="00150B67">
        <w:t>[]</w:t>
      </w:r>
      <w:r w:rsidR="00780834" w:rsidRPr="00780834">
        <w:t xml:space="preserve"> to avoid all Speculations thereon, </w:t>
      </w:r>
      <w:r w:rsidR="00172800" w:rsidRPr="00780834">
        <w:t>fearing through the frailty of his Intellect, to fall into some Error.</w:t>
      </w:r>
      <w:r w:rsidR="00780834" w:rsidRPr="00780834">
        <w:t>”</w:t>
      </w:r>
      <w:r w:rsidR="00780834" w:rsidRPr="00780834">
        <w:rPr>
          <w:rStyle w:val="FootnoteReference"/>
        </w:rPr>
        <w:footnoteReference w:id="71"/>
      </w:r>
      <w:r w:rsidR="0096039A">
        <w:t xml:space="preserve"> </w:t>
      </w:r>
    </w:p>
    <w:p w14:paraId="40A507B3" w14:textId="14C45B3A" w:rsidR="00AE7499" w:rsidRDefault="00AE7499" w:rsidP="00350E7B">
      <w:pPr>
        <w:spacing w:line="480" w:lineRule="auto"/>
        <w:ind w:firstLine="720"/>
      </w:pPr>
      <w:r>
        <w:t>The reasons why proponents discouraged individuals from seeking to know their faith explicitly were numerous. The first reason was elitists. Religious authorities k</w:t>
      </w:r>
      <w:r w:rsidR="002B4E50">
        <w:t xml:space="preserve">new better; there was therefore no reason </w:t>
      </w:r>
      <w:r>
        <w:t xml:space="preserve">for the laity </w:t>
      </w:r>
      <w:r w:rsidR="002B4E50">
        <w:t xml:space="preserve">to </w:t>
      </w:r>
      <w:r>
        <w:t>seek to understand; it was sufficient to submit to their authority</w:t>
      </w:r>
      <w:r w:rsidR="002B4E50">
        <w:t xml:space="preserve"> of their betters. However, t</w:t>
      </w:r>
      <w:r>
        <w:t xml:space="preserve">he espousers of the doctrine of implicit faith presented this </w:t>
      </w:r>
      <w:r w:rsidR="002B4E50">
        <w:t>elitism as egalitarian. Imposing</w:t>
      </w:r>
      <w:r>
        <w:t xml:space="preserve"> no obligation upon the laity to think about their faith was democratic because everyone could be ignorant.  Thus, the doctrine of implicit faith could serve “the </w:t>
      </w:r>
      <w:proofErr w:type="spellStart"/>
      <w:proofErr w:type="gramStart"/>
      <w:r>
        <w:t>capacit</w:t>
      </w:r>
      <w:proofErr w:type="spellEnd"/>
      <w:r>
        <w:t>[</w:t>
      </w:r>
      <w:proofErr w:type="spellStart"/>
      <w:proofErr w:type="gramEnd"/>
      <w:r>
        <w:t>ies</w:t>
      </w:r>
      <w:proofErr w:type="spellEnd"/>
      <w:r>
        <w:t>] of the unlearned as well as the learned.”</w:t>
      </w:r>
      <w:r>
        <w:rPr>
          <w:rStyle w:val="FootnoteReference"/>
        </w:rPr>
        <w:footnoteReference w:id="72"/>
      </w:r>
      <w:r>
        <w:t xml:space="preserve"> Needless to say, radical Protestants rejected this “democratic” defense of ignorance. They maintained that </w:t>
      </w:r>
      <w:r w:rsidR="002B4E50">
        <w:lastRenderedPageBreak/>
        <w:t>we</w:t>
      </w:r>
      <w:r>
        <w:t xml:space="preserve"> “should believe that the way to eternal life </w:t>
      </w:r>
      <w:proofErr w:type="gramStart"/>
      <w:r>
        <w:t>can</w:t>
      </w:r>
      <w:proofErr w:type="gramEnd"/>
      <w:r>
        <w:t xml:space="preserve"> be understood by all” because “</w:t>
      </w:r>
      <w:r w:rsidRPr="004107C1">
        <w:t>the</w:t>
      </w:r>
      <w:r>
        <w:t xml:space="preserve"> poor</w:t>
      </w:r>
      <w:r w:rsidRPr="004107C1">
        <w:t xml:space="preserve"> hath understanding</w:t>
      </w:r>
      <w:r>
        <w:t>” and may come to know, explicate, and intelligently profess their faith.</w:t>
      </w:r>
    </w:p>
    <w:p w14:paraId="596D541E" w14:textId="4BB47587" w:rsidR="00E550A2" w:rsidRDefault="00E550A2" w:rsidP="00350E7B">
      <w:pPr>
        <w:spacing w:line="480" w:lineRule="auto"/>
        <w:ind w:firstLine="720"/>
      </w:pPr>
      <w:r>
        <w:t>Another</w:t>
      </w:r>
      <w:r w:rsidR="002B4E50">
        <w:t xml:space="preserve"> reason</w:t>
      </w:r>
      <w:r w:rsidR="00AE7499">
        <w:t xml:space="preserve"> why proponents of implicit faith discouraged individuals from seeking to understand their faith had to do </w:t>
      </w:r>
      <w:r>
        <w:t>with the limits they placed upon the intellectual faculty.</w:t>
      </w:r>
      <w:r w:rsidRPr="00E550A2">
        <w:t xml:space="preserve"> </w:t>
      </w:r>
      <w:r>
        <w:t xml:space="preserve">Because the intellect sees through a glass darkly, intellectual inquiry into faith would be fruitless, and endless. Inquirers who used reason to understand faith would only discover “contradictions, loose conceptions, and </w:t>
      </w:r>
      <w:proofErr w:type="spellStart"/>
      <w:r>
        <w:t>endlesse</w:t>
      </w:r>
      <w:proofErr w:type="spellEnd"/>
      <w:r>
        <w:t xml:space="preserve"> controversies.” Proponents of implicit faith reasoned that these intellectual fruits could lead</w:t>
      </w:r>
      <w:r w:rsidR="00AE7499">
        <w:t xml:space="preserve"> to atheism, to schism, and ultimately to religious war.</w:t>
      </w:r>
      <w:r w:rsidR="00AE7499">
        <w:rPr>
          <w:rStyle w:val="FootnoteReference"/>
        </w:rPr>
        <w:footnoteReference w:id="73"/>
      </w:r>
      <w:r>
        <w:t xml:space="preserve"> </w:t>
      </w:r>
      <w:r w:rsidR="00AE7499">
        <w:t>The defenders of ignorance therefore concluded, “What remains to every man, [is] but [to] lay[] aside endless dispute….[and] to cast himself into the arms of this Holy Mother Church, and wholly rely upon her…[and] submit themselves to the visible head thereof.”</w:t>
      </w:r>
      <w:r w:rsidR="00AE7499">
        <w:rPr>
          <w:rStyle w:val="FootnoteReference"/>
        </w:rPr>
        <w:footnoteReference w:id="74"/>
      </w:r>
    </w:p>
    <w:p w14:paraId="7507929E" w14:textId="631CB070" w:rsidR="00725564" w:rsidRDefault="00AE7499" w:rsidP="00350E7B">
      <w:pPr>
        <w:spacing w:line="480" w:lineRule="auto"/>
        <w:ind w:firstLine="720"/>
      </w:pPr>
      <w:r>
        <w:t xml:space="preserve">Hobbes defends ignorance in matters of faith for many of the same reasons the proponents of the doctrine of implicit faith did.  First, he did not think there was much utility in chewing </w:t>
      </w:r>
      <w:r w:rsidR="00E550A2">
        <w:t xml:space="preserve">on </w:t>
      </w:r>
      <w:r>
        <w:t>religious cud because the</w:t>
      </w:r>
      <w:r w:rsidR="00E550A2">
        <w:t xml:space="preserve"> fundamental</w:t>
      </w:r>
      <w:r>
        <w:t xml:space="preserve"> principles of Christianity were contradictory [i.e. mysterious] and therefore could not be chewed by </w:t>
      </w:r>
      <w:r w:rsidR="00E550A2">
        <w:t xml:space="preserve">the faculty of </w:t>
      </w:r>
      <w:r>
        <w:t xml:space="preserve">reason. </w:t>
      </w:r>
      <w:r w:rsidR="00E550A2">
        <w:t xml:space="preserve">He maintained that the fundamental article of Christianity (i.e. that Jesus was the Christ) was fundamentally contradictory, and the human mind was incapable of apprehending and comprehending this mystery at the root of </w:t>
      </w:r>
      <w:r w:rsidR="00E550A2">
        <w:lastRenderedPageBreak/>
        <w:t>their faith.</w:t>
      </w:r>
      <w:r w:rsidR="00DD29EC">
        <w:rPr>
          <w:rStyle w:val="FootnoteReference"/>
        </w:rPr>
        <w:footnoteReference w:id="75"/>
      </w:r>
      <w:r w:rsidR="002B4E50">
        <w:t xml:space="preserve"> He therefore instructed</w:t>
      </w:r>
      <w:r w:rsidR="00E550A2">
        <w:t xml:space="preserve"> individuals “not to </w:t>
      </w:r>
      <w:proofErr w:type="spellStart"/>
      <w:r w:rsidR="00E550A2">
        <w:t>labour</w:t>
      </w:r>
      <w:proofErr w:type="spellEnd"/>
      <w:r w:rsidR="00E550A2">
        <w:t xml:space="preserve"> in sifting out a philosophical truth by logic, of such mysteries as are not comprehensible, nor fall under any rule of natural science.”</w:t>
      </w:r>
      <w:r w:rsidR="00E550A2">
        <w:rPr>
          <w:rStyle w:val="FootnoteReference"/>
        </w:rPr>
        <w:footnoteReference w:id="76"/>
      </w:r>
      <w:r w:rsidR="00E550A2">
        <w:t xml:space="preserve">  Instead of seeking truth, Hobbes urged subjects to “captivate their understanding,” “forbear contraction,” and listen to </w:t>
      </w:r>
      <w:r w:rsidR="00F15655">
        <w:t xml:space="preserve">what </w:t>
      </w:r>
      <w:r w:rsidR="00E550A2">
        <w:t xml:space="preserve">their </w:t>
      </w:r>
      <w:r w:rsidR="00DD29EC">
        <w:t xml:space="preserve">lawful </w:t>
      </w:r>
      <w:r w:rsidR="00E550A2">
        <w:t>pastors</w:t>
      </w:r>
      <w:r w:rsidR="00F15655">
        <w:t xml:space="preserve"> teach them</w:t>
      </w:r>
      <w:r w:rsidR="00E550A2">
        <w:t xml:space="preserve">. </w:t>
      </w:r>
      <w:r w:rsidR="00DD29EC">
        <w:t xml:space="preserve">By listening to their pastor’s words patiently and silently, individuals would </w:t>
      </w:r>
      <w:r w:rsidR="00E550A2">
        <w:t>come to believe</w:t>
      </w:r>
      <w:r w:rsidR="00DD29EC">
        <w:t xml:space="preserve"> that Christ was</w:t>
      </w:r>
      <w:r w:rsidR="00E550A2">
        <w:t xml:space="preserve"> the Messiah</w:t>
      </w:r>
      <w:r w:rsidR="00DD29EC">
        <w:t>. This was because faith came “by hearing” (and not by thinking).</w:t>
      </w:r>
    </w:p>
    <w:p w14:paraId="4AA65CCB" w14:textId="77777777" w:rsidR="00DD29EC" w:rsidRDefault="0096039A" w:rsidP="00350E7B">
      <w:pPr>
        <w:spacing w:line="480" w:lineRule="auto"/>
        <w:ind w:firstLine="720"/>
      </w:pPr>
      <w:r>
        <w:t xml:space="preserve">In numerous </w:t>
      </w:r>
      <w:r w:rsidR="00172800">
        <w:t>ways, P</w:t>
      </w:r>
      <w:r w:rsidR="002F08F0">
        <w:t xml:space="preserve">rotestants </w:t>
      </w:r>
      <w:r w:rsidR="00DD29EC">
        <w:t>disagreed with men like Hobbes and the other proponents of the doctrine of implicit faith who decoupled faith from knowledge. They</w:t>
      </w:r>
      <w:r w:rsidR="00DA6DAA">
        <w:t xml:space="preserve"> impose</w:t>
      </w:r>
      <w:r w:rsidR="003E509F">
        <w:t xml:space="preserve"> obligations up</w:t>
      </w:r>
      <w:r w:rsidR="003E5CAB">
        <w:t>on the intellect</w:t>
      </w:r>
      <w:r w:rsidR="00DD29EC">
        <w:t xml:space="preserve">, arguing that </w:t>
      </w:r>
      <w:r w:rsidR="003E509F">
        <w:t>individuals had</w:t>
      </w:r>
      <w:r w:rsidR="005A6F3F">
        <w:t xml:space="preserve"> </w:t>
      </w:r>
      <w:r w:rsidR="003E5CAB">
        <w:t xml:space="preserve">a </w:t>
      </w:r>
      <w:r w:rsidR="005A6F3F">
        <w:t xml:space="preserve">positive obligation to </w:t>
      </w:r>
      <w:r w:rsidR="005D5902">
        <w:t xml:space="preserve">apprehend </w:t>
      </w:r>
      <w:r w:rsidR="005A6F3F">
        <w:t xml:space="preserve">(or endeavor to apprehend) </w:t>
      </w:r>
      <w:r w:rsidR="005D5902">
        <w:t xml:space="preserve">and understand </w:t>
      </w:r>
      <w:r w:rsidR="005A6F3F">
        <w:t xml:space="preserve">(or endeavor to understand) </w:t>
      </w:r>
      <w:r w:rsidR="005D5902">
        <w:t>the objects of their faith. Those w</w:t>
      </w:r>
      <w:r w:rsidR="003E509F">
        <w:t xml:space="preserve">ho did not have an adequate </w:t>
      </w:r>
      <w:r w:rsidR="005D5902">
        <w:t xml:space="preserve">grasp </w:t>
      </w:r>
      <w:r w:rsidR="00DA6DAA">
        <w:t xml:space="preserve">(or did not seek to grasp) </w:t>
      </w:r>
      <w:r w:rsidR="005D5902">
        <w:t xml:space="preserve">their </w:t>
      </w:r>
      <w:r>
        <w:t>faith should expect damnation</w:t>
      </w:r>
      <w:r w:rsidR="005D5902">
        <w:t xml:space="preserve">. </w:t>
      </w:r>
    </w:p>
    <w:p w14:paraId="093C4A37" w14:textId="6B42B58E" w:rsidR="00DA6DAA" w:rsidRDefault="005D5902" w:rsidP="00350E7B">
      <w:pPr>
        <w:spacing w:line="480" w:lineRule="auto"/>
        <w:ind w:firstLine="720"/>
      </w:pPr>
      <w:r>
        <w:t>Let me offer a few representative articulations of this</w:t>
      </w:r>
      <w:r w:rsidR="003E509F">
        <w:t xml:space="preserve"> point. Some Englishmen simply referenced passages from Paul and stated,  “I</w:t>
      </w:r>
      <w:r>
        <w:t>gnorance is no excuse” on judgme</w:t>
      </w:r>
      <w:r w:rsidR="0096039A">
        <w:t>nt da</w:t>
      </w:r>
      <w:r w:rsidR="003E509F">
        <w:t xml:space="preserve">y. </w:t>
      </w:r>
      <w:r>
        <w:t xml:space="preserve">“No </w:t>
      </w:r>
      <w:proofErr w:type="spellStart"/>
      <w:r>
        <w:t>implicite</w:t>
      </w:r>
      <w:proofErr w:type="spellEnd"/>
      <w:r>
        <w:t xml:space="preserve"> </w:t>
      </w:r>
      <w:proofErr w:type="spellStart"/>
      <w:r>
        <w:t>Fayth</w:t>
      </w:r>
      <w:proofErr w:type="spellEnd"/>
      <w:r>
        <w:t xml:space="preserve"> doeth </w:t>
      </w:r>
      <w:proofErr w:type="gramStart"/>
      <w:r>
        <w:t>save…..What</w:t>
      </w:r>
      <w:proofErr w:type="gramEnd"/>
      <w:r>
        <w:t xml:space="preserve"> we believe, we must distinctly know, and not rely on an </w:t>
      </w:r>
      <w:proofErr w:type="spellStart"/>
      <w:r>
        <w:t>implicite</w:t>
      </w:r>
      <w:proofErr w:type="spellEnd"/>
      <w:r>
        <w:t xml:space="preserve"> faith, to be saved thereby;”</w:t>
      </w:r>
      <w:r>
        <w:rPr>
          <w:rStyle w:val="FootnoteReference"/>
        </w:rPr>
        <w:footnoteReference w:id="77"/>
      </w:r>
      <w:r w:rsidR="0096039A">
        <w:t xml:space="preserve"> </w:t>
      </w:r>
      <w:r w:rsidR="003E509F">
        <w:t xml:space="preserve">Other Englishmen offered a more reasoned explanation for why faith must be tied to apprehension and thought: </w:t>
      </w:r>
      <w:r>
        <w:t>“</w:t>
      </w:r>
      <w:proofErr w:type="spellStart"/>
      <w:r>
        <w:t>Implicite</w:t>
      </w:r>
      <w:proofErr w:type="spellEnd"/>
      <w:r>
        <w:t xml:space="preserve"> faith..</w:t>
      </w:r>
      <w:proofErr w:type="gramStart"/>
      <w:r>
        <w:t>is</w:t>
      </w:r>
      <w:proofErr w:type="gramEnd"/>
      <w:r>
        <w:t xml:space="preserve"> not of itself sufficient for salvation…for it cannot be that the will be effectually affected, and embrace that as </w:t>
      </w:r>
      <w:r>
        <w:lastRenderedPageBreak/>
        <w:t>good</w:t>
      </w:r>
      <w:r w:rsidR="005A6F3F">
        <w:t xml:space="preserve"> </w:t>
      </w:r>
      <w:r>
        <w:t>which it doth not at all distinctly know.”</w:t>
      </w:r>
      <w:r>
        <w:rPr>
          <w:rStyle w:val="FootnoteReference"/>
        </w:rPr>
        <w:footnoteReference w:id="78"/>
      </w:r>
      <w:r>
        <w:t xml:space="preserve"> </w:t>
      </w:r>
      <w:r w:rsidR="005A6F3F">
        <w:t>Thomas Fuller declared that individuals</w:t>
      </w:r>
      <w:r w:rsidR="00DA6DAA">
        <w:t xml:space="preserve"> were required to, </w:t>
      </w:r>
    </w:p>
    <w:p w14:paraId="2C4570B9" w14:textId="044A5A45" w:rsidR="00DA6DAA" w:rsidRDefault="00DA6DAA" w:rsidP="00350E7B">
      <w:pPr>
        <w:spacing w:line="480" w:lineRule="auto"/>
        <w:ind w:left="720" w:right="720"/>
      </w:pPr>
      <w:proofErr w:type="spellStart"/>
      <w:r>
        <w:t>Labour</w:t>
      </w:r>
      <w:proofErr w:type="spellEnd"/>
      <w:r>
        <w:t xml:space="preserve"> to attain some competent measure of knowledge in matters of salvation…believe no man with implicit faith in matters of such moment; for he who buys a jewel in a case, without ever looking on it, deserves to be cozened with a Bristol stone. </w:t>
      </w:r>
      <w:r>
        <w:rPr>
          <w:rStyle w:val="FootnoteReference"/>
        </w:rPr>
        <w:footnoteReference w:id="79"/>
      </w:r>
    </w:p>
    <w:p w14:paraId="5C781743" w14:textId="2C1AF598" w:rsidR="003E509F" w:rsidRDefault="00F20FF5" w:rsidP="00350E7B">
      <w:pPr>
        <w:spacing w:line="480" w:lineRule="auto"/>
        <w:ind w:firstLine="720"/>
      </w:pPr>
      <w:r>
        <w:t>Mi</w:t>
      </w:r>
      <w:r w:rsidR="00B63315">
        <w:t>lton</w:t>
      </w:r>
      <w:r w:rsidR="00DD29EC">
        <w:t xml:space="preserve"> acknowledged that </w:t>
      </w:r>
      <w:r w:rsidR="003C0686">
        <w:t xml:space="preserve">the </w:t>
      </w:r>
      <w:r w:rsidR="0096039A">
        <w:t>process of coming to</w:t>
      </w:r>
      <w:r w:rsidR="00B63315">
        <w:t xml:space="preserve"> </w:t>
      </w:r>
      <w:r w:rsidRPr="00B63315">
        <w:t>appre</w:t>
      </w:r>
      <w:r w:rsidR="0096039A">
        <w:t>hend and know</w:t>
      </w:r>
      <w:r w:rsidR="00B63315" w:rsidRPr="00B63315">
        <w:t xml:space="preserve"> one’s faith was burdensome. He </w:t>
      </w:r>
      <w:r w:rsidR="0096039A">
        <w:t xml:space="preserve">even </w:t>
      </w:r>
      <w:r w:rsidRPr="00B63315">
        <w:t xml:space="preserve">said “there is not any burden that some would </w:t>
      </w:r>
      <w:proofErr w:type="spellStart"/>
      <w:r w:rsidRPr="00B63315">
        <w:t>gladier</w:t>
      </w:r>
      <w:proofErr w:type="spellEnd"/>
      <w:r w:rsidRPr="00B63315">
        <w:t xml:space="preserve"> post off to another, then the charge and care of their Religion.</w:t>
      </w:r>
      <w:r w:rsidR="003C0686">
        <w:t>” But he</w:t>
      </w:r>
      <w:r w:rsidR="00B63315" w:rsidRPr="00B63315">
        <w:t xml:space="preserve"> argued that i</w:t>
      </w:r>
      <w:r w:rsidR="003E509F">
        <w:t xml:space="preserve">ndividuals must know their </w:t>
      </w:r>
      <w:r w:rsidR="003C0686">
        <w:t>faith</w:t>
      </w:r>
      <w:r w:rsidR="00DA6DAA">
        <w:t>:</w:t>
      </w:r>
    </w:p>
    <w:p w14:paraId="099C4B04" w14:textId="30DD5491" w:rsidR="003E509F" w:rsidRDefault="003E509F" w:rsidP="00350E7B">
      <w:pPr>
        <w:spacing w:line="480" w:lineRule="auto"/>
        <w:ind w:left="720" w:right="720"/>
      </w:pPr>
      <w:r>
        <w:t xml:space="preserve"> </w:t>
      </w:r>
      <w:r w:rsidR="00B63315" w:rsidRPr="00B63315">
        <w:t>A</w:t>
      </w:r>
      <w:r w:rsidR="00F20FF5" w:rsidRPr="00B63315">
        <w:t xml:space="preserve"> man may be a </w:t>
      </w:r>
      <w:proofErr w:type="spellStart"/>
      <w:r w:rsidR="00F20FF5" w:rsidRPr="00B63315">
        <w:t>heretick</w:t>
      </w:r>
      <w:proofErr w:type="spellEnd"/>
      <w:r w:rsidR="00F20FF5" w:rsidRPr="00B63315">
        <w:t xml:space="preserve"> in the truth [and thus damned]…if he believe things only because his Pastor says so, or the Assembly so determines, without </w:t>
      </w:r>
      <w:r w:rsidR="00F20FF5" w:rsidRPr="00B63315">
        <w:rPr>
          <w:i/>
        </w:rPr>
        <w:t xml:space="preserve">knowing </w:t>
      </w:r>
      <w:r w:rsidR="00F20FF5" w:rsidRPr="00B63315">
        <w:t>other</w:t>
      </w:r>
      <w:r w:rsidR="0096039A">
        <w:t xml:space="preserve"> reason, though</w:t>
      </w:r>
      <w:r w:rsidR="00F20FF5">
        <w:t xml:space="preserve"> his belief be true, yet the very truth he holds, becomes his </w:t>
      </w:r>
      <w:proofErr w:type="spellStart"/>
      <w:r w:rsidR="00F20FF5">
        <w:t>heresie</w:t>
      </w:r>
      <w:proofErr w:type="spellEnd"/>
      <w:r w:rsidR="00F20FF5">
        <w:t>.</w:t>
      </w:r>
      <w:r w:rsidR="00B63315">
        <w:rPr>
          <w:rStyle w:val="FootnoteReference"/>
        </w:rPr>
        <w:footnoteReference w:id="80"/>
      </w:r>
      <w:r w:rsidR="00B63315">
        <w:t xml:space="preserve"> </w:t>
      </w:r>
    </w:p>
    <w:p w14:paraId="6948C1B4" w14:textId="0CC6B390" w:rsidR="00B555F7" w:rsidRPr="009865C7" w:rsidRDefault="005D5902" w:rsidP="00350E7B">
      <w:pPr>
        <w:spacing w:line="480" w:lineRule="auto"/>
        <w:ind w:firstLine="720"/>
      </w:pPr>
      <w:r>
        <w:t>Other Protestan</w:t>
      </w:r>
      <w:r w:rsidR="0096039A">
        <w:t>ts rejected implicit faith</w:t>
      </w:r>
      <w:r w:rsidR="00985EF2">
        <w:t>’s celebration of ignorance</w:t>
      </w:r>
      <w:r w:rsidR="0096039A">
        <w:t xml:space="preserve"> by </w:t>
      </w:r>
      <w:r w:rsidR="009865C7">
        <w:t>arg</w:t>
      </w:r>
      <w:r w:rsidR="0096039A">
        <w:t>uing that it was</w:t>
      </w:r>
      <w:r w:rsidR="009865C7">
        <w:t xml:space="preserve"> impossible for an indi</w:t>
      </w:r>
      <w:r w:rsidR="00950748">
        <w:t>vidual to believe something if</w:t>
      </w:r>
      <w:r w:rsidR="009865C7">
        <w:t xml:space="preserve"> he or she hadn’t conceived</w:t>
      </w:r>
      <w:r w:rsidR="00950748">
        <w:t xml:space="preserve"> of it</w:t>
      </w:r>
      <w:r w:rsidR="009865C7">
        <w:t>, or didn’t know</w:t>
      </w:r>
      <w:r w:rsidR="00950748">
        <w:t xml:space="preserve"> it</w:t>
      </w:r>
      <w:r w:rsidR="009865C7">
        <w:t xml:space="preserve">.  </w:t>
      </w:r>
      <w:r>
        <w:t xml:space="preserve">For example, </w:t>
      </w:r>
      <w:proofErr w:type="spellStart"/>
      <w:r w:rsidR="009865C7">
        <w:t>Pagitt</w:t>
      </w:r>
      <w:proofErr w:type="spellEnd"/>
      <w:r w:rsidR="009865C7">
        <w:t xml:space="preserve"> said, “</w:t>
      </w:r>
      <w:r w:rsidR="00816A7E">
        <w:t xml:space="preserve">This </w:t>
      </w:r>
      <w:r w:rsidR="0096039A">
        <w:t xml:space="preserve">implicit faith we </w:t>
      </w:r>
      <w:r w:rsidR="00816A7E">
        <w:t xml:space="preserve">reject: for faith </w:t>
      </w:r>
      <w:proofErr w:type="spellStart"/>
      <w:r w:rsidR="00816A7E">
        <w:t>containeth</w:t>
      </w:r>
      <w:proofErr w:type="spellEnd"/>
      <w:r w:rsidR="00816A7E">
        <w:t xml:space="preserve"> a knowledge of things to be believed; and nothing is believed that is not </w:t>
      </w:r>
      <w:proofErr w:type="spellStart"/>
      <w:r w:rsidR="00816A7E">
        <w:t>knowne</w:t>
      </w:r>
      <w:proofErr w:type="spellEnd"/>
      <w:r w:rsidR="009865C7">
        <w:t xml:space="preserve">.” Richard Stock insisted that belief required </w:t>
      </w:r>
      <w:r w:rsidR="009865C7" w:rsidRPr="009865C7">
        <w:t>knowledge</w:t>
      </w:r>
      <w:r w:rsidR="009865C7">
        <w:t xml:space="preserve"> and</w:t>
      </w:r>
      <w:r w:rsidR="0096039A">
        <w:t xml:space="preserve"> asserted that individuals</w:t>
      </w:r>
      <w:r w:rsidR="003F599D">
        <w:t xml:space="preserve"> were </w:t>
      </w:r>
      <w:r w:rsidR="002847B8">
        <w:t xml:space="preserve">at least </w:t>
      </w:r>
      <w:r w:rsidR="003F599D">
        <w:t>obligated to try to know:  “A</w:t>
      </w:r>
      <w:r w:rsidR="00B555F7" w:rsidRPr="009865C7">
        <w:t xml:space="preserve"> man c</w:t>
      </w:r>
      <w:r w:rsidR="009865C7" w:rsidRPr="009865C7">
        <w:t>annot believe, unless he know…</w:t>
      </w:r>
      <w:r w:rsidR="00B555F7" w:rsidRPr="009865C7">
        <w:t xml:space="preserve"> therefore every one ought to bend hi</w:t>
      </w:r>
      <w:r w:rsidR="009865C7" w:rsidRPr="009865C7">
        <w:t xml:space="preserve">s </w:t>
      </w:r>
      <w:proofErr w:type="spellStart"/>
      <w:r w:rsidR="009865C7" w:rsidRPr="009865C7">
        <w:t>eares</w:t>
      </w:r>
      <w:proofErr w:type="spellEnd"/>
      <w:r w:rsidR="009865C7" w:rsidRPr="009865C7">
        <w:t xml:space="preserve">, and his head </w:t>
      </w:r>
      <w:r w:rsidR="009865C7" w:rsidRPr="009865C7">
        <w:lastRenderedPageBreak/>
        <w:t>to know.”</w:t>
      </w:r>
      <w:r w:rsidR="009865C7" w:rsidRPr="009865C7">
        <w:rPr>
          <w:rStyle w:val="FootnoteReference"/>
        </w:rPr>
        <w:footnoteReference w:id="81"/>
      </w:r>
      <w:r w:rsidR="009865C7">
        <w:t xml:space="preserve"> Along similar lines, Bishop Jo</w:t>
      </w:r>
      <w:r w:rsidR="003F599D">
        <w:t xml:space="preserve">hn Bramhall did not think it </w:t>
      </w:r>
      <w:r w:rsidR="009865C7">
        <w:t>possible to “truly” p</w:t>
      </w:r>
      <w:r w:rsidR="003F599D">
        <w:t xml:space="preserve">rofess one’s faith (to </w:t>
      </w:r>
      <w:r w:rsidR="009865C7">
        <w:t>express assent or consent</w:t>
      </w:r>
      <w:r w:rsidR="0096039A">
        <w:t xml:space="preserve"> and be saved thereby</w:t>
      </w:r>
      <w:r w:rsidR="003F599D">
        <w:t>)</w:t>
      </w:r>
      <w:r w:rsidR="009865C7">
        <w:t xml:space="preserve">, if one </w:t>
      </w:r>
      <w:r w:rsidR="002847B8">
        <w:t xml:space="preserve">lacked an understanding of the </w:t>
      </w:r>
      <w:r w:rsidR="003F599D">
        <w:t>faith</w:t>
      </w:r>
      <w:r w:rsidR="002847B8">
        <w:t xml:space="preserve"> they professed. T</w:t>
      </w:r>
      <w:r w:rsidR="009865C7">
        <w:t>hose who followed</w:t>
      </w:r>
      <w:r w:rsidR="003F599D">
        <w:t xml:space="preserve"> a creed by</w:t>
      </w:r>
      <w:r w:rsidR="009865C7">
        <w:t xml:space="preserve"> implicit faith “without discussion” could not be said </w:t>
      </w:r>
      <w:r w:rsidR="002847B8">
        <w:t xml:space="preserve">to (i.e., it was impossible to say that they) </w:t>
      </w:r>
      <w:r w:rsidR="009865C7">
        <w:t xml:space="preserve"> “consent truly” even though they volunt</w:t>
      </w:r>
      <w:r w:rsidR="002847B8">
        <w:t>arily “</w:t>
      </w:r>
      <w:proofErr w:type="spellStart"/>
      <w:r w:rsidR="002847B8">
        <w:t>resolv</w:t>
      </w:r>
      <w:proofErr w:type="spellEnd"/>
      <w:r w:rsidR="002847B8">
        <w:t>[</w:t>
      </w:r>
      <w:proofErr w:type="spellStart"/>
      <w:r w:rsidR="002847B8">
        <w:t>ed</w:t>
      </w:r>
      <w:proofErr w:type="spellEnd"/>
      <w:r w:rsidR="002847B8">
        <w:t>] themselves” (i.e. consented)</w:t>
      </w:r>
      <w:r w:rsidR="009865C7">
        <w:t>.</w:t>
      </w:r>
      <w:r w:rsidR="009865C7">
        <w:rPr>
          <w:rStyle w:val="FootnoteReference"/>
        </w:rPr>
        <w:footnoteReference w:id="82"/>
      </w:r>
      <w:r w:rsidR="002847B8">
        <w:t xml:space="preserve"> </w:t>
      </w:r>
    </w:p>
    <w:p w14:paraId="0B09CC9C" w14:textId="3DE35FA6" w:rsidR="00F20FF5" w:rsidRDefault="003C0686" w:rsidP="00350E7B">
      <w:pPr>
        <w:spacing w:line="480" w:lineRule="auto"/>
        <w:ind w:firstLine="720"/>
      </w:pPr>
      <w:r>
        <w:t>Still o</w:t>
      </w:r>
      <w:r w:rsidR="0096039A">
        <w:t xml:space="preserve">ther </w:t>
      </w:r>
      <w:r w:rsidR="0097699F">
        <w:t>Protestants</w:t>
      </w:r>
      <w:r w:rsidR="003716F3">
        <w:t xml:space="preserve"> made arguments</w:t>
      </w:r>
      <w:r w:rsidR="0096039A">
        <w:t xml:space="preserve"> </w:t>
      </w:r>
      <w:r w:rsidR="002847B8">
        <w:t xml:space="preserve">from prudence in order to reject </w:t>
      </w:r>
      <w:r w:rsidR="0096039A">
        <w:t>implicit faith</w:t>
      </w:r>
      <w:r w:rsidR="002847B8">
        <w:t xml:space="preserve">’s acceptance of ignorance, and to encourage inquiry. The Puritan William Ames </w:t>
      </w:r>
      <w:r w:rsidR="003F599D" w:rsidRPr="004A27B6">
        <w:t>said,  “</w:t>
      </w:r>
      <w:r w:rsidR="00816A7E" w:rsidRPr="004A27B6">
        <w:t xml:space="preserve">It is </w:t>
      </w:r>
      <w:proofErr w:type="spellStart"/>
      <w:r w:rsidR="00816A7E" w:rsidRPr="004A27B6">
        <w:t>farre</w:t>
      </w:r>
      <w:proofErr w:type="spellEnd"/>
      <w:r w:rsidR="00816A7E" w:rsidRPr="004A27B6">
        <w:t xml:space="preserve"> better to be humbly and modestly inquisitive, then </w:t>
      </w:r>
      <w:proofErr w:type="spellStart"/>
      <w:r w:rsidR="00816A7E" w:rsidRPr="004A27B6">
        <w:t>Popishly</w:t>
      </w:r>
      <w:proofErr w:type="spellEnd"/>
      <w:r w:rsidR="00816A7E" w:rsidRPr="004A27B6">
        <w:t xml:space="preserve"> and </w:t>
      </w:r>
      <w:proofErr w:type="spellStart"/>
      <w:r w:rsidR="00816A7E" w:rsidRPr="004A27B6">
        <w:t>Sottishly</w:t>
      </w:r>
      <w:proofErr w:type="spellEnd"/>
      <w:r w:rsidR="00816A7E" w:rsidRPr="004A27B6">
        <w:t xml:space="preserve"> ignorant, for the Wise mans eyes are in his head, but the </w:t>
      </w:r>
      <w:proofErr w:type="spellStart"/>
      <w:r w:rsidR="00816A7E" w:rsidRPr="004A27B6">
        <w:t>Foole</w:t>
      </w:r>
      <w:proofErr w:type="spellEnd"/>
      <w:r w:rsidR="00816A7E" w:rsidRPr="004A27B6">
        <w:t xml:space="preserve"> </w:t>
      </w:r>
      <w:proofErr w:type="spellStart"/>
      <w:r w:rsidR="00816A7E" w:rsidRPr="004A27B6">
        <w:t>destroyes</w:t>
      </w:r>
      <w:proofErr w:type="spellEnd"/>
      <w:r w:rsidR="00816A7E" w:rsidRPr="004A27B6">
        <w:t xml:space="preserve"> himself by a strange implicit faith, and blind obedience</w:t>
      </w:r>
      <w:r w:rsidR="003F599D" w:rsidRPr="004A27B6">
        <w:t>.”</w:t>
      </w:r>
      <w:r w:rsidR="004A27B6" w:rsidRPr="004A27B6">
        <w:rPr>
          <w:rStyle w:val="FootnoteReference"/>
        </w:rPr>
        <w:footnoteReference w:id="83"/>
      </w:r>
      <w:r w:rsidR="004A27B6" w:rsidRPr="004A27B6">
        <w:t xml:space="preserve">  </w:t>
      </w:r>
      <w:r w:rsidR="002847B8">
        <w:t>John Saltmarsh</w:t>
      </w:r>
      <w:r w:rsidR="00F20FF5">
        <w:t xml:space="preserve"> </w:t>
      </w:r>
      <w:r w:rsidR="00E83F6E">
        <w:t xml:space="preserve">also </w:t>
      </w:r>
      <w:r w:rsidR="00F20FF5">
        <w:t>a</w:t>
      </w:r>
      <w:r w:rsidR="002847B8">
        <w:t xml:space="preserve">ssociated prudence with inquiry </w:t>
      </w:r>
      <w:r w:rsidR="00F20FF5">
        <w:t xml:space="preserve">and danger with </w:t>
      </w:r>
      <w:r w:rsidR="002847B8">
        <w:t>ignorance</w:t>
      </w:r>
      <w:r w:rsidR="003E5CAB">
        <w:t xml:space="preserve"> </w:t>
      </w:r>
      <w:r w:rsidR="002847B8">
        <w:t>when he wrote,</w:t>
      </w:r>
      <w:r w:rsidR="00F20FF5">
        <w:t xml:space="preserve"> </w:t>
      </w:r>
      <w:r w:rsidR="00F20FF5" w:rsidRPr="00F20FF5">
        <w:t>“There is a great danger of bringing people under a Popish implicit obedience, by forcing on a practice of that which they scarce know, or know but in part.”</w:t>
      </w:r>
      <w:r w:rsidR="00F20FF5" w:rsidRPr="00F20FF5">
        <w:tab/>
      </w:r>
    </w:p>
    <w:p w14:paraId="146E7213" w14:textId="1D3831A3" w:rsidR="00816A7E" w:rsidRPr="003D7A1D" w:rsidRDefault="002847B8" w:rsidP="00350E7B">
      <w:pPr>
        <w:spacing w:line="480" w:lineRule="auto"/>
        <w:ind w:firstLine="720"/>
      </w:pPr>
      <w:r>
        <w:t>Finally, P</w:t>
      </w:r>
      <w:r w:rsidR="00F20FF5">
        <w:t>rotestants</w:t>
      </w:r>
      <w:r w:rsidR="004A27B6" w:rsidRPr="004A27B6">
        <w:t xml:space="preserve"> l</w:t>
      </w:r>
      <w:r w:rsidR="001168F5">
        <w:t xml:space="preserve">ike Francis </w:t>
      </w:r>
      <w:proofErr w:type="spellStart"/>
      <w:r w:rsidR="001168F5">
        <w:t>Cheynell</w:t>
      </w:r>
      <w:proofErr w:type="spellEnd"/>
      <w:r w:rsidR="001168F5">
        <w:t xml:space="preserve"> </w:t>
      </w:r>
      <w:r>
        <w:t>renounced implicit faith’s connection between faith and ignorance by encouraging Englishmen to become “fitted with the Noble Science of Ch</w:t>
      </w:r>
      <w:r w:rsidR="00E83F6E">
        <w:t xml:space="preserve">rist and Heaven.”  </w:t>
      </w:r>
      <w:proofErr w:type="spellStart"/>
      <w:r w:rsidR="00E83F6E">
        <w:t>Cheynell</w:t>
      </w:r>
      <w:proofErr w:type="spellEnd"/>
      <w:r w:rsidR="00E83F6E">
        <w:t xml:space="preserve"> here w</w:t>
      </w:r>
      <w:r>
        <w:t>ed</w:t>
      </w:r>
      <w:r w:rsidR="00E83F6E">
        <w:t>s</w:t>
      </w:r>
      <w:r>
        <w:t xml:space="preserve"> </w:t>
      </w:r>
      <w:r w:rsidR="001168F5">
        <w:t>faith to</w:t>
      </w:r>
      <w:r w:rsidR="003D7A1D">
        <w:t xml:space="preserve"> understand</w:t>
      </w:r>
      <w:r w:rsidR="001168F5">
        <w:t>ing and cognition</w:t>
      </w:r>
      <w:r w:rsidR="003D7A1D">
        <w:t xml:space="preserve"> </w:t>
      </w:r>
      <w:r w:rsidR="00F15655">
        <w:t xml:space="preserve">and claims </w:t>
      </w:r>
      <w:r w:rsidR="0020243D">
        <w:t>that such a marriage</w:t>
      </w:r>
      <w:r w:rsidR="003D7A1D">
        <w:t xml:space="preserve"> was </w:t>
      </w:r>
      <w:r>
        <w:t>“noble</w:t>
      </w:r>
      <w:r w:rsidR="004A27B6" w:rsidRPr="004A27B6">
        <w:t>:</w:t>
      </w:r>
      <w:r>
        <w:t>”</w:t>
      </w:r>
    </w:p>
    <w:p w14:paraId="62C7DB04" w14:textId="6FE8AB67" w:rsidR="002847B8" w:rsidRDefault="004A27B6" w:rsidP="00350E7B">
      <w:pPr>
        <w:spacing w:line="480" w:lineRule="auto"/>
        <w:ind w:left="720" w:right="720"/>
        <w:rPr>
          <w:b/>
        </w:rPr>
      </w:pPr>
      <w:r w:rsidRPr="004A27B6">
        <w:lastRenderedPageBreak/>
        <w:t xml:space="preserve">[A noble] faith…[is] </w:t>
      </w:r>
      <w:r w:rsidR="00FB0691" w:rsidRPr="004A27B6">
        <w:t>a faith that is</w:t>
      </w:r>
      <w:r>
        <w:t xml:space="preserve"> </w:t>
      </w:r>
      <w:r w:rsidR="003D7A1D">
        <w:t xml:space="preserve">not built upon </w:t>
      </w:r>
      <w:proofErr w:type="spellStart"/>
      <w:r w:rsidR="003D7A1D">
        <w:t>Q</w:t>
      </w:r>
      <w:r w:rsidR="00FB0691" w:rsidRPr="004A27B6">
        <w:t>uicksa</w:t>
      </w:r>
      <w:r w:rsidRPr="004A27B6">
        <w:t>nds</w:t>
      </w:r>
      <w:proofErr w:type="spellEnd"/>
      <w:r w:rsidRPr="004A27B6">
        <w:t>…</w:t>
      </w:r>
      <w:r w:rsidR="00FB0691" w:rsidRPr="004A27B6">
        <w:t xml:space="preserve">upon the Authority of man, much </w:t>
      </w:r>
      <w:proofErr w:type="spellStart"/>
      <w:r w:rsidR="00FB0691" w:rsidRPr="004A27B6">
        <w:t>lesse</w:t>
      </w:r>
      <w:proofErr w:type="spellEnd"/>
      <w:r w:rsidR="00FB0691" w:rsidRPr="004A27B6">
        <w:t xml:space="preserve"> upon the Authority of the Man of sin, the Pope, or Church of Rome</w:t>
      </w:r>
      <w:r w:rsidRPr="004A27B6">
        <w:t>…</w:t>
      </w:r>
      <w:r w:rsidR="00FB0691" w:rsidRPr="004A27B6">
        <w:t xml:space="preserve">an </w:t>
      </w:r>
      <w:proofErr w:type="spellStart"/>
      <w:r w:rsidR="00FB0691" w:rsidRPr="004A27B6">
        <w:t>Implicit</w:t>
      </w:r>
      <w:r w:rsidRPr="004A27B6">
        <w:t>e</w:t>
      </w:r>
      <w:proofErr w:type="spellEnd"/>
      <w:r w:rsidRPr="004A27B6">
        <w:t xml:space="preserve"> Faith…</w:t>
      </w:r>
      <w:r w:rsidR="00FB0691" w:rsidRPr="004A27B6">
        <w:t xml:space="preserve">is but an Ignoble Faith, because it leads </w:t>
      </w:r>
      <w:r w:rsidR="003E5CAB">
        <w:t xml:space="preserve">men hood winked to a </w:t>
      </w:r>
      <w:proofErr w:type="spellStart"/>
      <w:r w:rsidR="003E5CAB">
        <w:t>blinde</w:t>
      </w:r>
      <w:proofErr w:type="spellEnd"/>
      <w:r w:rsidR="003E5CAB">
        <w:t xml:space="preserve"> obe</w:t>
      </w:r>
      <w:r w:rsidR="00FB0691" w:rsidRPr="004A27B6">
        <w:t>d</w:t>
      </w:r>
      <w:r w:rsidR="003E5CAB">
        <w:t>ien</w:t>
      </w:r>
      <w:r w:rsidR="00FB0691" w:rsidRPr="004A27B6">
        <w:t>ce</w:t>
      </w:r>
      <w:r w:rsidRPr="004A27B6">
        <w:t>….A faith that [is]</w:t>
      </w:r>
      <w:r w:rsidR="00FB0691" w:rsidRPr="004A27B6">
        <w:t xml:space="preserve"> truly Noble, </w:t>
      </w:r>
      <w:r>
        <w:t xml:space="preserve">[is] </w:t>
      </w:r>
      <w:r w:rsidR="00FB0691" w:rsidRPr="004A27B6">
        <w:t>a searching faith, a busy faith, an examining faith</w:t>
      </w:r>
      <w:r w:rsidRPr="004A27B6">
        <w:t>…</w:t>
      </w:r>
      <w:r w:rsidR="00FB0691" w:rsidRPr="004A27B6">
        <w:t>There’</w:t>
      </w:r>
      <w:r>
        <w:t>s work for Noblemen…</w:t>
      </w:r>
      <w:r w:rsidR="00FB0691" w:rsidRPr="004A27B6">
        <w:t>Search the Scriptures; that’s a noble emp</w:t>
      </w:r>
      <w:r>
        <w:t xml:space="preserve">loyment, On that noble-men </w:t>
      </w:r>
      <w:r w:rsidR="00FB0691" w:rsidRPr="004A27B6">
        <w:t xml:space="preserve">would make it their business, and their recreation also; that </w:t>
      </w:r>
      <w:r w:rsidR="00FB0691" w:rsidRPr="00F20FF5">
        <w:t>they might be fitted with the Noble Science of Christ and Heaven</w:t>
      </w:r>
      <w:r w:rsidRPr="00F20FF5">
        <w:t>.</w:t>
      </w:r>
      <w:r w:rsidRPr="00F20FF5">
        <w:rPr>
          <w:rStyle w:val="FootnoteReference"/>
        </w:rPr>
        <w:footnoteReference w:id="84"/>
      </w:r>
    </w:p>
    <w:p w14:paraId="01C5A1C5" w14:textId="4C047332" w:rsidR="00FB0691" w:rsidRPr="002847B8" w:rsidRDefault="00DA6DAA" w:rsidP="00350E7B">
      <w:pPr>
        <w:spacing w:line="480" w:lineRule="auto"/>
        <w:ind w:right="720"/>
        <w:rPr>
          <w:b/>
        </w:rPr>
      </w:pPr>
      <w:proofErr w:type="spellStart"/>
      <w:r>
        <w:t>Cheynell</w:t>
      </w:r>
      <w:proofErr w:type="spellEnd"/>
      <w:r>
        <w:t xml:space="preserve"> is demanding</w:t>
      </w:r>
      <w:r w:rsidR="002847B8">
        <w:t xml:space="preserve"> the freedom to inquire into the faith</w:t>
      </w:r>
      <w:r w:rsidR="00926709">
        <w:t xml:space="preserve"> (religious liberty)</w:t>
      </w:r>
      <w:r>
        <w:t>. This inquiry is</w:t>
      </w:r>
      <w:r w:rsidR="002847B8">
        <w:t xml:space="preserve"> ne</w:t>
      </w:r>
      <w:r>
        <w:t xml:space="preserve">cessary because it </w:t>
      </w:r>
      <w:r w:rsidR="00926709">
        <w:t>enable</w:t>
      </w:r>
      <w:r w:rsidR="00E83F6E">
        <w:t xml:space="preserve">s individuals to offer </w:t>
      </w:r>
      <w:r w:rsidR="003E5CAB">
        <w:t xml:space="preserve">informed </w:t>
      </w:r>
      <w:r w:rsidR="00E83F6E">
        <w:t>professions</w:t>
      </w:r>
      <w:r>
        <w:t xml:space="preserve"> of</w:t>
      </w:r>
      <w:r w:rsidR="00926709">
        <w:t xml:space="preserve"> their faith</w:t>
      </w:r>
      <w:r w:rsidR="00E83F6E">
        <w:t xml:space="preserve"> (and salvation required this of Protestants).</w:t>
      </w:r>
      <w:r>
        <w:t xml:space="preserve"> It enabled indi</w:t>
      </w:r>
      <w:r w:rsidR="00E83F6E">
        <w:t xml:space="preserve">viduals to obtain </w:t>
      </w:r>
      <w:r w:rsidR="003E5CAB">
        <w:t xml:space="preserve">the </w:t>
      </w:r>
      <w:r>
        <w:t>kn</w:t>
      </w:r>
      <w:r w:rsidR="00E83F6E">
        <w:t>owledge or “science of Christ</w:t>
      </w:r>
      <w:r>
        <w:t>.</w:t>
      </w:r>
      <w:r w:rsidR="00E83F6E">
        <w:t>”</w:t>
      </w:r>
      <w:r>
        <w:t xml:space="preserve"> It gave them the opportunity to possess independent and</w:t>
      </w:r>
      <w:r w:rsidR="002847B8">
        <w:t xml:space="preserve"> explicit</w:t>
      </w:r>
      <w:r w:rsidR="00926709">
        <w:t xml:space="preserve">, rather than </w:t>
      </w:r>
      <w:r>
        <w:t xml:space="preserve">dependent and </w:t>
      </w:r>
      <w:r w:rsidR="00926709">
        <w:t>implicit</w:t>
      </w:r>
      <w:r w:rsidR="00E83F6E">
        <w:t>,</w:t>
      </w:r>
      <w:r w:rsidR="00926709">
        <w:t xml:space="preserve"> faith</w:t>
      </w:r>
      <w:r w:rsidR="002847B8">
        <w:t>.</w:t>
      </w:r>
    </w:p>
    <w:p w14:paraId="79834F86" w14:textId="77777777" w:rsidR="0020243D" w:rsidRDefault="0020243D" w:rsidP="00350E7B">
      <w:pPr>
        <w:spacing w:line="480" w:lineRule="auto"/>
      </w:pPr>
    </w:p>
    <w:p w14:paraId="0A874F6C" w14:textId="753FC6D5" w:rsidR="00816A7E" w:rsidRDefault="00A03BCA" w:rsidP="00350E7B">
      <w:pPr>
        <w:spacing w:line="480" w:lineRule="auto"/>
        <w:rPr>
          <w:b/>
        </w:rPr>
      </w:pPr>
      <w:r>
        <w:rPr>
          <w:b/>
        </w:rPr>
        <w:t>Persuasion’s</w:t>
      </w:r>
      <w:r w:rsidR="000346B4">
        <w:rPr>
          <w:b/>
        </w:rPr>
        <w:t xml:space="preserve"> </w:t>
      </w:r>
      <w:r>
        <w:rPr>
          <w:b/>
        </w:rPr>
        <w:t>Dual R</w:t>
      </w:r>
      <w:r w:rsidR="000346B4">
        <w:rPr>
          <w:b/>
        </w:rPr>
        <w:t>ole</w:t>
      </w:r>
      <w:r>
        <w:rPr>
          <w:b/>
        </w:rPr>
        <w:t xml:space="preserve">: Teaching </w:t>
      </w:r>
      <w:r w:rsidR="00315285">
        <w:rPr>
          <w:b/>
        </w:rPr>
        <w:t xml:space="preserve">the </w:t>
      </w:r>
      <w:r w:rsidR="0020243D" w:rsidRPr="0020243D">
        <w:rPr>
          <w:b/>
        </w:rPr>
        <w:t>Doctrine of Implicit Faith</w:t>
      </w:r>
      <w:r>
        <w:rPr>
          <w:b/>
        </w:rPr>
        <w:t xml:space="preserve">, and </w:t>
      </w:r>
      <w:proofErr w:type="gramStart"/>
      <w:r>
        <w:rPr>
          <w:b/>
        </w:rPr>
        <w:t>Undermining</w:t>
      </w:r>
      <w:proofErr w:type="gramEnd"/>
      <w:r>
        <w:rPr>
          <w:b/>
        </w:rPr>
        <w:t xml:space="preserve"> all Competing Doctrines of Faith</w:t>
      </w:r>
    </w:p>
    <w:p w14:paraId="742545BB" w14:textId="77777777" w:rsidR="00A03BCA" w:rsidRDefault="00A03BCA" w:rsidP="00350E7B">
      <w:pPr>
        <w:spacing w:line="480" w:lineRule="auto"/>
        <w:rPr>
          <w:b/>
        </w:rPr>
      </w:pPr>
    </w:p>
    <w:p w14:paraId="408A2608" w14:textId="0EE1CDA3" w:rsidR="00A03BCA" w:rsidRPr="00A03BCA" w:rsidRDefault="00A03BCA" w:rsidP="00350E7B">
      <w:pPr>
        <w:spacing w:line="480" w:lineRule="auto"/>
        <w:rPr>
          <w:b/>
          <w:i/>
        </w:rPr>
      </w:pPr>
      <w:r>
        <w:rPr>
          <w:b/>
          <w:i/>
        </w:rPr>
        <w:t>Teaching the Doctrine of Implicit Faith</w:t>
      </w:r>
    </w:p>
    <w:p w14:paraId="1AAF8DB1" w14:textId="04D28832" w:rsidR="003C0686" w:rsidRDefault="00A03BCA" w:rsidP="00350E7B">
      <w:pPr>
        <w:spacing w:line="480" w:lineRule="auto"/>
      </w:pPr>
      <w:r>
        <w:t>A</w:t>
      </w:r>
      <w:r w:rsidR="003C0686">
        <w:t xml:space="preserve">dvocates </w:t>
      </w:r>
      <w:r>
        <w:t xml:space="preserve">of implicit faith </w:t>
      </w:r>
      <w:r w:rsidR="003C0686">
        <w:t>had to support their doctrine</w:t>
      </w:r>
      <w:r>
        <w:t xml:space="preserve"> because i</w:t>
      </w:r>
      <w:r w:rsidR="003C0686">
        <w:t xml:space="preserve">ndividuals would not become or remain implicitly faithful spontaneously. Therefore, in the final </w:t>
      </w:r>
      <w:r w:rsidR="003C0686">
        <w:lastRenderedPageBreak/>
        <w:t>analysis, a</w:t>
      </w:r>
      <w:r>
        <w:t xml:space="preserve">pprehension and understanding </w:t>
      </w:r>
      <w:r w:rsidR="003C0686">
        <w:t xml:space="preserve">had a fundamental </w:t>
      </w:r>
      <w:r w:rsidR="00F15655">
        <w:t>role to play. These faculties were exercised in order</w:t>
      </w:r>
      <w:r>
        <w:t xml:space="preserve"> to </w:t>
      </w:r>
      <w:r w:rsidR="003C0686">
        <w:t>support</w:t>
      </w:r>
      <w:r>
        <w:t xml:space="preserve"> </w:t>
      </w:r>
      <w:r w:rsidR="003C0686">
        <w:t>the do</w:t>
      </w:r>
      <w:r w:rsidR="00F15655">
        <w:t>ctrine of implicit faith. Subjects</w:t>
      </w:r>
      <w:r w:rsidR="003C0686">
        <w:t xml:space="preserve"> had to be taug</w:t>
      </w:r>
      <w:r>
        <w:t>ht to apprehend</w:t>
      </w:r>
      <w:r w:rsidR="003C0686">
        <w:t xml:space="preserve"> human authority as </w:t>
      </w:r>
      <w:r>
        <w:t>the</w:t>
      </w:r>
      <w:r w:rsidR="003C0686">
        <w:t xml:space="preserve"> stable, infallible, foundational (un-appealable)</w:t>
      </w:r>
      <w:r w:rsidR="00F15655">
        <w:t xml:space="preserve"> rock </w:t>
      </w:r>
      <w:r>
        <w:t>of their faith</w:t>
      </w:r>
      <w:r w:rsidR="003C0686">
        <w:t xml:space="preserve">. They had to grasp the external and (in some accounts) internal obligations that followed from the doctrine of implicit faith. They also </w:t>
      </w:r>
      <w:r>
        <w:t>had to see</w:t>
      </w:r>
      <w:r w:rsidR="003C0686">
        <w:t xml:space="preserve"> why abandoning private inquiry, embracing ignorance, and trusting blindly </w:t>
      </w:r>
      <w:r>
        <w:t xml:space="preserve">the </w:t>
      </w:r>
      <w:r w:rsidR="003C0686">
        <w:t xml:space="preserve">in naked fiats issued by mortal authorities was prudent (i.e. why it would lead to </w:t>
      </w:r>
      <w:r>
        <w:t>security and stability</w:t>
      </w:r>
      <w:r w:rsidR="003C0686">
        <w:t xml:space="preserve">). </w:t>
      </w:r>
      <w:r>
        <w:t>These were the goals</w:t>
      </w:r>
      <w:r w:rsidR="003C0686">
        <w:t xml:space="preserve"> </w:t>
      </w:r>
      <w:r>
        <w:t>that the evangelizers of implicit faith set out for themselves.</w:t>
      </w:r>
      <w:r w:rsidR="003C0686">
        <w:t xml:space="preserve"> The radical John Saltmarsh captured</w:t>
      </w:r>
      <w:r w:rsidR="00F15655">
        <w:t xml:space="preserve"> these goals</w:t>
      </w:r>
      <w:r>
        <w:t xml:space="preserve"> </w:t>
      </w:r>
      <w:r w:rsidR="003C0686">
        <w:t xml:space="preserve">beautifully in his discussion of the </w:t>
      </w:r>
      <w:r w:rsidR="00F15655">
        <w:t>role that</w:t>
      </w:r>
      <w:r>
        <w:t xml:space="preserve"> </w:t>
      </w:r>
      <w:r w:rsidR="003C0686">
        <w:t>instruction plays within the doctrine of implicit faith</w:t>
      </w:r>
      <w:r w:rsidR="00A966F5">
        <w:t>. He</w:t>
      </w:r>
      <w:r>
        <w:t xml:space="preserve"> wrote,</w:t>
      </w:r>
    </w:p>
    <w:p w14:paraId="5BDB8FB3" w14:textId="64B62701" w:rsidR="003C0686" w:rsidRPr="00054AB1" w:rsidRDefault="003C0686" w:rsidP="00350E7B">
      <w:pPr>
        <w:spacing w:line="480" w:lineRule="auto"/>
        <w:ind w:left="720" w:right="720"/>
      </w:pPr>
      <w:r w:rsidRPr="00054AB1">
        <w:t>You [i.e. the supporters of implicit faith] say, The people must be instructed, that is, they must only know that they must obey…</w:t>
      </w:r>
      <w:proofErr w:type="gramStart"/>
      <w:r w:rsidRPr="00054AB1">
        <w:t>.They</w:t>
      </w:r>
      <w:proofErr w:type="gramEnd"/>
      <w:r w:rsidRPr="00054AB1">
        <w:t xml:space="preserve"> are only to be instructed and taught that this is the Government to which they must submit. So the people under Popery, Prelacy, &amp; were instructed, with that limitation and restriction…</w:t>
      </w:r>
      <w:proofErr w:type="gramStart"/>
      <w:r w:rsidRPr="00054AB1">
        <w:t>.This</w:t>
      </w:r>
      <w:proofErr w:type="gramEnd"/>
      <w:r w:rsidRPr="00054AB1">
        <w:t xml:space="preserve"> were fair dealing with Conscience;….Compliancy and submission…are the duties you set out for the people. The people may easily see the interest you allow them; viz. an interest of compliance only, and submission or obedience to what is done already not an</w:t>
      </w:r>
      <w:r>
        <w:t>y liberty to examine and refuse [i.e., liberty of conscience]</w:t>
      </w:r>
      <w:r w:rsidR="00A03BCA">
        <w:t>.</w:t>
      </w:r>
      <w:r w:rsidRPr="00054AB1">
        <w:rPr>
          <w:rStyle w:val="FootnoteReference"/>
        </w:rPr>
        <w:footnoteReference w:id="85"/>
      </w:r>
    </w:p>
    <w:p w14:paraId="1F3B8E10" w14:textId="60A9572B" w:rsidR="00A03BCA" w:rsidRDefault="00F15655" w:rsidP="00350E7B">
      <w:pPr>
        <w:spacing w:line="480" w:lineRule="auto"/>
        <w:ind w:right="720"/>
      </w:pPr>
      <w:r>
        <w:lastRenderedPageBreak/>
        <w:t xml:space="preserve">Thomas Hobbes is an </w:t>
      </w:r>
      <w:r w:rsidR="00A03BCA">
        <w:t>e</w:t>
      </w:r>
      <w:r>
        <w:t xml:space="preserve">vangelizer of implicit faith. The </w:t>
      </w:r>
      <w:r w:rsidR="00A03BCA" w:rsidRPr="00A03BCA">
        <w:rPr>
          <w:i/>
        </w:rPr>
        <w:t>Leviathan</w:t>
      </w:r>
      <w:r w:rsidR="00A03BCA">
        <w:t xml:space="preserve"> </w:t>
      </w:r>
      <w:r w:rsidR="003C0686">
        <w:t xml:space="preserve">offers </w:t>
      </w:r>
      <w:r>
        <w:t>instruction in compliance and obedience to the civil sovereign. It offers the kind of</w:t>
      </w:r>
      <w:r w:rsidR="003C0686">
        <w:t xml:space="preserve"> instruction </w:t>
      </w:r>
      <w:r w:rsidR="00A03BCA">
        <w:t xml:space="preserve">that </w:t>
      </w:r>
      <w:r>
        <w:t>Saltmarsh links to the proponents of the doctrine of</w:t>
      </w:r>
      <w:r w:rsidR="00A03BCA">
        <w:t xml:space="preserve"> implicit</w:t>
      </w:r>
      <w:r>
        <w:t xml:space="preserve"> faith</w:t>
      </w:r>
      <w:r w:rsidR="003C0686">
        <w:t xml:space="preserve">. </w:t>
      </w:r>
    </w:p>
    <w:p w14:paraId="56997AE3" w14:textId="77777777" w:rsidR="009D45F5" w:rsidRDefault="009D45F5" w:rsidP="00350E7B">
      <w:pPr>
        <w:spacing w:line="480" w:lineRule="auto"/>
        <w:ind w:right="720"/>
      </w:pPr>
    </w:p>
    <w:p w14:paraId="786A2DBF" w14:textId="54D7DFB8" w:rsidR="007D2EC8" w:rsidRPr="00D21B13" w:rsidRDefault="00D21B13" w:rsidP="00350E7B">
      <w:pPr>
        <w:spacing w:line="480" w:lineRule="auto"/>
        <w:ind w:right="720"/>
        <w:rPr>
          <w:i/>
        </w:rPr>
      </w:pPr>
      <w:r w:rsidRPr="00D21B13">
        <w:rPr>
          <w:b/>
          <w:i/>
        </w:rPr>
        <w:t>Undermining all Competing Doctrines of Faith</w:t>
      </w:r>
    </w:p>
    <w:p w14:paraId="4FB24A58" w14:textId="373D40F1" w:rsidR="003E5CAB" w:rsidRDefault="00E24265" w:rsidP="00350E7B">
      <w:pPr>
        <w:spacing w:line="480" w:lineRule="auto"/>
        <w:ind w:right="720"/>
      </w:pPr>
      <w:r>
        <w:t xml:space="preserve">The second </w:t>
      </w:r>
      <w:r w:rsidR="00D21B13">
        <w:t xml:space="preserve">goal that the evangelizers of implicit faith set for </w:t>
      </w:r>
      <w:proofErr w:type="gramStart"/>
      <w:r w:rsidR="00D21B13">
        <w:t xml:space="preserve">themselves </w:t>
      </w:r>
      <w:r w:rsidR="00E83F6E">
        <w:t xml:space="preserve"> </w:t>
      </w:r>
      <w:r>
        <w:t>was</w:t>
      </w:r>
      <w:proofErr w:type="gramEnd"/>
      <w:r>
        <w:t xml:space="preserve"> to unsettle and </w:t>
      </w:r>
      <w:r w:rsidR="00D21B13">
        <w:t xml:space="preserve">to </w:t>
      </w:r>
      <w:r>
        <w:t>unde</w:t>
      </w:r>
      <w:r w:rsidR="00D21B13">
        <w:t>rmine all foundations of faith that did not rest upon human authority.</w:t>
      </w:r>
      <w:r>
        <w:t xml:space="preserve">  </w:t>
      </w:r>
      <w:r w:rsidR="00054AB1">
        <w:t>Given the Reformation, it was not longer sufficient (</w:t>
      </w:r>
      <w:r>
        <w:t>if it ever was) to simply teach that</w:t>
      </w:r>
      <w:r w:rsidR="00054AB1">
        <w:t xml:space="preserve"> human au</w:t>
      </w:r>
      <w:r w:rsidR="00315285">
        <w:t>thority was the ground of faith (and action</w:t>
      </w:r>
      <w:r w:rsidR="00E83F6E">
        <w:t>, because action depends on faith or belief</w:t>
      </w:r>
      <w:r w:rsidR="00315285">
        <w:t xml:space="preserve">) </w:t>
      </w:r>
      <w:r>
        <w:t>without engaging</w:t>
      </w:r>
      <w:r w:rsidR="00315285">
        <w:t xml:space="preserve"> with counter-arguments and alternatives</w:t>
      </w:r>
      <w:r>
        <w:t xml:space="preserve">. </w:t>
      </w:r>
      <w:r w:rsidR="00054AB1">
        <w:t xml:space="preserve">Too many </w:t>
      </w:r>
      <w:r w:rsidR="00315285">
        <w:t xml:space="preserve">mid-seventeenth-century </w:t>
      </w:r>
      <w:r w:rsidR="00054AB1">
        <w:t>Engl</w:t>
      </w:r>
      <w:r w:rsidR="00315285">
        <w:t>ishmen were Protestants. They would not swallow the doctrine of implicit faith easily, and s</w:t>
      </w:r>
      <w:r>
        <w:t>upporters of implicit faith could not ignore this fact.</w:t>
      </w:r>
      <w:r w:rsidR="00E83F6E">
        <w:t xml:space="preserve">  </w:t>
      </w:r>
    </w:p>
    <w:p w14:paraId="3BEB467B" w14:textId="77777777" w:rsidR="003E5CAB" w:rsidRDefault="003E5CAB" w:rsidP="00350E7B">
      <w:pPr>
        <w:spacing w:line="480" w:lineRule="auto"/>
        <w:ind w:right="720"/>
      </w:pPr>
    </w:p>
    <w:p w14:paraId="4AD345EA" w14:textId="77777777" w:rsidR="0081258B" w:rsidRDefault="000A1103" w:rsidP="00350E7B">
      <w:pPr>
        <w:spacing w:line="480" w:lineRule="auto"/>
        <w:ind w:right="720"/>
      </w:pPr>
      <w:r>
        <w:t xml:space="preserve">The rhetorical strategies used by </w:t>
      </w:r>
      <w:r w:rsidR="00D37798">
        <w:t xml:space="preserve">the </w:t>
      </w:r>
      <w:r w:rsidR="00D21B13">
        <w:t>evangelizers</w:t>
      </w:r>
      <w:r>
        <w:t xml:space="preserve"> of</w:t>
      </w:r>
      <w:r w:rsidR="004A6868">
        <w:t xml:space="preserve"> implicit faith </w:t>
      </w:r>
      <w:r w:rsidR="00315285">
        <w:t>to undermine Protestant arguments in favor of alternative foundations</w:t>
      </w:r>
      <w:r w:rsidR="004961A5">
        <w:t xml:space="preserve"> </w:t>
      </w:r>
      <w:r w:rsidR="004A6868">
        <w:t>were</w:t>
      </w:r>
      <w:r w:rsidR="000C7D4A">
        <w:t xml:space="preserve"> brilliant from a rhetorical point of view</w:t>
      </w:r>
      <w:r w:rsidR="00D21B13">
        <w:t>. The evangelizers understood the Protestant assumptions held by their</w:t>
      </w:r>
      <w:r w:rsidR="003E5CAB">
        <w:t xml:space="preserve"> </w:t>
      </w:r>
      <w:proofErr w:type="gramStart"/>
      <w:r w:rsidR="003E5CAB">
        <w:t>historically-situated</w:t>
      </w:r>
      <w:proofErr w:type="gramEnd"/>
      <w:r w:rsidR="003E5CAB">
        <w:t xml:space="preserve"> audience</w:t>
      </w:r>
      <w:r w:rsidR="000C7D4A">
        <w:t xml:space="preserve"> </w:t>
      </w:r>
      <w:r w:rsidR="003E5CAB">
        <w:t xml:space="preserve">and </w:t>
      </w:r>
      <w:r w:rsidR="00D21B13">
        <w:t xml:space="preserve">they </w:t>
      </w:r>
      <w:r w:rsidR="000C7D4A">
        <w:t>engaged deeply with</w:t>
      </w:r>
      <w:r w:rsidR="003E5CAB">
        <w:t xml:space="preserve"> their</w:t>
      </w:r>
      <w:r w:rsidR="00D21B13">
        <w:t xml:space="preserve"> </w:t>
      </w:r>
      <w:r w:rsidR="00BE7732">
        <w:t>assumptions. B</w:t>
      </w:r>
      <w:r w:rsidR="000C7D4A">
        <w:t xml:space="preserve">ut the </w:t>
      </w:r>
      <w:r w:rsidR="00D21B13">
        <w:t xml:space="preserve">rhetorical </w:t>
      </w:r>
      <w:r w:rsidR="000C7D4A">
        <w:t>strategies</w:t>
      </w:r>
      <w:r w:rsidR="004A6868">
        <w:t xml:space="preserve"> </w:t>
      </w:r>
      <w:r w:rsidR="00D21B13">
        <w:t xml:space="preserve">they used </w:t>
      </w:r>
      <w:r w:rsidR="000C7D4A">
        <w:t>were</w:t>
      </w:r>
      <w:r w:rsidR="00BE7732">
        <w:t xml:space="preserve"> </w:t>
      </w:r>
      <w:r w:rsidR="00D37798">
        <w:t xml:space="preserve">fundamentally </w:t>
      </w:r>
      <w:r w:rsidR="004A6868">
        <w:t>inconsistent</w:t>
      </w:r>
      <w:r w:rsidR="000C7D4A">
        <w:t xml:space="preserve">, and consequently </w:t>
      </w:r>
      <w:r w:rsidR="00D37798">
        <w:t xml:space="preserve">mind-boggling to philosophers </w:t>
      </w:r>
      <w:r w:rsidR="00926709">
        <w:t>who championed the law of non-contradiction</w:t>
      </w:r>
      <w:r w:rsidR="004A6868">
        <w:t xml:space="preserve">. </w:t>
      </w:r>
    </w:p>
    <w:p w14:paraId="7D5D7269" w14:textId="77777777" w:rsidR="0081258B" w:rsidRDefault="0081258B" w:rsidP="00350E7B">
      <w:pPr>
        <w:spacing w:line="480" w:lineRule="auto"/>
        <w:ind w:right="720"/>
      </w:pPr>
      <w:r>
        <w:lastRenderedPageBreak/>
        <w:t>The strategies were contradictory because, o</w:t>
      </w:r>
      <w:r w:rsidR="00926709">
        <w:t>n</w:t>
      </w:r>
      <w:r w:rsidR="00D21B13">
        <w:t xml:space="preserve"> the one hand, evangelizers</w:t>
      </w:r>
      <w:r w:rsidR="000C7D4A">
        <w:t xml:space="preserve"> engaged their </w:t>
      </w:r>
      <w:r w:rsidR="00636D6B">
        <w:t xml:space="preserve">mid-seventeenth-century </w:t>
      </w:r>
      <w:r w:rsidR="000C7D4A">
        <w:t xml:space="preserve">Protestant audience by explaining </w:t>
      </w:r>
      <w:r w:rsidR="00D37798">
        <w:t xml:space="preserve">why </w:t>
      </w:r>
      <w:r w:rsidR="00926709">
        <w:t xml:space="preserve">the </w:t>
      </w:r>
      <w:r w:rsidR="00D37798">
        <w:t>Protestant</w:t>
      </w:r>
      <w:r w:rsidR="00D21B13">
        <w:t xml:space="preserve"> foundations of </w:t>
      </w:r>
      <w:r w:rsidR="00E83F6E">
        <w:t>belief</w:t>
      </w:r>
      <w:r w:rsidR="004A6868">
        <w:t xml:space="preserve"> </w:t>
      </w:r>
      <w:r w:rsidR="00E83F6E">
        <w:t xml:space="preserve">and </w:t>
      </w:r>
      <w:r w:rsidR="00636D6B">
        <w:t xml:space="preserve">action </w:t>
      </w:r>
      <w:r w:rsidR="004A6868">
        <w:t xml:space="preserve">were </w:t>
      </w:r>
      <w:r>
        <w:t>insufficient and consequently worthy to doubt. That is to say</w:t>
      </w:r>
      <w:r w:rsidR="00D21B13">
        <w:t>, s</w:t>
      </w:r>
      <w:r w:rsidR="00D21B13">
        <w:rPr>
          <w:i/>
        </w:rPr>
        <w:t>kepticism became</w:t>
      </w:r>
      <w:r>
        <w:rPr>
          <w:i/>
        </w:rPr>
        <w:t xml:space="preserve"> their</w:t>
      </w:r>
      <w:r w:rsidR="004961A5" w:rsidRPr="004961A5">
        <w:rPr>
          <w:i/>
        </w:rPr>
        <w:t xml:space="preserve"> rhetorical strategy</w:t>
      </w:r>
      <w:r w:rsidR="00D21B13">
        <w:t>. Evangelizers of implicit faith urged their audience to</w:t>
      </w:r>
      <w:r w:rsidR="004961A5" w:rsidRPr="004961A5">
        <w:rPr>
          <w:i/>
        </w:rPr>
        <w:t xml:space="preserve"> be skeptical</w:t>
      </w:r>
      <w:r w:rsidR="004961A5">
        <w:t xml:space="preserve"> of foundations like </w:t>
      </w:r>
      <w:r w:rsidR="00E46C10">
        <w:t>(</w:t>
      </w:r>
      <w:r w:rsidR="00315285">
        <w:t>self-interpreting</w:t>
      </w:r>
      <w:r w:rsidR="00E46C10">
        <w:t>)</w:t>
      </w:r>
      <w:r w:rsidR="00315285">
        <w:t xml:space="preserve"> </w:t>
      </w:r>
      <w:r w:rsidR="004961A5">
        <w:t>Scripture, private spirit, prophecy,</w:t>
      </w:r>
      <w:r w:rsidR="00D21B13">
        <w:t xml:space="preserve"> probabilistic </w:t>
      </w:r>
      <w:r w:rsidR="00315285">
        <w:t>reason</w:t>
      </w:r>
      <w:r w:rsidR="00D21B13">
        <w:t>ing and even logic itself</w:t>
      </w:r>
      <w:r w:rsidR="00315285">
        <w:t>. Exploring how</w:t>
      </w:r>
      <w:r w:rsidR="00E83F6E">
        <w:t xml:space="preserve"> the proponents of</w:t>
      </w:r>
      <w:r w:rsidR="00315285">
        <w:t xml:space="preserve"> </w:t>
      </w:r>
      <w:r w:rsidR="004961A5">
        <w:t>implicit f</w:t>
      </w:r>
      <w:r>
        <w:t>aith used this</w:t>
      </w:r>
      <w:r w:rsidR="009252D3">
        <w:t xml:space="preserve"> skeptical strategy</w:t>
      </w:r>
      <w:r w:rsidR="004961A5">
        <w:t xml:space="preserve"> to undermine the independent authority of scripture, private spirit, prophecy and reason</w:t>
      </w:r>
      <w:r w:rsidR="00315285">
        <w:t xml:space="preserve"> </w:t>
      </w:r>
      <w:r w:rsidR="004961A5">
        <w:t xml:space="preserve">is beyond the purview of this paper. Suffice it to say </w:t>
      </w:r>
      <w:r w:rsidR="00E46C10">
        <w:t xml:space="preserve">here </w:t>
      </w:r>
      <w:r w:rsidR="004961A5">
        <w:t xml:space="preserve">that this rhetorical strategy is </w:t>
      </w:r>
      <w:r w:rsidR="00E46C10">
        <w:t>central to</w:t>
      </w:r>
      <w:r w:rsidR="00315285">
        <w:t xml:space="preserve"> </w:t>
      </w:r>
      <w:r w:rsidR="00C82C4D">
        <w:t xml:space="preserve">the </w:t>
      </w:r>
      <w:r w:rsidR="004961A5">
        <w:t>English Recusant (Catholic)</w:t>
      </w:r>
      <w:r w:rsidR="00315285">
        <w:t xml:space="preserve"> literature of this</w:t>
      </w:r>
      <w:r w:rsidR="00C82C4D">
        <w:t xml:space="preserve"> period.</w:t>
      </w:r>
    </w:p>
    <w:p w14:paraId="2EBC3B88" w14:textId="77777777" w:rsidR="0081258B" w:rsidRDefault="0081258B" w:rsidP="00350E7B">
      <w:pPr>
        <w:spacing w:line="480" w:lineRule="auto"/>
        <w:ind w:right="720"/>
      </w:pPr>
    </w:p>
    <w:p w14:paraId="6DE2E31E" w14:textId="2AAFDC56" w:rsidR="00D21B13" w:rsidRDefault="00C82C4D" w:rsidP="00350E7B">
      <w:pPr>
        <w:spacing w:line="480" w:lineRule="auto"/>
        <w:ind w:right="720"/>
      </w:pPr>
      <w:r>
        <w:t xml:space="preserve"> </w:t>
      </w:r>
      <w:r w:rsidR="0081258B">
        <w:t>But, o</w:t>
      </w:r>
      <w:r w:rsidR="00D21B13">
        <w:t xml:space="preserve">n the other hand, proponents of implicit faith used the Protestant foundations (the very ones they unsettled) to </w:t>
      </w:r>
      <w:r w:rsidR="00D21B13" w:rsidRPr="00926709">
        <w:t xml:space="preserve">justify </w:t>
      </w:r>
      <w:r w:rsidR="00D21B13">
        <w:t xml:space="preserve">the doctrine of implicit faith. Here they deployed arguments from Scripture, from private spirit, from prophecy and from reason to make the case </w:t>
      </w:r>
      <w:r w:rsidR="00D21B13">
        <w:rPr>
          <w:i/>
        </w:rPr>
        <w:t xml:space="preserve">for </w:t>
      </w:r>
      <w:r w:rsidR="00D21B13">
        <w:t>implicit faith in human authority.</w:t>
      </w:r>
      <w:r w:rsidR="00D21B13">
        <w:rPr>
          <w:rStyle w:val="FootnoteReference"/>
        </w:rPr>
        <w:footnoteReference w:id="86"/>
      </w:r>
      <w:r w:rsidR="00D21B13">
        <w:t xml:space="preserve"> Again, developing carefully how proponents did this </w:t>
      </w:r>
      <w:r w:rsidR="0081258B">
        <w:t xml:space="preserve">in each particular case </w:t>
      </w:r>
      <w:r w:rsidR="00D21B13">
        <w:t>is beyond the purview of this paper.</w:t>
      </w:r>
      <w:r w:rsidR="0081258B">
        <w:t xml:space="preserve"> Suffice it say that these kinds of arguments are </w:t>
      </w:r>
      <w:r w:rsidR="00D21B13">
        <w:t>also central to the English Recusant literature of the period.</w:t>
      </w:r>
    </w:p>
    <w:p w14:paraId="631676BB" w14:textId="77777777" w:rsidR="00D21B13" w:rsidRDefault="00D21B13" w:rsidP="00350E7B">
      <w:pPr>
        <w:spacing w:line="480" w:lineRule="auto"/>
        <w:ind w:right="720"/>
      </w:pPr>
    </w:p>
    <w:p w14:paraId="310A1F31" w14:textId="0BC86B40" w:rsidR="00CB1022" w:rsidRDefault="00E83F6E" w:rsidP="00350E7B">
      <w:pPr>
        <w:spacing w:line="480" w:lineRule="auto"/>
        <w:ind w:right="720"/>
      </w:pPr>
      <w:r>
        <w:lastRenderedPageBreak/>
        <w:t>I maintain</w:t>
      </w:r>
      <w:r w:rsidR="009252D3">
        <w:t xml:space="preserve"> that Thomas Hobbes pursues this </w:t>
      </w:r>
      <w:r>
        <w:t xml:space="preserve">same </w:t>
      </w:r>
      <w:r w:rsidR="00D21B13">
        <w:t xml:space="preserve">rhetorical </w:t>
      </w:r>
      <w:r w:rsidR="009252D3">
        <w:t>strategy</w:t>
      </w:r>
      <w:r w:rsidR="00141708">
        <w:t xml:space="preserve"> in </w:t>
      </w:r>
      <w:r w:rsidR="00141708">
        <w:rPr>
          <w:i/>
        </w:rPr>
        <w:t xml:space="preserve">Leviathan. </w:t>
      </w:r>
      <w:r w:rsidR="0081258B">
        <w:t>On the one hand, he</w:t>
      </w:r>
      <w:r w:rsidR="009252D3">
        <w:t xml:space="preserve"> </w:t>
      </w:r>
      <w:r w:rsidR="00141708">
        <w:t>relentl</w:t>
      </w:r>
      <w:r w:rsidR="009252D3">
        <w:t>essly casts</w:t>
      </w:r>
      <w:r w:rsidR="00141708">
        <w:t xml:space="preserve"> doubt upon mankind’s ability to invest </w:t>
      </w:r>
      <w:r w:rsidR="00AA3BD9">
        <w:t xml:space="preserve">foundational </w:t>
      </w:r>
      <w:r w:rsidR="00141708">
        <w:t>authority in</w:t>
      </w:r>
      <w:r w:rsidR="00AA3BD9">
        <w:t>to</w:t>
      </w:r>
      <w:r w:rsidR="00141708">
        <w:t xml:space="preserve"> </w:t>
      </w:r>
      <w:r w:rsidR="00AA3BD9">
        <w:t xml:space="preserve">self-interpreting </w:t>
      </w:r>
      <w:r w:rsidR="00141708">
        <w:t>scripture, private spirit, prophecy, and even reason (as reason is only a rule of prudence</w:t>
      </w:r>
      <w:r w:rsidR="009252D3">
        <w:t xml:space="preserve"> and probability</w:t>
      </w:r>
      <w:r w:rsidR="00AA3BD9">
        <w:t xml:space="preserve"> provides no certain</w:t>
      </w:r>
      <w:r w:rsidR="009252D3">
        <w:t>ty</w:t>
      </w:r>
      <w:r w:rsidR="00141708">
        <w:t xml:space="preserve">; </w:t>
      </w:r>
      <w:r w:rsidR="00AA3BD9">
        <w:t xml:space="preserve">and </w:t>
      </w:r>
      <w:r w:rsidR="00141708">
        <w:t xml:space="preserve">logic can only offer </w:t>
      </w:r>
      <w:r w:rsidR="009252D3">
        <w:t xml:space="preserve">the </w:t>
      </w:r>
      <w:r w:rsidR="00141708">
        <w:t>conditional truths of language</w:t>
      </w:r>
      <w:r>
        <w:t xml:space="preserve"> and, given his nominalism, there is no definitive</w:t>
      </w:r>
      <w:r w:rsidR="009252D3">
        <w:t xml:space="preserve"> </w:t>
      </w:r>
      <w:r w:rsidR="00141708">
        <w:t>link between language and reality</w:t>
      </w:r>
      <w:r w:rsidR="009252D3">
        <w:t>)</w:t>
      </w:r>
      <w:r w:rsidR="00141708">
        <w:t xml:space="preserve">. </w:t>
      </w:r>
      <w:r w:rsidR="00141708">
        <w:rPr>
          <w:i/>
        </w:rPr>
        <w:t xml:space="preserve"> </w:t>
      </w:r>
      <w:r w:rsidR="0081258B">
        <w:t>But on the other hand, Hobbes</w:t>
      </w:r>
      <w:r w:rsidR="00D21B13">
        <w:t xml:space="preserve"> </w:t>
      </w:r>
      <w:r w:rsidR="007473B2">
        <w:t xml:space="preserve">uses </w:t>
      </w:r>
      <w:r w:rsidR="00D21B13">
        <w:t xml:space="preserve">prudential and syllogistic </w:t>
      </w:r>
      <w:r w:rsidR="007473B2">
        <w:t>reason</w:t>
      </w:r>
      <w:r w:rsidR="00D21B13">
        <w:t>ing</w:t>
      </w:r>
      <w:r w:rsidR="007473B2">
        <w:t xml:space="preserve">, Scripture and arguments resting on spirit and prophecy to make </w:t>
      </w:r>
      <w:r w:rsidR="00636D6B">
        <w:t>a case for implicit faith</w:t>
      </w:r>
      <w:r w:rsidR="00D21B13">
        <w:t>.</w:t>
      </w:r>
      <w:r w:rsidR="00636D6B">
        <w:t xml:space="preserve"> </w:t>
      </w:r>
      <w:r w:rsidR="00D21B13">
        <w:t xml:space="preserve"> That i</w:t>
      </w:r>
      <w:r w:rsidR="0081258B">
        <w:t xml:space="preserve">s to say, he tries to persuade </w:t>
      </w:r>
      <w:r w:rsidR="00D21B13">
        <w:t>subjects to invest implicit faith in a sovereign vested</w:t>
      </w:r>
      <w:r w:rsidR="007473B2">
        <w:t xml:space="preserve"> with temporal and spiritual authority.</w:t>
      </w:r>
      <w:r w:rsidR="00D21B13">
        <w:t xml:space="preserve"> </w:t>
      </w:r>
      <w:r w:rsidR="007473B2">
        <w:t xml:space="preserve"> </w:t>
      </w:r>
      <w:r w:rsidR="003339A2">
        <w:rPr>
          <w:i/>
        </w:rPr>
        <w:t xml:space="preserve"> </w:t>
      </w:r>
      <w:r w:rsidR="00CB1022">
        <w:t xml:space="preserve">From a </w:t>
      </w:r>
      <w:proofErr w:type="gramStart"/>
      <w:r w:rsidR="00CB1022">
        <w:t>historically-informed</w:t>
      </w:r>
      <w:proofErr w:type="gramEnd"/>
      <w:r w:rsidR="00CB1022">
        <w:t xml:space="preserve"> perspective, the philosophical madness we find in </w:t>
      </w:r>
      <w:r w:rsidR="00CB1022">
        <w:rPr>
          <w:i/>
        </w:rPr>
        <w:t xml:space="preserve">Leviathan </w:t>
      </w:r>
      <w:r w:rsidR="00CB1022">
        <w:t>amounts to a very brilliant</w:t>
      </w:r>
      <w:r w:rsidR="0081258B">
        <w:t>, but not unique,</w:t>
      </w:r>
      <w:r w:rsidR="00CB1022">
        <w:t xml:space="preserve"> rhetorical attempt to justify the doctrine of implicit faith. </w:t>
      </w:r>
    </w:p>
    <w:p w14:paraId="0794576C" w14:textId="77777777" w:rsidR="00CB1022" w:rsidRDefault="00CB1022" w:rsidP="00350E7B">
      <w:pPr>
        <w:spacing w:line="480" w:lineRule="auto"/>
      </w:pPr>
    </w:p>
    <w:p w14:paraId="0E27FF3C" w14:textId="2F775B64" w:rsidR="00CB1022" w:rsidRPr="00CB1022" w:rsidRDefault="00CB1022" w:rsidP="00350E7B">
      <w:pPr>
        <w:spacing w:line="480" w:lineRule="auto"/>
        <w:rPr>
          <w:b/>
        </w:rPr>
      </w:pPr>
      <w:r w:rsidRPr="00CB1022">
        <w:rPr>
          <w:b/>
        </w:rPr>
        <w:t xml:space="preserve">Conclusion </w:t>
      </w:r>
    </w:p>
    <w:p w14:paraId="7ECEAD97" w14:textId="0DF1DF39" w:rsidR="00CB1022" w:rsidRPr="003339A2" w:rsidRDefault="00CB1022" w:rsidP="00350E7B">
      <w:pPr>
        <w:spacing w:line="480" w:lineRule="auto"/>
      </w:pPr>
      <w:r>
        <w:t xml:space="preserve">What I have revealed by situating Leviathan within a historically-informed reconstruction of the doctrine of implicit faith is as follows. First </w:t>
      </w:r>
      <w:r w:rsidR="0081258B">
        <w:t xml:space="preserve">I have revealed </w:t>
      </w:r>
      <w:r>
        <w:t xml:space="preserve">that we need not read </w:t>
      </w:r>
      <w:r w:rsidRPr="0081258B">
        <w:rPr>
          <w:i/>
        </w:rPr>
        <w:t>Leviathan</w:t>
      </w:r>
      <w:r>
        <w:t xml:space="preserve"> as advocating secularism because we may interpret it as advocating the doctrine of implicit faith which </w:t>
      </w:r>
      <w:r w:rsidR="0081258B">
        <w:t>grounds authority in human beings, but retains God as an ultimate authority</w:t>
      </w:r>
      <w:r>
        <w:t>. Second, we need not conceptualize the relationship between subject and sovereign as an exchange relationship where obedience i</w:t>
      </w:r>
      <w:r w:rsidR="0081258B">
        <w:t>s changed for protection. It is better to conceptualize it</w:t>
      </w:r>
      <w:r>
        <w:t xml:space="preserve"> as the exchange</w:t>
      </w:r>
      <w:r w:rsidR="0081258B">
        <w:t xml:space="preserve"> of implicit faith for protection</w:t>
      </w:r>
      <w:r>
        <w:t xml:space="preserve">. </w:t>
      </w:r>
      <w:r w:rsidRPr="00423A87">
        <w:t xml:space="preserve"> </w:t>
      </w:r>
      <w:r>
        <w:t>We need not conceptualize</w:t>
      </w:r>
      <w:r>
        <w:rPr>
          <w:i/>
        </w:rPr>
        <w:t xml:space="preserve"> </w:t>
      </w:r>
      <w:r>
        <w:t xml:space="preserve">sovereign authorization </w:t>
      </w:r>
      <w:r>
        <w:lastRenderedPageBreak/>
        <w:t>as a profe</w:t>
      </w:r>
      <w:r w:rsidR="0081258B">
        <w:t>ssion of secular consent. It is better to</w:t>
      </w:r>
      <w:r>
        <w:t xml:space="preserve"> conceptualize it as an informed profession of implicit faith. Finally, we should not conceptualize Hobbes as a proponent of religious liberty or freedom</w:t>
      </w:r>
      <w:r w:rsidR="0081258B">
        <w:t xml:space="preserve"> of conscience  (unless we want</w:t>
      </w:r>
      <w:r>
        <w:t xml:space="preserve"> to maintain that ignorance and the freedom not to apprehend or understand one’s beliefs is a form of liberty). We should conceptualize Hobbes as mounting a forceful attack upon radical Protestants who were advocating for religious liberty so that they could find and </w:t>
      </w:r>
      <w:proofErr w:type="gramStart"/>
      <w:r>
        <w:t>understand  foundations</w:t>
      </w:r>
      <w:proofErr w:type="gramEnd"/>
      <w:r>
        <w:t xml:space="preserve"> of faith that did not depend on external mortal authority. </w:t>
      </w:r>
    </w:p>
    <w:p w14:paraId="59E66A79" w14:textId="77777777" w:rsidR="00CB1022" w:rsidRDefault="00CB1022" w:rsidP="00CB1022"/>
    <w:p w14:paraId="778F7E18" w14:textId="77777777" w:rsidR="00CB1022" w:rsidRDefault="00CB1022" w:rsidP="00CB1022">
      <w:pPr>
        <w:ind w:left="720"/>
      </w:pPr>
      <w:r>
        <w:tab/>
      </w:r>
    </w:p>
    <w:p w14:paraId="301AEE73" w14:textId="77777777" w:rsidR="00C32A7B" w:rsidRDefault="00C32A7B" w:rsidP="009B38BA"/>
    <w:sectPr w:rsidR="00C32A7B" w:rsidSect="0081379C">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2AE6C" w14:textId="77777777" w:rsidR="00F15655" w:rsidRDefault="00F15655" w:rsidP="0059166C">
      <w:r>
        <w:separator/>
      </w:r>
    </w:p>
  </w:endnote>
  <w:endnote w:type="continuationSeparator" w:id="0">
    <w:p w14:paraId="48EB41FE" w14:textId="77777777" w:rsidR="00F15655" w:rsidRDefault="00F15655" w:rsidP="00591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BD7E05" w14:textId="77777777" w:rsidR="00F15655" w:rsidRDefault="00F15655" w:rsidP="0059166C">
      <w:r>
        <w:separator/>
      </w:r>
    </w:p>
  </w:footnote>
  <w:footnote w:type="continuationSeparator" w:id="0">
    <w:p w14:paraId="2F189124" w14:textId="77777777" w:rsidR="00F15655" w:rsidRDefault="00F15655" w:rsidP="0059166C">
      <w:r>
        <w:continuationSeparator/>
      </w:r>
    </w:p>
  </w:footnote>
  <w:footnote w:id="1">
    <w:p w14:paraId="38E0AFE8" w14:textId="77777777" w:rsidR="00F15655" w:rsidRDefault="00F15655" w:rsidP="00E34804">
      <w:pPr>
        <w:pStyle w:val="FootnoteText"/>
      </w:pPr>
      <w:r>
        <w:rPr>
          <w:rStyle w:val="FootnoteReference"/>
        </w:rPr>
        <w:footnoteRef/>
      </w:r>
      <w:r>
        <w:t xml:space="preserve"> Hammond, Henry, </w:t>
      </w:r>
      <w:r w:rsidRPr="0055009B">
        <w:rPr>
          <w:i/>
        </w:rPr>
        <w:t xml:space="preserve">A view of some </w:t>
      </w:r>
      <w:proofErr w:type="spellStart"/>
      <w:r w:rsidRPr="0055009B">
        <w:rPr>
          <w:i/>
        </w:rPr>
        <w:t>excpetions</w:t>
      </w:r>
      <w:proofErr w:type="spellEnd"/>
      <w:r w:rsidRPr="0055009B">
        <w:rPr>
          <w:i/>
        </w:rPr>
        <w:t xml:space="preserve"> which have been made by a Romanist to the </w:t>
      </w:r>
      <w:proofErr w:type="spellStart"/>
      <w:r w:rsidRPr="0055009B">
        <w:rPr>
          <w:i/>
        </w:rPr>
        <w:t>Ld</w:t>
      </w:r>
      <w:proofErr w:type="spellEnd"/>
      <w:r w:rsidRPr="0055009B">
        <w:rPr>
          <w:i/>
        </w:rPr>
        <w:t xml:space="preserve"> Viscount’s Falkland’s discourse on the </w:t>
      </w:r>
      <w:proofErr w:type="spellStart"/>
      <w:r w:rsidRPr="0055009B">
        <w:rPr>
          <w:i/>
        </w:rPr>
        <w:t>infallibilty</w:t>
      </w:r>
      <w:proofErr w:type="spellEnd"/>
      <w:r w:rsidRPr="0055009B">
        <w:rPr>
          <w:i/>
        </w:rPr>
        <w:t xml:space="preserve"> of the Church of Rome</w:t>
      </w:r>
      <w:r>
        <w:t xml:space="preserve">. 1650  P.126  </w:t>
      </w:r>
    </w:p>
  </w:footnote>
  <w:footnote w:id="2">
    <w:p w14:paraId="293600E3" w14:textId="531598E3" w:rsidR="00F15655" w:rsidRDefault="00F15655" w:rsidP="009A27C7">
      <w:r>
        <w:rPr>
          <w:rStyle w:val="FootnoteReference"/>
        </w:rPr>
        <w:footnoteRef/>
      </w:r>
      <w:r>
        <w:t xml:space="preserve"> Baxter, Richard.  </w:t>
      </w:r>
      <w:r>
        <w:rPr>
          <w:i/>
        </w:rPr>
        <w:t xml:space="preserve">The saints everlasting rest.  1650 (London: Printed by Rob. White) </w:t>
      </w:r>
      <w:r>
        <w:t>p</w:t>
      </w:r>
      <w:r w:rsidRPr="008F79B7">
        <w:rPr>
          <w:u w:val="single"/>
        </w:rPr>
        <w:t xml:space="preserve"> </w:t>
      </w:r>
      <w:r>
        <w:rPr>
          <w:u w:val="single"/>
        </w:rPr>
        <w:t>180</w:t>
      </w:r>
    </w:p>
  </w:footnote>
  <w:footnote w:id="3">
    <w:p w14:paraId="425AFE00" w14:textId="77777777" w:rsidR="00F15655" w:rsidRDefault="00F15655" w:rsidP="00727193">
      <w:pPr>
        <w:pStyle w:val="FootnoteText"/>
      </w:pPr>
      <w:r>
        <w:rPr>
          <w:rStyle w:val="FootnoteReference"/>
        </w:rPr>
        <w:footnoteRef/>
      </w:r>
      <w:r>
        <w:t xml:space="preserve"> Hobbes, </w:t>
      </w:r>
      <w:r>
        <w:rPr>
          <w:b/>
        </w:rPr>
        <w:t>p.734</w:t>
      </w:r>
    </w:p>
  </w:footnote>
  <w:footnote w:id="4">
    <w:p w14:paraId="35728DD3" w14:textId="6C0EC31B" w:rsidR="00F15655" w:rsidRPr="00DF6F80" w:rsidRDefault="00F15655" w:rsidP="00DF6F80">
      <w:r>
        <w:rPr>
          <w:rStyle w:val="FootnoteReference"/>
        </w:rPr>
        <w:footnoteRef/>
      </w:r>
      <w:r>
        <w:t xml:space="preserve"> </w:t>
      </w:r>
      <w:proofErr w:type="gramStart"/>
      <w:r w:rsidRPr="001D7E69">
        <w:t>Hobbes, p.932.</w:t>
      </w:r>
      <w:proofErr w:type="gramEnd"/>
      <w:r w:rsidRPr="001D7E69">
        <w:t xml:space="preserve"> </w:t>
      </w:r>
      <w:proofErr w:type="gramStart"/>
      <w:r w:rsidRPr="001D7E69">
        <w:t xml:space="preserve">All  </w:t>
      </w:r>
      <w:r w:rsidRPr="001D7E69">
        <w:rPr>
          <w:i/>
        </w:rPr>
        <w:t>Leviathan</w:t>
      </w:r>
      <w:proofErr w:type="gramEnd"/>
      <w:r w:rsidRPr="001D7E69">
        <w:rPr>
          <w:i/>
        </w:rPr>
        <w:t xml:space="preserve"> </w:t>
      </w:r>
      <w:r w:rsidRPr="001D7E69">
        <w:t xml:space="preserve">references are from Volume 3 of </w:t>
      </w:r>
      <w:r w:rsidRPr="001D7E69">
        <w:rPr>
          <w:i/>
        </w:rPr>
        <w:t>The Clarendon Edition of the Works of Thomas Hobbes</w:t>
      </w:r>
      <w:r w:rsidRPr="001D7E69">
        <w:t>. Edited by Noel Malcolm, Oxford University Press, 2012.</w:t>
      </w:r>
      <w:r>
        <w:t xml:space="preserve"> </w:t>
      </w:r>
    </w:p>
    <w:p w14:paraId="4B94382E" w14:textId="6A4007A7" w:rsidR="00F15655" w:rsidRDefault="00F15655">
      <w:pPr>
        <w:pStyle w:val="FootnoteText"/>
      </w:pPr>
    </w:p>
  </w:footnote>
  <w:footnote w:id="5">
    <w:p w14:paraId="0FA0206A" w14:textId="777A0AD8" w:rsidR="00F15655" w:rsidRDefault="00F15655">
      <w:pPr>
        <w:pStyle w:val="FootnoteText"/>
      </w:pPr>
      <w:r>
        <w:rPr>
          <w:rStyle w:val="FootnoteReference"/>
        </w:rPr>
        <w:footnoteRef/>
      </w:r>
      <w:r>
        <w:t xml:space="preserve"> Hobbes, 604-606.</w:t>
      </w:r>
    </w:p>
  </w:footnote>
  <w:footnote w:id="6">
    <w:p w14:paraId="319DA046" w14:textId="7B8A3301" w:rsidR="00F15655" w:rsidRDefault="00F15655">
      <w:pPr>
        <w:pStyle w:val="FootnoteText"/>
      </w:pPr>
      <w:r>
        <w:rPr>
          <w:rStyle w:val="FootnoteReference"/>
        </w:rPr>
        <w:footnoteRef/>
      </w:r>
      <w:r>
        <w:t xml:space="preserve"> </w:t>
      </w:r>
      <w:proofErr w:type="spellStart"/>
      <w:r>
        <w:t>Crakanthorpe</w:t>
      </w:r>
      <w:proofErr w:type="spellEnd"/>
      <w:r>
        <w:t xml:space="preserve">, Richard. 1631.  </w:t>
      </w:r>
      <w:proofErr w:type="spellStart"/>
      <w:r w:rsidRPr="00570CC9">
        <w:rPr>
          <w:i/>
        </w:rPr>
        <w:t>Vigilius</w:t>
      </w:r>
      <w:proofErr w:type="spellEnd"/>
      <w:r w:rsidRPr="00570CC9">
        <w:rPr>
          <w:i/>
        </w:rPr>
        <w:t xml:space="preserve"> </w:t>
      </w:r>
      <w:proofErr w:type="spellStart"/>
      <w:r w:rsidRPr="00570CC9">
        <w:rPr>
          <w:i/>
        </w:rPr>
        <w:t>dormitans</w:t>
      </w:r>
      <w:proofErr w:type="spellEnd"/>
      <w:r w:rsidRPr="00570CC9">
        <w:rPr>
          <w:i/>
        </w:rPr>
        <w:t xml:space="preserve"> </w:t>
      </w:r>
      <w:proofErr w:type="spellStart"/>
      <w:r w:rsidRPr="00570CC9">
        <w:rPr>
          <w:i/>
        </w:rPr>
        <w:t>Romes</w:t>
      </w:r>
      <w:proofErr w:type="spellEnd"/>
      <w:r w:rsidRPr="00570CC9">
        <w:rPr>
          <w:i/>
        </w:rPr>
        <w:t xml:space="preserve"> sees </w:t>
      </w:r>
      <w:proofErr w:type="spellStart"/>
      <w:r w:rsidRPr="00570CC9">
        <w:rPr>
          <w:i/>
        </w:rPr>
        <w:t>overseene</w:t>
      </w:r>
      <w:proofErr w:type="spellEnd"/>
      <w:r w:rsidRPr="00570CC9">
        <w:rPr>
          <w:i/>
        </w:rPr>
        <w:t xml:space="preserve">; or a treatise of the fifth general </w:t>
      </w:r>
      <w:proofErr w:type="spellStart"/>
      <w:r w:rsidRPr="00570CC9">
        <w:rPr>
          <w:i/>
        </w:rPr>
        <w:t>councell</w:t>
      </w:r>
      <w:proofErr w:type="spellEnd"/>
      <w:r w:rsidRPr="00570CC9">
        <w:rPr>
          <w:i/>
        </w:rPr>
        <w:t xml:space="preserve"> held at Constantinople.</w:t>
      </w:r>
      <w:r>
        <w:t xml:space="preserve"> London: Printed by M.F.   P.194-195; see also Samuel Rutherford.1642. </w:t>
      </w:r>
      <w:r w:rsidRPr="00CD5817">
        <w:rPr>
          <w:i/>
        </w:rPr>
        <w:t xml:space="preserve"> </w:t>
      </w:r>
      <w:proofErr w:type="gramStart"/>
      <w:r w:rsidRPr="00CD5817">
        <w:rPr>
          <w:i/>
        </w:rPr>
        <w:t xml:space="preserve">A peaceable and temperate plea for </w:t>
      </w:r>
      <w:proofErr w:type="spellStart"/>
      <w:r w:rsidRPr="00CD5817">
        <w:rPr>
          <w:i/>
        </w:rPr>
        <w:t>Puals</w:t>
      </w:r>
      <w:proofErr w:type="spellEnd"/>
      <w:r w:rsidRPr="00CD5817">
        <w:rPr>
          <w:i/>
        </w:rPr>
        <w:t xml:space="preserve"> </w:t>
      </w:r>
      <w:proofErr w:type="spellStart"/>
      <w:r w:rsidRPr="00CD5817">
        <w:rPr>
          <w:i/>
        </w:rPr>
        <w:t>presbyterie</w:t>
      </w:r>
      <w:proofErr w:type="spellEnd"/>
      <w:r w:rsidRPr="00CD5817">
        <w:rPr>
          <w:i/>
        </w:rPr>
        <w:t xml:space="preserve"> in Scotland.</w:t>
      </w:r>
      <w:proofErr w:type="gramEnd"/>
      <w:r>
        <w:t xml:space="preserve">  1642. London. P.247  </w:t>
      </w:r>
    </w:p>
  </w:footnote>
  <w:footnote w:id="7">
    <w:p w14:paraId="5E65BB4A" w14:textId="65B5CB2B" w:rsidR="00F15655" w:rsidRDefault="00F15655" w:rsidP="007E4859">
      <w:pPr>
        <w:pStyle w:val="FootnoteText"/>
      </w:pPr>
      <w:r>
        <w:rPr>
          <w:rStyle w:val="FootnoteReference"/>
        </w:rPr>
        <w:footnoteRef/>
      </w:r>
      <w:r>
        <w:t xml:space="preserve"> </w:t>
      </w:r>
      <w:proofErr w:type="spellStart"/>
      <w:r>
        <w:t>Hobbbes</w:t>
      </w:r>
      <w:proofErr w:type="spellEnd"/>
      <w:r>
        <w:t xml:space="preserve"> 604, see also 816-820, 828.</w:t>
      </w:r>
    </w:p>
  </w:footnote>
  <w:footnote w:id="8">
    <w:p w14:paraId="641A385B" w14:textId="2FE645AE" w:rsidR="00F15655" w:rsidRDefault="00F15655">
      <w:pPr>
        <w:pStyle w:val="FootnoteText"/>
      </w:pPr>
      <w:r>
        <w:rPr>
          <w:rStyle w:val="FootnoteReference"/>
        </w:rPr>
        <w:footnoteRef/>
      </w:r>
      <w:r>
        <w:t xml:space="preserve"> </w:t>
      </w:r>
      <w:r w:rsidRPr="00AB3A72">
        <w:t xml:space="preserve">Marshall, Stephen. </w:t>
      </w:r>
      <w:proofErr w:type="gramStart"/>
      <w:r w:rsidRPr="00AB3A72">
        <w:t xml:space="preserve">1646  </w:t>
      </w:r>
      <w:r w:rsidRPr="00AB3A72">
        <w:rPr>
          <w:i/>
        </w:rPr>
        <w:t>A</w:t>
      </w:r>
      <w:proofErr w:type="gramEnd"/>
      <w:r w:rsidRPr="00AB3A72">
        <w:rPr>
          <w:i/>
        </w:rPr>
        <w:t xml:space="preserve"> defense of infant </w:t>
      </w:r>
      <w:proofErr w:type="spellStart"/>
      <w:r w:rsidRPr="00AB3A72">
        <w:rPr>
          <w:i/>
        </w:rPr>
        <w:t>baptisme</w:t>
      </w:r>
      <w:proofErr w:type="spellEnd"/>
      <w:r w:rsidRPr="00AB3A72">
        <w:t>.</w:t>
      </w:r>
      <w:r>
        <w:t xml:space="preserve"> London: Printed by </w:t>
      </w:r>
      <w:proofErr w:type="spellStart"/>
      <w:r>
        <w:t>Ric</w:t>
      </w:r>
      <w:proofErr w:type="spellEnd"/>
      <w:r>
        <w:t xml:space="preserve">. Cotes, P.28  </w:t>
      </w:r>
    </w:p>
  </w:footnote>
  <w:footnote w:id="9">
    <w:p w14:paraId="2361B158" w14:textId="2587C9CB" w:rsidR="00F15655" w:rsidRDefault="00F15655">
      <w:pPr>
        <w:pStyle w:val="FootnoteText"/>
      </w:pPr>
      <w:r>
        <w:rPr>
          <w:rStyle w:val="FootnoteReference"/>
        </w:rPr>
        <w:footnoteRef/>
      </w:r>
      <w:r>
        <w:t xml:space="preserve"> </w:t>
      </w:r>
      <w:proofErr w:type="gramStart"/>
      <w:r>
        <w:t>Hobbes, 578.</w:t>
      </w:r>
      <w:proofErr w:type="gramEnd"/>
    </w:p>
  </w:footnote>
  <w:footnote w:id="10">
    <w:p w14:paraId="479D41C0" w14:textId="06567FBA" w:rsidR="00F15655" w:rsidRDefault="00F15655">
      <w:pPr>
        <w:pStyle w:val="FootnoteText"/>
      </w:pPr>
      <w:r>
        <w:rPr>
          <w:rStyle w:val="FootnoteReference"/>
        </w:rPr>
        <w:footnoteRef/>
      </w:r>
      <w:r>
        <w:t xml:space="preserve"> Clarendon, Edward Hyde, Earl of.   1648. Answer to a pamphlet, entitled, a </w:t>
      </w:r>
      <w:proofErr w:type="spellStart"/>
      <w:r>
        <w:t>declariotan</w:t>
      </w:r>
      <w:proofErr w:type="spellEnd"/>
      <w:r>
        <w:t xml:space="preserve"> of the Commons of England in Parliament assembled.  (</w:t>
      </w:r>
      <w:proofErr w:type="spellStart"/>
      <w:r>
        <w:t>s.n</w:t>
      </w:r>
      <w:proofErr w:type="spellEnd"/>
      <w:r>
        <w:t>.), p.3</w:t>
      </w:r>
    </w:p>
  </w:footnote>
  <w:footnote w:id="11">
    <w:p w14:paraId="76CECC59" w14:textId="23679FDE" w:rsidR="00F15655" w:rsidRDefault="00F15655" w:rsidP="00397236">
      <w:r>
        <w:rPr>
          <w:rStyle w:val="FootnoteReference"/>
        </w:rPr>
        <w:footnoteRef/>
      </w:r>
      <w:r>
        <w:t xml:space="preserve"> Edwards, Thomas. 1646. </w:t>
      </w:r>
      <w:r>
        <w:rPr>
          <w:i/>
        </w:rPr>
        <w:t xml:space="preserve">The first and second part of </w:t>
      </w:r>
      <w:proofErr w:type="spellStart"/>
      <w:r>
        <w:rPr>
          <w:i/>
        </w:rPr>
        <w:t>Gangraena</w:t>
      </w:r>
      <w:proofErr w:type="spellEnd"/>
      <w:r>
        <w:rPr>
          <w:i/>
        </w:rPr>
        <w:t xml:space="preserve">. </w:t>
      </w:r>
      <w:r>
        <w:t xml:space="preserve">London: Printed by T.R. p.32 </w:t>
      </w:r>
    </w:p>
  </w:footnote>
  <w:footnote w:id="12">
    <w:p w14:paraId="74B0EDAD" w14:textId="3AED2A55" w:rsidR="00F15655" w:rsidRDefault="00F15655">
      <w:pPr>
        <w:pStyle w:val="FootnoteText"/>
      </w:pPr>
      <w:r>
        <w:rPr>
          <w:rStyle w:val="FootnoteReference"/>
        </w:rPr>
        <w:footnoteRef/>
      </w:r>
      <w:r>
        <w:t xml:space="preserve"> Hobbes, p.1042  </w:t>
      </w:r>
    </w:p>
  </w:footnote>
  <w:footnote w:id="13">
    <w:p w14:paraId="1D4E8975" w14:textId="216D0872" w:rsidR="00F15655" w:rsidRDefault="00F15655">
      <w:pPr>
        <w:pStyle w:val="FootnoteText"/>
      </w:pPr>
      <w:r>
        <w:rPr>
          <w:rStyle w:val="FootnoteReference"/>
        </w:rPr>
        <w:footnoteRef/>
      </w:r>
      <w:r>
        <w:t xml:space="preserve"> Get all citations!!!</w:t>
      </w:r>
    </w:p>
  </w:footnote>
  <w:footnote w:id="14">
    <w:p w14:paraId="031492B2" w14:textId="77777777" w:rsidR="00F15655" w:rsidRDefault="00F15655" w:rsidP="00867220">
      <w:pPr>
        <w:pStyle w:val="FootnoteText"/>
      </w:pPr>
      <w:r>
        <w:rPr>
          <w:rStyle w:val="FootnoteReference"/>
        </w:rPr>
        <w:footnoteRef/>
      </w:r>
      <w:r>
        <w:t xml:space="preserve"> Burton, </w:t>
      </w:r>
      <w:proofErr w:type="gramStart"/>
      <w:r>
        <w:t>Henry.</w:t>
      </w:r>
      <w:r>
        <w:rPr>
          <w:i/>
        </w:rPr>
        <w:t>1646  Conformity’s</w:t>
      </w:r>
      <w:proofErr w:type="gramEnd"/>
      <w:r>
        <w:rPr>
          <w:i/>
        </w:rPr>
        <w:t xml:space="preserve"> deformity. (London).</w:t>
      </w:r>
      <w:r>
        <w:t xml:space="preserve"> p.23  </w:t>
      </w:r>
    </w:p>
  </w:footnote>
  <w:footnote w:id="15">
    <w:p w14:paraId="12429F99" w14:textId="467EEF84" w:rsidR="00F15655" w:rsidRDefault="00F15655" w:rsidP="00C66A3B">
      <w:r>
        <w:rPr>
          <w:rStyle w:val="FootnoteReference"/>
        </w:rPr>
        <w:footnoteRef/>
      </w:r>
      <w:r>
        <w:t xml:space="preserve"> Saltmarsh, John. 1646. </w:t>
      </w:r>
      <w:r w:rsidRPr="007D1B37">
        <w:rPr>
          <w:i/>
        </w:rPr>
        <w:t xml:space="preserve">The smoke in the temple wherein is a </w:t>
      </w:r>
      <w:proofErr w:type="spellStart"/>
      <w:r w:rsidRPr="007D1B37">
        <w:rPr>
          <w:i/>
        </w:rPr>
        <w:t>designe</w:t>
      </w:r>
      <w:proofErr w:type="spellEnd"/>
      <w:r w:rsidRPr="007D1B37">
        <w:rPr>
          <w:i/>
        </w:rPr>
        <w:t xml:space="preserve"> for peace and reconciliation of believes of the several </w:t>
      </w:r>
      <w:proofErr w:type="spellStart"/>
      <w:r w:rsidRPr="007D1B37">
        <w:rPr>
          <w:i/>
        </w:rPr>
        <w:t>opinins</w:t>
      </w:r>
      <w:proofErr w:type="spellEnd"/>
      <w:r w:rsidRPr="007D1B37">
        <w:rPr>
          <w:i/>
        </w:rPr>
        <w:t xml:space="preserve"> of </w:t>
      </w:r>
      <w:proofErr w:type="spellStart"/>
      <w:proofErr w:type="gramStart"/>
      <w:r w:rsidRPr="007D1B37">
        <w:rPr>
          <w:i/>
        </w:rPr>
        <w:t>thest</w:t>
      </w:r>
      <w:proofErr w:type="spellEnd"/>
      <w:r w:rsidRPr="007D1B37">
        <w:rPr>
          <w:i/>
        </w:rPr>
        <w:t xml:space="preserve">  times</w:t>
      </w:r>
      <w:proofErr w:type="gramEnd"/>
      <w:r w:rsidRPr="007D1B37">
        <w:rPr>
          <w:i/>
        </w:rPr>
        <w:t xml:space="preserve"> about ordinances</w:t>
      </w:r>
      <w:r>
        <w:t>. London. P.1</w:t>
      </w:r>
    </w:p>
  </w:footnote>
  <w:footnote w:id="16">
    <w:p w14:paraId="48F91FFB" w14:textId="29803E00" w:rsidR="00F15655" w:rsidRDefault="00F15655">
      <w:pPr>
        <w:pStyle w:val="FootnoteText"/>
      </w:pPr>
      <w:r>
        <w:rPr>
          <w:rStyle w:val="FootnoteReference"/>
        </w:rPr>
        <w:footnoteRef/>
      </w:r>
      <w:r>
        <w:t xml:space="preserve"> Fuller, Thomas. 1646.  Andronicus. London. Printed by </w:t>
      </w:r>
      <w:proofErr w:type="spellStart"/>
      <w:r>
        <w:t>W.Wilson</w:t>
      </w:r>
      <w:proofErr w:type="spellEnd"/>
      <w:r>
        <w:t>. p.23</w:t>
      </w:r>
    </w:p>
  </w:footnote>
  <w:footnote w:id="17">
    <w:p w14:paraId="69C205ED" w14:textId="77777777" w:rsidR="00F15655" w:rsidRDefault="00F15655" w:rsidP="00B92FC9">
      <w:pPr>
        <w:pStyle w:val="FootnoteText"/>
      </w:pPr>
      <w:r>
        <w:rPr>
          <w:rStyle w:val="FootnoteReference"/>
        </w:rPr>
        <w:footnoteRef/>
      </w:r>
      <w:r>
        <w:t xml:space="preserve"> </w:t>
      </w:r>
      <w:proofErr w:type="gramStart"/>
      <w:r w:rsidRPr="007A7C52">
        <w:rPr>
          <w:u w:val="single"/>
        </w:rPr>
        <w:t>Vane ,Thomas</w:t>
      </w:r>
      <w:proofErr w:type="gramEnd"/>
      <w:r w:rsidRPr="007A7C52">
        <w:rPr>
          <w:u w:val="single"/>
        </w:rPr>
        <w:t xml:space="preserve">. 1648. </w:t>
      </w:r>
      <w:r w:rsidRPr="007A7C52">
        <w:rPr>
          <w:i/>
        </w:rPr>
        <w:t xml:space="preserve">A los </w:t>
      </w:r>
      <w:proofErr w:type="spellStart"/>
      <w:r w:rsidRPr="007A7C52">
        <w:rPr>
          <w:i/>
        </w:rPr>
        <w:t>tsheep</w:t>
      </w:r>
      <w:proofErr w:type="spellEnd"/>
      <w:r w:rsidRPr="007A7C52">
        <w:rPr>
          <w:i/>
        </w:rPr>
        <w:t xml:space="preserve"> returned </w:t>
      </w:r>
      <w:proofErr w:type="spellStart"/>
      <w:r w:rsidRPr="007A7C52">
        <w:rPr>
          <w:i/>
        </w:rPr>
        <w:t>hom</w:t>
      </w:r>
      <w:proofErr w:type="spellEnd"/>
      <w:r w:rsidRPr="007A7C52">
        <w:rPr>
          <w:i/>
        </w:rPr>
        <w:t xml:space="preserve">, </w:t>
      </w:r>
      <w:proofErr w:type="gramStart"/>
      <w:r w:rsidRPr="007A7C52">
        <w:rPr>
          <w:i/>
        </w:rPr>
        <w:t>or ,</w:t>
      </w:r>
      <w:proofErr w:type="gramEnd"/>
      <w:r w:rsidRPr="007A7C52">
        <w:rPr>
          <w:i/>
        </w:rPr>
        <w:t xml:space="preserve"> the motives of the conversion to the </w:t>
      </w:r>
      <w:proofErr w:type="spellStart"/>
      <w:r w:rsidRPr="007A7C52">
        <w:rPr>
          <w:i/>
        </w:rPr>
        <w:t>Catholike</w:t>
      </w:r>
      <w:proofErr w:type="spellEnd"/>
      <w:r w:rsidRPr="007A7C52">
        <w:rPr>
          <w:i/>
        </w:rPr>
        <w:t xml:space="preserve"> faith.  Paris. </w:t>
      </w:r>
      <w:r w:rsidRPr="007A7C52">
        <w:rPr>
          <w:u w:val="single"/>
        </w:rPr>
        <w:t xml:space="preserve"> </w:t>
      </w:r>
      <w:r w:rsidRPr="007A7C52">
        <w:t>P.353</w:t>
      </w:r>
      <w:r>
        <w:t>-5.</w:t>
      </w:r>
    </w:p>
  </w:footnote>
  <w:footnote w:id="18">
    <w:p w14:paraId="2C9FF2F6" w14:textId="77777777" w:rsidR="00F15655" w:rsidRDefault="00F15655" w:rsidP="00B92FC9">
      <w:pPr>
        <w:pStyle w:val="FootnoteText"/>
      </w:pPr>
      <w:r>
        <w:rPr>
          <w:rStyle w:val="FootnoteReference"/>
        </w:rPr>
        <w:footnoteRef/>
      </w:r>
      <w:r>
        <w:t xml:space="preserve"> </w:t>
      </w:r>
      <w:proofErr w:type="spellStart"/>
      <w:r>
        <w:t>Chidley</w:t>
      </w:r>
      <w:proofErr w:type="spellEnd"/>
      <w:r>
        <w:t>, Katherine. 1641</w:t>
      </w:r>
      <w:r w:rsidRPr="00E90679">
        <w:rPr>
          <w:i/>
        </w:rPr>
        <w:t xml:space="preserve">. The justification of the independent churches of Christ being an answer to Mr. Edwards his </w:t>
      </w:r>
      <w:proofErr w:type="spellStart"/>
      <w:r w:rsidRPr="00E90679">
        <w:rPr>
          <w:i/>
        </w:rPr>
        <w:t>booke</w:t>
      </w:r>
      <w:proofErr w:type="spellEnd"/>
      <w:r>
        <w:t xml:space="preserve">. (London) P.45  </w:t>
      </w:r>
    </w:p>
  </w:footnote>
  <w:footnote w:id="19">
    <w:p w14:paraId="0F38A541" w14:textId="77777777" w:rsidR="00F15655" w:rsidRDefault="00F15655" w:rsidP="00B92FC9">
      <w:pPr>
        <w:pStyle w:val="FootnoteText"/>
      </w:pPr>
      <w:r>
        <w:rPr>
          <w:rStyle w:val="FootnoteReference"/>
        </w:rPr>
        <w:footnoteRef/>
      </w:r>
      <w:r>
        <w:t xml:space="preserve"> Richardson, </w:t>
      </w:r>
      <w:proofErr w:type="spellStart"/>
      <w:r>
        <w:t>Sameul</w:t>
      </w:r>
      <w:proofErr w:type="spellEnd"/>
      <w:r>
        <w:t>. 1649.</w:t>
      </w:r>
      <w:r>
        <w:rPr>
          <w:i/>
        </w:rPr>
        <w:t xml:space="preserve">An Answer to the London ministers </w:t>
      </w:r>
      <w:proofErr w:type="gramStart"/>
      <w:r>
        <w:rPr>
          <w:i/>
        </w:rPr>
        <w:t>letter</w:t>
      </w:r>
      <w:r>
        <w:t xml:space="preserve">  London</w:t>
      </w:r>
      <w:proofErr w:type="gramEnd"/>
      <w:r>
        <w:t xml:space="preserve">: Printed by I.C., p.27. </w:t>
      </w:r>
    </w:p>
  </w:footnote>
  <w:footnote w:id="20">
    <w:p w14:paraId="0B2878F2" w14:textId="77777777" w:rsidR="00F15655" w:rsidRDefault="00F15655" w:rsidP="00B92FC9">
      <w:pPr>
        <w:pStyle w:val="FootnoteText"/>
      </w:pPr>
      <w:r>
        <w:rPr>
          <w:rStyle w:val="FootnoteReference"/>
        </w:rPr>
        <w:footnoteRef/>
      </w:r>
      <w:r>
        <w:t xml:space="preserve"> Forbes, Alexander, Baron. </w:t>
      </w:r>
      <w:proofErr w:type="gramStart"/>
      <w:r>
        <w:t>1642  A</w:t>
      </w:r>
      <w:proofErr w:type="gramEnd"/>
      <w:r>
        <w:t xml:space="preserve"> true </w:t>
      </w:r>
      <w:proofErr w:type="spellStart"/>
      <w:r>
        <w:t>copie</w:t>
      </w:r>
      <w:proofErr w:type="spellEnd"/>
      <w:r>
        <w:t xml:space="preserve"> of two letters brought by Mr. Peters.  London Printed by L.N.  </w:t>
      </w:r>
      <w:r>
        <w:rPr>
          <w:b/>
        </w:rPr>
        <w:t>P.1</w:t>
      </w:r>
    </w:p>
  </w:footnote>
  <w:footnote w:id="21">
    <w:p w14:paraId="2AB49696" w14:textId="77777777" w:rsidR="00F15655" w:rsidRDefault="00F15655" w:rsidP="00B92FC9">
      <w:r>
        <w:rPr>
          <w:rStyle w:val="FootnoteReference"/>
        </w:rPr>
        <w:footnoteRef/>
      </w:r>
      <w:r>
        <w:t xml:space="preserve"> Rutherford, Samuel. 1646 </w:t>
      </w:r>
      <w:r w:rsidRPr="00EE688E">
        <w:rPr>
          <w:i/>
        </w:rPr>
        <w:t>The divine right of church-</w:t>
      </w:r>
      <w:proofErr w:type="spellStart"/>
      <w:r w:rsidRPr="00EE688E">
        <w:rPr>
          <w:i/>
        </w:rPr>
        <w:t>governent</w:t>
      </w:r>
      <w:proofErr w:type="spellEnd"/>
      <w:r w:rsidRPr="00EE688E">
        <w:rPr>
          <w:i/>
        </w:rPr>
        <w:t xml:space="preserve"> and excommunication</w:t>
      </w:r>
      <w:r>
        <w:t>. London. Printed by John Field</w:t>
      </w:r>
      <w:r>
        <w:rPr>
          <w:b/>
        </w:rPr>
        <w:t xml:space="preserve">, </w:t>
      </w:r>
      <w:r w:rsidRPr="00F720B5">
        <w:t>596</w:t>
      </w:r>
      <w:r>
        <w:t xml:space="preserve">; see also </w:t>
      </w:r>
    </w:p>
    <w:p w14:paraId="6D01B495" w14:textId="77777777" w:rsidR="00F15655" w:rsidRDefault="00F15655" w:rsidP="00B92FC9">
      <w:pPr>
        <w:pStyle w:val="FootnoteText"/>
      </w:pPr>
      <w:r>
        <w:t xml:space="preserve">Scot, Philip. </w:t>
      </w:r>
      <w:proofErr w:type="gramStart"/>
      <w:r w:rsidRPr="00613C33">
        <w:rPr>
          <w:i/>
        </w:rPr>
        <w:t>A treatise of the schism of England</w:t>
      </w:r>
      <w:r>
        <w:t>.</w:t>
      </w:r>
      <w:proofErr w:type="gramEnd"/>
      <w:r>
        <w:t xml:space="preserve"> Amsterdam. 1650, P.189</w:t>
      </w:r>
    </w:p>
  </w:footnote>
  <w:footnote w:id="22">
    <w:p w14:paraId="13182522" w14:textId="5DBA6097" w:rsidR="00F15655" w:rsidRDefault="00F15655">
      <w:pPr>
        <w:pStyle w:val="FootnoteText"/>
      </w:pPr>
      <w:r>
        <w:rPr>
          <w:rStyle w:val="FootnoteReference"/>
        </w:rPr>
        <w:footnoteRef/>
      </w:r>
      <w:r>
        <w:t xml:space="preserve"> </w:t>
      </w:r>
      <w:proofErr w:type="spellStart"/>
      <w:r>
        <w:t>Ferne</w:t>
      </w:r>
      <w:proofErr w:type="spellEnd"/>
      <w:r>
        <w:t xml:space="preserve">, H. 1642. </w:t>
      </w:r>
      <w:r>
        <w:rPr>
          <w:i/>
        </w:rPr>
        <w:t xml:space="preserve">The resolving of conscience </w:t>
      </w:r>
      <w:proofErr w:type="spellStart"/>
      <w:r>
        <w:rPr>
          <w:i/>
        </w:rPr>
        <w:t>upo</w:t>
      </w:r>
      <w:proofErr w:type="spellEnd"/>
      <w:r>
        <w:rPr>
          <w:i/>
        </w:rPr>
        <w:t xml:space="preserve"> this question whether upon such a supposition or case as is now usually made…the subjects may take arms and resist [the king]. </w:t>
      </w:r>
      <w:r>
        <w:t xml:space="preserve">York: Printed by Stephen </w:t>
      </w:r>
      <w:proofErr w:type="spellStart"/>
      <w:r>
        <w:t>Bulkley</w:t>
      </w:r>
      <w:proofErr w:type="spellEnd"/>
      <w:r>
        <w:t xml:space="preserve">. </w:t>
      </w:r>
      <w:r>
        <w:rPr>
          <w:b/>
        </w:rPr>
        <w:t>Image 4</w:t>
      </w:r>
    </w:p>
  </w:footnote>
  <w:footnote w:id="23">
    <w:p w14:paraId="7B5A7BEF" w14:textId="4B1D694D" w:rsidR="00F15655" w:rsidRDefault="00F15655" w:rsidP="00FD4DF2">
      <w:r>
        <w:rPr>
          <w:rStyle w:val="FootnoteReference"/>
        </w:rPr>
        <w:footnoteRef/>
      </w:r>
      <w:r>
        <w:t xml:space="preserve"> </w:t>
      </w:r>
      <w:proofErr w:type="spellStart"/>
      <w:r>
        <w:t>Culverwel</w:t>
      </w:r>
      <w:proofErr w:type="spellEnd"/>
      <w:r>
        <w:t xml:space="preserve">, </w:t>
      </w:r>
      <w:proofErr w:type="spellStart"/>
      <w:r>
        <w:t>Nathaneal</w:t>
      </w:r>
      <w:proofErr w:type="spellEnd"/>
      <w:r>
        <w:t xml:space="preserve">, 1652 </w:t>
      </w:r>
      <w:proofErr w:type="gramStart"/>
      <w:r>
        <w:rPr>
          <w:i/>
        </w:rPr>
        <w:t>An</w:t>
      </w:r>
      <w:proofErr w:type="gramEnd"/>
      <w:r>
        <w:rPr>
          <w:i/>
        </w:rPr>
        <w:t xml:space="preserve"> elegant and learned discourse of the light of nature, with several other treatises. (</w:t>
      </w:r>
      <w:r>
        <w:t xml:space="preserve">London: Printed by T.R.), p.159 </w:t>
      </w:r>
    </w:p>
  </w:footnote>
  <w:footnote w:id="24">
    <w:p w14:paraId="7DDC1308" w14:textId="79B4BB44" w:rsidR="00F15655" w:rsidRDefault="00F15655">
      <w:pPr>
        <w:pStyle w:val="FootnoteText"/>
      </w:pPr>
      <w:r>
        <w:rPr>
          <w:rStyle w:val="FootnoteReference"/>
        </w:rPr>
        <w:footnoteRef/>
      </w:r>
      <w:r>
        <w:t xml:space="preserve"> Hobbes, p.694</w:t>
      </w:r>
    </w:p>
  </w:footnote>
  <w:footnote w:id="25">
    <w:p w14:paraId="3ED2AC2B" w14:textId="674C80B4" w:rsidR="00F15655" w:rsidRDefault="00F15655">
      <w:pPr>
        <w:pStyle w:val="FootnoteText"/>
      </w:pPr>
      <w:r>
        <w:rPr>
          <w:rStyle w:val="FootnoteReference"/>
        </w:rPr>
        <w:footnoteRef/>
      </w:r>
      <w:r>
        <w:t xml:space="preserve"> Hobbes, p.1096</w:t>
      </w:r>
    </w:p>
  </w:footnote>
  <w:footnote w:id="26">
    <w:p w14:paraId="7F2ADEFE" w14:textId="77777777" w:rsidR="00F15655" w:rsidRDefault="00F15655" w:rsidP="005370C6">
      <w:pPr>
        <w:pStyle w:val="FootnoteText"/>
      </w:pPr>
      <w:r>
        <w:rPr>
          <w:rStyle w:val="FootnoteReference"/>
        </w:rPr>
        <w:footnoteRef/>
      </w:r>
      <w:r>
        <w:t xml:space="preserve"> Hobbes p.934</w:t>
      </w:r>
    </w:p>
  </w:footnote>
  <w:footnote w:id="27">
    <w:p w14:paraId="54080675" w14:textId="6D6FB127" w:rsidR="00F15655" w:rsidRDefault="00F15655">
      <w:pPr>
        <w:pStyle w:val="FootnoteText"/>
      </w:pPr>
      <w:r>
        <w:rPr>
          <w:rStyle w:val="FootnoteReference"/>
        </w:rPr>
        <w:footnoteRef/>
      </w:r>
      <w:r>
        <w:t xml:space="preserve"> Scot, Philip. </w:t>
      </w:r>
      <w:proofErr w:type="gramStart"/>
      <w:r w:rsidRPr="00613C33">
        <w:rPr>
          <w:i/>
        </w:rPr>
        <w:t>A treatise of the schism of England</w:t>
      </w:r>
      <w:r>
        <w:t>.</w:t>
      </w:r>
      <w:proofErr w:type="gramEnd"/>
      <w:r>
        <w:t xml:space="preserve"> Amsterdam. 1650</w:t>
      </w:r>
      <w:r>
        <w:rPr>
          <w:b/>
          <w:u w:val="single"/>
        </w:rPr>
        <w:t xml:space="preserve"> </w:t>
      </w:r>
      <w:r>
        <w:rPr>
          <w:u w:val="single"/>
        </w:rPr>
        <w:t>p.202</w:t>
      </w:r>
    </w:p>
  </w:footnote>
  <w:footnote w:id="28">
    <w:p w14:paraId="3D88D288" w14:textId="64E11229" w:rsidR="00F15655" w:rsidRDefault="00F15655">
      <w:pPr>
        <w:pStyle w:val="FootnoteText"/>
      </w:pPr>
      <w:r>
        <w:rPr>
          <w:rStyle w:val="FootnoteReference"/>
        </w:rPr>
        <w:footnoteRef/>
      </w:r>
      <w:r>
        <w:t xml:space="preserve"> Rutherford, Samuel. 1644. </w:t>
      </w:r>
      <w:r w:rsidRPr="0001214D">
        <w:rPr>
          <w:i/>
        </w:rPr>
        <w:t>The due right of presbyteries.</w:t>
      </w:r>
      <w:r>
        <w:t xml:space="preserve"> P.227, emphasis mine.</w:t>
      </w:r>
    </w:p>
  </w:footnote>
  <w:footnote w:id="29">
    <w:p w14:paraId="499DF2F9" w14:textId="42AEFF05" w:rsidR="00F15655" w:rsidRDefault="00F15655">
      <w:pPr>
        <w:pStyle w:val="FootnoteText"/>
      </w:pPr>
      <w:r>
        <w:rPr>
          <w:rStyle w:val="FootnoteReference"/>
        </w:rPr>
        <w:footnoteRef/>
      </w:r>
      <w:r>
        <w:t xml:space="preserve"> Taylor, Jeremy. 1648. </w:t>
      </w:r>
      <w:r w:rsidRPr="00797BF3">
        <w:rPr>
          <w:i/>
        </w:rPr>
        <w:t>Treatises of 1. The liberty of prophesying,</w:t>
      </w:r>
      <w:r>
        <w:t xml:space="preserve"> London, p.60, emphasis mine. </w:t>
      </w:r>
    </w:p>
  </w:footnote>
  <w:footnote w:id="30">
    <w:p w14:paraId="2912B588" w14:textId="174D2ED9" w:rsidR="00F15655" w:rsidRDefault="00F15655">
      <w:pPr>
        <w:pStyle w:val="FootnoteText"/>
      </w:pPr>
      <w:r>
        <w:rPr>
          <w:rStyle w:val="FootnoteReference"/>
        </w:rPr>
        <w:footnoteRef/>
      </w:r>
      <w:r>
        <w:t xml:space="preserve"> Vane, p.93</w:t>
      </w:r>
    </w:p>
  </w:footnote>
  <w:footnote w:id="31">
    <w:p w14:paraId="10F8177D" w14:textId="77777777" w:rsidR="00F15655" w:rsidRDefault="00F15655" w:rsidP="008C220E">
      <w:pPr>
        <w:pStyle w:val="FootnoteText"/>
      </w:pPr>
      <w:r>
        <w:rPr>
          <w:rStyle w:val="FootnoteReference"/>
        </w:rPr>
        <w:footnoteRef/>
      </w:r>
      <w:r>
        <w:t xml:space="preserve"> Vane, p.93</w:t>
      </w:r>
    </w:p>
  </w:footnote>
  <w:footnote w:id="32">
    <w:p w14:paraId="049DE20A" w14:textId="4A283886" w:rsidR="00F15655" w:rsidRDefault="00F15655">
      <w:pPr>
        <w:pStyle w:val="FootnoteText"/>
      </w:pPr>
      <w:r>
        <w:rPr>
          <w:rStyle w:val="FootnoteReference"/>
        </w:rPr>
        <w:footnoteRef/>
      </w:r>
      <w:r>
        <w:t xml:space="preserve"> </w:t>
      </w:r>
      <w:proofErr w:type="gramStart"/>
      <w:r>
        <w:t>Vane, p.231.</w:t>
      </w:r>
      <w:proofErr w:type="gramEnd"/>
      <w:r>
        <w:t xml:space="preserve">   </w:t>
      </w:r>
    </w:p>
  </w:footnote>
  <w:footnote w:id="33">
    <w:p w14:paraId="3BC7CA88" w14:textId="0B5ECD75" w:rsidR="00F15655" w:rsidRDefault="00F15655">
      <w:pPr>
        <w:pStyle w:val="FootnoteText"/>
      </w:pPr>
      <w:r>
        <w:rPr>
          <w:rStyle w:val="FootnoteReference"/>
        </w:rPr>
        <w:footnoteRef/>
      </w:r>
      <w:r>
        <w:t xml:space="preserve"> </w:t>
      </w:r>
      <w:proofErr w:type="gramStart"/>
      <w:r>
        <w:t xml:space="preserve">Hobbes, </w:t>
      </w:r>
      <w:r>
        <w:rPr>
          <w:b/>
        </w:rPr>
        <w:t>P.746; see also 774-776.</w:t>
      </w:r>
      <w:proofErr w:type="gramEnd"/>
    </w:p>
  </w:footnote>
  <w:footnote w:id="34">
    <w:p w14:paraId="5D86119B" w14:textId="52BB8BD3" w:rsidR="00F15655" w:rsidRDefault="00F15655" w:rsidP="00827477">
      <w:r>
        <w:rPr>
          <w:rStyle w:val="FootnoteReference"/>
        </w:rPr>
        <w:footnoteRef/>
      </w:r>
      <w:r>
        <w:t xml:space="preserve"> Hobbes, </w:t>
      </w:r>
      <w:r>
        <w:rPr>
          <w:b/>
        </w:rPr>
        <w:t xml:space="preserve">p.734 </w:t>
      </w:r>
    </w:p>
  </w:footnote>
  <w:footnote w:id="35">
    <w:p w14:paraId="0AB94357" w14:textId="0CD2D4A8" w:rsidR="00F15655" w:rsidRDefault="00F15655">
      <w:pPr>
        <w:pStyle w:val="FootnoteText"/>
      </w:pPr>
      <w:r>
        <w:rPr>
          <w:rStyle w:val="FootnoteReference"/>
        </w:rPr>
        <w:footnoteRef/>
      </w:r>
      <w:r>
        <w:t xml:space="preserve"> Add reference.</w:t>
      </w:r>
    </w:p>
  </w:footnote>
  <w:footnote w:id="36">
    <w:p w14:paraId="66F7A690" w14:textId="25A1E47A" w:rsidR="00F15655" w:rsidRDefault="00F15655">
      <w:pPr>
        <w:pStyle w:val="FootnoteText"/>
      </w:pPr>
      <w:r>
        <w:rPr>
          <w:rStyle w:val="FootnoteReference"/>
        </w:rPr>
        <w:footnoteRef/>
      </w:r>
      <w:r>
        <w:t xml:space="preserve"> Hobbes, </w:t>
      </w:r>
      <w:r>
        <w:rPr>
          <w:b/>
          <w:u w:val="single"/>
        </w:rPr>
        <w:t>p.738</w:t>
      </w:r>
    </w:p>
  </w:footnote>
  <w:footnote w:id="37">
    <w:p w14:paraId="695D8388" w14:textId="4C33F958" w:rsidR="00F15655" w:rsidRDefault="00F15655">
      <w:pPr>
        <w:pStyle w:val="FootnoteText"/>
      </w:pPr>
      <w:r>
        <w:rPr>
          <w:rStyle w:val="FootnoteReference"/>
        </w:rPr>
        <w:footnoteRef/>
      </w:r>
      <w:r>
        <w:t xml:space="preserve"> Hobbes, p.894  </w:t>
      </w:r>
    </w:p>
  </w:footnote>
  <w:footnote w:id="38">
    <w:p w14:paraId="786E16A5" w14:textId="55DEBF76" w:rsidR="00F15655" w:rsidRDefault="00F15655">
      <w:pPr>
        <w:pStyle w:val="FootnoteText"/>
      </w:pPr>
      <w:r>
        <w:rPr>
          <w:rStyle w:val="FootnoteReference"/>
        </w:rPr>
        <w:footnoteRef/>
      </w:r>
      <w:r>
        <w:t xml:space="preserve"> </w:t>
      </w:r>
      <w:proofErr w:type="spellStart"/>
      <w:r>
        <w:t>Culverwel</w:t>
      </w:r>
      <w:proofErr w:type="spellEnd"/>
      <w:r>
        <w:t xml:space="preserve">, </w:t>
      </w:r>
      <w:proofErr w:type="spellStart"/>
      <w:r>
        <w:t>Nathaneal</w:t>
      </w:r>
      <w:proofErr w:type="spellEnd"/>
      <w:r>
        <w:t xml:space="preserve">, 1652 </w:t>
      </w:r>
      <w:proofErr w:type="gramStart"/>
      <w:r>
        <w:rPr>
          <w:i/>
        </w:rPr>
        <w:t>An</w:t>
      </w:r>
      <w:proofErr w:type="gramEnd"/>
      <w:r>
        <w:rPr>
          <w:i/>
        </w:rPr>
        <w:t xml:space="preserve"> elegant and learned discourse of the light of nature, with several other treatises. (</w:t>
      </w:r>
      <w:r>
        <w:t>London: Printed by T.R.).  p.159</w:t>
      </w:r>
    </w:p>
  </w:footnote>
  <w:footnote w:id="39">
    <w:p w14:paraId="5AF12872" w14:textId="77777777" w:rsidR="00F15655" w:rsidRDefault="00F15655" w:rsidP="004E5F8F">
      <w:pPr>
        <w:pStyle w:val="FootnoteText"/>
      </w:pPr>
      <w:r>
        <w:rPr>
          <w:rStyle w:val="FootnoteReference"/>
        </w:rPr>
        <w:footnoteRef/>
      </w:r>
      <w:r>
        <w:t xml:space="preserve"> </w:t>
      </w:r>
      <w:r>
        <w:rPr>
          <w:b/>
        </w:rPr>
        <w:t xml:space="preserve">Vane, </w:t>
      </w:r>
      <w:r>
        <w:t>p.257</w:t>
      </w:r>
    </w:p>
  </w:footnote>
  <w:footnote w:id="40">
    <w:p w14:paraId="62FBF54B" w14:textId="6E5E37A7" w:rsidR="00F15655" w:rsidRDefault="00F15655">
      <w:pPr>
        <w:pStyle w:val="FootnoteText"/>
      </w:pPr>
      <w:r>
        <w:rPr>
          <w:rStyle w:val="FootnoteReference"/>
        </w:rPr>
        <w:footnoteRef/>
      </w:r>
      <w:r>
        <w:t xml:space="preserve"> Hobbes, 1090</w:t>
      </w:r>
    </w:p>
  </w:footnote>
  <w:footnote w:id="41">
    <w:p w14:paraId="731C5867" w14:textId="0A56ECAD" w:rsidR="00F15655" w:rsidRDefault="00F15655">
      <w:pPr>
        <w:pStyle w:val="FootnoteText"/>
      </w:pPr>
      <w:r>
        <w:rPr>
          <w:rStyle w:val="FootnoteReference"/>
        </w:rPr>
        <w:footnoteRef/>
      </w:r>
      <w:r>
        <w:t xml:space="preserve"> Hobbes X, see also 796-8 where Hobbes makes a skeptical argument, reasoning that individuals lack the capacity to judge others correctly and should therefore not judge for themselves, but should leave the exercising of judging to the sovereign.</w:t>
      </w:r>
    </w:p>
  </w:footnote>
  <w:footnote w:id="42">
    <w:p w14:paraId="306CC17B" w14:textId="103A3D02" w:rsidR="00F15655" w:rsidRDefault="00F15655">
      <w:pPr>
        <w:pStyle w:val="FootnoteText"/>
      </w:pPr>
      <w:r>
        <w:rPr>
          <w:rStyle w:val="FootnoteReference"/>
        </w:rPr>
        <w:footnoteRef/>
      </w:r>
      <w:r>
        <w:t xml:space="preserve"> Hobbes, p.1096</w:t>
      </w:r>
    </w:p>
  </w:footnote>
  <w:footnote w:id="43">
    <w:p w14:paraId="76BAFA58" w14:textId="77777777" w:rsidR="00F15655" w:rsidRDefault="00F15655" w:rsidP="004064E9">
      <w:pPr>
        <w:pStyle w:val="FootnoteText"/>
      </w:pPr>
      <w:r>
        <w:rPr>
          <w:rStyle w:val="FootnoteReference"/>
        </w:rPr>
        <w:footnoteRef/>
      </w:r>
      <w:r>
        <w:t xml:space="preserve"> </w:t>
      </w:r>
      <w:proofErr w:type="gramStart"/>
      <w:r>
        <w:t>Hobbes, 764.</w:t>
      </w:r>
      <w:proofErr w:type="gramEnd"/>
    </w:p>
  </w:footnote>
  <w:footnote w:id="44">
    <w:p w14:paraId="618DE094" w14:textId="53846D7B" w:rsidR="00F15655" w:rsidRDefault="00F15655">
      <w:pPr>
        <w:pStyle w:val="FootnoteText"/>
      </w:pPr>
      <w:r>
        <w:rPr>
          <w:rStyle w:val="FootnoteReference"/>
        </w:rPr>
        <w:footnoteRef/>
      </w:r>
      <w:r>
        <w:t xml:space="preserve"> </w:t>
      </w:r>
      <w:proofErr w:type="spellStart"/>
      <w:r>
        <w:t>Hoobes</w:t>
      </w:r>
      <w:proofErr w:type="spellEnd"/>
      <w:r>
        <w:t>, 766; see also 840 where Hobbes insists that individuals ought not to exercise independent judgment because “</w:t>
      </w:r>
      <w:proofErr w:type="spellStart"/>
      <w:r>
        <w:t>ations</w:t>
      </w:r>
      <w:proofErr w:type="spellEnd"/>
      <w:r>
        <w:t xml:space="preserve"> are derived form the opinions they have of the good, or evil [which requires judgment], which from those actions redound unto themselves [advance their interests]; and consequently, men that are once possessed of an opinion [judgment] that their obedience to the </w:t>
      </w:r>
      <w:proofErr w:type="spellStart"/>
      <w:r>
        <w:t>soveraignpower</w:t>
      </w:r>
      <w:proofErr w:type="spellEnd"/>
      <w:r>
        <w:t>, will be more hurtful to them ,than their disobedience, will disobey the Laws, and therefore overthrow the commonwealth”</w:t>
      </w:r>
    </w:p>
  </w:footnote>
  <w:footnote w:id="45">
    <w:p w14:paraId="1ADB8205" w14:textId="1F964E7A" w:rsidR="00F15655" w:rsidRDefault="00F15655">
      <w:pPr>
        <w:pStyle w:val="FootnoteText"/>
      </w:pPr>
      <w:r>
        <w:rPr>
          <w:rStyle w:val="FootnoteReference"/>
        </w:rPr>
        <w:footnoteRef/>
      </w:r>
      <w:r>
        <w:t xml:space="preserve"> Gillespie, George. </w:t>
      </w:r>
      <w:proofErr w:type="gramStart"/>
      <w:r>
        <w:t xml:space="preserve">1646. </w:t>
      </w:r>
      <w:r w:rsidRPr="00245FDE">
        <w:rPr>
          <w:i/>
        </w:rPr>
        <w:t>Aarons</w:t>
      </w:r>
      <w:proofErr w:type="gramEnd"/>
      <w:r w:rsidRPr="00245FDE">
        <w:rPr>
          <w:i/>
        </w:rPr>
        <w:t xml:space="preserve"> rod blossoming.</w:t>
      </w:r>
      <w:r>
        <w:t xml:space="preserve"> London: Printed by E.G.  P.264</w:t>
      </w:r>
    </w:p>
  </w:footnote>
  <w:footnote w:id="46">
    <w:p w14:paraId="6D8C9C73" w14:textId="22BADFEE" w:rsidR="00F15655" w:rsidRDefault="00F15655">
      <w:pPr>
        <w:pStyle w:val="FootnoteText"/>
      </w:pPr>
      <w:r>
        <w:rPr>
          <w:rStyle w:val="FootnoteReference"/>
        </w:rPr>
        <w:footnoteRef/>
      </w:r>
      <w:r>
        <w:t xml:space="preserve"> </w:t>
      </w:r>
      <w:proofErr w:type="gramStart"/>
      <w:r>
        <w:t>Edwards ,Thomas</w:t>
      </w:r>
      <w:proofErr w:type="gramEnd"/>
      <w:r>
        <w:t xml:space="preserve">. </w:t>
      </w:r>
      <w:proofErr w:type="spellStart"/>
      <w:proofErr w:type="gramStart"/>
      <w:r>
        <w:t>Antapologia</w:t>
      </w:r>
      <w:proofErr w:type="spellEnd"/>
      <w:r>
        <w:t>, 1644.</w:t>
      </w:r>
      <w:proofErr w:type="gramEnd"/>
      <w:r>
        <w:t xml:space="preserve"> (London: Printed by G.M.) . p.147  </w:t>
      </w:r>
    </w:p>
  </w:footnote>
  <w:footnote w:id="47">
    <w:p w14:paraId="30F690F2" w14:textId="0348C8C7" w:rsidR="00F15655" w:rsidRDefault="00F15655">
      <w:pPr>
        <w:pStyle w:val="FootnoteText"/>
      </w:pPr>
      <w:r>
        <w:rPr>
          <w:rStyle w:val="FootnoteReference"/>
        </w:rPr>
        <w:footnoteRef/>
      </w:r>
      <w:r>
        <w:t xml:space="preserve"> Get citation; See also Hobbes, 808.</w:t>
      </w:r>
    </w:p>
  </w:footnote>
  <w:footnote w:id="48">
    <w:p w14:paraId="290772D1" w14:textId="578211FA" w:rsidR="00F15655" w:rsidRDefault="00F15655">
      <w:pPr>
        <w:pStyle w:val="FootnoteText"/>
      </w:pPr>
      <w:r>
        <w:rPr>
          <w:rStyle w:val="FootnoteReference"/>
        </w:rPr>
        <w:footnoteRef/>
      </w:r>
      <w:r>
        <w:t xml:space="preserve"> Vane p.93</w:t>
      </w:r>
    </w:p>
  </w:footnote>
  <w:footnote w:id="49">
    <w:p w14:paraId="2CF62879" w14:textId="1A1C3DD2" w:rsidR="00F15655" w:rsidRDefault="00F15655">
      <w:pPr>
        <w:pStyle w:val="FootnoteText"/>
      </w:pPr>
      <w:r>
        <w:rPr>
          <w:rStyle w:val="FootnoteReference"/>
        </w:rPr>
        <w:footnoteRef/>
      </w:r>
      <w:r>
        <w:t xml:space="preserve"> </w:t>
      </w:r>
      <w:proofErr w:type="gramStart"/>
      <w:r>
        <w:t>Hobbes, 694.</w:t>
      </w:r>
      <w:proofErr w:type="gramEnd"/>
    </w:p>
  </w:footnote>
  <w:footnote w:id="50">
    <w:p w14:paraId="19389C67" w14:textId="140A96AD" w:rsidR="00F15655" w:rsidRDefault="00F15655">
      <w:pPr>
        <w:pStyle w:val="FootnoteText"/>
      </w:pPr>
      <w:r>
        <w:rPr>
          <w:rStyle w:val="FootnoteReference"/>
        </w:rPr>
        <w:footnoteRef/>
      </w:r>
      <w:r>
        <w:t xml:space="preserve"> Hobbes, </w:t>
      </w:r>
      <w:r>
        <w:rPr>
          <w:b/>
        </w:rPr>
        <w:t>734</w:t>
      </w:r>
    </w:p>
  </w:footnote>
  <w:footnote w:id="51">
    <w:p w14:paraId="4194F997" w14:textId="77B6ED21" w:rsidR="00F15655" w:rsidRDefault="00F15655">
      <w:pPr>
        <w:pStyle w:val="FootnoteText"/>
      </w:pPr>
      <w:r>
        <w:rPr>
          <w:rStyle w:val="FootnoteReference"/>
        </w:rPr>
        <w:footnoteRef/>
      </w:r>
      <w:r>
        <w:t xml:space="preserve"> </w:t>
      </w:r>
      <w:proofErr w:type="spellStart"/>
      <w:proofErr w:type="gramStart"/>
      <w:r>
        <w:t>Vedel</w:t>
      </w:r>
      <w:proofErr w:type="spellEnd"/>
      <w:r>
        <w:t xml:space="preserve">; Nicolaus; </w:t>
      </w:r>
      <w:r w:rsidRPr="00114B90">
        <w:rPr>
          <w:i/>
        </w:rPr>
        <w:t xml:space="preserve">The supreme power of </w:t>
      </w:r>
      <w:proofErr w:type="spellStart"/>
      <w:r w:rsidRPr="00114B90">
        <w:rPr>
          <w:i/>
        </w:rPr>
        <w:t>Chrsitian</w:t>
      </w:r>
      <w:proofErr w:type="spellEnd"/>
      <w:r w:rsidRPr="00114B90">
        <w:rPr>
          <w:i/>
        </w:rPr>
        <w:t xml:space="preserve"> states vindicated against the insolent pretense of </w:t>
      </w:r>
      <w:proofErr w:type="spellStart"/>
      <w:r w:rsidRPr="00114B90">
        <w:rPr>
          <w:i/>
        </w:rPr>
        <w:t>Guillielum</w:t>
      </w:r>
      <w:proofErr w:type="spellEnd"/>
      <w:r w:rsidRPr="00114B90">
        <w:rPr>
          <w:i/>
        </w:rPr>
        <w:t xml:space="preserve"> </w:t>
      </w:r>
      <w:proofErr w:type="spellStart"/>
      <w:r w:rsidRPr="00114B90">
        <w:rPr>
          <w:i/>
        </w:rPr>
        <w:t>Apolloni</w:t>
      </w:r>
      <w:proofErr w:type="spellEnd"/>
      <w:r w:rsidRPr="00114B90">
        <w:rPr>
          <w:i/>
        </w:rPr>
        <w:t>.</w:t>
      </w:r>
      <w:proofErr w:type="gramEnd"/>
      <w:r>
        <w:t xml:space="preserve">  1647. London,</w:t>
      </w:r>
      <w:r>
        <w:rPr>
          <w:b/>
        </w:rPr>
        <w:t>]</w:t>
      </w:r>
      <w:r>
        <w:t xml:space="preserve"> P.103</w:t>
      </w:r>
    </w:p>
  </w:footnote>
  <w:footnote w:id="52">
    <w:p w14:paraId="040F361F" w14:textId="3B7CE8B1" w:rsidR="00F15655" w:rsidRDefault="00F15655">
      <w:pPr>
        <w:pStyle w:val="FootnoteText"/>
      </w:pPr>
      <w:r>
        <w:rPr>
          <w:rStyle w:val="FootnoteReference"/>
        </w:rPr>
        <w:footnoteRef/>
      </w:r>
      <w:r>
        <w:t xml:space="preserve"> Ley, John. </w:t>
      </w:r>
      <w:proofErr w:type="gramStart"/>
      <w:r>
        <w:t xml:space="preserve">1641  </w:t>
      </w:r>
      <w:r w:rsidRPr="003B36D8">
        <w:rPr>
          <w:i/>
        </w:rPr>
        <w:t>A</w:t>
      </w:r>
      <w:proofErr w:type="gramEnd"/>
      <w:r w:rsidRPr="003B36D8">
        <w:rPr>
          <w:i/>
        </w:rPr>
        <w:t xml:space="preserve"> comparison of the Parliamentary </w:t>
      </w:r>
      <w:proofErr w:type="spellStart"/>
      <w:r w:rsidRPr="003B36D8">
        <w:rPr>
          <w:i/>
        </w:rPr>
        <w:t>protestion</w:t>
      </w:r>
      <w:proofErr w:type="spellEnd"/>
      <w:r w:rsidRPr="003B36D8">
        <w:rPr>
          <w:i/>
        </w:rPr>
        <w:t xml:space="preserve"> with the late canonical oath and the difference betwixt them as also the opposition betwixt the doctrine of the Church of England and that of Rome</w:t>
      </w:r>
      <w:r>
        <w:t xml:space="preserve">. London, Printed by G.M. , p.35  </w:t>
      </w:r>
    </w:p>
  </w:footnote>
  <w:footnote w:id="53">
    <w:p w14:paraId="1B498236" w14:textId="297A8970" w:rsidR="00F15655" w:rsidRDefault="00F15655">
      <w:pPr>
        <w:pStyle w:val="FootnoteText"/>
      </w:pPr>
      <w:r>
        <w:rPr>
          <w:rStyle w:val="FootnoteReference"/>
        </w:rPr>
        <w:footnoteRef/>
      </w:r>
      <w:r>
        <w:t xml:space="preserve"> </w:t>
      </w:r>
      <w:proofErr w:type="spellStart"/>
      <w:r>
        <w:t>Crakanthorpe</w:t>
      </w:r>
      <w:proofErr w:type="spellEnd"/>
      <w:r>
        <w:t xml:space="preserve">, Richard. 1631.  </w:t>
      </w:r>
      <w:proofErr w:type="spellStart"/>
      <w:r w:rsidRPr="00570CC9">
        <w:rPr>
          <w:i/>
        </w:rPr>
        <w:t>Vigilius</w:t>
      </w:r>
      <w:proofErr w:type="spellEnd"/>
      <w:r w:rsidRPr="00570CC9">
        <w:rPr>
          <w:i/>
        </w:rPr>
        <w:t xml:space="preserve"> </w:t>
      </w:r>
      <w:proofErr w:type="spellStart"/>
      <w:r w:rsidRPr="00570CC9">
        <w:rPr>
          <w:i/>
        </w:rPr>
        <w:t>dormitans</w:t>
      </w:r>
      <w:proofErr w:type="spellEnd"/>
      <w:r w:rsidRPr="00570CC9">
        <w:rPr>
          <w:i/>
        </w:rPr>
        <w:t xml:space="preserve"> </w:t>
      </w:r>
      <w:proofErr w:type="spellStart"/>
      <w:r w:rsidRPr="00570CC9">
        <w:rPr>
          <w:i/>
        </w:rPr>
        <w:t>Romes</w:t>
      </w:r>
      <w:proofErr w:type="spellEnd"/>
      <w:r w:rsidRPr="00570CC9">
        <w:rPr>
          <w:i/>
        </w:rPr>
        <w:t xml:space="preserve"> sees </w:t>
      </w:r>
      <w:proofErr w:type="spellStart"/>
      <w:r w:rsidRPr="00570CC9">
        <w:rPr>
          <w:i/>
        </w:rPr>
        <w:t>overseene</w:t>
      </w:r>
      <w:proofErr w:type="spellEnd"/>
      <w:r w:rsidRPr="00570CC9">
        <w:rPr>
          <w:i/>
        </w:rPr>
        <w:t xml:space="preserve">; or a treatise of the fifth general </w:t>
      </w:r>
      <w:proofErr w:type="spellStart"/>
      <w:r w:rsidRPr="00570CC9">
        <w:rPr>
          <w:i/>
        </w:rPr>
        <w:t>councell</w:t>
      </w:r>
      <w:proofErr w:type="spellEnd"/>
      <w:r w:rsidRPr="00570CC9">
        <w:rPr>
          <w:i/>
        </w:rPr>
        <w:t xml:space="preserve"> held at Constantinople.</w:t>
      </w:r>
      <w:r>
        <w:t xml:space="preserve"> London: Printed by M.F.   P.194-5.  </w:t>
      </w:r>
    </w:p>
  </w:footnote>
  <w:footnote w:id="54">
    <w:p w14:paraId="56F566E6" w14:textId="7A946579" w:rsidR="00F15655" w:rsidRDefault="00F15655" w:rsidP="001E2053">
      <w:r>
        <w:rPr>
          <w:rStyle w:val="FootnoteReference"/>
        </w:rPr>
        <w:footnoteRef/>
      </w:r>
      <w:r>
        <w:t xml:space="preserve"> </w:t>
      </w:r>
      <w:proofErr w:type="spellStart"/>
      <w:r w:rsidRPr="007A5EF0">
        <w:t>Slayter</w:t>
      </w:r>
      <w:proofErr w:type="spellEnd"/>
      <w:r w:rsidRPr="007A5EF0">
        <w:t xml:space="preserve">, William. </w:t>
      </w:r>
      <w:proofErr w:type="gramStart"/>
      <w:r w:rsidRPr="007A5EF0">
        <w:rPr>
          <w:i/>
        </w:rPr>
        <w:t>The Complete Christian</w:t>
      </w:r>
      <w:r>
        <w:rPr>
          <w:i/>
        </w:rPr>
        <w:t xml:space="preserve"> </w:t>
      </w:r>
      <w:r>
        <w:t>1643.</w:t>
      </w:r>
      <w:proofErr w:type="gramEnd"/>
      <w:r>
        <w:t xml:space="preserve"> P.69-70.</w:t>
      </w:r>
    </w:p>
  </w:footnote>
  <w:footnote w:id="55">
    <w:p w14:paraId="212F8653" w14:textId="55A57774" w:rsidR="00F15655" w:rsidRDefault="00F15655">
      <w:pPr>
        <w:pStyle w:val="FootnoteText"/>
      </w:pPr>
      <w:r>
        <w:rPr>
          <w:rStyle w:val="FootnoteReference"/>
        </w:rPr>
        <w:footnoteRef/>
      </w:r>
      <w:r>
        <w:t xml:space="preserve"> </w:t>
      </w:r>
      <w:proofErr w:type="gramStart"/>
      <w:r>
        <w:t xml:space="preserve">Hobbes, </w:t>
      </w:r>
      <w:r>
        <w:rPr>
          <w:i/>
        </w:rPr>
        <w:t xml:space="preserve">Leviathan </w:t>
      </w:r>
      <w:r>
        <w:t>p.578.</w:t>
      </w:r>
      <w:proofErr w:type="gramEnd"/>
    </w:p>
  </w:footnote>
  <w:footnote w:id="56">
    <w:p w14:paraId="08BB237D" w14:textId="4F860049" w:rsidR="00F15655" w:rsidRDefault="00F15655">
      <w:pPr>
        <w:pStyle w:val="FootnoteText"/>
      </w:pPr>
      <w:r>
        <w:rPr>
          <w:rStyle w:val="FootnoteReference"/>
        </w:rPr>
        <w:footnoteRef/>
      </w:r>
      <w:r>
        <w:t xml:space="preserve"> </w:t>
      </w:r>
      <w:proofErr w:type="spellStart"/>
      <w:r>
        <w:t>Crakanthorpe</w:t>
      </w:r>
      <w:proofErr w:type="spellEnd"/>
      <w:r>
        <w:t xml:space="preserve">, Richard. 1631.  </w:t>
      </w:r>
      <w:proofErr w:type="spellStart"/>
      <w:r w:rsidRPr="00570CC9">
        <w:rPr>
          <w:i/>
        </w:rPr>
        <w:t>Vigilius</w:t>
      </w:r>
      <w:proofErr w:type="spellEnd"/>
      <w:r w:rsidRPr="00570CC9">
        <w:rPr>
          <w:i/>
        </w:rPr>
        <w:t xml:space="preserve"> </w:t>
      </w:r>
      <w:proofErr w:type="spellStart"/>
      <w:r w:rsidRPr="00570CC9">
        <w:rPr>
          <w:i/>
        </w:rPr>
        <w:t>dormitans</w:t>
      </w:r>
      <w:proofErr w:type="spellEnd"/>
      <w:r w:rsidRPr="00570CC9">
        <w:rPr>
          <w:i/>
        </w:rPr>
        <w:t xml:space="preserve"> </w:t>
      </w:r>
      <w:proofErr w:type="spellStart"/>
      <w:r w:rsidRPr="00570CC9">
        <w:rPr>
          <w:i/>
        </w:rPr>
        <w:t>Romes</w:t>
      </w:r>
      <w:proofErr w:type="spellEnd"/>
      <w:r w:rsidRPr="00570CC9">
        <w:rPr>
          <w:i/>
        </w:rPr>
        <w:t xml:space="preserve"> sees </w:t>
      </w:r>
      <w:proofErr w:type="spellStart"/>
      <w:r w:rsidRPr="00570CC9">
        <w:rPr>
          <w:i/>
        </w:rPr>
        <w:t>overseene</w:t>
      </w:r>
      <w:proofErr w:type="spellEnd"/>
      <w:r w:rsidRPr="00570CC9">
        <w:rPr>
          <w:i/>
        </w:rPr>
        <w:t xml:space="preserve">; or a treatise of the fifth general </w:t>
      </w:r>
      <w:proofErr w:type="spellStart"/>
      <w:r w:rsidRPr="00570CC9">
        <w:rPr>
          <w:i/>
        </w:rPr>
        <w:t>councell</w:t>
      </w:r>
      <w:proofErr w:type="spellEnd"/>
      <w:r w:rsidRPr="00570CC9">
        <w:rPr>
          <w:i/>
        </w:rPr>
        <w:t xml:space="preserve"> held at Constantinople.</w:t>
      </w:r>
      <w:r>
        <w:t xml:space="preserve"> London: Printed by M.F.   P.195-196.  </w:t>
      </w:r>
    </w:p>
  </w:footnote>
  <w:footnote w:id="57">
    <w:p w14:paraId="0524ED5B" w14:textId="77777777" w:rsidR="00F15655" w:rsidRDefault="00F15655" w:rsidP="0047419A">
      <w:pPr>
        <w:pStyle w:val="FootnoteText"/>
      </w:pPr>
      <w:r>
        <w:rPr>
          <w:rStyle w:val="FootnoteReference"/>
        </w:rPr>
        <w:footnoteRef/>
      </w:r>
      <w:r>
        <w:t xml:space="preserve"> Rutherford, Samuel. 1646 </w:t>
      </w:r>
      <w:r w:rsidRPr="00EE688E">
        <w:rPr>
          <w:i/>
        </w:rPr>
        <w:t>The divine right of church-</w:t>
      </w:r>
      <w:proofErr w:type="spellStart"/>
      <w:r w:rsidRPr="00EE688E">
        <w:rPr>
          <w:i/>
        </w:rPr>
        <w:t>governent</w:t>
      </w:r>
      <w:proofErr w:type="spellEnd"/>
      <w:r w:rsidRPr="00EE688E">
        <w:rPr>
          <w:i/>
        </w:rPr>
        <w:t xml:space="preserve"> and excommunication</w:t>
      </w:r>
      <w:r>
        <w:t>. London. Printed by John Field p.595.</w:t>
      </w:r>
    </w:p>
  </w:footnote>
  <w:footnote w:id="58">
    <w:p w14:paraId="13DB6490" w14:textId="342A11A1" w:rsidR="00F15655" w:rsidRDefault="00F15655">
      <w:pPr>
        <w:pStyle w:val="FootnoteText"/>
      </w:pPr>
      <w:r>
        <w:rPr>
          <w:rStyle w:val="FootnoteReference"/>
        </w:rPr>
        <w:footnoteRef/>
      </w:r>
      <w:r>
        <w:t xml:space="preserve"> Saltmarsh, John. </w:t>
      </w:r>
      <w:proofErr w:type="spellStart"/>
      <w:proofErr w:type="gramStart"/>
      <w:r w:rsidRPr="00DD5390">
        <w:rPr>
          <w:i/>
        </w:rPr>
        <w:t>Dawnings</w:t>
      </w:r>
      <w:proofErr w:type="spellEnd"/>
      <w:r w:rsidRPr="00DD5390">
        <w:rPr>
          <w:i/>
        </w:rPr>
        <w:t xml:space="preserve"> of light wherein the true interest of reformation is opened in general.</w:t>
      </w:r>
      <w:proofErr w:type="gramEnd"/>
      <w:r w:rsidRPr="00DD5390">
        <w:rPr>
          <w:i/>
        </w:rPr>
        <w:t xml:space="preserve"> </w:t>
      </w:r>
      <w:r>
        <w:t>1646. London</w:t>
      </w:r>
      <w:proofErr w:type="gramStart"/>
      <w:r>
        <w:t>..</w:t>
      </w:r>
      <w:proofErr w:type="gramEnd"/>
      <w:r>
        <w:t xml:space="preserve"> </w:t>
      </w:r>
      <w:proofErr w:type="gramStart"/>
      <w:r>
        <w:t>P.58  See</w:t>
      </w:r>
      <w:proofErr w:type="gramEnd"/>
      <w:r>
        <w:t xml:space="preserve"> also John Cook. 1649. </w:t>
      </w:r>
      <w:r>
        <w:rPr>
          <w:i/>
        </w:rPr>
        <w:t xml:space="preserve">King Charles, his case, or, </w:t>
      </w:r>
      <w:proofErr w:type="gramStart"/>
      <w:r>
        <w:rPr>
          <w:i/>
        </w:rPr>
        <w:t>An</w:t>
      </w:r>
      <w:proofErr w:type="gramEnd"/>
      <w:r>
        <w:rPr>
          <w:i/>
        </w:rPr>
        <w:t xml:space="preserve"> appeal to all rational men concerning his trial at the High Court of Justice. (</w:t>
      </w:r>
      <w:r>
        <w:t>London: Printed by Peter Cole, )p.35</w:t>
      </w:r>
    </w:p>
  </w:footnote>
  <w:footnote w:id="59">
    <w:p w14:paraId="6677E350" w14:textId="103277AC" w:rsidR="00F15655" w:rsidRDefault="00F15655">
      <w:pPr>
        <w:pStyle w:val="FootnoteText"/>
      </w:pPr>
      <w:r>
        <w:rPr>
          <w:rStyle w:val="FootnoteReference"/>
        </w:rPr>
        <w:footnoteRef/>
      </w:r>
      <w:r>
        <w:t xml:space="preserve"> </w:t>
      </w:r>
      <w:proofErr w:type="spellStart"/>
      <w:r>
        <w:t>Lilburne</w:t>
      </w:r>
      <w:proofErr w:type="spellEnd"/>
      <w:r>
        <w:t xml:space="preserve">, John. 1649. London. </w:t>
      </w:r>
      <w:r w:rsidRPr="00B17F09">
        <w:rPr>
          <w:i/>
        </w:rPr>
        <w:t xml:space="preserve">The </w:t>
      </w:r>
      <w:proofErr w:type="spellStart"/>
      <w:r w:rsidRPr="00B17F09">
        <w:rPr>
          <w:i/>
        </w:rPr>
        <w:t>legall</w:t>
      </w:r>
      <w:proofErr w:type="spellEnd"/>
      <w:r w:rsidRPr="00B17F09">
        <w:rPr>
          <w:i/>
        </w:rPr>
        <w:t xml:space="preserve"> </w:t>
      </w:r>
      <w:proofErr w:type="spellStart"/>
      <w:r w:rsidRPr="00B17F09">
        <w:rPr>
          <w:i/>
        </w:rPr>
        <w:t>fundamentall</w:t>
      </w:r>
      <w:proofErr w:type="spellEnd"/>
      <w:r w:rsidRPr="00B17F09">
        <w:rPr>
          <w:i/>
        </w:rPr>
        <w:t xml:space="preserve"> liberties of the people of England revived, asserted, and vindicated</w:t>
      </w:r>
      <w:r>
        <w:t xml:space="preserve">. </w:t>
      </w:r>
      <w:r>
        <w:rPr>
          <w:b/>
        </w:rPr>
        <w:t xml:space="preserve"> </w:t>
      </w:r>
      <w:r>
        <w:t>P.54</w:t>
      </w:r>
    </w:p>
  </w:footnote>
  <w:footnote w:id="60">
    <w:p w14:paraId="535CC994" w14:textId="761163AF" w:rsidR="00F15655" w:rsidRDefault="00F15655">
      <w:pPr>
        <w:pStyle w:val="FootnoteText"/>
      </w:pPr>
      <w:r>
        <w:rPr>
          <w:rStyle w:val="FootnoteReference"/>
        </w:rPr>
        <w:footnoteRef/>
      </w:r>
      <w:r>
        <w:t xml:space="preserve"> Strong, William. </w:t>
      </w:r>
      <w:proofErr w:type="spellStart"/>
      <w:r w:rsidRPr="00E7267C">
        <w:rPr>
          <w:i/>
        </w:rPr>
        <w:t>Hemera</w:t>
      </w:r>
      <w:proofErr w:type="spellEnd"/>
      <w:r w:rsidRPr="00E7267C">
        <w:rPr>
          <w:i/>
        </w:rPr>
        <w:t xml:space="preserve"> </w:t>
      </w:r>
      <w:proofErr w:type="spellStart"/>
      <w:r w:rsidRPr="00E7267C">
        <w:rPr>
          <w:i/>
        </w:rPr>
        <w:t>apokalypseos</w:t>
      </w:r>
      <w:proofErr w:type="spellEnd"/>
      <w:r w:rsidRPr="00E7267C">
        <w:rPr>
          <w:i/>
        </w:rPr>
        <w:t xml:space="preserve">. </w:t>
      </w:r>
      <w:proofErr w:type="gramStart"/>
      <w:r w:rsidRPr="00E7267C">
        <w:rPr>
          <w:i/>
        </w:rPr>
        <w:t>The day of revelation of the righteous judgement of God</w:t>
      </w:r>
      <w:r>
        <w:t>.</w:t>
      </w:r>
      <w:proofErr w:type="gramEnd"/>
      <w:r>
        <w:t xml:space="preserve"> 1646. London Printed by T.H. p.33-34.</w:t>
      </w:r>
    </w:p>
  </w:footnote>
  <w:footnote w:id="61">
    <w:p w14:paraId="141C427B" w14:textId="56CD6711" w:rsidR="00F15655" w:rsidRDefault="00F15655">
      <w:pPr>
        <w:pStyle w:val="FootnoteText"/>
      </w:pPr>
      <w:r>
        <w:rPr>
          <w:rStyle w:val="FootnoteReference"/>
        </w:rPr>
        <w:footnoteRef/>
      </w:r>
      <w:r>
        <w:t xml:space="preserve"> </w:t>
      </w:r>
      <w:proofErr w:type="spellStart"/>
      <w:r>
        <w:t>Harby</w:t>
      </w:r>
      <w:proofErr w:type="spellEnd"/>
      <w:r>
        <w:t>, get citation</w:t>
      </w:r>
      <w:proofErr w:type="gramStart"/>
      <w:r>
        <w:t>!@</w:t>
      </w:r>
      <w:proofErr w:type="gramEnd"/>
    </w:p>
  </w:footnote>
  <w:footnote w:id="62">
    <w:p w14:paraId="4A7710E9" w14:textId="0A546D1B" w:rsidR="00F15655" w:rsidRDefault="00F15655">
      <w:pPr>
        <w:pStyle w:val="FootnoteText"/>
      </w:pPr>
      <w:r>
        <w:rPr>
          <w:rStyle w:val="FootnoteReference"/>
        </w:rPr>
        <w:footnoteRef/>
      </w:r>
      <w:r>
        <w:t xml:space="preserve"> Francis Rous, 1641. </w:t>
      </w:r>
      <w:proofErr w:type="spellStart"/>
      <w:r w:rsidRPr="003C2EA2">
        <w:rPr>
          <w:i/>
        </w:rPr>
        <w:t>Catholick</w:t>
      </w:r>
      <w:proofErr w:type="spellEnd"/>
      <w:r w:rsidRPr="003C2EA2">
        <w:rPr>
          <w:i/>
        </w:rPr>
        <w:t xml:space="preserve"> </w:t>
      </w:r>
      <w:proofErr w:type="spellStart"/>
      <w:r w:rsidRPr="003C2EA2">
        <w:rPr>
          <w:i/>
        </w:rPr>
        <w:t>charitie</w:t>
      </w:r>
      <w:proofErr w:type="spellEnd"/>
      <w:r w:rsidRPr="003C2EA2">
        <w:rPr>
          <w:i/>
        </w:rPr>
        <w:t xml:space="preserve"> complaining and maintaining that Rome is uncharitable to sundry eminent parts of the </w:t>
      </w:r>
      <w:proofErr w:type="spellStart"/>
      <w:r w:rsidRPr="003C2EA2">
        <w:rPr>
          <w:i/>
        </w:rPr>
        <w:t>Catholick</w:t>
      </w:r>
      <w:proofErr w:type="spellEnd"/>
      <w:r w:rsidRPr="003C2EA2">
        <w:rPr>
          <w:i/>
        </w:rPr>
        <w:t xml:space="preserve"> Church, and especially to Protestants, and is therefore </w:t>
      </w:r>
      <w:proofErr w:type="spellStart"/>
      <w:r w:rsidRPr="003C2EA2">
        <w:rPr>
          <w:i/>
        </w:rPr>
        <w:t>Uncatholick</w:t>
      </w:r>
      <w:proofErr w:type="spellEnd"/>
      <w:r w:rsidRPr="003C2EA2">
        <w:rPr>
          <w:i/>
        </w:rPr>
        <w:t>.</w:t>
      </w:r>
      <w:r>
        <w:t xml:space="preserve"> London: Printed by R. Young, p.227</w:t>
      </w:r>
    </w:p>
  </w:footnote>
  <w:footnote w:id="63">
    <w:p w14:paraId="4C528514" w14:textId="25E0A94C" w:rsidR="00F15655" w:rsidRDefault="00F15655">
      <w:pPr>
        <w:pStyle w:val="FootnoteText"/>
      </w:pPr>
      <w:r>
        <w:rPr>
          <w:rStyle w:val="FootnoteReference"/>
        </w:rPr>
        <w:footnoteRef/>
      </w:r>
      <w:r>
        <w:t xml:space="preserve"> </w:t>
      </w:r>
      <w:proofErr w:type="gramStart"/>
      <w:r>
        <w:t>Hobbes, 934.</w:t>
      </w:r>
      <w:proofErr w:type="gramEnd"/>
    </w:p>
  </w:footnote>
  <w:footnote w:id="64">
    <w:p w14:paraId="3924D2C4" w14:textId="7343F5FF" w:rsidR="00F15655" w:rsidRDefault="00F15655">
      <w:pPr>
        <w:pStyle w:val="FootnoteText"/>
      </w:pPr>
      <w:r>
        <w:rPr>
          <w:rStyle w:val="FootnoteReference"/>
        </w:rPr>
        <w:footnoteRef/>
      </w:r>
      <w:r>
        <w:t xml:space="preserve"> </w:t>
      </w:r>
      <w:proofErr w:type="gramStart"/>
      <w:r>
        <w:t>stock</w:t>
      </w:r>
      <w:proofErr w:type="gramEnd"/>
      <w:r>
        <w:t xml:space="preserve">, Richard. </w:t>
      </w:r>
      <w:proofErr w:type="gramStart"/>
      <w:r>
        <w:t xml:space="preserve">A learned and very useful commentary upon the whole </w:t>
      </w:r>
      <w:proofErr w:type="spellStart"/>
      <w:r>
        <w:t>prophesie</w:t>
      </w:r>
      <w:proofErr w:type="spellEnd"/>
      <w:r>
        <w:t xml:space="preserve"> of Malachy.</w:t>
      </w:r>
      <w:proofErr w:type="gramEnd"/>
      <w:r>
        <w:t xml:space="preserve">  1641. London: Printed by T.H. and R.H.  P.62  </w:t>
      </w:r>
      <w:r w:rsidRPr="00A76406">
        <w:rPr>
          <w:color w:val="C0504D" w:themeColor="accent2"/>
        </w:rPr>
        <w:t xml:space="preserve"> </w:t>
      </w:r>
    </w:p>
  </w:footnote>
  <w:footnote w:id="65">
    <w:p w14:paraId="1F4929E7" w14:textId="32EE7EC9" w:rsidR="00F15655" w:rsidRDefault="00F15655" w:rsidP="00813B05">
      <w:r>
        <w:rPr>
          <w:rStyle w:val="FootnoteReference"/>
        </w:rPr>
        <w:footnoteRef/>
      </w:r>
      <w:r>
        <w:t xml:space="preserve"> Gillespie, George. 1641</w:t>
      </w:r>
      <w:r w:rsidRPr="00D40756">
        <w:rPr>
          <w:i/>
        </w:rPr>
        <w:t>. An assertion of the government of the Church of Scotland in the points of ruling-elders</w:t>
      </w:r>
      <w:r>
        <w:t xml:space="preserve"> (Edinburgh), p.16</w:t>
      </w:r>
      <w:r w:rsidRPr="005F2CB3">
        <w:t xml:space="preserve"> </w:t>
      </w:r>
    </w:p>
  </w:footnote>
  <w:footnote w:id="66">
    <w:p w14:paraId="38FB38FA" w14:textId="77777777" w:rsidR="00F15655" w:rsidRDefault="00F15655" w:rsidP="00C26A3E">
      <w:pPr>
        <w:pStyle w:val="FootnoteText"/>
      </w:pPr>
      <w:r>
        <w:rPr>
          <w:rStyle w:val="FootnoteReference"/>
        </w:rPr>
        <w:footnoteRef/>
      </w:r>
      <w:r>
        <w:t xml:space="preserve"> Bristol, George </w:t>
      </w:r>
      <w:proofErr w:type="spellStart"/>
      <w:r>
        <w:t>Digby</w:t>
      </w:r>
      <w:proofErr w:type="spellEnd"/>
      <w:r>
        <w:t xml:space="preserve">, 1640. </w:t>
      </w:r>
      <w:proofErr w:type="gramStart"/>
      <w:r>
        <w:rPr>
          <w:i/>
        </w:rPr>
        <w:t xml:space="preserve">The third speech of the Lord George </w:t>
      </w:r>
      <w:proofErr w:type="spellStart"/>
      <w:r>
        <w:rPr>
          <w:i/>
        </w:rPr>
        <w:t>Digby</w:t>
      </w:r>
      <w:proofErr w:type="spellEnd"/>
      <w:r>
        <w:rPr>
          <w:i/>
        </w:rPr>
        <w:t xml:space="preserve"> to the </w:t>
      </w:r>
      <w:proofErr w:type="spellStart"/>
      <w:r>
        <w:rPr>
          <w:i/>
        </w:rPr>
        <w:t>Hosue</w:t>
      </w:r>
      <w:proofErr w:type="spellEnd"/>
      <w:r>
        <w:rPr>
          <w:i/>
        </w:rPr>
        <w:t xml:space="preserve"> of Commons.</w:t>
      </w:r>
      <w:proofErr w:type="gramEnd"/>
      <w:r>
        <w:rPr>
          <w:i/>
        </w:rPr>
        <w:t xml:space="preserve"> , Concerning Bishops. </w:t>
      </w:r>
      <w:r>
        <w:t>P.10</w:t>
      </w:r>
    </w:p>
  </w:footnote>
  <w:footnote w:id="67">
    <w:p w14:paraId="491A10DD" w14:textId="012FC40C" w:rsidR="00F15655" w:rsidRDefault="00F15655">
      <w:pPr>
        <w:pStyle w:val="FootnoteText"/>
      </w:pPr>
      <w:r>
        <w:rPr>
          <w:rStyle w:val="FootnoteReference"/>
        </w:rPr>
        <w:footnoteRef/>
      </w:r>
      <w:proofErr w:type="spellStart"/>
      <w:r>
        <w:t>Pagitt</w:t>
      </w:r>
      <w:proofErr w:type="spellEnd"/>
      <w:r>
        <w:t xml:space="preserve">, Ephraim. </w:t>
      </w:r>
      <w:proofErr w:type="spellStart"/>
      <w:r w:rsidRPr="00B44408">
        <w:rPr>
          <w:i/>
        </w:rPr>
        <w:t>Heresiography</w:t>
      </w:r>
      <w:proofErr w:type="spellEnd"/>
      <w:r w:rsidRPr="00B44408">
        <w:rPr>
          <w:i/>
        </w:rPr>
        <w:t xml:space="preserve">, or, </w:t>
      </w:r>
      <w:proofErr w:type="gramStart"/>
      <w:r w:rsidRPr="00B44408">
        <w:rPr>
          <w:i/>
        </w:rPr>
        <w:t>A</w:t>
      </w:r>
      <w:proofErr w:type="gramEnd"/>
      <w:r w:rsidRPr="00B44408">
        <w:rPr>
          <w:i/>
        </w:rPr>
        <w:t xml:space="preserve"> description of the </w:t>
      </w:r>
      <w:proofErr w:type="spellStart"/>
      <w:r w:rsidRPr="00B44408">
        <w:rPr>
          <w:i/>
        </w:rPr>
        <w:t>hereticks</w:t>
      </w:r>
      <w:proofErr w:type="spellEnd"/>
      <w:r w:rsidRPr="00B44408">
        <w:rPr>
          <w:i/>
        </w:rPr>
        <w:t xml:space="preserve"> and sectaries of </w:t>
      </w:r>
      <w:proofErr w:type="spellStart"/>
      <w:r w:rsidRPr="00B44408">
        <w:rPr>
          <w:i/>
        </w:rPr>
        <w:t>tehse</w:t>
      </w:r>
      <w:proofErr w:type="spellEnd"/>
      <w:r w:rsidRPr="00B44408">
        <w:rPr>
          <w:i/>
        </w:rPr>
        <w:t xml:space="preserve"> latter times</w:t>
      </w:r>
      <w:r>
        <w:t xml:space="preserve">. 1645. London: Printed by W. Wilson.  </w:t>
      </w:r>
      <w:proofErr w:type="gramStart"/>
      <w:r>
        <w:t>P.148 .</w:t>
      </w:r>
      <w:proofErr w:type="gramEnd"/>
      <w:r>
        <w:t xml:space="preserve">  </w:t>
      </w:r>
    </w:p>
  </w:footnote>
  <w:footnote w:id="68">
    <w:p w14:paraId="7FAAA6F6" w14:textId="16C3AC66" w:rsidR="00F15655" w:rsidRDefault="00F15655">
      <w:pPr>
        <w:pStyle w:val="FootnoteText"/>
      </w:pPr>
      <w:r>
        <w:rPr>
          <w:rStyle w:val="FootnoteReference"/>
        </w:rPr>
        <w:footnoteRef/>
      </w:r>
      <w:r>
        <w:t xml:space="preserve"> Hobbes X; see also </w:t>
      </w:r>
      <w:r>
        <w:rPr>
          <w:u w:val="single"/>
        </w:rPr>
        <w:t>p.1078, 1086</w:t>
      </w:r>
      <w:r>
        <w:t>, 614</w:t>
      </w:r>
    </w:p>
  </w:footnote>
  <w:footnote w:id="69">
    <w:p w14:paraId="0980324D" w14:textId="641E98E2" w:rsidR="00F15655" w:rsidRDefault="00F15655">
      <w:pPr>
        <w:pStyle w:val="FootnoteText"/>
      </w:pPr>
      <w:r>
        <w:rPr>
          <w:rStyle w:val="FootnoteReference"/>
        </w:rPr>
        <w:footnoteRef/>
      </w:r>
      <w:r>
        <w:t xml:space="preserve"> Hobbes, </w:t>
      </w:r>
      <w:r>
        <w:rPr>
          <w:u w:val="single"/>
        </w:rPr>
        <w:t>p.1086</w:t>
      </w:r>
    </w:p>
  </w:footnote>
  <w:footnote w:id="70">
    <w:p w14:paraId="07E88BE9" w14:textId="494566CF" w:rsidR="00F15655" w:rsidRDefault="00F15655">
      <w:pPr>
        <w:pStyle w:val="FootnoteText"/>
      </w:pPr>
      <w:r>
        <w:rPr>
          <w:rStyle w:val="FootnoteReference"/>
        </w:rPr>
        <w:footnoteRef/>
      </w:r>
      <w:r>
        <w:t xml:space="preserve"> </w:t>
      </w:r>
      <w:proofErr w:type="gramStart"/>
      <w:r>
        <w:t>Citations to follow.</w:t>
      </w:r>
      <w:proofErr w:type="gramEnd"/>
      <w:r>
        <w:t xml:space="preserve"> </w:t>
      </w:r>
    </w:p>
  </w:footnote>
  <w:footnote w:id="71">
    <w:p w14:paraId="05C8E4F5" w14:textId="49556928" w:rsidR="00F15655" w:rsidRDefault="00F15655" w:rsidP="00780834">
      <w:r>
        <w:rPr>
          <w:rStyle w:val="FootnoteReference"/>
        </w:rPr>
        <w:footnoteRef/>
      </w:r>
      <w:r>
        <w:t xml:space="preserve"> Howell, James. </w:t>
      </w:r>
      <w:proofErr w:type="gramStart"/>
      <w:r>
        <w:t xml:space="preserve">1642  </w:t>
      </w:r>
      <w:r w:rsidRPr="00162205">
        <w:rPr>
          <w:i/>
        </w:rPr>
        <w:t>Instructions</w:t>
      </w:r>
      <w:proofErr w:type="gramEnd"/>
      <w:r w:rsidRPr="00162205">
        <w:rPr>
          <w:i/>
        </w:rPr>
        <w:t xml:space="preserve"> for </w:t>
      </w:r>
      <w:proofErr w:type="spellStart"/>
      <w:r w:rsidRPr="00162205">
        <w:rPr>
          <w:i/>
        </w:rPr>
        <w:t>forreine</w:t>
      </w:r>
      <w:proofErr w:type="spellEnd"/>
      <w:r w:rsidRPr="00162205">
        <w:rPr>
          <w:i/>
        </w:rPr>
        <w:t xml:space="preserve"> travel showing by </w:t>
      </w:r>
      <w:proofErr w:type="spellStart"/>
      <w:r w:rsidRPr="00162205">
        <w:rPr>
          <w:i/>
        </w:rPr>
        <w:t>whart</w:t>
      </w:r>
      <w:proofErr w:type="spellEnd"/>
      <w:r w:rsidRPr="00162205">
        <w:rPr>
          <w:i/>
        </w:rPr>
        <w:t xml:space="preserve"> </w:t>
      </w:r>
      <w:proofErr w:type="spellStart"/>
      <w:r w:rsidRPr="00162205">
        <w:rPr>
          <w:i/>
        </w:rPr>
        <w:t>cours</w:t>
      </w:r>
      <w:proofErr w:type="spellEnd"/>
      <w:r w:rsidRPr="00162205">
        <w:rPr>
          <w:i/>
        </w:rPr>
        <w:t xml:space="preserve">, and in what </w:t>
      </w:r>
      <w:proofErr w:type="spellStart"/>
      <w:r w:rsidRPr="00162205">
        <w:rPr>
          <w:i/>
        </w:rPr>
        <w:t>compasse</w:t>
      </w:r>
      <w:proofErr w:type="spellEnd"/>
      <w:r w:rsidRPr="00162205">
        <w:rPr>
          <w:i/>
        </w:rPr>
        <w:t xml:space="preserve"> of time, one may take an exact survey of the </w:t>
      </w:r>
      <w:proofErr w:type="spellStart"/>
      <w:r w:rsidRPr="00162205">
        <w:rPr>
          <w:i/>
        </w:rPr>
        <w:t>kinggdome</w:t>
      </w:r>
      <w:proofErr w:type="spellEnd"/>
      <w:r w:rsidRPr="00162205">
        <w:rPr>
          <w:i/>
        </w:rPr>
        <w:t xml:space="preserve"> and states of Christendom.</w:t>
      </w:r>
      <w:r>
        <w:t xml:space="preserve"> London: Printed by T.B. </w:t>
      </w:r>
      <w:r>
        <w:rPr>
          <w:b/>
        </w:rPr>
        <w:t xml:space="preserve"> </w:t>
      </w:r>
      <w:r>
        <w:t xml:space="preserve">P.65  </w:t>
      </w:r>
    </w:p>
  </w:footnote>
  <w:footnote w:id="72">
    <w:p w14:paraId="021736C1" w14:textId="77777777" w:rsidR="00F15655" w:rsidRDefault="00F15655" w:rsidP="00AE7499">
      <w:pPr>
        <w:pStyle w:val="FootnoteText"/>
      </w:pPr>
      <w:r>
        <w:rPr>
          <w:rStyle w:val="FootnoteReference"/>
        </w:rPr>
        <w:footnoteRef/>
      </w:r>
      <w:r>
        <w:t xml:space="preserve"> </w:t>
      </w:r>
      <w:proofErr w:type="gramStart"/>
      <w:r>
        <w:t>get</w:t>
      </w:r>
      <w:proofErr w:type="gramEnd"/>
      <w:r>
        <w:t xml:space="preserve"> citation. See also Vane, p.79.</w:t>
      </w:r>
    </w:p>
  </w:footnote>
  <w:footnote w:id="73">
    <w:p w14:paraId="4F9C4CA6" w14:textId="77777777" w:rsidR="00F15655" w:rsidRDefault="00F15655" w:rsidP="00AE7499">
      <w:pPr>
        <w:pStyle w:val="FootnoteText"/>
      </w:pPr>
      <w:r>
        <w:rPr>
          <w:rStyle w:val="FootnoteReference"/>
        </w:rPr>
        <w:footnoteRef/>
      </w:r>
      <w:r>
        <w:t xml:space="preserve"> </w:t>
      </w:r>
      <w:proofErr w:type="gramStart"/>
      <w:r>
        <w:t>find</w:t>
      </w:r>
      <w:proofErr w:type="gramEnd"/>
      <w:r>
        <w:t xml:space="preserve"> citations!! </w:t>
      </w:r>
    </w:p>
  </w:footnote>
  <w:footnote w:id="74">
    <w:p w14:paraId="3A356189" w14:textId="77777777" w:rsidR="00F15655" w:rsidRDefault="00F15655" w:rsidP="00AE7499">
      <w:pPr>
        <w:pStyle w:val="FootnoteText"/>
      </w:pPr>
      <w:r>
        <w:rPr>
          <w:rStyle w:val="FootnoteReference"/>
        </w:rPr>
        <w:footnoteRef/>
      </w:r>
      <w:r>
        <w:t xml:space="preserve"> Vane, P.333</w:t>
      </w:r>
    </w:p>
  </w:footnote>
  <w:footnote w:id="75">
    <w:p w14:paraId="26676621" w14:textId="25FE2A3C" w:rsidR="00F15655" w:rsidRDefault="00F15655">
      <w:pPr>
        <w:pStyle w:val="FootnoteText"/>
      </w:pPr>
      <w:r>
        <w:rPr>
          <w:rStyle w:val="FootnoteReference"/>
        </w:rPr>
        <w:footnoteRef/>
      </w:r>
      <w:r>
        <w:t xml:space="preserve"> P. 1067.</w:t>
      </w:r>
    </w:p>
  </w:footnote>
  <w:footnote w:id="76">
    <w:p w14:paraId="542101A2" w14:textId="38ADE4C0" w:rsidR="00F15655" w:rsidRDefault="00F15655" w:rsidP="00E550A2">
      <w:pPr>
        <w:pStyle w:val="FootnoteText"/>
      </w:pPr>
      <w:r>
        <w:rPr>
          <w:rStyle w:val="FootnoteReference"/>
        </w:rPr>
        <w:footnoteRef/>
      </w:r>
      <w:r>
        <w:t xml:space="preserve"> P.578; see also 1086</w:t>
      </w:r>
    </w:p>
  </w:footnote>
  <w:footnote w:id="77">
    <w:p w14:paraId="739FB2AE" w14:textId="77777777" w:rsidR="00F15655" w:rsidRDefault="00F15655" w:rsidP="005D5902">
      <w:pPr>
        <w:pStyle w:val="FootnoteText"/>
      </w:pPr>
      <w:r>
        <w:rPr>
          <w:rStyle w:val="FootnoteReference"/>
        </w:rPr>
        <w:footnoteRef/>
      </w:r>
      <w:r>
        <w:t xml:space="preserve"> Guild, William, 1649  </w:t>
      </w:r>
      <w:r w:rsidRPr="001D4169">
        <w:rPr>
          <w:i/>
        </w:rPr>
        <w:t xml:space="preserve">The old Roman </w:t>
      </w:r>
      <w:proofErr w:type="spellStart"/>
      <w:r w:rsidRPr="001D4169">
        <w:rPr>
          <w:i/>
        </w:rPr>
        <w:t>Catholik</w:t>
      </w:r>
      <w:proofErr w:type="spellEnd"/>
      <w:r>
        <w:t xml:space="preserve">, </w:t>
      </w:r>
      <w:proofErr w:type="spellStart"/>
      <w:r>
        <w:t>Aberdene</w:t>
      </w:r>
      <w:proofErr w:type="spellEnd"/>
      <w:r>
        <w:t xml:space="preserve">: Printed by E. </w:t>
      </w:r>
      <w:proofErr w:type="spellStart"/>
      <w:r>
        <w:t>Raban</w:t>
      </w:r>
      <w:proofErr w:type="spellEnd"/>
      <w:r>
        <w:t>,  p</w:t>
      </w:r>
      <w:r w:rsidRPr="00BE7531">
        <w:rPr>
          <w:color w:val="C0504D" w:themeColor="accent2"/>
        </w:rPr>
        <w:t>.60</w:t>
      </w:r>
    </w:p>
  </w:footnote>
  <w:footnote w:id="78">
    <w:p w14:paraId="3E9A8389" w14:textId="77777777" w:rsidR="00F15655" w:rsidRDefault="00F15655" w:rsidP="005D5902">
      <w:pPr>
        <w:pStyle w:val="FootnoteText"/>
      </w:pPr>
      <w:r>
        <w:rPr>
          <w:rStyle w:val="FootnoteReference"/>
        </w:rPr>
        <w:footnoteRef/>
      </w:r>
      <w:r>
        <w:t xml:space="preserve"> Ames, Williams. 1642. </w:t>
      </w:r>
      <w:r>
        <w:rPr>
          <w:i/>
        </w:rPr>
        <w:t xml:space="preserve">The marrow of sacred divinity </w:t>
      </w:r>
      <w:proofErr w:type="spellStart"/>
      <w:r>
        <w:rPr>
          <w:i/>
        </w:rPr>
        <w:t>drawne</w:t>
      </w:r>
      <w:proofErr w:type="spellEnd"/>
      <w:r>
        <w:rPr>
          <w:i/>
        </w:rPr>
        <w:t xml:space="preserve"> out of the Holy </w:t>
      </w:r>
      <w:proofErr w:type="spellStart"/>
      <w:r>
        <w:rPr>
          <w:i/>
        </w:rPr>
        <w:t>Scripures</w:t>
      </w:r>
      <w:proofErr w:type="spellEnd"/>
      <w:r>
        <w:rPr>
          <w:i/>
        </w:rPr>
        <w:t xml:space="preserve"> and the </w:t>
      </w:r>
      <w:proofErr w:type="gramStart"/>
      <w:r>
        <w:rPr>
          <w:i/>
        </w:rPr>
        <w:t>interpreters</w:t>
      </w:r>
      <w:proofErr w:type="gramEnd"/>
      <w:r>
        <w:rPr>
          <w:i/>
        </w:rPr>
        <w:t xml:space="preserve"> </w:t>
      </w:r>
      <w:proofErr w:type="spellStart"/>
      <w:r>
        <w:rPr>
          <w:i/>
        </w:rPr>
        <w:t>therof</w:t>
      </w:r>
      <w:proofErr w:type="spellEnd"/>
      <w:r>
        <w:rPr>
          <w:i/>
        </w:rPr>
        <w:t xml:space="preserve">. </w:t>
      </w:r>
      <w:r>
        <w:t>(London: Printed by Edward Griffin</w:t>
      </w:r>
      <w:r w:rsidRPr="00C96291">
        <w:rPr>
          <w:color w:val="C0504D" w:themeColor="accent2"/>
        </w:rPr>
        <w:t>),</w:t>
      </w:r>
      <w:r w:rsidRPr="00C96291">
        <w:rPr>
          <w:i/>
          <w:color w:val="C0504D" w:themeColor="accent2"/>
        </w:rPr>
        <w:t xml:space="preserve"> </w:t>
      </w:r>
      <w:r>
        <w:t>P.256</w:t>
      </w:r>
    </w:p>
  </w:footnote>
  <w:footnote w:id="79">
    <w:p w14:paraId="23DCAFFD" w14:textId="5AF7C6CC" w:rsidR="00F15655" w:rsidRDefault="00F15655">
      <w:pPr>
        <w:pStyle w:val="FootnoteText"/>
      </w:pPr>
      <w:r>
        <w:rPr>
          <w:rStyle w:val="FootnoteReference"/>
        </w:rPr>
        <w:footnoteRef/>
      </w:r>
      <w:r>
        <w:t xml:space="preserve"> Fuller, Thomas 1640.</w:t>
      </w:r>
    </w:p>
  </w:footnote>
  <w:footnote w:id="80">
    <w:p w14:paraId="5F03ABED" w14:textId="6EA26B4F" w:rsidR="00F15655" w:rsidRDefault="00F15655">
      <w:pPr>
        <w:pStyle w:val="FootnoteText"/>
      </w:pPr>
      <w:r>
        <w:rPr>
          <w:rStyle w:val="FootnoteReference"/>
        </w:rPr>
        <w:footnoteRef/>
      </w:r>
      <w:r>
        <w:t xml:space="preserve"> Milton, John. </w:t>
      </w:r>
      <w:proofErr w:type="spellStart"/>
      <w:r>
        <w:rPr>
          <w:i/>
        </w:rPr>
        <w:t>Areogatica</w:t>
      </w:r>
      <w:proofErr w:type="spellEnd"/>
      <w:r>
        <w:rPr>
          <w:i/>
        </w:rPr>
        <w:t xml:space="preserve">, </w:t>
      </w:r>
      <w:proofErr w:type="gramStart"/>
      <w:r>
        <w:rPr>
          <w:i/>
        </w:rPr>
        <w:t>For</w:t>
      </w:r>
      <w:proofErr w:type="gramEnd"/>
      <w:r>
        <w:rPr>
          <w:i/>
        </w:rPr>
        <w:t xml:space="preserve"> the liberty of unlicensed printing. </w:t>
      </w:r>
      <w:r>
        <w:t xml:space="preserve">1644. </w:t>
      </w:r>
      <w:r w:rsidRPr="00AE53C1">
        <w:t>London.</w:t>
      </w:r>
      <w:r>
        <w:rPr>
          <w:i/>
        </w:rPr>
        <w:t xml:space="preserve">  </w:t>
      </w:r>
    </w:p>
  </w:footnote>
  <w:footnote w:id="81">
    <w:p w14:paraId="44113B6F" w14:textId="525AD8C6" w:rsidR="00F15655" w:rsidRDefault="00F15655">
      <w:pPr>
        <w:pStyle w:val="FootnoteText"/>
      </w:pPr>
      <w:r>
        <w:rPr>
          <w:rStyle w:val="FootnoteReference"/>
        </w:rPr>
        <w:footnoteRef/>
      </w:r>
      <w:r>
        <w:t xml:space="preserve"> Stock, Richard. 1641. </w:t>
      </w:r>
      <w:r w:rsidRPr="00AA1F5F">
        <w:rPr>
          <w:i/>
        </w:rPr>
        <w:t>A stock of divine knowledge,</w:t>
      </w:r>
      <w:r>
        <w:t xml:space="preserve"> London: Printed by T.H., p.266.</w:t>
      </w:r>
    </w:p>
  </w:footnote>
  <w:footnote w:id="82">
    <w:p w14:paraId="6D4F490C" w14:textId="6726D116" w:rsidR="00F15655" w:rsidRDefault="00F15655">
      <w:pPr>
        <w:pStyle w:val="FootnoteText"/>
      </w:pPr>
      <w:r>
        <w:rPr>
          <w:rStyle w:val="FootnoteReference"/>
        </w:rPr>
        <w:footnoteRef/>
      </w:r>
      <w:r>
        <w:t xml:space="preserve"> Bramhall, John, </w:t>
      </w:r>
      <w:r>
        <w:rPr>
          <w:i/>
        </w:rPr>
        <w:t>The serpents salve.</w:t>
      </w:r>
      <w:r>
        <w:rPr>
          <w:b/>
        </w:rPr>
        <w:t xml:space="preserve"> </w:t>
      </w:r>
      <w:proofErr w:type="gramStart"/>
      <w:r>
        <w:t>1643, p. 95.</w:t>
      </w:r>
      <w:proofErr w:type="gramEnd"/>
      <w:r>
        <w:t xml:space="preserve">  </w:t>
      </w:r>
    </w:p>
  </w:footnote>
  <w:footnote w:id="83">
    <w:p w14:paraId="7915FC53" w14:textId="7C1D08E2" w:rsidR="00F15655" w:rsidRDefault="00F15655" w:rsidP="00F20FF5">
      <w:r>
        <w:rPr>
          <w:rStyle w:val="FootnoteReference"/>
        </w:rPr>
        <w:footnoteRef/>
      </w:r>
      <w:r>
        <w:t xml:space="preserve"> Ames, Williams.  1652</w:t>
      </w:r>
      <w:r>
        <w:rPr>
          <w:i/>
        </w:rPr>
        <w:t xml:space="preserve">The saints security against seducing </w:t>
      </w:r>
      <w:proofErr w:type="spellStart"/>
      <w:r>
        <w:rPr>
          <w:i/>
        </w:rPr>
        <w:t>spritis</w:t>
      </w:r>
      <w:proofErr w:type="spellEnd"/>
      <w:r>
        <w:rPr>
          <w:i/>
        </w:rPr>
        <w:t>.</w:t>
      </w:r>
      <w:r>
        <w:t xml:space="preserve"> London: Printed by M. Simmons.</w:t>
      </w:r>
      <w:r>
        <w:rPr>
          <w:i/>
        </w:rPr>
        <w:t xml:space="preserve"> </w:t>
      </w:r>
      <w:r>
        <w:rPr>
          <w:u w:val="single"/>
        </w:rPr>
        <w:t xml:space="preserve">Image 3; see also </w:t>
      </w:r>
      <w:r>
        <w:t xml:space="preserve">Saltmarsh, John. 1646. </w:t>
      </w:r>
      <w:r w:rsidRPr="007D1B37">
        <w:rPr>
          <w:i/>
        </w:rPr>
        <w:t xml:space="preserve">The smoke in the temple wherein is a </w:t>
      </w:r>
      <w:proofErr w:type="spellStart"/>
      <w:r w:rsidRPr="007D1B37">
        <w:rPr>
          <w:i/>
        </w:rPr>
        <w:t>designe</w:t>
      </w:r>
      <w:proofErr w:type="spellEnd"/>
      <w:r w:rsidRPr="007D1B37">
        <w:rPr>
          <w:i/>
        </w:rPr>
        <w:t xml:space="preserve"> for peace and reconciliation of believes of the several </w:t>
      </w:r>
      <w:proofErr w:type="spellStart"/>
      <w:r w:rsidRPr="007D1B37">
        <w:rPr>
          <w:i/>
        </w:rPr>
        <w:t>opinins</w:t>
      </w:r>
      <w:proofErr w:type="spellEnd"/>
      <w:r w:rsidRPr="007D1B37">
        <w:rPr>
          <w:i/>
        </w:rPr>
        <w:t xml:space="preserve"> of </w:t>
      </w:r>
      <w:proofErr w:type="spellStart"/>
      <w:proofErr w:type="gramStart"/>
      <w:r w:rsidRPr="007D1B37">
        <w:rPr>
          <w:i/>
        </w:rPr>
        <w:t>thest</w:t>
      </w:r>
      <w:proofErr w:type="spellEnd"/>
      <w:r w:rsidRPr="007D1B37">
        <w:rPr>
          <w:i/>
        </w:rPr>
        <w:t xml:space="preserve">  times</w:t>
      </w:r>
      <w:proofErr w:type="gramEnd"/>
      <w:r w:rsidRPr="007D1B37">
        <w:rPr>
          <w:i/>
        </w:rPr>
        <w:t xml:space="preserve"> about ordinances</w:t>
      </w:r>
      <w:r>
        <w:t xml:space="preserve">. London. P.1. </w:t>
      </w:r>
    </w:p>
    <w:p w14:paraId="3BECFEDA" w14:textId="7D59CCE2" w:rsidR="00F15655" w:rsidRDefault="00F15655">
      <w:pPr>
        <w:pStyle w:val="FootnoteText"/>
      </w:pPr>
    </w:p>
  </w:footnote>
  <w:footnote w:id="84">
    <w:p w14:paraId="503DDD2B" w14:textId="33039489" w:rsidR="00F15655" w:rsidRDefault="00F15655">
      <w:pPr>
        <w:pStyle w:val="FootnoteText"/>
      </w:pPr>
      <w:r>
        <w:rPr>
          <w:rStyle w:val="FootnoteReference"/>
        </w:rPr>
        <w:footnoteRef/>
      </w:r>
      <w:r>
        <w:t xml:space="preserve"> </w:t>
      </w:r>
      <w:proofErr w:type="spellStart"/>
      <w:r>
        <w:t>Cheynell</w:t>
      </w:r>
      <w:proofErr w:type="spellEnd"/>
      <w:r>
        <w:t xml:space="preserve">, Francis. </w:t>
      </w:r>
      <w:proofErr w:type="gramStart"/>
      <w:r>
        <w:rPr>
          <w:i/>
        </w:rPr>
        <w:t xml:space="preserve">The man of </w:t>
      </w:r>
      <w:proofErr w:type="spellStart"/>
      <w:r>
        <w:rPr>
          <w:i/>
        </w:rPr>
        <w:t>honour</w:t>
      </w:r>
      <w:proofErr w:type="spellEnd"/>
      <w:r>
        <w:rPr>
          <w:i/>
        </w:rPr>
        <w:t>, described in a sermon.</w:t>
      </w:r>
      <w:proofErr w:type="gramEnd"/>
      <w:r>
        <w:rPr>
          <w:i/>
        </w:rPr>
        <w:t xml:space="preserve"> </w:t>
      </w:r>
      <w:r>
        <w:t>1645. London. Printed by J.R</w:t>
      </w:r>
      <w:proofErr w:type="gramStart"/>
      <w:r>
        <w:t>..</w:t>
      </w:r>
      <w:proofErr w:type="gramEnd"/>
      <w:r>
        <w:t xml:space="preserve"> P.12-13.</w:t>
      </w:r>
    </w:p>
  </w:footnote>
  <w:footnote w:id="85">
    <w:p w14:paraId="7A37DFC0" w14:textId="77777777" w:rsidR="00F15655" w:rsidRDefault="00F15655" w:rsidP="003C0686">
      <w:pPr>
        <w:pStyle w:val="FootnoteText"/>
      </w:pPr>
      <w:r>
        <w:rPr>
          <w:rStyle w:val="FootnoteReference"/>
        </w:rPr>
        <w:footnoteRef/>
      </w:r>
      <w:r>
        <w:t xml:space="preserve"> Saltmarsh, John. 1646. </w:t>
      </w:r>
      <w:r w:rsidRPr="007D1B37">
        <w:rPr>
          <w:i/>
        </w:rPr>
        <w:t xml:space="preserve">Some drops of the vial, </w:t>
      </w:r>
      <w:proofErr w:type="spellStart"/>
      <w:r w:rsidRPr="007D1B37">
        <w:rPr>
          <w:i/>
        </w:rPr>
        <w:t>powred</w:t>
      </w:r>
      <w:proofErr w:type="spellEnd"/>
      <w:r w:rsidRPr="007D1B37">
        <w:rPr>
          <w:i/>
        </w:rPr>
        <w:t xml:space="preserve"> out in a season when it is neither night nor day.  </w:t>
      </w:r>
      <w:r>
        <w:t>London. P.33-4</w:t>
      </w:r>
    </w:p>
  </w:footnote>
  <w:footnote w:id="86">
    <w:p w14:paraId="19CFE120" w14:textId="77777777" w:rsidR="00F15655" w:rsidRDefault="00F15655" w:rsidP="00D21B13">
      <w:pPr>
        <w:pStyle w:val="FootnoteText"/>
      </w:pPr>
      <w:r>
        <w:rPr>
          <w:rStyle w:val="FootnoteReference"/>
        </w:rPr>
        <w:footnoteRef/>
      </w:r>
      <w:r>
        <w:t xml:space="preserve"> According to Vane, for example, “all the place that reason hath in the government of our faith is this, to lead us to believe that testimony which cannot deceive us [the church’s], and to take them upon trust of that testimony, without checking at </w:t>
      </w:r>
      <w:proofErr w:type="spellStart"/>
      <w:r>
        <w:t>htem</w:t>
      </w:r>
      <w:proofErr w:type="spellEnd"/>
      <w:r>
        <w:t xml:space="preserve"> whatsoever they be.”</w:t>
      </w:r>
      <w:r>
        <w:rPr>
          <w:rStyle w:val="FootnoteReference"/>
        </w:rPr>
        <w:footnoteRef/>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091250"/>
      <w:docPartObj>
        <w:docPartGallery w:val="Page Numbers (Top of Page)"/>
        <w:docPartUnique/>
      </w:docPartObj>
    </w:sdtPr>
    <w:sdtEndPr>
      <w:rPr>
        <w:noProof/>
      </w:rPr>
    </w:sdtEndPr>
    <w:sdtContent>
      <w:p w14:paraId="307DBEB1" w14:textId="76D1D097" w:rsidR="00F15655" w:rsidRDefault="00F15655">
        <w:pPr>
          <w:pStyle w:val="Header"/>
        </w:pPr>
        <w:r>
          <w:fldChar w:fldCharType="begin"/>
        </w:r>
        <w:r>
          <w:instrText xml:space="preserve"> PAGE   \* MERGEFORMAT </w:instrText>
        </w:r>
        <w:r>
          <w:fldChar w:fldCharType="separate"/>
        </w:r>
        <w:r w:rsidR="00B41519">
          <w:rPr>
            <w:noProof/>
          </w:rPr>
          <w:t>18</w:t>
        </w:r>
        <w:r>
          <w:rPr>
            <w:noProof/>
          </w:rPr>
          <w:fldChar w:fldCharType="end"/>
        </w:r>
      </w:p>
    </w:sdtContent>
  </w:sdt>
  <w:p w14:paraId="46AB6FAA" w14:textId="77777777" w:rsidR="00F15655" w:rsidRDefault="00F1565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C7226"/>
    <w:multiLevelType w:val="hybridMultilevel"/>
    <w:tmpl w:val="727805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DB9"/>
    <w:rsid w:val="00004CC5"/>
    <w:rsid w:val="00011883"/>
    <w:rsid w:val="000139E8"/>
    <w:rsid w:val="000346B4"/>
    <w:rsid w:val="000468D4"/>
    <w:rsid w:val="00047200"/>
    <w:rsid w:val="000545AA"/>
    <w:rsid w:val="00054AB1"/>
    <w:rsid w:val="00061FEF"/>
    <w:rsid w:val="00070FEE"/>
    <w:rsid w:val="00077122"/>
    <w:rsid w:val="000776DD"/>
    <w:rsid w:val="00086CAB"/>
    <w:rsid w:val="00087D47"/>
    <w:rsid w:val="000900C3"/>
    <w:rsid w:val="000A1103"/>
    <w:rsid w:val="000C7D4A"/>
    <w:rsid w:val="000D0AA2"/>
    <w:rsid w:val="000D29E4"/>
    <w:rsid w:val="000E2F5B"/>
    <w:rsid w:val="000E3562"/>
    <w:rsid w:val="000F2738"/>
    <w:rsid w:val="000F6707"/>
    <w:rsid w:val="00100A0E"/>
    <w:rsid w:val="0010453D"/>
    <w:rsid w:val="00107C79"/>
    <w:rsid w:val="001168F5"/>
    <w:rsid w:val="00130348"/>
    <w:rsid w:val="00141708"/>
    <w:rsid w:val="00145F1A"/>
    <w:rsid w:val="00150B67"/>
    <w:rsid w:val="0015186B"/>
    <w:rsid w:val="00153471"/>
    <w:rsid w:val="00157537"/>
    <w:rsid w:val="00160244"/>
    <w:rsid w:val="00161A5F"/>
    <w:rsid w:val="00162F5B"/>
    <w:rsid w:val="0016442D"/>
    <w:rsid w:val="0016482C"/>
    <w:rsid w:val="00172800"/>
    <w:rsid w:val="001733B4"/>
    <w:rsid w:val="00173781"/>
    <w:rsid w:val="0018573F"/>
    <w:rsid w:val="001875B9"/>
    <w:rsid w:val="001879ED"/>
    <w:rsid w:val="001C0D91"/>
    <w:rsid w:val="001D6CEB"/>
    <w:rsid w:val="001D777A"/>
    <w:rsid w:val="001D7E69"/>
    <w:rsid w:val="001D7EF9"/>
    <w:rsid w:val="001E2053"/>
    <w:rsid w:val="001E6DCD"/>
    <w:rsid w:val="001F1BCE"/>
    <w:rsid w:val="001F4A78"/>
    <w:rsid w:val="001F4C72"/>
    <w:rsid w:val="0020243D"/>
    <w:rsid w:val="0020332F"/>
    <w:rsid w:val="0020761B"/>
    <w:rsid w:val="0021736F"/>
    <w:rsid w:val="00220E47"/>
    <w:rsid w:val="00223E9D"/>
    <w:rsid w:val="0023298F"/>
    <w:rsid w:val="00234E99"/>
    <w:rsid w:val="002375E4"/>
    <w:rsid w:val="00240CFA"/>
    <w:rsid w:val="00245186"/>
    <w:rsid w:val="00245717"/>
    <w:rsid w:val="00252BD2"/>
    <w:rsid w:val="0025465E"/>
    <w:rsid w:val="00263751"/>
    <w:rsid w:val="00265FA7"/>
    <w:rsid w:val="002724A4"/>
    <w:rsid w:val="00274AB3"/>
    <w:rsid w:val="00276CCB"/>
    <w:rsid w:val="002847B8"/>
    <w:rsid w:val="002859DE"/>
    <w:rsid w:val="002B053F"/>
    <w:rsid w:val="002B181C"/>
    <w:rsid w:val="002B4E50"/>
    <w:rsid w:val="002B69D0"/>
    <w:rsid w:val="002C05E2"/>
    <w:rsid w:val="002C6989"/>
    <w:rsid w:val="002C722C"/>
    <w:rsid w:val="002E4752"/>
    <w:rsid w:val="002F0280"/>
    <w:rsid w:val="002F08F0"/>
    <w:rsid w:val="00303D90"/>
    <w:rsid w:val="003050FB"/>
    <w:rsid w:val="00312865"/>
    <w:rsid w:val="00315285"/>
    <w:rsid w:val="00324F8B"/>
    <w:rsid w:val="0032586B"/>
    <w:rsid w:val="003339A2"/>
    <w:rsid w:val="003471FA"/>
    <w:rsid w:val="00350E7B"/>
    <w:rsid w:val="00351636"/>
    <w:rsid w:val="003613EE"/>
    <w:rsid w:val="003716F3"/>
    <w:rsid w:val="00371CE1"/>
    <w:rsid w:val="0037392D"/>
    <w:rsid w:val="003746E2"/>
    <w:rsid w:val="00384438"/>
    <w:rsid w:val="003919EF"/>
    <w:rsid w:val="00392D6D"/>
    <w:rsid w:val="003931E6"/>
    <w:rsid w:val="003958C9"/>
    <w:rsid w:val="00397236"/>
    <w:rsid w:val="003A03E2"/>
    <w:rsid w:val="003C0686"/>
    <w:rsid w:val="003C292B"/>
    <w:rsid w:val="003C735F"/>
    <w:rsid w:val="003D39D6"/>
    <w:rsid w:val="003D7A1D"/>
    <w:rsid w:val="003E07C1"/>
    <w:rsid w:val="003E509F"/>
    <w:rsid w:val="003E5CAB"/>
    <w:rsid w:val="003F599D"/>
    <w:rsid w:val="003F7BAF"/>
    <w:rsid w:val="00404B62"/>
    <w:rsid w:val="004064E9"/>
    <w:rsid w:val="00407F55"/>
    <w:rsid w:val="004107C1"/>
    <w:rsid w:val="004119B0"/>
    <w:rsid w:val="00413297"/>
    <w:rsid w:val="00423A87"/>
    <w:rsid w:val="00427254"/>
    <w:rsid w:val="00465BDF"/>
    <w:rsid w:val="004736CA"/>
    <w:rsid w:val="0047419A"/>
    <w:rsid w:val="004920A5"/>
    <w:rsid w:val="004961A5"/>
    <w:rsid w:val="004A27B6"/>
    <w:rsid w:val="004A2EA4"/>
    <w:rsid w:val="004A6868"/>
    <w:rsid w:val="004B59E3"/>
    <w:rsid w:val="004C1D48"/>
    <w:rsid w:val="004C7920"/>
    <w:rsid w:val="004D3C75"/>
    <w:rsid w:val="004D768C"/>
    <w:rsid w:val="004E5F8F"/>
    <w:rsid w:val="004F12C7"/>
    <w:rsid w:val="004F23AA"/>
    <w:rsid w:val="004F4CE8"/>
    <w:rsid w:val="004F6BB0"/>
    <w:rsid w:val="00501E31"/>
    <w:rsid w:val="005159F4"/>
    <w:rsid w:val="00523EEB"/>
    <w:rsid w:val="0053008D"/>
    <w:rsid w:val="005309C5"/>
    <w:rsid w:val="005370C6"/>
    <w:rsid w:val="00542213"/>
    <w:rsid w:val="00545D92"/>
    <w:rsid w:val="00547C6E"/>
    <w:rsid w:val="005507EF"/>
    <w:rsid w:val="00555B7D"/>
    <w:rsid w:val="00584E9A"/>
    <w:rsid w:val="005907E4"/>
    <w:rsid w:val="0059166C"/>
    <w:rsid w:val="005A3D39"/>
    <w:rsid w:val="005A45F4"/>
    <w:rsid w:val="005A6F3F"/>
    <w:rsid w:val="005B1367"/>
    <w:rsid w:val="005C312B"/>
    <w:rsid w:val="005D5902"/>
    <w:rsid w:val="005E53CD"/>
    <w:rsid w:val="005E7F5E"/>
    <w:rsid w:val="0060173B"/>
    <w:rsid w:val="006036D5"/>
    <w:rsid w:val="00622E03"/>
    <w:rsid w:val="00631DB1"/>
    <w:rsid w:val="00636D6B"/>
    <w:rsid w:val="00637962"/>
    <w:rsid w:val="00650AE5"/>
    <w:rsid w:val="00652633"/>
    <w:rsid w:val="006534AC"/>
    <w:rsid w:val="006573BD"/>
    <w:rsid w:val="00657A05"/>
    <w:rsid w:val="00667358"/>
    <w:rsid w:val="006717DA"/>
    <w:rsid w:val="00671D6F"/>
    <w:rsid w:val="006744BE"/>
    <w:rsid w:val="006863C3"/>
    <w:rsid w:val="0068727C"/>
    <w:rsid w:val="006A7A9F"/>
    <w:rsid w:val="006B0FEA"/>
    <w:rsid w:val="006B1437"/>
    <w:rsid w:val="006C432B"/>
    <w:rsid w:val="006C5B3B"/>
    <w:rsid w:val="006E3D95"/>
    <w:rsid w:val="006F60EF"/>
    <w:rsid w:val="00702A00"/>
    <w:rsid w:val="00716616"/>
    <w:rsid w:val="007203DF"/>
    <w:rsid w:val="00722CDB"/>
    <w:rsid w:val="00725564"/>
    <w:rsid w:val="00727193"/>
    <w:rsid w:val="007357C6"/>
    <w:rsid w:val="00740CCA"/>
    <w:rsid w:val="00746617"/>
    <w:rsid w:val="00746AAF"/>
    <w:rsid w:val="007473B2"/>
    <w:rsid w:val="00753B8A"/>
    <w:rsid w:val="00754F50"/>
    <w:rsid w:val="00756B55"/>
    <w:rsid w:val="0076604A"/>
    <w:rsid w:val="00774E1D"/>
    <w:rsid w:val="00780834"/>
    <w:rsid w:val="0078583F"/>
    <w:rsid w:val="00790EB7"/>
    <w:rsid w:val="007914C6"/>
    <w:rsid w:val="00797BF3"/>
    <w:rsid w:val="007A16ED"/>
    <w:rsid w:val="007A2EDF"/>
    <w:rsid w:val="007A413B"/>
    <w:rsid w:val="007A78EB"/>
    <w:rsid w:val="007D2EC8"/>
    <w:rsid w:val="007D65AC"/>
    <w:rsid w:val="007E01A3"/>
    <w:rsid w:val="007E4859"/>
    <w:rsid w:val="007F1F91"/>
    <w:rsid w:val="007F4D22"/>
    <w:rsid w:val="0081258B"/>
    <w:rsid w:val="0081379C"/>
    <w:rsid w:val="00813B05"/>
    <w:rsid w:val="00816A7E"/>
    <w:rsid w:val="00827477"/>
    <w:rsid w:val="0083094B"/>
    <w:rsid w:val="00837D23"/>
    <w:rsid w:val="00841E55"/>
    <w:rsid w:val="008547E5"/>
    <w:rsid w:val="00860BB2"/>
    <w:rsid w:val="00862037"/>
    <w:rsid w:val="00867220"/>
    <w:rsid w:val="00886F25"/>
    <w:rsid w:val="00893B06"/>
    <w:rsid w:val="008A41A4"/>
    <w:rsid w:val="008B5046"/>
    <w:rsid w:val="008B55B7"/>
    <w:rsid w:val="008C220E"/>
    <w:rsid w:val="008D02DB"/>
    <w:rsid w:val="008D7D9E"/>
    <w:rsid w:val="008E720D"/>
    <w:rsid w:val="008F0B19"/>
    <w:rsid w:val="008F53AC"/>
    <w:rsid w:val="00902E41"/>
    <w:rsid w:val="00905955"/>
    <w:rsid w:val="0090731A"/>
    <w:rsid w:val="009252D3"/>
    <w:rsid w:val="00926709"/>
    <w:rsid w:val="009341F1"/>
    <w:rsid w:val="009377AA"/>
    <w:rsid w:val="00950748"/>
    <w:rsid w:val="00951E9D"/>
    <w:rsid w:val="009544BE"/>
    <w:rsid w:val="0096039A"/>
    <w:rsid w:val="009635EF"/>
    <w:rsid w:val="00971263"/>
    <w:rsid w:val="0097699F"/>
    <w:rsid w:val="00985EF2"/>
    <w:rsid w:val="009865C7"/>
    <w:rsid w:val="00992C0F"/>
    <w:rsid w:val="009A27C7"/>
    <w:rsid w:val="009A370D"/>
    <w:rsid w:val="009B2E2E"/>
    <w:rsid w:val="009B38BA"/>
    <w:rsid w:val="009B4325"/>
    <w:rsid w:val="009B43DB"/>
    <w:rsid w:val="009C5C12"/>
    <w:rsid w:val="009D45F5"/>
    <w:rsid w:val="009F1A9F"/>
    <w:rsid w:val="009F35C5"/>
    <w:rsid w:val="009F5E11"/>
    <w:rsid w:val="009F682C"/>
    <w:rsid w:val="00A03BCA"/>
    <w:rsid w:val="00A10935"/>
    <w:rsid w:val="00A212B8"/>
    <w:rsid w:val="00A22370"/>
    <w:rsid w:val="00A231F5"/>
    <w:rsid w:val="00A325FF"/>
    <w:rsid w:val="00A3435F"/>
    <w:rsid w:val="00A35451"/>
    <w:rsid w:val="00A36E4A"/>
    <w:rsid w:val="00A54ED1"/>
    <w:rsid w:val="00A677D0"/>
    <w:rsid w:val="00A94D93"/>
    <w:rsid w:val="00A966F5"/>
    <w:rsid w:val="00AA36FF"/>
    <w:rsid w:val="00AA3BD9"/>
    <w:rsid w:val="00AA5541"/>
    <w:rsid w:val="00AA6640"/>
    <w:rsid w:val="00AA7353"/>
    <w:rsid w:val="00AC5B82"/>
    <w:rsid w:val="00AC7010"/>
    <w:rsid w:val="00AD1039"/>
    <w:rsid w:val="00AD4993"/>
    <w:rsid w:val="00AD5FA9"/>
    <w:rsid w:val="00AE0ABE"/>
    <w:rsid w:val="00AE7499"/>
    <w:rsid w:val="00AF20AC"/>
    <w:rsid w:val="00B04276"/>
    <w:rsid w:val="00B11DB9"/>
    <w:rsid w:val="00B21336"/>
    <w:rsid w:val="00B220E0"/>
    <w:rsid w:val="00B36046"/>
    <w:rsid w:val="00B41519"/>
    <w:rsid w:val="00B43C86"/>
    <w:rsid w:val="00B555F7"/>
    <w:rsid w:val="00B557DD"/>
    <w:rsid w:val="00B63315"/>
    <w:rsid w:val="00B73DD1"/>
    <w:rsid w:val="00B8315B"/>
    <w:rsid w:val="00B92FC9"/>
    <w:rsid w:val="00B96EF9"/>
    <w:rsid w:val="00BA0F94"/>
    <w:rsid w:val="00BA298B"/>
    <w:rsid w:val="00BA7B70"/>
    <w:rsid w:val="00BB11E5"/>
    <w:rsid w:val="00BC6E85"/>
    <w:rsid w:val="00BD0F19"/>
    <w:rsid w:val="00BE7732"/>
    <w:rsid w:val="00BF3CC4"/>
    <w:rsid w:val="00BF6A43"/>
    <w:rsid w:val="00C07DD1"/>
    <w:rsid w:val="00C222B6"/>
    <w:rsid w:val="00C25F4B"/>
    <w:rsid w:val="00C26A3E"/>
    <w:rsid w:val="00C32A7B"/>
    <w:rsid w:val="00C53D1A"/>
    <w:rsid w:val="00C55AB3"/>
    <w:rsid w:val="00C619D4"/>
    <w:rsid w:val="00C62A8F"/>
    <w:rsid w:val="00C66A3B"/>
    <w:rsid w:val="00C70538"/>
    <w:rsid w:val="00C82C4D"/>
    <w:rsid w:val="00C848C2"/>
    <w:rsid w:val="00C87D93"/>
    <w:rsid w:val="00CB012E"/>
    <w:rsid w:val="00CB1022"/>
    <w:rsid w:val="00CB4A32"/>
    <w:rsid w:val="00CB7935"/>
    <w:rsid w:val="00CE4315"/>
    <w:rsid w:val="00D21B13"/>
    <w:rsid w:val="00D351F2"/>
    <w:rsid w:val="00D37798"/>
    <w:rsid w:val="00D5508F"/>
    <w:rsid w:val="00D56B10"/>
    <w:rsid w:val="00D635F1"/>
    <w:rsid w:val="00D65B84"/>
    <w:rsid w:val="00D67DF1"/>
    <w:rsid w:val="00D762C2"/>
    <w:rsid w:val="00D7652D"/>
    <w:rsid w:val="00D815CC"/>
    <w:rsid w:val="00D844DB"/>
    <w:rsid w:val="00D8597F"/>
    <w:rsid w:val="00D94CB6"/>
    <w:rsid w:val="00DA4AB8"/>
    <w:rsid w:val="00DA6DAA"/>
    <w:rsid w:val="00DC0D42"/>
    <w:rsid w:val="00DC5B5D"/>
    <w:rsid w:val="00DC5CB4"/>
    <w:rsid w:val="00DD29EC"/>
    <w:rsid w:val="00DD4442"/>
    <w:rsid w:val="00DE0D4E"/>
    <w:rsid w:val="00DE5139"/>
    <w:rsid w:val="00DF4827"/>
    <w:rsid w:val="00DF5B42"/>
    <w:rsid w:val="00DF6F80"/>
    <w:rsid w:val="00E06666"/>
    <w:rsid w:val="00E0758D"/>
    <w:rsid w:val="00E0783B"/>
    <w:rsid w:val="00E15552"/>
    <w:rsid w:val="00E1689B"/>
    <w:rsid w:val="00E170C4"/>
    <w:rsid w:val="00E24265"/>
    <w:rsid w:val="00E34804"/>
    <w:rsid w:val="00E3758E"/>
    <w:rsid w:val="00E46C10"/>
    <w:rsid w:val="00E51E31"/>
    <w:rsid w:val="00E550A2"/>
    <w:rsid w:val="00E675EB"/>
    <w:rsid w:val="00E8241F"/>
    <w:rsid w:val="00E82B80"/>
    <w:rsid w:val="00E83F6E"/>
    <w:rsid w:val="00E91B35"/>
    <w:rsid w:val="00E93B4D"/>
    <w:rsid w:val="00EA2925"/>
    <w:rsid w:val="00EA2DD7"/>
    <w:rsid w:val="00EA76A7"/>
    <w:rsid w:val="00EB0FC5"/>
    <w:rsid w:val="00EB7599"/>
    <w:rsid w:val="00EC378A"/>
    <w:rsid w:val="00EC76BE"/>
    <w:rsid w:val="00ED0621"/>
    <w:rsid w:val="00ED577C"/>
    <w:rsid w:val="00EF261C"/>
    <w:rsid w:val="00EF72D2"/>
    <w:rsid w:val="00F0015A"/>
    <w:rsid w:val="00F016AE"/>
    <w:rsid w:val="00F0326C"/>
    <w:rsid w:val="00F07459"/>
    <w:rsid w:val="00F15655"/>
    <w:rsid w:val="00F16548"/>
    <w:rsid w:val="00F17673"/>
    <w:rsid w:val="00F2011F"/>
    <w:rsid w:val="00F20FF5"/>
    <w:rsid w:val="00F21235"/>
    <w:rsid w:val="00F26F9B"/>
    <w:rsid w:val="00F276D5"/>
    <w:rsid w:val="00F4365A"/>
    <w:rsid w:val="00F529E6"/>
    <w:rsid w:val="00F64662"/>
    <w:rsid w:val="00F8079A"/>
    <w:rsid w:val="00F80E1F"/>
    <w:rsid w:val="00F924D1"/>
    <w:rsid w:val="00FA4EA8"/>
    <w:rsid w:val="00FA7229"/>
    <w:rsid w:val="00FA73B1"/>
    <w:rsid w:val="00FB0691"/>
    <w:rsid w:val="00FD3E21"/>
    <w:rsid w:val="00FD4DF2"/>
    <w:rsid w:val="00FF2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596F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9166C"/>
  </w:style>
  <w:style w:type="character" w:customStyle="1" w:styleId="FootnoteTextChar">
    <w:name w:val="Footnote Text Char"/>
    <w:basedOn w:val="DefaultParagraphFont"/>
    <w:link w:val="FootnoteText"/>
    <w:uiPriority w:val="99"/>
    <w:rsid w:val="0059166C"/>
  </w:style>
  <w:style w:type="character" w:styleId="FootnoteReference">
    <w:name w:val="footnote reference"/>
    <w:basedOn w:val="DefaultParagraphFont"/>
    <w:uiPriority w:val="99"/>
    <w:unhideWhenUsed/>
    <w:rsid w:val="0059166C"/>
    <w:rPr>
      <w:vertAlign w:val="superscript"/>
    </w:rPr>
  </w:style>
  <w:style w:type="paragraph" w:styleId="BalloonText">
    <w:name w:val="Balloon Text"/>
    <w:basedOn w:val="Normal"/>
    <w:link w:val="BalloonTextChar"/>
    <w:uiPriority w:val="99"/>
    <w:semiHidden/>
    <w:unhideWhenUsed/>
    <w:rsid w:val="00C619D4"/>
    <w:rPr>
      <w:rFonts w:ascii="Tahoma" w:hAnsi="Tahoma" w:cs="Tahoma"/>
      <w:sz w:val="16"/>
      <w:szCs w:val="16"/>
    </w:rPr>
  </w:style>
  <w:style w:type="character" w:customStyle="1" w:styleId="BalloonTextChar">
    <w:name w:val="Balloon Text Char"/>
    <w:basedOn w:val="DefaultParagraphFont"/>
    <w:link w:val="BalloonText"/>
    <w:uiPriority w:val="99"/>
    <w:semiHidden/>
    <w:rsid w:val="00C619D4"/>
    <w:rPr>
      <w:rFonts w:ascii="Tahoma" w:hAnsi="Tahoma" w:cs="Tahoma"/>
      <w:sz w:val="16"/>
      <w:szCs w:val="16"/>
    </w:rPr>
  </w:style>
  <w:style w:type="paragraph" w:styleId="Header">
    <w:name w:val="header"/>
    <w:basedOn w:val="Normal"/>
    <w:link w:val="HeaderChar"/>
    <w:uiPriority w:val="99"/>
    <w:unhideWhenUsed/>
    <w:rsid w:val="00667358"/>
    <w:pPr>
      <w:tabs>
        <w:tab w:val="center" w:pos="4680"/>
        <w:tab w:val="right" w:pos="9360"/>
      </w:tabs>
    </w:pPr>
  </w:style>
  <w:style w:type="character" w:customStyle="1" w:styleId="HeaderChar">
    <w:name w:val="Header Char"/>
    <w:basedOn w:val="DefaultParagraphFont"/>
    <w:link w:val="Header"/>
    <w:uiPriority w:val="99"/>
    <w:rsid w:val="00667358"/>
  </w:style>
  <w:style w:type="paragraph" w:styleId="Footer">
    <w:name w:val="footer"/>
    <w:basedOn w:val="Normal"/>
    <w:link w:val="FooterChar"/>
    <w:uiPriority w:val="99"/>
    <w:unhideWhenUsed/>
    <w:rsid w:val="00667358"/>
    <w:pPr>
      <w:tabs>
        <w:tab w:val="center" w:pos="4680"/>
        <w:tab w:val="right" w:pos="9360"/>
      </w:tabs>
    </w:pPr>
  </w:style>
  <w:style w:type="character" w:customStyle="1" w:styleId="FooterChar">
    <w:name w:val="Footer Char"/>
    <w:basedOn w:val="DefaultParagraphFont"/>
    <w:link w:val="Footer"/>
    <w:uiPriority w:val="99"/>
    <w:rsid w:val="00667358"/>
  </w:style>
  <w:style w:type="paragraph" w:styleId="ListParagraph">
    <w:name w:val="List Paragraph"/>
    <w:basedOn w:val="Normal"/>
    <w:uiPriority w:val="34"/>
    <w:qFormat/>
    <w:rsid w:val="00837D23"/>
    <w:pPr>
      <w:spacing w:after="200" w:line="276" w:lineRule="auto"/>
      <w:ind w:left="720"/>
      <w:contextualSpacing/>
    </w:pPr>
    <w:rPr>
      <w:rFonts w:eastAsiaTheme="min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9166C"/>
  </w:style>
  <w:style w:type="character" w:customStyle="1" w:styleId="FootnoteTextChar">
    <w:name w:val="Footnote Text Char"/>
    <w:basedOn w:val="DefaultParagraphFont"/>
    <w:link w:val="FootnoteText"/>
    <w:uiPriority w:val="99"/>
    <w:rsid w:val="0059166C"/>
  </w:style>
  <w:style w:type="character" w:styleId="FootnoteReference">
    <w:name w:val="footnote reference"/>
    <w:basedOn w:val="DefaultParagraphFont"/>
    <w:uiPriority w:val="99"/>
    <w:unhideWhenUsed/>
    <w:rsid w:val="0059166C"/>
    <w:rPr>
      <w:vertAlign w:val="superscript"/>
    </w:rPr>
  </w:style>
  <w:style w:type="paragraph" w:styleId="BalloonText">
    <w:name w:val="Balloon Text"/>
    <w:basedOn w:val="Normal"/>
    <w:link w:val="BalloonTextChar"/>
    <w:uiPriority w:val="99"/>
    <w:semiHidden/>
    <w:unhideWhenUsed/>
    <w:rsid w:val="00C619D4"/>
    <w:rPr>
      <w:rFonts w:ascii="Tahoma" w:hAnsi="Tahoma" w:cs="Tahoma"/>
      <w:sz w:val="16"/>
      <w:szCs w:val="16"/>
    </w:rPr>
  </w:style>
  <w:style w:type="character" w:customStyle="1" w:styleId="BalloonTextChar">
    <w:name w:val="Balloon Text Char"/>
    <w:basedOn w:val="DefaultParagraphFont"/>
    <w:link w:val="BalloonText"/>
    <w:uiPriority w:val="99"/>
    <w:semiHidden/>
    <w:rsid w:val="00C619D4"/>
    <w:rPr>
      <w:rFonts w:ascii="Tahoma" w:hAnsi="Tahoma" w:cs="Tahoma"/>
      <w:sz w:val="16"/>
      <w:szCs w:val="16"/>
    </w:rPr>
  </w:style>
  <w:style w:type="paragraph" w:styleId="Header">
    <w:name w:val="header"/>
    <w:basedOn w:val="Normal"/>
    <w:link w:val="HeaderChar"/>
    <w:uiPriority w:val="99"/>
    <w:unhideWhenUsed/>
    <w:rsid w:val="00667358"/>
    <w:pPr>
      <w:tabs>
        <w:tab w:val="center" w:pos="4680"/>
        <w:tab w:val="right" w:pos="9360"/>
      </w:tabs>
    </w:pPr>
  </w:style>
  <w:style w:type="character" w:customStyle="1" w:styleId="HeaderChar">
    <w:name w:val="Header Char"/>
    <w:basedOn w:val="DefaultParagraphFont"/>
    <w:link w:val="Header"/>
    <w:uiPriority w:val="99"/>
    <w:rsid w:val="00667358"/>
  </w:style>
  <w:style w:type="paragraph" w:styleId="Footer">
    <w:name w:val="footer"/>
    <w:basedOn w:val="Normal"/>
    <w:link w:val="FooterChar"/>
    <w:uiPriority w:val="99"/>
    <w:unhideWhenUsed/>
    <w:rsid w:val="00667358"/>
    <w:pPr>
      <w:tabs>
        <w:tab w:val="center" w:pos="4680"/>
        <w:tab w:val="right" w:pos="9360"/>
      </w:tabs>
    </w:pPr>
  </w:style>
  <w:style w:type="character" w:customStyle="1" w:styleId="FooterChar">
    <w:name w:val="Footer Char"/>
    <w:basedOn w:val="DefaultParagraphFont"/>
    <w:link w:val="Footer"/>
    <w:uiPriority w:val="99"/>
    <w:rsid w:val="00667358"/>
  </w:style>
  <w:style w:type="paragraph" w:styleId="ListParagraph">
    <w:name w:val="List Paragraph"/>
    <w:basedOn w:val="Normal"/>
    <w:uiPriority w:val="34"/>
    <w:qFormat/>
    <w:rsid w:val="00837D23"/>
    <w:pPr>
      <w:spacing w:after="200" w:line="276"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2A966-5E08-D446-9331-92F0EC62E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8421</Words>
  <Characters>48000</Characters>
  <Application>Microsoft Macintosh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mbpatter</dc:creator>
  <cp:lastModifiedBy>mbpatter</cp:lastModifiedBy>
  <cp:revision>3</cp:revision>
  <cp:lastPrinted>2015-03-30T21:50:00Z</cp:lastPrinted>
  <dcterms:created xsi:type="dcterms:W3CDTF">2015-04-01T04:23:00Z</dcterms:created>
  <dcterms:modified xsi:type="dcterms:W3CDTF">2015-04-01T04:30:00Z</dcterms:modified>
</cp:coreProperties>
</file>